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id w:val="-973058580"/>
        <w:docPartObj>
          <w:docPartGallery w:val="Cover Pages"/>
          <w:docPartUnique/>
        </w:docPartObj>
      </w:sdt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8"/>
              <w:footerReference w:type="first" r:id="rId9"/>
              <w:pgSz w:w="11906" w:h="16838"/>
              <w:pgMar w:top="1417" w:right="1417" w:bottom="1417" w:left="1417" w:header="708" w:footer="708" w:gutter="0"/>
              <w:pgNumType w:start="0"/>
              <w:cols w:space="708"/>
              <w:titlePg/>
              <w:docGrid w:linePitch="360"/>
            </w:sectPr>
          </w:pPr>
        </w:p>
        <w:p w:rsidR="009663D9" w:rsidRDefault="005A4791"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0" w:edGrp="everyone" w:colFirst="1" w:colLast="1"/>
            <w:r w:rsidRPr="00AB6D88">
              <w:rPr>
                <w:rFonts w:ascii="Arial" w:hAnsi="Arial" w:cs="Arial"/>
              </w:rPr>
              <w:t>Name of the company / organisation</w:t>
            </w:r>
          </w:p>
        </w:tc>
        <w:sdt>
          <w:sdtPr>
            <w:rPr>
              <w:rStyle w:val="PlaceholderText"/>
              <w:rFonts w:ascii="Arial" w:hAnsi="Arial" w:cs="Arial"/>
            </w:rPr>
            <w:id w:val="-1905066999"/>
            <w:text/>
          </w:sdtPr>
          <w:sdtContent>
            <w:permStart w:id="1" w:edGrp="everyone" w:displacedByCustomXml="prev"/>
            <w:tc>
              <w:tcPr>
                <w:tcW w:w="5595" w:type="dxa"/>
                <w:shd w:val="clear" w:color="auto" w:fill="auto"/>
              </w:tcPr>
              <w:p w:rsidR="000632C2" w:rsidRPr="00AB6D88" w:rsidRDefault="00A44970" w:rsidP="00A44970">
                <w:pPr>
                  <w:rPr>
                    <w:rStyle w:val="PlaceholderText"/>
                    <w:rFonts w:ascii="Arial" w:hAnsi="Arial" w:cs="Arial"/>
                  </w:rPr>
                </w:pPr>
                <w:r>
                  <w:rPr>
                    <w:rStyle w:val="PlaceholderText"/>
                    <w:rFonts w:ascii="Arial" w:hAnsi="Arial" w:cs="Arial"/>
                  </w:rPr>
                  <w:t>Société Générale</w:t>
                </w:r>
              </w:p>
            </w:tc>
            <w:permEnd w:id="1"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 w:edGrp="everyone" w:colFirst="1" w:colLast="1"/>
            <w:permEnd w:id="0"/>
            <w:r w:rsidRPr="00AB6D88">
              <w:rPr>
                <w:rFonts w:ascii="Arial" w:hAnsi="Arial" w:cs="Arial"/>
              </w:rPr>
              <w:t>Confidential</w:t>
            </w:r>
            <w:r w:rsidRPr="00AB6D88">
              <w:rPr>
                <w:rStyle w:val="FootnoteReference"/>
                <w:rFonts w:ascii="Arial" w:hAnsi="Arial" w:cs="Arial"/>
              </w:rPr>
              <w:footnoteReference w:id="1"/>
            </w:r>
          </w:p>
        </w:tc>
        <w:tc>
          <w:tcPr>
            <w:tcW w:w="5595" w:type="dxa"/>
            <w:shd w:val="clear" w:color="auto" w:fill="auto"/>
          </w:tcPr>
          <w:p w:rsidR="000632C2" w:rsidRPr="00AB6D88" w:rsidRDefault="00F40545" w:rsidP="009E5107">
            <w:pPr>
              <w:rPr>
                <w:rStyle w:val="PlaceholderText"/>
                <w:rFonts w:ascii="Arial" w:hAnsi="Arial" w:cs="Arial"/>
              </w:rPr>
            </w:pPr>
            <w:r>
              <w:rPr>
                <w:rStyle w:val="PlaceholderText"/>
                <w:rFonts w:ascii="MS Gothic" w:eastAsia="MS Gothic" w:hAnsi="MS Gothic" w:cs="Arial"/>
              </w:rPr>
              <w:t>No</w:t>
            </w:r>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3" w:edGrp="everyone" w:colFirst="1" w:colLast="1"/>
            <w:permEnd w:id="2"/>
            <w:r w:rsidRPr="00AB6D88">
              <w:rPr>
                <w:rFonts w:ascii="Arial" w:hAnsi="Arial" w:cs="Arial"/>
              </w:rPr>
              <w:t>Activity:</w:t>
            </w:r>
          </w:p>
        </w:tc>
        <w:tc>
          <w:tcPr>
            <w:tcW w:w="5595" w:type="dxa"/>
            <w:shd w:val="clear" w:color="auto" w:fill="auto"/>
          </w:tcPr>
          <w:p w:rsidR="000632C2" w:rsidRPr="00AB6D88" w:rsidRDefault="005A4791"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4" w:edGrp="everyone"/>
                <w:r w:rsidR="00A44970">
                  <w:rPr>
                    <w:rFonts w:ascii="Arial" w:hAnsi="Arial" w:cs="Arial"/>
                  </w:rPr>
                  <w:t>Banking sector</w:t>
                </w:r>
                <w:permEnd w:id="4"/>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5" w:edGrp="everyone" w:colFirst="1" w:colLast="1"/>
            <w:permEnd w:id="3"/>
            <w:r w:rsidRPr="00AB6D88">
              <w:rPr>
                <w:rFonts w:ascii="Arial" w:hAnsi="Arial" w:cs="Arial"/>
              </w:rPr>
              <w:t>Are you representing an association?</w:t>
            </w:r>
          </w:p>
        </w:tc>
        <w:sdt>
          <w:sdtPr>
            <w:rPr>
              <w:rFonts w:ascii="Arial" w:hAnsi="Arial" w:cs="Arial"/>
            </w:rPr>
            <w:id w:val="-242871467"/>
          </w:sdtPr>
          <w:sdtContent>
            <w:tc>
              <w:tcPr>
                <w:tcW w:w="5595" w:type="dxa"/>
                <w:shd w:val="clear" w:color="auto" w:fill="auto"/>
              </w:tcPr>
              <w:p w:rsidR="000632C2" w:rsidRPr="00AB6D88" w:rsidRDefault="00F40545" w:rsidP="009E5107">
                <w:pPr>
                  <w:rPr>
                    <w:rFonts w:ascii="Arial" w:hAnsi="Arial" w:cs="Arial"/>
                  </w:rPr>
                </w:pPr>
                <w:r>
                  <w:rPr>
                    <w:rFonts w:ascii="MS Gothic" w:eastAsia="MS Gothic" w:hAnsi="MS Gothic" w:cs="MS Gothic"/>
                  </w:rPr>
                  <w:t>No</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6" w:edGrp="everyone" w:colFirst="1" w:colLast="1"/>
            <w:permEnd w:id="5"/>
            <w:r w:rsidRPr="00AB6D88">
              <w:rPr>
                <w:rFonts w:ascii="Arial" w:hAnsi="Arial" w:cs="Arial"/>
              </w:rPr>
              <w:t>Country/Region</w:t>
            </w:r>
          </w:p>
        </w:tc>
        <w:permStart w:id="7"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8" w:edGrp="everyone" w:displacedByCustomXml="prev"/>
            <w:tc>
              <w:tcPr>
                <w:tcW w:w="5595" w:type="dxa"/>
                <w:shd w:val="clear" w:color="auto" w:fill="auto"/>
              </w:tcPr>
              <w:p w:rsidR="000632C2" w:rsidRPr="00AB6D88" w:rsidRDefault="00A44970" w:rsidP="009E5107">
                <w:pPr>
                  <w:rPr>
                    <w:rFonts w:ascii="Arial" w:hAnsi="Arial" w:cs="Arial"/>
                  </w:rPr>
                </w:pPr>
                <w:r>
                  <w:rPr>
                    <w:rFonts w:ascii="Arial" w:hAnsi="Arial" w:cs="Arial"/>
                  </w:rPr>
                  <w:t>France</w:t>
                </w:r>
              </w:p>
            </w:tc>
            <w:permEnd w:id="8" w:displacedByCustomXml="next"/>
          </w:sdtContent>
        </w:sdt>
        <w:permEnd w:id="7" w:displacedByCustomXml="prev"/>
      </w:tr>
      <w:permEnd w:id="6"/>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1D47A5" w:rsidRDefault="001D47A5" w:rsidP="00E24D42">
      <w:permStart w:id="9" w:edGrp="everyone"/>
      <w:r>
        <w:t>TYPE YOUR TEXT HERE</w:t>
      </w:r>
    </w:p>
    <w:permEnd w:id="9"/>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1" w:name="_Toc406692468"/>
      <w:bookmarkStart w:id="2" w:name="_Toc406692311"/>
      <w:bookmarkStart w:id="3" w:name="_Toc406691701"/>
      <w:bookmarkStart w:id="4" w:name="_Toc405371754"/>
      <w:r>
        <w:t>Investor protection</w:t>
      </w:r>
      <w:bookmarkEnd w:id="1"/>
      <w:bookmarkEnd w:id="2"/>
      <w:bookmarkEnd w:id="3"/>
      <w:bookmarkEnd w:id="4"/>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2B18FC" w:rsidRDefault="002B18FC" w:rsidP="002B18FC">
      <w:pPr>
        <w:keepNext/>
      </w:pPr>
      <w:permStart w:id="10" w:edGrp="everyone"/>
      <w:r>
        <w:t>No comment.</w:t>
      </w:r>
    </w:p>
    <w:permEnd w:id="10"/>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2B18FC" w:rsidRDefault="002B18FC" w:rsidP="002B18FC">
      <w:pPr>
        <w:keepNext/>
      </w:pPr>
      <w:permStart w:id="11" w:edGrp="everyone"/>
      <w:r>
        <w:t>No comment.</w:t>
      </w:r>
    </w:p>
    <w:permEnd w:id="11"/>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2B18FC" w:rsidRDefault="002B18FC" w:rsidP="002B18FC">
      <w:pPr>
        <w:keepNext/>
      </w:pPr>
      <w:permStart w:id="12" w:edGrp="everyone"/>
      <w:r>
        <w:t>No comment.</w:t>
      </w:r>
    </w:p>
    <w:permEnd w:id="12"/>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2B18FC" w:rsidRDefault="002B18FC" w:rsidP="002B18FC">
      <w:pPr>
        <w:keepNext/>
      </w:pPr>
      <w:permStart w:id="13" w:edGrp="everyone"/>
      <w:r>
        <w:t>No comment.</w:t>
      </w:r>
    </w:p>
    <w:permEnd w:id="13"/>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2B18FC" w:rsidRDefault="002B18FC" w:rsidP="002B18FC">
      <w:pPr>
        <w:keepNext/>
      </w:pPr>
      <w:permStart w:id="14" w:edGrp="everyone"/>
      <w:r>
        <w:t>No comment.</w:t>
      </w:r>
    </w:p>
    <w:permEnd w:id="14"/>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2B18FC" w:rsidRDefault="002B18FC" w:rsidP="002B18FC">
      <w:pPr>
        <w:keepNext/>
      </w:pPr>
      <w:permStart w:id="15" w:edGrp="everyone"/>
      <w:r>
        <w:t>No comment.</w:t>
      </w:r>
    </w:p>
    <w:permEnd w:id="15"/>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2B18FC" w:rsidRDefault="002B18FC" w:rsidP="002B18FC">
      <w:pPr>
        <w:keepNext/>
      </w:pPr>
      <w:permStart w:id="16" w:edGrp="everyone"/>
      <w:r>
        <w:t>No comment.</w:t>
      </w:r>
    </w:p>
    <w:permEnd w:id="16"/>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2B18FC" w:rsidRDefault="002B18FC" w:rsidP="002B18FC">
      <w:pPr>
        <w:keepNext/>
      </w:pPr>
      <w:permStart w:id="17" w:edGrp="everyone"/>
      <w:r>
        <w:t>No comment.</w:t>
      </w:r>
    </w:p>
    <w:permEnd w:id="17"/>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2B18FC" w:rsidRDefault="002B18FC" w:rsidP="002B18FC">
      <w:pPr>
        <w:keepNext/>
      </w:pPr>
      <w:permStart w:id="18" w:edGrp="everyone"/>
      <w:r>
        <w:t>No comment.</w:t>
      </w:r>
    </w:p>
    <w:permEnd w:id="18"/>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2B18FC" w:rsidRDefault="002B18FC" w:rsidP="002B18FC">
      <w:pPr>
        <w:keepNext/>
      </w:pPr>
      <w:permStart w:id="19" w:edGrp="everyone"/>
      <w:r>
        <w:t>No comment.</w:t>
      </w:r>
    </w:p>
    <w:permEnd w:id="19"/>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2B18FC" w:rsidRDefault="002B18FC" w:rsidP="002B18FC">
      <w:pPr>
        <w:keepNext/>
      </w:pPr>
      <w:permStart w:id="20" w:edGrp="everyone"/>
      <w:r>
        <w:t>No comment.</w:t>
      </w:r>
    </w:p>
    <w:permEnd w:id="20"/>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2B18FC" w:rsidRDefault="002B18FC" w:rsidP="002B18FC">
      <w:pPr>
        <w:keepNext/>
      </w:pPr>
      <w:permStart w:id="21" w:edGrp="everyone"/>
      <w:r>
        <w:t>No comment.</w:t>
      </w:r>
    </w:p>
    <w:permEnd w:id="21"/>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22" w:edGrp="everyone"/>
      <w:r>
        <w:t>TYPE YOUR TEXT HERE</w:t>
      </w:r>
    </w:p>
    <w:permEnd w:id="22"/>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2B18FC" w:rsidRDefault="002B18FC" w:rsidP="002B18FC">
      <w:pPr>
        <w:keepNext/>
      </w:pPr>
      <w:permStart w:id="23" w:edGrp="everyone"/>
      <w:r>
        <w:t>No comment.</w:t>
      </w:r>
    </w:p>
    <w:permEnd w:id="23"/>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2B18FC" w:rsidRDefault="002B18FC" w:rsidP="002B18FC">
      <w:pPr>
        <w:keepNext/>
      </w:pPr>
      <w:permStart w:id="24" w:edGrp="everyone"/>
      <w:r>
        <w:t>No comment.</w:t>
      </w:r>
    </w:p>
    <w:permEnd w:id="24"/>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2B18FC" w:rsidRDefault="002B18FC" w:rsidP="002B18FC">
      <w:pPr>
        <w:keepNext/>
      </w:pPr>
      <w:permStart w:id="25" w:edGrp="everyone"/>
      <w:r>
        <w:t>No comment.</w:t>
      </w:r>
    </w:p>
    <w:permEnd w:id="25"/>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2B18FC" w:rsidRDefault="002B18FC" w:rsidP="002B18FC">
      <w:pPr>
        <w:keepNext/>
      </w:pPr>
      <w:permStart w:id="26" w:edGrp="everyone"/>
      <w:r>
        <w:t>No comment.</w:t>
      </w:r>
    </w:p>
    <w:permEnd w:id="26"/>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2B18FC" w:rsidRDefault="002B18FC" w:rsidP="002B18FC">
      <w:pPr>
        <w:keepNext/>
      </w:pPr>
      <w:permStart w:id="27" w:edGrp="everyone"/>
      <w:r>
        <w:t>No comment.</w:t>
      </w:r>
    </w:p>
    <w:permEnd w:id="27"/>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2B18FC" w:rsidRDefault="002B18FC" w:rsidP="002B18FC">
      <w:pPr>
        <w:keepNext/>
      </w:pPr>
      <w:permStart w:id="28" w:edGrp="everyone"/>
      <w:r>
        <w:t>No comment.</w:t>
      </w:r>
    </w:p>
    <w:permEnd w:id="28"/>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2B18FC" w:rsidRDefault="002B18FC" w:rsidP="002B18FC">
      <w:pPr>
        <w:keepNext/>
      </w:pPr>
      <w:permStart w:id="29" w:edGrp="everyone"/>
      <w:r>
        <w:t>No comment.</w:t>
      </w:r>
    </w:p>
    <w:permEnd w:id="29"/>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2B18FC" w:rsidRDefault="002B18FC" w:rsidP="002B18FC">
      <w:pPr>
        <w:keepNext/>
      </w:pPr>
      <w:permStart w:id="30" w:edGrp="everyone"/>
      <w:r>
        <w:t>No comment.</w:t>
      </w:r>
    </w:p>
    <w:permEnd w:id="30"/>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2B18FC" w:rsidRDefault="002B18FC" w:rsidP="002B18FC">
      <w:pPr>
        <w:keepNext/>
      </w:pPr>
      <w:permStart w:id="31" w:edGrp="everyone"/>
      <w:r>
        <w:t>No comment.</w:t>
      </w:r>
    </w:p>
    <w:permEnd w:id="31"/>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2B18FC" w:rsidRDefault="002B18FC" w:rsidP="002B18FC">
      <w:pPr>
        <w:keepNext/>
      </w:pPr>
      <w:permStart w:id="32" w:edGrp="everyone"/>
      <w:r>
        <w:t>No comment.</w:t>
      </w:r>
    </w:p>
    <w:permEnd w:id="32"/>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2B18FC" w:rsidRDefault="002B18FC" w:rsidP="002B18FC">
      <w:pPr>
        <w:keepNext/>
      </w:pPr>
      <w:permStart w:id="33" w:edGrp="everyone"/>
      <w:r>
        <w:t>No comment.</w:t>
      </w:r>
    </w:p>
    <w:permEnd w:id="33"/>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2B18FC" w:rsidRDefault="002B18FC" w:rsidP="002B18FC">
      <w:pPr>
        <w:keepNext/>
      </w:pPr>
      <w:permStart w:id="34" w:edGrp="everyone"/>
      <w:r>
        <w:t>No comment.</w:t>
      </w:r>
    </w:p>
    <w:permEnd w:id="34"/>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2B18FC" w:rsidRDefault="002B18FC" w:rsidP="002B18FC">
      <w:pPr>
        <w:keepNext/>
      </w:pPr>
      <w:permStart w:id="35" w:edGrp="everyone"/>
      <w:r>
        <w:t>No comment.</w:t>
      </w:r>
    </w:p>
    <w:permEnd w:id="35"/>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2B18FC" w:rsidRDefault="002B18FC" w:rsidP="002B18FC">
      <w:pPr>
        <w:keepNext/>
      </w:pPr>
      <w:permStart w:id="36" w:edGrp="everyone"/>
      <w:r>
        <w:t>No comment.</w:t>
      </w:r>
    </w:p>
    <w:permEnd w:id="36"/>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2B18FC" w:rsidRDefault="002B18FC" w:rsidP="002B18FC">
      <w:pPr>
        <w:keepNext/>
      </w:pPr>
      <w:permStart w:id="37" w:edGrp="everyone"/>
      <w:r>
        <w:t>No comment.</w:t>
      </w:r>
    </w:p>
    <w:permEnd w:id="37"/>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2B18FC" w:rsidRDefault="002B18FC" w:rsidP="002B18FC">
      <w:pPr>
        <w:keepNext/>
      </w:pPr>
      <w:permStart w:id="38" w:edGrp="everyone"/>
      <w:r>
        <w:t>No comment.</w:t>
      </w:r>
    </w:p>
    <w:permEnd w:id="38"/>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302D0C" w:rsidRDefault="00302D0C" w:rsidP="00302D0C">
      <w:pPr>
        <w:rPr>
          <w:b/>
          <w:bCs/>
          <w:lang w:val="en-US"/>
        </w:rPr>
      </w:pPr>
      <w:permStart w:id="39" w:edGrp="everyone"/>
      <w:r>
        <w:rPr>
          <w:b/>
          <w:bCs/>
          <w:lang w:val="en-US"/>
        </w:rPr>
        <w:t>General comments on the best execution regime</w:t>
      </w:r>
    </w:p>
    <w:p w:rsidR="00302D0C" w:rsidRDefault="00302D0C" w:rsidP="00302D0C">
      <w:pPr>
        <w:rPr>
          <w:b/>
          <w:bCs/>
          <w:lang w:val="en-US"/>
        </w:rPr>
      </w:pPr>
    </w:p>
    <w:p w:rsidR="00302D0C" w:rsidRDefault="00302D0C" w:rsidP="00302D0C">
      <w:pPr>
        <w:rPr>
          <w:lang w:val="en-US"/>
        </w:rPr>
      </w:pPr>
      <w:r>
        <w:rPr>
          <w:lang w:val="en-US"/>
        </w:rPr>
        <w:t xml:space="preserve">SOCIETE GENERALE </w:t>
      </w:r>
      <w:proofErr w:type="spellStart"/>
      <w:r>
        <w:rPr>
          <w:lang w:val="en-US"/>
        </w:rPr>
        <w:t>favours</w:t>
      </w:r>
      <w:proofErr w:type="spellEnd"/>
      <w:r>
        <w:rPr>
          <w:lang w:val="en-US"/>
        </w:rPr>
        <w:t xml:space="preserve"> the effort to enhance the application of investor protection and welcomes the need for establishing requirements to validate and monitor the adequate implementation of best execution. </w:t>
      </w:r>
    </w:p>
    <w:p w:rsidR="00302D0C" w:rsidRDefault="00302D0C" w:rsidP="00302D0C">
      <w:pPr>
        <w:rPr>
          <w:lang w:val="en-US"/>
        </w:rPr>
      </w:pPr>
    </w:p>
    <w:p w:rsidR="00302D0C" w:rsidRDefault="00302D0C" w:rsidP="00302D0C">
      <w:pPr>
        <w:rPr>
          <w:lang w:val="en-US"/>
        </w:rPr>
      </w:pPr>
      <w:r>
        <w:rPr>
          <w:lang w:val="en-US"/>
        </w:rPr>
        <w:t xml:space="preserve">However, we consider that draft RTS 6 and RTS 7 give a very prescriptive interpretation of how investment firms should comply with establishing whether best execution was provided on their behalf. These new requirements will trigger a data tsunami and numerous observers consider these data are not useful, not relevant and not meaningful. </w:t>
      </w:r>
    </w:p>
    <w:p w:rsidR="00302D0C" w:rsidRDefault="00302D0C" w:rsidP="00302D0C">
      <w:pPr>
        <w:rPr>
          <w:lang w:val="en-US"/>
        </w:rPr>
      </w:pPr>
    </w:p>
    <w:p w:rsidR="00302D0C" w:rsidRDefault="00302D0C" w:rsidP="00302D0C">
      <w:pPr>
        <w:rPr>
          <w:lang w:val="en-US"/>
        </w:rPr>
      </w:pPr>
      <w:r>
        <w:rPr>
          <w:lang w:val="en-US"/>
        </w:rPr>
        <w:t xml:space="preserve">First, SOCIETE GENERALE wants to underline again that the inclusion under the concept of execution venues, which is not defined in the level 1 text, of market-makers and liquidity providers (which are not defined as well), is problematic. The trades of the said entities generally occur on venues and therefore the relevant information will be published by the respective venues. </w:t>
      </w:r>
    </w:p>
    <w:p w:rsidR="00302D0C" w:rsidRDefault="00302D0C" w:rsidP="00302D0C">
      <w:pPr>
        <w:rPr>
          <w:lang w:val="en-US"/>
        </w:rPr>
      </w:pPr>
    </w:p>
    <w:p w:rsidR="00302D0C" w:rsidRDefault="00302D0C" w:rsidP="00302D0C">
      <w:pPr>
        <w:rPr>
          <w:lang w:val="en-US"/>
        </w:rPr>
      </w:pPr>
      <w:r>
        <w:rPr>
          <w:lang w:val="en-US"/>
        </w:rPr>
        <w:t xml:space="preserve">Moreover, requiring systematic </w:t>
      </w:r>
      <w:proofErr w:type="spellStart"/>
      <w:r>
        <w:rPr>
          <w:lang w:val="en-US"/>
        </w:rPr>
        <w:t>internalisers</w:t>
      </w:r>
      <w:proofErr w:type="spellEnd"/>
      <w:r>
        <w:rPr>
          <w:lang w:val="en-US"/>
        </w:rPr>
        <w:t xml:space="preserve"> (Sis) to provide the same amount of information as trading venues is disproportionate, considering the very different forms of execution models, SIs dealing on own account when executing clients’ orders. We consider that the distinction between bilateral (SIs) and multilateral venues should be taken into account.</w:t>
      </w:r>
    </w:p>
    <w:p w:rsidR="00302D0C" w:rsidRDefault="00302D0C" w:rsidP="00302D0C">
      <w:pPr>
        <w:rPr>
          <w:lang w:val="en-US"/>
        </w:rPr>
      </w:pPr>
    </w:p>
    <w:p w:rsidR="00302D0C" w:rsidRDefault="00302D0C" w:rsidP="00302D0C">
      <w:pPr>
        <w:rPr>
          <w:lang w:val="en-US"/>
        </w:rPr>
      </w:pPr>
      <w:r>
        <w:rPr>
          <w:lang w:val="en-US"/>
        </w:rPr>
        <w:t>We also consider that a SI’s identity should not be disclosed on reports. Exposing the name of the SI in reports is likely to unveil to third parties the risk that the particular SI has taken in a particular instrument and consequently adversely affects the ability of the SI to manage and unwind that risk. This seems to go against ESMA’s proposal in draft RTS 8, which does not require the identity of the SI to be published as part of the post-trade regime.</w:t>
      </w:r>
    </w:p>
    <w:p w:rsidR="00302D0C" w:rsidRDefault="00302D0C" w:rsidP="00302D0C">
      <w:pPr>
        <w:rPr>
          <w:lang w:val="en-US"/>
        </w:rPr>
      </w:pPr>
    </w:p>
    <w:p w:rsidR="00302D0C" w:rsidRDefault="00302D0C" w:rsidP="00302D0C">
      <w:pPr>
        <w:rPr>
          <w:lang w:val="en-US"/>
        </w:rPr>
      </w:pPr>
      <w:r>
        <w:rPr>
          <w:lang w:val="en-US"/>
        </w:rPr>
        <w:t xml:space="preserve">Generally speaking, we fear that the far too prescriptive interpretation of how investment firms should comply can be disproportionate in many instances. As a consequence, it is important that the provisions of the draft RTS 6 and 7 are lightened, keeping in mind that key transaction-level reporting will be provided publicly via the </w:t>
      </w:r>
      <w:proofErr w:type="spellStart"/>
      <w:r>
        <w:rPr>
          <w:lang w:val="en-US"/>
        </w:rPr>
        <w:t>MiFIR</w:t>
      </w:r>
      <w:proofErr w:type="spellEnd"/>
      <w:r>
        <w:rPr>
          <w:lang w:val="en-US"/>
        </w:rPr>
        <w:t xml:space="preserve"> post-trade regime and to regulators via the </w:t>
      </w:r>
      <w:proofErr w:type="spellStart"/>
      <w:r>
        <w:rPr>
          <w:lang w:val="en-US"/>
        </w:rPr>
        <w:t>MiFIR</w:t>
      </w:r>
      <w:proofErr w:type="spellEnd"/>
      <w:r>
        <w:rPr>
          <w:lang w:val="en-US"/>
        </w:rPr>
        <w:t xml:space="preserve"> transaction reporting regime.</w:t>
      </w:r>
    </w:p>
    <w:p w:rsidR="00302D0C" w:rsidRDefault="00302D0C" w:rsidP="00302D0C">
      <w:pPr>
        <w:rPr>
          <w:lang w:val="en-US"/>
        </w:rPr>
      </w:pPr>
    </w:p>
    <w:p w:rsidR="00302D0C" w:rsidRDefault="00302D0C" w:rsidP="00302D0C">
      <w:pPr>
        <w:rPr>
          <w:lang w:val="en-US"/>
        </w:rPr>
      </w:pPr>
      <w:r>
        <w:rPr>
          <w:b/>
          <w:bCs/>
          <w:lang w:val="en-US"/>
        </w:rPr>
        <w:lastRenderedPageBreak/>
        <w:t>On the specifics of this question</w:t>
      </w:r>
      <w:r>
        <w:rPr>
          <w:lang w:val="en-US"/>
        </w:rPr>
        <w:t>, SOCIETE GENERALE agrees with ESMA on having a diverse application of execution data between asset classes.</w:t>
      </w:r>
    </w:p>
    <w:permEnd w:id="39"/>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302D0C" w:rsidRDefault="00302D0C" w:rsidP="00EC2C93">
      <w:pPr>
        <w:keepNext/>
      </w:pPr>
      <w:permStart w:id="40" w:edGrp="everyone"/>
      <w:r>
        <w:t>No comment.</w:t>
      </w:r>
    </w:p>
    <w:permEnd w:id="40"/>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302D0C" w:rsidRDefault="00302D0C" w:rsidP="00302D0C">
      <w:pPr>
        <w:rPr>
          <w:lang w:val="en-US"/>
        </w:rPr>
      </w:pPr>
      <w:permStart w:id="41" w:edGrp="everyone"/>
      <w:r>
        <w:rPr>
          <w:lang w:val="en-US"/>
        </w:rPr>
        <w:t>No additional data should be considered. Indeed, SOCIETE GENERALE considers that the metrics required are already cumbersome, and can be very problematic to collect for some venues using an RFQ system.</w:t>
      </w:r>
    </w:p>
    <w:permEnd w:id="41"/>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302D0C" w:rsidRDefault="00302D0C" w:rsidP="00302D0C">
      <w:pPr>
        <w:rPr>
          <w:lang w:val="en-US"/>
        </w:rPr>
      </w:pPr>
      <w:permStart w:id="42" w:edGrp="everyone"/>
      <w:r>
        <w:rPr>
          <w:lang w:val="en-US"/>
        </w:rPr>
        <w:t xml:space="preserve">SOCIETE GENERALE wonders whether some of the metrics and data required by ESMA might be duplicative of other existing and proposed information systems such as post-trade disclosure under the </w:t>
      </w:r>
      <w:proofErr w:type="spellStart"/>
      <w:r>
        <w:rPr>
          <w:lang w:val="en-US"/>
        </w:rPr>
        <w:t>MiFID</w:t>
      </w:r>
      <w:proofErr w:type="spellEnd"/>
      <w:r>
        <w:rPr>
          <w:lang w:val="en-US"/>
        </w:rPr>
        <w:t xml:space="preserve"> transparency regime and transaction reporting. </w:t>
      </w:r>
    </w:p>
    <w:p w:rsidR="00302D0C" w:rsidRDefault="00302D0C" w:rsidP="00302D0C">
      <w:pPr>
        <w:rPr>
          <w:lang w:val="en-US"/>
        </w:rPr>
      </w:pPr>
    </w:p>
    <w:p w:rsidR="00302D0C" w:rsidRDefault="00302D0C" w:rsidP="00302D0C">
      <w:pPr>
        <w:rPr>
          <w:lang w:val="en-US"/>
        </w:rPr>
      </w:pPr>
      <w:r>
        <w:rPr>
          <w:lang w:val="en-US"/>
        </w:rPr>
        <w:t>SOCIETE GENERALE considers that a consistent approach should be taken between the various reporting systems in order to ensure the orderly and effective functioning of the markets for market participants.</w:t>
      </w:r>
    </w:p>
    <w:permEnd w:id="42"/>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302D0C" w:rsidRDefault="00302D0C" w:rsidP="00302D0C">
      <w:pPr>
        <w:rPr>
          <w:lang w:val="en-US"/>
        </w:rPr>
      </w:pPr>
      <w:permStart w:id="43" w:edGrp="everyone"/>
      <w:r>
        <w:rPr>
          <w:lang w:val="en-US"/>
        </w:rPr>
        <w:t>No. SOCIETE GENERALE considers that the aggregation level proposed on a daily basis is overly prescriptive.</w:t>
      </w:r>
    </w:p>
    <w:permEnd w:id="43"/>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302D0C" w:rsidRDefault="00302D0C" w:rsidP="00302D0C">
      <w:pPr>
        <w:rPr>
          <w:lang w:val="en-US"/>
        </w:rPr>
      </w:pPr>
      <w:permStart w:id="44" w:edGrp="everyone"/>
      <w:r>
        <w:rPr>
          <w:lang w:val="en-US"/>
        </w:rPr>
        <w:t>SOCIETE GENERALE agrees with the proposed approach but questions some of its practical details. For instance, the taxonomy presented in draft RTS 7; Article 4, is not identical to the one used for liquidity definitions. We consider that it would facilitate the work of investment firms to use identical classifications as much as possible.</w:t>
      </w:r>
    </w:p>
    <w:permEnd w:id="44"/>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&lt;ESMA_QUESTION_CP_MIFID_36&gt;</w:t>
      </w:r>
    </w:p>
    <w:p w:rsidR="00302D0C" w:rsidRDefault="00302D0C" w:rsidP="00302D0C">
      <w:pPr>
        <w:rPr>
          <w:lang w:val="en-US"/>
        </w:rPr>
      </w:pPr>
      <w:permStart w:id="45" w:edGrp="everyone"/>
      <w:r>
        <w:rPr>
          <w:lang w:val="en-US"/>
        </w:rPr>
        <w:t xml:space="preserve">No. SOCIETE GENERALE considers that the requirements to publish details set out in paragraph 35 seem to be going much further than level 1 of </w:t>
      </w:r>
      <w:proofErr w:type="spellStart"/>
      <w:r>
        <w:rPr>
          <w:lang w:val="en-US"/>
        </w:rPr>
        <w:t>MiFID</w:t>
      </w:r>
      <w:proofErr w:type="spellEnd"/>
      <w:r>
        <w:rPr>
          <w:lang w:val="en-US"/>
        </w:rPr>
        <w:t>.</w:t>
      </w:r>
    </w:p>
    <w:p w:rsidR="00302D0C" w:rsidRDefault="00302D0C" w:rsidP="00302D0C">
      <w:pPr>
        <w:rPr>
          <w:lang w:val="en-US"/>
        </w:rPr>
      </w:pPr>
    </w:p>
    <w:p w:rsidR="00302D0C" w:rsidRDefault="00302D0C" w:rsidP="00302D0C">
      <w:pPr>
        <w:rPr>
          <w:lang w:val="en-US"/>
        </w:rPr>
      </w:pPr>
      <w:r>
        <w:rPr>
          <w:lang w:val="en-US"/>
        </w:rPr>
        <w:t>Moreover, not all firms distinguish between different categories of clients and will therefore not make such distinction in their reporting.</w:t>
      </w:r>
    </w:p>
    <w:permEnd w:id="45"/>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5" w:name="_Toc406692477"/>
      <w:bookmarkStart w:id="6" w:name="_Toc406692320"/>
      <w:bookmarkStart w:id="7" w:name="_Toc406691710"/>
      <w:r>
        <w:lastRenderedPageBreak/>
        <w:t>Transparency</w:t>
      </w:r>
      <w:bookmarkEnd w:id="5"/>
      <w:bookmarkEnd w:id="6"/>
      <w:bookmarkEnd w:id="7"/>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2D6345" w:rsidRPr="00BD6C6E" w:rsidRDefault="002D6345" w:rsidP="002D6345">
      <w:pPr>
        <w:spacing w:line="240" w:lineRule="atLeast"/>
        <w:rPr>
          <w:szCs w:val="22"/>
          <w:lang w:val="en-US"/>
        </w:rPr>
      </w:pPr>
      <w:permStart w:id="46" w:edGrp="everyone"/>
      <w:r w:rsidRPr="00BD6C6E">
        <w:rPr>
          <w:szCs w:val="22"/>
          <w:lang w:val="en-US"/>
        </w:rPr>
        <w:t>In accordance with our answer to the Discussion Paper 2014/548, we welcome the addition to the current table for equities of a definition of request for quote systems.</w:t>
      </w:r>
    </w:p>
    <w:p w:rsidR="002D6345" w:rsidRPr="00BD6C6E" w:rsidRDefault="002D6345" w:rsidP="002D6345">
      <w:pPr>
        <w:spacing w:line="240" w:lineRule="atLeast"/>
        <w:rPr>
          <w:szCs w:val="22"/>
          <w:lang w:val="en-US"/>
        </w:rPr>
      </w:pPr>
    </w:p>
    <w:p w:rsidR="002D6345" w:rsidRPr="00BD6C6E" w:rsidRDefault="002D6345" w:rsidP="002D6345">
      <w:pPr>
        <w:spacing w:line="240" w:lineRule="atLeast"/>
        <w:rPr>
          <w:szCs w:val="22"/>
          <w:lang w:val="en-US"/>
        </w:rPr>
      </w:pPr>
      <w:r w:rsidRPr="00BD6C6E">
        <w:rPr>
          <w:szCs w:val="22"/>
          <w:lang w:val="en-US"/>
        </w:rPr>
        <w:t>Still, we have several remarks with regards the proposed table, and specifically the “summary of information to be made public”:</w:t>
      </w:r>
    </w:p>
    <w:p w:rsidR="002D6345" w:rsidRPr="00AD1425" w:rsidRDefault="002D6345" w:rsidP="00E077AE">
      <w:pPr>
        <w:numPr>
          <w:ilvl w:val="0"/>
          <w:numId w:val="38"/>
        </w:numPr>
        <w:spacing w:before="120" w:line="240" w:lineRule="atLeast"/>
        <w:rPr>
          <w:szCs w:val="22"/>
          <w:lang w:val="en-US"/>
        </w:rPr>
      </w:pPr>
      <w:proofErr w:type="gramStart"/>
      <w:r>
        <w:rPr>
          <w:szCs w:val="22"/>
          <w:lang w:val="en-US"/>
        </w:rPr>
        <w:t>for</w:t>
      </w:r>
      <w:proofErr w:type="gramEnd"/>
      <w:r>
        <w:rPr>
          <w:szCs w:val="22"/>
          <w:lang w:val="en-US"/>
        </w:rPr>
        <w:t xml:space="preserve"> Request for quote trading systems, </w:t>
      </w:r>
      <w:r w:rsidRPr="00BD6C6E">
        <w:rPr>
          <w:szCs w:val="22"/>
          <w:lang w:val="en-US"/>
        </w:rPr>
        <w:t xml:space="preserve">we would like to re-iterate </w:t>
      </w:r>
      <w:r>
        <w:rPr>
          <w:szCs w:val="22"/>
          <w:lang w:val="en-US"/>
        </w:rPr>
        <w:t xml:space="preserve">our skepticism regarding the benefits that can be expected from </w:t>
      </w:r>
      <w:r w:rsidRPr="00BD6C6E">
        <w:rPr>
          <w:szCs w:val="22"/>
          <w:lang w:val="en-US"/>
        </w:rPr>
        <w:t>applying public pre-trade transparency to quotes that can be executed exclusively by the requesting participant</w:t>
      </w:r>
      <w:r>
        <w:rPr>
          <w:szCs w:val="22"/>
          <w:lang w:val="en-US"/>
        </w:rPr>
        <w:t xml:space="preserve">. We are of the opinion that such de-correlation between access to pre-trade transparency and access to the underlying liquidity </w:t>
      </w:r>
      <w:r w:rsidRPr="00BD6C6E">
        <w:rPr>
          <w:szCs w:val="22"/>
          <w:lang w:val="en-US"/>
        </w:rPr>
        <w:t xml:space="preserve">can only have negative effects, </w:t>
      </w:r>
      <w:r>
        <w:rPr>
          <w:szCs w:val="22"/>
          <w:lang w:val="en-US"/>
        </w:rPr>
        <w:t xml:space="preserve">and provides </w:t>
      </w:r>
      <w:r w:rsidRPr="00BD6C6E">
        <w:rPr>
          <w:szCs w:val="22"/>
          <w:lang w:val="en-US"/>
        </w:rPr>
        <w:t xml:space="preserve">benefits </w:t>
      </w:r>
      <w:r>
        <w:rPr>
          <w:szCs w:val="22"/>
          <w:lang w:val="en-US"/>
        </w:rPr>
        <w:t xml:space="preserve">only </w:t>
      </w:r>
      <w:r w:rsidRPr="00AD1425">
        <w:rPr>
          <w:szCs w:val="22"/>
          <w:lang w:val="en-US"/>
        </w:rPr>
        <w:t xml:space="preserve">to </w:t>
      </w:r>
      <w:proofErr w:type="spellStart"/>
      <w:r w:rsidRPr="00AD1425">
        <w:rPr>
          <w:szCs w:val="22"/>
          <w:lang w:val="en-US"/>
        </w:rPr>
        <w:t>arbitragists</w:t>
      </w:r>
      <w:proofErr w:type="spellEnd"/>
      <w:r w:rsidRPr="00AD1425">
        <w:rPr>
          <w:szCs w:val="22"/>
          <w:lang w:val="en-US"/>
        </w:rPr>
        <w:t>, not to investors,</w:t>
      </w:r>
    </w:p>
    <w:p w:rsidR="002D6345" w:rsidRPr="00377ABA" w:rsidRDefault="002D6345" w:rsidP="00E077AE">
      <w:pPr>
        <w:numPr>
          <w:ilvl w:val="0"/>
          <w:numId w:val="38"/>
        </w:numPr>
        <w:spacing w:before="120" w:line="240" w:lineRule="atLeast"/>
        <w:rPr>
          <w:szCs w:val="22"/>
          <w:lang w:val="en-US"/>
        </w:rPr>
      </w:pPr>
      <w:proofErr w:type="gramStart"/>
      <w:r w:rsidRPr="00377ABA">
        <w:rPr>
          <w:szCs w:val="22"/>
          <w:lang w:val="en-US"/>
        </w:rPr>
        <w:t>page</w:t>
      </w:r>
      <w:proofErr w:type="gramEnd"/>
      <w:r w:rsidRPr="00377ABA">
        <w:rPr>
          <w:szCs w:val="22"/>
          <w:lang w:val="en-US"/>
        </w:rPr>
        <w:t xml:space="preserve"> 49 of the Consultation Paper, it can be read that “ESMA disagrees that all trading venues that import prices from another venue shall operate with the reference price waiver”. We believe that this ability to use imported prices – that, in our understanding</w:t>
      </w:r>
      <w:r>
        <w:rPr>
          <w:szCs w:val="22"/>
          <w:lang w:val="en-US"/>
        </w:rPr>
        <w:t>,</w:t>
      </w:r>
      <w:r w:rsidRPr="00377ABA">
        <w:rPr>
          <w:szCs w:val="22"/>
          <w:lang w:val="en-US"/>
        </w:rPr>
        <w:t xml:space="preserve"> are used as an alternative to a</w:t>
      </w:r>
      <w:r>
        <w:rPr>
          <w:szCs w:val="22"/>
          <w:lang w:val="en-US"/>
        </w:rPr>
        <w:t>n</w:t>
      </w:r>
      <w:r w:rsidRPr="00377ABA">
        <w:rPr>
          <w:szCs w:val="22"/>
          <w:lang w:val="en-US"/>
        </w:rPr>
        <w:t xml:space="preserve"> autonomous price formation process on the considered platform –, without having to </w:t>
      </w:r>
      <w:r>
        <w:rPr>
          <w:szCs w:val="22"/>
          <w:lang w:val="en-US"/>
        </w:rPr>
        <w:t xml:space="preserve">respect the conditions set under the Reference Price Waiver should be </w:t>
      </w:r>
      <w:r w:rsidRPr="00377ABA">
        <w:rPr>
          <w:szCs w:val="22"/>
          <w:lang w:val="en-US"/>
        </w:rPr>
        <w:t>clarifi</w:t>
      </w:r>
      <w:r>
        <w:rPr>
          <w:szCs w:val="22"/>
          <w:lang w:val="en-US"/>
        </w:rPr>
        <w:t xml:space="preserve">ed, for instance through a Q&amp;A. In the absence of such clarification, the aforementioned </w:t>
      </w:r>
      <w:r w:rsidRPr="00377ABA">
        <w:rPr>
          <w:szCs w:val="22"/>
          <w:lang w:val="en-US"/>
        </w:rPr>
        <w:t xml:space="preserve">statement </w:t>
      </w:r>
      <w:r>
        <w:rPr>
          <w:szCs w:val="22"/>
          <w:lang w:val="en-US"/>
        </w:rPr>
        <w:t>could be</w:t>
      </w:r>
      <w:r w:rsidRPr="00377ABA">
        <w:rPr>
          <w:szCs w:val="22"/>
          <w:lang w:val="en-US"/>
        </w:rPr>
        <w:t xml:space="preserve"> interpreted in a way that would impair the equal treatment of trading venues in the context of </w:t>
      </w:r>
      <w:proofErr w:type="spellStart"/>
      <w:r w:rsidRPr="00377ABA">
        <w:rPr>
          <w:szCs w:val="22"/>
          <w:lang w:val="en-US"/>
        </w:rPr>
        <w:t>MiFID</w:t>
      </w:r>
      <w:proofErr w:type="spellEnd"/>
      <w:r w:rsidRPr="00377ABA">
        <w:rPr>
          <w:szCs w:val="22"/>
          <w:lang w:val="en-US"/>
        </w:rPr>
        <w:t xml:space="preserve"> II / </w:t>
      </w:r>
      <w:proofErr w:type="spellStart"/>
      <w:r w:rsidRPr="00377ABA">
        <w:rPr>
          <w:szCs w:val="22"/>
          <w:lang w:val="en-US"/>
        </w:rPr>
        <w:t>MiFIR</w:t>
      </w:r>
      <w:proofErr w:type="spellEnd"/>
      <w:r w:rsidRPr="00377ABA">
        <w:rPr>
          <w:szCs w:val="22"/>
          <w:lang w:val="en-US"/>
        </w:rPr>
        <w:t>,</w:t>
      </w:r>
    </w:p>
    <w:p w:rsidR="002D6345" w:rsidRPr="00BD6C6E" w:rsidRDefault="002D6345" w:rsidP="00E077AE">
      <w:pPr>
        <w:numPr>
          <w:ilvl w:val="0"/>
          <w:numId w:val="38"/>
        </w:numPr>
        <w:spacing w:before="120" w:line="240" w:lineRule="atLeast"/>
        <w:rPr>
          <w:szCs w:val="22"/>
          <w:lang w:val="en-US"/>
        </w:rPr>
      </w:pPr>
      <w:r w:rsidRPr="00BD6C6E">
        <w:rPr>
          <w:szCs w:val="22"/>
          <w:lang w:val="en-US"/>
        </w:rPr>
        <w:t>with regards “trading systems not covered by first 4 rows”, we note that, although other platforms are required to make public the price and volume of orders / quotes, these systems are only required to make the prices public, while it seems no obligation exists on volumes,</w:t>
      </w:r>
    </w:p>
    <w:p w:rsidR="002D6345" w:rsidRPr="00BD6C6E" w:rsidRDefault="002D6345" w:rsidP="00E077AE">
      <w:pPr>
        <w:numPr>
          <w:ilvl w:val="0"/>
          <w:numId w:val="38"/>
        </w:numPr>
        <w:spacing w:before="120" w:line="240" w:lineRule="atLeast"/>
        <w:rPr>
          <w:szCs w:val="22"/>
          <w:lang w:val="en-US"/>
        </w:rPr>
      </w:pPr>
      <w:proofErr w:type="gramStart"/>
      <w:r>
        <w:rPr>
          <w:szCs w:val="22"/>
          <w:lang w:val="en-US"/>
        </w:rPr>
        <w:t>finally</w:t>
      </w:r>
      <w:proofErr w:type="gramEnd"/>
      <w:r w:rsidRPr="00BD6C6E">
        <w:rPr>
          <w:szCs w:val="22"/>
          <w:lang w:val="en-US"/>
        </w:rPr>
        <w:t>, we believe there is a material mistake in the description of “trading syste</w:t>
      </w:r>
      <w:r>
        <w:rPr>
          <w:szCs w:val="22"/>
          <w:lang w:val="en-US"/>
        </w:rPr>
        <w:t xml:space="preserve">ms not covered by first 4 rows”. In the draft RTS proposed in Annex B to the Consultation Paper, hybrid systems are defined as follows: </w:t>
      </w:r>
      <w:r w:rsidRPr="00BD6C6E">
        <w:rPr>
          <w:szCs w:val="22"/>
          <w:lang w:val="en-US"/>
        </w:rPr>
        <w:t xml:space="preserve">“A hybrid system falling into two or more of the first four rows or a system where the price determination process is of a different nature than that applicable to the types of system covered by first </w:t>
      </w:r>
      <w:r w:rsidRPr="00BD6C6E">
        <w:rPr>
          <w:szCs w:val="22"/>
          <w:u w:val="single"/>
          <w:lang w:val="en-US"/>
        </w:rPr>
        <w:t>three</w:t>
      </w:r>
      <w:r>
        <w:rPr>
          <w:szCs w:val="22"/>
          <w:lang w:val="en-US"/>
        </w:rPr>
        <w:t xml:space="preserve"> rows</w:t>
      </w:r>
      <w:r w:rsidRPr="00BD6C6E">
        <w:rPr>
          <w:szCs w:val="22"/>
          <w:lang w:val="en-US"/>
        </w:rPr>
        <w:t>”</w:t>
      </w:r>
      <w:r>
        <w:rPr>
          <w:szCs w:val="22"/>
          <w:lang w:val="en-US"/>
        </w:rPr>
        <w:t xml:space="preserve">. We believe that the aim was to have the following wording: </w:t>
      </w:r>
      <w:r w:rsidRPr="00BD6C6E">
        <w:rPr>
          <w:szCs w:val="22"/>
          <w:lang w:val="en-US"/>
        </w:rPr>
        <w:t xml:space="preserve">“A hybrid system falling into two or more of the first four rows or a system where the price determination process is of a different nature than that applicable to the types of system covered by first </w:t>
      </w:r>
      <w:r w:rsidRPr="00BD6C6E">
        <w:rPr>
          <w:szCs w:val="22"/>
          <w:u w:val="single"/>
          <w:lang w:val="en-US"/>
        </w:rPr>
        <w:t>four</w:t>
      </w:r>
      <w:r>
        <w:rPr>
          <w:szCs w:val="22"/>
          <w:lang w:val="en-US"/>
        </w:rPr>
        <w:t xml:space="preserve"> rows</w:t>
      </w:r>
      <w:r w:rsidRPr="00BD6C6E">
        <w:rPr>
          <w:szCs w:val="22"/>
          <w:lang w:val="en-US"/>
        </w:rPr>
        <w:t>”.</w:t>
      </w:r>
    </w:p>
    <w:permEnd w:id="46"/>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2D6345" w:rsidRPr="008F626D" w:rsidRDefault="002D6345" w:rsidP="002D6345">
      <w:pPr>
        <w:spacing w:line="240" w:lineRule="atLeast"/>
        <w:rPr>
          <w:rFonts w:cstheme="minorHAnsi"/>
          <w:bCs/>
          <w:szCs w:val="22"/>
          <w:lang w:val="en-US"/>
        </w:rPr>
      </w:pPr>
      <w:permStart w:id="47" w:edGrp="everyone"/>
      <w:r w:rsidRPr="008F626D">
        <w:rPr>
          <w:rFonts w:cstheme="minorHAnsi"/>
          <w:szCs w:val="22"/>
          <w:lang w:val="en-US"/>
        </w:rPr>
        <w:t>We would like to point out that determining “</w:t>
      </w:r>
      <w:r w:rsidRPr="008F626D">
        <w:rPr>
          <w:rFonts w:cstheme="minorHAnsi"/>
          <w:bCs/>
          <w:szCs w:val="22"/>
          <w:lang w:val="en-US"/>
        </w:rPr>
        <w:t xml:space="preserve">the most relevant market in terms of liquidity as the trading venue with the highest turnover in the relevant financial instrument” could in </w:t>
      </w:r>
      <w:r w:rsidRPr="008F626D">
        <w:rPr>
          <w:rFonts w:cstheme="minorHAnsi"/>
          <w:bCs/>
          <w:szCs w:val="22"/>
          <w:lang w:val="en-US"/>
        </w:rPr>
        <w:lastRenderedPageBreak/>
        <w:t>theory lead to define an RFQ platform as “the most relevant market in terms of liquidity” for some instruments.</w:t>
      </w:r>
    </w:p>
    <w:p w:rsidR="002D6345" w:rsidRPr="008F626D" w:rsidRDefault="002D6345" w:rsidP="002D6345">
      <w:pPr>
        <w:spacing w:line="240" w:lineRule="atLeast"/>
        <w:rPr>
          <w:rFonts w:cstheme="minorHAnsi"/>
          <w:bCs/>
          <w:szCs w:val="22"/>
          <w:lang w:val="en-US"/>
        </w:rPr>
      </w:pPr>
    </w:p>
    <w:p w:rsidR="002D6345" w:rsidRPr="008F626D" w:rsidRDefault="002D6345" w:rsidP="002D6345">
      <w:pPr>
        <w:spacing w:line="240" w:lineRule="atLeast"/>
        <w:rPr>
          <w:rFonts w:cstheme="minorHAnsi"/>
          <w:szCs w:val="22"/>
          <w:lang w:val="en-US"/>
        </w:rPr>
      </w:pPr>
      <w:r w:rsidRPr="008F626D">
        <w:rPr>
          <w:rFonts w:cstheme="minorHAnsi"/>
          <w:szCs w:val="22"/>
          <w:lang w:val="en-US"/>
        </w:rPr>
        <w:t>This would have serious unintended consequences: it would mean that trading methodologies using an imported price would be required to derive the price from a platform where the price formation process is, by construction, discontinuous, while continuous prices may be available elsewhere.</w:t>
      </w:r>
    </w:p>
    <w:p w:rsidR="002D6345" w:rsidRPr="008F626D" w:rsidRDefault="002D6345" w:rsidP="002D6345">
      <w:pPr>
        <w:spacing w:line="240" w:lineRule="atLeast"/>
        <w:rPr>
          <w:rFonts w:cstheme="minorHAnsi"/>
          <w:szCs w:val="22"/>
          <w:lang w:val="en-US"/>
        </w:rPr>
      </w:pPr>
    </w:p>
    <w:p w:rsidR="002D6345" w:rsidRPr="008F626D" w:rsidRDefault="002D6345" w:rsidP="002D6345">
      <w:pPr>
        <w:spacing w:line="240" w:lineRule="atLeast"/>
        <w:rPr>
          <w:rFonts w:cstheme="minorHAnsi"/>
          <w:bCs/>
          <w:szCs w:val="22"/>
          <w:lang w:val="en-US"/>
        </w:rPr>
      </w:pPr>
      <w:r w:rsidRPr="008F626D">
        <w:rPr>
          <w:rFonts w:cstheme="minorHAnsi"/>
          <w:szCs w:val="22"/>
          <w:lang w:val="en-US"/>
        </w:rPr>
        <w:t>We hence believe that, for any given instrument, “</w:t>
      </w:r>
      <w:r w:rsidRPr="008F626D">
        <w:rPr>
          <w:rFonts w:cstheme="minorHAnsi"/>
          <w:bCs/>
          <w:szCs w:val="22"/>
          <w:lang w:val="en-US"/>
        </w:rPr>
        <w:t xml:space="preserve">the most relevant market in terms of liquidity” should be chosen amongst the platforms with a continuous price formation </w:t>
      </w:r>
      <w:proofErr w:type="gramStart"/>
      <w:r w:rsidRPr="008F626D">
        <w:rPr>
          <w:rFonts w:cstheme="minorHAnsi"/>
          <w:bCs/>
          <w:szCs w:val="22"/>
          <w:lang w:val="en-US"/>
        </w:rPr>
        <w:t>process,</w:t>
      </w:r>
      <w:proofErr w:type="gramEnd"/>
      <w:r w:rsidRPr="008F626D">
        <w:rPr>
          <w:rFonts w:cstheme="minorHAnsi"/>
          <w:bCs/>
          <w:szCs w:val="22"/>
          <w:lang w:val="en-US"/>
        </w:rPr>
        <w:t xml:space="preserve"> other platforms being considered only if no platform with a continuous price formation process reach a minimum liquidity share (say 10%).</w:t>
      </w:r>
    </w:p>
    <w:p w:rsidR="002D6345" w:rsidRPr="008F626D" w:rsidRDefault="002D6345" w:rsidP="002D6345">
      <w:pPr>
        <w:spacing w:line="240" w:lineRule="atLeast"/>
        <w:rPr>
          <w:rFonts w:cstheme="minorHAnsi"/>
          <w:bCs/>
          <w:szCs w:val="22"/>
          <w:lang w:val="en-US"/>
        </w:rPr>
      </w:pPr>
    </w:p>
    <w:p w:rsidR="002D6345" w:rsidRPr="008F626D" w:rsidRDefault="002D6345" w:rsidP="002D6345">
      <w:pPr>
        <w:spacing w:line="240" w:lineRule="atLeast"/>
        <w:rPr>
          <w:rFonts w:cstheme="minorHAnsi"/>
          <w:bCs/>
          <w:szCs w:val="22"/>
          <w:lang w:val="en-US"/>
        </w:rPr>
      </w:pPr>
      <w:r w:rsidRPr="008F626D">
        <w:rPr>
          <w:rFonts w:cstheme="minorHAnsi"/>
          <w:bCs/>
          <w:szCs w:val="22"/>
          <w:lang w:val="en-US"/>
        </w:rPr>
        <w:t>With this in view, we propose to change article 4.1 of RTS 8 from:</w:t>
      </w:r>
    </w:p>
    <w:p w:rsidR="002D6345" w:rsidRPr="008F626D" w:rsidRDefault="002D6345" w:rsidP="002D6345">
      <w:pPr>
        <w:pStyle w:val="Default"/>
        <w:spacing w:line="240" w:lineRule="atLeast"/>
        <w:rPr>
          <w:rFonts w:asciiTheme="minorHAnsi" w:hAnsiTheme="minorHAnsi" w:cstheme="minorHAnsi"/>
          <w:sz w:val="22"/>
          <w:szCs w:val="22"/>
        </w:rPr>
      </w:pPr>
    </w:p>
    <w:p w:rsidR="002D6345" w:rsidRPr="008F626D" w:rsidRDefault="002D6345" w:rsidP="002D6345">
      <w:pPr>
        <w:pStyle w:val="Default"/>
        <w:spacing w:line="240" w:lineRule="atLeast"/>
        <w:ind w:left="720"/>
        <w:jc w:val="both"/>
        <w:rPr>
          <w:rFonts w:asciiTheme="minorHAnsi" w:hAnsiTheme="minorHAnsi" w:cstheme="minorHAnsi"/>
          <w:color w:val="auto"/>
          <w:sz w:val="22"/>
          <w:szCs w:val="22"/>
        </w:rPr>
      </w:pPr>
      <w:r w:rsidRPr="008F626D">
        <w:rPr>
          <w:rFonts w:asciiTheme="minorHAnsi" w:hAnsiTheme="minorHAnsi" w:cstheme="minorHAnsi"/>
          <w:sz w:val="22"/>
          <w:szCs w:val="22"/>
        </w:rPr>
        <w:t xml:space="preserve">For the purposes of Article 4(1)(a) of Regulation (EU) No 600/2014, the most relevant market in terms of liquidity for a share, depositary receipt, ETF, certificate or other similar </w:t>
      </w:r>
      <w:r w:rsidRPr="008F626D">
        <w:rPr>
          <w:rFonts w:asciiTheme="minorHAnsi" w:hAnsiTheme="minorHAnsi" w:cstheme="minorHAnsi"/>
          <w:color w:val="auto"/>
          <w:sz w:val="22"/>
          <w:szCs w:val="22"/>
        </w:rPr>
        <w:t xml:space="preserve">financial instrument is the trading venue with the highest turnover within the Union for that share, depositary receipt, ETF, certificate or other similar financial instrument. </w:t>
      </w:r>
    </w:p>
    <w:p w:rsidR="002D6345" w:rsidRPr="008F626D" w:rsidRDefault="002D6345" w:rsidP="002D6345">
      <w:pPr>
        <w:pStyle w:val="Default"/>
        <w:spacing w:line="240" w:lineRule="atLeast"/>
        <w:jc w:val="both"/>
        <w:rPr>
          <w:rFonts w:asciiTheme="minorHAnsi" w:hAnsiTheme="minorHAnsi" w:cstheme="minorHAnsi"/>
          <w:color w:val="auto"/>
          <w:sz w:val="22"/>
          <w:szCs w:val="22"/>
        </w:rPr>
      </w:pPr>
    </w:p>
    <w:p w:rsidR="002D6345" w:rsidRPr="008F626D" w:rsidRDefault="002D6345" w:rsidP="002D6345">
      <w:pPr>
        <w:pStyle w:val="Default"/>
        <w:spacing w:line="240" w:lineRule="atLeast"/>
        <w:jc w:val="both"/>
        <w:rPr>
          <w:rFonts w:asciiTheme="minorHAnsi" w:hAnsiTheme="minorHAnsi" w:cstheme="minorHAnsi"/>
          <w:color w:val="auto"/>
          <w:sz w:val="22"/>
          <w:szCs w:val="22"/>
        </w:rPr>
      </w:pPr>
      <w:r w:rsidRPr="008F626D">
        <w:rPr>
          <w:rFonts w:asciiTheme="minorHAnsi" w:hAnsiTheme="minorHAnsi" w:cstheme="minorHAnsi"/>
          <w:color w:val="auto"/>
          <w:sz w:val="22"/>
          <w:szCs w:val="22"/>
        </w:rPr>
        <w:t>To:</w:t>
      </w:r>
    </w:p>
    <w:p w:rsidR="002D6345" w:rsidRPr="008F626D" w:rsidRDefault="002D6345" w:rsidP="002D6345">
      <w:pPr>
        <w:pStyle w:val="Default"/>
        <w:spacing w:line="240" w:lineRule="atLeast"/>
        <w:rPr>
          <w:rFonts w:asciiTheme="minorHAnsi" w:hAnsiTheme="minorHAnsi" w:cstheme="minorHAnsi"/>
          <w:sz w:val="22"/>
          <w:szCs w:val="22"/>
        </w:rPr>
      </w:pPr>
    </w:p>
    <w:p w:rsidR="002D6345" w:rsidRPr="00BD6C6E" w:rsidRDefault="002D6345" w:rsidP="002D6345">
      <w:pPr>
        <w:pStyle w:val="Default"/>
        <w:spacing w:line="240" w:lineRule="atLeast"/>
        <w:ind w:left="720"/>
        <w:jc w:val="both"/>
        <w:rPr>
          <w:rFonts w:ascii="Times New Roman" w:hAnsi="Times New Roman" w:cs="Times New Roman"/>
          <w:color w:val="auto"/>
          <w:sz w:val="22"/>
          <w:szCs w:val="22"/>
        </w:rPr>
      </w:pPr>
      <w:r w:rsidRPr="008F626D">
        <w:rPr>
          <w:rFonts w:asciiTheme="minorHAnsi" w:hAnsiTheme="minorHAnsi" w:cstheme="minorHAnsi"/>
          <w:sz w:val="22"/>
          <w:szCs w:val="22"/>
        </w:rPr>
        <w:t xml:space="preserve">For the purposes of Article 4(1)(a) of Regulation (EU) No 600/2014, the most relevant market in terms of liquidity for a share, depositary receipt, ETF, certificate or other similar </w:t>
      </w:r>
      <w:r w:rsidRPr="008F626D">
        <w:rPr>
          <w:rFonts w:asciiTheme="minorHAnsi" w:hAnsiTheme="minorHAnsi" w:cstheme="minorHAnsi"/>
          <w:color w:val="auto"/>
          <w:sz w:val="22"/>
          <w:szCs w:val="22"/>
        </w:rPr>
        <w:t>financial instrument is the trading venue operating a continuous price formation process with the highest turnover within the Union for that share, depositary receipt, ETF, certificate or other similar financial instrument, provided this trading venue, through that continuous price formation process, represent at least 10% of turnover within the Union for the instrument</w:t>
      </w:r>
      <w:r w:rsidRPr="00BD6C6E">
        <w:rPr>
          <w:rFonts w:ascii="Times New Roman" w:hAnsi="Times New Roman" w:cs="Times New Roman"/>
          <w:color w:val="auto"/>
          <w:sz w:val="22"/>
          <w:szCs w:val="22"/>
        </w:rPr>
        <w:t xml:space="preserve">. </w:t>
      </w:r>
    </w:p>
    <w:permEnd w:id="47"/>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2D6345" w:rsidRPr="001E0080" w:rsidRDefault="002D6345" w:rsidP="002D6345">
      <w:pPr>
        <w:pStyle w:val="Default"/>
        <w:spacing w:line="240" w:lineRule="atLeast"/>
        <w:jc w:val="both"/>
        <w:rPr>
          <w:rFonts w:asciiTheme="minorHAnsi" w:hAnsiTheme="minorHAnsi" w:cstheme="minorHAnsi"/>
          <w:bCs/>
          <w:sz w:val="22"/>
          <w:szCs w:val="22"/>
        </w:rPr>
      </w:pPr>
      <w:permStart w:id="48" w:edGrp="everyone"/>
      <w:r w:rsidRPr="00BD6C6E">
        <w:rPr>
          <w:rFonts w:ascii="Times New Roman" w:hAnsi="Times New Roman" w:cs="Times New Roman"/>
          <w:sz w:val="22"/>
          <w:szCs w:val="22"/>
        </w:rPr>
        <w:t>W</w:t>
      </w:r>
      <w:r w:rsidRPr="001E0080">
        <w:rPr>
          <w:rFonts w:asciiTheme="minorHAnsi" w:hAnsiTheme="minorHAnsi" w:cstheme="minorHAnsi"/>
          <w:sz w:val="22"/>
          <w:szCs w:val="22"/>
        </w:rPr>
        <w:t>e have several concerns with regards the proposed list of “</w:t>
      </w:r>
      <w:r w:rsidRPr="001E0080">
        <w:rPr>
          <w:rFonts w:asciiTheme="minorHAnsi" w:hAnsiTheme="minorHAnsi" w:cstheme="minorHAnsi"/>
          <w:bCs/>
          <w:sz w:val="22"/>
          <w:szCs w:val="22"/>
        </w:rPr>
        <w:t>negotiated transactions not contributing to the price formation process”:</w:t>
      </w:r>
    </w:p>
    <w:p w:rsidR="002D6345" w:rsidRPr="001E0080" w:rsidRDefault="002D6345" w:rsidP="00E077AE">
      <w:pPr>
        <w:pStyle w:val="Default"/>
        <w:numPr>
          <w:ilvl w:val="0"/>
          <w:numId w:val="40"/>
        </w:numPr>
        <w:spacing w:before="120" w:line="240" w:lineRule="atLeast"/>
        <w:jc w:val="both"/>
        <w:rPr>
          <w:rFonts w:asciiTheme="minorHAnsi" w:hAnsiTheme="minorHAnsi" w:cstheme="minorHAnsi"/>
          <w:sz w:val="22"/>
          <w:szCs w:val="22"/>
        </w:rPr>
      </w:pPr>
      <w:proofErr w:type="gramStart"/>
      <w:r w:rsidRPr="001E0080">
        <w:rPr>
          <w:rFonts w:asciiTheme="minorHAnsi" w:hAnsiTheme="minorHAnsi" w:cstheme="minorHAnsi"/>
          <w:sz w:val="22"/>
          <w:szCs w:val="22"/>
        </w:rPr>
        <w:t>we</w:t>
      </w:r>
      <w:proofErr w:type="gramEnd"/>
      <w:r w:rsidRPr="001E0080">
        <w:rPr>
          <w:rFonts w:asciiTheme="minorHAnsi" w:hAnsiTheme="minorHAnsi" w:cstheme="minorHAnsi"/>
          <w:sz w:val="22"/>
          <w:szCs w:val="22"/>
        </w:rPr>
        <w:t xml:space="preserve"> consider that the definition of “a portfolio trade” is improper. We see no reason to require that a portfolio trade “involves the execution of 10 or more financial instruments”. By definition, a portfolio trade can involve two instruments, and there an active Pair Trade market indeed exists.</w:t>
      </w:r>
    </w:p>
    <w:p w:rsidR="002D6345" w:rsidRPr="001E0080" w:rsidRDefault="002D6345" w:rsidP="002D6345">
      <w:pPr>
        <w:pStyle w:val="Default"/>
        <w:spacing w:line="240" w:lineRule="atLeast"/>
        <w:ind w:left="720"/>
        <w:jc w:val="both"/>
        <w:rPr>
          <w:rFonts w:asciiTheme="minorHAnsi" w:hAnsiTheme="minorHAnsi" w:cstheme="minorHAnsi"/>
          <w:sz w:val="22"/>
          <w:szCs w:val="22"/>
        </w:rPr>
      </w:pPr>
    </w:p>
    <w:p w:rsidR="002D6345" w:rsidRPr="001E0080" w:rsidRDefault="002D6345" w:rsidP="002D6345">
      <w:pPr>
        <w:pStyle w:val="Default"/>
        <w:spacing w:line="240" w:lineRule="atLeast"/>
        <w:ind w:left="720"/>
        <w:jc w:val="both"/>
        <w:rPr>
          <w:rFonts w:asciiTheme="minorHAnsi" w:hAnsiTheme="minorHAnsi" w:cstheme="minorHAnsi"/>
          <w:sz w:val="22"/>
          <w:szCs w:val="22"/>
        </w:rPr>
      </w:pPr>
      <w:r w:rsidRPr="001E0080">
        <w:rPr>
          <w:rFonts w:asciiTheme="minorHAnsi" w:hAnsiTheme="minorHAnsi" w:cstheme="minorHAnsi"/>
          <w:sz w:val="22"/>
          <w:szCs w:val="22"/>
        </w:rPr>
        <w:t xml:space="preserve">We hence recommend </w:t>
      </w:r>
      <w:proofErr w:type="gramStart"/>
      <w:r w:rsidRPr="001E0080">
        <w:rPr>
          <w:rFonts w:asciiTheme="minorHAnsi" w:hAnsiTheme="minorHAnsi" w:cstheme="minorHAnsi"/>
          <w:sz w:val="22"/>
          <w:szCs w:val="22"/>
        </w:rPr>
        <w:t>to modify</w:t>
      </w:r>
      <w:proofErr w:type="gramEnd"/>
      <w:r w:rsidRPr="001E0080">
        <w:rPr>
          <w:rFonts w:asciiTheme="minorHAnsi" w:hAnsiTheme="minorHAnsi" w:cstheme="minorHAnsi"/>
          <w:sz w:val="22"/>
          <w:szCs w:val="22"/>
        </w:rPr>
        <w:t xml:space="preserve"> the article 6 in draft RTS 8, from</w:t>
      </w:r>
    </w:p>
    <w:p w:rsidR="002D6345" w:rsidRPr="001E0080" w:rsidRDefault="002D6345" w:rsidP="002D6345">
      <w:pPr>
        <w:pStyle w:val="Default"/>
        <w:spacing w:line="240" w:lineRule="atLeast"/>
        <w:ind w:left="1440"/>
        <w:rPr>
          <w:rFonts w:asciiTheme="minorHAnsi" w:hAnsiTheme="minorHAnsi" w:cstheme="minorHAnsi"/>
          <w:sz w:val="22"/>
          <w:szCs w:val="22"/>
        </w:rPr>
      </w:pPr>
    </w:p>
    <w:p w:rsidR="002D6345" w:rsidRPr="001E0080" w:rsidRDefault="002D6345" w:rsidP="002D6345">
      <w:pPr>
        <w:pStyle w:val="Default"/>
        <w:spacing w:line="240" w:lineRule="atLeast"/>
        <w:ind w:left="1440"/>
        <w:rPr>
          <w:rFonts w:asciiTheme="minorHAnsi" w:hAnsiTheme="minorHAnsi" w:cstheme="minorHAnsi"/>
          <w:sz w:val="22"/>
          <w:szCs w:val="22"/>
        </w:rPr>
      </w:pPr>
      <w:r w:rsidRPr="001E0080">
        <w:rPr>
          <w:rFonts w:asciiTheme="minorHAnsi" w:hAnsiTheme="minorHAnsi" w:cstheme="minorHAnsi"/>
          <w:sz w:val="22"/>
          <w:szCs w:val="22"/>
        </w:rPr>
        <w:t>the transaction is part of a portfolio trade that involves the execution of 10 or more financial instruments from the same client and at the same time and the components of the trade are meant to be executed only as a single lot;</w:t>
      </w:r>
    </w:p>
    <w:p w:rsidR="002D6345" w:rsidRPr="001E0080" w:rsidRDefault="002D6345" w:rsidP="002D6345">
      <w:pPr>
        <w:pStyle w:val="Default"/>
        <w:spacing w:line="240" w:lineRule="atLeast"/>
        <w:ind w:left="720"/>
        <w:rPr>
          <w:rFonts w:asciiTheme="minorHAnsi" w:hAnsiTheme="minorHAnsi" w:cstheme="minorHAnsi"/>
          <w:sz w:val="22"/>
          <w:szCs w:val="22"/>
        </w:rPr>
      </w:pPr>
    </w:p>
    <w:p w:rsidR="002D6345" w:rsidRPr="001E0080" w:rsidRDefault="002D6345" w:rsidP="002D6345">
      <w:pPr>
        <w:pStyle w:val="Default"/>
        <w:spacing w:line="240" w:lineRule="atLeast"/>
        <w:ind w:left="720"/>
        <w:rPr>
          <w:rFonts w:asciiTheme="minorHAnsi" w:hAnsiTheme="minorHAnsi" w:cstheme="minorHAnsi"/>
          <w:sz w:val="22"/>
          <w:szCs w:val="22"/>
        </w:rPr>
      </w:pPr>
      <w:proofErr w:type="gramStart"/>
      <w:r w:rsidRPr="001E0080">
        <w:rPr>
          <w:rFonts w:asciiTheme="minorHAnsi" w:hAnsiTheme="minorHAnsi" w:cstheme="minorHAnsi"/>
          <w:sz w:val="22"/>
          <w:szCs w:val="22"/>
        </w:rPr>
        <w:t>to</w:t>
      </w:r>
      <w:proofErr w:type="gramEnd"/>
    </w:p>
    <w:p w:rsidR="002D6345" w:rsidRPr="001E0080" w:rsidRDefault="002D6345" w:rsidP="002D6345">
      <w:pPr>
        <w:pStyle w:val="Default"/>
        <w:spacing w:line="240" w:lineRule="atLeast"/>
        <w:ind w:left="1440"/>
        <w:rPr>
          <w:rFonts w:asciiTheme="minorHAnsi" w:hAnsiTheme="minorHAnsi" w:cstheme="minorHAnsi"/>
          <w:sz w:val="22"/>
          <w:szCs w:val="22"/>
        </w:rPr>
      </w:pPr>
    </w:p>
    <w:p w:rsidR="002D6345" w:rsidRPr="001E0080" w:rsidRDefault="002D6345" w:rsidP="002D6345">
      <w:pPr>
        <w:pStyle w:val="Default"/>
        <w:spacing w:line="240" w:lineRule="atLeast"/>
        <w:ind w:left="1440"/>
        <w:rPr>
          <w:rFonts w:asciiTheme="minorHAnsi" w:hAnsiTheme="minorHAnsi" w:cstheme="minorHAnsi"/>
          <w:sz w:val="22"/>
          <w:szCs w:val="22"/>
        </w:rPr>
      </w:pPr>
      <w:r w:rsidRPr="001E0080">
        <w:rPr>
          <w:rFonts w:asciiTheme="minorHAnsi" w:hAnsiTheme="minorHAnsi" w:cstheme="minorHAnsi"/>
          <w:sz w:val="22"/>
          <w:szCs w:val="22"/>
        </w:rPr>
        <w:lastRenderedPageBreak/>
        <w:t>the transaction is part of a portfolio trade that involves the execution of 2 or more financial instruments from the same client and at the same time and the components of the trade are meant to be executed only as a single lot;</w:t>
      </w:r>
    </w:p>
    <w:p w:rsidR="002D6345" w:rsidRPr="001E0080" w:rsidRDefault="002D6345" w:rsidP="002D6345">
      <w:pPr>
        <w:pStyle w:val="Default"/>
        <w:spacing w:line="240" w:lineRule="atLeast"/>
        <w:jc w:val="both"/>
        <w:rPr>
          <w:rFonts w:asciiTheme="minorHAnsi" w:hAnsiTheme="minorHAnsi" w:cstheme="minorHAnsi"/>
          <w:sz w:val="22"/>
          <w:szCs w:val="22"/>
        </w:rPr>
      </w:pPr>
    </w:p>
    <w:p w:rsidR="002D6345" w:rsidRPr="001E0080" w:rsidRDefault="002D6345" w:rsidP="00E077AE">
      <w:pPr>
        <w:pStyle w:val="Default"/>
        <w:numPr>
          <w:ilvl w:val="0"/>
          <w:numId w:val="39"/>
        </w:numPr>
        <w:spacing w:line="240" w:lineRule="atLeast"/>
        <w:jc w:val="both"/>
        <w:rPr>
          <w:rFonts w:asciiTheme="minorHAnsi" w:hAnsiTheme="minorHAnsi" w:cstheme="minorHAnsi"/>
          <w:sz w:val="22"/>
          <w:szCs w:val="22"/>
        </w:rPr>
      </w:pPr>
      <w:r w:rsidRPr="001E0080">
        <w:rPr>
          <w:rFonts w:asciiTheme="minorHAnsi" w:hAnsiTheme="minorHAnsi" w:cstheme="minorHAnsi"/>
          <w:sz w:val="22"/>
          <w:szCs w:val="22"/>
        </w:rPr>
        <w:t>the draft RTS contains at least 4 lists of transactions eligible for exemptions:</w:t>
      </w:r>
    </w:p>
    <w:p w:rsidR="002D6345" w:rsidRPr="001E0080" w:rsidRDefault="002D6345" w:rsidP="00E077AE">
      <w:pPr>
        <w:pStyle w:val="Default"/>
        <w:numPr>
          <w:ilvl w:val="1"/>
          <w:numId w:val="39"/>
        </w:numPr>
        <w:spacing w:before="120" w:line="240" w:lineRule="atLeast"/>
        <w:jc w:val="both"/>
        <w:rPr>
          <w:rFonts w:asciiTheme="minorHAnsi" w:hAnsiTheme="minorHAnsi" w:cstheme="minorHAnsi"/>
          <w:sz w:val="22"/>
          <w:szCs w:val="22"/>
        </w:rPr>
      </w:pPr>
      <w:r w:rsidRPr="001E0080">
        <w:rPr>
          <w:rFonts w:asciiTheme="minorHAnsi" w:hAnsiTheme="minorHAnsi" w:cstheme="minorHAnsi"/>
          <w:sz w:val="22"/>
          <w:szCs w:val="22"/>
        </w:rPr>
        <w:t>article 6 of draft RTS 8 provides the list of “</w:t>
      </w:r>
      <w:r w:rsidRPr="001E0080">
        <w:rPr>
          <w:rFonts w:asciiTheme="minorHAnsi" w:hAnsiTheme="minorHAnsi" w:cstheme="minorHAnsi"/>
          <w:bCs/>
          <w:sz w:val="22"/>
          <w:szCs w:val="22"/>
        </w:rPr>
        <w:t>Negotiated transactions not contributing to the price formation process”, that are not subject to pre-trade transparency rules,</w:t>
      </w:r>
    </w:p>
    <w:p w:rsidR="002D6345" w:rsidRPr="001E0080" w:rsidRDefault="002D6345" w:rsidP="00E077AE">
      <w:pPr>
        <w:pStyle w:val="Default"/>
        <w:numPr>
          <w:ilvl w:val="1"/>
          <w:numId w:val="39"/>
        </w:numPr>
        <w:spacing w:before="120" w:line="240" w:lineRule="atLeast"/>
        <w:jc w:val="both"/>
        <w:rPr>
          <w:rFonts w:asciiTheme="minorHAnsi" w:hAnsiTheme="minorHAnsi" w:cstheme="minorHAnsi"/>
          <w:sz w:val="22"/>
          <w:szCs w:val="22"/>
        </w:rPr>
      </w:pPr>
      <w:r w:rsidRPr="001E0080">
        <w:rPr>
          <w:rFonts w:asciiTheme="minorHAnsi" w:hAnsiTheme="minorHAnsi" w:cstheme="minorHAnsi"/>
          <w:sz w:val="22"/>
          <w:szCs w:val="22"/>
        </w:rPr>
        <w:t>article 2 of draft RTS 8 provides the list of “</w:t>
      </w:r>
      <w:r w:rsidRPr="001E0080">
        <w:rPr>
          <w:rFonts w:asciiTheme="minorHAnsi" w:hAnsiTheme="minorHAnsi" w:cstheme="minorHAnsi"/>
          <w:bCs/>
          <w:sz w:val="22"/>
          <w:szCs w:val="22"/>
        </w:rPr>
        <w:t xml:space="preserve">Transactions not contributing to the price discovery process”, that are not subject to the negotiation obligation set by article 23 of </w:t>
      </w:r>
      <w:proofErr w:type="spellStart"/>
      <w:r w:rsidRPr="001E0080">
        <w:rPr>
          <w:rFonts w:asciiTheme="minorHAnsi" w:hAnsiTheme="minorHAnsi" w:cstheme="minorHAnsi"/>
          <w:bCs/>
          <w:sz w:val="22"/>
          <w:szCs w:val="22"/>
        </w:rPr>
        <w:t>MiFIR</w:t>
      </w:r>
      <w:proofErr w:type="spellEnd"/>
      <w:r w:rsidRPr="001E0080">
        <w:rPr>
          <w:rFonts w:asciiTheme="minorHAnsi" w:hAnsiTheme="minorHAnsi" w:cstheme="minorHAnsi"/>
          <w:bCs/>
          <w:sz w:val="22"/>
          <w:szCs w:val="22"/>
        </w:rPr>
        <w:t>,</w:t>
      </w:r>
    </w:p>
    <w:p w:rsidR="002D6345" w:rsidRPr="001E0080" w:rsidRDefault="002D6345" w:rsidP="00E077AE">
      <w:pPr>
        <w:pStyle w:val="Default"/>
        <w:numPr>
          <w:ilvl w:val="1"/>
          <w:numId w:val="39"/>
        </w:numPr>
        <w:spacing w:before="120" w:line="240" w:lineRule="atLeast"/>
        <w:jc w:val="both"/>
        <w:rPr>
          <w:rFonts w:asciiTheme="minorHAnsi" w:hAnsiTheme="minorHAnsi" w:cstheme="minorHAnsi"/>
          <w:sz w:val="22"/>
          <w:szCs w:val="22"/>
        </w:rPr>
      </w:pPr>
      <w:r w:rsidRPr="001E0080">
        <w:rPr>
          <w:rFonts w:asciiTheme="minorHAnsi" w:hAnsiTheme="minorHAnsi" w:cstheme="minorHAnsi"/>
          <w:bCs/>
          <w:sz w:val="22"/>
          <w:szCs w:val="22"/>
        </w:rPr>
        <w:t xml:space="preserve">article 13 of draft RTS 8 </w:t>
      </w:r>
      <w:r w:rsidRPr="001E0080">
        <w:rPr>
          <w:rFonts w:asciiTheme="minorHAnsi" w:hAnsiTheme="minorHAnsi" w:cstheme="minorHAnsi"/>
          <w:sz w:val="22"/>
          <w:szCs w:val="22"/>
        </w:rPr>
        <w:t>provides the list of tr</w:t>
      </w:r>
      <w:r w:rsidRPr="001E0080">
        <w:rPr>
          <w:rFonts w:asciiTheme="minorHAnsi" w:hAnsiTheme="minorHAnsi" w:cstheme="minorHAnsi"/>
          <w:bCs/>
          <w:sz w:val="22"/>
          <w:szCs w:val="22"/>
        </w:rPr>
        <w:t>ansactions that are not subject to the “Application of OTC post-trade transparency”,</w:t>
      </w:r>
    </w:p>
    <w:p w:rsidR="002D6345" w:rsidRPr="001E0080" w:rsidRDefault="002D6345" w:rsidP="00E077AE">
      <w:pPr>
        <w:pStyle w:val="Default"/>
        <w:numPr>
          <w:ilvl w:val="1"/>
          <w:numId w:val="39"/>
        </w:numPr>
        <w:spacing w:before="120" w:line="240" w:lineRule="atLeast"/>
        <w:jc w:val="both"/>
        <w:rPr>
          <w:rFonts w:asciiTheme="minorHAnsi" w:hAnsiTheme="minorHAnsi" w:cstheme="minorHAnsi"/>
          <w:sz w:val="22"/>
          <w:szCs w:val="22"/>
        </w:rPr>
      </w:pPr>
      <w:proofErr w:type="gramStart"/>
      <w:r w:rsidRPr="001E0080">
        <w:rPr>
          <w:rFonts w:asciiTheme="minorHAnsi" w:hAnsiTheme="minorHAnsi" w:cstheme="minorHAnsi"/>
          <w:bCs/>
          <w:sz w:val="22"/>
          <w:szCs w:val="22"/>
        </w:rPr>
        <w:t>article</w:t>
      </w:r>
      <w:proofErr w:type="gramEnd"/>
      <w:r w:rsidRPr="001E0080">
        <w:rPr>
          <w:rFonts w:asciiTheme="minorHAnsi" w:hAnsiTheme="minorHAnsi" w:cstheme="minorHAnsi"/>
          <w:bCs/>
          <w:sz w:val="22"/>
          <w:szCs w:val="22"/>
        </w:rPr>
        <w:t xml:space="preserve"> 3.3 of draft RTS 32 provides a list of events that shall not be considered as ‘transactions’.</w:t>
      </w:r>
    </w:p>
    <w:p w:rsidR="002D6345" w:rsidRPr="001E0080" w:rsidRDefault="002D6345" w:rsidP="002D6345">
      <w:pPr>
        <w:pStyle w:val="Default"/>
        <w:spacing w:line="240" w:lineRule="atLeast"/>
        <w:ind w:left="720"/>
        <w:jc w:val="both"/>
        <w:rPr>
          <w:rFonts w:asciiTheme="minorHAnsi" w:hAnsiTheme="minorHAnsi" w:cstheme="minorHAnsi"/>
          <w:sz w:val="22"/>
          <w:szCs w:val="22"/>
        </w:rPr>
      </w:pPr>
    </w:p>
    <w:p w:rsidR="002D6345" w:rsidRPr="001E0080" w:rsidRDefault="002D6345" w:rsidP="002D6345">
      <w:pPr>
        <w:pStyle w:val="Default"/>
        <w:spacing w:line="240" w:lineRule="atLeast"/>
        <w:ind w:left="720"/>
        <w:jc w:val="both"/>
        <w:rPr>
          <w:rFonts w:asciiTheme="minorHAnsi" w:hAnsiTheme="minorHAnsi" w:cstheme="minorHAnsi"/>
          <w:sz w:val="22"/>
          <w:szCs w:val="22"/>
        </w:rPr>
      </w:pPr>
      <w:r w:rsidRPr="001E0080">
        <w:rPr>
          <w:rFonts w:asciiTheme="minorHAnsi" w:hAnsiTheme="minorHAnsi" w:cstheme="minorHAnsi"/>
          <w:sz w:val="22"/>
          <w:szCs w:val="22"/>
        </w:rPr>
        <w:t>While we understand that the above lists do not serve the same purpose (and do not target the same instruments, as RTS 8 art. 2 is for shares, RTS 8 art. 6 and 13 are for equity instruments and RTS 32 art. 3 is for all financial instruments), we believe that further standardization / homogeneity across these lists would be welcome.</w:t>
      </w:r>
    </w:p>
    <w:p w:rsidR="002D6345" w:rsidRPr="001E0080" w:rsidRDefault="002D6345" w:rsidP="002D6345">
      <w:pPr>
        <w:pStyle w:val="Default"/>
        <w:spacing w:line="240" w:lineRule="atLeast"/>
        <w:ind w:left="720"/>
        <w:jc w:val="both"/>
        <w:rPr>
          <w:rFonts w:asciiTheme="minorHAnsi" w:hAnsiTheme="minorHAnsi" w:cstheme="minorHAnsi"/>
          <w:sz w:val="22"/>
          <w:szCs w:val="22"/>
        </w:rPr>
      </w:pPr>
      <w:r w:rsidRPr="001E0080">
        <w:rPr>
          <w:rFonts w:asciiTheme="minorHAnsi" w:hAnsiTheme="minorHAnsi" w:cstheme="minorHAnsi"/>
          <w:sz w:val="22"/>
          <w:szCs w:val="22"/>
        </w:rPr>
        <w:t xml:space="preserve">For instance, securities financing </w:t>
      </w:r>
      <w:proofErr w:type="gramStart"/>
      <w:r w:rsidRPr="001E0080">
        <w:rPr>
          <w:rFonts w:asciiTheme="minorHAnsi" w:hAnsiTheme="minorHAnsi" w:cstheme="minorHAnsi"/>
          <w:sz w:val="22"/>
          <w:szCs w:val="22"/>
        </w:rPr>
        <w:t>transactions, that are mentioned in article 2 of draft RTS 8,</w:t>
      </w:r>
      <w:proofErr w:type="gramEnd"/>
      <w:r w:rsidRPr="001E0080">
        <w:rPr>
          <w:rFonts w:asciiTheme="minorHAnsi" w:hAnsiTheme="minorHAnsi" w:cstheme="minorHAnsi"/>
          <w:sz w:val="22"/>
          <w:szCs w:val="22"/>
        </w:rPr>
        <w:t xml:space="preserve"> should be explicitly included in article 6 of draft RTS 8.</w:t>
      </w:r>
    </w:p>
    <w:p w:rsidR="002D6345" w:rsidRPr="001E0080" w:rsidRDefault="002D6345" w:rsidP="002D6345">
      <w:pPr>
        <w:spacing w:line="240" w:lineRule="atLeast"/>
        <w:rPr>
          <w:rFonts w:cstheme="minorHAnsi"/>
          <w:bCs/>
          <w:szCs w:val="22"/>
          <w:lang w:val="en-US"/>
        </w:rPr>
      </w:pPr>
    </w:p>
    <w:p w:rsidR="002D6345" w:rsidRPr="001E0080" w:rsidRDefault="002D6345" w:rsidP="002777E0">
      <w:pPr>
        <w:pStyle w:val="ListParagraph"/>
        <w:rPr>
          <w:lang w:val="en-US"/>
        </w:rPr>
      </w:pPr>
      <w:r w:rsidRPr="001E0080">
        <w:rPr>
          <w:lang w:val="en-US"/>
        </w:rPr>
        <w:t>we support the inclusion of non-standard or special settlement trades in the list,</w:t>
      </w:r>
    </w:p>
    <w:p w:rsidR="002D6345" w:rsidRPr="001E0080" w:rsidRDefault="002D6345" w:rsidP="002D6345">
      <w:pPr>
        <w:spacing w:line="240" w:lineRule="atLeast"/>
        <w:rPr>
          <w:rFonts w:cstheme="minorHAnsi"/>
          <w:bCs/>
          <w:szCs w:val="22"/>
          <w:lang w:val="en-US"/>
        </w:rPr>
      </w:pPr>
    </w:p>
    <w:p w:rsidR="002D6345" w:rsidRPr="00BD6C6E" w:rsidRDefault="002D6345" w:rsidP="002777E0">
      <w:pPr>
        <w:pStyle w:val="ListParagraph"/>
        <w:rPr>
          <w:lang w:val="en-US"/>
        </w:rPr>
      </w:pPr>
      <w:proofErr w:type="gramStart"/>
      <w:r w:rsidRPr="001E0080">
        <w:rPr>
          <w:lang w:val="en-US"/>
        </w:rPr>
        <w:t>more</w:t>
      </w:r>
      <w:proofErr w:type="gramEnd"/>
      <w:r w:rsidRPr="001E0080">
        <w:rPr>
          <w:lang w:val="en-US"/>
        </w:rPr>
        <w:t xml:space="preserve"> globally, we believe that each of the aforementioned lists should be kept open, so as to remain flexible as the evolution of markets may result in the creation of new type of transactions that will need to be accommodated by the negotiated trade waiver</w:t>
      </w:r>
      <w:r w:rsidRPr="00BD6C6E">
        <w:rPr>
          <w:lang w:val="en-US"/>
        </w:rPr>
        <w:t>.</w:t>
      </w:r>
    </w:p>
    <w:permEnd w:id="48"/>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2D6345" w:rsidRPr="00D33BB1" w:rsidRDefault="00CB3E3D" w:rsidP="002D6345">
      <w:pPr>
        <w:spacing w:line="240" w:lineRule="atLeast"/>
        <w:rPr>
          <w:bCs/>
          <w:szCs w:val="22"/>
          <w:lang w:val="en-US"/>
        </w:rPr>
      </w:pPr>
      <w:permStart w:id="49" w:edGrp="everyone"/>
      <w:r w:rsidRPr="00D33BB1">
        <w:rPr>
          <w:bCs/>
          <w:szCs w:val="22"/>
          <w:lang w:val="en-US"/>
        </w:rPr>
        <w:t>No comment.</w:t>
      </w:r>
    </w:p>
    <w:permEnd w:id="49"/>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2D6345" w:rsidRPr="00BD6C6E" w:rsidRDefault="002D6345" w:rsidP="002D6345">
      <w:pPr>
        <w:spacing w:line="240" w:lineRule="atLeast"/>
        <w:rPr>
          <w:bCs/>
          <w:szCs w:val="22"/>
          <w:lang w:val="en-US"/>
        </w:rPr>
      </w:pPr>
      <w:permStart w:id="50" w:edGrp="everyone"/>
      <w:r w:rsidRPr="00BD6C6E">
        <w:rPr>
          <w:bCs/>
          <w:szCs w:val="22"/>
          <w:lang w:val="en-US"/>
        </w:rPr>
        <w:t>We consider that the classes and thresholds proposed by ESMA fail to take into account the evolution of market structure since 2006, when the first version of the table – from which the proposed table only marginally departs - was calibrated.</w:t>
      </w:r>
    </w:p>
    <w:p w:rsidR="002D6345" w:rsidRPr="00BD6C6E" w:rsidRDefault="002D6345" w:rsidP="002D6345">
      <w:pPr>
        <w:spacing w:line="240" w:lineRule="atLeast"/>
        <w:rPr>
          <w:bCs/>
          <w:szCs w:val="22"/>
          <w:lang w:val="en-US"/>
        </w:rPr>
      </w:pPr>
    </w:p>
    <w:p w:rsidR="002D6345" w:rsidRPr="00BD6C6E" w:rsidRDefault="002D6345" w:rsidP="002D6345">
      <w:pPr>
        <w:spacing w:line="240" w:lineRule="atLeast"/>
        <w:rPr>
          <w:bCs/>
          <w:szCs w:val="22"/>
          <w:lang w:val="en-US"/>
        </w:rPr>
      </w:pPr>
      <w:r w:rsidRPr="00BD6C6E">
        <w:rPr>
          <w:bCs/>
          <w:szCs w:val="22"/>
          <w:lang w:val="en-US"/>
        </w:rPr>
        <w:t xml:space="preserve">As already stated in our answer to the Discussion Paper issued in May, we consider that the calibration of LIS thresholds should take into account the ADT and the AVT for the instrument, so as to meet the regulatory aim of the related waiver, which is </w:t>
      </w:r>
      <w:r w:rsidRPr="00BD6C6E">
        <w:rPr>
          <w:szCs w:val="22"/>
          <w:lang w:val="en-US"/>
        </w:rPr>
        <w:t>“to protect large orders from adverse market impact and to avoid abrupt price movements</w:t>
      </w:r>
      <w:r w:rsidRPr="00BD6C6E">
        <w:rPr>
          <w:bCs/>
          <w:szCs w:val="22"/>
          <w:lang w:val="en-US"/>
        </w:rPr>
        <w:t>”.</w:t>
      </w:r>
    </w:p>
    <w:p w:rsidR="002D6345" w:rsidRPr="00BD6C6E" w:rsidRDefault="002D6345" w:rsidP="002D6345">
      <w:pPr>
        <w:spacing w:line="240" w:lineRule="atLeast"/>
        <w:rPr>
          <w:bCs/>
          <w:szCs w:val="22"/>
          <w:lang w:val="en-US"/>
        </w:rPr>
      </w:pPr>
    </w:p>
    <w:p w:rsidR="002D6345" w:rsidRPr="00BD6C6E" w:rsidRDefault="002D6345" w:rsidP="002D6345">
      <w:pPr>
        <w:spacing w:line="240" w:lineRule="atLeast"/>
        <w:rPr>
          <w:bCs/>
          <w:szCs w:val="22"/>
          <w:lang w:val="en-US"/>
        </w:rPr>
      </w:pPr>
      <w:r w:rsidRPr="00BD6C6E">
        <w:rPr>
          <w:bCs/>
          <w:szCs w:val="22"/>
          <w:lang w:val="en-US"/>
        </w:rPr>
        <w:lastRenderedPageBreak/>
        <w:t>With this in view, we strongly reiterate our proposal of the following table to determine classes and thresholds:</w:t>
      </w:r>
    </w:p>
    <w:p w:rsidR="002D6345" w:rsidRPr="00BD6C6E" w:rsidRDefault="002D6345" w:rsidP="002D6345">
      <w:pPr>
        <w:spacing w:line="240" w:lineRule="atLeast"/>
        <w:rPr>
          <w:bCs/>
          <w:szCs w:val="22"/>
          <w:lang w:val="en-US"/>
        </w:rPr>
      </w:pPr>
    </w:p>
    <w:p w:rsidR="002D6345" w:rsidRPr="00BD6C6E" w:rsidRDefault="002D6345" w:rsidP="002D6345">
      <w:pPr>
        <w:spacing w:line="240" w:lineRule="atLeast"/>
        <w:rPr>
          <w:bCs/>
          <w:szCs w:val="22"/>
          <w:lang w:val="en-US"/>
        </w:rPr>
      </w:pPr>
      <w:r w:rsidRPr="00BD6C6E">
        <w:rPr>
          <w:bCs/>
          <w:noProof/>
          <w:szCs w:val="22"/>
          <w:lang w:val="fr-FR" w:eastAsia="fr-FR"/>
        </w:rPr>
        <w:drawing>
          <wp:inline distT="0" distB="0" distL="0" distR="0">
            <wp:extent cx="6316345" cy="1235807"/>
            <wp:effectExtent l="19050" t="0" r="825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6316345" cy="1235807"/>
                    </a:xfrm>
                    <a:prstGeom prst="rect">
                      <a:avLst/>
                    </a:prstGeom>
                    <a:noFill/>
                    <a:ln w="9525">
                      <a:noFill/>
                      <a:miter lim="800000"/>
                      <a:headEnd/>
                      <a:tailEnd/>
                    </a:ln>
                  </pic:spPr>
                </pic:pic>
              </a:graphicData>
            </a:graphic>
          </wp:inline>
        </w:drawing>
      </w:r>
    </w:p>
    <w:p w:rsidR="002D6345" w:rsidRPr="00BD6C6E" w:rsidRDefault="002D6345" w:rsidP="002D6345">
      <w:pPr>
        <w:spacing w:line="240" w:lineRule="atLeast"/>
        <w:rPr>
          <w:bCs/>
          <w:szCs w:val="22"/>
          <w:lang w:val="en-US"/>
        </w:rPr>
      </w:pPr>
    </w:p>
    <w:permEnd w:id="50"/>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2D6345" w:rsidRPr="00BD6C6E" w:rsidRDefault="002D6345" w:rsidP="002D6345">
      <w:pPr>
        <w:spacing w:line="240" w:lineRule="atLeast"/>
        <w:rPr>
          <w:bCs/>
          <w:szCs w:val="22"/>
          <w:lang w:val="en-US"/>
        </w:rPr>
      </w:pPr>
      <w:permStart w:id="51" w:edGrp="everyone"/>
      <w:r w:rsidRPr="00BD6C6E">
        <w:rPr>
          <w:bCs/>
          <w:szCs w:val="22"/>
          <w:lang w:val="en-US"/>
        </w:rPr>
        <w:t xml:space="preserve">The </w:t>
      </w:r>
      <w:r>
        <w:rPr>
          <w:bCs/>
          <w:szCs w:val="22"/>
          <w:lang w:val="en-US"/>
        </w:rPr>
        <w:t>approach</w:t>
      </w:r>
      <w:r w:rsidRPr="00BD6C6E">
        <w:rPr>
          <w:bCs/>
          <w:szCs w:val="22"/>
          <w:lang w:val="en-US"/>
        </w:rPr>
        <w:t xml:space="preserve"> proposed by ESMA</w:t>
      </w:r>
      <w:r>
        <w:rPr>
          <w:bCs/>
          <w:szCs w:val="22"/>
          <w:lang w:val="en-US"/>
        </w:rPr>
        <w:t xml:space="preserve"> to determine the large in scale threshold for ETF</w:t>
      </w:r>
      <w:r w:rsidRPr="00BD6C6E">
        <w:rPr>
          <w:bCs/>
          <w:szCs w:val="22"/>
          <w:lang w:val="en-US"/>
        </w:rPr>
        <w:t xml:space="preserve"> raises </w:t>
      </w:r>
      <w:r>
        <w:rPr>
          <w:bCs/>
          <w:szCs w:val="22"/>
          <w:lang w:val="en-US"/>
        </w:rPr>
        <w:t>several</w:t>
      </w:r>
      <w:r w:rsidRPr="00BD6C6E">
        <w:rPr>
          <w:bCs/>
          <w:szCs w:val="22"/>
          <w:lang w:val="en-US"/>
        </w:rPr>
        <w:t xml:space="preserve"> serious concerns.</w:t>
      </w:r>
    </w:p>
    <w:p w:rsidR="002D6345" w:rsidRPr="00BD6C6E" w:rsidRDefault="002D6345" w:rsidP="002D6345">
      <w:pPr>
        <w:spacing w:line="240" w:lineRule="atLeast"/>
        <w:rPr>
          <w:bCs/>
          <w:szCs w:val="22"/>
          <w:lang w:val="en-US"/>
        </w:rPr>
      </w:pPr>
    </w:p>
    <w:p w:rsidR="002D6345" w:rsidRPr="00BD6C6E" w:rsidRDefault="002D6345" w:rsidP="002D6345">
      <w:pPr>
        <w:spacing w:line="240" w:lineRule="atLeast"/>
        <w:rPr>
          <w:bCs/>
          <w:szCs w:val="22"/>
          <w:lang w:val="en-US"/>
        </w:rPr>
      </w:pPr>
      <w:r>
        <w:rPr>
          <w:bCs/>
          <w:szCs w:val="22"/>
          <w:lang w:val="en-US"/>
        </w:rPr>
        <w:t>1/ The proposed table</w:t>
      </w:r>
      <w:r w:rsidRPr="00BD6C6E">
        <w:rPr>
          <w:bCs/>
          <w:szCs w:val="22"/>
          <w:lang w:val="en-US"/>
        </w:rPr>
        <w:t xml:space="preserve"> was calibrated on sources (data from regulated markets only) that do not represent the reality that will emerge once </w:t>
      </w:r>
      <w:proofErr w:type="spellStart"/>
      <w:r w:rsidRPr="00BD6C6E">
        <w:rPr>
          <w:bCs/>
          <w:szCs w:val="22"/>
          <w:lang w:val="en-US"/>
        </w:rPr>
        <w:t>MiFID</w:t>
      </w:r>
      <w:proofErr w:type="spellEnd"/>
      <w:r w:rsidRPr="00BD6C6E">
        <w:rPr>
          <w:bCs/>
          <w:szCs w:val="22"/>
          <w:lang w:val="en-US"/>
        </w:rPr>
        <w:t xml:space="preserve"> II / </w:t>
      </w:r>
      <w:proofErr w:type="spellStart"/>
      <w:r w:rsidRPr="00BD6C6E">
        <w:rPr>
          <w:bCs/>
          <w:szCs w:val="22"/>
          <w:lang w:val="en-US"/>
        </w:rPr>
        <w:t>MiFIR</w:t>
      </w:r>
      <w:proofErr w:type="spellEnd"/>
      <w:r w:rsidRPr="00BD6C6E">
        <w:rPr>
          <w:bCs/>
          <w:szCs w:val="22"/>
          <w:lang w:val="en-US"/>
        </w:rPr>
        <w:t xml:space="preserve"> is enforced: from the 3</w:t>
      </w:r>
      <w:r w:rsidRPr="00BD6C6E">
        <w:rPr>
          <w:bCs/>
          <w:szCs w:val="22"/>
          <w:vertAlign w:val="superscript"/>
          <w:lang w:val="en-US"/>
        </w:rPr>
        <w:t>rd</w:t>
      </w:r>
      <w:r w:rsidRPr="00BD6C6E">
        <w:rPr>
          <w:bCs/>
          <w:szCs w:val="22"/>
          <w:lang w:val="en-US"/>
        </w:rPr>
        <w:t xml:space="preserve"> of January 2017, the ADT for ETFs will be computed taking into account all executed volumes, be it on regulated markets, on RFQ systems (that may have become MTF) and OTC.</w:t>
      </w:r>
    </w:p>
    <w:p w:rsidR="002D6345" w:rsidRPr="00BD6C6E" w:rsidRDefault="002D6345" w:rsidP="002D6345">
      <w:pPr>
        <w:spacing w:line="240" w:lineRule="atLeast"/>
        <w:rPr>
          <w:bCs/>
          <w:szCs w:val="22"/>
          <w:lang w:val="en-US"/>
        </w:rPr>
      </w:pPr>
    </w:p>
    <w:p w:rsidR="002D6345" w:rsidRPr="00BD6C6E" w:rsidRDefault="002D6345" w:rsidP="002D6345">
      <w:pPr>
        <w:spacing w:line="240" w:lineRule="atLeast"/>
        <w:rPr>
          <w:bCs/>
          <w:szCs w:val="22"/>
          <w:lang w:val="en-US"/>
        </w:rPr>
      </w:pPr>
      <w:r w:rsidRPr="00BD6C6E">
        <w:rPr>
          <w:bCs/>
          <w:szCs w:val="22"/>
          <w:lang w:val="en-US"/>
        </w:rPr>
        <w:t>This means that an ETF for which the calibration exercise run by ESMA has determined a rather modest ADT may well be classified as having an ADT above EUR 2m after the 3</w:t>
      </w:r>
      <w:r w:rsidRPr="00BD6C6E">
        <w:rPr>
          <w:bCs/>
          <w:szCs w:val="22"/>
          <w:vertAlign w:val="superscript"/>
          <w:lang w:val="en-US"/>
        </w:rPr>
        <w:t>rd</w:t>
      </w:r>
      <w:r w:rsidRPr="00BD6C6E">
        <w:rPr>
          <w:bCs/>
          <w:szCs w:val="22"/>
          <w:lang w:val="en-US"/>
        </w:rPr>
        <w:t xml:space="preserve"> of Jan, 2017. This may indeed be the case of a large proportion of ETFs!</w:t>
      </w:r>
    </w:p>
    <w:p w:rsidR="002D6345" w:rsidRPr="00BD6C6E" w:rsidRDefault="002D6345" w:rsidP="002D6345">
      <w:pPr>
        <w:spacing w:line="240" w:lineRule="atLeast"/>
        <w:rPr>
          <w:bCs/>
          <w:szCs w:val="22"/>
          <w:lang w:val="en-US"/>
        </w:rPr>
      </w:pPr>
    </w:p>
    <w:p w:rsidR="002D6345" w:rsidRPr="00BD6C6E" w:rsidRDefault="002D6345" w:rsidP="002D6345">
      <w:pPr>
        <w:spacing w:line="240" w:lineRule="atLeast"/>
        <w:rPr>
          <w:bCs/>
          <w:szCs w:val="22"/>
          <w:lang w:val="en-US"/>
        </w:rPr>
      </w:pPr>
      <w:r w:rsidRPr="00BD6C6E">
        <w:rPr>
          <w:bCs/>
          <w:szCs w:val="22"/>
          <w:lang w:val="en-US"/>
        </w:rPr>
        <w:t>For such ETFs, the LIS threshold will hence be far higher than the one that was initially intended through the “regulated markets only” calibration.</w:t>
      </w:r>
    </w:p>
    <w:p w:rsidR="002D6345" w:rsidRDefault="002D6345" w:rsidP="002D6345">
      <w:pPr>
        <w:spacing w:line="240" w:lineRule="atLeast"/>
        <w:rPr>
          <w:bCs/>
          <w:szCs w:val="22"/>
          <w:lang w:val="en-US"/>
        </w:rPr>
      </w:pPr>
      <w:r>
        <w:rPr>
          <w:bCs/>
          <w:szCs w:val="22"/>
          <w:lang w:val="en-US"/>
        </w:rPr>
        <w:t xml:space="preserve"> </w:t>
      </w:r>
    </w:p>
    <w:p w:rsidR="002D6345" w:rsidRDefault="002D6345" w:rsidP="002D6345">
      <w:pPr>
        <w:spacing w:line="240" w:lineRule="atLeast"/>
        <w:rPr>
          <w:bCs/>
          <w:szCs w:val="22"/>
          <w:lang w:val="en-US"/>
        </w:rPr>
      </w:pPr>
      <w:r>
        <w:rPr>
          <w:bCs/>
          <w:szCs w:val="22"/>
          <w:lang w:val="en-US"/>
        </w:rPr>
        <w:t xml:space="preserve">2/ </w:t>
      </w:r>
      <w:proofErr w:type="gramStart"/>
      <w:r>
        <w:rPr>
          <w:bCs/>
          <w:szCs w:val="22"/>
          <w:lang w:val="en-US"/>
        </w:rPr>
        <w:t>As</w:t>
      </w:r>
      <w:proofErr w:type="gramEnd"/>
      <w:r>
        <w:rPr>
          <w:bCs/>
          <w:szCs w:val="22"/>
          <w:lang w:val="en-US"/>
        </w:rPr>
        <w:t xml:space="preserve"> already detailed in our answer to the Discussion Paper issued in may 2014, the ADT is not a proper proxy for the liquidity of an ETF.</w:t>
      </w:r>
    </w:p>
    <w:p w:rsidR="002D6345" w:rsidRDefault="002D6345" w:rsidP="002D6345">
      <w:pPr>
        <w:spacing w:line="240" w:lineRule="atLeast"/>
        <w:rPr>
          <w:bCs/>
          <w:szCs w:val="22"/>
          <w:lang w:val="en-US"/>
        </w:rPr>
      </w:pPr>
    </w:p>
    <w:p w:rsidR="002D6345" w:rsidRDefault="002D6345" w:rsidP="002D6345">
      <w:pPr>
        <w:spacing w:line="240" w:lineRule="atLeast"/>
        <w:rPr>
          <w:bCs/>
          <w:szCs w:val="22"/>
          <w:lang w:val="en-US"/>
        </w:rPr>
      </w:pPr>
      <w:r>
        <w:rPr>
          <w:bCs/>
          <w:szCs w:val="22"/>
          <w:lang w:val="en-US"/>
        </w:rPr>
        <w:t>Indeed, assessing the liquidity of an ETF requires taking into account (</w:t>
      </w:r>
      <w:proofErr w:type="spellStart"/>
      <w:r>
        <w:rPr>
          <w:bCs/>
          <w:szCs w:val="22"/>
          <w:lang w:val="en-US"/>
        </w:rPr>
        <w:t>i</w:t>
      </w:r>
      <w:proofErr w:type="spellEnd"/>
      <w:r>
        <w:rPr>
          <w:bCs/>
          <w:szCs w:val="22"/>
          <w:lang w:val="en-US"/>
        </w:rPr>
        <w:t xml:space="preserve">) the volumes traded on the secondary market for that instrument (the “intrinsic” liquidity) and (ii) the ability to source primary liquidity through the “creation / redemption” process.  </w:t>
      </w:r>
    </w:p>
    <w:p w:rsidR="002D6345" w:rsidRDefault="002D6345" w:rsidP="002D6345">
      <w:pPr>
        <w:spacing w:line="240" w:lineRule="atLeast"/>
        <w:rPr>
          <w:bCs/>
          <w:szCs w:val="22"/>
          <w:lang w:val="en-US"/>
        </w:rPr>
      </w:pPr>
    </w:p>
    <w:p w:rsidR="002D6345" w:rsidRDefault="002D6345" w:rsidP="002D6345">
      <w:pPr>
        <w:spacing w:line="240" w:lineRule="atLeast"/>
        <w:rPr>
          <w:bCs/>
          <w:szCs w:val="22"/>
          <w:lang w:val="en-US"/>
        </w:rPr>
      </w:pPr>
      <w:r>
        <w:rPr>
          <w:bCs/>
          <w:szCs w:val="22"/>
          <w:lang w:val="en-US"/>
        </w:rPr>
        <w:t xml:space="preserve">We understand that ESMA has tried to take this “additional” liquidity into account by setting LIS threshold as multiples of the ADT: </w:t>
      </w:r>
      <w:r w:rsidRPr="00BD6C6E">
        <w:rPr>
          <w:bCs/>
          <w:szCs w:val="22"/>
          <w:lang w:val="en-US"/>
        </w:rPr>
        <w:t>under ESMA’s proposal, for an ETF with a “real” ADT of EUR 55k (</w:t>
      </w:r>
      <w:proofErr w:type="spellStart"/>
      <w:r w:rsidRPr="00BD6C6E">
        <w:rPr>
          <w:bCs/>
          <w:szCs w:val="22"/>
          <w:lang w:val="en-US"/>
        </w:rPr>
        <w:t>eg</w:t>
      </w:r>
      <w:proofErr w:type="spellEnd"/>
      <w:r w:rsidRPr="00BD6C6E">
        <w:rPr>
          <w:bCs/>
          <w:szCs w:val="22"/>
          <w:lang w:val="en-US"/>
        </w:rPr>
        <w:t xml:space="preserve"> the ADT determined in a </w:t>
      </w:r>
      <w:proofErr w:type="spellStart"/>
      <w:r w:rsidRPr="00BD6C6E">
        <w:rPr>
          <w:bCs/>
          <w:szCs w:val="22"/>
          <w:lang w:val="en-US"/>
        </w:rPr>
        <w:t>MiFID</w:t>
      </w:r>
      <w:proofErr w:type="spellEnd"/>
      <w:r w:rsidRPr="00BD6C6E">
        <w:rPr>
          <w:bCs/>
          <w:szCs w:val="22"/>
          <w:lang w:val="en-US"/>
        </w:rPr>
        <w:t xml:space="preserve"> II environment: RM + MTF + OTC volumes), the LIS threshold </w:t>
      </w:r>
      <w:r>
        <w:rPr>
          <w:bCs/>
          <w:szCs w:val="22"/>
          <w:lang w:val="en-US"/>
        </w:rPr>
        <w:t>would for instance represent 10 days of ADT.</w:t>
      </w:r>
    </w:p>
    <w:p w:rsidR="002D6345" w:rsidRDefault="002D6345" w:rsidP="002D6345">
      <w:pPr>
        <w:spacing w:line="240" w:lineRule="atLeast"/>
        <w:rPr>
          <w:bCs/>
          <w:szCs w:val="22"/>
          <w:lang w:val="en-US"/>
        </w:rPr>
      </w:pPr>
    </w:p>
    <w:p w:rsidR="002D6345" w:rsidRDefault="002D6345" w:rsidP="002D6345">
      <w:pPr>
        <w:spacing w:line="240" w:lineRule="atLeast"/>
        <w:rPr>
          <w:bCs/>
          <w:szCs w:val="22"/>
          <w:lang w:val="en-US"/>
        </w:rPr>
      </w:pPr>
      <w:r>
        <w:rPr>
          <w:bCs/>
          <w:szCs w:val="22"/>
          <w:lang w:val="en-US"/>
        </w:rPr>
        <w:t xml:space="preserve">Still, this calibration is improper, as the link to the “creation / redemption” process is only indirect, and, further, it does not take into account the fact that the “creation / redemption” process is not similar for all ETFs. In particular, the proposed calibration does not take into account the fact that, when the underlying asset / basket of the ETF trades in a different time zone than the ETF (for instance, a European ETF on Malaysian stocks), the creation / redemption process does not occur just after the closing auction of the market trading the ETF, but may occur the day after. In such case, the “creation / redemption” process will not </w:t>
      </w:r>
      <w:r>
        <w:rPr>
          <w:bCs/>
          <w:szCs w:val="22"/>
          <w:lang w:val="en-US"/>
        </w:rPr>
        <w:lastRenderedPageBreak/>
        <w:t>offer the same protection to risk takers as it does when it occurs after the ETF closing auction.</w:t>
      </w:r>
    </w:p>
    <w:p w:rsidR="002D6345" w:rsidRPr="00BD6C6E" w:rsidRDefault="002D6345" w:rsidP="002D6345">
      <w:pPr>
        <w:spacing w:line="240" w:lineRule="atLeast"/>
        <w:rPr>
          <w:bCs/>
          <w:szCs w:val="22"/>
          <w:lang w:val="en-US"/>
        </w:rPr>
      </w:pPr>
    </w:p>
    <w:p w:rsidR="002D6345" w:rsidRPr="00BD6C6E" w:rsidRDefault="002D6345" w:rsidP="002D6345">
      <w:pPr>
        <w:spacing w:line="240" w:lineRule="atLeast"/>
        <w:rPr>
          <w:bCs/>
          <w:szCs w:val="22"/>
          <w:lang w:val="en-US"/>
        </w:rPr>
      </w:pPr>
      <w:r>
        <w:rPr>
          <w:bCs/>
          <w:szCs w:val="22"/>
          <w:lang w:val="en-US"/>
        </w:rPr>
        <w:t>3/ Be it for ETFs or for any other class of instrument, c</w:t>
      </w:r>
      <w:r w:rsidRPr="00BD6C6E">
        <w:rPr>
          <w:bCs/>
          <w:szCs w:val="22"/>
          <w:lang w:val="en-US"/>
        </w:rPr>
        <w:t xml:space="preserve">alibrating the LIS threshold so as to ensure that it “leaves no more than 10% of the total turnover above the threshold” is not consistent with the legislative aim to </w:t>
      </w:r>
      <w:r w:rsidRPr="00BD6C6E">
        <w:rPr>
          <w:szCs w:val="22"/>
          <w:lang w:val="en-US"/>
        </w:rPr>
        <w:t>“protect large orders from adverse market impact and to avoid abrupt price movements</w:t>
      </w:r>
      <w:r w:rsidRPr="00BD6C6E">
        <w:rPr>
          <w:bCs/>
          <w:szCs w:val="22"/>
          <w:lang w:val="en-US"/>
        </w:rPr>
        <w:t>”.</w:t>
      </w:r>
    </w:p>
    <w:p w:rsidR="002D6345" w:rsidRPr="00BD6C6E" w:rsidRDefault="002D6345" w:rsidP="002D6345">
      <w:pPr>
        <w:spacing w:line="240" w:lineRule="atLeast"/>
        <w:rPr>
          <w:bCs/>
          <w:szCs w:val="22"/>
          <w:lang w:val="en-US"/>
        </w:rPr>
      </w:pPr>
    </w:p>
    <w:p w:rsidR="002D6345" w:rsidRDefault="002D6345" w:rsidP="002D6345">
      <w:pPr>
        <w:spacing w:line="240" w:lineRule="atLeast"/>
        <w:rPr>
          <w:bCs/>
          <w:szCs w:val="22"/>
          <w:lang w:val="en-US"/>
        </w:rPr>
      </w:pPr>
    </w:p>
    <w:p w:rsidR="002D6345" w:rsidRDefault="002D6345" w:rsidP="002D6345">
      <w:pPr>
        <w:spacing w:line="240" w:lineRule="atLeast"/>
        <w:rPr>
          <w:bCs/>
          <w:szCs w:val="22"/>
          <w:lang w:val="en-US"/>
        </w:rPr>
      </w:pPr>
      <w:r>
        <w:rPr>
          <w:bCs/>
          <w:szCs w:val="22"/>
          <w:lang w:val="en-US"/>
        </w:rPr>
        <w:t xml:space="preserve">Having in </w:t>
      </w:r>
      <w:proofErr w:type="gramStart"/>
      <w:r>
        <w:rPr>
          <w:bCs/>
          <w:szCs w:val="22"/>
          <w:lang w:val="en-US"/>
        </w:rPr>
        <w:t>mind</w:t>
      </w:r>
      <w:proofErr w:type="gramEnd"/>
      <w:r>
        <w:rPr>
          <w:bCs/>
          <w:szCs w:val="22"/>
          <w:lang w:val="en-US"/>
        </w:rPr>
        <w:t xml:space="preserve"> that:</w:t>
      </w:r>
    </w:p>
    <w:p w:rsidR="002D6345" w:rsidRDefault="002D6345" w:rsidP="002777E0">
      <w:pPr>
        <w:pStyle w:val="ListParagraph"/>
        <w:rPr>
          <w:lang w:val="en-US"/>
        </w:rPr>
      </w:pPr>
      <w:r w:rsidRPr="009B7FC7">
        <w:rPr>
          <w:lang w:val="en-US"/>
        </w:rPr>
        <w:t>the ADT is not a proper proxy of liquidity for ETFs</w:t>
      </w:r>
      <w:r>
        <w:rPr>
          <w:lang w:val="en-US"/>
        </w:rPr>
        <w:t>,</w:t>
      </w:r>
    </w:p>
    <w:p w:rsidR="002D6345" w:rsidRPr="00ED7C14" w:rsidRDefault="002D6345" w:rsidP="002777E0">
      <w:pPr>
        <w:pStyle w:val="ListParagraph"/>
        <w:rPr>
          <w:lang w:val="en-US"/>
        </w:rPr>
      </w:pPr>
      <w:r>
        <w:rPr>
          <w:lang w:val="en-US"/>
        </w:rPr>
        <w:t xml:space="preserve">the calibration of the LIS threshold for </w:t>
      </w:r>
      <w:r w:rsidRPr="00ED7C14">
        <w:rPr>
          <w:lang w:val="en-US"/>
        </w:rPr>
        <w:t>ETFs should take into account the existence of the “creation / redemption” process</w:t>
      </w:r>
      <w:r>
        <w:rPr>
          <w:lang w:val="en-US"/>
        </w:rPr>
        <w:t>, and</w:t>
      </w:r>
    </w:p>
    <w:p w:rsidR="002D6345" w:rsidRPr="00ED7C14" w:rsidRDefault="002D6345" w:rsidP="002777E0">
      <w:pPr>
        <w:pStyle w:val="ListParagraph"/>
        <w:rPr>
          <w:lang w:val="en-US"/>
        </w:rPr>
      </w:pPr>
      <w:r w:rsidRPr="00ED7C14">
        <w:rPr>
          <w:lang w:val="en-US"/>
        </w:rPr>
        <w:t xml:space="preserve">the “creation / redemption” process does not bring the same protection to risk takers for all ETFs, depending on the time zone under which the underlying asset / basket </w:t>
      </w:r>
      <w:r>
        <w:rPr>
          <w:lang w:val="en-US"/>
        </w:rPr>
        <w:t>can be traded</w:t>
      </w:r>
      <w:r w:rsidRPr="00ED7C14">
        <w:rPr>
          <w:lang w:val="en-US"/>
        </w:rPr>
        <w:t>,</w:t>
      </w:r>
    </w:p>
    <w:p w:rsidR="002D6345" w:rsidRDefault="002D6345" w:rsidP="002D6345">
      <w:pPr>
        <w:spacing w:line="240" w:lineRule="atLeast"/>
        <w:rPr>
          <w:bCs/>
          <w:szCs w:val="22"/>
          <w:lang w:val="en-US"/>
        </w:rPr>
      </w:pPr>
    </w:p>
    <w:p w:rsidR="002D6345" w:rsidRPr="00ED7C14" w:rsidRDefault="002D6345" w:rsidP="002D6345">
      <w:pPr>
        <w:spacing w:line="240" w:lineRule="atLeast"/>
        <w:rPr>
          <w:bCs/>
          <w:szCs w:val="22"/>
          <w:lang w:val="en-US"/>
        </w:rPr>
      </w:pPr>
      <w:proofErr w:type="gramStart"/>
      <w:r w:rsidRPr="00ED7C14">
        <w:rPr>
          <w:bCs/>
          <w:szCs w:val="22"/>
          <w:lang w:val="en-US"/>
        </w:rPr>
        <w:t>we</w:t>
      </w:r>
      <w:proofErr w:type="gramEnd"/>
      <w:r w:rsidRPr="00ED7C14">
        <w:rPr>
          <w:bCs/>
          <w:szCs w:val="22"/>
          <w:lang w:val="en-US"/>
        </w:rPr>
        <w:t xml:space="preserve"> would like to propose the following simple </w:t>
      </w:r>
      <w:r>
        <w:rPr>
          <w:bCs/>
          <w:szCs w:val="22"/>
          <w:lang w:val="en-US"/>
        </w:rPr>
        <w:t xml:space="preserve">and effective </w:t>
      </w:r>
      <w:r w:rsidRPr="00ED7C14">
        <w:rPr>
          <w:bCs/>
          <w:szCs w:val="22"/>
          <w:lang w:val="en-US"/>
        </w:rPr>
        <w:t>calibration:</w:t>
      </w:r>
    </w:p>
    <w:p w:rsidR="002D6345" w:rsidRPr="00ED7C14" w:rsidRDefault="002D6345" w:rsidP="002777E0">
      <w:pPr>
        <w:pStyle w:val="ListParagraph"/>
        <w:rPr>
          <w:lang w:val="en-US"/>
        </w:rPr>
      </w:pPr>
      <w:r w:rsidRPr="00ED7C14">
        <w:rPr>
          <w:lang w:val="en-US"/>
        </w:rPr>
        <w:t>a single large in scale threshold of €</w:t>
      </w:r>
      <w:r>
        <w:rPr>
          <w:lang w:val="en-US"/>
        </w:rPr>
        <w:t>2</w:t>
      </w:r>
      <w:r w:rsidRPr="00ED7C14">
        <w:rPr>
          <w:lang w:val="en-US"/>
        </w:rPr>
        <w:t xml:space="preserve"> million should apply to all ETFs for which the “creation / redemption” process occurs just after the closing auction for that ETF,</w:t>
      </w:r>
    </w:p>
    <w:p w:rsidR="002D6345" w:rsidRPr="002D6345" w:rsidRDefault="002D6345" w:rsidP="002777E0">
      <w:pPr>
        <w:pStyle w:val="ListParagraph"/>
        <w:rPr>
          <w:lang w:val="en-US"/>
        </w:rPr>
      </w:pPr>
      <w:proofErr w:type="gramStart"/>
      <w:r w:rsidRPr="00ED7C14">
        <w:rPr>
          <w:lang w:val="en-US"/>
        </w:rPr>
        <w:t>a</w:t>
      </w:r>
      <w:proofErr w:type="gramEnd"/>
      <w:r w:rsidRPr="00ED7C14">
        <w:rPr>
          <w:lang w:val="en-US"/>
        </w:rPr>
        <w:t xml:space="preserve"> single large in scale threshold of €</w:t>
      </w:r>
      <w:r>
        <w:rPr>
          <w:lang w:val="en-US"/>
        </w:rPr>
        <w:t>0</w:t>
      </w:r>
      <w:r w:rsidRPr="00ED7C14">
        <w:rPr>
          <w:lang w:val="en-US"/>
        </w:rPr>
        <w:t>.5 million should apply to all ETFs for which the “creation / redemption” process occurs at least 3 hours after the closing auction for that ETF.</w:t>
      </w:r>
    </w:p>
    <w:permEnd w:id="51"/>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t>&lt;ESMA_QUESTION_CP_MIFID_43&gt;</w:t>
      </w:r>
    </w:p>
    <w:p w:rsidR="002D6345" w:rsidRPr="002D6345" w:rsidRDefault="002D6345" w:rsidP="002D6345">
      <w:pPr>
        <w:spacing w:line="240" w:lineRule="atLeast"/>
        <w:rPr>
          <w:bCs/>
          <w:szCs w:val="22"/>
          <w:lang w:val="fr-FR"/>
        </w:rPr>
      </w:pPr>
      <w:permStart w:id="52" w:edGrp="everyone"/>
      <w:r w:rsidRPr="002D6345">
        <w:rPr>
          <w:bCs/>
          <w:szCs w:val="22"/>
          <w:lang w:val="fr-FR"/>
        </w:rPr>
        <w:t>No comment</w:t>
      </w:r>
      <w:r w:rsidR="00CB3E3D">
        <w:rPr>
          <w:bCs/>
          <w:szCs w:val="22"/>
          <w:lang w:val="fr-FR"/>
        </w:rPr>
        <w:t>.</w:t>
      </w:r>
    </w:p>
    <w:permEnd w:id="52"/>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2D6345" w:rsidRPr="00BD6C6E" w:rsidRDefault="002D6345" w:rsidP="002D6345">
      <w:pPr>
        <w:spacing w:line="240" w:lineRule="atLeast"/>
        <w:rPr>
          <w:bCs/>
          <w:szCs w:val="22"/>
          <w:lang w:val="en-US"/>
        </w:rPr>
      </w:pPr>
      <w:permStart w:id="53" w:edGrp="everyone"/>
      <w:r>
        <w:rPr>
          <w:bCs/>
          <w:szCs w:val="22"/>
          <w:lang w:val="en-US"/>
        </w:rPr>
        <w:t>Yes, Société Générale supports the proposed approach for stubs.</w:t>
      </w:r>
    </w:p>
    <w:permEnd w:id="53"/>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2D6345" w:rsidRPr="00DE6BE2" w:rsidRDefault="002D6345" w:rsidP="002D6345">
      <w:pPr>
        <w:pStyle w:val="NoSpacing"/>
        <w:keepNext/>
        <w:keepLines/>
        <w:spacing w:line="240" w:lineRule="atLeast"/>
        <w:jc w:val="both"/>
        <w:rPr>
          <w:rFonts w:ascii="Times New Roman" w:hAnsi="Times New Roman" w:cs="Times New Roman"/>
          <w:sz w:val="22"/>
          <w:szCs w:val="22"/>
        </w:rPr>
      </w:pPr>
      <w:permStart w:id="54" w:edGrp="everyone"/>
      <w:r w:rsidRPr="002D6345">
        <w:rPr>
          <w:rFonts w:cstheme="minorHAnsi"/>
          <w:sz w:val="22"/>
          <w:szCs w:val="22"/>
        </w:rPr>
        <w:t xml:space="preserve">Yes, </w:t>
      </w:r>
      <w:r w:rsidRPr="002D6345">
        <w:rPr>
          <w:rFonts w:cstheme="minorHAnsi"/>
          <w:bCs/>
          <w:sz w:val="22"/>
          <w:szCs w:val="22"/>
          <w:lang w:val="en-US"/>
        </w:rPr>
        <w:t xml:space="preserve">Société Générale </w:t>
      </w:r>
      <w:r w:rsidRPr="002D6345">
        <w:rPr>
          <w:rFonts w:cstheme="minorHAnsi"/>
          <w:sz w:val="22"/>
          <w:szCs w:val="22"/>
        </w:rPr>
        <w:t>supports the proposal to publish with each quote the time the quote has been entered or updated</w:t>
      </w:r>
      <w:r w:rsidRPr="00DE6BE2">
        <w:rPr>
          <w:rFonts w:ascii="Times New Roman" w:hAnsi="Times New Roman" w:cs="Times New Roman"/>
          <w:sz w:val="22"/>
          <w:szCs w:val="22"/>
        </w:rPr>
        <w:t>.</w:t>
      </w:r>
    </w:p>
    <w:permEnd w:id="54"/>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lastRenderedPageBreak/>
        <w:t>&lt;ESMA_QUESTION_CP_MIFID_46&gt;</w:t>
      </w:r>
    </w:p>
    <w:p w:rsidR="002D6345" w:rsidRPr="002D6345" w:rsidRDefault="002D6345" w:rsidP="002D6345">
      <w:pPr>
        <w:pStyle w:val="NoSpacing"/>
        <w:spacing w:line="240" w:lineRule="atLeast"/>
        <w:jc w:val="both"/>
        <w:rPr>
          <w:rFonts w:cstheme="minorHAnsi"/>
          <w:sz w:val="22"/>
          <w:szCs w:val="22"/>
        </w:rPr>
      </w:pPr>
      <w:permStart w:id="55" w:edGrp="everyone"/>
      <w:r w:rsidRPr="002D6345">
        <w:rPr>
          <w:rFonts w:cstheme="minorHAnsi"/>
          <w:sz w:val="22"/>
          <w:szCs w:val="22"/>
        </w:rPr>
        <w:t xml:space="preserve">Yes, </w:t>
      </w:r>
      <w:r w:rsidRPr="002D6345">
        <w:rPr>
          <w:rFonts w:cstheme="minorHAnsi"/>
          <w:bCs/>
          <w:sz w:val="22"/>
          <w:szCs w:val="22"/>
          <w:lang w:val="en-US"/>
        </w:rPr>
        <w:t xml:space="preserve">Société Générale </w:t>
      </w:r>
      <w:r w:rsidRPr="002D6345">
        <w:rPr>
          <w:rFonts w:cstheme="minorHAnsi"/>
          <w:sz w:val="22"/>
          <w:szCs w:val="22"/>
        </w:rPr>
        <w:t>agrees that a price reflects the prevailing market conditions when it is close to comparable quotes for the same share, depositary receipt, ETF, certificates or other similar financial instrument on other trading venues.</w:t>
      </w:r>
    </w:p>
    <w:permEnd w:id="55"/>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2D6345" w:rsidRPr="00312741" w:rsidRDefault="002D6345" w:rsidP="00312741">
      <w:pPr>
        <w:pStyle w:val="PlainText"/>
        <w:keepNext/>
        <w:keepLines/>
        <w:spacing w:line="240" w:lineRule="atLeast"/>
        <w:rPr>
          <w:rFonts w:asciiTheme="minorHAnsi" w:hAnsiTheme="minorHAnsi" w:cstheme="minorHAnsi"/>
          <w:sz w:val="22"/>
          <w:szCs w:val="22"/>
        </w:rPr>
      </w:pPr>
      <w:permStart w:id="56" w:edGrp="everyone"/>
      <w:r w:rsidRPr="00312741">
        <w:rPr>
          <w:rFonts w:asciiTheme="minorHAnsi" w:hAnsiTheme="minorHAnsi" w:cstheme="minorHAnsi"/>
          <w:sz w:val="22"/>
          <w:szCs w:val="22"/>
          <w:lang w:val="en-GB"/>
        </w:rPr>
        <w:t>B</w:t>
      </w:r>
      <w:proofErr w:type="spellStart"/>
      <w:r w:rsidRPr="00312741">
        <w:rPr>
          <w:rFonts w:asciiTheme="minorHAnsi" w:hAnsiTheme="minorHAnsi" w:cstheme="minorHAnsi"/>
          <w:sz w:val="22"/>
          <w:szCs w:val="22"/>
        </w:rPr>
        <w:t>ased</w:t>
      </w:r>
      <w:proofErr w:type="spellEnd"/>
      <w:r w:rsidRPr="00312741">
        <w:rPr>
          <w:rFonts w:asciiTheme="minorHAnsi" w:hAnsiTheme="minorHAnsi" w:cstheme="minorHAnsi"/>
          <w:sz w:val="22"/>
          <w:szCs w:val="22"/>
        </w:rPr>
        <w:t xml:space="preserve"> on the data published on ESMA website (</w:t>
      </w:r>
      <w:hyperlink r:id="rId11" w:history="1">
        <w:r w:rsidRPr="00312741">
          <w:rPr>
            <w:rStyle w:val="Hyperlink"/>
            <w:rFonts w:asciiTheme="minorHAnsi" w:hAnsiTheme="minorHAnsi" w:cstheme="minorHAnsi"/>
            <w:sz w:val="22"/>
            <w:szCs w:val="22"/>
          </w:rPr>
          <w:t>http://mifiddatabase.esma.europa.eu/Index.aspx?sectionlinks id=14&amp;language=0&amp;pageName=</w:t>
        </w:r>
        <w:proofErr w:type="spellStart"/>
        <w:r w:rsidRPr="00312741">
          <w:rPr>
            <w:rStyle w:val="Hyperlink"/>
            <w:rFonts w:asciiTheme="minorHAnsi" w:hAnsiTheme="minorHAnsi" w:cstheme="minorHAnsi"/>
            <w:sz w:val="22"/>
            <w:szCs w:val="22"/>
          </w:rPr>
          <w:t>MiFIDLiquidSearch</w:t>
        </w:r>
        <w:proofErr w:type="spellEnd"/>
      </w:hyperlink>
      <w:r w:rsidRPr="00312741">
        <w:rPr>
          <w:rFonts w:asciiTheme="minorHAnsi" w:hAnsiTheme="minorHAnsi" w:cstheme="minorHAnsi"/>
          <w:sz w:val="22"/>
          <w:szCs w:val="22"/>
        </w:rPr>
        <w:t>), 96% of European shares have an AVT below EUR 20,000 (out of 5,964 shares, 754 have no daily transaction, 4,976 have an AVT below EUR 20,000 and 235 have an AVT above EUR 20,000). In other terms, the proposed classes by AVT would mean that virtually all European shares would have the same SMS set at EUR 10,000.</w:t>
      </w:r>
    </w:p>
    <w:p w:rsidR="002D6345" w:rsidRPr="00312741" w:rsidRDefault="002D6345" w:rsidP="00312741">
      <w:pPr>
        <w:pStyle w:val="PlainText"/>
        <w:spacing w:line="240" w:lineRule="atLeast"/>
        <w:rPr>
          <w:rFonts w:asciiTheme="minorHAnsi" w:hAnsiTheme="minorHAnsi" w:cstheme="minorHAnsi"/>
          <w:sz w:val="22"/>
          <w:szCs w:val="22"/>
        </w:rPr>
      </w:pPr>
    </w:p>
    <w:p w:rsidR="002D6345" w:rsidRPr="00312741" w:rsidRDefault="002D6345" w:rsidP="00312741">
      <w:pPr>
        <w:jc w:val="left"/>
        <w:rPr>
          <w:rFonts w:cstheme="minorHAnsi"/>
          <w:bCs/>
          <w:szCs w:val="22"/>
          <w:lang w:val="en-US"/>
        </w:rPr>
      </w:pPr>
      <w:r w:rsidRPr="00312741">
        <w:rPr>
          <w:rFonts w:cstheme="minorHAnsi"/>
          <w:szCs w:val="22"/>
          <w:lang w:val="en-US"/>
        </w:rPr>
        <w:t xml:space="preserve">We hence reiterate the preference expressed in our answer to the Discussion Paper, which would consist of </w:t>
      </w:r>
      <w:r w:rsidRPr="00312741">
        <w:rPr>
          <w:rFonts w:cstheme="minorHAnsi"/>
          <w:bCs/>
          <w:szCs w:val="22"/>
          <w:lang w:val="en-US"/>
        </w:rPr>
        <w:t xml:space="preserve">creating new AVT classes, so as to keep a sufficient level of differentiation across stocks. Specifically, the </w:t>
      </w:r>
      <w:proofErr w:type="gramStart"/>
      <w:r w:rsidRPr="00312741">
        <w:rPr>
          <w:rFonts w:cstheme="minorHAnsi"/>
          <w:bCs/>
          <w:szCs w:val="22"/>
          <w:lang w:val="en-US"/>
        </w:rPr>
        <w:t>[ EUR</w:t>
      </w:r>
      <w:proofErr w:type="gramEnd"/>
      <w:r w:rsidRPr="00312741">
        <w:rPr>
          <w:rFonts w:cstheme="minorHAnsi"/>
          <w:bCs/>
          <w:szCs w:val="22"/>
          <w:lang w:val="en-US"/>
        </w:rPr>
        <w:t xml:space="preserve"> 0 - EUR 10,000 ] class should be broken up in 3 new classes:</w:t>
      </w:r>
    </w:p>
    <w:p w:rsidR="002D6345" w:rsidRPr="00312741" w:rsidRDefault="002D6345" w:rsidP="002777E0">
      <w:pPr>
        <w:pStyle w:val="ListParagraph"/>
        <w:rPr>
          <w:lang w:val="en-US"/>
        </w:rPr>
      </w:pPr>
      <w:r w:rsidRPr="00312741">
        <w:rPr>
          <w:lang w:val="en-US"/>
        </w:rPr>
        <w:t>one for the [ EUR 0 - EUR 3,000 ] AVT range, with an EUR 1,500 SMS,</w:t>
      </w:r>
    </w:p>
    <w:p w:rsidR="002D6345" w:rsidRPr="00312741" w:rsidRDefault="002D6345" w:rsidP="002777E0">
      <w:pPr>
        <w:pStyle w:val="ListParagraph"/>
        <w:rPr>
          <w:lang w:val="en-US"/>
        </w:rPr>
      </w:pPr>
      <w:r w:rsidRPr="00312741">
        <w:rPr>
          <w:lang w:val="en-US"/>
        </w:rPr>
        <w:t>one for the [ EUR 3,000 - EUR 6,000 ] AVT range, with an EUR 4,500 SMS,</w:t>
      </w:r>
    </w:p>
    <w:p w:rsidR="002D6345" w:rsidRPr="00312741" w:rsidRDefault="002D6345" w:rsidP="002777E0">
      <w:pPr>
        <w:pStyle w:val="ListParagraph"/>
        <w:rPr>
          <w:lang w:val="en-US"/>
        </w:rPr>
      </w:pPr>
      <w:proofErr w:type="gramStart"/>
      <w:r w:rsidRPr="00312741">
        <w:rPr>
          <w:lang w:val="en-US"/>
        </w:rPr>
        <w:t>one</w:t>
      </w:r>
      <w:proofErr w:type="gramEnd"/>
      <w:r w:rsidRPr="00312741">
        <w:rPr>
          <w:lang w:val="en-US"/>
        </w:rPr>
        <w:t xml:space="preserve"> for the [ EUR 6,000 - EUR 10,000 ] AVT range, with an EUR 8,000 SMS.</w:t>
      </w:r>
    </w:p>
    <w:p w:rsidR="002D6345" w:rsidRPr="00312741" w:rsidRDefault="002D6345" w:rsidP="00312741">
      <w:pPr>
        <w:pStyle w:val="PlainText"/>
        <w:spacing w:line="240" w:lineRule="atLeast"/>
        <w:rPr>
          <w:rFonts w:asciiTheme="minorHAnsi" w:hAnsiTheme="minorHAnsi" w:cstheme="minorHAnsi"/>
          <w:sz w:val="22"/>
          <w:szCs w:val="22"/>
        </w:rPr>
      </w:pPr>
    </w:p>
    <w:p w:rsidR="002D6345" w:rsidRPr="00312741" w:rsidRDefault="002D6345" w:rsidP="00312741">
      <w:pPr>
        <w:pStyle w:val="PlainText"/>
        <w:spacing w:line="240" w:lineRule="atLeast"/>
        <w:rPr>
          <w:rFonts w:asciiTheme="minorHAnsi" w:hAnsiTheme="minorHAnsi" w:cstheme="minorHAnsi"/>
          <w:bCs/>
          <w:sz w:val="22"/>
          <w:szCs w:val="22"/>
        </w:rPr>
      </w:pPr>
      <w:r w:rsidRPr="00312741">
        <w:rPr>
          <w:rFonts w:asciiTheme="minorHAnsi" w:hAnsiTheme="minorHAnsi" w:cstheme="minorHAnsi"/>
          <w:sz w:val="22"/>
          <w:szCs w:val="22"/>
        </w:rPr>
        <w:t xml:space="preserve">Conversely, if the approach was confirmed to use a single </w:t>
      </w:r>
      <w:proofErr w:type="gramStart"/>
      <w:r w:rsidRPr="00312741">
        <w:rPr>
          <w:rFonts w:asciiTheme="minorHAnsi" w:hAnsiTheme="minorHAnsi" w:cstheme="minorHAnsi"/>
          <w:bCs/>
          <w:sz w:val="22"/>
          <w:szCs w:val="22"/>
        </w:rPr>
        <w:t>[ EUR</w:t>
      </w:r>
      <w:proofErr w:type="gramEnd"/>
      <w:r w:rsidRPr="00312741">
        <w:rPr>
          <w:rFonts w:asciiTheme="minorHAnsi" w:hAnsiTheme="minorHAnsi" w:cstheme="minorHAnsi"/>
          <w:bCs/>
          <w:sz w:val="22"/>
          <w:szCs w:val="22"/>
        </w:rPr>
        <w:t xml:space="preserve"> 0 - EUR 20,000 ] class, we would recommend, at least for shares, to set a unique SMS at EUR 10,000 for all instruments regardless of the AVT:</w:t>
      </w:r>
    </w:p>
    <w:p w:rsidR="002D6345" w:rsidRPr="00312741" w:rsidRDefault="002D6345" w:rsidP="00E077AE">
      <w:pPr>
        <w:pStyle w:val="PlainText"/>
        <w:numPr>
          <w:ilvl w:val="0"/>
          <w:numId w:val="44"/>
        </w:numPr>
        <w:spacing w:before="120" w:line="240" w:lineRule="atLeast"/>
        <w:rPr>
          <w:rFonts w:asciiTheme="minorHAnsi" w:hAnsiTheme="minorHAnsi" w:cstheme="minorHAnsi"/>
          <w:bCs/>
          <w:sz w:val="22"/>
          <w:szCs w:val="22"/>
        </w:rPr>
      </w:pPr>
      <w:r w:rsidRPr="00312741">
        <w:rPr>
          <w:rFonts w:asciiTheme="minorHAnsi" w:hAnsiTheme="minorHAnsi" w:cstheme="minorHAnsi"/>
          <w:bCs/>
          <w:sz w:val="22"/>
          <w:szCs w:val="22"/>
        </w:rPr>
        <w:t>the downside of such approach would be quite limited, as it would mean applying a “wrong” SMS to only 4% of European shares,</w:t>
      </w:r>
    </w:p>
    <w:p w:rsidR="002D6345" w:rsidRPr="00312741" w:rsidRDefault="002D6345" w:rsidP="00E077AE">
      <w:pPr>
        <w:pStyle w:val="PlainText"/>
        <w:numPr>
          <w:ilvl w:val="0"/>
          <w:numId w:val="44"/>
        </w:numPr>
        <w:spacing w:before="120" w:line="240" w:lineRule="atLeast"/>
        <w:rPr>
          <w:rFonts w:asciiTheme="minorHAnsi" w:hAnsiTheme="minorHAnsi" w:cstheme="minorHAnsi"/>
          <w:bCs/>
          <w:sz w:val="22"/>
          <w:szCs w:val="22"/>
        </w:rPr>
      </w:pPr>
      <w:proofErr w:type="gramStart"/>
      <w:r w:rsidRPr="00312741">
        <w:rPr>
          <w:rFonts w:asciiTheme="minorHAnsi" w:hAnsiTheme="minorHAnsi" w:cstheme="minorHAnsi"/>
          <w:bCs/>
          <w:sz w:val="22"/>
          <w:szCs w:val="22"/>
        </w:rPr>
        <w:t>the</w:t>
      </w:r>
      <w:proofErr w:type="gramEnd"/>
      <w:r w:rsidRPr="00312741">
        <w:rPr>
          <w:rFonts w:asciiTheme="minorHAnsi" w:hAnsiTheme="minorHAnsi" w:cstheme="minorHAnsi"/>
          <w:bCs/>
          <w:sz w:val="22"/>
          <w:szCs w:val="22"/>
        </w:rPr>
        <w:t xml:space="preserve"> upside would be to have a set-up that would be easy to understand and to implement. It would offer significant saving of time and money for all markets participants, including ESMA and NCAs, as the follow-up of AVTs would no longer be required.</w:t>
      </w:r>
    </w:p>
    <w:permEnd w:id="56"/>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312741" w:rsidRPr="00312741" w:rsidRDefault="00312741" w:rsidP="00312741">
      <w:pPr>
        <w:pStyle w:val="Default"/>
        <w:keepNext/>
        <w:keepLines/>
        <w:spacing w:line="240" w:lineRule="atLeast"/>
        <w:jc w:val="both"/>
        <w:rPr>
          <w:rFonts w:asciiTheme="minorHAnsi" w:hAnsiTheme="minorHAnsi" w:cstheme="minorHAnsi"/>
          <w:bCs/>
          <w:sz w:val="22"/>
          <w:szCs w:val="22"/>
        </w:rPr>
      </w:pPr>
      <w:permStart w:id="57" w:edGrp="everyone"/>
      <w:r w:rsidRPr="00312741">
        <w:rPr>
          <w:rFonts w:asciiTheme="minorHAnsi" w:hAnsiTheme="minorHAnsi" w:cstheme="minorHAnsi"/>
          <w:sz w:val="22"/>
          <w:szCs w:val="22"/>
        </w:rPr>
        <w:t>We reiterate the elements stated in our answer to Q39 with regards the need (</w:t>
      </w:r>
      <w:proofErr w:type="spellStart"/>
      <w:r w:rsidRPr="00312741">
        <w:rPr>
          <w:rFonts w:asciiTheme="minorHAnsi" w:hAnsiTheme="minorHAnsi" w:cstheme="minorHAnsi"/>
          <w:sz w:val="22"/>
          <w:szCs w:val="22"/>
        </w:rPr>
        <w:t>i</w:t>
      </w:r>
      <w:proofErr w:type="spellEnd"/>
      <w:r w:rsidRPr="00312741">
        <w:rPr>
          <w:rFonts w:asciiTheme="minorHAnsi" w:hAnsiTheme="minorHAnsi" w:cstheme="minorHAnsi"/>
          <w:sz w:val="22"/>
          <w:szCs w:val="22"/>
        </w:rPr>
        <w:t xml:space="preserve">) to further harmonise the lists of transactions eligible for exemptions and (ii) to keep </w:t>
      </w:r>
      <w:r w:rsidRPr="00312741">
        <w:rPr>
          <w:rFonts w:asciiTheme="minorHAnsi" w:hAnsiTheme="minorHAnsi" w:cstheme="minorHAnsi"/>
          <w:bCs/>
          <w:sz w:val="22"/>
          <w:szCs w:val="22"/>
        </w:rPr>
        <w:t>each of these lists open, so as to remain flexible as the evolution of markets may result in the creation of new type of transactions that will need to be accommodated by the relevant waivers.</w:t>
      </w:r>
    </w:p>
    <w:p w:rsidR="00312741" w:rsidRPr="00312741" w:rsidRDefault="00312741" w:rsidP="00312741">
      <w:pPr>
        <w:pStyle w:val="Default"/>
        <w:spacing w:line="240" w:lineRule="atLeast"/>
        <w:jc w:val="both"/>
        <w:rPr>
          <w:rFonts w:asciiTheme="minorHAnsi" w:hAnsiTheme="minorHAnsi" w:cstheme="minorHAnsi"/>
          <w:bCs/>
          <w:sz w:val="22"/>
          <w:szCs w:val="22"/>
        </w:rPr>
      </w:pPr>
    </w:p>
    <w:p w:rsidR="00312741" w:rsidRPr="00312741" w:rsidRDefault="00312741" w:rsidP="00312741">
      <w:pPr>
        <w:pStyle w:val="Default"/>
        <w:spacing w:line="240" w:lineRule="atLeast"/>
        <w:jc w:val="both"/>
        <w:rPr>
          <w:rFonts w:asciiTheme="minorHAnsi" w:hAnsiTheme="minorHAnsi" w:cstheme="minorHAnsi"/>
          <w:bCs/>
          <w:sz w:val="22"/>
          <w:szCs w:val="22"/>
        </w:rPr>
      </w:pPr>
      <w:r w:rsidRPr="00312741">
        <w:rPr>
          <w:rFonts w:asciiTheme="minorHAnsi" w:hAnsiTheme="minorHAnsi" w:cstheme="minorHAnsi"/>
          <w:sz w:val="22"/>
          <w:szCs w:val="22"/>
        </w:rPr>
        <w:t>We also have specific remarks regarding the proposed list of “</w:t>
      </w:r>
      <w:r w:rsidRPr="00312741">
        <w:rPr>
          <w:rFonts w:asciiTheme="minorHAnsi" w:hAnsiTheme="minorHAnsi" w:cstheme="minorHAnsi"/>
          <w:bCs/>
          <w:sz w:val="22"/>
          <w:szCs w:val="22"/>
        </w:rPr>
        <w:t>transactions not contributing to the price discovery process”:</w:t>
      </w:r>
    </w:p>
    <w:p w:rsidR="00312741" w:rsidRPr="00312741" w:rsidRDefault="00312741" w:rsidP="00E077AE">
      <w:pPr>
        <w:pStyle w:val="Default"/>
        <w:numPr>
          <w:ilvl w:val="0"/>
          <w:numId w:val="40"/>
        </w:numPr>
        <w:spacing w:before="120" w:line="240" w:lineRule="atLeast"/>
        <w:jc w:val="both"/>
        <w:rPr>
          <w:rFonts w:asciiTheme="minorHAnsi" w:hAnsiTheme="minorHAnsi" w:cstheme="minorHAnsi"/>
          <w:sz w:val="22"/>
          <w:szCs w:val="22"/>
        </w:rPr>
      </w:pPr>
      <w:proofErr w:type="gramStart"/>
      <w:r w:rsidRPr="00312741">
        <w:rPr>
          <w:rFonts w:asciiTheme="minorHAnsi" w:hAnsiTheme="minorHAnsi" w:cstheme="minorHAnsi"/>
          <w:sz w:val="22"/>
          <w:szCs w:val="22"/>
        </w:rPr>
        <w:t>we</w:t>
      </w:r>
      <w:proofErr w:type="gramEnd"/>
      <w:r w:rsidRPr="00312741">
        <w:rPr>
          <w:rFonts w:asciiTheme="minorHAnsi" w:hAnsiTheme="minorHAnsi" w:cstheme="minorHAnsi"/>
          <w:sz w:val="22"/>
          <w:szCs w:val="22"/>
        </w:rPr>
        <w:t xml:space="preserve"> consider that the definition of “a portfolio trade” is improper, and see no reason to require that a portfolio trade “involves the execution of 10 or more financial instruments”.</w:t>
      </w:r>
    </w:p>
    <w:p w:rsidR="00312741" w:rsidRPr="00312741" w:rsidRDefault="00312741" w:rsidP="00312741">
      <w:pPr>
        <w:pStyle w:val="Default"/>
        <w:spacing w:line="240" w:lineRule="atLeast"/>
        <w:ind w:left="720"/>
        <w:jc w:val="both"/>
        <w:rPr>
          <w:rFonts w:asciiTheme="minorHAnsi" w:hAnsiTheme="minorHAnsi" w:cstheme="minorHAnsi"/>
          <w:sz w:val="22"/>
          <w:szCs w:val="22"/>
        </w:rPr>
      </w:pPr>
    </w:p>
    <w:p w:rsidR="00312741" w:rsidRPr="00312741" w:rsidRDefault="00312741" w:rsidP="00312741">
      <w:pPr>
        <w:pStyle w:val="Default"/>
        <w:spacing w:line="240" w:lineRule="atLeast"/>
        <w:ind w:left="720"/>
        <w:jc w:val="both"/>
        <w:rPr>
          <w:rFonts w:asciiTheme="minorHAnsi" w:hAnsiTheme="minorHAnsi" w:cstheme="minorHAnsi"/>
          <w:sz w:val="22"/>
          <w:szCs w:val="22"/>
        </w:rPr>
      </w:pPr>
      <w:r w:rsidRPr="00312741">
        <w:rPr>
          <w:rFonts w:asciiTheme="minorHAnsi" w:hAnsiTheme="minorHAnsi" w:cstheme="minorHAnsi"/>
          <w:sz w:val="22"/>
          <w:szCs w:val="22"/>
        </w:rPr>
        <w:lastRenderedPageBreak/>
        <w:t>We hence recommend modifying the article 2 in draft RTS 8, from</w:t>
      </w:r>
    </w:p>
    <w:p w:rsidR="00312741" w:rsidRPr="00312741" w:rsidRDefault="00312741" w:rsidP="00312741">
      <w:pPr>
        <w:pStyle w:val="Default"/>
        <w:spacing w:line="240" w:lineRule="atLeast"/>
        <w:ind w:left="1440"/>
        <w:rPr>
          <w:rFonts w:asciiTheme="minorHAnsi" w:hAnsiTheme="minorHAnsi" w:cstheme="minorHAnsi"/>
          <w:sz w:val="22"/>
          <w:szCs w:val="22"/>
        </w:rPr>
      </w:pPr>
    </w:p>
    <w:p w:rsidR="00312741" w:rsidRPr="00312741" w:rsidRDefault="00312741" w:rsidP="00312741">
      <w:pPr>
        <w:pStyle w:val="Default"/>
        <w:spacing w:line="240" w:lineRule="atLeast"/>
        <w:ind w:left="1440"/>
        <w:rPr>
          <w:rFonts w:asciiTheme="minorHAnsi" w:hAnsiTheme="minorHAnsi" w:cstheme="minorHAnsi"/>
          <w:sz w:val="22"/>
          <w:szCs w:val="22"/>
        </w:rPr>
      </w:pPr>
      <w:r w:rsidRPr="00312741">
        <w:rPr>
          <w:rFonts w:asciiTheme="minorHAnsi" w:hAnsiTheme="minorHAnsi" w:cstheme="minorHAnsi"/>
          <w:sz w:val="22"/>
          <w:szCs w:val="22"/>
        </w:rPr>
        <w:t>the transaction is part of a portfolio trade that involves the execution of 10 or more financial instruments from the same client and at the same time and the components of the trade are meant to be executed only as a single lot;</w:t>
      </w:r>
    </w:p>
    <w:p w:rsidR="00312741" w:rsidRPr="00312741" w:rsidRDefault="00312741" w:rsidP="00312741">
      <w:pPr>
        <w:pStyle w:val="Default"/>
        <w:spacing w:line="240" w:lineRule="atLeast"/>
        <w:ind w:left="720"/>
        <w:rPr>
          <w:rFonts w:asciiTheme="minorHAnsi" w:hAnsiTheme="minorHAnsi" w:cstheme="minorHAnsi"/>
          <w:sz w:val="22"/>
          <w:szCs w:val="22"/>
        </w:rPr>
      </w:pPr>
    </w:p>
    <w:p w:rsidR="00312741" w:rsidRPr="00312741" w:rsidRDefault="00312741" w:rsidP="00312741">
      <w:pPr>
        <w:pStyle w:val="Default"/>
        <w:spacing w:line="240" w:lineRule="atLeast"/>
        <w:ind w:left="720"/>
        <w:rPr>
          <w:rFonts w:asciiTheme="minorHAnsi" w:hAnsiTheme="minorHAnsi" w:cstheme="minorHAnsi"/>
          <w:sz w:val="22"/>
          <w:szCs w:val="22"/>
        </w:rPr>
      </w:pPr>
      <w:proofErr w:type="gramStart"/>
      <w:r w:rsidRPr="00312741">
        <w:rPr>
          <w:rFonts w:asciiTheme="minorHAnsi" w:hAnsiTheme="minorHAnsi" w:cstheme="minorHAnsi"/>
          <w:sz w:val="22"/>
          <w:szCs w:val="22"/>
        </w:rPr>
        <w:t>to</w:t>
      </w:r>
      <w:proofErr w:type="gramEnd"/>
    </w:p>
    <w:p w:rsidR="00312741" w:rsidRPr="00312741" w:rsidRDefault="00312741" w:rsidP="00312741">
      <w:pPr>
        <w:pStyle w:val="Default"/>
        <w:spacing w:line="240" w:lineRule="atLeast"/>
        <w:ind w:left="1440"/>
        <w:rPr>
          <w:rFonts w:asciiTheme="minorHAnsi" w:hAnsiTheme="minorHAnsi" w:cstheme="minorHAnsi"/>
          <w:sz w:val="22"/>
          <w:szCs w:val="22"/>
        </w:rPr>
      </w:pPr>
    </w:p>
    <w:p w:rsidR="00312741" w:rsidRPr="00312741" w:rsidRDefault="00312741" w:rsidP="00312741">
      <w:pPr>
        <w:pStyle w:val="Default"/>
        <w:spacing w:line="240" w:lineRule="atLeast"/>
        <w:ind w:left="1440"/>
        <w:rPr>
          <w:rFonts w:asciiTheme="minorHAnsi" w:hAnsiTheme="minorHAnsi" w:cstheme="minorHAnsi"/>
          <w:sz w:val="22"/>
          <w:szCs w:val="22"/>
        </w:rPr>
      </w:pPr>
      <w:r w:rsidRPr="00312741">
        <w:rPr>
          <w:rFonts w:asciiTheme="minorHAnsi" w:hAnsiTheme="minorHAnsi" w:cstheme="minorHAnsi"/>
          <w:sz w:val="22"/>
          <w:szCs w:val="22"/>
        </w:rPr>
        <w:t>the transaction is part of a portfolio trade that involves the execution of 2 or more financial instruments from the same client and at the same time and the components of the trade are meant to be executed only as a single lot;</w:t>
      </w:r>
    </w:p>
    <w:p w:rsidR="00312741" w:rsidRPr="00312741" w:rsidRDefault="00312741" w:rsidP="00312741">
      <w:pPr>
        <w:pStyle w:val="Default"/>
        <w:spacing w:line="240" w:lineRule="atLeast"/>
        <w:jc w:val="both"/>
        <w:rPr>
          <w:rFonts w:asciiTheme="minorHAnsi" w:hAnsiTheme="minorHAnsi" w:cstheme="minorHAnsi"/>
          <w:sz w:val="22"/>
          <w:szCs w:val="22"/>
        </w:rPr>
      </w:pPr>
    </w:p>
    <w:p w:rsidR="00312741" w:rsidRPr="00312741" w:rsidRDefault="00312741" w:rsidP="00E077AE">
      <w:pPr>
        <w:pStyle w:val="Default"/>
        <w:numPr>
          <w:ilvl w:val="0"/>
          <w:numId w:val="39"/>
        </w:numPr>
        <w:spacing w:line="240" w:lineRule="atLeast"/>
        <w:jc w:val="both"/>
        <w:rPr>
          <w:rFonts w:asciiTheme="minorHAnsi" w:hAnsiTheme="minorHAnsi" w:cstheme="minorHAnsi"/>
          <w:sz w:val="22"/>
          <w:szCs w:val="22"/>
        </w:rPr>
      </w:pPr>
      <w:proofErr w:type="gramStart"/>
      <w:r w:rsidRPr="00312741">
        <w:rPr>
          <w:rFonts w:asciiTheme="minorHAnsi" w:hAnsiTheme="minorHAnsi" w:cstheme="minorHAnsi"/>
          <w:sz w:val="22"/>
          <w:szCs w:val="22"/>
        </w:rPr>
        <w:t>we</w:t>
      </w:r>
      <w:proofErr w:type="gramEnd"/>
      <w:r w:rsidRPr="00312741">
        <w:rPr>
          <w:rFonts w:asciiTheme="minorHAnsi" w:hAnsiTheme="minorHAnsi" w:cstheme="minorHAnsi"/>
          <w:sz w:val="22"/>
          <w:szCs w:val="22"/>
        </w:rPr>
        <w:t xml:space="preserve"> do not agree with ESMA’s proposal to limit the “collateral trade” exemption to “segregated collateral” trades.</w:t>
      </w:r>
    </w:p>
    <w:p w:rsidR="00312741" w:rsidRPr="00312741" w:rsidRDefault="00312741" w:rsidP="00312741">
      <w:pPr>
        <w:pStyle w:val="Default"/>
        <w:spacing w:line="240" w:lineRule="atLeast"/>
        <w:ind w:left="720"/>
        <w:jc w:val="both"/>
        <w:rPr>
          <w:rFonts w:asciiTheme="minorHAnsi" w:hAnsiTheme="minorHAnsi" w:cstheme="minorHAnsi"/>
          <w:sz w:val="22"/>
          <w:szCs w:val="22"/>
        </w:rPr>
      </w:pPr>
      <w:r w:rsidRPr="00312741">
        <w:rPr>
          <w:rFonts w:asciiTheme="minorHAnsi" w:hAnsiTheme="minorHAnsi" w:cstheme="minorHAnsi"/>
          <w:sz w:val="22"/>
          <w:szCs w:val="22"/>
        </w:rPr>
        <w:t>First, “segregated” and “non-segregated” collateral trades are operationally equivalent, and neither can contribute to the price discovery process Applying ESMA’s proposal would hence result in a de facto ban of “non-segregated” collateral trades.</w:t>
      </w:r>
    </w:p>
    <w:p w:rsidR="00312741" w:rsidRPr="00312741" w:rsidRDefault="00312741" w:rsidP="00312741">
      <w:pPr>
        <w:pStyle w:val="Default"/>
        <w:spacing w:line="240" w:lineRule="atLeast"/>
        <w:ind w:left="720"/>
        <w:jc w:val="both"/>
        <w:rPr>
          <w:rFonts w:asciiTheme="minorHAnsi" w:hAnsiTheme="minorHAnsi" w:cstheme="minorHAnsi"/>
          <w:sz w:val="22"/>
          <w:szCs w:val="22"/>
        </w:rPr>
      </w:pPr>
      <w:r w:rsidRPr="00312741">
        <w:rPr>
          <w:rFonts w:asciiTheme="minorHAnsi" w:hAnsiTheme="minorHAnsi" w:cstheme="minorHAnsi"/>
          <w:sz w:val="22"/>
          <w:szCs w:val="22"/>
        </w:rPr>
        <w:t xml:space="preserve">Second, the European Market Infrastructure Regulation authorizes “non-segregated” collateral arrangements, and it is not in ESMA’s mandate to supersede EMIR Level 1 text through a </w:t>
      </w:r>
      <w:proofErr w:type="spellStart"/>
      <w:r w:rsidRPr="00312741">
        <w:rPr>
          <w:rFonts w:asciiTheme="minorHAnsi" w:hAnsiTheme="minorHAnsi" w:cstheme="minorHAnsi"/>
          <w:sz w:val="22"/>
          <w:szCs w:val="22"/>
        </w:rPr>
        <w:t>MiFID</w:t>
      </w:r>
      <w:proofErr w:type="spellEnd"/>
      <w:r w:rsidRPr="00312741">
        <w:rPr>
          <w:rFonts w:asciiTheme="minorHAnsi" w:hAnsiTheme="minorHAnsi" w:cstheme="minorHAnsi"/>
          <w:sz w:val="22"/>
          <w:szCs w:val="22"/>
        </w:rPr>
        <w:t xml:space="preserve"> II Level 2 text.</w:t>
      </w:r>
    </w:p>
    <w:p w:rsidR="00312741" w:rsidRPr="00312741" w:rsidRDefault="00312741" w:rsidP="00312741">
      <w:pPr>
        <w:pStyle w:val="Default"/>
        <w:spacing w:line="240" w:lineRule="atLeast"/>
        <w:ind w:left="720"/>
        <w:jc w:val="both"/>
        <w:rPr>
          <w:rFonts w:asciiTheme="minorHAnsi" w:hAnsiTheme="minorHAnsi" w:cstheme="minorHAnsi"/>
          <w:sz w:val="22"/>
          <w:szCs w:val="22"/>
        </w:rPr>
      </w:pPr>
    </w:p>
    <w:p w:rsidR="00312741" w:rsidRPr="00312741" w:rsidRDefault="00312741" w:rsidP="00312741">
      <w:pPr>
        <w:pStyle w:val="Default"/>
        <w:spacing w:line="240" w:lineRule="atLeast"/>
        <w:ind w:left="720"/>
        <w:jc w:val="both"/>
        <w:rPr>
          <w:rFonts w:asciiTheme="minorHAnsi" w:hAnsiTheme="minorHAnsi" w:cstheme="minorHAnsi"/>
          <w:sz w:val="22"/>
          <w:szCs w:val="22"/>
        </w:rPr>
      </w:pPr>
      <w:r w:rsidRPr="00312741">
        <w:rPr>
          <w:rFonts w:asciiTheme="minorHAnsi" w:hAnsiTheme="minorHAnsi" w:cstheme="minorHAnsi"/>
          <w:sz w:val="22"/>
          <w:szCs w:val="22"/>
        </w:rPr>
        <w:t>In order to avoid this alteration of European markets, we recommend modifying the article 2 in draft RTS 8, from</w:t>
      </w:r>
    </w:p>
    <w:p w:rsidR="00312741" w:rsidRPr="00312741" w:rsidRDefault="00312741" w:rsidP="00312741">
      <w:pPr>
        <w:pStyle w:val="Default"/>
        <w:spacing w:line="240" w:lineRule="atLeast"/>
        <w:ind w:left="720"/>
        <w:jc w:val="both"/>
        <w:rPr>
          <w:rFonts w:asciiTheme="minorHAnsi" w:hAnsiTheme="minorHAnsi" w:cstheme="minorHAnsi"/>
          <w:sz w:val="22"/>
          <w:szCs w:val="22"/>
        </w:rPr>
      </w:pPr>
    </w:p>
    <w:p w:rsidR="00312741" w:rsidRPr="00312741" w:rsidRDefault="00312741" w:rsidP="00312741">
      <w:pPr>
        <w:pStyle w:val="Default"/>
        <w:spacing w:line="240" w:lineRule="atLeast"/>
        <w:ind w:left="1440"/>
        <w:jc w:val="both"/>
        <w:rPr>
          <w:rFonts w:asciiTheme="minorHAnsi" w:hAnsiTheme="minorHAnsi" w:cstheme="minorHAnsi"/>
          <w:sz w:val="22"/>
          <w:szCs w:val="22"/>
        </w:rPr>
      </w:pPr>
      <w:proofErr w:type="gramStart"/>
      <w:r w:rsidRPr="00312741">
        <w:rPr>
          <w:rFonts w:asciiTheme="minorHAnsi" w:hAnsiTheme="minorHAnsi" w:cstheme="minorHAnsi"/>
          <w:sz w:val="22"/>
          <w:szCs w:val="22"/>
        </w:rPr>
        <w:t>the</w:t>
      </w:r>
      <w:proofErr w:type="gramEnd"/>
      <w:r w:rsidRPr="00312741">
        <w:rPr>
          <w:rFonts w:asciiTheme="minorHAnsi" w:hAnsiTheme="minorHAnsi" w:cstheme="minorHAnsi"/>
          <w:sz w:val="22"/>
          <w:szCs w:val="22"/>
        </w:rPr>
        <w:t xml:space="preserve"> transaction is for the purpose of transferring financial instruments as segregated collateral in bilateral transactions or in the context of a CCP margin and collateral requirements; </w:t>
      </w:r>
    </w:p>
    <w:p w:rsidR="00312741" w:rsidRPr="00312741" w:rsidRDefault="00312741" w:rsidP="00312741">
      <w:pPr>
        <w:pStyle w:val="Default"/>
        <w:spacing w:line="240" w:lineRule="atLeast"/>
        <w:ind w:left="720"/>
        <w:jc w:val="both"/>
        <w:rPr>
          <w:rFonts w:asciiTheme="minorHAnsi" w:hAnsiTheme="minorHAnsi" w:cstheme="minorHAnsi"/>
          <w:sz w:val="22"/>
          <w:szCs w:val="22"/>
        </w:rPr>
      </w:pPr>
    </w:p>
    <w:p w:rsidR="00312741" w:rsidRPr="00312741" w:rsidRDefault="00312741" w:rsidP="00312741">
      <w:pPr>
        <w:pStyle w:val="Default"/>
        <w:spacing w:line="240" w:lineRule="atLeast"/>
        <w:ind w:left="720"/>
        <w:jc w:val="both"/>
        <w:rPr>
          <w:rFonts w:asciiTheme="minorHAnsi" w:hAnsiTheme="minorHAnsi" w:cstheme="minorHAnsi"/>
          <w:sz w:val="22"/>
          <w:szCs w:val="22"/>
        </w:rPr>
      </w:pPr>
      <w:proofErr w:type="gramStart"/>
      <w:r w:rsidRPr="00312741">
        <w:rPr>
          <w:rFonts w:asciiTheme="minorHAnsi" w:hAnsiTheme="minorHAnsi" w:cstheme="minorHAnsi"/>
          <w:sz w:val="22"/>
          <w:szCs w:val="22"/>
        </w:rPr>
        <w:t>to</w:t>
      </w:r>
      <w:proofErr w:type="gramEnd"/>
    </w:p>
    <w:p w:rsidR="00312741" w:rsidRPr="00312741" w:rsidRDefault="00312741" w:rsidP="00312741">
      <w:pPr>
        <w:pStyle w:val="Default"/>
        <w:spacing w:line="240" w:lineRule="atLeast"/>
        <w:ind w:left="720"/>
        <w:jc w:val="both"/>
        <w:rPr>
          <w:rFonts w:asciiTheme="minorHAnsi" w:hAnsiTheme="minorHAnsi" w:cstheme="minorHAnsi"/>
          <w:sz w:val="22"/>
          <w:szCs w:val="22"/>
        </w:rPr>
      </w:pPr>
    </w:p>
    <w:p w:rsidR="00312741" w:rsidRPr="00312741" w:rsidRDefault="00312741" w:rsidP="00312741">
      <w:pPr>
        <w:pStyle w:val="Default"/>
        <w:spacing w:line="240" w:lineRule="atLeast"/>
        <w:ind w:left="1440"/>
        <w:jc w:val="both"/>
        <w:rPr>
          <w:rFonts w:asciiTheme="minorHAnsi" w:hAnsiTheme="minorHAnsi" w:cstheme="minorHAnsi"/>
          <w:sz w:val="22"/>
          <w:szCs w:val="22"/>
        </w:rPr>
      </w:pPr>
      <w:proofErr w:type="gramStart"/>
      <w:r w:rsidRPr="00312741">
        <w:rPr>
          <w:rFonts w:asciiTheme="minorHAnsi" w:hAnsiTheme="minorHAnsi" w:cstheme="minorHAnsi"/>
          <w:sz w:val="22"/>
          <w:szCs w:val="22"/>
        </w:rPr>
        <w:t>the</w:t>
      </w:r>
      <w:proofErr w:type="gramEnd"/>
      <w:r w:rsidRPr="00312741">
        <w:rPr>
          <w:rFonts w:asciiTheme="minorHAnsi" w:hAnsiTheme="minorHAnsi" w:cstheme="minorHAnsi"/>
          <w:sz w:val="22"/>
          <w:szCs w:val="22"/>
        </w:rPr>
        <w:t xml:space="preserve"> transaction is for the purpose of transferring financial instruments as collateral in bilateral transactions or in the context of a CCP margin and collateral requirements;</w:t>
      </w:r>
    </w:p>
    <w:permEnd w:id="57"/>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6842BF" w:rsidRPr="006842BF" w:rsidRDefault="006842BF" w:rsidP="006842BF">
      <w:pPr>
        <w:pStyle w:val="Default"/>
        <w:keepNext/>
        <w:keepLines/>
        <w:spacing w:line="240" w:lineRule="atLeast"/>
        <w:jc w:val="both"/>
        <w:rPr>
          <w:rFonts w:asciiTheme="minorHAnsi" w:hAnsiTheme="minorHAnsi" w:cstheme="minorHAnsi"/>
          <w:color w:val="auto"/>
          <w:sz w:val="22"/>
          <w:szCs w:val="22"/>
        </w:rPr>
      </w:pPr>
      <w:permStart w:id="58" w:edGrp="everyone"/>
      <w:r w:rsidRPr="006842BF">
        <w:rPr>
          <w:rFonts w:asciiTheme="minorHAnsi" w:hAnsiTheme="minorHAnsi" w:cstheme="minorHAnsi"/>
          <w:sz w:val="22"/>
          <w:szCs w:val="22"/>
        </w:rPr>
        <w:t>Société Générale globally agrees with t</w:t>
      </w:r>
      <w:r w:rsidRPr="006842BF">
        <w:rPr>
          <w:rFonts w:asciiTheme="minorHAnsi" w:hAnsiTheme="minorHAnsi" w:cstheme="minorHAnsi"/>
          <w:bCs/>
          <w:sz w:val="22"/>
          <w:szCs w:val="22"/>
        </w:rPr>
        <w:t>he proposed list of information that trading venues and investment firms shall made public.</w:t>
      </w:r>
    </w:p>
    <w:p w:rsidR="006842BF" w:rsidRPr="006842BF" w:rsidRDefault="006842BF" w:rsidP="006842BF">
      <w:pPr>
        <w:pStyle w:val="Default"/>
        <w:spacing w:line="240" w:lineRule="atLeast"/>
        <w:jc w:val="both"/>
        <w:rPr>
          <w:rFonts w:asciiTheme="minorHAnsi" w:hAnsiTheme="minorHAnsi" w:cstheme="minorHAnsi"/>
          <w:color w:val="auto"/>
          <w:sz w:val="22"/>
          <w:szCs w:val="22"/>
        </w:rPr>
      </w:pPr>
    </w:p>
    <w:p w:rsidR="006842BF" w:rsidRPr="006842BF" w:rsidRDefault="006842BF" w:rsidP="006842BF">
      <w:pPr>
        <w:pStyle w:val="NoSpacing"/>
        <w:spacing w:line="240" w:lineRule="atLeast"/>
        <w:jc w:val="both"/>
        <w:rPr>
          <w:rFonts w:cstheme="minorHAnsi"/>
          <w:sz w:val="22"/>
          <w:szCs w:val="22"/>
        </w:rPr>
      </w:pPr>
      <w:r w:rsidRPr="006842BF">
        <w:rPr>
          <w:rFonts w:cstheme="minorHAnsi"/>
          <w:sz w:val="22"/>
          <w:szCs w:val="22"/>
        </w:rPr>
        <w:t>Yet, we believe there is a possible inconsistency between the mention “Where an investment firm does not know it is trading with another investment firm acting as a SI: XOFF” (Table 1 of RTS 8) and the reporting hierarchy proposed in RTS 23.</w:t>
      </w:r>
    </w:p>
    <w:p w:rsidR="006842BF" w:rsidRPr="006842BF" w:rsidRDefault="006842BF" w:rsidP="006842BF">
      <w:pPr>
        <w:pStyle w:val="NoSpacing"/>
        <w:spacing w:line="240" w:lineRule="atLeast"/>
        <w:jc w:val="both"/>
        <w:rPr>
          <w:rFonts w:cstheme="minorHAnsi"/>
          <w:sz w:val="22"/>
          <w:szCs w:val="22"/>
        </w:rPr>
      </w:pPr>
      <w:r w:rsidRPr="006842BF">
        <w:rPr>
          <w:rFonts w:cstheme="minorHAnsi"/>
          <w:sz w:val="22"/>
          <w:szCs w:val="22"/>
        </w:rPr>
        <w:t>Indeed, the draft RTS 23 states that: “Seller always reports UNLESS one firm is an SI, then it reports.”</w:t>
      </w:r>
    </w:p>
    <w:p w:rsidR="006842BF" w:rsidRPr="006842BF" w:rsidRDefault="006842BF" w:rsidP="006842BF">
      <w:pPr>
        <w:pStyle w:val="NoSpacing"/>
        <w:spacing w:line="240" w:lineRule="atLeast"/>
        <w:jc w:val="both"/>
        <w:rPr>
          <w:rFonts w:cstheme="minorHAnsi"/>
          <w:sz w:val="22"/>
          <w:szCs w:val="22"/>
        </w:rPr>
      </w:pPr>
      <w:r w:rsidRPr="006842BF">
        <w:rPr>
          <w:rFonts w:cstheme="minorHAnsi"/>
          <w:sz w:val="22"/>
          <w:szCs w:val="22"/>
        </w:rPr>
        <w:t>In other terms, when a transaction involves a SI, it will always be for the SI to inform its counterpart and take the responsibility of the reporting. Hence, the situation where “an investment firm does not know it is trading with another investment firm acting as a SI” should not happen.</w:t>
      </w:r>
    </w:p>
    <w:p w:rsidR="006842BF" w:rsidRPr="006842BF" w:rsidRDefault="006842BF" w:rsidP="006842BF">
      <w:pPr>
        <w:pStyle w:val="Default"/>
        <w:jc w:val="both"/>
        <w:rPr>
          <w:rFonts w:asciiTheme="minorHAnsi" w:hAnsiTheme="minorHAnsi" w:cstheme="minorHAnsi"/>
          <w:sz w:val="22"/>
          <w:szCs w:val="22"/>
        </w:rPr>
      </w:pPr>
    </w:p>
    <w:p w:rsidR="006842BF" w:rsidRPr="006842BF" w:rsidRDefault="006842BF" w:rsidP="006842BF">
      <w:pPr>
        <w:pStyle w:val="Default"/>
        <w:jc w:val="both"/>
        <w:rPr>
          <w:rFonts w:asciiTheme="minorHAnsi" w:hAnsiTheme="minorHAnsi" w:cstheme="minorHAnsi"/>
          <w:sz w:val="22"/>
          <w:szCs w:val="22"/>
        </w:rPr>
      </w:pPr>
      <w:r w:rsidRPr="006842BF">
        <w:rPr>
          <w:rFonts w:asciiTheme="minorHAnsi" w:hAnsiTheme="minorHAnsi" w:cstheme="minorHAnsi"/>
          <w:sz w:val="22"/>
          <w:szCs w:val="22"/>
        </w:rPr>
        <w:t xml:space="preserve">We recommend </w:t>
      </w:r>
      <w:proofErr w:type="gramStart"/>
      <w:r w:rsidRPr="006842BF">
        <w:rPr>
          <w:rFonts w:asciiTheme="minorHAnsi" w:hAnsiTheme="minorHAnsi" w:cstheme="minorHAnsi"/>
          <w:sz w:val="22"/>
          <w:szCs w:val="22"/>
        </w:rPr>
        <w:t>to clarify</w:t>
      </w:r>
      <w:proofErr w:type="gramEnd"/>
      <w:r w:rsidRPr="006842BF">
        <w:rPr>
          <w:rFonts w:asciiTheme="minorHAnsi" w:hAnsiTheme="minorHAnsi" w:cstheme="minorHAnsi"/>
          <w:sz w:val="22"/>
          <w:szCs w:val="22"/>
        </w:rPr>
        <w:t xml:space="preserve"> this point.</w:t>
      </w:r>
    </w:p>
    <w:permEnd w:id="58"/>
    <w:p w:rsidR="00577C33" w:rsidRDefault="00577C33" w:rsidP="00EC2C93">
      <w:pPr>
        <w:keepNext/>
      </w:pPr>
      <w:r>
        <w:lastRenderedPageBreak/>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t>&lt;ESMA_QUESTION_CP_MIFID_50&gt;</w:t>
      </w:r>
    </w:p>
    <w:p w:rsidR="006842BF" w:rsidRPr="006842BF" w:rsidRDefault="006842BF" w:rsidP="006842BF">
      <w:pPr>
        <w:pStyle w:val="PlainText"/>
        <w:spacing w:line="240" w:lineRule="atLeast"/>
        <w:jc w:val="both"/>
        <w:rPr>
          <w:rFonts w:asciiTheme="minorHAnsi" w:hAnsiTheme="minorHAnsi" w:cstheme="minorHAnsi"/>
          <w:sz w:val="22"/>
          <w:szCs w:val="22"/>
        </w:rPr>
      </w:pPr>
      <w:permStart w:id="59" w:edGrp="everyone"/>
      <w:r w:rsidRPr="006842BF">
        <w:rPr>
          <w:rFonts w:asciiTheme="minorHAnsi" w:hAnsiTheme="minorHAnsi" w:cstheme="minorHAnsi"/>
          <w:sz w:val="22"/>
          <w:szCs w:val="22"/>
        </w:rPr>
        <w:t>Given that the fact that the trades with a deferred publication will be identified through a specific flag, we do not consider it necessary to add the date and time of publication with the characteristics of the transaction, especially considering the cost that would be required to include these fields.</w:t>
      </w:r>
    </w:p>
    <w:permEnd w:id="59"/>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6842BF" w:rsidRPr="00AB7AF1" w:rsidRDefault="006842BF" w:rsidP="006842BF">
      <w:pPr>
        <w:pStyle w:val="NoSpacing"/>
        <w:spacing w:line="240" w:lineRule="atLeast"/>
        <w:jc w:val="both"/>
        <w:rPr>
          <w:rFonts w:ascii="Times New Roman" w:hAnsi="Times New Roman" w:cs="Times New Roman"/>
          <w:sz w:val="22"/>
          <w:szCs w:val="22"/>
        </w:rPr>
      </w:pPr>
      <w:permStart w:id="60" w:edGrp="everyone"/>
      <w:r w:rsidRPr="006842BF">
        <w:rPr>
          <w:rFonts w:cstheme="minorHAnsi"/>
          <w:sz w:val="22"/>
          <w:szCs w:val="22"/>
        </w:rPr>
        <w:t>Yes, Société Générale agrees with the proposed list of flags that trading venues and investment firms have to make public</w:t>
      </w:r>
      <w:r w:rsidRPr="00AB7AF1">
        <w:rPr>
          <w:rFonts w:ascii="Times New Roman" w:hAnsi="Times New Roman" w:cs="Times New Roman"/>
          <w:sz w:val="22"/>
          <w:szCs w:val="22"/>
        </w:rPr>
        <w:t>.</w:t>
      </w:r>
    </w:p>
    <w:permEnd w:id="60"/>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6842BF" w:rsidRPr="006842BF" w:rsidRDefault="006842BF" w:rsidP="006842BF">
      <w:pPr>
        <w:rPr>
          <w:rFonts w:cstheme="minorHAnsi"/>
          <w:bCs/>
          <w:szCs w:val="22"/>
          <w:lang w:val="en-US"/>
        </w:rPr>
      </w:pPr>
      <w:permStart w:id="61" w:edGrp="everyone"/>
      <w:r w:rsidRPr="006842BF">
        <w:rPr>
          <w:rFonts w:cstheme="minorHAnsi"/>
          <w:bCs/>
          <w:szCs w:val="22"/>
          <w:lang w:val="en-US"/>
        </w:rPr>
        <w:t>As stated in our answer to the Discussion paper issued in May 2014, we believe that the calibration of the maximum permissible delay to make post-trade information available should take into account the operational constraints for some types of transactions. For instance, when a trader agrees a transaction with a client in the course of a phone conversation, he may not be in a situation to immediately input the transaction in his Order Management System, which will generate the post-trade publication. For such transaction, a 1 minute delay may be too short if the start point is considered to be the time at which the trade is verbally agreed.</w:t>
      </w:r>
    </w:p>
    <w:p w:rsidR="006842BF" w:rsidRPr="006842BF" w:rsidRDefault="006842BF" w:rsidP="006842BF">
      <w:pPr>
        <w:rPr>
          <w:rFonts w:cstheme="minorHAnsi"/>
          <w:bCs/>
          <w:szCs w:val="22"/>
          <w:lang w:val="en-US"/>
        </w:rPr>
      </w:pPr>
    </w:p>
    <w:p w:rsidR="006842BF" w:rsidRPr="006842BF" w:rsidRDefault="006842BF" w:rsidP="006842BF">
      <w:pPr>
        <w:spacing w:line="240" w:lineRule="atLeast"/>
        <w:rPr>
          <w:rFonts w:cstheme="minorHAnsi"/>
          <w:bCs/>
          <w:szCs w:val="22"/>
          <w:lang w:val="en-US"/>
        </w:rPr>
      </w:pPr>
      <w:r w:rsidRPr="006842BF">
        <w:rPr>
          <w:rFonts w:cstheme="minorHAnsi"/>
          <w:bCs/>
          <w:szCs w:val="22"/>
          <w:lang w:val="en-US"/>
        </w:rPr>
        <w:t>Rather than shortening the existing 3-minutes allowance, we consider that the key to bring the average publication time down is to ensure that the requirement to report “as close to real time as possible” is effectively enforced and that IT systems are not designed to use the maximum permissible deferral for publication.</w:t>
      </w:r>
    </w:p>
    <w:p w:rsidR="006842BF" w:rsidRPr="006842BF" w:rsidRDefault="006842BF" w:rsidP="006842BF">
      <w:pPr>
        <w:spacing w:line="240" w:lineRule="atLeast"/>
        <w:rPr>
          <w:rFonts w:cstheme="minorHAnsi"/>
          <w:bCs/>
          <w:szCs w:val="22"/>
          <w:lang w:val="en-US"/>
        </w:rPr>
      </w:pPr>
    </w:p>
    <w:p w:rsidR="006842BF" w:rsidRPr="006842BF" w:rsidRDefault="006842BF" w:rsidP="006842BF">
      <w:pPr>
        <w:spacing w:line="240" w:lineRule="atLeast"/>
        <w:rPr>
          <w:rFonts w:cstheme="minorHAnsi"/>
          <w:bCs/>
          <w:szCs w:val="22"/>
          <w:lang w:val="en-US"/>
        </w:rPr>
      </w:pPr>
      <w:r w:rsidRPr="006842BF">
        <w:rPr>
          <w:rFonts w:cstheme="minorHAnsi"/>
          <w:bCs/>
          <w:szCs w:val="22"/>
          <w:lang w:val="en-US"/>
        </w:rPr>
        <w:t>We also would like to underline a possible issue in the way article 15 of RTS 8 is drafted:</w:t>
      </w:r>
    </w:p>
    <w:p w:rsidR="006842BF" w:rsidRPr="006842BF" w:rsidRDefault="006842BF" w:rsidP="006842BF">
      <w:pPr>
        <w:spacing w:line="240" w:lineRule="atLeast"/>
        <w:rPr>
          <w:rFonts w:cstheme="minorHAnsi"/>
          <w:bCs/>
          <w:szCs w:val="22"/>
          <w:lang w:val="en-US"/>
        </w:rPr>
      </w:pPr>
    </w:p>
    <w:p w:rsidR="006842BF" w:rsidRPr="006842BF" w:rsidRDefault="006842BF" w:rsidP="006842BF">
      <w:pPr>
        <w:pStyle w:val="Default"/>
        <w:spacing w:line="240" w:lineRule="atLeast"/>
        <w:ind w:left="720"/>
        <w:jc w:val="both"/>
        <w:rPr>
          <w:rFonts w:asciiTheme="minorHAnsi" w:hAnsiTheme="minorHAnsi" w:cstheme="minorHAnsi"/>
          <w:sz w:val="22"/>
          <w:szCs w:val="22"/>
        </w:rPr>
      </w:pPr>
      <w:r w:rsidRPr="006842BF">
        <w:rPr>
          <w:rFonts w:asciiTheme="minorHAnsi" w:hAnsiTheme="minorHAnsi" w:cstheme="minorHAnsi"/>
          <w:sz w:val="22"/>
          <w:szCs w:val="22"/>
        </w:rPr>
        <w:t xml:space="preserve">For transactions for which, in accordance with paragraph 1, deferred publication is permitted until the end of the trading day, investment firms trading outside a trading venue and market operators and investment firms operating a trading venue shall make public the details of those transactions: </w:t>
      </w:r>
    </w:p>
    <w:p w:rsidR="006842BF" w:rsidRPr="006842BF" w:rsidRDefault="006842BF" w:rsidP="006842BF">
      <w:pPr>
        <w:pStyle w:val="Default"/>
        <w:spacing w:line="240" w:lineRule="atLeast"/>
        <w:ind w:left="1800" w:hanging="360"/>
        <w:jc w:val="both"/>
        <w:rPr>
          <w:rFonts w:asciiTheme="minorHAnsi" w:hAnsiTheme="minorHAnsi" w:cstheme="minorHAnsi"/>
          <w:sz w:val="22"/>
          <w:szCs w:val="22"/>
        </w:rPr>
      </w:pPr>
      <w:r w:rsidRPr="006842BF">
        <w:rPr>
          <w:rFonts w:asciiTheme="minorHAnsi" w:hAnsiTheme="minorHAnsi" w:cstheme="minorHAnsi"/>
          <w:sz w:val="22"/>
          <w:szCs w:val="22"/>
        </w:rPr>
        <w:t xml:space="preserve">(a) </w:t>
      </w:r>
      <w:r w:rsidRPr="006842BF">
        <w:rPr>
          <w:rFonts w:asciiTheme="minorHAnsi" w:hAnsiTheme="minorHAnsi" w:cstheme="minorHAnsi"/>
          <w:sz w:val="22"/>
          <w:szCs w:val="22"/>
        </w:rPr>
        <w:tab/>
      </w:r>
      <w:proofErr w:type="gramStart"/>
      <w:r w:rsidRPr="006842BF">
        <w:rPr>
          <w:rFonts w:asciiTheme="minorHAnsi" w:hAnsiTheme="minorHAnsi" w:cstheme="minorHAnsi"/>
          <w:sz w:val="22"/>
          <w:szCs w:val="22"/>
        </w:rPr>
        <w:t>as</w:t>
      </w:r>
      <w:proofErr w:type="gramEnd"/>
      <w:r w:rsidRPr="006842BF">
        <w:rPr>
          <w:rFonts w:asciiTheme="minorHAnsi" w:hAnsiTheme="minorHAnsi" w:cstheme="minorHAnsi"/>
          <w:sz w:val="22"/>
          <w:szCs w:val="22"/>
        </w:rPr>
        <w:t xml:space="preserve"> close to real-time as possible after the end of the </w:t>
      </w:r>
      <w:r w:rsidRPr="006842BF">
        <w:rPr>
          <w:rFonts w:asciiTheme="minorHAnsi" w:hAnsiTheme="minorHAnsi" w:cstheme="minorHAnsi"/>
          <w:sz w:val="22"/>
          <w:szCs w:val="22"/>
          <w:u w:val="single"/>
        </w:rPr>
        <w:t>closing auction</w:t>
      </w:r>
      <w:r w:rsidRPr="006842BF">
        <w:rPr>
          <w:rFonts w:asciiTheme="minorHAnsi" w:hAnsiTheme="minorHAnsi" w:cstheme="minorHAnsi"/>
          <w:sz w:val="22"/>
          <w:szCs w:val="22"/>
        </w:rPr>
        <w:t xml:space="preserve">; or </w:t>
      </w:r>
    </w:p>
    <w:p w:rsidR="006842BF" w:rsidRPr="006842BF" w:rsidRDefault="006842BF" w:rsidP="006842BF">
      <w:pPr>
        <w:pStyle w:val="Default"/>
        <w:spacing w:line="240" w:lineRule="atLeast"/>
        <w:ind w:left="1800" w:hanging="360"/>
        <w:jc w:val="both"/>
        <w:rPr>
          <w:rFonts w:asciiTheme="minorHAnsi" w:hAnsiTheme="minorHAnsi" w:cstheme="minorHAnsi"/>
          <w:sz w:val="22"/>
          <w:szCs w:val="22"/>
        </w:rPr>
      </w:pPr>
      <w:r w:rsidRPr="006842BF">
        <w:rPr>
          <w:rFonts w:asciiTheme="minorHAnsi" w:hAnsiTheme="minorHAnsi" w:cstheme="minorHAnsi"/>
          <w:sz w:val="22"/>
          <w:szCs w:val="22"/>
        </w:rPr>
        <w:t>(b)</w:t>
      </w:r>
      <w:r w:rsidRPr="006842BF">
        <w:rPr>
          <w:rFonts w:asciiTheme="minorHAnsi" w:hAnsiTheme="minorHAnsi" w:cstheme="minorHAnsi"/>
          <w:sz w:val="22"/>
          <w:szCs w:val="22"/>
        </w:rPr>
        <w:tab/>
      </w:r>
      <w:proofErr w:type="gramStart"/>
      <w:r w:rsidRPr="006842BF">
        <w:rPr>
          <w:rFonts w:asciiTheme="minorHAnsi" w:hAnsiTheme="minorHAnsi" w:cstheme="minorHAnsi"/>
          <w:sz w:val="22"/>
          <w:szCs w:val="22"/>
        </w:rPr>
        <w:t>before</w:t>
      </w:r>
      <w:proofErr w:type="gramEnd"/>
      <w:r w:rsidRPr="006842BF">
        <w:rPr>
          <w:rFonts w:asciiTheme="minorHAnsi" w:hAnsiTheme="minorHAnsi" w:cstheme="minorHAnsi"/>
          <w:sz w:val="22"/>
          <w:szCs w:val="22"/>
        </w:rPr>
        <w:t xml:space="preserve"> the opening of the next trading day for transactions executed within 2 hours before the end of the trading day. </w:t>
      </w:r>
    </w:p>
    <w:p w:rsidR="006842BF" w:rsidRPr="006842BF" w:rsidRDefault="006842BF" w:rsidP="006842BF">
      <w:pPr>
        <w:spacing w:line="240" w:lineRule="atLeast"/>
        <w:rPr>
          <w:rFonts w:cstheme="minorHAnsi"/>
          <w:bCs/>
          <w:szCs w:val="22"/>
          <w:lang w:val="en-US"/>
        </w:rPr>
      </w:pPr>
    </w:p>
    <w:p w:rsidR="006842BF" w:rsidRPr="006842BF" w:rsidRDefault="006842BF" w:rsidP="006842BF">
      <w:pPr>
        <w:spacing w:line="240" w:lineRule="atLeast"/>
        <w:rPr>
          <w:rFonts w:cstheme="minorHAnsi"/>
          <w:bCs/>
          <w:szCs w:val="22"/>
          <w:lang w:val="en-US"/>
        </w:rPr>
      </w:pPr>
      <w:r w:rsidRPr="006842BF">
        <w:rPr>
          <w:rFonts w:cstheme="minorHAnsi"/>
          <w:bCs/>
          <w:szCs w:val="22"/>
          <w:lang w:val="en-US"/>
        </w:rPr>
        <w:t>For an instrument like an ETF, what “closing auction” would have to be considered if the most liquid market, used as a reference, was a RFQ platform (which does not run any closing auction)?</w:t>
      </w:r>
    </w:p>
    <w:p w:rsidR="006842BF" w:rsidRDefault="006842BF" w:rsidP="006842BF">
      <w:pPr>
        <w:spacing w:line="240" w:lineRule="atLeast"/>
        <w:rPr>
          <w:bCs/>
          <w:szCs w:val="22"/>
          <w:lang w:val="en-US"/>
        </w:rPr>
      </w:pPr>
      <w:r w:rsidRPr="006842BF">
        <w:rPr>
          <w:rFonts w:cstheme="minorHAnsi"/>
          <w:bCs/>
          <w:szCs w:val="22"/>
          <w:lang w:val="en-US"/>
        </w:rPr>
        <w:t>See our answer to Q38 with regards the determination of the most liquid market.</w:t>
      </w:r>
    </w:p>
    <w:permEnd w:id="61"/>
    <w:p w:rsidR="00577C33" w:rsidRDefault="00577C33" w:rsidP="00EC2C93">
      <w:pPr>
        <w:keepNext/>
      </w:pPr>
      <w:r>
        <w:lastRenderedPageBreak/>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6842BF" w:rsidRPr="006842BF" w:rsidRDefault="006842BF" w:rsidP="006842BF">
      <w:pPr>
        <w:spacing w:line="240" w:lineRule="atLeast"/>
        <w:rPr>
          <w:rFonts w:cstheme="minorHAnsi"/>
          <w:bCs/>
          <w:szCs w:val="22"/>
          <w:lang w:val="en-US"/>
        </w:rPr>
      </w:pPr>
      <w:permStart w:id="62" w:edGrp="everyone"/>
      <w:r w:rsidRPr="006842BF">
        <w:rPr>
          <w:rFonts w:cstheme="minorHAnsi"/>
          <w:bCs/>
          <w:szCs w:val="22"/>
          <w:lang w:val="en-US"/>
        </w:rPr>
        <w:t>In accordance with our answer to the Discussion paper issued in May 2014, we agree that securities financing transactions (regardless of the underlying instrument, equity or bond) should be exempt from the reporting requirement under article 20.</w:t>
      </w:r>
    </w:p>
    <w:p w:rsidR="006842BF" w:rsidRPr="006842BF" w:rsidRDefault="006842BF" w:rsidP="006842BF">
      <w:pPr>
        <w:spacing w:line="240" w:lineRule="atLeast"/>
        <w:rPr>
          <w:rFonts w:cstheme="minorHAnsi"/>
          <w:bCs/>
          <w:szCs w:val="22"/>
          <w:lang w:val="en-US"/>
        </w:rPr>
      </w:pPr>
    </w:p>
    <w:p w:rsidR="006842BF" w:rsidRPr="006842BF" w:rsidRDefault="006842BF" w:rsidP="006842BF">
      <w:pPr>
        <w:pStyle w:val="Default"/>
        <w:spacing w:line="240" w:lineRule="atLeast"/>
        <w:jc w:val="both"/>
        <w:rPr>
          <w:rFonts w:asciiTheme="minorHAnsi" w:hAnsiTheme="minorHAnsi" w:cstheme="minorHAnsi"/>
          <w:bCs/>
          <w:sz w:val="22"/>
          <w:szCs w:val="22"/>
        </w:rPr>
      </w:pPr>
      <w:r w:rsidRPr="006842BF">
        <w:rPr>
          <w:rFonts w:asciiTheme="minorHAnsi" w:hAnsiTheme="minorHAnsi" w:cstheme="minorHAnsi"/>
          <w:sz w:val="22"/>
          <w:szCs w:val="22"/>
        </w:rPr>
        <w:t>We reiterate the elements stated in our answers to Q39 and Q48 with regards the need (</w:t>
      </w:r>
      <w:proofErr w:type="spellStart"/>
      <w:r w:rsidRPr="006842BF">
        <w:rPr>
          <w:rFonts w:asciiTheme="minorHAnsi" w:hAnsiTheme="minorHAnsi" w:cstheme="minorHAnsi"/>
          <w:sz w:val="22"/>
          <w:szCs w:val="22"/>
        </w:rPr>
        <w:t>i</w:t>
      </w:r>
      <w:proofErr w:type="spellEnd"/>
      <w:r w:rsidRPr="006842BF">
        <w:rPr>
          <w:rFonts w:asciiTheme="minorHAnsi" w:hAnsiTheme="minorHAnsi" w:cstheme="minorHAnsi"/>
          <w:sz w:val="22"/>
          <w:szCs w:val="22"/>
        </w:rPr>
        <w:t xml:space="preserve">) to further harmonise the lists of transactions eligible for exemptions and (ii) to keep </w:t>
      </w:r>
      <w:r w:rsidRPr="006842BF">
        <w:rPr>
          <w:rFonts w:asciiTheme="minorHAnsi" w:hAnsiTheme="minorHAnsi" w:cstheme="minorHAnsi"/>
          <w:bCs/>
          <w:sz w:val="22"/>
          <w:szCs w:val="22"/>
        </w:rPr>
        <w:t>each of these lists open, so as to remain flexible as the evolution of markets may result in the creation of new type of transactions that will need to be accommodated by the relevant waivers.</w:t>
      </w:r>
    </w:p>
    <w:p w:rsidR="006842BF" w:rsidRPr="006842BF" w:rsidRDefault="006842BF" w:rsidP="006842BF">
      <w:pPr>
        <w:pStyle w:val="Default"/>
        <w:spacing w:line="240" w:lineRule="atLeast"/>
        <w:jc w:val="both"/>
        <w:rPr>
          <w:rFonts w:asciiTheme="minorHAnsi" w:hAnsiTheme="minorHAnsi" w:cstheme="minorHAnsi"/>
          <w:bCs/>
          <w:sz w:val="22"/>
          <w:szCs w:val="22"/>
        </w:rPr>
      </w:pPr>
    </w:p>
    <w:p w:rsidR="006842BF" w:rsidRPr="006842BF" w:rsidRDefault="006842BF" w:rsidP="006842BF">
      <w:pPr>
        <w:pStyle w:val="Default"/>
        <w:spacing w:line="240" w:lineRule="atLeast"/>
        <w:jc w:val="both"/>
        <w:rPr>
          <w:rFonts w:asciiTheme="minorHAnsi" w:hAnsiTheme="minorHAnsi" w:cstheme="minorHAnsi"/>
          <w:sz w:val="22"/>
          <w:szCs w:val="22"/>
        </w:rPr>
      </w:pPr>
      <w:r w:rsidRPr="006842BF">
        <w:rPr>
          <w:rFonts w:asciiTheme="minorHAnsi" w:hAnsiTheme="minorHAnsi" w:cstheme="minorHAnsi"/>
          <w:bCs/>
          <w:sz w:val="22"/>
          <w:szCs w:val="22"/>
        </w:rPr>
        <w:t xml:space="preserve">In consistence with our answer to Q48, we also </w:t>
      </w:r>
      <w:r w:rsidRPr="006842BF">
        <w:rPr>
          <w:rFonts w:asciiTheme="minorHAnsi" w:hAnsiTheme="minorHAnsi" w:cstheme="minorHAnsi"/>
          <w:sz w:val="22"/>
          <w:szCs w:val="22"/>
        </w:rPr>
        <w:t>believe there is an issue in reserving the exemption for “collateral trades” for trades related to “segregated collateral”. We hence recommend modifying the article 13 in draft RTS 8, from</w:t>
      </w:r>
    </w:p>
    <w:p w:rsidR="006842BF" w:rsidRPr="006842BF" w:rsidRDefault="006842BF" w:rsidP="006842BF">
      <w:pPr>
        <w:pStyle w:val="Default"/>
        <w:spacing w:line="240" w:lineRule="atLeast"/>
        <w:rPr>
          <w:rFonts w:asciiTheme="minorHAnsi" w:hAnsiTheme="minorHAnsi" w:cstheme="minorHAnsi"/>
        </w:rPr>
      </w:pPr>
    </w:p>
    <w:p w:rsidR="006842BF" w:rsidRPr="006842BF" w:rsidRDefault="006842BF" w:rsidP="006842BF">
      <w:pPr>
        <w:pStyle w:val="Default"/>
        <w:spacing w:line="240" w:lineRule="atLeast"/>
        <w:ind w:left="1440"/>
        <w:jc w:val="both"/>
        <w:rPr>
          <w:rFonts w:asciiTheme="minorHAnsi" w:hAnsiTheme="minorHAnsi" w:cstheme="minorHAnsi"/>
          <w:sz w:val="22"/>
          <w:szCs w:val="22"/>
        </w:rPr>
      </w:pPr>
      <w:proofErr w:type="gramStart"/>
      <w:r w:rsidRPr="006842BF">
        <w:rPr>
          <w:rFonts w:asciiTheme="minorHAnsi" w:hAnsiTheme="minorHAnsi" w:cstheme="minorHAnsi"/>
          <w:sz w:val="22"/>
          <w:szCs w:val="22"/>
        </w:rPr>
        <w:t>transfers</w:t>
      </w:r>
      <w:proofErr w:type="gramEnd"/>
      <w:r w:rsidRPr="006842BF">
        <w:rPr>
          <w:rFonts w:asciiTheme="minorHAnsi" w:hAnsiTheme="minorHAnsi" w:cstheme="minorHAnsi"/>
          <w:sz w:val="22"/>
          <w:szCs w:val="22"/>
        </w:rPr>
        <w:t xml:space="preserve"> of financial instruments as segregated collateral in bilateral transactions or in the context of a CCP margin and collateral requirements. </w:t>
      </w:r>
    </w:p>
    <w:p w:rsidR="006842BF" w:rsidRPr="006842BF" w:rsidRDefault="006842BF" w:rsidP="006842BF">
      <w:pPr>
        <w:pStyle w:val="Default"/>
        <w:spacing w:line="240" w:lineRule="atLeast"/>
        <w:ind w:left="720"/>
        <w:jc w:val="both"/>
        <w:rPr>
          <w:rFonts w:asciiTheme="minorHAnsi" w:hAnsiTheme="minorHAnsi" w:cstheme="minorHAnsi"/>
          <w:sz w:val="22"/>
          <w:szCs w:val="22"/>
        </w:rPr>
      </w:pPr>
    </w:p>
    <w:p w:rsidR="006842BF" w:rsidRPr="006842BF" w:rsidRDefault="006842BF" w:rsidP="006842BF">
      <w:pPr>
        <w:pStyle w:val="Default"/>
        <w:spacing w:line="240" w:lineRule="atLeast"/>
        <w:ind w:left="720"/>
        <w:jc w:val="both"/>
        <w:rPr>
          <w:rFonts w:asciiTheme="minorHAnsi" w:hAnsiTheme="minorHAnsi" w:cstheme="minorHAnsi"/>
          <w:sz w:val="22"/>
          <w:szCs w:val="22"/>
        </w:rPr>
      </w:pPr>
      <w:proofErr w:type="gramStart"/>
      <w:r w:rsidRPr="006842BF">
        <w:rPr>
          <w:rFonts w:asciiTheme="minorHAnsi" w:hAnsiTheme="minorHAnsi" w:cstheme="minorHAnsi"/>
          <w:sz w:val="22"/>
          <w:szCs w:val="22"/>
        </w:rPr>
        <w:t>to</w:t>
      </w:r>
      <w:proofErr w:type="gramEnd"/>
    </w:p>
    <w:p w:rsidR="006842BF" w:rsidRPr="006842BF" w:rsidRDefault="006842BF" w:rsidP="006842BF">
      <w:pPr>
        <w:pStyle w:val="Default"/>
        <w:spacing w:line="240" w:lineRule="atLeast"/>
        <w:ind w:left="720"/>
        <w:jc w:val="both"/>
        <w:rPr>
          <w:rFonts w:asciiTheme="minorHAnsi" w:hAnsiTheme="minorHAnsi" w:cstheme="minorHAnsi"/>
          <w:sz w:val="22"/>
          <w:szCs w:val="22"/>
        </w:rPr>
      </w:pPr>
    </w:p>
    <w:p w:rsidR="006842BF" w:rsidRPr="006842BF" w:rsidRDefault="006842BF" w:rsidP="006842BF">
      <w:pPr>
        <w:pStyle w:val="Default"/>
        <w:spacing w:line="240" w:lineRule="atLeast"/>
        <w:ind w:left="1440"/>
        <w:jc w:val="both"/>
        <w:rPr>
          <w:rFonts w:asciiTheme="minorHAnsi" w:hAnsiTheme="minorHAnsi" w:cstheme="minorHAnsi"/>
          <w:sz w:val="22"/>
          <w:szCs w:val="22"/>
        </w:rPr>
      </w:pPr>
      <w:proofErr w:type="gramStart"/>
      <w:r w:rsidRPr="006842BF">
        <w:rPr>
          <w:rFonts w:asciiTheme="minorHAnsi" w:hAnsiTheme="minorHAnsi" w:cstheme="minorHAnsi"/>
          <w:sz w:val="22"/>
          <w:szCs w:val="22"/>
        </w:rPr>
        <w:t>transfers</w:t>
      </w:r>
      <w:proofErr w:type="gramEnd"/>
      <w:r w:rsidRPr="006842BF">
        <w:rPr>
          <w:rFonts w:asciiTheme="minorHAnsi" w:hAnsiTheme="minorHAnsi" w:cstheme="minorHAnsi"/>
          <w:sz w:val="22"/>
          <w:szCs w:val="22"/>
        </w:rPr>
        <w:t xml:space="preserve"> of financial instruments as collateral in bilateral transactions or in the context of a CCP margin and collateral requirements. </w:t>
      </w:r>
    </w:p>
    <w:permEnd w:id="62"/>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6842BF" w:rsidRPr="00EC6DA1" w:rsidRDefault="006842BF" w:rsidP="006842BF">
      <w:pPr>
        <w:spacing w:line="240" w:lineRule="atLeast"/>
        <w:rPr>
          <w:szCs w:val="22"/>
          <w:lang w:val="en-US"/>
        </w:rPr>
      </w:pPr>
      <w:permStart w:id="63" w:edGrp="everyone"/>
      <w:r w:rsidRPr="00EC6DA1">
        <w:rPr>
          <w:bCs/>
          <w:szCs w:val="22"/>
          <w:lang w:val="en-US"/>
        </w:rPr>
        <w:t xml:space="preserve">As stated in our answer to the Discussion Paper issued in may, we are strongly concerned by the fact that, by reducing the </w:t>
      </w:r>
      <w:r w:rsidRPr="00EC6DA1">
        <w:rPr>
          <w:szCs w:val="22"/>
          <w:lang w:val="en-US"/>
        </w:rPr>
        <w:t>post-trade deferral periods for large in scale transactions, ESMA is taking the risk to reduce the appetite for risk of liquidity providers, and the ability of investors to find counterparties to enter into / exit from an equity strategy. In the end, this decision by ESMA will impact the ability of corporate issuers to use equity markets as a financing source.</w:t>
      </w:r>
    </w:p>
    <w:p w:rsidR="006842BF" w:rsidRPr="00EC6DA1" w:rsidRDefault="006842BF" w:rsidP="006842BF">
      <w:pPr>
        <w:spacing w:line="240" w:lineRule="atLeast"/>
        <w:rPr>
          <w:szCs w:val="22"/>
          <w:lang w:val="en-US"/>
        </w:rPr>
      </w:pPr>
    </w:p>
    <w:p w:rsidR="006842BF" w:rsidRPr="00EC6DA1" w:rsidRDefault="006842BF" w:rsidP="006842BF">
      <w:pPr>
        <w:autoSpaceDE w:val="0"/>
        <w:autoSpaceDN w:val="0"/>
        <w:adjustRightInd w:val="0"/>
        <w:spacing w:line="240" w:lineRule="atLeast"/>
        <w:rPr>
          <w:szCs w:val="22"/>
          <w:lang w:val="en-US"/>
        </w:rPr>
      </w:pPr>
      <w:r>
        <w:rPr>
          <w:bCs/>
          <w:szCs w:val="22"/>
          <w:lang w:val="en-US"/>
        </w:rPr>
        <w:t>To the contrary, g</w:t>
      </w:r>
      <w:r w:rsidRPr="00EC6DA1">
        <w:rPr>
          <w:bCs/>
          <w:szCs w:val="22"/>
          <w:lang w:val="en-US"/>
        </w:rPr>
        <w:t>iven the European context, and specifically the will displayed by the European Commission to “</w:t>
      </w:r>
      <w:r w:rsidRPr="00EC6DA1">
        <w:rPr>
          <w:szCs w:val="22"/>
          <w:lang w:val="en-US"/>
        </w:rPr>
        <w:t xml:space="preserve">create </w:t>
      </w:r>
      <w:r w:rsidRPr="00EC6DA1">
        <w:rPr>
          <w:bCs/>
          <w:szCs w:val="22"/>
          <w:lang w:val="en-US"/>
        </w:rPr>
        <w:t xml:space="preserve">the right regulatory environment and promote a climate of entrepreneurship”, we believe that the permitted </w:t>
      </w:r>
      <w:r w:rsidRPr="00EC6DA1">
        <w:rPr>
          <w:szCs w:val="22"/>
          <w:lang w:val="en-US"/>
        </w:rPr>
        <w:t>post-trade deferral periods should be extended, particularly for instruments with a low level of liquidity, that usually correspond to SMEs shares.</w:t>
      </w:r>
    </w:p>
    <w:p w:rsidR="006842BF" w:rsidRPr="00684FE7" w:rsidRDefault="006842BF" w:rsidP="006842BF">
      <w:pPr>
        <w:autoSpaceDE w:val="0"/>
        <w:autoSpaceDN w:val="0"/>
        <w:adjustRightInd w:val="0"/>
        <w:rPr>
          <w:szCs w:val="22"/>
          <w:lang w:val="en-US"/>
        </w:rPr>
      </w:pPr>
    </w:p>
    <w:p w:rsidR="006842BF" w:rsidRPr="00684FE7" w:rsidRDefault="006842BF" w:rsidP="006842BF">
      <w:pPr>
        <w:autoSpaceDE w:val="0"/>
        <w:autoSpaceDN w:val="0"/>
        <w:adjustRightInd w:val="0"/>
        <w:rPr>
          <w:szCs w:val="22"/>
          <w:lang w:val="en-US"/>
        </w:rPr>
      </w:pPr>
      <w:r w:rsidRPr="00684FE7">
        <w:rPr>
          <w:szCs w:val="22"/>
          <w:lang w:val="en-US"/>
        </w:rPr>
        <w:t>We hence support the following proposal by AFME (where ADT stands for average daily turnover and MQS for minimum qualifying size):</w:t>
      </w:r>
    </w:p>
    <w:p w:rsidR="006842BF" w:rsidRPr="00684FE7" w:rsidRDefault="006842BF" w:rsidP="006842BF">
      <w:pPr>
        <w:autoSpaceDE w:val="0"/>
        <w:autoSpaceDN w:val="0"/>
        <w:adjustRightInd w:val="0"/>
        <w:rPr>
          <w:szCs w:val="22"/>
          <w:lang w:val="en-US"/>
        </w:rPr>
      </w:pPr>
    </w:p>
    <w:p w:rsidR="006842BF" w:rsidRPr="00EC6DA1" w:rsidRDefault="006842BF" w:rsidP="006842BF">
      <w:pPr>
        <w:autoSpaceDE w:val="0"/>
        <w:autoSpaceDN w:val="0"/>
        <w:adjustRightInd w:val="0"/>
        <w:rPr>
          <w:rFonts w:cstheme="minorHAnsi"/>
          <w:bCs/>
          <w:szCs w:val="22"/>
          <w:lang w:val="en-US"/>
        </w:rPr>
      </w:pPr>
      <w:r w:rsidRPr="00684FE7">
        <w:rPr>
          <w:rFonts w:cstheme="minorHAnsi"/>
          <w:bCs/>
          <w:noProof/>
          <w:szCs w:val="22"/>
          <w:lang w:val="fr-FR" w:eastAsia="fr-FR"/>
        </w:rPr>
        <w:lastRenderedPageBreak/>
        <w:drawing>
          <wp:inline distT="0" distB="0" distL="0" distR="0">
            <wp:extent cx="6231204" cy="55816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6237271" cy="5587084"/>
                    </a:xfrm>
                    <a:prstGeom prst="rect">
                      <a:avLst/>
                    </a:prstGeom>
                    <a:noFill/>
                    <a:ln>
                      <a:noFill/>
                    </a:ln>
                  </pic:spPr>
                </pic:pic>
              </a:graphicData>
            </a:graphic>
          </wp:inline>
        </w:drawing>
      </w:r>
    </w:p>
    <w:p w:rsidR="006842BF" w:rsidRDefault="006842BF" w:rsidP="006842BF">
      <w:pPr>
        <w:spacing w:line="240" w:lineRule="atLeast"/>
        <w:rPr>
          <w:rFonts w:cstheme="minorHAnsi"/>
          <w:bCs/>
          <w:szCs w:val="22"/>
          <w:lang w:val="en-US"/>
        </w:rPr>
      </w:pPr>
    </w:p>
    <w:p w:rsidR="006842BF" w:rsidRDefault="006842BF" w:rsidP="006842BF">
      <w:pPr>
        <w:spacing w:line="240" w:lineRule="atLeast"/>
        <w:rPr>
          <w:rFonts w:cstheme="minorHAnsi"/>
          <w:bCs/>
          <w:szCs w:val="22"/>
          <w:lang w:val="en-US"/>
        </w:rPr>
      </w:pPr>
    </w:p>
    <w:permEnd w:id="63"/>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6842BF" w:rsidRPr="006842BF" w:rsidRDefault="006842BF" w:rsidP="006842BF">
      <w:pPr>
        <w:spacing w:line="240" w:lineRule="atLeast"/>
        <w:rPr>
          <w:rFonts w:cstheme="minorHAnsi"/>
          <w:bCs/>
          <w:szCs w:val="22"/>
          <w:lang w:val="en-US"/>
        </w:rPr>
      </w:pPr>
      <w:permStart w:id="64" w:edGrp="everyone"/>
      <w:r w:rsidRPr="006842BF">
        <w:rPr>
          <w:rFonts w:cstheme="minorHAnsi"/>
          <w:bCs/>
          <w:szCs w:val="22"/>
          <w:lang w:val="en-US"/>
        </w:rPr>
        <w:t>For ETFs, in terms of post trade transparency, we recommend (see for consistence our answer to Q42) not to base the large in scale threshold and deferral period on the ADT, but rather to take into account the timing for the “creation / redemption” process for the ETF.</w:t>
      </w:r>
    </w:p>
    <w:p w:rsidR="006842BF" w:rsidRPr="006842BF" w:rsidRDefault="006842BF" w:rsidP="006842BF">
      <w:pPr>
        <w:spacing w:line="240" w:lineRule="atLeast"/>
        <w:rPr>
          <w:rFonts w:cstheme="minorHAnsi"/>
          <w:bCs/>
          <w:szCs w:val="22"/>
          <w:lang w:val="en-US"/>
        </w:rPr>
      </w:pPr>
    </w:p>
    <w:p w:rsidR="006842BF" w:rsidRPr="006842BF" w:rsidRDefault="006842BF" w:rsidP="006842BF">
      <w:pPr>
        <w:spacing w:line="240" w:lineRule="atLeast"/>
        <w:rPr>
          <w:rFonts w:cstheme="minorHAnsi"/>
          <w:bCs/>
          <w:szCs w:val="22"/>
          <w:lang w:val="en-US"/>
        </w:rPr>
      </w:pPr>
      <w:r w:rsidRPr="006842BF">
        <w:rPr>
          <w:rFonts w:cstheme="minorHAnsi"/>
          <w:bCs/>
          <w:szCs w:val="22"/>
          <w:lang w:val="en-US"/>
        </w:rPr>
        <w:t>Our proposal would hence be as follows:</w:t>
      </w:r>
    </w:p>
    <w:p w:rsidR="006842BF" w:rsidRPr="006842BF" w:rsidRDefault="006842BF" w:rsidP="006842BF">
      <w:pPr>
        <w:pStyle w:val="Default"/>
        <w:rPr>
          <w:rFonts w:asciiTheme="minorHAnsi" w:hAnsiTheme="minorHAnsi" w:cstheme="minorHAnsi"/>
          <w:sz w:val="22"/>
          <w:szCs w:val="22"/>
        </w:rPr>
      </w:pPr>
    </w:p>
    <w:tbl>
      <w:tblPr>
        <w:tblStyle w:val="TableGrid"/>
        <w:tblW w:w="0" w:type="auto"/>
        <w:tblLook w:val="04A0"/>
      </w:tblPr>
      <w:tblGrid>
        <w:gridCol w:w="3100"/>
        <w:gridCol w:w="3087"/>
        <w:gridCol w:w="3101"/>
      </w:tblGrid>
      <w:tr w:rsidR="006842BF" w:rsidRPr="006842BF" w:rsidTr="00DE5DD2">
        <w:tc>
          <w:tcPr>
            <w:tcW w:w="3387" w:type="dxa"/>
            <w:tcBorders>
              <w:top w:val="nil"/>
              <w:left w:val="nil"/>
            </w:tcBorders>
          </w:tcPr>
          <w:p w:rsidR="006842BF" w:rsidRPr="006842BF" w:rsidRDefault="006842BF" w:rsidP="00DE5DD2">
            <w:pPr>
              <w:pStyle w:val="Default"/>
              <w:rPr>
                <w:rFonts w:asciiTheme="minorHAnsi" w:hAnsiTheme="minorHAnsi" w:cstheme="minorHAnsi"/>
                <w:sz w:val="22"/>
                <w:szCs w:val="22"/>
              </w:rPr>
            </w:pPr>
          </w:p>
        </w:tc>
        <w:tc>
          <w:tcPr>
            <w:tcW w:w="3388" w:type="dxa"/>
          </w:tcPr>
          <w:p w:rsidR="006842BF" w:rsidRPr="006842BF" w:rsidRDefault="006842BF" w:rsidP="00DE5DD2">
            <w:pPr>
              <w:pStyle w:val="Default"/>
              <w:rPr>
                <w:rFonts w:asciiTheme="minorHAnsi" w:hAnsiTheme="minorHAnsi" w:cstheme="minorHAnsi"/>
                <w:sz w:val="22"/>
                <w:szCs w:val="22"/>
              </w:rPr>
            </w:pPr>
            <w:r w:rsidRPr="006842BF">
              <w:rPr>
                <w:rFonts w:asciiTheme="minorHAnsi" w:hAnsiTheme="minorHAnsi" w:cstheme="minorHAnsi"/>
                <w:sz w:val="22"/>
                <w:szCs w:val="22"/>
              </w:rPr>
              <w:t>Minimum qualifying size of transaction for permitted delay</w:t>
            </w:r>
          </w:p>
        </w:tc>
        <w:tc>
          <w:tcPr>
            <w:tcW w:w="3388" w:type="dxa"/>
          </w:tcPr>
          <w:p w:rsidR="006842BF" w:rsidRPr="006842BF" w:rsidRDefault="006842BF" w:rsidP="00DE5DD2">
            <w:pPr>
              <w:pStyle w:val="Default"/>
              <w:rPr>
                <w:rFonts w:asciiTheme="minorHAnsi" w:hAnsiTheme="minorHAnsi" w:cstheme="minorHAnsi"/>
                <w:sz w:val="22"/>
                <w:szCs w:val="22"/>
              </w:rPr>
            </w:pPr>
            <w:r w:rsidRPr="006842BF">
              <w:rPr>
                <w:rFonts w:asciiTheme="minorHAnsi" w:hAnsiTheme="minorHAnsi" w:cstheme="minorHAnsi"/>
                <w:sz w:val="22"/>
                <w:szCs w:val="22"/>
              </w:rPr>
              <w:t>Timing of publication</w:t>
            </w:r>
          </w:p>
        </w:tc>
      </w:tr>
      <w:tr w:rsidR="006842BF" w:rsidRPr="006842BF" w:rsidTr="00DE5DD2">
        <w:tc>
          <w:tcPr>
            <w:tcW w:w="3387" w:type="dxa"/>
          </w:tcPr>
          <w:p w:rsidR="006842BF" w:rsidRPr="006842BF" w:rsidRDefault="006842BF" w:rsidP="00DE5DD2">
            <w:pPr>
              <w:pStyle w:val="Default"/>
              <w:rPr>
                <w:rFonts w:asciiTheme="minorHAnsi" w:hAnsiTheme="minorHAnsi" w:cstheme="minorHAnsi"/>
                <w:sz w:val="22"/>
                <w:szCs w:val="22"/>
              </w:rPr>
            </w:pPr>
            <w:r w:rsidRPr="006842BF">
              <w:rPr>
                <w:rFonts w:asciiTheme="minorHAnsi" w:hAnsiTheme="minorHAnsi" w:cstheme="minorHAnsi"/>
                <w:sz w:val="22"/>
                <w:szCs w:val="22"/>
              </w:rPr>
              <w:lastRenderedPageBreak/>
              <w:t>The “creation / redemption” process for the ETF occurs less than 3 hours after the closing auction for the ETF</w:t>
            </w:r>
          </w:p>
        </w:tc>
        <w:tc>
          <w:tcPr>
            <w:tcW w:w="3388" w:type="dxa"/>
          </w:tcPr>
          <w:p w:rsidR="006842BF" w:rsidRPr="006842BF" w:rsidRDefault="006842BF" w:rsidP="00DE5DD2">
            <w:pPr>
              <w:pStyle w:val="Default"/>
              <w:jc w:val="center"/>
              <w:rPr>
                <w:rFonts w:asciiTheme="minorHAnsi" w:hAnsiTheme="minorHAnsi" w:cstheme="minorHAnsi"/>
                <w:sz w:val="22"/>
                <w:szCs w:val="22"/>
              </w:rPr>
            </w:pPr>
            <w:r w:rsidRPr="006842BF">
              <w:rPr>
                <w:rFonts w:asciiTheme="minorHAnsi" w:hAnsiTheme="minorHAnsi" w:cstheme="minorHAnsi"/>
                <w:sz w:val="22"/>
                <w:szCs w:val="22"/>
              </w:rPr>
              <w:t xml:space="preserve">5 000 </w:t>
            </w:r>
            <w:proofErr w:type="spellStart"/>
            <w:r w:rsidRPr="006842BF">
              <w:rPr>
                <w:rFonts w:asciiTheme="minorHAnsi" w:hAnsiTheme="minorHAnsi" w:cstheme="minorHAnsi"/>
                <w:sz w:val="22"/>
                <w:szCs w:val="22"/>
              </w:rPr>
              <w:t>000</w:t>
            </w:r>
            <w:proofErr w:type="spellEnd"/>
          </w:p>
        </w:tc>
        <w:tc>
          <w:tcPr>
            <w:tcW w:w="3388" w:type="dxa"/>
          </w:tcPr>
          <w:p w:rsidR="006842BF" w:rsidRPr="006842BF" w:rsidRDefault="006842BF" w:rsidP="00DE5DD2">
            <w:pPr>
              <w:pStyle w:val="Default"/>
              <w:jc w:val="center"/>
              <w:rPr>
                <w:rFonts w:asciiTheme="minorHAnsi" w:hAnsiTheme="minorHAnsi" w:cstheme="minorHAnsi"/>
                <w:sz w:val="22"/>
                <w:szCs w:val="22"/>
              </w:rPr>
            </w:pPr>
            <w:r w:rsidRPr="006842BF">
              <w:rPr>
                <w:rFonts w:asciiTheme="minorHAnsi" w:hAnsiTheme="minorHAnsi" w:cstheme="minorHAnsi"/>
                <w:sz w:val="22"/>
                <w:szCs w:val="22"/>
              </w:rPr>
              <w:t>End of the day</w:t>
            </w:r>
          </w:p>
        </w:tc>
      </w:tr>
      <w:tr w:rsidR="006842BF" w:rsidRPr="006842BF" w:rsidTr="00DE5DD2">
        <w:tc>
          <w:tcPr>
            <w:tcW w:w="3387" w:type="dxa"/>
          </w:tcPr>
          <w:p w:rsidR="006842BF" w:rsidRPr="006842BF" w:rsidRDefault="006842BF" w:rsidP="00DE5DD2">
            <w:pPr>
              <w:pStyle w:val="Default"/>
              <w:rPr>
                <w:rFonts w:asciiTheme="minorHAnsi" w:hAnsiTheme="minorHAnsi" w:cstheme="minorHAnsi"/>
                <w:sz w:val="22"/>
                <w:szCs w:val="22"/>
              </w:rPr>
            </w:pPr>
            <w:r w:rsidRPr="006842BF">
              <w:rPr>
                <w:rFonts w:asciiTheme="minorHAnsi" w:hAnsiTheme="minorHAnsi" w:cstheme="minorHAnsi"/>
                <w:sz w:val="22"/>
                <w:szCs w:val="22"/>
              </w:rPr>
              <w:t>The “creation / redemption” process for the ETF occurs more than 3 hours after the closing auction for the ETF</w:t>
            </w:r>
          </w:p>
        </w:tc>
        <w:tc>
          <w:tcPr>
            <w:tcW w:w="3388" w:type="dxa"/>
          </w:tcPr>
          <w:p w:rsidR="006842BF" w:rsidRPr="006842BF" w:rsidRDefault="006842BF" w:rsidP="00DE5DD2">
            <w:pPr>
              <w:pStyle w:val="Default"/>
              <w:jc w:val="center"/>
              <w:rPr>
                <w:rFonts w:asciiTheme="minorHAnsi" w:hAnsiTheme="minorHAnsi" w:cstheme="minorHAnsi"/>
                <w:sz w:val="22"/>
                <w:szCs w:val="22"/>
              </w:rPr>
            </w:pPr>
            <w:r w:rsidRPr="006842BF">
              <w:rPr>
                <w:rFonts w:asciiTheme="minorHAnsi" w:hAnsiTheme="minorHAnsi" w:cstheme="minorHAnsi"/>
                <w:sz w:val="22"/>
                <w:szCs w:val="22"/>
              </w:rPr>
              <w:t xml:space="preserve">2 000 </w:t>
            </w:r>
            <w:proofErr w:type="spellStart"/>
            <w:r w:rsidRPr="006842BF">
              <w:rPr>
                <w:rFonts w:asciiTheme="minorHAnsi" w:hAnsiTheme="minorHAnsi" w:cstheme="minorHAnsi"/>
                <w:sz w:val="22"/>
                <w:szCs w:val="22"/>
              </w:rPr>
              <w:t>000</w:t>
            </w:r>
            <w:proofErr w:type="spellEnd"/>
          </w:p>
        </w:tc>
        <w:tc>
          <w:tcPr>
            <w:tcW w:w="3388" w:type="dxa"/>
          </w:tcPr>
          <w:p w:rsidR="006842BF" w:rsidRPr="006842BF" w:rsidRDefault="006842BF" w:rsidP="00DE5DD2">
            <w:pPr>
              <w:pStyle w:val="Default"/>
              <w:jc w:val="center"/>
              <w:rPr>
                <w:rFonts w:asciiTheme="minorHAnsi" w:hAnsiTheme="minorHAnsi" w:cstheme="minorHAnsi"/>
                <w:sz w:val="22"/>
                <w:szCs w:val="22"/>
              </w:rPr>
            </w:pPr>
            <w:r w:rsidRPr="006842BF">
              <w:rPr>
                <w:rFonts w:asciiTheme="minorHAnsi" w:hAnsiTheme="minorHAnsi" w:cstheme="minorHAnsi"/>
                <w:sz w:val="22"/>
                <w:szCs w:val="22"/>
              </w:rPr>
              <w:t>End of the day of the “creation / redemption” process</w:t>
            </w:r>
          </w:p>
        </w:tc>
      </w:tr>
    </w:tbl>
    <w:permEnd w:id="64"/>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D33BB1" w:rsidRDefault="00D33BB1" w:rsidP="00D33BB1">
      <w:pPr>
        <w:spacing w:line="240" w:lineRule="atLeast"/>
        <w:rPr>
          <w:bCs/>
          <w:szCs w:val="22"/>
          <w:lang w:val="fr-FR"/>
        </w:rPr>
      </w:pPr>
      <w:permStart w:id="65" w:edGrp="everyone"/>
      <w:r>
        <w:rPr>
          <w:bCs/>
          <w:szCs w:val="22"/>
          <w:lang w:val="fr-FR"/>
        </w:rPr>
        <w:t>No comment.</w:t>
      </w:r>
    </w:p>
    <w:permEnd w:id="65"/>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Do you agree with ESMA’s proposal for the definition of a liquid market? Please provide an answer for SFPs and for each of type of bonds identified (European 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DE5DD2" w:rsidRDefault="00DE5DD2" w:rsidP="002777E0">
      <w:pPr>
        <w:pStyle w:val="ListParagraph"/>
        <w:rPr>
          <w:lang w:val="en-US"/>
        </w:rPr>
      </w:pPr>
      <w:permStart w:id="66" w:edGrp="everyone"/>
      <w:r>
        <w:t xml:space="preserve"> </w:t>
      </w:r>
      <w:r w:rsidRPr="00D65975">
        <w:rPr>
          <w:lang w:val="en-US"/>
        </w:rPr>
        <w:t xml:space="preserve">SG disagrees with the COFIA approach to classifying the liquidity of bonds. </w:t>
      </w:r>
      <w:r>
        <w:rPr>
          <w:lang w:val="en-US"/>
        </w:rPr>
        <w:t xml:space="preserve"> </w:t>
      </w:r>
      <w:r w:rsidRPr="00D65975">
        <w:rPr>
          <w:lang w:val="en-US"/>
        </w:rPr>
        <w:t>The IBIA approach is the most appropriate for bonds given the heterogeneous nature of the bond markets</w:t>
      </w:r>
      <w:r>
        <w:rPr>
          <w:lang w:val="en-US"/>
        </w:rPr>
        <w:t>.</w:t>
      </w:r>
    </w:p>
    <w:p w:rsidR="00DE5DD2" w:rsidRDefault="00DE5DD2" w:rsidP="00DE5DD2">
      <w:pPr>
        <w:rPr>
          <w:lang w:val="en-US"/>
        </w:rPr>
      </w:pPr>
    </w:p>
    <w:p w:rsidR="00DE5DD2" w:rsidRDefault="00DE5DD2" w:rsidP="002777E0">
      <w:pPr>
        <w:pStyle w:val="ListParagraph"/>
        <w:rPr>
          <w:lang w:val="en-US"/>
        </w:rPr>
      </w:pPr>
      <w:r>
        <w:rPr>
          <w:lang w:val="en-US"/>
        </w:rPr>
        <w:t xml:space="preserve">Generally SG supports the work in relation to the definition of liquid markets in Bonds undertaken and submitted by AFME in response to this consultation.  </w:t>
      </w:r>
    </w:p>
    <w:p w:rsidR="00DE5DD2" w:rsidRPr="001D4B30" w:rsidRDefault="00DE5DD2" w:rsidP="002777E0">
      <w:pPr>
        <w:pStyle w:val="ListParagraph"/>
        <w:rPr>
          <w:lang w:val="en-US"/>
        </w:rPr>
      </w:pPr>
      <w:r>
        <w:rPr>
          <w:lang w:val="en-US"/>
        </w:rPr>
        <w:t>SG also notes the proposals included by ICMA in their response to this consultation and, while the ICMA and AFME are similar in some aspects, they do differ in others.  SG believes that either the ICMA or AFME approaches represent a significant improvement on the original ESMA proposal.</w:t>
      </w:r>
    </w:p>
    <w:p w:rsidR="00DE5DD2" w:rsidRPr="00D65975" w:rsidRDefault="00DE5DD2" w:rsidP="0098588B">
      <w:pPr>
        <w:pStyle w:val="ListParagraph"/>
        <w:numPr>
          <w:ilvl w:val="0"/>
          <w:numId w:val="0"/>
        </w:numPr>
        <w:ind w:left="1068"/>
        <w:rPr>
          <w:lang w:val="en-US"/>
        </w:rPr>
      </w:pPr>
    </w:p>
    <w:p w:rsidR="00DE5DD2" w:rsidRDefault="00DE5DD2" w:rsidP="002777E0">
      <w:pPr>
        <w:pStyle w:val="ListParagraph"/>
        <w:rPr>
          <w:lang w:val="en-US"/>
        </w:rPr>
      </w:pPr>
      <w:r>
        <w:rPr>
          <w:lang w:val="en-US"/>
        </w:rPr>
        <w:t>While SG does appreciate the desire for a simple, understandable and easily enforceable approach to liquidity definition, t</w:t>
      </w:r>
      <w:r w:rsidRPr="00C87791">
        <w:rPr>
          <w:lang w:val="en-US"/>
        </w:rPr>
        <w:t xml:space="preserve">he </w:t>
      </w:r>
      <w:r>
        <w:rPr>
          <w:lang w:val="en-US"/>
        </w:rPr>
        <w:t xml:space="preserve">overly simple </w:t>
      </w:r>
      <w:r w:rsidRPr="00C87791">
        <w:rPr>
          <w:lang w:val="en-US"/>
        </w:rPr>
        <w:t xml:space="preserve">COFIA </w:t>
      </w:r>
      <w:r>
        <w:rPr>
          <w:lang w:val="en-US"/>
        </w:rPr>
        <w:t>approach based purely on issue size,</w:t>
      </w:r>
      <w:r w:rsidRPr="00C87791">
        <w:rPr>
          <w:lang w:val="en-US"/>
        </w:rPr>
        <w:t xml:space="preserve"> </w:t>
      </w:r>
      <w:r>
        <w:rPr>
          <w:lang w:val="en-US"/>
        </w:rPr>
        <w:t xml:space="preserve">as </w:t>
      </w:r>
      <w:r w:rsidRPr="00C87791">
        <w:rPr>
          <w:lang w:val="en-US"/>
        </w:rPr>
        <w:t>pro</w:t>
      </w:r>
      <w:r>
        <w:rPr>
          <w:lang w:val="en-US"/>
        </w:rPr>
        <w:t>posed by ESMA, does not accurately identify liquid bond issues.</w:t>
      </w:r>
    </w:p>
    <w:p w:rsidR="00DE5DD2" w:rsidRPr="00DE5DD2" w:rsidRDefault="00DE5DD2" w:rsidP="00DE5DD2">
      <w:pPr>
        <w:rPr>
          <w:lang w:val="en-US"/>
        </w:rPr>
      </w:pPr>
    </w:p>
    <w:p w:rsidR="00DE5DD2" w:rsidRDefault="00DE5DD2" w:rsidP="002777E0">
      <w:pPr>
        <w:pStyle w:val="ListParagraph"/>
        <w:rPr>
          <w:lang w:val="en-US"/>
        </w:rPr>
      </w:pPr>
      <w:r>
        <w:rPr>
          <w:lang w:val="en-US"/>
        </w:rPr>
        <w:t>SG does agree that, for the most part,</w:t>
      </w:r>
      <w:r w:rsidRPr="00C87791">
        <w:rPr>
          <w:lang w:val="en-US"/>
        </w:rPr>
        <w:t xml:space="preserve"> small issues are generally illiquid –</w:t>
      </w:r>
      <w:r>
        <w:rPr>
          <w:lang w:val="en-US"/>
        </w:rPr>
        <w:t xml:space="preserve"> and we agree</w:t>
      </w:r>
      <w:r w:rsidRPr="00C87791">
        <w:rPr>
          <w:lang w:val="en-US"/>
        </w:rPr>
        <w:t xml:space="preserve"> this is supported by ESMA’s data.  For all asset classes identified, only </w:t>
      </w:r>
      <w:r w:rsidRPr="00C87791">
        <w:rPr>
          <w:lang w:val="en-US"/>
        </w:rPr>
        <w:lastRenderedPageBreak/>
        <w:t>0.31%-7.96% under ESMA’s proposed issue size threshold</w:t>
      </w:r>
      <w:r>
        <w:rPr>
          <w:lang w:val="en-US"/>
        </w:rPr>
        <w:t xml:space="preserve">s met the ESMA liquidity test, </w:t>
      </w:r>
      <w:proofErr w:type="gramStart"/>
      <w:r>
        <w:rPr>
          <w:lang w:val="en-US"/>
        </w:rPr>
        <w:t>itself</w:t>
      </w:r>
      <w:proofErr w:type="gramEnd"/>
      <w:r>
        <w:rPr>
          <w:lang w:val="en-US"/>
        </w:rPr>
        <w:t xml:space="preserve"> set to a very low level.</w:t>
      </w:r>
    </w:p>
    <w:p w:rsidR="00DE5DD2" w:rsidRPr="00C87791" w:rsidRDefault="00DE5DD2" w:rsidP="0098588B">
      <w:pPr>
        <w:pStyle w:val="ListParagraph"/>
        <w:numPr>
          <w:ilvl w:val="0"/>
          <w:numId w:val="0"/>
        </w:numPr>
        <w:ind w:left="1068"/>
        <w:rPr>
          <w:lang w:val="en-US"/>
        </w:rPr>
      </w:pPr>
    </w:p>
    <w:p w:rsidR="00DE5DD2" w:rsidRDefault="00DE5DD2" w:rsidP="002777E0">
      <w:pPr>
        <w:pStyle w:val="ListParagraph"/>
        <w:rPr>
          <w:lang w:val="en-US"/>
        </w:rPr>
      </w:pPr>
      <w:r>
        <w:rPr>
          <w:lang w:val="en-US"/>
        </w:rPr>
        <w:t>SG</w:t>
      </w:r>
      <w:r w:rsidRPr="00C87791">
        <w:rPr>
          <w:lang w:val="en-US"/>
        </w:rPr>
        <w:t xml:space="preserve"> also </w:t>
      </w:r>
      <w:proofErr w:type="gramStart"/>
      <w:r w:rsidRPr="00C87791">
        <w:rPr>
          <w:lang w:val="en-US"/>
        </w:rPr>
        <w:t>agree</w:t>
      </w:r>
      <w:proofErr w:type="gramEnd"/>
      <w:r w:rsidRPr="00C87791">
        <w:rPr>
          <w:lang w:val="en-US"/>
        </w:rPr>
        <w:t xml:space="preserve"> that as issuance size increases, there are a greater number of liquid instruments. </w:t>
      </w:r>
      <w:r>
        <w:rPr>
          <w:lang w:val="en-US"/>
        </w:rPr>
        <w:t xml:space="preserve"> However it is a non-sequitur to make the link, therefore, that all large issues are liquid</w:t>
      </w:r>
      <w:r w:rsidRPr="00C87791">
        <w:rPr>
          <w:lang w:val="en-US"/>
        </w:rPr>
        <w:t xml:space="preserve"> </w:t>
      </w:r>
      <w:r>
        <w:rPr>
          <w:lang w:val="en-US"/>
        </w:rPr>
        <w:t xml:space="preserve">as there </w:t>
      </w:r>
      <w:proofErr w:type="gramStart"/>
      <w:r>
        <w:rPr>
          <w:lang w:val="en-US"/>
        </w:rPr>
        <w:t>remains a significant</w:t>
      </w:r>
      <w:r w:rsidRPr="00C87791">
        <w:rPr>
          <w:lang w:val="en-US"/>
        </w:rPr>
        <w:t xml:space="preserve"> proportion of illiquid instruments</w:t>
      </w:r>
      <w:proofErr w:type="gramEnd"/>
      <w:r>
        <w:rPr>
          <w:lang w:val="en-US"/>
        </w:rPr>
        <w:t xml:space="preserve"> – again validated by ESMA’s own liquidity test</w:t>
      </w:r>
      <w:r w:rsidRPr="00C87791">
        <w:rPr>
          <w:lang w:val="en-US"/>
        </w:rPr>
        <w:t xml:space="preserve">.  </w:t>
      </w:r>
    </w:p>
    <w:p w:rsidR="00DE5DD2" w:rsidRDefault="00DE5DD2" w:rsidP="0098588B">
      <w:pPr>
        <w:pStyle w:val="ListParagraph"/>
        <w:numPr>
          <w:ilvl w:val="0"/>
          <w:numId w:val="0"/>
        </w:numPr>
        <w:ind w:left="1068"/>
        <w:rPr>
          <w:lang w:val="en-US"/>
        </w:rPr>
      </w:pPr>
    </w:p>
    <w:p w:rsidR="00DE5DD2" w:rsidRDefault="00DE5DD2" w:rsidP="002777E0">
      <w:pPr>
        <w:pStyle w:val="ListParagraph"/>
        <w:rPr>
          <w:lang w:val="en-US"/>
        </w:rPr>
      </w:pPr>
      <w:r>
        <w:rPr>
          <w:lang w:val="en-US"/>
        </w:rPr>
        <w:t>ESMA’s own liquidity test sets a very low standard for liquidity.  It is far from obvious that an ISIN that trades twice a day in the whole European market to the amount of EUR100k is really liquid in the context of a multi-trillion Euro marketplace.</w:t>
      </w:r>
    </w:p>
    <w:p w:rsidR="00DE5DD2" w:rsidRDefault="00DE5DD2" w:rsidP="002777E0">
      <w:pPr>
        <w:pStyle w:val="ListParagraph"/>
        <w:rPr>
          <w:lang w:val="en-US"/>
        </w:rPr>
      </w:pPr>
      <w:r w:rsidRPr="00CF3439">
        <w:rPr>
          <w:lang w:val="en-US"/>
        </w:rPr>
        <w:t>Therefore, it is clear that issuance size alone is not a sufficient measure, as demonstrated by the number of false positives: 40-73.55%.</w:t>
      </w:r>
    </w:p>
    <w:p w:rsidR="00DE5DD2" w:rsidRPr="002A439D" w:rsidRDefault="00DE5DD2" w:rsidP="002777E0">
      <w:pPr>
        <w:pStyle w:val="ListParagraph"/>
        <w:rPr>
          <w:lang w:val="en-US"/>
        </w:rPr>
      </w:pPr>
      <w:r w:rsidRPr="002A439D">
        <w:rPr>
          <w:lang w:val="en-US"/>
        </w:rPr>
        <w:t>SG does not agree that it is appropriate to mitigate the effects of incorrect liquidity classifications by adjusting other parameters within MiFID2/R (for example, LIS, SSTI)</w:t>
      </w:r>
      <w:r>
        <w:rPr>
          <w:lang w:val="en-US"/>
        </w:rPr>
        <w:t>, particularly where the proportion of false positives is so high.</w:t>
      </w:r>
    </w:p>
    <w:p w:rsidR="00DE5DD2" w:rsidRPr="00CF3439" w:rsidRDefault="00DE5DD2" w:rsidP="00DE5DD2">
      <w:pPr>
        <w:rPr>
          <w:lang w:val="en-US"/>
        </w:rPr>
      </w:pPr>
    </w:p>
    <w:p w:rsidR="00DE5DD2" w:rsidRDefault="00DE5DD2" w:rsidP="002777E0">
      <w:pPr>
        <w:pStyle w:val="ListParagraph"/>
        <w:rPr>
          <w:lang w:val="en-US"/>
        </w:rPr>
      </w:pPr>
      <w:r>
        <w:rPr>
          <w:lang w:val="en-US"/>
        </w:rPr>
        <w:t>The table (Table 5) on page 104 (Section 3.5) of the consultation is flawed.</w:t>
      </w:r>
    </w:p>
    <w:p w:rsidR="00DE5DD2" w:rsidRDefault="00DE5DD2" w:rsidP="0098588B">
      <w:pPr>
        <w:pStyle w:val="ListParagraph"/>
        <w:numPr>
          <w:ilvl w:val="0"/>
          <w:numId w:val="0"/>
        </w:numPr>
        <w:ind w:left="1068"/>
        <w:rPr>
          <w:lang w:val="en-US"/>
        </w:rPr>
      </w:pPr>
    </w:p>
    <w:p w:rsidR="00DE5DD2" w:rsidRDefault="00DE5DD2" w:rsidP="002777E0">
      <w:pPr>
        <w:pStyle w:val="ListParagraph"/>
        <w:rPr>
          <w:lang w:val="en-US"/>
        </w:rPr>
      </w:pPr>
      <w:r w:rsidRPr="00C87791">
        <w:rPr>
          <w:lang w:val="en-US"/>
        </w:rPr>
        <w:t>It is not correct to base the appropriateness on the total number of false negatives and false positives against the</w:t>
      </w:r>
      <w:r>
        <w:rPr>
          <w:lang w:val="en-US"/>
        </w:rPr>
        <w:t xml:space="preserve"> entire tested universe.  T</w:t>
      </w:r>
      <w:r w:rsidRPr="00C87791">
        <w:rPr>
          <w:lang w:val="en-US"/>
        </w:rPr>
        <w:t>he universe of</w:t>
      </w:r>
      <w:r>
        <w:rPr>
          <w:lang w:val="en-US"/>
        </w:rPr>
        <w:t xml:space="preserve"> “illiquid”</w:t>
      </w:r>
      <w:r w:rsidRPr="00C87791">
        <w:rPr>
          <w:lang w:val="en-US"/>
        </w:rPr>
        <w:t xml:space="preserve"> instruments </w:t>
      </w:r>
      <w:r>
        <w:rPr>
          <w:lang w:val="en-US"/>
        </w:rPr>
        <w:t>(</w:t>
      </w:r>
      <w:proofErr w:type="spellStart"/>
      <w:r>
        <w:rPr>
          <w:lang w:val="en-US"/>
        </w:rPr>
        <w:t>ie</w:t>
      </w:r>
      <w:proofErr w:type="spellEnd"/>
      <w:r>
        <w:rPr>
          <w:lang w:val="en-US"/>
        </w:rPr>
        <w:t xml:space="preserve"> those </w:t>
      </w:r>
      <w:r w:rsidRPr="00C87791">
        <w:rPr>
          <w:lang w:val="en-US"/>
        </w:rPr>
        <w:t>under the issuance size</w:t>
      </w:r>
      <w:r>
        <w:rPr>
          <w:lang w:val="en-US"/>
        </w:rPr>
        <w:t>)</w:t>
      </w:r>
      <w:r w:rsidRPr="00C87791">
        <w:rPr>
          <w:lang w:val="en-US"/>
        </w:rPr>
        <w:t xml:space="preserve"> is significantly larger than the universe </w:t>
      </w:r>
      <w:r>
        <w:rPr>
          <w:lang w:val="en-US"/>
        </w:rPr>
        <w:t>of “liquid” instruments (</w:t>
      </w:r>
      <w:proofErr w:type="spellStart"/>
      <w:r>
        <w:rPr>
          <w:lang w:val="en-US"/>
        </w:rPr>
        <w:t>ie</w:t>
      </w:r>
      <w:proofErr w:type="spellEnd"/>
      <w:r>
        <w:rPr>
          <w:lang w:val="en-US"/>
        </w:rPr>
        <w:t xml:space="preserve"> those </w:t>
      </w:r>
      <w:r w:rsidRPr="00C87791">
        <w:rPr>
          <w:lang w:val="en-US"/>
        </w:rPr>
        <w:t>above the issuance size</w:t>
      </w:r>
      <w:r>
        <w:rPr>
          <w:lang w:val="en-US"/>
        </w:rPr>
        <w:t xml:space="preserve">).  Simply summing the two </w:t>
      </w:r>
      <w:r w:rsidRPr="00C87791">
        <w:rPr>
          <w:lang w:val="en-US"/>
        </w:rPr>
        <w:t xml:space="preserve">creates a weighted average of the error </w:t>
      </w:r>
      <w:r>
        <w:rPr>
          <w:lang w:val="en-US"/>
        </w:rPr>
        <w:t xml:space="preserve">significantly </w:t>
      </w:r>
      <w:r w:rsidRPr="00C87791">
        <w:rPr>
          <w:lang w:val="en-US"/>
        </w:rPr>
        <w:t xml:space="preserve">in </w:t>
      </w:r>
      <w:proofErr w:type="spellStart"/>
      <w:r w:rsidRPr="00C87791">
        <w:rPr>
          <w:lang w:val="en-US"/>
        </w:rPr>
        <w:t>favour</w:t>
      </w:r>
      <w:proofErr w:type="spellEnd"/>
      <w:r w:rsidRPr="00C87791">
        <w:rPr>
          <w:lang w:val="en-US"/>
        </w:rPr>
        <w:t xml:space="preserve"> of the larger universe</w:t>
      </w:r>
      <w:r>
        <w:rPr>
          <w:lang w:val="en-US"/>
        </w:rPr>
        <w:t>.</w:t>
      </w:r>
    </w:p>
    <w:p w:rsidR="00DE5DD2" w:rsidRDefault="00DE5DD2" w:rsidP="002777E0">
      <w:pPr>
        <w:pStyle w:val="ListParagraph"/>
        <w:rPr>
          <w:lang w:val="en-US"/>
        </w:rPr>
      </w:pPr>
      <w:r>
        <w:rPr>
          <w:lang w:val="en-US"/>
        </w:rPr>
        <w:t xml:space="preserve">As a result the data in column (2) on Table 5 is, at best, misleading as the simple summation approach has </w:t>
      </w:r>
      <w:r w:rsidRPr="00C87791">
        <w:rPr>
          <w:lang w:val="en-US"/>
        </w:rPr>
        <w:t>biase</w:t>
      </w:r>
      <w:r>
        <w:rPr>
          <w:lang w:val="en-US"/>
        </w:rPr>
        <w:t>d</w:t>
      </w:r>
      <w:r w:rsidRPr="00C87791">
        <w:rPr>
          <w:lang w:val="en-US"/>
        </w:rPr>
        <w:t xml:space="preserve"> the total error margin in the direction of the number of false negatives (which is very small).  </w:t>
      </w:r>
    </w:p>
    <w:p w:rsidR="00DE5DD2" w:rsidRPr="00360F12" w:rsidRDefault="00DE5DD2" w:rsidP="00DE5DD2">
      <w:pPr>
        <w:rPr>
          <w:lang w:val="en-US"/>
        </w:rPr>
      </w:pPr>
    </w:p>
    <w:p w:rsidR="00DE5DD2" w:rsidRDefault="00DE5DD2" w:rsidP="002777E0">
      <w:pPr>
        <w:pStyle w:val="ListParagraph"/>
        <w:rPr>
          <w:lang w:val="en-US"/>
        </w:rPr>
      </w:pPr>
      <w:r>
        <w:rPr>
          <w:lang w:val="en-US"/>
        </w:rPr>
        <w:t>Furthermore, SG does not understand why a consistent approach has not been used for SSTI/LIS calibrations (where trades under 100k are excluded) and the Liquidity test where such trades are included.</w:t>
      </w:r>
    </w:p>
    <w:p w:rsidR="00DE5DD2" w:rsidRDefault="00DE5DD2" w:rsidP="0098588B">
      <w:pPr>
        <w:pStyle w:val="ListParagraph"/>
        <w:numPr>
          <w:ilvl w:val="0"/>
          <w:numId w:val="0"/>
        </w:numPr>
        <w:ind w:left="1068"/>
        <w:rPr>
          <w:lang w:val="en-US"/>
        </w:rPr>
      </w:pPr>
    </w:p>
    <w:p w:rsidR="00DE5DD2" w:rsidRDefault="00DE5DD2" w:rsidP="002777E0">
      <w:pPr>
        <w:pStyle w:val="ListParagraph"/>
        <w:rPr>
          <w:lang w:val="en-US"/>
        </w:rPr>
      </w:pPr>
      <w:r>
        <w:rPr>
          <w:lang w:val="en-US"/>
        </w:rPr>
        <w:t>SG strongly supports the work of AFME and, in particular, supports the revised approach proposed by AFME for the liquidity calibration for Bonds, which is a hybrid of the IBIA/COFIA methods, namely:</w:t>
      </w:r>
    </w:p>
    <w:p w:rsidR="00DE5DD2" w:rsidRPr="0062705F" w:rsidRDefault="00DE5DD2" w:rsidP="0098588B">
      <w:pPr>
        <w:pStyle w:val="ListParagraph"/>
        <w:numPr>
          <w:ilvl w:val="0"/>
          <w:numId w:val="0"/>
        </w:numPr>
        <w:ind w:left="1068"/>
        <w:rPr>
          <w:lang w:val="en-US"/>
        </w:rPr>
      </w:pPr>
    </w:p>
    <w:p w:rsidR="00DE5DD2" w:rsidRDefault="00DE5DD2" w:rsidP="002777E0">
      <w:pPr>
        <w:pStyle w:val="ListParagraph"/>
        <w:rPr>
          <w:lang w:val="en-US"/>
        </w:rPr>
      </w:pPr>
      <w:r>
        <w:rPr>
          <w:lang w:val="en-US"/>
        </w:rPr>
        <w:t>Issues sizes &lt; EUR500mm = Illiquid</w:t>
      </w:r>
    </w:p>
    <w:p w:rsidR="00DE5DD2" w:rsidRDefault="00DE5DD2" w:rsidP="002777E0">
      <w:pPr>
        <w:pStyle w:val="ListParagraph"/>
        <w:rPr>
          <w:lang w:val="en-US"/>
        </w:rPr>
      </w:pPr>
      <w:r>
        <w:rPr>
          <w:lang w:val="en-US"/>
        </w:rPr>
        <w:t>Issue sizes &gt;= EUR500mm = Liquid if more than 1000 trades per year on 200 separate traded days with a minimum of EUR5mm average daily volume, tested quarterly</w:t>
      </w:r>
    </w:p>
    <w:p w:rsidR="00DE5DD2" w:rsidRPr="0062705F" w:rsidRDefault="00DE5DD2" w:rsidP="002777E0">
      <w:pPr>
        <w:pStyle w:val="ListParagraph"/>
        <w:rPr>
          <w:lang w:val="en-US"/>
        </w:rPr>
      </w:pPr>
      <w:r>
        <w:rPr>
          <w:lang w:val="en-US"/>
        </w:rPr>
        <w:t>New issues should be treated as liquid in the first instance if the issue size is &gt;=EUR750mm</w:t>
      </w:r>
    </w:p>
    <w:p w:rsidR="00DE5DD2" w:rsidRPr="0062705F" w:rsidRDefault="00DE5DD2" w:rsidP="0098588B">
      <w:pPr>
        <w:pStyle w:val="ListParagraph"/>
        <w:numPr>
          <w:ilvl w:val="0"/>
          <w:numId w:val="0"/>
        </w:numPr>
        <w:ind w:left="1068"/>
        <w:rPr>
          <w:lang w:val="en-US"/>
        </w:rPr>
      </w:pPr>
    </w:p>
    <w:p w:rsidR="00DE5DD2" w:rsidRDefault="00DE5DD2" w:rsidP="002777E0">
      <w:pPr>
        <w:pStyle w:val="ListParagraph"/>
        <w:rPr>
          <w:lang w:val="en-US"/>
        </w:rPr>
      </w:pPr>
      <w:r w:rsidRPr="001D4B30">
        <w:rPr>
          <w:lang w:val="en-US"/>
        </w:rPr>
        <w:t xml:space="preserve">SG does agree with agree with the proposal for SFPs </w:t>
      </w:r>
    </w:p>
    <w:p w:rsidR="00DE5DD2" w:rsidRDefault="00DE5DD2" w:rsidP="00DE5DD2">
      <w:pPr>
        <w:rPr>
          <w:lang w:val="en-US"/>
        </w:rPr>
      </w:pPr>
    </w:p>
    <w:p w:rsidR="00DE5DD2" w:rsidRPr="001D4B30" w:rsidRDefault="00DE5DD2" w:rsidP="002777E0">
      <w:pPr>
        <w:pStyle w:val="ListParagraph"/>
        <w:rPr>
          <w:lang w:val="en-US"/>
        </w:rPr>
      </w:pPr>
      <w:r>
        <w:rPr>
          <w:lang w:val="en-US"/>
        </w:rPr>
        <w:t>There are some specific technical points that SG wishes to raise:</w:t>
      </w:r>
    </w:p>
    <w:p w:rsidR="00DE5DD2" w:rsidRPr="00C24D96" w:rsidRDefault="00DE5DD2" w:rsidP="00DE5DD2">
      <w:pPr>
        <w:rPr>
          <w:lang w:val="en-US"/>
        </w:rPr>
      </w:pPr>
    </w:p>
    <w:p w:rsidR="00DE5DD2" w:rsidRDefault="00DE5DD2" w:rsidP="002777E0">
      <w:pPr>
        <w:pStyle w:val="ListParagraph"/>
        <w:rPr>
          <w:lang w:val="en-US"/>
        </w:rPr>
      </w:pPr>
      <w:r>
        <w:rPr>
          <w:lang w:val="en-US"/>
        </w:rPr>
        <w:t>Exchange rates used to refer all calculations into EUR will need to be specified</w:t>
      </w:r>
    </w:p>
    <w:p w:rsidR="00DE5DD2" w:rsidRDefault="00DE5DD2" w:rsidP="002777E0">
      <w:pPr>
        <w:pStyle w:val="ListParagraph"/>
        <w:rPr>
          <w:lang w:val="en-US"/>
        </w:rPr>
      </w:pPr>
      <w:r>
        <w:rPr>
          <w:lang w:val="en-US"/>
        </w:rPr>
        <w:t>It will be necessary to develop a process for classifying bonds in to the correct category</w:t>
      </w:r>
    </w:p>
    <w:p w:rsidR="00DE5DD2" w:rsidRDefault="00DE5DD2" w:rsidP="002777E0">
      <w:pPr>
        <w:pStyle w:val="ListParagraph"/>
        <w:rPr>
          <w:lang w:val="en-US"/>
        </w:rPr>
      </w:pPr>
      <w:r w:rsidRPr="002A439D">
        <w:rPr>
          <w:lang w:val="en-US"/>
        </w:rPr>
        <w:lastRenderedPageBreak/>
        <w:t xml:space="preserve">To avoid opportunities for gaming, the </w:t>
      </w:r>
      <w:r>
        <w:rPr>
          <w:lang w:val="en-US"/>
        </w:rPr>
        <w:t>i</w:t>
      </w:r>
      <w:r w:rsidRPr="002A439D">
        <w:rPr>
          <w:lang w:val="en-US"/>
        </w:rPr>
        <w:t xml:space="preserve">ssue size </w:t>
      </w:r>
      <w:r>
        <w:rPr>
          <w:lang w:val="en-US"/>
        </w:rPr>
        <w:t xml:space="preserve">used for categorization </w:t>
      </w:r>
      <w:r w:rsidRPr="002A439D">
        <w:rPr>
          <w:lang w:val="en-US"/>
        </w:rPr>
        <w:t xml:space="preserve">should be outstanding </w:t>
      </w:r>
      <w:r>
        <w:rPr>
          <w:lang w:val="en-US"/>
        </w:rPr>
        <w:t>(</w:t>
      </w:r>
      <w:r w:rsidRPr="002A439D">
        <w:rPr>
          <w:lang w:val="en-US"/>
        </w:rPr>
        <w:t>except</w:t>
      </w:r>
      <w:r>
        <w:rPr>
          <w:lang w:val="en-US"/>
        </w:rPr>
        <w:t xml:space="preserve"> for factored/</w:t>
      </w:r>
      <w:proofErr w:type="spellStart"/>
      <w:r>
        <w:rPr>
          <w:lang w:val="en-US"/>
        </w:rPr>
        <w:t>amortising</w:t>
      </w:r>
      <w:proofErr w:type="spellEnd"/>
      <w:r>
        <w:rPr>
          <w:lang w:val="en-US"/>
        </w:rPr>
        <w:t xml:space="preserve"> bonds) and not the original issue size.</w:t>
      </w:r>
    </w:p>
    <w:p w:rsidR="00DE5DD2" w:rsidRDefault="00DE5DD2" w:rsidP="002777E0">
      <w:pPr>
        <w:pStyle w:val="ListParagraph"/>
        <w:rPr>
          <w:lang w:val="en-US"/>
        </w:rPr>
      </w:pPr>
      <w:r w:rsidRPr="002A439D">
        <w:rPr>
          <w:lang w:val="en-US"/>
        </w:rPr>
        <w:t>Non price forming trades should be excluded from any liquidity test</w:t>
      </w:r>
    </w:p>
    <w:p w:rsidR="00577C33" w:rsidRDefault="00DE5DD2" w:rsidP="00EC2C93">
      <w:pPr>
        <w:keepNext/>
      </w:pPr>
      <w:r w:rsidRPr="002A439D">
        <w:rPr>
          <w:lang w:val="en-US"/>
        </w:rPr>
        <w:t xml:space="preserve">Block trades should be used </w:t>
      </w:r>
      <w:r>
        <w:rPr>
          <w:lang w:val="en-US"/>
        </w:rPr>
        <w:t xml:space="preserve">in any liquidity test as opposed to </w:t>
      </w:r>
      <w:r w:rsidRPr="002A439D">
        <w:rPr>
          <w:lang w:val="en-US"/>
        </w:rPr>
        <w:t>allocations</w:t>
      </w:r>
      <w:r>
        <w:rPr>
          <w:lang w:val="en-US"/>
        </w:rPr>
        <w:t>.</w:t>
      </w:r>
      <w:r>
        <w:t xml:space="preserve"> </w:t>
      </w:r>
      <w:permEnd w:id="66"/>
      <w:r w:rsidR="00577C33">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1D2FEB" w:rsidRPr="001D2FEB" w:rsidRDefault="001D2FEB" w:rsidP="001D2FEB">
      <w:pPr>
        <w:spacing w:line="240" w:lineRule="auto"/>
        <w:ind w:left="360" w:hanging="360"/>
        <w:contextualSpacing/>
        <w:jc w:val="left"/>
        <w:rPr>
          <w:lang w:val="en-US"/>
        </w:rPr>
      </w:pPr>
      <w:permStart w:id="67" w:edGrp="everyone"/>
      <w:r w:rsidRPr="001D2FEB">
        <w:rPr>
          <w:lang w:val="en-US"/>
        </w:rPr>
        <w:t>SG agrees with the definitions contained in items (1) through (13) in Annex III of RTS 9.</w:t>
      </w:r>
    </w:p>
    <w:permEnd w:id="67"/>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3B4001" w:rsidRDefault="003B4001" w:rsidP="003B4001">
      <w:pPr>
        <w:ind w:left="360"/>
        <w:rPr>
          <w:lang w:val="en-US"/>
        </w:rPr>
      </w:pPr>
      <w:permStart w:id="68" w:edGrp="everyone"/>
      <w:r>
        <w:rPr>
          <w:lang w:val="en-US"/>
        </w:rPr>
        <w:t>No. SG</w:t>
      </w:r>
      <w:r w:rsidRPr="00C6643F">
        <w:rPr>
          <w:lang w:val="en-US"/>
        </w:rPr>
        <w:t xml:space="preserve"> does not agree.</w:t>
      </w:r>
    </w:p>
    <w:p w:rsidR="003B4001" w:rsidRDefault="003B4001" w:rsidP="002777E0">
      <w:pPr>
        <w:pStyle w:val="ListParagraph"/>
        <w:rPr>
          <w:lang w:val="en-US"/>
        </w:rPr>
      </w:pPr>
      <w:r w:rsidRPr="003B4001">
        <w:rPr>
          <w:lang w:val="en-US"/>
        </w:rPr>
        <w:t xml:space="preserve">We note that the definition of </w:t>
      </w:r>
      <w:proofErr w:type="spellStart"/>
      <w:r w:rsidRPr="003B4001">
        <w:rPr>
          <w:lang w:val="en-US"/>
        </w:rPr>
        <w:t>securitised</w:t>
      </w:r>
      <w:proofErr w:type="spellEnd"/>
      <w:r w:rsidRPr="003B4001">
        <w:rPr>
          <w:lang w:val="en-US"/>
        </w:rPr>
        <w:t xml:space="preserve"> derivatives in the RTS is extremely broad and would capture a diverse range of securities.  In fact, the definition overlaps with many types of derivatives since it captures both </w:t>
      </w:r>
      <w:proofErr w:type="spellStart"/>
      <w:r w:rsidRPr="003B4001">
        <w:rPr>
          <w:lang w:val="en-US"/>
        </w:rPr>
        <w:t>securitised</w:t>
      </w:r>
      <w:proofErr w:type="spellEnd"/>
      <w:r w:rsidRPr="003B4001">
        <w:rPr>
          <w:lang w:val="en-US"/>
        </w:rPr>
        <w:t xml:space="preserve"> and </w:t>
      </w:r>
      <w:proofErr w:type="spellStart"/>
      <w:r w:rsidRPr="003B4001">
        <w:rPr>
          <w:lang w:val="en-US"/>
        </w:rPr>
        <w:t>unsecuritised</w:t>
      </w:r>
      <w:proofErr w:type="spellEnd"/>
      <w:r w:rsidRPr="003B4001">
        <w:rPr>
          <w:lang w:val="en-US"/>
        </w:rPr>
        <w:t xml:space="preserve"> instruments.  We ask ESMA to review and refine the definition of </w:t>
      </w:r>
      <w:proofErr w:type="spellStart"/>
      <w:r w:rsidRPr="003B4001">
        <w:rPr>
          <w:lang w:val="en-US"/>
        </w:rPr>
        <w:t>securitised</w:t>
      </w:r>
      <w:proofErr w:type="spellEnd"/>
      <w:r w:rsidRPr="003B4001">
        <w:rPr>
          <w:lang w:val="en-US"/>
        </w:rPr>
        <w:t xml:space="preserve"> derivatives. </w:t>
      </w:r>
    </w:p>
    <w:p w:rsidR="003B4001" w:rsidRPr="003B4001" w:rsidRDefault="003B4001" w:rsidP="002777E0">
      <w:pPr>
        <w:pStyle w:val="ListParagraph"/>
        <w:rPr>
          <w:lang w:val="en-US"/>
        </w:rPr>
      </w:pPr>
      <w:r w:rsidRPr="003B4001">
        <w:rPr>
          <w:lang w:val="en-US"/>
        </w:rPr>
        <w:t xml:space="preserve">With regards to the liquidity calibration, given the breadth and diversity of the universe of instruments that would be classified as </w:t>
      </w:r>
      <w:proofErr w:type="spellStart"/>
      <w:r w:rsidRPr="003B4001">
        <w:rPr>
          <w:lang w:val="en-US"/>
        </w:rPr>
        <w:t>securitised</w:t>
      </w:r>
      <w:proofErr w:type="spellEnd"/>
      <w:r w:rsidRPr="003B4001">
        <w:rPr>
          <w:lang w:val="en-US"/>
        </w:rPr>
        <w:t xml:space="preserve"> derivatives, we suggest that ESMA take a more granular approach.  We believe that ESMA’s approach in the Consultation Paper is not appropriate. </w:t>
      </w:r>
    </w:p>
    <w:p w:rsidR="003B4001" w:rsidRPr="00C6643F" w:rsidRDefault="003B4001" w:rsidP="003B4001">
      <w:pPr>
        <w:rPr>
          <w:lang w:val="en-US"/>
        </w:rPr>
      </w:pPr>
    </w:p>
    <w:p w:rsidR="003B4001" w:rsidRDefault="003B4001" w:rsidP="002777E0">
      <w:pPr>
        <w:pStyle w:val="ListParagraph"/>
        <w:rPr>
          <w:lang w:val="en-US"/>
        </w:rPr>
      </w:pPr>
      <w:r>
        <w:rPr>
          <w:lang w:val="en-US"/>
        </w:rPr>
        <w:t>SG</w:t>
      </w:r>
      <w:r w:rsidRPr="00C6643F">
        <w:rPr>
          <w:lang w:val="en-US"/>
        </w:rPr>
        <w:t xml:space="preserve"> does not agree with a presumption that, prima facie, the presence of a market maker implies liquidity in all markets, and that the nature of the product as well as the number and type of market participants is highly relevant to such a determination.  </w:t>
      </w:r>
    </w:p>
    <w:p w:rsidR="003B4001" w:rsidRDefault="003B4001" w:rsidP="0098588B">
      <w:pPr>
        <w:pStyle w:val="ListParagraph"/>
        <w:numPr>
          <w:ilvl w:val="0"/>
          <w:numId w:val="0"/>
        </w:numPr>
        <w:ind w:left="1068"/>
        <w:rPr>
          <w:lang w:val="en-US"/>
        </w:rPr>
      </w:pPr>
    </w:p>
    <w:p w:rsidR="003B4001" w:rsidRDefault="003B4001" w:rsidP="002777E0">
      <w:pPr>
        <w:pStyle w:val="ListParagraph"/>
        <w:rPr>
          <w:lang w:val="en-US"/>
        </w:rPr>
      </w:pPr>
      <w:r w:rsidRPr="00C6643F">
        <w:rPr>
          <w:lang w:val="en-US"/>
        </w:rPr>
        <w:t>Within this large universe, there is a subset of instruments that can be categorized as liquid because are predominately retail focused and transactions are often executed in relatively small sizes.  However, there are many other instruments falling within this class that are wholesale products and are illiquid.</w:t>
      </w:r>
    </w:p>
    <w:permEnd w:id="68"/>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lastRenderedPageBreak/>
        <w:t>&lt;ESMA_QUESTION_CP_MIFID_60&gt;</w:t>
      </w:r>
    </w:p>
    <w:p w:rsidR="00BC415B" w:rsidRDefault="00BC415B" w:rsidP="002777E0">
      <w:pPr>
        <w:pStyle w:val="ListParagraph"/>
        <w:rPr>
          <w:lang w:val="en-US"/>
        </w:rPr>
      </w:pPr>
      <w:permStart w:id="69" w:edGrp="everyone"/>
      <w:r>
        <w:rPr>
          <w:lang w:val="en-US"/>
        </w:rPr>
        <w:t>SG is</w:t>
      </w:r>
      <w:r w:rsidRPr="00B30964">
        <w:rPr>
          <w:lang w:val="en-US"/>
        </w:rPr>
        <w:t xml:space="preserve"> concerned that the proposed definitions of "</w:t>
      </w:r>
      <w:proofErr w:type="spellStart"/>
      <w:r w:rsidRPr="00B30964">
        <w:rPr>
          <w:lang w:val="en-US"/>
        </w:rPr>
        <w:t>securitised</w:t>
      </w:r>
      <w:proofErr w:type="spellEnd"/>
      <w:r w:rsidRPr="00B30964">
        <w:rPr>
          <w:lang w:val="en-US"/>
        </w:rPr>
        <w:t xml:space="preserve"> derivatives" and "bonds" do not sufficiently identify those instruments which should be treated as </w:t>
      </w:r>
      <w:proofErr w:type="spellStart"/>
      <w:r w:rsidRPr="00B30964">
        <w:rPr>
          <w:lang w:val="en-US"/>
        </w:rPr>
        <w:t>securitised</w:t>
      </w:r>
      <w:proofErr w:type="spellEnd"/>
      <w:r w:rsidRPr="00B30964">
        <w:rPr>
          <w:lang w:val="en-US"/>
        </w:rPr>
        <w:t xml:space="preserve"> derivatives and those instruments that should be treated as bonds. There should be no overlap between the two </w:t>
      </w:r>
      <w:proofErr w:type="gramStart"/>
      <w:r w:rsidRPr="00B30964">
        <w:rPr>
          <w:lang w:val="en-US"/>
        </w:rPr>
        <w:t>definitions,</w:t>
      </w:r>
      <w:proofErr w:type="gramEnd"/>
      <w:r w:rsidRPr="00B30964">
        <w:rPr>
          <w:lang w:val="en-US"/>
        </w:rPr>
        <w:t xml:space="preserve"> otherwise there is a risk that different trading venues and investment firms will treat the same instruments in different ways for transparency purposes. </w:t>
      </w:r>
    </w:p>
    <w:p w:rsidR="00BC415B" w:rsidRDefault="00BC415B" w:rsidP="0098588B">
      <w:pPr>
        <w:pStyle w:val="ListParagraph"/>
        <w:numPr>
          <w:ilvl w:val="0"/>
          <w:numId w:val="0"/>
        </w:numPr>
        <w:ind w:left="1068"/>
        <w:rPr>
          <w:lang w:val="en-US"/>
        </w:rPr>
      </w:pPr>
    </w:p>
    <w:p w:rsidR="00BC415B" w:rsidRPr="0098588B" w:rsidRDefault="00BC415B" w:rsidP="0098588B">
      <w:pPr>
        <w:ind w:left="1068" w:hanging="360"/>
        <w:rPr>
          <w:lang w:val="en-US"/>
        </w:rPr>
      </w:pPr>
      <w:r w:rsidRPr="0098588B">
        <w:rPr>
          <w:lang w:val="en-US"/>
        </w:rPr>
        <w:t>In line with ISDA, we would propose the following amendments to the definitions in Annex III of RTS 9:</w:t>
      </w:r>
    </w:p>
    <w:p w:rsidR="00BC415B" w:rsidRDefault="00BC415B" w:rsidP="0098588B">
      <w:pPr>
        <w:pStyle w:val="ListParagraph"/>
        <w:numPr>
          <w:ilvl w:val="0"/>
          <w:numId w:val="0"/>
        </w:numPr>
        <w:ind w:left="1068"/>
        <w:rPr>
          <w:lang w:val="en-US"/>
        </w:rPr>
      </w:pPr>
    </w:p>
    <w:p w:rsidR="00BC415B" w:rsidRPr="0098588B" w:rsidRDefault="00BC415B" w:rsidP="0098588B">
      <w:pPr>
        <w:ind w:left="1068" w:hanging="360"/>
        <w:rPr>
          <w:lang w:val="en-US"/>
        </w:rPr>
      </w:pPr>
      <w:r w:rsidRPr="0098588B">
        <w:rPr>
          <w:lang w:val="en-US"/>
        </w:rPr>
        <w:t>A new definition of "structured debt security" should be included, as follows:</w:t>
      </w:r>
    </w:p>
    <w:p w:rsidR="00BC415B" w:rsidRDefault="00BC415B" w:rsidP="002777E0">
      <w:pPr>
        <w:pStyle w:val="ListParagraph"/>
        <w:rPr>
          <w:lang w:val="en-US"/>
        </w:rPr>
      </w:pPr>
      <w:r w:rsidRPr="00B30964">
        <w:rPr>
          <w:lang w:val="en-US"/>
        </w:rPr>
        <w:t>"Structured debt security" means a transferable security falling within Article 4(1</w:t>
      </w:r>
      <w:proofErr w:type="gramStart"/>
      <w:r w:rsidRPr="00B30964">
        <w:rPr>
          <w:lang w:val="en-US"/>
        </w:rPr>
        <w:t>)(</w:t>
      </w:r>
      <w:proofErr w:type="gramEnd"/>
      <w:r w:rsidRPr="00B30964">
        <w:rPr>
          <w:lang w:val="en-US"/>
        </w:rPr>
        <w:t xml:space="preserve">44)(b) of Directive 2014/65/EU with an embedded derivative which is not a convertible bond. </w:t>
      </w:r>
    </w:p>
    <w:p w:rsidR="00BC415B" w:rsidRPr="0098588B" w:rsidRDefault="00BC415B" w:rsidP="0098588B">
      <w:pPr>
        <w:ind w:left="708"/>
        <w:rPr>
          <w:lang w:val="en-US"/>
        </w:rPr>
      </w:pPr>
      <w:r w:rsidRPr="0098588B">
        <w:rPr>
          <w:lang w:val="en-US"/>
        </w:rPr>
        <w:t>The definition of "convertible bond" should be amended, as follows:</w:t>
      </w:r>
    </w:p>
    <w:p w:rsidR="00BC415B" w:rsidRDefault="00BC415B" w:rsidP="002777E0">
      <w:pPr>
        <w:pStyle w:val="ListParagraph"/>
        <w:rPr>
          <w:lang w:val="en-US"/>
        </w:rPr>
      </w:pPr>
      <w:r w:rsidRPr="00B30964">
        <w:rPr>
          <w:lang w:val="en-US"/>
        </w:rPr>
        <w:t xml:space="preserve">‘Convertible bond’ means an instrument consisting of a bond or a </w:t>
      </w:r>
      <w:proofErr w:type="spellStart"/>
      <w:r w:rsidRPr="00B30964">
        <w:rPr>
          <w:lang w:val="en-US"/>
        </w:rPr>
        <w:t>secur</w:t>
      </w:r>
      <w:r>
        <w:rPr>
          <w:lang w:val="en-US"/>
        </w:rPr>
        <w:t>itised</w:t>
      </w:r>
      <w:proofErr w:type="spellEnd"/>
      <w:r>
        <w:rPr>
          <w:lang w:val="en-US"/>
        </w:rPr>
        <w:t xml:space="preserve"> debt instrument with an embedded</w:t>
      </w:r>
      <w:r w:rsidRPr="00B30964">
        <w:rPr>
          <w:lang w:val="en-US"/>
        </w:rPr>
        <w:t xml:space="preserve"> option to acquire shares of an issuer or a member of the issuer's group.</w:t>
      </w:r>
    </w:p>
    <w:p w:rsidR="00BC415B" w:rsidRPr="0098588B" w:rsidRDefault="00BC415B" w:rsidP="0098588B">
      <w:pPr>
        <w:ind w:left="708"/>
        <w:rPr>
          <w:lang w:val="en-US"/>
        </w:rPr>
      </w:pPr>
      <w:r w:rsidRPr="0098588B">
        <w:rPr>
          <w:lang w:val="en-US"/>
        </w:rPr>
        <w:t>The definition of "bond" should be amended, as follows:</w:t>
      </w:r>
    </w:p>
    <w:p w:rsidR="00BC415B" w:rsidRDefault="00BC415B" w:rsidP="002777E0">
      <w:pPr>
        <w:pStyle w:val="ListParagraph"/>
        <w:rPr>
          <w:lang w:val="en-US"/>
        </w:rPr>
      </w:pPr>
      <w:r w:rsidRPr="00B30964">
        <w:rPr>
          <w:lang w:val="en-US"/>
        </w:rPr>
        <w:t>‘Bond’ means a transferable falling within Article 4(1</w:t>
      </w:r>
      <w:proofErr w:type="gramStart"/>
      <w:r w:rsidRPr="00B30964">
        <w:rPr>
          <w:lang w:val="en-US"/>
        </w:rPr>
        <w:t>)(</w:t>
      </w:r>
      <w:proofErr w:type="gramEnd"/>
      <w:r w:rsidRPr="00B30964">
        <w:rPr>
          <w:lang w:val="en-US"/>
        </w:rPr>
        <w:t>44)(b) of Directive 2014/65/EU which is not a structured finance product or a structured debt security.</w:t>
      </w:r>
    </w:p>
    <w:p w:rsidR="00BC415B" w:rsidRPr="0098588B" w:rsidRDefault="00BC415B" w:rsidP="0098588B">
      <w:pPr>
        <w:ind w:left="708"/>
        <w:rPr>
          <w:lang w:val="en-US"/>
        </w:rPr>
      </w:pPr>
      <w:r w:rsidRPr="0098588B">
        <w:rPr>
          <w:lang w:val="en-US"/>
        </w:rPr>
        <w:t>The definition of "</w:t>
      </w:r>
      <w:proofErr w:type="spellStart"/>
      <w:r w:rsidRPr="0098588B">
        <w:rPr>
          <w:lang w:val="en-US"/>
        </w:rPr>
        <w:t>securitised</w:t>
      </w:r>
      <w:proofErr w:type="spellEnd"/>
      <w:r w:rsidRPr="0098588B">
        <w:rPr>
          <w:lang w:val="en-US"/>
        </w:rPr>
        <w:t xml:space="preserve"> derivatives" should be amended, as follows:</w:t>
      </w:r>
    </w:p>
    <w:p w:rsidR="00BC415B" w:rsidRDefault="00BC415B" w:rsidP="002777E0">
      <w:pPr>
        <w:pStyle w:val="ListParagraph"/>
        <w:rPr>
          <w:lang w:val="en-US"/>
        </w:rPr>
      </w:pPr>
      <w:r w:rsidRPr="00B30964">
        <w:rPr>
          <w:lang w:val="en-US"/>
        </w:rPr>
        <w:t>‘</w:t>
      </w:r>
      <w:proofErr w:type="spellStart"/>
      <w:r w:rsidRPr="00B30964">
        <w:rPr>
          <w:lang w:val="en-US"/>
        </w:rPr>
        <w:t>Securitised</w:t>
      </w:r>
      <w:proofErr w:type="spellEnd"/>
      <w:r w:rsidRPr="00B30964">
        <w:rPr>
          <w:lang w:val="en-US"/>
        </w:rPr>
        <w:t xml:space="preserve"> derivatives’ means a structured debt security or a transferable security as defined in falling within Article 4(1</w:t>
      </w:r>
      <w:proofErr w:type="gramStart"/>
      <w:r w:rsidRPr="00B30964">
        <w:rPr>
          <w:lang w:val="en-US"/>
        </w:rPr>
        <w:t>)(</w:t>
      </w:r>
      <w:proofErr w:type="gramEnd"/>
      <w:r w:rsidRPr="00B30964">
        <w:rPr>
          <w:lang w:val="en-US"/>
        </w:rPr>
        <w:t>44)(c) of Directive 2</w:t>
      </w:r>
      <w:r>
        <w:rPr>
          <w:lang w:val="en-US"/>
        </w:rPr>
        <w:t xml:space="preserve">014/65/EU </w:t>
      </w:r>
      <w:r w:rsidRPr="00B30964">
        <w:rPr>
          <w:lang w:val="en-US"/>
        </w:rPr>
        <w:t xml:space="preserve">which is not a structured finance products. </w:t>
      </w:r>
    </w:p>
    <w:p w:rsidR="00BC415B" w:rsidRPr="0098588B" w:rsidRDefault="00BC415B" w:rsidP="0098588B">
      <w:pPr>
        <w:ind w:left="708"/>
        <w:rPr>
          <w:lang w:val="en-US"/>
        </w:rPr>
      </w:pPr>
      <w:r w:rsidRPr="0098588B">
        <w:rPr>
          <w:lang w:val="en-US"/>
        </w:rPr>
        <w:t>Recital 11 should be amended, as follows:</w:t>
      </w:r>
    </w:p>
    <w:p w:rsidR="001D2FEB" w:rsidRPr="00BC415B" w:rsidRDefault="00BC415B" w:rsidP="002777E0">
      <w:pPr>
        <w:pStyle w:val="ListParagraph"/>
        <w:rPr>
          <w:lang w:val="en-US"/>
        </w:rPr>
      </w:pPr>
      <w:r w:rsidRPr="00B30964">
        <w:rPr>
          <w:lang w:val="en-US"/>
        </w:rPr>
        <w:t>"For the purposes of this Regulation, plain vanilla covered warrants, leverage certificates, exotic warrants, exchange-traded-</w:t>
      </w:r>
      <w:proofErr w:type="gramStart"/>
      <w:r w:rsidRPr="00B30964">
        <w:rPr>
          <w:lang w:val="en-US"/>
        </w:rPr>
        <w:t>commodities,</w:t>
      </w:r>
      <w:proofErr w:type="gramEnd"/>
      <w:r w:rsidRPr="00B30964">
        <w:rPr>
          <w:lang w:val="en-US"/>
        </w:rPr>
        <w:t xml:space="preserve"> exchange-traded notes, negotiable rights and structured medium-term-notes (and other structured debt securities) should be considered </w:t>
      </w:r>
      <w:proofErr w:type="spellStart"/>
      <w:r w:rsidRPr="00B30964">
        <w:rPr>
          <w:lang w:val="en-US"/>
        </w:rPr>
        <w:t>securitised</w:t>
      </w:r>
      <w:proofErr w:type="spellEnd"/>
      <w:r w:rsidRPr="00B30964">
        <w:rPr>
          <w:lang w:val="en-US"/>
        </w:rPr>
        <w:t xml:space="preserve"> derivatives. This is not meant to be an exhaustive list of </w:t>
      </w:r>
      <w:proofErr w:type="spellStart"/>
      <w:r w:rsidRPr="00B30964">
        <w:rPr>
          <w:lang w:val="en-US"/>
        </w:rPr>
        <w:t>securitised</w:t>
      </w:r>
      <w:proofErr w:type="spellEnd"/>
      <w:r w:rsidRPr="00B30964">
        <w:rPr>
          <w:lang w:val="en-US"/>
        </w:rPr>
        <w:t xml:space="preserve"> derivatives."</w:t>
      </w:r>
    </w:p>
    <w:permEnd w:id="69"/>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lastRenderedPageBreak/>
        <w:t>Would you define classes declared as liquid in ESMA’s proposal as illiquid (or vice versa)? Please provide reasons for your answer.</w:t>
      </w:r>
    </w:p>
    <w:p w:rsidR="00577C33" w:rsidRDefault="00577C33" w:rsidP="00EC2C93">
      <w:pPr>
        <w:keepNext/>
      </w:pPr>
      <w:r>
        <w:t>&lt;ESMA_QUESTION_CP_MIFID_61&gt;</w:t>
      </w:r>
    </w:p>
    <w:p w:rsidR="001D2FEB" w:rsidRDefault="001D2FEB" w:rsidP="00D20C76">
      <w:pPr>
        <w:rPr>
          <w:lang w:val="en-US"/>
        </w:rPr>
      </w:pPr>
      <w:permStart w:id="70" w:edGrp="everyone"/>
      <w:r>
        <w:rPr>
          <w:lang w:val="en-US"/>
        </w:rPr>
        <w:t>First of all, SG notes that no accommodation has been made for package transactions, which represent a significant proportion of market activity.  Having seen the difficulties encountered by the CFTC through the implementation of the Dodd-Frank act, and noting the unavailability of “No Action Letters” within the European Regulatory regime, SG</w:t>
      </w:r>
      <w:r w:rsidRPr="009B3025">
        <w:rPr>
          <w:lang w:val="en-US"/>
        </w:rPr>
        <w:t xml:space="preserve"> would like to propose that ESMA considers specific and tailored treatment for package</w:t>
      </w:r>
    </w:p>
    <w:p w:rsidR="001D2FEB" w:rsidRDefault="001D2FEB" w:rsidP="00D20C76">
      <w:pPr>
        <w:rPr>
          <w:lang w:val="en-US"/>
        </w:rPr>
      </w:pPr>
    </w:p>
    <w:p w:rsidR="001D2FEB" w:rsidRPr="009B3025" w:rsidRDefault="001D2FEB" w:rsidP="002777E0">
      <w:pPr>
        <w:pStyle w:val="ListParagraph"/>
        <w:rPr>
          <w:lang w:val="en-US"/>
        </w:rPr>
      </w:pPr>
      <w:r>
        <w:rPr>
          <w:lang w:val="en-US"/>
        </w:rPr>
        <w:t>SG notes that, i</w:t>
      </w:r>
      <w:r w:rsidRPr="009B3025">
        <w:rPr>
          <w:lang w:val="en-US"/>
        </w:rPr>
        <w:t xml:space="preserve">n response to ESMA’s May 2014 Discussion Paper, ISDA included a number of detailed comments on the nature of package transactions </w:t>
      </w:r>
      <w:r>
        <w:rPr>
          <w:lang w:val="en-US"/>
        </w:rPr>
        <w:t xml:space="preserve">to </w:t>
      </w:r>
      <w:r w:rsidRPr="009B3025">
        <w:rPr>
          <w:lang w:val="en-US"/>
        </w:rPr>
        <w:t xml:space="preserve">which we </w:t>
      </w:r>
      <w:r>
        <w:rPr>
          <w:lang w:val="en-US"/>
        </w:rPr>
        <w:t xml:space="preserve">would like to </w:t>
      </w:r>
      <w:r w:rsidRPr="009B3025">
        <w:rPr>
          <w:lang w:val="en-US"/>
        </w:rPr>
        <w:t>dra</w:t>
      </w:r>
      <w:r>
        <w:rPr>
          <w:lang w:val="en-US"/>
        </w:rPr>
        <w:t>w ESMA’s attention</w:t>
      </w:r>
      <w:r w:rsidRPr="009B3025">
        <w:rPr>
          <w:lang w:val="en-US"/>
        </w:rPr>
        <w:t>. We reiterate the points made in that response and</w:t>
      </w:r>
      <w:r>
        <w:rPr>
          <w:lang w:val="en-US"/>
        </w:rPr>
        <w:t xml:space="preserve"> support the proposal</w:t>
      </w:r>
      <w:r w:rsidRPr="009B3025">
        <w:rPr>
          <w:lang w:val="en-US"/>
        </w:rPr>
        <w:t xml:space="preserve"> put forward </w:t>
      </w:r>
      <w:r>
        <w:rPr>
          <w:lang w:val="en-US"/>
        </w:rPr>
        <w:t>by ISDA in its response to this CP.</w:t>
      </w:r>
    </w:p>
    <w:p w:rsidR="001D2FEB" w:rsidRDefault="001D2FEB" w:rsidP="00D20C76">
      <w:pPr>
        <w:rPr>
          <w:lang w:val="en-US"/>
        </w:rPr>
      </w:pPr>
    </w:p>
    <w:p w:rsidR="001D2FEB" w:rsidRDefault="001D2FEB" w:rsidP="00D20C76">
      <w:pPr>
        <w:rPr>
          <w:lang w:val="en-US"/>
        </w:rPr>
      </w:pPr>
      <w:r>
        <w:rPr>
          <w:lang w:val="en-US"/>
        </w:rPr>
        <w:t xml:space="preserve">Secondly, SG believes that in the context of the </w:t>
      </w:r>
      <w:r w:rsidRPr="009B3025">
        <w:rPr>
          <w:lang w:val="en-US"/>
        </w:rPr>
        <w:t xml:space="preserve">definition of liquid markets (and therefore the transparency framework) and the trading obligation, option 2 (as set out on page 126 of ESMA’s December </w:t>
      </w:r>
      <w:proofErr w:type="spellStart"/>
      <w:r w:rsidRPr="009B3025">
        <w:rPr>
          <w:lang w:val="en-US"/>
        </w:rPr>
        <w:t>MiFID</w:t>
      </w:r>
      <w:proofErr w:type="spellEnd"/>
      <w:r w:rsidRPr="009B3025">
        <w:rPr>
          <w:lang w:val="en-US"/>
        </w:rPr>
        <w:t xml:space="preserve"> II/</w:t>
      </w:r>
      <w:proofErr w:type="spellStart"/>
      <w:r w:rsidRPr="009B3025">
        <w:rPr>
          <w:lang w:val="en-US"/>
        </w:rPr>
        <w:t>MiFIR</w:t>
      </w:r>
      <w:proofErr w:type="spellEnd"/>
      <w:r w:rsidRPr="009B3025">
        <w:rPr>
          <w:lang w:val="en-US"/>
        </w:rPr>
        <w:t xml:space="preserve"> consultation paper) is preferred</w:t>
      </w:r>
      <w:r>
        <w:rPr>
          <w:lang w:val="en-US"/>
        </w:rPr>
        <w:t xml:space="preserve"> however option 1, while not our preference, is acceptable</w:t>
      </w:r>
      <w:r w:rsidRPr="009B3025">
        <w:rPr>
          <w:lang w:val="en-US"/>
        </w:rPr>
        <w:t xml:space="preserve">. </w:t>
      </w:r>
    </w:p>
    <w:p w:rsidR="001D2FEB" w:rsidRDefault="001D2FEB" w:rsidP="00D20C76">
      <w:pPr>
        <w:rPr>
          <w:lang w:val="en-US"/>
        </w:rPr>
      </w:pPr>
    </w:p>
    <w:p w:rsidR="001D2FEB" w:rsidRDefault="001D2FEB" w:rsidP="002777E0">
      <w:pPr>
        <w:pStyle w:val="ListParagraph"/>
        <w:rPr>
          <w:lang w:val="en-US"/>
        </w:rPr>
      </w:pPr>
      <w:r>
        <w:rPr>
          <w:lang w:val="en-US"/>
        </w:rPr>
        <w:t>However, SG</w:t>
      </w:r>
      <w:r w:rsidRPr="009B3025">
        <w:rPr>
          <w:lang w:val="en-US"/>
        </w:rPr>
        <w:t xml:space="preserve"> also </w:t>
      </w:r>
      <w:r>
        <w:rPr>
          <w:lang w:val="en-US"/>
        </w:rPr>
        <w:t>wishes</w:t>
      </w:r>
      <w:r w:rsidRPr="009B3025">
        <w:rPr>
          <w:lang w:val="en-US"/>
        </w:rPr>
        <w:t xml:space="preserve"> to distinguish between integer tenors and broken dates for the trading obligation. Adopting option 2 for the trading obligation would help to align </w:t>
      </w:r>
      <w:proofErr w:type="spellStart"/>
      <w:r w:rsidRPr="009B3025">
        <w:rPr>
          <w:lang w:val="en-US"/>
        </w:rPr>
        <w:t>MiFID</w:t>
      </w:r>
      <w:proofErr w:type="spellEnd"/>
      <w:r w:rsidRPr="009B3025">
        <w:rPr>
          <w:lang w:val="en-US"/>
        </w:rPr>
        <w:t xml:space="preserve"> II/</w:t>
      </w:r>
      <w:proofErr w:type="spellStart"/>
      <w:r w:rsidRPr="009B3025">
        <w:rPr>
          <w:lang w:val="en-US"/>
        </w:rPr>
        <w:t>MiFIR</w:t>
      </w:r>
      <w:proofErr w:type="spellEnd"/>
      <w:r w:rsidRPr="009B3025">
        <w:rPr>
          <w:lang w:val="en-US"/>
        </w:rPr>
        <w:t xml:space="preserve"> to US</w:t>
      </w:r>
      <w:r>
        <w:rPr>
          <w:lang w:val="en-US"/>
        </w:rPr>
        <w:t xml:space="preserve"> regulation. </w:t>
      </w:r>
    </w:p>
    <w:p w:rsidR="001D2FEB" w:rsidRDefault="001D2FEB" w:rsidP="002777E0">
      <w:pPr>
        <w:pStyle w:val="ListParagraph"/>
        <w:rPr>
          <w:lang w:val="en-US"/>
        </w:rPr>
      </w:pPr>
      <w:r w:rsidRPr="00895D16">
        <w:rPr>
          <w:lang w:val="en-US"/>
        </w:rPr>
        <w:t xml:space="preserve">Therefore, in summary, SG believes </w:t>
      </w:r>
      <w:proofErr w:type="gramStart"/>
      <w:r w:rsidRPr="00895D16">
        <w:rPr>
          <w:lang w:val="en-US"/>
        </w:rPr>
        <w:t>that  the</w:t>
      </w:r>
      <w:proofErr w:type="gramEnd"/>
      <w:r w:rsidRPr="00895D16">
        <w:rPr>
          <w:lang w:val="en-US"/>
        </w:rPr>
        <w:t xml:space="preserve"> inclusion of broken dates for the assessment of liquidity thresholds for the transparency regime (i.e. option 1) is acceptable, but recommends that they should be excluded from the liquid classes sub</w:t>
      </w:r>
      <w:r>
        <w:rPr>
          <w:lang w:val="en-US"/>
        </w:rPr>
        <w:t>ject to the trading obligation.  The nature of derivative markets means that execution of broken dated trades is substantially more complex than for integer tenors and other benchmark periods.</w:t>
      </w:r>
    </w:p>
    <w:p w:rsidR="001D2FEB" w:rsidRPr="001D2FEB" w:rsidRDefault="001D2FEB" w:rsidP="001D2FEB">
      <w:pPr>
        <w:ind w:left="360" w:hanging="360"/>
        <w:rPr>
          <w:lang w:val="en-US"/>
        </w:rPr>
      </w:pPr>
    </w:p>
    <w:p w:rsidR="001D2FEB" w:rsidRDefault="001D2FEB" w:rsidP="00D20C76">
      <w:pPr>
        <w:rPr>
          <w:lang w:val="en-US"/>
        </w:rPr>
      </w:pPr>
      <w:r>
        <w:rPr>
          <w:lang w:val="en-US"/>
        </w:rPr>
        <w:t>Generally SG has severe d</w:t>
      </w:r>
      <w:r w:rsidRPr="00316298">
        <w:rPr>
          <w:lang w:val="en-US"/>
        </w:rPr>
        <w:t>oubts about ESMA approach to assessing the liquidity thresholds (for the transparency framework</w:t>
      </w:r>
      <w:r>
        <w:rPr>
          <w:lang w:val="en-US"/>
        </w:rPr>
        <w:t>) for interest rate derivatives.</w:t>
      </w:r>
    </w:p>
    <w:p w:rsidR="001D2FEB" w:rsidRDefault="001D2FEB" w:rsidP="00D20C76">
      <w:pPr>
        <w:rPr>
          <w:lang w:val="en-US"/>
        </w:rPr>
      </w:pPr>
    </w:p>
    <w:p w:rsidR="001D2FEB" w:rsidRDefault="001D2FEB" w:rsidP="002777E0">
      <w:pPr>
        <w:pStyle w:val="ListParagraph"/>
        <w:rPr>
          <w:lang w:val="en-US"/>
        </w:rPr>
      </w:pPr>
      <w:r w:rsidRPr="00895D16">
        <w:rPr>
          <w:lang w:val="en-US"/>
        </w:rPr>
        <w:t xml:space="preserve">SG observes that the sub-classes have not been broken down in a consistent way. For instance, single-currency swaps are broken down by currency and tenor of the swap, whilst </w:t>
      </w:r>
      <w:proofErr w:type="spellStart"/>
      <w:r w:rsidRPr="00895D16">
        <w:rPr>
          <w:lang w:val="en-US"/>
        </w:rPr>
        <w:t>swaptions</w:t>
      </w:r>
      <w:proofErr w:type="spellEnd"/>
      <w:r w:rsidRPr="00895D16">
        <w:rPr>
          <w:lang w:val="en-US"/>
        </w:rPr>
        <w:t xml:space="preserve"> (which have more degrees of freedom</w:t>
      </w:r>
      <w:r>
        <w:rPr>
          <w:lang w:val="en-US"/>
        </w:rPr>
        <w:t xml:space="preserve"> – currency, option tenor, underlying swap tenor, strike price</w:t>
      </w:r>
      <w:r w:rsidRPr="00895D16">
        <w:rPr>
          <w:lang w:val="en-US"/>
        </w:rPr>
        <w:t>) ar</w:t>
      </w:r>
      <w:r>
        <w:rPr>
          <w:lang w:val="en-US"/>
        </w:rPr>
        <w:t>e only broken down by currency.</w:t>
      </w:r>
    </w:p>
    <w:p w:rsidR="001D2FEB" w:rsidRDefault="001D2FEB" w:rsidP="002777E0">
      <w:pPr>
        <w:pStyle w:val="ListParagraph"/>
        <w:rPr>
          <w:lang w:val="en-US"/>
        </w:rPr>
      </w:pPr>
      <w:r>
        <w:rPr>
          <w:lang w:val="en-US"/>
        </w:rPr>
        <w:t xml:space="preserve">It seems counterintuitive that a product that is more granular in terms of its market parameters should be subject to a less granular liquidity assessment - </w:t>
      </w:r>
      <w:r w:rsidRPr="00895D16">
        <w:rPr>
          <w:lang w:val="en-US"/>
        </w:rPr>
        <w:t>suggest</w:t>
      </w:r>
      <w:r>
        <w:rPr>
          <w:lang w:val="en-US"/>
        </w:rPr>
        <w:t>ing</w:t>
      </w:r>
      <w:r w:rsidRPr="00895D16">
        <w:rPr>
          <w:lang w:val="en-US"/>
        </w:rPr>
        <w:t xml:space="preserve"> that </w:t>
      </w:r>
      <w:proofErr w:type="spellStart"/>
      <w:r w:rsidRPr="00895D16">
        <w:rPr>
          <w:lang w:val="en-US"/>
        </w:rPr>
        <w:t>swaptions</w:t>
      </w:r>
      <w:proofErr w:type="spellEnd"/>
      <w:r w:rsidRPr="00895D16">
        <w:rPr>
          <w:lang w:val="en-US"/>
        </w:rPr>
        <w:t xml:space="preserve">, as a sub-class, need to be further delineated, so that they are brought in </w:t>
      </w:r>
      <w:r>
        <w:rPr>
          <w:lang w:val="en-US"/>
        </w:rPr>
        <w:t xml:space="preserve">line with the other taxonomies.  </w:t>
      </w:r>
    </w:p>
    <w:p w:rsidR="001D2FEB" w:rsidRPr="00895D16" w:rsidRDefault="001D2FEB" w:rsidP="002777E0">
      <w:pPr>
        <w:pStyle w:val="ListParagraph"/>
        <w:rPr>
          <w:lang w:val="en-US"/>
        </w:rPr>
      </w:pPr>
      <w:r>
        <w:rPr>
          <w:lang w:val="en-US"/>
        </w:rPr>
        <w:t xml:space="preserve">It </w:t>
      </w:r>
      <w:r w:rsidRPr="00895D16">
        <w:rPr>
          <w:lang w:val="en-US"/>
        </w:rPr>
        <w:t>suggests that, at the very least, they be considered with reference to the tenor of the swap as w</w:t>
      </w:r>
      <w:r>
        <w:rPr>
          <w:lang w:val="en-US"/>
        </w:rPr>
        <w:t xml:space="preserve">ell as the tenor of the option, otherwise it leads to the odd outcome that a </w:t>
      </w:r>
      <w:proofErr w:type="spellStart"/>
      <w:r>
        <w:rPr>
          <w:lang w:val="en-US"/>
        </w:rPr>
        <w:t>Swaption</w:t>
      </w:r>
      <w:proofErr w:type="spellEnd"/>
      <w:r>
        <w:rPr>
          <w:lang w:val="en-US"/>
        </w:rPr>
        <w:t xml:space="preserve"> on an illiquid underlying swap is itself liquid – while the data tables provided in the CP show what is already known anecdotally in the markets…. That there are far fewer </w:t>
      </w:r>
      <w:proofErr w:type="spellStart"/>
      <w:r>
        <w:rPr>
          <w:lang w:val="en-US"/>
        </w:rPr>
        <w:t>Swaption</w:t>
      </w:r>
      <w:proofErr w:type="spellEnd"/>
      <w:r>
        <w:rPr>
          <w:lang w:val="en-US"/>
        </w:rPr>
        <w:t xml:space="preserve"> transactions than there are Swap transactions.</w:t>
      </w:r>
    </w:p>
    <w:p w:rsidR="001D2FEB" w:rsidRPr="00895D16" w:rsidRDefault="001D2FEB" w:rsidP="00D20C76">
      <w:pPr>
        <w:rPr>
          <w:lang w:val="en-US"/>
        </w:rPr>
      </w:pPr>
    </w:p>
    <w:p w:rsidR="001D2FEB" w:rsidRPr="00E3339A" w:rsidRDefault="001D2FEB" w:rsidP="002777E0">
      <w:pPr>
        <w:pStyle w:val="ListParagraph"/>
        <w:rPr>
          <w:lang w:val="en-US"/>
        </w:rPr>
      </w:pPr>
      <w:r w:rsidRPr="00E3339A">
        <w:rPr>
          <w:lang w:val="en-US"/>
        </w:rPr>
        <w:lastRenderedPageBreak/>
        <w:t>Similarly, the classes for inflation swaps (only split by currency) are not granular enough to reflect the diversity of trading depending on the index considered. This sub-class needs to be further broken do</w:t>
      </w:r>
      <w:r>
        <w:rPr>
          <w:lang w:val="en-US"/>
        </w:rPr>
        <w:t>wn to reflect the index.</w:t>
      </w:r>
    </w:p>
    <w:p w:rsidR="001D2FEB" w:rsidRPr="00316298" w:rsidRDefault="001D2FEB" w:rsidP="00D20C76">
      <w:pPr>
        <w:rPr>
          <w:lang w:val="en-US"/>
        </w:rPr>
      </w:pPr>
    </w:p>
    <w:p w:rsidR="001D2FEB" w:rsidRDefault="001D2FEB" w:rsidP="002777E0">
      <w:pPr>
        <w:pStyle w:val="ListParagraph"/>
        <w:rPr>
          <w:lang w:val="en-US"/>
        </w:rPr>
      </w:pPr>
      <w:r>
        <w:rPr>
          <w:lang w:val="en-US"/>
        </w:rPr>
        <w:t xml:space="preserve">Generally SG supports the work in relation to the definition of liquid markets in Derivatives </w:t>
      </w:r>
      <w:proofErr w:type="gramStart"/>
      <w:r>
        <w:rPr>
          <w:lang w:val="en-US"/>
        </w:rPr>
        <w:t>undertaken  and</w:t>
      </w:r>
      <w:proofErr w:type="gramEnd"/>
      <w:r>
        <w:rPr>
          <w:lang w:val="en-US"/>
        </w:rPr>
        <w:t xml:space="preserve"> submitted by ISDA  in response to this consultation.</w:t>
      </w:r>
    </w:p>
    <w:p w:rsidR="001D2FEB" w:rsidRDefault="001D2FEB" w:rsidP="00D20C76">
      <w:pPr>
        <w:rPr>
          <w:lang w:val="en-US"/>
        </w:rPr>
      </w:pPr>
    </w:p>
    <w:p w:rsidR="001D2FEB" w:rsidRDefault="001D2FEB" w:rsidP="00EC2C93">
      <w:pPr>
        <w:keepNext/>
        <w:rPr>
          <w:lang w:val="en-US"/>
        </w:rPr>
      </w:pPr>
      <w:r>
        <w:rPr>
          <w:lang w:val="en-US"/>
        </w:rPr>
        <w:t xml:space="preserve">SG also suggests that ESMA </w:t>
      </w:r>
      <w:r w:rsidRPr="00412EAD">
        <w:rPr>
          <w:lang w:val="en-US"/>
        </w:rPr>
        <w:t xml:space="preserve">clarify the illiquid status of exotic interest rate derivatives, which do not currently appear in the interest rate derivatives taxonomy of RTS 9. Under </w:t>
      </w:r>
      <w:r>
        <w:rPr>
          <w:lang w:val="en-US"/>
        </w:rPr>
        <w:t xml:space="preserve">the </w:t>
      </w:r>
      <w:r w:rsidRPr="00412EAD">
        <w:rPr>
          <w:lang w:val="en-US"/>
        </w:rPr>
        <w:t>ISDA taxonomy</w:t>
      </w:r>
      <w:r>
        <w:rPr>
          <w:lang w:val="en-US"/>
        </w:rPr>
        <w:t xml:space="preserve"> generally adopted across the industry</w:t>
      </w:r>
      <w:r w:rsidRPr="00412EAD">
        <w:rPr>
          <w:lang w:val="en-US"/>
        </w:rPr>
        <w:t>, exotics are a product distinct from options, cross-currency swaps, caps, floors, FRAs, or interest rate swaps; so creating (as ESMA has done for equity and commodity derivatives and bonds) an “all other products” category in RTS 9 will further align ESMA’s taxonomy with ISDA’s and clarify the status of these derivatives. Given the heterogeneity of derivatives in this class, we expect it to be considered illiquid.</w:t>
      </w:r>
    </w:p>
    <w:permEnd w:id="70"/>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BC415B" w:rsidRDefault="00BC415B" w:rsidP="002777E0">
      <w:pPr>
        <w:pStyle w:val="ListParagraph"/>
        <w:rPr>
          <w:lang w:val="en-US"/>
        </w:rPr>
      </w:pPr>
      <w:permStart w:id="71" w:edGrp="everyone"/>
      <w:r>
        <w:rPr>
          <w:lang w:val="en-US"/>
        </w:rPr>
        <w:t xml:space="preserve">No, SG </w:t>
      </w:r>
      <w:r w:rsidRPr="00E3339A">
        <w:rPr>
          <w:lang w:val="en-US"/>
        </w:rPr>
        <w:t xml:space="preserve">does not agree with the definitions of the interest rate derivatives classes as discussed </w:t>
      </w:r>
      <w:r>
        <w:rPr>
          <w:lang w:val="en-US"/>
        </w:rPr>
        <w:t>in Q61 (1) and 62 (2).</w:t>
      </w:r>
    </w:p>
    <w:p w:rsidR="00BC415B" w:rsidRPr="00E3339A" w:rsidRDefault="00BC415B" w:rsidP="002777E0">
      <w:pPr>
        <w:pStyle w:val="ListParagraph"/>
        <w:rPr>
          <w:lang w:val="en-US"/>
        </w:rPr>
      </w:pPr>
    </w:p>
    <w:p w:rsidR="00BC415B" w:rsidRDefault="00BC415B" w:rsidP="002777E0">
      <w:pPr>
        <w:pStyle w:val="ListParagraph"/>
        <w:rPr>
          <w:lang w:val="en-US"/>
        </w:rPr>
      </w:pPr>
      <w:r w:rsidRPr="00E3339A">
        <w:rPr>
          <w:lang w:val="en-US"/>
        </w:rPr>
        <w:t xml:space="preserve">For swaps, we urge ESMA to re-run their analysis using the day count methodology suggested by ISDA in </w:t>
      </w:r>
      <w:r>
        <w:rPr>
          <w:lang w:val="en-US"/>
        </w:rPr>
        <w:t xml:space="preserve">their response to </w:t>
      </w:r>
      <w:r w:rsidRPr="00E3339A">
        <w:rPr>
          <w:lang w:val="en-US"/>
        </w:rPr>
        <w:t xml:space="preserve">Q61 (1).  </w:t>
      </w:r>
    </w:p>
    <w:p w:rsidR="00BC415B" w:rsidRDefault="00BC415B" w:rsidP="002777E0">
      <w:pPr>
        <w:pStyle w:val="ListParagraph"/>
        <w:rPr>
          <w:lang w:val="en-US"/>
        </w:rPr>
      </w:pPr>
    </w:p>
    <w:p w:rsidR="00BC415B" w:rsidRDefault="00BC415B" w:rsidP="002777E0">
      <w:pPr>
        <w:pStyle w:val="ListParagraph"/>
        <w:rPr>
          <w:lang w:val="en-US"/>
        </w:rPr>
      </w:pPr>
      <w:r>
        <w:rPr>
          <w:lang w:val="en-US"/>
        </w:rPr>
        <w:t>SG</w:t>
      </w:r>
      <w:r w:rsidRPr="005E5480">
        <w:rPr>
          <w:lang w:val="en-US"/>
        </w:rPr>
        <w:t xml:space="preserve"> also urge</w:t>
      </w:r>
      <w:r>
        <w:rPr>
          <w:lang w:val="en-US"/>
        </w:rPr>
        <w:t>s ESMA</w:t>
      </w:r>
      <w:r w:rsidRPr="005E5480">
        <w:rPr>
          <w:lang w:val="en-US"/>
        </w:rPr>
        <w:t xml:space="preserve"> to further break down the </w:t>
      </w:r>
      <w:proofErr w:type="spellStart"/>
      <w:r w:rsidRPr="005E5480">
        <w:rPr>
          <w:lang w:val="en-US"/>
        </w:rPr>
        <w:t>swaption</w:t>
      </w:r>
      <w:proofErr w:type="spellEnd"/>
      <w:r w:rsidRPr="005E5480">
        <w:rPr>
          <w:lang w:val="en-US"/>
        </w:rPr>
        <w:t xml:space="preserve"> sub-class by the tenor of the underlying swap and the tenor of the option.  To do otherwise, would result in a significant number of </w:t>
      </w:r>
      <w:proofErr w:type="spellStart"/>
      <w:r w:rsidRPr="005E5480">
        <w:rPr>
          <w:lang w:val="en-US"/>
        </w:rPr>
        <w:t>swaptions</w:t>
      </w:r>
      <w:proofErr w:type="spellEnd"/>
      <w:r w:rsidRPr="005E5480">
        <w:rPr>
          <w:lang w:val="en-US"/>
        </w:rPr>
        <w:t xml:space="preserve"> being deemed liquid when they, are in fact, illiquid</w:t>
      </w:r>
      <w:proofErr w:type="gramStart"/>
      <w:r w:rsidRPr="005E5480">
        <w:rPr>
          <w:lang w:val="en-US"/>
        </w:rPr>
        <w:t>..</w:t>
      </w:r>
      <w:proofErr w:type="gramEnd"/>
    </w:p>
    <w:p w:rsidR="00BC415B" w:rsidRDefault="00BC415B" w:rsidP="002777E0">
      <w:pPr>
        <w:pStyle w:val="ListParagraph"/>
        <w:rPr>
          <w:lang w:val="en-US"/>
        </w:rPr>
      </w:pPr>
    </w:p>
    <w:p w:rsidR="00BC415B" w:rsidRDefault="00BC415B" w:rsidP="00BC415B">
      <w:pPr>
        <w:rPr>
          <w:lang w:val="en-US"/>
        </w:rPr>
      </w:pPr>
      <w:r>
        <w:rPr>
          <w:lang w:val="en-US"/>
        </w:rPr>
        <w:t>SG notes that any</w:t>
      </w:r>
      <w:r w:rsidRPr="00E56B5A">
        <w:rPr>
          <w:lang w:val="en-US"/>
        </w:rPr>
        <w:t xml:space="preserve"> failure to readily and clearly identify the sub-classes into which particular derivatives fall will cause confusion, and make supervision of activity challenging.</w:t>
      </w:r>
    </w:p>
    <w:p w:rsidR="00BC415B" w:rsidRPr="00E56B5A" w:rsidRDefault="00BC415B" w:rsidP="00BC415B">
      <w:pPr>
        <w:rPr>
          <w:lang w:val="en-US"/>
        </w:rPr>
      </w:pPr>
    </w:p>
    <w:p w:rsidR="00BC415B" w:rsidRDefault="00BC415B" w:rsidP="00BC415B">
      <w:pPr>
        <w:rPr>
          <w:lang w:val="en-US"/>
        </w:rPr>
      </w:pPr>
      <w:r>
        <w:rPr>
          <w:lang w:val="en-US"/>
        </w:rPr>
        <w:t>SG</w:t>
      </w:r>
      <w:r w:rsidRPr="00E56B5A">
        <w:rPr>
          <w:lang w:val="en-US"/>
        </w:rPr>
        <w:t xml:space="preserve"> is therefore concerned that ESMA's proposed taxonomy for interest rate derivatives does not clearly distinguish between exchange-traded interest rate derivatives (i.e. those contracts, including futures and listed options, which generally  have highly </w:t>
      </w:r>
      <w:proofErr w:type="spellStart"/>
      <w:r w:rsidRPr="00E56B5A">
        <w:rPr>
          <w:lang w:val="en-US"/>
        </w:rPr>
        <w:t>standardised</w:t>
      </w:r>
      <w:proofErr w:type="spellEnd"/>
      <w:r w:rsidRPr="00E56B5A">
        <w:rPr>
          <w:lang w:val="en-US"/>
        </w:rPr>
        <w:t xml:space="preserve"> terms, and are made available for trading on futures exchanges, and centrally cleared) and what market convention refers to as OTC interest rate derivatives (i.e. those contracts, including swaps and </w:t>
      </w:r>
      <w:proofErr w:type="spellStart"/>
      <w:r w:rsidRPr="00E56B5A">
        <w:rPr>
          <w:lang w:val="en-US"/>
        </w:rPr>
        <w:t>swaptions</w:t>
      </w:r>
      <w:proofErr w:type="spellEnd"/>
      <w:r w:rsidRPr="00E56B5A">
        <w:rPr>
          <w:lang w:val="en-US"/>
        </w:rPr>
        <w:t>, whose terms are negotiated and non-</w:t>
      </w:r>
      <w:proofErr w:type="spellStart"/>
      <w:r w:rsidRPr="00E56B5A">
        <w:rPr>
          <w:lang w:val="en-US"/>
        </w:rPr>
        <w:t>standardised</w:t>
      </w:r>
      <w:proofErr w:type="spellEnd"/>
      <w:r w:rsidRPr="00E56B5A">
        <w:rPr>
          <w:lang w:val="en-US"/>
        </w:rPr>
        <w:t xml:space="preserve">, albeit also traded on venues and sometimes available for central clearing). </w:t>
      </w:r>
    </w:p>
    <w:p w:rsidR="00BC415B" w:rsidRDefault="00BC415B" w:rsidP="00BC415B">
      <w:pPr>
        <w:rPr>
          <w:lang w:val="en-US"/>
        </w:rPr>
      </w:pPr>
    </w:p>
    <w:p w:rsidR="00BC415B" w:rsidRDefault="00BC415B" w:rsidP="002777E0">
      <w:pPr>
        <w:pStyle w:val="ListParagraph"/>
        <w:rPr>
          <w:lang w:val="en-US"/>
        </w:rPr>
      </w:pPr>
      <w:r w:rsidRPr="00E56B5A">
        <w:rPr>
          <w:lang w:val="en-US"/>
        </w:rPr>
        <w:t>For example, it is not clear from RTS 9 that the futures and option classes described in tables 5 to 12 of Section 1 of Annex III only include exchange-traded interest rate derivatives. The liquidity assessment conducted by ESMA to produce these tables was based solely on data from trading venues and therefore ESMA should clearly indicate that only exchange-traded interest rate derivatives fall within the sub-classes included within these tables.</w:t>
      </w:r>
    </w:p>
    <w:p w:rsidR="00BC415B" w:rsidRDefault="00BC415B" w:rsidP="002777E0">
      <w:pPr>
        <w:pStyle w:val="ListParagraph"/>
        <w:rPr>
          <w:lang w:val="en-US"/>
        </w:rPr>
      </w:pPr>
      <w:r>
        <w:rPr>
          <w:lang w:val="en-US"/>
        </w:rPr>
        <w:lastRenderedPageBreak/>
        <w:t>I</w:t>
      </w:r>
      <w:r w:rsidRPr="00E56B5A">
        <w:rPr>
          <w:lang w:val="en-US"/>
        </w:rPr>
        <w:t>n particular, we would recommend the following amendments to the definitions set out in Section 3 of Annex III of RTS 9:</w:t>
      </w:r>
    </w:p>
    <w:p w:rsidR="00BC415B" w:rsidRDefault="00BC415B" w:rsidP="00BC415B">
      <w:pPr>
        <w:rPr>
          <w:lang w:val="en-US"/>
        </w:rPr>
      </w:pPr>
    </w:p>
    <w:p w:rsidR="00BC415B" w:rsidRPr="00E56B5A" w:rsidRDefault="00BC415B" w:rsidP="00BC415B">
      <w:pPr>
        <w:rPr>
          <w:lang w:val="en-US"/>
        </w:rPr>
      </w:pPr>
    </w:p>
    <w:p w:rsidR="00BC415B" w:rsidRDefault="00BC415B" w:rsidP="002777E0">
      <w:pPr>
        <w:pStyle w:val="ListParagraph"/>
        <w:rPr>
          <w:lang w:val="en-US"/>
        </w:rPr>
      </w:pPr>
      <w:r w:rsidRPr="00E56B5A">
        <w:rPr>
          <w:lang w:val="en-US"/>
        </w:rPr>
        <w:t>The definition of “Futures” should specify that only exchange-traded derivatives are captured by this definition.</w:t>
      </w:r>
    </w:p>
    <w:p w:rsidR="00BC415B" w:rsidRDefault="00BC415B" w:rsidP="002777E0">
      <w:pPr>
        <w:pStyle w:val="ListParagraph"/>
        <w:rPr>
          <w:lang w:val="en-US"/>
        </w:rPr>
      </w:pPr>
      <w:r w:rsidRPr="00E56B5A">
        <w:rPr>
          <w:lang w:val="en-US"/>
        </w:rPr>
        <w:t>The definition of “Option” should specify that only exchange-traded derivatives are captured by this definition.</w:t>
      </w:r>
    </w:p>
    <w:p w:rsidR="00BC415B" w:rsidRDefault="00BC415B" w:rsidP="002777E0">
      <w:pPr>
        <w:pStyle w:val="ListParagraph"/>
        <w:rPr>
          <w:lang w:val="en-US"/>
        </w:rPr>
      </w:pPr>
      <w:r>
        <w:rPr>
          <w:lang w:val="en-US"/>
        </w:rPr>
        <w:t>The definition of “</w:t>
      </w:r>
      <w:proofErr w:type="spellStart"/>
      <w:r>
        <w:rPr>
          <w:lang w:val="en-US"/>
        </w:rPr>
        <w:t>Swaption</w:t>
      </w:r>
      <w:proofErr w:type="spellEnd"/>
      <w:r>
        <w:rPr>
          <w:lang w:val="en-US"/>
        </w:rPr>
        <w:t xml:space="preserve">” should be amended to ensure that it captures cash-settled contracts i.e. </w:t>
      </w:r>
      <w:proofErr w:type="spellStart"/>
      <w:r>
        <w:rPr>
          <w:lang w:val="en-US"/>
        </w:rPr>
        <w:t>swaptions</w:t>
      </w:r>
      <w:proofErr w:type="spellEnd"/>
      <w:r>
        <w:rPr>
          <w:lang w:val="en-US"/>
        </w:rPr>
        <w:t xml:space="preserve"> which are settled at expiry of the period of </w:t>
      </w:r>
      <w:proofErr w:type="spellStart"/>
      <w:r>
        <w:rPr>
          <w:lang w:val="en-US"/>
        </w:rPr>
        <w:t>optionality</w:t>
      </w:r>
      <w:proofErr w:type="spellEnd"/>
      <w:r>
        <w:rPr>
          <w:lang w:val="en-US"/>
        </w:rPr>
        <w:t xml:space="preserve"> based on the market value or rate of underlying swap (without resulting in the two parties to the </w:t>
      </w:r>
      <w:proofErr w:type="spellStart"/>
      <w:r>
        <w:rPr>
          <w:lang w:val="en-US"/>
        </w:rPr>
        <w:t>swaption</w:t>
      </w:r>
      <w:proofErr w:type="spellEnd"/>
      <w:r>
        <w:rPr>
          <w:lang w:val="en-US"/>
        </w:rPr>
        <w:t xml:space="preserve"> entering into a swap). The existing definition refers only to a physically-delivered </w:t>
      </w:r>
      <w:proofErr w:type="spellStart"/>
      <w:r>
        <w:rPr>
          <w:lang w:val="en-US"/>
        </w:rPr>
        <w:t>swaption</w:t>
      </w:r>
      <w:proofErr w:type="spellEnd"/>
      <w:r>
        <w:rPr>
          <w:lang w:val="en-US"/>
        </w:rPr>
        <w:t>.</w:t>
      </w:r>
    </w:p>
    <w:p w:rsidR="00BC415B" w:rsidRDefault="00BC415B" w:rsidP="002777E0">
      <w:pPr>
        <w:pStyle w:val="ListParagraph"/>
        <w:rPr>
          <w:lang w:val="en-US"/>
        </w:rPr>
      </w:pPr>
      <w:r>
        <w:rPr>
          <w:lang w:val="en-US"/>
        </w:rPr>
        <w:t xml:space="preserve">The definition of "Swap" should be amended so that the reference to "financial instrument" is removed. It is not necessary for the exchanged cash flows to relate to a financial instrument. For example, a swap could simply involve the exchange of cash flows relating two different interest rates. </w:t>
      </w:r>
    </w:p>
    <w:p w:rsidR="00BC415B" w:rsidRDefault="00BC415B" w:rsidP="002777E0">
      <w:pPr>
        <w:pStyle w:val="ListParagraph"/>
        <w:rPr>
          <w:lang w:val="en-US"/>
        </w:rPr>
      </w:pPr>
      <w:r>
        <w:rPr>
          <w:lang w:val="en-US"/>
        </w:rPr>
        <w:t>The definition of "Forward" should be amended so that the reference to "private agreement" is removed. We would recommend that the definition refer to a bilateral contract, which is not a Futures contract (as that definition is amended in accordance with our proposal in bullet point 1 above), in which two parties agree to buy or sell a commodity or financial instrument at a designated future date at a price agreed upon at the initiation of the contract by the buyer and the seller.</w:t>
      </w:r>
    </w:p>
    <w:p w:rsidR="00BC415B" w:rsidRDefault="00BC415B" w:rsidP="00BC415B">
      <w:pPr>
        <w:rPr>
          <w:lang w:val="en-US"/>
        </w:rPr>
      </w:pPr>
    </w:p>
    <w:p w:rsidR="00BC415B" w:rsidRDefault="00BC415B" w:rsidP="00BC415B">
      <w:pPr>
        <w:rPr>
          <w:lang w:val="en-US"/>
        </w:rPr>
      </w:pPr>
      <w:r>
        <w:rPr>
          <w:lang w:val="en-US"/>
        </w:rPr>
        <w:t>SG supports the detailed proposals presented by ISDA in their response concerning the precise, clear and unambiguous specification of certain defined terms.</w:t>
      </w:r>
    </w:p>
    <w:permEnd w:id="71"/>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BC415B" w:rsidRDefault="00BC415B" w:rsidP="00BC415B">
      <w:pPr>
        <w:rPr>
          <w:lang w:val="en-US"/>
        </w:rPr>
      </w:pPr>
      <w:permStart w:id="72" w:edGrp="everyone"/>
      <w:r>
        <w:rPr>
          <w:lang w:val="en-US"/>
        </w:rPr>
        <w:t>Generally SG</w:t>
      </w:r>
      <w:r w:rsidRPr="00C23778">
        <w:rPr>
          <w:lang w:val="en-US"/>
        </w:rPr>
        <w:t xml:space="preserve"> is concerned that ESMA has not been clear that its proposal relates only to exchange-traded equity derivatives contracts, and does not apply to bilateral OTC equity derivatives contracts. </w:t>
      </w:r>
    </w:p>
    <w:p w:rsidR="00BC415B" w:rsidRDefault="00BC415B" w:rsidP="00BC415B">
      <w:pPr>
        <w:rPr>
          <w:lang w:val="en-US"/>
        </w:rPr>
      </w:pPr>
    </w:p>
    <w:p w:rsidR="00BC415B" w:rsidRDefault="00BC415B" w:rsidP="002777E0">
      <w:pPr>
        <w:pStyle w:val="ListParagraph"/>
        <w:rPr>
          <w:lang w:val="en-US"/>
        </w:rPr>
      </w:pPr>
      <w:r w:rsidRPr="00C23778">
        <w:rPr>
          <w:lang w:val="en-US"/>
        </w:rPr>
        <w:t>OTC equity derivatives could have very different contractual and economic terms (including, amongst others underlying asset, expiry, strike, pay-off methodology, pricing methodology, lifecycle event scenarios and consequences, adjustment methodologies) to the equivalent exchange-traded equity derivatives contract and are not fungible and therefore have very different degrees of liquidity compared to exchange-traded equity derivatives contracts.</w:t>
      </w:r>
    </w:p>
    <w:p w:rsidR="00BC415B" w:rsidRDefault="00BC415B" w:rsidP="002777E0">
      <w:pPr>
        <w:pStyle w:val="ListParagraph"/>
        <w:rPr>
          <w:lang w:val="en-US"/>
        </w:rPr>
      </w:pPr>
      <w:r w:rsidRPr="00C23778">
        <w:rPr>
          <w:lang w:val="en-US"/>
        </w:rPr>
        <w:t xml:space="preserve">ISDA urges ESMA to clarify that, based on its data </w:t>
      </w:r>
      <w:proofErr w:type="gramStart"/>
      <w:r w:rsidRPr="00C23778">
        <w:rPr>
          <w:lang w:val="en-US"/>
        </w:rPr>
        <w:t>analysis,</w:t>
      </w:r>
      <w:proofErr w:type="gramEnd"/>
      <w:r w:rsidRPr="00C23778">
        <w:rPr>
          <w:lang w:val="en-US"/>
        </w:rPr>
        <w:t xml:space="preserve"> its proposed classes of liquid equity derivatives only include exchange-traded equity derivative contracts, and not OTC equity derivative contracts.</w:t>
      </w:r>
    </w:p>
    <w:p w:rsidR="00BC415B" w:rsidRPr="00C23778" w:rsidRDefault="00BC415B" w:rsidP="00BC415B">
      <w:pPr>
        <w:rPr>
          <w:lang w:val="en-US"/>
        </w:rPr>
      </w:pPr>
    </w:p>
    <w:p w:rsidR="00BC415B" w:rsidRPr="00C23778" w:rsidRDefault="00BC415B" w:rsidP="00BC415B">
      <w:pPr>
        <w:rPr>
          <w:lang w:val="en-US"/>
        </w:rPr>
      </w:pPr>
      <w:r w:rsidRPr="00C23778">
        <w:rPr>
          <w:lang w:val="en-US"/>
        </w:rPr>
        <w:t xml:space="preserve">SG believes that ESMA’s preference for Option 2 is misguided and could have extremely adverse consequences for the ability to transact in less liquid contracts.   However we also believe that, although Option 1 is preferable, it is still insufficiently granular in its application of liquidity to all contracts in the listed classes with maturities less than six months. </w:t>
      </w:r>
    </w:p>
    <w:p w:rsidR="00BC415B" w:rsidRDefault="00BC415B" w:rsidP="00BC415B">
      <w:pPr>
        <w:rPr>
          <w:lang w:val="en-US"/>
        </w:rPr>
      </w:pPr>
    </w:p>
    <w:p w:rsidR="00BC415B" w:rsidRDefault="00BC415B" w:rsidP="00BC415B">
      <w:pPr>
        <w:rPr>
          <w:lang w:val="en-US"/>
        </w:rPr>
      </w:pPr>
      <w:r w:rsidRPr="00E56B5A">
        <w:rPr>
          <w:lang w:val="en-US"/>
        </w:rPr>
        <w:lastRenderedPageBreak/>
        <w:t xml:space="preserve">Instead, as we propose in response to Q64, we recommend that </w:t>
      </w:r>
    </w:p>
    <w:p w:rsidR="00BC415B" w:rsidRPr="00E56B5A" w:rsidRDefault="00BC415B" w:rsidP="00BC415B">
      <w:pPr>
        <w:rPr>
          <w:lang w:val="en-US"/>
        </w:rPr>
      </w:pPr>
    </w:p>
    <w:p w:rsidR="00BC415B" w:rsidRDefault="00BC415B" w:rsidP="002777E0">
      <w:pPr>
        <w:pStyle w:val="ListParagraph"/>
        <w:rPr>
          <w:lang w:val="en-US"/>
        </w:rPr>
      </w:pPr>
      <w:r w:rsidRPr="00E56B5A">
        <w:rPr>
          <w:lang w:val="en-US"/>
        </w:rPr>
        <w:t xml:space="preserve">ESMA </w:t>
      </w:r>
      <w:proofErr w:type="spellStart"/>
      <w:r w:rsidRPr="00E56B5A">
        <w:rPr>
          <w:lang w:val="en-US"/>
        </w:rPr>
        <w:t>categorise</w:t>
      </w:r>
      <w:proofErr w:type="spellEnd"/>
      <w:r w:rsidRPr="00E56B5A">
        <w:rPr>
          <w:lang w:val="en-US"/>
        </w:rPr>
        <w:t xml:space="preserve"> equity derivatives at a significantly greater level of granularity, more akin to that done for listed interest rate derivatives,</w:t>
      </w:r>
    </w:p>
    <w:p w:rsidR="00BC415B" w:rsidRDefault="00BC415B" w:rsidP="002777E0">
      <w:pPr>
        <w:pStyle w:val="ListParagraph"/>
        <w:rPr>
          <w:lang w:val="en-US"/>
        </w:rPr>
      </w:pPr>
      <w:r w:rsidRPr="00E56B5A">
        <w:rPr>
          <w:lang w:val="en-US"/>
        </w:rPr>
        <w:t>ESMA distinguish more clearly in RTS 9 between exchange-traded equity derivatives and OTC equity derivatives, in order that there can be no confusion over which class a derivative is in.</w:t>
      </w:r>
    </w:p>
    <w:p w:rsidR="00BC415B" w:rsidRDefault="00BC415B" w:rsidP="002777E0">
      <w:pPr>
        <w:pStyle w:val="ListParagraph"/>
        <w:rPr>
          <w:lang w:val="en-US"/>
        </w:rPr>
      </w:pPr>
      <w:r>
        <w:rPr>
          <w:lang w:val="en-US"/>
        </w:rPr>
        <w:t>Whilst ESMA rightly identifies that trading venues currently offer voluntary pre- and post-trade transparency for all listed contracts, the imposition of mandatory transparency would prevent the emergence of alternative trading models which could be more successful in facilitating transactions on less-liquid contracts. ESMA should not close this possibility by mandating transparency where such a determination is not supported by current trading volumes.</w:t>
      </w:r>
    </w:p>
    <w:p w:rsidR="00BC415B" w:rsidRDefault="00BC415B" w:rsidP="0098588B">
      <w:pPr>
        <w:pStyle w:val="ListParagraph"/>
        <w:numPr>
          <w:ilvl w:val="0"/>
          <w:numId w:val="0"/>
        </w:numPr>
        <w:ind w:left="1068"/>
        <w:rPr>
          <w:lang w:val="en-US"/>
        </w:rPr>
      </w:pPr>
    </w:p>
    <w:p w:rsidR="00BC415B" w:rsidRDefault="00BC415B" w:rsidP="00BC415B">
      <w:pPr>
        <w:rPr>
          <w:lang w:val="en-US"/>
        </w:rPr>
      </w:pPr>
      <w:r>
        <w:rPr>
          <w:lang w:val="en-US"/>
        </w:rPr>
        <w:t>SG notes that t</w:t>
      </w:r>
      <w:r w:rsidRPr="00E56B5A">
        <w:rPr>
          <w:lang w:val="en-US"/>
        </w:rPr>
        <w:t>he volume data cannot justify ESMA’s proposed liquidity determinations. ESMA’s assessment correctly notes that the current level of transparency in these instruments is voluntary, however ESMA’s preference for option 2 would transform this current voluntary transparency into a mandatory transparency, and this is entirely unjustified and unsupported by the data drawn from the trading venues.</w:t>
      </w:r>
    </w:p>
    <w:permEnd w:id="72"/>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t>&lt;ESMA_QUESTION_CP_MIFID_64&gt;</w:t>
      </w:r>
    </w:p>
    <w:p w:rsidR="003F3E6E" w:rsidRDefault="003F3E6E" w:rsidP="003F3E6E">
      <w:pPr>
        <w:rPr>
          <w:lang w:val="en-US"/>
        </w:rPr>
      </w:pPr>
      <w:permStart w:id="73" w:edGrp="everyone"/>
      <w:r>
        <w:rPr>
          <w:lang w:val="en-US"/>
        </w:rPr>
        <w:t>In summary in SG</w:t>
      </w:r>
      <w:r w:rsidRPr="00E56B5A">
        <w:rPr>
          <w:lang w:val="en-US"/>
        </w:rPr>
        <w:t xml:space="preserve">’s view ESMA’s determination of liquidity for exchange-traded equity derivatives does not appear justified by the trading venue </w:t>
      </w:r>
      <w:proofErr w:type="spellStart"/>
      <w:r w:rsidRPr="00E56B5A">
        <w:rPr>
          <w:lang w:val="en-US"/>
        </w:rPr>
        <w:t>data.</w:t>
      </w:r>
      <w:r>
        <w:rPr>
          <w:lang w:val="en-US"/>
        </w:rPr>
        <w:t>With</w:t>
      </w:r>
      <w:proofErr w:type="spellEnd"/>
      <w:r>
        <w:rPr>
          <w:lang w:val="en-US"/>
        </w:rPr>
        <w:t xml:space="preserve"> regard to </w:t>
      </w:r>
      <w:r w:rsidRPr="00B65D27">
        <w:rPr>
          <w:lang w:val="en-US"/>
        </w:rPr>
        <w:t>Equity derivatives contracts</w:t>
      </w:r>
      <w:r>
        <w:rPr>
          <w:lang w:val="en-US"/>
        </w:rPr>
        <w:t xml:space="preserve"> traded on a trading venue:</w:t>
      </w:r>
    </w:p>
    <w:p w:rsidR="003F3E6E" w:rsidRPr="00B65D27" w:rsidRDefault="003F3E6E" w:rsidP="003F3E6E">
      <w:pPr>
        <w:rPr>
          <w:lang w:val="en-US"/>
        </w:rPr>
      </w:pPr>
    </w:p>
    <w:p w:rsidR="003F3E6E" w:rsidRDefault="003F3E6E" w:rsidP="002777E0">
      <w:pPr>
        <w:pStyle w:val="ListParagraph"/>
        <w:rPr>
          <w:lang w:val="en-US"/>
        </w:rPr>
      </w:pPr>
      <w:r w:rsidRPr="00B65D27">
        <w:rPr>
          <w:lang w:val="en-US"/>
        </w:rPr>
        <w:t xml:space="preserve">Futures </w:t>
      </w:r>
    </w:p>
    <w:p w:rsidR="003F3E6E" w:rsidRDefault="003F3E6E" w:rsidP="0098588B">
      <w:pPr>
        <w:pStyle w:val="ListParagraph"/>
        <w:numPr>
          <w:ilvl w:val="0"/>
          <w:numId w:val="0"/>
        </w:numPr>
        <w:ind w:left="1068"/>
        <w:rPr>
          <w:lang w:val="en-US"/>
        </w:rPr>
      </w:pPr>
    </w:p>
    <w:p w:rsidR="003F3E6E" w:rsidRDefault="003F3E6E" w:rsidP="003F3E6E">
      <w:pPr>
        <w:rPr>
          <w:lang w:val="en-US"/>
        </w:rPr>
      </w:pPr>
      <w:r w:rsidRPr="00B65D27">
        <w:rPr>
          <w:lang w:val="en-US"/>
        </w:rPr>
        <w:t xml:space="preserve">With regard to futures, ESMA’s own data, </w:t>
      </w:r>
      <w:r>
        <w:rPr>
          <w:lang w:val="en-US"/>
        </w:rPr>
        <w:t>suggests that only</w:t>
      </w:r>
      <w:r w:rsidRPr="00B65D27">
        <w:rPr>
          <w:lang w:val="en-US"/>
        </w:rPr>
        <w:t xml:space="preserve"> futures on Stock Index (98.47% of trades, 99.69% of notional) could qualify for a “liquid” determination, howe</w:t>
      </w:r>
      <w:r>
        <w:rPr>
          <w:lang w:val="en-US"/>
        </w:rPr>
        <w:t>ver even this determination must</w:t>
      </w:r>
      <w:r w:rsidRPr="00B65D27">
        <w:rPr>
          <w:lang w:val="en-US"/>
        </w:rPr>
        <w:t xml:space="preserve"> be subject to more detailed review of individual contracts as within this category the volumes are overwhelmingly concentrated on a small number of indices.</w:t>
      </w:r>
    </w:p>
    <w:p w:rsidR="003F3E6E" w:rsidRPr="00B65D27" w:rsidRDefault="003F3E6E" w:rsidP="003F3E6E">
      <w:pPr>
        <w:rPr>
          <w:lang w:val="en-US"/>
        </w:rPr>
      </w:pPr>
    </w:p>
    <w:p w:rsidR="003F3E6E" w:rsidRDefault="003F3E6E" w:rsidP="002777E0">
      <w:pPr>
        <w:pStyle w:val="ListParagraph"/>
        <w:rPr>
          <w:lang w:val="en-US"/>
        </w:rPr>
      </w:pPr>
      <w:r w:rsidRPr="00B65D27">
        <w:rPr>
          <w:lang w:val="en-US"/>
        </w:rPr>
        <w:t>ESMA’s own data, as evidenc</w:t>
      </w:r>
      <w:r>
        <w:rPr>
          <w:lang w:val="en-US"/>
        </w:rPr>
        <w:t>ed in Charts 13 to 15, shows</w:t>
      </w:r>
      <w:r w:rsidRPr="00B65D27">
        <w:rPr>
          <w:lang w:val="en-US"/>
        </w:rPr>
        <w:t xml:space="preserve"> that a finding of “liquid” cannot be supported for any contract </w:t>
      </w:r>
      <w:r w:rsidRPr="00C23778">
        <w:rPr>
          <w:lang w:val="en-US"/>
        </w:rPr>
        <w:t>with a time to maturity in excess of four months</w:t>
      </w:r>
      <w:r>
        <w:rPr>
          <w:lang w:val="en-US"/>
        </w:rPr>
        <w:t>.</w:t>
      </w:r>
    </w:p>
    <w:p w:rsidR="003F3E6E" w:rsidRDefault="003F3E6E" w:rsidP="002777E0">
      <w:pPr>
        <w:pStyle w:val="ListParagraph"/>
        <w:rPr>
          <w:lang w:val="en-US"/>
        </w:rPr>
      </w:pPr>
      <w:r w:rsidRPr="00B65D27">
        <w:rPr>
          <w:lang w:val="en-US"/>
        </w:rPr>
        <w:t xml:space="preserve">Accordingly, the data only supports a finding of “liquid” for the on-the-run futures contract on stock indices, and given the limited number of contracts and the </w:t>
      </w:r>
      <w:r w:rsidRPr="00B65D27">
        <w:rPr>
          <w:lang w:val="en-US"/>
        </w:rPr>
        <w:lastRenderedPageBreak/>
        <w:t>concentration of volumes on a subset of actively-traded indices an instrument-by-instrument (IBIA) approach would be more justified.</w:t>
      </w:r>
    </w:p>
    <w:p w:rsidR="003F3E6E" w:rsidRPr="00B65D27" w:rsidRDefault="003F3E6E" w:rsidP="003F3E6E">
      <w:pPr>
        <w:rPr>
          <w:lang w:val="en-US"/>
        </w:rPr>
      </w:pPr>
    </w:p>
    <w:p w:rsidR="003F3E6E" w:rsidRDefault="003F3E6E" w:rsidP="002777E0">
      <w:pPr>
        <w:pStyle w:val="ListParagraph"/>
        <w:rPr>
          <w:lang w:val="en-US"/>
        </w:rPr>
      </w:pPr>
      <w:r w:rsidRPr="00B65D27">
        <w:rPr>
          <w:lang w:val="en-US"/>
        </w:rPr>
        <w:t>Options</w:t>
      </w:r>
    </w:p>
    <w:p w:rsidR="003F3E6E" w:rsidRDefault="003F3E6E" w:rsidP="0098588B">
      <w:pPr>
        <w:pStyle w:val="ListParagraph"/>
        <w:numPr>
          <w:ilvl w:val="0"/>
          <w:numId w:val="0"/>
        </w:numPr>
        <w:ind w:left="1068"/>
        <w:rPr>
          <w:lang w:val="en-US"/>
        </w:rPr>
      </w:pPr>
    </w:p>
    <w:p w:rsidR="003F3E6E" w:rsidRDefault="003F3E6E" w:rsidP="003F3E6E">
      <w:pPr>
        <w:rPr>
          <w:lang w:val="en-US"/>
        </w:rPr>
      </w:pPr>
      <w:r w:rsidRPr="00B65D27">
        <w:rPr>
          <w:lang w:val="en-US"/>
        </w:rPr>
        <w:t xml:space="preserve">With regard to options, </w:t>
      </w:r>
      <w:r>
        <w:rPr>
          <w:lang w:val="en-US"/>
        </w:rPr>
        <w:t>o</w:t>
      </w:r>
      <w:r w:rsidRPr="00B65D27">
        <w:rPr>
          <w:lang w:val="en-US"/>
        </w:rPr>
        <w:t>nly options on individual Stock (18.89% of trades, 6.06% of notional) and Stock Index (79.29% of trades, 93.85% of notional) could qualify for a “liquid” determination, however even this determination would be subject to more detailed review of individual contracts as within this category the volumes are overwhelmingly concentrated on a small number of actively-traded stock and index contracts.</w:t>
      </w:r>
    </w:p>
    <w:p w:rsidR="003F3E6E" w:rsidRPr="00B65D27" w:rsidRDefault="003F3E6E" w:rsidP="003F3E6E">
      <w:pPr>
        <w:rPr>
          <w:lang w:val="en-US"/>
        </w:rPr>
      </w:pPr>
    </w:p>
    <w:p w:rsidR="003F3E6E" w:rsidRDefault="003F3E6E" w:rsidP="002777E0">
      <w:pPr>
        <w:pStyle w:val="ListParagraph"/>
        <w:rPr>
          <w:lang w:val="en-US"/>
        </w:rPr>
      </w:pPr>
      <w:r w:rsidRPr="00B65D27">
        <w:rPr>
          <w:lang w:val="en-US"/>
        </w:rPr>
        <w:t>ESMA’s own data, as evidenced in Chart 12, shows that a finding of “liquid” cannot be supported for any contract which is not the “on-the-run” first listed expiry.</w:t>
      </w:r>
      <w:r>
        <w:rPr>
          <w:lang w:val="en-US"/>
        </w:rPr>
        <w:t xml:space="preserve">  A</w:t>
      </w:r>
      <w:r w:rsidRPr="00B65D27">
        <w:rPr>
          <w:lang w:val="en-US"/>
        </w:rPr>
        <w:t>ccordingly, the data only supports a finding of “liquid” for the on-the-run options contract on certain stocks and stock indices, and given the limited number of contracts and the concentration of volumes on a subset of actively-traded indices an IBIA approach would be more justified.</w:t>
      </w:r>
    </w:p>
    <w:p w:rsidR="003F3E6E" w:rsidRDefault="003F3E6E" w:rsidP="002777E0">
      <w:pPr>
        <w:pStyle w:val="ListParagraph"/>
        <w:rPr>
          <w:lang w:val="en-US"/>
        </w:rPr>
      </w:pPr>
    </w:p>
    <w:p w:rsidR="003F3E6E" w:rsidRDefault="003F3E6E" w:rsidP="003F3E6E">
      <w:pPr>
        <w:rPr>
          <w:lang w:val="en-US"/>
        </w:rPr>
      </w:pPr>
      <w:r>
        <w:rPr>
          <w:lang w:val="en-US"/>
        </w:rPr>
        <w:t xml:space="preserve">In SG’s opinion therefore, </w:t>
      </w:r>
      <w:r w:rsidRPr="00B65D27">
        <w:rPr>
          <w:lang w:val="en-US"/>
        </w:rPr>
        <w:t>the data, the following COFIA classes should be deemed non-liquid:</w:t>
      </w:r>
    </w:p>
    <w:p w:rsidR="003F3E6E" w:rsidRPr="00B65D27" w:rsidRDefault="003F3E6E" w:rsidP="003F3E6E">
      <w:pPr>
        <w:rPr>
          <w:lang w:val="en-US"/>
        </w:rPr>
      </w:pPr>
    </w:p>
    <w:p w:rsidR="003F3E6E" w:rsidRDefault="003F3E6E" w:rsidP="003F3E6E">
      <w:pPr>
        <w:ind w:left="720"/>
        <w:rPr>
          <w:lang w:val="en-US"/>
        </w:rPr>
      </w:pPr>
      <w:r w:rsidRPr="00B65D27">
        <w:rPr>
          <w:lang w:val="en-US"/>
        </w:rPr>
        <w:t>(a) Futures on Stocks.</w:t>
      </w:r>
    </w:p>
    <w:p w:rsidR="003F3E6E" w:rsidRDefault="003F3E6E" w:rsidP="003F3E6E">
      <w:pPr>
        <w:ind w:left="720"/>
        <w:rPr>
          <w:lang w:val="en-US"/>
        </w:rPr>
      </w:pPr>
      <w:r w:rsidRPr="00B65D27">
        <w:rPr>
          <w:lang w:val="en-US"/>
        </w:rPr>
        <w:t>(b) Futures on Basket/Portfolio.</w:t>
      </w:r>
    </w:p>
    <w:p w:rsidR="003F3E6E" w:rsidRDefault="003F3E6E" w:rsidP="003F3E6E">
      <w:pPr>
        <w:ind w:left="720"/>
        <w:rPr>
          <w:lang w:val="en-US"/>
        </w:rPr>
      </w:pPr>
      <w:r w:rsidRPr="00B65D27">
        <w:rPr>
          <w:lang w:val="en-US"/>
        </w:rPr>
        <w:t>(c) Futures on Dividend Index.</w:t>
      </w:r>
    </w:p>
    <w:p w:rsidR="003F3E6E" w:rsidRDefault="003F3E6E" w:rsidP="003F3E6E">
      <w:pPr>
        <w:ind w:left="720"/>
        <w:rPr>
          <w:lang w:val="en-US"/>
        </w:rPr>
      </w:pPr>
      <w:r w:rsidRPr="00B65D27">
        <w:rPr>
          <w:lang w:val="en-US"/>
        </w:rPr>
        <w:t>(d) Futures on Others.</w:t>
      </w:r>
    </w:p>
    <w:p w:rsidR="003F3E6E" w:rsidRDefault="003F3E6E" w:rsidP="003F3E6E">
      <w:pPr>
        <w:ind w:left="720"/>
        <w:rPr>
          <w:lang w:val="en-US"/>
        </w:rPr>
      </w:pPr>
      <w:r w:rsidRPr="00B65D27">
        <w:rPr>
          <w:lang w:val="en-US"/>
        </w:rPr>
        <w:t>(e) Options on Basket/Portfolio.</w:t>
      </w:r>
    </w:p>
    <w:p w:rsidR="003F3E6E" w:rsidRDefault="003F3E6E" w:rsidP="003F3E6E">
      <w:pPr>
        <w:ind w:left="720"/>
        <w:rPr>
          <w:lang w:val="en-US"/>
        </w:rPr>
      </w:pPr>
      <w:r w:rsidRPr="00B65D27">
        <w:rPr>
          <w:lang w:val="en-US"/>
        </w:rPr>
        <w:t>(f) Options on Dividend Index.</w:t>
      </w:r>
    </w:p>
    <w:p w:rsidR="003F3E6E" w:rsidRDefault="003F3E6E" w:rsidP="003F3E6E">
      <w:pPr>
        <w:ind w:left="720"/>
        <w:rPr>
          <w:lang w:val="en-US"/>
        </w:rPr>
      </w:pPr>
      <w:r w:rsidRPr="00B65D27">
        <w:rPr>
          <w:lang w:val="en-US"/>
        </w:rPr>
        <w:t>(g) Options on Others.</w:t>
      </w:r>
    </w:p>
    <w:p w:rsidR="003F3E6E" w:rsidRDefault="003F3E6E" w:rsidP="003F3E6E">
      <w:pPr>
        <w:ind w:left="720"/>
        <w:rPr>
          <w:lang w:val="en-US"/>
        </w:rPr>
      </w:pPr>
      <w:r>
        <w:rPr>
          <w:lang w:val="en-US"/>
        </w:rPr>
        <w:t>(h) Stock dividend options</w:t>
      </w:r>
    </w:p>
    <w:p w:rsidR="003F3E6E" w:rsidRDefault="003F3E6E" w:rsidP="003F3E6E">
      <w:pPr>
        <w:rPr>
          <w:lang w:val="en-US"/>
        </w:rPr>
      </w:pPr>
      <w:r>
        <w:rPr>
          <w:lang w:val="en-US"/>
        </w:rPr>
        <w:t>Additionally, t</w:t>
      </w:r>
      <w:r w:rsidRPr="00B65D27">
        <w:rPr>
          <w:lang w:val="en-US"/>
        </w:rPr>
        <w:t>he following COFIA classes should be subjected to an IBIA test to inform a possible determination of liquid:</w:t>
      </w:r>
    </w:p>
    <w:p w:rsidR="003F3E6E" w:rsidRPr="00B65D27" w:rsidRDefault="003F3E6E" w:rsidP="003F3E6E">
      <w:pPr>
        <w:rPr>
          <w:lang w:val="en-US"/>
        </w:rPr>
      </w:pPr>
    </w:p>
    <w:p w:rsidR="003F3E6E" w:rsidRDefault="003F3E6E" w:rsidP="003F3E6E">
      <w:pPr>
        <w:ind w:left="720"/>
        <w:rPr>
          <w:lang w:val="en-US"/>
        </w:rPr>
      </w:pPr>
      <w:r w:rsidRPr="00B65D27">
        <w:rPr>
          <w:lang w:val="en-US"/>
        </w:rPr>
        <w:t>(a) Futures on Stock Index.</w:t>
      </w:r>
    </w:p>
    <w:p w:rsidR="003F3E6E" w:rsidRDefault="003F3E6E" w:rsidP="003F3E6E">
      <w:pPr>
        <w:ind w:left="720"/>
        <w:rPr>
          <w:lang w:val="en-US"/>
        </w:rPr>
      </w:pPr>
      <w:r w:rsidRPr="00B65D27">
        <w:rPr>
          <w:lang w:val="en-US"/>
        </w:rPr>
        <w:t>(b) Options on Stock.</w:t>
      </w:r>
    </w:p>
    <w:p w:rsidR="003F3E6E" w:rsidRDefault="003F3E6E" w:rsidP="003F3E6E">
      <w:pPr>
        <w:ind w:left="720"/>
        <w:rPr>
          <w:lang w:val="en-US"/>
        </w:rPr>
      </w:pPr>
      <w:r w:rsidRPr="00B65D27">
        <w:rPr>
          <w:lang w:val="en-US"/>
        </w:rPr>
        <w:t>(c) Options on Stock Index.</w:t>
      </w:r>
    </w:p>
    <w:p w:rsidR="003F3E6E" w:rsidRDefault="003F3E6E" w:rsidP="003F3E6E">
      <w:pPr>
        <w:ind w:left="720"/>
        <w:rPr>
          <w:lang w:val="en-US"/>
        </w:rPr>
      </w:pPr>
    </w:p>
    <w:p w:rsidR="003F3E6E" w:rsidRDefault="003F3E6E" w:rsidP="003F3E6E">
      <w:pPr>
        <w:rPr>
          <w:lang w:val="en-US"/>
        </w:rPr>
      </w:pPr>
      <w:r>
        <w:rPr>
          <w:lang w:val="en-US"/>
        </w:rPr>
        <w:t xml:space="preserve">With regard to </w:t>
      </w:r>
      <w:r w:rsidRPr="00886393">
        <w:rPr>
          <w:lang w:val="en-US"/>
        </w:rPr>
        <w:t>Equity derivatives contracts not traded on a venue</w:t>
      </w:r>
      <w:r>
        <w:rPr>
          <w:lang w:val="en-US"/>
        </w:rPr>
        <w:t>:</w:t>
      </w:r>
    </w:p>
    <w:p w:rsidR="003F3E6E" w:rsidRPr="00886393" w:rsidRDefault="003F3E6E" w:rsidP="003F3E6E">
      <w:pPr>
        <w:rPr>
          <w:lang w:val="en-US"/>
        </w:rPr>
      </w:pPr>
    </w:p>
    <w:p w:rsidR="003F3E6E" w:rsidRDefault="003F3E6E" w:rsidP="003F3E6E">
      <w:pPr>
        <w:rPr>
          <w:lang w:val="en-US"/>
        </w:rPr>
      </w:pPr>
      <w:r>
        <w:rPr>
          <w:lang w:val="en-US"/>
        </w:rPr>
        <w:t>SG is concerned that t</w:t>
      </w:r>
      <w:r w:rsidRPr="00886393">
        <w:rPr>
          <w:lang w:val="en-US"/>
        </w:rPr>
        <w:t xml:space="preserve">he data on which ESMA has based its proposed determination is drawn solely from trading venues and concerns only listed equity derivatives contracts subject to central clearing. Accordingly, any determination based solely on data applicable to equity </w:t>
      </w:r>
      <w:r>
        <w:rPr>
          <w:lang w:val="en-US"/>
        </w:rPr>
        <w:t>d</w:t>
      </w:r>
      <w:r w:rsidRPr="00886393">
        <w:rPr>
          <w:lang w:val="en-US"/>
        </w:rPr>
        <w:t xml:space="preserve">erivatives listed on a trading-venue should only apply to equity derivatives listed on a trading venue. </w:t>
      </w:r>
    </w:p>
    <w:p w:rsidR="003F3E6E" w:rsidRDefault="003F3E6E" w:rsidP="003F3E6E">
      <w:pPr>
        <w:rPr>
          <w:lang w:val="en-US"/>
        </w:rPr>
      </w:pPr>
    </w:p>
    <w:p w:rsidR="003F3E6E" w:rsidRDefault="003F3E6E" w:rsidP="002777E0">
      <w:pPr>
        <w:pStyle w:val="ListParagraph"/>
        <w:rPr>
          <w:lang w:val="en-US"/>
        </w:rPr>
      </w:pPr>
      <w:r w:rsidRPr="00886393">
        <w:rPr>
          <w:lang w:val="en-US"/>
        </w:rPr>
        <w:t xml:space="preserve">Listed contracts are very different in nature and scope from equity-derivatives contracts traded bilaterally which are not subject to central clearing. </w:t>
      </w:r>
    </w:p>
    <w:p w:rsidR="003F3E6E" w:rsidRDefault="003F3E6E" w:rsidP="002777E0">
      <w:pPr>
        <w:pStyle w:val="ListParagraph"/>
        <w:rPr>
          <w:lang w:val="en-US"/>
        </w:rPr>
      </w:pPr>
      <w:r w:rsidRPr="00886393">
        <w:rPr>
          <w:lang w:val="en-US"/>
        </w:rPr>
        <w:t xml:space="preserve">These bilateral OTC contracts are not fungible with or economically equivalent to listed and centrally-cleared contracts. Their economic and contractual terms </w:t>
      </w:r>
      <w:r w:rsidRPr="00886393">
        <w:rPr>
          <w:lang w:val="en-US"/>
        </w:rPr>
        <w:lastRenderedPageBreak/>
        <w:t xml:space="preserve">(including, inter alia: underlying asset, expiry, strike, pay-off methodology, pricing methodology, lifecycle event scenarios and consequences, adjustment methodologies) differ widely from the standard contracts listed on trading venues.  </w:t>
      </w:r>
    </w:p>
    <w:p w:rsidR="003F3E6E" w:rsidRDefault="003F3E6E" w:rsidP="002777E0">
      <w:pPr>
        <w:pStyle w:val="ListParagraph"/>
        <w:rPr>
          <w:lang w:val="en-US"/>
        </w:rPr>
      </w:pPr>
      <w:r w:rsidRPr="00886393">
        <w:rPr>
          <w:lang w:val="en-US"/>
        </w:rPr>
        <w:t>In the context of a broad COFIA determination, ESMA should therefore clarify that a finding of “liquid” on a listed contract class which is solely based on data derived from trading venues where such contracts are listed should not apply to non-list</w:t>
      </w:r>
      <w:r>
        <w:rPr>
          <w:lang w:val="en-US"/>
        </w:rPr>
        <w:t>ed equity derivatives contracts.</w:t>
      </w:r>
    </w:p>
    <w:p w:rsidR="003F3E6E" w:rsidRDefault="003F3E6E" w:rsidP="003F3E6E">
      <w:pPr>
        <w:ind w:left="720"/>
        <w:rPr>
          <w:lang w:val="en-US"/>
        </w:rPr>
      </w:pPr>
    </w:p>
    <w:p w:rsidR="00577C33" w:rsidRDefault="003F3E6E" w:rsidP="00EC2C93">
      <w:pPr>
        <w:keepNext/>
      </w:pPr>
      <w:r w:rsidRPr="00343402">
        <w:rPr>
          <w:lang w:val="en-US"/>
        </w:rPr>
        <w:t xml:space="preserve">With regard to, equity derivatives contracts not traded on a venue </w:t>
      </w:r>
      <w:r>
        <w:rPr>
          <w:lang w:val="en-US"/>
        </w:rPr>
        <w:t>SG</w:t>
      </w:r>
      <w:r w:rsidRPr="00343402">
        <w:rPr>
          <w:lang w:val="en-US"/>
        </w:rPr>
        <w:t xml:space="preserve"> recommends that should a liquidity determination be required at any point for equity-derivatives contracts not-listed on a trading venue, this should be subject to a separate ESMA assessment which would need to be based on data relating solely to equity-derivatives contracts not-listed on a trading venue.</w:t>
      </w:r>
      <w:r>
        <w:t xml:space="preserve"> </w:t>
      </w:r>
      <w:permEnd w:id="73"/>
      <w:r w:rsidR="00577C33">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BC415B" w:rsidRDefault="00BC415B" w:rsidP="002777E0">
      <w:pPr>
        <w:pStyle w:val="ListParagraph"/>
        <w:rPr>
          <w:lang w:val="en-US"/>
        </w:rPr>
      </w:pPr>
      <w:permStart w:id="74" w:edGrp="everyone"/>
      <w:r>
        <w:rPr>
          <w:lang w:val="en-US"/>
        </w:rPr>
        <w:t xml:space="preserve">SG </w:t>
      </w:r>
      <w:r w:rsidRPr="003C7504">
        <w:rPr>
          <w:lang w:val="en-US"/>
        </w:rPr>
        <w:t xml:space="preserve"> is concerned that ESMA's proposed taxonomy for equity derivatives does not clearly distinguish between exchange-traded </w:t>
      </w:r>
      <w:r>
        <w:rPr>
          <w:lang w:val="en-US"/>
        </w:rPr>
        <w:t xml:space="preserve">equity </w:t>
      </w:r>
      <w:r w:rsidRPr="003C7504">
        <w:rPr>
          <w:lang w:val="en-US"/>
        </w:rPr>
        <w:t xml:space="preserve"> derivatives  (i.e. those contracts, including futures and listed options, which generally  have highly </w:t>
      </w:r>
      <w:proofErr w:type="spellStart"/>
      <w:r w:rsidRPr="003C7504">
        <w:rPr>
          <w:lang w:val="en-US"/>
        </w:rPr>
        <w:t>standardised</w:t>
      </w:r>
      <w:proofErr w:type="spellEnd"/>
      <w:r w:rsidRPr="003C7504">
        <w:rPr>
          <w:lang w:val="en-US"/>
        </w:rPr>
        <w:t xml:space="preserve"> terms, and are made available for trading on futures exchanges, and centrally cleared) and what market convention refers to as OTC</w:t>
      </w:r>
      <w:r>
        <w:rPr>
          <w:lang w:val="en-US"/>
        </w:rPr>
        <w:t xml:space="preserve"> equity derivatives</w:t>
      </w:r>
      <w:r w:rsidRPr="003C7504">
        <w:rPr>
          <w:lang w:val="en-US"/>
        </w:rPr>
        <w:t xml:space="preserve"> (i.e. those </w:t>
      </w:r>
      <w:proofErr w:type="spellStart"/>
      <w:r w:rsidRPr="003C7504">
        <w:rPr>
          <w:lang w:val="en-US"/>
        </w:rPr>
        <w:t>contracts</w:t>
      </w:r>
      <w:r>
        <w:rPr>
          <w:lang w:val="en-US"/>
        </w:rPr>
        <w:t>w</w:t>
      </w:r>
      <w:r w:rsidRPr="003C7504">
        <w:rPr>
          <w:lang w:val="en-US"/>
        </w:rPr>
        <w:t>hose</w:t>
      </w:r>
      <w:proofErr w:type="spellEnd"/>
      <w:r w:rsidRPr="003C7504">
        <w:rPr>
          <w:lang w:val="en-US"/>
        </w:rPr>
        <w:t xml:space="preserve"> terms are negotiated and non-</w:t>
      </w:r>
      <w:proofErr w:type="spellStart"/>
      <w:r w:rsidRPr="003C7504">
        <w:rPr>
          <w:lang w:val="en-US"/>
        </w:rPr>
        <w:t>standardised</w:t>
      </w:r>
      <w:proofErr w:type="spellEnd"/>
      <w:r w:rsidRPr="003C7504">
        <w:rPr>
          <w:lang w:val="en-US"/>
        </w:rPr>
        <w:t xml:space="preserve">, albeit also traded on venues and sometimes available for central clearing). </w:t>
      </w:r>
    </w:p>
    <w:p w:rsidR="00BC415B" w:rsidRDefault="00BC415B" w:rsidP="0098588B">
      <w:pPr>
        <w:pStyle w:val="ListParagraph"/>
        <w:numPr>
          <w:ilvl w:val="0"/>
          <w:numId w:val="0"/>
        </w:numPr>
        <w:ind w:left="1068"/>
        <w:rPr>
          <w:lang w:val="en-US"/>
        </w:rPr>
      </w:pPr>
    </w:p>
    <w:p w:rsidR="00BC415B" w:rsidRDefault="00BC415B" w:rsidP="002777E0">
      <w:pPr>
        <w:pStyle w:val="ListParagraph"/>
        <w:rPr>
          <w:lang w:val="en-US"/>
        </w:rPr>
      </w:pPr>
      <w:r w:rsidRPr="003C7504">
        <w:rPr>
          <w:lang w:val="en-US"/>
        </w:rPr>
        <w:t xml:space="preserve">For example, it is not clear from RTS 9 that the futures and option classes described in table 32 of Section 4 of Annex III only include exchange-traded derivatives. The liquidity assessment conducted by ESMA to produce these tables was based solely on data from trading venues and therefore ESMA should clearly indicate that only exchange-traded equity derivatives fall within the sub-classes indicated to be liquid within this table. Table 32 of Annex III of RTS 9 should be amended to clarify that only exchange-traded equity derivatives have been determined by ESMA to have a liquid market. </w:t>
      </w:r>
    </w:p>
    <w:p w:rsidR="00BC415B" w:rsidRDefault="00BC415B" w:rsidP="002777E0">
      <w:pPr>
        <w:pStyle w:val="ListParagraph"/>
        <w:rPr>
          <w:lang w:val="en-US"/>
        </w:rPr>
      </w:pPr>
      <w:r w:rsidRPr="003C7504">
        <w:rPr>
          <w:lang w:val="en-US"/>
        </w:rPr>
        <w:t>The definitions provided in Section 3 of Annex III of RTS 9 are insufficiently clear and contribute to the confusion described above in respect of the sub-classes of equity derivatives listed in table 32 of Section 3 of Annex III of RTS 9. In particular, we would recommend the following amendments to the definitions set out in Section 3 of Annex III of RTS 9:</w:t>
      </w:r>
    </w:p>
    <w:p w:rsidR="00BC415B" w:rsidRDefault="00BC415B" w:rsidP="0098588B">
      <w:pPr>
        <w:pStyle w:val="ListParagraph"/>
        <w:numPr>
          <w:ilvl w:val="0"/>
          <w:numId w:val="0"/>
        </w:numPr>
        <w:ind w:left="1068"/>
        <w:rPr>
          <w:lang w:val="en-US"/>
        </w:rPr>
      </w:pPr>
    </w:p>
    <w:p w:rsidR="00BC415B" w:rsidRDefault="00BC415B" w:rsidP="002777E0">
      <w:pPr>
        <w:pStyle w:val="ListParagraph"/>
        <w:rPr>
          <w:lang w:val="en-US"/>
        </w:rPr>
      </w:pPr>
      <w:r w:rsidRPr="003C7504">
        <w:rPr>
          <w:lang w:val="en-US"/>
        </w:rPr>
        <w:t>The definition of “Futures” should specify that only exchange-traded derivatives are captured by this definition.</w:t>
      </w:r>
    </w:p>
    <w:p w:rsidR="00BC415B" w:rsidRDefault="00BC415B" w:rsidP="002777E0">
      <w:pPr>
        <w:pStyle w:val="ListParagraph"/>
        <w:rPr>
          <w:lang w:val="en-US"/>
        </w:rPr>
      </w:pPr>
      <w:r w:rsidRPr="003C7504">
        <w:rPr>
          <w:lang w:val="en-US"/>
        </w:rPr>
        <w:t>The definition of “Option” should specify that only exchange-traded derivatives are captured by this definition.</w:t>
      </w:r>
    </w:p>
    <w:p w:rsidR="00BC415B" w:rsidRDefault="00BC415B" w:rsidP="0098588B">
      <w:pPr>
        <w:pStyle w:val="ListParagraph"/>
        <w:numPr>
          <w:ilvl w:val="0"/>
          <w:numId w:val="0"/>
        </w:numPr>
        <w:ind w:left="1068"/>
        <w:rPr>
          <w:lang w:val="en-US"/>
        </w:rPr>
      </w:pPr>
    </w:p>
    <w:p w:rsidR="00BC415B" w:rsidRDefault="00BC415B" w:rsidP="002777E0">
      <w:pPr>
        <w:pStyle w:val="ListParagraph"/>
        <w:rPr>
          <w:lang w:val="en-US"/>
        </w:rPr>
      </w:pPr>
      <w:r w:rsidRPr="003C7504">
        <w:rPr>
          <w:lang w:val="en-US"/>
        </w:rPr>
        <w:t>We do not consider that ESMA can determine that other equity derivatives (i.e. OTC contracts) are liquid without undertaking analysis at least comparable to that undertaken for interest rate derivatives on the appropriate trade repository data.</w:t>
      </w:r>
    </w:p>
    <w:permEnd w:id="74"/>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lastRenderedPageBreak/>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BC415B" w:rsidRPr="00BC415B" w:rsidRDefault="00BC415B" w:rsidP="00BC415B">
      <w:pPr>
        <w:rPr>
          <w:lang w:val="en-US"/>
        </w:rPr>
      </w:pPr>
      <w:permStart w:id="75" w:edGrp="everyone"/>
      <w:r w:rsidRPr="00BC415B">
        <w:rPr>
          <w:lang w:val="en-US"/>
        </w:rPr>
        <w:t xml:space="preserve">To assess the liquidity of metal commodity contracts, we understand that ESMA has </w:t>
      </w:r>
      <w:proofErr w:type="spellStart"/>
      <w:r w:rsidRPr="00BC415B">
        <w:rPr>
          <w:lang w:val="en-US"/>
        </w:rPr>
        <w:t>analysed</w:t>
      </w:r>
      <w:proofErr w:type="spellEnd"/>
      <w:r w:rsidRPr="00BC415B">
        <w:rPr>
          <w:lang w:val="en-US"/>
        </w:rPr>
        <w:t xml:space="preserve"> data collected from five trading venues. We believe that this dataset is too narrow and the analysis should also include data collected from non-EU trading venues such as International Currency Exchange (ICE) and CME Group. In addition, we believe that further granularity and transparency is needed in respect of the data collected from EU trading venues.   However, we note at a high level that the data presented in the CP is minimal, that the taxonomy presented is not as detailed as for other products and as a result we have very real concerns regarding the accuracy of this data.</w:t>
      </w:r>
    </w:p>
    <w:p w:rsidR="00BC415B" w:rsidRDefault="00BC415B" w:rsidP="0098588B">
      <w:pPr>
        <w:pStyle w:val="ListParagraph"/>
        <w:numPr>
          <w:ilvl w:val="0"/>
          <w:numId w:val="0"/>
        </w:numPr>
        <w:ind w:left="1068"/>
        <w:rPr>
          <w:lang w:val="en-US"/>
        </w:rPr>
      </w:pPr>
    </w:p>
    <w:p w:rsidR="00BC415B" w:rsidRDefault="00BC415B" w:rsidP="002777E0">
      <w:pPr>
        <w:pStyle w:val="ListParagraph"/>
        <w:rPr>
          <w:lang w:val="en-US"/>
        </w:rPr>
      </w:pPr>
      <w:r w:rsidRPr="0069250B">
        <w:rPr>
          <w:lang w:val="en-US"/>
        </w:rPr>
        <w:t xml:space="preserve">We also note that neither the consultation nor the proposed taxonomy explains how ESMA proposes to deal with new categories of commodities related contracts that will become financial instruments under the new MIFID II/R definition (for example, physically settled commodities related derivatives that are traded on an OTF that will fall within the new </w:t>
      </w:r>
      <w:proofErr w:type="gramStart"/>
      <w:r w:rsidRPr="0069250B">
        <w:rPr>
          <w:lang w:val="en-US"/>
        </w:rPr>
        <w:t>C(</w:t>
      </w:r>
      <w:proofErr w:type="gramEnd"/>
      <w:r w:rsidRPr="0069250B">
        <w:rPr>
          <w:lang w:val="en-US"/>
        </w:rPr>
        <w:t xml:space="preserve">6) definition or pursuant to the scope of the C(7) category). In this regard, we are concerned that ESMA does not explain how it proposes to obtain a robust dataset for its liquidity assessment of commodities related contracts traded on an MTF or OTF.  In addition to our concerns regarding the underlying dataset for existing financial instruments and obtaining a robust dataset for new categories of financial instruments, we note that liquidity in markets changes over time. </w:t>
      </w:r>
    </w:p>
    <w:p w:rsidR="00BC415B" w:rsidRDefault="00BC415B" w:rsidP="002777E0">
      <w:pPr>
        <w:pStyle w:val="ListParagraph"/>
        <w:rPr>
          <w:lang w:val="en-US"/>
        </w:rPr>
      </w:pPr>
      <w:r w:rsidRPr="0069250B">
        <w:rPr>
          <w:lang w:val="en-US"/>
        </w:rPr>
        <w:t>Given the importance of commodities derivatives in enabling end-users to hedge exposures to underlying risks, it is vital to ensure that the liquidity assessments are appropriately calibrated and the basis on which such assessments have been made are transparent and tested.</w:t>
      </w:r>
    </w:p>
    <w:p w:rsidR="00BC415B" w:rsidRDefault="00BC415B" w:rsidP="0098588B">
      <w:pPr>
        <w:pStyle w:val="ListParagraph"/>
        <w:numPr>
          <w:ilvl w:val="0"/>
          <w:numId w:val="0"/>
        </w:numPr>
        <w:ind w:left="1068"/>
        <w:rPr>
          <w:lang w:val="en-US"/>
        </w:rPr>
      </w:pPr>
    </w:p>
    <w:p w:rsidR="00BC415B" w:rsidRDefault="00BC415B" w:rsidP="002777E0">
      <w:pPr>
        <w:pStyle w:val="ListParagraph"/>
        <w:rPr>
          <w:lang w:val="en-US"/>
        </w:rPr>
      </w:pPr>
      <w:r w:rsidRPr="0069250B">
        <w:rPr>
          <w:lang w:val="en-US"/>
        </w:rPr>
        <w:t>Moreover, we note the current difficulties for market participants to access to OTC data.  Although this information is reported by market participants to trade repositories under the existing reporting regimes which apply to commodity derivatives (e.g., EMIR), these details are accessible only to regulators.</w:t>
      </w:r>
    </w:p>
    <w:p w:rsidR="00BC415B" w:rsidRDefault="00BC415B" w:rsidP="0098588B">
      <w:pPr>
        <w:pStyle w:val="ListParagraph"/>
        <w:numPr>
          <w:ilvl w:val="0"/>
          <w:numId w:val="0"/>
        </w:numPr>
        <w:ind w:left="1068"/>
        <w:rPr>
          <w:lang w:val="en-US"/>
        </w:rPr>
      </w:pPr>
    </w:p>
    <w:p w:rsidR="00BC415B" w:rsidRDefault="00BC415B" w:rsidP="002777E0">
      <w:pPr>
        <w:pStyle w:val="ListParagraph"/>
        <w:rPr>
          <w:lang w:val="en-US"/>
        </w:rPr>
      </w:pPr>
      <w:r>
        <w:rPr>
          <w:lang w:val="en-US"/>
        </w:rPr>
        <w:t xml:space="preserve">SG </w:t>
      </w:r>
      <w:r w:rsidRPr="0069250B">
        <w:rPr>
          <w:lang w:val="en-US"/>
        </w:rPr>
        <w:t>strongly believe</w:t>
      </w:r>
      <w:r>
        <w:rPr>
          <w:lang w:val="en-US"/>
        </w:rPr>
        <w:t>s</w:t>
      </w:r>
      <w:r w:rsidRPr="0069250B">
        <w:rPr>
          <w:lang w:val="en-US"/>
        </w:rPr>
        <w:t xml:space="preserve"> that it is necessary for ESMA to conduct a further market assessment of the liquidity of the commodity derivative contracts which </w:t>
      </w:r>
      <w:proofErr w:type="spellStart"/>
      <w:r w:rsidRPr="0069250B">
        <w:rPr>
          <w:lang w:val="en-US"/>
        </w:rPr>
        <w:t>utilises</w:t>
      </w:r>
      <w:proofErr w:type="spellEnd"/>
      <w:r w:rsidRPr="0069250B">
        <w:rPr>
          <w:lang w:val="en-US"/>
        </w:rPr>
        <w:t xml:space="preserve"> an appropriate data set for assessing whether the relevant derivatives which are ‘traded on a trading venue’ (e.g. excluding bespoke OTC transactions) are liquid for the purposes of the MiFID2 transparency regime. Such an assessment should be based on complete data available from the major commodities exchanges (including the major non-EU venues), for trading venue contracts, and the data from trade repositories for the contracts which are currently traded OTC. We note that ESMA has published at the end of February an Addendum to this consultation, which also covers additional commodities derivatives. However, we have similar concerns regarding the data underlying that analysis and note that </w:t>
      </w:r>
      <w:r w:rsidRPr="0069250B">
        <w:rPr>
          <w:lang w:val="en-US"/>
        </w:rPr>
        <w:lastRenderedPageBreak/>
        <w:t>there are certain products (for example, coal [and iron ore]) which are not addressed in either consultation.</w:t>
      </w:r>
    </w:p>
    <w:p w:rsidR="00BC415B" w:rsidRDefault="00BC415B" w:rsidP="002777E0">
      <w:pPr>
        <w:pStyle w:val="ListParagraph"/>
        <w:rPr>
          <w:lang w:val="en-US"/>
        </w:rPr>
      </w:pPr>
      <w:r w:rsidRPr="0069250B">
        <w:rPr>
          <w:lang w:val="en-US"/>
        </w:rPr>
        <w:t>Therefore, we recommend ESMA conduct an in-depth analysis, similar to the one performed for other asset classes and, to furth</w:t>
      </w:r>
      <w:r w:rsidR="0098588B">
        <w:rPr>
          <w:lang w:val="en-US"/>
        </w:rPr>
        <w:t>er consult in an appropriate tim</w:t>
      </w:r>
      <w:r w:rsidRPr="0069250B">
        <w:rPr>
          <w:lang w:val="en-US"/>
        </w:rPr>
        <w:t>eframe in relation to the liquidity assessments for commodity derivatives.</w:t>
      </w:r>
    </w:p>
    <w:p w:rsidR="00BC415B" w:rsidRDefault="00BC415B" w:rsidP="0098588B">
      <w:pPr>
        <w:pStyle w:val="ListParagraph"/>
        <w:numPr>
          <w:ilvl w:val="0"/>
          <w:numId w:val="0"/>
        </w:numPr>
        <w:ind w:left="1068"/>
        <w:rPr>
          <w:lang w:val="en-US"/>
        </w:rPr>
      </w:pPr>
    </w:p>
    <w:p w:rsidR="00BC415B" w:rsidRDefault="00BC415B" w:rsidP="002777E0">
      <w:pPr>
        <w:pStyle w:val="ListParagraph"/>
        <w:rPr>
          <w:lang w:val="en-US"/>
        </w:rPr>
      </w:pPr>
      <w:r w:rsidRPr="0069250B">
        <w:rPr>
          <w:lang w:val="en-US"/>
        </w:rPr>
        <w:t xml:space="preserve">We note that ESMA </w:t>
      </w:r>
      <w:proofErr w:type="spellStart"/>
      <w:r w:rsidRPr="0069250B">
        <w:rPr>
          <w:lang w:val="en-US"/>
        </w:rPr>
        <w:t>favours</w:t>
      </w:r>
      <w:proofErr w:type="spellEnd"/>
      <w:r w:rsidRPr="0069250B">
        <w:rPr>
          <w:lang w:val="en-US"/>
        </w:rPr>
        <w:t xml:space="preserve"> a COFIA approach that may be workable for commodities derivatives. However, we do not support the current ESMA's determination of the relevant sub-classes. In our view, ESMA sub-classes should be set at a more granular</w:t>
      </w:r>
      <w:r>
        <w:rPr>
          <w:lang w:val="en-US"/>
        </w:rPr>
        <w:t>.</w:t>
      </w:r>
    </w:p>
    <w:p w:rsidR="00BC415B" w:rsidRPr="00BC415B" w:rsidRDefault="00BC415B" w:rsidP="0098588B">
      <w:pPr>
        <w:pStyle w:val="ListParagraph"/>
        <w:numPr>
          <w:ilvl w:val="0"/>
          <w:numId w:val="0"/>
        </w:numPr>
        <w:ind w:left="1068"/>
        <w:rPr>
          <w:lang w:val="en-US"/>
        </w:rPr>
      </w:pPr>
    </w:p>
    <w:p w:rsidR="00BC415B" w:rsidRDefault="00BC415B" w:rsidP="002777E0">
      <w:pPr>
        <w:pStyle w:val="ListParagraph"/>
        <w:rPr>
          <w:lang w:val="en-US"/>
        </w:rPr>
      </w:pPr>
      <w:r w:rsidRPr="0069250B">
        <w:rPr>
          <w:lang w:val="en-US"/>
        </w:rPr>
        <w:t>In particular, for metals, we believe that a distinction should be made between base metals and precious metals.</w:t>
      </w:r>
    </w:p>
    <w:p w:rsidR="00BC415B" w:rsidRPr="0069250B" w:rsidRDefault="00BC415B" w:rsidP="0098588B">
      <w:pPr>
        <w:pStyle w:val="ListParagraph"/>
        <w:numPr>
          <w:ilvl w:val="0"/>
          <w:numId w:val="0"/>
        </w:numPr>
        <w:ind w:left="1068"/>
        <w:rPr>
          <w:lang w:val="en-US"/>
        </w:rPr>
      </w:pPr>
    </w:p>
    <w:p w:rsidR="00BC415B" w:rsidRDefault="00BC415B" w:rsidP="002777E0">
      <w:pPr>
        <w:pStyle w:val="ListParagraph"/>
        <w:rPr>
          <w:lang w:val="en-US"/>
        </w:rPr>
      </w:pPr>
      <w:r w:rsidRPr="0069250B">
        <w:rPr>
          <w:lang w:val="en-US"/>
        </w:rPr>
        <w:t>In terms of the appropriate parameters, whilst we agree that it is appropriate to use the same parameters and thresholds for each sub-class of metal commodity contracts, we believe that the proposed parameters are inappropriate. In particular:</w:t>
      </w:r>
    </w:p>
    <w:p w:rsidR="00BC415B" w:rsidRPr="0069250B" w:rsidRDefault="00BC415B" w:rsidP="0098588B">
      <w:pPr>
        <w:pStyle w:val="ListParagraph"/>
        <w:numPr>
          <w:ilvl w:val="0"/>
          <w:numId w:val="0"/>
        </w:numPr>
        <w:ind w:left="1068"/>
        <w:rPr>
          <w:lang w:val="en-US"/>
        </w:rPr>
      </w:pPr>
    </w:p>
    <w:p w:rsidR="00BC415B" w:rsidRDefault="00BC415B" w:rsidP="002777E0">
      <w:pPr>
        <w:pStyle w:val="ListParagraph"/>
        <w:rPr>
          <w:lang w:val="en-US"/>
        </w:rPr>
      </w:pPr>
      <w:r w:rsidRPr="0069250B">
        <w:rPr>
          <w:lang w:val="en-US"/>
        </w:rPr>
        <w:t>The threshold of “one t</w:t>
      </w:r>
      <w:r>
        <w:rPr>
          <w:lang w:val="en-US"/>
        </w:rPr>
        <w:t>rade per day” and “€ 100.</w:t>
      </w:r>
      <w:r w:rsidRPr="0069250B">
        <w:rPr>
          <w:lang w:val="en-US"/>
        </w:rPr>
        <w:t>000 per day” is too low and does not give a true indication of the liquidity of a market.</w:t>
      </w:r>
    </w:p>
    <w:p w:rsidR="00BC415B" w:rsidRDefault="00BC415B" w:rsidP="002777E0">
      <w:pPr>
        <w:pStyle w:val="ListParagraph"/>
        <w:rPr>
          <w:lang w:val="en-US"/>
        </w:rPr>
      </w:pPr>
      <w:r w:rsidRPr="0069250B">
        <w:rPr>
          <w:lang w:val="en-US"/>
        </w:rPr>
        <w:t xml:space="preserve">Expression of thresholds by reference to notional amount in </w:t>
      </w:r>
      <w:proofErr w:type="spellStart"/>
      <w:r w:rsidRPr="0069250B">
        <w:rPr>
          <w:lang w:val="en-US"/>
        </w:rPr>
        <w:t>euros</w:t>
      </w:r>
      <w:proofErr w:type="spellEnd"/>
      <w:r w:rsidRPr="0069250B">
        <w:rPr>
          <w:lang w:val="en-US"/>
        </w:rPr>
        <w:t xml:space="preserve"> is not appropriate because metal commodity contracts are traded in US dollars. Expressing the thresholds in a currency other than the currency in which the relevant contracts are traded could lead to arbitrary and inconsistent results as contracts become liquid or illiquid based solely on movements in the relevant exchange rate.</w:t>
      </w:r>
    </w:p>
    <w:p w:rsidR="00BC415B" w:rsidRDefault="00BC415B" w:rsidP="002777E0">
      <w:pPr>
        <w:pStyle w:val="ListParagraph"/>
        <w:rPr>
          <w:lang w:val="en-US"/>
        </w:rPr>
      </w:pPr>
      <w:r w:rsidRPr="0069250B">
        <w:rPr>
          <w:lang w:val="en-US"/>
        </w:rPr>
        <w:t xml:space="preserve">Irrespective of currency, the more appropriate parameter would be open interest and units of commodities. The open-interest metric would reflect all relevant market factors relating to the trading of the relevant contract (e.g. maturity, volatility, number and size of market participants, thereby ensuring flexibility to prevailing market conditions for the relevant commodity).  </w:t>
      </w:r>
    </w:p>
    <w:p w:rsidR="00BC415B" w:rsidRDefault="00BC415B" w:rsidP="002777E0">
      <w:pPr>
        <w:pStyle w:val="ListParagraph"/>
        <w:rPr>
          <w:lang w:val="en-US"/>
        </w:rPr>
      </w:pPr>
      <w:r w:rsidRPr="0069250B">
        <w:rPr>
          <w:lang w:val="en-US"/>
        </w:rPr>
        <w:t>The assessment of the liquidity of all commodity derivatives has to appropriately consider the tenor of the contracts as the liquidity of these instruments varies along the curve and, generally, they become more liquid when closer to the expiry date.</w:t>
      </w:r>
    </w:p>
    <w:p w:rsidR="00BC415B" w:rsidRDefault="00BC415B" w:rsidP="0098588B">
      <w:pPr>
        <w:pStyle w:val="ListParagraph"/>
        <w:numPr>
          <w:ilvl w:val="0"/>
          <w:numId w:val="0"/>
        </w:numPr>
        <w:ind w:left="1068"/>
        <w:rPr>
          <w:lang w:val="en-US"/>
        </w:rPr>
      </w:pPr>
    </w:p>
    <w:p w:rsidR="00BC415B" w:rsidRDefault="00BC415B" w:rsidP="00BC415B">
      <w:pPr>
        <w:rPr>
          <w:lang w:val="en-US"/>
        </w:rPr>
      </w:pPr>
      <w:r w:rsidRPr="00FB740B">
        <w:rPr>
          <w:lang w:val="en-US"/>
        </w:rPr>
        <w:t>As noted above, we believe that it is imperative that ESMA conducts a full liquidity assessment and makes it liquidity determinations on the basis on a complete set of data from trading venues and trade repositories.</w:t>
      </w:r>
    </w:p>
    <w:p w:rsidR="00BC415B" w:rsidRDefault="00BC415B" w:rsidP="00BC415B">
      <w:pPr>
        <w:rPr>
          <w:lang w:val="en-US"/>
        </w:rPr>
      </w:pPr>
    </w:p>
    <w:p w:rsidR="00BC415B" w:rsidRDefault="00BC415B" w:rsidP="002777E0">
      <w:pPr>
        <w:pStyle w:val="ListParagraph"/>
        <w:rPr>
          <w:lang w:val="en-US"/>
        </w:rPr>
      </w:pPr>
      <w:r>
        <w:rPr>
          <w:lang w:val="en-US"/>
        </w:rPr>
        <w:t>SG notes the work undertaken by ISDA in its response to this question in relation to a potential taxonomy for conducting such an assessment.</w:t>
      </w:r>
    </w:p>
    <w:permEnd w:id="75"/>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lastRenderedPageBreak/>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BC415B" w:rsidRDefault="00BC415B" w:rsidP="002777E0">
      <w:pPr>
        <w:pStyle w:val="ListParagraph"/>
        <w:rPr>
          <w:lang w:val="en-US"/>
        </w:rPr>
      </w:pPr>
      <w:permStart w:id="76" w:edGrp="everyone"/>
      <w:r w:rsidRPr="001B7043">
        <w:rPr>
          <w:lang w:val="en-US"/>
        </w:rPr>
        <w:t xml:space="preserve">To assess the liquidity of energy commodity derivatives, we understand that ESMA has </w:t>
      </w:r>
      <w:proofErr w:type="spellStart"/>
      <w:r w:rsidRPr="001B7043">
        <w:rPr>
          <w:lang w:val="en-US"/>
        </w:rPr>
        <w:t>analysed</w:t>
      </w:r>
      <w:proofErr w:type="spellEnd"/>
      <w:r w:rsidRPr="001B7043">
        <w:rPr>
          <w:lang w:val="en-US"/>
        </w:rPr>
        <w:t xml:space="preserve"> data collected from seven trading venues. We believe, this dataset is too narrow and therefore the assessments do not provide an accurate representation of liquidity in the relevant commodity markets. In our view, in order to present a more accurate reflection of liquidity in the relevant contracts, the analysis must at a minimum include data collected from the major EU trading venues (e.g., ICE Futures Europe) and the major non-EU trading venues (e.g., CME Group). In the absence of disclosure of the details regarding the underlying data sources it has not been possible to test the underlying data. However, we note at a high level that the data presented in the CP is minimal, that the taxonomy presented is not as detailed as for other products and as a result we have very real concerns regarding the accuracy of this data. </w:t>
      </w:r>
    </w:p>
    <w:p w:rsidR="00BC415B" w:rsidRDefault="00BC415B" w:rsidP="0098588B">
      <w:pPr>
        <w:pStyle w:val="ListParagraph"/>
        <w:numPr>
          <w:ilvl w:val="0"/>
          <w:numId w:val="0"/>
        </w:numPr>
        <w:ind w:left="1068"/>
        <w:rPr>
          <w:lang w:val="en-US"/>
        </w:rPr>
      </w:pPr>
    </w:p>
    <w:p w:rsidR="00BC415B" w:rsidRDefault="00BC415B" w:rsidP="002777E0">
      <w:pPr>
        <w:pStyle w:val="ListParagraph"/>
        <w:rPr>
          <w:lang w:val="en-US"/>
        </w:rPr>
      </w:pPr>
      <w:r w:rsidRPr="001B7043">
        <w:rPr>
          <w:lang w:val="en-US"/>
        </w:rPr>
        <w:t xml:space="preserve">For example, the liquidity assessment for oil related derivatives appears to imply that oil related derivatives traded in the EU are either confined to, or represented by, those traded in Romanian </w:t>
      </w:r>
      <w:proofErr w:type="spellStart"/>
      <w:r w:rsidRPr="001B7043">
        <w:rPr>
          <w:lang w:val="en-US"/>
        </w:rPr>
        <w:t>Leu</w:t>
      </w:r>
      <w:proofErr w:type="spellEnd"/>
      <w:r w:rsidRPr="001B7043">
        <w:rPr>
          <w:lang w:val="en-US"/>
        </w:rPr>
        <w:t>, which is clearly not the case.</w:t>
      </w:r>
    </w:p>
    <w:p w:rsidR="00BC415B" w:rsidRDefault="00BC415B" w:rsidP="0098588B">
      <w:pPr>
        <w:pStyle w:val="ListParagraph"/>
        <w:numPr>
          <w:ilvl w:val="0"/>
          <w:numId w:val="0"/>
        </w:numPr>
        <w:ind w:left="1068"/>
        <w:rPr>
          <w:lang w:val="en-US"/>
        </w:rPr>
      </w:pPr>
    </w:p>
    <w:p w:rsidR="00BC415B" w:rsidRDefault="00BC415B" w:rsidP="002777E0">
      <w:pPr>
        <w:pStyle w:val="ListParagraph"/>
        <w:rPr>
          <w:lang w:val="en-US"/>
        </w:rPr>
      </w:pPr>
      <w:r w:rsidRPr="001B7043">
        <w:rPr>
          <w:lang w:val="en-US"/>
        </w:rPr>
        <w:t xml:space="preserve">We also note that neither the consultation nor the proposed taxonomy explains how ESMA proposes to deal with new categories of commodities related contracts that will become financial instruments under the new MIFID II/R definition (for example, physically settled commodities related derivatives that are traded on an OTF that will fall within the new </w:t>
      </w:r>
      <w:proofErr w:type="gramStart"/>
      <w:r w:rsidRPr="001B7043">
        <w:rPr>
          <w:lang w:val="en-US"/>
        </w:rPr>
        <w:t>C(</w:t>
      </w:r>
      <w:proofErr w:type="gramEnd"/>
      <w:r w:rsidRPr="001B7043">
        <w:rPr>
          <w:lang w:val="en-US"/>
        </w:rPr>
        <w:t xml:space="preserve">6) definition or pursuant to the scope of the C(7) category). In this regard, we are concerned that ESMA does not explain how it proposes to obtain a robust dataset for its liquidity assessment of commodities related contracts traded on an MTF or OTF.  In addition to our concerns regarding the underlying dataset for existing financial instruments and obtaining a robust dataset for new categories of financial instruments, we note that liquidity in markets changes over time. </w:t>
      </w:r>
    </w:p>
    <w:p w:rsidR="00BC415B" w:rsidRDefault="00BC415B" w:rsidP="0098588B">
      <w:pPr>
        <w:pStyle w:val="ListParagraph"/>
        <w:numPr>
          <w:ilvl w:val="0"/>
          <w:numId w:val="0"/>
        </w:numPr>
        <w:ind w:left="1068"/>
        <w:rPr>
          <w:lang w:val="en-US"/>
        </w:rPr>
      </w:pPr>
    </w:p>
    <w:p w:rsidR="00BC415B" w:rsidRDefault="00BC415B" w:rsidP="002777E0">
      <w:pPr>
        <w:pStyle w:val="ListParagraph"/>
        <w:rPr>
          <w:lang w:val="en-US"/>
        </w:rPr>
      </w:pPr>
      <w:r w:rsidRPr="001B7043">
        <w:rPr>
          <w:lang w:val="en-US"/>
        </w:rPr>
        <w:t xml:space="preserve">Given the importance of commodities derivatives in enabling end-users to hedge exposures to underlying risks, it is vital to ensure that the liquidity assessments are appropriately calibrated and the basis on which such assessments have been made are transparent and tested.  </w:t>
      </w:r>
    </w:p>
    <w:p w:rsidR="00BC415B" w:rsidRDefault="00BC415B" w:rsidP="00BC415B">
      <w:pPr>
        <w:rPr>
          <w:lang w:val="en-US"/>
        </w:rPr>
      </w:pPr>
    </w:p>
    <w:p w:rsidR="00BC415B" w:rsidRDefault="00BC415B" w:rsidP="002777E0">
      <w:pPr>
        <w:pStyle w:val="ListParagraph"/>
        <w:rPr>
          <w:lang w:val="en-US"/>
        </w:rPr>
      </w:pPr>
      <w:r w:rsidRPr="001B7043">
        <w:rPr>
          <w:lang w:val="en-US"/>
        </w:rPr>
        <w:t xml:space="preserve">In light of the above, we strongly believe that it is necessary for ESMA to conduct a further market assessment of the liquidity of the commodity derivative contracts which </w:t>
      </w:r>
      <w:proofErr w:type="spellStart"/>
      <w:r w:rsidRPr="001B7043">
        <w:rPr>
          <w:lang w:val="en-US"/>
        </w:rPr>
        <w:t>utilises</w:t>
      </w:r>
      <w:proofErr w:type="spellEnd"/>
      <w:r w:rsidRPr="001B7043">
        <w:rPr>
          <w:lang w:val="en-US"/>
        </w:rPr>
        <w:t xml:space="preserve"> an appropriate data set for assessing whether the relevant derivatives which are ‘traded on a trading venue’ (e.g. excluding bespoke OTC transactions) are liquid for the purposes of the MiFID2 transparency regime. Such an assessment should be based on complete data available from the major commodities exchanges (including the major non-EU venues), for trading venue contracts, and the data from trade repositories for the contracts which are currently traded OTC. </w:t>
      </w:r>
    </w:p>
    <w:p w:rsidR="00BC415B" w:rsidRDefault="00BC415B" w:rsidP="0098588B">
      <w:pPr>
        <w:pStyle w:val="ListParagraph"/>
        <w:numPr>
          <w:ilvl w:val="0"/>
          <w:numId w:val="0"/>
        </w:numPr>
        <w:ind w:left="1068"/>
        <w:rPr>
          <w:lang w:val="en-US"/>
        </w:rPr>
      </w:pPr>
    </w:p>
    <w:p w:rsidR="00BC415B" w:rsidRDefault="00BC415B" w:rsidP="002777E0">
      <w:pPr>
        <w:pStyle w:val="ListParagraph"/>
        <w:rPr>
          <w:lang w:val="en-US"/>
        </w:rPr>
      </w:pPr>
      <w:r w:rsidRPr="001B7043">
        <w:rPr>
          <w:lang w:val="en-US"/>
        </w:rPr>
        <w:t xml:space="preserve">We note that ESMA has published at the end of February an Addendum to this consultation, which also covers additional commodities derivatives. However, we </w:t>
      </w:r>
      <w:r w:rsidRPr="001B7043">
        <w:rPr>
          <w:lang w:val="en-US"/>
        </w:rPr>
        <w:lastRenderedPageBreak/>
        <w:t>have similar concerns regarding the data underlying that analysis and note that there are certain products (for example, coal [and iron ore]) which are not addressed in either consultation.</w:t>
      </w:r>
    </w:p>
    <w:p w:rsidR="00BC415B" w:rsidRDefault="00BC415B" w:rsidP="0098588B">
      <w:pPr>
        <w:pStyle w:val="ListParagraph"/>
        <w:numPr>
          <w:ilvl w:val="0"/>
          <w:numId w:val="0"/>
        </w:numPr>
        <w:ind w:left="1068"/>
        <w:rPr>
          <w:lang w:val="en-US"/>
        </w:rPr>
      </w:pPr>
    </w:p>
    <w:p w:rsidR="00BC415B" w:rsidRDefault="00BC415B" w:rsidP="002777E0">
      <w:pPr>
        <w:pStyle w:val="ListParagraph"/>
        <w:rPr>
          <w:lang w:val="en-US"/>
        </w:rPr>
      </w:pPr>
      <w:r w:rsidRPr="001B7043">
        <w:rPr>
          <w:lang w:val="en-US"/>
        </w:rPr>
        <w:t>Therefore, we recommend ESMA conduct an in-depth analysis, similar to the one performed for other asset classes and, to further consult in an appropriate timeframe in relation to the liquidity assessments for commodity derivatives.</w:t>
      </w:r>
    </w:p>
    <w:p w:rsidR="00BC415B" w:rsidRDefault="00BC415B" w:rsidP="0098588B">
      <w:pPr>
        <w:pStyle w:val="ListParagraph"/>
        <w:numPr>
          <w:ilvl w:val="0"/>
          <w:numId w:val="0"/>
        </w:numPr>
        <w:ind w:left="1068"/>
        <w:rPr>
          <w:lang w:val="en-US"/>
        </w:rPr>
      </w:pPr>
    </w:p>
    <w:p w:rsidR="00BC415B" w:rsidRDefault="00BC415B" w:rsidP="002777E0">
      <w:pPr>
        <w:pStyle w:val="ListParagraph"/>
        <w:rPr>
          <w:lang w:val="en-US"/>
        </w:rPr>
      </w:pPr>
      <w:r w:rsidRPr="0069250B">
        <w:rPr>
          <w:lang w:val="en-US"/>
        </w:rPr>
        <w:t xml:space="preserve">In terms of the appropriate parameters, whilst we agree that it is appropriate to use the same parameters and thresholds for each sub-class </w:t>
      </w:r>
      <w:r>
        <w:rPr>
          <w:lang w:val="en-US"/>
        </w:rPr>
        <w:t>of energy</w:t>
      </w:r>
      <w:r w:rsidRPr="0069250B">
        <w:rPr>
          <w:lang w:val="en-US"/>
        </w:rPr>
        <w:t xml:space="preserve"> commodity contracts, we believe that the proposed parameters are inappropriate. In particular:</w:t>
      </w:r>
    </w:p>
    <w:p w:rsidR="00BC415B" w:rsidRDefault="00BC415B" w:rsidP="00BC415B">
      <w:pPr>
        <w:rPr>
          <w:lang w:val="en-US"/>
        </w:rPr>
      </w:pPr>
    </w:p>
    <w:p w:rsidR="00BC415B" w:rsidRDefault="00BC415B" w:rsidP="002777E0">
      <w:pPr>
        <w:pStyle w:val="ListParagraph"/>
        <w:rPr>
          <w:lang w:val="en-US"/>
        </w:rPr>
      </w:pPr>
      <w:r w:rsidRPr="000C0214">
        <w:rPr>
          <w:lang w:val="en-US"/>
        </w:rPr>
        <w:t>The threshold of “one trade per day” and “€ 100.000 per day” is too low and does not give a true indication of the liquidity of a market.</w:t>
      </w:r>
    </w:p>
    <w:p w:rsidR="00BC415B" w:rsidRDefault="00BC415B" w:rsidP="002777E0">
      <w:pPr>
        <w:pStyle w:val="ListParagraph"/>
        <w:rPr>
          <w:lang w:val="en-US"/>
        </w:rPr>
      </w:pPr>
      <w:r w:rsidRPr="0069250B">
        <w:rPr>
          <w:lang w:val="en-US"/>
        </w:rPr>
        <w:t xml:space="preserve">Expression of thresholds by reference to notional amount in </w:t>
      </w:r>
      <w:proofErr w:type="spellStart"/>
      <w:r w:rsidRPr="0069250B">
        <w:rPr>
          <w:lang w:val="en-US"/>
        </w:rPr>
        <w:t>euros</w:t>
      </w:r>
      <w:proofErr w:type="spellEnd"/>
      <w:r w:rsidRPr="0069250B">
        <w:rPr>
          <w:lang w:val="en-US"/>
        </w:rPr>
        <w:t xml:space="preserve"> is not appropriate because metal commodity contracts are traded in US dollars. Expressing the thresholds in a currency other than the currency in which the relevant contracts are traded could lead to arbitrary and inconsistent results as contracts become liquid or illiquid based solely on movements in the relevant exchange rate.</w:t>
      </w:r>
    </w:p>
    <w:p w:rsidR="00BC415B" w:rsidRDefault="00BC415B" w:rsidP="002777E0">
      <w:pPr>
        <w:pStyle w:val="ListParagraph"/>
        <w:rPr>
          <w:lang w:val="en-US"/>
        </w:rPr>
      </w:pPr>
      <w:r w:rsidRPr="0069250B">
        <w:rPr>
          <w:lang w:val="en-US"/>
        </w:rPr>
        <w:t xml:space="preserve">Irrespective of currency, the more appropriate parameter would be open interest and units of commodities. The open-interest metric would reflect all relevant market factors relating to the trading of the relevant contract (e.g. maturity, volatility, number and size of market participants, thereby ensuring flexibility to prevailing market conditions for the relevant commodity).  </w:t>
      </w:r>
    </w:p>
    <w:p w:rsidR="00BC415B" w:rsidRDefault="00BC415B" w:rsidP="002777E0">
      <w:pPr>
        <w:pStyle w:val="ListParagraph"/>
        <w:rPr>
          <w:lang w:val="en-US"/>
        </w:rPr>
      </w:pPr>
      <w:r w:rsidRPr="0069250B">
        <w:rPr>
          <w:lang w:val="en-US"/>
        </w:rPr>
        <w:t>The assessment of the liquidity of all commodity derivatives has to appropriately consider the tenor of the contracts as the liquidity of these instruments varies along the curve and, generally, they become more liquid when closer to the expiry date.</w:t>
      </w:r>
    </w:p>
    <w:p w:rsidR="00BC415B" w:rsidRDefault="00BC415B" w:rsidP="0098588B">
      <w:pPr>
        <w:pStyle w:val="ListParagraph"/>
        <w:numPr>
          <w:ilvl w:val="0"/>
          <w:numId w:val="0"/>
        </w:numPr>
        <w:ind w:left="1068"/>
        <w:rPr>
          <w:lang w:val="en-US"/>
        </w:rPr>
      </w:pPr>
    </w:p>
    <w:p w:rsidR="00BC415B" w:rsidRDefault="00BC415B" w:rsidP="00BC415B">
      <w:pPr>
        <w:rPr>
          <w:lang w:val="en-US"/>
        </w:rPr>
      </w:pPr>
      <w:r w:rsidRPr="00FB740B">
        <w:rPr>
          <w:lang w:val="en-US"/>
        </w:rPr>
        <w:t>As noted above, we believe that it is imperative that ESMA conducts a full liquidity assessment and makes it liquidity determinations on the basis on a complete set of data from trading venues and trade repositories.</w:t>
      </w:r>
    </w:p>
    <w:p w:rsidR="00BC415B" w:rsidRPr="00FB740B" w:rsidRDefault="00BC415B" w:rsidP="00BC415B">
      <w:pPr>
        <w:rPr>
          <w:lang w:val="en-US"/>
        </w:rPr>
      </w:pPr>
    </w:p>
    <w:p w:rsidR="00BC415B" w:rsidRDefault="00BC415B" w:rsidP="002777E0">
      <w:pPr>
        <w:pStyle w:val="ListParagraph"/>
        <w:rPr>
          <w:lang w:val="en-US"/>
        </w:rPr>
      </w:pPr>
      <w:r>
        <w:rPr>
          <w:lang w:val="en-US"/>
        </w:rPr>
        <w:t>SG notes the work undertaken by ISDA in its response to this question in relation to a potential taxonomy for conducting such an assessment.</w:t>
      </w:r>
    </w:p>
    <w:permEnd w:id="76"/>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A14B5E" w:rsidRDefault="00A14B5E" w:rsidP="00A14B5E">
      <w:pPr>
        <w:rPr>
          <w:lang w:val="en-US"/>
        </w:rPr>
      </w:pPr>
      <w:permStart w:id="77" w:edGrp="everyone"/>
      <w:r w:rsidRPr="000C0214">
        <w:rPr>
          <w:lang w:val="en-US"/>
        </w:rPr>
        <w:t xml:space="preserve">To assess the liquidity of agricultural commodity derivatives, we understand that ESMA has </w:t>
      </w:r>
      <w:proofErr w:type="spellStart"/>
      <w:r w:rsidRPr="000C0214">
        <w:rPr>
          <w:lang w:val="en-US"/>
        </w:rPr>
        <w:t>analysed</w:t>
      </w:r>
      <w:proofErr w:type="spellEnd"/>
      <w:r w:rsidRPr="000C0214">
        <w:rPr>
          <w:lang w:val="en-US"/>
        </w:rPr>
        <w:t xml:space="preserve"> data collected from seven trading venues. We believe, this dataset is too narrow </w:t>
      </w:r>
      <w:r w:rsidRPr="000C0214">
        <w:rPr>
          <w:lang w:val="en-US"/>
        </w:rPr>
        <w:lastRenderedPageBreak/>
        <w:t xml:space="preserve">and therefore the assessments do not provide an accurate representation of liquidity in the relevant commodity markets. In our view, in order to present a more accurate reflection of liquidity in the relevant contracts, the analysis must at a minimum include data collected from the major EU trading venues (e.g., ICE Futures Europe) and the major non-EU trading venues (e.g., CME Group). In the absence of disclosure of the details regarding the underlying data sources it has not been possible to test the underlying data. </w:t>
      </w:r>
    </w:p>
    <w:p w:rsidR="00A14B5E" w:rsidRDefault="00A14B5E" w:rsidP="00A14B5E">
      <w:pPr>
        <w:rPr>
          <w:lang w:val="en-US"/>
        </w:rPr>
      </w:pPr>
    </w:p>
    <w:p w:rsidR="00A14B5E" w:rsidRDefault="00A14B5E" w:rsidP="002777E0">
      <w:pPr>
        <w:pStyle w:val="ListParagraph"/>
        <w:rPr>
          <w:lang w:val="en-US"/>
        </w:rPr>
      </w:pPr>
      <w:r w:rsidRPr="000C0214">
        <w:rPr>
          <w:lang w:val="en-US"/>
        </w:rPr>
        <w:t>However, we note at a high level that the data presented in the CP is minimal, that the taxonomy presented is not as detailed as for other products and as a result we have very real concerns regarding the accuracy of this data.</w:t>
      </w:r>
    </w:p>
    <w:p w:rsidR="00A14B5E" w:rsidRDefault="00A14B5E" w:rsidP="0098588B">
      <w:pPr>
        <w:pStyle w:val="ListParagraph"/>
        <w:numPr>
          <w:ilvl w:val="0"/>
          <w:numId w:val="0"/>
        </w:numPr>
        <w:ind w:left="1068"/>
        <w:rPr>
          <w:lang w:val="en-US"/>
        </w:rPr>
      </w:pPr>
    </w:p>
    <w:p w:rsidR="00A14B5E" w:rsidRDefault="00A14B5E" w:rsidP="002777E0">
      <w:pPr>
        <w:pStyle w:val="ListParagraph"/>
        <w:rPr>
          <w:lang w:val="en-US"/>
        </w:rPr>
      </w:pPr>
      <w:r w:rsidRPr="000C0214">
        <w:rPr>
          <w:lang w:val="en-US"/>
        </w:rPr>
        <w:t xml:space="preserve">We also note that neither the consultation nor the proposed taxonomy explains how ESMA proposes to deal with new categories of commodities related contracts that will become financial instruments under the new MIFID II/R definition (for example, physically settled commodities related derivatives that are traded on an OTF that will fall within the new </w:t>
      </w:r>
      <w:proofErr w:type="gramStart"/>
      <w:r w:rsidRPr="000C0214">
        <w:rPr>
          <w:lang w:val="en-US"/>
        </w:rPr>
        <w:t>C(</w:t>
      </w:r>
      <w:proofErr w:type="gramEnd"/>
      <w:r w:rsidRPr="000C0214">
        <w:rPr>
          <w:lang w:val="en-US"/>
        </w:rPr>
        <w:t xml:space="preserve">6) definition or pursuant to the scope of C(7) category). In this regard, we are concerned that ESMA does not explain how it proposes to obtain a robust dataset for its liquidity assessment of commodities related contracts traded on an MTF or OTF.  In addition to our concerns regarding the underlying dataset for existing financial instruments and obtaining a robust dataset for new categories of financial instruments, we note that liquidity in markets changes over time. </w:t>
      </w:r>
    </w:p>
    <w:p w:rsidR="00A14B5E" w:rsidRDefault="00A14B5E" w:rsidP="0098588B">
      <w:pPr>
        <w:pStyle w:val="ListParagraph"/>
        <w:numPr>
          <w:ilvl w:val="0"/>
          <w:numId w:val="0"/>
        </w:numPr>
        <w:ind w:left="1068"/>
        <w:rPr>
          <w:lang w:val="en-US"/>
        </w:rPr>
      </w:pPr>
    </w:p>
    <w:p w:rsidR="00A14B5E" w:rsidRDefault="00A14B5E" w:rsidP="002777E0">
      <w:pPr>
        <w:pStyle w:val="ListParagraph"/>
        <w:rPr>
          <w:lang w:val="en-US"/>
        </w:rPr>
      </w:pPr>
      <w:r w:rsidRPr="000C0214">
        <w:rPr>
          <w:lang w:val="en-US"/>
        </w:rPr>
        <w:t xml:space="preserve">Given the importance of commodities derivatives in enabling end-users to hedge exposures to underlying risks, it is vital to ensure that the liquidity assessments are appropriately calibrated and the basis on which such assessments have been made are transparent and tested.  </w:t>
      </w:r>
    </w:p>
    <w:p w:rsidR="00A14B5E" w:rsidRDefault="00A14B5E" w:rsidP="002777E0">
      <w:pPr>
        <w:pStyle w:val="ListParagraph"/>
        <w:rPr>
          <w:lang w:val="en-US"/>
        </w:rPr>
      </w:pPr>
      <w:r w:rsidRPr="000C0214">
        <w:rPr>
          <w:lang w:val="en-US"/>
        </w:rPr>
        <w:t xml:space="preserve">In light of the above, we strongly believe that it is necessary for ESMA to conduct a further market assessment of the liquidity of the commodity derivative contracts which </w:t>
      </w:r>
      <w:proofErr w:type="spellStart"/>
      <w:r w:rsidRPr="000C0214">
        <w:rPr>
          <w:lang w:val="en-US"/>
        </w:rPr>
        <w:t>utilises</w:t>
      </w:r>
      <w:proofErr w:type="spellEnd"/>
      <w:r w:rsidRPr="000C0214">
        <w:rPr>
          <w:lang w:val="en-US"/>
        </w:rPr>
        <w:t xml:space="preserve"> an appropriate data set for assessing whether the relevant derivatives which are ‘traded on a trading venue’ (e.g. excluding bespoke OTC transactions) are liquid for the purposes of the MiFID2 transparency regime. Such an assessment should be based on complete data available from the major commodities exchanges (including the major non-EU venues), for trading venue contracts, and the data from trade repositories for the contracts which are currently traded OTC. We note that ESMA has published at the end of February an Addendum to this consultation, which also covers additional commodities derivatives. However, we have similar concerns regarding the data underlying that analysis and note that there are certain products (for example, coal [and iron ore]) which are not addressed in either consultation.</w:t>
      </w:r>
    </w:p>
    <w:p w:rsidR="00A14B5E" w:rsidRDefault="00A14B5E" w:rsidP="0098588B">
      <w:pPr>
        <w:pStyle w:val="ListParagraph"/>
        <w:numPr>
          <w:ilvl w:val="0"/>
          <w:numId w:val="0"/>
        </w:numPr>
        <w:ind w:left="1068"/>
        <w:rPr>
          <w:lang w:val="en-US"/>
        </w:rPr>
      </w:pPr>
    </w:p>
    <w:p w:rsidR="00A14B5E" w:rsidRDefault="00A14B5E" w:rsidP="002777E0">
      <w:pPr>
        <w:pStyle w:val="ListParagraph"/>
        <w:rPr>
          <w:lang w:val="en-US"/>
        </w:rPr>
      </w:pPr>
      <w:r>
        <w:rPr>
          <w:lang w:val="en-US"/>
        </w:rPr>
        <w:t>Ther</w:t>
      </w:r>
      <w:r w:rsidRPr="000C0214">
        <w:rPr>
          <w:lang w:val="en-US"/>
        </w:rPr>
        <w:t>efore, we recommend ESMA conduct an in-depth analysis, similar to the one performed for other asset classes and, to further consult in an appropriate timeframe in relation to the liquidity assessments for commodity derivatives.</w:t>
      </w:r>
    </w:p>
    <w:p w:rsidR="00A14B5E" w:rsidRDefault="00A14B5E" w:rsidP="0098588B">
      <w:pPr>
        <w:pStyle w:val="ListParagraph"/>
        <w:numPr>
          <w:ilvl w:val="0"/>
          <w:numId w:val="0"/>
        </w:numPr>
        <w:ind w:left="1068"/>
        <w:rPr>
          <w:lang w:val="en-US"/>
        </w:rPr>
      </w:pPr>
    </w:p>
    <w:p w:rsidR="00A14B5E" w:rsidRDefault="00A14B5E" w:rsidP="002777E0">
      <w:pPr>
        <w:pStyle w:val="ListParagraph"/>
        <w:rPr>
          <w:lang w:val="en-US"/>
        </w:rPr>
      </w:pPr>
      <w:r w:rsidRPr="000C0214">
        <w:rPr>
          <w:lang w:val="en-US"/>
        </w:rPr>
        <w:t xml:space="preserve">We note that ESMA </w:t>
      </w:r>
      <w:proofErr w:type="spellStart"/>
      <w:r w:rsidRPr="000C0214">
        <w:rPr>
          <w:lang w:val="en-US"/>
        </w:rPr>
        <w:t>favours</w:t>
      </w:r>
      <w:proofErr w:type="spellEnd"/>
      <w:r w:rsidRPr="000C0214">
        <w:rPr>
          <w:lang w:val="en-US"/>
        </w:rPr>
        <w:t xml:space="preserve"> a COFIA approach that may be workable for commodities derivatives. However, we do not support the current ESMA's determination of the relevant sub-classes. In our view, ESMA sub-classes should be set at a more granular level and we include our initial suggestions for agricultural in the illustrative assessment below. </w:t>
      </w:r>
    </w:p>
    <w:p w:rsidR="00A14B5E" w:rsidRDefault="00A14B5E" w:rsidP="0098588B">
      <w:pPr>
        <w:pStyle w:val="ListParagraph"/>
        <w:numPr>
          <w:ilvl w:val="0"/>
          <w:numId w:val="0"/>
        </w:numPr>
        <w:ind w:left="1068"/>
        <w:rPr>
          <w:lang w:val="en-US"/>
        </w:rPr>
      </w:pPr>
    </w:p>
    <w:p w:rsidR="00A14B5E" w:rsidRDefault="00A14B5E" w:rsidP="002777E0">
      <w:pPr>
        <w:pStyle w:val="ListParagraph"/>
        <w:rPr>
          <w:lang w:val="en-US"/>
        </w:rPr>
      </w:pPr>
      <w:r w:rsidRPr="000C0214">
        <w:rPr>
          <w:lang w:val="en-US"/>
        </w:rPr>
        <w:lastRenderedPageBreak/>
        <w:t>In terms of the appropriate parameters, whilst we agree that it is appropriate to use the same parameters and thresholds for each sub-class of agricultural commodity contracts, we believe that the proposed parameters are inappropriate. In particular:</w:t>
      </w:r>
    </w:p>
    <w:p w:rsidR="00A14B5E" w:rsidRDefault="00A14B5E" w:rsidP="0098588B">
      <w:pPr>
        <w:pStyle w:val="ListParagraph"/>
        <w:numPr>
          <w:ilvl w:val="0"/>
          <w:numId w:val="0"/>
        </w:numPr>
        <w:ind w:left="1068"/>
        <w:rPr>
          <w:lang w:val="en-US"/>
        </w:rPr>
      </w:pPr>
    </w:p>
    <w:p w:rsidR="00A14B5E" w:rsidRDefault="00A14B5E" w:rsidP="002777E0">
      <w:pPr>
        <w:pStyle w:val="ListParagraph"/>
        <w:rPr>
          <w:lang w:val="en-US"/>
        </w:rPr>
      </w:pPr>
      <w:r w:rsidRPr="000C0214">
        <w:rPr>
          <w:lang w:val="en-US"/>
        </w:rPr>
        <w:t>The threshold of “ten trades per day” and “€ 500,000 per day” is too low and does not give a true indication of the liquidity of a market.</w:t>
      </w:r>
    </w:p>
    <w:p w:rsidR="00A14B5E" w:rsidRDefault="00A14B5E" w:rsidP="002777E0">
      <w:pPr>
        <w:pStyle w:val="ListParagraph"/>
        <w:rPr>
          <w:lang w:val="en-US"/>
        </w:rPr>
      </w:pPr>
      <w:r w:rsidRPr="000C0214">
        <w:rPr>
          <w:lang w:val="en-US"/>
        </w:rPr>
        <w:t xml:space="preserve">Expression of thresholds by reference to notional amount in </w:t>
      </w:r>
      <w:proofErr w:type="spellStart"/>
      <w:r w:rsidRPr="000C0214">
        <w:rPr>
          <w:lang w:val="en-US"/>
        </w:rPr>
        <w:t>euros</w:t>
      </w:r>
      <w:proofErr w:type="spellEnd"/>
      <w:r w:rsidRPr="000C0214">
        <w:rPr>
          <w:lang w:val="en-US"/>
        </w:rPr>
        <w:t xml:space="preserve"> is not appropriate because agricultural commodity contracts are traded in US dollars. Expressing the thresholds in a currency other than the currency in which the relevant contracts are traded could lead to arbitrary and inconsistent results as contracts become liquid or illiquid based solely on movements in the relevant exchange rate.</w:t>
      </w:r>
    </w:p>
    <w:p w:rsidR="00A14B5E" w:rsidRDefault="00A14B5E" w:rsidP="002777E0">
      <w:pPr>
        <w:pStyle w:val="ListParagraph"/>
        <w:rPr>
          <w:lang w:val="en-US"/>
        </w:rPr>
      </w:pPr>
      <w:r w:rsidRPr="000C0214">
        <w:rPr>
          <w:lang w:val="en-US"/>
        </w:rPr>
        <w:t xml:space="preserve">Irrespective of currency, the more appropriate parameter would be open interest and units of commodities. The open-interest metric would reflect all relevant market factors relating to the trading of the relevant contract (e.g. maturity, volatility, number and size of market participants, thereby ensuring flexibility to prevailing market conditions for the relevant commodity).  </w:t>
      </w:r>
    </w:p>
    <w:p w:rsidR="00A14B5E" w:rsidRDefault="00A14B5E" w:rsidP="002777E0">
      <w:pPr>
        <w:pStyle w:val="ListParagraph"/>
        <w:rPr>
          <w:lang w:val="en-US"/>
        </w:rPr>
      </w:pPr>
      <w:r>
        <w:rPr>
          <w:lang w:val="en-US"/>
        </w:rPr>
        <w:t>T</w:t>
      </w:r>
      <w:r w:rsidRPr="000C0214">
        <w:rPr>
          <w:lang w:val="en-US"/>
        </w:rPr>
        <w:t>he assessment of the liquidity of all commodity derivatives has to appropriately consider the tenor of the contracts as the liquidity of these instruments varies along the curve and, generally, they become more liquid when closer to the expiry date.</w:t>
      </w:r>
    </w:p>
    <w:p w:rsidR="00A14B5E" w:rsidRDefault="00A14B5E" w:rsidP="0098588B">
      <w:pPr>
        <w:pStyle w:val="ListParagraph"/>
        <w:numPr>
          <w:ilvl w:val="0"/>
          <w:numId w:val="0"/>
        </w:numPr>
        <w:ind w:left="1068"/>
        <w:rPr>
          <w:lang w:val="en-US"/>
        </w:rPr>
      </w:pPr>
    </w:p>
    <w:p w:rsidR="00A14B5E" w:rsidRDefault="00A14B5E" w:rsidP="00A14B5E">
      <w:pPr>
        <w:rPr>
          <w:lang w:val="en-US"/>
        </w:rPr>
      </w:pPr>
      <w:r w:rsidRPr="00FB740B">
        <w:rPr>
          <w:lang w:val="en-US"/>
        </w:rPr>
        <w:t>As noted above, we believe that it is imperative that ESMA conducts a full liquidity assessment and makes it liquidity determinations on the basis on a complete set of data from trading venues and trade repositories.</w:t>
      </w:r>
    </w:p>
    <w:p w:rsidR="00A14B5E" w:rsidRPr="00FB740B" w:rsidRDefault="00A14B5E" w:rsidP="00A14B5E">
      <w:pPr>
        <w:rPr>
          <w:lang w:val="en-US"/>
        </w:rPr>
      </w:pPr>
    </w:p>
    <w:p w:rsidR="00A14B5E" w:rsidRDefault="00A14B5E" w:rsidP="002777E0">
      <w:pPr>
        <w:pStyle w:val="ListParagraph"/>
        <w:rPr>
          <w:lang w:val="en-US"/>
        </w:rPr>
      </w:pPr>
      <w:r>
        <w:rPr>
          <w:lang w:val="en-US"/>
        </w:rPr>
        <w:t>SG notes the work undertaken by ISDA in its response to this question in relation to a potential taxonomy for conducting such an assessment.</w:t>
      </w:r>
    </w:p>
    <w:permEnd w:id="77"/>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A14B5E" w:rsidRDefault="00A14B5E" w:rsidP="002777E0">
      <w:pPr>
        <w:pStyle w:val="ListParagraph"/>
        <w:rPr>
          <w:lang w:val="en-US"/>
        </w:rPr>
      </w:pPr>
      <w:permStart w:id="78" w:edGrp="everyone"/>
      <w:r w:rsidRPr="000C0214">
        <w:rPr>
          <w:lang w:val="en-US"/>
        </w:rPr>
        <w:t xml:space="preserve">To assess the liquidity of emission allowances commodity contracts, we understand that ESMA has </w:t>
      </w:r>
      <w:proofErr w:type="spellStart"/>
      <w:r w:rsidRPr="000C0214">
        <w:rPr>
          <w:lang w:val="en-US"/>
        </w:rPr>
        <w:t>analysed</w:t>
      </w:r>
      <w:proofErr w:type="spellEnd"/>
      <w:r w:rsidRPr="000C0214">
        <w:rPr>
          <w:lang w:val="en-US"/>
        </w:rPr>
        <w:t xml:space="preserve"> data collected from three trading venues. We believe, this dataset is too narrow and therefore the assessments do not provide an accurate representation of liquidity in the relevant commodity markets. In our view, in order to present a more accurate reflection of liquidity in the relevant contracts, the analysis must at a minimum include data collected from the major EU trading venues (e.g., ICE Futures Europe) and the major non-EU trading venues (e.g., CME Group). In the absence of disclosure of the details regarding the underlying data sources it has not been possible to test the underlying data. However, we note at a high level that the data presented in the </w:t>
      </w:r>
      <w:r w:rsidRPr="000C0214">
        <w:rPr>
          <w:lang w:val="en-US"/>
        </w:rPr>
        <w:lastRenderedPageBreak/>
        <w:t xml:space="preserve">CP is minimal, that the taxonomy presented is not as detailed as for other products and as a result we have very real concerns regarding the accuracy of this data. </w:t>
      </w:r>
    </w:p>
    <w:p w:rsidR="00A14B5E" w:rsidRDefault="00A14B5E" w:rsidP="0098588B">
      <w:pPr>
        <w:pStyle w:val="ListParagraph"/>
        <w:numPr>
          <w:ilvl w:val="0"/>
          <w:numId w:val="0"/>
        </w:numPr>
        <w:ind w:left="1068"/>
        <w:rPr>
          <w:lang w:val="en-US"/>
        </w:rPr>
      </w:pPr>
      <w:r>
        <w:rPr>
          <w:lang w:val="en-US"/>
        </w:rPr>
        <w:tab/>
      </w:r>
    </w:p>
    <w:p w:rsidR="00A14B5E" w:rsidRDefault="00A14B5E" w:rsidP="002777E0">
      <w:pPr>
        <w:pStyle w:val="ListParagraph"/>
        <w:rPr>
          <w:lang w:val="en-US"/>
        </w:rPr>
      </w:pPr>
      <w:r w:rsidRPr="000C0214">
        <w:rPr>
          <w:lang w:val="en-US"/>
        </w:rPr>
        <w:t xml:space="preserve">We also note that neither the consultation nor the proposed taxonomy explains how ESMA proposes to deal with new categories of commodities related contracts that will become financial instruments under the new MIFID II/R definition (for example, physically settled commodities related derivatives that are traded on an OTF that will fall within the new </w:t>
      </w:r>
      <w:proofErr w:type="gramStart"/>
      <w:r w:rsidRPr="000C0214">
        <w:rPr>
          <w:lang w:val="en-US"/>
        </w:rPr>
        <w:t>C(</w:t>
      </w:r>
      <w:proofErr w:type="gramEnd"/>
      <w:r w:rsidRPr="000C0214">
        <w:rPr>
          <w:lang w:val="en-US"/>
        </w:rPr>
        <w:t xml:space="preserve">6) definition or pursuant to the scope of the C(7) category). In this regard, we are concerned that ESMA does not explain how it proposes to obtain a robust dataset for its liquidity assessment of commodities related contracts traded on an MTF or OTF.  In addition to our concerns regarding the underlying dataset for existing financial instruments and obtaining a robust dataset for new categories of financial instruments, we note that liquidity in markets changes over time. </w:t>
      </w:r>
    </w:p>
    <w:p w:rsidR="00A14B5E" w:rsidRDefault="00A14B5E" w:rsidP="0098588B">
      <w:pPr>
        <w:pStyle w:val="ListParagraph"/>
        <w:numPr>
          <w:ilvl w:val="0"/>
          <w:numId w:val="0"/>
        </w:numPr>
        <w:ind w:left="1068"/>
        <w:rPr>
          <w:lang w:val="en-US"/>
        </w:rPr>
      </w:pPr>
    </w:p>
    <w:p w:rsidR="00A14B5E" w:rsidRDefault="00A14B5E" w:rsidP="002777E0">
      <w:pPr>
        <w:pStyle w:val="ListParagraph"/>
        <w:rPr>
          <w:lang w:val="en-US"/>
        </w:rPr>
      </w:pPr>
      <w:r w:rsidRPr="000C0214">
        <w:rPr>
          <w:lang w:val="en-US"/>
        </w:rPr>
        <w:t xml:space="preserve">Given the importance of commodities derivatives in enabling end-users to hedge exposures to underlying risks, it is vital to ensure that the liquidity assessments are appropriately calibrated and the basis on which such assessments have been made are transparent and tested.  </w:t>
      </w:r>
    </w:p>
    <w:p w:rsidR="00A14B5E" w:rsidRDefault="00A14B5E" w:rsidP="0098588B">
      <w:pPr>
        <w:pStyle w:val="ListParagraph"/>
        <w:numPr>
          <w:ilvl w:val="0"/>
          <w:numId w:val="0"/>
        </w:numPr>
        <w:ind w:left="1068"/>
        <w:rPr>
          <w:lang w:val="en-US"/>
        </w:rPr>
      </w:pPr>
    </w:p>
    <w:p w:rsidR="00A14B5E" w:rsidRDefault="00A14B5E" w:rsidP="0098588B">
      <w:pPr>
        <w:pStyle w:val="ListParagraph"/>
        <w:numPr>
          <w:ilvl w:val="0"/>
          <w:numId w:val="0"/>
        </w:numPr>
        <w:ind w:left="1068"/>
        <w:rPr>
          <w:lang w:val="en-US"/>
        </w:rPr>
      </w:pPr>
    </w:p>
    <w:p w:rsidR="00A14B5E" w:rsidRDefault="00A14B5E" w:rsidP="002777E0">
      <w:pPr>
        <w:pStyle w:val="ListParagraph"/>
        <w:rPr>
          <w:lang w:val="en-US"/>
        </w:rPr>
      </w:pPr>
      <w:r w:rsidRPr="000C0214">
        <w:rPr>
          <w:lang w:val="en-US"/>
        </w:rPr>
        <w:t xml:space="preserve">In light of the above, we strongly believe that it is necessary for ESMA to conduct a further market assessment of the liquidity of the commodity derivative contracts which </w:t>
      </w:r>
      <w:proofErr w:type="spellStart"/>
      <w:r w:rsidRPr="000C0214">
        <w:rPr>
          <w:lang w:val="en-US"/>
        </w:rPr>
        <w:t>utilises</w:t>
      </w:r>
      <w:proofErr w:type="spellEnd"/>
      <w:r w:rsidRPr="000C0214">
        <w:rPr>
          <w:lang w:val="en-US"/>
        </w:rPr>
        <w:t xml:space="preserve"> an appropriate data set for assessing whether the relevant derivatives which are ‘traded on a trading venue’ (e.g. excluding bespoke OTC transactions) are liquid for the purposes of the MiFID2 transparency regime. Such an assessment should be based on complete data available from the major commodities exchanges (including the major non-EU venues), for trading venue contracts, and the data from trade repositories for the contracts which are currently traded OTC. </w:t>
      </w:r>
    </w:p>
    <w:p w:rsidR="00A14B5E" w:rsidRDefault="00A14B5E" w:rsidP="0098588B">
      <w:pPr>
        <w:pStyle w:val="ListParagraph"/>
        <w:numPr>
          <w:ilvl w:val="0"/>
          <w:numId w:val="0"/>
        </w:numPr>
        <w:ind w:left="1068"/>
        <w:rPr>
          <w:lang w:val="en-US"/>
        </w:rPr>
      </w:pPr>
    </w:p>
    <w:p w:rsidR="00A14B5E" w:rsidRDefault="00A14B5E" w:rsidP="002777E0">
      <w:pPr>
        <w:pStyle w:val="ListParagraph"/>
        <w:rPr>
          <w:lang w:val="en-US"/>
        </w:rPr>
      </w:pPr>
      <w:r w:rsidRPr="000C0214">
        <w:rPr>
          <w:lang w:val="en-US"/>
        </w:rPr>
        <w:t>We note that ESMA has published at the end of February an Addendum to this consultation, which also covers additional commodities derivatives. However, we have similar concerns regarding the data underlying that analysis and note that there are certain products (for example, coal [and iron ore]) which are not addressed in either consultation.</w:t>
      </w:r>
    </w:p>
    <w:p w:rsidR="00A14B5E" w:rsidRDefault="00A14B5E" w:rsidP="0098588B">
      <w:pPr>
        <w:pStyle w:val="ListParagraph"/>
        <w:numPr>
          <w:ilvl w:val="0"/>
          <w:numId w:val="0"/>
        </w:numPr>
        <w:ind w:left="1068"/>
        <w:rPr>
          <w:lang w:val="en-US"/>
        </w:rPr>
      </w:pPr>
    </w:p>
    <w:p w:rsidR="00A14B5E" w:rsidRDefault="00A14B5E" w:rsidP="002777E0">
      <w:pPr>
        <w:pStyle w:val="ListParagraph"/>
        <w:rPr>
          <w:lang w:val="en-US"/>
        </w:rPr>
      </w:pPr>
      <w:r w:rsidRPr="000C0214">
        <w:rPr>
          <w:lang w:val="en-US"/>
        </w:rPr>
        <w:t>Therefore, we recommend ESMA conduct an in-depth analysis, similar to the one performed for other asset classes and, to further consult in an appropriate timeframe in relation to the liquidity assessments for commodity derivatives.</w:t>
      </w:r>
    </w:p>
    <w:p w:rsidR="00A14B5E" w:rsidRDefault="00A14B5E" w:rsidP="0098588B">
      <w:pPr>
        <w:pStyle w:val="ListParagraph"/>
        <w:numPr>
          <w:ilvl w:val="0"/>
          <w:numId w:val="0"/>
        </w:numPr>
        <w:ind w:left="1068"/>
        <w:rPr>
          <w:lang w:val="en-US"/>
        </w:rPr>
      </w:pPr>
    </w:p>
    <w:p w:rsidR="00A14B5E" w:rsidRDefault="00A14B5E" w:rsidP="002777E0">
      <w:pPr>
        <w:pStyle w:val="ListParagraph"/>
        <w:rPr>
          <w:lang w:val="en-US"/>
        </w:rPr>
      </w:pPr>
      <w:r w:rsidRPr="000C0214">
        <w:rPr>
          <w:lang w:val="en-US"/>
        </w:rPr>
        <w:t xml:space="preserve">We note that ESMA </w:t>
      </w:r>
      <w:proofErr w:type="spellStart"/>
      <w:r w:rsidRPr="000C0214">
        <w:rPr>
          <w:lang w:val="en-US"/>
        </w:rPr>
        <w:t>favours</w:t>
      </w:r>
      <w:proofErr w:type="spellEnd"/>
      <w:r w:rsidRPr="000C0214">
        <w:rPr>
          <w:lang w:val="en-US"/>
        </w:rPr>
        <w:t xml:space="preserve"> a COFIA approach that may be workable for commodities derivatives. However, we do not support the current ESMA's determination of the relevant sub-classes. In our view, ESMA sub-classes should be set at a more granular level.</w:t>
      </w:r>
    </w:p>
    <w:p w:rsidR="00A14B5E" w:rsidRDefault="00A14B5E" w:rsidP="0098588B">
      <w:pPr>
        <w:pStyle w:val="ListParagraph"/>
        <w:numPr>
          <w:ilvl w:val="0"/>
          <w:numId w:val="0"/>
        </w:numPr>
        <w:ind w:left="1068"/>
        <w:rPr>
          <w:lang w:val="en-US"/>
        </w:rPr>
      </w:pPr>
    </w:p>
    <w:p w:rsidR="00A14B5E" w:rsidRPr="00A14B5E" w:rsidRDefault="00A14B5E" w:rsidP="00A14B5E">
      <w:pPr>
        <w:rPr>
          <w:lang w:val="en-US"/>
        </w:rPr>
      </w:pPr>
      <w:r w:rsidRPr="00A14B5E">
        <w:rPr>
          <w:lang w:val="en-US"/>
        </w:rPr>
        <w:t>In terms of the appropriate parameters, whilst we agree that it is appropriate to use the same parameters and thresholds for each sub-class of emission allowances, we believe that the proposed parameters are inappropriate. In particular the threshold of “five trades per day” and “150,000 tons of carbon dioxide per day” is too low and does not give a true i</w:t>
      </w:r>
      <w:r w:rsidR="0098588B">
        <w:rPr>
          <w:lang w:val="en-US"/>
        </w:rPr>
        <w:t xml:space="preserve">ndication of the liquidity of a </w:t>
      </w:r>
      <w:r w:rsidRPr="00A14B5E">
        <w:rPr>
          <w:lang w:val="en-US"/>
        </w:rPr>
        <w:t>market.</w:t>
      </w:r>
    </w:p>
    <w:p w:rsidR="00A14B5E" w:rsidRDefault="00A14B5E" w:rsidP="0098588B">
      <w:pPr>
        <w:pStyle w:val="ListParagraph"/>
        <w:numPr>
          <w:ilvl w:val="0"/>
          <w:numId w:val="0"/>
        </w:numPr>
        <w:ind w:left="1068"/>
        <w:rPr>
          <w:lang w:val="en-US"/>
        </w:rPr>
      </w:pPr>
    </w:p>
    <w:p w:rsidR="00A14B5E" w:rsidRDefault="00A14B5E" w:rsidP="002777E0">
      <w:pPr>
        <w:pStyle w:val="ListParagraph"/>
        <w:rPr>
          <w:lang w:val="en-US"/>
        </w:rPr>
      </w:pPr>
      <w:r w:rsidRPr="000C0214">
        <w:rPr>
          <w:lang w:val="en-US"/>
        </w:rPr>
        <w:lastRenderedPageBreak/>
        <w:t>The assessment of the liquidity of all commodity derivatives has to appropriately consider the tenor of the contracts as the liquidity of these instruments varies along the curve and, generally, they become more liquid when closer to the expiry date.</w:t>
      </w:r>
    </w:p>
    <w:p w:rsidR="00A14B5E" w:rsidRDefault="00A14B5E" w:rsidP="00A14B5E">
      <w:pPr>
        <w:rPr>
          <w:lang w:val="en-US"/>
        </w:rPr>
      </w:pPr>
    </w:p>
    <w:p w:rsidR="00A14B5E" w:rsidRDefault="00A14B5E" w:rsidP="002777E0">
      <w:pPr>
        <w:pStyle w:val="ListParagraph"/>
        <w:rPr>
          <w:lang w:val="en-US"/>
        </w:rPr>
      </w:pPr>
      <w:r w:rsidRPr="000C0214">
        <w:rPr>
          <w:lang w:val="en-US"/>
        </w:rPr>
        <w:t xml:space="preserve">Due to the limited due to the very limited availability of publicly available data on Emission Allowances (which are financial instruments), we </w:t>
      </w:r>
      <w:r>
        <w:rPr>
          <w:lang w:val="en-US"/>
        </w:rPr>
        <w:t xml:space="preserve">understand ISDA </w:t>
      </w:r>
      <w:r w:rsidRPr="000C0214">
        <w:rPr>
          <w:lang w:val="en-US"/>
        </w:rPr>
        <w:t xml:space="preserve">have not been able to provide an illustrative assessment for this category.  However, we </w:t>
      </w:r>
      <w:r>
        <w:rPr>
          <w:lang w:val="en-US"/>
        </w:rPr>
        <w:t xml:space="preserve">understand ISDA have offered </w:t>
      </w:r>
      <w:r w:rsidRPr="000C0214">
        <w:rPr>
          <w:lang w:val="en-US"/>
        </w:rPr>
        <w:t xml:space="preserve">to continue the discussion on this sub-class with ESMA </w:t>
      </w:r>
      <w:r>
        <w:rPr>
          <w:lang w:val="en-US"/>
        </w:rPr>
        <w:t>and we commend the involvement of ISDA to ESMA.</w:t>
      </w:r>
    </w:p>
    <w:permEnd w:id="78"/>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164B97" w:rsidRDefault="00164B97" w:rsidP="00164B97">
      <w:pPr>
        <w:rPr>
          <w:lang w:val="en-US"/>
        </w:rPr>
      </w:pPr>
      <w:permStart w:id="79" w:edGrp="everyone"/>
      <w:r>
        <w:rPr>
          <w:lang w:val="en-US"/>
        </w:rPr>
        <w:t>SG agrees with the addition of the exclusivity feature within the definition of the RFQ approach, which recognizes the fundamental nature of the relationship between the parties when executing using this market model.</w:t>
      </w:r>
    </w:p>
    <w:p w:rsidR="00164B97" w:rsidRDefault="00164B97" w:rsidP="00164B97">
      <w:pPr>
        <w:rPr>
          <w:lang w:val="en-US"/>
        </w:rPr>
      </w:pPr>
    </w:p>
    <w:p w:rsidR="00164B97" w:rsidRDefault="00164B97" w:rsidP="00164B97">
      <w:pPr>
        <w:rPr>
          <w:lang w:val="en-US"/>
        </w:rPr>
      </w:pPr>
      <w:r>
        <w:rPr>
          <w:lang w:val="en-US"/>
        </w:rPr>
        <w:t xml:space="preserve">SG does not, however, agree with the replacement of the word “provided” (in the may 2014 definition) with “published”.  This does not reflect the nature of an RFQ trading protocol and is a material departure from market practice.  SG believes this is inconsistent with the mandate provided by level 1, namely (per recital 14 of </w:t>
      </w:r>
      <w:proofErr w:type="spellStart"/>
      <w:r>
        <w:rPr>
          <w:lang w:val="en-US"/>
        </w:rPr>
        <w:t>MiFIR</w:t>
      </w:r>
      <w:proofErr w:type="spellEnd"/>
      <w:r>
        <w:rPr>
          <w:lang w:val="en-US"/>
        </w:rPr>
        <w:t>) that ESMA should develop:</w:t>
      </w:r>
    </w:p>
    <w:p w:rsidR="00164B97" w:rsidRDefault="00164B97" w:rsidP="00164B97">
      <w:pPr>
        <w:rPr>
          <w:lang w:val="en-US"/>
        </w:rPr>
      </w:pPr>
    </w:p>
    <w:p w:rsidR="00164B97" w:rsidRDefault="00164B97" w:rsidP="002777E0">
      <w:pPr>
        <w:pStyle w:val="ListParagraph"/>
        <w:rPr>
          <w:lang w:val="en-US"/>
        </w:rPr>
      </w:pPr>
      <w:r w:rsidRPr="00D24FDA">
        <w:rPr>
          <w:lang w:val="en-US"/>
        </w:rPr>
        <w:t>“</w:t>
      </w:r>
      <w:proofErr w:type="gramStart"/>
      <w:r w:rsidRPr="00D24FDA">
        <w:rPr>
          <w:lang w:val="en-US"/>
        </w:rPr>
        <w:t>timely</w:t>
      </w:r>
      <w:proofErr w:type="gramEnd"/>
      <w:r w:rsidRPr="00D24FDA">
        <w:rPr>
          <w:lang w:val="en-US"/>
        </w:rPr>
        <w:t xml:space="preserve"> pre-trade and post-trade transparency requirements taking into account the different characteristics and market structures of specific types of financial instruments other than shares should thus be introduced and calibrated for different types of trading systems…</w:t>
      </w:r>
      <w:r>
        <w:rPr>
          <w:lang w:val="en-US"/>
        </w:rPr>
        <w:t>”</w:t>
      </w:r>
    </w:p>
    <w:p w:rsidR="00164B97" w:rsidRDefault="00164B97" w:rsidP="00164B97">
      <w:pPr>
        <w:rPr>
          <w:lang w:val="en-US"/>
        </w:rPr>
      </w:pPr>
    </w:p>
    <w:p w:rsidR="00164B97" w:rsidRDefault="00164B97" w:rsidP="00164B97">
      <w:pPr>
        <w:rPr>
          <w:lang w:val="en-US"/>
        </w:rPr>
      </w:pPr>
      <w:r>
        <w:rPr>
          <w:lang w:val="en-US"/>
        </w:rPr>
        <w:t>SG believes the intention of the level 1 text is clear, in that ESMA should calibrate pre- and post-trade transparency requirements suitable for the types of trading systems, not to redefine how a type of trading system operates through the application of pre- and post-trade transparency requirements.</w:t>
      </w:r>
    </w:p>
    <w:p w:rsidR="00164B97" w:rsidRDefault="00164B97" w:rsidP="00164B97">
      <w:pPr>
        <w:rPr>
          <w:lang w:val="en-US"/>
        </w:rPr>
      </w:pPr>
    </w:p>
    <w:p w:rsidR="00164B97" w:rsidRDefault="00164B97" w:rsidP="002777E0">
      <w:pPr>
        <w:pStyle w:val="ListParagraph"/>
        <w:rPr>
          <w:lang w:val="en-US"/>
        </w:rPr>
      </w:pPr>
      <w:r>
        <w:rPr>
          <w:lang w:val="en-US"/>
        </w:rPr>
        <w:t xml:space="preserve">With regard to the pre-trade transparency requirements for RFQ systems, SG has fundamental concerns that </w:t>
      </w:r>
      <w:r w:rsidRPr="00BB6C54">
        <w:rPr>
          <w:lang w:val="en-US"/>
        </w:rPr>
        <w:t xml:space="preserve">if a workable RFQ system is not permissible under the new </w:t>
      </w:r>
      <w:proofErr w:type="spellStart"/>
      <w:r w:rsidRPr="00BB6C54">
        <w:rPr>
          <w:lang w:val="en-US"/>
        </w:rPr>
        <w:t>MiFID</w:t>
      </w:r>
      <w:proofErr w:type="spellEnd"/>
      <w:r w:rsidRPr="00BB6C54">
        <w:rPr>
          <w:lang w:val="en-US"/>
        </w:rPr>
        <w:t xml:space="preserve"> regime, there would be no means for trades to be executed – i.e. </w:t>
      </w:r>
      <w:r>
        <w:rPr>
          <w:lang w:val="en-US"/>
        </w:rPr>
        <w:t xml:space="preserve">due to the nature of liquidity in these markets, </w:t>
      </w:r>
      <w:r w:rsidRPr="00BB6C54">
        <w:rPr>
          <w:lang w:val="en-US"/>
        </w:rPr>
        <w:t xml:space="preserve">there would be no other trading protocols that could absorb the trade flow.  Therefore, it is critical to ensure well-functioning RFQ trading systems under new </w:t>
      </w:r>
      <w:proofErr w:type="spellStart"/>
      <w:r w:rsidRPr="00BB6C54">
        <w:rPr>
          <w:lang w:val="en-US"/>
        </w:rPr>
        <w:t>MiFID</w:t>
      </w:r>
      <w:proofErr w:type="spellEnd"/>
      <w:r w:rsidRPr="00BB6C54">
        <w:rPr>
          <w:lang w:val="en-US"/>
        </w:rPr>
        <w:t xml:space="preserve"> framework with a pre-trade regime.</w:t>
      </w:r>
    </w:p>
    <w:p w:rsidR="00164B97" w:rsidRDefault="00164B97" w:rsidP="002777E0">
      <w:pPr>
        <w:pStyle w:val="ListParagraph"/>
        <w:rPr>
          <w:lang w:val="en-US"/>
        </w:rPr>
      </w:pPr>
      <w:r>
        <w:rPr>
          <w:lang w:val="en-US"/>
        </w:rPr>
        <w:t>F</w:t>
      </w:r>
      <w:r w:rsidRPr="00BB6C54">
        <w:rPr>
          <w:lang w:val="en-US"/>
        </w:rPr>
        <w:t xml:space="preserve">or RFQ systems, making the “bids and offers and attaching volumes submitted by each responding entity” pre trade transparent may have serious counter-productive effects.  The requirements are disproportionately onerous and do not provide the relevant transparency.  </w:t>
      </w:r>
    </w:p>
    <w:p w:rsidR="00164B97" w:rsidRDefault="00164B97" w:rsidP="002777E0">
      <w:pPr>
        <w:pStyle w:val="ListParagraph"/>
        <w:rPr>
          <w:lang w:val="en-US"/>
        </w:rPr>
      </w:pPr>
      <w:r w:rsidRPr="00BB6C54">
        <w:rPr>
          <w:lang w:val="en-US"/>
        </w:rPr>
        <w:t xml:space="preserve">As at today, the answers provided to a request-for-quote are only known to the entity which submitted the request.  </w:t>
      </w:r>
    </w:p>
    <w:p w:rsidR="00164B97" w:rsidRDefault="00164B97" w:rsidP="002777E0">
      <w:pPr>
        <w:pStyle w:val="ListParagraph"/>
        <w:rPr>
          <w:lang w:val="en-US"/>
        </w:rPr>
      </w:pPr>
      <w:r w:rsidRPr="00BB6C54">
        <w:rPr>
          <w:lang w:val="en-US"/>
        </w:rPr>
        <w:t xml:space="preserve">The entities answering to the RFQ do not see the prices provided by the other responding entities and, more importantly, third parties.  </w:t>
      </w:r>
    </w:p>
    <w:p w:rsidR="00164B97" w:rsidRDefault="00164B97" w:rsidP="002777E0">
      <w:pPr>
        <w:pStyle w:val="ListParagraph"/>
        <w:rPr>
          <w:lang w:val="en-US"/>
        </w:rPr>
      </w:pPr>
      <w:r w:rsidRPr="00BB6C54">
        <w:rPr>
          <w:lang w:val="en-US"/>
        </w:rPr>
        <w:lastRenderedPageBreak/>
        <w:t xml:space="preserve">This asymmetry of information is justified by the fact that the responding entities take on risk that would be increased, with no benefit for both parties, if the bids and offers were made publicly known.  </w:t>
      </w:r>
    </w:p>
    <w:p w:rsidR="00164B97" w:rsidRDefault="00164B97" w:rsidP="002777E0">
      <w:pPr>
        <w:pStyle w:val="ListParagraph"/>
        <w:rPr>
          <w:lang w:val="en-US"/>
        </w:rPr>
      </w:pPr>
      <w:r w:rsidRPr="00BB6C54">
        <w:rPr>
          <w:lang w:val="en-US"/>
        </w:rPr>
        <w:t xml:space="preserve">Such sealed auctions take place in many business sectors and are important to ensure integrity of the systems and does not adversely impact pricing.  </w:t>
      </w:r>
    </w:p>
    <w:p w:rsidR="00164B97" w:rsidRDefault="00164B97" w:rsidP="002777E0">
      <w:pPr>
        <w:pStyle w:val="ListParagraph"/>
        <w:rPr>
          <w:lang w:val="en-US"/>
        </w:rPr>
      </w:pPr>
      <w:r w:rsidRPr="00BB6C54">
        <w:rPr>
          <w:lang w:val="en-US"/>
        </w:rPr>
        <w:t>It is essential that market makers on venue operating an RFQ protocol are not required to disclose pre trade prices to other market m</w:t>
      </w:r>
      <w:r>
        <w:rPr>
          <w:lang w:val="en-US"/>
        </w:rPr>
        <w:t>akers (i.e. other price makers)</w:t>
      </w:r>
    </w:p>
    <w:p w:rsidR="00164B97" w:rsidRDefault="00164B97" w:rsidP="0098588B">
      <w:pPr>
        <w:pStyle w:val="ListParagraph"/>
        <w:numPr>
          <w:ilvl w:val="0"/>
          <w:numId w:val="0"/>
        </w:numPr>
        <w:ind w:left="1068"/>
        <w:rPr>
          <w:lang w:val="en-US"/>
        </w:rPr>
      </w:pPr>
    </w:p>
    <w:p w:rsidR="00164B97" w:rsidRDefault="00164B97" w:rsidP="002777E0">
      <w:pPr>
        <w:pStyle w:val="ListParagraph"/>
        <w:rPr>
          <w:lang w:val="en-US"/>
        </w:rPr>
      </w:pPr>
      <w:r>
        <w:rPr>
          <w:lang w:val="en-US"/>
        </w:rPr>
        <w:t>SG supports the recommendations of AFME in terms of a workable pre-trade transparency regime for RFQ systems that better balances ESMA’s objective to increase pre-trade transparency and the requirements of a well functioning RFQ market place.</w:t>
      </w:r>
    </w:p>
    <w:p w:rsidR="00164B97" w:rsidRDefault="00164B97" w:rsidP="00164B97">
      <w:pPr>
        <w:rPr>
          <w:lang w:val="en-US"/>
        </w:rPr>
      </w:pPr>
    </w:p>
    <w:p w:rsidR="00164B97" w:rsidRDefault="00164B97" w:rsidP="00164B97">
      <w:pPr>
        <w:rPr>
          <w:lang w:val="en-US"/>
        </w:rPr>
      </w:pPr>
    </w:p>
    <w:p w:rsidR="00164B97" w:rsidRDefault="00164B97" w:rsidP="00164B97">
      <w:pPr>
        <w:rPr>
          <w:lang w:val="en-US"/>
        </w:rPr>
      </w:pPr>
      <w:r>
        <w:rPr>
          <w:lang w:val="en-US"/>
        </w:rPr>
        <w:t>SG agrees with the definition of voice trading systems.</w:t>
      </w:r>
    </w:p>
    <w:p w:rsidR="00164B97" w:rsidRPr="00EF07EA" w:rsidRDefault="00164B97" w:rsidP="00164B97">
      <w:pPr>
        <w:rPr>
          <w:lang w:val="en-US"/>
        </w:rPr>
      </w:pPr>
    </w:p>
    <w:p w:rsidR="00164B97" w:rsidRDefault="00164B97" w:rsidP="002777E0">
      <w:pPr>
        <w:pStyle w:val="ListParagraph"/>
        <w:rPr>
          <w:lang w:val="en-US"/>
        </w:rPr>
      </w:pPr>
      <w:r w:rsidRPr="00091F89">
        <w:rPr>
          <w:lang w:val="en-US"/>
        </w:rPr>
        <w:t>Based on the current definition</w:t>
      </w:r>
      <w:r>
        <w:rPr>
          <w:lang w:val="en-US"/>
        </w:rPr>
        <w:t xml:space="preserve"> in MiFID1 of “quote-driven trading system”, this </w:t>
      </w:r>
      <w:r w:rsidRPr="00091F89">
        <w:rPr>
          <w:lang w:val="en-US"/>
        </w:rPr>
        <w:t>not useable</w:t>
      </w:r>
      <w:r>
        <w:rPr>
          <w:lang w:val="en-US"/>
        </w:rPr>
        <w:t xml:space="preserve"> for fixed income because </w:t>
      </w:r>
      <w:r w:rsidRPr="00091F89">
        <w:rPr>
          <w:lang w:val="en-US"/>
        </w:rPr>
        <w:t>the nature of liquidity in these markets,</w:t>
      </w:r>
      <w:r>
        <w:rPr>
          <w:lang w:val="en-US"/>
        </w:rPr>
        <w:t xml:space="preserve"> means that</w:t>
      </w:r>
      <w:r w:rsidRPr="00091F89">
        <w:rPr>
          <w:lang w:val="en-US"/>
        </w:rPr>
        <w:t xml:space="preserve"> quotes cannot be maintained on a continuous basis.  For fixed income, a useable quote driven system would be one where market makers could provide prices on a sporadic basis rather than maintain prices.  </w:t>
      </w:r>
    </w:p>
    <w:p w:rsidR="00164B97" w:rsidRDefault="00164B97" w:rsidP="0098588B">
      <w:pPr>
        <w:pStyle w:val="ListParagraph"/>
        <w:numPr>
          <w:ilvl w:val="0"/>
          <w:numId w:val="0"/>
        </w:numPr>
        <w:ind w:left="1068"/>
        <w:rPr>
          <w:lang w:val="en-US"/>
        </w:rPr>
      </w:pPr>
    </w:p>
    <w:p w:rsidR="00164B97" w:rsidRDefault="00164B97" w:rsidP="002777E0">
      <w:pPr>
        <w:pStyle w:val="ListParagraph"/>
        <w:rPr>
          <w:lang w:val="en-US"/>
        </w:rPr>
      </w:pPr>
      <w:r>
        <w:rPr>
          <w:lang w:val="en-US"/>
        </w:rPr>
        <w:t>Therefore, SG</w:t>
      </w:r>
      <w:r w:rsidRPr="00091F89">
        <w:rPr>
          <w:lang w:val="en-US"/>
        </w:rPr>
        <w:t xml:space="preserve"> suggest the definition of quote-driven trading system to be:</w:t>
      </w:r>
    </w:p>
    <w:p w:rsidR="00164B97" w:rsidRPr="00091F89" w:rsidRDefault="00164B97" w:rsidP="0098588B">
      <w:pPr>
        <w:pStyle w:val="ListParagraph"/>
        <w:numPr>
          <w:ilvl w:val="0"/>
          <w:numId w:val="0"/>
        </w:numPr>
        <w:ind w:left="1068"/>
        <w:rPr>
          <w:lang w:val="en-US"/>
        </w:rPr>
      </w:pPr>
    </w:p>
    <w:p w:rsidR="00164B97" w:rsidRDefault="00164B97" w:rsidP="00164B97">
      <w:pPr>
        <w:ind w:left="360" w:hanging="360"/>
        <w:rPr>
          <w:lang w:val="en-US"/>
        </w:rPr>
      </w:pPr>
      <w:proofErr w:type="gramStart"/>
      <w:r w:rsidRPr="00164B97">
        <w:rPr>
          <w:lang w:val="en-US"/>
        </w:rPr>
        <w:t>“A system where transactions are concluded on a basis of firm quotes that are made available to participants”.</w:t>
      </w:r>
      <w:proofErr w:type="gramEnd"/>
    </w:p>
    <w:p w:rsidR="00164B97" w:rsidRDefault="00164B97" w:rsidP="00164B97">
      <w:pPr>
        <w:ind w:left="360" w:hanging="360"/>
        <w:rPr>
          <w:lang w:val="en-US"/>
        </w:rPr>
      </w:pPr>
    </w:p>
    <w:p w:rsidR="00164B97" w:rsidRDefault="00164B97" w:rsidP="00164B97">
      <w:pPr>
        <w:rPr>
          <w:lang w:val="en-US"/>
        </w:rPr>
      </w:pPr>
      <w:r>
        <w:rPr>
          <w:lang w:val="en-US"/>
        </w:rPr>
        <w:t>SG also notes that no accommodation has been made for package transactions, which represent a significant proportion of market activity.  Having seen the difficulties encountered by the CFTC through the implementation of the Dodd-Frank act, and noting the unavailability of “No Action Letters” within the European Regulatory regime, SG</w:t>
      </w:r>
      <w:r w:rsidRPr="009B3025">
        <w:rPr>
          <w:lang w:val="en-US"/>
        </w:rPr>
        <w:t xml:space="preserve"> would like to propose that ESMA considers specific and tailored treatment for package</w:t>
      </w:r>
    </w:p>
    <w:p w:rsidR="00164B97" w:rsidRDefault="00164B97" w:rsidP="00164B97">
      <w:pPr>
        <w:rPr>
          <w:lang w:val="en-US"/>
        </w:rPr>
      </w:pPr>
    </w:p>
    <w:p w:rsidR="00164B97" w:rsidRPr="009B3025" w:rsidRDefault="00164B97" w:rsidP="002777E0">
      <w:pPr>
        <w:pStyle w:val="ListParagraph"/>
        <w:rPr>
          <w:lang w:val="en-US"/>
        </w:rPr>
      </w:pPr>
      <w:r>
        <w:rPr>
          <w:lang w:val="en-US"/>
        </w:rPr>
        <w:t>SG notes that, i</w:t>
      </w:r>
      <w:r w:rsidRPr="009B3025">
        <w:rPr>
          <w:lang w:val="en-US"/>
        </w:rPr>
        <w:t xml:space="preserve">n response to ESMA’s May 2014 Discussion Paper, ISDA included a number of detailed comments on the nature of package transactions </w:t>
      </w:r>
      <w:r>
        <w:rPr>
          <w:lang w:val="en-US"/>
        </w:rPr>
        <w:t xml:space="preserve">to </w:t>
      </w:r>
      <w:r w:rsidRPr="009B3025">
        <w:rPr>
          <w:lang w:val="en-US"/>
        </w:rPr>
        <w:t xml:space="preserve">which we </w:t>
      </w:r>
      <w:r>
        <w:rPr>
          <w:lang w:val="en-US"/>
        </w:rPr>
        <w:t xml:space="preserve">would like to </w:t>
      </w:r>
      <w:r w:rsidRPr="009B3025">
        <w:rPr>
          <w:lang w:val="en-US"/>
        </w:rPr>
        <w:t>dra</w:t>
      </w:r>
      <w:r>
        <w:rPr>
          <w:lang w:val="en-US"/>
        </w:rPr>
        <w:t>w ESMA’s attention</w:t>
      </w:r>
      <w:r w:rsidRPr="009B3025">
        <w:rPr>
          <w:lang w:val="en-US"/>
        </w:rPr>
        <w:t>. We reiterate the points made in that response and</w:t>
      </w:r>
      <w:r>
        <w:rPr>
          <w:lang w:val="en-US"/>
        </w:rPr>
        <w:t xml:space="preserve"> support the proposal</w:t>
      </w:r>
      <w:r w:rsidRPr="009B3025">
        <w:rPr>
          <w:lang w:val="en-US"/>
        </w:rPr>
        <w:t xml:space="preserve"> put forward </w:t>
      </w:r>
      <w:r>
        <w:rPr>
          <w:lang w:val="en-US"/>
        </w:rPr>
        <w:t>by ISDA in its response to this CP.</w:t>
      </w:r>
    </w:p>
    <w:permEnd w:id="79"/>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164B97" w:rsidRDefault="00164B97" w:rsidP="002777E0">
      <w:pPr>
        <w:pStyle w:val="ListParagraph"/>
        <w:rPr>
          <w:lang w:val="en-US"/>
        </w:rPr>
      </w:pPr>
      <w:permStart w:id="80" w:edGrp="everyone"/>
      <w:r>
        <w:rPr>
          <w:lang w:val="en-US"/>
        </w:rPr>
        <w:t>SG is in agreement with this proposal</w:t>
      </w:r>
    </w:p>
    <w:permEnd w:id="80"/>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lastRenderedPageBreak/>
        <w:t>&lt;ESMA_QUESTION_CP_MIFID_72&gt;</w:t>
      </w:r>
    </w:p>
    <w:p w:rsidR="00164B97" w:rsidRDefault="00164B97" w:rsidP="00164B97">
      <w:pPr>
        <w:rPr>
          <w:lang w:val="en-US"/>
        </w:rPr>
      </w:pPr>
      <w:permStart w:id="81" w:edGrp="everyone"/>
      <w:r>
        <w:rPr>
          <w:lang w:val="en-US"/>
        </w:rPr>
        <w:t>SG</w:t>
      </w:r>
      <w:r w:rsidRPr="00237E22">
        <w:rPr>
          <w:lang w:val="en-US"/>
        </w:rPr>
        <w:t xml:space="preserve"> supports ESMA’s recommendation that market operators should be responsible for determining the methodology for calculating the indicative price which is close to the price of the trading interest and that a clear and comprehensive description of the methodology should be disclosed by market operators to the public beforehand. In our view, EU trading venues should be encouraged to compete in as many aspects of their business as possible and clear and comprehensive disclosure will allow market participants to compare different methodologies adopted by market operators.</w:t>
      </w:r>
    </w:p>
    <w:p w:rsidR="00164B97" w:rsidRDefault="00164B97" w:rsidP="00164B97">
      <w:pPr>
        <w:rPr>
          <w:lang w:val="en-US"/>
        </w:rPr>
      </w:pPr>
    </w:p>
    <w:p w:rsidR="00164B97" w:rsidRPr="00EF07EA" w:rsidDel="008E19CE" w:rsidRDefault="00164B97" w:rsidP="00164B97">
      <w:pPr>
        <w:rPr>
          <w:lang w:val="en-US"/>
        </w:rPr>
      </w:pPr>
      <w:r w:rsidRPr="00EF07EA" w:rsidDel="008E19CE">
        <w:rPr>
          <w:lang w:val="en-US"/>
        </w:rPr>
        <w:t>Pre and post trade transparency SSTI need to be different – there are different risks</w:t>
      </w:r>
    </w:p>
    <w:p w:rsidR="00164B97" w:rsidRPr="00EF07EA" w:rsidDel="008E19CE" w:rsidRDefault="00164B97" w:rsidP="002777E0">
      <w:pPr>
        <w:pStyle w:val="ListParagraph"/>
        <w:rPr>
          <w:lang w:val="en-US"/>
        </w:rPr>
      </w:pPr>
      <w:r w:rsidRPr="00EF07EA" w:rsidDel="008E19CE">
        <w:rPr>
          <w:lang w:val="en-US"/>
        </w:rPr>
        <w:t>Risks for pre trade are greater that post trade</w:t>
      </w:r>
    </w:p>
    <w:p w:rsidR="00164B97" w:rsidDel="008E19CE" w:rsidRDefault="00164B97" w:rsidP="00164B97">
      <w:pPr>
        <w:rPr>
          <w:lang w:val="en-US"/>
        </w:rPr>
      </w:pPr>
    </w:p>
    <w:p w:rsidR="00164B97" w:rsidRPr="00EF07EA" w:rsidDel="008E19CE" w:rsidRDefault="00164B97" w:rsidP="00164B97">
      <w:pPr>
        <w:rPr>
          <w:lang w:val="en-US"/>
        </w:rPr>
      </w:pPr>
      <w:r w:rsidRPr="00EF07EA" w:rsidDel="008E19CE">
        <w:rPr>
          <w:lang w:val="en-US"/>
        </w:rPr>
        <w:t>No rationale has been provided for the numbers proposed</w:t>
      </w:r>
    </w:p>
    <w:p w:rsidR="00164B97" w:rsidDel="008E19CE" w:rsidRDefault="00164B97" w:rsidP="00164B97">
      <w:pPr>
        <w:rPr>
          <w:lang w:val="en-US"/>
        </w:rPr>
      </w:pPr>
    </w:p>
    <w:p w:rsidR="00164B97" w:rsidRPr="00EF07EA" w:rsidDel="008E19CE" w:rsidRDefault="00164B97" w:rsidP="002777E0">
      <w:pPr>
        <w:pStyle w:val="ListParagraph"/>
        <w:rPr>
          <w:lang w:val="en-US"/>
        </w:rPr>
      </w:pPr>
      <w:r w:rsidRPr="00EF07EA" w:rsidDel="008E19CE">
        <w:rPr>
          <w:lang w:val="en-US"/>
        </w:rPr>
        <w:t>SSTI is too high for pre trade</w:t>
      </w:r>
      <w:r>
        <w:rPr>
          <w:lang w:val="en-US"/>
        </w:rPr>
        <w:t xml:space="preserve"> given that if the SSTI is set at </w:t>
      </w:r>
      <w:r w:rsidRPr="00EF07EA" w:rsidDel="008E19CE">
        <w:rPr>
          <w:lang w:val="en-US"/>
        </w:rPr>
        <w:t xml:space="preserve">50% of LIS then </w:t>
      </w:r>
      <w:r>
        <w:rPr>
          <w:lang w:val="en-US"/>
        </w:rPr>
        <w:t xml:space="preserve">simply trading </w:t>
      </w:r>
      <w:r w:rsidRPr="00EF07EA" w:rsidDel="008E19CE">
        <w:rPr>
          <w:lang w:val="en-US"/>
        </w:rPr>
        <w:t>2</w:t>
      </w:r>
      <w:r>
        <w:rPr>
          <w:lang w:val="en-US"/>
        </w:rPr>
        <w:t xml:space="preserve"> trades at the</w:t>
      </w:r>
      <w:r w:rsidRPr="00EF07EA" w:rsidDel="008E19CE">
        <w:rPr>
          <w:lang w:val="en-US"/>
        </w:rPr>
        <w:t xml:space="preserve"> SSTI </w:t>
      </w:r>
      <w:r>
        <w:rPr>
          <w:lang w:val="en-US"/>
        </w:rPr>
        <w:t xml:space="preserve">threshold potentially leaves a dealer having to execute an </w:t>
      </w:r>
      <w:r w:rsidRPr="00EF07EA" w:rsidDel="008E19CE">
        <w:rPr>
          <w:lang w:val="en-US"/>
        </w:rPr>
        <w:t xml:space="preserve">LIS </w:t>
      </w:r>
      <w:r>
        <w:rPr>
          <w:lang w:val="en-US"/>
        </w:rPr>
        <w:t xml:space="preserve">trade to hedge their risk.  This makes is very difficult for </w:t>
      </w:r>
      <w:r w:rsidRPr="00EF07EA" w:rsidDel="008E19CE">
        <w:rPr>
          <w:lang w:val="en-US"/>
        </w:rPr>
        <w:t xml:space="preserve">an SI </w:t>
      </w:r>
      <w:r>
        <w:rPr>
          <w:lang w:val="en-US"/>
        </w:rPr>
        <w:t xml:space="preserve">to </w:t>
      </w:r>
      <w:proofErr w:type="spellStart"/>
      <w:r w:rsidRPr="00EF07EA" w:rsidDel="008E19CE">
        <w:rPr>
          <w:lang w:val="en-US"/>
        </w:rPr>
        <w:t>fulfil</w:t>
      </w:r>
      <w:proofErr w:type="spellEnd"/>
      <w:r w:rsidRPr="00EF07EA" w:rsidDel="008E19CE">
        <w:rPr>
          <w:lang w:val="en-US"/>
        </w:rPr>
        <w:t xml:space="preserve"> </w:t>
      </w:r>
      <w:r>
        <w:rPr>
          <w:lang w:val="en-US"/>
        </w:rPr>
        <w:t>its</w:t>
      </w:r>
      <w:r w:rsidRPr="00EF07EA" w:rsidDel="008E19CE">
        <w:rPr>
          <w:lang w:val="en-US"/>
        </w:rPr>
        <w:t xml:space="preserve"> </w:t>
      </w:r>
      <w:proofErr w:type="spellStart"/>
      <w:r w:rsidRPr="00EF07EA" w:rsidDel="008E19CE">
        <w:rPr>
          <w:lang w:val="en-US"/>
        </w:rPr>
        <w:t>pretrade</w:t>
      </w:r>
      <w:proofErr w:type="spellEnd"/>
      <w:r w:rsidRPr="00EF07EA" w:rsidDel="008E19CE">
        <w:rPr>
          <w:lang w:val="en-US"/>
        </w:rPr>
        <w:t xml:space="preserve"> requirements where </w:t>
      </w:r>
      <w:r>
        <w:rPr>
          <w:lang w:val="en-US"/>
        </w:rPr>
        <w:t xml:space="preserve">the </w:t>
      </w:r>
      <w:proofErr w:type="gramStart"/>
      <w:r>
        <w:rPr>
          <w:lang w:val="en-US"/>
        </w:rPr>
        <w:t>SI  must</w:t>
      </w:r>
      <w:proofErr w:type="gramEnd"/>
      <w:r>
        <w:rPr>
          <w:lang w:val="en-US"/>
        </w:rPr>
        <w:t xml:space="preserve"> be prepared </w:t>
      </w:r>
      <w:r w:rsidRPr="00EF07EA" w:rsidDel="008E19CE">
        <w:rPr>
          <w:lang w:val="en-US"/>
        </w:rPr>
        <w:t>to execute with multiple clients</w:t>
      </w:r>
      <w:r>
        <w:rPr>
          <w:lang w:val="en-US"/>
        </w:rPr>
        <w:t>.</w:t>
      </w:r>
    </w:p>
    <w:p w:rsidR="00164B97" w:rsidRPr="00EF07EA" w:rsidDel="008E19CE" w:rsidRDefault="00164B97" w:rsidP="002777E0">
      <w:pPr>
        <w:pStyle w:val="ListParagraph"/>
        <w:rPr>
          <w:lang w:val="en-US"/>
        </w:rPr>
      </w:pPr>
    </w:p>
    <w:p w:rsidR="00164B97" w:rsidRDefault="00164B97" w:rsidP="00164B97">
      <w:pPr>
        <w:rPr>
          <w:lang w:val="en-US"/>
        </w:rPr>
      </w:pPr>
      <w:r>
        <w:rPr>
          <w:lang w:val="en-US"/>
        </w:rPr>
        <w:t>It is clear that p</w:t>
      </w:r>
      <w:r w:rsidRPr="00A9667C">
        <w:rPr>
          <w:lang w:val="en-US"/>
        </w:rPr>
        <w:t>re</w:t>
      </w:r>
      <w:r>
        <w:rPr>
          <w:lang w:val="en-US"/>
        </w:rPr>
        <w:t>-</w:t>
      </w:r>
      <w:r w:rsidRPr="00A9667C">
        <w:rPr>
          <w:lang w:val="en-US"/>
        </w:rPr>
        <w:t xml:space="preserve"> and post</w:t>
      </w:r>
      <w:r>
        <w:rPr>
          <w:lang w:val="en-US"/>
        </w:rPr>
        <w:t>-</w:t>
      </w:r>
      <w:r w:rsidRPr="00A9667C">
        <w:rPr>
          <w:lang w:val="en-US"/>
        </w:rPr>
        <w:t xml:space="preserve"> trade</w:t>
      </w:r>
      <w:r>
        <w:rPr>
          <w:lang w:val="en-US"/>
        </w:rPr>
        <w:t xml:space="preserve"> SSTI thresholds </w:t>
      </w:r>
      <w:proofErr w:type="gramStart"/>
      <w:r>
        <w:rPr>
          <w:lang w:val="en-US"/>
        </w:rPr>
        <w:t xml:space="preserve">need </w:t>
      </w:r>
      <w:r w:rsidRPr="00A9667C">
        <w:rPr>
          <w:lang w:val="en-US"/>
        </w:rPr>
        <w:t xml:space="preserve"> not</w:t>
      </w:r>
      <w:proofErr w:type="gramEnd"/>
      <w:r w:rsidRPr="00A9667C">
        <w:rPr>
          <w:lang w:val="en-US"/>
        </w:rPr>
        <w:t xml:space="preserve"> be the same</w:t>
      </w:r>
      <w:r>
        <w:rPr>
          <w:lang w:val="en-US"/>
        </w:rPr>
        <w:t xml:space="preserve"> as risks are greater pre-trade than post-trade.  </w:t>
      </w:r>
    </w:p>
    <w:p w:rsidR="00164B97" w:rsidRDefault="00164B97" w:rsidP="00164B97">
      <w:pPr>
        <w:ind w:left="720"/>
        <w:rPr>
          <w:lang w:val="en-US"/>
        </w:rPr>
      </w:pPr>
    </w:p>
    <w:p w:rsidR="00164B97" w:rsidRDefault="00164B97" w:rsidP="00164B97">
      <w:pPr>
        <w:rPr>
          <w:lang w:val="en-US"/>
        </w:rPr>
      </w:pPr>
      <w:r>
        <w:rPr>
          <w:lang w:val="en-US"/>
        </w:rPr>
        <w:t>SG believes that, based on the existing ESMA model, the SSTI for pre-trade (with trades below EUR100k) excluded should capture the 10</w:t>
      </w:r>
      <w:r w:rsidRPr="00A12452">
        <w:rPr>
          <w:vertAlign w:val="superscript"/>
          <w:lang w:val="en-US"/>
        </w:rPr>
        <w:t>th</w:t>
      </w:r>
      <w:r>
        <w:rPr>
          <w:lang w:val="en-US"/>
        </w:rPr>
        <w:t xml:space="preserve"> percentile of the transactions.  This could increase to the 50</w:t>
      </w:r>
      <w:r w:rsidRPr="00A12452">
        <w:rPr>
          <w:vertAlign w:val="superscript"/>
          <w:lang w:val="en-US"/>
        </w:rPr>
        <w:t>th</w:t>
      </w:r>
      <w:r>
        <w:rPr>
          <w:lang w:val="en-US"/>
        </w:rPr>
        <w:t xml:space="preserve"> percentile should the </w:t>
      </w:r>
      <w:proofErr w:type="spellStart"/>
      <w:r>
        <w:rPr>
          <w:lang w:val="en-US"/>
        </w:rPr>
        <w:t>the</w:t>
      </w:r>
      <w:proofErr w:type="spellEnd"/>
      <w:r>
        <w:rPr>
          <w:lang w:val="en-US"/>
        </w:rPr>
        <w:t xml:space="preserve"> previously proposed IBIA approach to the liquidity definition be adopted and trades below EUR100k are included.</w:t>
      </w:r>
    </w:p>
    <w:p w:rsidR="00164B97" w:rsidRDefault="00164B97" w:rsidP="00164B97">
      <w:pPr>
        <w:rPr>
          <w:lang w:val="en-US"/>
        </w:rPr>
      </w:pPr>
    </w:p>
    <w:p w:rsidR="00164B97" w:rsidRDefault="00164B97" w:rsidP="00164B97">
      <w:pPr>
        <w:rPr>
          <w:lang w:val="en-US"/>
        </w:rPr>
      </w:pPr>
      <w:r>
        <w:rPr>
          <w:lang w:val="en-US"/>
        </w:rPr>
        <w:t>In terms of post trade transparency, a higher threshold can be adopted, where, for liquid instruments the SSTI for post trade transparency (with trade below EUR100k included and the IBIA approach adopted for the liquidity definition) could be set at the 80</w:t>
      </w:r>
      <w:r w:rsidRPr="00A12452">
        <w:rPr>
          <w:vertAlign w:val="superscript"/>
          <w:lang w:val="en-US"/>
        </w:rPr>
        <w:t>th</w:t>
      </w:r>
      <w:r>
        <w:rPr>
          <w:lang w:val="en-US"/>
        </w:rPr>
        <w:t xml:space="preserve"> percentile level.  With a less accurate liquidity definition plus the exclusion of trades below EUR100k this should reduce to the 50</w:t>
      </w:r>
      <w:r>
        <w:rPr>
          <w:vertAlign w:val="superscript"/>
          <w:lang w:val="en-US"/>
        </w:rPr>
        <w:t xml:space="preserve">th </w:t>
      </w:r>
      <w:r>
        <w:rPr>
          <w:lang w:val="en-US"/>
        </w:rPr>
        <w:t>percentile.</w:t>
      </w:r>
    </w:p>
    <w:p w:rsidR="00164B97" w:rsidRDefault="00164B97" w:rsidP="00164B97">
      <w:pPr>
        <w:rPr>
          <w:lang w:val="en-US"/>
        </w:rPr>
      </w:pPr>
    </w:p>
    <w:p w:rsidR="00164B97" w:rsidRDefault="00164B97" w:rsidP="002777E0">
      <w:pPr>
        <w:pStyle w:val="ListParagraph"/>
        <w:rPr>
          <w:lang w:val="en-US"/>
        </w:rPr>
      </w:pPr>
      <w:r>
        <w:rPr>
          <w:lang w:val="en-US"/>
        </w:rPr>
        <w:t>For illiquid instruments, the SSTI for post trade should be the same as for pre-trade</w:t>
      </w:r>
      <w:r w:rsidR="00392608">
        <w:rPr>
          <w:lang w:val="en-US"/>
        </w:rPr>
        <w:t>.</w:t>
      </w:r>
    </w:p>
    <w:p w:rsidR="00392608" w:rsidRPr="00164B97" w:rsidRDefault="00392608" w:rsidP="0098588B">
      <w:pPr>
        <w:pStyle w:val="ListParagraph"/>
        <w:numPr>
          <w:ilvl w:val="0"/>
          <w:numId w:val="0"/>
        </w:numPr>
        <w:ind w:left="1068"/>
        <w:rPr>
          <w:lang w:val="en-US"/>
        </w:rPr>
      </w:pPr>
    </w:p>
    <w:p w:rsidR="00164B97" w:rsidRPr="00164B97" w:rsidDel="008E19CE" w:rsidRDefault="00164B97" w:rsidP="002777E0">
      <w:pPr>
        <w:pStyle w:val="ListParagraph"/>
        <w:rPr>
          <w:lang w:val="en-US"/>
        </w:rPr>
      </w:pPr>
      <w:r>
        <w:rPr>
          <w:lang w:val="en-US"/>
        </w:rPr>
        <w:t>SG also notes that the t</w:t>
      </w:r>
      <w:r w:rsidRPr="00EF07EA" w:rsidDel="008E19CE">
        <w:rPr>
          <w:lang w:val="en-US"/>
        </w:rPr>
        <w:t>reatment of package trades should be considered</w:t>
      </w:r>
      <w:r>
        <w:rPr>
          <w:lang w:val="en-US"/>
        </w:rPr>
        <w:t>.</w:t>
      </w:r>
    </w:p>
    <w:permEnd w:id="81"/>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t>&lt;ESMA_QUESTION_CP_MIFID_73&gt;</w:t>
      </w:r>
    </w:p>
    <w:p w:rsidR="00164B97" w:rsidRDefault="00164B97" w:rsidP="00D20C76">
      <w:pPr>
        <w:rPr>
          <w:lang w:val="en-US"/>
        </w:rPr>
      </w:pPr>
      <w:permStart w:id="82" w:edGrp="everyone"/>
      <w:r>
        <w:rPr>
          <w:lang w:val="en-US"/>
        </w:rPr>
        <w:t>SG</w:t>
      </w:r>
      <w:r w:rsidRPr="00F14E42">
        <w:rPr>
          <w:lang w:val="en-US"/>
        </w:rPr>
        <w:t xml:space="preserve"> agree</w:t>
      </w:r>
      <w:r>
        <w:rPr>
          <w:lang w:val="en-US"/>
        </w:rPr>
        <w:t>s</w:t>
      </w:r>
      <w:r w:rsidRPr="00F14E42">
        <w:rPr>
          <w:lang w:val="en-US"/>
        </w:rPr>
        <w:t xml:space="preserve"> with the date and time field</w:t>
      </w:r>
      <w:r>
        <w:rPr>
          <w:lang w:val="en-US"/>
        </w:rPr>
        <w:t>s.</w:t>
      </w:r>
    </w:p>
    <w:p w:rsidR="00164B97" w:rsidRDefault="00164B97" w:rsidP="00D20C76">
      <w:pPr>
        <w:rPr>
          <w:lang w:val="en-US"/>
        </w:rPr>
      </w:pPr>
    </w:p>
    <w:p w:rsidR="00487479" w:rsidRDefault="00164B97" w:rsidP="00EC2C93">
      <w:pPr>
        <w:keepNext/>
        <w:rPr>
          <w:lang w:val="en-US"/>
        </w:rPr>
      </w:pPr>
      <w:r>
        <w:rPr>
          <w:lang w:val="en-US"/>
        </w:rPr>
        <w:t>SG</w:t>
      </w:r>
      <w:r w:rsidRPr="005E5480">
        <w:rPr>
          <w:lang w:val="en-US"/>
        </w:rPr>
        <w:t xml:space="preserve"> disagree</w:t>
      </w:r>
      <w:r>
        <w:rPr>
          <w:lang w:val="en-US"/>
        </w:rPr>
        <w:t>s</w:t>
      </w:r>
      <w:r w:rsidRPr="005E5480">
        <w:rPr>
          <w:lang w:val="en-US"/>
        </w:rPr>
        <w:t xml:space="preserve">, however, with the necessity of including the proposed “Instrument identification code type” field. We suggest, as ESMA has also highlighted in its December 2014 consultation paper, that the operational issues arising from this proposed table field are </w:t>
      </w:r>
      <w:r w:rsidRPr="005E5480">
        <w:rPr>
          <w:lang w:val="en-US"/>
        </w:rPr>
        <w:lastRenderedPageBreak/>
        <w:t>numerous and that, for the timing being, there is no unique way to identify instruments at a sufficiently granular level across different derivative classes</w:t>
      </w:r>
      <w:r>
        <w:rPr>
          <w:lang w:val="en-US"/>
        </w:rPr>
        <w:t>.  We do not share ESMAs optimism that a solution to this problem can be found quickly, given our experience over many years in this area.  It is SG’s contention that an inaccurate or insufficiently granular identification code will be highly confusing to the market, and we draw ESMA’s attention to the examples provided by ISDA in their response to this question</w:t>
      </w:r>
      <w:r w:rsidR="00487479">
        <w:rPr>
          <w:lang w:val="en-US"/>
        </w:rPr>
        <w:t>.</w:t>
      </w:r>
    </w:p>
    <w:permEnd w:id="82"/>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487479" w:rsidRDefault="00487479" w:rsidP="00487479">
      <w:pPr>
        <w:rPr>
          <w:lang w:val="en-US"/>
        </w:rPr>
      </w:pPr>
      <w:permStart w:id="83" w:edGrp="everyone"/>
      <w:r w:rsidRPr="00F14E42">
        <w:rPr>
          <w:lang w:val="en-US"/>
        </w:rPr>
        <w:t>S</w:t>
      </w:r>
      <w:r>
        <w:rPr>
          <w:lang w:val="en-US"/>
        </w:rPr>
        <w:t>G s</w:t>
      </w:r>
      <w:r w:rsidRPr="00F14E42">
        <w:rPr>
          <w:lang w:val="en-US"/>
        </w:rPr>
        <w:t>upport</w:t>
      </w:r>
      <w:r>
        <w:rPr>
          <w:lang w:val="en-US"/>
        </w:rPr>
        <w:t>s the</w:t>
      </w:r>
      <w:r w:rsidRPr="00F14E42">
        <w:rPr>
          <w:lang w:val="en-US"/>
        </w:rPr>
        <w:t xml:space="preserve"> removal of SI</w:t>
      </w:r>
      <w:r>
        <w:rPr>
          <w:lang w:val="en-US"/>
        </w:rPr>
        <w:t xml:space="preserve"> identity</w:t>
      </w:r>
      <w:r w:rsidRPr="00F14E42">
        <w:rPr>
          <w:lang w:val="en-US"/>
        </w:rPr>
        <w:t xml:space="preserve"> flag –</w:t>
      </w:r>
      <w:r>
        <w:rPr>
          <w:lang w:val="en-US"/>
        </w:rPr>
        <w:t xml:space="preserve">we strongly believe that there is a fundamental different between Trading Venues (which do not take principal risk) and SI’s (which do).  Publication of the name of the SI will </w:t>
      </w:r>
      <w:proofErr w:type="spellStart"/>
      <w:r>
        <w:rPr>
          <w:lang w:val="en-US"/>
        </w:rPr>
        <w:t>disincentivise</w:t>
      </w:r>
      <w:proofErr w:type="spellEnd"/>
      <w:r>
        <w:rPr>
          <w:lang w:val="en-US"/>
        </w:rPr>
        <w:t xml:space="preserve"> liquidity provision.</w:t>
      </w:r>
    </w:p>
    <w:p w:rsidR="00487479" w:rsidRDefault="00487479" w:rsidP="00487479">
      <w:pPr>
        <w:rPr>
          <w:lang w:val="en-US"/>
        </w:rPr>
      </w:pPr>
    </w:p>
    <w:p w:rsidR="00487479" w:rsidRPr="00F14E42" w:rsidRDefault="00487479" w:rsidP="00487479">
      <w:pPr>
        <w:rPr>
          <w:lang w:val="en-US"/>
        </w:rPr>
      </w:pPr>
      <w:r>
        <w:rPr>
          <w:lang w:val="en-US"/>
        </w:rPr>
        <w:t>SG also</w:t>
      </w:r>
      <w:r w:rsidRPr="00F14E42">
        <w:rPr>
          <w:lang w:val="en-US"/>
        </w:rPr>
        <w:t xml:space="preserve"> note</w:t>
      </w:r>
      <w:r>
        <w:rPr>
          <w:lang w:val="en-US"/>
        </w:rPr>
        <w:t>s</w:t>
      </w:r>
      <w:r w:rsidRPr="00F14E42">
        <w:rPr>
          <w:lang w:val="en-US"/>
        </w:rPr>
        <w:t xml:space="preserve"> that ESMA has taken an inconsistent approach in RTS6 whereby all S</w:t>
      </w:r>
      <w:r>
        <w:rPr>
          <w:lang w:val="en-US"/>
        </w:rPr>
        <w:t>I’s are treated as execution venues, and therefore</w:t>
      </w:r>
      <w:r w:rsidRPr="00F14E42">
        <w:rPr>
          <w:lang w:val="en-US"/>
        </w:rPr>
        <w:t xml:space="preserve"> trade information with identity will need to be made public.  </w:t>
      </w:r>
      <w:r>
        <w:rPr>
          <w:lang w:val="en-US"/>
        </w:rPr>
        <w:t>SG believes the treatment should be consistent.</w:t>
      </w:r>
    </w:p>
    <w:p w:rsidR="00487479" w:rsidRPr="00F14E42" w:rsidRDefault="00487479" w:rsidP="0098588B">
      <w:pPr>
        <w:pStyle w:val="ListParagraph"/>
        <w:numPr>
          <w:ilvl w:val="0"/>
          <w:numId w:val="0"/>
        </w:numPr>
        <w:ind w:left="1068"/>
        <w:rPr>
          <w:lang w:val="en-US"/>
        </w:rPr>
      </w:pPr>
    </w:p>
    <w:p w:rsidR="00487479" w:rsidRPr="001D4B30" w:rsidRDefault="00487479" w:rsidP="002777E0">
      <w:pPr>
        <w:pStyle w:val="ListParagraph"/>
        <w:rPr>
          <w:lang w:val="en-US"/>
        </w:rPr>
      </w:pPr>
      <w:r>
        <w:rPr>
          <w:lang w:val="en-US"/>
        </w:rPr>
        <w:t>There are some specific technical points that SG wishes to raise:</w:t>
      </w:r>
    </w:p>
    <w:p w:rsidR="00487479" w:rsidRDefault="00487479" w:rsidP="00487479">
      <w:pPr>
        <w:rPr>
          <w:lang w:val="en-US"/>
        </w:rPr>
      </w:pPr>
    </w:p>
    <w:p w:rsidR="00487479" w:rsidRDefault="00487479" w:rsidP="002777E0">
      <w:pPr>
        <w:pStyle w:val="ListParagraph"/>
        <w:rPr>
          <w:lang w:val="en-US"/>
        </w:rPr>
      </w:pPr>
      <w:r w:rsidRPr="0053628A">
        <w:rPr>
          <w:lang w:val="en-US"/>
        </w:rPr>
        <w:t>Block trades (not individual allocations) should be made public</w:t>
      </w:r>
    </w:p>
    <w:p w:rsidR="00487479" w:rsidRPr="0053628A" w:rsidRDefault="00487479" w:rsidP="002777E0">
      <w:pPr>
        <w:pStyle w:val="ListParagraph"/>
        <w:rPr>
          <w:lang w:val="en-US"/>
        </w:rPr>
      </w:pPr>
      <w:r>
        <w:rPr>
          <w:lang w:val="en-US"/>
        </w:rPr>
        <w:t>SG a</w:t>
      </w:r>
      <w:r w:rsidRPr="0053628A">
        <w:rPr>
          <w:lang w:val="en-US"/>
        </w:rPr>
        <w:t>gree</w:t>
      </w:r>
      <w:r>
        <w:rPr>
          <w:lang w:val="en-US"/>
        </w:rPr>
        <w:t>s</w:t>
      </w:r>
      <w:r w:rsidRPr="0053628A">
        <w:rPr>
          <w:lang w:val="en-US"/>
        </w:rPr>
        <w:t xml:space="preserve"> with </w:t>
      </w:r>
      <w:r>
        <w:rPr>
          <w:lang w:val="en-US"/>
        </w:rPr>
        <w:t>presence of the “</w:t>
      </w:r>
      <w:r w:rsidRPr="0053628A">
        <w:rPr>
          <w:lang w:val="en-US"/>
        </w:rPr>
        <w:t>currency</w:t>
      </w:r>
      <w:r>
        <w:rPr>
          <w:lang w:val="en-US"/>
        </w:rPr>
        <w:t>” flag</w:t>
      </w:r>
    </w:p>
    <w:p w:rsidR="00487479" w:rsidRPr="00F14E42" w:rsidRDefault="00487479" w:rsidP="002777E0">
      <w:pPr>
        <w:pStyle w:val="ListParagraph"/>
        <w:rPr>
          <w:lang w:val="en-US"/>
        </w:rPr>
      </w:pPr>
      <w:r w:rsidRPr="00F14E42">
        <w:rPr>
          <w:lang w:val="en-US"/>
        </w:rPr>
        <w:t>There should be a package trade flag</w:t>
      </w:r>
    </w:p>
    <w:p w:rsidR="00487479" w:rsidRPr="00F14E42" w:rsidRDefault="00487479" w:rsidP="002777E0">
      <w:pPr>
        <w:pStyle w:val="ListParagraph"/>
        <w:rPr>
          <w:lang w:val="en-US"/>
        </w:rPr>
      </w:pPr>
      <w:r>
        <w:rPr>
          <w:lang w:val="en-US"/>
        </w:rPr>
        <w:t>There should be a n</w:t>
      </w:r>
      <w:r w:rsidRPr="00F14E42">
        <w:rPr>
          <w:lang w:val="en-US"/>
        </w:rPr>
        <w:t>on-standard settlement flag</w:t>
      </w:r>
    </w:p>
    <w:p w:rsidR="00487479" w:rsidRPr="00F14E42" w:rsidRDefault="00487479" w:rsidP="002777E0">
      <w:pPr>
        <w:pStyle w:val="ListParagraph"/>
        <w:rPr>
          <w:lang w:val="en-US"/>
        </w:rPr>
      </w:pPr>
      <w:r>
        <w:rPr>
          <w:lang w:val="en-US"/>
        </w:rPr>
        <w:t>SG a</w:t>
      </w:r>
      <w:r w:rsidRPr="00F14E42">
        <w:rPr>
          <w:lang w:val="en-US"/>
        </w:rPr>
        <w:t>gree</w:t>
      </w:r>
      <w:r>
        <w:rPr>
          <w:lang w:val="en-US"/>
        </w:rPr>
        <w:t>s</w:t>
      </w:r>
      <w:r w:rsidRPr="00F14E42">
        <w:rPr>
          <w:lang w:val="en-US"/>
        </w:rPr>
        <w:t xml:space="preserve"> with other flags but believe</w:t>
      </w:r>
      <w:r>
        <w:rPr>
          <w:lang w:val="en-US"/>
        </w:rPr>
        <w:t>s</w:t>
      </w:r>
      <w:r w:rsidRPr="00F14E42">
        <w:rPr>
          <w:lang w:val="en-US"/>
        </w:rPr>
        <w:t xml:space="preserve"> that the non-price forming trades should not be in scope of transparency </w:t>
      </w:r>
    </w:p>
    <w:p w:rsidR="00487479" w:rsidRDefault="00487479" w:rsidP="002777E0">
      <w:pPr>
        <w:pStyle w:val="ListParagraph"/>
        <w:rPr>
          <w:lang w:val="en-US"/>
        </w:rPr>
      </w:pPr>
      <w:r w:rsidRPr="0053628A">
        <w:rPr>
          <w:lang w:val="en-US"/>
        </w:rPr>
        <w:t xml:space="preserve">Identifier ‘G’ is used in 2 separate instances in Table 2 of Annex 2 (for ‘non-price forming trades’ and for ‘daily aggregated trades’) </w:t>
      </w:r>
      <w:r w:rsidRPr="00F14E42">
        <w:rPr>
          <w:lang w:val="en-US"/>
        </w:rPr>
        <w:t>(we need to note the issue with ISIN for the US)</w:t>
      </w:r>
    </w:p>
    <w:p w:rsidR="00487479" w:rsidRPr="00487479" w:rsidRDefault="00487479" w:rsidP="002777E0">
      <w:pPr>
        <w:pStyle w:val="ListParagraph"/>
        <w:rPr>
          <w:lang w:val="en-US"/>
        </w:rPr>
      </w:pPr>
      <w:r>
        <w:rPr>
          <w:lang w:val="en-US"/>
        </w:rPr>
        <w:t>SG</w:t>
      </w:r>
      <w:r w:rsidRPr="0053628A">
        <w:rPr>
          <w:lang w:val="en-US"/>
        </w:rPr>
        <w:t xml:space="preserve"> believe</w:t>
      </w:r>
      <w:r>
        <w:rPr>
          <w:lang w:val="en-US"/>
        </w:rPr>
        <w:t>s</w:t>
      </w:r>
      <w:r w:rsidRPr="0053628A">
        <w:rPr>
          <w:lang w:val="en-US"/>
        </w:rPr>
        <w:t xml:space="preserve"> that inclusion of a flag for ‘Algorithmic trades’ is of little benefit to market participants and suggest that the method of execution is not relevant in the price discovery process.  We do however support that such information is of value for regulatory monitoring and suggest that its inclusion in transaction reporting is more appropriate</w:t>
      </w:r>
      <w:r>
        <w:rPr>
          <w:lang w:val="en-US"/>
        </w:rPr>
        <w:t>.</w:t>
      </w:r>
    </w:p>
    <w:permEnd w:id="83"/>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487479" w:rsidRPr="0098588B" w:rsidRDefault="00487479" w:rsidP="0098588B">
      <w:pPr>
        <w:ind w:left="1068" w:hanging="360"/>
        <w:rPr>
          <w:lang w:val="en-US"/>
        </w:rPr>
      </w:pPr>
      <w:permStart w:id="84" w:edGrp="everyone"/>
      <w:r w:rsidRPr="0098588B">
        <w:rPr>
          <w:lang w:val="en-US"/>
        </w:rPr>
        <w:t>FOR BONDS:</w:t>
      </w:r>
    </w:p>
    <w:p w:rsidR="00487479" w:rsidRDefault="00487479" w:rsidP="0098588B">
      <w:pPr>
        <w:pStyle w:val="ListParagraph"/>
        <w:numPr>
          <w:ilvl w:val="0"/>
          <w:numId w:val="0"/>
        </w:numPr>
        <w:ind w:left="1068"/>
        <w:rPr>
          <w:lang w:val="en-US"/>
        </w:rPr>
      </w:pPr>
    </w:p>
    <w:p w:rsidR="00487479" w:rsidRDefault="00487479" w:rsidP="00487479">
      <w:pPr>
        <w:rPr>
          <w:lang w:val="en-US"/>
        </w:rPr>
      </w:pPr>
      <w:r>
        <w:rPr>
          <w:lang w:val="en-US"/>
        </w:rPr>
        <w:lastRenderedPageBreak/>
        <w:t xml:space="preserve">SG </w:t>
      </w:r>
      <w:r w:rsidRPr="00F14E42">
        <w:rPr>
          <w:lang w:val="en-US"/>
        </w:rPr>
        <w:t>agree</w:t>
      </w:r>
      <w:r>
        <w:rPr>
          <w:lang w:val="en-US"/>
        </w:rPr>
        <w:t>s</w:t>
      </w:r>
      <w:r w:rsidRPr="00F14E42">
        <w:rPr>
          <w:lang w:val="en-US"/>
        </w:rPr>
        <w:t xml:space="preserve"> with </w:t>
      </w:r>
      <w:r>
        <w:rPr>
          <w:lang w:val="en-US"/>
        </w:rPr>
        <w:t xml:space="preserve">an </w:t>
      </w:r>
      <w:r w:rsidRPr="00F14E42">
        <w:rPr>
          <w:lang w:val="en-US"/>
        </w:rPr>
        <w:t>initial 3-year implementation period</w:t>
      </w:r>
      <w:r>
        <w:rPr>
          <w:lang w:val="en-US"/>
        </w:rPr>
        <w:t xml:space="preserve">, and also that </w:t>
      </w:r>
      <w:r w:rsidRPr="00F14E42">
        <w:rPr>
          <w:lang w:val="en-US"/>
        </w:rPr>
        <w:t>the maximum delay be 15 minutes for the first three years: (</w:t>
      </w:r>
      <w:proofErr w:type="spellStart"/>
      <w:r w:rsidRPr="00F14E42">
        <w:rPr>
          <w:lang w:val="en-US"/>
        </w:rPr>
        <w:t>i</w:t>
      </w:r>
      <w:proofErr w:type="spellEnd"/>
      <w:r w:rsidRPr="00F14E42">
        <w:rPr>
          <w:lang w:val="en-US"/>
        </w:rPr>
        <w:t>) consistent with operational needs; and (ii) should report sooner if can</w:t>
      </w:r>
      <w:r>
        <w:rPr>
          <w:lang w:val="en-US"/>
        </w:rPr>
        <w:t xml:space="preserve">.  As a result we do not agree that the 15 minute period should be </w:t>
      </w:r>
      <w:r w:rsidRPr="00F14E42">
        <w:rPr>
          <w:lang w:val="en-US"/>
        </w:rPr>
        <w:t>(as per p132 of RTS) in “exceptional cases where systems available do not allow for a publication in a shorter period of time”</w:t>
      </w:r>
    </w:p>
    <w:p w:rsidR="00487479" w:rsidRPr="00F14E42" w:rsidRDefault="00487479" w:rsidP="00487479">
      <w:pPr>
        <w:rPr>
          <w:lang w:val="en-US"/>
        </w:rPr>
      </w:pPr>
    </w:p>
    <w:p w:rsidR="00487479" w:rsidRDefault="00487479" w:rsidP="002777E0">
      <w:pPr>
        <w:pStyle w:val="ListParagraph"/>
        <w:rPr>
          <w:lang w:val="en-US"/>
        </w:rPr>
      </w:pPr>
      <w:r>
        <w:rPr>
          <w:lang w:val="en-US"/>
        </w:rPr>
        <w:t xml:space="preserve">Systems </w:t>
      </w:r>
      <w:r w:rsidRPr="00F14E42">
        <w:rPr>
          <w:lang w:val="en-US"/>
        </w:rPr>
        <w:t>current</w:t>
      </w:r>
      <w:r>
        <w:rPr>
          <w:lang w:val="en-US"/>
        </w:rPr>
        <w:t xml:space="preserve">ly in use in these markets </w:t>
      </w:r>
      <w:r w:rsidRPr="00F14E42">
        <w:rPr>
          <w:lang w:val="en-US"/>
        </w:rPr>
        <w:t>the majority do not</w:t>
      </w:r>
      <w:r>
        <w:rPr>
          <w:lang w:val="en-US"/>
        </w:rPr>
        <w:t xml:space="preserve"> necessarily</w:t>
      </w:r>
      <w:r w:rsidRPr="00F14E42">
        <w:rPr>
          <w:lang w:val="en-US"/>
        </w:rPr>
        <w:t xml:space="preserve"> allow for shorter time period</w:t>
      </w:r>
      <w:r>
        <w:rPr>
          <w:lang w:val="en-US"/>
        </w:rPr>
        <w:t>s</w:t>
      </w:r>
      <w:r w:rsidRPr="00F14E42">
        <w:rPr>
          <w:lang w:val="en-US"/>
        </w:rPr>
        <w:t xml:space="preserve"> (since most fixed income trading is OTC); therefore,</w:t>
      </w:r>
      <w:r>
        <w:rPr>
          <w:lang w:val="en-US"/>
        </w:rPr>
        <w:t xml:space="preserve"> to limit the extension to 15 minutes </w:t>
      </w:r>
      <w:r w:rsidRPr="00F14E42">
        <w:rPr>
          <w:lang w:val="en-US"/>
        </w:rPr>
        <w:t>in exceptional cases only</w:t>
      </w:r>
      <w:r>
        <w:rPr>
          <w:lang w:val="en-US"/>
        </w:rPr>
        <w:t xml:space="preserve"> is overly restrictive</w:t>
      </w:r>
      <w:r w:rsidRPr="00F14E42">
        <w:rPr>
          <w:lang w:val="en-US"/>
        </w:rPr>
        <w:t xml:space="preserve"> – </w:t>
      </w:r>
      <w:r>
        <w:rPr>
          <w:lang w:val="en-US"/>
        </w:rPr>
        <w:t xml:space="preserve">In fact, the delay should be available </w:t>
      </w:r>
      <w:r w:rsidRPr="00F14E42">
        <w:rPr>
          <w:lang w:val="en-US"/>
        </w:rPr>
        <w:t>when systems do not allow for publication in a shorter period of time.</w:t>
      </w:r>
    </w:p>
    <w:p w:rsidR="00487479" w:rsidRPr="00F14E42" w:rsidRDefault="00487479" w:rsidP="0098588B">
      <w:pPr>
        <w:pStyle w:val="ListParagraph"/>
        <w:numPr>
          <w:ilvl w:val="0"/>
          <w:numId w:val="0"/>
        </w:numPr>
        <w:ind w:left="1068"/>
        <w:rPr>
          <w:lang w:val="en-US"/>
        </w:rPr>
      </w:pPr>
    </w:p>
    <w:p w:rsidR="00487479" w:rsidRDefault="00487479" w:rsidP="002777E0">
      <w:pPr>
        <w:pStyle w:val="ListParagraph"/>
        <w:rPr>
          <w:lang w:val="en-US"/>
        </w:rPr>
      </w:pPr>
      <w:r>
        <w:rPr>
          <w:lang w:val="en-US"/>
        </w:rPr>
        <w:t>It is not obvious within SG that,</w:t>
      </w:r>
      <w:r w:rsidRPr="00F14E42">
        <w:rPr>
          <w:lang w:val="en-US"/>
        </w:rPr>
        <w:t xml:space="preserve"> as systems are modified</w:t>
      </w:r>
      <w:r>
        <w:rPr>
          <w:lang w:val="en-US"/>
        </w:rPr>
        <w:t>,</w:t>
      </w:r>
      <w:r w:rsidRPr="00F14E42">
        <w:rPr>
          <w:lang w:val="en-US"/>
        </w:rPr>
        <w:t xml:space="preserve"> the time delay may be shortened</w:t>
      </w:r>
      <w:r>
        <w:rPr>
          <w:lang w:val="en-US"/>
        </w:rPr>
        <w:t xml:space="preserve"> automatically</w:t>
      </w:r>
      <w:r w:rsidRPr="00F14E42">
        <w:rPr>
          <w:lang w:val="en-US"/>
        </w:rPr>
        <w:t xml:space="preserve">; </w:t>
      </w:r>
      <w:r>
        <w:rPr>
          <w:lang w:val="en-US"/>
        </w:rPr>
        <w:t xml:space="preserve">Systems and infrastructures are complex and interwoven.  We appreciate the desire of ESMA to shorted reporting timeframes but </w:t>
      </w:r>
      <w:r w:rsidRPr="00F14E42">
        <w:rPr>
          <w:lang w:val="en-US"/>
        </w:rPr>
        <w:t xml:space="preserve">suggest </w:t>
      </w:r>
      <w:r>
        <w:rPr>
          <w:lang w:val="en-US"/>
        </w:rPr>
        <w:t xml:space="preserve">a preferable approach would be to conduct a review after 3 years </w:t>
      </w:r>
      <w:r w:rsidRPr="00F14E42">
        <w:rPr>
          <w:lang w:val="en-US"/>
        </w:rPr>
        <w:t>rather than an automatic shortening</w:t>
      </w:r>
      <w:r>
        <w:rPr>
          <w:lang w:val="en-US"/>
        </w:rPr>
        <w:t xml:space="preserve"> the delay to 5 minutes irrespective of conditions at that time.</w:t>
      </w:r>
    </w:p>
    <w:p w:rsidR="00487479" w:rsidRPr="008E4C13" w:rsidRDefault="00487479" w:rsidP="00487479">
      <w:pPr>
        <w:rPr>
          <w:lang w:val="en-US"/>
        </w:rPr>
      </w:pPr>
    </w:p>
    <w:p w:rsidR="00487479" w:rsidRPr="0098588B" w:rsidRDefault="00487479" w:rsidP="0098588B">
      <w:pPr>
        <w:ind w:left="1068" w:hanging="360"/>
        <w:rPr>
          <w:lang w:val="en-US"/>
        </w:rPr>
      </w:pPr>
      <w:r w:rsidRPr="0098588B">
        <w:rPr>
          <w:lang w:val="en-US"/>
        </w:rPr>
        <w:t>FOR DERIVATIVES:</w:t>
      </w:r>
    </w:p>
    <w:p w:rsidR="00487479" w:rsidRDefault="00487479" w:rsidP="0098588B">
      <w:pPr>
        <w:pStyle w:val="ListParagraph"/>
        <w:numPr>
          <w:ilvl w:val="0"/>
          <w:numId w:val="0"/>
        </w:numPr>
        <w:ind w:left="1068"/>
        <w:rPr>
          <w:lang w:val="en-US"/>
        </w:rPr>
      </w:pPr>
    </w:p>
    <w:p w:rsidR="00487479" w:rsidRDefault="00487479" w:rsidP="002777E0">
      <w:pPr>
        <w:pStyle w:val="ListParagraph"/>
        <w:rPr>
          <w:lang w:val="en-US"/>
        </w:rPr>
      </w:pPr>
      <w:r w:rsidRPr="00237E22">
        <w:rPr>
          <w:lang w:val="en-US"/>
        </w:rPr>
        <w:t>Whil</w:t>
      </w:r>
      <w:r w:rsidR="001E0080">
        <w:rPr>
          <w:lang w:val="en-US"/>
        </w:rPr>
        <w:t>e SG</w:t>
      </w:r>
      <w:r>
        <w:rPr>
          <w:lang w:val="en-US"/>
        </w:rPr>
        <w:t xml:space="preserve"> </w:t>
      </w:r>
      <w:r w:rsidRPr="00237E22">
        <w:rPr>
          <w:lang w:val="en-US"/>
        </w:rPr>
        <w:t>welcome</w:t>
      </w:r>
      <w:r>
        <w:rPr>
          <w:lang w:val="en-US"/>
        </w:rPr>
        <w:t>s</w:t>
      </w:r>
      <w:r w:rsidRPr="00237E22">
        <w:rPr>
          <w:lang w:val="en-US"/>
        </w:rPr>
        <w:t xml:space="preserve"> ESMA’s proposal for a maximum permissible delay of 15 minutes for the publication of post-trade information for an initial period of 3 years, we would recommend that after this 3-year period a review is undertaken to ascertain a reasonable time frame. It is currently unclear whether a 5 minute timeframe will be achievable in 3 years’ time. Before reducing the maximum permissible delay, the feasibility of complying with a 5 minute delay should be reassessed.</w:t>
      </w:r>
    </w:p>
    <w:p w:rsidR="00487479" w:rsidRDefault="00487479" w:rsidP="0098588B">
      <w:pPr>
        <w:pStyle w:val="ListParagraph"/>
        <w:numPr>
          <w:ilvl w:val="0"/>
          <w:numId w:val="0"/>
        </w:numPr>
        <w:ind w:left="1068"/>
        <w:rPr>
          <w:lang w:val="en-US"/>
        </w:rPr>
      </w:pPr>
    </w:p>
    <w:p w:rsidR="00487479" w:rsidRDefault="00487479" w:rsidP="002777E0">
      <w:pPr>
        <w:pStyle w:val="ListParagraph"/>
        <w:rPr>
          <w:lang w:val="en-US"/>
        </w:rPr>
      </w:pPr>
      <w:r>
        <w:rPr>
          <w:lang w:val="en-US"/>
        </w:rPr>
        <w:t>SG wishes to note</w:t>
      </w:r>
      <w:r w:rsidRPr="00237E22">
        <w:rPr>
          <w:lang w:val="en-US"/>
        </w:rPr>
        <w:t xml:space="preserve"> that even a 15 minute time period will be challengi</w:t>
      </w:r>
      <w:r>
        <w:rPr>
          <w:lang w:val="en-US"/>
        </w:rPr>
        <w:t xml:space="preserve">ng for many transactions. SG generally agrees with the notion that </w:t>
      </w:r>
      <w:r w:rsidRPr="00237E22">
        <w:rPr>
          <w:lang w:val="en-US"/>
        </w:rPr>
        <w:t xml:space="preserve">the industry needs to reduce the time it takes to publish post-trade information on complex (or new forms of) transactions, compliance with aggressive timelines may not always be achievable. </w:t>
      </w:r>
    </w:p>
    <w:p w:rsidR="00487479" w:rsidRDefault="00487479" w:rsidP="002777E0">
      <w:pPr>
        <w:pStyle w:val="ListParagraph"/>
        <w:rPr>
          <w:lang w:val="en-US"/>
        </w:rPr>
      </w:pPr>
      <w:r w:rsidRPr="00237E22">
        <w:rPr>
          <w:lang w:val="en-US"/>
        </w:rPr>
        <w:t xml:space="preserve">The statistics relating to the timeliness of reporting to the DTCC under CFTC real-time reporting requirement (which came into effect at the end of 2012) indicated the extent of the challenge.  </w:t>
      </w:r>
    </w:p>
    <w:p w:rsidR="00577C33" w:rsidRPr="00487479" w:rsidRDefault="00487479" w:rsidP="002777E0">
      <w:pPr>
        <w:pStyle w:val="ListParagraph"/>
        <w:rPr>
          <w:lang w:val="en-US"/>
        </w:rPr>
      </w:pPr>
      <w:r w:rsidRPr="00674401">
        <w:rPr>
          <w:lang w:val="en-US"/>
        </w:rPr>
        <w:t>In light of the CF</w:t>
      </w:r>
      <w:r>
        <w:rPr>
          <w:lang w:val="en-US"/>
        </w:rPr>
        <w:t>TC experience, we would be</w:t>
      </w:r>
      <w:r w:rsidRPr="00674401">
        <w:rPr>
          <w:lang w:val="en-US"/>
        </w:rPr>
        <w:t xml:space="preserve"> supportive of ESMA monitoring firms for continuous improvement in this respect and then setting a time frame that is reasonable.</w:t>
      </w:r>
    </w:p>
    <w:permEnd w:id="84"/>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A14B5E" w:rsidRDefault="00A14B5E" w:rsidP="00A14B5E">
      <w:pPr>
        <w:rPr>
          <w:lang w:val="en-US"/>
        </w:rPr>
      </w:pPr>
      <w:permStart w:id="85" w:edGrp="everyone"/>
      <w:r>
        <w:rPr>
          <w:lang w:val="en-US"/>
        </w:rPr>
        <w:t>SG believes that the reporting of transactions subject to conditions other than the current market valuation can be misleading to market participants.</w:t>
      </w:r>
    </w:p>
    <w:p w:rsidR="00A14B5E" w:rsidRPr="00A9667C" w:rsidRDefault="00A14B5E" w:rsidP="00A14B5E">
      <w:pPr>
        <w:rPr>
          <w:lang w:val="en-US"/>
        </w:rPr>
      </w:pPr>
    </w:p>
    <w:p w:rsidR="00A14B5E" w:rsidRDefault="00A14B5E" w:rsidP="00A14B5E">
      <w:pPr>
        <w:rPr>
          <w:lang w:val="en-US"/>
        </w:rPr>
      </w:pPr>
      <w:r w:rsidRPr="00A9667C">
        <w:rPr>
          <w:lang w:val="en-US"/>
        </w:rPr>
        <w:lastRenderedPageBreak/>
        <w:t>SFTs and other non-price forming trades should not be included in general – not just for OTC</w:t>
      </w:r>
      <w:r>
        <w:rPr>
          <w:lang w:val="en-US"/>
        </w:rPr>
        <w:t xml:space="preserve"> but also for SIs </w:t>
      </w:r>
    </w:p>
    <w:p w:rsidR="00A14B5E" w:rsidRPr="00A9667C" w:rsidRDefault="00A14B5E" w:rsidP="00A14B5E">
      <w:pPr>
        <w:rPr>
          <w:lang w:val="en-US"/>
        </w:rPr>
      </w:pPr>
    </w:p>
    <w:p w:rsidR="00A14B5E" w:rsidRPr="0098588B" w:rsidRDefault="00A14B5E" w:rsidP="0098588B">
      <w:pPr>
        <w:rPr>
          <w:lang w:val="en-US"/>
        </w:rPr>
      </w:pPr>
      <w:r w:rsidRPr="0098588B">
        <w:rPr>
          <w:lang w:val="en-US"/>
        </w:rPr>
        <w:t xml:space="preserve">As per </w:t>
      </w:r>
      <w:proofErr w:type="spellStart"/>
      <w:r w:rsidRPr="0098588B">
        <w:rPr>
          <w:lang w:val="en-US"/>
        </w:rPr>
        <w:t>MiFID</w:t>
      </w:r>
      <w:proofErr w:type="spellEnd"/>
      <w:r w:rsidRPr="0098588B">
        <w:rPr>
          <w:lang w:val="en-US"/>
        </w:rPr>
        <w:t xml:space="preserve"> I – SFTs are not </w:t>
      </w:r>
      <w:proofErr w:type="spellStart"/>
      <w:r w:rsidRPr="0098588B">
        <w:rPr>
          <w:lang w:val="en-US"/>
        </w:rPr>
        <w:t>MiFID</w:t>
      </w:r>
      <w:proofErr w:type="spellEnd"/>
      <w:r w:rsidRPr="0098588B">
        <w:rPr>
          <w:lang w:val="en-US"/>
        </w:rPr>
        <w:t xml:space="preserve"> instruments – therefore, they shouldn’t be in scope</w:t>
      </w:r>
    </w:p>
    <w:p w:rsidR="00A14B5E" w:rsidRPr="0098588B" w:rsidRDefault="00A14B5E" w:rsidP="0098588B">
      <w:pPr>
        <w:rPr>
          <w:lang w:val="en-US"/>
        </w:rPr>
      </w:pPr>
      <w:r w:rsidRPr="0098588B">
        <w:rPr>
          <w:lang w:val="en-US"/>
        </w:rPr>
        <w:t>The publication requirements are not meaningful for SFT transactions</w:t>
      </w:r>
    </w:p>
    <w:p w:rsidR="00A14B5E" w:rsidRPr="0098588B" w:rsidRDefault="00A14B5E" w:rsidP="0098588B">
      <w:pPr>
        <w:rPr>
          <w:lang w:val="en-US"/>
        </w:rPr>
      </w:pPr>
      <w:r w:rsidRPr="0098588B">
        <w:rPr>
          <w:lang w:val="en-US"/>
        </w:rPr>
        <w:t xml:space="preserve">SG believes that the forthcoming SFTR should provide the legislative framework for SFTs and that, as such, </w:t>
      </w:r>
      <w:proofErr w:type="spellStart"/>
      <w:r w:rsidRPr="0098588B">
        <w:rPr>
          <w:lang w:val="en-US"/>
        </w:rPr>
        <w:t>MiFID</w:t>
      </w:r>
      <w:proofErr w:type="spellEnd"/>
      <w:r w:rsidRPr="0098588B">
        <w:rPr>
          <w:lang w:val="en-US"/>
        </w:rPr>
        <w:t xml:space="preserve"> should avoid duplication and/or imposing different requirements.</w:t>
      </w:r>
    </w:p>
    <w:p w:rsidR="00A14B5E" w:rsidRDefault="00A14B5E" w:rsidP="00A14B5E">
      <w:pPr>
        <w:rPr>
          <w:lang w:val="en-US"/>
        </w:rPr>
      </w:pPr>
    </w:p>
    <w:p w:rsidR="00A14B5E" w:rsidRDefault="00A14B5E" w:rsidP="00A14B5E">
      <w:pPr>
        <w:rPr>
          <w:lang w:val="en-US"/>
        </w:rPr>
      </w:pPr>
      <w:r w:rsidRPr="00992CD7">
        <w:rPr>
          <w:lang w:val="en-US"/>
        </w:rPr>
        <w:t>Whil</w:t>
      </w:r>
      <w:r>
        <w:rPr>
          <w:lang w:val="en-US"/>
        </w:rPr>
        <w:t>e</w:t>
      </w:r>
      <w:r w:rsidRPr="00992CD7">
        <w:rPr>
          <w:lang w:val="en-US"/>
        </w:rPr>
        <w:t xml:space="preserve"> we agree that securities financing transactions and other types of transactions subject to conditions other than the current market valuation of the financial instrument should be exempt from the reporting requirement under Article 21, this exemption should not be limited to OTC transactions but should also be applied to venue trades.  </w:t>
      </w:r>
    </w:p>
    <w:p w:rsidR="00A14B5E" w:rsidRPr="0098588B" w:rsidRDefault="00A14B5E" w:rsidP="0098588B">
      <w:pPr>
        <w:rPr>
          <w:lang w:val="en-US"/>
        </w:rPr>
      </w:pPr>
    </w:p>
    <w:p w:rsidR="00A14B5E" w:rsidRPr="0098588B" w:rsidRDefault="00A14B5E" w:rsidP="0098588B">
      <w:pPr>
        <w:rPr>
          <w:lang w:val="en-US"/>
        </w:rPr>
      </w:pPr>
      <w:r w:rsidRPr="0098588B">
        <w:rPr>
          <w:lang w:val="en-US"/>
        </w:rPr>
        <w:t>Intra-group transactions should be non-price-forming trades</w:t>
      </w:r>
    </w:p>
    <w:p w:rsidR="00A14B5E" w:rsidRPr="0098588B" w:rsidRDefault="00A14B5E" w:rsidP="0098588B">
      <w:pPr>
        <w:rPr>
          <w:lang w:val="en-US"/>
        </w:rPr>
      </w:pPr>
    </w:p>
    <w:p w:rsidR="00A14B5E" w:rsidRPr="0098588B" w:rsidRDefault="00A14B5E" w:rsidP="0098588B">
      <w:pPr>
        <w:rPr>
          <w:lang w:val="en-US"/>
        </w:rPr>
      </w:pPr>
      <w:r w:rsidRPr="0098588B">
        <w:rPr>
          <w:lang w:val="en-US"/>
        </w:rPr>
        <w:t>SG does not agree with ESMA’s proposal to limit the “collateral” trade exemption to “segregated collateral” trades.</w:t>
      </w:r>
    </w:p>
    <w:p w:rsidR="00A14B5E" w:rsidRPr="0098588B" w:rsidRDefault="00A14B5E" w:rsidP="0098588B">
      <w:pPr>
        <w:rPr>
          <w:lang w:val="en-US"/>
        </w:rPr>
      </w:pPr>
    </w:p>
    <w:p w:rsidR="00A14B5E" w:rsidRPr="0098588B" w:rsidRDefault="00A14B5E" w:rsidP="0098588B">
      <w:pPr>
        <w:rPr>
          <w:lang w:val="en-US"/>
        </w:rPr>
      </w:pPr>
      <w:r w:rsidRPr="0098588B">
        <w:rPr>
          <w:lang w:val="en-US"/>
        </w:rPr>
        <w:t>First, “segregated” and “non-segregated” collateral trades are operationally equivalent, and neither can contribute to the price discovery process.  Applying ESMA’s proposal would hence result in a de facto ban of “non-segregated” collateral trades.</w:t>
      </w:r>
    </w:p>
    <w:p w:rsidR="00A14B5E" w:rsidRPr="0098588B" w:rsidRDefault="00A14B5E" w:rsidP="0098588B">
      <w:pPr>
        <w:rPr>
          <w:lang w:val="en-US"/>
        </w:rPr>
      </w:pPr>
    </w:p>
    <w:p w:rsidR="00A14B5E" w:rsidRPr="0098588B" w:rsidRDefault="00A14B5E" w:rsidP="0098588B">
      <w:pPr>
        <w:rPr>
          <w:lang w:val="en-US"/>
        </w:rPr>
      </w:pPr>
      <w:r w:rsidRPr="0098588B">
        <w:rPr>
          <w:lang w:val="en-US"/>
        </w:rPr>
        <w:t xml:space="preserve">Second, the European Market Infrastructure Regulation authorizes “non-segregated” collateral arrangements, and it is not within ESMA’s mandate to supersede EMIR Level 1 text through a </w:t>
      </w:r>
      <w:proofErr w:type="spellStart"/>
      <w:r w:rsidRPr="0098588B">
        <w:rPr>
          <w:lang w:val="en-US"/>
        </w:rPr>
        <w:t>MiFID</w:t>
      </w:r>
      <w:proofErr w:type="spellEnd"/>
      <w:r w:rsidRPr="0098588B">
        <w:rPr>
          <w:lang w:val="en-US"/>
        </w:rPr>
        <w:t xml:space="preserve"> II Level 2 text.</w:t>
      </w:r>
    </w:p>
    <w:p w:rsidR="00A14B5E" w:rsidRPr="0098588B" w:rsidRDefault="00A14B5E" w:rsidP="0098588B">
      <w:pPr>
        <w:rPr>
          <w:lang w:val="en-US"/>
        </w:rPr>
      </w:pPr>
    </w:p>
    <w:p w:rsidR="00A14B5E" w:rsidRPr="0098588B" w:rsidRDefault="00A14B5E" w:rsidP="0098588B">
      <w:pPr>
        <w:rPr>
          <w:lang w:val="en-US"/>
        </w:rPr>
      </w:pPr>
      <w:r w:rsidRPr="0098588B">
        <w:rPr>
          <w:lang w:val="en-US"/>
        </w:rPr>
        <w:t>In order to avoid this alteration of European markets, we recommend modifying the article 9 in draft RTS 9, from</w:t>
      </w:r>
    </w:p>
    <w:p w:rsidR="00A14B5E" w:rsidRPr="0098588B" w:rsidRDefault="00A14B5E" w:rsidP="0098588B">
      <w:pPr>
        <w:ind w:left="1068" w:hanging="360"/>
        <w:rPr>
          <w:lang w:val="en-US"/>
        </w:rPr>
      </w:pPr>
    </w:p>
    <w:p w:rsidR="00A14B5E" w:rsidRDefault="00A14B5E" w:rsidP="002777E0">
      <w:pPr>
        <w:pStyle w:val="ListParagraph"/>
        <w:rPr>
          <w:lang w:val="en-US"/>
        </w:rPr>
      </w:pPr>
      <w:r w:rsidRPr="002417D5">
        <w:rPr>
          <w:lang w:val="en-US"/>
        </w:rPr>
        <w:t xml:space="preserve">transfers of financial instruments such as segregated collateral in bilateral transactions or in the context of a CCP margin and collateral requirements </w:t>
      </w:r>
    </w:p>
    <w:p w:rsidR="00A14B5E" w:rsidRPr="0098588B" w:rsidRDefault="00A14B5E" w:rsidP="0098588B">
      <w:pPr>
        <w:ind w:left="708"/>
        <w:rPr>
          <w:lang w:val="en-US"/>
        </w:rPr>
      </w:pPr>
    </w:p>
    <w:p w:rsidR="00A14B5E" w:rsidRPr="00A14B5E" w:rsidRDefault="00A14B5E" w:rsidP="00A14B5E">
      <w:pPr>
        <w:rPr>
          <w:lang w:val="en-US"/>
        </w:rPr>
      </w:pPr>
      <w:proofErr w:type="gramStart"/>
      <w:r w:rsidRPr="00A14B5E">
        <w:rPr>
          <w:lang w:val="en-US"/>
        </w:rPr>
        <w:t>to</w:t>
      </w:r>
      <w:proofErr w:type="gramEnd"/>
    </w:p>
    <w:p w:rsidR="00A14B5E" w:rsidRPr="002417D5" w:rsidRDefault="00A14B5E" w:rsidP="0098588B">
      <w:pPr>
        <w:pStyle w:val="ListParagraph"/>
        <w:numPr>
          <w:ilvl w:val="0"/>
          <w:numId w:val="0"/>
        </w:numPr>
        <w:ind w:left="1068"/>
        <w:rPr>
          <w:lang w:val="en-US"/>
        </w:rPr>
      </w:pPr>
    </w:p>
    <w:p w:rsidR="00A14B5E" w:rsidRDefault="00A14B5E" w:rsidP="002777E0">
      <w:pPr>
        <w:pStyle w:val="ListParagraph"/>
        <w:rPr>
          <w:lang w:val="en-US"/>
        </w:rPr>
      </w:pPr>
      <w:r w:rsidRPr="002417D5">
        <w:rPr>
          <w:lang w:val="en-US"/>
        </w:rPr>
        <w:t>transfers of financial instruments such as segregated collateral in bilateral transactions or in the context of a CCP margin and collateral requirements</w:t>
      </w:r>
    </w:p>
    <w:permEnd w:id="85"/>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lastRenderedPageBreak/>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&lt;ESMA_QUESTION_CP_MIFID_77&gt;</w:t>
      </w:r>
    </w:p>
    <w:p w:rsidR="00E426AD" w:rsidRDefault="00E426AD" w:rsidP="00E426AD">
      <w:pPr>
        <w:rPr>
          <w:lang w:val="en-US"/>
        </w:rPr>
      </w:pPr>
      <w:permStart w:id="86" w:edGrp="everyone"/>
      <w:r>
        <w:rPr>
          <w:lang w:val="en-US"/>
        </w:rPr>
        <w:t xml:space="preserve">SG believes </w:t>
      </w:r>
      <w:proofErr w:type="gramStart"/>
      <w:r>
        <w:rPr>
          <w:lang w:val="en-US"/>
        </w:rPr>
        <w:t>that  a</w:t>
      </w:r>
      <w:proofErr w:type="gramEnd"/>
      <w:r w:rsidRPr="00A9667C">
        <w:rPr>
          <w:lang w:val="en-US"/>
        </w:rPr>
        <w:t xml:space="preserve"> 48 hour deferral</w:t>
      </w:r>
      <w:r>
        <w:rPr>
          <w:lang w:val="en-US"/>
        </w:rPr>
        <w:t xml:space="preserve"> represents an improvement over immediate publication for trades that are in  illiquid instruments or are large in scale, but notes that there will be  a market impact in some cases (particularly where the trade is above the LIS threshold AND the instrument is illiquid) where a period of the order of 3 months would be more appropriate.  </w:t>
      </w:r>
    </w:p>
    <w:p w:rsidR="00E426AD" w:rsidRDefault="00E426AD" w:rsidP="00E426AD">
      <w:pPr>
        <w:rPr>
          <w:lang w:val="en-US"/>
        </w:rPr>
      </w:pPr>
    </w:p>
    <w:p w:rsidR="00E426AD" w:rsidRDefault="00E426AD" w:rsidP="00E426AD">
      <w:pPr>
        <w:rPr>
          <w:lang w:val="en-US"/>
        </w:rPr>
      </w:pPr>
      <w:r>
        <w:rPr>
          <w:lang w:val="en-US"/>
        </w:rPr>
        <w:t xml:space="preserve">SG does not agree with the text of the </w:t>
      </w:r>
      <w:r w:rsidRPr="00A9667C">
        <w:rPr>
          <w:lang w:val="en-US"/>
        </w:rPr>
        <w:t>RTS</w:t>
      </w:r>
      <w:r>
        <w:rPr>
          <w:lang w:val="en-US"/>
        </w:rPr>
        <w:t xml:space="preserve"> which refers to a “period of no longer than</w:t>
      </w:r>
      <w:r w:rsidRPr="00A9667C">
        <w:rPr>
          <w:lang w:val="en-US"/>
        </w:rPr>
        <w:t xml:space="preserve"> 48 hours</w:t>
      </w:r>
      <w:r>
        <w:rPr>
          <w:lang w:val="en-US"/>
        </w:rPr>
        <w:t>”</w:t>
      </w:r>
      <w:r w:rsidRPr="00A9667C">
        <w:rPr>
          <w:lang w:val="en-US"/>
        </w:rPr>
        <w:t xml:space="preserve"> – there should only be one time (</w:t>
      </w:r>
      <w:r>
        <w:rPr>
          <w:lang w:val="en-US"/>
        </w:rPr>
        <w:t xml:space="preserve">RTS 9, </w:t>
      </w:r>
      <w:r w:rsidRPr="00A9667C">
        <w:rPr>
          <w:lang w:val="en-US"/>
        </w:rPr>
        <w:t>article 8(1) page 138)</w:t>
      </w:r>
      <w:r>
        <w:rPr>
          <w:lang w:val="en-US"/>
        </w:rPr>
        <w:t xml:space="preserve"> which should be clearly defined as being “48 hours”, o</w:t>
      </w:r>
      <w:r w:rsidRPr="00A9667C">
        <w:rPr>
          <w:lang w:val="en-US"/>
        </w:rPr>
        <w:t xml:space="preserve">therwise </w:t>
      </w:r>
      <w:r>
        <w:rPr>
          <w:lang w:val="en-US"/>
        </w:rPr>
        <w:t xml:space="preserve">there is a risk </w:t>
      </w:r>
      <w:r w:rsidRPr="00A9667C">
        <w:rPr>
          <w:lang w:val="en-US"/>
        </w:rPr>
        <w:t>this will result in an inconsistent approach between member states</w:t>
      </w:r>
      <w:r>
        <w:rPr>
          <w:lang w:val="en-US"/>
        </w:rPr>
        <w:t>.</w:t>
      </w:r>
    </w:p>
    <w:p w:rsidR="00E426AD" w:rsidRPr="00A9667C" w:rsidRDefault="00E426AD" w:rsidP="00E426AD">
      <w:pPr>
        <w:rPr>
          <w:lang w:val="en-US"/>
        </w:rPr>
      </w:pPr>
    </w:p>
    <w:p w:rsidR="00E426AD" w:rsidRDefault="00E426AD" w:rsidP="00E426AD">
      <w:pPr>
        <w:rPr>
          <w:lang w:val="en-US"/>
        </w:rPr>
      </w:pPr>
      <w:r>
        <w:rPr>
          <w:lang w:val="en-US"/>
        </w:rPr>
        <w:t>It is clear that p</w:t>
      </w:r>
      <w:r w:rsidRPr="00A9667C">
        <w:rPr>
          <w:lang w:val="en-US"/>
        </w:rPr>
        <w:t>re</w:t>
      </w:r>
      <w:r>
        <w:rPr>
          <w:lang w:val="en-US"/>
        </w:rPr>
        <w:t>-</w:t>
      </w:r>
      <w:r w:rsidRPr="00A9667C">
        <w:rPr>
          <w:lang w:val="en-US"/>
        </w:rPr>
        <w:t xml:space="preserve"> and post</w:t>
      </w:r>
      <w:r>
        <w:rPr>
          <w:lang w:val="en-US"/>
        </w:rPr>
        <w:t>-</w:t>
      </w:r>
      <w:r w:rsidRPr="00A9667C">
        <w:rPr>
          <w:lang w:val="en-US"/>
        </w:rPr>
        <w:t xml:space="preserve"> trade</w:t>
      </w:r>
      <w:r>
        <w:rPr>
          <w:lang w:val="en-US"/>
        </w:rPr>
        <w:t xml:space="preserve"> SSTI</w:t>
      </w:r>
      <w:r w:rsidRPr="00A9667C">
        <w:rPr>
          <w:lang w:val="en-US"/>
        </w:rPr>
        <w:t xml:space="preserve"> thresholds should not be the same</w:t>
      </w:r>
      <w:r>
        <w:rPr>
          <w:lang w:val="en-US"/>
        </w:rPr>
        <w:t xml:space="preserve"> as risks are greater pre-trade than post-trade.  </w:t>
      </w:r>
    </w:p>
    <w:p w:rsidR="00E426AD" w:rsidRDefault="00E426AD" w:rsidP="00E426AD">
      <w:pPr>
        <w:ind w:left="720"/>
        <w:rPr>
          <w:lang w:val="en-US"/>
        </w:rPr>
      </w:pPr>
    </w:p>
    <w:p w:rsidR="00E426AD" w:rsidRDefault="00E426AD" w:rsidP="00E426AD">
      <w:pPr>
        <w:rPr>
          <w:lang w:val="en-US"/>
        </w:rPr>
      </w:pPr>
      <w:r>
        <w:rPr>
          <w:lang w:val="en-US"/>
        </w:rPr>
        <w:t>SG</w:t>
      </w:r>
      <w:r w:rsidRPr="002417D5">
        <w:rPr>
          <w:lang w:val="en-US"/>
        </w:rPr>
        <w:t xml:space="preserve"> believes that SSTI set at 50% of large in scale (LIS) is</w:t>
      </w:r>
      <w:r>
        <w:rPr>
          <w:lang w:val="en-US"/>
        </w:rPr>
        <w:t xml:space="preserve"> inappropriate</w:t>
      </w:r>
    </w:p>
    <w:p w:rsidR="00E426AD" w:rsidRDefault="00E426AD" w:rsidP="00E426AD">
      <w:pPr>
        <w:rPr>
          <w:lang w:val="en-US"/>
        </w:rPr>
      </w:pPr>
    </w:p>
    <w:p w:rsidR="00E426AD" w:rsidRDefault="00E426AD" w:rsidP="002777E0">
      <w:pPr>
        <w:pStyle w:val="ListParagraph"/>
        <w:rPr>
          <w:lang w:val="en-US"/>
        </w:rPr>
      </w:pPr>
      <w:r w:rsidRPr="002417D5">
        <w:rPr>
          <w:lang w:val="en-US"/>
        </w:rPr>
        <w:t>There is no analysis in the Consultation to indicate that undue risk has been considered – SG believes that the level 1 text requires ESMA’s to consider undue risk to liquidity providers in the context of setting the SSTI threshold.  There is no indication that such an analysis has been conducted.  We urge ESMA to conduct and/or disclose this analysis.</w:t>
      </w:r>
    </w:p>
    <w:p w:rsidR="00E426AD" w:rsidRDefault="00E426AD" w:rsidP="002777E0">
      <w:pPr>
        <w:pStyle w:val="ListParagraph"/>
        <w:rPr>
          <w:lang w:val="en-US"/>
        </w:rPr>
      </w:pPr>
      <w:r w:rsidRPr="002417D5">
        <w:rPr>
          <w:lang w:val="en-US"/>
        </w:rPr>
        <w:t xml:space="preserve">The proportion of trades captured by the SSTI threshold is so high that it is not consistent with the undue risk calibration – especially for pre trade transparency and illiquid post trade.  </w:t>
      </w:r>
      <w:r>
        <w:rPr>
          <w:lang w:val="en-US"/>
        </w:rPr>
        <w:t xml:space="preserve">SG has reviewed the analysis undertaken by </w:t>
      </w:r>
      <w:r w:rsidRPr="002417D5">
        <w:rPr>
          <w:lang w:val="en-US"/>
        </w:rPr>
        <w:t>AFME</w:t>
      </w:r>
      <w:r>
        <w:rPr>
          <w:lang w:val="en-US"/>
        </w:rPr>
        <w:t xml:space="preserve"> in its response to this consultation and SG</w:t>
      </w:r>
      <w:r w:rsidRPr="002417D5">
        <w:rPr>
          <w:lang w:val="en-US"/>
        </w:rPr>
        <w:t xml:space="preserve"> do</w:t>
      </w:r>
      <w:r>
        <w:rPr>
          <w:lang w:val="en-US"/>
        </w:rPr>
        <w:t>es</w:t>
      </w:r>
      <w:r w:rsidRPr="002417D5">
        <w:rPr>
          <w:lang w:val="en-US"/>
        </w:rPr>
        <w:t xml:space="preserve"> not accept that there is no undue risk to market makers in relation to pre trade and post trade transparency for trades sizes that relate to the these proportions of the market.  </w:t>
      </w:r>
    </w:p>
    <w:p w:rsidR="00E426AD" w:rsidRDefault="00E426AD" w:rsidP="002777E0">
      <w:pPr>
        <w:pStyle w:val="ListParagraph"/>
        <w:rPr>
          <w:lang w:val="en-US"/>
        </w:rPr>
      </w:pPr>
      <w:r w:rsidRPr="002417D5">
        <w:rPr>
          <w:lang w:val="en-US"/>
        </w:rPr>
        <w:t xml:space="preserve">Setting the SSTI to 50% LIS means that SIs will be unable to </w:t>
      </w:r>
      <w:proofErr w:type="spellStart"/>
      <w:r w:rsidRPr="002417D5">
        <w:rPr>
          <w:lang w:val="en-US"/>
        </w:rPr>
        <w:t>fulfil</w:t>
      </w:r>
      <w:proofErr w:type="spellEnd"/>
      <w:r w:rsidRPr="002417D5">
        <w:rPr>
          <w:lang w:val="en-US"/>
        </w:rPr>
        <w:t xml:space="preserve"> their pre trade transparency requirements.  At the levels ESMA has proposed, the pre trade regime becomes unworkable because SIs will be unable to execute with multiple clients with respect to trade sizes up to half block trades.  Therefore, the proposed SSTI runs contrary to the objective of the SI pre trade transparency requirements under Level 1 which is to ensure that SIs offer the same prices to multiple clients and execute on those prices.  </w:t>
      </w:r>
    </w:p>
    <w:p w:rsidR="00E426AD" w:rsidRDefault="00E426AD" w:rsidP="00E426AD">
      <w:pPr>
        <w:rPr>
          <w:lang w:val="en-US"/>
        </w:rPr>
      </w:pPr>
    </w:p>
    <w:p w:rsidR="00E426AD" w:rsidRDefault="00E426AD" w:rsidP="00E426AD">
      <w:pPr>
        <w:rPr>
          <w:lang w:val="en-US"/>
        </w:rPr>
      </w:pPr>
      <w:r w:rsidRPr="002417D5">
        <w:rPr>
          <w:lang w:val="en-US"/>
        </w:rPr>
        <w:t xml:space="preserve">In paragraph 43 of Section 3 of the Consultation Paper, ESMA notes trades below EUR 100,000 were excluded from its calculations.  ESMA has not provided any explanation for doing this.  At the ESMA hearing on Thursday 19 February 2015, ESMA stated that these trades were excluded because, without doing so, the resulting SSTI and LIS sizes produced would be too low.  We do not believe that this is a sufficient reason to exclude approximately 20% of sovereign trades, 55% of other EU public bond trades, 40% of senior financial corporate bond trades, 55% of senior non-financial corporate bond trades, 30% of </w:t>
      </w:r>
      <w:r w:rsidRPr="002417D5">
        <w:rPr>
          <w:lang w:val="en-US"/>
        </w:rPr>
        <w:lastRenderedPageBreak/>
        <w:t xml:space="preserve">subordinate financial corporate bond trades and 45% of subordinate non-financial corporate bond trades.  A trade that is large in scale and undue risk cannot be determined if such large proportions of trading are excluded from the calculations. </w:t>
      </w:r>
    </w:p>
    <w:p w:rsidR="00E426AD" w:rsidRDefault="00E426AD" w:rsidP="00E426AD">
      <w:pPr>
        <w:rPr>
          <w:lang w:val="en-US"/>
        </w:rPr>
      </w:pPr>
    </w:p>
    <w:p w:rsidR="00E426AD" w:rsidRDefault="00E426AD" w:rsidP="00E426AD">
      <w:pPr>
        <w:rPr>
          <w:lang w:val="en-US"/>
        </w:rPr>
      </w:pPr>
      <w:r>
        <w:rPr>
          <w:lang w:val="en-US"/>
        </w:rPr>
        <w:t>SG believes that, based on the existing ESMA model, the SSTI for pre-trade (with trades below EUR100k excluded) should capture the 10</w:t>
      </w:r>
      <w:r w:rsidRPr="00F310D7">
        <w:rPr>
          <w:vertAlign w:val="superscript"/>
          <w:lang w:val="en-US"/>
        </w:rPr>
        <w:t>th</w:t>
      </w:r>
      <w:r>
        <w:rPr>
          <w:lang w:val="en-US"/>
        </w:rPr>
        <w:t xml:space="preserve"> percentile of the transactions.  This could increase to the 50</w:t>
      </w:r>
      <w:r w:rsidRPr="00F310D7">
        <w:rPr>
          <w:vertAlign w:val="superscript"/>
          <w:lang w:val="en-US"/>
        </w:rPr>
        <w:t>th</w:t>
      </w:r>
      <w:r>
        <w:rPr>
          <w:lang w:val="en-US"/>
        </w:rPr>
        <w:t xml:space="preserve"> percentile should the previously proposed IBIA approach to the liquidity definition be adopted and trades below EUR100k are included.</w:t>
      </w:r>
    </w:p>
    <w:p w:rsidR="00E426AD" w:rsidRDefault="00E426AD" w:rsidP="00E426AD">
      <w:pPr>
        <w:rPr>
          <w:lang w:val="en-US"/>
        </w:rPr>
      </w:pPr>
    </w:p>
    <w:p w:rsidR="00E426AD" w:rsidRDefault="00E426AD" w:rsidP="00E426AD">
      <w:pPr>
        <w:rPr>
          <w:lang w:val="en-US"/>
        </w:rPr>
      </w:pPr>
      <w:r>
        <w:rPr>
          <w:lang w:val="en-US"/>
        </w:rPr>
        <w:t>In terms of post trade transparency, a higher threshold can be adopted, where, for liquid instruments the SSTI for post trade transparency (with trade below EUR100k included and the IBIA approach adopted for the liquidity definition) could be set at the 80</w:t>
      </w:r>
      <w:r w:rsidRPr="00F310D7">
        <w:rPr>
          <w:vertAlign w:val="superscript"/>
          <w:lang w:val="en-US"/>
        </w:rPr>
        <w:t>th</w:t>
      </w:r>
      <w:r>
        <w:rPr>
          <w:lang w:val="en-US"/>
        </w:rPr>
        <w:t xml:space="preserve"> percentile level.  With a less accurate liquidity definition plus the exclusion of trades below EUR100k this should reduce to the 50</w:t>
      </w:r>
      <w:r>
        <w:rPr>
          <w:vertAlign w:val="superscript"/>
          <w:lang w:val="en-US"/>
        </w:rPr>
        <w:t xml:space="preserve">th </w:t>
      </w:r>
      <w:r>
        <w:rPr>
          <w:lang w:val="en-US"/>
        </w:rPr>
        <w:t>percentile.</w:t>
      </w:r>
    </w:p>
    <w:p w:rsidR="00E426AD" w:rsidRDefault="00E426AD" w:rsidP="00E426AD">
      <w:pPr>
        <w:rPr>
          <w:lang w:val="en-US"/>
        </w:rPr>
      </w:pPr>
    </w:p>
    <w:p w:rsidR="00E426AD" w:rsidRDefault="00E426AD" w:rsidP="002777E0">
      <w:pPr>
        <w:pStyle w:val="ListParagraph"/>
        <w:rPr>
          <w:lang w:val="en-US"/>
        </w:rPr>
      </w:pPr>
      <w:r w:rsidRPr="006778A1">
        <w:rPr>
          <w:lang w:val="en-US"/>
        </w:rPr>
        <w:t>The appeal of using the median size is that ESMA can be sure that half of transactions in any liquid</w:t>
      </w:r>
      <w:r>
        <w:rPr>
          <w:lang w:val="en-US"/>
        </w:rPr>
        <w:t xml:space="preserve"> security</w:t>
      </w:r>
      <w:r w:rsidRPr="006778A1">
        <w:rPr>
          <w:lang w:val="en-US"/>
        </w:rPr>
        <w:t xml:space="preserve"> would be subject to pre-trade transparency, and would not experience deferred publication. We consider it would accord better with a normal market transaction at which liquidity providers could be reasonably expected to hedge their risks (as per </w:t>
      </w:r>
      <w:proofErr w:type="spellStart"/>
      <w:r w:rsidRPr="006778A1">
        <w:rPr>
          <w:lang w:val="en-US"/>
        </w:rPr>
        <w:t>MiFIR</w:t>
      </w:r>
      <w:proofErr w:type="spellEnd"/>
      <w:r w:rsidRPr="006778A1">
        <w:rPr>
          <w:lang w:val="en-US"/>
        </w:rPr>
        <w:t xml:space="preserve"> Article 9(5</w:t>
      </w:r>
      <w:proofErr w:type="gramStart"/>
      <w:r w:rsidRPr="006778A1">
        <w:rPr>
          <w:lang w:val="en-US"/>
        </w:rPr>
        <w:t>)(</w:t>
      </w:r>
      <w:proofErr w:type="gramEnd"/>
      <w:r w:rsidRPr="006778A1">
        <w:rPr>
          <w:lang w:val="en-US"/>
        </w:rPr>
        <w:t>d). Furthermore, breaking the link to LIS would prevent the SSTI being skewed by individual, large transactions (which could result under ESMA’s current proposal for LIS calibration).</w:t>
      </w:r>
    </w:p>
    <w:p w:rsidR="00E426AD" w:rsidRDefault="00E426AD" w:rsidP="00E426AD">
      <w:pPr>
        <w:rPr>
          <w:lang w:val="en-US"/>
        </w:rPr>
      </w:pPr>
    </w:p>
    <w:p w:rsidR="00E426AD" w:rsidRDefault="00E426AD" w:rsidP="00E426AD">
      <w:pPr>
        <w:rPr>
          <w:lang w:val="en-US"/>
        </w:rPr>
      </w:pPr>
    </w:p>
    <w:p w:rsidR="00E426AD" w:rsidRDefault="00E426AD" w:rsidP="00E426AD">
      <w:pPr>
        <w:rPr>
          <w:lang w:val="en-US"/>
        </w:rPr>
      </w:pPr>
      <w:r>
        <w:rPr>
          <w:lang w:val="en-US"/>
        </w:rPr>
        <w:t>For illiquid instruments, the SSTI for post trade should be the same as for pre-trade.</w:t>
      </w:r>
    </w:p>
    <w:p w:rsidR="00E426AD" w:rsidRDefault="00E426AD" w:rsidP="00E426AD">
      <w:pPr>
        <w:rPr>
          <w:lang w:val="en-US"/>
        </w:rPr>
      </w:pPr>
    </w:p>
    <w:p w:rsidR="00E426AD" w:rsidRDefault="00E426AD" w:rsidP="00E426AD">
      <w:pPr>
        <w:rPr>
          <w:lang w:val="en-US"/>
        </w:rPr>
      </w:pPr>
      <w:r>
        <w:rPr>
          <w:lang w:val="en-US"/>
        </w:rPr>
        <w:t>SG supports the work of AFME in their detailed answer to this question.</w:t>
      </w:r>
    </w:p>
    <w:p w:rsidR="00E426AD" w:rsidRDefault="00E426AD" w:rsidP="00E426AD">
      <w:pPr>
        <w:rPr>
          <w:lang w:val="en-US"/>
        </w:rPr>
      </w:pPr>
    </w:p>
    <w:p w:rsidR="00E426AD" w:rsidRPr="001E2482" w:rsidRDefault="00E426AD" w:rsidP="00E426AD">
      <w:pPr>
        <w:rPr>
          <w:lang w:val="en-US"/>
        </w:rPr>
      </w:pPr>
      <w:r>
        <w:rPr>
          <w:lang w:val="en-US"/>
        </w:rPr>
        <w:t>SG believes m</w:t>
      </w:r>
      <w:r w:rsidRPr="001E2482">
        <w:rPr>
          <w:lang w:val="en-US"/>
        </w:rPr>
        <w:t>atched principle trades should not be excluded from the SSTI waiver</w:t>
      </w:r>
    </w:p>
    <w:p w:rsidR="00E426AD" w:rsidRPr="001E2482" w:rsidRDefault="00E426AD" w:rsidP="00E426AD">
      <w:pPr>
        <w:rPr>
          <w:lang w:val="en-US"/>
        </w:rPr>
      </w:pPr>
    </w:p>
    <w:p w:rsidR="00E426AD" w:rsidRDefault="00E426AD" w:rsidP="002777E0">
      <w:pPr>
        <w:pStyle w:val="ListParagraph"/>
        <w:rPr>
          <w:lang w:val="en-US"/>
        </w:rPr>
      </w:pPr>
      <w:r w:rsidRPr="001E2482">
        <w:rPr>
          <w:lang w:val="en-US"/>
        </w:rPr>
        <w:t xml:space="preserve">In paragraph 37 Section 3 of the Consultation Paper, ESMA states that it believes that the applicability of the SSTI should be restricted to market participants trading on own account other than matched principal.  </w:t>
      </w:r>
      <w:r>
        <w:rPr>
          <w:lang w:val="en-US"/>
        </w:rPr>
        <w:t>SG</w:t>
      </w:r>
      <w:r w:rsidRPr="001E2482">
        <w:rPr>
          <w:lang w:val="en-US"/>
        </w:rPr>
        <w:t xml:space="preserve"> does not agree with the exclusion of matched principal trading from the SSTI.  The Level 1 </w:t>
      </w:r>
      <w:proofErr w:type="spellStart"/>
      <w:r w:rsidRPr="001E2482">
        <w:rPr>
          <w:lang w:val="en-US"/>
        </w:rPr>
        <w:t>MiFIR</w:t>
      </w:r>
      <w:proofErr w:type="spellEnd"/>
      <w:r w:rsidRPr="001E2482">
        <w:rPr>
          <w:lang w:val="en-US"/>
        </w:rPr>
        <w:t xml:space="preserve"> text is clear that the SSTI waiver can be applied to all trading venues (RMs, MTFs and OTFs) and does not provide any such restriction.  It is also clear that except for OTFs with respect to illiquid sovereigns, no venue can act on a principal basis (i.e. on own account).  Therefore, it is highly inconsistent for Level 1 and ESMA to permit venues acting on a pure agency basis to apply the SSTI but for ESMA to then exclude venues </w:t>
      </w:r>
      <w:proofErr w:type="spellStart"/>
      <w:r w:rsidRPr="001E2482">
        <w:rPr>
          <w:lang w:val="en-US"/>
        </w:rPr>
        <w:t>utilising</w:t>
      </w:r>
      <w:proofErr w:type="spellEnd"/>
      <w:r w:rsidRPr="001E2482">
        <w:rPr>
          <w:lang w:val="en-US"/>
        </w:rPr>
        <w:t xml:space="preserve"> matched principal-based trading from applying the SSTI waiver.  </w:t>
      </w:r>
    </w:p>
    <w:p w:rsidR="00E426AD" w:rsidRDefault="00E426AD" w:rsidP="002777E0">
      <w:pPr>
        <w:pStyle w:val="ListParagraph"/>
        <w:rPr>
          <w:lang w:val="en-US"/>
        </w:rPr>
      </w:pPr>
      <w:r w:rsidRPr="001E2482">
        <w:rPr>
          <w:lang w:val="en-US"/>
        </w:rPr>
        <w:t xml:space="preserve">Whilst we agree with ESMA that the SSTI relates to undue risk to liquidity providers, we highlight that it is not the venue that is exposed to undue risk but those participating on the venues.  Market makers use venues as a medium to trade on own account for the purposes of facilitating client trades.  Therefore, the disclosure of pre trade quotes or post trade prices could expose the participants on the venue to risks such as the winner’s curse but never the venue itself.  </w:t>
      </w:r>
    </w:p>
    <w:p w:rsidR="00E426AD" w:rsidRPr="00DE5354" w:rsidRDefault="00E426AD" w:rsidP="00E426AD">
      <w:pPr>
        <w:rPr>
          <w:lang w:val="en-US"/>
        </w:rPr>
      </w:pPr>
      <w:r>
        <w:rPr>
          <w:lang w:val="en-US"/>
        </w:rPr>
        <w:t>SG</w:t>
      </w:r>
      <w:r w:rsidRPr="00DE5354">
        <w:rPr>
          <w:lang w:val="en-US"/>
        </w:rPr>
        <w:t xml:space="preserve"> does not agree that the RTS should include LIS floors.  We believe that the concept of a floor runs contrary to the objective purpose of the LIS, which is intended to be the threshold </w:t>
      </w:r>
      <w:r w:rsidRPr="00DE5354">
        <w:rPr>
          <w:lang w:val="en-US"/>
        </w:rPr>
        <w:lastRenderedPageBreak/>
        <w:t>at which trades are large in scale compared with normal market size. For example, if a floor is introduced, the LIS values can only ever be greater than the floors even if the normal market size decreases over time.  Further, we believe that by setting the floor, ESMA is exceeding its mandate since there is no such concept in Level 1.</w:t>
      </w:r>
    </w:p>
    <w:p w:rsidR="00E426AD" w:rsidRDefault="00E426AD" w:rsidP="00E426AD">
      <w:pPr>
        <w:rPr>
          <w:lang w:val="en-US"/>
        </w:rPr>
      </w:pPr>
    </w:p>
    <w:p w:rsidR="00E426AD" w:rsidRPr="00DE5354" w:rsidRDefault="00E426AD" w:rsidP="00E426AD">
      <w:pPr>
        <w:rPr>
          <w:lang w:val="en-US"/>
        </w:rPr>
      </w:pPr>
      <w:r>
        <w:rPr>
          <w:lang w:val="en-US"/>
        </w:rPr>
        <w:t>Based on the Level 1 text, SG</w:t>
      </w:r>
      <w:r w:rsidRPr="00DE5354">
        <w:rPr>
          <w:lang w:val="en-US"/>
        </w:rPr>
        <w:t xml:space="preserve"> understand</w:t>
      </w:r>
      <w:r>
        <w:rPr>
          <w:lang w:val="en-US"/>
        </w:rPr>
        <w:t>s</w:t>
      </w:r>
      <w:r w:rsidRPr="00DE5354">
        <w:rPr>
          <w:lang w:val="en-US"/>
        </w:rPr>
        <w:t xml:space="preserve"> that LIS is intended to set the threshold at which the trade size is large in scale compared with normal market size such that a deferral would be needed for post trade transparency.  We agree with ESMA that </w:t>
      </w:r>
      <w:proofErr w:type="spellStart"/>
      <w:r w:rsidRPr="00DE5354">
        <w:rPr>
          <w:lang w:val="en-US"/>
        </w:rPr>
        <w:t>analysing</w:t>
      </w:r>
      <w:proofErr w:type="spellEnd"/>
      <w:r w:rsidRPr="00DE5354">
        <w:rPr>
          <w:lang w:val="en-US"/>
        </w:rPr>
        <w:t xml:space="preserve"> the universe of trade sizes is a useful and meaningful methodology for identifying LIS.  Further, we agree that for liquid instruments, the 90th percentile is an appropriate threshold, as long as the liquidity definition has minimal error margins.</w:t>
      </w:r>
      <w:r>
        <w:rPr>
          <w:lang w:val="en-US"/>
        </w:rPr>
        <w:t xml:space="preserve">  SG does not believe that a threshold of 70% </w:t>
      </w:r>
      <w:proofErr w:type="gramStart"/>
      <w:r>
        <w:rPr>
          <w:lang w:val="en-US"/>
        </w:rPr>
        <w:t>of  trade</w:t>
      </w:r>
      <w:proofErr w:type="gramEnd"/>
      <w:r>
        <w:rPr>
          <w:lang w:val="en-US"/>
        </w:rPr>
        <w:t xml:space="preserve"> volumes is in any way relevant to the LIS threshold.</w:t>
      </w:r>
    </w:p>
    <w:p w:rsidR="00E426AD" w:rsidRDefault="00E426AD" w:rsidP="00E426AD">
      <w:pPr>
        <w:rPr>
          <w:lang w:val="en-US"/>
        </w:rPr>
      </w:pPr>
    </w:p>
    <w:p w:rsidR="00487479" w:rsidRDefault="00487479" w:rsidP="00487479">
      <w:pPr>
        <w:rPr>
          <w:lang w:val="en-US"/>
        </w:rPr>
      </w:pPr>
    </w:p>
    <w:permEnd w:id="86"/>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E426AD" w:rsidRDefault="00E426AD" w:rsidP="00E426AD">
      <w:pPr>
        <w:rPr>
          <w:lang w:val="en-US"/>
        </w:rPr>
      </w:pPr>
      <w:permStart w:id="87" w:edGrp="everyone"/>
      <w:r>
        <w:rPr>
          <w:lang w:val="en-US"/>
        </w:rPr>
        <w:t xml:space="preserve">First of all, SG notes that no accommodation has been made for package transactions, which represent a significant proportion of market activity.  Having seen the difficulties encountered by the CFTC through the implementation of the Dodd-Frank act, and noting the unavailability </w:t>
      </w:r>
      <w:r>
        <w:rPr>
          <w:lang w:val="en-US"/>
        </w:rPr>
        <w:lastRenderedPageBreak/>
        <w:t>of “No Action Letters” within the European Regulatory regime, SG</w:t>
      </w:r>
      <w:r w:rsidRPr="009B3025">
        <w:rPr>
          <w:lang w:val="en-US"/>
        </w:rPr>
        <w:t xml:space="preserve"> would like to propose that ESMA considers specific and tailored treatment for package</w:t>
      </w:r>
    </w:p>
    <w:p w:rsidR="00E426AD" w:rsidRDefault="00E426AD" w:rsidP="00E426AD">
      <w:pPr>
        <w:rPr>
          <w:lang w:val="en-US"/>
        </w:rPr>
      </w:pPr>
    </w:p>
    <w:p w:rsidR="00E426AD" w:rsidRPr="009B3025" w:rsidRDefault="00E426AD" w:rsidP="002777E0">
      <w:pPr>
        <w:pStyle w:val="ListParagraph"/>
        <w:rPr>
          <w:lang w:val="en-US"/>
        </w:rPr>
      </w:pPr>
      <w:r>
        <w:rPr>
          <w:lang w:val="en-US"/>
        </w:rPr>
        <w:t>SG notes that, i</w:t>
      </w:r>
      <w:r w:rsidRPr="009B3025">
        <w:rPr>
          <w:lang w:val="en-US"/>
        </w:rPr>
        <w:t xml:space="preserve">n response to ESMA’s May 2014 Discussion Paper, ISDA included a number of detailed comments on the nature of package transactions </w:t>
      </w:r>
      <w:r>
        <w:rPr>
          <w:lang w:val="en-US"/>
        </w:rPr>
        <w:t xml:space="preserve">to </w:t>
      </w:r>
      <w:r w:rsidRPr="009B3025">
        <w:rPr>
          <w:lang w:val="en-US"/>
        </w:rPr>
        <w:t xml:space="preserve">which we </w:t>
      </w:r>
      <w:r>
        <w:rPr>
          <w:lang w:val="en-US"/>
        </w:rPr>
        <w:t xml:space="preserve">would like to </w:t>
      </w:r>
      <w:r w:rsidRPr="009B3025">
        <w:rPr>
          <w:lang w:val="en-US"/>
        </w:rPr>
        <w:t>dra</w:t>
      </w:r>
      <w:r>
        <w:rPr>
          <w:lang w:val="en-US"/>
        </w:rPr>
        <w:t>w ESMA’s attention</w:t>
      </w:r>
      <w:r w:rsidRPr="009B3025">
        <w:rPr>
          <w:lang w:val="en-US"/>
        </w:rPr>
        <w:t>. We reiterate the points made in that response and</w:t>
      </w:r>
      <w:r>
        <w:rPr>
          <w:lang w:val="en-US"/>
        </w:rPr>
        <w:t xml:space="preserve"> support the proposal</w:t>
      </w:r>
      <w:r w:rsidRPr="009B3025">
        <w:rPr>
          <w:lang w:val="en-US"/>
        </w:rPr>
        <w:t xml:space="preserve"> put forward </w:t>
      </w:r>
      <w:r>
        <w:rPr>
          <w:lang w:val="en-US"/>
        </w:rPr>
        <w:t>by ISDA in its response to this CP.</w:t>
      </w:r>
    </w:p>
    <w:p w:rsidR="00E426AD" w:rsidRDefault="00E426AD" w:rsidP="00E426AD">
      <w:pPr>
        <w:rPr>
          <w:lang w:val="en-US"/>
        </w:rPr>
      </w:pPr>
    </w:p>
    <w:p w:rsidR="00E426AD" w:rsidRDefault="00E426AD" w:rsidP="00E426AD">
      <w:pPr>
        <w:rPr>
          <w:lang w:val="en-US"/>
        </w:rPr>
      </w:pPr>
      <w:r>
        <w:rPr>
          <w:lang w:val="en-US"/>
        </w:rPr>
        <w:t xml:space="preserve">Secondly, SG believes that in the context of the </w:t>
      </w:r>
      <w:r w:rsidRPr="009B3025">
        <w:rPr>
          <w:lang w:val="en-US"/>
        </w:rPr>
        <w:t xml:space="preserve">definition of liquid markets (and therefore the transparency framework) and the trading obligation, option 2 (as set out on page 126 of ESMA’s December </w:t>
      </w:r>
      <w:proofErr w:type="spellStart"/>
      <w:r w:rsidRPr="009B3025">
        <w:rPr>
          <w:lang w:val="en-US"/>
        </w:rPr>
        <w:t>MiFID</w:t>
      </w:r>
      <w:proofErr w:type="spellEnd"/>
      <w:r w:rsidRPr="009B3025">
        <w:rPr>
          <w:lang w:val="en-US"/>
        </w:rPr>
        <w:t xml:space="preserve"> II/</w:t>
      </w:r>
      <w:proofErr w:type="spellStart"/>
      <w:r w:rsidRPr="009B3025">
        <w:rPr>
          <w:lang w:val="en-US"/>
        </w:rPr>
        <w:t>MiFIR</w:t>
      </w:r>
      <w:proofErr w:type="spellEnd"/>
      <w:r w:rsidRPr="009B3025">
        <w:rPr>
          <w:lang w:val="en-US"/>
        </w:rPr>
        <w:t xml:space="preserve"> consultation paper) is preferred</w:t>
      </w:r>
      <w:r>
        <w:rPr>
          <w:lang w:val="en-US"/>
        </w:rPr>
        <w:t xml:space="preserve"> however option 1, while not our preference, is acceptable</w:t>
      </w:r>
      <w:r w:rsidRPr="009B3025">
        <w:rPr>
          <w:lang w:val="en-US"/>
        </w:rPr>
        <w:t xml:space="preserve">. </w:t>
      </w:r>
    </w:p>
    <w:p w:rsidR="00E426AD" w:rsidRDefault="00E426AD" w:rsidP="00E426AD">
      <w:pPr>
        <w:rPr>
          <w:lang w:val="en-US"/>
        </w:rPr>
      </w:pPr>
    </w:p>
    <w:p w:rsidR="00E426AD" w:rsidRDefault="00E426AD" w:rsidP="002777E0">
      <w:pPr>
        <w:pStyle w:val="ListParagraph"/>
        <w:rPr>
          <w:lang w:val="en-US"/>
        </w:rPr>
      </w:pPr>
      <w:r>
        <w:rPr>
          <w:lang w:val="en-US"/>
        </w:rPr>
        <w:t>However, SG</w:t>
      </w:r>
      <w:r w:rsidRPr="009B3025">
        <w:rPr>
          <w:lang w:val="en-US"/>
        </w:rPr>
        <w:t xml:space="preserve"> also </w:t>
      </w:r>
      <w:r>
        <w:rPr>
          <w:lang w:val="en-US"/>
        </w:rPr>
        <w:t>wishes</w:t>
      </w:r>
      <w:r w:rsidRPr="009B3025">
        <w:rPr>
          <w:lang w:val="en-US"/>
        </w:rPr>
        <w:t xml:space="preserve"> to distinguish between integer tenors and broken dates for the trading obligation. Adopting option 2 for the trading obligation would help to align </w:t>
      </w:r>
      <w:proofErr w:type="spellStart"/>
      <w:r w:rsidRPr="009B3025">
        <w:rPr>
          <w:lang w:val="en-US"/>
        </w:rPr>
        <w:t>MiFID</w:t>
      </w:r>
      <w:proofErr w:type="spellEnd"/>
      <w:r w:rsidRPr="009B3025">
        <w:rPr>
          <w:lang w:val="en-US"/>
        </w:rPr>
        <w:t xml:space="preserve"> II/</w:t>
      </w:r>
      <w:proofErr w:type="spellStart"/>
      <w:r w:rsidRPr="009B3025">
        <w:rPr>
          <w:lang w:val="en-US"/>
        </w:rPr>
        <w:t>MiFIR</w:t>
      </w:r>
      <w:proofErr w:type="spellEnd"/>
      <w:r w:rsidRPr="009B3025">
        <w:rPr>
          <w:lang w:val="en-US"/>
        </w:rPr>
        <w:t xml:space="preserve"> to US</w:t>
      </w:r>
      <w:r>
        <w:rPr>
          <w:lang w:val="en-US"/>
        </w:rPr>
        <w:t xml:space="preserve"> regulation. </w:t>
      </w:r>
    </w:p>
    <w:p w:rsidR="00E426AD" w:rsidRPr="00B91343" w:rsidRDefault="00E426AD" w:rsidP="00B91343">
      <w:pPr>
        <w:pStyle w:val="ListParagraph"/>
        <w:rPr>
          <w:lang w:val="en-US"/>
        </w:rPr>
      </w:pPr>
      <w:r w:rsidRPr="00895D16">
        <w:rPr>
          <w:lang w:val="en-US"/>
        </w:rPr>
        <w:t>Therefore, in summary, SG believes that the inclusion of broken dates for the assessment of liquidity thresholds for the transparency regime (i.e. option 1) is acceptable, but recommends that they should be excluded from the liquid classes sub</w:t>
      </w:r>
      <w:r>
        <w:rPr>
          <w:lang w:val="en-US"/>
        </w:rPr>
        <w:t>ject to the trading obligation.  The nature of derivative markets means that execution of broken dated trades is substantially more complex than for integer tenors and other benchmark periods.</w:t>
      </w:r>
    </w:p>
    <w:p w:rsidR="00E426AD" w:rsidRDefault="00E426AD" w:rsidP="002777E0">
      <w:pPr>
        <w:pStyle w:val="ListParagraph"/>
        <w:rPr>
          <w:lang w:val="en-US"/>
        </w:rPr>
      </w:pPr>
      <w:r>
        <w:rPr>
          <w:lang w:val="en-US"/>
        </w:rPr>
        <w:t>SG w</w:t>
      </w:r>
      <w:r w:rsidRPr="00503216">
        <w:rPr>
          <w:lang w:val="en-US"/>
        </w:rPr>
        <w:t>elcome</w:t>
      </w:r>
      <w:r>
        <w:rPr>
          <w:lang w:val="en-US"/>
        </w:rPr>
        <w:t>s</w:t>
      </w:r>
      <w:r w:rsidRPr="00503216">
        <w:rPr>
          <w:lang w:val="en-US"/>
        </w:rPr>
        <w:t xml:space="preserve"> ESMA’s proposal to extend the length of the deferral period for transactions that are: large in scale, above SSTI (if carried out on own account other than matched principal) and in illiquid instruments. </w:t>
      </w:r>
    </w:p>
    <w:p w:rsidR="00E426AD" w:rsidRPr="00B91343" w:rsidRDefault="00E426AD" w:rsidP="00B91343">
      <w:pPr>
        <w:pStyle w:val="ListParagraph"/>
        <w:rPr>
          <w:lang w:val="en-US"/>
        </w:rPr>
      </w:pPr>
      <w:r w:rsidRPr="00503216">
        <w:rPr>
          <w:lang w:val="en-US"/>
        </w:rPr>
        <w:t xml:space="preserve">Nevertheless two business days is a challenging timetable for certain types of transactions and severity of the challenge will increase if NCAs do not choose to implement the supplemental volume omission regime. </w:t>
      </w:r>
    </w:p>
    <w:p w:rsidR="00E426AD" w:rsidRPr="00B91343" w:rsidRDefault="00E426AD" w:rsidP="00B91343">
      <w:pPr>
        <w:pStyle w:val="ListParagraph"/>
        <w:rPr>
          <w:lang w:val="en-US"/>
        </w:rPr>
      </w:pPr>
      <w:r>
        <w:rPr>
          <w:lang w:val="en-US"/>
        </w:rPr>
        <w:t>SG has</w:t>
      </w:r>
      <w:r w:rsidRPr="00CA451A">
        <w:rPr>
          <w:lang w:val="en-US"/>
        </w:rPr>
        <w:t xml:space="preserve"> significant concerns that</w:t>
      </w:r>
      <w:r>
        <w:rPr>
          <w:lang w:val="en-US"/>
        </w:rPr>
        <w:t xml:space="preserve"> the necessary balance between liquidity and transparency will not be achieved </w:t>
      </w:r>
      <w:r w:rsidRPr="00CA451A">
        <w:rPr>
          <w:lang w:val="en-US"/>
        </w:rPr>
        <w:t>if the SSTI threshold is set at 50% of the LIS threshold</w:t>
      </w:r>
      <w:r>
        <w:rPr>
          <w:lang w:val="en-US"/>
        </w:rPr>
        <w:t>, particularly for pre-trade tr</w:t>
      </w:r>
      <w:r w:rsidR="008C41CD">
        <w:rPr>
          <w:lang w:val="en-US"/>
        </w:rPr>
        <w:t>ansparency purposes</w:t>
      </w:r>
      <w:r w:rsidRPr="00CA451A">
        <w:rPr>
          <w:lang w:val="en-US"/>
        </w:rPr>
        <w:t>. In our view, the S</w:t>
      </w:r>
      <w:r>
        <w:rPr>
          <w:lang w:val="en-US"/>
        </w:rPr>
        <w:t xml:space="preserve">STI for pre-trade transparency </w:t>
      </w:r>
      <w:r w:rsidRPr="00CA451A">
        <w:rPr>
          <w:lang w:val="en-US"/>
        </w:rPr>
        <w:t>s</w:t>
      </w:r>
      <w:r>
        <w:rPr>
          <w:lang w:val="en-US"/>
        </w:rPr>
        <w:t>hould be</w:t>
      </w:r>
      <w:r w:rsidRPr="00CA451A">
        <w:rPr>
          <w:lang w:val="en-US"/>
        </w:rPr>
        <w:t xml:space="preserve"> set at 10% of the LIS. </w:t>
      </w:r>
    </w:p>
    <w:p w:rsidR="00E426AD" w:rsidRDefault="00E426AD" w:rsidP="002777E0">
      <w:pPr>
        <w:pStyle w:val="ListParagraph"/>
        <w:rPr>
          <w:lang w:val="en-US"/>
        </w:rPr>
      </w:pPr>
      <w:r w:rsidRPr="00CA451A">
        <w:rPr>
          <w:lang w:val="en-US"/>
        </w:rPr>
        <w:t>In the pre-trade context, a firm is putting its capital at risk and pre-trade disclosure of its quoted prices increases the possibility that the market will move against the firm before it is able to execute those transactions. The risk is of a different nature in the post-trade context. At this stage, the firm has already committed its capital. The risk it faces at this stage is related to the management of its exposure (i.e. its ability to conduct a successful hedging strategy).</w:t>
      </w:r>
    </w:p>
    <w:p w:rsidR="00E426AD" w:rsidRDefault="00E426AD" w:rsidP="002777E0">
      <w:pPr>
        <w:pStyle w:val="ListParagraph"/>
        <w:rPr>
          <w:lang w:val="en-US"/>
        </w:rPr>
      </w:pPr>
      <w:r w:rsidRPr="00CA451A">
        <w:rPr>
          <w:lang w:val="en-US"/>
        </w:rPr>
        <w:t xml:space="preserve"> A 50% SSTI rate would only allow a systematic </w:t>
      </w:r>
      <w:proofErr w:type="spellStart"/>
      <w:r w:rsidRPr="00CA451A">
        <w:rPr>
          <w:lang w:val="en-US"/>
        </w:rPr>
        <w:t>internaliser</w:t>
      </w:r>
      <w:proofErr w:type="spellEnd"/>
      <w:r w:rsidRPr="00CA451A">
        <w:rPr>
          <w:lang w:val="en-US"/>
        </w:rPr>
        <w:t xml:space="preserve"> to undertake two trades before it hits LIS levels (and prices). Whilst we </w:t>
      </w:r>
      <w:proofErr w:type="spellStart"/>
      <w:r w:rsidRPr="00CA451A">
        <w:rPr>
          <w:lang w:val="en-US"/>
        </w:rPr>
        <w:t>recognise</w:t>
      </w:r>
      <w:proofErr w:type="spellEnd"/>
      <w:r w:rsidRPr="00CA451A">
        <w:rPr>
          <w:lang w:val="en-US"/>
        </w:rPr>
        <w:t xml:space="preserve"> that a systematic </w:t>
      </w:r>
      <w:proofErr w:type="spellStart"/>
      <w:r w:rsidRPr="00CA451A">
        <w:rPr>
          <w:lang w:val="en-US"/>
        </w:rPr>
        <w:t>internaliser</w:t>
      </w:r>
      <w:proofErr w:type="spellEnd"/>
      <w:r w:rsidRPr="00CA451A">
        <w:rPr>
          <w:lang w:val="en-US"/>
        </w:rPr>
        <w:t xml:space="preserve"> may not always have similar trades lined up with multiple clients, it is certainly possible that it may have more than two clients willing to execute the same transaction. It is, therefore, essential that the SSTI/LIS ratio take into account possible follow-up transactions for firms. A pre-trade transparency SSTI threshold of 10% of LIS would allow a systematic </w:t>
      </w:r>
      <w:proofErr w:type="spellStart"/>
      <w:r w:rsidRPr="00CA451A">
        <w:rPr>
          <w:lang w:val="en-US"/>
        </w:rPr>
        <w:t>internaliser</w:t>
      </w:r>
      <w:proofErr w:type="spellEnd"/>
      <w:r w:rsidRPr="00CA451A">
        <w:rPr>
          <w:lang w:val="en-US"/>
        </w:rPr>
        <w:t xml:space="preserve"> scope to make ten similar trades before hitting the LIS threshold and maintain some price neutrality.</w:t>
      </w:r>
    </w:p>
    <w:p w:rsidR="00E426AD" w:rsidRPr="00B91343" w:rsidRDefault="00E426AD" w:rsidP="00B91343">
      <w:pPr>
        <w:ind w:left="708"/>
        <w:rPr>
          <w:lang w:val="en-US"/>
        </w:rPr>
      </w:pPr>
    </w:p>
    <w:p w:rsidR="00E426AD" w:rsidRPr="00B91343" w:rsidRDefault="00E426AD" w:rsidP="00B91343">
      <w:pPr>
        <w:rPr>
          <w:lang w:val="en-US"/>
        </w:rPr>
      </w:pPr>
      <w:r w:rsidRPr="00B91343">
        <w:rPr>
          <w:lang w:val="en-US"/>
        </w:rPr>
        <w:t xml:space="preserve">We propose instead that the SSTI threshold should either be set at </w:t>
      </w:r>
      <w:proofErr w:type="gramStart"/>
      <w:r w:rsidRPr="00B91343">
        <w:rPr>
          <w:lang w:val="en-US"/>
        </w:rPr>
        <w:t>either :</w:t>
      </w:r>
      <w:proofErr w:type="gramEnd"/>
    </w:p>
    <w:p w:rsidR="00E426AD" w:rsidRPr="00B91343" w:rsidRDefault="00E426AD" w:rsidP="00B91343">
      <w:pPr>
        <w:ind w:left="1068" w:hanging="360"/>
        <w:rPr>
          <w:lang w:val="en-US"/>
        </w:rPr>
      </w:pPr>
    </w:p>
    <w:p w:rsidR="00E426AD" w:rsidRDefault="00E426AD" w:rsidP="002777E0">
      <w:pPr>
        <w:pStyle w:val="ListParagraph"/>
        <w:rPr>
          <w:lang w:val="en-US"/>
        </w:rPr>
      </w:pPr>
      <w:r w:rsidRPr="006778A1">
        <w:rPr>
          <w:lang w:val="en-US"/>
        </w:rPr>
        <w:lastRenderedPageBreak/>
        <w:t>The median trade size (50th percentile of transaction sizes) for transactions in the relevant sub-class; or</w:t>
      </w:r>
    </w:p>
    <w:p w:rsidR="00E426AD" w:rsidRDefault="00E426AD" w:rsidP="002777E0">
      <w:pPr>
        <w:pStyle w:val="ListParagraph"/>
        <w:rPr>
          <w:lang w:val="en-US"/>
        </w:rPr>
      </w:pPr>
      <w:r w:rsidRPr="006778A1">
        <w:rPr>
          <w:lang w:val="en-US"/>
        </w:rPr>
        <w:t>10% of the LIS threshold for the relevant sub-class (if ESMA prefers to retain a method based on the percentage of LIS)</w:t>
      </w:r>
    </w:p>
    <w:p w:rsidR="00E426AD" w:rsidRPr="00B91343" w:rsidRDefault="00E426AD" w:rsidP="00B91343">
      <w:pPr>
        <w:ind w:left="708"/>
        <w:rPr>
          <w:lang w:val="en-US"/>
        </w:rPr>
      </w:pPr>
    </w:p>
    <w:p w:rsidR="00E426AD" w:rsidRPr="00B91343" w:rsidRDefault="00E426AD" w:rsidP="00B91343">
      <w:pPr>
        <w:ind w:left="1068" w:hanging="360"/>
        <w:rPr>
          <w:lang w:val="en-US"/>
        </w:rPr>
      </w:pPr>
      <w:r w:rsidRPr="00B91343">
        <w:rPr>
          <w:lang w:val="en-US"/>
        </w:rPr>
        <w:t xml:space="preserve">The appeal of using the median size is that ESMA can be sure that half of transactions in any liquid sub-class would be subject to pre-trade transparency, and would not experience deferred publication. We consider it would accord better with a normal market transaction at which liquidity providers could be reasonably expected to hedge their risks (as per </w:t>
      </w:r>
      <w:proofErr w:type="spellStart"/>
      <w:r w:rsidRPr="00B91343">
        <w:rPr>
          <w:lang w:val="en-US"/>
        </w:rPr>
        <w:t>MiFIR</w:t>
      </w:r>
      <w:proofErr w:type="spellEnd"/>
      <w:r w:rsidRPr="00B91343">
        <w:rPr>
          <w:lang w:val="en-US"/>
        </w:rPr>
        <w:t xml:space="preserve"> Article 9(5</w:t>
      </w:r>
      <w:proofErr w:type="gramStart"/>
      <w:r w:rsidRPr="00B91343">
        <w:rPr>
          <w:lang w:val="en-US"/>
        </w:rPr>
        <w:t>)(</w:t>
      </w:r>
      <w:proofErr w:type="gramEnd"/>
      <w:r w:rsidRPr="00B91343">
        <w:rPr>
          <w:lang w:val="en-US"/>
        </w:rPr>
        <w:t>d). Furthermore, breaking the link to LIS would prevent the SSTI being skewed by individual, large transactions (which could result under ESMA’s current proposal for LIS calibration).</w:t>
      </w:r>
    </w:p>
    <w:p w:rsidR="00E426AD" w:rsidRPr="00B91343" w:rsidRDefault="00E426AD" w:rsidP="00B91343">
      <w:pPr>
        <w:ind w:left="1068" w:hanging="360"/>
        <w:rPr>
          <w:lang w:val="en-US"/>
        </w:rPr>
      </w:pPr>
    </w:p>
    <w:p w:rsidR="00E426AD" w:rsidRDefault="00E426AD" w:rsidP="002777E0">
      <w:pPr>
        <w:pStyle w:val="ListParagraph"/>
        <w:rPr>
          <w:lang w:val="en-US"/>
        </w:rPr>
      </w:pPr>
      <w:r w:rsidRPr="00CA451A">
        <w:rPr>
          <w:lang w:val="en-US"/>
        </w:rPr>
        <w:t xml:space="preserve">Whilst </w:t>
      </w:r>
      <w:r>
        <w:rPr>
          <w:lang w:val="en-US"/>
        </w:rPr>
        <w:t xml:space="preserve">SG can support </w:t>
      </w:r>
      <w:r w:rsidRPr="00CA451A">
        <w:rPr>
          <w:lang w:val="en-US"/>
        </w:rPr>
        <w:t xml:space="preserve">a SSTI/LIS threshold of 50% for post-trade purposes, this level is not without its challenges. Moreover, if the ratio is set too high for post-trade purposes, the risks the systematic </w:t>
      </w:r>
      <w:proofErr w:type="spellStart"/>
      <w:r w:rsidRPr="00CA451A">
        <w:rPr>
          <w:lang w:val="en-US"/>
        </w:rPr>
        <w:t>internaliser</w:t>
      </w:r>
      <w:proofErr w:type="spellEnd"/>
      <w:r w:rsidRPr="00CA451A">
        <w:rPr>
          <w:lang w:val="en-US"/>
        </w:rPr>
        <w:t xml:space="preserve"> faces in managing its hedging strategy in relation to certain products will be reflected in the prices quoted to clients.</w:t>
      </w:r>
    </w:p>
    <w:p w:rsidR="00E426AD" w:rsidRDefault="00E426AD" w:rsidP="0098588B">
      <w:pPr>
        <w:pStyle w:val="ListParagraph"/>
        <w:numPr>
          <w:ilvl w:val="0"/>
          <w:numId w:val="0"/>
        </w:numPr>
        <w:ind w:left="1068"/>
        <w:rPr>
          <w:lang w:val="en-US"/>
        </w:rPr>
      </w:pPr>
    </w:p>
    <w:p w:rsidR="00E426AD" w:rsidRPr="00E426AD" w:rsidRDefault="00E426AD" w:rsidP="00E426AD">
      <w:pPr>
        <w:rPr>
          <w:lang w:val="en-US"/>
        </w:rPr>
      </w:pPr>
      <w:r w:rsidRPr="00E426AD">
        <w:rPr>
          <w:lang w:val="en-US"/>
        </w:rPr>
        <w:t>We do not support the use of the volume measure set out in option 2. The determination of whether a transaction is large relative to the market should not be confused with the volume of trading in that market</w:t>
      </w:r>
    </w:p>
    <w:p w:rsidR="00E426AD" w:rsidRDefault="00E426AD" w:rsidP="0098588B">
      <w:pPr>
        <w:pStyle w:val="ListParagraph"/>
        <w:numPr>
          <w:ilvl w:val="0"/>
          <w:numId w:val="0"/>
        </w:numPr>
        <w:ind w:left="1068"/>
        <w:rPr>
          <w:lang w:val="en-US"/>
        </w:rPr>
      </w:pPr>
    </w:p>
    <w:p w:rsidR="00487479" w:rsidRPr="0098588B" w:rsidRDefault="00E426AD" w:rsidP="0098588B">
      <w:pPr>
        <w:pStyle w:val="ListParagraph"/>
        <w:rPr>
          <w:lang w:val="en-US"/>
        </w:rPr>
      </w:pPr>
      <w:r w:rsidRPr="00CA451A">
        <w:rPr>
          <w:lang w:val="en-US"/>
        </w:rPr>
        <w:t xml:space="preserve">As indicated </w:t>
      </w:r>
      <w:r>
        <w:rPr>
          <w:lang w:val="en-US"/>
        </w:rPr>
        <w:t>above,</w:t>
      </w:r>
      <w:r w:rsidRPr="00CA451A">
        <w:rPr>
          <w:lang w:val="en-US"/>
        </w:rPr>
        <w:t xml:space="preserve"> we believe that the pre-trade and post-trade SSTI thresholds should be set at different sizes</w:t>
      </w:r>
    </w:p>
    <w:permEnd w:id="87"/>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E426AD" w:rsidRDefault="00E426AD" w:rsidP="002777E0">
      <w:pPr>
        <w:pStyle w:val="ListParagraph"/>
        <w:rPr>
          <w:lang w:val="en-US"/>
        </w:rPr>
      </w:pPr>
      <w:permStart w:id="88" w:edGrp="everyone"/>
      <w:r w:rsidRPr="006778A1">
        <w:rPr>
          <w:lang w:val="en-US"/>
        </w:rPr>
        <w:t xml:space="preserve">As noted in our responses to Q66-69, we are strongly concerned that the current proposals for commodity derivatives are based on a dataset which is too narrow </w:t>
      </w:r>
      <w:r w:rsidRPr="006778A1">
        <w:rPr>
          <w:lang w:val="en-US"/>
        </w:rPr>
        <w:lastRenderedPageBreak/>
        <w:t xml:space="preserve">and therefore the assessments do not provide an accurate representation of liquidity in the relevant commodity markets. Therefore, we are extremely concerned that these proposals are not be workable and could have significant adverse consequences if implemented.  </w:t>
      </w:r>
    </w:p>
    <w:p w:rsidR="00E426AD" w:rsidRDefault="00E426AD" w:rsidP="0098588B">
      <w:pPr>
        <w:pStyle w:val="ListParagraph"/>
        <w:numPr>
          <w:ilvl w:val="0"/>
          <w:numId w:val="0"/>
        </w:numPr>
        <w:ind w:left="1068"/>
        <w:rPr>
          <w:lang w:val="en-US"/>
        </w:rPr>
      </w:pPr>
    </w:p>
    <w:p w:rsidR="00E426AD" w:rsidRDefault="00E426AD" w:rsidP="002777E0">
      <w:pPr>
        <w:pStyle w:val="ListParagraph"/>
        <w:rPr>
          <w:lang w:val="en-US"/>
        </w:rPr>
      </w:pPr>
      <w:r w:rsidRPr="006778A1">
        <w:rPr>
          <w:lang w:val="en-US"/>
        </w:rPr>
        <w:t xml:space="preserve">In order to establish appropriate thresholds for the SSTI and LIS, we strongly believe that it is necessary for ESMA to conduct an appropriate market assessment of the liquidity of the contracts that will subject to the MiFID2 transparency regime based on complete data available from the major commodities trading venues (including the major non-EU venues), for on venue contracts, and the data from trade repositories for the contracts which are currently traded OTC.  </w:t>
      </w:r>
    </w:p>
    <w:p w:rsidR="00E426AD" w:rsidRDefault="00E426AD" w:rsidP="0098588B">
      <w:pPr>
        <w:pStyle w:val="ListParagraph"/>
        <w:numPr>
          <w:ilvl w:val="0"/>
          <w:numId w:val="0"/>
        </w:numPr>
        <w:ind w:left="1068"/>
        <w:rPr>
          <w:lang w:val="en-US"/>
        </w:rPr>
      </w:pPr>
    </w:p>
    <w:p w:rsidR="00E426AD" w:rsidRDefault="00E426AD" w:rsidP="00E426AD">
      <w:pPr>
        <w:rPr>
          <w:lang w:val="en-US"/>
        </w:rPr>
      </w:pPr>
      <w:r w:rsidRPr="006778A1">
        <w:rPr>
          <w:lang w:val="en-US"/>
        </w:rPr>
        <w:t xml:space="preserve">In terms of our preference for the system to set the thresholds, we strongly believe that an annual recalculation of the thresholds would be more appropriate. </w:t>
      </w:r>
    </w:p>
    <w:permEnd w:id="88"/>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E426AD" w:rsidRDefault="00E426AD" w:rsidP="00E426AD">
      <w:pPr>
        <w:rPr>
          <w:lang w:val="en-US"/>
        </w:rPr>
      </w:pPr>
      <w:permStart w:id="89" w:edGrp="everyone"/>
      <w:r w:rsidRPr="00872A4A">
        <w:rPr>
          <w:lang w:val="en-US"/>
        </w:rPr>
        <w:t xml:space="preserve">No. </w:t>
      </w:r>
    </w:p>
    <w:p w:rsidR="00E426AD" w:rsidRDefault="00E426AD" w:rsidP="00E426AD">
      <w:pPr>
        <w:rPr>
          <w:lang w:val="en-US"/>
        </w:rPr>
      </w:pPr>
    </w:p>
    <w:p w:rsidR="00E426AD" w:rsidRDefault="00E426AD" w:rsidP="00E426AD">
      <w:pPr>
        <w:rPr>
          <w:lang w:val="en-US"/>
        </w:rPr>
      </w:pPr>
      <w:r w:rsidRPr="00872A4A">
        <w:rPr>
          <w:lang w:val="en-US"/>
        </w:rPr>
        <w:t>While we welcome ESMA’s proposal to extend the length of the deferral period for transactions that are large in scale, above SSTI (if carried out on own account other than matched principal) and in illiquid instruments, we strongly recommend that the deferral period be set at two business days. This is to ensure that transactions that occur close to the end of trading before a weekend/bank holiday get the full benefit of the deferral period (which they may otherwise not if the 48 hour period runs over the weekend).</w:t>
      </w:r>
    </w:p>
    <w:p w:rsidR="00E426AD" w:rsidRPr="00872A4A" w:rsidRDefault="00E426AD" w:rsidP="00E426AD">
      <w:pPr>
        <w:rPr>
          <w:lang w:val="en-US"/>
        </w:rPr>
      </w:pPr>
    </w:p>
    <w:p w:rsidR="00E426AD" w:rsidRDefault="00E426AD" w:rsidP="00E426AD">
      <w:pPr>
        <w:rPr>
          <w:lang w:val="en-US"/>
        </w:rPr>
      </w:pPr>
      <w:r w:rsidRPr="00872A4A">
        <w:rPr>
          <w:lang w:val="en-US"/>
        </w:rPr>
        <w:lastRenderedPageBreak/>
        <w:t xml:space="preserve">Whilst information about exchange-traded equity derivatives is typically published today on a voluntary basis at the end of the day, this is not currently the case for OTC equity derivatives. </w:t>
      </w:r>
      <w:r>
        <w:rPr>
          <w:lang w:val="en-US"/>
        </w:rPr>
        <w:t>SG believes that</w:t>
      </w:r>
      <w:r w:rsidRPr="00872A4A">
        <w:rPr>
          <w:lang w:val="en-US"/>
        </w:rPr>
        <w:t xml:space="preserve"> even two business days may be challenging for certain types and sizes of transactions and especially so if the LIS and SSTI thresholds are not appropriately calibrated in the final rules. </w:t>
      </w:r>
    </w:p>
    <w:p w:rsidR="00E426AD" w:rsidRDefault="00E426AD" w:rsidP="00E426AD">
      <w:pPr>
        <w:rPr>
          <w:lang w:val="en-US"/>
        </w:rPr>
      </w:pPr>
    </w:p>
    <w:p w:rsidR="00E426AD" w:rsidRDefault="00E426AD" w:rsidP="00E426AD">
      <w:pPr>
        <w:rPr>
          <w:lang w:val="en-US"/>
        </w:rPr>
      </w:pPr>
      <w:r w:rsidRPr="00872A4A">
        <w:rPr>
          <w:lang w:val="en-US"/>
        </w:rPr>
        <w:t>This challenge will be significantly worsened if NCAs do not implement the supplemental volume omission regime. Whilst we appreciate that it is within the discretion of individual NCAs to determine whether to implement a supplemental volu</w:t>
      </w:r>
      <w:r>
        <w:rPr>
          <w:lang w:val="en-US"/>
        </w:rPr>
        <w:t>me omission deferral regime, SG</w:t>
      </w:r>
      <w:r w:rsidRPr="00872A4A">
        <w:rPr>
          <w:lang w:val="en-US"/>
        </w:rPr>
        <w:t xml:space="preserve"> urges ESMA to try and encourage as many NCAs as possible to adopt this regime.</w:t>
      </w:r>
    </w:p>
    <w:p w:rsidR="00E426AD" w:rsidRPr="00872A4A" w:rsidRDefault="00E426AD" w:rsidP="00E426AD">
      <w:pPr>
        <w:rPr>
          <w:lang w:val="en-US"/>
        </w:rPr>
      </w:pPr>
    </w:p>
    <w:p w:rsidR="00E426AD" w:rsidRDefault="00E426AD" w:rsidP="00E426AD">
      <w:pPr>
        <w:rPr>
          <w:lang w:val="en-US"/>
        </w:rPr>
      </w:pPr>
    </w:p>
    <w:p w:rsidR="00E426AD" w:rsidRPr="00872A4A" w:rsidRDefault="00E426AD" w:rsidP="00E426AD">
      <w:pPr>
        <w:rPr>
          <w:lang w:val="en-US"/>
        </w:rPr>
      </w:pPr>
      <w:r w:rsidRPr="00872A4A">
        <w:rPr>
          <w:lang w:val="en-US"/>
        </w:rPr>
        <w:t xml:space="preserve">SG </w:t>
      </w:r>
      <w:r>
        <w:rPr>
          <w:lang w:val="en-US"/>
        </w:rPr>
        <w:t xml:space="preserve">also </w:t>
      </w:r>
      <w:r w:rsidRPr="00872A4A">
        <w:rPr>
          <w:lang w:val="en-US"/>
        </w:rPr>
        <w:t>notes that no accommodation has been made for package transactions, which represent a significant proportion of market activity.  Having seen the difficulties encountered by the CFTC through the implementation of the Dodd-Frank act, and noting the unavailability of “No Action Letters” within the European Regulatory regime, SG would like to propose that ESMA considers specific and tailored treatment for package</w:t>
      </w:r>
    </w:p>
    <w:p w:rsidR="00E426AD" w:rsidRPr="00872A4A" w:rsidRDefault="00E426AD" w:rsidP="00E426AD">
      <w:pPr>
        <w:rPr>
          <w:lang w:val="en-US"/>
        </w:rPr>
      </w:pPr>
    </w:p>
    <w:p w:rsidR="00E426AD" w:rsidRDefault="00E426AD" w:rsidP="002777E0">
      <w:pPr>
        <w:pStyle w:val="ListParagraph"/>
        <w:rPr>
          <w:lang w:val="en-US"/>
        </w:rPr>
      </w:pPr>
      <w:r w:rsidRPr="00872A4A">
        <w:rPr>
          <w:lang w:val="en-US"/>
        </w:rPr>
        <w:t>SG notes that, in response to ESMA’s May 2014 Discussion Paper, ISDA included a number of detailed comments on the nature of package transactions to which we would like to draw ESMA’s attention. We reiterate the points made in that response and support the proposal put forward by ISDA in its response to this CP.</w:t>
      </w:r>
    </w:p>
    <w:p w:rsidR="00E426AD" w:rsidRDefault="00E426AD" w:rsidP="00E426AD">
      <w:pPr>
        <w:rPr>
          <w:lang w:val="en-US"/>
        </w:rPr>
      </w:pPr>
    </w:p>
    <w:p w:rsidR="00E426AD" w:rsidRDefault="00E426AD" w:rsidP="00E426AD">
      <w:pPr>
        <w:rPr>
          <w:lang w:val="en-US"/>
        </w:rPr>
      </w:pPr>
    </w:p>
    <w:p w:rsidR="00E426AD" w:rsidRDefault="00E426AD" w:rsidP="00E426AD">
      <w:pPr>
        <w:rPr>
          <w:lang w:val="en-US"/>
        </w:rPr>
      </w:pPr>
    </w:p>
    <w:p w:rsidR="00E426AD" w:rsidRDefault="00E426AD" w:rsidP="00E426AD">
      <w:pPr>
        <w:rPr>
          <w:lang w:val="en-US"/>
        </w:rPr>
      </w:pPr>
      <w:r>
        <w:rPr>
          <w:lang w:val="en-US"/>
        </w:rPr>
        <w:t>SG</w:t>
      </w:r>
      <w:r w:rsidRPr="00872A4A">
        <w:rPr>
          <w:lang w:val="en-US"/>
        </w:rPr>
        <w:t xml:space="preserve"> believe</w:t>
      </w:r>
      <w:r>
        <w:rPr>
          <w:lang w:val="en-US"/>
        </w:rPr>
        <w:t>s</w:t>
      </w:r>
      <w:r w:rsidRPr="00872A4A">
        <w:rPr>
          <w:lang w:val="en-US"/>
        </w:rPr>
        <w:t xml:space="preserve"> that the proposal to set the SSTI threshold at 50% of the LIS threshold is too arbitrary –there is no rationale for choosing 50% (as opposed to another percentage) and its link to the LIS threshold means that the SSTI threshold will not necessarily ensure that 50% of trades in a sub-class will actually fall below the SSTI threshold. </w:t>
      </w:r>
    </w:p>
    <w:p w:rsidR="00E426AD" w:rsidRPr="00872A4A" w:rsidRDefault="00E426AD" w:rsidP="00E426AD">
      <w:pPr>
        <w:rPr>
          <w:lang w:val="en-US"/>
        </w:rPr>
      </w:pPr>
    </w:p>
    <w:p w:rsidR="00E426AD" w:rsidRDefault="00E426AD" w:rsidP="002777E0">
      <w:pPr>
        <w:pStyle w:val="ListParagraph"/>
        <w:rPr>
          <w:lang w:val="en-US"/>
        </w:rPr>
      </w:pPr>
      <w:r w:rsidRPr="00872A4A">
        <w:rPr>
          <w:lang w:val="en-US"/>
        </w:rPr>
        <w:t>We propose instead that the SSTI threshold should either be set at 10% of LIS or at the median trade size for the relevant sub-class. While we believe this should apply for both pre and post trade thresholds, we strongly believe that this should be the case at least for the pre-trade SSTI threshold. This is for the following reasons:</w:t>
      </w:r>
    </w:p>
    <w:p w:rsidR="00E426AD" w:rsidRDefault="00E426AD" w:rsidP="002777E0">
      <w:pPr>
        <w:pStyle w:val="ListParagraph"/>
        <w:rPr>
          <w:lang w:val="en-US"/>
        </w:rPr>
      </w:pPr>
      <w:r w:rsidRPr="00872A4A">
        <w:rPr>
          <w:lang w:val="en-US"/>
        </w:rPr>
        <w:t>The risks to firms are more significant in the pre-trade context; a firm is putting its capital at risk and pre-trade disclosure of its quoted prices increases the possibility that the market will move against the firm before it is able to execute those transactions. This would lead firms to price in these risks which would result in worse pricing for end investors.</w:t>
      </w:r>
    </w:p>
    <w:p w:rsidR="00E426AD" w:rsidRDefault="00E426AD" w:rsidP="002777E0">
      <w:pPr>
        <w:pStyle w:val="ListParagraph"/>
        <w:rPr>
          <w:lang w:val="en-US"/>
        </w:rPr>
      </w:pPr>
      <w:r w:rsidRPr="00872A4A">
        <w:rPr>
          <w:lang w:val="en-US"/>
        </w:rPr>
        <w:t>A 50% SSTI rate would only allow an SI to undertake two trades before it hits LIS levels (and prices). If the policy objective is to encourage SIs to make their quotes available and executable by a number of their clients then setting the SSTI threshold at a level which takes into account multiple transactions and still being able to maintain price neutrality would enable ESMA to achieve such an objective.</w:t>
      </w:r>
    </w:p>
    <w:p w:rsidR="00E426AD" w:rsidRDefault="00E426AD" w:rsidP="0099347D">
      <w:pPr>
        <w:pStyle w:val="ListParagraph"/>
        <w:numPr>
          <w:ilvl w:val="0"/>
          <w:numId w:val="0"/>
        </w:numPr>
        <w:ind w:left="1068"/>
        <w:rPr>
          <w:lang w:val="en-US"/>
        </w:rPr>
      </w:pPr>
    </w:p>
    <w:p w:rsidR="00E426AD" w:rsidRDefault="00E426AD" w:rsidP="00E426AD">
      <w:pPr>
        <w:rPr>
          <w:lang w:val="en-US"/>
        </w:rPr>
      </w:pPr>
      <w:r w:rsidRPr="00872A4A">
        <w:rPr>
          <w:lang w:val="en-US"/>
        </w:rPr>
        <w:lastRenderedPageBreak/>
        <w:t xml:space="preserve">The risk is of a different nature in the post-trade context. At this stage, the firm has already committed its capital. The risk it faces at this stage is related to the management of its exposure (i.e. its ability to conduct a successful hedging strategy). </w:t>
      </w:r>
    </w:p>
    <w:p w:rsidR="00E426AD" w:rsidRDefault="00E426AD" w:rsidP="00E426AD">
      <w:pPr>
        <w:rPr>
          <w:lang w:val="en-US"/>
        </w:rPr>
      </w:pPr>
    </w:p>
    <w:p w:rsidR="00E426AD" w:rsidRPr="00872A4A" w:rsidRDefault="00E426AD" w:rsidP="00E426AD">
      <w:pPr>
        <w:rPr>
          <w:lang w:val="en-US"/>
        </w:rPr>
      </w:pPr>
      <w:r w:rsidRPr="00872A4A">
        <w:rPr>
          <w:lang w:val="en-US"/>
        </w:rPr>
        <w:t>The SSTI thresholds (and LIS thresholds) in all of the tables in section 4 (equity derivatives) of Annex III should be defined in local currency terms rather than Euro (since the need to apply a currency conversion results in an additional layer of complexity, and results in inflexibility as exchange rates move).</w:t>
      </w:r>
    </w:p>
    <w:permEnd w:id="89"/>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E426AD" w:rsidRDefault="00E426AD" w:rsidP="00E426AD">
      <w:pPr>
        <w:rPr>
          <w:lang w:val="en-US"/>
        </w:rPr>
      </w:pPr>
      <w:permStart w:id="90" w:edGrp="everyone"/>
      <w:r w:rsidRPr="00872A4A">
        <w:rPr>
          <w:lang w:val="en-US"/>
        </w:rPr>
        <w:t xml:space="preserve">As indicated in our response to question 59, we disagree with the liquidity parameters proposed by ESMA for </w:t>
      </w:r>
      <w:proofErr w:type="spellStart"/>
      <w:r w:rsidRPr="00872A4A">
        <w:rPr>
          <w:lang w:val="en-US"/>
        </w:rPr>
        <w:t>securitised</w:t>
      </w:r>
      <w:proofErr w:type="spellEnd"/>
      <w:r w:rsidRPr="00872A4A">
        <w:rPr>
          <w:lang w:val="en-US"/>
        </w:rPr>
        <w:t xml:space="preserve"> derivatives.</w:t>
      </w:r>
    </w:p>
    <w:p w:rsidR="00E426AD" w:rsidRPr="00872A4A" w:rsidRDefault="00E426AD" w:rsidP="00E426AD">
      <w:pPr>
        <w:rPr>
          <w:lang w:val="en-US"/>
        </w:rPr>
      </w:pPr>
    </w:p>
    <w:p w:rsidR="00E426AD" w:rsidRDefault="00E426AD" w:rsidP="00E426AD">
      <w:pPr>
        <w:rPr>
          <w:lang w:val="en-US"/>
        </w:rPr>
      </w:pPr>
      <w:r w:rsidRPr="00872A4A">
        <w:rPr>
          <w:lang w:val="en-US"/>
        </w:rPr>
        <w:t xml:space="preserve">We do not believe that the presence of one market maker should be sufficient for a sub-class of </w:t>
      </w:r>
      <w:proofErr w:type="spellStart"/>
      <w:r w:rsidRPr="00872A4A">
        <w:rPr>
          <w:lang w:val="en-US"/>
        </w:rPr>
        <w:t>securitised</w:t>
      </w:r>
      <w:proofErr w:type="spellEnd"/>
      <w:r w:rsidRPr="00872A4A">
        <w:rPr>
          <w:lang w:val="en-US"/>
        </w:rPr>
        <w:t xml:space="preserve"> derivatives to be deemed liquid:</w:t>
      </w:r>
    </w:p>
    <w:p w:rsidR="00E426AD" w:rsidRPr="00872A4A" w:rsidRDefault="00E426AD" w:rsidP="00E426AD">
      <w:pPr>
        <w:rPr>
          <w:lang w:val="en-US"/>
        </w:rPr>
      </w:pPr>
    </w:p>
    <w:p w:rsidR="00E426AD" w:rsidRDefault="00E426AD" w:rsidP="002777E0">
      <w:pPr>
        <w:pStyle w:val="ListParagraph"/>
        <w:rPr>
          <w:lang w:val="en-US"/>
        </w:rPr>
      </w:pPr>
      <w:r w:rsidRPr="00872A4A">
        <w:rPr>
          <w:lang w:val="en-US"/>
        </w:rPr>
        <w:t xml:space="preserve">As ESMA itself has noted in paragraph 62 of page 112 of the Consultation paper, whilst 98% of </w:t>
      </w:r>
      <w:proofErr w:type="spellStart"/>
      <w:r w:rsidRPr="00872A4A">
        <w:rPr>
          <w:lang w:val="en-US"/>
        </w:rPr>
        <w:t>securitised</w:t>
      </w:r>
      <w:proofErr w:type="spellEnd"/>
      <w:r w:rsidRPr="00872A4A">
        <w:rPr>
          <w:lang w:val="en-US"/>
        </w:rPr>
        <w:t xml:space="preserve"> derivatives </w:t>
      </w:r>
      <w:proofErr w:type="spellStart"/>
      <w:r w:rsidRPr="00872A4A">
        <w:rPr>
          <w:lang w:val="en-US"/>
        </w:rPr>
        <w:t>analysed</w:t>
      </w:r>
      <w:proofErr w:type="spellEnd"/>
      <w:r w:rsidRPr="00872A4A">
        <w:rPr>
          <w:lang w:val="en-US"/>
        </w:rPr>
        <w:t xml:space="preserve"> by ESMA had a dedicated market maker, these instruments only make up 29% of total trades and 39% of total volume traded. It is clear therefore that the presence of a market maker does not equate to liquidity. Therefore, additional factors must be taken into account to determine which sub-classes of </w:t>
      </w:r>
      <w:proofErr w:type="spellStart"/>
      <w:r w:rsidRPr="00872A4A">
        <w:rPr>
          <w:lang w:val="en-US"/>
        </w:rPr>
        <w:t>securitised</w:t>
      </w:r>
      <w:proofErr w:type="spellEnd"/>
      <w:r w:rsidRPr="00872A4A">
        <w:rPr>
          <w:lang w:val="en-US"/>
        </w:rPr>
        <w:t xml:space="preserve"> derivatives are liquid. </w:t>
      </w:r>
    </w:p>
    <w:p w:rsidR="00E426AD" w:rsidRDefault="00E426AD" w:rsidP="002777E0">
      <w:pPr>
        <w:pStyle w:val="ListParagraph"/>
        <w:rPr>
          <w:lang w:val="en-US"/>
        </w:rPr>
      </w:pPr>
      <w:r w:rsidRPr="00872A4A">
        <w:rPr>
          <w:lang w:val="en-US"/>
        </w:rPr>
        <w:t>The definition of “liquid market” in Article 2(17</w:t>
      </w:r>
      <w:proofErr w:type="gramStart"/>
      <w:r w:rsidRPr="00872A4A">
        <w:rPr>
          <w:lang w:val="en-US"/>
        </w:rPr>
        <w:t>)(</w:t>
      </w:r>
      <w:proofErr w:type="gramEnd"/>
      <w:r w:rsidRPr="00872A4A">
        <w:rPr>
          <w:lang w:val="en-US"/>
        </w:rPr>
        <w:t xml:space="preserve">a) of </w:t>
      </w:r>
      <w:proofErr w:type="spellStart"/>
      <w:r w:rsidRPr="00872A4A">
        <w:rPr>
          <w:lang w:val="en-US"/>
        </w:rPr>
        <w:t>MiFIR</w:t>
      </w:r>
      <w:proofErr w:type="spellEnd"/>
      <w:r w:rsidRPr="00872A4A">
        <w:rPr>
          <w:lang w:val="en-US"/>
        </w:rPr>
        <w:t xml:space="preserve"> requires there to be “willing buyers and sellers on a continuous basis”. This requires there to be more than one buyer or seller in a market for a particular sub-class of instruments for that sub-class to be determined liquid. </w:t>
      </w:r>
    </w:p>
    <w:p w:rsidR="00E426AD" w:rsidRDefault="00E426AD" w:rsidP="00B04B30">
      <w:pPr>
        <w:pStyle w:val="ListParagraph"/>
        <w:numPr>
          <w:ilvl w:val="0"/>
          <w:numId w:val="0"/>
        </w:numPr>
        <w:ind w:left="1068"/>
        <w:rPr>
          <w:lang w:val="en-US"/>
        </w:rPr>
      </w:pPr>
    </w:p>
    <w:p w:rsidR="00E426AD" w:rsidRDefault="00E426AD" w:rsidP="00E426AD">
      <w:pPr>
        <w:rPr>
          <w:lang w:val="en-US"/>
        </w:rPr>
      </w:pPr>
      <w:r w:rsidRPr="00872A4A">
        <w:rPr>
          <w:lang w:val="en-US"/>
        </w:rPr>
        <w:t xml:space="preserve">In our view, additional liquidity parameters must be used by ESMA to conduct a more thorough liquidity analysis of each of the sub-classes identified by ESMA in paragraph 60 on page 112 of the Consultation Paper (i.e. investment certificates, plain vanilla covered </w:t>
      </w:r>
      <w:r w:rsidRPr="00872A4A">
        <w:rPr>
          <w:lang w:val="en-US"/>
        </w:rPr>
        <w:lastRenderedPageBreak/>
        <w:t xml:space="preserve">warrants, leverage certificates, exotic covered warrants, exchange traded commodities, exchange traded notes, negotiable rights, structured medium-term notes and other warrants). </w:t>
      </w:r>
      <w:r>
        <w:rPr>
          <w:lang w:val="en-US"/>
        </w:rPr>
        <w:t xml:space="preserve">  </w:t>
      </w:r>
      <w:r w:rsidRPr="00872A4A">
        <w:rPr>
          <w:lang w:val="en-US"/>
        </w:rPr>
        <w:t xml:space="preserve">Once ESMA has reclassified </w:t>
      </w:r>
      <w:proofErr w:type="spellStart"/>
      <w:r w:rsidRPr="00872A4A">
        <w:rPr>
          <w:lang w:val="en-US"/>
        </w:rPr>
        <w:t>securitised</w:t>
      </w:r>
      <w:proofErr w:type="spellEnd"/>
      <w:r w:rsidRPr="00872A4A">
        <w:rPr>
          <w:lang w:val="en-US"/>
        </w:rPr>
        <w:t xml:space="preserve"> derivatives, we recommend recalibrating LIS and SSTI thresholds at a more granular level.</w:t>
      </w:r>
    </w:p>
    <w:permEnd w:id="90"/>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EF2607" w:rsidP="00EC2C93">
      <w:pPr>
        <w:keepNext/>
      </w:pPr>
      <w:permStart w:id="91" w:edGrp="everyone"/>
      <w:r>
        <w:t>No comment.</w:t>
      </w:r>
    </w:p>
    <w:permEnd w:id="91"/>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E426AD" w:rsidRDefault="006A7B76" w:rsidP="00E426AD">
      <w:pPr>
        <w:rPr>
          <w:lang w:val="en-US"/>
        </w:rPr>
      </w:pPr>
      <w:permStart w:id="92" w:edGrp="everyone"/>
      <w:r>
        <w:rPr>
          <w:lang w:val="en-US"/>
        </w:rPr>
        <w:t>SG agrees that</w:t>
      </w:r>
      <w:r w:rsidR="00E426AD" w:rsidRPr="00AE3599">
        <w:rPr>
          <w:lang w:val="en-US"/>
        </w:rPr>
        <w:t xml:space="preserve"> the framework of the supplementary deferral regime is consistent with level 1 – however, we are concerned</w:t>
      </w:r>
      <w:r w:rsidR="00E426AD">
        <w:rPr>
          <w:lang w:val="en-US"/>
        </w:rPr>
        <w:t xml:space="preserve"> about inconsistent application, which could lead to:</w:t>
      </w:r>
    </w:p>
    <w:p w:rsidR="00E426AD" w:rsidRPr="00AE3599" w:rsidRDefault="00E426AD" w:rsidP="00E426AD">
      <w:pPr>
        <w:rPr>
          <w:lang w:val="en-US"/>
        </w:rPr>
      </w:pPr>
    </w:p>
    <w:p w:rsidR="00E426AD" w:rsidRPr="00AE3599" w:rsidRDefault="00E426AD" w:rsidP="002777E0">
      <w:pPr>
        <w:pStyle w:val="ListParagraph"/>
        <w:rPr>
          <w:lang w:val="en-US"/>
        </w:rPr>
      </w:pPr>
      <w:r w:rsidRPr="00AE3599">
        <w:rPr>
          <w:lang w:val="en-US"/>
        </w:rPr>
        <w:t xml:space="preserve">problems with cross- border transactions </w:t>
      </w:r>
    </w:p>
    <w:p w:rsidR="00E426AD" w:rsidRDefault="00E426AD" w:rsidP="002777E0">
      <w:pPr>
        <w:pStyle w:val="ListParagraph"/>
        <w:rPr>
          <w:lang w:val="en-US"/>
        </w:rPr>
      </w:pPr>
      <w:proofErr w:type="gramStart"/>
      <w:r w:rsidRPr="00AE3599">
        <w:rPr>
          <w:lang w:val="en-US"/>
        </w:rPr>
        <w:t>an</w:t>
      </w:r>
      <w:proofErr w:type="gramEnd"/>
      <w:r w:rsidRPr="00AE3599">
        <w:rPr>
          <w:lang w:val="en-US"/>
        </w:rPr>
        <w:t xml:space="preserve"> unlevel playing fie</w:t>
      </w:r>
      <w:r>
        <w:rPr>
          <w:lang w:val="en-US"/>
        </w:rPr>
        <w:t>ld across Europe at a time where CMU proposal are seeking to create greater levels of harmonization.</w:t>
      </w:r>
    </w:p>
    <w:p w:rsidR="00E426AD" w:rsidRDefault="00E426AD" w:rsidP="0098588B">
      <w:pPr>
        <w:pStyle w:val="ListParagraph"/>
        <w:numPr>
          <w:ilvl w:val="0"/>
          <w:numId w:val="0"/>
        </w:numPr>
        <w:ind w:left="1068"/>
        <w:rPr>
          <w:lang w:val="en-US"/>
        </w:rPr>
      </w:pPr>
    </w:p>
    <w:p w:rsidR="00E426AD" w:rsidRDefault="00E426AD" w:rsidP="00E426AD">
      <w:pPr>
        <w:rPr>
          <w:lang w:val="en-US"/>
        </w:rPr>
      </w:pPr>
      <w:r>
        <w:rPr>
          <w:lang w:val="en-US"/>
        </w:rPr>
        <w:t>As such therefore, SG</w:t>
      </w:r>
      <w:r w:rsidRPr="001810F1">
        <w:rPr>
          <w:lang w:val="en-US"/>
        </w:rPr>
        <w:t xml:space="preserve"> urge</w:t>
      </w:r>
      <w:r>
        <w:rPr>
          <w:lang w:val="en-US"/>
        </w:rPr>
        <w:t>s</w:t>
      </w:r>
      <w:r w:rsidRPr="001810F1">
        <w:rPr>
          <w:lang w:val="en-US"/>
        </w:rPr>
        <w:t xml:space="preserve"> ESMA to actively coordinate the national implementation of the supplementary deferral regime to ensure that there is a </w:t>
      </w:r>
      <w:proofErr w:type="spellStart"/>
      <w:r w:rsidRPr="001810F1">
        <w:rPr>
          <w:lang w:val="en-US"/>
        </w:rPr>
        <w:t>harmonised</w:t>
      </w:r>
      <w:proofErr w:type="spellEnd"/>
      <w:r w:rsidRPr="001810F1">
        <w:rPr>
          <w:lang w:val="en-US"/>
        </w:rPr>
        <w:t xml:space="preserve"> deferral regime</w:t>
      </w:r>
      <w:r>
        <w:rPr>
          <w:lang w:val="en-US"/>
        </w:rPr>
        <w:t xml:space="preserve"> across Europe</w:t>
      </w:r>
      <w:r w:rsidRPr="001810F1">
        <w:rPr>
          <w:lang w:val="en-US"/>
        </w:rPr>
        <w:t>, to the greatest extent possible</w:t>
      </w:r>
    </w:p>
    <w:p w:rsidR="00E426AD" w:rsidRPr="00AE3599" w:rsidRDefault="00E426AD" w:rsidP="0098588B">
      <w:pPr>
        <w:pStyle w:val="ListParagraph"/>
        <w:numPr>
          <w:ilvl w:val="0"/>
          <w:numId w:val="0"/>
        </w:numPr>
        <w:ind w:left="1068"/>
        <w:rPr>
          <w:lang w:val="en-US"/>
        </w:rPr>
      </w:pPr>
    </w:p>
    <w:p w:rsidR="00487479" w:rsidRDefault="00E426AD" w:rsidP="002777E0">
      <w:pPr>
        <w:pStyle w:val="ListParagraph"/>
        <w:rPr>
          <w:lang w:val="en-US"/>
        </w:rPr>
      </w:pPr>
      <w:r>
        <w:rPr>
          <w:lang w:val="en-US"/>
        </w:rPr>
        <w:t xml:space="preserve">The extension of the maximum post trade deferral to </w:t>
      </w:r>
      <w:r w:rsidRPr="00AE3599">
        <w:rPr>
          <w:lang w:val="en-US"/>
        </w:rPr>
        <w:t xml:space="preserve">4 weeks </w:t>
      </w:r>
      <w:r>
        <w:rPr>
          <w:lang w:val="en-US"/>
        </w:rPr>
        <w:t>represent</w:t>
      </w:r>
      <w:r w:rsidRPr="00AE3599">
        <w:rPr>
          <w:lang w:val="en-US"/>
        </w:rPr>
        <w:t>s an improvement but</w:t>
      </w:r>
      <w:r>
        <w:rPr>
          <w:lang w:val="en-US"/>
        </w:rPr>
        <w:t>, in line with our comments on the previous DP, remains in</w:t>
      </w:r>
      <w:r w:rsidRPr="00AE3599">
        <w:rPr>
          <w:lang w:val="en-US"/>
        </w:rPr>
        <w:t>sufficient for all trades</w:t>
      </w:r>
      <w:r>
        <w:rPr>
          <w:lang w:val="en-US"/>
        </w:rPr>
        <w:t>, most notably trades above LIS in Illiquid products where a deferral period of 3 months would be more appropriate.  SG reiterates that, i</w:t>
      </w:r>
      <w:r w:rsidRPr="00B30964">
        <w:rPr>
          <w:lang w:val="en-US"/>
        </w:rPr>
        <w:t xml:space="preserve">n many illiquid </w:t>
      </w:r>
      <w:proofErr w:type="spellStart"/>
      <w:r w:rsidRPr="00B30964">
        <w:rPr>
          <w:lang w:val="en-US"/>
        </w:rPr>
        <w:t>market</w:t>
      </w:r>
      <w:proofErr w:type="gramStart"/>
      <w:r>
        <w:rPr>
          <w:lang w:val="en-US"/>
        </w:rPr>
        <w:t>,</w:t>
      </w:r>
      <w:r w:rsidRPr="00B30964">
        <w:rPr>
          <w:lang w:val="en-US"/>
        </w:rPr>
        <w:t>s</w:t>
      </w:r>
      <w:proofErr w:type="spellEnd"/>
      <w:proofErr w:type="gramEnd"/>
      <w:r w:rsidRPr="00B30964">
        <w:rPr>
          <w:lang w:val="en-US"/>
        </w:rPr>
        <w:t xml:space="preserve"> it can take several months for liquidity providers to hedge/unwind their exposures,. It can take weeks or months to fully exit such positions. The inability to de-risk before the size of a LIS or illiquid trade is made public will act as a significant deterrent to the provision of liquidity.</w:t>
      </w:r>
    </w:p>
    <w:permEnd w:id="92"/>
    <w:p w:rsidR="00577C33" w:rsidRDefault="00577C33" w:rsidP="00EC2C93">
      <w:pPr>
        <w:keepNext/>
      </w:pPr>
      <w:r>
        <w:lastRenderedPageBreak/>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t>&lt;ESMA_QUESTION_CP_MIFID_84&gt;</w:t>
      </w:r>
    </w:p>
    <w:p w:rsidR="0005235C" w:rsidRDefault="0005235C" w:rsidP="0005235C">
      <w:pPr>
        <w:rPr>
          <w:lang w:val="en-US"/>
        </w:rPr>
      </w:pPr>
      <w:permStart w:id="93" w:edGrp="everyone"/>
      <w:r w:rsidRPr="00B747F8">
        <w:rPr>
          <w:lang w:val="en-US"/>
        </w:rPr>
        <w:t>We completely disagree with the proposal</w:t>
      </w:r>
    </w:p>
    <w:p w:rsidR="0005235C" w:rsidRPr="00B747F8" w:rsidRDefault="0005235C" w:rsidP="0005235C">
      <w:pPr>
        <w:rPr>
          <w:lang w:val="en-US"/>
        </w:rPr>
      </w:pPr>
    </w:p>
    <w:p w:rsidR="0005235C" w:rsidRPr="00B747F8" w:rsidRDefault="0005235C" w:rsidP="002777E0">
      <w:pPr>
        <w:pStyle w:val="ListParagraph"/>
        <w:rPr>
          <w:lang w:val="en-US"/>
        </w:rPr>
      </w:pPr>
      <w:r>
        <w:rPr>
          <w:lang w:val="en-US"/>
        </w:rPr>
        <w:t xml:space="preserve">The proposal </w:t>
      </w:r>
      <w:r w:rsidRPr="00B747F8">
        <w:rPr>
          <w:lang w:val="en-US"/>
        </w:rPr>
        <w:t xml:space="preserve">makes the level 1 redundant and unusable </w:t>
      </w:r>
      <w:r>
        <w:rPr>
          <w:lang w:val="en-US"/>
        </w:rPr>
        <w:t>and as such is</w:t>
      </w:r>
      <w:r w:rsidRPr="00B747F8">
        <w:rPr>
          <w:lang w:val="en-US"/>
        </w:rPr>
        <w:t xml:space="preserve"> not fit for purpose</w:t>
      </w:r>
    </w:p>
    <w:p w:rsidR="0005235C" w:rsidRPr="00B747F8" w:rsidRDefault="0005235C" w:rsidP="002777E0">
      <w:pPr>
        <w:pStyle w:val="ListParagraph"/>
        <w:rPr>
          <w:lang w:val="en-US"/>
        </w:rPr>
      </w:pPr>
      <w:r>
        <w:rPr>
          <w:lang w:val="en-US"/>
        </w:rPr>
        <w:t xml:space="preserve">The </w:t>
      </w:r>
      <w:r w:rsidRPr="00B747F8">
        <w:rPr>
          <w:lang w:val="en-US"/>
        </w:rPr>
        <w:t>COFIA approach does</w:t>
      </w:r>
      <w:r>
        <w:rPr>
          <w:lang w:val="en-US"/>
        </w:rPr>
        <w:t xml:space="preserve"> </w:t>
      </w:r>
      <w:r w:rsidRPr="00B747F8">
        <w:rPr>
          <w:lang w:val="en-US"/>
        </w:rPr>
        <w:t>n</w:t>
      </w:r>
      <w:r>
        <w:rPr>
          <w:lang w:val="en-US"/>
        </w:rPr>
        <w:t>o</w:t>
      </w:r>
      <w:r w:rsidRPr="00B747F8">
        <w:rPr>
          <w:lang w:val="en-US"/>
        </w:rPr>
        <w:t>t work for temp</w:t>
      </w:r>
      <w:r>
        <w:rPr>
          <w:lang w:val="en-US"/>
        </w:rPr>
        <w:t xml:space="preserve">orary </w:t>
      </w:r>
      <w:r w:rsidRPr="00B747F8">
        <w:rPr>
          <w:lang w:val="en-US"/>
        </w:rPr>
        <w:t xml:space="preserve">suspension – </w:t>
      </w:r>
      <w:r>
        <w:rPr>
          <w:lang w:val="en-US"/>
        </w:rPr>
        <w:t xml:space="preserve">such an approach </w:t>
      </w:r>
      <w:r w:rsidRPr="00B747F8">
        <w:rPr>
          <w:lang w:val="en-US"/>
        </w:rPr>
        <w:t xml:space="preserve">would need whole market to collapse for </w:t>
      </w:r>
      <w:r>
        <w:rPr>
          <w:lang w:val="en-US"/>
        </w:rPr>
        <w:t xml:space="preserve">a </w:t>
      </w:r>
      <w:r w:rsidRPr="00B747F8">
        <w:rPr>
          <w:lang w:val="en-US"/>
        </w:rPr>
        <w:t>temp</w:t>
      </w:r>
      <w:r>
        <w:rPr>
          <w:lang w:val="en-US"/>
        </w:rPr>
        <w:t>orary</w:t>
      </w:r>
      <w:r w:rsidRPr="00B747F8">
        <w:rPr>
          <w:lang w:val="en-US"/>
        </w:rPr>
        <w:t xml:space="preserve"> suspension to </w:t>
      </w:r>
      <w:r>
        <w:rPr>
          <w:lang w:val="en-US"/>
        </w:rPr>
        <w:t>apply.</w:t>
      </w:r>
    </w:p>
    <w:p w:rsidR="0005235C" w:rsidRPr="00B747F8" w:rsidRDefault="0005235C" w:rsidP="002777E0">
      <w:pPr>
        <w:pStyle w:val="ListParagraph"/>
        <w:rPr>
          <w:lang w:val="en-US"/>
        </w:rPr>
      </w:pPr>
      <w:r>
        <w:rPr>
          <w:lang w:val="en-US"/>
        </w:rPr>
        <w:t xml:space="preserve">The approach of using a </w:t>
      </w:r>
      <w:r w:rsidRPr="00B747F8">
        <w:rPr>
          <w:lang w:val="en-US"/>
        </w:rPr>
        <w:t xml:space="preserve">30 day look back plus opinion will </w:t>
      </w:r>
      <w:r>
        <w:rPr>
          <w:lang w:val="en-US"/>
        </w:rPr>
        <w:t xml:space="preserve">take too long and </w:t>
      </w:r>
      <w:r w:rsidRPr="00B747F8">
        <w:rPr>
          <w:lang w:val="en-US"/>
        </w:rPr>
        <w:t xml:space="preserve">be too late </w:t>
      </w:r>
      <w:r>
        <w:rPr>
          <w:lang w:val="en-US"/>
        </w:rPr>
        <w:t xml:space="preserve">to be useful. SG believes that </w:t>
      </w:r>
      <w:r w:rsidRPr="00B747F8">
        <w:rPr>
          <w:lang w:val="en-US"/>
        </w:rPr>
        <w:t xml:space="preserve">there needs to be an immediate measure and an immediate application </w:t>
      </w:r>
      <w:r>
        <w:rPr>
          <w:lang w:val="en-US"/>
        </w:rPr>
        <w:t>as proposed in our response to the previous discussion paper.</w:t>
      </w:r>
    </w:p>
    <w:p w:rsidR="0005235C" w:rsidRPr="00B747F8" w:rsidRDefault="0005235C" w:rsidP="002777E0">
      <w:pPr>
        <w:pStyle w:val="ListParagraph"/>
        <w:rPr>
          <w:lang w:val="en-US"/>
        </w:rPr>
      </w:pPr>
      <w:r>
        <w:rPr>
          <w:lang w:val="en-US"/>
        </w:rPr>
        <w:t xml:space="preserve">An approach based on looking at </w:t>
      </w:r>
      <w:r w:rsidRPr="00B747F8">
        <w:rPr>
          <w:lang w:val="en-US"/>
        </w:rPr>
        <w:t xml:space="preserve">30 days based on </w:t>
      </w:r>
      <w:r>
        <w:rPr>
          <w:lang w:val="en-US"/>
        </w:rPr>
        <w:t xml:space="preserve">the previous </w:t>
      </w:r>
      <w:r w:rsidRPr="00B747F8">
        <w:rPr>
          <w:lang w:val="en-US"/>
        </w:rPr>
        <w:t>12 months</w:t>
      </w:r>
      <w:r>
        <w:rPr>
          <w:lang w:val="en-US"/>
        </w:rPr>
        <w:t xml:space="preserve"> does </w:t>
      </w:r>
      <w:r w:rsidRPr="00B747F8">
        <w:rPr>
          <w:lang w:val="en-US"/>
        </w:rPr>
        <w:t xml:space="preserve">not </w:t>
      </w:r>
      <w:r>
        <w:rPr>
          <w:lang w:val="en-US"/>
        </w:rPr>
        <w:t xml:space="preserve">give a reliable </w:t>
      </w:r>
      <w:r w:rsidRPr="00B747F8">
        <w:rPr>
          <w:lang w:val="en-US"/>
        </w:rPr>
        <w:t xml:space="preserve"> indication since markets may move significantly over 12 months but not </w:t>
      </w:r>
      <w:r>
        <w:rPr>
          <w:lang w:val="en-US"/>
        </w:rPr>
        <w:t xml:space="preserve">as the result of </w:t>
      </w:r>
      <w:r w:rsidRPr="00B747F8">
        <w:rPr>
          <w:lang w:val="en-US"/>
        </w:rPr>
        <w:t>a market event</w:t>
      </w:r>
      <w:r>
        <w:rPr>
          <w:lang w:val="en-US"/>
        </w:rPr>
        <w:t>.</w:t>
      </w:r>
    </w:p>
    <w:permEnd w:id="93"/>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05235C" w:rsidRPr="00B747F8" w:rsidRDefault="0005235C" w:rsidP="0005235C">
      <w:pPr>
        <w:rPr>
          <w:lang w:val="en-US"/>
        </w:rPr>
      </w:pPr>
      <w:permStart w:id="94" w:edGrp="everyone"/>
      <w:r>
        <w:rPr>
          <w:lang w:val="en-US"/>
        </w:rPr>
        <w:t>Yes, it is consistent with level 1</w:t>
      </w:r>
    </w:p>
    <w:permEnd w:id="94"/>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D33BB1" w:rsidRDefault="00D33BB1" w:rsidP="00D33BB1">
      <w:pPr>
        <w:spacing w:line="240" w:lineRule="atLeast"/>
        <w:rPr>
          <w:bCs/>
          <w:szCs w:val="22"/>
          <w:lang w:val="fr-FR"/>
        </w:rPr>
      </w:pPr>
      <w:permStart w:id="95" w:edGrp="everyone"/>
      <w:r>
        <w:rPr>
          <w:bCs/>
          <w:szCs w:val="22"/>
          <w:lang w:val="fr-FR"/>
        </w:rPr>
        <w:t>No comment.</w:t>
      </w:r>
    </w:p>
    <w:permEnd w:id="95"/>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D33BB1" w:rsidRDefault="00D33BB1" w:rsidP="00D33BB1">
      <w:pPr>
        <w:spacing w:line="240" w:lineRule="atLeast"/>
        <w:rPr>
          <w:bCs/>
          <w:szCs w:val="22"/>
          <w:lang w:val="fr-FR"/>
        </w:rPr>
      </w:pPr>
      <w:permStart w:id="96" w:edGrp="everyone"/>
      <w:r>
        <w:rPr>
          <w:bCs/>
          <w:szCs w:val="22"/>
          <w:lang w:val="fr-FR"/>
        </w:rPr>
        <w:t>No comment.</w:t>
      </w:r>
    </w:p>
    <w:permEnd w:id="96"/>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lastRenderedPageBreak/>
        <w:t>&lt;ESMA_QUESTION_CP_MIFID_88&gt;</w:t>
      </w:r>
    </w:p>
    <w:p w:rsidR="00595575" w:rsidRDefault="00595575" w:rsidP="00595575">
      <w:pPr>
        <w:rPr>
          <w:lang w:val="en-US"/>
        </w:rPr>
      </w:pPr>
      <w:permStart w:id="97" w:edGrp="everyone"/>
      <w:r w:rsidRPr="00627DAD">
        <w:rPr>
          <w:lang w:val="en-US"/>
        </w:rPr>
        <w:t xml:space="preserve">It is imperative that the assessment of whether there is "sufficient third-party buying and selling interest in the class of derivatives or subset so that such a class of derivatives is considered sufficiently liquid to trade only on venues", takes into account all variables which may impact the liquidity and tradability of an instrument and the must therefore be conducted at a suitably granular level.  If this approach is not followed then there is a risk that a derivative product which is insufficiently </w:t>
      </w:r>
      <w:proofErr w:type="spellStart"/>
      <w:r w:rsidRPr="00627DAD">
        <w:rPr>
          <w:lang w:val="en-US"/>
        </w:rPr>
        <w:t>standardised</w:t>
      </w:r>
      <w:proofErr w:type="spellEnd"/>
      <w:r w:rsidRPr="00627DAD">
        <w:rPr>
          <w:lang w:val="en-US"/>
        </w:rPr>
        <w:t xml:space="preserve"> and which cannot be traded on venue or in which there insufficient third-party buying and selling interest will be declared subject to the trading obligation. </w:t>
      </w:r>
    </w:p>
    <w:p w:rsidR="00595575" w:rsidRDefault="00595575" w:rsidP="00595575">
      <w:pPr>
        <w:rPr>
          <w:lang w:val="en-US"/>
        </w:rPr>
      </w:pPr>
    </w:p>
    <w:p w:rsidR="00595575" w:rsidRDefault="00595575" w:rsidP="00595575">
      <w:pPr>
        <w:rPr>
          <w:lang w:val="en-US"/>
        </w:rPr>
      </w:pPr>
      <w:r w:rsidRPr="00627DAD">
        <w:rPr>
          <w:lang w:val="en-US"/>
        </w:rPr>
        <w:t>The “sufficiently liquid” test concerns the following several criteria, which are:</w:t>
      </w:r>
    </w:p>
    <w:p w:rsidR="00595575" w:rsidRPr="00627DAD" w:rsidRDefault="00595575" w:rsidP="00595575">
      <w:pPr>
        <w:rPr>
          <w:lang w:val="en-US"/>
        </w:rPr>
      </w:pPr>
    </w:p>
    <w:p w:rsidR="00595575" w:rsidRDefault="00595575" w:rsidP="002777E0">
      <w:pPr>
        <w:pStyle w:val="ListParagraph"/>
        <w:rPr>
          <w:lang w:val="en-US"/>
        </w:rPr>
      </w:pPr>
      <w:r w:rsidRPr="00627DAD">
        <w:rPr>
          <w:lang w:val="en-US"/>
        </w:rPr>
        <w:t xml:space="preserve">Average frequency of transactions – set thresholds for the minimum number of trades per day and a minimum number of days on which trading took place. Technical trades are to be removed from the calculation. </w:t>
      </w:r>
    </w:p>
    <w:p w:rsidR="00595575" w:rsidRDefault="00595575" w:rsidP="002777E0">
      <w:pPr>
        <w:pStyle w:val="ListParagraph"/>
        <w:rPr>
          <w:lang w:val="en-US"/>
        </w:rPr>
      </w:pPr>
      <w:r>
        <w:rPr>
          <w:lang w:val="en-US"/>
        </w:rPr>
        <w:t>Average size of transactions – notional by trading days.</w:t>
      </w:r>
    </w:p>
    <w:p w:rsidR="00595575" w:rsidRDefault="00595575" w:rsidP="002777E0">
      <w:pPr>
        <w:pStyle w:val="ListParagraph"/>
        <w:rPr>
          <w:lang w:val="en-US"/>
        </w:rPr>
      </w:pPr>
      <w:r>
        <w:rPr>
          <w:lang w:val="en-US"/>
        </w:rPr>
        <w:t>Assessment reference period – to vary by class of derivatives.</w:t>
      </w:r>
    </w:p>
    <w:p w:rsidR="00595575" w:rsidRDefault="00595575" w:rsidP="002777E0">
      <w:pPr>
        <w:pStyle w:val="ListParagraph"/>
        <w:rPr>
          <w:lang w:val="en-US"/>
        </w:rPr>
      </w:pPr>
      <w:r>
        <w:rPr>
          <w:lang w:val="en-US"/>
        </w:rPr>
        <w:t>Number and type of active market participants – with reference to one transaction or where there is a contractual arrangement to provide liquidity.</w:t>
      </w:r>
    </w:p>
    <w:p w:rsidR="00595575" w:rsidRDefault="00595575" w:rsidP="002777E0">
      <w:pPr>
        <w:pStyle w:val="ListParagraph"/>
        <w:rPr>
          <w:lang w:val="en-US"/>
        </w:rPr>
      </w:pPr>
      <w:r>
        <w:rPr>
          <w:lang w:val="en-US"/>
        </w:rPr>
        <w:t>Average size of spreads – to be an average weighted measure.</w:t>
      </w:r>
    </w:p>
    <w:p w:rsidR="00595575" w:rsidRDefault="00595575" w:rsidP="002777E0">
      <w:pPr>
        <w:pStyle w:val="ListParagraph"/>
        <w:rPr>
          <w:lang w:val="en-US"/>
        </w:rPr>
      </w:pPr>
      <w:r>
        <w:rPr>
          <w:lang w:val="en-US"/>
        </w:rPr>
        <w:t>Anticipated impact of the trading obligation on liquidity and commercial activities of end-users that are not financial entities.</w:t>
      </w:r>
    </w:p>
    <w:p w:rsidR="00595575" w:rsidRDefault="00595575" w:rsidP="002777E0">
      <w:pPr>
        <w:pStyle w:val="ListParagraph"/>
        <w:rPr>
          <w:lang w:val="en-US"/>
        </w:rPr>
      </w:pPr>
      <w:r>
        <w:rPr>
          <w:lang w:val="en-US"/>
        </w:rPr>
        <w:t>Transactions where trading obligation is below a certain size – see following draft response.</w:t>
      </w:r>
    </w:p>
    <w:p w:rsidR="00595575" w:rsidRDefault="00595575" w:rsidP="0098588B">
      <w:pPr>
        <w:pStyle w:val="ListParagraph"/>
        <w:numPr>
          <w:ilvl w:val="0"/>
          <w:numId w:val="0"/>
        </w:numPr>
        <w:ind w:left="1068"/>
        <w:rPr>
          <w:lang w:val="en-US"/>
        </w:rPr>
      </w:pPr>
    </w:p>
    <w:p w:rsidR="00595575" w:rsidRDefault="00595575" w:rsidP="002777E0">
      <w:pPr>
        <w:pStyle w:val="ListParagraph"/>
        <w:rPr>
          <w:lang w:val="en-US"/>
        </w:rPr>
      </w:pPr>
      <w:r w:rsidRPr="00627DAD">
        <w:rPr>
          <w:lang w:val="en-US"/>
        </w:rPr>
        <w:t>ESMA intends to apply the “sufficiently liquid test” only for transactions below a certain size and to discount trades that are clearly identified as “non-price forming post-trade risk reduction trades with reduced non-market risk in derivatives.</w:t>
      </w:r>
    </w:p>
    <w:p w:rsidR="00595575" w:rsidRDefault="00595575" w:rsidP="00595575">
      <w:pPr>
        <w:rPr>
          <w:lang w:val="en-US"/>
        </w:rPr>
      </w:pPr>
    </w:p>
    <w:p w:rsidR="00595575" w:rsidRDefault="00595575" w:rsidP="00595575">
      <w:pPr>
        <w:rPr>
          <w:lang w:val="en-US"/>
        </w:rPr>
      </w:pPr>
      <w:r w:rsidRPr="000609E2">
        <w:rPr>
          <w:lang w:val="en-US"/>
        </w:rPr>
        <w:t xml:space="preserve">Interest Rate Derivatives </w:t>
      </w:r>
    </w:p>
    <w:p w:rsidR="00595575" w:rsidRPr="000609E2" w:rsidRDefault="00595575" w:rsidP="00595575">
      <w:pPr>
        <w:rPr>
          <w:lang w:val="en-US"/>
        </w:rPr>
      </w:pPr>
    </w:p>
    <w:p w:rsidR="00595575" w:rsidRDefault="00595575" w:rsidP="00595575">
      <w:pPr>
        <w:rPr>
          <w:lang w:val="en-US"/>
        </w:rPr>
      </w:pPr>
      <w:r w:rsidRPr="000609E2">
        <w:rPr>
          <w:lang w:val="en-US"/>
        </w:rPr>
        <w:t xml:space="preserve">We support ESMA's view that option 2 (as set out on page 126 of the Consultation Paper) is preferred and that ESMA should distinguish between benchmark or integer tenors and broken dates. </w:t>
      </w:r>
    </w:p>
    <w:p w:rsidR="00595575" w:rsidRDefault="00595575" w:rsidP="00595575">
      <w:pPr>
        <w:rPr>
          <w:lang w:val="en-US"/>
        </w:rPr>
      </w:pPr>
    </w:p>
    <w:p w:rsidR="00595575" w:rsidRDefault="00595575" w:rsidP="002777E0">
      <w:pPr>
        <w:pStyle w:val="ListParagraph"/>
        <w:rPr>
          <w:lang w:val="en-US"/>
        </w:rPr>
      </w:pPr>
      <w:r w:rsidRPr="000609E2">
        <w:rPr>
          <w:lang w:val="en-US"/>
        </w:rPr>
        <w:t xml:space="preserve">Adopting option 2 for the trading obligation would help to align </w:t>
      </w:r>
      <w:proofErr w:type="spellStart"/>
      <w:r w:rsidRPr="000609E2">
        <w:rPr>
          <w:lang w:val="en-US"/>
        </w:rPr>
        <w:t>MiFID</w:t>
      </w:r>
      <w:proofErr w:type="spellEnd"/>
      <w:r w:rsidRPr="000609E2">
        <w:rPr>
          <w:lang w:val="en-US"/>
        </w:rPr>
        <w:t xml:space="preserve"> II/</w:t>
      </w:r>
      <w:proofErr w:type="spellStart"/>
      <w:r w:rsidRPr="000609E2">
        <w:rPr>
          <w:lang w:val="en-US"/>
        </w:rPr>
        <w:t>MiFIR</w:t>
      </w:r>
      <w:proofErr w:type="spellEnd"/>
      <w:r w:rsidRPr="000609E2">
        <w:rPr>
          <w:lang w:val="en-US"/>
        </w:rPr>
        <w:t xml:space="preserve"> to US regulation (since the CFTC MAT product set only contains integer tenors and a limited number of forward-starting USD swaps).</w:t>
      </w:r>
    </w:p>
    <w:p w:rsidR="00595575" w:rsidRDefault="00595575" w:rsidP="002777E0">
      <w:pPr>
        <w:pStyle w:val="ListParagraph"/>
        <w:rPr>
          <w:lang w:val="en-US"/>
        </w:rPr>
      </w:pPr>
      <w:r w:rsidRPr="000609E2">
        <w:rPr>
          <w:lang w:val="en-US"/>
        </w:rPr>
        <w:t>However, whether a derivative can be traded on a trading venue and the liquidity of the relevant derivative will be impacted by the inclusion of a number of other bespoke terms; for example, but not limited to, the relevant day count fractions, whether the coupons are on-market or off-market with a fee, the</w:t>
      </w:r>
      <w:r>
        <w:rPr>
          <w:lang w:val="en-US"/>
        </w:rPr>
        <w:t xml:space="preserve"> payment conventions, the compounding basis, and whether it includes variable </w:t>
      </w:r>
      <w:proofErr w:type="spellStart"/>
      <w:r>
        <w:rPr>
          <w:lang w:val="en-US"/>
        </w:rPr>
        <w:t>notionals</w:t>
      </w:r>
      <w:proofErr w:type="spellEnd"/>
      <w:r>
        <w:rPr>
          <w:lang w:val="en-US"/>
        </w:rPr>
        <w:t xml:space="preserve">. As indicated in response to question 61 above, there will be an even greater number of variables for </w:t>
      </w:r>
      <w:proofErr w:type="spellStart"/>
      <w:r>
        <w:rPr>
          <w:lang w:val="en-US"/>
        </w:rPr>
        <w:t>swaptions</w:t>
      </w:r>
      <w:proofErr w:type="spellEnd"/>
      <w:r>
        <w:rPr>
          <w:lang w:val="en-US"/>
        </w:rPr>
        <w:t xml:space="preserve"> (including currency, underlying index (LIBOR, EURIBOR, OIS, Inflation, etc), tenor of </w:t>
      </w:r>
      <w:proofErr w:type="spellStart"/>
      <w:r>
        <w:rPr>
          <w:lang w:val="en-US"/>
        </w:rPr>
        <w:t>underlier</w:t>
      </w:r>
      <w:proofErr w:type="spellEnd"/>
      <w:r>
        <w:rPr>
          <w:lang w:val="en-US"/>
        </w:rPr>
        <w:t xml:space="preserve"> (including accounting for broken-dated or whole year tenors), tenor of option (including accounting for broken-dated or whole year tenors), style of option exercise (e.g. American, European, cash settled, physically settled, binary, etc) and stake price).</w:t>
      </w:r>
    </w:p>
    <w:p w:rsidR="00595575" w:rsidRDefault="00595575" w:rsidP="002777E0">
      <w:pPr>
        <w:pStyle w:val="ListParagraph"/>
        <w:rPr>
          <w:lang w:val="en-US"/>
        </w:rPr>
      </w:pPr>
      <w:r w:rsidRPr="000609E2">
        <w:rPr>
          <w:lang w:val="en-US"/>
        </w:rPr>
        <w:lastRenderedPageBreak/>
        <w:t xml:space="preserve">In our view the assessment whether there is ' sufficient third-party buying and selling interest in the class of derivatives or subset so that such a class of derivatives is considered sufficiently liquid to trade only on venues', must take into account such variables and be conducted at a suitably granular level.  If this approach is not followed then there is a risk that a derivative product which is insufficiently </w:t>
      </w:r>
      <w:proofErr w:type="spellStart"/>
      <w:r w:rsidRPr="000609E2">
        <w:rPr>
          <w:lang w:val="en-US"/>
        </w:rPr>
        <w:t>standardised</w:t>
      </w:r>
      <w:proofErr w:type="spellEnd"/>
      <w:r w:rsidRPr="000609E2">
        <w:rPr>
          <w:lang w:val="en-US"/>
        </w:rPr>
        <w:t xml:space="preserve"> and which cannot be traded on venue or</w:t>
      </w:r>
      <w:r>
        <w:rPr>
          <w:lang w:val="en-US"/>
        </w:rPr>
        <w:t xml:space="preserve"> in which there insufficient third-party buying and selling interest will be declared subject to the trading </w:t>
      </w:r>
    </w:p>
    <w:p w:rsidR="00595575" w:rsidRDefault="00595575" w:rsidP="002777E0">
      <w:pPr>
        <w:pStyle w:val="ListParagraph"/>
        <w:rPr>
          <w:lang w:val="en-US"/>
        </w:rPr>
      </w:pPr>
      <w:r>
        <w:rPr>
          <w:lang w:val="en-US"/>
        </w:rPr>
        <w:t xml:space="preserve">SG wishes to clarify that the Trading Obligation should only apply to trades subject to an EMIR Clearing Obligation. A Trading Obligation on a non cleared trade would be </w:t>
      </w:r>
      <w:proofErr w:type="gramStart"/>
      <w:r>
        <w:rPr>
          <w:lang w:val="en-US"/>
        </w:rPr>
        <w:t>a nonsense</w:t>
      </w:r>
      <w:proofErr w:type="gramEnd"/>
      <w:r>
        <w:rPr>
          <w:lang w:val="en-US"/>
        </w:rPr>
        <w:t>.</w:t>
      </w:r>
    </w:p>
    <w:p w:rsidR="00595575" w:rsidRPr="000609E2" w:rsidRDefault="00595575" w:rsidP="00595575">
      <w:pPr>
        <w:rPr>
          <w:lang w:val="en-US"/>
        </w:rPr>
      </w:pPr>
    </w:p>
    <w:p w:rsidR="00595575" w:rsidRDefault="00595575" w:rsidP="00595575">
      <w:pPr>
        <w:rPr>
          <w:lang w:val="en-US"/>
        </w:rPr>
      </w:pPr>
      <w:r w:rsidRPr="000609E2">
        <w:rPr>
          <w:lang w:val="en-US"/>
        </w:rPr>
        <w:t>Equity Derivatives</w:t>
      </w:r>
    </w:p>
    <w:p w:rsidR="00595575" w:rsidRPr="000609E2" w:rsidRDefault="00595575" w:rsidP="00595575">
      <w:pPr>
        <w:rPr>
          <w:lang w:val="en-US"/>
        </w:rPr>
      </w:pPr>
    </w:p>
    <w:p w:rsidR="00595575" w:rsidRPr="000609E2" w:rsidRDefault="00595575" w:rsidP="00595575">
      <w:pPr>
        <w:rPr>
          <w:lang w:val="en-US"/>
        </w:rPr>
      </w:pPr>
      <w:r w:rsidRPr="000609E2">
        <w:rPr>
          <w:lang w:val="en-US"/>
        </w:rPr>
        <w:t xml:space="preserve">As we propose in response to question 64, we recommend that </w:t>
      </w:r>
    </w:p>
    <w:p w:rsidR="00595575" w:rsidRDefault="00595575" w:rsidP="002777E0">
      <w:pPr>
        <w:pStyle w:val="ListParagraph"/>
        <w:rPr>
          <w:lang w:val="en-US"/>
        </w:rPr>
      </w:pPr>
      <w:r w:rsidRPr="000609E2">
        <w:rPr>
          <w:lang w:val="en-US"/>
        </w:rPr>
        <w:t xml:space="preserve">ESMA </w:t>
      </w:r>
      <w:proofErr w:type="spellStart"/>
      <w:r w:rsidRPr="000609E2">
        <w:rPr>
          <w:lang w:val="en-US"/>
        </w:rPr>
        <w:t>categorise</w:t>
      </w:r>
      <w:proofErr w:type="spellEnd"/>
      <w:r w:rsidRPr="000609E2">
        <w:rPr>
          <w:lang w:val="en-US"/>
        </w:rPr>
        <w:t xml:space="preserve"> equity derivatives at a significantly greater level of granularity, more akin to that done for listed interest rate derivatives,</w:t>
      </w:r>
    </w:p>
    <w:p w:rsidR="00595575" w:rsidRDefault="00595575" w:rsidP="002777E0">
      <w:pPr>
        <w:pStyle w:val="ListParagraph"/>
        <w:rPr>
          <w:lang w:val="en-US"/>
        </w:rPr>
      </w:pPr>
      <w:r>
        <w:rPr>
          <w:lang w:val="en-US"/>
        </w:rPr>
        <w:t>ESMA distinguish between exchange-traded equity derivatives and OTC equity derivatives, in order that there can be no confusion over which class a derivative is in.</w:t>
      </w:r>
    </w:p>
    <w:p w:rsidR="0005235C" w:rsidRPr="0099347D" w:rsidRDefault="00595575" w:rsidP="0099347D">
      <w:pPr>
        <w:pStyle w:val="ListParagraph"/>
        <w:rPr>
          <w:lang w:val="en-US"/>
        </w:rPr>
      </w:pPr>
      <w:r>
        <w:rPr>
          <w:lang w:val="en-US"/>
        </w:rPr>
        <w:t>We would reiterate that the assessment of whether there is ' sufficient third-party buying and selling interest in the class of derivatives or subset so that such a class of derivatives is considered sufficiently liquid to trade only on venues', must take into account such variables and be conducted at a suitably granular level to avoid incorrectly subjecting a derivative product to the trading obligation.</w:t>
      </w:r>
    </w:p>
    <w:permEnd w:id="97"/>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95575" w:rsidRDefault="00595575" w:rsidP="00595575">
      <w:pPr>
        <w:rPr>
          <w:lang w:val="en-US"/>
        </w:rPr>
      </w:pPr>
      <w:permStart w:id="98" w:edGrp="everyone"/>
      <w:r w:rsidRPr="00C8654A">
        <w:rPr>
          <w:lang w:val="en-US"/>
        </w:rPr>
        <w:t>Application of the “sufficiently liquid” test: The “sufficiently liquidity” test should be applied at a very granular level (sub-asset classes rather than broad classes of products) and with a view to a global harmonization of trading obligations, particularly with regard to the US in a first step.</w:t>
      </w:r>
    </w:p>
    <w:p w:rsidR="00595575" w:rsidRPr="00C8654A" w:rsidRDefault="00595575" w:rsidP="00595575">
      <w:pPr>
        <w:rPr>
          <w:lang w:val="en-US"/>
        </w:rPr>
      </w:pPr>
    </w:p>
    <w:p w:rsidR="00595575" w:rsidRPr="00C8654A" w:rsidRDefault="00595575" w:rsidP="00595575">
      <w:pPr>
        <w:rPr>
          <w:lang w:val="en-US"/>
        </w:rPr>
      </w:pPr>
      <w:r w:rsidRPr="00C8654A">
        <w:rPr>
          <w:lang w:val="en-US"/>
        </w:rPr>
        <w:t>- (ii) Broken dates</w:t>
      </w:r>
    </w:p>
    <w:p w:rsidR="00595575" w:rsidRDefault="00595575" w:rsidP="00595575">
      <w:pPr>
        <w:rPr>
          <w:lang w:val="en-US"/>
        </w:rPr>
      </w:pPr>
      <w:r w:rsidRPr="00C8654A">
        <w:rPr>
          <w:lang w:val="en-US"/>
        </w:rPr>
        <w:t xml:space="preserve">With regard to the treatment of broken dates, ISDA agrees with ESMA's proposal to include broken dates in the classes of financial instruments listed in Annex III of RTS 9 (i.e. option 1). However, they should be excluded from the liquid classes subject to the trading obligation. As indicated by ESMA in paragraph 83 of the December 2014 Consultation Paper, differentiating contracts on the basis of broken date maturity vs. benchmark maturity is important for the definition of the liquid classes subject to the trading obligation. </w:t>
      </w:r>
    </w:p>
    <w:p w:rsidR="00595575" w:rsidRPr="00C8654A" w:rsidRDefault="00595575" w:rsidP="00595575">
      <w:pPr>
        <w:rPr>
          <w:lang w:val="en-US"/>
        </w:rPr>
      </w:pPr>
    </w:p>
    <w:p w:rsidR="00595575" w:rsidRDefault="00595575" w:rsidP="00595575">
      <w:pPr>
        <w:rPr>
          <w:lang w:val="en-US"/>
        </w:rPr>
      </w:pPr>
      <w:r w:rsidRPr="00C8654A">
        <w:rPr>
          <w:lang w:val="en-US"/>
        </w:rPr>
        <w:t>A definition of the "related maturity date" should be introduced. For example, in the case of a forward date swap, is the tenor of the contract: (</w:t>
      </w:r>
      <w:proofErr w:type="spellStart"/>
      <w:r w:rsidRPr="00C8654A">
        <w:rPr>
          <w:lang w:val="en-US"/>
        </w:rPr>
        <w:t>i</w:t>
      </w:r>
      <w:proofErr w:type="spellEnd"/>
      <w:r w:rsidRPr="00C8654A">
        <w:rPr>
          <w:lang w:val="en-US"/>
        </w:rPr>
        <w:t xml:space="preserve">) the difference between the date the swap is executed and the swap maturity date; or (ii) the difference between the date the swap is agreed and the swap maturity date? </w:t>
      </w:r>
    </w:p>
    <w:p w:rsidR="00595575" w:rsidRDefault="00595575" w:rsidP="00595575">
      <w:pPr>
        <w:rPr>
          <w:lang w:val="en-US"/>
        </w:rPr>
      </w:pPr>
    </w:p>
    <w:p w:rsidR="00595575" w:rsidRDefault="00595575" w:rsidP="00595575">
      <w:pPr>
        <w:rPr>
          <w:lang w:val="en-US"/>
        </w:rPr>
      </w:pPr>
      <w:r w:rsidRPr="00C8654A">
        <w:rPr>
          <w:lang w:val="en-US"/>
        </w:rPr>
        <w:t>We agree with ISDA position that a trading obligation for a class of derivatives can only be imposed if there is a clearing obligation for these trades. Mandatory clearing must be a pre-c</w:t>
      </w:r>
      <w:r>
        <w:rPr>
          <w:lang w:val="en-US"/>
        </w:rPr>
        <w:t xml:space="preserve">ondition for mandatory trading.   For </w:t>
      </w:r>
      <w:proofErr w:type="gramStart"/>
      <w:r>
        <w:rPr>
          <w:lang w:val="en-US"/>
        </w:rPr>
        <w:t>non</w:t>
      </w:r>
      <w:proofErr w:type="gramEnd"/>
      <w:r>
        <w:rPr>
          <w:lang w:val="en-US"/>
        </w:rPr>
        <w:t xml:space="preserve"> centrally cleared transactions, the identity of the </w:t>
      </w:r>
      <w:r>
        <w:rPr>
          <w:lang w:val="en-US"/>
        </w:rPr>
        <w:lastRenderedPageBreak/>
        <w:t>counterparty is a material pricing term, and trades with apparently similar terms can have different prices depending on the counterparty ID.</w:t>
      </w:r>
    </w:p>
    <w:p w:rsidR="00595575" w:rsidRPr="00C8654A" w:rsidRDefault="00595575" w:rsidP="00595575">
      <w:pPr>
        <w:rPr>
          <w:lang w:val="en-US"/>
        </w:rPr>
      </w:pPr>
    </w:p>
    <w:p w:rsidR="00595575" w:rsidRDefault="00595575" w:rsidP="00595575">
      <w:pPr>
        <w:rPr>
          <w:lang w:val="en-US"/>
        </w:rPr>
      </w:pPr>
      <w:r w:rsidRPr="00C8654A">
        <w:rPr>
          <w:lang w:val="en-US"/>
        </w:rPr>
        <w:t>(iii) Package transactions</w:t>
      </w:r>
    </w:p>
    <w:p w:rsidR="00595575" w:rsidRPr="00C8654A" w:rsidRDefault="00595575" w:rsidP="00595575">
      <w:pPr>
        <w:rPr>
          <w:lang w:val="en-US"/>
        </w:rPr>
      </w:pPr>
      <w:r w:rsidRPr="00C8654A">
        <w:rPr>
          <w:lang w:val="en-US"/>
        </w:rPr>
        <w:t>SG notes that no accommodation has been made for package transactions, which represent a significant proportion of market activity.  Having seen the difficulties encountered by the CFTC through the implementation of the Dodd-Frank act, and noting the unavailability of “No Action Letters” within the European Regulatory regime, SG would like to propose that ESMA considers specific and tailored treatment for package</w:t>
      </w:r>
      <w:r w:rsidR="00B91343">
        <w:rPr>
          <w:lang w:val="en-US"/>
        </w:rPr>
        <w:t xml:space="preserve"> transactions</w:t>
      </w:r>
    </w:p>
    <w:p w:rsidR="00595575" w:rsidRPr="00C8654A" w:rsidRDefault="00595575" w:rsidP="00595575">
      <w:pPr>
        <w:rPr>
          <w:lang w:val="en-US"/>
        </w:rPr>
      </w:pPr>
    </w:p>
    <w:p w:rsidR="00595575" w:rsidRDefault="00595575" w:rsidP="00595575">
      <w:pPr>
        <w:ind w:left="720"/>
        <w:rPr>
          <w:lang w:val="en-US"/>
        </w:rPr>
      </w:pPr>
      <w:proofErr w:type="gramStart"/>
      <w:r w:rsidRPr="00C8654A">
        <w:rPr>
          <w:lang w:val="en-US"/>
        </w:rPr>
        <w:t>o</w:t>
      </w:r>
      <w:proofErr w:type="gramEnd"/>
      <w:r w:rsidRPr="00C8654A">
        <w:rPr>
          <w:lang w:val="en-US"/>
        </w:rPr>
        <w:tab/>
        <w:t>SG notes that, in response to ESMA’s May 2014 Discussion Paper, ISDA included a number of detailed comments on the nature of package transactions to which we would like to draw ESMA’s attention. We reiterate the points made in that response and support the proposal put forward by ISDA in its response to this CP.</w:t>
      </w:r>
    </w:p>
    <w:permEnd w:id="98"/>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95575" w:rsidRDefault="00595575" w:rsidP="004641A1">
      <w:pPr>
        <w:rPr>
          <w:lang w:val="en-US"/>
        </w:rPr>
      </w:pPr>
      <w:permStart w:id="99" w:edGrp="everyone"/>
      <w:r w:rsidRPr="000609E2">
        <w:rPr>
          <w:lang w:val="en-US"/>
        </w:rPr>
        <w:t xml:space="preserve">No.  </w:t>
      </w:r>
    </w:p>
    <w:p w:rsidR="00595575" w:rsidRDefault="00595575" w:rsidP="004641A1">
      <w:pPr>
        <w:rPr>
          <w:lang w:val="en-US"/>
        </w:rPr>
      </w:pPr>
    </w:p>
    <w:p w:rsidR="00595575" w:rsidRDefault="00595575" w:rsidP="004641A1">
      <w:pPr>
        <w:rPr>
          <w:lang w:val="en-US"/>
        </w:rPr>
      </w:pPr>
      <w:r w:rsidRPr="00C8654A">
        <w:rPr>
          <w:lang w:val="en-US"/>
        </w:rPr>
        <w:t>We agree with ISDA position that a trading obligation for a class of derivatives can only be imposed if there is a clearing obligation for these trades. Mandatory clearing must be a pre-condition for mandatory trading.</w:t>
      </w:r>
      <w:r>
        <w:rPr>
          <w:lang w:val="en-US"/>
        </w:rPr>
        <w:t xml:space="preserve">  </w:t>
      </w:r>
      <w:r w:rsidRPr="00C8654A">
        <w:rPr>
          <w:lang w:val="en-US"/>
        </w:rPr>
        <w:t>Hence we do not agree with the proposed RTS in relation to the criteria determining whether derivatives have a direct, substantial and foreseeable effect within the EU.</w:t>
      </w:r>
    </w:p>
    <w:p w:rsidR="00595575" w:rsidRDefault="00595575" w:rsidP="004641A1">
      <w:pPr>
        <w:rPr>
          <w:lang w:val="en-US"/>
        </w:rPr>
      </w:pPr>
    </w:p>
    <w:p w:rsidR="00595575" w:rsidRDefault="00595575" w:rsidP="004641A1">
      <w:pPr>
        <w:rPr>
          <w:lang w:val="en-US"/>
        </w:rPr>
      </w:pPr>
      <w:r w:rsidRPr="000609E2">
        <w:rPr>
          <w:lang w:val="en-US"/>
        </w:rPr>
        <w:t xml:space="preserve">In our view it is not necessary or appropriate for the trading obligation to apply to third country entity trades where the clearing obligation under EMIR does not apply to the relevant transactions by virtue of an equivalence assessment under Article 13 of EMIR. </w:t>
      </w:r>
    </w:p>
    <w:p w:rsidR="00595575" w:rsidRPr="000609E2" w:rsidRDefault="00595575" w:rsidP="004641A1">
      <w:pPr>
        <w:rPr>
          <w:lang w:val="en-US"/>
        </w:rPr>
      </w:pPr>
    </w:p>
    <w:p w:rsidR="00595575" w:rsidRDefault="00595575" w:rsidP="00EC2C93">
      <w:pPr>
        <w:keepNext/>
        <w:rPr>
          <w:lang w:val="en-US"/>
        </w:rPr>
      </w:pPr>
      <w:r w:rsidRPr="000609E2">
        <w:rPr>
          <w:lang w:val="en-US"/>
        </w:rPr>
        <w:t xml:space="preserve">ESMA's current proposal could lead to a situation in which the EU imposes an obligation on two counterparties to trade an instrument on an EU trading venue despite the fact that </w:t>
      </w:r>
      <w:proofErr w:type="gramStart"/>
      <w:r w:rsidRPr="000609E2">
        <w:rPr>
          <w:lang w:val="en-US"/>
        </w:rPr>
        <w:t>neither counterparty</w:t>
      </w:r>
      <w:proofErr w:type="gramEnd"/>
      <w:r w:rsidRPr="000609E2">
        <w:rPr>
          <w:lang w:val="en-US"/>
        </w:rPr>
        <w:t xml:space="preserve"> is based in the EU and the relevant transaction is exempted from the EU clearing obligation by virtue of Article 13 of EMIR. In our view such transactions cannot be properly interpreted as having a direct, substantial and foreseeable effect within the EU and nor is the application of the trading obligation to such transactions necessary to prevent the evasion of the </w:t>
      </w:r>
      <w:proofErr w:type="spellStart"/>
      <w:r w:rsidRPr="000609E2">
        <w:rPr>
          <w:lang w:val="en-US"/>
        </w:rPr>
        <w:t>MiFIR</w:t>
      </w:r>
      <w:proofErr w:type="spellEnd"/>
      <w:r w:rsidRPr="000609E2">
        <w:rPr>
          <w:lang w:val="en-US"/>
        </w:rPr>
        <w:t xml:space="preserve"> as those trades do not impose additional risks in the EU.  Furthermore, such counterparties may be subject to conflicting local law trading requirements and are unlikely to have access to EU trading venues which will make it difficult for such entities to comply with the EU trading obligation</w:t>
      </w:r>
    </w:p>
    <w:permEnd w:id="99"/>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lastRenderedPageBreak/>
        <w:t>&lt;ESMA_QUESTION_CP_MIFID_91&gt;</w:t>
      </w:r>
    </w:p>
    <w:p w:rsidR="00595575" w:rsidRDefault="00595575" w:rsidP="00EC2C93">
      <w:pPr>
        <w:keepNext/>
      </w:pPr>
      <w:permStart w:id="100" w:edGrp="everyone"/>
      <w:r w:rsidRPr="00AA7154">
        <w:rPr>
          <w:lang w:val="en-US"/>
        </w:rPr>
        <w:t>Yes, in order to align with the EMIR rule on clearing</w:t>
      </w:r>
      <w:r>
        <w:t xml:space="preserve"> </w:t>
      </w:r>
    </w:p>
    <w:permEnd w:id="100"/>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t>&lt;ESMA_QUESTION_CP_MIFID_92&gt;</w:t>
      </w:r>
    </w:p>
    <w:p w:rsidR="00054223" w:rsidRPr="002777E0" w:rsidRDefault="00D33BB1" w:rsidP="00D33BB1">
      <w:pPr>
        <w:spacing w:line="240" w:lineRule="atLeast"/>
        <w:rPr>
          <w:bCs/>
          <w:szCs w:val="22"/>
          <w:lang w:val="en-US"/>
        </w:rPr>
      </w:pPr>
      <w:permStart w:id="101" w:edGrp="everyone"/>
      <w:r w:rsidRPr="002777E0">
        <w:rPr>
          <w:bCs/>
          <w:szCs w:val="22"/>
          <w:lang w:val="en-US"/>
        </w:rPr>
        <w:t>No comment.</w:t>
      </w:r>
    </w:p>
    <w:permEnd w:id="101"/>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8" w:name="_Toc406692527"/>
      <w:bookmarkStart w:id="9" w:name="_Toc406692370"/>
      <w:bookmarkStart w:id="10" w:name="_Toc406691760"/>
      <w:r>
        <w:lastRenderedPageBreak/>
        <w:t>Microstructural issues</w:t>
      </w:r>
      <w:bookmarkEnd w:id="8"/>
      <w:bookmarkEnd w:id="9"/>
      <w:bookmarkEnd w:id="10"/>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EE4670" w:rsidRPr="001069BE" w:rsidRDefault="00EE4670" w:rsidP="00EE4670">
      <w:pPr>
        <w:keepNext/>
      </w:pPr>
      <w:permStart w:id="102" w:edGrp="everyone"/>
      <w:r w:rsidRPr="001069BE">
        <w:t>Regarding to the point 2(</w:t>
      </w:r>
      <w:proofErr w:type="spellStart"/>
      <w:r w:rsidRPr="001069BE">
        <w:t>i</w:t>
      </w:r>
      <w:proofErr w:type="spellEnd"/>
      <w:r w:rsidRPr="001069BE">
        <w:t>) of article 20 (RTS 13) drafted as follows « arrangements for the investment firm to trade all existing orders manually. » We are of the opinion that a more flexible wording could be used.</w:t>
      </w:r>
    </w:p>
    <w:p w:rsidR="00EE4670" w:rsidRPr="001069BE" w:rsidRDefault="00EE4670" w:rsidP="00EE4670">
      <w:pPr>
        <w:keepNext/>
      </w:pPr>
      <w:r w:rsidRPr="001069BE">
        <w:t>We hence believe that point 2(</w:t>
      </w:r>
      <w:proofErr w:type="spellStart"/>
      <w:r w:rsidRPr="001069BE">
        <w:t>i</w:t>
      </w:r>
      <w:proofErr w:type="spellEnd"/>
      <w:r w:rsidRPr="001069BE">
        <w:t xml:space="preserve">) of article 20 (RTS 13) should be modified as follows: </w:t>
      </w:r>
    </w:p>
    <w:p w:rsidR="00EE4670" w:rsidRPr="001069BE" w:rsidRDefault="00EE4670" w:rsidP="00EE4670">
      <w:pPr>
        <w:keepNext/>
        <w:ind w:firstLine="708"/>
      </w:pPr>
      <w:r w:rsidRPr="001069BE">
        <w:t>« Arrangements for the investment firm to manage all existing orders manually. »</w:t>
      </w:r>
    </w:p>
    <w:permEnd w:id="102"/>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EE4670" w:rsidRPr="00EE4670" w:rsidRDefault="00EE4670" w:rsidP="00EE4670">
      <w:pPr>
        <w:keepNext/>
      </w:pPr>
      <w:permStart w:id="103" w:edGrp="everyone"/>
      <w:r w:rsidRPr="00EE4670">
        <w:t xml:space="preserve">We would like to insist that the testing requirements should be based on the proportionality principle. Specially, testing requirements should be limited to instances where the firm has introduced functioning, substantial or structural changes to the algorithm or strategy and not to minor changes such as recalibration or adjustments in parameters. </w:t>
      </w:r>
    </w:p>
    <w:p w:rsidR="00EE4670" w:rsidRPr="00EE4670" w:rsidRDefault="00EE4670" w:rsidP="00EE4670">
      <w:pPr>
        <w:keepNext/>
      </w:pPr>
      <w:r w:rsidRPr="00EE4670">
        <w:t>We hence believe that article 10 in RTS 13 should be modified as follows:</w:t>
      </w:r>
    </w:p>
    <w:p w:rsidR="00EE4670" w:rsidRPr="00EE4670" w:rsidRDefault="00EE4670" w:rsidP="00EE4670">
      <w:pPr>
        <w:keepNext/>
      </w:pPr>
      <w:r w:rsidRPr="00EE4670">
        <w:tab/>
        <w:t xml:space="preserve">“An investment firm shall, prior to the initial </w:t>
      </w:r>
      <w:r w:rsidRPr="00EE4670">
        <w:rPr>
          <w:lang w:val="en-US"/>
        </w:rPr>
        <w:t>deployment or update involving functioning, substantial or structural changes of a trading system, algorithm or strategy, make use of clearly delineated development and testing methodologies. These methodologies should address process design and execution, division of responsibilities, allocation of sufficient resources, escalation procedures, and sign-off by a responsible party within the investment firm.”</w:t>
      </w:r>
    </w:p>
    <w:permEnd w:id="103"/>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D33BB1" w:rsidRPr="002777E0" w:rsidRDefault="00D33BB1" w:rsidP="00D33BB1">
      <w:pPr>
        <w:spacing w:line="240" w:lineRule="atLeast"/>
        <w:rPr>
          <w:bCs/>
          <w:szCs w:val="22"/>
          <w:lang w:val="en-US"/>
        </w:rPr>
      </w:pPr>
      <w:permStart w:id="104" w:edGrp="everyone"/>
      <w:r w:rsidRPr="002777E0">
        <w:rPr>
          <w:bCs/>
          <w:szCs w:val="22"/>
          <w:lang w:val="en-US"/>
        </w:rPr>
        <w:t>No comment.</w:t>
      </w:r>
    </w:p>
    <w:permEnd w:id="104"/>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D33BB1" w:rsidRPr="002777E0" w:rsidRDefault="00D33BB1" w:rsidP="00D33BB1">
      <w:pPr>
        <w:spacing w:line="240" w:lineRule="atLeast"/>
        <w:rPr>
          <w:bCs/>
          <w:szCs w:val="22"/>
          <w:lang w:val="en-US"/>
        </w:rPr>
      </w:pPr>
      <w:permStart w:id="105" w:edGrp="everyone"/>
      <w:r w:rsidRPr="002777E0">
        <w:rPr>
          <w:bCs/>
          <w:szCs w:val="22"/>
          <w:lang w:val="en-US"/>
        </w:rPr>
        <w:t>No comment.</w:t>
      </w:r>
    </w:p>
    <w:permEnd w:id="105"/>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lastRenderedPageBreak/>
        <w:t>&lt;ESMA_QUESTION_CP_MIFID_97&gt;</w:t>
      </w:r>
    </w:p>
    <w:p w:rsidR="00EE4670" w:rsidRPr="00541C19" w:rsidRDefault="00EE4670" w:rsidP="00EE4670">
      <w:pPr>
        <w:keepNext/>
        <w:rPr>
          <w:lang w:val="en-US"/>
        </w:rPr>
      </w:pPr>
      <w:permStart w:id="106" w:edGrp="everyone"/>
      <w:r w:rsidRPr="00541C19">
        <w:rPr>
          <w:lang w:val="en-US"/>
        </w:rPr>
        <w:t>We support ESMA’s intent to apply market abuse monitoring to the specific case of algorithmic trading.</w:t>
      </w:r>
    </w:p>
    <w:p w:rsidR="00EE4670" w:rsidRPr="00541C19" w:rsidRDefault="00EE4670" w:rsidP="00EE4670">
      <w:pPr>
        <w:keepNext/>
        <w:rPr>
          <w:lang w:val="en-US"/>
        </w:rPr>
      </w:pPr>
      <w:r w:rsidRPr="00541C19">
        <w:rPr>
          <w:lang w:val="en-US"/>
        </w:rPr>
        <w:t xml:space="preserve">Still, we consider that Market Abuse Regulation (MAR) already submits our members to a very strict regime, which already accounts for algorithmic trading. </w:t>
      </w:r>
    </w:p>
    <w:p w:rsidR="00EE4670" w:rsidRPr="00541C19" w:rsidRDefault="00EE4670" w:rsidP="00EE4670">
      <w:pPr>
        <w:keepNext/>
        <w:rPr>
          <w:lang w:val="en-US"/>
        </w:rPr>
      </w:pPr>
      <w:r w:rsidRPr="00541C19">
        <w:rPr>
          <w:lang w:val="en-US"/>
        </w:rPr>
        <w:t xml:space="preserve">Hence, we see no value in introducing a specific article related to market abuse monitoring in </w:t>
      </w:r>
      <w:proofErr w:type="spellStart"/>
      <w:r w:rsidRPr="00541C19">
        <w:rPr>
          <w:lang w:val="en-US"/>
        </w:rPr>
        <w:t>MiFID</w:t>
      </w:r>
      <w:proofErr w:type="spellEnd"/>
      <w:r w:rsidRPr="00541C19">
        <w:rPr>
          <w:lang w:val="en-US"/>
        </w:rPr>
        <w:t xml:space="preserve"> II / </w:t>
      </w:r>
      <w:proofErr w:type="spellStart"/>
      <w:r w:rsidRPr="00541C19">
        <w:rPr>
          <w:lang w:val="en-US"/>
        </w:rPr>
        <w:t>MiFIR</w:t>
      </w:r>
      <w:proofErr w:type="spellEnd"/>
      <w:r w:rsidRPr="00541C19">
        <w:rPr>
          <w:lang w:val="en-US"/>
        </w:rPr>
        <w:t xml:space="preserve"> Level 2. Overlaps between </w:t>
      </w:r>
      <w:proofErr w:type="spellStart"/>
      <w:r w:rsidRPr="00541C19">
        <w:rPr>
          <w:lang w:val="en-US"/>
        </w:rPr>
        <w:t>MiFID</w:t>
      </w:r>
      <w:proofErr w:type="spellEnd"/>
      <w:r w:rsidRPr="00541C19">
        <w:rPr>
          <w:lang w:val="en-US"/>
        </w:rPr>
        <w:t xml:space="preserve"> II / </w:t>
      </w:r>
      <w:proofErr w:type="spellStart"/>
      <w:r w:rsidRPr="00541C19">
        <w:rPr>
          <w:lang w:val="en-US"/>
        </w:rPr>
        <w:t>MiFIR</w:t>
      </w:r>
      <w:proofErr w:type="spellEnd"/>
      <w:r w:rsidRPr="00541C19">
        <w:rPr>
          <w:lang w:val="en-US"/>
        </w:rPr>
        <w:t xml:space="preserve"> and MAD / MAR can only have unintended effects.</w:t>
      </w:r>
    </w:p>
    <w:p w:rsidR="00EE4670" w:rsidRPr="00541C19" w:rsidRDefault="00EE4670" w:rsidP="00EE4670">
      <w:pPr>
        <w:keepNext/>
        <w:rPr>
          <w:lang w:val="en-US"/>
        </w:rPr>
      </w:pPr>
      <w:r w:rsidRPr="00541C19">
        <w:rPr>
          <w:lang w:val="en-US"/>
        </w:rPr>
        <w:t>As a conclusion, we believe that the references to market abuse monitoring (in article 6 and 18) should be retrieved from draft RTS 13, and, if need be, introduced to complete MAD / MAR Level 2 texts.</w:t>
      </w:r>
    </w:p>
    <w:permEnd w:id="106"/>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EE4670" w:rsidRPr="00541C19" w:rsidRDefault="00EE4670" w:rsidP="00EE4670">
      <w:pPr>
        <w:keepNext/>
        <w:rPr>
          <w:lang w:val="en-US"/>
        </w:rPr>
      </w:pPr>
      <w:permStart w:id="107" w:edGrp="everyone"/>
      <w:r w:rsidRPr="00541C19">
        <w:rPr>
          <w:lang w:val="en-US"/>
        </w:rPr>
        <w:t xml:space="preserve">We </w:t>
      </w:r>
      <w:r w:rsidR="00265B4C">
        <w:rPr>
          <w:lang w:val="en-US"/>
        </w:rPr>
        <w:t>would like to emphasize that SG</w:t>
      </w:r>
      <w:r w:rsidRPr="00541C19">
        <w:rPr>
          <w:lang w:val="en-US"/>
        </w:rPr>
        <w:t xml:space="preserve"> understand that the definition of algorithmic trading, as defined by ESMA, is applicable to orders as well as quotes, which are initiated and have limited or no human interaction.  </w:t>
      </w:r>
    </w:p>
    <w:p w:rsidR="00EE4670" w:rsidRPr="00541C19" w:rsidRDefault="00EE4670" w:rsidP="00EE4670">
      <w:pPr>
        <w:keepNext/>
        <w:rPr>
          <w:lang w:val="en-US"/>
        </w:rPr>
      </w:pPr>
      <w:r w:rsidRPr="00541C19">
        <w:rPr>
          <w:lang w:val="en-US"/>
        </w:rPr>
        <w:t>SG therefore understands that requests for quote/ voice trading are out of scope, as they are a response to a request, rather than initiating a request itself.</w:t>
      </w:r>
    </w:p>
    <w:permEnd w:id="107"/>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D33BB1" w:rsidRPr="002777E0" w:rsidRDefault="00D33BB1" w:rsidP="00D33BB1">
      <w:pPr>
        <w:spacing w:line="240" w:lineRule="atLeast"/>
        <w:rPr>
          <w:bCs/>
          <w:szCs w:val="22"/>
          <w:lang w:val="en-US"/>
        </w:rPr>
      </w:pPr>
      <w:permStart w:id="108" w:edGrp="everyone"/>
      <w:r w:rsidRPr="002777E0">
        <w:rPr>
          <w:bCs/>
          <w:szCs w:val="22"/>
          <w:lang w:val="en-US"/>
        </w:rPr>
        <w:t>No comment.</w:t>
      </w:r>
    </w:p>
    <w:permEnd w:id="108"/>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t>&lt;ESMA_QUESTION_CP_MIFID_100&gt;</w:t>
      </w:r>
    </w:p>
    <w:p w:rsidR="00D33BB1" w:rsidRPr="002777E0" w:rsidRDefault="00D33BB1" w:rsidP="00D33BB1">
      <w:pPr>
        <w:spacing w:line="240" w:lineRule="atLeast"/>
        <w:rPr>
          <w:bCs/>
          <w:szCs w:val="22"/>
          <w:lang w:val="en-US"/>
        </w:rPr>
      </w:pPr>
      <w:permStart w:id="109" w:edGrp="everyone"/>
      <w:r w:rsidRPr="002777E0">
        <w:rPr>
          <w:bCs/>
          <w:szCs w:val="22"/>
          <w:lang w:val="en-US"/>
        </w:rPr>
        <w:t>No comment.</w:t>
      </w:r>
    </w:p>
    <w:permEnd w:id="109"/>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D33BB1" w:rsidRPr="002777E0" w:rsidRDefault="00D33BB1" w:rsidP="00D33BB1">
      <w:pPr>
        <w:spacing w:line="240" w:lineRule="atLeast"/>
        <w:rPr>
          <w:bCs/>
          <w:szCs w:val="22"/>
          <w:lang w:val="en-US"/>
        </w:rPr>
      </w:pPr>
      <w:permStart w:id="110" w:edGrp="everyone"/>
      <w:r w:rsidRPr="002777E0">
        <w:rPr>
          <w:bCs/>
          <w:szCs w:val="22"/>
          <w:lang w:val="en-US"/>
        </w:rPr>
        <w:t>No comment.</w:t>
      </w:r>
    </w:p>
    <w:permEnd w:id="110"/>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D33BB1" w:rsidRPr="002777E0" w:rsidRDefault="00D33BB1" w:rsidP="00D33BB1">
      <w:pPr>
        <w:spacing w:line="240" w:lineRule="atLeast"/>
        <w:rPr>
          <w:bCs/>
          <w:szCs w:val="22"/>
          <w:lang w:val="en-US"/>
        </w:rPr>
      </w:pPr>
      <w:permStart w:id="111" w:edGrp="everyone"/>
      <w:r w:rsidRPr="002777E0">
        <w:rPr>
          <w:bCs/>
          <w:szCs w:val="22"/>
          <w:lang w:val="en-US"/>
        </w:rPr>
        <w:t>No comment.</w:t>
      </w:r>
    </w:p>
    <w:permEnd w:id="111"/>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lastRenderedPageBreak/>
        <w:t>&lt;ESMA_QUESTION_CP_MIFID_103&gt;</w:t>
      </w:r>
    </w:p>
    <w:p w:rsidR="00D33BB1" w:rsidRPr="002777E0" w:rsidRDefault="00D33BB1" w:rsidP="00D33BB1">
      <w:pPr>
        <w:spacing w:line="240" w:lineRule="atLeast"/>
        <w:rPr>
          <w:bCs/>
          <w:szCs w:val="22"/>
          <w:lang w:val="en-US"/>
        </w:rPr>
      </w:pPr>
      <w:permStart w:id="112" w:edGrp="everyone"/>
      <w:r w:rsidRPr="002777E0">
        <w:rPr>
          <w:bCs/>
          <w:szCs w:val="22"/>
          <w:lang w:val="en-US"/>
        </w:rPr>
        <w:t>No comment.</w:t>
      </w:r>
    </w:p>
    <w:permEnd w:id="112"/>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2777E0" w:rsidRDefault="002777E0" w:rsidP="002777E0">
      <w:permStart w:id="113" w:edGrp="everyone"/>
      <w:r>
        <w:t>We do not agree with the proposed RTS.</w:t>
      </w:r>
    </w:p>
    <w:p w:rsidR="002777E0" w:rsidRDefault="002777E0" w:rsidP="002777E0">
      <w:pPr>
        <w:ind w:left="720"/>
      </w:pPr>
    </w:p>
    <w:p w:rsidR="002777E0" w:rsidRDefault="002777E0" w:rsidP="002777E0">
      <w:pPr>
        <w:rPr>
          <w:rFonts w:cs="Calibri"/>
        </w:rPr>
      </w:pPr>
      <w:r>
        <w:t xml:space="preserve">First, we consider that </w:t>
      </w:r>
      <w:r>
        <w:rPr>
          <w:rFonts w:cs="Calibri"/>
        </w:rPr>
        <w:t>market making strategies should be exempted from be qualified as High Frequency Trading (HFT).</w:t>
      </w:r>
    </w:p>
    <w:p w:rsidR="002777E0" w:rsidRDefault="002777E0" w:rsidP="002777E0">
      <w:pPr>
        <w:rPr>
          <w:rFonts w:cs="Calibri"/>
        </w:rPr>
      </w:pPr>
      <w:r>
        <w:rPr>
          <w:rFonts w:cs="Calibri"/>
        </w:rPr>
        <w:t xml:space="preserve">Indeed, even though market makers have certain technical characteristics in common with HFTs (they make use of high speed infrastructures and also place large volume of orders part of which </w:t>
      </w:r>
      <w:proofErr w:type="gramStart"/>
      <w:r>
        <w:rPr>
          <w:rFonts w:cs="Calibri"/>
        </w:rPr>
        <w:t>are</w:t>
      </w:r>
      <w:proofErr w:type="gramEnd"/>
      <w:r>
        <w:rPr>
          <w:rFonts w:cs="Calibri"/>
        </w:rPr>
        <w:t xml:space="preserve"> subsequently cancelled):</w:t>
      </w:r>
    </w:p>
    <w:p w:rsidR="002777E0" w:rsidRDefault="002777E0" w:rsidP="002777E0">
      <w:pPr>
        <w:pStyle w:val="ListParagraph"/>
        <w:rPr>
          <w:rFonts w:cs="Times New Roman"/>
        </w:rPr>
      </w:pPr>
      <w:r>
        <w:t xml:space="preserve">they already operate under strong organizational and operational standards, that will be reinforced by </w:t>
      </w:r>
      <w:proofErr w:type="spellStart"/>
      <w:r>
        <w:t>MiFID</w:t>
      </w:r>
      <w:proofErr w:type="spellEnd"/>
      <w:r>
        <w:t xml:space="preserve"> II outside of the HFT provisions, so the HFT qualification will not bring anything</w:t>
      </w:r>
    </w:p>
    <w:p w:rsidR="002777E0" w:rsidRDefault="002777E0" w:rsidP="002777E0">
      <w:pPr>
        <w:pStyle w:val="ListParagraph"/>
      </w:pPr>
      <w:proofErr w:type="gramStart"/>
      <w:r>
        <w:t>there</w:t>
      </w:r>
      <w:proofErr w:type="gramEnd"/>
      <w:r>
        <w:t xml:space="preserve"> is a risk that a HFT qualification have negative consequences on the public image of market makers, that would consequently reconsider their role as liquidity providers and cease performing it to avoid facing sensitive political and reputational issues.</w:t>
      </w:r>
    </w:p>
    <w:p w:rsidR="002777E0" w:rsidRDefault="002777E0" w:rsidP="002777E0"/>
    <w:p w:rsidR="002777E0" w:rsidRDefault="002777E0" w:rsidP="002777E0">
      <w:r>
        <w:t>Second, we believe clarification / amendments would be required on several aspects of the RTS:</w:t>
      </w:r>
    </w:p>
    <w:p w:rsidR="002777E0" w:rsidRDefault="002777E0" w:rsidP="002777E0">
      <w:pPr>
        <w:pStyle w:val="ListParagraph"/>
      </w:pPr>
      <w:proofErr w:type="gramStart"/>
      <w:r>
        <w:t>we</w:t>
      </w:r>
      <w:proofErr w:type="gramEnd"/>
      <w:r>
        <w:t xml:space="preserve"> consider that it is not appropriate to define the nature of a market participant on the sole ground that its presence during </w:t>
      </w:r>
      <w:r>
        <w:rPr>
          <w:u w:val="single"/>
        </w:rPr>
        <w:t>one</w:t>
      </w:r>
      <w:r>
        <w:t xml:space="preserve"> trading day exceeds a given threshold. Such approach does not take into account the life-cycle (variation of liquidity) of certain instruments,</w:t>
      </w:r>
    </w:p>
    <w:p w:rsidR="002777E0" w:rsidRDefault="002777E0" w:rsidP="002777E0">
      <w:pPr>
        <w:pStyle w:val="ListParagraph"/>
      </w:pPr>
      <w:proofErr w:type="gramStart"/>
      <w:r>
        <w:t>the</w:t>
      </w:r>
      <w:proofErr w:type="gramEnd"/>
      <w:r>
        <w:t xml:space="preserve"> timeframe for eligible entities to sign a market making agreement must be clarified. We consider that a delay of one month after the conditions are met, as the one for SI, would be acceptable.</w:t>
      </w:r>
    </w:p>
    <w:p w:rsidR="002777E0" w:rsidRDefault="002777E0" w:rsidP="002777E0">
      <w:pPr>
        <w:pStyle w:val="ListParagraph"/>
      </w:pPr>
      <w:r>
        <w:t xml:space="preserve">The situation of venues working </w:t>
      </w:r>
      <w:proofErr w:type="gramStart"/>
      <w:r>
        <w:t>with a RFQ systems</w:t>
      </w:r>
      <w:proofErr w:type="gramEnd"/>
      <w:r>
        <w:t xml:space="preserve"> must be clarified. Our understanding is that the market making regime is not designed to apply to such platforms. Furthermore, we believe that liquidity providers answering to requests on such platforms cannot be considered to use algorithmic trading strategies (see our answer to Q98). Yet, a clarification by ESMA would be useful.</w:t>
      </w:r>
    </w:p>
    <w:p w:rsidR="002777E0" w:rsidRDefault="002777E0" w:rsidP="002777E0">
      <w:pPr>
        <w:ind w:left="720"/>
        <w:rPr>
          <w:color w:val="1F497D"/>
        </w:rPr>
      </w:pPr>
    </w:p>
    <w:p w:rsidR="002777E0" w:rsidRDefault="002777E0" w:rsidP="00EC2C93">
      <w:pPr>
        <w:keepNext/>
      </w:pPr>
      <w:r>
        <w:lastRenderedPageBreak/>
        <w:t>We also question the notion of “competitive prices”, which are defined as “</w:t>
      </w:r>
      <w:r>
        <w:rPr>
          <w:i/>
        </w:rPr>
        <w:t>quotes posted within the average bid-ask spread</w:t>
      </w:r>
      <w:r>
        <w:t>”. This does not seem consistent with Article 3(2) of draft RTS 15, or at least deserves clarification. If “average bid-ask spread” is to be understood as the Best Bid Offer (i.e. best limits independent from the size), then there is a strong risk of manipulation to the detriment of market makers, and ultimately to the detriment of all market participants. Instead</w:t>
      </w:r>
      <w:proofErr w:type="gramStart"/>
      <w:r>
        <w:t>,  “</w:t>
      </w:r>
      <w:proofErr w:type="gramEnd"/>
      <w:r>
        <w:t xml:space="preserve">average bid-ask spread” should be established as meaning the spread weighed on the size. Apart from that, it should be specified which prices are taken into account in case an instrument is traded on several venues (prices accumulated or those of the most liquid platform?).  </w:t>
      </w:r>
    </w:p>
    <w:permEnd w:id="113"/>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2777E0" w:rsidRDefault="002777E0" w:rsidP="002777E0">
      <w:pPr>
        <w:keepNext/>
        <w:rPr>
          <w:rFonts w:cs="Calibri"/>
        </w:rPr>
      </w:pPr>
      <w:permStart w:id="114" w:edGrp="everyone"/>
      <w:r>
        <w:rPr>
          <w:rFonts w:cs="Calibri"/>
        </w:rPr>
        <w:t xml:space="preserve">As explained in our answer to Q104, </w:t>
      </w:r>
      <w:r>
        <w:t xml:space="preserve">we are very </w:t>
      </w:r>
      <w:proofErr w:type="spellStart"/>
      <w:r>
        <w:t>skeptical</w:t>
      </w:r>
      <w:proofErr w:type="spellEnd"/>
      <w:r>
        <w:t xml:space="preserve"> about the consideration that one day is sufficient to give the status of market marker, which is designed to be a lasting and constraining status. In particular, this rule does not seem appropriate for some non-equity instruments which can have peaks of liquidity followed by long periods of low liquidity in a short timeframe.</w:t>
      </w:r>
    </w:p>
    <w:p w:rsidR="002777E0" w:rsidRDefault="002777E0" w:rsidP="002777E0">
      <w:pPr>
        <w:keepNext/>
        <w:ind w:left="708"/>
        <w:rPr>
          <w:rFonts w:cs="Calibri"/>
        </w:rPr>
      </w:pPr>
    </w:p>
    <w:p w:rsidR="002777E0" w:rsidRDefault="002777E0" w:rsidP="002777E0">
      <w:pPr>
        <w:keepNext/>
        <w:rPr>
          <w:rFonts w:cs="Calibri"/>
        </w:rPr>
      </w:pPr>
      <w:r>
        <w:t xml:space="preserve">We also consider that the situation of venues working </w:t>
      </w:r>
      <w:proofErr w:type="gramStart"/>
      <w:r>
        <w:t>with a RFQ systems</w:t>
      </w:r>
      <w:proofErr w:type="gramEnd"/>
      <w:r>
        <w:t xml:space="preserve"> must be clarified</w:t>
      </w:r>
      <w:r>
        <w:rPr>
          <w:rFonts w:cs="Calibri"/>
        </w:rPr>
        <w:t>. Indeed, current RTS drafting does not clarify how the 30% minimum presence on the trading venues would apply to request for quotation type of markets such as bonds market:</w:t>
      </w:r>
    </w:p>
    <w:p w:rsidR="002777E0" w:rsidRDefault="002777E0" w:rsidP="002777E0">
      <w:pPr>
        <w:keepNext/>
        <w:ind w:left="708"/>
        <w:rPr>
          <w:rFonts w:cs="Calibri"/>
        </w:rPr>
      </w:pPr>
    </w:p>
    <w:p w:rsidR="002777E0" w:rsidRDefault="002777E0" w:rsidP="002777E0">
      <w:pPr>
        <w:ind w:left="1416"/>
        <w:rPr>
          <w:rFonts w:cs="Calibri"/>
        </w:rPr>
      </w:pPr>
      <w:r>
        <w:rPr>
          <w:rFonts w:cs="Calibri"/>
        </w:rPr>
        <w:t>“</w:t>
      </w:r>
      <w:r>
        <w:rPr>
          <w:rFonts w:cs="Calibri"/>
          <w:i/>
        </w:rPr>
        <w:t>The minimum parameters to be met in terms of presence, size and spread that shall imply at least posting firm, simultaneous two way quotes of comparable size and competitive prices in no less than one financial instrument on the trading venue for no less than 50 % of the daily trading hours.</w:t>
      </w:r>
      <w:r>
        <w:rPr>
          <w:rFonts w:cs="Calibri"/>
        </w:rPr>
        <w:t>”</w:t>
      </w:r>
    </w:p>
    <w:p w:rsidR="002777E0" w:rsidRDefault="002777E0" w:rsidP="002777E0">
      <w:pPr>
        <w:keepNext/>
        <w:ind w:left="708"/>
        <w:rPr>
          <w:rFonts w:cs="Calibri"/>
        </w:rPr>
      </w:pPr>
    </w:p>
    <w:p w:rsidR="00EE4670" w:rsidRPr="002777E0" w:rsidRDefault="002777E0" w:rsidP="002777E0">
      <w:pPr>
        <w:keepNext/>
        <w:rPr>
          <w:rFonts w:cs="Calibri"/>
        </w:rPr>
      </w:pPr>
      <w:r>
        <w:rPr>
          <w:rFonts w:cs="Calibri"/>
        </w:rPr>
        <w:t xml:space="preserve">It should be clarified that this requirement applies only to market where there is </w:t>
      </w:r>
      <w:proofErr w:type="gramStart"/>
      <w:r>
        <w:rPr>
          <w:rFonts w:cs="Calibri"/>
        </w:rPr>
        <w:t>an</w:t>
      </w:r>
      <w:proofErr w:type="gramEnd"/>
      <w:r>
        <w:rPr>
          <w:rFonts w:cs="Calibri"/>
        </w:rPr>
        <w:t xml:space="preserve"> central limit order book.</w:t>
      </w:r>
    </w:p>
    <w:permEnd w:id="114"/>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EE4670" w:rsidRPr="001069BE" w:rsidRDefault="00EE4670" w:rsidP="00EE4670">
      <w:pPr>
        <w:keepNext/>
        <w:rPr>
          <w:rFonts w:cstheme="minorHAnsi"/>
          <w:szCs w:val="22"/>
        </w:rPr>
      </w:pPr>
      <w:permStart w:id="115" w:edGrp="everyone"/>
      <w:r w:rsidRPr="001069BE">
        <w:rPr>
          <w:rFonts w:cstheme="minorHAnsi"/>
          <w:szCs w:val="22"/>
        </w:rPr>
        <w:t>Current RTS drafting does not clarify how the 50% minimum presence on the trading venues would apply to request for quotation type of markets such as bonds market:</w:t>
      </w:r>
    </w:p>
    <w:p w:rsidR="00EE4670" w:rsidRPr="001069BE" w:rsidRDefault="00EE4670" w:rsidP="00EE4670">
      <w:pPr>
        <w:keepNext/>
        <w:rPr>
          <w:rFonts w:cstheme="minorHAnsi"/>
          <w:szCs w:val="22"/>
        </w:rPr>
      </w:pPr>
    </w:p>
    <w:p w:rsidR="00EE4670" w:rsidRPr="001069BE" w:rsidRDefault="00EE4670" w:rsidP="00EE4670">
      <w:pPr>
        <w:spacing w:line="240" w:lineRule="auto"/>
        <w:ind w:left="708"/>
        <w:jc w:val="left"/>
        <w:rPr>
          <w:rFonts w:cstheme="minorHAnsi"/>
          <w:szCs w:val="22"/>
        </w:rPr>
      </w:pPr>
      <w:r w:rsidRPr="001069BE">
        <w:rPr>
          <w:rFonts w:cstheme="minorHAnsi"/>
          <w:szCs w:val="22"/>
        </w:rPr>
        <w:t>“</w:t>
      </w:r>
      <w:r w:rsidRPr="001069BE">
        <w:rPr>
          <w:rFonts w:cstheme="minorHAnsi"/>
          <w:i/>
          <w:szCs w:val="22"/>
        </w:rPr>
        <w:t>The minimum parameters to be met in terms of presence, size and spread that shall imply at least posting firm, simultaneous two way quotes of comparable size and competitive prices in no less than one financial instrument on the trading venue for no less than 50 % of the daily trading hours.</w:t>
      </w:r>
      <w:r w:rsidRPr="001069BE">
        <w:rPr>
          <w:rFonts w:cstheme="minorHAnsi"/>
          <w:szCs w:val="22"/>
        </w:rPr>
        <w:t>”</w:t>
      </w:r>
    </w:p>
    <w:p w:rsidR="00EE4670" w:rsidRPr="001069BE" w:rsidRDefault="00EE4670" w:rsidP="00EE4670">
      <w:pPr>
        <w:keepNext/>
        <w:rPr>
          <w:rFonts w:cstheme="minorHAnsi"/>
          <w:szCs w:val="22"/>
        </w:rPr>
      </w:pPr>
    </w:p>
    <w:p w:rsidR="00EE4670" w:rsidRDefault="00EE4670" w:rsidP="00EE4670">
      <w:pPr>
        <w:keepNext/>
        <w:rPr>
          <w:rFonts w:cstheme="minorHAnsi"/>
          <w:szCs w:val="22"/>
        </w:rPr>
      </w:pPr>
      <w:r w:rsidRPr="001069BE">
        <w:rPr>
          <w:rFonts w:cstheme="minorHAnsi"/>
          <w:szCs w:val="22"/>
        </w:rPr>
        <w:t>It should be clarified that this requirement applies only to market where there is an order book.</w:t>
      </w:r>
    </w:p>
    <w:p w:rsidR="002777E0" w:rsidRPr="002777E0" w:rsidRDefault="002777E0" w:rsidP="002777E0">
      <w:pPr>
        <w:keepNext/>
      </w:pPr>
      <w:r>
        <w:t>We also would like to get precisions on what consequences the breach of this obligation to quote would entail.</w:t>
      </w:r>
    </w:p>
    <w:permEnd w:id="115"/>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EE4670" w:rsidRPr="001069BE" w:rsidRDefault="00EE4670" w:rsidP="00EE4670">
      <w:pPr>
        <w:keepNext/>
        <w:rPr>
          <w:rFonts w:cstheme="minorHAnsi"/>
          <w:szCs w:val="22"/>
        </w:rPr>
      </w:pPr>
      <w:permStart w:id="116" w:edGrp="everyone"/>
      <w:r w:rsidRPr="001069BE">
        <w:rPr>
          <w:rFonts w:cstheme="minorHAnsi"/>
          <w:szCs w:val="22"/>
        </w:rPr>
        <w:t>We do not agree with making public the occurrence of exceptional circumstances as this could have impact on the functioning of trading venue and on other market participants.</w:t>
      </w:r>
    </w:p>
    <w:p w:rsidR="00EE4670" w:rsidRPr="001069BE" w:rsidRDefault="00EE4670" w:rsidP="00EE4670">
      <w:pPr>
        <w:keepNext/>
        <w:rPr>
          <w:rFonts w:cstheme="minorHAnsi"/>
          <w:szCs w:val="22"/>
        </w:rPr>
      </w:pPr>
    </w:p>
    <w:p w:rsidR="00EE4670" w:rsidRPr="001069BE" w:rsidRDefault="00EE4670" w:rsidP="00EE4670">
      <w:pPr>
        <w:keepNext/>
        <w:rPr>
          <w:rFonts w:cstheme="minorHAnsi"/>
          <w:szCs w:val="22"/>
        </w:rPr>
      </w:pPr>
      <w:r w:rsidRPr="001069BE">
        <w:rPr>
          <w:rFonts w:cstheme="minorHAnsi"/>
          <w:szCs w:val="22"/>
        </w:rPr>
        <w:t>Furthermore, we note that the draft RTS 15 (Art 5.5) is not clear on the possibility for an investment firm to stop the performance of its market making agreement in circumstances that impede the investment firm’s ability to maintain prudent risk management practice:</w:t>
      </w:r>
    </w:p>
    <w:p w:rsidR="00EE4670" w:rsidRPr="001069BE" w:rsidRDefault="00EE4670" w:rsidP="00EE4670">
      <w:pPr>
        <w:keepNext/>
        <w:rPr>
          <w:rFonts w:cstheme="minorHAnsi"/>
          <w:szCs w:val="22"/>
        </w:rPr>
      </w:pPr>
    </w:p>
    <w:p w:rsidR="00EE4670" w:rsidRPr="001069BE" w:rsidRDefault="00EE4670" w:rsidP="00EE4670">
      <w:pPr>
        <w:keepNext/>
        <w:ind w:left="708"/>
        <w:rPr>
          <w:rFonts w:cstheme="minorHAnsi"/>
          <w:szCs w:val="22"/>
        </w:rPr>
      </w:pPr>
      <w:r w:rsidRPr="001069BE">
        <w:rPr>
          <w:rFonts w:cstheme="minorHAnsi"/>
          <w:szCs w:val="22"/>
        </w:rPr>
        <w:t>“</w:t>
      </w:r>
      <w:r w:rsidRPr="001069BE">
        <w:rPr>
          <w:rFonts w:cstheme="minorHAnsi"/>
          <w:i/>
          <w:szCs w:val="22"/>
        </w:rPr>
        <w:t>The exceptional circumstances shall be made public by the trading venue as soon as technically possible except in the case of circumstances that impede the investment firm’s ability to maintain prudent risk management practice as described above.</w:t>
      </w:r>
      <w:r w:rsidRPr="001069BE">
        <w:rPr>
          <w:rFonts w:cstheme="minorHAnsi"/>
          <w:szCs w:val="22"/>
        </w:rPr>
        <w:t>”</w:t>
      </w:r>
    </w:p>
    <w:p w:rsidR="00EE4670" w:rsidRPr="001069BE" w:rsidRDefault="00EE4670" w:rsidP="00EE4670">
      <w:pPr>
        <w:keepNext/>
        <w:rPr>
          <w:rFonts w:cstheme="minorHAnsi"/>
          <w:szCs w:val="22"/>
        </w:rPr>
      </w:pPr>
    </w:p>
    <w:p w:rsidR="00EE4670" w:rsidRPr="001069BE" w:rsidRDefault="00EE4670" w:rsidP="00EE4670">
      <w:pPr>
        <w:keepNext/>
        <w:rPr>
          <w:rFonts w:cstheme="minorHAnsi"/>
          <w:szCs w:val="22"/>
        </w:rPr>
      </w:pPr>
      <w:r w:rsidRPr="001069BE">
        <w:rPr>
          <w:rFonts w:cstheme="minorHAnsi"/>
          <w:szCs w:val="22"/>
        </w:rPr>
        <w:t>It could be understood that trading venue does not have to make publicity when exceptional circumstances impede the investment firm’s ability to maintain prudent risk management practice.</w:t>
      </w:r>
    </w:p>
    <w:p w:rsidR="00EE4670" w:rsidRPr="001069BE" w:rsidRDefault="00EE4670" w:rsidP="00EE4670">
      <w:pPr>
        <w:keepNext/>
        <w:rPr>
          <w:rFonts w:cstheme="minorHAnsi"/>
          <w:szCs w:val="22"/>
        </w:rPr>
      </w:pPr>
    </w:p>
    <w:p w:rsidR="00EE4670" w:rsidRPr="001069BE" w:rsidRDefault="00EE4670" w:rsidP="00EE4670">
      <w:pPr>
        <w:spacing w:line="240" w:lineRule="auto"/>
        <w:ind w:left="708"/>
        <w:rPr>
          <w:rFonts w:cstheme="minorHAnsi"/>
          <w:szCs w:val="22"/>
        </w:rPr>
      </w:pPr>
      <w:r w:rsidRPr="001069BE">
        <w:rPr>
          <w:rFonts w:cstheme="minorHAnsi"/>
          <w:szCs w:val="22"/>
        </w:rPr>
        <w:t>“</w:t>
      </w:r>
      <w:r w:rsidRPr="001069BE">
        <w:rPr>
          <w:rFonts w:cstheme="minorHAnsi"/>
          <w:i/>
          <w:szCs w:val="22"/>
        </w:rPr>
        <w:t>The exceptional market circumstances shall be made public by the trading venue as soon as technically possible. Failing such publication, investment firms engaged in a market making agreement may however consider that exceptional market circumstances occur if market circumstances impede the investment firm’s ability to maintain prudent risk management practice.</w:t>
      </w:r>
      <w:r w:rsidRPr="001069BE">
        <w:rPr>
          <w:rFonts w:cstheme="minorHAnsi"/>
          <w:szCs w:val="22"/>
        </w:rPr>
        <w:t>”</w:t>
      </w:r>
    </w:p>
    <w:p w:rsidR="00EE4670" w:rsidRPr="001069BE" w:rsidRDefault="00EE4670" w:rsidP="00EE4670">
      <w:pPr>
        <w:spacing w:line="240" w:lineRule="auto"/>
        <w:rPr>
          <w:rFonts w:cstheme="minorHAnsi"/>
          <w:szCs w:val="22"/>
        </w:rPr>
      </w:pPr>
    </w:p>
    <w:p w:rsidR="00EE4670" w:rsidRPr="001069BE" w:rsidRDefault="00EE4670" w:rsidP="00EE4670">
      <w:pPr>
        <w:spacing w:line="240" w:lineRule="auto"/>
        <w:rPr>
          <w:rFonts w:cstheme="minorHAnsi"/>
          <w:szCs w:val="22"/>
        </w:rPr>
      </w:pPr>
      <w:r w:rsidRPr="001069BE">
        <w:rPr>
          <w:rFonts w:cstheme="minorHAnsi"/>
          <w:szCs w:val="22"/>
        </w:rPr>
        <w:t>Additionally, RTS 15 (Art 4 - 3) appears to contradict the above provision RTS 15 (Art 5 - 5) by stating that an investment firm may suspend its market making activity “</w:t>
      </w:r>
      <w:r w:rsidRPr="001069BE">
        <w:rPr>
          <w:rFonts w:cstheme="minorHAnsi"/>
          <w:i/>
          <w:szCs w:val="22"/>
        </w:rPr>
        <w:t>if the trading venue determines the state of its market to be under exceptional circumstances</w:t>
      </w:r>
      <w:r w:rsidRPr="001069BE">
        <w:rPr>
          <w:rFonts w:cstheme="minorHAnsi"/>
          <w:szCs w:val="22"/>
        </w:rPr>
        <w:t xml:space="preserve">”. CP and Art 5- 5  provide the possibility for a market maker to consider that exceptional conditions are met if there is no statement from the trading venue and if the continuation of market making would impede the investment firm’s ability to maintain prudent risk management practices. </w:t>
      </w:r>
    </w:p>
    <w:p w:rsidR="00EE4670" w:rsidRPr="001069BE" w:rsidRDefault="00EE4670" w:rsidP="00EE4670">
      <w:pPr>
        <w:spacing w:line="240" w:lineRule="auto"/>
        <w:rPr>
          <w:rFonts w:cstheme="minorHAnsi"/>
          <w:szCs w:val="22"/>
        </w:rPr>
      </w:pPr>
    </w:p>
    <w:p w:rsidR="00EE4670" w:rsidRPr="001069BE" w:rsidRDefault="00EE4670" w:rsidP="00EE4670">
      <w:pPr>
        <w:spacing w:line="240" w:lineRule="auto"/>
        <w:rPr>
          <w:rFonts w:cstheme="minorHAnsi"/>
          <w:szCs w:val="22"/>
        </w:rPr>
      </w:pPr>
      <w:r w:rsidRPr="001069BE">
        <w:rPr>
          <w:rFonts w:cstheme="minorHAnsi"/>
          <w:szCs w:val="22"/>
        </w:rPr>
        <w:t>It should also be clarified that in Market makers can suspend their participation within such an agreement outside of any exceptional conditions based on its own business policy and ability to continue with its market making strategy.</w:t>
      </w:r>
    </w:p>
    <w:p w:rsidR="00EE4670" w:rsidRPr="001069BE" w:rsidRDefault="00EE4670" w:rsidP="00EE4670">
      <w:pPr>
        <w:spacing w:line="240" w:lineRule="auto"/>
        <w:ind w:left="708"/>
        <w:rPr>
          <w:rFonts w:cstheme="minorHAnsi"/>
          <w:szCs w:val="22"/>
        </w:rPr>
      </w:pPr>
    </w:p>
    <w:p w:rsidR="00EE4670" w:rsidRPr="00541C19" w:rsidRDefault="00EE4670" w:rsidP="00EE4670">
      <w:pPr>
        <w:pStyle w:val="NoSpacing"/>
        <w:jc w:val="both"/>
        <w:rPr>
          <w:rFonts w:ascii="Calibri" w:hAnsi="Calibri" w:cs="Calibri"/>
        </w:rPr>
      </w:pPr>
      <w:r w:rsidRPr="001069BE">
        <w:rPr>
          <w:rFonts w:cstheme="minorHAnsi"/>
          <w:sz w:val="22"/>
          <w:szCs w:val="22"/>
        </w:rPr>
        <w:t>Finally, we believe that further clarification is needed from ESMA in relation to the “negative incentives” system mentioned in RTS 15 (Art 10). In particular it should be clear that this may not allow venue to impose undue punitive indemnity that go beyond contractual will of the parties</w:t>
      </w:r>
      <w:r w:rsidRPr="00541C19">
        <w:rPr>
          <w:rFonts w:ascii="Calibri" w:hAnsi="Calibri" w:cs="Calibri"/>
        </w:rPr>
        <w:t>.</w:t>
      </w:r>
    </w:p>
    <w:permEnd w:id="116"/>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lastRenderedPageBreak/>
        <w:t>&lt;ESMA_QUESTION_CP_MIFID_108&gt;</w:t>
      </w:r>
    </w:p>
    <w:p w:rsidR="00EE4670" w:rsidRPr="001069BE" w:rsidRDefault="00EE4670" w:rsidP="00EE4670">
      <w:pPr>
        <w:keepNext/>
        <w:rPr>
          <w:rFonts w:cstheme="minorHAnsi"/>
          <w:szCs w:val="22"/>
        </w:rPr>
      </w:pPr>
      <w:permStart w:id="117" w:edGrp="everyone"/>
      <w:r w:rsidRPr="001069BE">
        <w:rPr>
          <w:rFonts w:cstheme="minorHAnsi"/>
          <w:szCs w:val="22"/>
        </w:rPr>
        <w:t>As already explained in Q107, we would like to note that the RTS should include the possibility for a market maker to suspend its participation within such a market making agreement based on its own analysis, business policy and ability to continue with its market making strategy.</w:t>
      </w:r>
    </w:p>
    <w:permEnd w:id="117"/>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EE4670" w:rsidRPr="001069BE" w:rsidRDefault="00EE4670" w:rsidP="00EE4670">
      <w:pPr>
        <w:rPr>
          <w:rFonts w:cstheme="minorHAnsi"/>
          <w:szCs w:val="22"/>
        </w:rPr>
      </w:pPr>
      <w:permStart w:id="118" w:edGrp="everyone"/>
      <w:r w:rsidRPr="001069BE">
        <w:rPr>
          <w:rFonts w:cstheme="minorHAnsi"/>
          <w:szCs w:val="22"/>
        </w:rPr>
        <w:t xml:space="preserve">Regarding to the </w:t>
      </w:r>
      <w:r w:rsidRPr="001069BE">
        <w:rPr>
          <w:rFonts w:cstheme="minorHAnsi"/>
          <w:i/>
          <w:szCs w:val="22"/>
        </w:rPr>
        <w:t xml:space="preserve">Order to Trade Ratio, </w:t>
      </w:r>
      <w:r w:rsidRPr="001069BE">
        <w:rPr>
          <w:rFonts w:cstheme="minorHAnsi"/>
          <w:szCs w:val="22"/>
        </w:rPr>
        <w:t xml:space="preserve">the Recital 7 of the RTS 16 provides for the possibility for platforms to exclude the </w:t>
      </w:r>
      <w:r w:rsidRPr="001069BE">
        <w:rPr>
          <w:rFonts w:cstheme="minorHAnsi"/>
          <w:i/>
          <w:szCs w:val="22"/>
        </w:rPr>
        <w:t xml:space="preserve">market making </w:t>
      </w:r>
      <w:r w:rsidRPr="001069BE">
        <w:rPr>
          <w:rFonts w:cstheme="minorHAnsi"/>
          <w:szCs w:val="22"/>
        </w:rPr>
        <w:t>activity: “trading venues may establish derogatory arrangements for firms engaged in market making agreements” but this possibility isn’t explicit in the RTS itself.  Article 1 RTS should be modified, in this respect, by adding a point 3. :</w:t>
      </w:r>
    </w:p>
    <w:p w:rsidR="00EE4670" w:rsidRPr="001069BE" w:rsidRDefault="00EE4670" w:rsidP="00EE4670">
      <w:pPr>
        <w:rPr>
          <w:rFonts w:cstheme="minorHAnsi"/>
          <w:szCs w:val="22"/>
        </w:rPr>
      </w:pPr>
      <w:r w:rsidRPr="001069BE">
        <w:rPr>
          <w:rFonts w:cstheme="minorHAnsi"/>
          <w:szCs w:val="22"/>
        </w:rPr>
        <w:tab/>
        <w:t>“(3) Trading venues may establish derogatory arrangements for investment firms engaged in market making agreements and fulfilling the obligations set under article XXX (refer to current article 4 of draft RTS 15).”</w:t>
      </w:r>
    </w:p>
    <w:p w:rsidR="00EE4670" w:rsidRPr="001069BE" w:rsidRDefault="00EE4670" w:rsidP="00EE4670">
      <w:pPr>
        <w:rPr>
          <w:rFonts w:cstheme="minorHAnsi"/>
          <w:szCs w:val="22"/>
        </w:rPr>
      </w:pPr>
    </w:p>
    <w:p w:rsidR="00EE4670" w:rsidRPr="001069BE" w:rsidRDefault="00EE4670" w:rsidP="00EE4670">
      <w:pPr>
        <w:rPr>
          <w:rFonts w:cstheme="minorHAnsi"/>
          <w:szCs w:val="22"/>
        </w:rPr>
      </w:pPr>
      <w:r w:rsidRPr="001069BE">
        <w:rPr>
          <w:rFonts w:cstheme="minorHAnsi"/>
          <w:szCs w:val="22"/>
        </w:rPr>
        <w:t>We are of the opinion that the Orders to Transactions regime should be extended to derivatives as derivative and cash trading patterns are not necessarily linked for a given investment firm.</w:t>
      </w:r>
    </w:p>
    <w:p w:rsidR="00EE4670" w:rsidRPr="00541C19" w:rsidRDefault="00EE4670" w:rsidP="00EE4670">
      <w:pPr>
        <w:rPr>
          <w:rFonts w:ascii="Calibri" w:hAnsi="Calibri" w:cs="Calibri"/>
          <w:bCs/>
          <w:sz w:val="24"/>
        </w:rPr>
      </w:pPr>
      <w:r w:rsidRPr="001069BE">
        <w:rPr>
          <w:rFonts w:cstheme="minorHAnsi"/>
          <w:szCs w:val="22"/>
        </w:rPr>
        <w:t xml:space="preserve">We have reasons to believe that certain high frequency strategies can use derivative products only, with no intervention on the underlying cash instruments, and hence the ESMA proposal would not be captures </w:t>
      </w:r>
      <w:proofErr w:type="gramStart"/>
      <w:r w:rsidRPr="001069BE">
        <w:rPr>
          <w:rFonts w:cstheme="minorHAnsi"/>
          <w:szCs w:val="22"/>
        </w:rPr>
        <w:t>by an Orders</w:t>
      </w:r>
      <w:proofErr w:type="gramEnd"/>
      <w:r w:rsidRPr="001069BE">
        <w:rPr>
          <w:rFonts w:cstheme="minorHAnsi"/>
          <w:szCs w:val="22"/>
        </w:rPr>
        <w:t xml:space="preserve"> to Transactions regime limited to cash instruments</w:t>
      </w:r>
      <w:r w:rsidRPr="00541C19">
        <w:rPr>
          <w:rFonts w:ascii="Calibri" w:hAnsi="Calibri" w:cs="Calibri"/>
          <w:sz w:val="24"/>
        </w:rPr>
        <w:t>.</w:t>
      </w:r>
    </w:p>
    <w:permEnd w:id="118"/>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D33BB1" w:rsidRDefault="00D33BB1" w:rsidP="00D33BB1">
      <w:pPr>
        <w:spacing w:line="240" w:lineRule="atLeast"/>
        <w:rPr>
          <w:bCs/>
          <w:szCs w:val="22"/>
          <w:lang w:val="fr-FR"/>
        </w:rPr>
      </w:pPr>
      <w:permStart w:id="119" w:edGrp="everyone"/>
      <w:r>
        <w:rPr>
          <w:bCs/>
          <w:szCs w:val="22"/>
          <w:lang w:val="fr-FR"/>
        </w:rPr>
        <w:t>No comment.</w:t>
      </w:r>
    </w:p>
    <w:permEnd w:id="119"/>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D33BB1" w:rsidRDefault="00D33BB1" w:rsidP="00D33BB1">
      <w:pPr>
        <w:spacing w:line="240" w:lineRule="atLeast"/>
        <w:rPr>
          <w:bCs/>
          <w:szCs w:val="22"/>
          <w:lang w:val="fr-FR"/>
        </w:rPr>
      </w:pPr>
      <w:permStart w:id="120" w:edGrp="everyone"/>
      <w:r>
        <w:rPr>
          <w:bCs/>
          <w:szCs w:val="22"/>
          <w:lang w:val="fr-FR"/>
        </w:rPr>
        <w:t>No comment.</w:t>
      </w:r>
    </w:p>
    <w:permEnd w:id="120"/>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D33BB1" w:rsidRPr="002777E0" w:rsidRDefault="00D33BB1" w:rsidP="00D33BB1">
      <w:pPr>
        <w:spacing w:line="240" w:lineRule="atLeast"/>
        <w:rPr>
          <w:bCs/>
          <w:szCs w:val="22"/>
          <w:lang w:val="en-US"/>
        </w:rPr>
      </w:pPr>
      <w:permStart w:id="121" w:edGrp="everyone"/>
      <w:r w:rsidRPr="002777E0">
        <w:rPr>
          <w:bCs/>
          <w:szCs w:val="22"/>
          <w:lang w:val="en-US"/>
        </w:rPr>
        <w:t>No comment.</w:t>
      </w:r>
    </w:p>
    <w:permEnd w:id="121"/>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lastRenderedPageBreak/>
        <w:t>&lt;ESMA_QUESTION_CP_MIFID_113&gt;</w:t>
      </w:r>
    </w:p>
    <w:p w:rsidR="00D33BB1" w:rsidRDefault="00D33BB1" w:rsidP="00D33BB1">
      <w:pPr>
        <w:spacing w:line="240" w:lineRule="atLeast"/>
        <w:rPr>
          <w:bCs/>
          <w:szCs w:val="22"/>
          <w:lang w:val="fr-FR"/>
        </w:rPr>
      </w:pPr>
      <w:permStart w:id="122" w:edGrp="everyone"/>
      <w:r>
        <w:rPr>
          <w:bCs/>
          <w:szCs w:val="22"/>
          <w:lang w:val="fr-FR"/>
        </w:rPr>
        <w:t>No comment.</w:t>
      </w:r>
    </w:p>
    <w:permEnd w:id="122"/>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D33BB1" w:rsidRDefault="00D33BB1" w:rsidP="00D33BB1">
      <w:pPr>
        <w:spacing w:line="240" w:lineRule="atLeast"/>
        <w:rPr>
          <w:bCs/>
          <w:szCs w:val="22"/>
          <w:lang w:val="fr-FR"/>
        </w:rPr>
      </w:pPr>
      <w:permStart w:id="123" w:edGrp="everyone"/>
      <w:r>
        <w:rPr>
          <w:bCs/>
          <w:szCs w:val="22"/>
          <w:lang w:val="fr-FR"/>
        </w:rPr>
        <w:t>No comment.</w:t>
      </w:r>
    </w:p>
    <w:permEnd w:id="123"/>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D33BB1" w:rsidRDefault="00D33BB1" w:rsidP="00D33BB1">
      <w:pPr>
        <w:spacing w:line="240" w:lineRule="atLeast"/>
        <w:rPr>
          <w:bCs/>
          <w:szCs w:val="22"/>
          <w:lang w:val="fr-FR"/>
        </w:rPr>
      </w:pPr>
      <w:permStart w:id="124" w:edGrp="everyone"/>
      <w:r>
        <w:rPr>
          <w:bCs/>
          <w:szCs w:val="22"/>
          <w:lang w:val="fr-FR"/>
        </w:rPr>
        <w:t>No comment.</w:t>
      </w:r>
    </w:p>
    <w:permEnd w:id="124"/>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t>&lt;ESMA_QUESTION_CP_MIFID_116&gt;</w:t>
      </w:r>
    </w:p>
    <w:p w:rsidR="00D33BB1" w:rsidRDefault="00D33BB1" w:rsidP="00D33BB1">
      <w:pPr>
        <w:spacing w:line="240" w:lineRule="atLeast"/>
        <w:rPr>
          <w:bCs/>
          <w:szCs w:val="22"/>
          <w:lang w:val="fr-FR"/>
        </w:rPr>
      </w:pPr>
      <w:permStart w:id="125" w:edGrp="everyone"/>
      <w:r>
        <w:rPr>
          <w:bCs/>
          <w:szCs w:val="22"/>
          <w:lang w:val="fr-FR"/>
        </w:rPr>
        <w:t>No comment.</w:t>
      </w:r>
    </w:p>
    <w:permEnd w:id="125"/>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D33BB1" w:rsidRDefault="00D33BB1" w:rsidP="00D33BB1">
      <w:pPr>
        <w:spacing w:line="240" w:lineRule="atLeast"/>
        <w:rPr>
          <w:bCs/>
          <w:szCs w:val="22"/>
          <w:lang w:val="fr-FR"/>
        </w:rPr>
      </w:pPr>
      <w:permStart w:id="126" w:edGrp="everyone"/>
      <w:r>
        <w:rPr>
          <w:bCs/>
          <w:szCs w:val="22"/>
          <w:lang w:val="fr-FR"/>
        </w:rPr>
        <w:t>No comment.</w:t>
      </w:r>
    </w:p>
    <w:permEnd w:id="126"/>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D33BB1" w:rsidRDefault="00D33BB1" w:rsidP="00D33BB1">
      <w:pPr>
        <w:spacing w:line="240" w:lineRule="atLeast"/>
        <w:rPr>
          <w:bCs/>
          <w:szCs w:val="22"/>
          <w:lang w:val="fr-FR"/>
        </w:rPr>
      </w:pPr>
      <w:permStart w:id="127" w:edGrp="everyone"/>
      <w:r>
        <w:rPr>
          <w:bCs/>
          <w:szCs w:val="22"/>
          <w:lang w:val="fr-FR"/>
        </w:rPr>
        <w:t>No comment.</w:t>
      </w:r>
    </w:p>
    <w:permEnd w:id="127"/>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D33BB1" w:rsidRPr="002777E0" w:rsidRDefault="00D33BB1" w:rsidP="00D33BB1">
      <w:pPr>
        <w:spacing w:line="240" w:lineRule="atLeast"/>
        <w:rPr>
          <w:bCs/>
          <w:szCs w:val="22"/>
          <w:lang w:val="en-US"/>
        </w:rPr>
      </w:pPr>
      <w:permStart w:id="128" w:edGrp="everyone"/>
      <w:r w:rsidRPr="002777E0">
        <w:rPr>
          <w:bCs/>
          <w:szCs w:val="22"/>
          <w:lang w:val="en-US"/>
        </w:rPr>
        <w:t>No comment.</w:t>
      </w:r>
    </w:p>
    <w:permEnd w:id="128"/>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D33BB1" w:rsidRPr="002777E0" w:rsidRDefault="00D33BB1" w:rsidP="00D33BB1">
      <w:pPr>
        <w:spacing w:line="240" w:lineRule="atLeast"/>
        <w:rPr>
          <w:bCs/>
          <w:szCs w:val="22"/>
          <w:lang w:val="en-US"/>
        </w:rPr>
      </w:pPr>
      <w:permStart w:id="129" w:edGrp="everyone"/>
      <w:r w:rsidRPr="002777E0">
        <w:rPr>
          <w:bCs/>
          <w:szCs w:val="22"/>
          <w:lang w:val="en-US"/>
        </w:rPr>
        <w:t>No comment.</w:t>
      </w:r>
    </w:p>
    <w:permEnd w:id="129"/>
    <w:p w:rsidR="00577C33" w:rsidRDefault="00577C33" w:rsidP="00EC2C93">
      <w:pPr>
        <w:keepNext/>
      </w:pPr>
      <w:r>
        <w:lastRenderedPageBreak/>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D33BB1" w:rsidRDefault="00D33BB1" w:rsidP="00D33BB1">
      <w:pPr>
        <w:spacing w:line="240" w:lineRule="atLeast"/>
        <w:rPr>
          <w:bCs/>
          <w:szCs w:val="22"/>
          <w:lang w:val="fr-FR"/>
        </w:rPr>
      </w:pPr>
      <w:permStart w:id="130" w:edGrp="everyone"/>
      <w:r>
        <w:rPr>
          <w:bCs/>
          <w:szCs w:val="22"/>
          <w:lang w:val="fr-FR"/>
        </w:rPr>
        <w:t>No comment.</w:t>
      </w:r>
    </w:p>
    <w:permEnd w:id="130"/>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D33BB1" w:rsidRDefault="00D33BB1" w:rsidP="00D33BB1">
      <w:pPr>
        <w:spacing w:line="240" w:lineRule="atLeast"/>
        <w:rPr>
          <w:bCs/>
          <w:szCs w:val="22"/>
          <w:lang w:val="fr-FR"/>
        </w:rPr>
      </w:pPr>
      <w:permStart w:id="131" w:edGrp="everyone"/>
      <w:r>
        <w:rPr>
          <w:bCs/>
          <w:szCs w:val="22"/>
          <w:lang w:val="fr-FR"/>
        </w:rPr>
        <w:t>No comment.</w:t>
      </w:r>
    </w:p>
    <w:permEnd w:id="131"/>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t>&lt;ESMA_QUESTION_CP_MIFID_123&gt;</w:t>
      </w:r>
    </w:p>
    <w:p w:rsidR="00D33BB1" w:rsidRDefault="00D33BB1" w:rsidP="00D33BB1">
      <w:pPr>
        <w:spacing w:line="240" w:lineRule="atLeast"/>
        <w:rPr>
          <w:bCs/>
          <w:szCs w:val="22"/>
          <w:lang w:val="fr-FR"/>
        </w:rPr>
      </w:pPr>
      <w:permStart w:id="132" w:edGrp="everyone"/>
      <w:r>
        <w:rPr>
          <w:bCs/>
          <w:szCs w:val="22"/>
          <w:lang w:val="fr-FR"/>
        </w:rPr>
        <w:t>No comment.</w:t>
      </w:r>
    </w:p>
    <w:permEnd w:id="132"/>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EE4670" w:rsidRPr="001069BE" w:rsidRDefault="00EE4670" w:rsidP="00EE4670">
      <w:pPr>
        <w:rPr>
          <w:rFonts w:cstheme="minorHAnsi"/>
          <w:szCs w:val="22"/>
        </w:rPr>
      </w:pPr>
      <w:permStart w:id="133" w:edGrp="everyone"/>
      <w:r w:rsidRPr="001069BE">
        <w:rPr>
          <w:rFonts w:cstheme="minorHAnsi"/>
          <w:szCs w:val="22"/>
        </w:rPr>
        <w:t>No we do not believe that more liquidity bands or generally a more granular approach is necessary for very liquid stocks or non liquid stocks. We consider that the proposed tick sizes are adequate for the following reasons:</w:t>
      </w:r>
    </w:p>
    <w:p w:rsidR="00EE4670" w:rsidRPr="001069BE" w:rsidRDefault="00EE4670" w:rsidP="00EE4670">
      <w:pPr>
        <w:ind w:left="720"/>
        <w:rPr>
          <w:rFonts w:cstheme="minorHAnsi"/>
          <w:szCs w:val="22"/>
        </w:rPr>
      </w:pPr>
      <w:r w:rsidRPr="001069BE">
        <w:rPr>
          <w:rFonts w:cstheme="minorHAnsi"/>
          <w:szCs w:val="22"/>
        </w:rPr>
        <w:t>- The proposed tick-size regime remains simple and manageable by all market players and each liquidity range captures enough instruments to make statistical analysis relevant (specifically for the sake of impact analysis);</w:t>
      </w:r>
    </w:p>
    <w:p w:rsidR="00EE4670" w:rsidRPr="001069BE" w:rsidRDefault="00EE4670" w:rsidP="00EE4670">
      <w:pPr>
        <w:ind w:left="720"/>
        <w:rPr>
          <w:rFonts w:cstheme="minorHAnsi"/>
          <w:szCs w:val="22"/>
        </w:rPr>
      </w:pPr>
      <w:r w:rsidRPr="001069BE">
        <w:rPr>
          <w:rFonts w:cstheme="minorHAnsi"/>
          <w:szCs w:val="22"/>
        </w:rPr>
        <w:t>- The proposed tick-size regime includes enough liquidity bands so that, when an instrument moves from one band to the next, the impact on tick size is not so large that it could create disruptions to the trading activity.</w:t>
      </w:r>
    </w:p>
    <w:p w:rsidR="00EE4670" w:rsidRPr="001069BE" w:rsidRDefault="00EE4670" w:rsidP="00EE4670">
      <w:pPr>
        <w:rPr>
          <w:rFonts w:cstheme="minorHAnsi"/>
          <w:szCs w:val="22"/>
        </w:rPr>
      </w:pPr>
      <w:proofErr w:type="spellStart"/>
      <w:r w:rsidRPr="001069BE">
        <w:rPr>
          <w:rFonts w:cstheme="minorHAnsi"/>
          <w:szCs w:val="22"/>
        </w:rPr>
        <w:t>Oversall</w:t>
      </w:r>
      <w:proofErr w:type="spellEnd"/>
      <w:r w:rsidRPr="001069BE">
        <w:rPr>
          <w:rFonts w:cstheme="minorHAnsi"/>
          <w:szCs w:val="22"/>
        </w:rPr>
        <w:t>, we consider that the proposed tick-size regime will participate in ending the decrease in tick sizes due to competition between venues, and the involved moderate increase of tick sizes could be beneficial for the equity markets.</w:t>
      </w:r>
    </w:p>
    <w:permEnd w:id="133"/>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D33BB1" w:rsidRDefault="00D33BB1" w:rsidP="00D33BB1">
      <w:pPr>
        <w:spacing w:line="240" w:lineRule="atLeast"/>
        <w:rPr>
          <w:bCs/>
          <w:szCs w:val="22"/>
          <w:lang w:val="fr-FR"/>
        </w:rPr>
      </w:pPr>
      <w:permStart w:id="134" w:edGrp="everyone"/>
      <w:r>
        <w:rPr>
          <w:bCs/>
          <w:szCs w:val="22"/>
          <w:lang w:val="fr-FR"/>
        </w:rPr>
        <w:t>No comment.</w:t>
      </w:r>
    </w:p>
    <w:permEnd w:id="134"/>
    <w:p w:rsidR="00577C33" w:rsidRDefault="00577C33" w:rsidP="00EC2C93">
      <w:pPr>
        <w:keepNext/>
      </w:pPr>
      <w:r>
        <w:lastRenderedPageBreak/>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D33BB1" w:rsidRDefault="00D33BB1" w:rsidP="00D33BB1">
      <w:pPr>
        <w:spacing w:line="240" w:lineRule="atLeast"/>
        <w:rPr>
          <w:bCs/>
          <w:szCs w:val="22"/>
          <w:lang w:val="fr-FR"/>
        </w:rPr>
      </w:pPr>
      <w:permStart w:id="135" w:edGrp="everyone"/>
      <w:r>
        <w:rPr>
          <w:bCs/>
          <w:szCs w:val="22"/>
          <w:lang w:val="fr-FR"/>
        </w:rPr>
        <w:t>No comment.</w:t>
      </w:r>
    </w:p>
    <w:permEnd w:id="135"/>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D33BB1" w:rsidRDefault="00D33BB1" w:rsidP="00D33BB1">
      <w:pPr>
        <w:spacing w:line="240" w:lineRule="atLeast"/>
        <w:rPr>
          <w:bCs/>
          <w:szCs w:val="22"/>
          <w:lang w:val="fr-FR"/>
        </w:rPr>
      </w:pPr>
      <w:permStart w:id="136" w:edGrp="everyone"/>
      <w:r>
        <w:rPr>
          <w:bCs/>
          <w:szCs w:val="22"/>
          <w:lang w:val="fr-FR"/>
        </w:rPr>
        <w:t>No comment.</w:t>
      </w:r>
    </w:p>
    <w:permEnd w:id="136"/>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D33BB1" w:rsidRDefault="00D33BB1" w:rsidP="00D33BB1">
      <w:pPr>
        <w:spacing w:line="240" w:lineRule="atLeast"/>
        <w:rPr>
          <w:bCs/>
          <w:szCs w:val="22"/>
          <w:lang w:val="fr-FR"/>
        </w:rPr>
      </w:pPr>
      <w:permStart w:id="137" w:edGrp="everyone"/>
      <w:r>
        <w:rPr>
          <w:bCs/>
          <w:szCs w:val="22"/>
          <w:lang w:val="fr-FR"/>
        </w:rPr>
        <w:t>No comment.</w:t>
      </w:r>
    </w:p>
    <w:permEnd w:id="137"/>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D33BB1" w:rsidRDefault="00D33BB1" w:rsidP="00D33BB1">
      <w:pPr>
        <w:spacing w:line="240" w:lineRule="atLeast"/>
        <w:rPr>
          <w:bCs/>
          <w:szCs w:val="22"/>
          <w:lang w:val="fr-FR"/>
        </w:rPr>
      </w:pPr>
      <w:permStart w:id="138" w:edGrp="everyone"/>
      <w:r>
        <w:rPr>
          <w:bCs/>
          <w:szCs w:val="22"/>
          <w:lang w:val="fr-FR"/>
        </w:rPr>
        <w:t>No comment.</w:t>
      </w:r>
    </w:p>
    <w:permEnd w:id="138"/>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t>&lt;ESMA_QUESTION_CP_MIFID_130&gt;</w:t>
      </w:r>
    </w:p>
    <w:p w:rsidR="00D33BB1" w:rsidRDefault="00D33BB1" w:rsidP="00D33BB1">
      <w:pPr>
        <w:spacing w:line="240" w:lineRule="atLeast"/>
        <w:rPr>
          <w:bCs/>
          <w:szCs w:val="22"/>
          <w:lang w:val="fr-FR"/>
        </w:rPr>
      </w:pPr>
      <w:permStart w:id="139" w:edGrp="everyone"/>
      <w:r>
        <w:rPr>
          <w:bCs/>
          <w:szCs w:val="22"/>
          <w:lang w:val="fr-FR"/>
        </w:rPr>
        <w:t>No comment.</w:t>
      </w:r>
    </w:p>
    <w:permEnd w:id="139"/>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D33BB1" w:rsidRPr="002777E0" w:rsidRDefault="00D33BB1" w:rsidP="00D33BB1">
      <w:pPr>
        <w:spacing w:line="240" w:lineRule="atLeast"/>
        <w:rPr>
          <w:bCs/>
          <w:szCs w:val="22"/>
          <w:lang w:val="en-US"/>
        </w:rPr>
      </w:pPr>
      <w:permStart w:id="140" w:edGrp="everyone"/>
      <w:r w:rsidRPr="002777E0">
        <w:rPr>
          <w:bCs/>
          <w:szCs w:val="22"/>
          <w:lang w:val="en-US"/>
        </w:rPr>
        <w:t>No comment.</w:t>
      </w:r>
    </w:p>
    <w:permEnd w:id="140"/>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D33BB1" w:rsidRPr="002777E0" w:rsidRDefault="00D33BB1" w:rsidP="00D33BB1">
      <w:pPr>
        <w:spacing w:line="240" w:lineRule="atLeast"/>
        <w:rPr>
          <w:bCs/>
          <w:szCs w:val="22"/>
          <w:lang w:val="en-US"/>
        </w:rPr>
      </w:pPr>
      <w:permStart w:id="141" w:edGrp="everyone"/>
      <w:r w:rsidRPr="002777E0">
        <w:rPr>
          <w:bCs/>
          <w:szCs w:val="22"/>
          <w:lang w:val="en-US"/>
        </w:rPr>
        <w:t>No comment.</w:t>
      </w:r>
    </w:p>
    <w:permEnd w:id="141"/>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D33BB1" w:rsidRPr="002777E0" w:rsidRDefault="00D33BB1" w:rsidP="00D33BB1">
      <w:pPr>
        <w:spacing w:line="240" w:lineRule="atLeast"/>
        <w:rPr>
          <w:bCs/>
          <w:szCs w:val="22"/>
          <w:lang w:val="en-US"/>
        </w:rPr>
      </w:pPr>
      <w:permStart w:id="142" w:edGrp="everyone"/>
      <w:r w:rsidRPr="002777E0">
        <w:rPr>
          <w:bCs/>
          <w:szCs w:val="22"/>
          <w:lang w:val="en-US"/>
        </w:rPr>
        <w:t>No comment.</w:t>
      </w:r>
    </w:p>
    <w:permEnd w:id="142"/>
    <w:p w:rsidR="00577C33" w:rsidRDefault="00577C33" w:rsidP="00EC2C93">
      <w:pPr>
        <w:keepNext/>
      </w:pPr>
      <w:r>
        <w:lastRenderedPageBreak/>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1" w:name="_Toc406692540"/>
      <w:bookmarkStart w:id="12" w:name="_Toc406692383"/>
      <w:bookmarkStart w:id="13" w:name="_Toc406691773"/>
      <w:r>
        <w:lastRenderedPageBreak/>
        <w:t>Data publication and access</w:t>
      </w:r>
      <w:bookmarkEnd w:id="11"/>
      <w:bookmarkEnd w:id="12"/>
      <w:bookmarkEnd w:id="13"/>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446A08" w:rsidRPr="0036092C" w:rsidRDefault="00446A08" w:rsidP="00446A08">
      <w:pPr>
        <w:rPr>
          <w:lang w:val="en-US"/>
        </w:rPr>
      </w:pPr>
      <w:permStart w:id="143" w:edGrp="everyone"/>
      <w:r>
        <w:rPr>
          <w:lang w:val="en-US"/>
        </w:rPr>
        <w:t>SG agrees with this proposal</w:t>
      </w:r>
    </w:p>
    <w:permEnd w:id="143"/>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446A08" w:rsidRDefault="00446A08" w:rsidP="00EC2C93">
      <w:pPr>
        <w:keepNext/>
      </w:pPr>
      <w:permStart w:id="144" w:edGrp="everyone"/>
      <w:r w:rsidRPr="00446A08">
        <w:t>SG agrees with the recovery provisions; however, there needs to be consistency between the DRSP continuity provisions and the obligations on firms to report/publish such that the obligations cannot permit on one side DRSPs to not function for a certain period of time</w:t>
      </w:r>
      <w:r>
        <w:t xml:space="preserve"> but for firms to remain liable.</w:t>
      </w:r>
    </w:p>
    <w:permEnd w:id="144"/>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446A08" w:rsidRDefault="00446A08" w:rsidP="00EC2C93">
      <w:pPr>
        <w:keepNext/>
        <w:rPr>
          <w:lang w:val="en-US"/>
        </w:rPr>
      </w:pPr>
      <w:permStart w:id="145" w:edGrp="everyone"/>
      <w:r>
        <w:rPr>
          <w:lang w:val="en-US"/>
        </w:rPr>
        <w:t xml:space="preserve">As per Q135, it is important that </w:t>
      </w:r>
      <w:r w:rsidRPr="00D127BE">
        <w:rPr>
          <w:lang w:val="en-US"/>
        </w:rPr>
        <w:t>the obligations on DRSPs</w:t>
      </w:r>
      <w:r>
        <w:rPr>
          <w:lang w:val="en-US"/>
        </w:rPr>
        <w:t xml:space="preserve"> are </w:t>
      </w:r>
      <w:r w:rsidRPr="00D127BE">
        <w:rPr>
          <w:lang w:val="en-US"/>
        </w:rPr>
        <w:t>aligned with the obligations on firms</w:t>
      </w:r>
      <w:r>
        <w:rPr>
          <w:lang w:val="en-US"/>
        </w:rPr>
        <w:t>.</w:t>
      </w:r>
    </w:p>
    <w:permEnd w:id="145"/>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446A08" w:rsidRDefault="00446A08" w:rsidP="00446A08">
      <w:pPr>
        <w:rPr>
          <w:lang w:val="en-US"/>
        </w:rPr>
      </w:pPr>
      <w:permStart w:id="146" w:edGrp="everyone"/>
      <w:r w:rsidRPr="001A2097">
        <w:rPr>
          <w:lang w:val="en-US"/>
        </w:rPr>
        <w:t>SG would like to observe</w:t>
      </w:r>
      <w:r>
        <w:rPr>
          <w:lang w:val="en-US"/>
        </w:rPr>
        <w:t xml:space="preserve"> that t</w:t>
      </w:r>
      <w:r w:rsidRPr="001A2097">
        <w:rPr>
          <w:lang w:val="en-US"/>
        </w:rPr>
        <w:t>he definition of “Client” throughout the RTS 20 should clearly exclude the general public.</w:t>
      </w:r>
      <w:r>
        <w:rPr>
          <w:lang w:val="en-US"/>
        </w:rPr>
        <w:t xml:space="preserve">  If there is any need to have any obligations to the entire public, such needs should be stated expressly and clearly.</w:t>
      </w:r>
    </w:p>
    <w:p w:rsidR="00446A08" w:rsidRPr="001A2097" w:rsidRDefault="00446A08" w:rsidP="00446A08">
      <w:pPr>
        <w:rPr>
          <w:lang w:val="en-US"/>
        </w:rPr>
      </w:pPr>
    </w:p>
    <w:p w:rsidR="00446A08" w:rsidRPr="00D127BE" w:rsidRDefault="00446A08" w:rsidP="00446A08">
      <w:pPr>
        <w:rPr>
          <w:lang w:val="en-US"/>
        </w:rPr>
      </w:pPr>
      <w:r>
        <w:rPr>
          <w:lang w:val="en-US"/>
        </w:rPr>
        <w:t xml:space="preserve">With regard to specific articles </w:t>
      </w:r>
    </w:p>
    <w:p w:rsidR="00446A08" w:rsidRDefault="00446A08" w:rsidP="002777E0">
      <w:pPr>
        <w:pStyle w:val="ListParagraph"/>
        <w:rPr>
          <w:lang w:val="en-US"/>
        </w:rPr>
      </w:pPr>
      <w:r>
        <w:rPr>
          <w:lang w:val="en-US"/>
        </w:rPr>
        <w:t xml:space="preserve">The text of </w:t>
      </w:r>
      <w:r w:rsidRPr="001A2097">
        <w:rPr>
          <w:lang w:val="en-US"/>
        </w:rPr>
        <w:t>Article 11  is</w:t>
      </w:r>
      <w:r>
        <w:rPr>
          <w:lang w:val="en-US"/>
        </w:rPr>
        <w:t xml:space="preserve"> acceptable</w:t>
      </w:r>
      <w:r w:rsidRPr="001A2097">
        <w:rPr>
          <w:lang w:val="en-US"/>
        </w:rPr>
        <w:t xml:space="preserve">, except for recovery provisions issues raised </w:t>
      </w:r>
      <w:r>
        <w:rPr>
          <w:lang w:val="en-US"/>
        </w:rPr>
        <w:t>in our answers to Q135 and Q136 above</w:t>
      </w:r>
    </w:p>
    <w:p w:rsidR="00446A08" w:rsidRDefault="00446A08" w:rsidP="002777E0">
      <w:pPr>
        <w:pStyle w:val="ListParagraph"/>
        <w:rPr>
          <w:lang w:val="en-US"/>
        </w:rPr>
      </w:pPr>
      <w:r w:rsidRPr="001A2097">
        <w:rPr>
          <w:lang w:val="en-US"/>
        </w:rPr>
        <w:t xml:space="preserve">Article 13 </w:t>
      </w:r>
      <w:r>
        <w:rPr>
          <w:lang w:val="en-US"/>
        </w:rPr>
        <w:t>would benefit from some minor modifications:</w:t>
      </w:r>
    </w:p>
    <w:p w:rsidR="00446A08" w:rsidRDefault="00446A08" w:rsidP="002777E0">
      <w:pPr>
        <w:pStyle w:val="ListParagraph"/>
        <w:rPr>
          <w:lang w:val="en-US"/>
        </w:rPr>
      </w:pPr>
    </w:p>
    <w:p w:rsidR="00446A08" w:rsidRDefault="00446A08" w:rsidP="002777E0">
      <w:pPr>
        <w:pStyle w:val="ListParagraph"/>
        <w:rPr>
          <w:lang w:val="en-US"/>
        </w:rPr>
      </w:pPr>
      <w:r w:rsidRPr="001A2097">
        <w:rPr>
          <w:lang w:val="en-US"/>
        </w:rPr>
        <w:t xml:space="preserve">Para 3(c) – </w:t>
      </w:r>
      <w:r>
        <w:rPr>
          <w:lang w:val="en-US"/>
        </w:rPr>
        <w:t>T</w:t>
      </w:r>
      <w:r w:rsidRPr="001A2097">
        <w:rPr>
          <w:lang w:val="en-US"/>
        </w:rPr>
        <w:t>he word “modifies”</w:t>
      </w:r>
      <w:r>
        <w:rPr>
          <w:lang w:val="en-US"/>
        </w:rPr>
        <w:t xml:space="preserve"> should be added to the list of actions.</w:t>
      </w:r>
    </w:p>
    <w:p w:rsidR="00446A08" w:rsidRDefault="00446A08" w:rsidP="002777E0">
      <w:pPr>
        <w:pStyle w:val="ListParagraph"/>
      </w:pPr>
      <w:r w:rsidRPr="001A2097">
        <w:rPr>
          <w:lang w:val="en-US"/>
        </w:rPr>
        <w:t>Para 5</w:t>
      </w:r>
      <w:r>
        <w:rPr>
          <w:lang w:val="en-US"/>
        </w:rPr>
        <w:t xml:space="preserve"> and 6 should specify clearly that a copy of any incident report provided to the competent authority should also be provided to the relevant client(s</w:t>
      </w:r>
      <w:proofErr w:type="gramStart"/>
      <w:r>
        <w:rPr>
          <w:lang w:val="en-US"/>
        </w:rPr>
        <w:t xml:space="preserve">) </w:t>
      </w:r>
      <w:r w:rsidRPr="001A2097">
        <w:rPr>
          <w:lang w:val="en-US"/>
        </w:rPr>
        <w:t xml:space="preserve"> </w:t>
      </w:r>
      <w:r w:rsidRPr="00AC369F">
        <w:t>We</w:t>
      </w:r>
      <w:proofErr w:type="gramEnd"/>
      <w:r w:rsidRPr="00AC369F">
        <w:t xml:space="preserve"> believe Article 16 intends that the provisions of the RTS should continue to apply where </w:t>
      </w:r>
      <w:proofErr w:type="spellStart"/>
      <w:r w:rsidRPr="00AC369F">
        <w:t>a</w:t>
      </w:r>
      <w:r>
        <w:t>ctivites</w:t>
      </w:r>
      <w:proofErr w:type="spellEnd"/>
      <w:r>
        <w:t xml:space="preserve"> are outsourced, however the wording of this article would benefit from being more </w:t>
      </w:r>
      <w:proofErr w:type="spellStart"/>
      <w:r>
        <w:t>explicity</w:t>
      </w:r>
      <w:proofErr w:type="spellEnd"/>
      <w:r>
        <w:t xml:space="preserve"> in this regard.</w:t>
      </w:r>
    </w:p>
    <w:p w:rsidR="00446A08" w:rsidRPr="00D127BE" w:rsidRDefault="00446A08" w:rsidP="00446A08">
      <w:pPr>
        <w:rPr>
          <w:lang w:val="en-US"/>
        </w:rPr>
      </w:pPr>
    </w:p>
    <w:p w:rsidR="00446A08" w:rsidRDefault="00446A08" w:rsidP="002777E0">
      <w:pPr>
        <w:pStyle w:val="ListParagraph"/>
        <w:rPr>
          <w:lang w:val="en-US"/>
        </w:rPr>
      </w:pPr>
      <w:r w:rsidRPr="001A2097">
        <w:rPr>
          <w:lang w:val="en-US"/>
        </w:rPr>
        <w:t>Article 17 should apply to APAs and CTPs as well as ARMs</w:t>
      </w:r>
    </w:p>
    <w:permEnd w:id="146"/>
    <w:p w:rsidR="00577C33" w:rsidRDefault="00577C33" w:rsidP="00EC2C93">
      <w:pPr>
        <w:keepNext/>
      </w:pPr>
      <w:r>
        <w:lastRenderedPageBreak/>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446A08" w:rsidRDefault="00446A08" w:rsidP="00446A08">
      <w:pPr>
        <w:rPr>
          <w:lang w:val="en-US"/>
        </w:rPr>
      </w:pPr>
      <w:permStart w:id="147" w:edGrp="everyone"/>
      <w:r>
        <w:rPr>
          <w:lang w:val="en-US"/>
        </w:rPr>
        <w:t>SG agrees with this proposal</w:t>
      </w:r>
    </w:p>
    <w:permEnd w:id="147"/>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446A08" w:rsidRDefault="00446A08" w:rsidP="00446A08">
      <w:pPr>
        <w:rPr>
          <w:lang w:val="en-US"/>
        </w:rPr>
      </w:pPr>
      <w:permStart w:id="148" w:edGrp="everyone"/>
      <w:r>
        <w:rPr>
          <w:lang w:val="en-US"/>
        </w:rPr>
        <w:t>SG agrees with this proposal</w:t>
      </w:r>
    </w:p>
    <w:permEnd w:id="148"/>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446A08" w:rsidRDefault="00446A08" w:rsidP="00446A08">
      <w:pPr>
        <w:rPr>
          <w:lang w:val="en-US"/>
        </w:rPr>
      </w:pPr>
      <w:permStart w:id="149" w:edGrp="everyone"/>
      <w:r>
        <w:rPr>
          <w:lang w:val="en-US"/>
        </w:rPr>
        <w:t>SG agrees with this proposal</w:t>
      </w:r>
    </w:p>
    <w:permEnd w:id="149"/>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t>&lt;ESMA_QUESTION_CP_MIFID_141&gt;</w:t>
      </w:r>
    </w:p>
    <w:p w:rsidR="00446A08" w:rsidRDefault="00446A08" w:rsidP="00446A08">
      <w:pPr>
        <w:rPr>
          <w:lang w:val="en-US"/>
        </w:rPr>
      </w:pPr>
      <w:permStart w:id="150" w:edGrp="everyone"/>
      <w:r>
        <w:rPr>
          <w:lang w:val="en-US"/>
        </w:rPr>
        <w:t>SG agrees that the ability to provide a trade ID is an important feature of a CTP.  However, SG does not believe that the approach should be as prescriptive as that proposed.  It should be sufficient for a CTP to rely on a trade ID assigned by other parties (provided its uniqueness can be assured) or for the CTP to add its own trade ID as and if necessary.</w:t>
      </w:r>
    </w:p>
    <w:permEnd w:id="150"/>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446A08" w:rsidRDefault="00446A08" w:rsidP="00446A08">
      <w:pPr>
        <w:rPr>
          <w:lang w:val="en-US"/>
        </w:rPr>
      </w:pPr>
      <w:permStart w:id="151" w:edGrp="everyone"/>
      <w:r>
        <w:rPr>
          <w:lang w:val="en-US"/>
        </w:rPr>
        <w:t>SG believes the venue timestamp is the most appropriate</w:t>
      </w:r>
    </w:p>
    <w:permEnd w:id="151"/>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8E5738" w:rsidRDefault="008E5738" w:rsidP="008E5738">
      <w:pPr>
        <w:rPr>
          <w:lang w:val="en-US"/>
        </w:rPr>
      </w:pPr>
      <w:permStart w:id="152" w:edGrp="everyone"/>
      <w:r>
        <w:rPr>
          <w:lang w:val="en-US"/>
        </w:rPr>
        <w:t>SG agrees with the proposal.</w:t>
      </w:r>
    </w:p>
    <w:permEnd w:id="152"/>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8E5738" w:rsidRDefault="008E5738" w:rsidP="008E5738">
      <w:pPr>
        <w:rPr>
          <w:lang w:val="en-US"/>
        </w:rPr>
      </w:pPr>
      <w:permStart w:id="153" w:edGrp="everyone"/>
      <w:r>
        <w:rPr>
          <w:lang w:val="en-US"/>
        </w:rPr>
        <w:t>SG believes that such identification is unnecessary and could in fact be confusing and lead to undesirable competitive behavior between APAs.  In addition, where an APA is known to report for a small number of market participants, publication of the APA source could provide knowledgeable market participants with inappropriate levels of transparency.</w:t>
      </w:r>
    </w:p>
    <w:permEnd w:id="153"/>
    <w:p w:rsidR="00577C33" w:rsidRDefault="00577C33" w:rsidP="00EC2C93">
      <w:pPr>
        <w:keepNext/>
      </w:pPr>
      <w:r>
        <w:lastRenderedPageBreak/>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D33BB1" w:rsidRPr="002777E0" w:rsidRDefault="00D33BB1" w:rsidP="00D33BB1">
      <w:pPr>
        <w:spacing w:line="240" w:lineRule="atLeast"/>
        <w:rPr>
          <w:bCs/>
          <w:szCs w:val="22"/>
          <w:lang w:val="en-US"/>
        </w:rPr>
      </w:pPr>
      <w:permStart w:id="154" w:edGrp="everyone"/>
      <w:r w:rsidRPr="002777E0">
        <w:rPr>
          <w:bCs/>
          <w:szCs w:val="22"/>
          <w:lang w:val="en-US"/>
        </w:rPr>
        <w:t>No comment.</w:t>
      </w:r>
    </w:p>
    <w:permEnd w:id="154"/>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D33BB1" w:rsidRPr="002777E0" w:rsidRDefault="00D33BB1" w:rsidP="00D33BB1">
      <w:pPr>
        <w:spacing w:line="240" w:lineRule="atLeast"/>
        <w:rPr>
          <w:bCs/>
          <w:szCs w:val="22"/>
          <w:lang w:val="en-US"/>
        </w:rPr>
      </w:pPr>
      <w:permStart w:id="155" w:edGrp="everyone"/>
      <w:r w:rsidRPr="002777E0">
        <w:rPr>
          <w:bCs/>
          <w:szCs w:val="22"/>
          <w:lang w:val="en-US"/>
        </w:rPr>
        <w:t>No comment.</w:t>
      </w:r>
    </w:p>
    <w:permEnd w:id="155"/>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D33BB1" w:rsidRPr="002777E0" w:rsidRDefault="00D33BB1" w:rsidP="00D33BB1">
      <w:pPr>
        <w:spacing w:line="240" w:lineRule="atLeast"/>
        <w:rPr>
          <w:bCs/>
          <w:szCs w:val="22"/>
          <w:lang w:val="en-US"/>
        </w:rPr>
      </w:pPr>
      <w:permStart w:id="156" w:edGrp="everyone"/>
      <w:r w:rsidRPr="002777E0">
        <w:rPr>
          <w:bCs/>
          <w:szCs w:val="22"/>
          <w:lang w:val="en-US"/>
        </w:rPr>
        <w:t>No comment.</w:t>
      </w:r>
    </w:p>
    <w:permEnd w:id="156"/>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t>&lt;ESMA_QUESTION_CP_MIFID_148&gt;</w:t>
      </w:r>
    </w:p>
    <w:p w:rsidR="0026584A" w:rsidRDefault="0026584A" w:rsidP="0026584A">
      <w:pPr>
        <w:rPr>
          <w:lang w:val="en-US"/>
        </w:rPr>
      </w:pPr>
      <w:permStart w:id="157" w:edGrp="everyone"/>
      <w:r>
        <w:rPr>
          <w:lang w:val="en-US"/>
        </w:rPr>
        <w:t>SG generally agrees with ESMA’s proposal.</w:t>
      </w:r>
    </w:p>
    <w:p w:rsidR="0026584A" w:rsidRDefault="0026584A" w:rsidP="0026584A">
      <w:pPr>
        <w:rPr>
          <w:lang w:val="en-US"/>
        </w:rPr>
      </w:pPr>
    </w:p>
    <w:p w:rsidR="0026584A" w:rsidRDefault="0026584A" w:rsidP="0026584A">
      <w:pPr>
        <w:rPr>
          <w:lang w:val="en-US"/>
        </w:rPr>
      </w:pPr>
      <w:r>
        <w:rPr>
          <w:lang w:val="en-US"/>
        </w:rPr>
        <w:t xml:space="preserve">SG is fully supportive of ESMA’s concerns that </w:t>
      </w:r>
      <w:r w:rsidRPr="00676919">
        <w:rPr>
          <w:lang w:val="en-US"/>
        </w:rPr>
        <w:t>to deny access</w:t>
      </w:r>
      <w:r>
        <w:rPr>
          <w:lang w:val="en-US"/>
        </w:rPr>
        <w:t xml:space="preserve"> CCPs will need to demonstrate t</w:t>
      </w:r>
      <w:r w:rsidRPr="00676919">
        <w:rPr>
          <w:lang w:val="en-US"/>
        </w:rPr>
        <w:t xml:space="preserve">hat </w:t>
      </w:r>
      <w:r>
        <w:rPr>
          <w:lang w:val="en-US"/>
        </w:rPr>
        <w:t xml:space="preserve">the </w:t>
      </w:r>
      <w:r w:rsidRPr="00676919">
        <w:rPr>
          <w:lang w:val="en-US"/>
        </w:rPr>
        <w:t>capacity they have installed, (in use and idle) as well as their ability to increase capacity, the foreseeable increase in flow and how the concrete increase in flow could not be manageable in a given timeframe, i.e., why and how the CCP would not be able to acquire the needed capacity, so that granting access would, therefore, leave a significant undue risk.</w:t>
      </w:r>
    </w:p>
    <w:p w:rsidR="0026584A" w:rsidRDefault="0026584A" w:rsidP="0026584A">
      <w:pPr>
        <w:rPr>
          <w:lang w:val="en-US"/>
        </w:rPr>
      </w:pPr>
    </w:p>
    <w:p w:rsidR="0026584A" w:rsidRDefault="0026584A" w:rsidP="0026584A">
      <w:pPr>
        <w:rPr>
          <w:lang w:val="en-US"/>
        </w:rPr>
      </w:pPr>
      <w:r>
        <w:rPr>
          <w:lang w:val="en-US"/>
        </w:rPr>
        <w:t>SG also concurs that CCPs should be protected from having to incur significant costs of connection to venues that subsequently provide little to no volume.  As such, SG believes that CCPs should be able to charge reasonable costs of connection to venues, such costs approved by the Competent Authority of the CCP in question.</w:t>
      </w:r>
    </w:p>
    <w:p w:rsidR="0026584A" w:rsidRDefault="0026584A" w:rsidP="0026584A">
      <w:pPr>
        <w:rPr>
          <w:lang w:val="en-US"/>
        </w:rPr>
      </w:pPr>
    </w:p>
    <w:p w:rsidR="0026584A" w:rsidRDefault="0026584A" w:rsidP="0026584A">
      <w:pPr>
        <w:rPr>
          <w:lang w:val="en-US"/>
        </w:rPr>
      </w:pPr>
      <w:r>
        <w:rPr>
          <w:lang w:val="en-US"/>
        </w:rPr>
        <w:t>SG believes that CCPs should not be required to enter into interoperability agreements to support the request for access from a venue.  Interoperability is not the only model by which a venue could access a CCP.</w:t>
      </w:r>
    </w:p>
    <w:permEnd w:id="157"/>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26584A" w:rsidRDefault="0026584A" w:rsidP="0026584A">
      <w:pPr>
        <w:rPr>
          <w:lang w:val="en-US"/>
        </w:rPr>
      </w:pPr>
      <w:permStart w:id="158" w:edGrp="everyone"/>
      <w:r>
        <w:rPr>
          <w:lang w:val="en-US"/>
        </w:rPr>
        <w:t>SG</w:t>
      </w:r>
      <w:r w:rsidRPr="007E3631">
        <w:rPr>
          <w:lang w:val="en-US"/>
        </w:rPr>
        <w:t xml:space="preserve"> is fully supportive of ESMA whereby conditions based on the anticipated volume of transactions and the number of users does not impact a trading venue on reasonable risk </w:t>
      </w:r>
      <w:r w:rsidRPr="007E3631">
        <w:rPr>
          <w:lang w:val="en-US"/>
        </w:rPr>
        <w:lastRenderedPageBreak/>
        <w:t xml:space="preserve">grounds. </w:t>
      </w:r>
      <w:r>
        <w:rPr>
          <w:lang w:val="en-US"/>
        </w:rPr>
        <w:t xml:space="preserve">SG is aware of </w:t>
      </w:r>
      <w:r w:rsidRPr="007E3631">
        <w:rPr>
          <w:lang w:val="en-US"/>
        </w:rPr>
        <w:t xml:space="preserve">Trading Venues and CCPs </w:t>
      </w:r>
      <w:r>
        <w:rPr>
          <w:lang w:val="en-US"/>
        </w:rPr>
        <w:t xml:space="preserve">that have worked together </w:t>
      </w:r>
      <w:r w:rsidRPr="007E3631">
        <w:rPr>
          <w:lang w:val="en-US"/>
        </w:rPr>
        <w:t>i</w:t>
      </w:r>
      <w:r>
        <w:rPr>
          <w:lang w:val="en-US"/>
        </w:rPr>
        <w:t xml:space="preserve">n an interoperable environment - </w:t>
      </w:r>
      <w:r w:rsidRPr="007E3631">
        <w:rPr>
          <w:lang w:val="en-US"/>
        </w:rPr>
        <w:t>where access has been granted by venues</w:t>
      </w:r>
      <w:r>
        <w:rPr>
          <w:lang w:val="en-US"/>
        </w:rPr>
        <w:t xml:space="preserve"> </w:t>
      </w:r>
      <w:proofErr w:type="gramStart"/>
      <w:r>
        <w:rPr>
          <w:lang w:val="en-US"/>
        </w:rPr>
        <w:t xml:space="preserve">- </w:t>
      </w:r>
      <w:r w:rsidRPr="007E3631">
        <w:rPr>
          <w:lang w:val="en-US"/>
        </w:rPr>
        <w:t xml:space="preserve"> and</w:t>
      </w:r>
      <w:proofErr w:type="gramEnd"/>
      <w:r w:rsidRPr="007E3631">
        <w:rPr>
          <w:lang w:val="en-US"/>
        </w:rPr>
        <w:t xml:space="preserve"> the platforms have not been adversely affected by either of the above conditions.</w:t>
      </w:r>
    </w:p>
    <w:p w:rsidR="0026584A" w:rsidRDefault="0026584A" w:rsidP="0026584A">
      <w:pPr>
        <w:rPr>
          <w:lang w:val="en-US"/>
        </w:rPr>
      </w:pPr>
    </w:p>
    <w:p w:rsidR="0026584A" w:rsidRDefault="0026584A" w:rsidP="0026584A">
      <w:pPr>
        <w:rPr>
          <w:lang w:val="en-US"/>
        </w:rPr>
      </w:pPr>
      <w:r>
        <w:rPr>
          <w:lang w:val="en-US"/>
        </w:rPr>
        <w:t>SG</w:t>
      </w:r>
      <w:r w:rsidRPr="007E3631">
        <w:rPr>
          <w:lang w:val="en-US"/>
        </w:rPr>
        <w:t xml:space="preserve"> believe</w:t>
      </w:r>
      <w:r>
        <w:rPr>
          <w:lang w:val="en-US"/>
        </w:rPr>
        <w:t>s</w:t>
      </w:r>
      <w:r w:rsidRPr="007E3631">
        <w:rPr>
          <w:lang w:val="en-US"/>
        </w:rPr>
        <w:t xml:space="preserve"> that a venue should be able to identify why it is able to provide one CCP with a trade feed but not another. A comparison should be provided to the NCAs of both the CCP and the venue.</w:t>
      </w:r>
    </w:p>
    <w:p w:rsidR="0026584A" w:rsidRDefault="0026584A" w:rsidP="0026584A">
      <w:pPr>
        <w:rPr>
          <w:lang w:val="en-US"/>
        </w:rPr>
      </w:pPr>
    </w:p>
    <w:p w:rsidR="0026584A" w:rsidRPr="007E3631" w:rsidRDefault="0026584A" w:rsidP="0026584A">
      <w:pPr>
        <w:rPr>
          <w:lang w:val="en-US"/>
        </w:rPr>
      </w:pPr>
      <w:r>
        <w:rPr>
          <w:lang w:val="en-US"/>
        </w:rPr>
        <w:t xml:space="preserve">While </w:t>
      </w:r>
      <w:r w:rsidRPr="007E3631">
        <w:rPr>
          <w:lang w:val="en-US"/>
        </w:rPr>
        <w:t>Article 6 states that denial of access may be appropriate where a trading venue incurs costs when providing access that threaten the viability of the venue or its ability to meet minimum capital requirements</w:t>
      </w:r>
      <w:r>
        <w:rPr>
          <w:lang w:val="en-US"/>
        </w:rPr>
        <w:t xml:space="preserve">, SG believes that </w:t>
      </w:r>
      <w:r w:rsidRPr="007E3631">
        <w:rPr>
          <w:lang w:val="en-US"/>
        </w:rPr>
        <w:t xml:space="preserve">ESMA </w:t>
      </w:r>
      <w:r>
        <w:rPr>
          <w:lang w:val="en-US"/>
        </w:rPr>
        <w:t>should require that c</w:t>
      </w:r>
      <w:r w:rsidRPr="007E3631">
        <w:rPr>
          <w:lang w:val="en-US"/>
        </w:rPr>
        <w:t>lear and transparent details of the costs should be discussed between the CCP and venue to try to reduce the expense. If this cannot be resolved, the NCAs of both parties must be provi</w:t>
      </w:r>
      <w:r>
        <w:rPr>
          <w:lang w:val="en-US"/>
        </w:rPr>
        <w:t>ded with the reasons and costs</w:t>
      </w:r>
    </w:p>
    <w:p w:rsidR="0026584A" w:rsidRDefault="0026584A" w:rsidP="0026584A">
      <w:pPr>
        <w:rPr>
          <w:lang w:val="en-US"/>
        </w:rPr>
      </w:pPr>
    </w:p>
    <w:p w:rsidR="0026584A" w:rsidRDefault="0026584A" w:rsidP="0026584A">
      <w:pPr>
        <w:rPr>
          <w:lang w:val="en-US"/>
        </w:rPr>
      </w:pPr>
      <w:r>
        <w:rPr>
          <w:lang w:val="en-US"/>
        </w:rPr>
        <w:t xml:space="preserve">SG is also of the view that </w:t>
      </w:r>
      <w:r w:rsidRPr="007E3631">
        <w:rPr>
          <w:lang w:val="en-US"/>
        </w:rPr>
        <w:t>the incompatibility of infrastructure rules such that these cannot be remedied is unlikely and not in the spirit of the Regulation and we would ask that ESMA fundamentally review, or delete, this element.</w:t>
      </w:r>
    </w:p>
    <w:permEnd w:id="158"/>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26584A" w:rsidRDefault="0026584A" w:rsidP="0026584A">
      <w:pPr>
        <w:rPr>
          <w:lang w:val="en-US"/>
        </w:rPr>
      </w:pPr>
      <w:permStart w:id="159" w:edGrp="everyone"/>
      <w:r>
        <w:rPr>
          <w:lang w:val="en-US"/>
        </w:rPr>
        <w:t>SG agrees with ESMA’s approach.</w:t>
      </w:r>
    </w:p>
    <w:permEnd w:id="159"/>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26584A" w:rsidRDefault="0026584A" w:rsidP="00D20C76">
      <w:pPr>
        <w:rPr>
          <w:lang w:val="en-US"/>
        </w:rPr>
      </w:pPr>
      <w:permStart w:id="160" w:edGrp="everyone"/>
      <w:r>
        <w:rPr>
          <w:lang w:val="en-US"/>
        </w:rPr>
        <w:t>SG</w:t>
      </w:r>
      <w:r w:rsidRPr="007E3631">
        <w:rPr>
          <w:lang w:val="en-US"/>
        </w:rPr>
        <w:t xml:space="preserve"> broadly agrees with the three elements of</w:t>
      </w:r>
      <w:r>
        <w:rPr>
          <w:lang w:val="en-US"/>
        </w:rPr>
        <w:t>:</w:t>
      </w:r>
    </w:p>
    <w:p w:rsidR="0026584A" w:rsidRDefault="0026584A" w:rsidP="00D20C76">
      <w:pPr>
        <w:rPr>
          <w:lang w:val="en-US"/>
        </w:rPr>
      </w:pPr>
    </w:p>
    <w:p w:rsidR="0026584A" w:rsidRDefault="0026584A" w:rsidP="002777E0">
      <w:pPr>
        <w:pStyle w:val="ListParagraph"/>
        <w:rPr>
          <w:lang w:val="en-US"/>
        </w:rPr>
      </w:pPr>
      <w:r w:rsidRPr="007E3631">
        <w:rPr>
          <w:lang w:val="en-US"/>
        </w:rPr>
        <w:t xml:space="preserve">not meeting legal obligations, </w:t>
      </w:r>
    </w:p>
    <w:p w:rsidR="0026584A" w:rsidRDefault="0026584A" w:rsidP="002777E0">
      <w:pPr>
        <w:pStyle w:val="ListParagraph"/>
        <w:rPr>
          <w:lang w:val="en-US"/>
        </w:rPr>
      </w:pPr>
      <w:r w:rsidRPr="007E3631">
        <w:rPr>
          <w:lang w:val="en-US"/>
        </w:rPr>
        <w:t>undue risk and</w:t>
      </w:r>
    </w:p>
    <w:p w:rsidR="0026584A" w:rsidRDefault="0026584A" w:rsidP="002777E0">
      <w:pPr>
        <w:pStyle w:val="ListParagraph"/>
        <w:rPr>
          <w:lang w:val="en-US"/>
        </w:rPr>
      </w:pPr>
      <w:proofErr w:type="gramStart"/>
      <w:r w:rsidRPr="007E3631">
        <w:rPr>
          <w:lang w:val="en-US"/>
        </w:rPr>
        <w:t>a</w:t>
      </w:r>
      <w:proofErr w:type="gramEnd"/>
      <w:r w:rsidRPr="007E3631">
        <w:rPr>
          <w:lang w:val="en-US"/>
        </w:rPr>
        <w:t xml:space="preserve"> lack of remedial action to satisfy its legal obligations. </w:t>
      </w:r>
    </w:p>
    <w:p w:rsidR="0026584A" w:rsidRDefault="0026584A" w:rsidP="0098588B">
      <w:pPr>
        <w:pStyle w:val="ListParagraph"/>
        <w:numPr>
          <w:ilvl w:val="0"/>
          <w:numId w:val="0"/>
        </w:numPr>
        <w:ind w:left="1068"/>
        <w:rPr>
          <w:lang w:val="en-US"/>
        </w:rPr>
      </w:pPr>
    </w:p>
    <w:p w:rsidR="0026584A" w:rsidRDefault="0026584A" w:rsidP="00D20C76">
      <w:pPr>
        <w:ind w:left="30"/>
        <w:rPr>
          <w:lang w:val="en-US"/>
        </w:rPr>
      </w:pPr>
      <w:r w:rsidRPr="007E3631">
        <w:rPr>
          <w:lang w:val="en-US"/>
        </w:rPr>
        <w:t xml:space="preserve">We would urge ESMA to ask the CAs to inform the trading venue, CCP and other NCA where applicable so that the process is as transparent as possible. </w:t>
      </w:r>
    </w:p>
    <w:p w:rsidR="0026584A" w:rsidRDefault="0026584A" w:rsidP="00D20C76">
      <w:pPr>
        <w:ind w:left="30"/>
        <w:rPr>
          <w:lang w:val="en-US"/>
        </w:rPr>
      </w:pPr>
    </w:p>
    <w:p w:rsidR="0026584A" w:rsidRDefault="0026584A" w:rsidP="00EC2C93">
      <w:pPr>
        <w:keepNext/>
        <w:rPr>
          <w:lang w:val="en-US"/>
        </w:rPr>
      </w:pPr>
      <w:r w:rsidRPr="007E3631">
        <w:rPr>
          <w:lang w:val="en-US"/>
        </w:rPr>
        <w:t xml:space="preserve">Also, it </w:t>
      </w:r>
      <w:r>
        <w:rPr>
          <w:lang w:val="en-US"/>
        </w:rPr>
        <w:t xml:space="preserve">is </w:t>
      </w:r>
      <w:r w:rsidRPr="007E3631">
        <w:rPr>
          <w:lang w:val="en-US"/>
        </w:rPr>
        <w:t>not clear how the phrase “have a wider negative impact on the market” in Article 7(b) can be quantified and therefore implemented fairly</w:t>
      </w:r>
      <w:r>
        <w:rPr>
          <w:lang w:val="en-US"/>
        </w:rPr>
        <w:t>.</w:t>
      </w:r>
    </w:p>
    <w:permEnd w:id="160"/>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lastRenderedPageBreak/>
        <w:t>&lt;ESMA_QUESTION_CP_MIFID_152&gt;</w:t>
      </w:r>
    </w:p>
    <w:p w:rsidR="00577C33" w:rsidRDefault="0026584A" w:rsidP="00EC2C93">
      <w:pPr>
        <w:keepNext/>
      </w:pPr>
      <w:permStart w:id="161" w:edGrp="everyone"/>
      <w:r>
        <w:rPr>
          <w:lang w:val="en-US"/>
        </w:rPr>
        <w:t xml:space="preserve">SG generally agrees with </w:t>
      </w:r>
      <w:r w:rsidRPr="007E3631">
        <w:rPr>
          <w:lang w:val="en-US"/>
        </w:rPr>
        <w:t xml:space="preserve">the </w:t>
      </w:r>
      <w:proofErr w:type="gramStart"/>
      <w:r w:rsidRPr="007E3631">
        <w:rPr>
          <w:lang w:val="en-US"/>
        </w:rPr>
        <w:t>proposals,</w:t>
      </w:r>
      <w:proofErr w:type="gramEnd"/>
      <w:r w:rsidRPr="007E3631">
        <w:rPr>
          <w:lang w:val="en-US"/>
        </w:rPr>
        <w:t xml:space="preserve"> </w:t>
      </w:r>
      <w:r>
        <w:rPr>
          <w:lang w:val="en-US"/>
        </w:rPr>
        <w:t xml:space="preserve">however </w:t>
      </w:r>
      <w:r w:rsidRPr="007E3631">
        <w:rPr>
          <w:lang w:val="en-US"/>
        </w:rPr>
        <w:t xml:space="preserve">question 8.1.f (iv) would be better </w:t>
      </w:r>
      <w:r>
        <w:rPr>
          <w:lang w:val="en-US"/>
        </w:rPr>
        <w:t xml:space="preserve">addressed by requiring the infrastructure </w:t>
      </w:r>
      <w:r w:rsidRPr="007E3631">
        <w:rPr>
          <w:lang w:val="en-US"/>
        </w:rPr>
        <w:t xml:space="preserve">to be proactive and require </w:t>
      </w:r>
      <w:r>
        <w:rPr>
          <w:lang w:val="en-US"/>
        </w:rPr>
        <w:t>it</w:t>
      </w:r>
      <w:r w:rsidRPr="007E3631">
        <w:rPr>
          <w:lang w:val="en-US"/>
        </w:rPr>
        <w:t xml:space="preserve"> to determine the risks at the outset and include them in the agreement with the other party. </w:t>
      </w:r>
      <w:permEnd w:id="161"/>
      <w:r w:rsidR="00577C33">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26584A" w:rsidRDefault="0026584A" w:rsidP="00D20C76">
      <w:pPr>
        <w:rPr>
          <w:lang w:val="en-US"/>
        </w:rPr>
      </w:pPr>
      <w:permStart w:id="162" w:edGrp="everyone"/>
      <w:r w:rsidRPr="00AC369F">
        <w:rPr>
          <w:lang w:val="en-US"/>
        </w:rPr>
        <w:t xml:space="preserve">SG believes the fees charged by a </w:t>
      </w:r>
      <w:r>
        <w:rPr>
          <w:lang w:val="en-US"/>
        </w:rPr>
        <w:t>CCP to its clearing members should generally</w:t>
      </w:r>
      <w:r w:rsidRPr="00AC369F">
        <w:rPr>
          <w:lang w:val="en-US"/>
        </w:rPr>
        <w:t xml:space="preserve"> not to be different per venue</w:t>
      </w:r>
      <w:r>
        <w:rPr>
          <w:lang w:val="en-US"/>
        </w:rPr>
        <w:t xml:space="preserve"> unless such a difference is objectively justifiable.  T</w:t>
      </w:r>
      <w:r w:rsidRPr="00AC369F">
        <w:rPr>
          <w:lang w:val="en-US"/>
        </w:rPr>
        <w:t xml:space="preserve">he level 1 text, Article 35(6)(b) of </w:t>
      </w:r>
      <w:proofErr w:type="spellStart"/>
      <w:r w:rsidRPr="00AC369F">
        <w:rPr>
          <w:lang w:val="en-US"/>
        </w:rPr>
        <w:t>MiFIR</w:t>
      </w:r>
      <w:proofErr w:type="spellEnd"/>
      <w:r w:rsidRPr="00AC369F">
        <w:rPr>
          <w:lang w:val="en-US"/>
        </w:rPr>
        <w:t xml:space="preserve"> which states that “ESMA shall develop draft regulatory technical standards to specify…the non-discriminatory and transparent basis as regards fees related to access”.</w:t>
      </w:r>
    </w:p>
    <w:p w:rsidR="0026584A" w:rsidRDefault="0026584A" w:rsidP="00D20C76">
      <w:pPr>
        <w:rPr>
          <w:lang w:val="en-US"/>
        </w:rPr>
      </w:pPr>
    </w:p>
    <w:p w:rsidR="00577C33" w:rsidRDefault="0026584A" w:rsidP="00EC2C93">
      <w:pPr>
        <w:keepNext/>
      </w:pPr>
      <w:r>
        <w:rPr>
          <w:lang w:val="en-US"/>
        </w:rPr>
        <w:t>Thus we believe the working of RTS24 Art 9 should be tightened to ensure that a</w:t>
      </w:r>
      <w:r w:rsidRPr="00675818">
        <w:rPr>
          <w:lang w:val="en-US"/>
        </w:rPr>
        <w:t xml:space="preserve"> CCP shall only charge fees for clearing transactions executed on a trading venue to which it has granted access on the basis of objective criteria, applicable to all clearing members and, where relevant, clients. Fees shall not depend on the trading venue where the transaction takes place</w:t>
      </w:r>
      <w:proofErr w:type="gramStart"/>
      <w:r w:rsidRPr="00675818">
        <w:rPr>
          <w:lang w:val="en-US"/>
        </w:rPr>
        <w:t>.</w:t>
      </w:r>
      <w:permEnd w:id="162"/>
      <w:r w:rsidR="00577C33">
        <w:t>&lt;</w:t>
      </w:r>
      <w:proofErr w:type="gramEnd"/>
      <w:r w:rsidR="00577C33">
        <w: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26584A" w:rsidRDefault="0026584A" w:rsidP="0026584A">
      <w:pPr>
        <w:rPr>
          <w:lang w:val="en-US"/>
        </w:rPr>
      </w:pPr>
      <w:permStart w:id="163" w:edGrp="everyone"/>
      <w:r>
        <w:rPr>
          <w:lang w:val="en-US"/>
        </w:rPr>
        <w:t>SG agrees with the proposal</w:t>
      </w:r>
    </w:p>
    <w:permEnd w:id="163"/>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t>&lt;ESMA_QUESTION_CP_MIFID_155&gt;</w:t>
      </w:r>
    </w:p>
    <w:p w:rsidR="00F95B5B" w:rsidRPr="00430B6A" w:rsidRDefault="00F95B5B" w:rsidP="00F95B5B">
      <w:pPr>
        <w:rPr>
          <w:lang w:val="en-US"/>
        </w:rPr>
      </w:pPr>
      <w:permStart w:id="164" w:edGrp="everyone"/>
      <w:r w:rsidRPr="00AC369F">
        <w:rPr>
          <w:lang w:val="en-US"/>
        </w:rPr>
        <w:t>SG agrees with the proposal, and notes that notifications pursuant to Articles 14</w:t>
      </w:r>
      <w:proofErr w:type="gramStart"/>
      <w:r w:rsidRPr="00AC369F">
        <w:rPr>
          <w:lang w:val="en-US"/>
        </w:rPr>
        <w:t>,15,16</w:t>
      </w:r>
      <w:proofErr w:type="gramEnd"/>
      <w:r w:rsidRPr="00AC369F">
        <w:rPr>
          <w:lang w:val="en-US"/>
        </w:rPr>
        <w:t xml:space="preserve"> and 17 of RTS 24 should be made public.</w:t>
      </w:r>
    </w:p>
    <w:permEnd w:id="164"/>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F95B5B" w:rsidRPr="00430B6A" w:rsidRDefault="00F95B5B" w:rsidP="00F95B5B">
      <w:pPr>
        <w:rPr>
          <w:lang w:val="en-US"/>
        </w:rPr>
      </w:pPr>
      <w:permStart w:id="165" w:edGrp="everyone"/>
      <w:r w:rsidRPr="00430B6A">
        <w:rPr>
          <w:lang w:val="en-US"/>
        </w:rPr>
        <w:t>SG agrees with the proposal, and notes that notifications pursuant to Articles 14</w:t>
      </w:r>
      <w:proofErr w:type="gramStart"/>
      <w:r w:rsidRPr="00430B6A">
        <w:rPr>
          <w:lang w:val="en-US"/>
        </w:rPr>
        <w:t>,15,16</w:t>
      </w:r>
      <w:proofErr w:type="gramEnd"/>
      <w:r w:rsidRPr="00430B6A">
        <w:rPr>
          <w:lang w:val="en-US"/>
        </w:rPr>
        <w:t xml:space="preserve"> and 17 of RTS 24 should be made public.</w:t>
      </w:r>
    </w:p>
    <w:permEnd w:id="165"/>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D33BB1" w:rsidRPr="002777E0" w:rsidRDefault="00D33BB1" w:rsidP="00D33BB1">
      <w:pPr>
        <w:spacing w:line="240" w:lineRule="atLeast"/>
        <w:rPr>
          <w:bCs/>
          <w:szCs w:val="22"/>
          <w:lang w:val="en-US"/>
        </w:rPr>
      </w:pPr>
      <w:permStart w:id="166" w:edGrp="everyone"/>
      <w:r w:rsidRPr="002777E0">
        <w:rPr>
          <w:bCs/>
          <w:szCs w:val="22"/>
          <w:lang w:val="en-US"/>
        </w:rPr>
        <w:t>No comment.</w:t>
      </w:r>
    </w:p>
    <w:permEnd w:id="166"/>
    <w:p w:rsidR="00577C33" w:rsidRDefault="00577C33" w:rsidP="00EC2C93">
      <w:pPr>
        <w:keepNext/>
      </w:pPr>
      <w:r>
        <w:lastRenderedPageBreak/>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D33BB1" w:rsidRPr="002777E0" w:rsidRDefault="00D33BB1" w:rsidP="00D33BB1">
      <w:pPr>
        <w:spacing w:line="240" w:lineRule="atLeast"/>
        <w:rPr>
          <w:bCs/>
          <w:szCs w:val="22"/>
          <w:lang w:val="en-US"/>
        </w:rPr>
      </w:pPr>
      <w:permStart w:id="167" w:edGrp="everyone"/>
      <w:r w:rsidRPr="002777E0">
        <w:rPr>
          <w:bCs/>
          <w:szCs w:val="22"/>
          <w:lang w:val="en-US"/>
        </w:rPr>
        <w:t>No comment.</w:t>
      </w:r>
    </w:p>
    <w:permEnd w:id="167"/>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D33BB1" w:rsidRPr="002777E0" w:rsidRDefault="00D33BB1" w:rsidP="00D33BB1">
      <w:pPr>
        <w:spacing w:line="240" w:lineRule="atLeast"/>
        <w:rPr>
          <w:bCs/>
          <w:szCs w:val="22"/>
          <w:lang w:val="en-US"/>
        </w:rPr>
      </w:pPr>
      <w:permStart w:id="168" w:edGrp="everyone"/>
      <w:r w:rsidRPr="002777E0">
        <w:rPr>
          <w:bCs/>
          <w:szCs w:val="22"/>
          <w:lang w:val="en-US"/>
        </w:rPr>
        <w:t>No comment.</w:t>
      </w:r>
    </w:p>
    <w:permEnd w:id="168"/>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4" w:name="_Toc406692563"/>
      <w:bookmarkStart w:id="15" w:name="_Toc406692406"/>
      <w:bookmarkStart w:id="16" w:name="_Toc406691796"/>
      <w:r>
        <w:lastRenderedPageBreak/>
        <w:t>Requirements applying on and to trading venues</w:t>
      </w:r>
      <w:bookmarkEnd w:id="14"/>
      <w:bookmarkEnd w:id="15"/>
      <w:bookmarkEnd w:id="16"/>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D33BB1" w:rsidRPr="002777E0" w:rsidRDefault="00D33BB1" w:rsidP="00D33BB1">
      <w:pPr>
        <w:spacing w:line="240" w:lineRule="atLeast"/>
        <w:rPr>
          <w:bCs/>
          <w:szCs w:val="22"/>
          <w:lang w:val="en-US"/>
        </w:rPr>
      </w:pPr>
      <w:permStart w:id="169" w:edGrp="everyone"/>
      <w:r w:rsidRPr="002777E0">
        <w:rPr>
          <w:bCs/>
          <w:szCs w:val="22"/>
          <w:lang w:val="en-US"/>
        </w:rPr>
        <w:t>No comment.</w:t>
      </w:r>
    </w:p>
    <w:permEnd w:id="169"/>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D33BB1" w:rsidRPr="002777E0" w:rsidRDefault="00D33BB1" w:rsidP="00D33BB1">
      <w:pPr>
        <w:spacing w:line="240" w:lineRule="atLeast"/>
        <w:rPr>
          <w:bCs/>
          <w:szCs w:val="22"/>
          <w:lang w:val="en-US"/>
        </w:rPr>
      </w:pPr>
      <w:permStart w:id="170" w:edGrp="everyone"/>
      <w:r w:rsidRPr="002777E0">
        <w:rPr>
          <w:bCs/>
          <w:szCs w:val="22"/>
          <w:lang w:val="en-US"/>
        </w:rPr>
        <w:t>No comment.</w:t>
      </w:r>
    </w:p>
    <w:permEnd w:id="170"/>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D33BB1" w:rsidRPr="002777E0" w:rsidRDefault="00D33BB1" w:rsidP="00D33BB1">
      <w:pPr>
        <w:spacing w:line="240" w:lineRule="atLeast"/>
        <w:rPr>
          <w:bCs/>
          <w:szCs w:val="22"/>
          <w:lang w:val="en-US"/>
        </w:rPr>
      </w:pPr>
      <w:permStart w:id="171" w:edGrp="everyone"/>
      <w:r w:rsidRPr="002777E0">
        <w:rPr>
          <w:bCs/>
          <w:szCs w:val="22"/>
          <w:lang w:val="en-US"/>
        </w:rPr>
        <w:t>No comment.</w:t>
      </w:r>
    </w:p>
    <w:permEnd w:id="171"/>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D33BB1" w:rsidRPr="002777E0" w:rsidRDefault="00D33BB1" w:rsidP="00D33BB1">
      <w:pPr>
        <w:spacing w:line="240" w:lineRule="atLeast"/>
        <w:rPr>
          <w:bCs/>
          <w:szCs w:val="22"/>
          <w:lang w:val="en-US"/>
        </w:rPr>
      </w:pPr>
      <w:permStart w:id="172" w:edGrp="everyone"/>
      <w:r w:rsidRPr="002777E0">
        <w:rPr>
          <w:bCs/>
          <w:szCs w:val="22"/>
          <w:lang w:val="en-US"/>
        </w:rPr>
        <w:t>No comment.</w:t>
      </w:r>
    </w:p>
    <w:permEnd w:id="172"/>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D33BB1" w:rsidRPr="002777E0" w:rsidRDefault="00D33BB1" w:rsidP="00D33BB1">
      <w:pPr>
        <w:spacing w:line="240" w:lineRule="atLeast"/>
        <w:rPr>
          <w:bCs/>
          <w:szCs w:val="22"/>
          <w:lang w:val="en-US"/>
        </w:rPr>
      </w:pPr>
      <w:permStart w:id="173" w:edGrp="everyone"/>
      <w:r w:rsidRPr="002777E0">
        <w:rPr>
          <w:bCs/>
          <w:szCs w:val="22"/>
          <w:lang w:val="en-US"/>
        </w:rPr>
        <w:t>No comment.</w:t>
      </w:r>
    </w:p>
    <w:permEnd w:id="173"/>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D33BB1" w:rsidRPr="002777E0" w:rsidRDefault="00D33BB1" w:rsidP="00D33BB1">
      <w:pPr>
        <w:spacing w:line="240" w:lineRule="atLeast"/>
        <w:rPr>
          <w:bCs/>
          <w:szCs w:val="22"/>
          <w:lang w:val="en-US"/>
        </w:rPr>
      </w:pPr>
      <w:permStart w:id="174" w:edGrp="everyone"/>
      <w:r w:rsidRPr="002777E0">
        <w:rPr>
          <w:bCs/>
          <w:szCs w:val="22"/>
          <w:lang w:val="en-US"/>
        </w:rPr>
        <w:t>No comment.</w:t>
      </w:r>
    </w:p>
    <w:permEnd w:id="174"/>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D33BB1" w:rsidRDefault="00D33BB1" w:rsidP="00D33BB1">
      <w:pPr>
        <w:spacing w:line="240" w:lineRule="atLeast"/>
        <w:rPr>
          <w:bCs/>
          <w:szCs w:val="22"/>
          <w:lang w:val="fr-FR"/>
        </w:rPr>
      </w:pPr>
      <w:permStart w:id="175" w:edGrp="everyone"/>
      <w:r>
        <w:rPr>
          <w:bCs/>
          <w:szCs w:val="22"/>
          <w:lang w:val="fr-FR"/>
        </w:rPr>
        <w:t>No comment.</w:t>
      </w:r>
    </w:p>
    <w:permEnd w:id="175"/>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t>&lt;ESMA_QUESTION_CP_MIFID_167&gt;</w:t>
      </w:r>
    </w:p>
    <w:p w:rsidR="00D33BB1" w:rsidRDefault="00D33BB1" w:rsidP="00D33BB1">
      <w:pPr>
        <w:spacing w:line="240" w:lineRule="atLeast"/>
        <w:rPr>
          <w:bCs/>
          <w:szCs w:val="22"/>
          <w:lang w:val="fr-FR"/>
        </w:rPr>
      </w:pPr>
      <w:permStart w:id="176" w:edGrp="everyone"/>
      <w:r>
        <w:rPr>
          <w:bCs/>
          <w:szCs w:val="22"/>
          <w:lang w:val="fr-FR"/>
        </w:rPr>
        <w:t>No comment.</w:t>
      </w:r>
    </w:p>
    <w:permEnd w:id="176"/>
    <w:p w:rsidR="00577C33" w:rsidRDefault="00577C33" w:rsidP="00EC2C93">
      <w:pPr>
        <w:keepNext/>
      </w:pPr>
      <w:r>
        <w:lastRenderedPageBreak/>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7" w:name="_Toc406692567"/>
      <w:bookmarkStart w:id="18" w:name="_Toc406692410"/>
      <w:bookmarkStart w:id="19" w:name="_Toc406691800"/>
      <w:r>
        <w:lastRenderedPageBreak/>
        <w:t>Commodity derivatives</w:t>
      </w:r>
      <w:bookmarkEnd w:id="17"/>
      <w:bookmarkEnd w:id="18"/>
      <w:bookmarkEnd w:id="19"/>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3230D" w:rsidRPr="00D33BB1" w:rsidRDefault="00D33BB1" w:rsidP="00D33BB1">
      <w:pPr>
        <w:spacing w:line="240" w:lineRule="atLeast"/>
        <w:rPr>
          <w:bCs/>
          <w:szCs w:val="22"/>
          <w:lang w:val="fr-FR"/>
        </w:rPr>
      </w:pPr>
      <w:permStart w:id="177" w:edGrp="everyone"/>
      <w:r>
        <w:rPr>
          <w:bCs/>
          <w:szCs w:val="22"/>
          <w:lang w:val="fr-FR"/>
        </w:rPr>
        <w:t>No comment.</w:t>
      </w:r>
    </w:p>
    <w:permEnd w:id="177"/>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3230D" w:rsidRPr="00D33BB1" w:rsidRDefault="00D33BB1" w:rsidP="00D33BB1">
      <w:pPr>
        <w:spacing w:line="240" w:lineRule="atLeast"/>
        <w:rPr>
          <w:bCs/>
          <w:szCs w:val="22"/>
          <w:lang w:val="en-US"/>
        </w:rPr>
      </w:pPr>
      <w:permStart w:id="178" w:edGrp="everyone"/>
      <w:r w:rsidRPr="00D33BB1">
        <w:rPr>
          <w:bCs/>
          <w:szCs w:val="22"/>
          <w:lang w:val="en-US"/>
        </w:rPr>
        <w:t>No comment.</w:t>
      </w:r>
    </w:p>
    <w:permEnd w:id="178"/>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3230D" w:rsidRPr="00D33BB1" w:rsidRDefault="00D33BB1" w:rsidP="00D33BB1">
      <w:pPr>
        <w:spacing w:line="240" w:lineRule="atLeast"/>
        <w:rPr>
          <w:bCs/>
          <w:szCs w:val="22"/>
          <w:lang w:val="en-US"/>
        </w:rPr>
      </w:pPr>
      <w:permStart w:id="179" w:edGrp="everyone"/>
      <w:r w:rsidRPr="00D33BB1">
        <w:rPr>
          <w:bCs/>
          <w:szCs w:val="22"/>
          <w:lang w:val="en-US"/>
        </w:rPr>
        <w:t>No comment.</w:t>
      </w:r>
    </w:p>
    <w:permEnd w:id="179"/>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D33BB1" w:rsidRPr="00D33BB1" w:rsidRDefault="00D33BB1" w:rsidP="00D33BB1">
      <w:pPr>
        <w:spacing w:line="240" w:lineRule="atLeast"/>
        <w:rPr>
          <w:bCs/>
          <w:szCs w:val="22"/>
          <w:lang w:val="en-US"/>
        </w:rPr>
      </w:pPr>
      <w:permStart w:id="180" w:edGrp="everyone"/>
      <w:r w:rsidRPr="00D33BB1">
        <w:rPr>
          <w:bCs/>
          <w:szCs w:val="22"/>
          <w:lang w:val="en-US"/>
        </w:rPr>
        <w:t>No comment.</w:t>
      </w:r>
    </w:p>
    <w:permEnd w:id="180"/>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D33BB1" w:rsidRPr="00D33BB1" w:rsidRDefault="00D33BB1" w:rsidP="00D33BB1">
      <w:pPr>
        <w:spacing w:line="240" w:lineRule="atLeast"/>
        <w:rPr>
          <w:bCs/>
          <w:szCs w:val="22"/>
          <w:lang w:val="en-US"/>
        </w:rPr>
      </w:pPr>
      <w:permStart w:id="181" w:edGrp="everyone"/>
      <w:r w:rsidRPr="00D33BB1">
        <w:rPr>
          <w:bCs/>
          <w:szCs w:val="22"/>
          <w:lang w:val="en-US"/>
        </w:rPr>
        <w:t>No comment.</w:t>
      </w:r>
    </w:p>
    <w:permEnd w:id="181"/>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D33BB1" w:rsidRPr="00D33BB1" w:rsidRDefault="00D33BB1" w:rsidP="00D33BB1">
      <w:pPr>
        <w:spacing w:line="240" w:lineRule="atLeast"/>
        <w:rPr>
          <w:bCs/>
          <w:szCs w:val="22"/>
          <w:lang w:val="en-US"/>
        </w:rPr>
      </w:pPr>
      <w:permStart w:id="182" w:edGrp="everyone"/>
      <w:r w:rsidRPr="00D33BB1">
        <w:rPr>
          <w:bCs/>
          <w:szCs w:val="22"/>
          <w:lang w:val="en-US"/>
        </w:rPr>
        <w:t>No comment.</w:t>
      </w:r>
    </w:p>
    <w:permEnd w:id="182"/>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t>&lt;ESMA_QUESTION_CP_MIFID_174&gt;</w:t>
      </w:r>
    </w:p>
    <w:p w:rsidR="00D33BB1" w:rsidRPr="00D33BB1" w:rsidRDefault="00D33BB1" w:rsidP="00D33BB1">
      <w:pPr>
        <w:spacing w:line="240" w:lineRule="atLeast"/>
        <w:rPr>
          <w:bCs/>
          <w:szCs w:val="22"/>
          <w:lang w:val="en-US"/>
        </w:rPr>
      </w:pPr>
      <w:permStart w:id="183" w:edGrp="everyone"/>
      <w:r w:rsidRPr="00D33BB1">
        <w:rPr>
          <w:bCs/>
          <w:szCs w:val="22"/>
          <w:lang w:val="en-US"/>
        </w:rPr>
        <w:t>No comment.</w:t>
      </w:r>
    </w:p>
    <w:permEnd w:id="183"/>
    <w:p w:rsidR="00577C33" w:rsidRDefault="00577C33" w:rsidP="00EC2C93">
      <w:pPr>
        <w:keepNext/>
      </w:pPr>
      <w:r>
        <w:lastRenderedPageBreak/>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3230D" w:rsidRPr="00D33BB1" w:rsidRDefault="00D33BB1" w:rsidP="00D33BB1">
      <w:pPr>
        <w:spacing w:line="240" w:lineRule="atLeast"/>
        <w:rPr>
          <w:bCs/>
          <w:szCs w:val="22"/>
          <w:lang w:val="en-US"/>
        </w:rPr>
      </w:pPr>
      <w:permStart w:id="184" w:edGrp="everyone"/>
      <w:r w:rsidRPr="00D33BB1">
        <w:rPr>
          <w:bCs/>
          <w:szCs w:val="22"/>
          <w:lang w:val="en-US"/>
        </w:rPr>
        <w:t>No comment.</w:t>
      </w:r>
    </w:p>
    <w:permEnd w:id="184"/>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D33BB1" w:rsidRDefault="00D33BB1" w:rsidP="00D33BB1">
      <w:pPr>
        <w:spacing w:line="240" w:lineRule="atLeast"/>
        <w:rPr>
          <w:bCs/>
          <w:szCs w:val="22"/>
          <w:lang w:val="fr-FR"/>
        </w:rPr>
      </w:pPr>
      <w:permStart w:id="185" w:edGrp="everyone"/>
      <w:r>
        <w:rPr>
          <w:bCs/>
          <w:szCs w:val="22"/>
          <w:lang w:val="fr-FR"/>
        </w:rPr>
        <w:t>No comment.</w:t>
      </w:r>
    </w:p>
    <w:permEnd w:id="185"/>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3230D" w:rsidRPr="00D27ABE" w:rsidRDefault="00D27ABE" w:rsidP="00D27ABE">
      <w:pPr>
        <w:spacing w:line="240" w:lineRule="atLeast"/>
        <w:rPr>
          <w:bCs/>
          <w:szCs w:val="22"/>
          <w:lang w:val="en-US"/>
        </w:rPr>
      </w:pPr>
      <w:permStart w:id="186" w:edGrp="everyone"/>
      <w:r w:rsidRPr="00D27ABE">
        <w:rPr>
          <w:bCs/>
          <w:szCs w:val="22"/>
          <w:lang w:val="en-US"/>
        </w:rPr>
        <w:t>No comment.</w:t>
      </w:r>
    </w:p>
    <w:permEnd w:id="186"/>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D27ABE" w:rsidRPr="00D27ABE" w:rsidRDefault="00D27ABE" w:rsidP="00D27ABE">
      <w:pPr>
        <w:spacing w:line="240" w:lineRule="atLeast"/>
        <w:rPr>
          <w:bCs/>
          <w:szCs w:val="22"/>
          <w:lang w:val="en-US"/>
        </w:rPr>
      </w:pPr>
      <w:permStart w:id="187" w:edGrp="everyone"/>
      <w:r w:rsidRPr="00D27ABE">
        <w:rPr>
          <w:bCs/>
          <w:szCs w:val="22"/>
          <w:lang w:val="en-US"/>
        </w:rPr>
        <w:t>No comment.</w:t>
      </w:r>
    </w:p>
    <w:permEnd w:id="187"/>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D27ABE" w:rsidRPr="00D27ABE" w:rsidRDefault="00D27ABE" w:rsidP="00D27ABE">
      <w:pPr>
        <w:spacing w:line="240" w:lineRule="atLeast"/>
        <w:rPr>
          <w:bCs/>
          <w:szCs w:val="22"/>
          <w:lang w:val="en-US"/>
        </w:rPr>
      </w:pPr>
      <w:permStart w:id="188" w:edGrp="everyone"/>
      <w:r w:rsidRPr="00D27ABE">
        <w:rPr>
          <w:bCs/>
          <w:szCs w:val="22"/>
          <w:lang w:val="en-US"/>
        </w:rPr>
        <w:t>No comment.</w:t>
      </w:r>
    </w:p>
    <w:permEnd w:id="188"/>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D27ABE" w:rsidRPr="00D27ABE" w:rsidRDefault="00D27ABE" w:rsidP="00D27ABE">
      <w:pPr>
        <w:spacing w:line="240" w:lineRule="atLeast"/>
        <w:rPr>
          <w:bCs/>
          <w:szCs w:val="22"/>
          <w:lang w:val="en-US"/>
        </w:rPr>
      </w:pPr>
      <w:permStart w:id="189" w:edGrp="everyone"/>
      <w:r w:rsidRPr="00D27ABE">
        <w:rPr>
          <w:bCs/>
          <w:szCs w:val="22"/>
          <w:lang w:val="en-US"/>
        </w:rPr>
        <w:t>No comment.</w:t>
      </w:r>
    </w:p>
    <w:permEnd w:id="189"/>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t>&lt;ESMA_QUESTION_CP_MIFID_181&gt;</w:t>
      </w:r>
    </w:p>
    <w:p w:rsidR="0053230D" w:rsidRPr="00D27ABE" w:rsidRDefault="00D27ABE" w:rsidP="00D27ABE">
      <w:pPr>
        <w:spacing w:line="240" w:lineRule="atLeast"/>
        <w:rPr>
          <w:bCs/>
          <w:szCs w:val="22"/>
          <w:lang w:val="en-US"/>
        </w:rPr>
      </w:pPr>
      <w:permStart w:id="190" w:edGrp="everyone"/>
      <w:r w:rsidRPr="00D27ABE">
        <w:rPr>
          <w:bCs/>
          <w:szCs w:val="22"/>
          <w:lang w:val="en-US"/>
        </w:rPr>
        <w:t>No comment.</w:t>
      </w:r>
    </w:p>
    <w:permEnd w:id="190"/>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lastRenderedPageBreak/>
        <w:t>&lt;ESMA_QUESTION_CP_MIFID_182&gt;</w:t>
      </w:r>
    </w:p>
    <w:p w:rsidR="00D27ABE" w:rsidRPr="00D27ABE" w:rsidRDefault="00D27ABE" w:rsidP="00D27ABE">
      <w:pPr>
        <w:spacing w:line="240" w:lineRule="atLeast"/>
        <w:rPr>
          <w:bCs/>
          <w:szCs w:val="22"/>
          <w:lang w:val="en-US"/>
        </w:rPr>
      </w:pPr>
      <w:permStart w:id="191" w:edGrp="everyone"/>
      <w:r w:rsidRPr="00D27ABE">
        <w:rPr>
          <w:bCs/>
          <w:szCs w:val="22"/>
          <w:lang w:val="en-US"/>
        </w:rPr>
        <w:t>No comment.</w:t>
      </w:r>
    </w:p>
    <w:permEnd w:id="191"/>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F07BEB" w:rsidRPr="00A449D4" w:rsidRDefault="00F07BEB" w:rsidP="00F07BEB">
      <w:pPr>
        <w:keepNext/>
        <w:rPr>
          <w:lang w:val="en-US"/>
        </w:rPr>
      </w:pPr>
      <w:permStart w:id="192" w:edGrp="everyone"/>
      <w:r w:rsidRPr="00A449D4">
        <w:rPr>
          <w:lang w:val="en-US"/>
        </w:rPr>
        <w:t>The proposed framework appears on the one hand not sufficiently flexible and on the other hand unclear.</w:t>
      </w:r>
    </w:p>
    <w:p w:rsidR="00F07BEB" w:rsidRPr="00A449D4" w:rsidRDefault="00F07BEB" w:rsidP="00F07BEB">
      <w:pPr>
        <w:keepNext/>
        <w:rPr>
          <w:lang w:val="en-US"/>
        </w:rPr>
      </w:pPr>
    </w:p>
    <w:p w:rsidR="00F07BEB" w:rsidRPr="00A449D4" w:rsidRDefault="00F07BEB" w:rsidP="00F07BEB">
      <w:pPr>
        <w:keepNext/>
        <w:rPr>
          <w:lang w:val="en-US"/>
        </w:rPr>
      </w:pPr>
      <w:r w:rsidRPr="00A449D4">
        <w:rPr>
          <w:lang w:val="en-US"/>
        </w:rPr>
        <w:t xml:space="preserve">On the one hand, we do think that the proposed methodology should be more flexible by the introduction of the open interest baseline for non-spot month limits. A methodology based exclusively on the deliverable supply is not only inconsistent with some non-EU regimes but also seems unable to create a workable position limits regime for all non-spot month contracts. Even if each national competent authority </w:t>
      </w:r>
      <w:r>
        <w:rPr>
          <w:lang w:val="en-US"/>
        </w:rPr>
        <w:t>(</w:t>
      </w:r>
      <w:r w:rsidRPr="00A449D4">
        <w:rPr>
          <w:lang w:val="en-US"/>
        </w:rPr>
        <w:t>NCA</w:t>
      </w:r>
      <w:r>
        <w:rPr>
          <w:lang w:val="en-US"/>
        </w:rPr>
        <w:t>)</w:t>
      </w:r>
      <w:r w:rsidRPr="00A449D4">
        <w:rPr>
          <w:lang w:val="en-US"/>
        </w:rPr>
        <w:t xml:space="preserve"> will be able to introduce at its national level some adjustments that may include the open interest baseline for non-spot month limits, we do think that for consistency purposes the level 2 technical standards should expressly accept this flexibility.</w:t>
      </w:r>
    </w:p>
    <w:p w:rsidR="00F07BEB" w:rsidRPr="00A449D4" w:rsidRDefault="00F07BEB" w:rsidP="00F07BEB">
      <w:pPr>
        <w:keepNext/>
        <w:rPr>
          <w:lang w:val="en-US"/>
        </w:rPr>
      </w:pPr>
      <w:r w:rsidRPr="00A449D4">
        <w:rPr>
          <w:lang w:val="en-US"/>
        </w:rPr>
        <w:t>Moreover, we are of the opinion that contracts entered into between banks and non-financial counterparties (NFCs) to hedge the positions of these NFCs should be eligible for netting aga</w:t>
      </w:r>
      <w:r>
        <w:rPr>
          <w:lang w:val="en-US"/>
        </w:rPr>
        <w:t xml:space="preserve">inst related commodity futures </w:t>
      </w:r>
      <w:r w:rsidRPr="00A449D4">
        <w:rPr>
          <w:lang w:val="en-US"/>
        </w:rPr>
        <w:t>positions. We think that such a possibility would not be inconsistent with the level 1 which states that “</w:t>
      </w:r>
      <w:r w:rsidRPr="00A449D4">
        <w:rPr>
          <w:i/>
          <w:color w:val="000000"/>
          <w:lang w:val="en-US"/>
        </w:rPr>
        <w:t xml:space="preserve">Position limits shall not apply to positions held by </w:t>
      </w:r>
      <w:r w:rsidRPr="00A449D4">
        <w:rPr>
          <w:i/>
          <w:color w:val="000000"/>
          <w:u w:val="single"/>
          <w:lang w:val="en-US"/>
        </w:rPr>
        <w:t>or on behalf of</w:t>
      </w:r>
      <w:r w:rsidRPr="00A449D4">
        <w:rPr>
          <w:i/>
          <w:color w:val="000000"/>
          <w:lang w:val="en-US"/>
        </w:rPr>
        <w:t xml:space="preserve"> a non-financial entity and which are objectively measurable as reducing risks directly relating to the commercial activity of that non-financial entity</w:t>
      </w:r>
      <w:r w:rsidRPr="00A449D4">
        <w:rPr>
          <w:color w:val="000000"/>
          <w:lang w:val="en-US"/>
        </w:rPr>
        <w:t>”.</w:t>
      </w:r>
    </w:p>
    <w:p w:rsidR="00F07BEB" w:rsidRPr="00A449D4" w:rsidRDefault="00F07BEB" w:rsidP="00F07BEB">
      <w:pPr>
        <w:keepNext/>
        <w:rPr>
          <w:lang w:val="en-US"/>
        </w:rPr>
      </w:pPr>
    </w:p>
    <w:p w:rsidR="00F07BEB" w:rsidRPr="00A449D4" w:rsidRDefault="00F07BEB" w:rsidP="00F07BEB">
      <w:pPr>
        <w:keepNext/>
        <w:rPr>
          <w:lang w:val="en-US"/>
        </w:rPr>
      </w:pPr>
      <w:r w:rsidRPr="00A449D4">
        <w:rPr>
          <w:lang w:val="en-US"/>
        </w:rPr>
        <w:t xml:space="preserve">On the other hand, clarity is needed to ensure that the proposed framework of the methodology for calculating position limits remains at each moment consistent with any new characteristic of the relevant commodity markets. In that matter we would advise that each NCAs by required to review the methodology as soon as practicable. Therefore, we think that the drafting of </w:t>
      </w:r>
      <w:r>
        <w:rPr>
          <w:lang w:val="en-US"/>
        </w:rPr>
        <w:t>Recital</w:t>
      </w:r>
      <w:r w:rsidRPr="00A449D4">
        <w:rPr>
          <w:lang w:val="en-US"/>
        </w:rPr>
        <w:t xml:space="preserve"> (15) should be modified so that the word “</w:t>
      </w:r>
      <w:r w:rsidRPr="00A449D4">
        <w:rPr>
          <w:i/>
          <w:lang w:val="en-US"/>
        </w:rPr>
        <w:t>periodically</w:t>
      </w:r>
      <w:r w:rsidRPr="00A449D4">
        <w:rPr>
          <w:lang w:val="en-US"/>
        </w:rPr>
        <w:t xml:space="preserve">” </w:t>
      </w:r>
      <w:proofErr w:type="gramStart"/>
      <w:r w:rsidRPr="00A449D4">
        <w:rPr>
          <w:lang w:val="en-US"/>
        </w:rPr>
        <w:t>be</w:t>
      </w:r>
      <w:proofErr w:type="gramEnd"/>
      <w:r w:rsidRPr="00A449D4">
        <w:rPr>
          <w:lang w:val="en-US"/>
        </w:rPr>
        <w:t xml:space="preserve"> replaced by “</w:t>
      </w:r>
      <w:r w:rsidRPr="00A449D4">
        <w:rPr>
          <w:i/>
          <w:lang w:val="en-US"/>
        </w:rPr>
        <w:t xml:space="preserve">as soon as </w:t>
      </w:r>
      <w:r w:rsidR="00B50B14">
        <w:rPr>
          <w:i/>
          <w:lang w:val="en-US"/>
        </w:rPr>
        <w:t>needed</w:t>
      </w:r>
      <w:r w:rsidRPr="00A449D4">
        <w:rPr>
          <w:lang w:val="en-US"/>
        </w:rPr>
        <w:t>”.</w:t>
      </w:r>
    </w:p>
    <w:permEnd w:id="192"/>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lastRenderedPageBreak/>
        <w:t>&lt;ESMA_QUESTION_CP_MIFID_184&gt;</w:t>
      </w:r>
    </w:p>
    <w:p w:rsidR="00B50B14" w:rsidRDefault="00B50B14" w:rsidP="00B50B14">
      <w:pPr>
        <w:keepNext/>
        <w:rPr>
          <w:lang w:val="en-US"/>
        </w:rPr>
      </w:pPr>
      <w:permStart w:id="193" w:edGrp="everyone"/>
      <w:r>
        <w:rPr>
          <w:lang w:val="en-US"/>
        </w:rPr>
        <w:t>We welcome the ESMA’s proposed 25% of deliverable supply baseline as well as the fact that NCAs have the ability to vary it by +/- 15%. However, we would like to make the two following comments.</w:t>
      </w:r>
    </w:p>
    <w:p w:rsidR="00B50B14" w:rsidRDefault="00B50B14" w:rsidP="00B50B14">
      <w:pPr>
        <w:keepNext/>
        <w:rPr>
          <w:lang w:val="en-US"/>
        </w:rPr>
      </w:pPr>
    </w:p>
    <w:p w:rsidR="00B50B14" w:rsidRDefault="00B50B14" w:rsidP="00B50B14">
      <w:pPr>
        <w:keepNext/>
        <w:rPr>
          <w:lang w:val="en-US"/>
        </w:rPr>
      </w:pPr>
      <w:r>
        <w:rPr>
          <w:lang w:val="en-US"/>
        </w:rPr>
        <w:t>Firstly, given the lack of accurate data we are wondering how NCAs will be able to calculate such a deliverable supply for all asset classes of commodity contracts. We would advise that all NCAs use (1) the same methodology to calculate such a deliverable supply to ensure consistency across the Union and (2) a methodology which as simple as possible. In that context, NCAs could hopefully rely on figures provided by:</w:t>
      </w:r>
    </w:p>
    <w:p w:rsidR="0098588B" w:rsidRDefault="00B50B14" w:rsidP="00B50B14">
      <w:pPr>
        <w:keepNext/>
        <w:rPr>
          <w:lang w:val="en-US"/>
        </w:rPr>
      </w:pPr>
      <w:r>
        <w:rPr>
          <w:lang w:val="en-US"/>
        </w:rPr>
        <w:t xml:space="preserve">- </w:t>
      </w:r>
      <w:proofErr w:type="gramStart"/>
      <w:r>
        <w:rPr>
          <w:lang w:val="en-US"/>
        </w:rPr>
        <w:t>all</w:t>
      </w:r>
      <w:proofErr w:type="gramEnd"/>
      <w:r>
        <w:rPr>
          <w:lang w:val="en-US"/>
        </w:rPr>
        <w:t xml:space="preserve"> relevant warehouses for metals,</w:t>
      </w:r>
    </w:p>
    <w:p w:rsidR="00B50B14" w:rsidRDefault="00B50B14" w:rsidP="00B50B14">
      <w:pPr>
        <w:keepNext/>
        <w:rPr>
          <w:lang w:val="en-US"/>
        </w:rPr>
      </w:pPr>
      <w:r>
        <w:rPr>
          <w:lang w:val="en-US"/>
        </w:rPr>
        <w:t xml:space="preserve">- </w:t>
      </w:r>
      <w:proofErr w:type="gramStart"/>
      <w:r>
        <w:rPr>
          <w:lang w:val="en-US"/>
        </w:rPr>
        <w:t>all</w:t>
      </w:r>
      <w:proofErr w:type="gramEnd"/>
      <w:r>
        <w:rPr>
          <w:lang w:val="en-US"/>
        </w:rPr>
        <w:t xml:space="preserve"> relevant public silos as well as the significant private points for agricultural products,</w:t>
      </w:r>
    </w:p>
    <w:p w:rsidR="00B50B14" w:rsidRDefault="00B50B14" w:rsidP="00B50B14">
      <w:pPr>
        <w:keepNext/>
        <w:rPr>
          <w:lang w:val="en-US"/>
        </w:rPr>
      </w:pPr>
      <w:r>
        <w:rPr>
          <w:lang w:val="en-US"/>
        </w:rPr>
        <w:t xml:space="preserve">- </w:t>
      </w:r>
      <w:proofErr w:type="gramStart"/>
      <w:r>
        <w:rPr>
          <w:lang w:val="en-US"/>
        </w:rPr>
        <w:t>the</w:t>
      </w:r>
      <w:proofErr w:type="gramEnd"/>
      <w:r>
        <w:rPr>
          <w:lang w:val="en-US"/>
        </w:rPr>
        <w:t xml:space="preserve"> hub operator(s) for energy products.</w:t>
      </w:r>
    </w:p>
    <w:p w:rsidR="00B50B14" w:rsidRDefault="00B50B14" w:rsidP="00B50B14">
      <w:pPr>
        <w:keepNext/>
        <w:rPr>
          <w:lang w:val="en-US"/>
        </w:rPr>
      </w:pPr>
      <w:r>
        <w:rPr>
          <w:lang w:val="en-US"/>
        </w:rPr>
        <w:t xml:space="preserve">Moreover, once the criteria of the methodology will be determined it would be necessary to indicate in the level 2 technical standards what will be the frequency according to which the above-mentioned figures will have to be transmitted by these warehouses, silos and hub operators. Therefore, we would recommend that this frequency should be </w:t>
      </w:r>
      <w:r w:rsidRPr="00A449D4">
        <w:rPr>
          <w:lang w:val="en-US"/>
        </w:rPr>
        <w:t>“</w:t>
      </w:r>
      <w:r w:rsidRPr="00A449D4">
        <w:rPr>
          <w:i/>
          <w:lang w:val="en-US"/>
        </w:rPr>
        <w:t>as soon as practicable</w:t>
      </w:r>
      <w:r w:rsidRPr="00A449D4">
        <w:rPr>
          <w:lang w:val="en-US"/>
        </w:rPr>
        <w:t>”.</w:t>
      </w:r>
    </w:p>
    <w:p w:rsidR="00B50B14" w:rsidRDefault="00B50B14" w:rsidP="00B50B14">
      <w:pPr>
        <w:keepNext/>
        <w:rPr>
          <w:lang w:val="en-US"/>
        </w:rPr>
      </w:pPr>
    </w:p>
    <w:p w:rsidR="00F07BEB" w:rsidRDefault="00B50B14" w:rsidP="00F07BEB">
      <w:pPr>
        <w:keepNext/>
        <w:rPr>
          <w:lang w:val="en-US"/>
        </w:rPr>
      </w:pPr>
      <w:r>
        <w:rPr>
          <w:lang w:val="en-US"/>
        </w:rPr>
        <w:t xml:space="preserve">Secondly, we do think that the proposed methodology based on the deliverable supply is only relevant for physically settled spot-month contracts. </w:t>
      </w:r>
      <w:r w:rsidRPr="00B50B14">
        <w:rPr>
          <w:lang w:val="en-US"/>
        </w:rPr>
        <w:t>For non-spot month limits, we recommend using the open interest baseline</w:t>
      </w:r>
      <w:r>
        <w:rPr>
          <w:lang w:val="en-US"/>
        </w:rPr>
        <w:t>.</w:t>
      </w:r>
    </w:p>
    <w:permEnd w:id="193"/>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F07BEB" w:rsidRPr="00BF64AB" w:rsidRDefault="00F07BEB" w:rsidP="00F07BEB">
      <w:pPr>
        <w:keepNext/>
        <w:rPr>
          <w:lang w:val="en-US"/>
        </w:rPr>
      </w:pPr>
      <w:permStart w:id="194" w:edGrp="everyone"/>
      <w:r w:rsidRPr="00BF64AB">
        <w:rPr>
          <w:lang w:val="en-US"/>
        </w:rPr>
        <w:t>Given the lack of details w</w:t>
      </w:r>
      <w:r>
        <w:rPr>
          <w:lang w:val="en-US"/>
        </w:rPr>
        <w:t xml:space="preserve">e have been provided so far in the context of this Consultation Paper, we are not able to answer </w:t>
      </w:r>
      <w:r w:rsidR="00B50B14">
        <w:rPr>
          <w:lang w:val="en-US"/>
        </w:rPr>
        <w:t xml:space="preserve">this question. Such answer </w:t>
      </w:r>
      <w:r>
        <w:rPr>
          <w:lang w:val="en-US"/>
        </w:rPr>
        <w:t>directly depend</w:t>
      </w:r>
      <w:r w:rsidR="00B50B14">
        <w:rPr>
          <w:lang w:val="en-US"/>
        </w:rPr>
        <w:t>s</w:t>
      </w:r>
      <w:r>
        <w:rPr>
          <w:lang w:val="en-US"/>
        </w:rPr>
        <w:t xml:space="preserve"> on the methodology which will be used (deliverable supply versus spot month), its criteria and the frequency of its possible modifications. Above all, we do not benefit from the appropriate statistics and data allowing us to determine whether such a </w:t>
      </w:r>
      <w:r w:rsidRPr="00BF64AB">
        <w:rPr>
          <w:lang w:val="en-US"/>
        </w:rPr>
        <w:t xml:space="preserve">40% position limit </w:t>
      </w:r>
      <w:r>
        <w:rPr>
          <w:lang w:val="en-US"/>
        </w:rPr>
        <w:t xml:space="preserve">is </w:t>
      </w:r>
      <w:r w:rsidRPr="00BF64AB">
        <w:rPr>
          <w:lang w:val="en-US"/>
        </w:rPr>
        <w:t>suitable for all commodity derivatives</w:t>
      </w:r>
      <w:r>
        <w:rPr>
          <w:lang w:val="en-US"/>
        </w:rPr>
        <w:t>.</w:t>
      </w:r>
    </w:p>
    <w:permEnd w:id="194"/>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F07BEB" w:rsidRPr="00A449D4" w:rsidRDefault="00F07BEB" w:rsidP="00F07BEB">
      <w:pPr>
        <w:keepNext/>
      </w:pPr>
      <w:permStart w:id="195" w:edGrp="everyone"/>
      <w:proofErr w:type="gramStart"/>
      <w:r>
        <w:t>Same response as under question 184.</w:t>
      </w:r>
      <w:proofErr w:type="gramEnd"/>
    </w:p>
    <w:permEnd w:id="195"/>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lastRenderedPageBreak/>
        <w:t>&lt;ESMA_QUESTION_CP_MIFID_187&gt;</w:t>
      </w:r>
    </w:p>
    <w:p w:rsidR="00F07BEB" w:rsidRPr="00A449D4" w:rsidRDefault="00F07BEB" w:rsidP="00F07BEB">
      <w:pPr>
        <w:keepNext/>
        <w:rPr>
          <w:lang w:val="en-US"/>
        </w:rPr>
      </w:pPr>
      <w:permStart w:id="196" w:edGrp="everyone"/>
      <w:r>
        <w:rPr>
          <w:lang w:val="en-US"/>
        </w:rPr>
        <w:t xml:space="preserve">Even if we are not able to assess their concrete impacts on the market given the lack of details we have been provided, we agree in principle with the fact that </w:t>
      </w:r>
      <w:proofErr w:type="gramStart"/>
      <w:r>
        <w:rPr>
          <w:lang w:val="en-US"/>
        </w:rPr>
        <w:t>the +/-</w:t>
      </w:r>
      <w:proofErr w:type="gramEnd"/>
      <w:r>
        <w:rPr>
          <w:lang w:val="en-US"/>
        </w:rPr>
        <w:t xml:space="preserve"> 15% perimeters appear suitable for all the factors. However, we think that some factors like volatility should be understated (although not avoided as this factor is used at level 1) because they appear irrelevant to determine the size of position limits.</w:t>
      </w:r>
    </w:p>
    <w:permEnd w:id="196"/>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t>&lt;ESMA_QUESTION_CP_MIFID_188&gt;</w:t>
      </w:r>
    </w:p>
    <w:p w:rsidR="00F07BEB" w:rsidRPr="00A449D4" w:rsidRDefault="00F07BEB" w:rsidP="00F07BEB">
      <w:pPr>
        <w:keepNext/>
      </w:pPr>
      <w:permStart w:id="197" w:edGrp="everyone"/>
      <w:proofErr w:type="gramStart"/>
      <w:r>
        <w:t>Same response as under question 184.</w:t>
      </w:r>
      <w:proofErr w:type="gramEnd"/>
    </w:p>
    <w:p w:rsidR="00F07BEB" w:rsidRDefault="00F07BEB" w:rsidP="00F07BEB">
      <w:pPr>
        <w:keepNext/>
      </w:pPr>
    </w:p>
    <w:p w:rsidR="00F07BEB" w:rsidRDefault="00F07BEB" w:rsidP="00F07BEB">
      <w:pPr>
        <w:keepNext/>
        <w:rPr>
          <w:lang w:val="en-US"/>
        </w:rPr>
      </w:pPr>
      <w:r w:rsidRPr="00266FA6">
        <w:rPr>
          <w:lang w:val="en-US"/>
        </w:rPr>
        <w:t xml:space="preserve">Once again, </w:t>
      </w:r>
      <w:r>
        <w:rPr>
          <w:lang w:val="en-US"/>
        </w:rPr>
        <w:t xml:space="preserve">our opinion is that for physically settled spot-month contracts the methodology should be based on the deliverable supply whereas for </w:t>
      </w:r>
      <w:r w:rsidRPr="00A449D4">
        <w:rPr>
          <w:lang w:val="en-US"/>
        </w:rPr>
        <w:t>non-spot month limits</w:t>
      </w:r>
      <w:r>
        <w:rPr>
          <w:lang w:val="en-US"/>
        </w:rPr>
        <w:t xml:space="preserve"> the open interest metric is more appropriate.</w:t>
      </w:r>
    </w:p>
    <w:permEnd w:id="197"/>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F07BEB" w:rsidRPr="00A449D4" w:rsidRDefault="00F07BEB" w:rsidP="00F07BEB">
      <w:pPr>
        <w:keepNext/>
        <w:rPr>
          <w:lang w:val="en-US"/>
        </w:rPr>
      </w:pPr>
      <w:permStart w:id="198" w:edGrp="everyone"/>
      <w:r>
        <w:rPr>
          <w:lang w:val="en-US"/>
        </w:rPr>
        <w:t xml:space="preserve">In our view, ESMA should pay attention to the fact that the commodity markets are </w:t>
      </w:r>
      <w:proofErr w:type="spellStart"/>
      <w:r>
        <w:rPr>
          <w:lang w:val="en-US"/>
        </w:rPr>
        <w:t>characterised</w:t>
      </w:r>
      <w:proofErr w:type="spellEnd"/>
      <w:r>
        <w:rPr>
          <w:lang w:val="en-US"/>
        </w:rPr>
        <w:t xml:space="preserve"> by a number of contracts which are illiquid, especially (but not limited to) new contracts. For these contracts, it is a common situation that a limited number of market participants represent the vast majority of volumes, at least as long as these contracts remain immature. If positions limits were to be imposed according to the same methodology and criteria as the ones for the other contracts it could hurt the liquidity and create barriers to the development of new commodity derivatives.</w:t>
      </w:r>
    </w:p>
    <w:p w:rsidR="00F07BEB" w:rsidRPr="00A449D4" w:rsidRDefault="00F07BEB" w:rsidP="00F07BEB">
      <w:pPr>
        <w:keepNext/>
        <w:rPr>
          <w:lang w:val="en-US"/>
        </w:rPr>
      </w:pPr>
    </w:p>
    <w:p w:rsidR="00F07BEB" w:rsidRPr="00A449D4" w:rsidRDefault="00F07BEB" w:rsidP="00F07BEB">
      <w:pPr>
        <w:keepNext/>
        <w:rPr>
          <w:lang w:val="en-US"/>
        </w:rPr>
      </w:pPr>
      <w:r>
        <w:rPr>
          <w:lang w:val="en-US"/>
        </w:rPr>
        <w:t>For this reason, we would be favorable to the use of a transitional period during which position limits would not be applicable. For example, it could be considered that during the first 6 months after the creation of a new commodity contracts positions limits would not apply or, if ESMA considers that it would not be compliant with the level 1, the quantitative thresholds (25%, 40%, +/- 15%) should be adapted accordingly.</w:t>
      </w:r>
    </w:p>
    <w:permEnd w:id="198"/>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lastRenderedPageBreak/>
        <w:t>&lt;ESMA_QUESTION_CP_MIFID_190&gt;</w:t>
      </w:r>
    </w:p>
    <w:p w:rsidR="00F07BEB" w:rsidRDefault="00F07BEB" w:rsidP="00F07BEB">
      <w:pPr>
        <w:keepNext/>
        <w:rPr>
          <w:lang w:val="en-US"/>
        </w:rPr>
      </w:pPr>
      <w:permStart w:id="199" w:edGrp="everyone"/>
      <w:r>
        <w:rPr>
          <w:lang w:val="en-US"/>
        </w:rPr>
        <w:t xml:space="preserve">We believe that some factors directly related to the physical market such as the capacity constraints could be taken into account. </w:t>
      </w:r>
    </w:p>
    <w:p w:rsidR="00F07BEB" w:rsidRDefault="00F07BEB" w:rsidP="00F07BEB">
      <w:pPr>
        <w:keepNext/>
        <w:rPr>
          <w:lang w:val="en-US"/>
        </w:rPr>
      </w:pPr>
    </w:p>
    <w:p w:rsidR="00F07BEB" w:rsidRPr="00A449D4" w:rsidRDefault="00F07BEB" w:rsidP="00F07BEB">
      <w:pPr>
        <w:keepNext/>
        <w:rPr>
          <w:lang w:val="en-US"/>
        </w:rPr>
      </w:pPr>
      <w:r>
        <w:rPr>
          <w:lang w:val="en-US"/>
        </w:rPr>
        <w:t>But once again given the current lack of exhaustive data we are wondering how NCAs will be able to calculate and adjust the level of deliverable supply.</w:t>
      </w:r>
    </w:p>
    <w:permEnd w:id="199"/>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F07BEB" w:rsidRPr="00FC4F46" w:rsidRDefault="00F07BEB" w:rsidP="00F07BEB">
      <w:pPr>
        <w:keepNext/>
      </w:pPr>
      <w:permStart w:id="200" w:edGrp="everyone"/>
      <w:proofErr w:type="gramStart"/>
      <w:r>
        <w:t>Same response as under question 190.</w:t>
      </w:r>
      <w:proofErr w:type="gramEnd"/>
    </w:p>
    <w:permEnd w:id="200"/>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F07BEB" w:rsidRPr="00743A37" w:rsidRDefault="00F07BEB" w:rsidP="00F07BEB">
      <w:pPr>
        <w:keepNext/>
        <w:rPr>
          <w:lang w:val="en-US"/>
        </w:rPr>
      </w:pPr>
      <w:permStart w:id="201" w:edGrp="everyone"/>
      <w:proofErr w:type="gramStart"/>
      <w:r w:rsidRPr="00743A37">
        <w:rPr>
          <w:lang w:val="en-US"/>
        </w:rPr>
        <w:t>Same response as under question</w:t>
      </w:r>
      <w:r>
        <w:rPr>
          <w:lang w:val="en-US"/>
        </w:rPr>
        <w:t>s</w:t>
      </w:r>
      <w:r w:rsidRPr="00743A37">
        <w:rPr>
          <w:lang w:val="en-US"/>
        </w:rPr>
        <w:t xml:space="preserve"> 184 and 189.</w:t>
      </w:r>
      <w:proofErr w:type="gramEnd"/>
    </w:p>
    <w:permEnd w:id="201"/>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F07BEB" w:rsidRPr="00A449D4" w:rsidRDefault="00F07BEB" w:rsidP="00F07BEB">
      <w:pPr>
        <w:keepNext/>
        <w:rPr>
          <w:lang w:val="en-US"/>
        </w:rPr>
      </w:pPr>
      <w:permStart w:id="202" w:edGrp="everyone"/>
      <w:proofErr w:type="gramStart"/>
      <w:r w:rsidRPr="00743A37">
        <w:rPr>
          <w:lang w:val="en-US"/>
        </w:rPr>
        <w:t>Same response as under question 18</w:t>
      </w:r>
      <w:r>
        <w:rPr>
          <w:lang w:val="en-US"/>
        </w:rPr>
        <w:t>9 (illiquid and new contracts).</w:t>
      </w:r>
      <w:proofErr w:type="gramEnd"/>
    </w:p>
    <w:p w:rsidR="00F07BEB" w:rsidRDefault="00F07BEB" w:rsidP="00F07BEB">
      <w:pPr>
        <w:keepNext/>
        <w:rPr>
          <w:lang w:val="en-US"/>
        </w:rPr>
      </w:pPr>
    </w:p>
    <w:p w:rsidR="00F07BEB" w:rsidRPr="00A449D4" w:rsidRDefault="00F07BEB" w:rsidP="00F07BEB">
      <w:pPr>
        <w:keepNext/>
        <w:rPr>
          <w:lang w:val="en-US"/>
        </w:rPr>
      </w:pPr>
      <w:r>
        <w:rPr>
          <w:lang w:val="en-US"/>
        </w:rPr>
        <w:t>In addition, competent authorities should take into account the number and composition of market participants in a specific commodity market or even better for each contract. If it appears that the number of participants is too low or that market participants are essentially composed of buyers, positions limits should be calibrated to avoid hurting both the market and its participants.</w:t>
      </w:r>
    </w:p>
    <w:permEnd w:id="202"/>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F07BEB" w:rsidRDefault="00F07BEB" w:rsidP="00F07BEB">
      <w:pPr>
        <w:keepNext/>
        <w:rPr>
          <w:lang w:val="en-US"/>
        </w:rPr>
      </w:pPr>
      <w:permStart w:id="203" w:edGrp="everyone"/>
      <w:r>
        <w:rPr>
          <w:lang w:val="en-US"/>
        </w:rPr>
        <w:t>Competent authorities could enter into formal agreements with warehouses, public silos, private storage points and hub operators to be provided with data on the storage capacities.</w:t>
      </w:r>
    </w:p>
    <w:permEnd w:id="203"/>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t>&lt;ESMA_QUESTION_CP_MIFID_195&gt;</w:t>
      </w:r>
    </w:p>
    <w:p w:rsidR="00F07BEB" w:rsidRDefault="00F07BEB" w:rsidP="00F07BEB">
      <w:pPr>
        <w:keepNext/>
        <w:rPr>
          <w:lang w:val="en-US"/>
        </w:rPr>
      </w:pPr>
      <w:permStart w:id="204" w:edGrp="everyone"/>
      <w:r>
        <w:rPr>
          <w:lang w:val="en-US"/>
        </w:rPr>
        <w:t>The NCAs should have discretion on a case-by-case basis.</w:t>
      </w:r>
    </w:p>
    <w:permEnd w:id="204"/>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lastRenderedPageBreak/>
        <w:t>&lt;ESMA_QUESTION_CP_MIFID_196&gt;</w:t>
      </w:r>
    </w:p>
    <w:p w:rsidR="00F07BEB" w:rsidRDefault="00F07BEB" w:rsidP="00F07BEB">
      <w:pPr>
        <w:keepNext/>
        <w:rPr>
          <w:lang w:val="en-US"/>
        </w:rPr>
      </w:pPr>
      <w:permStart w:id="205" w:edGrp="everyone"/>
      <w:r>
        <w:rPr>
          <w:lang w:val="en-US"/>
        </w:rPr>
        <w:t>We do not think that the “age” of the commodity derivative is a relevant indicator that should be taken into account.</w:t>
      </w:r>
    </w:p>
    <w:p w:rsidR="00F07BEB" w:rsidRDefault="00F07BEB" w:rsidP="00F07BEB">
      <w:pPr>
        <w:keepNext/>
        <w:rPr>
          <w:lang w:val="en-US"/>
        </w:rPr>
      </w:pPr>
    </w:p>
    <w:p w:rsidR="00F07BEB" w:rsidRPr="00A449D4" w:rsidRDefault="00F07BEB" w:rsidP="00F07BEB">
      <w:pPr>
        <w:keepNext/>
        <w:rPr>
          <w:lang w:val="en-US"/>
        </w:rPr>
      </w:pPr>
      <w:r>
        <w:rPr>
          <w:lang w:val="en-US"/>
        </w:rPr>
        <w:t xml:space="preserve">But we think that the ongoing liquidity of a contract could be relevant to qualify contracts as illiquid and therefore to allow NCAs to impose a more flexible position limits regime applying to these contracts. </w:t>
      </w:r>
    </w:p>
    <w:permEnd w:id="205"/>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F07BEB" w:rsidRPr="002777E0" w:rsidRDefault="00D27ABE" w:rsidP="00D27ABE">
      <w:pPr>
        <w:spacing w:line="240" w:lineRule="atLeast"/>
        <w:rPr>
          <w:bCs/>
          <w:szCs w:val="22"/>
          <w:lang w:val="en-US"/>
        </w:rPr>
      </w:pPr>
      <w:permStart w:id="206" w:edGrp="everyone"/>
      <w:r w:rsidRPr="002777E0">
        <w:rPr>
          <w:bCs/>
          <w:szCs w:val="22"/>
          <w:lang w:val="en-US"/>
        </w:rPr>
        <w:t>No comment.</w:t>
      </w:r>
    </w:p>
    <w:permEnd w:id="206"/>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F07BEB" w:rsidRPr="00A449D4" w:rsidRDefault="00F07BEB" w:rsidP="00F07BEB">
      <w:pPr>
        <w:keepNext/>
        <w:rPr>
          <w:lang w:val="en-US"/>
        </w:rPr>
      </w:pPr>
      <w:permStart w:id="207" w:edGrp="everyone"/>
      <w:r>
        <w:rPr>
          <w:lang w:val="en-US"/>
        </w:rPr>
        <w:t>We agree with ESMA’s proposal and we f</w:t>
      </w:r>
      <w:r w:rsidR="00B50B14">
        <w:rPr>
          <w:lang w:val="en-US"/>
        </w:rPr>
        <w:t>ully agree with the need for</w:t>
      </w:r>
      <w:r>
        <w:rPr>
          <w:lang w:val="en-US"/>
        </w:rPr>
        <w:t xml:space="preserve"> NCAs to</w:t>
      </w:r>
      <w:r w:rsidR="00B50B14">
        <w:rPr>
          <w:lang w:val="en-US"/>
        </w:rPr>
        <w:t xml:space="preserve"> have</w:t>
      </w:r>
      <w:r>
        <w:rPr>
          <w:lang w:val="en-US"/>
        </w:rPr>
        <w:t xml:space="preserve"> sufficient flexibility to be able to take into account the specificities of the different markets.</w:t>
      </w:r>
    </w:p>
    <w:permEnd w:id="207"/>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D27ABE" w:rsidRPr="00D27ABE" w:rsidRDefault="00D27ABE" w:rsidP="00D27ABE">
      <w:pPr>
        <w:spacing w:line="240" w:lineRule="atLeast"/>
        <w:rPr>
          <w:bCs/>
          <w:szCs w:val="22"/>
          <w:lang w:val="en-US"/>
        </w:rPr>
      </w:pPr>
      <w:permStart w:id="208" w:edGrp="everyone"/>
      <w:r w:rsidRPr="00D27ABE">
        <w:rPr>
          <w:bCs/>
          <w:szCs w:val="22"/>
          <w:lang w:val="en-US"/>
        </w:rPr>
        <w:t>No comment.</w:t>
      </w:r>
    </w:p>
    <w:permEnd w:id="208"/>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F07BEB" w:rsidRPr="00A449D4" w:rsidRDefault="00F07BEB" w:rsidP="00F07BEB">
      <w:pPr>
        <w:keepNext/>
        <w:rPr>
          <w:lang w:val="en-US"/>
        </w:rPr>
      </w:pPr>
      <w:permStart w:id="209" w:edGrp="everyone"/>
      <w:r>
        <w:rPr>
          <w:lang w:val="en-US"/>
        </w:rPr>
        <w:t xml:space="preserve">Once again, </w:t>
      </w:r>
      <w:r w:rsidRPr="00A449D4">
        <w:rPr>
          <w:lang w:val="en-US"/>
        </w:rPr>
        <w:t xml:space="preserve">we are of the opinion that contracts entered into between banks and </w:t>
      </w:r>
      <w:r>
        <w:rPr>
          <w:lang w:val="en-US"/>
        </w:rPr>
        <w:t>NFCs</w:t>
      </w:r>
      <w:r w:rsidRPr="00A449D4">
        <w:rPr>
          <w:lang w:val="en-US"/>
        </w:rPr>
        <w:t xml:space="preserve"> to hedge the positions of these NFCs should be eligible for netting against related commodity futures positions.</w:t>
      </w:r>
    </w:p>
    <w:permEnd w:id="209"/>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D27ABE" w:rsidRPr="00D27ABE" w:rsidRDefault="00D27ABE" w:rsidP="00D27ABE">
      <w:pPr>
        <w:spacing w:line="240" w:lineRule="atLeast"/>
        <w:rPr>
          <w:bCs/>
          <w:szCs w:val="22"/>
          <w:lang w:val="en-US"/>
        </w:rPr>
      </w:pPr>
      <w:permStart w:id="210" w:edGrp="everyone"/>
      <w:r w:rsidRPr="00D27ABE">
        <w:rPr>
          <w:bCs/>
          <w:szCs w:val="22"/>
          <w:lang w:val="en-US"/>
        </w:rPr>
        <w:t>No comment.</w:t>
      </w:r>
    </w:p>
    <w:permEnd w:id="210"/>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D27ABE" w:rsidRPr="00D27ABE" w:rsidRDefault="00D27ABE" w:rsidP="00D27ABE">
      <w:pPr>
        <w:spacing w:line="240" w:lineRule="atLeast"/>
        <w:rPr>
          <w:bCs/>
          <w:szCs w:val="22"/>
          <w:lang w:val="en-US"/>
        </w:rPr>
      </w:pPr>
      <w:permStart w:id="211" w:edGrp="everyone"/>
      <w:r w:rsidRPr="00D27ABE">
        <w:rPr>
          <w:bCs/>
          <w:szCs w:val="22"/>
          <w:lang w:val="en-US"/>
        </w:rPr>
        <w:t>No comment.</w:t>
      </w:r>
    </w:p>
    <w:permEnd w:id="211"/>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lastRenderedPageBreak/>
        <w:t>&lt;ESMA_QUESTION_CP_MIFID_203&gt;</w:t>
      </w:r>
    </w:p>
    <w:p w:rsidR="00F07BEB" w:rsidRPr="00D27ABE" w:rsidRDefault="00D27ABE" w:rsidP="00D27ABE">
      <w:pPr>
        <w:spacing w:line="240" w:lineRule="atLeast"/>
        <w:rPr>
          <w:bCs/>
          <w:szCs w:val="22"/>
          <w:lang w:val="fr-FR"/>
        </w:rPr>
      </w:pPr>
      <w:permStart w:id="212" w:edGrp="everyone"/>
      <w:r>
        <w:rPr>
          <w:bCs/>
          <w:szCs w:val="22"/>
          <w:lang w:val="fr-FR"/>
        </w:rPr>
        <w:t>No comment.</w:t>
      </w:r>
    </w:p>
    <w:permEnd w:id="212"/>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F07BEB" w:rsidRDefault="00F07BEB" w:rsidP="00F07BEB">
      <w:pPr>
        <w:keepNext/>
        <w:rPr>
          <w:lang w:val="en-US"/>
        </w:rPr>
      </w:pPr>
      <w:permStart w:id="213" w:edGrp="everyone"/>
      <w:r>
        <w:rPr>
          <w:lang w:val="en-US"/>
        </w:rPr>
        <w:t xml:space="preserve">Despite the fact that we globally agree with the proposed draft RTS (except the point that financial hedging contracts provided by banks to NFCs </w:t>
      </w:r>
      <w:r w:rsidRPr="00A449D4">
        <w:rPr>
          <w:lang w:val="en-US"/>
        </w:rPr>
        <w:t xml:space="preserve">should be eligible for netting against related commodity futures </w:t>
      </w:r>
      <w:r>
        <w:rPr>
          <w:lang w:val="en-US"/>
        </w:rPr>
        <w:t xml:space="preserve">positions), we cannot agree with the procedure that market participants should follow for their derivatives to be </w:t>
      </w:r>
      <w:proofErr w:type="spellStart"/>
      <w:r>
        <w:rPr>
          <w:lang w:val="en-US"/>
        </w:rPr>
        <w:t>recognised</w:t>
      </w:r>
      <w:proofErr w:type="spellEnd"/>
      <w:r>
        <w:rPr>
          <w:lang w:val="en-US"/>
        </w:rPr>
        <w:t xml:space="preserve"> as economically equivalent OTC contracts (EEOTC).</w:t>
      </w:r>
    </w:p>
    <w:p w:rsidR="00F07BEB" w:rsidRDefault="00F07BEB" w:rsidP="00F07BEB">
      <w:pPr>
        <w:keepNext/>
        <w:rPr>
          <w:lang w:val="en-US"/>
        </w:rPr>
      </w:pPr>
    </w:p>
    <w:p w:rsidR="00F07BEB" w:rsidRDefault="00F07BEB" w:rsidP="00F07BEB">
      <w:pPr>
        <w:keepNext/>
        <w:rPr>
          <w:lang w:val="en-US"/>
        </w:rPr>
      </w:pPr>
      <w:r>
        <w:rPr>
          <w:lang w:val="en-US"/>
        </w:rPr>
        <w:t>Recital (10) states that where a person considers an OTC commodity derivative as EEOTC it should “</w:t>
      </w:r>
      <w:r w:rsidRPr="006E3F15">
        <w:rPr>
          <w:i/>
          <w:lang w:val="en-US"/>
        </w:rPr>
        <w:t>notify the relevant competent authority for the trading venue on which the commodity derivative trades</w:t>
      </w:r>
      <w:r>
        <w:rPr>
          <w:lang w:val="en-US"/>
        </w:rPr>
        <w:t xml:space="preserve">”. After this notification, this competent authority will determine whether OTC commodity derivative is EEOTC and both this authority and ESMA will publish the relevant list. </w:t>
      </w:r>
    </w:p>
    <w:p w:rsidR="00F07BEB" w:rsidRDefault="00F07BEB" w:rsidP="00F07BEB">
      <w:pPr>
        <w:keepNext/>
        <w:rPr>
          <w:lang w:val="en-US"/>
        </w:rPr>
      </w:pPr>
    </w:p>
    <w:p w:rsidR="00F07BEB" w:rsidRDefault="00F07BEB" w:rsidP="00F07BEB">
      <w:pPr>
        <w:keepNext/>
        <w:rPr>
          <w:lang w:val="en-US"/>
        </w:rPr>
      </w:pPr>
      <w:r>
        <w:rPr>
          <w:lang w:val="en-US"/>
        </w:rPr>
        <w:t xml:space="preserve">This procedure appears too much formal but also not suitable with the clients’ needs. Indeed, this </w:t>
      </w:r>
      <w:r w:rsidRPr="00BB065B">
        <w:rPr>
          <w:i/>
          <w:lang w:val="en-US"/>
        </w:rPr>
        <w:t>ex ante</w:t>
      </w:r>
      <w:r>
        <w:rPr>
          <w:lang w:val="en-US"/>
        </w:rPr>
        <w:t xml:space="preserve"> requirement does not allow market participants to know at the moment they enter into a transaction with a client whether their trade is </w:t>
      </w:r>
      <w:proofErr w:type="spellStart"/>
      <w:r>
        <w:rPr>
          <w:lang w:val="en-US"/>
        </w:rPr>
        <w:t>recognised</w:t>
      </w:r>
      <w:proofErr w:type="spellEnd"/>
      <w:r>
        <w:rPr>
          <w:lang w:val="en-US"/>
        </w:rPr>
        <w:t xml:space="preserve"> as EEOTC and therefore whether they will comply with the position limits.</w:t>
      </w:r>
      <w:r w:rsidRPr="00BB065B">
        <w:rPr>
          <w:lang w:val="en-US"/>
        </w:rPr>
        <w:t xml:space="preserve"> </w:t>
      </w:r>
      <w:r>
        <w:rPr>
          <w:lang w:val="en-US"/>
        </w:rPr>
        <w:t>Moreover, we note that surprisingly this requirement of mere importance is only contained in a Recital.</w:t>
      </w:r>
    </w:p>
    <w:p w:rsidR="00F07BEB" w:rsidRDefault="00F07BEB" w:rsidP="00F07BEB">
      <w:pPr>
        <w:keepNext/>
        <w:rPr>
          <w:lang w:val="en-US"/>
        </w:rPr>
      </w:pPr>
    </w:p>
    <w:p w:rsidR="00F07BEB" w:rsidRDefault="00F07BEB" w:rsidP="00F07BEB">
      <w:pPr>
        <w:keepNext/>
        <w:rPr>
          <w:lang w:val="en-US"/>
        </w:rPr>
      </w:pPr>
      <w:r>
        <w:rPr>
          <w:lang w:val="en-US"/>
        </w:rPr>
        <w:t>For these reasons, we would recommend to delete Recital (10) and to replace it by the following procedure:</w:t>
      </w:r>
    </w:p>
    <w:p w:rsidR="00F07BEB" w:rsidRDefault="00F07BEB" w:rsidP="00F07BEB">
      <w:pPr>
        <w:keepNext/>
        <w:rPr>
          <w:lang w:val="en-US"/>
        </w:rPr>
      </w:pPr>
      <w:r>
        <w:rPr>
          <w:lang w:val="en-US"/>
        </w:rPr>
        <w:t xml:space="preserve">- market participants would have to comply with their own internal process setting the characteristics under which on OTC contract could be </w:t>
      </w:r>
      <w:proofErr w:type="spellStart"/>
      <w:r>
        <w:rPr>
          <w:lang w:val="en-US"/>
        </w:rPr>
        <w:t>recognised</w:t>
      </w:r>
      <w:proofErr w:type="spellEnd"/>
      <w:r>
        <w:rPr>
          <w:lang w:val="en-US"/>
        </w:rPr>
        <w:t xml:space="preserve"> as EEOTC,</w:t>
      </w:r>
    </w:p>
    <w:p w:rsidR="00F07BEB" w:rsidRDefault="00F07BEB" w:rsidP="00F07BEB">
      <w:pPr>
        <w:keepNext/>
        <w:rPr>
          <w:lang w:val="en-US"/>
        </w:rPr>
      </w:pPr>
      <w:r>
        <w:rPr>
          <w:lang w:val="en-US"/>
        </w:rPr>
        <w:t xml:space="preserve">- </w:t>
      </w:r>
      <w:proofErr w:type="gramStart"/>
      <w:r>
        <w:rPr>
          <w:lang w:val="en-US"/>
        </w:rPr>
        <w:t>this</w:t>
      </w:r>
      <w:proofErr w:type="gramEnd"/>
      <w:r>
        <w:rPr>
          <w:lang w:val="en-US"/>
        </w:rPr>
        <w:t xml:space="preserve"> internal process would be validated by the relevant NCA ex ante (prior to any recognition of a contract as EEOTC pursuant to this process),</w:t>
      </w:r>
    </w:p>
    <w:p w:rsidR="00F07BEB" w:rsidRDefault="00F07BEB" w:rsidP="00F07BEB">
      <w:pPr>
        <w:keepNext/>
        <w:rPr>
          <w:lang w:val="en-US"/>
        </w:rPr>
      </w:pPr>
      <w:r>
        <w:rPr>
          <w:lang w:val="en-US"/>
        </w:rPr>
        <w:t xml:space="preserve">According to its powers, the relevant NCA will have the ability to check - on an ex post basis – whether the market participant has comply with the internal process that the NCA has validated.  </w:t>
      </w:r>
    </w:p>
    <w:permEnd w:id="213"/>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F07BEB" w:rsidRPr="00A449D4" w:rsidRDefault="00F07BEB" w:rsidP="00F07BEB">
      <w:pPr>
        <w:keepNext/>
        <w:rPr>
          <w:lang w:val="en-US"/>
        </w:rPr>
      </w:pPr>
      <w:permStart w:id="214" w:edGrp="everyone"/>
      <w:r>
        <w:rPr>
          <w:lang w:val="en-US"/>
        </w:rPr>
        <w:t>We agree with the proposed draft RTS.</w:t>
      </w:r>
    </w:p>
    <w:permEnd w:id="214"/>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lastRenderedPageBreak/>
        <w:t>&lt;ESMA_QUESTION_CP_MIFID_206&gt;</w:t>
      </w:r>
    </w:p>
    <w:p w:rsidR="00F07BEB" w:rsidRPr="00A449D4" w:rsidRDefault="00F07BEB" w:rsidP="00F07BEB">
      <w:pPr>
        <w:keepNext/>
        <w:rPr>
          <w:lang w:val="en-US"/>
        </w:rPr>
      </w:pPr>
      <w:permStart w:id="215" w:edGrp="everyone"/>
      <w:r>
        <w:rPr>
          <w:lang w:val="en-US"/>
        </w:rPr>
        <w:t>We agree with the proposed draft RTS.</w:t>
      </w:r>
    </w:p>
    <w:permEnd w:id="215"/>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F07BEB" w:rsidRPr="00A449D4" w:rsidRDefault="00F07BEB" w:rsidP="00F07BEB">
      <w:pPr>
        <w:keepNext/>
        <w:rPr>
          <w:lang w:val="en-US"/>
        </w:rPr>
      </w:pPr>
      <w:permStart w:id="216" w:edGrp="everyone"/>
      <w:r>
        <w:rPr>
          <w:lang w:val="en-US"/>
        </w:rPr>
        <w:t>We agree with the proposed draft RTS.</w:t>
      </w:r>
    </w:p>
    <w:permEnd w:id="216"/>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F07BEB" w:rsidRPr="00A449D4" w:rsidRDefault="00F07BEB" w:rsidP="00F07BEB">
      <w:pPr>
        <w:keepNext/>
        <w:rPr>
          <w:lang w:val="en-US"/>
        </w:rPr>
      </w:pPr>
      <w:permStart w:id="217" w:edGrp="everyone"/>
      <w:proofErr w:type="gramStart"/>
      <w:r w:rsidRPr="0099130D">
        <w:rPr>
          <w:lang w:val="en-US"/>
        </w:rPr>
        <w:t>Same response as under question 204.</w:t>
      </w:r>
      <w:proofErr w:type="gramEnd"/>
    </w:p>
    <w:p w:rsidR="00F07BEB" w:rsidRDefault="00F07BEB" w:rsidP="00F07BEB">
      <w:pPr>
        <w:keepNext/>
        <w:rPr>
          <w:lang w:val="en-US"/>
        </w:rPr>
      </w:pPr>
    </w:p>
    <w:p w:rsidR="00F07BEB" w:rsidRPr="00A449D4" w:rsidRDefault="00F07BEB" w:rsidP="00F07BEB">
      <w:pPr>
        <w:keepNext/>
        <w:rPr>
          <w:lang w:val="en-US"/>
        </w:rPr>
      </w:pPr>
      <w:r>
        <w:rPr>
          <w:lang w:val="en-US"/>
        </w:rPr>
        <w:t xml:space="preserve">To avoid disturbing the whole market and to create situations where clients are unable to find easily some counterparties, we strongly recommend replacing the proposed </w:t>
      </w:r>
      <w:r w:rsidRPr="00DD24AE">
        <w:rPr>
          <w:i/>
          <w:lang w:val="en-US"/>
        </w:rPr>
        <w:t>ex ante</w:t>
      </w:r>
      <w:r>
        <w:rPr>
          <w:lang w:val="en-US"/>
        </w:rPr>
        <w:t xml:space="preserve"> procedure by an </w:t>
      </w:r>
      <w:r w:rsidRPr="00DD24AE">
        <w:rPr>
          <w:i/>
          <w:lang w:val="en-US"/>
        </w:rPr>
        <w:t>ex post</w:t>
      </w:r>
      <w:r>
        <w:rPr>
          <w:lang w:val="en-US"/>
        </w:rPr>
        <w:t xml:space="preserve"> approval under which market participants notify the competent authority after the trades have been entered into. Furthermore, we believe that it would be more appropriate even for competent authorities.</w:t>
      </w:r>
    </w:p>
    <w:permEnd w:id="217"/>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F07BEB" w:rsidRPr="00A449D4" w:rsidRDefault="00F07BEB" w:rsidP="00F07BEB">
      <w:pPr>
        <w:keepNext/>
        <w:rPr>
          <w:lang w:val="en-US"/>
        </w:rPr>
      </w:pPr>
      <w:permStart w:id="218" w:edGrp="everyone"/>
      <w:r>
        <w:rPr>
          <w:lang w:val="en-US"/>
        </w:rPr>
        <w:t>We agree with the proposed draft RTS.</w:t>
      </w:r>
    </w:p>
    <w:permEnd w:id="218"/>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F07BEB" w:rsidRDefault="00F07BEB" w:rsidP="00EC2C93">
      <w:pPr>
        <w:keepNext/>
      </w:pPr>
      <w:permStart w:id="219" w:edGrp="everyone"/>
      <w:r>
        <w:rPr>
          <w:lang w:val="en-US"/>
        </w:rPr>
        <w:t>We agree</w:t>
      </w:r>
      <w:r>
        <w:t>.</w:t>
      </w:r>
    </w:p>
    <w:permEnd w:id="219"/>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t>&lt;ESMA_QUESTION_CP_MIFID_211&gt;</w:t>
      </w:r>
    </w:p>
    <w:p w:rsidR="00F07BEB" w:rsidRPr="00A449D4" w:rsidRDefault="00F07BEB" w:rsidP="00F07BEB">
      <w:pPr>
        <w:keepNext/>
        <w:rPr>
          <w:lang w:val="en-US"/>
        </w:rPr>
      </w:pPr>
      <w:permStart w:id="220" w:edGrp="everyone"/>
      <w:r>
        <w:rPr>
          <w:lang w:val="en-US"/>
        </w:rPr>
        <w:t>We agree.</w:t>
      </w:r>
    </w:p>
    <w:permEnd w:id="220"/>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lastRenderedPageBreak/>
        <w:t>&lt;ESMA_QUESTION_CP_MIFID_212&gt;</w:t>
      </w:r>
    </w:p>
    <w:p w:rsidR="00B50B14" w:rsidRPr="00797D0F" w:rsidRDefault="00B50B14" w:rsidP="00B50B14">
      <w:pPr>
        <w:keepNext/>
        <w:rPr>
          <w:lang w:val="en-US"/>
        </w:rPr>
      </w:pPr>
      <w:permStart w:id="221" w:edGrp="everyone"/>
      <w:r>
        <w:rPr>
          <w:lang w:val="en-US"/>
        </w:rPr>
        <w:t>Article 2 of the proposed ITS 31 states that “</w:t>
      </w:r>
      <w:r w:rsidRPr="006E306F">
        <w:rPr>
          <w:i/>
          <w:lang w:val="en-US"/>
        </w:rPr>
        <w:t xml:space="preserve">investments firms shall produce and send a daily </w:t>
      </w:r>
      <w:r w:rsidRPr="00797D0F">
        <w:rPr>
          <w:i/>
          <w:lang w:val="en-US"/>
        </w:rPr>
        <w:t>position report on their positions</w:t>
      </w:r>
      <w:r w:rsidRPr="00797D0F">
        <w:rPr>
          <w:lang w:val="en-US"/>
        </w:rPr>
        <w:t xml:space="preserve"> […] </w:t>
      </w:r>
      <w:r w:rsidRPr="00797D0F">
        <w:rPr>
          <w:i/>
          <w:lang w:val="en-US"/>
        </w:rPr>
        <w:t xml:space="preserve">as well as of those of their clients </w:t>
      </w:r>
      <w:r w:rsidRPr="00797D0F">
        <w:rPr>
          <w:i/>
          <w:u w:val="single"/>
          <w:lang w:val="en-US"/>
        </w:rPr>
        <w:t>and the clients of those clients until the end client is reached</w:t>
      </w:r>
      <w:r w:rsidRPr="00797D0F">
        <w:rPr>
          <w:lang w:val="en-US"/>
        </w:rPr>
        <w:t xml:space="preserve"> […]”.</w:t>
      </w:r>
    </w:p>
    <w:p w:rsidR="00B50B14" w:rsidRPr="00797D0F" w:rsidRDefault="00B50B14" w:rsidP="00B50B14">
      <w:pPr>
        <w:keepNext/>
        <w:rPr>
          <w:lang w:val="en-US"/>
        </w:rPr>
      </w:pPr>
    </w:p>
    <w:p w:rsidR="00B50B14" w:rsidRPr="00797D0F" w:rsidRDefault="00B50B14" w:rsidP="00B50B14">
      <w:pPr>
        <w:keepNext/>
        <w:rPr>
          <w:lang w:val="en-US"/>
        </w:rPr>
      </w:pPr>
      <w:r w:rsidRPr="00797D0F">
        <w:rPr>
          <w:lang w:val="en-US"/>
        </w:rPr>
        <w:t xml:space="preserve">We understand that this requirement is consistent with Article 58.2 of </w:t>
      </w:r>
      <w:proofErr w:type="spellStart"/>
      <w:r w:rsidRPr="00797D0F">
        <w:rPr>
          <w:lang w:val="en-US"/>
        </w:rPr>
        <w:t>MiFID</w:t>
      </w:r>
      <w:proofErr w:type="spellEnd"/>
      <w:r w:rsidRPr="00797D0F">
        <w:rPr>
          <w:lang w:val="en-US"/>
        </w:rPr>
        <w:t xml:space="preserve"> II (level 1) which expressly refers to the fact that this reporting should be performed in accordance with Article 26 of </w:t>
      </w:r>
      <w:proofErr w:type="spellStart"/>
      <w:r w:rsidRPr="00797D0F">
        <w:rPr>
          <w:lang w:val="en-US"/>
        </w:rPr>
        <w:t>MiFIR</w:t>
      </w:r>
      <w:proofErr w:type="spellEnd"/>
      <w:r w:rsidRPr="00797D0F">
        <w:rPr>
          <w:lang w:val="en-US"/>
        </w:rPr>
        <w:t xml:space="preserve">. </w:t>
      </w:r>
    </w:p>
    <w:p w:rsidR="00B50B14" w:rsidRPr="00797D0F" w:rsidRDefault="00B50B14" w:rsidP="00B50B14">
      <w:pPr>
        <w:keepNext/>
        <w:rPr>
          <w:lang w:val="en-US"/>
        </w:rPr>
      </w:pPr>
    </w:p>
    <w:p w:rsidR="00B50B14" w:rsidRDefault="00B50B14" w:rsidP="00B50B14">
      <w:pPr>
        <w:keepNext/>
        <w:rPr>
          <w:rFonts w:cs="EUAlbertina"/>
          <w:color w:val="000000"/>
          <w:lang w:val="en-US"/>
        </w:rPr>
      </w:pPr>
      <w:r w:rsidRPr="00797D0F">
        <w:rPr>
          <w:lang w:val="en-US"/>
        </w:rPr>
        <w:t xml:space="preserve">First of all, we underline that Article 26.3 of </w:t>
      </w:r>
      <w:proofErr w:type="spellStart"/>
      <w:r w:rsidRPr="00797D0F">
        <w:rPr>
          <w:lang w:val="en-US"/>
        </w:rPr>
        <w:t>MiFIR</w:t>
      </w:r>
      <w:proofErr w:type="spellEnd"/>
      <w:r w:rsidRPr="00797D0F">
        <w:rPr>
          <w:lang w:val="en-US"/>
        </w:rPr>
        <w:t xml:space="preserve"> does not require such a reporting “for the clients of clients until the end client is reached”. Indeed, Article 26.3 only refers to “</w:t>
      </w:r>
      <w:r w:rsidRPr="00BB76C2">
        <w:rPr>
          <w:rFonts w:cs="EUAlbertina"/>
          <w:i/>
          <w:color w:val="000000"/>
          <w:lang w:val="en-US"/>
        </w:rPr>
        <w:t>a designation to identify the clients on whose behalf the investment firm has executed that transaction</w:t>
      </w:r>
      <w:r w:rsidRPr="00797D0F">
        <w:rPr>
          <w:rFonts w:cs="EUAlbertina"/>
          <w:color w:val="000000"/>
          <w:lang w:val="en-US"/>
        </w:rPr>
        <w:t>”.</w:t>
      </w:r>
    </w:p>
    <w:p w:rsidR="00B50B14" w:rsidRPr="00BB76C2" w:rsidRDefault="00B50B14" w:rsidP="00B50B14">
      <w:pPr>
        <w:keepNext/>
        <w:rPr>
          <w:rFonts w:cs="EUAlbertina"/>
          <w:color w:val="000000"/>
          <w:lang w:val="en-US"/>
        </w:rPr>
      </w:pPr>
    </w:p>
    <w:p w:rsidR="00B50B14" w:rsidRDefault="00B50B14" w:rsidP="00B50B14">
      <w:pPr>
        <w:keepNext/>
        <w:rPr>
          <w:rFonts w:cs="EUAlbertina"/>
          <w:color w:val="000000"/>
          <w:lang w:val="en-US"/>
        </w:rPr>
      </w:pPr>
      <w:r w:rsidRPr="00BB76C2">
        <w:rPr>
          <w:rFonts w:cs="EUAlbertina"/>
          <w:color w:val="000000"/>
          <w:lang w:val="en-US"/>
        </w:rPr>
        <w:t xml:space="preserve">Secondly, we stress the fact that investment firms will be practically and legally unable to provide the reporting until the end client is reached. From a practical viewpoint, investment firms will absolutely </w:t>
      </w:r>
      <w:r>
        <w:rPr>
          <w:rFonts w:cs="EUAlbertina"/>
          <w:color w:val="000000"/>
          <w:lang w:val="en-US"/>
        </w:rPr>
        <w:t xml:space="preserve">have </w:t>
      </w:r>
      <w:r w:rsidRPr="00BB76C2">
        <w:rPr>
          <w:rFonts w:cs="EUAlbertina"/>
          <w:color w:val="000000"/>
          <w:lang w:val="en-US"/>
        </w:rPr>
        <w:t xml:space="preserve">no guarantee given from their clients that the reporting </w:t>
      </w:r>
      <w:r>
        <w:rPr>
          <w:rFonts w:cs="EUAlbertina"/>
          <w:color w:val="000000"/>
          <w:lang w:val="en-US"/>
        </w:rPr>
        <w:t xml:space="preserve">such investment firms </w:t>
      </w:r>
      <w:r w:rsidRPr="00BB76C2">
        <w:rPr>
          <w:rFonts w:cs="EUAlbertina"/>
          <w:color w:val="000000"/>
          <w:lang w:val="en-US"/>
        </w:rPr>
        <w:t>have requested will be provided until the end client is reached. In other words, investment firms will not be able to make the appropriate due diligence to determine whether they have compl</w:t>
      </w:r>
      <w:r>
        <w:rPr>
          <w:rFonts w:cs="EUAlbertina"/>
          <w:color w:val="000000"/>
          <w:lang w:val="en-US"/>
        </w:rPr>
        <w:t>ied</w:t>
      </w:r>
      <w:r w:rsidRPr="00BB76C2">
        <w:rPr>
          <w:rFonts w:cs="EUAlbertina"/>
          <w:color w:val="000000"/>
          <w:lang w:val="en-US"/>
        </w:rPr>
        <w:t xml:space="preserve"> with the </w:t>
      </w:r>
      <w:r>
        <w:rPr>
          <w:rFonts w:cs="EUAlbertina"/>
          <w:color w:val="000000"/>
          <w:lang w:val="en-US"/>
        </w:rPr>
        <w:t xml:space="preserve">reporting </w:t>
      </w:r>
      <w:r w:rsidRPr="00BB76C2">
        <w:rPr>
          <w:rFonts w:cs="EUAlbertina"/>
          <w:color w:val="000000"/>
          <w:lang w:val="en-US"/>
        </w:rPr>
        <w:t xml:space="preserve">obligation. From a legal point of view, </w:t>
      </w:r>
      <w:r>
        <w:rPr>
          <w:rFonts w:cs="EUAlbertina"/>
          <w:color w:val="000000"/>
          <w:lang w:val="en-US"/>
        </w:rPr>
        <w:t xml:space="preserve">for confidentiality and banking secrecy reasons </w:t>
      </w:r>
      <w:r w:rsidRPr="00BB76C2">
        <w:rPr>
          <w:rFonts w:cs="EUAlbertina"/>
          <w:color w:val="000000"/>
          <w:lang w:val="en-US"/>
        </w:rPr>
        <w:t>it is not obvious that the clients of the investment firms w</w:t>
      </w:r>
      <w:r>
        <w:rPr>
          <w:rFonts w:cs="EUAlbertina"/>
          <w:color w:val="000000"/>
          <w:lang w:val="en-US"/>
        </w:rPr>
        <w:t xml:space="preserve">ould </w:t>
      </w:r>
      <w:r w:rsidRPr="00BB76C2">
        <w:rPr>
          <w:rFonts w:cs="EUAlbertina"/>
          <w:color w:val="000000"/>
          <w:lang w:val="en-US"/>
        </w:rPr>
        <w:t xml:space="preserve">legally </w:t>
      </w:r>
      <w:r>
        <w:rPr>
          <w:rFonts w:cs="EUAlbertina"/>
          <w:color w:val="000000"/>
          <w:lang w:val="en-US"/>
        </w:rPr>
        <w:t xml:space="preserve">be </w:t>
      </w:r>
      <w:r w:rsidRPr="00BB76C2">
        <w:rPr>
          <w:rFonts w:cs="EUAlbertina"/>
          <w:color w:val="000000"/>
          <w:lang w:val="en-US"/>
        </w:rPr>
        <w:t>allowed to provide any detail on their clients.</w:t>
      </w:r>
    </w:p>
    <w:p w:rsidR="00B50B14" w:rsidRDefault="00B50B14" w:rsidP="00B50B14">
      <w:pPr>
        <w:keepNext/>
        <w:rPr>
          <w:rFonts w:cs="EUAlbertina"/>
          <w:color w:val="000000"/>
          <w:lang w:val="en-US"/>
        </w:rPr>
      </w:pPr>
    </w:p>
    <w:p w:rsidR="00B50B14" w:rsidRDefault="00B50B14" w:rsidP="00B50B14">
      <w:pPr>
        <w:keepNext/>
        <w:rPr>
          <w:rFonts w:cs="EUAlbertina"/>
          <w:color w:val="000000"/>
          <w:lang w:val="en-US"/>
        </w:rPr>
      </w:pPr>
      <w:r>
        <w:rPr>
          <w:rFonts w:cs="EUAlbertina"/>
          <w:color w:val="000000"/>
          <w:lang w:val="en-US"/>
        </w:rPr>
        <w:t>Thirdly, such a mandatory reporting would lead to a high number of situations where commercially and legally sensitive information are transferred to undue persons which obviously may impair the integrity and safety of the whole commodity market.</w:t>
      </w:r>
    </w:p>
    <w:p w:rsidR="00B50B14" w:rsidRDefault="00B50B14" w:rsidP="00B50B14">
      <w:pPr>
        <w:keepNext/>
        <w:rPr>
          <w:rFonts w:cs="EUAlbertina"/>
          <w:color w:val="000000"/>
          <w:lang w:val="en-US"/>
        </w:rPr>
      </w:pPr>
    </w:p>
    <w:p w:rsidR="00B50B14" w:rsidRDefault="00B50B14" w:rsidP="00B50B14">
      <w:pPr>
        <w:keepNext/>
        <w:rPr>
          <w:rFonts w:cs="EUAlbertina"/>
          <w:color w:val="000000"/>
          <w:lang w:val="en-US"/>
        </w:rPr>
      </w:pPr>
      <w:r>
        <w:rPr>
          <w:rFonts w:cs="EUAlbertina"/>
          <w:color w:val="000000"/>
          <w:lang w:val="en-US"/>
        </w:rPr>
        <w:t xml:space="preserve">Fourthly, we are wondering if such a reporting obligation will not encourage some clients to use the services provided by intermediaries which are located outside of the EU and therefore not submitted to the </w:t>
      </w:r>
      <w:proofErr w:type="spellStart"/>
      <w:r>
        <w:rPr>
          <w:rFonts w:cs="EUAlbertina"/>
          <w:color w:val="000000"/>
          <w:lang w:val="en-US"/>
        </w:rPr>
        <w:t>MiFID</w:t>
      </w:r>
      <w:proofErr w:type="spellEnd"/>
      <w:r>
        <w:rPr>
          <w:rFonts w:cs="EUAlbertina"/>
          <w:color w:val="000000"/>
          <w:lang w:val="en-US"/>
        </w:rPr>
        <w:t xml:space="preserve"> position reporting requirements.</w:t>
      </w:r>
    </w:p>
    <w:p w:rsidR="00B50B14" w:rsidRPr="00BB76C2" w:rsidRDefault="00B50B14" w:rsidP="00B50B14">
      <w:pPr>
        <w:keepNext/>
        <w:rPr>
          <w:rFonts w:cs="EUAlbertina"/>
          <w:color w:val="000000"/>
          <w:lang w:val="en-US"/>
        </w:rPr>
      </w:pPr>
    </w:p>
    <w:p w:rsidR="00B50B14" w:rsidRPr="009441A6" w:rsidRDefault="00B50B14" w:rsidP="00B50B14">
      <w:pPr>
        <w:keepNext/>
        <w:rPr>
          <w:rFonts w:cs="EUAlbertina"/>
          <w:color w:val="000000"/>
          <w:lang w:val="en-US"/>
        </w:rPr>
      </w:pPr>
      <w:r>
        <w:rPr>
          <w:rFonts w:cs="EUAlbertina"/>
          <w:color w:val="000000"/>
          <w:lang w:val="en-US"/>
        </w:rPr>
        <w:t>In this specific context</w:t>
      </w:r>
      <w:r w:rsidRPr="00BB76C2">
        <w:rPr>
          <w:rFonts w:cs="EUAlbertina"/>
          <w:color w:val="000000"/>
          <w:lang w:val="en-US"/>
        </w:rPr>
        <w:t>,</w:t>
      </w:r>
      <w:r>
        <w:rPr>
          <w:rFonts w:cs="EUAlbertina"/>
          <w:color w:val="000000"/>
          <w:lang w:val="en-US"/>
        </w:rPr>
        <w:t xml:space="preserve"> and taking into account the level 1 we urge ESMA to modify the drafting of </w:t>
      </w:r>
      <w:r>
        <w:rPr>
          <w:lang w:val="en-US"/>
        </w:rPr>
        <w:t>Article 2 of the proposed ITS 31 as such:</w:t>
      </w:r>
    </w:p>
    <w:p w:rsidR="00B50B14" w:rsidRPr="00BB76C2" w:rsidRDefault="00B50B14" w:rsidP="00B50B14">
      <w:pPr>
        <w:keepNext/>
        <w:rPr>
          <w:lang w:val="en-US"/>
        </w:rPr>
      </w:pPr>
    </w:p>
    <w:p w:rsidR="00B50B14" w:rsidRPr="00BB76C2" w:rsidRDefault="00B50B14" w:rsidP="00B50B14">
      <w:pPr>
        <w:keepNext/>
        <w:rPr>
          <w:lang w:val="en-US"/>
        </w:rPr>
      </w:pPr>
      <w:r>
        <w:rPr>
          <w:lang w:val="en-US"/>
        </w:rPr>
        <w:t>“</w:t>
      </w:r>
      <w:r w:rsidRPr="00BB76C2">
        <w:rPr>
          <w:i/>
          <w:lang w:val="en-US"/>
        </w:rPr>
        <w:t xml:space="preserve">1. Investment Firms shall produce and send a daily position report on their positions taken in commodity derivatives or emission allowances or derivatives thereof traded on a trading venue and in economically equivalent OTC contracts, as well as, </w:t>
      </w:r>
      <w:r>
        <w:rPr>
          <w:i/>
          <w:color w:val="C00000"/>
          <w:u w:val="single"/>
          <w:lang w:val="en-US"/>
        </w:rPr>
        <w:t>when available</w:t>
      </w:r>
      <w:r w:rsidRPr="00BB76C2">
        <w:rPr>
          <w:i/>
          <w:lang w:val="en-US"/>
        </w:rPr>
        <w:t>, of those of their clients and the clients of those clients until the end client is reached to the competent authority of the trading venue where the commodity derivatives or emission allowances or derivatives thereof are traded or the central competent authority where the commodity derivatives or emission allowances or derivatives thereof are traded in significant volumes on trading venues in more than one jurisdiction, in the format specified in Table 2 of the Annex</w:t>
      </w:r>
      <w:r>
        <w:rPr>
          <w:lang w:val="en-US"/>
        </w:rPr>
        <w:t>.”</w:t>
      </w:r>
    </w:p>
    <w:permEnd w:id="221"/>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303D06" w:rsidRPr="00B638D0" w:rsidRDefault="00303D06" w:rsidP="00303D06">
      <w:pPr>
        <w:pStyle w:val="PlainText"/>
        <w:jc w:val="both"/>
        <w:rPr>
          <w:rFonts w:asciiTheme="minorHAnsi" w:hAnsiTheme="minorHAnsi" w:cstheme="minorHAnsi"/>
          <w:lang w:val="en-GB"/>
        </w:rPr>
      </w:pPr>
      <w:permStart w:id="222" w:edGrp="everyone"/>
      <w:r w:rsidRPr="00B638D0">
        <w:rPr>
          <w:rFonts w:asciiTheme="minorHAnsi" w:hAnsiTheme="minorHAnsi" w:cstheme="minorHAnsi"/>
          <w:lang w:val="en-GB"/>
        </w:rPr>
        <w:t>TREM is the format which would pose the most substantial implementation challenge since it is a custom XML format defined by ESMA.</w:t>
      </w:r>
    </w:p>
    <w:p w:rsidR="00303D06" w:rsidRPr="00B638D0" w:rsidRDefault="00303D06" w:rsidP="00303D06">
      <w:pPr>
        <w:pStyle w:val="PlainText"/>
        <w:jc w:val="both"/>
        <w:rPr>
          <w:rFonts w:asciiTheme="minorHAnsi" w:hAnsiTheme="minorHAnsi" w:cstheme="minorHAnsi"/>
          <w:lang w:val="en-GB"/>
        </w:rPr>
      </w:pPr>
    </w:p>
    <w:p w:rsidR="00303D06" w:rsidRPr="00B638D0" w:rsidRDefault="00303D06" w:rsidP="00303D06">
      <w:pPr>
        <w:pStyle w:val="PlainText"/>
        <w:jc w:val="both"/>
        <w:rPr>
          <w:rFonts w:asciiTheme="minorHAnsi" w:hAnsiTheme="minorHAnsi" w:cstheme="minorHAnsi"/>
          <w:lang w:val="en-GB"/>
        </w:rPr>
      </w:pPr>
      <w:r w:rsidRPr="00B638D0">
        <w:rPr>
          <w:rFonts w:asciiTheme="minorHAnsi" w:hAnsiTheme="minorHAnsi" w:cstheme="minorHAnsi"/>
          <w:lang w:val="en-GB"/>
        </w:rPr>
        <w:t xml:space="preserve">Indeed, it can be much more complicated for firms to implement customized XML formats, instead of standardized formats widely used by the industry like </w:t>
      </w:r>
      <w:proofErr w:type="spellStart"/>
      <w:r w:rsidRPr="00B638D0">
        <w:rPr>
          <w:rFonts w:asciiTheme="minorHAnsi" w:hAnsiTheme="minorHAnsi" w:cstheme="minorHAnsi"/>
          <w:lang w:val="en-GB"/>
        </w:rPr>
        <w:t>FpML</w:t>
      </w:r>
      <w:proofErr w:type="spellEnd"/>
      <w:r w:rsidRPr="00B638D0">
        <w:rPr>
          <w:rFonts w:asciiTheme="minorHAnsi" w:hAnsiTheme="minorHAnsi" w:cstheme="minorHAnsi"/>
          <w:lang w:val="en-GB"/>
        </w:rPr>
        <w:t>.</w:t>
      </w:r>
    </w:p>
    <w:p w:rsidR="00303D06" w:rsidRPr="00B638D0" w:rsidRDefault="00303D06" w:rsidP="00303D06">
      <w:pPr>
        <w:pStyle w:val="PlainText"/>
        <w:jc w:val="both"/>
        <w:rPr>
          <w:rFonts w:asciiTheme="minorHAnsi" w:hAnsiTheme="minorHAnsi" w:cstheme="minorHAnsi"/>
          <w:lang w:val="en-GB"/>
        </w:rPr>
      </w:pPr>
    </w:p>
    <w:p w:rsidR="00303D06" w:rsidRPr="00B638D0" w:rsidRDefault="00303D06" w:rsidP="00303D06">
      <w:pPr>
        <w:pStyle w:val="PlainText"/>
        <w:jc w:val="both"/>
        <w:rPr>
          <w:rFonts w:asciiTheme="minorHAnsi" w:hAnsiTheme="minorHAnsi" w:cstheme="minorHAnsi"/>
          <w:lang w:val="en-GB"/>
        </w:rPr>
      </w:pPr>
      <w:r w:rsidRPr="00B638D0">
        <w:rPr>
          <w:rFonts w:asciiTheme="minorHAnsi" w:hAnsiTheme="minorHAnsi" w:cstheme="minorHAnsi"/>
          <w:lang w:val="en-GB"/>
        </w:rPr>
        <w:t>That being said, all formats specified in paragraph 2 would pose substantial implementation challenges. Indeed, the less cumbersome format is flat files.</w:t>
      </w:r>
    </w:p>
    <w:permEnd w:id="222"/>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D20C76" w:rsidRPr="00B638D0" w:rsidRDefault="00D20C76" w:rsidP="00D20C76">
      <w:pPr>
        <w:pStyle w:val="PlainText"/>
        <w:jc w:val="both"/>
        <w:rPr>
          <w:rFonts w:asciiTheme="minorHAnsi" w:hAnsiTheme="minorHAnsi" w:cstheme="minorHAnsi"/>
          <w:lang w:val="en-GB"/>
        </w:rPr>
      </w:pPr>
      <w:permStart w:id="223" w:edGrp="everyone"/>
      <w:r w:rsidRPr="00B638D0">
        <w:rPr>
          <w:rFonts w:asciiTheme="minorHAnsi" w:hAnsiTheme="minorHAnsi" w:cstheme="minorHAnsi"/>
          <w:lang w:val="en-GB"/>
        </w:rPr>
        <w:t>Yes, we anticipate the following difficulties:</w:t>
      </w:r>
    </w:p>
    <w:p w:rsidR="00D20C76" w:rsidRPr="00B638D0" w:rsidRDefault="00D20C76" w:rsidP="00D20C76">
      <w:pPr>
        <w:pStyle w:val="PlainText"/>
        <w:jc w:val="both"/>
        <w:rPr>
          <w:rFonts w:asciiTheme="minorHAnsi" w:hAnsiTheme="minorHAnsi" w:cstheme="minorHAnsi"/>
          <w:lang w:val="en-GB"/>
        </w:rPr>
      </w:pPr>
    </w:p>
    <w:p w:rsidR="00D20C76" w:rsidRPr="00B638D0" w:rsidRDefault="00D20C76" w:rsidP="00E077AE">
      <w:pPr>
        <w:pStyle w:val="PlainText"/>
        <w:numPr>
          <w:ilvl w:val="0"/>
          <w:numId w:val="29"/>
        </w:numPr>
        <w:jc w:val="both"/>
        <w:rPr>
          <w:rFonts w:asciiTheme="minorHAnsi" w:hAnsiTheme="minorHAnsi" w:cstheme="minorHAnsi"/>
          <w:lang w:val="en-GB"/>
        </w:rPr>
      </w:pPr>
      <w:r w:rsidRPr="00B638D0">
        <w:rPr>
          <w:rFonts w:asciiTheme="minorHAnsi" w:hAnsiTheme="minorHAnsi" w:cstheme="minorHAnsi"/>
          <w:u w:val="single"/>
          <w:lang w:val="en-GB"/>
        </w:rPr>
        <w:t>Issuance, allotment or subscription, placements</w:t>
      </w:r>
      <w:r w:rsidRPr="00B638D0">
        <w:rPr>
          <w:rFonts w:asciiTheme="minorHAnsi" w:hAnsiTheme="minorHAnsi" w:cstheme="minorHAnsi"/>
          <w:lang w:val="en-GB"/>
        </w:rPr>
        <w:t xml:space="preserve">: Reportable static data such as ISIN, </w:t>
      </w:r>
      <w:proofErr w:type="gramStart"/>
      <w:r w:rsidRPr="00B638D0">
        <w:rPr>
          <w:rFonts w:asciiTheme="minorHAnsi" w:hAnsiTheme="minorHAnsi" w:cstheme="minorHAnsi"/>
          <w:lang w:val="en-GB"/>
        </w:rPr>
        <w:t>AII, …</w:t>
      </w:r>
      <w:proofErr w:type="gramEnd"/>
      <w:r w:rsidRPr="00B638D0">
        <w:rPr>
          <w:rFonts w:asciiTheme="minorHAnsi" w:hAnsiTheme="minorHAnsi" w:cstheme="minorHAnsi"/>
          <w:lang w:val="en-GB"/>
        </w:rPr>
        <w:t xml:space="preserve"> may be missing at the time the transaction has to be reported. Thus reporting firms would have to flag the reported transactions with missing static data and then re-submit them when that data is available.</w:t>
      </w:r>
    </w:p>
    <w:p w:rsidR="00D20C76" w:rsidRPr="00B638D0" w:rsidRDefault="00D20C76" w:rsidP="00D20C76">
      <w:pPr>
        <w:pStyle w:val="PlainText"/>
        <w:ind w:left="360"/>
        <w:jc w:val="both"/>
        <w:rPr>
          <w:rFonts w:asciiTheme="minorHAnsi" w:hAnsiTheme="minorHAnsi" w:cstheme="minorHAnsi"/>
          <w:lang w:val="en-GB"/>
        </w:rPr>
      </w:pPr>
      <w:r w:rsidRPr="00B638D0">
        <w:rPr>
          <w:rFonts w:asciiTheme="minorHAnsi" w:hAnsiTheme="minorHAnsi" w:cstheme="minorHAnsi"/>
          <w:lang w:val="en-GB"/>
        </w:rPr>
        <w:t>To avoid reporting firms having to re-submit a large number of transactions executed on the primary or on the grey markets, ESMA should consider (</w:t>
      </w:r>
      <w:proofErr w:type="spellStart"/>
      <w:r w:rsidRPr="00B638D0">
        <w:rPr>
          <w:rFonts w:asciiTheme="minorHAnsi" w:hAnsiTheme="minorHAnsi" w:cstheme="minorHAnsi"/>
          <w:lang w:val="en-GB"/>
        </w:rPr>
        <w:t>i</w:t>
      </w:r>
      <w:proofErr w:type="spellEnd"/>
      <w:r w:rsidRPr="00B638D0">
        <w:rPr>
          <w:rFonts w:asciiTheme="minorHAnsi" w:hAnsiTheme="minorHAnsi" w:cstheme="minorHAnsi"/>
          <w:lang w:val="en-GB"/>
        </w:rPr>
        <w:t>) enabling firms to replace the missing static data with their internal data, (ii) accepting these reports and letting NCAs liaise directly with firms should they have questions on specific transactions or (iii) allowing firms to report late in these circumstances.</w:t>
      </w:r>
    </w:p>
    <w:p w:rsidR="00D20C76" w:rsidRPr="00B638D0" w:rsidRDefault="00D20C76" w:rsidP="00D20C76">
      <w:pPr>
        <w:pStyle w:val="PlainText"/>
        <w:jc w:val="both"/>
        <w:rPr>
          <w:rFonts w:asciiTheme="minorHAnsi" w:hAnsiTheme="minorHAnsi" w:cstheme="minorHAnsi"/>
          <w:lang w:val="en-GB"/>
        </w:rPr>
      </w:pPr>
    </w:p>
    <w:p w:rsidR="00D20C76" w:rsidRPr="00B638D0" w:rsidRDefault="00D20C76" w:rsidP="00E077AE">
      <w:pPr>
        <w:pStyle w:val="PlainText"/>
        <w:numPr>
          <w:ilvl w:val="0"/>
          <w:numId w:val="29"/>
        </w:numPr>
        <w:jc w:val="both"/>
        <w:rPr>
          <w:rFonts w:asciiTheme="minorHAnsi" w:hAnsiTheme="minorHAnsi" w:cstheme="minorHAnsi"/>
          <w:lang w:val="en-GB"/>
        </w:rPr>
      </w:pPr>
      <w:r w:rsidRPr="00B638D0">
        <w:rPr>
          <w:rFonts w:asciiTheme="minorHAnsi" w:hAnsiTheme="minorHAnsi" w:cstheme="minorHAnsi"/>
          <w:u w:val="single"/>
          <w:lang w:val="en-GB"/>
        </w:rPr>
        <w:t>Exclusion of Security Financing Transactions</w:t>
      </w:r>
      <w:r w:rsidRPr="00B638D0">
        <w:rPr>
          <w:rFonts w:asciiTheme="minorHAnsi" w:hAnsiTheme="minorHAnsi" w:cstheme="minorHAnsi"/>
          <w:lang w:val="en-GB"/>
        </w:rPr>
        <w:t>: We welcome this clarification but want to make sure that all securities financing transactions (SFTs) reporting requirements will arise solely from the SFT Regulation and that investment firms will not be requested to report any SFT even in an interim period. Indeed:</w:t>
      </w:r>
    </w:p>
    <w:p w:rsidR="00D20C76" w:rsidRPr="00B638D0" w:rsidRDefault="00D20C76" w:rsidP="00E077AE">
      <w:pPr>
        <w:pStyle w:val="PlainText"/>
        <w:numPr>
          <w:ilvl w:val="1"/>
          <w:numId w:val="29"/>
        </w:numPr>
        <w:jc w:val="both"/>
        <w:rPr>
          <w:rFonts w:asciiTheme="minorHAnsi" w:hAnsiTheme="minorHAnsi" w:cstheme="minorHAnsi"/>
          <w:lang w:val="en-GB"/>
        </w:rPr>
      </w:pPr>
      <w:r w:rsidRPr="00B638D0">
        <w:rPr>
          <w:rFonts w:asciiTheme="minorHAnsi" w:hAnsiTheme="minorHAnsi" w:cstheme="minorHAnsi"/>
          <w:lang w:val="en-GB"/>
        </w:rPr>
        <w:t>One of the main objectives of the SFTR is to extend reporting requirements on all forms of SFTs. Furthermore, the regulation should enable to integrate in its scope any future form of SFT;</w:t>
      </w:r>
    </w:p>
    <w:p w:rsidR="00D20C76" w:rsidRPr="00B638D0" w:rsidRDefault="00D20C76" w:rsidP="00E077AE">
      <w:pPr>
        <w:pStyle w:val="PlainText"/>
        <w:numPr>
          <w:ilvl w:val="1"/>
          <w:numId w:val="29"/>
        </w:numPr>
        <w:jc w:val="both"/>
        <w:rPr>
          <w:rFonts w:asciiTheme="minorHAnsi" w:hAnsiTheme="minorHAnsi" w:cstheme="minorHAnsi"/>
          <w:lang w:val="en-GB"/>
        </w:rPr>
      </w:pPr>
      <w:r w:rsidRPr="00B638D0">
        <w:rPr>
          <w:rFonts w:asciiTheme="minorHAnsi" w:hAnsiTheme="minorHAnsi" w:cstheme="minorHAnsi"/>
          <w:lang w:val="en-GB"/>
        </w:rPr>
        <w:t xml:space="preserve">It would thus be hard to understand that, should the SFTR not enter into force before </w:t>
      </w:r>
      <w:proofErr w:type="spellStart"/>
      <w:r w:rsidRPr="00B638D0">
        <w:rPr>
          <w:rFonts w:asciiTheme="minorHAnsi" w:hAnsiTheme="minorHAnsi" w:cstheme="minorHAnsi"/>
          <w:lang w:val="en-GB"/>
        </w:rPr>
        <w:t>MiFIR</w:t>
      </w:r>
      <w:proofErr w:type="spellEnd"/>
      <w:r w:rsidRPr="00B638D0">
        <w:rPr>
          <w:rFonts w:asciiTheme="minorHAnsi" w:hAnsiTheme="minorHAnsi" w:cstheme="minorHAnsi"/>
          <w:lang w:val="en-GB"/>
        </w:rPr>
        <w:t xml:space="preserve">, investment firms are requested to report SFTs under </w:t>
      </w:r>
      <w:proofErr w:type="spellStart"/>
      <w:r w:rsidRPr="00B638D0">
        <w:rPr>
          <w:rFonts w:asciiTheme="minorHAnsi" w:hAnsiTheme="minorHAnsi" w:cstheme="minorHAnsi"/>
          <w:lang w:val="en-GB"/>
        </w:rPr>
        <w:t>MiFIR</w:t>
      </w:r>
      <w:proofErr w:type="spellEnd"/>
      <w:r w:rsidRPr="00B638D0">
        <w:rPr>
          <w:rFonts w:asciiTheme="minorHAnsi" w:hAnsiTheme="minorHAnsi" w:cstheme="minorHAnsi"/>
          <w:lang w:val="en-GB"/>
        </w:rPr>
        <w:t xml:space="preserve">. This would lead to inconsistencies between </w:t>
      </w:r>
      <w:proofErr w:type="spellStart"/>
      <w:r w:rsidRPr="00B638D0">
        <w:rPr>
          <w:rFonts w:asciiTheme="minorHAnsi" w:hAnsiTheme="minorHAnsi" w:cstheme="minorHAnsi"/>
          <w:lang w:val="en-GB"/>
        </w:rPr>
        <w:t>MiFIR</w:t>
      </w:r>
      <w:proofErr w:type="spellEnd"/>
      <w:r w:rsidRPr="00B638D0">
        <w:rPr>
          <w:rFonts w:asciiTheme="minorHAnsi" w:hAnsiTheme="minorHAnsi" w:cstheme="minorHAnsi"/>
          <w:lang w:val="en-GB"/>
        </w:rPr>
        <w:t xml:space="preserve"> and SFTR </w:t>
      </w:r>
      <w:proofErr w:type="spellStart"/>
      <w:r w:rsidRPr="00B638D0">
        <w:rPr>
          <w:rFonts w:asciiTheme="minorHAnsi" w:hAnsiTheme="minorHAnsi" w:cstheme="minorHAnsi"/>
          <w:lang w:val="en-GB"/>
        </w:rPr>
        <w:t>reportings</w:t>
      </w:r>
      <w:proofErr w:type="spellEnd"/>
      <w:r w:rsidRPr="00B638D0">
        <w:rPr>
          <w:rFonts w:asciiTheme="minorHAnsi" w:hAnsiTheme="minorHAnsi" w:cstheme="minorHAnsi"/>
          <w:lang w:val="en-GB"/>
        </w:rPr>
        <w:t xml:space="preserve"> and would incur unnecessary additional costs and burdens to investment firms and NCAs alike, with no proven added value. One would thus strongly question the cost/benefit of a temporary </w:t>
      </w:r>
      <w:proofErr w:type="spellStart"/>
      <w:r w:rsidRPr="00B638D0">
        <w:rPr>
          <w:rFonts w:asciiTheme="minorHAnsi" w:hAnsiTheme="minorHAnsi" w:cstheme="minorHAnsi"/>
          <w:lang w:val="en-GB"/>
        </w:rPr>
        <w:t>MiFIR</w:t>
      </w:r>
      <w:proofErr w:type="spellEnd"/>
      <w:r w:rsidRPr="00B638D0">
        <w:rPr>
          <w:rFonts w:asciiTheme="minorHAnsi" w:hAnsiTheme="minorHAnsi" w:cstheme="minorHAnsi"/>
          <w:lang w:val="en-GB"/>
        </w:rPr>
        <w:t xml:space="preserve"> reporting of SFTs.</w:t>
      </w:r>
    </w:p>
    <w:p w:rsidR="00D20C76" w:rsidRPr="00B638D0" w:rsidRDefault="00D20C76" w:rsidP="00D20C76">
      <w:pPr>
        <w:pStyle w:val="PlainText"/>
        <w:ind w:left="360"/>
        <w:jc w:val="both"/>
        <w:rPr>
          <w:rFonts w:asciiTheme="minorHAnsi" w:hAnsiTheme="minorHAnsi" w:cstheme="minorHAnsi"/>
          <w:lang w:val="en-GB"/>
        </w:rPr>
      </w:pPr>
    </w:p>
    <w:p w:rsidR="00D20C76" w:rsidRPr="00B638D0" w:rsidRDefault="00D20C76" w:rsidP="00E077AE">
      <w:pPr>
        <w:pStyle w:val="PlainText"/>
        <w:numPr>
          <w:ilvl w:val="0"/>
          <w:numId w:val="29"/>
        </w:numPr>
        <w:jc w:val="both"/>
        <w:rPr>
          <w:rFonts w:asciiTheme="minorHAnsi" w:hAnsiTheme="minorHAnsi" w:cstheme="minorHAnsi"/>
          <w:u w:val="single"/>
          <w:lang w:val="en-GB"/>
        </w:rPr>
      </w:pPr>
      <w:r w:rsidRPr="00B638D0">
        <w:rPr>
          <w:rFonts w:asciiTheme="minorHAnsi" w:hAnsiTheme="minorHAnsi" w:cstheme="minorHAnsi"/>
          <w:u w:val="single"/>
          <w:lang w:val="en-GB"/>
        </w:rPr>
        <w:t xml:space="preserve">Reporting of transactions between a firm acting as Systematic </w:t>
      </w:r>
      <w:proofErr w:type="spellStart"/>
      <w:r w:rsidRPr="00B638D0">
        <w:rPr>
          <w:rFonts w:asciiTheme="minorHAnsi" w:hAnsiTheme="minorHAnsi" w:cstheme="minorHAnsi"/>
          <w:u w:val="single"/>
          <w:lang w:val="en-GB"/>
        </w:rPr>
        <w:t>Internaliser</w:t>
      </w:r>
      <w:proofErr w:type="spellEnd"/>
      <w:r w:rsidRPr="00B638D0">
        <w:rPr>
          <w:rFonts w:asciiTheme="minorHAnsi" w:hAnsiTheme="minorHAnsi" w:cstheme="minorHAnsi"/>
          <w:u w:val="single"/>
          <w:lang w:val="en-GB"/>
        </w:rPr>
        <w:t xml:space="preserve"> (SI) and the same firm acting on a riskless principal basis</w:t>
      </w:r>
      <w:r w:rsidRPr="00B638D0">
        <w:rPr>
          <w:rFonts w:asciiTheme="minorHAnsi" w:hAnsiTheme="minorHAnsi" w:cstheme="minorHAnsi"/>
          <w:lang w:val="en-GB"/>
        </w:rPr>
        <w:t xml:space="preserve">: Whilst there is no ambiguity on the necessity to report transactions between a SI and the same firm acting on an </w:t>
      </w:r>
      <w:r w:rsidRPr="00B638D0">
        <w:rPr>
          <w:rFonts w:asciiTheme="minorHAnsi" w:hAnsiTheme="minorHAnsi" w:cstheme="minorHAnsi"/>
          <w:u w:val="single"/>
          <w:lang w:val="en-GB"/>
        </w:rPr>
        <w:t>agency basis</w:t>
      </w:r>
      <w:r w:rsidRPr="00B638D0">
        <w:rPr>
          <w:rFonts w:asciiTheme="minorHAnsi" w:hAnsiTheme="minorHAnsi" w:cstheme="minorHAnsi"/>
          <w:lang w:val="en-GB"/>
        </w:rPr>
        <w:t xml:space="preserve">, we would like clarity on whether transactions between a SI and the same firm acting on a </w:t>
      </w:r>
      <w:r w:rsidRPr="00B638D0">
        <w:rPr>
          <w:rFonts w:asciiTheme="minorHAnsi" w:hAnsiTheme="minorHAnsi" w:cstheme="minorHAnsi"/>
          <w:u w:val="single"/>
          <w:lang w:val="en-GB"/>
        </w:rPr>
        <w:t>riskless principal basis</w:t>
      </w:r>
      <w:r w:rsidRPr="00B638D0">
        <w:rPr>
          <w:rFonts w:asciiTheme="minorHAnsi" w:hAnsiTheme="minorHAnsi" w:cstheme="minorHAnsi"/>
          <w:lang w:val="en-GB"/>
        </w:rPr>
        <w:t xml:space="preserve"> are required to be reported.</w:t>
      </w:r>
    </w:p>
    <w:p w:rsidR="00D20C76" w:rsidRPr="00B638D0" w:rsidRDefault="00D20C76" w:rsidP="00D20C76">
      <w:pPr>
        <w:pStyle w:val="PlainText"/>
        <w:ind w:left="360"/>
        <w:jc w:val="both"/>
        <w:rPr>
          <w:rFonts w:asciiTheme="minorHAnsi" w:hAnsiTheme="minorHAnsi" w:cstheme="minorHAnsi"/>
          <w:u w:val="single"/>
          <w:lang w:val="en-GB"/>
        </w:rPr>
      </w:pPr>
    </w:p>
    <w:p w:rsidR="00D20C76" w:rsidRPr="00B638D0" w:rsidRDefault="00D20C76" w:rsidP="00E077AE">
      <w:pPr>
        <w:pStyle w:val="PlainText"/>
        <w:numPr>
          <w:ilvl w:val="0"/>
          <w:numId w:val="29"/>
        </w:numPr>
        <w:jc w:val="both"/>
        <w:rPr>
          <w:rFonts w:asciiTheme="minorHAnsi" w:hAnsiTheme="minorHAnsi" w:cstheme="minorHAnsi"/>
          <w:lang w:val="en-GB"/>
        </w:rPr>
      </w:pPr>
      <w:r w:rsidRPr="00B638D0">
        <w:rPr>
          <w:rFonts w:asciiTheme="minorHAnsi" w:hAnsiTheme="minorHAnsi" w:cstheme="minorHAnsi"/>
          <w:u w:val="single"/>
          <w:lang w:val="en-GB"/>
        </w:rPr>
        <w:lastRenderedPageBreak/>
        <w:t>Reporting of options exercise</w:t>
      </w:r>
      <w:r w:rsidRPr="00B638D0">
        <w:rPr>
          <w:rFonts w:asciiTheme="minorHAnsi" w:hAnsiTheme="minorHAnsi" w:cstheme="minorHAnsi"/>
          <w:lang w:val="en-GB"/>
        </w:rPr>
        <w:t>: We would like to stress that the reporting of exercises of OTC options and more precisely of EMSA’s request to flag exercises may prove very complex to implement. We thus suggest that firms should have the ability to report options exercises independently from the options they relate to.</w:t>
      </w:r>
    </w:p>
    <w:p w:rsidR="00D20C76" w:rsidRPr="00B638D0" w:rsidRDefault="00D20C76" w:rsidP="00D20C76">
      <w:pPr>
        <w:pStyle w:val="PlainText"/>
        <w:jc w:val="both"/>
        <w:rPr>
          <w:rFonts w:asciiTheme="minorHAnsi" w:hAnsiTheme="minorHAnsi" w:cstheme="minorHAnsi"/>
          <w:lang w:val="en-GB"/>
        </w:rPr>
      </w:pPr>
    </w:p>
    <w:p w:rsidR="00065727" w:rsidRPr="00B638D0" w:rsidRDefault="00D20C76" w:rsidP="00065727">
      <w:pPr>
        <w:pStyle w:val="PlainText"/>
        <w:jc w:val="both"/>
        <w:rPr>
          <w:rFonts w:asciiTheme="minorHAnsi" w:hAnsiTheme="minorHAnsi" w:cstheme="minorHAnsi"/>
          <w:lang w:val="en-GB"/>
        </w:rPr>
      </w:pPr>
      <w:r w:rsidRPr="00B638D0">
        <w:rPr>
          <w:rFonts w:asciiTheme="minorHAnsi" w:hAnsiTheme="minorHAnsi" w:cstheme="minorHAnsi"/>
          <w:lang w:val="en-GB"/>
        </w:rPr>
        <w:t>In addition, we would like to stress the necessity for reporting formats across regulations to be consistent in order to be able to report the same data (</w:t>
      </w:r>
      <w:r>
        <w:rPr>
          <w:rFonts w:asciiTheme="minorHAnsi" w:hAnsiTheme="minorHAnsi" w:cstheme="minorHAnsi"/>
          <w:lang w:val="en-GB"/>
        </w:rPr>
        <w:t>the same field) in the same way.</w:t>
      </w:r>
    </w:p>
    <w:permEnd w:id="223"/>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303D06" w:rsidRPr="00B638D0" w:rsidRDefault="00303D06" w:rsidP="00D20C76">
      <w:pPr>
        <w:pStyle w:val="PlainText"/>
        <w:jc w:val="both"/>
        <w:rPr>
          <w:rFonts w:asciiTheme="minorHAnsi" w:hAnsiTheme="minorHAnsi" w:cstheme="minorHAnsi"/>
          <w:lang w:val="en-GB"/>
        </w:rPr>
      </w:pPr>
      <w:permStart w:id="224" w:edGrp="everyone"/>
      <w:r w:rsidRPr="00B638D0">
        <w:rPr>
          <w:rFonts w:asciiTheme="minorHAnsi" w:hAnsiTheme="minorHAnsi" w:cstheme="minorHAnsi"/>
          <w:lang w:val="en-GB"/>
        </w:rPr>
        <w:t>Yes, we think that the definition of financial instruments eligible for Transaction Reporting should be restricted to those whose principal listing is on an EEA Trading Venue.</w:t>
      </w:r>
    </w:p>
    <w:p w:rsidR="00303D06" w:rsidRPr="00B638D0" w:rsidRDefault="00303D06" w:rsidP="00D20C76">
      <w:pPr>
        <w:pStyle w:val="PlainText"/>
        <w:jc w:val="both"/>
        <w:rPr>
          <w:rFonts w:asciiTheme="minorHAnsi" w:hAnsiTheme="minorHAnsi" w:cstheme="minorHAnsi"/>
          <w:lang w:val="en-GB"/>
        </w:rPr>
      </w:pPr>
    </w:p>
    <w:p w:rsidR="00303D06" w:rsidRPr="00B638D0" w:rsidRDefault="00303D06" w:rsidP="00D20C76">
      <w:pPr>
        <w:pStyle w:val="PlainText"/>
        <w:jc w:val="both"/>
        <w:rPr>
          <w:rFonts w:asciiTheme="minorHAnsi" w:hAnsiTheme="minorHAnsi" w:cstheme="minorHAnsi"/>
          <w:lang w:val="en-GB"/>
        </w:rPr>
      </w:pPr>
      <w:r w:rsidRPr="00B638D0">
        <w:rPr>
          <w:rFonts w:asciiTheme="minorHAnsi" w:hAnsiTheme="minorHAnsi" w:cstheme="minorHAnsi"/>
          <w:lang w:val="en-GB"/>
        </w:rPr>
        <w:t>Indeed, following the proposed definition, a transaction is reportable as long as it is executed on or has an underlying being a financial instrument tradable on an EEA Trading Venue.</w:t>
      </w:r>
    </w:p>
    <w:p w:rsidR="00303D06" w:rsidRPr="00B638D0" w:rsidRDefault="00303D06" w:rsidP="00D20C76">
      <w:pPr>
        <w:pStyle w:val="PlainText"/>
        <w:jc w:val="both"/>
        <w:rPr>
          <w:rFonts w:asciiTheme="minorHAnsi" w:hAnsiTheme="minorHAnsi" w:cstheme="minorHAnsi"/>
          <w:lang w:val="en-GB"/>
        </w:rPr>
      </w:pPr>
      <w:r w:rsidRPr="00B638D0">
        <w:rPr>
          <w:rFonts w:asciiTheme="minorHAnsi" w:hAnsiTheme="minorHAnsi" w:cstheme="minorHAnsi"/>
          <w:lang w:val="en-GB"/>
        </w:rPr>
        <w:t xml:space="preserve">Thus all transactions on non-EEA financial instruments (US or Asian stocks, etc.) which have a dual listing on an EEA Trading Venue must be reported, even if those transactions have no EEA nexus (e.g. transactions on US stocks executed on a US Exchange by the US Branch of an EEA investment firm using its membership). Such transactions are already reportable under </w:t>
      </w:r>
      <w:proofErr w:type="spellStart"/>
      <w:r w:rsidRPr="00B638D0">
        <w:rPr>
          <w:rFonts w:asciiTheme="minorHAnsi" w:hAnsiTheme="minorHAnsi" w:cstheme="minorHAnsi"/>
          <w:lang w:val="en-GB"/>
        </w:rPr>
        <w:t>MiFID</w:t>
      </w:r>
      <w:proofErr w:type="spellEnd"/>
      <w:r w:rsidRPr="00B638D0">
        <w:rPr>
          <w:rFonts w:asciiTheme="minorHAnsi" w:hAnsiTheme="minorHAnsi" w:cstheme="minorHAnsi"/>
          <w:lang w:val="en-GB"/>
        </w:rPr>
        <w:t>, yielding to large numbers of reported transactions with no European nexus. We would question what interest NCAs have in receiving these reports.</w:t>
      </w:r>
    </w:p>
    <w:p w:rsidR="00303D06" w:rsidRPr="00B638D0" w:rsidRDefault="00303D06" w:rsidP="00D20C76">
      <w:pPr>
        <w:pStyle w:val="PlainText"/>
        <w:jc w:val="both"/>
        <w:rPr>
          <w:rFonts w:asciiTheme="minorHAnsi" w:hAnsiTheme="minorHAnsi" w:cstheme="minorHAnsi"/>
          <w:lang w:val="en-GB"/>
        </w:rPr>
      </w:pPr>
    </w:p>
    <w:p w:rsidR="00303D06" w:rsidRPr="00B638D0" w:rsidRDefault="00303D06" w:rsidP="00D20C76">
      <w:pPr>
        <w:pStyle w:val="PlainText"/>
        <w:jc w:val="both"/>
        <w:rPr>
          <w:rFonts w:asciiTheme="minorHAnsi" w:hAnsiTheme="minorHAnsi" w:cstheme="minorHAnsi"/>
          <w:lang w:val="en-GB"/>
        </w:rPr>
      </w:pPr>
      <w:r w:rsidRPr="00B638D0">
        <w:rPr>
          <w:rFonts w:asciiTheme="minorHAnsi" w:hAnsiTheme="minorHAnsi" w:cstheme="minorHAnsi"/>
          <w:lang w:val="en-GB"/>
        </w:rPr>
        <w:t>With the extension of the perimeter of eligible financial instruments to all EEA Trading Venues (and in particular to MTFs and OTFs), this unintended consequence of the definition of eligible transactions is likely to result in very large numbers of reported transactions of little use for NCAs.</w:t>
      </w:r>
    </w:p>
    <w:p w:rsidR="00303D06" w:rsidRPr="00B638D0" w:rsidRDefault="00303D06" w:rsidP="00D20C76">
      <w:pPr>
        <w:pStyle w:val="PlainText"/>
        <w:jc w:val="both"/>
        <w:rPr>
          <w:rFonts w:asciiTheme="minorHAnsi" w:hAnsiTheme="minorHAnsi" w:cstheme="minorHAnsi"/>
          <w:lang w:val="en-GB"/>
        </w:rPr>
      </w:pPr>
    </w:p>
    <w:p w:rsidR="00577C33" w:rsidRDefault="00303D06" w:rsidP="00EC2C93">
      <w:pPr>
        <w:keepNext/>
      </w:pPr>
      <w:r w:rsidRPr="00B638D0">
        <w:rPr>
          <w:rFonts w:cstheme="minorHAnsi"/>
        </w:rPr>
        <w:t>We thus strongly recommend that ESMA restricts the definition of eligible financial instruments to those whose principal listing is on an EEA Trading Venue. If the purpose of transaction reporting is to enable NCAs to investigate market abuses, one can argue that NCAs should be primarily concerned in those securities where the primary listing is within their jurisdiction</w:t>
      </w:r>
      <w:permEnd w:id="224"/>
      <w:r w:rsidR="00577C33">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303D06" w:rsidRPr="00B638D0" w:rsidRDefault="00303D06" w:rsidP="00303D06">
      <w:pPr>
        <w:pStyle w:val="PlainText"/>
        <w:jc w:val="both"/>
        <w:rPr>
          <w:rFonts w:asciiTheme="minorHAnsi" w:hAnsiTheme="minorHAnsi" w:cstheme="minorHAnsi"/>
          <w:lang w:val="en-GB"/>
        </w:rPr>
      </w:pPr>
      <w:permStart w:id="225" w:edGrp="everyone"/>
      <w:r w:rsidRPr="00B638D0">
        <w:rPr>
          <w:rFonts w:asciiTheme="minorHAnsi" w:hAnsiTheme="minorHAnsi" w:cstheme="minorHAnsi"/>
          <w:lang w:val="en-GB"/>
        </w:rPr>
        <w:t>No, nevertheless for the detection of obvious errors when receiving information from the transmitting firm, receiving firms should be left with a margin of interpretation on what constitutes an obvious error and which controls should be implemented.</w:t>
      </w:r>
    </w:p>
    <w:permEnd w:id="225"/>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303D06" w:rsidRPr="00B638D0" w:rsidRDefault="00303D06" w:rsidP="00303D06">
      <w:pPr>
        <w:pStyle w:val="PlainText"/>
        <w:jc w:val="both"/>
        <w:rPr>
          <w:rFonts w:asciiTheme="minorHAnsi" w:hAnsiTheme="minorHAnsi" w:cstheme="minorHAnsi"/>
          <w:lang w:val="en-GB"/>
        </w:rPr>
      </w:pPr>
      <w:permStart w:id="226" w:edGrp="everyone"/>
      <w:r w:rsidRPr="00B638D0">
        <w:rPr>
          <w:rFonts w:asciiTheme="minorHAnsi" w:hAnsiTheme="minorHAnsi" w:cstheme="minorHAnsi"/>
          <w:lang w:val="en-GB"/>
        </w:rPr>
        <w:t>Yes but it incurs additional costs for investment firms as this is a change in fields that firms should report i.e. not a change of the logic of buying and selling. However, it should not have a significant impact.</w:t>
      </w:r>
    </w:p>
    <w:permEnd w:id="226"/>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lastRenderedPageBreak/>
        <w:t>&lt;ESMA_QUESTION_CP_MIFID_218&gt;</w:t>
      </w:r>
    </w:p>
    <w:p w:rsidR="00303D06" w:rsidRPr="00B638D0" w:rsidRDefault="00303D06" w:rsidP="00303D06">
      <w:pPr>
        <w:pStyle w:val="PlainText"/>
        <w:jc w:val="both"/>
        <w:rPr>
          <w:rFonts w:asciiTheme="minorHAnsi" w:hAnsiTheme="minorHAnsi" w:cstheme="minorHAnsi"/>
          <w:u w:val="single"/>
          <w:lang w:val="en-GB"/>
        </w:rPr>
      </w:pPr>
      <w:permStart w:id="227" w:edGrp="everyone"/>
      <w:r w:rsidRPr="00B638D0">
        <w:rPr>
          <w:rFonts w:asciiTheme="minorHAnsi" w:hAnsiTheme="minorHAnsi" w:cstheme="minorHAnsi"/>
          <w:u w:val="single"/>
          <w:lang w:val="en-GB"/>
        </w:rPr>
        <w:t>Fields 5, 6, 13, 14, 20, 21, 28, 29, 36 to 39, 68, 69, 71 and 72: Natural Persons Identification:</w:t>
      </w:r>
    </w:p>
    <w:p w:rsidR="00303D06" w:rsidRPr="00B638D0" w:rsidRDefault="00303D06" w:rsidP="00303D06">
      <w:pPr>
        <w:pStyle w:val="PlainText"/>
        <w:jc w:val="both"/>
        <w:rPr>
          <w:rFonts w:asciiTheme="minorHAnsi" w:hAnsiTheme="minorHAnsi" w:cstheme="minorHAnsi"/>
          <w:lang w:val="en-GB"/>
        </w:rPr>
      </w:pPr>
      <w:r w:rsidRPr="00B638D0">
        <w:rPr>
          <w:rFonts w:asciiTheme="minorHAnsi" w:hAnsiTheme="minorHAnsi" w:cstheme="minorHAnsi"/>
          <w:lang w:val="en-GB"/>
        </w:rPr>
        <w:t>We would like to stress the following points:</w:t>
      </w:r>
    </w:p>
    <w:p w:rsidR="00303D06" w:rsidRPr="00B638D0" w:rsidRDefault="00303D06" w:rsidP="00303D06">
      <w:pPr>
        <w:pStyle w:val="PlainText"/>
        <w:jc w:val="both"/>
        <w:rPr>
          <w:rFonts w:asciiTheme="minorHAnsi" w:hAnsiTheme="minorHAnsi" w:cstheme="minorHAnsi"/>
          <w:lang w:val="en-GB"/>
        </w:rPr>
      </w:pPr>
    </w:p>
    <w:p w:rsidR="00303D06" w:rsidRPr="00B638D0" w:rsidRDefault="00303D06" w:rsidP="00E077AE">
      <w:pPr>
        <w:pStyle w:val="PlainText"/>
        <w:numPr>
          <w:ilvl w:val="0"/>
          <w:numId w:val="30"/>
        </w:numPr>
        <w:jc w:val="both"/>
        <w:rPr>
          <w:rFonts w:asciiTheme="minorHAnsi" w:hAnsiTheme="minorHAnsi" w:cstheme="minorHAnsi"/>
          <w:lang w:val="en-GB"/>
        </w:rPr>
      </w:pPr>
      <w:r w:rsidRPr="00B638D0">
        <w:rPr>
          <w:rFonts w:asciiTheme="minorHAnsi" w:hAnsiTheme="minorHAnsi" w:cstheme="minorHAnsi"/>
          <w:lang w:val="en-GB"/>
        </w:rPr>
        <w:t>For countries choosing to identify natural persons in priority via National Passport Number or the National Identity Card, this will incur a lot of complexity for investment firms having retail banking activities in those countries as typically such ID numbers are kept manually in clients’ files and not stored in banks IT systems. The obligation to convey these client IDs in orders will incur sizeable and complex IT and organizational investments, as many systems will have to be amended to accommodate this data and convey it across the whole order transmittal and execution chain. This will be further compounded by the fact that these ID numbers change over time.</w:t>
      </w:r>
    </w:p>
    <w:p w:rsidR="00303D06" w:rsidRPr="00B638D0" w:rsidRDefault="00303D06" w:rsidP="00303D06">
      <w:pPr>
        <w:pStyle w:val="PlainText"/>
        <w:jc w:val="both"/>
        <w:rPr>
          <w:rFonts w:asciiTheme="minorHAnsi" w:hAnsiTheme="minorHAnsi" w:cstheme="minorHAnsi"/>
          <w:lang w:val="en-GB"/>
        </w:rPr>
      </w:pPr>
    </w:p>
    <w:p w:rsidR="00303D06" w:rsidRPr="00B638D0" w:rsidRDefault="00303D06" w:rsidP="00303D06">
      <w:pPr>
        <w:pStyle w:val="PlainText"/>
        <w:ind w:left="360"/>
        <w:jc w:val="both"/>
        <w:rPr>
          <w:rFonts w:asciiTheme="minorHAnsi" w:hAnsiTheme="minorHAnsi" w:cstheme="minorHAnsi"/>
          <w:lang w:val="en-GB"/>
        </w:rPr>
      </w:pPr>
      <w:r w:rsidRPr="00B638D0">
        <w:rPr>
          <w:rFonts w:asciiTheme="minorHAnsi" w:hAnsiTheme="minorHAnsi" w:cstheme="minorHAnsi"/>
          <w:lang w:val="en-GB"/>
        </w:rPr>
        <w:t>For these reasons, we propose that the implementation of this requirement should be phased in over time: at inception (in January 2017), client identification would be requested for all new clients being nationals/residents of the country of incorporation of the investment firm; one year later this obligation would be extended to all existing nationals/residents of that country; in January 2019, it would be extended to all nationals/residents of EEA countries.</w:t>
      </w:r>
    </w:p>
    <w:p w:rsidR="00303D06" w:rsidRPr="00B638D0" w:rsidRDefault="00303D06" w:rsidP="00303D06">
      <w:pPr>
        <w:pStyle w:val="PlainText"/>
        <w:ind w:left="360"/>
        <w:jc w:val="both"/>
        <w:rPr>
          <w:rFonts w:asciiTheme="minorHAnsi" w:hAnsiTheme="minorHAnsi" w:cstheme="minorHAnsi"/>
          <w:lang w:val="en-GB"/>
        </w:rPr>
      </w:pPr>
    </w:p>
    <w:p w:rsidR="00303D06" w:rsidRPr="00B638D0" w:rsidRDefault="00303D06" w:rsidP="00E077AE">
      <w:pPr>
        <w:pStyle w:val="PlainText"/>
        <w:numPr>
          <w:ilvl w:val="0"/>
          <w:numId w:val="30"/>
        </w:numPr>
        <w:jc w:val="both"/>
        <w:rPr>
          <w:rFonts w:asciiTheme="minorHAnsi" w:hAnsiTheme="minorHAnsi" w:cstheme="minorHAnsi"/>
          <w:lang w:val="en-GB"/>
        </w:rPr>
      </w:pPr>
      <w:r w:rsidRPr="00B638D0">
        <w:rPr>
          <w:rFonts w:ascii="Calibri" w:hAnsi="Calibri" w:cs="Calibri"/>
          <w:lang w:val="en-GB"/>
        </w:rPr>
        <w:t>The problem of banking secrecy pertaining to trades executed for the account of non-EEA clients, with non-EEA counterparties or outside of the EU remains unresolved i.e. we generally need to get client’s or counterparty’s prior approval for reporting their id on such transactions.</w:t>
      </w:r>
    </w:p>
    <w:p w:rsidR="00303D06" w:rsidRPr="00B638D0" w:rsidRDefault="00303D06" w:rsidP="00303D06">
      <w:pPr>
        <w:pStyle w:val="PlainText"/>
        <w:jc w:val="both"/>
        <w:rPr>
          <w:rFonts w:asciiTheme="minorHAnsi" w:hAnsiTheme="minorHAnsi" w:cstheme="minorHAnsi"/>
          <w:lang w:val="en-GB"/>
        </w:rPr>
      </w:pPr>
    </w:p>
    <w:p w:rsidR="00303D06" w:rsidRPr="00B638D0" w:rsidRDefault="00303D06" w:rsidP="00303D06">
      <w:pPr>
        <w:pStyle w:val="PlainText"/>
        <w:jc w:val="both"/>
        <w:rPr>
          <w:rFonts w:asciiTheme="minorHAnsi" w:hAnsiTheme="minorHAnsi" w:cstheme="minorHAnsi"/>
          <w:lang w:val="en-GB"/>
        </w:rPr>
      </w:pPr>
      <w:r w:rsidRPr="00B638D0">
        <w:rPr>
          <w:rFonts w:asciiTheme="minorHAnsi" w:hAnsiTheme="minorHAnsi" w:cstheme="minorHAnsi"/>
          <w:u w:val="single"/>
          <w:lang w:val="en-GB"/>
        </w:rPr>
        <w:t>Field 77: Short Selling Indicator</w:t>
      </w:r>
      <w:r w:rsidRPr="00B638D0">
        <w:rPr>
          <w:rFonts w:asciiTheme="minorHAnsi" w:hAnsiTheme="minorHAnsi" w:cstheme="minorHAnsi"/>
          <w:lang w:val="en-GB"/>
        </w:rPr>
        <w:t>:</w:t>
      </w:r>
    </w:p>
    <w:p w:rsidR="00303D06" w:rsidRPr="00B638D0" w:rsidRDefault="00303D06" w:rsidP="00303D06">
      <w:pPr>
        <w:pStyle w:val="PlainText"/>
        <w:jc w:val="both"/>
        <w:rPr>
          <w:rFonts w:asciiTheme="minorHAnsi" w:hAnsiTheme="minorHAnsi" w:cstheme="minorHAnsi"/>
          <w:lang w:val="en-GB"/>
        </w:rPr>
      </w:pPr>
      <w:r w:rsidRPr="00B638D0">
        <w:rPr>
          <w:rFonts w:asciiTheme="minorHAnsi" w:hAnsiTheme="minorHAnsi" w:cstheme="minorHAnsi"/>
          <w:lang w:val="en-GB"/>
        </w:rPr>
        <w:t xml:space="preserve">We strongly challenge the reference made to Regulation (EU) 236/2012 as the purpose of the Short Selling Indicator in relation to Transaction Reporting is totally different. Indeed, Regulation (EU) 236/2012 requires the reporting of short selling positions, as well as aiming to prevent short selling under certain circumstances, at investment firm level, while </w:t>
      </w:r>
      <w:proofErr w:type="spellStart"/>
      <w:r w:rsidRPr="00B638D0">
        <w:rPr>
          <w:rFonts w:asciiTheme="minorHAnsi" w:hAnsiTheme="minorHAnsi" w:cstheme="minorHAnsi"/>
          <w:lang w:val="en-GB"/>
        </w:rPr>
        <w:t>MiFIR</w:t>
      </w:r>
      <w:proofErr w:type="spellEnd"/>
      <w:r w:rsidRPr="00B638D0">
        <w:rPr>
          <w:rFonts w:asciiTheme="minorHAnsi" w:hAnsiTheme="minorHAnsi" w:cstheme="minorHAnsi"/>
          <w:lang w:val="en-GB"/>
        </w:rPr>
        <w:t xml:space="preserve"> Short Selling Indicator aims at reporting short sell orders at client level. We are fully aware that this consideration pertains to the level 1 but we strongly believe that ESMA should challenge this point with the European bodies and advocate a removal of any reference to Regulation (EU) 236/2012.</w:t>
      </w:r>
    </w:p>
    <w:p w:rsidR="00303D06" w:rsidRPr="00B638D0" w:rsidRDefault="00303D06" w:rsidP="00303D06">
      <w:pPr>
        <w:pStyle w:val="PlainText"/>
        <w:jc w:val="both"/>
        <w:rPr>
          <w:rFonts w:asciiTheme="minorHAnsi" w:hAnsiTheme="minorHAnsi" w:cstheme="minorHAnsi"/>
          <w:lang w:val="en-GB"/>
        </w:rPr>
      </w:pPr>
    </w:p>
    <w:p w:rsidR="00303D06" w:rsidRPr="00B638D0" w:rsidRDefault="00303D06" w:rsidP="00303D06">
      <w:pPr>
        <w:pStyle w:val="PlainText"/>
        <w:jc w:val="both"/>
        <w:rPr>
          <w:rFonts w:asciiTheme="minorHAnsi" w:hAnsiTheme="minorHAnsi" w:cstheme="minorHAnsi"/>
          <w:lang w:val="en-GB"/>
        </w:rPr>
      </w:pPr>
      <w:r w:rsidRPr="00B638D0">
        <w:rPr>
          <w:rFonts w:asciiTheme="minorHAnsi" w:hAnsiTheme="minorHAnsi" w:cstheme="minorHAnsi"/>
          <w:lang w:val="en-GB"/>
        </w:rPr>
        <w:t>Focusing on the Transaction Reporting, while we agree with the principles put forward by ESMA for the population of the Short Selling Indicator for clients’ orders, we firmly believe that for investment firms’ orders, in order for NCAs to get meaningful information, the assessment of the short selling should be made at trader’s level, not at legal entity level. Indeed, as the Transaction Reporting is viewed by regulators as a privileged tool to enable them to detect possible market abuse, short sell information relating to the trader’s book seems much more relevant for that purpose than information relating to the whole firm position. Conversely, demanding firms to compute the Short Selling Indicator at legal entity level is likely to increase dramatically development costs for firms with no guarantee over results accuracy.</w:t>
      </w:r>
    </w:p>
    <w:p w:rsidR="00303D06" w:rsidRPr="00B638D0" w:rsidRDefault="00303D06" w:rsidP="00303D06">
      <w:pPr>
        <w:pStyle w:val="PlainText"/>
        <w:jc w:val="both"/>
        <w:rPr>
          <w:rFonts w:asciiTheme="minorHAnsi" w:hAnsiTheme="minorHAnsi" w:cstheme="minorHAnsi"/>
          <w:lang w:val="en-GB"/>
        </w:rPr>
      </w:pPr>
    </w:p>
    <w:p w:rsidR="00303D06" w:rsidRPr="00B638D0" w:rsidRDefault="00303D06" w:rsidP="00303D06">
      <w:pPr>
        <w:pStyle w:val="PlainText"/>
        <w:jc w:val="both"/>
        <w:rPr>
          <w:rFonts w:asciiTheme="minorHAnsi" w:hAnsiTheme="minorHAnsi" w:cstheme="minorHAnsi"/>
          <w:lang w:val="en-GB"/>
        </w:rPr>
      </w:pPr>
      <w:r w:rsidRPr="00B638D0">
        <w:rPr>
          <w:rFonts w:asciiTheme="minorHAnsi" w:hAnsiTheme="minorHAnsi" w:cstheme="minorHAnsi"/>
          <w:u w:val="single"/>
          <w:lang w:val="en-GB"/>
        </w:rPr>
        <w:t>Field 80: Transaction Reference Number</w:t>
      </w:r>
      <w:r w:rsidRPr="00B638D0">
        <w:rPr>
          <w:rFonts w:asciiTheme="minorHAnsi" w:hAnsiTheme="minorHAnsi" w:cstheme="minorHAnsi"/>
          <w:lang w:val="en-GB"/>
        </w:rPr>
        <w:t>:</w:t>
      </w:r>
    </w:p>
    <w:p w:rsidR="00303D06" w:rsidRPr="00B638D0" w:rsidRDefault="00303D06" w:rsidP="00303D06">
      <w:pPr>
        <w:pStyle w:val="PlainText"/>
        <w:jc w:val="both"/>
        <w:rPr>
          <w:rFonts w:asciiTheme="minorHAnsi" w:hAnsiTheme="minorHAnsi" w:cstheme="minorHAnsi"/>
          <w:lang w:val="en-GB"/>
        </w:rPr>
      </w:pPr>
      <w:r w:rsidRPr="00B638D0">
        <w:rPr>
          <w:rFonts w:asciiTheme="minorHAnsi" w:hAnsiTheme="minorHAnsi" w:cstheme="minorHAnsi"/>
          <w:lang w:val="en-GB"/>
        </w:rPr>
        <w:t xml:space="preserve">We respectfully ask ESMA to reconsider the introduction of a Report Matching Number, which would be completed only for transactions executed on a trading venue (i.e. market facing transactions). </w:t>
      </w:r>
    </w:p>
    <w:p w:rsidR="00303D06" w:rsidRPr="00B638D0" w:rsidRDefault="00303D06" w:rsidP="00303D06">
      <w:pPr>
        <w:pStyle w:val="PlainText"/>
        <w:jc w:val="both"/>
        <w:rPr>
          <w:rFonts w:asciiTheme="minorHAnsi" w:hAnsiTheme="minorHAnsi" w:cstheme="minorHAnsi"/>
          <w:lang w:val="en-GB"/>
        </w:rPr>
      </w:pPr>
    </w:p>
    <w:p w:rsidR="00303D06" w:rsidRPr="00B638D0" w:rsidRDefault="00303D06" w:rsidP="00303D06">
      <w:pPr>
        <w:pStyle w:val="PlainText"/>
        <w:jc w:val="both"/>
        <w:rPr>
          <w:rFonts w:asciiTheme="minorHAnsi" w:hAnsiTheme="minorHAnsi" w:cstheme="minorHAnsi"/>
          <w:lang w:val="en-GB"/>
        </w:rPr>
      </w:pPr>
      <w:r w:rsidRPr="00B638D0">
        <w:rPr>
          <w:rFonts w:asciiTheme="minorHAnsi" w:hAnsiTheme="minorHAnsi" w:cstheme="minorHAnsi"/>
          <w:lang w:val="en-GB"/>
        </w:rPr>
        <w:t>This would enable firms to systematically populate the Transaction Reference Number with their own reference, and in turn facilitate the communication between NCAs and the investment firms they supervise in case of enquiries by NCAs on specific transactions.</w:t>
      </w:r>
    </w:p>
    <w:p w:rsidR="00303D06" w:rsidRPr="00B638D0" w:rsidRDefault="00303D06" w:rsidP="00303D06">
      <w:pPr>
        <w:pStyle w:val="PlainText"/>
        <w:jc w:val="both"/>
        <w:rPr>
          <w:rFonts w:asciiTheme="minorHAnsi" w:hAnsiTheme="minorHAnsi" w:cstheme="minorHAnsi"/>
          <w:lang w:val="en-GB"/>
        </w:rPr>
      </w:pPr>
    </w:p>
    <w:p w:rsidR="00303D06" w:rsidRPr="00B638D0" w:rsidRDefault="00303D06" w:rsidP="00303D06">
      <w:pPr>
        <w:pStyle w:val="PlainText"/>
        <w:jc w:val="both"/>
        <w:rPr>
          <w:rFonts w:asciiTheme="minorHAnsi" w:hAnsiTheme="minorHAnsi" w:cstheme="minorHAnsi"/>
          <w:lang w:val="en-GB"/>
        </w:rPr>
      </w:pPr>
      <w:r w:rsidRPr="00B638D0">
        <w:rPr>
          <w:rFonts w:asciiTheme="minorHAnsi" w:hAnsiTheme="minorHAnsi" w:cstheme="minorHAnsi"/>
          <w:lang w:val="en-GB"/>
        </w:rPr>
        <w:t>Otherwise, it will be much more difficult than today for investment firms and NCAs alike to correctly identify market transactions subject to NCAs’ enquiries.</w:t>
      </w:r>
    </w:p>
    <w:p w:rsidR="00303D06" w:rsidRPr="00B638D0" w:rsidRDefault="00303D06" w:rsidP="00303D06">
      <w:pPr>
        <w:pStyle w:val="PlainText"/>
        <w:jc w:val="both"/>
        <w:rPr>
          <w:rFonts w:asciiTheme="minorHAnsi" w:hAnsiTheme="minorHAnsi" w:cstheme="minorHAnsi"/>
          <w:lang w:val="en-GB"/>
        </w:rPr>
      </w:pPr>
    </w:p>
    <w:p w:rsidR="00303D06" w:rsidRPr="00B638D0" w:rsidRDefault="00303D06" w:rsidP="00303D06">
      <w:pPr>
        <w:pStyle w:val="PlainText"/>
        <w:jc w:val="both"/>
        <w:rPr>
          <w:rFonts w:asciiTheme="minorHAnsi" w:hAnsiTheme="minorHAnsi" w:cstheme="minorHAnsi"/>
          <w:lang w:val="en-GB"/>
        </w:rPr>
      </w:pPr>
      <w:r w:rsidRPr="00B638D0">
        <w:rPr>
          <w:rFonts w:asciiTheme="minorHAnsi" w:hAnsiTheme="minorHAnsi" w:cstheme="minorHAnsi"/>
          <w:u w:val="single"/>
          <w:lang w:val="en-GB"/>
        </w:rPr>
        <w:t>General Comment</w:t>
      </w:r>
      <w:r w:rsidRPr="00B638D0">
        <w:rPr>
          <w:rFonts w:asciiTheme="minorHAnsi" w:hAnsiTheme="minorHAnsi" w:cstheme="minorHAnsi"/>
          <w:lang w:val="en-GB"/>
        </w:rPr>
        <w:t>:</w:t>
      </w:r>
    </w:p>
    <w:p w:rsidR="00303D06" w:rsidRPr="00B638D0" w:rsidRDefault="00303D06" w:rsidP="00303D06">
      <w:pPr>
        <w:pStyle w:val="PlainText"/>
        <w:jc w:val="both"/>
        <w:rPr>
          <w:rFonts w:asciiTheme="minorHAnsi" w:hAnsiTheme="minorHAnsi" w:cstheme="minorHAnsi"/>
          <w:lang w:val="en-GB"/>
        </w:rPr>
      </w:pPr>
      <w:r w:rsidRPr="00B638D0">
        <w:rPr>
          <w:rFonts w:asciiTheme="minorHAnsi" w:hAnsiTheme="minorHAnsi" w:cstheme="minorHAnsi"/>
          <w:lang w:val="en-GB"/>
        </w:rPr>
        <w:lastRenderedPageBreak/>
        <w:t>We are unconvinced that the number of fields provided to report complex derivatives is sufficient. As this is a complex issue, ESMA should provide very precise guidelines on how the many kinds of complex derivatives should be reported, bearing in mind that in view of the variety, the complexity of those derivatives and the fact that the reporting will probably never entail the necessary level of details to exhaustively report the characteristics of any kind of complex derivative, ESMA will have to opt for sometimes imperfect reporting of at least transactions main characteristics. The industry would welcome a close dialogue with ESMA when elaborating on those detailed standards, so that those transactions are reported consistently to all involved NCAs, even if in some instances imperfectly. This is all the more necessary as it is likely to entail significant development costs at investment firm level.</w:t>
      </w:r>
    </w:p>
    <w:permEnd w:id="227"/>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303D06" w:rsidRPr="00B638D0" w:rsidRDefault="00303D06" w:rsidP="00303D06">
      <w:pPr>
        <w:pStyle w:val="PlainText"/>
        <w:jc w:val="both"/>
        <w:rPr>
          <w:rFonts w:asciiTheme="minorHAnsi" w:hAnsiTheme="minorHAnsi" w:cstheme="minorHAnsi"/>
          <w:lang w:val="en-GB"/>
        </w:rPr>
      </w:pPr>
      <w:permStart w:id="228" w:edGrp="everyone"/>
      <w:r w:rsidRPr="00B638D0">
        <w:rPr>
          <w:rFonts w:asciiTheme="minorHAnsi" w:hAnsiTheme="minorHAnsi" w:cstheme="minorHAnsi"/>
          <w:lang w:val="en-GB"/>
        </w:rPr>
        <w:t xml:space="preserve">No. ESMA proposes to introduce the “M – Matched principal” trading capacity, which will incur a significant complexity for firms. </w:t>
      </w:r>
    </w:p>
    <w:p w:rsidR="00303D06" w:rsidRPr="00B638D0" w:rsidRDefault="00303D06" w:rsidP="00303D06">
      <w:pPr>
        <w:pStyle w:val="PlainText"/>
        <w:jc w:val="both"/>
        <w:rPr>
          <w:rFonts w:asciiTheme="minorHAnsi" w:hAnsiTheme="minorHAnsi" w:cstheme="minorHAnsi"/>
          <w:lang w:val="en-GB"/>
        </w:rPr>
      </w:pPr>
    </w:p>
    <w:p w:rsidR="00303D06" w:rsidRPr="00B638D0" w:rsidRDefault="00303D06" w:rsidP="00303D06">
      <w:pPr>
        <w:pStyle w:val="PlainText"/>
        <w:jc w:val="both"/>
        <w:rPr>
          <w:rFonts w:asciiTheme="minorHAnsi" w:hAnsiTheme="minorHAnsi" w:cstheme="minorHAnsi"/>
          <w:lang w:val="en-GB"/>
        </w:rPr>
      </w:pPr>
      <w:r w:rsidRPr="00B638D0">
        <w:rPr>
          <w:rFonts w:asciiTheme="minorHAnsi" w:hAnsiTheme="minorHAnsi" w:cstheme="minorHAnsi"/>
          <w:lang w:val="en-GB"/>
        </w:rPr>
        <w:t>Under the existing set-up, investment firms have the ability to report riskless principal trading as two separate principal transactions, a “market leg” and an OTC “client leg” without linking them. The Matched principal trading capacity will oblige them to link the 2 “legs”, which will be complex and costly.</w:t>
      </w:r>
    </w:p>
    <w:p w:rsidR="00303D06" w:rsidRPr="00B638D0" w:rsidRDefault="00303D06" w:rsidP="00303D06">
      <w:pPr>
        <w:pStyle w:val="PlainText"/>
        <w:jc w:val="both"/>
        <w:rPr>
          <w:rFonts w:asciiTheme="minorHAnsi" w:hAnsiTheme="minorHAnsi" w:cstheme="minorHAnsi"/>
          <w:lang w:val="en-GB"/>
        </w:rPr>
      </w:pPr>
    </w:p>
    <w:p w:rsidR="00303D06" w:rsidRPr="00B638D0" w:rsidRDefault="00303D06" w:rsidP="00303D06">
      <w:pPr>
        <w:pStyle w:val="PlainText"/>
        <w:jc w:val="both"/>
        <w:rPr>
          <w:rFonts w:asciiTheme="minorHAnsi" w:hAnsiTheme="minorHAnsi" w:cstheme="minorHAnsi"/>
          <w:lang w:val="en-GB"/>
        </w:rPr>
      </w:pPr>
      <w:r w:rsidRPr="00B638D0">
        <w:rPr>
          <w:rFonts w:asciiTheme="minorHAnsi" w:hAnsiTheme="minorHAnsi" w:cstheme="minorHAnsi"/>
          <w:lang w:val="en-GB"/>
        </w:rPr>
        <w:t>Clarification is required on the “maintenance by trading venues” of the trading capacity flags. Does it mean that trading venues will have to convey the trading capacity flag to be input by investment firms on orders they send to the market down to the execution feedback?</w:t>
      </w:r>
    </w:p>
    <w:permEnd w:id="228"/>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t>&lt;ESMA_QUESTION_CP_MIFID_220&gt;</w:t>
      </w:r>
    </w:p>
    <w:p w:rsidR="00303D06" w:rsidRPr="00B638D0" w:rsidRDefault="00303D06" w:rsidP="00303D06">
      <w:pPr>
        <w:pStyle w:val="PlainText"/>
        <w:jc w:val="both"/>
        <w:rPr>
          <w:rFonts w:asciiTheme="minorHAnsi" w:hAnsiTheme="minorHAnsi" w:cstheme="minorHAnsi"/>
          <w:lang w:val="en-GB"/>
        </w:rPr>
      </w:pPr>
      <w:permStart w:id="229" w:edGrp="everyone"/>
      <w:r w:rsidRPr="00B638D0">
        <w:rPr>
          <w:rFonts w:asciiTheme="minorHAnsi" w:hAnsiTheme="minorHAnsi" w:cstheme="minorHAnsi"/>
          <w:lang w:val="en-GB"/>
        </w:rPr>
        <w:t xml:space="preserve">No, as long as trading venues convey them. The pre-trade transparency waivers being defined by </w:t>
      </w:r>
      <w:proofErr w:type="spellStart"/>
      <w:r w:rsidRPr="00B638D0">
        <w:rPr>
          <w:rFonts w:asciiTheme="minorHAnsi" w:hAnsiTheme="minorHAnsi" w:cstheme="minorHAnsi"/>
          <w:lang w:val="en-GB"/>
        </w:rPr>
        <w:t>MiFIR</w:t>
      </w:r>
      <w:proofErr w:type="spellEnd"/>
      <w:r w:rsidRPr="00B638D0">
        <w:rPr>
          <w:rFonts w:asciiTheme="minorHAnsi" w:hAnsiTheme="minorHAnsi" w:cstheme="minorHAnsi"/>
          <w:lang w:val="en-GB"/>
        </w:rPr>
        <w:t>, we understand that the eventual waiver applicable to a given transaction must be reported solely for transactions executed on EEA trading venues. Indeed:</w:t>
      </w:r>
    </w:p>
    <w:p w:rsidR="00303D06" w:rsidRPr="00B638D0" w:rsidRDefault="00303D06" w:rsidP="00E077AE">
      <w:pPr>
        <w:pStyle w:val="PlainText"/>
        <w:numPr>
          <w:ilvl w:val="0"/>
          <w:numId w:val="31"/>
        </w:numPr>
        <w:jc w:val="both"/>
        <w:rPr>
          <w:rFonts w:asciiTheme="minorHAnsi" w:hAnsiTheme="minorHAnsi" w:cstheme="minorHAnsi"/>
          <w:lang w:val="en-GB"/>
        </w:rPr>
      </w:pPr>
      <w:r w:rsidRPr="00B638D0">
        <w:rPr>
          <w:rFonts w:asciiTheme="minorHAnsi" w:hAnsiTheme="minorHAnsi" w:cstheme="minorHAnsi"/>
          <w:lang w:val="en-GB"/>
        </w:rPr>
        <w:t>There is no evidence that trading venues outside the EEA propose the same pre-trade transparency waivers. It would t</w:t>
      </w:r>
      <w:r>
        <w:rPr>
          <w:rFonts w:asciiTheme="minorHAnsi" w:hAnsiTheme="minorHAnsi" w:cstheme="minorHAnsi"/>
          <w:lang w:val="en-GB"/>
        </w:rPr>
        <w:t>hus not make sense for a non-EE</w:t>
      </w:r>
      <w:r w:rsidRPr="00B638D0">
        <w:rPr>
          <w:rFonts w:asciiTheme="minorHAnsi" w:hAnsiTheme="minorHAnsi" w:cstheme="minorHAnsi"/>
          <w:lang w:val="en-GB"/>
        </w:rPr>
        <w:t>A</w:t>
      </w:r>
      <w:r>
        <w:rPr>
          <w:rFonts w:asciiTheme="minorHAnsi" w:hAnsiTheme="minorHAnsi" w:cstheme="minorHAnsi"/>
          <w:lang w:val="en-GB"/>
        </w:rPr>
        <w:t xml:space="preserve"> </w:t>
      </w:r>
      <w:r w:rsidRPr="00B638D0">
        <w:rPr>
          <w:rFonts w:asciiTheme="minorHAnsi" w:hAnsiTheme="minorHAnsi" w:cstheme="minorHAnsi"/>
          <w:lang w:val="en-GB"/>
        </w:rPr>
        <w:t xml:space="preserve">trading venue to convey a waiver either not defined by </w:t>
      </w:r>
      <w:proofErr w:type="spellStart"/>
      <w:r w:rsidRPr="00B638D0">
        <w:rPr>
          <w:rFonts w:asciiTheme="minorHAnsi" w:hAnsiTheme="minorHAnsi" w:cstheme="minorHAnsi"/>
          <w:lang w:val="en-GB"/>
        </w:rPr>
        <w:t>MiFIR</w:t>
      </w:r>
      <w:proofErr w:type="spellEnd"/>
      <w:r w:rsidRPr="00B638D0">
        <w:rPr>
          <w:rFonts w:asciiTheme="minorHAnsi" w:hAnsiTheme="minorHAnsi" w:cstheme="minorHAnsi"/>
          <w:lang w:val="en-GB"/>
        </w:rPr>
        <w:t xml:space="preserve"> or not applicable on that venue;</w:t>
      </w:r>
    </w:p>
    <w:p w:rsidR="00303D06" w:rsidRPr="00B638D0" w:rsidRDefault="00303D06" w:rsidP="00303D06">
      <w:pPr>
        <w:pStyle w:val="PlainText"/>
        <w:ind w:left="1080"/>
        <w:jc w:val="both"/>
        <w:rPr>
          <w:rFonts w:asciiTheme="minorHAnsi" w:hAnsiTheme="minorHAnsi" w:cstheme="minorHAnsi"/>
          <w:lang w:val="en-GB"/>
        </w:rPr>
      </w:pPr>
    </w:p>
    <w:p w:rsidR="00303D06" w:rsidRPr="00B638D0" w:rsidRDefault="00303D06" w:rsidP="00E077AE">
      <w:pPr>
        <w:pStyle w:val="PlainText"/>
        <w:numPr>
          <w:ilvl w:val="0"/>
          <w:numId w:val="31"/>
        </w:numPr>
        <w:jc w:val="both"/>
        <w:rPr>
          <w:rFonts w:asciiTheme="minorHAnsi" w:hAnsiTheme="minorHAnsi" w:cstheme="minorHAnsi"/>
          <w:lang w:val="en-GB"/>
        </w:rPr>
      </w:pPr>
      <w:r w:rsidRPr="00B638D0">
        <w:rPr>
          <w:rFonts w:asciiTheme="minorHAnsi" w:hAnsiTheme="minorHAnsi" w:cstheme="minorHAnsi"/>
          <w:lang w:val="en-GB"/>
        </w:rPr>
        <w:t>Furthermore, European Authorities cannot impose trading venues outside their remit to convey the eventual applicable waiver.</w:t>
      </w:r>
    </w:p>
    <w:permEnd w:id="229"/>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303D06" w:rsidRPr="00B638D0" w:rsidRDefault="00303D06" w:rsidP="00303D06">
      <w:pPr>
        <w:pStyle w:val="PlainText"/>
        <w:jc w:val="both"/>
        <w:rPr>
          <w:rFonts w:asciiTheme="minorHAnsi" w:hAnsiTheme="minorHAnsi" w:cstheme="minorHAnsi"/>
          <w:lang w:val="en-GB"/>
        </w:rPr>
      </w:pPr>
      <w:permStart w:id="230" w:edGrp="everyone"/>
      <w:r w:rsidRPr="00B638D0">
        <w:rPr>
          <w:rFonts w:asciiTheme="minorHAnsi" w:hAnsiTheme="minorHAnsi" w:cstheme="minorHAnsi"/>
          <w:lang w:val="en-GB"/>
        </w:rPr>
        <w:t>Yes</w:t>
      </w:r>
    </w:p>
    <w:permEnd w:id="230"/>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303D06" w:rsidRPr="00B638D0" w:rsidRDefault="00303D06" w:rsidP="00303D06">
      <w:pPr>
        <w:pStyle w:val="PlainText"/>
        <w:jc w:val="both"/>
        <w:rPr>
          <w:rFonts w:asciiTheme="minorHAnsi" w:hAnsiTheme="minorHAnsi" w:cstheme="minorHAnsi"/>
          <w:lang w:val="en-GB"/>
        </w:rPr>
      </w:pPr>
      <w:permStart w:id="231" w:edGrp="everyone"/>
      <w:r w:rsidRPr="00B638D0">
        <w:rPr>
          <w:rFonts w:asciiTheme="minorHAnsi" w:hAnsiTheme="minorHAnsi" w:cstheme="minorHAnsi"/>
          <w:lang w:val="en-GB"/>
        </w:rPr>
        <w:t xml:space="preserve">Yes but for indices for which no ISIN is available, as the official name of an index may not be a normalized information, discrepancies will inevitably arise between investment firms’ source systems feeding their transaction reports and other available </w:t>
      </w:r>
      <w:proofErr w:type="spellStart"/>
      <w:r w:rsidRPr="00B638D0">
        <w:rPr>
          <w:rFonts w:asciiTheme="minorHAnsi" w:hAnsiTheme="minorHAnsi" w:cstheme="minorHAnsi"/>
          <w:lang w:val="en-GB"/>
        </w:rPr>
        <w:t>referentials</w:t>
      </w:r>
      <w:proofErr w:type="spellEnd"/>
      <w:r w:rsidRPr="00B638D0">
        <w:rPr>
          <w:rFonts w:asciiTheme="minorHAnsi" w:hAnsiTheme="minorHAnsi" w:cstheme="minorHAnsi"/>
          <w:lang w:val="en-GB"/>
        </w:rPr>
        <w:t>.</w:t>
      </w:r>
    </w:p>
    <w:permEnd w:id="231"/>
    <w:p w:rsidR="00577C33" w:rsidRDefault="00577C33" w:rsidP="00EC2C93">
      <w:pPr>
        <w:keepNext/>
      </w:pPr>
      <w:r>
        <w:lastRenderedPageBreak/>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303D06" w:rsidRPr="00B638D0" w:rsidRDefault="00303D06" w:rsidP="00303D06">
      <w:pPr>
        <w:pStyle w:val="PlainText"/>
        <w:jc w:val="both"/>
        <w:rPr>
          <w:rFonts w:asciiTheme="minorHAnsi" w:hAnsiTheme="minorHAnsi" w:cstheme="minorHAnsi"/>
          <w:lang w:val="en-GB"/>
        </w:rPr>
      </w:pPr>
      <w:permStart w:id="232" w:edGrp="everyone"/>
      <w:r w:rsidRPr="00B638D0">
        <w:rPr>
          <w:rFonts w:asciiTheme="minorHAnsi" w:hAnsiTheme="minorHAnsi" w:cstheme="minorHAnsi"/>
          <w:lang w:val="en-GB"/>
        </w:rPr>
        <w:t>No, we don’t expect significant issues. We do however question the pertinence of selecting the branch that has the closest relationship to the client rather than the branch where the salesperson is located, as the latter information may appear more relevant for NCAs.</w:t>
      </w:r>
    </w:p>
    <w:permEnd w:id="232"/>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303D06" w:rsidRPr="00B638D0" w:rsidRDefault="00303D06" w:rsidP="00303D06">
      <w:pPr>
        <w:pStyle w:val="PlainText"/>
        <w:jc w:val="both"/>
        <w:rPr>
          <w:rFonts w:asciiTheme="minorHAnsi" w:hAnsiTheme="minorHAnsi" w:cstheme="minorHAnsi"/>
          <w:lang w:val="en-GB"/>
        </w:rPr>
      </w:pPr>
      <w:permStart w:id="233" w:edGrp="everyone"/>
      <w:r w:rsidRPr="00B638D0">
        <w:rPr>
          <w:rFonts w:asciiTheme="minorHAnsi" w:hAnsiTheme="minorHAnsi" w:cstheme="minorHAnsi"/>
          <w:lang w:val="en-GB"/>
        </w:rPr>
        <w:t>Yes. European regulators should restrict the LEI obligation to legal persons domiciled in countries where the LEIs are compulsory.</w:t>
      </w:r>
    </w:p>
    <w:p w:rsidR="00303D06" w:rsidRPr="00B638D0" w:rsidRDefault="00303D06" w:rsidP="00303D06">
      <w:pPr>
        <w:pStyle w:val="PlainText"/>
        <w:jc w:val="both"/>
        <w:rPr>
          <w:rFonts w:asciiTheme="minorHAnsi" w:hAnsiTheme="minorHAnsi" w:cstheme="minorHAnsi"/>
          <w:lang w:val="en-GB"/>
        </w:rPr>
      </w:pPr>
    </w:p>
    <w:p w:rsidR="00303D06" w:rsidRPr="00B638D0" w:rsidRDefault="00303D06" w:rsidP="00303D06">
      <w:pPr>
        <w:pStyle w:val="PlainText"/>
        <w:jc w:val="both"/>
        <w:rPr>
          <w:rFonts w:asciiTheme="minorHAnsi" w:hAnsiTheme="minorHAnsi" w:cstheme="minorHAnsi"/>
          <w:lang w:val="en-GB"/>
        </w:rPr>
      </w:pPr>
      <w:r w:rsidRPr="00B638D0">
        <w:rPr>
          <w:rFonts w:asciiTheme="minorHAnsi" w:hAnsiTheme="minorHAnsi" w:cstheme="minorHAnsi"/>
          <w:lang w:val="en-GB"/>
        </w:rPr>
        <w:t>Indeed, European Authorities should avert creating uneven competition situations detrimental to EEA firms like the following: a branch of an EEA investment firm that is located in a non-EEA country could not accept a client’s order because the client does not have an LEI - LEIs not being compulsory in that country -, while a local investment firm can accept and execute that order.</w:t>
      </w:r>
    </w:p>
    <w:permEnd w:id="233"/>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303D06" w:rsidRPr="00B638D0" w:rsidRDefault="00303D06" w:rsidP="00303D06">
      <w:pPr>
        <w:pStyle w:val="PlainText"/>
        <w:jc w:val="both"/>
        <w:rPr>
          <w:rFonts w:asciiTheme="minorHAnsi" w:hAnsiTheme="minorHAnsi" w:cstheme="minorHAnsi"/>
          <w:lang w:val="en-GB"/>
        </w:rPr>
      </w:pPr>
      <w:permStart w:id="234" w:edGrp="everyone"/>
      <w:r w:rsidRPr="00B638D0">
        <w:rPr>
          <w:rFonts w:asciiTheme="minorHAnsi" w:hAnsiTheme="minorHAnsi" w:cstheme="minorHAnsi"/>
          <w:lang w:val="en-GB"/>
        </w:rPr>
        <w:t>Yes. Not having a reference data base of financial instruments admitted to trading on an EEA trading venue maintained by ESMA would result in further increasing the existing uncertainty regarding whether an instrument is reportable or not. Indeed, there currently does not exist any sufficiently reliable “golden source” of reportable instruments maintained by a third party and this problem is likely to worsen with the significant enlargement of eligible financial instruments, in particular with the creation of OTFs. Furthermore, the benefit incurred by the absence of a golden source maintained by ESMA weighs little in view of the incurred instability of the Transaction Reporting and difficulties for NCAs to exploit its results and the related costs for the industry.</w:t>
      </w:r>
    </w:p>
    <w:p w:rsidR="00303D06" w:rsidRPr="00B638D0" w:rsidRDefault="00303D06" w:rsidP="00303D06">
      <w:pPr>
        <w:pStyle w:val="PlainText"/>
        <w:jc w:val="both"/>
        <w:rPr>
          <w:rFonts w:asciiTheme="minorHAnsi" w:hAnsiTheme="minorHAnsi" w:cstheme="minorHAnsi"/>
          <w:lang w:val="en-GB"/>
        </w:rPr>
      </w:pPr>
    </w:p>
    <w:p w:rsidR="00303D06" w:rsidRPr="00B638D0" w:rsidRDefault="00303D06" w:rsidP="00303D06">
      <w:pPr>
        <w:pStyle w:val="PlainText"/>
        <w:jc w:val="both"/>
        <w:rPr>
          <w:rFonts w:asciiTheme="minorHAnsi" w:hAnsiTheme="minorHAnsi" w:cstheme="minorHAnsi"/>
          <w:lang w:val="en-GB"/>
        </w:rPr>
      </w:pPr>
      <w:r w:rsidRPr="00B638D0">
        <w:rPr>
          <w:rFonts w:asciiTheme="minorHAnsi" w:hAnsiTheme="minorHAnsi" w:cstheme="minorHAnsi"/>
          <w:lang w:val="en-GB"/>
        </w:rPr>
        <w:t>In that context, ESMA’s request to prevent over-reporting seems contradictory with the above. Indeed, it appears that major NCAs do not have an issue with over-reporting (whether today or in the future).</w:t>
      </w:r>
    </w:p>
    <w:p w:rsidR="00303D06" w:rsidRPr="00B638D0" w:rsidRDefault="00303D06" w:rsidP="00303D06">
      <w:pPr>
        <w:pStyle w:val="PlainText"/>
        <w:jc w:val="both"/>
        <w:rPr>
          <w:rFonts w:asciiTheme="minorHAnsi" w:hAnsiTheme="minorHAnsi" w:cstheme="minorHAnsi"/>
          <w:lang w:val="en-GB"/>
        </w:rPr>
      </w:pPr>
    </w:p>
    <w:p w:rsidR="00303D06" w:rsidRPr="00B638D0" w:rsidRDefault="00303D06" w:rsidP="00303D06">
      <w:pPr>
        <w:pStyle w:val="PlainText"/>
        <w:jc w:val="both"/>
        <w:rPr>
          <w:rFonts w:asciiTheme="minorHAnsi" w:hAnsiTheme="minorHAnsi" w:cstheme="minorHAnsi"/>
          <w:lang w:val="en-GB"/>
        </w:rPr>
      </w:pPr>
      <w:r w:rsidRPr="00B638D0">
        <w:rPr>
          <w:rFonts w:asciiTheme="minorHAnsi" w:hAnsiTheme="minorHAnsi" w:cstheme="minorHAnsi"/>
          <w:lang w:val="en-GB"/>
        </w:rPr>
        <w:t>In view of all the trading venues being supervised by ESMA, we propose that, in addition to ESMA’s maintenance of a golden source, that were investment firms to detect omissions in the golden source, they would report their transactions on the missing instruments, or where the missing instruments were the underlying, and they would concurrently report the discrepancy to ESMA.</w:t>
      </w:r>
    </w:p>
    <w:p w:rsidR="00303D06" w:rsidRPr="00B638D0" w:rsidRDefault="00303D06" w:rsidP="00303D06">
      <w:pPr>
        <w:pStyle w:val="PlainText"/>
        <w:jc w:val="both"/>
        <w:rPr>
          <w:rFonts w:asciiTheme="minorHAnsi" w:hAnsiTheme="minorHAnsi" w:cstheme="minorHAnsi"/>
          <w:lang w:val="en-GB"/>
        </w:rPr>
      </w:pPr>
    </w:p>
    <w:p w:rsidR="00303D06" w:rsidRPr="00B638D0" w:rsidRDefault="00303D06" w:rsidP="00303D06">
      <w:pPr>
        <w:pStyle w:val="PlainText"/>
        <w:jc w:val="both"/>
        <w:rPr>
          <w:rFonts w:asciiTheme="minorHAnsi" w:hAnsiTheme="minorHAnsi" w:cstheme="minorHAnsi"/>
          <w:lang w:val="en-GB"/>
        </w:rPr>
      </w:pPr>
      <w:r w:rsidRPr="00B638D0">
        <w:rPr>
          <w:rFonts w:asciiTheme="minorHAnsi" w:hAnsiTheme="minorHAnsi" w:cstheme="minorHAnsi"/>
          <w:lang w:val="en-GB"/>
        </w:rPr>
        <w:t>Indeed, ESMA appear best placed to demand diligent and continual reports from the trading venues on all new financial instruments in order to maintain an accurate golden source. This in turn seems to be the most reliable and most cost-efficient way to ensure an efficient and consistent Transaction Reporting regime in line with regulatory expectations.</w:t>
      </w:r>
    </w:p>
    <w:permEnd w:id="234"/>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lastRenderedPageBreak/>
        <w:t>&lt;ESMA_QUESTION_CP_MIFID_226&gt;</w:t>
      </w:r>
    </w:p>
    <w:p w:rsidR="00303D06" w:rsidRPr="00B638D0" w:rsidRDefault="00303D06" w:rsidP="00303D06">
      <w:pPr>
        <w:pStyle w:val="PlainText"/>
        <w:jc w:val="both"/>
        <w:rPr>
          <w:rFonts w:asciiTheme="minorHAnsi" w:hAnsiTheme="minorHAnsi" w:cstheme="minorHAnsi"/>
          <w:lang w:val="en-GB"/>
        </w:rPr>
      </w:pPr>
      <w:permStart w:id="235" w:edGrp="everyone"/>
      <w:r w:rsidRPr="00B638D0">
        <w:rPr>
          <w:rFonts w:asciiTheme="minorHAnsi" w:hAnsiTheme="minorHAnsi" w:cstheme="minorHAnsi"/>
          <w:lang w:val="en-GB"/>
        </w:rPr>
        <w:t xml:space="preserve">Yes, in some European countries asset managers routinely allocate the execution of their orders among the funds under their management after execution has taken place. Thus, in all these instances the </w:t>
      </w:r>
      <w:proofErr w:type="gramStart"/>
      <w:r w:rsidRPr="00B638D0">
        <w:rPr>
          <w:rFonts w:asciiTheme="minorHAnsi" w:hAnsiTheme="minorHAnsi" w:cstheme="minorHAnsi"/>
          <w:lang w:val="en-GB"/>
        </w:rPr>
        <w:t>client IDs are</w:t>
      </w:r>
      <w:proofErr w:type="gramEnd"/>
      <w:r w:rsidRPr="00B638D0">
        <w:rPr>
          <w:rFonts w:asciiTheme="minorHAnsi" w:hAnsiTheme="minorHAnsi" w:cstheme="minorHAnsi"/>
          <w:lang w:val="en-GB"/>
        </w:rPr>
        <w:t xml:space="preserve"> not transferred to the trading venues.</w:t>
      </w:r>
    </w:p>
    <w:p w:rsidR="00303D06" w:rsidRPr="00B638D0" w:rsidRDefault="00303D06" w:rsidP="00303D06">
      <w:pPr>
        <w:pStyle w:val="PlainText"/>
        <w:jc w:val="both"/>
        <w:rPr>
          <w:rFonts w:asciiTheme="minorHAnsi" w:hAnsiTheme="minorHAnsi" w:cstheme="minorHAnsi"/>
          <w:lang w:val="en-GB"/>
        </w:rPr>
      </w:pPr>
    </w:p>
    <w:p w:rsidR="00303D06" w:rsidRPr="00B638D0" w:rsidRDefault="00303D06" w:rsidP="00303D06">
      <w:pPr>
        <w:pStyle w:val="PlainText"/>
        <w:jc w:val="both"/>
        <w:rPr>
          <w:rFonts w:asciiTheme="minorHAnsi" w:hAnsiTheme="minorHAnsi" w:cstheme="minorHAnsi"/>
          <w:lang w:val="en-GB"/>
        </w:rPr>
      </w:pPr>
      <w:r w:rsidRPr="00B638D0">
        <w:rPr>
          <w:rFonts w:asciiTheme="minorHAnsi" w:hAnsiTheme="minorHAnsi" w:cstheme="minorHAnsi"/>
          <w:lang w:val="en-GB"/>
        </w:rPr>
        <w:t>Furthermore, the inclusion of client IDs in all remaining orders is likely to be an extremely sensitive process as investment firms will have to modify upstream all their market connectors to include these data at the formats specified by ESMA. Indeed, to minimize the risk of failure, investment firms typically schedule the evolution of their connectors with the technical releases of the various concerned EEA trading venues. Thus the incurred complexity and costs for the corresponding IT projects for investment firms are very significant.</w:t>
      </w:r>
    </w:p>
    <w:permEnd w:id="235"/>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303D06" w:rsidRPr="00B638D0" w:rsidRDefault="00303D06" w:rsidP="00303D06">
      <w:pPr>
        <w:pStyle w:val="PlainText"/>
        <w:jc w:val="both"/>
        <w:rPr>
          <w:rFonts w:asciiTheme="minorHAnsi" w:hAnsiTheme="minorHAnsi" w:cstheme="minorHAnsi"/>
          <w:lang w:val="en-GB"/>
        </w:rPr>
      </w:pPr>
      <w:permStart w:id="236" w:edGrp="everyone"/>
      <w:r w:rsidRPr="00B638D0">
        <w:rPr>
          <w:rFonts w:asciiTheme="minorHAnsi" w:hAnsiTheme="minorHAnsi" w:cstheme="minorHAnsi"/>
          <w:lang w:val="en-GB"/>
        </w:rPr>
        <w:t>Yes</w:t>
      </w:r>
    </w:p>
    <w:permEnd w:id="236"/>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t>&lt;ESMA_QUESTION_CP_MIFID_228&gt;</w:t>
      </w:r>
    </w:p>
    <w:p w:rsidR="00577C33" w:rsidRDefault="004237C5" w:rsidP="00EC2C93">
      <w:pPr>
        <w:keepNext/>
      </w:pPr>
      <w:permStart w:id="237" w:edGrp="everyone"/>
      <w:r>
        <w:t>No comment.</w:t>
      </w:r>
    </w:p>
    <w:permEnd w:id="237"/>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4237C5" w:rsidRDefault="004237C5" w:rsidP="00EC2C93">
      <w:pPr>
        <w:keepNext/>
      </w:pPr>
      <w:permStart w:id="238" w:edGrp="everyone"/>
      <w:r>
        <w:t>No comment.</w:t>
      </w:r>
    </w:p>
    <w:permEnd w:id="238"/>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303D06" w:rsidRDefault="00303D06" w:rsidP="00303D06">
      <w:pPr>
        <w:pStyle w:val="PlainText"/>
        <w:jc w:val="both"/>
        <w:rPr>
          <w:rFonts w:asciiTheme="minorHAnsi" w:hAnsiTheme="minorHAnsi" w:cstheme="minorHAnsi"/>
          <w:lang w:val="en-GB"/>
        </w:rPr>
      </w:pPr>
      <w:permStart w:id="239" w:edGrp="everyone"/>
      <w:r w:rsidRPr="00B638D0">
        <w:rPr>
          <w:rFonts w:asciiTheme="minorHAnsi" w:hAnsiTheme="minorHAnsi" w:cstheme="minorHAnsi"/>
          <w:lang w:val="en-GB"/>
        </w:rPr>
        <w:t xml:space="preserve">Yes but </w:t>
      </w:r>
      <w:r>
        <w:rPr>
          <w:rFonts w:asciiTheme="minorHAnsi" w:hAnsiTheme="minorHAnsi" w:cstheme="minorHAnsi"/>
          <w:lang w:val="en-GB"/>
        </w:rPr>
        <w:t>one should keep in mind the following elements:</w:t>
      </w:r>
    </w:p>
    <w:p w:rsidR="00303D06" w:rsidRDefault="00303D06" w:rsidP="00303D06">
      <w:pPr>
        <w:pStyle w:val="PlainText"/>
        <w:jc w:val="both"/>
        <w:rPr>
          <w:rFonts w:asciiTheme="minorHAnsi" w:hAnsiTheme="minorHAnsi" w:cstheme="minorHAnsi"/>
          <w:lang w:val="en-GB"/>
        </w:rPr>
      </w:pPr>
    </w:p>
    <w:p w:rsidR="00303D06" w:rsidRPr="00B638D0" w:rsidRDefault="00303D06" w:rsidP="00E077AE">
      <w:pPr>
        <w:pStyle w:val="PlainText"/>
        <w:numPr>
          <w:ilvl w:val="0"/>
          <w:numId w:val="32"/>
        </w:numPr>
        <w:jc w:val="both"/>
        <w:rPr>
          <w:rFonts w:asciiTheme="minorHAnsi" w:hAnsiTheme="minorHAnsi" w:cstheme="minorHAnsi"/>
          <w:lang w:val="en-GB"/>
        </w:rPr>
      </w:pPr>
      <w:r>
        <w:rPr>
          <w:rFonts w:asciiTheme="minorHAnsi" w:hAnsiTheme="minorHAnsi" w:cstheme="minorHAnsi"/>
          <w:lang w:val="en-GB"/>
        </w:rPr>
        <w:t>O</w:t>
      </w:r>
      <w:r w:rsidRPr="00B638D0">
        <w:rPr>
          <w:rFonts w:asciiTheme="minorHAnsi" w:hAnsiTheme="minorHAnsi" w:cstheme="minorHAnsi"/>
          <w:lang w:val="en-GB"/>
        </w:rPr>
        <w:t xml:space="preserve">n some servers, achieving a time stamping </w:t>
      </w:r>
      <w:r>
        <w:rPr>
          <w:rFonts w:asciiTheme="minorHAnsi" w:hAnsiTheme="minorHAnsi" w:cstheme="minorHAnsi"/>
          <w:lang w:val="en-GB"/>
        </w:rPr>
        <w:t xml:space="preserve">more accurate than a microsecond </w:t>
      </w:r>
      <w:r w:rsidRPr="00B638D0">
        <w:rPr>
          <w:rFonts w:asciiTheme="minorHAnsi" w:hAnsiTheme="minorHAnsi" w:cstheme="minorHAnsi"/>
          <w:lang w:val="en-GB"/>
        </w:rPr>
        <w:t xml:space="preserve">is technically possible </w:t>
      </w:r>
      <w:r>
        <w:rPr>
          <w:rFonts w:asciiTheme="minorHAnsi" w:hAnsiTheme="minorHAnsi" w:cstheme="minorHAnsi"/>
          <w:lang w:val="en-GB"/>
        </w:rPr>
        <w:t xml:space="preserve">but </w:t>
      </w:r>
      <w:r w:rsidRPr="00B638D0">
        <w:rPr>
          <w:rFonts w:asciiTheme="minorHAnsi" w:hAnsiTheme="minorHAnsi" w:cstheme="minorHAnsi"/>
          <w:lang w:val="en-GB"/>
        </w:rPr>
        <w:t xml:space="preserve">the relevance of last digits is difficult to guarantee. </w:t>
      </w:r>
      <w:r>
        <w:rPr>
          <w:rFonts w:asciiTheme="minorHAnsi" w:hAnsiTheme="minorHAnsi" w:cstheme="minorHAnsi"/>
          <w:lang w:val="en-GB"/>
        </w:rPr>
        <w:t>H</w:t>
      </w:r>
      <w:r w:rsidRPr="00B638D0">
        <w:rPr>
          <w:rFonts w:asciiTheme="minorHAnsi" w:hAnsiTheme="minorHAnsi" w:cstheme="minorHAnsi"/>
          <w:lang w:val="en-GB"/>
        </w:rPr>
        <w:t xml:space="preserve">owever this problematic is system-dependant and some operating systems do not allow such precision. Basically on third party vendor gateways, </w:t>
      </w:r>
      <w:r>
        <w:rPr>
          <w:rFonts w:asciiTheme="minorHAnsi" w:hAnsiTheme="minorHAnsi" w:cstheme="minorHAnsi"/>
          <w:lang w:val="en-GB"/>
        </w:rPr>
        <w:t>investment firms</w:t>
      </w:r>
      <w:r w:rsidRPr="00B638D0">
        <w:rPr>
          <w:rFonts w:asciiTheme="minorHAnsi" w:hAnsiTheme="minorHAnsi" w:cstheme="minorHAnsi"/>
          <w:lang w:val="en-GB"/>
        </w:rPr>
        <w:t xml:space="preserve"> would be dependent on their implementation and technology.</w:t>
      </w:r>
    </w:p>
    <w:p w:rsidR="00303D06" w:rsidRPr="00B638D0" w:rsidRDefault="00303D06" w:rsidP="00303D06">
      <w:pPr>
        <w:pStyle w:val="PlainText"/>
        <w:jc w:val="both"/>
        <w:rPr>
          <w:rFonts w:asciiTheme="minorHAnsi" w:hAnsiTheme="minorHAnsi" w:cstheme="minorHAnsi"/>
          <w:lang w:val="en-GB"/>
        </w:rPr>
      </w:pPr>
    </w:p>
    <w:p w:rsidR="00303D06" w:rsidRPr="00B638D0" w:rsidRDefault="00303D06" w:rsidP="00E077AE">
      <w:pPr>
        <w:pStyle w:val="PlainText"/>
        <w:numPr>
          <w:ilvl w:val="0"/>
          <w:numId w:val="33"/>
        </w:numPr>
        <w:jc w:val="both"/>
        <w:rPr>
          <w:rFonts w:asciiTheme="minorHAnsi" w:hAnsiTheme="minorHAnsi" w:cstheme="minorHAnsi"/>
          <w:lang w:val="en-GB"/>
        </w:rPr>
      </w:pPr>
      <w:r w:rsidRPr="00B638D0">
        <w:rPr>
          <w:rFonts w:asciiTheme="minorHAnsi" w:hAnsiTheme="minorHAnsi" w:cstheme="minorHAnsi"/>
          <w:lang w:val="en-GB"/>
        </w:rPr>
        <w:t>The need to have such precision in the timestamp is highly reduced by the time synchronization constraint:</w:t>
      </w:r>
    </w:p>
    <w:p w:rsidR="00303D06" w:rsidRPr="00B638D0" w:rsidRDefault="00303D06" w:rsidP="00E077AE">
      <w:pPr>
        <w:pStyle w:val="PlainText"/>
        <w:numPr>
          <w:ilvl w:val="0"/>
          <w:numId w:val="31"/>
        </w:numPr>
        <w:jc w:val="both"/>
        <w:rPr>
          <w:rFonts w:asciiTheme="minorHAnsi" w:hAnsiTheme="minorHAnsi" w:cstheme="minorHAnsi"/>
          <w:lang w:val="en-GB"/>
        </w:rPr>
      </w:pPr>
      <w:r w:rsidRPr="00B638D0">
        <w:rPr>
          <w:rFonts w:asciiTheme="minorHAnsi" w:hAnsiTheme="minorHAnsi" w:cstheme="minorHAnsi"/>
          <w:lang w:val="en-GB"/>
        </w:rPr>
        <w:t xml:space="preserve">A precision </w:t>
      </w:r>
      <w:r>
        <w:rPr>
          <w:rFonts w:asciiTheme="minorHAnsi" w:hAnsiTheme="minorHAnsi" w:cstheme="minorHAnsi"/>
          <w:lang w:val="en-GB"/>
        </w:rPr>
        <w:t xml:space="preserve">beyond a microsecond </w:t>
      </w:r>
      <w:r w:rsidRPr="00B638D0">
        <w:rPr>
          <w:rFonts w:asciiTheme="minorHAnsi" w:hAnsiTheme="minorHAnsi" w:cstheme="minorHAnsi"/>
          <w:lang w:val="en-GB"/>
        </w:rPr>
        <w:t>would only be useful for orders that are going through the same server</w:t>
      </w:r>
      <w:r>
        <w:rPr>
          <w:rFonts w:asciiTheme="minorHAnsi" w:hAnsiTheme="minorHAnsi" w:cstheme="minorHAnsi"/>
          <w:lang w:val="en-GB"/>
        </w:rPr>
        <w:t>,</w:t>
      </w:r>
      <w:r w:rsidRPr="00B638D0">
        <w:rPr>
          <w:rFonts w:asciiTheme="minorHAnsi" w:hAnsiTheme="minorHAnsi" w:cstheme="minorHAnsi"/>
          <w:lang w:val="en-GB"/>
        </w:rPr>
        <w:t xml:space="preserve"> and usually due to the internal mechanics of the server </w:t>
      </w:r>
      <w:r>
        <w:rPr>
          <w:rFonts w:asciiTheme="minorHAnsi" w:hAnsiTheme="minorHAnsi" w:cstheme="minorHAnsi"/>
          <w:lang w:val="en-GB"/>
        </w:rPr>
        <w:t>one</w:t>
      </w:r>
      <w:r w:rsidRPr="00B638D0">
        <w:rPr>
          <w:rFonts w:asciiTheme="minorHAnsi" w:hAnsiTheme="minorHAnsi" w:cstheme="minorHAnsi"/>
          <w:lang w:val="en-GB"/>
        </w:rPr>
        <w:t xml:space="preserve"> do</w:t>
      </w:r>
      <w:r>
        <w:rPr>
          <w:rFonts w:asciiTheme="minorHAnsi" w:hAnsiTheme="minorHAnsi" w:cstheme="minorHAnsi"/>
          <w:lang w:val="en-GB"/>
        </w:rPr>
        <w:t>es</w:t>
      </w:r>
      <w:r w:rsidRPr="00B638D0">
        <w:rPr>
          <w:rFonts w:asciiTheme="minorHAnsi" w:hAnsiTheme="minorHAnsi" w:cstheme="minorHAnsi"/>
          <w:lang w:val="en-GB"/>
        </w:rPr>
        <w:t xml:space="preserve"> not need to go below a few microsecond precision to distinguish orders;</w:t>
      </w:r>
    </w:p>
    <w:p w:rsidR="00303D06" w:rsidRPr="00B638D0" w:rsidRDefault="00303D06" w:rsidP="00303D06">
      <w:pPr>
        <w:pStyle w:val="PlainText"/>
        <w:ind w:left="1080"/>
        <w:jc w:val="both"/>
        <w:rPr>
          <w:rFonts w:asciiTheme="minorHAnsi" w:hAnsiTheme="minorHAnsi" w:cstheme="minorHAnsi"/>
          <w:lang w:val="en-GB"/>
        </w:rPr>
      </w:pPr>
    </w:p>
    <w:p w:rsidR="00303D06" w:rsidRPr="00B638D0" w:rsidRDefault="00303D06" w:rsidP="00E077AE">
      <w:pPr>
        <w:pStyle w:val="PlainText"/>
        <w:numPr>
          <w:ilvl w:val="0"/>
          <w:numId w:val="31"/>
        </w:numPr>
        <w:jc w:val="both"/>
        <w:rPr>
          <w:rFonts w:asciiTheme="minorHAnsi" w:hAnsiTheme="minorHAnsi" w:cstheme="minorHAnsi"/>
          <w:lang w:val="en-GB"/>
        </w:rPr>
      </w:pPr>
      <w:r w:rsidRPr="00B638D0">
        <w:rPr>
          <w:rFonts w:asciiTheme="minorHAnsi" w:hAnsiTheme="minorHAnsi" w:cstheme="minorHAnsi"/>
          <w:lang w:val="en-GB"/>
        </w:rPr>
        <w:t>To compare timestamps between servers and deduct a chronological order among them, the synchronization error prevents us to use a better precision than the error itself</w:t>
      </w:r>
      <w:r>
        <w:rPr>
          <w:rFonts w:asciiTheme="minorHAnsi" w:hAnsiTheme="minorHAnsi" w:cstheme="minorHAnsi"/>
          <w:lang w:val="en-GB"/>
        </w:rPr>
        <w:t xml:space="preserve"> (please refer to answer to Q233</w:t>
      </w:r>
      <w:r w:rsidRPr="00B638D0">
        <w:rPr>
          <w:rFonts w:asciiTheme="minorHAnsi" w:hAnsiTheme="minorHAnsi" w:cstheme="minorHAnsi"/>
          <w:lang w:val="en-GB"/>
        </w:rPr>
        <w:t xml:space="preserve">). </w:t>
      </w:r>
    </w:p>
    <w:permEnd w:id="239"/>
    <w:p w:rsidR="00577C33" w:rsidRDefault="00577C33" w:rsidP="00EC2C93">
      <w:pPr>
        <w:keepNext/>
      </w:pPr>
      <w:r>
        <w:lastRenderedPageBreak/>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303D06" w:rsidRPr="00B638D0" w:rsidRDefault="00303D06" w:rsidP="00303D06">
      <w:pPr>
        <w:pStyle w:val="PlainText"/>
        <w:jc w:val="both"/>
        <w:rPr>
          <w:rFonts w:asciiTheme="minorHAnsi" w:hAnsiTheme="minorHAnsi" w:cstheme="minorHAnsi"/>
          <w:lang w:val="en-GB"/>
        </w:rPr>
      </w:pPr>
      <w:permStart w:id="240" w:edGrp="everyone"/>
      <w:r w:rsidRPr="00B638D0">
        <w:rPr>
          <w:rFonts w:asciiTheme="minorHAnsi" w:hAnsiTheme="minorHAnsi" w:cstheme="minorHAnsi"/>
          <w:lang w:val="en-GB"/>
        </w:rPr>
        <w:t>No</w:t>
      </w:r>
    </w:p>
    <w:permEnd w:id="240"/>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303D06" w:rsidRPr="00B638D0" w:rsidRDefault="00303D06" w:rsidP="00303D06">
      <w:pPr>
        <w:pStyle w:val="PlainText"/>
        <w:jc w:val="both"/>
        <w:rPr>
          <w:rFonts w:asciiTheme="minorHAnsi" w:hAnsiTheme="minorHAnsi" w:cstheme="minorHAnsi"/>
          <w:lang w:val="en-GB"/>
        </w:rPr>
      </w:pPr>
      <w:permStart w:id="241" w:edGrp="everyone"/>
      <w:r w:rsidRPr="00B638D0">
        <w:rPr>
          <w:rFonts w:asciiTheme="minorHAnsi" w:hAnsiTheme="minorHAnsi" w:cstheme="minorHAnsi"/>
          <w:lang w:val="en-GB"/>
        </w:rPr>
        <w:t>Yes</w:t>
      </w:r>
    </w:p>
    <w:permEnd w:id="241"/>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303D06" w:rsidRPr="00B638D0" w:rsidRDefault="00303D06" w:rsidP="00303D06">
      <w:pPr>
        <w:pStyle w:val="PlainText"/>
        <w:jc w:val="both"/>
        <w:rPr>
          <w:rFonts w:asciiTheme="minorHAnsi" w:hAnsiTheme="minorHAnsi" w:cstheme="minorHAnsi"/>
          <w:lang w:val="en-GB"/>
        </w:rPr>
      </w:pPr>
      <w:permStart w:id="242" w:edGrp="everyone"/>
      <w:r w:rsidRPr="00B638D0">
        <w:rPr>
          <w:rFonts w:asciiTheme="minorHAnsi" w:hAnsiTheme="minorHAnsi" w:cstheme="minorHAnsi"/>
          <w:lang w:val="en-GB"/>
        </w:rPr>
        <w:t>No for the following reason:</w:t>
      </w:r>
    </w:p>
    <w:p w:rsidR="00303D06" w:rsidRPr="00B638D0" w:rsidRDefault="00303D06" w:rsidP="00303D06">
      <w:pPr>
        <w:pStyle w:val="PlainText"/>
        <w:jc w:val="both"/>
        <w:rPr>
          <w:rFonts w:asciiTheme="minorHAnsi" w:hAnsiTheme="minorHAnsi" w:cstheme="minorHAnsi"/>
          <w:lang w:val="en-GB"/>
        </w:rPr>
      </w:pPr>
    </w:p>
    <w:p w:rsidR="00303D06" w:rsidRPr="00B638D0" w:rsidRDefault="00303D06" w:rsidP="00E077AE">
      <w:pPr>
        <w:pStyle w:val="PlainText"/>
        <w:numPr>
          <w:ilvl w:val="0"/>
          <w:numId w:val="34"/>
        </w:numPr>
        <w:jc w:val="both"/>
        <w:rPr>
          <w:rFonts w:asciiTheme="minorHAnsi" w:hAnsiTheme="minorHAnsi" w:cstheme="minorHAnsi"/>
          <w:lang w:val="en-GB"/>
        </w:rPr>
      </w:pPr>
      <w:r w:rsidRPr="00B638D0">
        <w:rPr>
          <w:rFonts w:asciiTheme="minorHAnsi" w:hAnsiTheme="minorHAnsi" w:cstheme="minorHAnsi"/>
          <w:lang w:val="en-GB"/>
        </w:rPr>
        <w:t>Investment firms typically synchroni</w:t>
      </w:r>
      <w:r>
        <w:rPr>
          <w:rFonts w:asciiTheme="minorHAnsi" w:hAnsiTheme="minorHAnsi" w:cstheme="minorHAnsi"/>
          <w:lang w:val="en-GB"/>
        </w:rPr>
        <w:t>s</w:t>
      </w:r>
      <w:r w:rsidRPr="00B638D0">
        <w:rPr>
          <w:rFonts w:asciiTheme="minorHAnsi" w:hAnsiTheme="minorHAnsi" w:cstheme="minorHAnsi"/>
          <w:lang w:val="en-GB"/>
        </w:rPr>
        <w:t>e their gateways with each corresponding trading venue i.e. ensure that the time difference with each venue does not exceed the accuracy of that venue.</w:t>
      </w:r>
    </w:p>
    <w:p w:rsidR="00303D06" w:rsidRPr="00B638D0" w:rsidRDefault="00303D06" w:rsidP="00303D06">
      <w:pPr>
        <w:pStyle w:val="PlainText"/>
        <w:ind w:left="360"/>
        <w:jc w:val="both"/>
        <w:rPr>
          <w:rFonts w:asciiTheme="minorHAnsi" w:hAnsiTheme="minorHAnsi" w:cstheme="minorHAnsi"/>
          <w:lang w:val="en-GB"/>
        </w:rPr>
      </w:pPr>
    </w:p>
    <w:p w:rsidR="00303D06" w:rsidRPr="00B638D0" w:rsidRDefault="00303D06" w:rsidP="00E077AE">
      <w:pPr>
        <w:pStyle w:val="PlainText"/>
        <w:numPr>
          <w:ilvl w:val="0"/>
          <w:numId w:val="34"/>
        </w:numPr>
        <w:jc w:val="both"/>
        <w:rPr>
          <w:rFonts w:asciiTheme="minorHAnsi" w:hAnsiTheme="minorHAnsi" w:cstheme="minorHAnsi"/>
          <w:lang w:val="en-GB"/>
        </w:rPr>
      </w:pPr>
      <w:r w:rsidRPr="00B638D0">
        <w:rPr>
          <w:rFonts w:asciiTheme="minorHAnsi" w:hAnsiTheme="minorHAnsi" w:cstheme="minorHAnsi"/>
          <w:lang w:val="en-GB"/>
        </w:rPr>
        <w:t>But the difficulty stems from the fact that all markets are not synchroni</w:t>
      </w:r>
      <w:r>
        <w:rPr>
          <w:rFonts w:asciiTheme="minorHAnsi" w:hAnsiTheme="minorHAnsi" w:cstheme="minorHAnsi"/>
          <w:lang w:val="en-GB"/>
        </w:rPr>
        <w:t>s</w:t>
      </w:r>
      <w:r w:rsidRPr="00B638D0">
        <w:rPr>
          <w:rFonts w:asciiTheme="minorHAnsi" w:hAnsiTheme="minorHAnsi" w:cstheme="minorHAnsi"/>
          <w:lang w:val="en-GB"/>
        </w:rPr>
        <w:t>ed. Thus, for the time being, as investment firms have to synchroni</w:t>
      </w:r>
      <w:r>
        <w:rPr>
          <w:rFonts w:asciiTheme="minorHAnsi" w:hAnsiTheme="minorHAnsi" w:cstheme="minorHAnsi"/>
          <w:lang w:val="en-GB"/>
        </w:rPr>
        <w:t>s</w:t>
      </w:r>
      <w:r w:rsidRPr="00B638D0">
        <w:rPr>
          <w:rFonts w:asciiTheme="minorHAnsi" w:hAnsiTheme="minorHAnsi" w:cstheme="minorHAnsi"/>
          <w:lang w:val="en-GB"/>
        </w:rPr>
        <w:t xml:space="preserve">e their gateways with each </w:t>
      </w:r>
      <w:r>
        <w:rPr>
          <w:rFonts w:asciiTheme="minorHAnsi" w:hAnsiTheme="minorHAnsi" w:cstheme="minorHAnsi"/>
          <w:lang w:val="en-GB"/>
        </w:rPr>
        <w:t>venue, they cannot synchronis</w:t>
      </w:r>
      <w:r w:rsidRPr="00B638D0">
        <w:rPr>
          <w:rFonts w:asciiTheme="minorHAnsi" w:hAnsiTheme="minorHAnsi" w:cstheme="minorHAnsi"/>
          <w:lang w:val="en-GB"/>
        </w:rPr>
        <w:t>e their clock with UTC with a better accuracy than a few mil</w:t>
      </w:r>
      <w:r>
        <w:rPr>
          <w:rFonts w:asciiTheme="minorHAnsi" w:hAnsiTheme="minorHAnsi" w:cstheme="minorHAnsi"/>
          <w:lang w:val="en-GB"/>
        </w:rPr>
        <w:t>l</w:t>
      </w:r>
      <w:r w:rsidRPr="00B638D0">
        <w:rPr>
          <w:rFonts w:asciiTheme="minorHAnsi" w:hAnsiTheme="minorHAnsi" w:cstheme="minorHAnsi"/>
          <w:lang w:val="en-GB"/>
        </w:rPr>
        <w:t>iseconds.</w:t>
      </w:r>
    </w:p>
    <w:p w:rsidR="00303D06" w:rsidRDefault="00303D06" w:rsidP="00303D06">
      <w:pPr>
        <w:pStyle w:val="PlainText"/>
        <w:ind w:left="360"/>
        <w:jc w:val="both"/>
        <w:rPr>
          <w:rFonts w:asciiTheme="minorHAnsi" w:hAnsiTheme="minorHAnsi" w:cstheme="minorHAnsi"/>
          <w:lang w:val="en-GB"/>
        </w:rPr>
      </w:pPr>
    </w:p>
    <w:p w:rsidR="00303D06" w:rsidRDefault="00303D06" w:rsidP="00303D06">
      <w:pPr>
        <w:pStyle w:val="PlainText"/>
        <w:ind w:left="360"/>
        <w:jc w:val="both"/>
        <w:rPr>
          <w:rFonts w:asciiTheme="minorHAnsi" w:hAnsiTheme="minorHAnsi" w:cstheme="minorHAnsi"/>
          <w:lang w:val="en-GB"/>
        </w:rPr>
      </w:pPr>
      <w:r>
        <w:rPr>
          <w:rFonts w:asciiTheme="minorHAnsi" w:hAnsiTheme="minorHAnsi" w:cstheme="minorHAnsi"/>
          <w:lang w:val="en-GB"/>
        </w:rPr>
        <w:t>To enable investment firms to eventually synchronis</w:t>
      </w:r>
      <w:r w:rsidRPr="00B638D0">
        <w:rPr>
          <w:rFonts w:asciiTheme="minorHAnsi" w:hAnsiTheme="minorHAnsi" w:cstheme="minorHAnsi"/>
          <w:lang w:val="en-GB"/>
        </w:rPr>
        <w:t>e their clock with UTC</w:t>
      </w:r>
      <w:r>
        <w:rPr>
          <w:rFonts w:asciiTheme="minorHAnsi" w:hAnsiTheme="minorHAnsi" w:cstheme="minorHAnsi"/>
          <w:lang w:val="en-GB"/>
        </w:rPr>
        <w:t xml:space="preserve"> with an </w:t>
      </w:r>
      <w:r w:rsidRPr="00B638D0">
        <w:rPr>
          <w:rFonts w:asciiTheme="minorHAnsi" w:hAnsiTheme="minorHAnsi" w:cstheme="minorHAnsi"/>
          <w:lang w:val="en-GB"/>
        </w:rPr>
        <w:t xml:space="preserve">accuracy </w:t>
      </w:r>
      <w:r>
        <w:rPr>
          <w:rFonts w:asciiTheme="minorHAnsi" w:hAnsiTheme="minorHAnsi" w:cstheme="minorHAnsi"/>
          <w:lang w:val="en-GB"/>
        </w:rPr>
        <w:t xml:space="preserve">of one </w:t>
      </w:r>
      <w:r w:rsidRPr="00B638D0">
        <w:rPr>
          <w:rFonts w:asciiTheme="minorHAnsi" w:hAnsiTheme="minorHAnsi" w:cstheme="minorHAnsi"/>
          <w:lang w:val="en-GB"/>
        </w:rPr>
        <w:t>mil</w:t>
      </w:r>
      <w:r>
        <w:rPr>
          <w:rFonts w:asciiTheme="minorHAnsi" w:hAnsiTheme="minorHAnsi" w:cstheme="minorHAnsi"/>
          <w:lang w:val="en-GB"/>
        </w:rPr>
        <w:t>l</w:t>
      </w:r>
      <w:r w:rsidRPr="00B638D0">
        <w:rPr>
          <w:rFonts w:asciiTheme="minorHAnsi" w:hAnsiTheme="minorHAnsi" w:cstheme="minorHAnsi"/>
          <w:lang w:val="en-GB"/>
        </w:rPr>
        <w:t>isecond</w:t>
      </w:r>
      <w:r>
        <w:rPr>
          <w:rFonts w:asciiTheme="minorHAnsi" w:hAnsiTheme="minorHAnsi" w:cstheme="minorHAnsi"/>
          <w:lang w:val="en-GB"/>
        </w:rPr>
        <w:t xml:space="preserve">, all trading venues should first synchronise their clocks with </w:t>
      </w:r>
      <w:proofErr w:type="gramStart"/>
      <w:r>
        <w:rPr>
          <w:rFonts w:asciiTheme="minorHAnsi" w:hAnsiTheme="minorHAnsi" w:cstheme="minorHAnsi"/>
          <w:lang w:val="en-GB"/>
        </w:rPr>
        <w:t>an accuracy</w:t>
      </w:r>
      <w:proofErr w:type="gramEnd"/>
      <w:r>
        <w:rPr>
          <w:rFonts w:asciiTheme="minorHAnsi" w:hAnsiTheme="minorHAnsi" w:cstheme="minorHAnsi"/>
          <w:lang w:val="en-GB"/>
        </w:rPr>
        <w:t xml:space="preserve"> beyond one millisecond. This would </w:t>
      </w:r>
      <w:r w:rsidRPr="000740A7">
        <w:rPr>
          <w:rFonts w:asciiTheme="minorHAnsi" w:hAnsiTheme="minorHAnsi" w:cstheme="minorHAnsi"/>
          <w:lang w:val="en-GB"/>
        </w:rPr>
        <w:t>probably incur very significant investments</w:t>
      </w:r>
      <w:r>
        <w:rPr>
          <w:rFonts w:asciiTheme="minorHAnsi" w:hAnsiTheme="minorHAnsi" w:cstheme="minorHAnsi"/>
          <w:lang w:val="en-GB"/>
        </w:rPr>
        <w:t>.</w:t>
      </w:r>
    </w:p>
    <w:p w:rsidR="00303D06" w:rsidRPr="00B638D0" w:rsidRDefault="00303D06" w:rsidP="00303D06">
      <w:pPr>
        <w:pStyle w:val="PlainText"/>
        <w:ind w:left="360"/>
        <w:jc w:val="both"/>
        <w:rPr>
          <w:rFonts w:asciiTheme="minorHAnsi" w:hAnsiTheme="minorHAnsi" w:cstheme="minorHAnsi"/>
          <w:lang w:val="en-GB"/>
        </w:rPr>
      </w:pPr>
    </w:p>
    <w:p w:rsidR="00303D06" w:rsidRPr="00B638D0" w:rsidRDefault="00303D06" w:rsidP="00E077AE">
      <w:pPr>
        <w:pStyle w:val="PlainText"/>
        <w:numPr>
          <w:ilvl w:val="0"/>
          <w:numId w:val="34"/>
        </w:numPr>
        <w:jc w:val="both"/>
        <w:rPr>
          <w:rFonts w:asciiTheme="minorHAnsi" w:hAnsiTheme="minorHAnsi" w:cstheme="minorHAnsi"/>
          <w:lang w:val="en-GB"/>
        </w:rPr>
      </w:pPr>
      <w:r w:rsidRPr="00B638D0">
        <w:rPr>
          <w:rFonts w:asciiTheme="minorHAnsi" w:hAnsiTheme="minorHAnsi" w:cstheme="minorHAnsi"/>
          <w:lang w:val="en-GB"/>
        </w:rPr>
        <w:t>On another hand, one has to keep in mind that the global standard for time synchronisation between servers, Network Time Protocol (NTP), only guarantees a millisecond synchronisation.</w:t>
      </w:r>
    </w:p>
    <w:permEnd w:id="242"/>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303D06" w:rsidRPr="001F049F" w:rsidRDefault="00303D06" w:rsidP="00303D06">
      <w:pPr>
        <w:pStyle w:val="PlainText"/>
        <w:jc w:val="both"/>
        <w:rPr>
          <w:rFonts w:asciiTheme="minorHAnsi" w:hAnsiTheme="minorHAnsi" w:cstheme="minorHAnsi"/>
          <w:lang w:val="en-GB"/>
        </w:rPr>
      </w:pPr>
      <w:permStart w:id="243" w:edGrp="everyone"/>
      <w:r w:rsidRPr="001F049F">
        <w:rPr>
          <w:rFonts w:asciiTheme="minorHAnsi" w:hAnsiTheme="minorHAnsi" w:cstheme="minorHAnsi"/>
          <w:lang w:val="en-GB"/>
        </w:rPr>
        <w:t>Yes because as recalled above, NTP only guarantees a millisecond synchronisation. Thus, if trading venues achieve accurac</w:t>
      </w:r>
      <w:r>
        <w:rPr>
          <w:rFonts w:asciiTheme="minorHAnsi" w:hAnsiTheme="minorHAnsi" w:cstheme="minorHAnsi"/>
          <w:lang w:val="en-GB"/>
        </w:rPr>
        <w:t>ies</w:t>
      </w:r>
      <w:r w:rsidRPr="001F049F">
        <w:rPr>
          <w:rFonts w:asciiTheme="minorHAnsi" w:hAnsiTheme="minorHAnsi" w:cstheme="minorHAnsi"/>
          <w:lang w:val="en-GB"/>
        </w:rPr>
        <w:t xml:space="preserve"> below one millisecond, all investment firms would have to implement more precise time protocols, which would incur huge investments.</w:t>
      </w:r>
    </w:p>
    <w:permEnd w:id="243"/>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lastRenderedPageBreak/>
        <w:t>&lt;ESMA_QUESTION_CP_MIFID_235&gt;</w:t>
      </w:r>
    </w:p>
    <w:p w:rsidR="004237C5" w:rsidRDefault="004237C5" w:rsidP="004237C5">
      <w:pPr>
        <w:keepNext/>
      </w:pPr>
      <w:permStart w:id="244" w:edGrp="everyone"/>
      <w:r>
        <w:t>No comment.</w:t>
      </w:r>
    </w:p>
    <w:permEnd w:id="244"/>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4237C5" w:rsidRDefault="004237C5" w:rsidP="004237C5">
      <w:pPr>
        <w:keepNext/>
      </w:pPr>
      <w:permStart w:id="245" w:edGrp="everyone"/>
      <w:r>
        <w:t>No comment.</w:t>
      </w:r>
    </w:p>
    <w:permEnd w:id="245"/>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4237C5" w:rsidRDefault="004237C5" w:rsidP="004237C5">
      <w:pPr>
        <w:keepNext/>
      </w:pPr>
      <w:permStart w:id="246" w:edGrp="everyone"/>
      <w:r>
        <w:t>No comment.</w:t>
      </w:r>
    </w:p>
    <w:permEnd w:id="246"/>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4237C5" w:rsidP="00EC2C93">
      <w:pPr>
        <w:keepNext/>
      </w:pPr>
      <w:permStart w:id="247" w:edGrp="everyone"/>
      <w:r>
        <w:t>No comment.</w:t>
      </w:r>
    </w:p>
    <w:permEnd w:id="247"/>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0A4026" w:rsidRPr="0049749B" w:rsidRDefault="000A4026" w:rsidP="000A4026">
      <w:pPr>
        <w:shd w:val="clear" w:color="auto" w:fill="FFFFFF" w:themeFill="background1"/>
        <w:rPr>
          <w:rFonts w:ascii="Arial" w:hAnsi="Arial" w:cs="Arial"/>
          <w:lang w:val="en-US"/>
        </w:rPr>
      </w:pPr>
      <w:permStart w:id="248" w:edGrp="everyone"/>
      <w:r w:rsidRPr="0049749B">
        <w:rPr>
          <w:rFonts w:ascii="Arial" w:hAnsi="Arial" w:cs="Arial"/>
          <w:lang w:val="en-US"/>
        </w:rPr>
        <w:t>We believe that it is of paramount importance that clearing certainty (i.e. certainty that a trade intended to be cleared will be cleared) is achieved at an early stage.  Therefore, we fully support ESMA proposal to make pre-trade credit checks mandatory for on-venue transactions. However, we believe that flexibility should be allowed as far as the means for these pre-trade credit checks are concerned. Market operators have for instance already developed various mechanisms under the CFTC pre-trade credit checks requirements and should be able to build on those and other solutions.</w:t>
      </w:r>
    </w:p>
    <w:p w:rsidR="000A4026" w:rsidRPr="0049749B" w:rsidRDefault="000A4026" w:rsidP="000A4026">
      <w:pPr>
        <w:shd w:val="clear" w:color="auto" w:fill="FFFFFF" w:themeFill="background1"/>
        <w:rPr>
          <w:rFonts w:ascii="Arial" w:hAnsi="Arial" w:cs="Arial"/>
          <w:lang w:val="en-US"/>
        </w:rPr>
      </w:pPr>
    </w:p>
    <w:p w:rsidR="000A4026" w:rsidRPr="0049749B" w:rsidRDefault="000A4026" w:rsidP="000A4026">
      <w:pPr>
        <w:shd w:val="clear" w:color="auto" w:fill="FFFFFF" w:themeFill="background1"/>
        <w:rPr>
          <w:rFonts w:ascii="Arial" w:hAnsi="Arial" w:cs="Arial"/>
          <w:lang w:val="en-US"/>
        </w:rPr>
      </w:pPr>
      <w:r w:rsidRPr="0049749B">
        <w:rPr>
          <w:rFonts w:ascii="Arial" w:hAnsi="Arial" w:cs="Arial"/>
          <w:lang w:val="en-US"/>
        </w:rPr>
        <w:t xml:space="preserve">We therefore support ISDA proposal to amend Art. 3.1. </w:t>
      </w:r>
      <w:proofErr w:type="gramStart"/>
      <w:r w:rsidRPr="0049749B">
        <w:rPr>
          <w:rFonts w:ascii="Arial" w:hAnsi="Arial" w:cs="Arial"/>
          <w:lang w:val="en-US"/>
        </w:rPr>
        <w:t>as</w:t>
      </w:r>
      <w:proofErr w:type="gramEnd"/>
      <w:r w:rsidRPr="0049749B">
        <w:rPr>
          <w:rFonts w:ascii="Arial" w:hAnsi="Arial" w:cs="Arial"/>
          <w:lang w:val="en-US"/>
        </w:rPr>
        <w:t xml:space="preserve"> follows:</w:t>
      </w:r>
    </w:p>
    <w:p w:rsidR="000A4026" w:rsidRPr="0049749B" w:rsidRDefault="000A4026" w:rsidP="000A4026">
      <w:pPr>
        <w:shd w:val="clear" w:color="auto" w:fill="FFFFFF" w:themeFill="background1"/>
        <w:ind w:left="705"/>
        <w:rPr>
          <w:rFonts w:ascii="Arial" w:hAnsi="Arial" w:cs="Arial"/>
          <w:i/>
          <w:lang w:val="en-US"/>
        </w:rPr>
      </w:pPr>
      <w:r w:rsidRPr="0049749B">
        <w:rPr>
          <w:rFonts w:ascii="Arial" w:hAnsi="Arial" w:cs="Arial"/>
          <w:i/>
          <w:lang w:val="en-US"/>
        </w:rPr>
        <w:t>“A trading venue shall request clearing members to either provide or arrange for such trading venue to access, directly or indirectly, the limits applicable to its clients that are entering into transactions referred to in Article 2 on that trading venue and require the clearing member to update them on a real-time basis”.</w:t>
      </w:r>
    </w:p>
    <w:permEnd w:id="248"/>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0A4026" w:rsidRPr="0049749B" w:rsidRDefault="000A4026" w:rsidP="000A4026">
      <w:pPr>
        <w:shd w:val="clear" w:color="auto" w:fill="FFFFFF" w:themeFill="background1"/>
        <w:rPr>
          <w:rFonts w:ascii="Arial" w:hAnsi="Arial" w:cs="Arial"/>
          <w:lang w:val="en-US"/>
        </w:rPr>
      </w:pPr>
      <w:permStart w:id="249" w:edGrp="everyone"/>
      <w:r w:rsidRPr="0049749B">
        <w:rPr>
          <w:rFonts w:ascii="Arial" w:hAnsi="Arial" w:cs="Arial"/>
          <w:lang w:val="en-US"/>
        </w:rPr>
        <w:t xml:space="preserve">The same rules should apply to voluntarily and mandatory cleared trades. Straight Trough Processing should apply as broadly as possible in order to reduce the risks involved in clearing. The only relevant distinction justifying different timeframes should be between transactions executed on venues and transactions executed off venues. </w:t>
      </w:r>
    </w:p>
    <w:p w:rsidR="000A4026" w:rsidRPr="0049749B" w:rsidRDefault="000A4026" w:rsidP="000A4026">
      <w:pPr>
        <w:shd w:val="clear" w:color="auto" w:fill="FFFFFF" w:themeFill="background1"/>
        <w:rPr>
          <w:rFonts w:ascii="Arial" w:hAnsi="Arial" w:cs="Arial"/>
          <w:lang w:val="en-US"/>
        </w:rPr>
      </w:pPr>
    </w:p>
    <w:p w:rsidR="000A4026" w:rsidRPr="0049749B" w:rsidRDefault="000A4026" w:rsidP="000A4026">
      <w:pPr>
        <w:shd w:val="clear" w:color="auto" w:fill="FFFFFF" w:themeFill="background1"/>
        <w:rPr>
          <w:rFonts w:ascii="Arial" w:hAnsi="Arial" w:cs="Arial"/>
          <w:lang w:val="en-US"/>
        </w:rPr>
      </w:pPr>
    </w:p>
    <w:p w:rsidR="000A4026" w:rsidRPr="0049749B" w:rsidRDefault="000A4026" w:rsidP="000A4026">
      <w:pPr>
        <w:shd w:val="clear" w:color="auto" w:fill="FFFFFF" w:themeFill="background1"/>
        <w:rPr>
          <w:rFonts w:ascii="Arial" w:hAnsi="Arial" w:cs="Arial"/>
          <w:lang w:val="en-US"/>
        </w:rPr>
      </w:pPr>
      <w:r w:rsidRPr="0049749B">
        <w:rPr>
          <w:rFonts w:ascii="Arial" w:hAnsi="Arial" w:cs="Arial"/>
          <w:lang w:val="en-US"/>
        </w:rPr>
        <w:t>Hence, we support ISDA proposal to amend the title and text of Article 2 as follows:</w:t>
      </w:r>
    </w:p>
    <w:p w:rsidR="000A4026" w:rsidRPr="0049749B" w:rsidRDefault="000A4026" w:rsidP="000A4026">
      <w:pPr>
        <w:shd w:val="clear" w:color="auto" w:fill="FFFFFF" w:themeFill="background1"/>
        <w:rPr>
          <w:rFonts w:ascii="Arial" w:hAnsi="Arial" w:cs="Arial"/>
          <w:i/>
          <w:lang w:val="en-US"/>
        </w:rPr>
      </w:pPr>
      <w:r w:rsidRPr="0049749B">
        <w:rPr>
          <w:rFonts w:ascii="Arial" w:hAnsi="Arial" w:cs="Arial"/>
          <w:lang w:val="en-US"/>
        </w:rPr>
        <w:tab/>
      </w:r>
      <w:r w:rsidRPr="0049749B">
        <w:rPr>
          <w:rFonts w:ascii="Arial" w:hAnsi="Arial" w:cs="Arial"/>
          <w:i/>
          <w:lang w:val="en-US"/>
        </w:rPr>
        <w:t>“Cleared transactions</w:t>
      </w:r>
    </w:p>
    <w:p w:rsidR="000A4026" w:rsidRPr="0049749B" w:rsidRDefault="000A4026" w:rsidP="000A4026">
      <w:pPr>
        <w:shd w:val="clear" w:color="auto" w:fill="FFFFFF" w:themeFill="background1"/>
        <w:ind w:left="708"/>
        <w:rPr>
          <w:rFonts w:ascii="Arial" w:hAnsi="Arial" w:cs="Arial"/>
          <w:i/>
          <w:lang w:val="en-US"/>
        </w:rPr>
      </w:pPr>
      <w:r w:rsidRPr="0049749B">
        <w:rPr>
          <w:rFonts w:ascii="Arial" w:hAnsi="Arial" w:cs="Arial"/>
          <w:i/>
          <w:lang w:val="en-US"/>
        </w:rPr>
        <w:t xml:space="preserve">Chapter II of these RTS should be applied to a transaction which is either </w:t>
      </w:r>
      <w:proofErr w:type="spellStart"/>
      <w:r w:rsidRPr="0049749B">
        <w:rPr>
          <w:rFonts w:ascii="Arial" w:hAnsi="Arial" w:cs="Arial"/>
          <w:i/>
          <w:lang w:val="en-US"/>
        </w:rPr>
        <w:t>i</w:t>
      </w:r>
      <w:proofErr w:type="spellEnd"/>
      <w:r w:rsidRPr="0049749B">
        <w:rPr>
          <w:rFonts w:ascii="Arial" w:hAnsi="Arial" w:cs="Arial"/>
          <w:i/>
          <w:lang w:val="en-US"/>
        </w:rPr>
        <w:t>) cleared in accordance with Article 29 (1) of Regulation (EU) N° 600/2014, ii) subject to the clearing obligation in accordance with Article ‘ of Regulation (EU) N° 648/2012 or iii) voluntarily cleared. Section 1 shall apply only to trades that are executed on a trading venue”.</w:t>
      </w:r>
    </w:p>
    <w:p w:rsidR="000A4026" w:rsidRPr="0049749B" w:rsidRDefault="000A4026" w:rsidP="000A4026">
      <w:pPr>
        <w:shd w:val="clear" w:color="auto" w:fill="FFFFFF" w:themeFill="background1"/>
        <w:rPr>
          <w:rFonts w:ascii="Arial" w:hAnsi="Arial" w:cs="Arial"/>
          <w:lang w:val="en-US"/>
        </w:rPr>
      </w:pPr>
      <w:r w:rsidRPr="0049749B">
        <w:rPr>
          <w:rFonts w:ascii="Arial" w:hAnsi="Arial" w:cs="Arial"/>
          <w:lang w:val="en-US"/>
        </w:rPr>
        <w:t>The title of Chapter II, Section 1 should be amended to read “Cleared transactions executed on a trading venue”.</w:t>
      </w:r>
    </w:p>
    <w:p w:rsidR="000A4026" w:rsidRPr="0049749B" w:rsidRDefault="000A4026" w:rsidP="000A4026">
      <w:pPr>
        <w:shd w:val="clear" w:color="auto" w:fill="FFFFFF" w:themeFill="background1"/>
        <w:rPr>
          <w:rFonts w:ascii="Arial" w:hAnsi="Arial" w:cs="Arial"/>
          <w:lang w:val="en-US"/>
        </w:rPr>
      </w:pPr>
      <w:r w:rsidRPr="0049749B">
        <w:rPr>
          <w:rFonts w:ascii="Arial" w:hAnsi="Arial" w:cs="Arial"/>
          <w:lang w:val="en-US"/>
        </w:rPr>
        <w:t>The references to “referred to in Article 2” in Articles 3.1, 4.1 and 4.2 should be deleted.</w:t>
      </w:r>
    </w:p>
    <w:p w:rsidR="000A4026" w:rsidRPr="0049749B" w:rsidRDefault="000A4026" w:rsidP="000A4026">
      <w:pPr>
        <w:shd w:val="clear" w:color="auto" w:fill="FFFFFF" w:themeFill="background1"/>
        <w:rPr>
          <w:rFonts w:ascii="Arial" w:hAnsi="Arial" w:cs="Arial"/>
          <w:lang w:val="en-US"/>
        </w:rPr>
      </w:pPr>
      <w:r w:rsidRPr="0049749B">
        <w:rPr>
          <w:rFonts w:ascii="Arial" w:hAnsi="Arial" w:cs="Arial"/>
          <w:lang w:val="en-US"/>
        </w:rPr>
        <w:t>The title of Chapter II, Section 2 should be amended to read “Cleared transactions executed on a bilateral basis”.</w:t>
      </w:r>
    </w:p>
    <w:p w:rsidR="000A4026" w:rsidRPr="0049749B" w:rsidRDefault="000A4026" w:rsidP="000A4026">
      <w:pPr>
        <w:shd w:val="clear" w:color="auto" w:fill="FFFFFF" w:themeFill="background1"/>
        <w:rPr>
          <w:rFonts w:ascii="Arial" w:hAnsi="Arial" w:cs="Arial"/>
          <w:lang w:val="en-US"/>
        </w:rPr>
      </w:pPr>
      <w:r w:rsidRPr="0049749B">
        <w:rPr>
          <w:rFonts w:ascii="Arial" w:hAnsi="Arial" w:cs="Arial"/>
          <w:lang w:val="en-US"/>
        </w:rPr>
        <w:t>Sections 3 and Article 6 should be deleted.</w:t>
      </w:r>
    </w:p>
    <w:p w:rsidR="000A4026" w:rsidRPr="0049749B" w:rsidRDefault="000A4026" w:rsidP="000A4026">
      <w:pPr>
        <w:shd w:val="clear" w:color="auto" w:fill="FFFFFF" w:themeFill="background1"/>
        <w:rPr>
          <w:rFonts w:ascii="Arial" w:hAnsi="Arial" w:cs="Arial"/>
          <w:b/>
          <w:lang w:val="en-US"/>
        </w:rPr>
      </w:pPr>
    </w:p>
    <w:p w:rsidR="000A4026" w:rsidRPr="0049749B" w:rsidRDefault="000A4026" w:rsidP="000A4026">
      <w:pPr>
        <w:shd w:val="clear" w:color="auto" w:fill="FFFFFF" w:themeFill="background1"/>
        <w:rPr>
          <w:rFonts w:ascii="Arial" w:hAnsi="Arial" w:cs="Arial"/>
          <w:b/>
          <w:lang w:val="en-US"/>
        </w:rPr>
      </w:pPr>
      <w:r w:rsidRPr="0049749B">
        <w:rPr>
          <w:rFonts w:ascii="Arial" w:hAnsi="Arial" w:cs="Arial"/>
          <w:b/>
          <w:lang w:val="en-US"/>
        </w:rPr>
        <w:t>Timeframes for transactions executed on venues</w:t>
      </w:r>
    </w:p>
    <w:p w:rsidR="000A4026" w:rsidRPr="0049749B" w:rsidRDefault="000A4026" w:rsidP="000A4026">
      <w:pPr>
        <w:shd w:val="clear" w:color="auto" w:fill="FFFFFF" w:themeFill="background1"/>
        <w:rPr>
          <w:rFonts w:ascii="Arial" w:hAnsi="Arial" w:cs="Arial"/>
          <w:lang w:val="en-US"/>
        </w:rPr>
      </w:pPr>
      <w:r w:rsidRPr="0049749B">
        <w:rPr>
          <w:rFonts w:ascii="Arial" w:hAnsi="Arial" w:cs="Arial"/>
          <w:lang w:val="en-US"/>
        </w:rPr>
        <w:lastRenderedPageBreak/>
        <w:t>We support a shorter timeframe for electronic trades than for non-electronic trades. Whilst in electronic trading, there is no opportunity for manual error and the process is sufficiently automated, clearing should be a matter of seconds, by contra</w:t>
      </w:r>
      <w:r w:rsidR="0099347D">
        <w:rPr>
          <w:rFonts w:ascii="Arial" w:hAnsi="Arial" w:cs="Arial"/>
          <w:lang w:val="en-US"/>
        </w:rPr>
        <w:t>s</w:t>
      </w:r>
      <w:r w:rsidRPr="0049749B">
        <w:rPr>
          <w:rFonts w:ascii="Arial" w:hAnsi="Arial" w:cs="Arial"/>
          <w:lang w:val="en-US"/>
        </w:rPr>
        <w:t xml:space="preserve">t, in non-electronic </w:t>
      </w:r>
      <w:proofErr w:type="gramStart"/>
      <w:r w:rsidRPr="0049749B">
        <w:rPr>
          <w:rFonts w:ascii="Arial" w:hAnsi="Arial" w:cs="Arial"/>
          <w:lang w:val="en-US"/>
        </w:rPr>
        <w:t>trading,</w:t>
      </w:r>
      <w:proofErr w:type="gramEnd"/>
      <w:r w:rsidRPr="0049749B">
        <w:rPr>
          <w:rFonts w:ascii="Arial" w:hAnsi="Arial" w:cs="Arial"/>
          <w:lang w:val="en-US"/>
        </w:rPr>
        <w:t xml:space="preserve"> additional steps need to be performed in order to check the accuracy of the trade.</w:t>
      </w:r>
    </w:p>
    <w:p w:rsidR="000A4026" w:rsidRPr="0049749B" w:rsidRDefault="000A4026" w:rsidP="000A4026">
      <w:pPr>
        <w:shd w:val="clear" w:color="auto" w:fill="FFFFFF" w:themeFill="background1"/>
        <w:rPr>
          <w:rFonts w:ascii="Arial" w:hAnsi="Arial" w:cs="Arial"/>
          <w:u w:val="single"/>
          <w:lang w:val="en-US"/>
        </w:rPr>
      </w:pPr>
      <w:r w:rsidRPr="0049749B">
        <w:rPr>
          <w:rFonts w:ascii="Arial" w:hAnsi="Arial" w:cs="Arial"/>
          <w:lang w:val="en-US"/>
        </w:rPr>
        <w:t xml:space="preserve">We agree that for trades executed electronically the timing of 10 seconds for the transfer of information from the trading venue to the CCP as set out in the draft RTS is appropriate and </w:t>
      </w:r>
      <w:r w:rsidRPr="0049749B">
        <w:rPr>
          <w:rFonts w:ascii="Arial" w:hAnsi="Arial" w:cs="Arial"/>
          <w:u w:val="single"/>
          <w:lang w:val="en-US"/>
        </w:rPr>
        <w:t>the trade should be void if it fails to clear, like in the US.</w:t>
      </w:r>
    </w:p>
    <w:p w:rsidR="000A4026" w:rsidRPr="0049749B" w:rsidRDefault="000A4026" w:rsidP="000A4026">
      <w:pPr>
        <w:shd w:val="clear" w:color="auto" w:fill="FFFFFF" w:themeFill="background1"/>
        <w:rPr>
          <w:rFonts w:ascii="Arial" w:hAnsi="Arial" w:cs="Arial"/>
          <w:lang w:val="en-US"/>
        </w:rPr>
      </w:pPr>
      <w:r w:rsidRPr="0049749B">
        <w:rPr>
          <w:rFonts w:ascii="Arial" w:hAnsi="Arial" w:cs="Arial"/>
          <w:lang w:val="en-US"/>
        </w:rPr>
        <w:t xml:space="preserve">For trades executed non-electronically, the trades should be processed as quickly as possible but at a pace allowing market operators to check the accuracy of the trades. </w:t>
      </w:r>
    </w:p>
    <w:p w:rsidR="000A4026" w:rsidRPr="0049749B" w:rsidRDefault="000A4026" w:rsidP="000A4026">
      <w:pPr>
        <w:shd w:val="clear" w:color="auto" w:fill="FFFFFF" w:themeFill="background1"/>
        <w:rPr>
          <w:rFonts w:ascii="Arial" w:hAnsi="Arial" w:cs="Arial"/>
          <w:lang w:val="en-US"/>
        </w:rPr>
      </w:pPr>
      <w:r w:rsidRPr="0049749B">
        <w:rPr>
          <w:rFonts w:ascii="Arial" w:hAnsi="Arial" w:cs="Arial"/>
          <w:lang w:val="en-US"/>
        </w:rPr>
        <w:t>We suggest a three step approach: - a first timeframe from the submission by a trading venue to a post trade affirmation process within 10 seconds from execution, and – a second timeframe during which the parties would have 10 minutes to complete the affirmation process, and –a third timeframe from the completion of the affirmation process to the submission to the CCP within 10 seconds.  Hence, a total of 10 minutes 20 seconds if all works well.</w:t>
      </w:r>
    </w:p>
    <w:p w:rsidR="000A4026" w:rsidRPr="0049749B" w:rsidRDefault="000A4026" w:rsidP="000A4026">
      <w:pPr>
        <w:shd w:val="clear" w:color="auto" w:fill="FFFFFF" w:themeFill="background1"/>
        <w:rPr>
          <w:rFonts w:ascii="Arial" w:hAnsi="Arial" w:cs="Arial"/>
          <w:lang w:val="en-US"/>
        </w:rPr>
      </w:pPr>
    </w:p>
    <w:p w:rsidR="000A4026" w:rsidRPr="0049749B" w:rsidRDefault="000A4026" w:rsidP="000A4026">
      <w:pPr>
        <w:shd w:val="clear" w:color="auto" w:fill="FFFFFF" w:themeFill="background1"/>
        <w:rPr>
          <w:rFonts w:ascii="Arial" w:hAnsi="Arial" w:cs="Arial"/>
          <w:b/>
          <w:lang w:val="en-US"/>
        </w:rPr>
      </w:pPr>
      <w:r w:rsidRPr="0049749B">
        <w:rPr>
          <w:rFonts w:ascii="Arial" w:hAnsi="Arial" w:cs="Arial"/>
          <w:b/>
          <w:lang w:val="en-US"/>
        </w:rPr>
        <w:t>Timeframes for transactions executed bilaterally</w:t>
      </w:r>
    </w:p>
    <w:p w:rsidR="000A4026" w:rsidRPr="0049749B" w:rsidRDefault="000A4026" w:rsidP="000A4026">
      <w:pPr>
        <w:shd w:val="clear" w:color="auto" w:fill="FFFFFF" w:themeFill="background1"/>
        <w:rPr>
          <w:rFonts w:ascii="Arial" w:hAnsi="Arial" w:cs="Arial"/>
          <w:lang w:val="en-US"/>
        </w:rPr>
      </w:pPr>
      <w:r w:rsidRPr="0049749B">
        <w:rPr>
          <w:rFonts w:ascii="Arial" w:hAnsi="Arial" w:cs="Arial"/>
          <w:lang w:val="en-US"/>
        </w:rPr>
        <w:t>We do not agree with ESMA proposal to impose a timeframe of 30 minutes from execution to clearing for trades executed bilaterally.</w:t>
      </w:r>
    </w:p>
    <w:p w:rsidR="000A4026" w:rsidRPr="0049749B" w:rsidRDefault="000A4026" w:rsidP="000A4026">
      <w:pPr>
        <w:shd w:val="clear" w:color="auto" w:fill="FFFFFF" w:themeFill="background1"/>
        <w:rPr>
          <w:rFonts w:ascii="Arial" w:hAnsi="Arial" w:cs="Arial"/>
          <w:lang w:val="en-US"/>
        </w:rPr>
      </w:pPr>
      <w:r w:rsidRPr="0049749B">
        <w:rPr>
          <w:rFonts w:ascii="Arial" w:hAnsi="Arial" w:cs="Arial"/>
          <w:lang w:val="en-US"/>
        </w:rPr>
        <w:t>The US and EU versions of the ISDA/FIA cleared derivatives execution agreement (CDEA) which is in the process of being widely adopted by market participants stipulate a timeframe of 150 minutes. Should this timeframe be reduced, it would force the industry to revisit this market standard, which is never an easy task. In addition, US regulators do not impose any timeframe on transactions executed bilaterally.</w:t>
      </w:r>
    </w:p>
    <w:p w:rsidR="000A4026" w:rsidRPr="0049749B" w:rsidRDefault="000A4026" w:rsidP="000A4026">
      <w:pPr>
        <w:shd w:val="clear" w:color="auto" w:fill="FFFFFF" w:themeFill="background1"/>
        <w:rPr>
          <w:rFonts w:ascii="Arial" w:hAnsi="Arial" w:cs="Arial"/>
          <w:lang w:val="en-US"/>
        </w:rPr>
      </w:pPr>
      <w:r w:rsidRPr="0049749B">
        <w:rPr>
          <w:rFonts w:ascii="Arial" w:hAnsi="Arial" w:cs="Arial"/>
          <w:lang w:val="en-US"/>
        </w:rPr>
        <w:t xml:space="preserve">We fully support </w:t>
      </w:r>
      <w:proofErr w:type="gramStart"/>
      <w:r w:rsidRPr="0049749B">
        <w:rPr>
          <w:rFonts w:ascii="Arial" w:hAnsi="Arial" w:cs="Arial"/>
          <w:lang w:val="en-US"/>
        </w:rPr>
        <w:t>At</w:t>
      </w:r>
      <w:proofErr w:type="gramEnd"/>
      <w:r w:rsidRPr="0049749B">
        <w:rPr>
          <w:rFonts w:ascii="Arial" w:hAnsi="Arial" w:cs="Arial"/>
          <w:lang w:val="en-US"/>
        </w:rPr>
        <w:t>. 7.3, which makes clear that the treatment of a bilaterally agreed trade which is subsequently rejected by a CCP must be determined by contract between the parties. We think that the CDEA, which stipulates solutions to breakage risks between the counterparties, provides such appropriate contractual framework.</w:t>
      </w:r>
    </w:p>
    <w:permEnd w:id="249"/>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3E27CD" w:rsidP="00EC2C93">
      <w:pPr>
        <w:keepNext/>
      </w:pPr>
      <w:permStart w:id="250" w:edGrp="everyone"/>
      <w:r w:rsidRPr="001F2AF7">
        <w:rPr>
          <w:iCs/>
        </w:rPr>
        <w:t>We agree that the clearing member should receive the information on the bilateral trades as soon as possible and hence we believe that the proposed 60 sec. for the information to be provided by the CCP to the clearing member is appropriate and that the timeframe for the clearing member to accept or reject the trade should be set at a level which allows clearing members to perform proper credit risk check</w:t>
      </w:r>
      <w:r w:rsidR="00C50897">
        <w:rPr>
          <w:i/>
          <w:iCs/>
        </w:rPr>
        <w:t xml:space="preserve">. </w:t>
      </w:r>
      <w:permEnd w:id="250"/>
      <w:r w:rsidR="00577C33">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0A4026" w:rsidRPr="0049749B" w:rsidRDefault="000A4026" w:rsidP="000A4026">
      <w:pPr>
        <w:shd w:val="clear" w:color="auto" w:fill="FFFFFF" w:themeFill="background1"/>
        <w:rPr>
          <w:rFonts w:ascii="Arial" w:hAnsi="Arial" w:cs="Arial"/>
          <w:lang w:val="en-US"/>
        </w:rPr>
      </w:pPr>
      <w:permStart w:id="251" w:edGrp="everyone"/>
      <w:r w:rsidRPr="0049749B">
        <w:rPr>
          <w:rFonts w:ascii="Arial" w:hAnsi="Arial" w:cs="Arial"/>
          <w:lang w:val="en-US"/>
        </w:rPr>
        <w:t xml:space="preserve">We support the objective of having a common timeframe for CCP acceptance /rejection for all categories of transactions and believe that 10 sec. is the appropriate timeframe. </w:t>
      </w:r>
    </w:p>
    <w:permEnd w:id="251"/>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lastRenderedPageBreak/>
        <w:t>&lt;ESMA_QUESTION_CP_MIFID_243&gt;</w:t>
      </w:r>
    </w:p>
    <w:p w:rsidR="000A4026" w:rsidRPr="0049749B" w:rsidRDefault="000A4026" w:rsidP="000A4026">
      <w:pPr>
        <w:shd w:val="clear" w:color="auto" w:fill="FFFFFF" w:themeFill="background1"/>
        <w:rPr>
          <w:rFonts w:ascii="Arial" w:hAnsi="Arial" w:cs="Arial"/>
          <w:lang w:val="en-US"/>
        </w:rPr>
      </w:pPr>
      <w:permStart w:id="252" w:edGrp="everyone"/>
      <w:r w:rsidRPr="0049749B">
        <w:rPr>
          <w:rFonts w:ascii="Arial" w:hAnsi="Arial" w:cs="Arial"/>
          <w:lang w:val="en-US"/>
        </w:rPr>
        <w:t xml:space="preserve">We believe that only electronic trades should be subject to the voidance </w:t>
      </w:r>
      <w:proofErr w:type="spellStart"/>
      <w:r w:rsidRPr="0049749B">
        <w:rPr>
          <w:rFonts w:ascii="Arial" w:hAnsi="Arial" w:cs="Arial"/>
          <w:lang w:val="en-US"/>
        </w:rPr>
        <w:t>ab</w:t>
      </w:r>
      <w:proofErr w:type="spellEnd"/>
      <w:r w:rsidRPr="0049749B">
        <w:rPr>
          <w:rFonts w:ascii="Arial" w:hAnsi="Arial" w:cs="Arial"/>
          <w:lang w:val="en-US"/>
        </w:rPr>
        <w:t xml:space="preserve"> initio rule. For non electronic trades there should be no legal requirement; it should be left to trading venue and contract rules as for these trades some steps must be accomplished in a non-fully automated way to check the details of the transaction.</w:t>
      </w:r>
    </w:p>
    <w:p w:rsidR="000A4026" w:rsidRPr="0049749B" w:rsidRDefault="000A4026" w:rsidP="000A4026">
      <w:pPr>
        <w:shd w:val="clear" w:color="auto" w:fill="FFFFFF" w:themeFill="background1"/>
        <w:rPr>
          <w:rFonts w:ascii="Arial" w:hAnsi="Arial" w:cs="Arial"/>
          <w:lang w:val="en-US"/>
        </w:rPr>
      </w:pPr>
      <w:r w:rsidRPr="0049749B">
        <w:rPr>
          <w:rFonts w:ascii="Arial" w:hAnsi="Arial" w:cs="Arial"/>
          <w:lang w:val="en-US"/>
        </w:rPr>
        <w:t xml:space="preserve">We are of the opinion that there should always be an opportunity for the counterparties to re-submit a trade to clearing (even the electronic trades subject to the voidance rule) and that this re-submission should occur within 10 sec. as proposed in the RTS. </w:t>
      </w:r>
    </w:p>
    <w:p w:rsidR="000A4026" w:rsidRPr="0049749B" w:rsidRDefault="000A4026" w:rsidP="000A4026">
      <w:pPr>
        <w:shd w:val="clear" w:color="auto" w:fill="FFFFFF" w:themeFill="background1"/>
        <w:rPr>
          <w:rFonts w:ascii="Arial" w:hAnsi="Arial" w:cs="Arial"/>
          <w:lang w:val="en-US"/>
        </w:rPr>
      </w:pPr>
      <w:r w:rsidRPr="0049749B">
        <w:rPr>
          <w:rFonts w:ascii="Arial" w:hAnsi="Arial" w:cs="Arial"/>
          <w:lang w:val="en-US"/>
        </w:rPr>
        <w:t>Finally, it is essential that original counterparties to a trade be informed on a real time basis whether a trade is accepted or rejected by the CCP. The RTS mention the term “clearing member” generally, whilst a clearing member may be acting as an executing broker or clearing broker rule.  We therefore support the following ISDA’s proposals for amendments:</w:t>
      </w:r>
    </w:p>
    <w:p w:rsidR="000A4026" w:rsidRPr="0049749B" w:rsidRDefault="000A4026" w:rsidP="000A4026">
      <w:pPr>
        <w:shd w:val="clear" w:color="auto" w:fill="FFFFFF" w:themeFill="background1"/>
        <w:rPr>
          <w:rFonts w:ascii="Arial" w:hAnsi="Arial" w:cs="Arial"/>
          <w:lang w:val="en-US"/>
        </w:rPr>
      </w:pPr>
    </w:p>
    <w:p w:rsidR="000A4026" w:rsidRPr="0049749B" w:rsidRDefault="000A4026" w:rsidP="000A4026">
      <w:pPr>
        <w:shd w:val="clear" w:color="auto" w:fill="FFFFFF" w:themeFill="background1"/>
        <w:ind w:left="705"/>
        <w:rPr>
          <w:rFonts w:ascii="Arial" w:hAnsi="Arial" w:cs="Arial"/>
          <w:i/>
          <w:lang w:val="en-US"/>
        </w:rPr>
      </w:pPr>
      <w:r w:rsidRPr="0049749B">
        <w:rPr>
          <w:rFonts w:ascii="Arial" w:hAnsi="Arial" w:cs="Arial"/>
          <w:i/>
          <w:lang w:val="en-US"/>
        </w:rPr>
        <w:t>“The trading venue should develop, and be required, to use, appropriate communication tools to inform the counterparties of the acceptance/rejection of the trade on a real time basis.</w:t>
      </w:r>
    </w:p>
    <w:p w:rsidR="000A4026" w:rsidRPr="0049749B" w:rsidRDefault="000A4026" w:rsidP="000A4026">
      <w:pPr>
        <w:shd w:val="clear" w:color="auto" w:fill="FFFFFF" w:themeFill="background1"/>
        <w:rPr>
          <w:rFonts w:ascii="Arial" w:hAnsi="Arial" w:cs="Arial"/>
          <w:lang w:val="en-US"/>
        </w:rPr>
      </w:pPr>
      <w:r w:rsidRPr="0049749B">
        <w:rPr>
          <w:rFonts w:ascii="Arial" w:hAnsi="Arial" w:cs="Arial"/>
          <w:lang w:val="en-US"/>
        </w:rPr>
        <w:t xml:space="preserve">Article 6.2- Insert “, as the case may be,” after the word “counterparties” and further add the sentence </w:t>
      </w:r>
      <w:r w:rsidRPr="0049749B">
        <w:rPr>
          <w:rFonts w:ascii="Arial" w:hAnsi="Arial" w:cs="Arial"/>
          <w:i/>
          <w:lang w:val="en-US"/>
        </w:rPr>
        <w:t>“Trading venues should develop, and be required to use, appropriate communication tools to inform the counterparties of the acceptance/rejection of the trade on a real time basis”</w:t>
      </w:r>
      <w:r w:rsidRPr="0049749B">
        <w:rPr>
          <w:rFonts w:ascii="Arial" w:hAnsi="Arial" w:cs="Arial"/>
          <w:lang w:val="en-US"/>
        </w:rPr>
        <w:t xml:space="preserve"> at the end of the paragraph.</w:t>
      </w:r>
    </w:p>
    <w:p w:rsidR="000A4026" w:rsidRPr="0049749B" w:rsidRDefault="000A4026" w:rsidP="000A4026">
      <w:pPr>
        <w:shd w:val="clear" w:color="auto" w:fill="FFFFFF" w:themeFill="background1"/>
        <w:rPr>
          <w:rFonts w:ascii="Arial" w:hAnsi="Arial" w:cs="Arial"/>
          <w:lang w:val="en-US"/>
        </w:rPr>
      </w:pPr>
      <w:r w:rsidRPr="0049749B">
        <w:rPr>
          <w:rFonts w:ascii="Arial" w:hAnsi="Arial" w:cs="Arial"/>
          <w:lang w:val="en-US"/>
        </w:rPr>
        <w:t>Article 7.4 should be amended by replacing 10 seconds with 30 minutes and deleting “to 3”.</w:t>
      </w:r>
    </w:p>
    <w:permEnd w:id="252"/>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085444" w:rsidRPr="00085444" w:rsidRDefault="00085444" w:rsidP="00085444">
      <w:pPr>
        <w:pStyle w:val="NormalWeb"/>
        <w:jc w:val="both"/>
        <w:rPr>
          <w:sz w:val="22"/>
          <w:szCs w:val="22"/>
          <w:lang w:val="en-US"/>
        </w:rPr>
      </w:pPr>
      <w:permStart w:id="253" w:edGrp="everyone"/>
      <w:r w:rsidRPr="00085444">
        <w:rPr>
          <w:rFonts w:ascii="Arial" w:hAnsi="Arial" w:cs="Arial"/>
          <w:sz w:val="22"/>
          <w:szCs w:val="22"/>
          <w:lang w:val="en-US"/>
        </w:rPr>
        <w:t>We support AFTI response and find that the proposed criteria for indirect clearing structures generally make sense. However, we would like to remind the differences in functioning of the exchange-traded derivatives (ETD) structures and the related structures for the clearing of OTC derivatives.</w:t>
      </w:r>
      <w:r w:rsidRPr="00085444">
        <w:rPr>
          <w:sz w:val="22"/>
          <w:szCs w:val="22"/>
          <w:lang w:val="en-US"/>
        </w:rPr>
        <w:t xml:space="preserve"> </w:t>
      </w:r>
    </w:p>
    <w:p w:rsidR="00085444" w:rsidRDefault="00085444" w:rsidP="00085444">
      <w:pPr>
        <w:pStyle w:val="NormalWeb"/>
        <w:jc w:val="both"/>
        <w:rPr>
          <w:lang w:val="en-US"/>
        </w:rPr>
      </w:pPr>
      <w:r w:rsidRPr="00085444">
        <w:rPr>
          <w:rFonts w:ascii="Arial" w:hAnsi="Arial" w:cs="Arial"/>
          <w:sz w:val="22"/>
          <w:szCs w:val="22"/>
          <w:lang w:val="en-US"/>
        </w:rPr>
        <w:t>Whilst indirect clearing is an established practice in the ETD world, it is not in the OTC one. Therefore, different solutions may apply to ETD and OTC and one should be careful not to apply solutions that would render the functioning ETD indirect clearing structures inadequate or would eliminate the incentives to provide indirect clearing</w:t>
      </w:r>
      <w:r>
        <w:rPr>
          <w:rFonts w:ascii="Arial" w:hAnsi="Arial" w:cs="Arial"/>
          <w:lang w:val="en-US"/>
        </w:rPr>
        <w:t xml:space="preserve">. </w:t>
      </w:r>
    </w:p>
    <w:permEnd w:id="253"/>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D27ABE" w:rsidP="00EC2C93">
      <w:pPr>
        <w:keepNext/>
      </w:pPr>
      <w:permStart w:id="254" w:edGrp="everyone"/>
      <w:r>
        <w:t>No comment.</w:t>
      </w:r>
    </w:p>
    <w:permEnd w:id="254"/>
    <w:p w:rsidR="00577C33" w:rsidRDefault="00577C33" w:rsidP="00EC2C93">
      <w:pPr>
        <w:keepNext/>
      </w:pPr>
      <w:r>
        <w:t>&lt;ESMA_QUESTION_CP_MIFID_245&gt;</w:t>
      </w:r>
    </w:p>
    <w:p w:rsidR="00577C33" w:rsidRDefault="00577C33" w:rsidP="00EC2C93">
      <w:pPr>
        <w:keepNext/>
      </w:pPr>
    </w:p>
    <w:sectPr w:rsidR="00577C33" w:rsidSect="00192A12">
      <w:headerReference w:type="default" r:id="rId13"/>
      <w:footerReference w:type="default" r:id="rId14"/>
      <w:pgSz w:w="11906" w:h="16838"/>
      <w:pgMar w:top="1702"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DC6" w:rsidRDefault="00D34DC6" w:rsidP="007E7997">
      <w:pPr>
        <w:spacing w:line="240" w:lineRule="auto"/>
      </w:pPr>
      <w:r>
        <w:separator/>
      </w:r>
    </w:p>
  </w:endnote>
  <w:endnote w:type="continuationSeparator" w:id="0">
    <w:p w:rsidR="00D34DC6" w:rsidRDefault="00D34DC6" w:rsidP="007E799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BB1" w:rsidRDefault="00D33BB1">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1814451"/>
      <w:docPartObj>
        <w:docPartGallery w:val="Page Numbers (Bottom of Page)"/>
        <w:docPartUnique/>
      </w:docPartObj>
    </w:sdtPr>
    <w:sdtEndPr>
      <w:rPr>
        <w:noProof/>
      </w:rPr>
    </w:sdtEndPr>
    <w:sdtContent>
      <w:p w:rsidR="00D33BB1" w:rsidRDefault="005A4791" w:rsidP="00375BA2">
        <w:pPr>
          <w:pStyle w:val="Footer"/>
          <w:jc w:val="right"/>
        </w:pPr>
        <w:fldSimple w:instr=" PAGE   \* MERGEFORMAT ">
          <w:r w:rsidR="001F2AF7">
            <w:rPr>
              <w:noProof/>
            </w:rPr>
            <w:t>96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DC6" w:rsidRDefault="00D34DC6" w:rsidP="007E7997">
      <w:pPr>
        <w:spacing w:line="240" w:lineRule="auto"/>
      </w:pPr>
      <w:r>
        <w:separator/>
      </w:r>
    </w:p>
  </w:footnote>
  <w:footnote w:type="continuationSeparator" w:id="0">
    <w:p w:rsidR="00D34DC6" w:rsidRDefault="00D34DC6" w:rsidP="007E7997">
      <w:pPr>
        <w:spacing w:line="240" w:lineRule="auto"/>
      </w:pPr>
      <w:r>
        <w:continuationSeparator/>
      </w:r>
    </w:p>
  </w:footnote>
  <w:footnote w:id="1">
    <w:p w:rsidR="00D33BB1" w:rsidRPr="00AA7A30" w:rsidRDefault="00D33BB1"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BB1" w:rsidRDefault="00D33BB1">
    <w:pPr>
      <w:pStyle w:val="Header"/>
    </w:pPr>
    <w:r>
      <w:rPr>
        <w:noProof/>
        <w:lang w:val="fr-FR" w:eastAsia="fr-FR"/>
      </w:rPr>
      <w:drawing>
        <wp:anchor distT="0" distB="0" distL="114300" distR="114300" simplePos="0" relativeHeight="251661312" behindDoc="0" locked="0" layoutInCell="1" allowOverlap="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800" cy="904875"/>
                  </a:xfrm>
                  <a:prstGeom prst="rect">
                    <a:avLst/>
                  </a:prstGeom>
                  <a:noFill/>
                </pic:spPr>
              </pic:pic>
            </a:graphicData>
          </a:graphic>
        </wp:anchor>
      </w:drawing>
    </w:r>
    <w:r>
      <w:rPr>
        <w:noProof/>
        <w:lang w:val="fr-FR" w:eastAsia="fr-FR"/>
      </w:rPr>
      <w:drawing>
        <wp:anchor distT="0" distB="0" distL="114300" distR="114300" simplePos="0" relativeHeight="251659264" behindDoc="1" locked="0" layoutInCell="1" allowOverlap="1">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0310" cy="680085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BB1" w:rsidRDefault="00D33BB1" w:rsidP="00B50534">
    <w:pPr>
      <w:pStyle w:val="Header"/>
      <w:jc w:val="right"/>
      <w:rPr>
        <w:b/>
        <w:color w:val="FF0000"/>
      </w:rPr>
    </w:pPr>
  </w:p>
  <w:p w:rsidR="00D33BB1" w:rsidRDefault="005A4791" w:rsidP="00B50534">
    <w:pPr>
      <w:pStyle w:val="Header"/>
      <w:jc w:val="right"/>
      <w:rPr>
        <w:b/>
        <w:color w:val="FF0000"/>
      </w:rPr>
    </w:pPr>
    <w:r w:rsidRPr="005A4791">
      <w:rPr>
        <w:rFonts w:ascii="Arial" w:hAnsi="Arial" w:cs="Arial"/>
        <w:noProof/>
        <w:lang w:eastAsia="en-GB"/>
      </w:rPr>
      <w:pict>
        <v:line id="Line 16" o:spid="_x0000_s4097" style="position:absolute;left:0;text-align:left;z-index:251672576;visibility:visible;mso-position-horizontal-relative:page;mso-position-vertical-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w:r>
  </w:p>
  <w:p w:rsidR="00D33BB1" w:rsidRPr="00B50534" w:rsidRDefault="00D33BB1" w:rsidP="00B50534">
    <w:pPr>
      <w:pStyle w:val="Header"/>
      <w:jc w:val="right"/>
      <w:rPr>
        <w:b/>
        <w:color w:val="FF0000"/>
      </w:rPr>
    </w:pPr>
    <w:r w:rsidRPr="0038331A">
      <w:rPr>
        <w:b/>
        <w:noProof/>
        <w:color w:val="FF0000"/>
        <w:sz w:val="20"/>
        <w:lang w:val="fr-FR" w:eastAsia="fr-FR"/>
      </w:rPr>
      <w:drawing>
        <wp:anchor distT="0" distB="0" distL="114300" distR="114300" simplePos="0" relativeHeight="251668480" behindDoc="0" locked="0" layoutInCell="1" allowOverlap="1">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56197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61C0"/>
    <w:multiLevelType w:val="hybridMultilevel"/>
    <w:tmpl w:val="435A535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nsid w:val="0C6F390E"/>
    <w:multiLevelType w:val="hybridMultilevel"/>
    <w:tmpl w:val="04765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14615E"/>
    <w:multiLevelType w:val="hybridMultilevel"/>
    <w:tmpl w:val="24C64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72FDA"/>
    <w:multiLevelType w:val="hybridMultilevel"/>
    <w:tmpl w:val="98C8DD36"/>
    <w:lvl w:ilvl="0" w:tplc="F8883F14">
      <w:start w:val="1"/>
      <w:numFmt w:val="bullet"/>
      <w:pStyle w:val="ListParagraph"/>
      <w:lvlText w:val=""/>
      <w:lvlJc w:val="left"/>
      <w:pPr>
        <w:ind w:left="1068" w:hanging="360"/>
      </w:pPr>
      <w:rPr>
        <w:rFonts w:ascii="Symbol" w:hAnsi="Symbol" w:hint="default"/>
      </w:rPr>
    </w:lvl>
    <w:lvl w:ilvl="1" w:tplc="04090003">
      <w:start w:val="1"/>
      <w:numFmt w:val="decimal"/>
      <w:lvlText w:val="%2."/>
      <w:lvlJc w:val="left"/>
      <w:pPr>
        <w:tabs>
          <w:tab w:val="num" w:pos="1068"/>
        </w:tabs>
        <w:ind w:left="1068" w:hanging="360"/>
      </w:pPr>
    </w:lvl>
    <w:lvl w:ilvl="2" w:tplc="04090005">
      <w:start w:val="1"/>
      <w:numFmt w:val="decimal"/>
      <w:lvlText w:val="%3."/>
      <w:lvlJc w:val="left"/>
      <w:pPr>
        <w:tabs>
          <w:tab w:val="num" w:pos="1788"/>
        </w:tabs>
        <w:ind w:left="1788" w:hanging="360"/>
      </w:pPr>
    </w:lvl>
    <w:lvl w:ilvl="3" w:tplc="04090001">
      <w:start w:val="1"/>
      <w:numFmt w:val="decimal"/>
      <w:lvlText w:val="%4."/>
      <w:lvlJc w:val="left"/>
      <w:pPr>
        <w:tabs>
          <w:tab w:val="num" w:pos="2508"/>
        </w:tabs>
        <w:ind w:left="2508" w:hanging="360"/>
      </w:pPr>
    </w:lvl>
    <w:lvl w:ilvl="4" w:tplc="04090003">
      <w:start w:val="1"/>
      <w:numFmt w:val="decimal"/>
      <w:lvlText w:val="%5."/>
      <w:lvlJc w:val="left"/>
      <w:pPr>
        <w:tabs>
          <w:tab w:val="num" w:pos="3228"/>
        </w:tabs>
        <w:ind w:left="3228" w:hanging="360"/>
      </w:pPr>
    </w:lvl>
    <w:lvl w:ilvl="5" w:tplc="04090005">
      <w:start w:val="1"/>
      <w:numFmt w:val="decimal"/>
      <w:lvlText w:val="%6."/>
      <w:lvlJc w:val="left"/>
      <w:pPr>
        <w:tabs>
          <w:tab w:val="num" w:pos="3948"/>
        </w:tabs>
        <w:ind w:left="3948" w:hanging="360"/>
      </w:pPr>
    </w:lvl>
    <w:lvl w:ilvl="6" w:tplc="04090001">
      <w:start w:val="1"/>
      <w:numFmt w:val="decimal"/>
      <w:lvlText w:val="%7."/>
      <w:lvlJc w:val="left"/>
      <w:pPr>
        <w:tabs>
          <w:tab w:val="num" w:pos="4668"/>
        </w:tabs>
        <w:ind w:left="4668" w:hanging="360"/>
      </w:pPr>
    </w:lvl>
    <w:lvl w:ilvl="7" w:tplc="04090003">
      <w:start w:val="1"/>
      <w:numFmt w:val="decimal"/>
      <w:lvlText w:val="%8."/>
      <w:lvlJc w:val="left"/>
      <w:pPr>
        <w:tabs>
          <w:tab w:val="num" w:pos="5388"/>
        </w:tabs>
        <w:ind w:left="5388" w:hanging="360"/>
      </w:pPr>
    </w:lvl>
    <w:lvl w:ilvl="8" w:tplc="04090005">
      <w:start w:val="1"/>
      <w:numFmt w:val="decimal"/>
      <w:lvlText w:val="%9."/>
      <w:lvlJc w:val="left"/>
      <w:pPr>
        <w:tabs>
          <w:tab w:val="num" w:pos="6108"/>
        </w:tabs>
        <w:ind w:left="6108" w:hanging="360"/>
      </w:pPr>
    </w:lvl>
  </w:abstractNum>
  <w:abstractNum w:abstractNumId="4">
    <w:nsid w:val="11B037C1"/>
    <w:multiLevelType w:val="hybridMultilevel"/>
    <w:tmpl w:val="47EEFF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3276AC8"/>
    <w:multiLevelType w:val="hybridMultilevel"/>
    <w:tmpl w:val="A0185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241F79"/>
    <w:multiLevelType w:val="hybridMultilevel"/>
    <w:tmpl w:val="10969FEA"/>
    <w:lvl w:ilvl="0" w:tplc="D7962EB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A2D77C7"/>
    <w:multiLevelType w:val="hybridMultilevel"/>
    <w:tmpl w:val="C50270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911628"/>
    <w:multiLevelType w:val="hybridMultilevel"/>
    <w:tmpl w:val="4A38935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F0A774F"/>
    <w:multiLevelType w:val="hybridMultilevel"/>
    <w:tmpl w:val="CC2AF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C85D2F"/>
    <w:multiLevelType w:val="hybridMultilevel"/>
    <w:tmpl w:val="303E0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CB02B1"/>
    <w:multiLevelType w:val="hybridMultilevel"/>
    <w:tmpl w:val="F13C4D38"/>
    <w:lvl w:ilvl="0" w:tplc="0E9A870A">
      <w:start w:val="1"/>
      <w:numFmt w:val="lowerRoman"/>
      <w:lvlText w:val="(%1)"/>
      <w:lvlJc w:val="left"/>
      <w:pPr>
        <w:ind w:left="1080" w:hanging="72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nsid w:val="232500C9"/>
    <w:multiLevelType w:val="hybridMultilevel"/>
    <w:tmpl w:val="92508B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5433D52"/>
    <w:multiLevelType w:val="hybridMultilevel"/>
    <w:tmpl w:val="C100D3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8BE49A1"/>
    <w:multiLevelType w:val="hybridMultilevel"/>
    <w:tmpl w:val="B0E4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AE2B28"/>
    <w:multiLevelType w:val="hybridMultilevel"/>
    <w:tmpl w:val="EB50F6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nsid w:val="33E05F51"/>
    <w:multiLevelType w:val="hybridMultilevel"/>
    <w:tmpl w:val="07AA82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F7D5DB7"/>
    <w:multiLevelType w:val="hybridMultilevel"/>
    <w:tmpl w:val="E98417B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nsid w:val="41690E25"/>
    <w:multiLevelType w:val="hybridMultilevel"/>
    <w:tmpl w:val="A3B02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4DE6299A"/>
    <w:multiLevelType w:val="hybridMultilevel"/>
    <w:tmpl w:val="935E1452"/>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FF8269E"/>
    <w:multiLevelType w:val="hybridMultilevel"/>
    <w:tmpl w:val="88EC35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09B7F96"/>
    <w:multiLevelType w:val="hybridMultilevel"/>
    <w:tmpl w:val="F88E1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4662472"/>
    <w:multiLevelType w:val="hybridMultilevel"/>
    <w:tmpl w:val="5FDC0B5A"/>
    <w:lvl w:ilvl="0" w:tplc="7B18BE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3F41B7"/>
    <w:multiLevelType w:val="hybridMultilevel"/>
    <w:tmpl w:val="0CEE642A"/>
    <w:lvl w:ilvl="0" w:tplc="22D80F24">
      <w:start w:val="1"/>
      <w:numFmt w:val="bullet"/>
      <w:lvlText w:val=""/>
      <w:lvlJc w:val="left"/>
      <w:pPr>
        <w:ind w:left="360" w:hanging="360"/>
      </w:pPr>
      <w:rPr>
        <w:rFonts w:ascii="Symbol" w:hAnsi="Symbol" w:hint="default"/>
        <w:lang w:val="en-G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7907D04"/>
    <w:multiLevelType w:val="hybridMultilevel"/>
    <w:tmpl w:val="CA3AB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9BD5E8B"/>
    <w:multiLevelType w:val="hybridMultilevel"/>
    <w:tmpl w:val="EA489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4546E8"/>
    <w:multiLevelType w:val="hybridMultilevel"/>
    <w:tmpl w:val="24F2D352"/>
    <w:lvl w:ilvl="0" w:tplc="3CFE46EC">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1">
    <w:nsid w:val="613C132D"/>
    <w:multiLevelType w:val="hybridMultilevel"/>
    <w:tmpl w:val="B7969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481EAA"/>
    <w:multiLevelType w:val="hybridMultilevel"/>
    <w:tmpl w:val="30E299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FA5A6D"/>
    <w:multiLevelType w:val="hybridMultilevel"/>
    <w:tmpl w:val="8C784834"/>
    <w:lvl w:ilvl="0" w:tplc="79F04D7A">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4">
    <w:nsid w:val="637D757A"/>
    <w:multiLevelType w:val="hybridMultilevel"/>
    <w:tmpl w:val="F8F809BA"/>
    <w:lvl w:ilvl="0" w:tplc="04090001">
      <w:start w:val="1"/>
      <w:numFmt w:val="bullet"/>
      <w:lvlText w:val=""/>
      <w:lvlJc w:val="left"/>
      <w:pPr>
        <w:ind w:left="360" w:hanging="360"/>
      </w:pPr>
      <w:rPr>
        <w:rFonts w:ascii="Symbol" w:hAnsi="Symbol" w:hint="default"/>
      </w:rPr>
    </w:lvl>
    <w:lvl w:ilvl="1" w:tplc="B2E0B198">
      <w:start w:val="1"/>
      <w:numFmt w:val="bullet"/>
      <w:lvlText w:val="-"/>
      <w:lvlJc w:val="left"/>
      <w:pPr>
        <w:ind w:left="1080" w:hanging="360"/>
      </w:pPr>
      <w:rPr>
        <w:rFonts w:ascii="Calibri" w:eastAsiaTheme="minorHAnsi"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55E0B94"/>
    <w:multiLevelType w:val="hybridMultilevel"/>
    <w:tmpl w:val="CE88B8A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65926F8B"/>
    <w:multiLevelType w:val="hybridMultilevel"/>
    <w:tmpl w:val="DF8ED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6B629ED"/>
    <w:multiLevelType w:val="hybridMultilevel"/>
    <w:tmpl w:val="01020F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AC8426A"/>
    <w:multiLevelType w:val="hybridMultilevel"/>
    <w:tmpl w:val="E792532C"/>
    <w:lvl w:ilvl="0" w:tplc="63262542">
      <w:start w:val="1"/>
      <w:numFmt w:val="decimal"/>
      <w:lvlText w:val="%1."/>
      <w:lvlJc w:val="left"/>
      <w:pPr>
        <w:ind w:left="360" w:hanging="360"/>
      </w:pPr>
      <w:rPr>
        <w:rFonts w:hint="default"/>
      </w:rPr>
    </w:lvl>
    <w:lvl w:ilvl="1" w:tplc="08130019">
      <w:start w:val="1"/>
      <w:numFmt w:val="bullet"/>
      <w:lvlText w:val="-"/>
      <w:lvlJc w:val="left"/>
      <w:pPr>
        <w:ind w:left="1080" w:hanging="360"/>
      </w:pPr>
      <w:rPr>
        <w:rFonts w:ascii="Calibri" w:eastAsiaTheme="minorHAnsi" w:hAnsi="Calibri" w:cs="Calibri" w:hint="default"/>
      </w:r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9">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nsid w:val="6C054FFC"/>
    <w:multiLevelType w:val="hybridMultilevel"/>
    <w:tmpl w:val="60C6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5F28D4"/>
    <w:multiLevelType w:val="hybridMultilevel"/>
    <w:tmpl w:val="230CD714"/>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2">
    <w:nsid w:val="6D6453CF"/>
    <w:multiLevelType w:val="hybridMultilevel"/>
    <w:tmpl w:val="0012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4">
    <w:nsid w:val="6E835DC3"/>
    <w:multiLevelType w:val="hybridMultilevel"/>
    <w:tmpl w:val="84623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63147C"/>
    <w:multiLevelType w:val="hybridMultilevel"/>
    <w:tmpl w:val="185C08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nsid w:val="78FB1797"/>
    <w:multiLevelType w:val="hybridMultilevel"/>
    <w:tmpl w:val="40F2D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8A768C"/>
    <w:multiLevelType w:val="hybridMultilevel"/>
    <w:tmpl w:val="66F8C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9A34009"/>
    <w:multiLevelType w:val="hybridMultilevel"/>
    <w:tmpl w:val="90AC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A0C0242"/>
    <w:multiLevelType w:val="hybridMultilevel"/>
    <w:tmpl w:val="95241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F15271E"/>
    <w:multiLevelType w:val="hybridMultilevel"/>
    <w:tmpl w:val="780858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7F925961"/>
    <w:multiLevelType w:val="hybridMultilevel"/>
    <w:tmpl w:val="7D8604F0"/>
    <w:lvl w:ilvl="0" w:tplc="04090001">
      <w:start w:val="1"/>
      <w:numFmt w:val="bullet"/>
      <w:lvlText w:val=""/>
      <w:lvlJc w:val="left"/>
      <w:pPr>
        <w:ind w:left="720" w:hanging="360"/>
      </w:pPr>
      <w:rPr>
        <w:rFonts w:ascii="Symbol" w:hAnsi="Symbol" w:hint="default"/>
      </w:rPr>
    </w:lvl>
    <w:lvl w:ilvl="1" w:tplc="A48C1E9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39"/>
  </w:num>
  <w:num w:numId="4">
    <w:abstractNumId w:val="17"/>
  </w:num>
  <w:num w:numId="5">
    <w:abstractNumId w:val="33"/>
  </w:num>
  <w:num w:numId="6">
    <w:abstractNumId w:val="21"/>
  </w:num>
  <w:num w:numId="7">
    <w:abstractNumId w:val="43"/>
  </w:num>
  <w:num w:numId="8">
    <w:abstractNumId w:val="22"/>
  </w:num>
  <w:num w:numId="9">
    <w:abstractNumId w:val="12"/>
  </w:num>
  <w:num w:numId="10">
    <w:abstractNumId w:val="41"/>
  </w:num>
  <w:num w:numId="11">
    <w:abstractNumId w:val="9"/>
  </w:num>
  <w:num w:numId="12">
    <w:abstractNumId w:val="42"/>
  </w:num>
  <w:num w:numId="13">
    <w:abstractNumId w:val="49"/>
  </w:num>
  <w:num w:numId="14">
    <w:abstractNumId w:val="27"/>
  </w:num>
  <w:num w:numId="15">
    <w:abstractNumId w:val="24"/>
  </w:num>
  <w:num w:numId="16">
    <w:abstractNumId w:val="13"/>
  </w:num>
  <w:num w:numId="17">
    <w:abstractNumId w:val="4"/>
  </w:num>
  <w:num w:numId="18">
    <w:abstractNumId w:val="37"/>
  </w:num>
  <w:num w:numId="19">
    <w:abstractNumId w:val="16"/>
  </w:num>
  <w:num w:numId="20">
    <w:abstractNumId w:val="50"/>
  </w:num>
  <w:num w:numId="21">
    <w:abstractNumId w:val="8"/>
  </w:num>
  <w:num w:numId="22">
    <w:abstractNumId w:val="2"/>
  </w:num>
  <w:num w:numId="23">
    <w:abstractNumId w:val="30"/>
  </w:num>
  <w:num w:numId="24">
    <w:abstractNumId w:val="25"/>
  </w:num>
  <w:num w:numId="25">
    <w:abstractNumId w:val="31"/>
  </w:num>
  <w:num w:numId="26">
    <w:abstractNumId w:val="35"/>
  </w:num>
  <w:num w:numId="27">
    <w:abstractNumId w:val="23"/>
  </w:num>
  <w:num w:numId="28">
    <w:abstractNumId w:val="36"/>
  </w:num>
  <w:num w:numId="29">
    <w:abstractNumId w:val="34"/>
  </w:num>
  <w:num w:numId="30">
    <w:abstractNumId w:val="38"/>
  </w:num>
  <w:num w:numId="31">
    <w:abstractNumId w:val="6"/>
  </w:num>
  <w:num w:numId="32">
    <w:abstractNumId w:val="28"/>
  </w:num>
  <w:num w:numId="33">
    <w:abstractNumId w:val="20"/>
  </w:num>
  <w:num w:numId="34">
    <w:abstractNumId w:val="5"/>
  </w:num>
  <w:num w:numId="35">
    <w:abstractNumId w:val="18"/>
  </w:num>
  <w:num w:numId="36">
    <w:abstractNumId w:val="11"/>
  </w:num>
  <w:num w:numId="37">
    <w:abstractNumId w:val="0"/>
  </w:num>
  <w:num w:numId="38">
    <w:abstractNumId w:val="15"/>
  </w:num>
  <w:num w:numId="39">
    <w:abstractNumId w:val="29"/>
  </w:num>
  <w:num w:numId="40">
    <w:abstractNumId w:val="40"/>
  </w:num>
  <w:num w:numId="41">
    <w:abstractNumId w:val="19"/>
  </w:num>
  <w:num w:numId="42">
    <w:abstractNumId w:val="44"/>
  </w:num>
  <w:num w:numId="43">
    <w:abstractNumId w:val="1"/>
  </w:num>
  <w:num w:numId="44">
    <w:abstractNumId w:val="46"/>
  </w:num>
  <w:num w:numId="45">
    <w:abstractNumId w:val="48"/>
  </w:num>
  <w:num w:numId="46">
    <w:abstractNumId w:val="26"/>
  </w:num>
  <w:num w:numId="47">
    <w:abstractNumId w:val="32"/>
  </w:num>
  <w:num w:numId="48">
    <w:abstractNumId w:val="7"/>
  </w:num>
  <w:num w:numId="49">
    <w:abstractNumId w:val="10"/>
  </w:num>
  <w:num w:numId="50">
    <w:abstractNumId w:val="51"/>
  </w:num>
  <w:num w:numId="51">
    <w:abstractNumId w:val="47"/>
  </w:num>
  <w:num w:numId="5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34818"/>
    <o:shapelayout v:ext="edit">
      <o:idmap v:ext="edit" data="4"/>
    </o:shapelayout>
  </w:hdrShapeDefaults>
  <w:footnotePr>
    <w:footnote w:id="-1"/>
    <w:footnote w:id="0"/>
  </w:footnotePr>
  <w:endnotePr>
    <w:endnote w:id="-1"/>
    <w:endnote w:id="0"/>
  </w:endnotePr>
  <w:compat>
    <w:useFELayout/>
  </w:compat>
  <w:rsids>
    <w:rsidRoot w:val="00C212A5"/>
    <w:rsid w:val="000042F6"/>
    <w:rsid w:val="00012D68"/>
    <w:rsid w:val="00020300"/>
    <w:rsid w:val="000372BF"/>
    <w:rsid w:val="00044C5A"/>
    <w:rsid w:val="00047E12"/>
    <w:rsid w:val="00051604"/>
    <w:rsid w:val="0005235C"/>
    <w:rsid w:val="00054223"/>
    <w:rsid w:val="0005509E"/>
    <w:rsid w:val="000632C2"/>
    <w:rsid w:val="0006528D"/>
    <w:rsid w:val="00065727"/>
    <w:rsid w:val="00085444"/>
    <w:rsid w:val="00087509"/>
    <w:rsid w:val="00092FBA"/>
    <w:rsid w:val="000932BC"/>
    <w:rsid w:val="000A3D10"/>
    <w:rsid w:val="000A4026"/>
    <w:rsid w:val="000B5D3D"/>
    <w:rsid w:val="000C0CE0"/>
    <w:rsid w:val="000D067F"/>
    <w:rsid w:val="000D1038"/>
    <w:rsid w:val="000F5C70"/>
    <w:rsid w:val="001069BE"/>
    <w:rsid w:val="0012026F"/>
    <w:rsid w:val="00126D65"/>
    <w:rsid w:val="00130EF9"/>
    <w:rsid w:val="001319C7"/>
    <w:rsid w:val="00136584"/>
    <w:rsid w:val="00144AAD"/>
    <w:rsid w:val="00150A45"/>
    <w:rsid w:val="0015344F"/>
    <w:rsid w:val="00164B97"/>
    <w:rsid w:val="0017613C"/>
    <w:rsid w:val="00192A12"/>
    <w:rsid w:val="00196A7C"/>
    <w:rsid w:val="001A09A2"/>
    <w:rsid w:val="001A2E50"/>
    <w:rsid w:val="001A3327"/>
    <w:rsid w:val="001B2151"/>
    <w:rsid w:val="001B3CFF"/>
    <w:rsid w:val="001B4996"/>
    <w:rsid w:val="001D2FEB"/>
    <w:rsid w:val="001D47A5"/>
    <w:rsid w:val="001E0080"/>
    <w:rsid w:val="001F2AF7"/>
    <w:rsid w:val="001F3D9D"/>
    <w:rsid w:val="00237E40"/>
    <w:rsid w:val="00244459"/>
    <w:rsid w:val="002574D1"/>
    <w:rsid w:val="0026584A"/>
    <w:rsid w:val="00265B4C"/>
    <w:rsid w:val="002777E0"/>
    <w:rsid w:val="00287C8F"/>
    <w:rsid w:val="00296EA1"/>
    <w:rsid w:val="002A4A18"/>
    <w:rsid w:val="002B18FC"/>
    <w:rsid w:val="002B5B96"/>
    <w:rsid w:val="002D6345"/>
    <w:rsid w:val="002E1C11"/>
    <w:rsid w:val="00300CF6"/>
    <w:rsid w:val="00302D0C"/>
    <w:rsid w:val="00303D06"/>
    <w:rsid w:val="00312741"/>
    <w:rsid w:val="00314117"/>
    <w:rsid w:val="00317EDF"/>
    <w:rsid w:val="003279E7"/>
    <w:rsid w:val="0033324D"/>
    <w:rsid w:val="00336371"/>
    <w:rsid w:val="003401CC"/>
    <w:rsid w:val="003454ED"/>
    <w:rsid w:val="00366D42"/>
    <w:rsid w:val="00375BA2"/>
    <w:rsid w:val="003810FA"/>
    <w:rsid w:val="0038331A"/>
    <w:rsid w:val="00392608"/>
    <w:rsid w:val="003B31E0"/>
    <w:rsid w:val="003B4001"/>
    <w:rsid w:val="003C4EB5"/>
    <w:rsid w:val="003E27CD"/>
    <w:rsid w:val="003F39B1"/>
    <w:rsid w:val="003F3E5E"/>
    <w:rsid w:val="003F3E6E"/>
    <w:rsid w:val="00407291"/>
    <w:rsid w:val="004147EE"/>
    <w:rsid w:val="004237C5"/>
    <w:rsid w:val="00435FE9"/>
    <w:rsid w:val="00445696"/>
    <w:rsid w:val="00446A08"/>
    <w:rsid w:val="00455213"/>
    <w:rsid w:val="004603E0"/>
    <w:rsid w:val="00475B30"/>
    <w:rsid w:val="00484BC5"/>
    <w:rsid w:val="00486D05"/>
    <w:rsid w:val="00487479"/>
    <w:rsid w:val="00487944"/>
    <w:rsid w:val="004F6AA3"/>
    <w:rsid w:val="005140C6"/>
    <w:rsid w:val="005157A6"/>
    <w:rsid w:val="00526E5D"/>
    <w:rsid w:val="0053230D"/>
    <w:rsid w:val="00533B68"/>
    <w:rsid w:val="00560923"/>
    <w:rsid w:val="00565193"/>
    <w:rsid w:val="0057799E"/>
    <w:rsid w:val="00577C33"/>
    <w:rsid w:val="00592100"/>
    <w:rsid w:val="00595575"/>
    <w:rsid w:val="0059703C"/>
    <w:rsid w:val="005A10D5"/>
    <w:rsid w:val="005A4791"/>
    <w:rsid w:val="005B2684"/>
    <w:rsid w:val="005B6B12"/>
    <w:rsid w:val="005D2DE7"/>
    <w:rsid w:val="005E7969"/>
    <w:rsid w:val="00614A98"/>
    <w:rsid w:val="0063565E"/>
    <w:rsid w:val="00636E02"/>
    <w:rsid w:val="00642297"/>
    <w:rsid w:val="00644A34"/>
    <w:rsid w:val="00662882"/>
    <w:rsid w:val="00665A7C"/>
    <w:rsid w:val="00671363"/>
    <w:rsid w:val="006842BF"/>
    <w:rsid w:val="006A0EB7"/>
    <w:rsid w:val="006A7A10"/>
    <w:rsid w:val="006A7B76"/>
    <w:rsid w:val="006B0DA4"/>
    <w:rsid w:val="006B1B6B"/>
    <w:rsid w:val="006D48A6"/>
    <w:rsid w:val="006E0447"/>
    <w:rsid w:val="006F53E8"/>
    <w:rsid w:val="0070134F"/>
    <w:rsid w:val="00706072"/>
    <w:rsid w:val="007376B9"/>
    <w:rsid w:val="00741239"/>
    <w:rsid w:val="00754B57"/>
    <w:rsid w:val="00797E0C"/>
    <w:rsid w:val="007B73BE"/>
    <w:rsid w:val="007C0DA3"/>
    <w:rsid w:val="007C7C6C"/>
    <w:rsid w:val="007E3C37"/>
    <w:rsid w:val="007E7997"/>
    <w:rsid w:val="007F1B31"/>
    <w:rsid w:val="008115E3"/>
    <w:rsid w:val="00814F34"/>
    <w:rsid w:val="008205D4"/>
    <w:rsid w:val="00830D00"/>
    <w:rsid w:val="00846692"/>
    <w:rsid w:val="00850F5C"/>
    <w:rsid w:val="008649A0"/>
    <w:rsid w:val="00867DB2"/>
    <w:rsid w:val="0089075A"/>
    <w:rsid w:val="00897114"/>
    <w:rsid w:val="008C41CD"/>
    <w:rsid w:val="008C767A"/>
    <w:rsid w:val="008D5C28"/>
    <w:rsid w:val="008E5738"/>
    <w:rsid w:val="008F626D"/>
    <w:rsid w:val="008F7F23"/>
    <w:rsid w:val="009243C8"/>
    <w:rsid w:val="00925A14"/>
    <w:rsid w:val="00940EFD"/>
    <w:rsid w:val="009663D9"/>
    <w:rsid w:val="0098588B"/>
    <w:rsid w:val="00992D48"/>
    <w:rsid w:val="0099347D"/>
    <w:rsid w:val="0099526D"/>
    <w:rsid w:val="00997985"/>
    <w:rsid w:val="009C7694"/>
    <w:rsid w:val="009D1CC5"/>
    <w:rsid w:val="009D7294"/>
    <w:rsid w:val="009E5107"/>
    <w:rsid w:val="00A026A4"/>
    <w:rsid w:val="00A14B5E"/>
    <w:rsid w:val="00A27336"/>
    <w:rsid w:val="00A3223C"/>
    <w:rsid w:val="00A410CC"/>
    <w:rsid w:val="00A42B43"/>
    <w:rsid w:val="00A44970"/>
    <w:rsid w:val="00A44C94"/>
    <w:rsid w:val="00A501F5"/>
    <w:rsid w:val="00A50C37"/>
    <w:rsid w:val="00A52B23"/>
    <w:rsid w:val="00A53AF0"/>
    <w:rsid w:val="00A62A92"/>
    <w:rsid w:val="00A800EF"/>
    <w:rsid w:val="00A91D91"/>
    <w:rsid w:val="00AA054E"/>
    <w:rsid w:val="00AB0E8B"/>
    <w:rsid w:val="00AB7542"/>
    <w:rsid w:val="00AC79E0"/>
    <w:rsid w:val="00AE4FC7"/>
    <w:rsid w:val="00AE6C93"/>
    <w:rsid w:val="00AF3B7F"/>
    <w:rsid w:val="00B04283"/>
    <w:rsid w:val="00B04B30"/>
    <w:rsid w:val="00B11730"/>
    <w:rsid w:val="00B15C0B"/>
    <w:rsid w:val="00B17AF3"/>
    <w:rsid w:val="00B27499"/>
    <w:rsid w:val="00B40D81"/>
    <w:rsid w:val="00B50534"/>
    <w:rsid w:val="00B50B14"/>
    <w:rsid w:val="00B52E10"/>
    <w:rsid w:val="00B655D1"/>
    <w:rsid w:val="00B8377A"/>
    <w:rsid w:val="00B91343"/>
    <w:rsid w:val="00B91B6E"/>
    <w:rsid w:val="00B944A7"/>
    <w:rsid w:val="00BA454F"/>
    <w:rsid w:val="00BA6C59"/>
    <w:rsid w:val="00BB449C"/>
    <w:rsid w:val="00BC2561"/>
    <w:rsid w:val="00BC415B"/>
    <w:rsid w:val="00BC422A"/>
    <w:rsid w:val="00BC70FE"/>
    <w:rsid w:val="00BE225E"/>
    <w:rsid w:val="00BE3C84"/>
    <w:rsid w:val="00BF25CD"/>
    <w:rsid w:val="00BF270B"/>
    <w:rsid w:val="00BF3244"/>
    <w:rsid w:val="00C0358F"/>
    <w:rsid w:val="00C035F1"/>
    <w:rsid w:val="00C0696A"/>
    <w:rsid w:val="00C212A5"/>
    <w:rsid w:val="00C30170"/>
    <w:rsid w:val="00C415C3"/>
    <w:rsid w:val="00C50897"/>
    <w:rsid w:val="00C71AA3"/>
    <w:rsid w:val="00C87D7E"/>
    <w:rsid w:val="00C978C6"/>
    <w:rsid w:val="00CB3E3D"/>
    <w:rsid w:val="00CB50EF"/>
    <w:rsid w:val="00CB791A"/>
    <w:rsid w:val="00CD47B2"/>
    <w:rsid w:val="00CE49F8"/>
    <w:rsid w:val="00CE7936"/>
    <w:rsid w:val="00D14F6A"/>
    <w:rsid w:val="00D20C76"/>
    <w:rsid w:val="00D22F2F"/>
    <w:rsid w:val="00D27ABE"/>
    <w:rsid w:val="00D33BB1"/>
    <w:rsid w:val="00D34DC6"/>
    <w:rsid w:val="00D46275"/>
    <w:rsid w:val="00D51CB9"/>
    <w:rsid w:val="00D73338"/>
    <w:rsid w:val="00D8469A"/>
    <w:rsid w:val="00D871DC"/>
    <w:rsid w:val="00D978C6"/>
    <w:rsid w:val="00DA66AF"/>
    <w:rsid w:val="00DC5FA4"/>
    <w:rsid w:val="00DE5DD2"/>
    <w:rsid w:val="00DF08E8"/>
    <w:rsid w:val="00DF1ED8"/>
    <w:rsid w:val="00DF3785"/>
    <w:rsid w:val="00E077AE"/>
    <w:rsid w:val="00E24D42"/>
    <w:rsid w:val="00E3456B"/>
    <w:rsid w:val="00E426AD"/>
    <w:rsid w:val="00E54CE6"/>
    <w:rsid w:val="00E6187C"/>
    <w:rsid w:val="00E640E2"/>
    <w:rsid w:val="00EA2103"/>
    <w:rsid w:val="00EB5262"/>
    <w:rsid w:val="00EC2C93"/>
    <w:rsid w:val="00EC6BD8"/>
    <w:rsid w:val="00ED74D7"/>
    <w:rsid w:val="00EE4670"/>
    <w:rsid w:val="00EF1893"/>
    <w:rsid w:val="00EF2607"/>
    <w:rsid w:val="00EF667D"/>
    <w:rsid w:val="00F07BEB"/>
    <w:rsid w:val="00F15EEF"/>
    <w:rsid w:val="00F226E0"/>
    <w:rsid w:val="00F24309"/>
    <w:rsid w:val="00F24A18"/>
    <w:rsid w:val="00F401BC"/>
    <w:rsid w:val="00F40545"/>
    <w:rsid w:val="00F4106E"/>
    <w:rsid w:val="00F53CBE"/>
    <w:rsid w:val="00F5412D"/>
    <w:rsid w:val="00F67EBD"/>
    <w:rsid w:val="00F80FAB"/>
    <w:rsid w:val="00F95B5B"/>
    <w:rsid w:val="00FB24ED"/>
    <w:rsid w:val="00FC21D1"/>
    <w:rsid w:val="00FE0BD8"/>
    <w:rsid w:val="00FF4CF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lang w:val="en-GB"/>
    </w:rPr>
  </w:style>
  <w:style w:type="paragraph" w:styleId="ListParagraph">
    <w:name w:val="List Paragraph"/>
    <w:basedOn w:val="Normal"/>
    <w:link w:val="ListParagraphChar"/>
    <w:autoRedefine/>
    <w:uiPriority w:val="34"/>
    <w:qFormat/>
    <w:rsid w:val="002777E0"/>
    <w:pPr>
      <w:numPr>
        <w:numId w:val="52"/>
      </w:numPr>
      <w:spacing w:line="240" w:lineRule="auto"/>
      <w:jc w:val="left"/>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sz w:val="22"/>
      <w:lang w:val="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lang w:val="en-GB"/>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6"/>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7"/>
      </w:numPr>
    </w:pPr>
    <w:rPr>
      <w:rFonts w:cstheme="majorHAnsi"/>
      <w:lang w:val="nl-BE"/>
    </w:rPr>
  </w:style>
  <w:style w:type="paragraph" w:customStyle="1" w:styleId="CPTitle3">
    <w:name w:val="CP_Title3"/>
    <w:basedOn w:val="Heading2"/>
    <w:qFormat/>
    <w:rsid w:val="009E5107"/>
    <w:pPr>
      <w:numPr>
        <w:ilvl w:val="2"/>
        <w:numId w:val="7"/>
      </w:numPr>
      <w:tabs>
        <w:tab w:val="num" w:pos="360"/>
      </w:tabs>
      <w:spacing w:before="250"/>
    </w:pPr>
    <w:rPr>
      <w:rFonts w:cstheme="majorHAnsi"/>
    </w:rPr>
  </w:style>
  <w:style w:type="paragraph" w:customStyle="1" w:styleId="CPTitle4">
    <w:name w:val="CP_Title4"/>
    <w:basedOn w:val="Normal"/>
    <w:qFormat/>
    <w:rsid w:val="009E5107"/>
    <w:pPr>
      <w:numPr>
        <w:ilvl w:val="3"/>
        <w:numId w:val="7"/>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7"/>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7"/>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7"/>
      </w:numPr>
      <w:spacing w:before="250"/>
    </w:pPr>
  </w:style>
  <w:style w:type="paragraph" w:customStyle="1" w:styleId="CPisubtitles">
    <w:name w:val="CP_isubtitles"/>
    <w:basedOn w:val="Normal"/>
    <w:qFormat/>
    <w:rsid w:val="009E5107"/>
    <w:pPr>
      <w:numPr>
        <w:ilvl w:val="7"/>
        <w:numId w:val="7"/>
      </w:numPr>
      <w:spacing w:before="250"/>
    </w:pPr>
  </w:style>
  <w:style w:type="paragraph" w:customStyle="1" w:styleId="CPasubtitles">
    <w:name w:val="CP_asubtitles"/>
    <w:basedOn w:val="Normal"/>
    <w:qFormat/>
    <w:rsid w:val="009E5107"/>
    <w:pPr>
      <w:numPr>
        <w:ilvl w:val="8"/>
        <w:numId w:val="7"/>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8"/>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styleId="PlainText">
    <w:name w:val="Plain Text"/>
    <w:basedOn w:val="Normal"/>
    <w:link w:val="PlainTextChar"/>
    <w:uiPriority w:val="99"/>
    <w:unhideWhenUsed/>
    <w:rsid w:val="00303D06"/>
    <w:pPr>
      <w:spacing w:line="240" w:lineRule="auto"/>
      <w:jc w:val="left"/>
    </w:pPr>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303D06"/>
    <w:rPr>
      <w:rFonts w:ascii="Consolas" w:eastAsiaTheme="minorHAnsi" w:hAnsi="Consolas" w:cs="Consolas"/>
      <w:sz w:val="21"/>
      <w:szCs w:val="21"/>
      <w:lang w:val="en-US"/>
    </w:rPr>
  </w:style>
  <w:style w:type="paragraph" w:customStyle="1" w:styleId="Default">
    <w:name w:val="Default"/>
    <w:rsid w:val="00065727"/>
    <w:pPr>
      <w:autoSpaceDE w:val="0"/>
      <w:autoSpaceDN w:val="0"/>
      <w:adjustRightInd w:val="0"/>
      <w:spacing w:after="0" w:line="240" w:lineRule="auto"/>
    </w:pPr>
    <w:rPr>
      <w:rFonts w:ascii="Georgia" w:eastAsiaTheme="minorHAnsi" w:hAnsi="Georgia" w:cs="Georgia"/>
      <w:color w:val="000000"/>
      <w:sz w:val="24"/>
      <w:szCs w:val="24"/>
      <w:lang w:val="en-GB"/>
    </w:rPr>
  </w:style>
  <w:style w:type="character" w:customStyle="1" w:styleId="ListParagraphChar">
    <w:name w:val="List Paragraph Char"/>
    <w:basedOn w:val="DefaultParagraphFont"/>
    <w:link w:val="ListParagraph"/>
    <w:uiPriority w:val="34"/>
    <w:locked/>
    <w:rsid w:val="002777E0"/>
    <w:rPr>
      <w:sz w:val="22"/>
      <w:lang w:val="en-GB"/>
    </w:rPr>
  </w:style>
  <w:style w:type="paragraph" w:styleId="NormalWeb">
    <w:name w:val="Normal (Web)"/>
    <w:basedOn w:val="Normal"/>
    <w:uiPriority w:val="99"/>
    <w:semiHidden/>
    <w:unhideWhenUsed/>
    <w:rsid w:val="00085444"/>
    <w:pPr>
      <w:spacing w:before="100" w:beforeAutospacing="1" w:after="100" w:afterAutospacing="1" w:line="240" w:lineRule="auto"/>
      <w:jc w:val="left"/>
    </w:pPr>
    <w:rPr>
      <w:rFonts w:ascii="Times New Roman" w:eastAsiaTheme="minorHAnsi" w:hAnsi="Times New Roman" w:cs="Times New Roman"/>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webSettings.xml><?xml version="1.0" encoding="utf-8"?>
<w:webSettings xmlns:r="http://schemas.openxmlformats.org/officeDocument/2006/relationships" xmlns:w="http://schemas.openxmlformats.org/wordprocessingml/2006/main">
  <w:divs>
    <w:div w:id="14505301">
      <w:bodyDiv w:val="1"/>
      <w:marLeft w:val="0"/>
      <w:marRight w:val="0"/>
      <w:marTop w:val="0"/>
      <w:marBottom w:val="0"/>
      <w:divBdr>
        <w:top w:val="none" w:sz="0" w:space="0" w:color="auto"/>
        <w:left w:val="none" w:sz="0" w:space="0" w:color="auto"/>
        <w:bottom w:val="none" w:sz="0" w:space="0" w:color="auto"/>
        <w:right w:val="none" w:sz="0" w:space="0" w:color="auto"/>
      </w:divBdr>
    </w:div>
    <w:div w:id="44107482">
      <w:bodyDiv w:val="1"/>
      <w:marLeft w:val="0"/>
      <w:marRight w:val="0"/>
      <w:marTop w:val="0"/>
      <w:marBottom w:val="0"/>
      <w:divBdr>
        <w:top w:val="none" w:sz="0" w:space="0" w:color="auto"/>
        <w:left w:val="none" w:sz="0" w:space="0" w:color="auto"/>
        <w:bottom w:val="none" w:sz="0" w:space="0" w:color="auto"/>
        <w:right w:val="none" w:sz="0" w:space="0" w:color="auto"/>
      </w:divBdr>
    </w:div>
    <w:div w:id="51004013">
      <w:bodyDiv w:val="1"/>
      <w:marLeft w:val="0"/>
      <w:marRight w:val="0"/>
      <w:marTop w:val="0"/>
      <w:marBottom w:val="0"/>
      <w:divBdr>
        <w:top w:val="none" w:sz="0" w:space="0" w:color="auto"/>
        <w:left w:val="none" w:sz="0" w:space="0" w:color="auto"/>
        <w:bottom w:val="none" w:sz="0" w:space="0" w:color="auto"/>
        <w:right w:val="none" w:sz="0" w:space="0" w:color="auto"/>
      </w:divBdr>
    </w:div>
    <w:div w:id="52389151">
      <w:bodyDiv w:val="1"/>
      <w:marLeft w:val="0"/>
      <w:marRight w:val="0"/>
      <w:marTop w:val="0"/>
      <w:marBottom w:val="0"/>
      <w:divBdr>
        <w:top w:val="none" w:sz="0" w:space="0" w:color="auto"/>
        <w:left w:val="none" w:sz="0" w:space="0" w:color="auto"/>
        <w:bottom w:val="none" w:sz="0" w:space="0" w:color="auto"/>
        <w:right w:val="none" w:sz="0" w:space="0" w:color="auto"/>
      </w:divBdr>
    </w:div>
    <w:div w:id="56176397">
      <w:bodyDiv w:val="1"/>
      <w:marLeft w:val="0"/>
      <w:marRight w:val="0"/>
      <w:marTop w:val="0"/>
      <w:marBottom w:val="0"/>
      <w:divBdr>
        <w:top w:val="none" w:sz="0" w:space="0" w:color="auto"/>
        <w:left w:val="none" w:sz="0" w:space="0" w:color="auto"/>
        <w:bottom w:val="none" w:sz="0" w:space="0" w:color="auto"/>
        <w:right w:val="none" w:sz="0" w:space="0" w:color="auto"/>
      </w:divBdr>
    </w:div>
    <w:div w:id="106313833">
      <w:bodyDiv w:val="1"/>
      <w:marLeft w:val="0"/>
      <w:marRight w:val="0"/>
      <w:marTop w:val="0"/>
      <w:marBottom w:val="0"/>
      <w:divBdr>
        <w:top w:val="none" w:sz="0" w:space="0" w:color="auto"/>
        <w:left w:val="none" w:sz="0" w:space="0" w:color="auto"/>
        <w:bottom w:val="none" w:sz="0" w:space="0" w:color="auto"/>
        <w:right w:val="none" w:sz="0" w:space="0" w:color="auto"/>
      </w:divBdr>
    </w:div>
    <w:div w:id="145441048">
      <w:bodyDiv w:val="1"/>
      <w:marLeft w:val="0"/>
      <w:marRight w:val="0"/>
      <w:marTop w:val="0"/>
      <w:marBottom w:val="0"/>
      <w:divBdr>
        <w:top w:val="none" w:sz="0" w:space="0" w:color="auto"/>
        <w:left w:val="none" w:sz="0" w:space="0" w:color="auto"/>
        <w:bottom w:val="none" w:sz="0" w:space="0" w:color="auto"/>
        <w:right w:val="none" w:sz="0" w:space="0" w:color="auto"/>
      </w:divBdr>
    </w:div>
    <w:div w:id="157577643">
      <w:bodyDiv w:val="1"/>
      <w:marLeft w:val="0"/>
      <w:marRight w:val="0"/>
      <w:marTop w:val="0"/>
      <w:marBottom w:val="0"/>
      <w:divBdr>
        <w:top w:val="none" w:sz="0" w:space="0" w:color="auto"/>
        <w:left w:val="none" w:sz="0" w:space="0" w:color="auto"/>
        <w:bottom w:val="none" w:sz="0" w:space="0" w:color="auto"/>
        <w:right w:val="none" w:sz="0" w:space="0" w:color="auto"/>
      </w:divBdr>
    </w:div>
    <w:div w:id="165751816">
      <w:bodyDiv w:val="1"/>
      <w:marLeft w:val="0"/>
      <w:marRight w:val="0"/>
      <w:marTop w:val="0"/>
      <w:marBottom w:val="0"/>
      <w:divBdr>
        <w:top w:val="none" w:sz="0" w:space="0" w:color="auto"/>
        <w:left w:val="none" w:sz="0" w:space="0" w:color="auto"/>
        <w:bottom w:val="none" w:sz="0" w:space="0" w:color="auto"/>
        <w:right w:val="none" w:sz="0" w:space="0" w:color="auto"/>
      </w:divBdr>
    </w:div>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306787603">
      <w:bodyDiv w:val="1"/>
      <w:marLeft w:val="0"/>
      <w:marRight w:val="0"/>
      <w:marTop w:val="0"/>
      <w:marBottom w:val="0"/>
      <w:divBdr>
        <w:top w:val="none" w:sz="0" w:space="0" w:color="auto"/>
        <w:left w:val="none" w:sz="0" w:space="0" w:color="auto"/>
        <w:bottom w:val="none" w:sz="0" w:space="0" w:color="auto"/>
        <w:right w:val="none" w:sz="0" w:space="0" w:color="auto"/>
      </w:divBdr>
    </w:div>
    <w:div w:id="329798748">
      <w:bodyDiv w:val="1"/>
      <w:marLeft w:val="0"/>
      <w:marRight w:val="0"/>
      <w:marTop w:val="0"/>
      <w:marBottom w:val="0"/>
      <w:divBdr>
        <w:top w:val="none" w:sz="0" w:space="0" w:color="auto"/>
        <w:left w:val="none" w:sz="0" w:space="0" w:color="auto"/>
        <w:bottom w:val="none" w:sz="0" w:space="0" w:color="auto"/>
        <w:right w:val="none" w:sz="0" w:space="0" w:color="auto"/>
      </w:divBdr>
    </w:div>
    <w:div w:id="378014646">
      <w:bodyDiv w:val="1"/>
      <w:marLeft w:val="0"/>
      <w:marRight w:val="0"/>
      <w:marTop w:val="0"/>
      <w:marBottom w:val="0"/>
      <w:divBdr>
        <w:top w:val="none" w:sz="0" w:space="0" w:color="auto"/>
        <w:left w:val="none" w:sz="0" w:space="0" w:color="auto"/>
        <w:bottom w:val="none" w:sz="0" w:space="0" w:color="auto"/>
        <w:right w:val="none" w:sz="0" w:space="0" w:color="auto"/>
      </w:divBdr>
    </w:div>
    <w:div w:id="406847841">
      <w:bodyDiv w:val="1"/>
      <w:marLeft w:val="0"/>
      <w:marRight w:val="0"/>
      <w:marTop w:val="0"/>
      <w:marBottom w:val="0"/>
      <w:divBdr>
        <w:top w:val="none" w:sz="0" w:space="0" w:color="auto"/>
        <w:left w:val="none" w:sz="0" w:space="0" w:color="auto"/>
        <w:bottom w:val="none" w:sz="0" w:space="0" w:color="auto"/>
        <w:right w:val="none" w:sz="0" w:space="0" w:color="auto"/>
      </w:divBdr>
    </w:div>
    <w:div w:id="440612914">
      <w:bodyDiv w:val="1"/>
      <w:marLeft w:val="0"/>
      <w:marRight w:val="0"/>
      <w:marTop w:val="0"/>
      <w:marBottom w:val="0"/>
      <w:divBdr>
        <w:top w:val="none" w:sz="0" w:space="0" w:color="auto"/>
        <w:left w:val="none" w:sz="0" w:space="0" w:color="auto"/>
        <w:bottom w:val="none" w:sz="0" w:space="0" w:color="auto"/>
        <w:right w:val="none" w:sz="0" w:space="0" w:color="auto"/>
      </w:divBdr>
    </w:div>
    <w:div w:id="526529374">
      <w:bodyDiv w:val="1"/>
      <w:marLeft w:val="0"/>
      <w:marRight w:val="0"/>
      <w:marTop w:val="0"/>
      <w:marBottom w:val="0"/>
      <w:divBdr>
        <w:top w:val="none" w:sz="0" w:space="0" w:color="auto"/>
        <w:left w:val="none" w:sz="0" w:space="0" w:color="auto"/>
        <w:bottom w:val="none" w:sz="0" w:space="0" w:color="auto"/>
        <w:right w:val="none" w:sz="0" w:space="0" w:color="auto"/>
      </w:divBdr>
    </w:div>
    <w:div w:id="626005885">
      <w:bodyDiv w:val="1"/>
      <w:marLeft w:val="0"/>
      <w:marRight w:val="0"/>
      <w:marTop w:val="0"/>
      <w:marBottom w:val="0"/>
      <w:divBdr>
        <w:top w:val="none" w:sz="0" w:space="0" w:color="auto"/>
        <w:left w:val="none" w:sz="0" w:space="0" w:color="auto"/>
        <w:bottom w:val="none" w:sz="0" w:space="0" w:color="auto"/>
        <w:right w:val="none" w:sz="0" w:space="0" w:color="auto"/>
      </w:divBdr>
    </w:div>
    <w:div w:id="663973004">
      <w:bodyDiv w:val="1"/>
      <w:marLeft w:val="0"/>
      <w:marRight w:val="0"/>
      <w:marTop w:val="0"/>
      <w:marBottom w:val="0"/>
      <w:divBdr>
        <w:top w:val="none" w:sz="0" w:space="0" w:color="auto"/>
        <w:left w:val="none" w:sz="0" w:space="0" w:color="auto"/>
        <w:bottom w:val="none" w:sz="0" w:space="0" w:color="auto"/>
        <w:right w:val="none" w:sz="0" w:space="0" w:color="auto"/>
      </w:divBdr>
    </w:div>
    <w:div w:id="723792265">
      <w:bodyDiv w:val="1"/>
      <w:marLeft w:val="0"/>
      <w:marRight w:val="0"/>
      <w:marTop w:val="0"/>
      <w:marBottom w:val="0"/>
      <w:divBdr>
        <w:top w:val="none" w:sz="0" w:space="0" w:color="auto"/>
        <w:left w:val="none" w:sz="0" w:space="0" w:color="auto"/>
        <w:bottom w:val="none" w:sz="0" w:space="0" w:color="auto"/>
        <w:right w:val="none" w:sz="0" w:space="0" w:color="auto"/>
      </w:divBdr>
    </w:div>
    <w:div w:id="734939214">
      <w:bodyDiv w:val="1"/>
      <w:marLeft w:val="0"/>
      <w:marRight w:val="0"/>
      <w:marTop w:val="0"/>
      <w:marBottom w:val="0"/>
      <w:divBdr>
        <w:top w:val="none" w:sz="0" w:space="0" w:color="auto"/>
        <w:left w:val="none" w:sz="0" w:space="0" w:color="auto"/>
        <w:bottom w:val="none" w:sz="0" w:space="0" w:color="auto"/>
        <w:right w:val="none" w:sz="0" w:space="0" w:color="auto"/>
      </w:divBdr>
    </w:div>
    <w:div w:id="743646285">
      <w:bodyDiv w:val="1"/>
      <w:marLeft w:val="0"/>
      <w:marRight w:val="0"/>
      <w:marTop w:val="0"/>
      <w:marBottom w:val="0"/>
      <w:divBdr>
        <w:top w:val="none" w:sz="0" w:space="0" w:color="auto"/>
        <w:left w:val="none" w:sz="0" w:space="0" w:color="auto"/>
        <w:bottom w:val="none" w:sz="0" w:space="0" w:color="auto"/>
        <w:right w:val="none" w:sz="0" w:space="0" w:color="auto"/>
      </w:divBdr>
    </w:div>
    <w:div w:id="764233199">
      <w:bodyDiv w:val="1"/>
      <w:marLeft w:val="0"/>
      <w:marRight w:val="0"/>
      <w:marTop w:val="0"/>
      <w:marBottom w:val="0"/>
      <w:divBdr>
        <w:top w:val="none" w:sz="0" w:space="0" w:color="auto"/>
        <w:left w:val="none" w:sz="0" w:space="0" w:color="auto"/>
        <w:bottom w:val="none" w:sz="0" w:space="0" w:color="auto"/>
        <w:right w:val="none" w:sz="0" w:space="0" w:color="auto"/>
      </w:divBdr>
    </w:div>
    <w:div w:id="783500789">
      <w:bodyDiv w:val="1"/>
      <w:marLeft w:val="0"/>
      <w:marRight w:val="0"/>
      <w:marTop w:val="0"/>
      <w:marBottom w:val="0"/>
      <w:divBdr>
        <w:top w:val="none" w:sz="0" w:space="0" w:color="auto"/>
        <w:left w:val="none" w:sz="0" w:space="0" w:color="auto"/>
        <w:bottom w:val="none" w:sz="0" w:space="0" w:color="auto"/>
        <w:right w:val="none" w:sz="0" w:space="0" w:color="auto"/>
      </w:divBdr>
    </w:div>
    <w:div w:id="789281002">
      <w:bodyDiv w:val="1"/>
      <w:marLeft w:val="0"/>
      <w:marRight w:val="0"/>
      <w:marTop w:val="0"/>
      <w:marBottom w:val="0"/>
      <w:divBdr>
        <w:top w:val="none" w:sz="0" w:space="0" w:color="auto"/>
        <w:left w:val="none" w:sz="0" w:space="0" w:color="auto"/>
        <w:bottom w:val="none" w:sz="0" w:space="0" w:color="auto"/>
        <w:right w:val="none" w:sz="0" w:space="0" w:color="auto"/>
      </w:divBdr>
    </w:div>
    <w:div w:id="792288341">
      <w:bodyDiv w:val="1"/>
      <w:marLeft w:val="0"/>
      <w:marRight w:val="0"/>
      <w:marTop w:val="0"/>
      <w:marBottom w:val="0"/>
      <w:divBdr>
        <w:top w:val="none" w:sz="0" w:space="0" w:color="auto"/>
        <w:left w:val="none" w:sz="0" w:space="0" w:color="auto"/>
        <w:bottom w:val="none" w:sz="0" w:space="0" w:color="auto"/>
        <w:right w:val="none" w:sz="0" w:space="0" w:color="auto"/>
      </w:divBdr>
    </w:div>
    <w:div w:id="841701892">
      <w:bodyDiv w:val="1"/>
      <w:marLeft w:val="0"/>
      <w:marRight w:val="0"/>
      <w:marTop w:val="0"/>
      <w:marBottom w:val="0"/>
      <w:divBdr>
        <w:top w:val="none" w:sz="0" w:space="0" w:color="auto"/>
        <w:left w:val="none" w:sz="0" w:space="0" w:color="auto"/>
        <w:bottom w:val="none" w:sz="0" w:space="0" w:color="auto"/>
        <w:right w:val="none" w:sz="0" w:space="0" w:color="auto"/>
      </w:divBdr>
    </w:div>
    <w:div w:id="851649017">
      <w:bodyDiv w:val="1"/>
      <w:marLeft w:val="0"/>
      <w:marRight w:val="0"/>
      <w:marTop w:val="0"/>
      <w:marBottom w:val="0"/>
      <w:divBdr>
        <w:top w:val="none" w:sz="0" w:space="0" w:color="auto"/>
        <w:left w:val="none" w:sz="0" w:space="0" w:color="auto"/>
        <w:bottom w:val="none" w:sz="0" w:space="0" w:color="auto"/>
        <w:right w:val="none" w:sz="0" w:space="0" w:color="auto"/>
      </w:divBdr>
    </w:div>
    <w:div w:id="944968091">
      <w:bodyDiv w:val="1"/>
      <w:marLeft w:val="0"/>
      <w:marRight w:val="0"/>
      <w:marTop w:val="0"/>
      <w:marBottom w:val="0"/>
      <w:divBdr>
        <w:top w:val="none" w:sz="0" w:space="0" w:color="auto"/>
        <w:left w:val="none" w:sz="0" w:space="0" w:color="auto"/>
        <w:bottom w:val="none" w:sz="0" w:space="0" w:color="auto"/>
        <w:right w:val="none" w:sz="0" w:space="0" w:color="auto"/>
      </w:divBdr>
    </w:div>
    <w:div w:id="949900172">
      <w:bodyDiv w:val="1"/>
      <w:marLeft w:val="0"/>
      <w:marRight w:val="0"/>
      <w:marTop w:val="0"/>
      <w:marBottom w:val="0"/>
      <w:divBdr>
        <w:top w:val="none" w:sz="0" w:space="0" w:color="auto"/>
        <w:left w:val="none" w:sz="0" w:space="0" w:color="auto"/>
        <w:bottom w:val="none" w:sz="0" w:space="0" w:color="auto"/>
        <w:right w:val="none" w:sz="0" w:space="0" w:color="auto"/>
      </w:divBdr>
    </w:div>
    <w:div w:id="978416105">
      <w:bodyDiv w:val="1"/>
      <w:marLeft w:val="0"/>
      <w:marRight w:val="0"/>
      <w:marTop w:val="0"/>
      <w:marBottom w:val="0"/>
      <w:divBdr>
        <w:top w:val="none" w:sz="0" w:space="0" w:color="auto"/>
        <w:left w:val="none" w:sz="0" w:space="0" w:color="auto"/>
        <w:bottom w:val="none" w:sz="0" w:space="0" w:color="auto"/>
        <w:right w:val="none" w:sz="0" w:space="0" w:color="auto"/>
      </w:divBdr>
    </w:div>
    <w:div w:id="1017655517">
      <w:bodyDiv w:val="1"/>
      <w:marLeft w:val="0"/>
      <w:marRight w:val="0"/>
      <w:marTop w:val="0"/>
      <w:marBottom w:val="0"/>
      <w:divBdr>
        <w:top w:val="none" w:sz="0" w:space="0" w:color="auto"/>
        <w:left w:val="none" w:sz="0" w:space="0" w:color="auto"/>
        <w:bottom w:val="none" w:sz="0" w:space="0" w:color="auto"/>
        <w:right w:val="none" w:sz="0" w:space="0" w:color="auto"/>
      </w:divBdr>
    </w:div>
    <w:div w:id="1026981504">
      <w:bodyDiv w:val="1"/>
      <w:marLeft w:val="0"/>
      <w:marRight w:val="0"/>
      <w:marTop w:val="0"/>
      <w:marBottom w:val="0"/>
      <w:divBdr>
        <w:top w:val="none" w:sz="0" w:space="0" w:color="auto"/>
        <w:left w:val="none" w:sz="0" w:space="0" w:color="auto"/>
        <w:bottom w:val="none" w:sz="0" w:space="0" w:color="auto"/>
        <w:right w:val="none" w:sz="0" w:space="0" w:color="auto"/>
      </w:divBdr>
    </w:div>
    <w:div w:id="1040206098">
      <w:bodyDiv w:val="1"/>
      <w:marLeft w:val="0"/>
      <w:marRight w:val="0"/>
      <w:marTop w:val="0"/>
      <w:marBottom w:val="0"/>
      <w:divBdr>
        <w:top w:val="none" w:sz="0" w:space="0" w:color="auto"/>
        <w:left w:val="none" w:sz="0" w:space="0" w:color="auto"/>
        <w:bottom w:val="none" w:sz="0" w:space="0" w:color="auto"/>
        <w:right w:val="none" w:sz="0" w:space="0" w:color="auto"/>
      </w:divBdr>
    </w:div>
    <w:div w:id="1048650731">
      <w:bodyDiv w:val="1"/>
      <w:marLeft w:val="0"/>
      <w:marRight w:val="0"/>
      <w:marTop w:val="0"/>
      <w:marBottom w:val="0"/>
      <w:divBdr>
        <w:top w:val="none" w:sz="0" w:space="0" w:color="auto"/>
        <w:left w:val="none" w:sz="0" w:space="0" w:color="auto"/>
        <w:bottom w:val="none" w:sz="0" w:space="0" w:color="auto"/>
        <w:right w:val="none" w:sz="0" w:space="0" w:color="auto"/>
      </w:divBdr>
    </w:div>
    <w:div w:id="1064522154">
      <w:bodyDiv w:val="1"/>
      <w:marLeft w:val="0"/>
      <w:marRight w:val="0"/>
      <w:marTop w:val="0"/>
      <w:marBottom w:val="0"/>
      <w:divBdr>
        <w:top w:val="none" w:sz="0" w:space="0" w:color="auto"/>
        <w:left w:val="none" w:sz="0" w:space="0" w:color="auto"/>
        <w:bottom w:val="none" w:sz="0" w:space="0" w:color="auto"/>
        <w:right w:val="none" w:sz="0" w:space="0" w:color="auto"/>
      </w:divBdr>
    </w:div>
    <w:div w:id="1073696888">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63162175">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03051460">
      <w:bodyDiv w:val="1"/>
      <w:marLeft w:val="0"/>
      <w:marRight w:val="0"/>
      <w:marTop w:val="0"/>
      <w:marBottom w:val="0"/>
      <w:divBdr>
        <w:top w:val="none" w:sz="0" w:space="0" w:color="auto"/>
        <w:left w:val="none" w:sz="0" w:space="0" w:color="auto"/>
        <w:bottom w:val="none" w:sz="0" w:space="0" w:color="auto"/>
        <w:right w:val="none" w:sz="0" w:space="0" w:color="auto"/>
      </w:divBdr>
    </w:div>
    <w:div w:id="1221943096">
      <w:bodyDiv w:val="1"/>
      <w:marLeft w:val="0"/>
      <w:marRight w:val="0"/>
      <w:marTop w:val="0"/>
      <w:marBottom w:val="0"/>
      <w:divBdr>
        <w:top w:val="none" w:sz="0" w:space="0" w:color="auto"/>
        <w:left w:val="none" w:sz="0" w:space="0" w:color="auto"/>
        <w:bottom w:val="none" w:sz="0" w:space="0" w:color="auto"/>
        <w:right w:val="none" w:sz="0" w:space="0" w:color="auto"/>
      </w:divBdr>
    </w:div>
    <w:div w:id="1228882941">
      <w:bodyDiv w:val="1"/>
      <w:marLeft w:val="0"/>
      <w:marRight w:val="0"/>
      <w:marTop w:val="0"/>
      <w:marBottom w:val="0"/>
      <w:divBdr>
        <w:top w:val="none" w:sz="0" w:space="0" w:color="auto"/>
        <w:left w:val="none" w:sz="0" w:space="0" w:color="auto"/>
        <w:bottom w:val="none" w:sz="0" w:space="0" w:color="auto"/>
        <w:right w:val="none" w:sz="0" w:space="0" w:color="auto"/>
      </w:divBdr>
    </w:div>
    <w:div w:id="1235357603">
      <w:bodyDiv w:val="1"/>
      <w:marLeft w:val="0"/>
      <w:marRight w:val="0"/>
      <w:marTop w:val="0"/>
      <w:marBottom w:val="0"/>
      <w:divBdr>
        <w:top w:val="none" w:sz="0" w:space="0" w:color="auto"/>
        <w:left w:val="none" w:sz="0" w:space="0" w:color="auto"/>
        <w:bottom w:val="none" w:sz="0" w:space="0" w:color="auto"/>
        <w:right w:val="none" w:sz="0" w:space="0" w:color="auto"/>
      </w:divBdr>
    </w:div>
    <w:div w:id="1298801927">
      <w:bodyDiv w:val="1"/>
      <w:marLeft w:val="0"/>
      <w:marRight w:val="0"/>
      <w:marTop w:val="0"/>
      <w:marBottom w:val="0"/>
      <w:divBdr>
        <w:top w:val="none" w:sz="0" w:space="0" w:color="auto"/>
        <w:left w:val="none" w:sz="0" w:space="0" w:color="auto"/>
        <w:bottom w:val="none" w:sz="0" w:space="0" w:color="auto"/>
        <w:right w:val="none" w:sz="0" w:space="0" w:color="auto"/>
      </w:divBdr>
    </w:div>
    <w:div w:id="1303540994">
      <w:bodyDiv w:val="1"/>
      <w:marLeft w:val="0"/>
      <w:marRight w:val="0"/>
      <w:marTop w:val="0"/>
      <w:marBottom w:val="0"/>
      <w:divBdr>
        <w:top w:val="none" w:sz="0" w:space="0" w:color="auto"/>
        <w:left w:val="none" w:sz="0" w:space="0" w:color="auto"/>
        <w:bottom w:val="none" w:sz="0" w:space="0" w:color="auto"/>
        <w:right w:val="none" w:sz="0" w:space="0" w:color="auto"/>
      </w:divBdr>
    </w:div>
    <w:div w:id="1305696584">
      <w:bodyDiv w:val="1"/>
      <w:marLeft w:val="0"/>
      <w:marRight w:val="0"/>
      <w:marTop w:val="0"/>
      <w:marBottom w:val="0"/>
      <w:divBdr>
        <w:top w:val="none" w:sz="0" w:space="0" w:color="auto"/>
        <w:left w:val="none" w:sz="0" w:space="0" w:color="auto"/>
        <w:bottom w:val="none" w:sz="0" w:space="0" w:color="auto"/>
        <w:right w:val="none" w:sz="0" w:space="0" w:color="auto"/>
      </w:divBdr>
    </w:div>
    <w:div w:id="1327593960">
      <w:bodyDiv w:val="1"/>
      <w:marLeft w:val="0"/>
      <w:marRight w:val="0"/>
      <w:marTop w:val="0"/>
      <w:marBottom w:val="0"/>
      <w:divBdr>
        <w:top w:val="none" w:sz="0" w:space="0" w:color="auto"/>
        <w:left w:val="none" w:sz="0" w:space="0" w:color="auto"/>
        <w:bottom w:val="none" w:sz="0" w:space="0" w:color="auto"/>
        <w:right w:val="none" w:sz="0" w:space="0" w:color="auto"/>
      </w:divBdr>
    </w:div>
    <w:div w:id="1394353288">
      <w:bodyDiv w:val="1"/>
      <w:marLeft w:val="0"/>
      <w:marRight w:val="0"/>
      <w:marTop w:val="0"/>
      <w:marBottom w:val="0"/>
      <w:divBdr>
        <w:top w:val="none" w:sz="0" w:space="0" w:color="auto"/>
        <w:left w:val="none" w:sz="0" w:space="0" w:color="auto"/>
        <w:bottom w:val="none" w:sz="0" w:space="0" w:color="auto"/>
        <w:right w:val="none" w:sz="0" w:space="0" w:color="auto"/>
      </w:divBdr>
    </w:div>
    <w:div w:id="1440026188">
      <w:bodyDiv w:val="1"/>
      <w:marLeft w:val="0"/>
      <w:marRight w:val="0"/>
      <w:marTop w:val="0"/>
      <w:marBottom w:val="0"/>
      <w:divBdr>
        <w:top w:val="none" w:sz="0" w:space="0" w:color="auto"/>
        <w:left w:val="none" w:sz="0" w:space="0" w:color="auto"/>
        <w:bottom w:val="none" w:sz="0" w:space="0" w:color="auto"/>
        <w:right w:val="none" w:sz="0" w:space="0" w:color="auto"/>
      </w:divBdr>
    </w:div>
    <w:div w:id="1440833010">
      <w:bodyDiv w:val="1"/>
      <w:marLeft w:val="0"/>
      <w:marRight w:val="0"/>
      <w:marTop w:val="0"/>
      <w:marBottom w:val="0"/>
      <w:divBdr>
        <w:top w:val="none" w:sz="0" w:space="0" w:color="auto"/>
        <w:left w:val="none" w:sz="0" w:space="0" w:color="auto"/>
        <w:bottom w:val="none" w:sz="0" w:space="0" w:color="auto"/>
        <w:right w:val="none" w:sz="0" w:space="0" w:color="auto"/>
      </w:divBdr>
    </w:div>
    <w:div w:id="1441608019">
      <w:bodyDiv w:val="1"/>
      <w:marLeft w:val="0"/>
      <w:marRight w:val="0"/>
      <w:marTop w:val="0"/>
      <w:marBottom w:val="0"/>
      <w:divBdr>
        <w:top w:val="none" w:sz="0" w:space="0" w:color="auto"/>
        <w:left w:val="none" w:sz="0" w:space="0" w:color="auto"/>
        <w:bottom w:val="none" w:sz="0" w:space="0" w:color="auto"/>
        <w:right w:val="none" w:sz="0" w:space="0" w:color="auto"/>
      </w:divBdr>
    </w:div>
    <w:div w:id="1458571768">
      <w:bodyDiv w:val="1"/>
      <w:marLeft w:val="0"/>
      <w:marRight w:val="0"/>
      <w:marTop w:val="0"/>
      <w:marBottom w:val="0"/>
      <w:divBdr>
        <w:top w:val="none" w:sz="0" w:space="0" w:color="auto"/>
        <w:left w:val="none" w:sz="0" w:space="0" w:color="auto"/>
        <w:bottom w:val="none" w:sz="0" w:space="0" w:color="auto"/>
        <w:right w:val="none" w:sz="0" w:space="0" w:color="auto"/>
      </w:divBdr>
    </w:div>
    <w:div w:id="1464736046">
      <w:bodyDiv w:val="1"/>
      <w:marLeft w:val="0"/>
      <w:marRight w:val="0"/>
      <w:marTop w:val="0"/>
      <w:marBottom w:val="0"/>
      <w:divBdr>
        <w:top w:val="none" w:sz="0" w:space="0" w:color="auto"/>
        <w:left w:val="none" w:sz="0" w:space="0" w:color="auto"/>
        <w:bottom w:val="none" w:sz="0" w:space="0" w:color="auto"/>
        <w:right w:val="none" w:sz="0" w:space="0" w:color="auto"/>
      </w:divBdr>
    </w:div>
    <w:div w:id="1467746597">
      <w:bodyDiv w:val="1"/>
      <w:marLeft w:val="0"/>
      <w:marRight w:val="0"/>
      <w:marTop w:val="0"/>
      <w:marBottom w:val="0"/>
      <w:divBdr>
        <w:top w:val="none" w:sz="0" w:space="0" w:color="auto"/>
        <w:left w:val="none" w:sz="0" w:space="0" w:color="auto"/>
        <w:bottom w:val="none" w:sz="0" w:space="0" w:color="auto"/>
        <w:right w:val="none" w:sz="0" w:space="0" w:color="auto"/>
      </w:divBdr>
    </w:div>
    <w:div w:id="1468160157">
      <w:bodyDiv w:val="1"/>
      <w:marLeft w:val="0"/>
      <w:marRight w:val="0"/>
      <w:marTop w:val="0"/>
      <w:marBottom w:val="0"/>
      <w:divBdr>
        <w:top w:val="none" w:sz="0" w:space="0" w:color="auto"/>
        <w:left w:val="none" w:sz="0" w:space="0" w:color="auto"/>
        <w:bottom w:val="none" w:sz="0" w:space="0" w:color="auto"/>
        <w:right w:val="none" w:sz="0" w:space="0" w:color="auto"/>
      </w:divBdr>
    </w:div>
    <w:div w:id="1473524640">
      <w:bodyDiv w:val="1"/>
      <w:marLeft w:val="0"/>
      <w:marRight w:val="0"/>
      <w:marTop w:val="0"/>
      <w:marBottom w:val="0"/>
      <w:divBdr>
        <w:top w:val="none" w:sz="0" w:space="0" w:color="auto"/>
        <w:left w:val="none" w:sz="0" w:space="0" w:color="auto"/>
        <w:bottom w:val="none" w:sz="0" w:space="0" w:color="auto"/>
        <w:right w:val="none" w:sz="0" w:space="0" w:color="auto"/>
      </w:divBdr>
    </w:div>
    <w:div w:id="1530216278">
      <w:bodyDiv w:val="1"/>
      <w:marLeft w:val="0"/>
      <w:marRight w:val="0"/>
      <w:marTop w:val="0"/>
      <w:marBottom w:val="0"/>
      <w:divBdr>
        <w:top w:val="none" w:sz="0" w:space="0" w:color="auto"/>
        <w:left w:val="none" w:sz="0" w:space="0" w:color="auto"/>
        <w:bottom w:val="none" w:sz="0" w:space="0" w:color="auto"/>
        <w:right w:val="none" w:sz="0" w:space="0" w:color="auto"/>
      </w:divBdr>
    </w:div>
    <w:div w:id="1536456590">
      <w:bodyDiv w:val="1"/>
      <w:marLeft w:val="0"/>
      <w:marRight w:val="0"/>
      <w:marTop w:val="0"/>
      <w:marBottom w:val="0"/>
      <w:divBdr>
        <w:top w:val="none" w:sz="0" w:space="0" w:color="auto"/>
        <w:left w:val="none" w:sz="0" w:space="0" w:color="auto"/>
        <w:bottom w:val="none" w:sz="0" w:space="0" w:color="auto"/>
        <w:right w:val="none" w:sz="0" w:space="0" w:color="auto"/>
      </w:divBdr>
    </w:div>
    <w:div w:id="1636134749">
      <w:bodyDiv w:val="1"/>
      <w:marLeft w:val="0"/>
      <w:marRight w:val="0"/>
      <w:marTop w:val="0"/>
      <w:marBottom w:val="0"/>
      <w:divBdr>
        <w:top w:val="none" w:sz="0" w:space="0" w:color="auto"/>
        <w:left w:val="none" w:sz="0" w:space="0" w:color="auto"/>
        <w:bottom w:val="none" w:sz="0" w:space="0" w:color="auto"/>
        <w:right w:val="none" w:sz="0" w:space="0" w:color="auto"/>
      </w:divBdr>
    </w:div>
    <w:div w:id="1684429569">
      <w:bodyDiv w:val="1"/>
      <w:marLeft w:val="0"/>
      <w:marRight w:val="0"/>
      <w:marTop w:val="0"/>
      <w:marBottom w:val="0"/>
      <w:divBdr>
        <w:top w:val="none" w:sz="0" w:space="0" w:color="auto"/>
        <w:left w:val="none" w:sz="0" w:space="0" w:color="auto"/>
        <w:bottom w:val="none" w:sz="0" w:space="0" w:color="auto"/>
        <w:right w:val="none" w:sz="0" w:space="0" w:color="auto"/>
      </w:divBdr>
    </w:div>
    <w:div w:id="1695229041">
      <w:bodyDiv w:val="1"/>
      <w:marLeft w:val="0"/>
      <w:marRight w:val="0"/>
      <w:marTop w:val="0"/>
      <w:marBottom w:val="0"/>
      <w:divBdr>
        <w:top w:val="none" w:sz="0" w:space="0" w:color="auto"/>
        <w:left w:val="none" w:sz="0" w:space="0" w:color="auto"/>
        <w:bottom w:val="none" w:sz="0" w:space="0" w:color="auto"/>
        <w:right w:val="none" w:sz="0" w:space="0" w:color="auto"/>
      </w:divBdr>
    </w:div>
    <w:div w:id="1726221761">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741095357">
      <w:bodyDiv w:val="1"/>
      <w:marLeft w:val="0"/>
      <w:marRight w:val="0"/>
      <w:marTop w:val="0"/>
      <w:marBottom w:val="0"/>
      <w:divBdr>
        <w:top w:val="none" w:sz="0" w:space="0" w:color="auto"/>
        <w:left w:val="none" w:sz="0" w:space="0" w:color="auto"/>
        <w:bottom w:val="none" w:sz="0" w:space="0" w:color="auto"/>
        <w:right w:val="none" w:sz="0" w:space="0" w:color="auto"/>
      </w:divBdr>
    </w:div>
    <w:div w:id="1783652347">
      <w:bodyDiv w:val="1"/>
      <w:marLeft w:val="0"/>
      <w:marRight w:val="0"/>
      <w:marTop w:val="0"/>
      <w:marBottom w:val="0"/>
      <w:divBdr>
        <w:top w:val="none" w:sz="0" w:space="0" w:color="auto"/>
        <w:left w:val="none" w:sz="0" w:space="0" w:color="auto"/>
        <w:bottom w:val="none" w:sz="0" w:space="0" w:color="auto"/>
        <w:right w:val="none" w:sz="0" w:space="0" w:color="auto"/>
      </w:divBdr>
    </w:div>
    <w:div w:id="1797524124">
      <w:bodyDiv w:val="1"/>
      <w:marLeft w:val="0"/>
      <w:marRight w:val="0"/>
      <w:marTop w:val="0"/>
      <w:marBottom w:val="0"/>
      <w:divBdr>
        <w:top w:val="none" w:sz="0" w:space="0" w:color="auto"/>
        <w:left w:val="none" w:sz="0" w:space="0" w:color="auto"/>
        <w:bottom w:val="none" w:sz="0" w:space="0" w:color="auto"/>
        <w:right w:val="none" w:sz="0" w:space="0" w:color="auto"/>
      </w:divBdr>
    </w:div>
    <w:div w:id="1804031694">
      <w:bodyDiv w:val="1"/>
      <w:marLeft w:val="0"/>
      <w:marRight w:val="0"/>
      <w:marTop w:val="0"/>
      <w:marBottom w:val="0"/>
      <w:divBdr>
        <w:top w:val="none" w:sz="0" w:space="0" w:color="auto"/>
        <w:left w:val="none" w:sz="0" w:space="0" w:color="auto"/>
        <w:bottom w:val="none" w:sz="0" w:space="0" w:color="auto"/>
        <w:right w:val="none" w:sz="0" w:space="0" w:color="auto"/>
      </w:divBdr>
    </w:div>
    <w:div w:id="1810711034">
      <w:bodyDiv w:val="1"/>
      <w:marLeft w:val="0"/>
      <w:marRight w:val="0"/>
      <w:marTop w:val="0"/>
      <w:marBottom w:val="0"/>
      <w:divBdr>
        <w:top w:val="none" w:sz="0" w:space="0" w:color="auto"/>
        <w:left w:val="none" w:sz="0" w:space="0" w:color="auto"/>
        <w:bottom w:val="none" w:sz="0" w:space="0" w:color="auto"/>
        <w:right w:val="none" w:sz="0" w:space="0" w:color="auto"/>
      </w:divBdr>
    </w:div>
    <w:div w:id="186313210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1888686985">
      <w:bodyDiv w:val="1"/>
      <w:marLeft w:val="0"/>
      <w:marRight w:val="0"/>
      <w:marTop w:val="0"/>
      <w:marBottom w:val="0"/>
      <w:divBdr>
        <w:top w:val="none" w:sz="0" w:space="0" w:color="auto"/>
        <w:left w:val="none" w:sz="0" w:space="0" w:color="auto"/>
        <w:bottom w:val="none" w:sz="0" w:space="0" w:color="auto"/>
        <w:right w:val="none" w:sz="0" w:space="0" w:color="auto"/>
      </w:divBdr>
    </w:div>
    <w:div w:id="1957593085">
      <w:bodyDiv w:val="1"/>
      <w:marLeft w:val="0"/>
      <w:marRight w:val="0"/>
      <w:marTop w:val="0"/>
      <w:marBottom w:val="0"/>
      <w:divBdr>
        <w:top w:val="none" w:sz="0" w:space="0" w:color="auto"/>
        <w:left w:val="none" w:sz="0" w:space="0" w:color="auto"/>
        <w:bottom w:val="none" w:sz="0" w:space="0" w:color="auto"/>
        <w:right w:val="none" w:sz="0" w:space="0" w:color="auto"/>
      </w:divBdr>
    </w:div>
    <w:div w:id="1961186789">
      <w:bodyDiv w:val="1"/>
      <w:marLeft w:val="0"/>
      <w:marRight w:val="0"/>
      <w:marTop w:val="0"/>
      <w:marBottom w:val="0"/>
      <w:divBdr>
        <w:top w:val="none" w:sz="0" w:space="0" w:color="auto"/>
        <w:left w:val="none" w:sz="0" w:space="0" w:color="auto"/>
        <w:bottom w:val="none" w:sz="0" w:space="0" w:color="auto"/>
        <w:right w:val="none" w:sz="0" w:space="0" w:color="auto"/>
      </w:divBdr>
    </w:div>
    <w:div w:id="1991208416">
      <w:bodyDiv w:val="1"/>
      <w:marLeft w:val="0"/>
      <w:marRight w:val="0"/>
      <w:marTop w:val="0"/>
      <w:marBottom w:val="0"/>
      <w:divBdr>
        <w:top w:val="none" w:sz="0" w:space="0" w:color="auto"/>
        <w:left w:val="none" w:sz="0" w:space="0" w:color="auto"/>
        <w:bottom w:val="none" w:sz="0" w:space="0" w:color="auto"/>
        <w:right w:val="none" w:sz="0" w:space="0" w:color="auto"/>
      </w:divBdr>
    </w:div>
    <w:div w:id="2013876588">
      <w:bodyDiv w:val="1"/>
      <w:marLeft w:val="0"/>
      <w:marRight w:val="0"/>
      <w:marTop w:val="0"/>
      <w:marBottom w:val="0"/>
      <w:divBdr>
        <w:top w:val="none" w:sz="0" w:space="0" w:color="auto"/>
        <w:left w:val="none" w:sz="0" w:space="0" w:color="auto"/>
        <w:bottom w:val="none" w:sz="0" w:space="0" w:color="auto"/>
        <w:right w:val="none" w:sz="0" w:space="0" w:color="auto"/>
      </w:divBdr>
    </w:div>
    <w:div w:id="2053994176">
      <w:bodyDiv w:val="1"/>
      <w:marLeft w:val="0"/>
      <w:marRight w:val="0"/>
      <w:marTop w:val="0"/>
      <w:marBottom w:val="0"/>
      <w:divBdr>
        <w:top w:val="none" w:sz="0" w:space="0" w:color="auto"/>
        <w:left w:val="none" w:sz="0" w:space="0" w:color="auto"/>
        <w:bottom w:val="none" w:sz="0" w:space="0" w:color="auto"/>
        <w:right w:val="none" w:sz="0" w:space="0" w:color="auto"/>
      </w:divBdr>
    </w:div>
    <w:div w:id="2054573535">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 w:id="213020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fiddatabase.esma.europa.eu/Index.aspx?sectionlinks%20id=14&amp;language=0&amp;pageName=MiFIDLiquidSear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25FB0-DAD8-420E-AA02-DE34C685C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Guidelines&amp;Recommendations_Template_Public.dotx</Template>
  <TotalTime>4</TotalTime>
  <Pages>98</Pages>
  <Words>36744</Words>
  <Characters>202098</Characters>
  <Application>Microsoft Office Word</Application>
  <DocSecurity>8</DocSecurity>
  <Lines>1684</Lines>
  <Paragraphs>476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SOCIETE GENERALE</Company>
  <LinksUpToDate>false</LinksUpToDate>
  <CharactersWithSpaces>238366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Clementine LARIVIERE (clarivie022415)</cp:lastModifiedBy>
  <cp:revision>2</cp:revision>
  <cp:lastPrinted>2015-03-02T17:08:00Z</cp:lastPrinted>
  <dcterms:created xsi:type="dcterms:W3CDTF">2015-03-02T17:10:00Z</dcterms:created>
  <dcterms:modified xsi:type="dcterms:W3CDTF">2015-03-02T17:10:00Z</dcterms:modified>
</cp:coreProperties>
</file>