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6F63BF"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Content>
            <w:permStart w:id="1" w:edGrp="everyone" w:displacedByCustomXml="prev"/>
            <w:tc>
              <w:tcPr>
                <w:tcW w:w="5595" w:type="dxa"/>
                <w:shd w:val="clear" w:color="auto" w:fill="auto"/>
              </w:tcPr>
              <w:p w:rsidR="000632C2" w:rsidRPr="00AB6D88" w:rsidRDefault="00063762" w:rsidP="00063762">
                <w:pPr>
                  <w:rPr>
                    <w:rStyle w:val="Platzhaltertext"/>
                    <w:rFonts w:ascii="Arial" w:hAnsi="Arial" w:cs="Arial"/>
                  </w:rPr>
                </w:pPr>
                <w:r>
                  <w:rPr>
                    <w:rStyle w:val="Platzhaltertext"/>
                    <w:rFonts w:ascii="Arial" w:hAnsi="Arial" w:cs="Arial"/>
                  </w:rPr>
                  <w:t>Siemens A</w:t>
                </w:r>
                <w:r w:rsidR="007B4808">
                  <w:rPr>
                    <w:rStyle w:val="Platzhaltertext"/>
                    <w:rFonts w:ascii="Arial" w:hAnsi="Arial" w:cs="Arial"/>
                  </w:rPr>
                  <w:t>G</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6F63B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106D66">
                  <w:rPr>
                    <w:rFonts w:ascii="Arial" w:hAnsi="Arial" w:cs="Arial"/>
                  </w:rPr>
                  <w:t>Non-financial counterparty</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106D66" w:rsidP="00106D66">
                <w:pPr>
                  <w:rPr>
                    <w:rFonts w:ascii="Arial" w:hAnsi="Arial" w:cs="Arial"/>
                  </w:rPr>
                </w:pPr>
                <w:r>
                  <w:rPr>
                    <w:rFonts w:ascii="Arial" w:hAnsi="Arial" w:cs="Arial"/>
                  </w:rPr>
                  <w:t>Germany</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6B1586" w:rsidRPr="00AD0C08" w:rsidRDefault="006B1586" w:rsidP="006B1586">
      <w:pPr>
        <w:pStyle w:val="scfnutzer"/>
        <w:spacing w:before="120" w:line="240" w:lineRule="auto"/>
        <w:rPr>
          <w:sz w:val="22"/>
          <w:lang w:val="en-US"/>
        </w:rPr>
      </w:pPr>
      <w:permStart w:id="9" w:edGrp="everyone"/>
      <w:r w:rsidRPr="00AD0C08">
        <w:rPr>
          <w:sz w:val="22"/>
          <w:lang w:val="en-US"/>
        </w:rPr>
        <w:t xml:space="preserve">Siemens AG (Berlin and Munich) is a global industrial company engaged in electronics and electrical engineering, with its focus concentrated in the sectors industry, energy, healthcare, and infrastructure &amp; cities. </w:t>
      </w:r>
      <w:r w:rsidRPr="00B45D84">
        <w:rPr>
          <w:sz w:val="22"/>
          <w:lang w:val="en-US"/>
        </w:rPr>
        <w:t>The Siemens Group has around 343,000 employees working to develop and manufacture products, design and install complex systems and projects, and tailor a wide range of solutions for individual requirements. For over 160 years, Siemens has stood for technical achievements, innovation, quality, reliability and internationality. In fiscal year 2014, Siemens had revenues of € 71.9 billion and a net income of € 4.5 billion (IFRS).</w:t>
      </w:r>
      <w:r>
        <w:rPr>
          <w:sz w:val="22"/>
          <w:lang w:val="en-US"/>
        </w:rPr>
        <w:t xml:space="preserve"> </w:t>
      </w:r>
      <w:r w:rsidRPr="00AD0C08">
        <w:rPr>
          <w:sz w:val="22"/>
          <w:lang w:val="en-US"/>
        </w:rPr>
        <w:t xml:space="preserve">Further information is available on the Internet at: www.siemens.com. </w:t>
      </w:r>
    </w:p>
    <w:p w:rsidR="006B1586" w:rsidRPr="00AD0C08" w:rsidRDefault="006B1586" w:rsidP="006B1586">
      <w:pPr>
        <w:pStyle w:val="scfnutzer"/>
        <w:spacing w:before="120" w:line="240" w:lineRule="auto"/>
        <w:rPr>
          <w:sz w:val="22"/>
          <w:lang w:val="en-US"/>
        </w:rPr>
      </w:pPr>
      <w:r w:rsidRPr="00AD0C08">
        <w:rPr>
          <w:sz w:val="22"/>
          <w:lang w:val="en-US"/>
        </w:rPr>
        <w:t xml:space="preserve">Siemens AG mainly uses derivatives to hedge risk positions which result from the group’s worldwide business transactions. Therefore the existence of an efficient and flexible derivative market is essential for Siemens AG, and is in our opinion a key prerequisite for promoting economic growth within the European Community and elsewhere. </w:t>
      </w:r>
    </w:p>
    <w:p w:rsidR="006B1586" w:rsidRPr="00AD0C08" w:rsidRDefault="006B1586" w:rsidP="006B1586">
      <w:pPr>
        <w:pStyle w:val="scfnutzer"/>
        <w:spacing w:before="120" w:line="240" w:lineRule="auto"/>
        <w:rPr>
          <w:sz w:val="22"/>
          <w:lang w:val="en-US"/>
        </w:rPr>
      </w:pPr>
      <w:r w:rsidRPr="00AD0C08">
        <w:rPr>
          <w:sz w:val="22"/>
          <w:lang w:val="en-US"/>
        </w:rPr>
        <w:t xml:space="preserve">We appreciate the opportunity to participate in the consultation process and have the following comments to your questions </w:t>
      </w:r>
      <w:r>
        <w:rPr>
          <w:sz w:val="22"/>
          <w:lang w:val="en-US"/>
        </w:rPr>
        <w:t xml:space="preserve">further </w:t>
      </w:r>
      <w:r w:rsidRPr="00AD0C08">
        <w:rPr>
          <w:sz w:val="22"/>
          <w:lang w:val="en-US"/>
        </w:rPr>
        <w:t>below.</w:t>
      </w:r>
    </w:p>
    <w:p w:rsidR="006B1586" w:rsidRPr="00AD0C08" w:rsidRDefault="006B1586" w:rsidP="006B1586">
      <w:pPr>
        <w:pStyle w:val="scfnutzer"/>
        <w:spacing w:before="120" w:line="240" w:lineRule="auto"/>
        <w:rPr>
          <w:sz w:val="22"/>
          <w:lang w:val="en-US"/>
        </w:rPr>
      </w:pPr>
    </w:p>
    <w:p w:rsidR="006B1586" w:rsidRPr="006B1586" w:rsidRDefault="006B1586" w:rsidP="006B1586">
      <w:pPr>
        <w:pStyle w:val="scfnutzer"/>
        <w:spacing w:before="120" w:line="240" w:lineRule="auto"/>
        <w:rPr>
          <w:sz w:val="22"/>
          <w:lang w:val="en-US"/>
        </w:rPr>
      </w:pPr>
      <w:r w:rsidRPr="006B1586">
        <w:rPr>
          <w:sz w:val="22"/>
          <w:lang w:val="en-US"/>
        </w:rPr>
        <w:t>Central issues overview</w:t>
      </w:r>
    </w:p>
    <w:p w:rsidR="006B1586" w:rsidRPr="00E95A90" w:rsidRDefault="006B1586" w:rsidP="006B1586">
      <w:pPr>
        <w:pStyle w:val="scfnutzer"/>
        <w:numPr>
          <w:ilvl w:val="1"/>
          <w:numId w:val="31"/>
        </w:numPr>
        <w:spacing w:before="120" w:line="240" w:lineRule="auto"/>
        <w:rPr>
          <w:sz w:val="22"/>
          <w:lang w:val="en-US"/>
        </w:rPr>
      </w:pPr>
      <w:r w:rsidRPr="00E95A90">
        <w:rPr>
          <w:sz w:val="22"/>
          <w:lang w:val="en-US"/>
        </w:rPr>
        <w:t>Pre- and Post Trade Transparency</w:t>
      </w:r>
      <w:r>
        <w:rPr>
          <w:sz w:val="22"/>
          <w:lang w:val="en-US"/>
        </w:rPr>
        <w:t>: we are concerned that ESMA has set limits for “illiquid” and “large” (LIS and SSTI) too restrictive, which in combination with very limited options to delay publication requirements will create serious problems for hedging operations of the real economy.</w:t>
      </w:r>
    </w:p>
    <w:p w:rsidR="006B1586" w:rsidRPr="00E95A90" w:rsidRDefault="006B1586" w:rsidP="006B1586">
      <w:pPr>
        <w:pStyle w:val="scfnutzer"/>
        <w:numPr>
          <w:ilvl w:val="1"/>
          <w:numId w:val="31"/>
        </w:numPr>
        <w:spacing w:before="120" w:line="240" w:lineRule="auto"/>
        <w:rPr>
          <w:sz w:val="22"/>
          <w:lang w:val="en-US"/>
        </w:rPr>
      </w:pPr>
      <w:r w:rsidRPr="00E95A90">
        <w:rPr>
          <w:sz w:val="22"/>
          <w:lang w:val="en-US"/>
        </w:rPr>
        <w:t xml:space="preserve">Commodities: </w:t>
      </w:r>
      <w:r>
        <w:rPr>
          <w:sz w:val="22"/>
          <w:lang w:val="en-US"/>
        </w:rPr>
        <w:t>the exemptions for companies with low trading activities from MiFID license requirements (“A</w:t>
      </w:r>
      <w:r w:rsidRPr="00E95A90">
        <w:rPr>
          <w:sz w:val="22"/>
          <w:lang w:val="en-US"/>
        </w:rPr>
        <w:t xml:space="preserve">ncillary </w:t>
      </w:r>
      <w:r>
        <w:rPr>
          <w:sz w:val="22"/>
          <w:lang w:val="en-US"/>
        </w:rPr>
        <w:t>Activities”) require very burdensome processes to register and proof applicability, which need to be simplified.</w:t>
      </w:r>
    </w:p>
    <w:p w:rsidR="006B1586" w:rsidRPr="00E95A90" w:rsidRDefault="006B1586" w:rsidP="006B1586">
      <w:pPr>
        <w:pStyle w:val="scfnutzer"/>
        <w:numPr>
          <w:ilvl w:val="1"/>
          <w:numId w:val="31"/>
        </w:numPr>
        <w:spacing w:before="120" w:line="240" w:lineRule="auto"/>
        <w:rPr>
          <w:sz w:val="22"/>
          <w:lang w:val="en-US"/>
        </w:rPr>
      </w:pPr>
      <w:r w:rsidRPr="00E95A90">
        <w:rPr>
          <w:sz w:val="22"/>
          <w:lang w:val="en-US"/>
        </w:rPr>
        <w:t xml:space="preserve">“Priviledged Transactions”: </w:t>
      </w:r>
      <w:r>
        <w:rPr>
          <w:sz w:val="22"/>
          <w:lang w:val="en-US"/>
        </w:rPr>
        <w:t xml:space="preserve">the definitions include </w:t>
      </w:r>
      <w:r w:rsidRPr="00E95A90">
        <w:rPr>
          <w:sz w:val="22"/>
          <w:lang w:val="en-US"/>
        </w:rPr>
        <w:t>inconsistent reference</w:t>
      </w:r>
      <w:r>
        <w:rPr>
          <w:sz w:val="22"/>
          <w:lang w:val="en-US"/>
        </w:rPr>
        <w:t>s</w:t>
      </w:r>
      <w:r w:rsidRPr="00E95A90">
        <w:rPr>
          <w:sz w:val="22"/>
          <w:lang w:val="en-US"/>
        </w:rPr>
        <w:t xml:space="preserve"> to EMIR definitions</w:t>
      </w:r>
      <w:r>
        <w:rPr>
          <w:sz w:val="22"/>
          <w:lang w:val="en-US"/>
        </w:rPr>
        <w:t xml:space="preserve"> which need to be adapted to assure regulatory consistency.</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6B1586" w:rsidRDefault="006B1586" w:rsidP="00EC2C93">
      <w:pPr>
        <w:keepNext/>
        <w:rPr>
          <w:lang w:val="en-US"/>
        </w:rPr>
      </w:pPr>
      <w:permStart w:id="83" w:edGrp="everyone"/>
      <w:r w:rsidRPr="00C278CB">
        <w:rPr>
          <w:lang w:val="en-US"/>
        </w:rPr>
        <w:t xml:space="preserve">We would strongly suggest to </w:t>
      </w:r>
      <w:r>
        <w:rPr>
          <w:lang w:val="en-US"/>
        </w:rPr>
        <w:t xml:space="preserve">explicitly </w:t>
      </w:r>
      <w:proofErr w:type="gramStart"/>
      <w:r w:rsidRPr="00C278CB">
        <w:rPr>
          <w:lang w:val="en-US"/>
        </w:rPr>
        <w:t>include</w:t>
      </w:r>
      <w:proofErr w:type="gramEnd"/>
      <w:r w:rsidRPr="00C278CB">
        <w:rPr>
          <w:lang w:val="en-US"/>
        </w:rPr>
        <w:t xml:space="preserve"> </w:t>
      </w:r>
      <w:r>
        <w:rPr>
          <w:lang w:val="en-US"/>
        </w:rPr>
        <w:t>i</w:t>
      </w:r>
      <w:r w:rsidRPr="00C278CB">
        <w:rPr>
          <w:lang w:val="en-US"/>
        </w:rPr>
        <w:t>ntra-group transactions under Article 9 of RTS 9, so that they are captured by the “G” identifier (non-price forming trades flag).</w:t>
      </w:r>
      <w:r>
        <w:rPr>
          <w:lang w:val="en-US"/>
        </w:rPr>
        <w:t xml:space="preserve"> Such internal transactions are merely being done to redistribute risk within a group, e.g. to channel hedges from central treasury to operative entities in non-financial companies. Hence, there is no relevant price forming information for external market participants in these transactions.</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6B1586" w:rsidRDefault="006B1586" w:rsidP="00EC2C93">
      <w:pPr>
        <w:keepNext/>
        <w:rPr>
          <w:lang w:val="en-US"/>
        </w:rPr>
      </w:pPr>
      <w:permStart w:id="84" w:edGrp="everyone"/>
      <w:r>
        <w:rPr>
          <w:lang w:val="en-US"/>
        </w:rPr>
        <w:t>No, we do not agree. W</w:t>
      </w:r>
      <w:r w:rsidRPr="00E271D5">
        <w:rPr>
          <w:lang w:val="en-US"/>
        </w:rPr>
        <w:t>ith regard to publication timing, we believe it</w:t>
      </w:r>
      <w:r>
        <w:rPr>
          <w:lang w:val="en-US"/>
        </w:rPr>
        <w:t xml:space="preserve"> i</w:t>
      </w:r>
      <w:r w:rsidRPr="00E271D5">
        <w:rPr>
          <w:lang w:val="en-US"/>
        </w:rPr>
        <w:t>s absolutely crucial to conduct a review after the proposed time span (3</w:t>
      </w:r>
      <w:r>
        <w:rPr>
          <w:lang w:val="en-US"/>
        </w:rPr>
        <w:t xml:space="preserve"> </w:t>
      </w:r>
      <w:r w:rsidRPr="00E271D5">
        <w:rPr>
          <w:lang w:val="en-US"/>
        </w:rPr>
        <w:t>y</w:t>
      </w:r>
      <w:r>
        <w:rPr>
          <w:lang w:val="en-US"/>
        </w:rPr>
        <w:t>ea</w:t>
      </w:r>
      <w:r w:rsidRPr="00E271D5">
        <w:rPr>
          <w:lang w:val="en-US"/>
        </w:rPr>
        <w:t xml:space="preserve">rs) analyzing </w:t>
      </w:r>
      <w:r>
        <w:rPr>
          <w:lang w:val="en-US"/>
        </w:rPr>
        <w:t xml:space="preserve">past experiences as well as </w:t>
      </w:r>
      <w:r w:rsidRPr="00E271D5">
        <w:rPr>
          <w:lang w:val="en-US"/>
        </w:rPr>
        <w:t>then-to-</w:t>
      </w:r>
      <w:r>
        <w:rPr>
          <w:lang w:val="en-US"/>
        </w:rPr>
        <w:t>exist</w:t>
      </w:r>
      <w:r w:rsidRPr="00E271D5">
        <w:rPr>
          <w:lang w:val="en-US"/>
        </w:rPr>
        <w:t xml:space="preserve"> market standards before deciding on any shorter period than 15 minutes. </w:t>
      </w:r>
      <w:r>
        <w:rPr>
          <w:lang w:val="en-US"/>
        </w:rPr>
        <w:t xml:space="preserve">It is not realistic to simply assume developments in technology and markets will accommodate ESMA’s idea of </w:t>
      </w:r>
      <w:proofErr w:type="gramStart"/>
      <w:r>
        <w:rPr>
          <w:lang w:val="en-US"/>
        </w:rPr>
        <w:t>a target</w:t>
      </w:r>
      <w:proofErr w:type="gramEnd"/>
      <w:r>
        <w:rPr>
          <w:lang w:val="en-US"/>
        </w:rPr>
        <w:t xml:space="preserve"> timing as of today. Hence, w</w:t>
      </w:r>
      <w:r w:rsidRPr="00E271D5">
        <w:rPr>
          <w:lang w:val="en-US"/>
        </w:rPr>
        <w:t xml:space="preserve">e strictly oppose an automatic </w:t>
      </w:r>
      <w:r>
        <w:rPr>
          <w:lang w:val="en-US"/>
        </w:rPr>
        <w:t>change</w:t>
      </w:r>
      <w:r w:rsidRPr="00E271D5">
        <w:rPr>
          <w:lang w:val="en-US"/>
        </w:rPr>
        <w:t xml:space="preserve"> to 5 minutes as proposed</w:t>
      </w:r>
      <w:r>
        <w:rPr>
          <w:lang w:val="en-US"/>
        </w:rPr>
        <w:t xml:space="preserve">, and suggest </w:t>
      </w:r>
      <w:r w:rsidR="00061686">
        <w:rPr>
          <w:lang w:val="en-US"/>
        </w:rPr>
        <w:t>conducting</w:t>
      </w:r>
      <w:r>
        <w:rPr>
          <w:lang w:val="en-US"/>
        </w:rPr>
        <w:t xml:space="preserve"> an even-handed review process at the scheduled time instead</w:t>
      </w:r>
      <w:r w:rsidRPr="00E271D5">
        <w:rPr>
          <w:lang w:val="en-US"/>
        </w:rPr>
        <w:t>.</w:t>
      </w:r>
      <w:r>
        <w:rPr>
          <w:lang w:val="en-US"/>
        </w:rPr>
        <w:t xml:space="preserve"> We would also like to note that even today the 15 minute period will be very challenging for some of the non-standardized transaction types, which are not unusual in daily corporate treasury practice.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6B1586" w:rsidRDefault="006B1586" w:rsidP="00EC2C93">
      <w:pPr>
        <w:keepNext/>
        <w:rPr>
          <w:lang w:val="en-US"/>
        </w:rPr>
      </w:pPr>
      <w:permStart w:id="85" w:edGrp="everyone"/>
      <w:r>
        <w:rPr>
          <w:lang w:val="en-US"/>
        </w:rPr>
        <w:t>Yes, for reasons in part already given by ESMA: as securities financing transactions will be covered by a separate regulation soon (including reporting provisions), a double reporting standard should be avoided. The other listed items are either one-time events terminating existing transactions (option exercise), structures that actually reduce counterparty risk instead of creating it (posted collateral), or securities that will appear in reporting anyway as soon as secondary market trading occurs</w:t>
      </w:r>
      <w:r w:rsidRPr="00EF08CD">
        <w:rPr>
          <w:lang w:val="en-US"/>
        </w:rPr>
        <w:t xml:space="preserve"> </w:t>
      </w:r>
      <w:r>
        <w:rPr>
          <w:lang w:val="en-US"/>
        </w:rPr>
        <w:t>(primary market transactions). None of this information would provide market participants with relevant information to assess markets with, but only increase the operational burden from reporting.</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6B1586" w:rsidRDefault="006B1586" w:rsidP="006B1586">
      <w:pPr>
        <w:pStyle w:val="scfnutzer"/>
        <w:spacing w:before="120" w:line="276" w:lineRule="auto"/>
        <w:rPr>
          <w:sz w:val="22"/>
          <w:lang w:val="en-US"/>
        </w:rPr>
      </w:pPr>
      <w:permStart w:id="87" w:edGrp="everyone"/>
      <w:r>
        <w:rPr>
          <w:sz w:val="22"/>
          <w:lang w:val="en-US"/>
        </w:rPr>
        <w:t xml:space="preserve">As we believe the following comments are valid for all subcategories of derivatives discussed here, we mean to provide the following answers for all of them. </w:t>
      </w:r>
    </w:p>
    <w:p w:rsidR="006B1586" w:rsidRDefault="006B1586" w:rsidP="006B1586">
      <w:pPr>
        <w:pStyle w:val="scfnutzer"/>
        <w:spacing w:before="120" w:line="276" w:lineRule="auto"/>
        <w:rPr>
          <w:sz w:val="22"/>
          <w:lang w:val="en-US"/>
        </w:rPr>
      </w:pPr>
      <w:r w:rsidRPr="00152052">
        <w:rPr>
          <w:sz w:val="22"/>
          <w:lang w:val="en-US"/>
        </w:rPr>
        <w:t>ESMA should acknowledge that most instruments are only considered being liquid up to a certain volume</w:t>
      </w:r>
      <w:r>
        <w:rPr>
          <w:sz w:val="22"/>
          <w:lang w:val="en-US"/>
        </w:rPr>
        <w:t xml:space="preserve"> or tenure, and that liquidity is dropping sharply beyond that point.</w:t>
      </w:r>
      <w:r w:rsidRPr="00262752">
        <w:rPr>
          <w:sz w:val="22"/>
          <w:lang w:val="en-US"/>
        </w:rPr>
        <w:t xml:space="preserve"> </w:t>
      </w:r>
      <w:r>
        <w:rPr>
          <w:sz w:val="22"/>
          <w:lang w:val="en-US"/>
        </w:rPr>
        <w:t>While this is true already for asset classes deemed relatively liquid (e.g. GBP, if tenures go markedly beyond 10 years), it is even more crucial in those less liquid in general (e.g. in Nordic currencies</w:t>
      </w:r>
      <w:r w:rsidR="00061686">
        <w:rPr>
          <w:sz w:val="22"/>
          <w:lang w:val="en-US"/>
        </w:rPr>
        <w:t>, or certain metals</w:t>
      </w:r>
      <w:r>
        <w:rPr>
          <w:sz w:val="22"/>
          <w:lang w:val="en-US"/>
        </w:rPr>
        <w:t>). Larger transactions due to M&amp;A processes have occurred more frequently in recent years in the real economy and are another area of concern. Often they result in</w:t>
      </w:r>
      <w:r w:rsidRPr="00152052">
        <w:rPr>
          <w:sz w:val="22"/>
          <w:lang w:val="en-US"/>
        </w:rPr>
        <w:t xml:space="preserve"> </w:t>
      </w:r>
      <w:r>
        <w:rPr>
          <w:sz w:val="22"/>
          <w:lang w:val="en-US"/>
        </w:rPr>
        <w:t>transaction packages in the large and/or illiquid</w:t>
      </w:r>
      <w:r w:rsidRPr="00152052">
        <w:rPr>
          <w:sz w:val="22"/>
          <w:lang w:val="en-US"/>
        </w:rPr>
        <w:t xml:space="preserve"> </w:t>
      </w:r>
      <w:r>
        <w:rPr>
          <w:sz w:val="22"/>
          <w:lang w:val="en-US"/>
        </w:rPr>
        <w:t xml:space="preserve">asset sphere which </w:t>
      </w:r>
      <w:r w:rsidRPr="00152052">
        <w:rPr>
          <w:sz w:val="22"/>
          <w:lang w:val="en-US"/>
        </w:rPr>
        <w:t>are being broken down into tranches (with even these often remaining LIS) and executed consecutively</w:t>
      </w:r>
      <w:r>
        <w:rPr>
          <w:sz w:val="22"/>
          <w:lang w:val="en-US"/>
        </w:rPr>
        <w:t xml:space="preserve"> to minimize price movements.</w:t>
      </w:r>
      <w:r w:rsidRPr="00152052">
        <w:rPr>
          <w:sz w:val="22"/>
          <w:lang w:val="en-US"/>
        </w:rPr>
        <w:t xml:space="preserve"> </w:t>
      </w:r>
      <w:r>
        <w:rPr>
          <w:sz w:val="22"/>
          <w:lang w:val="en-US"/>
        </w:rPr>
        <w:t>That</w:t>
      </w:r>
      <w:r w:rsidRPr="00152052">
        <w:rPr>
          <w:sz w:val="22"/>
          <w:lang w:val="en-US"/>
        </w:rPr>
        <w:t xml:space="preserve"> process could take from several hours to several days, in some cases even weeks, depending on the degree to which the required position deviates from those that are </w:t>
      </w:r>
      <w:r>
        <w:rPr>
          <w:sz w:val="22"/>
          <w:lang w:val="en-US"/>
        </w:rPr>
        <w:t xml:space="preserve">deemed </w:t>
      </w:r>
      <w:r w:rsidRPr="00152052">
        <w:rPr>
          <w:sz w:val="22"/>
          <w:lang w:val="en-US"/>
        </w:rPr>
        <w:t>average for the respective underlying</w:t>
      </w:r>
      <w:r>
        <w:rPr>
          <w:sz w:val="22"/>
          <w:lang w:val="en-US"/>
        </w:rPr>
        <w:t>. As</w:t>
      </w:r>
      <w:r w:rsidRPr="003A05CA">
        <w:rPr>
          <w:sz w:val="22"/>
          <w:lang w:val="en-US"/>
        </w:rPr>
        <w:t xml:space="preserve"> it is unlikely that</w:t>
      </w:r>
      <w:r>
        <w:rPr>
          <w:sz w:val="22"/>
          <w:lang w:val="en-US"/>
        </w:rPr>
        <w:t xml:space="preserve"> such</w:t>
      </w:r>
      <w:r w:rsidRPr="003A05CA">
        <w:rPr>
          <w:sz w:val="22"/>
          <w:lang w:val="en-US"/>
        </w:rPr>
        <w:t xml:space="preserve"> “bespoke” derivative contract</w:t>
      </w:r>
      <w:r>
        <w:rPr>
          <w:sz w:val="22"/>
          <w:lang w:val="en-US"/>
        </w:rPr>
        <w:t>s</w:t>
      </w:r>
      <w:r w:rsidRPr="003A05CA">
        <w:rPr>
          <w:sz w:val="22"/>
          <w:lang w:val="en-US"/>
        </w:rPr>
        <w:t xml:space="preserve"> </w:t>
      </w:r>
      <w:r>
        <w:rPr>
          <w:sz w:val="22"/>
          <w:lang w:val="en-US"/>
        </w:rPr>
        <w:t>are</w:t>
      </w:r>
      <w:r w:rsidRPr="003A05CA">
        <w:rPr>
          <w:sz w:val="22"/>
          <w:lang w:val="en-US"/>
        </w:rPr>
        <w:t xml:space="preserve"> demanded by various end-users at the same time</w:t>
      </w:r>
      <w:r>
        <w:rPr>
          <w:sz w:val="22"/>
          <w:lang w:val="en-US"/>
        </w:rPr>
        <w:t>, opportunistic traders will start to position themselves according to the published information, adversely affecting prices</w:t>
      </w:r>
      <w:r w:rsidRPr="003A05CA">
        <w:rPr>
          <w:sz w:val="22"/>
          <w:lang w:val="en-US"/>
        </w:rPr>
        <w:t>.</w:t>
      </w:r>
      <w:r>
        <w:rPr>
          <w:sz w:val="22"/>
          <w:lang w:val="en-US"/>
        </w:rPr>
        <w:t xml:space="preserve"> The mandated bank(s) will need some time to clear their books, and if that is not possible due to prompt movements by other traders they will either only offer their service at significant mark-up prices, or not offer anything at all, leaving the customer unable to hedge himself. </w:t>
      </w:r>
      <w:r w:rsidRPr="00152052">
        <w:rPr>
          <w:sz w:val="22"/>
          <w:lang w:val="en-US"/>
        </w:rPr>
        <w:t xml:space="preserve">Taking this into consideration, </w:t>
      </w:r>
      <w:r>
        <w:rPr>
          <w:sz w:val="22"/>
          <w:lang w:val="en-US"/>
        </w:rPr>
        <w:t xml:space="preserve">we had suggested a deferral period of up to 5 days, </w:t>
      </w:r>
      <w:r w:rsidRPr="00152052">
        <w:rPr>
          <w:sz w:val="22"/>
          <w:lang w:val="en-US"/>
        </w:rPr>
        <w:t xml:space="preserve">which however will still be too short for </w:t>
      </w:r>
      <w:r>
        <w:rPr>
          <w:sz w:val="22"/>
          <w:lang w:val="en-US"/>
        </w:rPr>
        <w:t>more “exotic” (regarding relative size or underlying)</w:t>
      </w:r>
      <w:r w:rsidRPr="00152052">
        <w:rPr>
          <w:sz w:val="22"/>
          <w:lang w:val="en-US"/>
        </w:rPr>
        <w:t xml:space="preserve"> transaction packages.</w:t>
      </w:r>
      <w:r>
        <w:rPr>
          <w:sz w:val="22"/>
          <w:lang w:val="en-US"/>
        </w:rPr>
        <w:t xml:space="preserve"> We would still strongly ask ESMA to allow such prolonged deferral for at least the illiquid asset classes. With regard to ESMA’s proposal of 48 hours we would consider acceptable for purposes of LIS and SSTI, we suggest to use 2 Business Days instead to counterbalance weekends and public holidays.  </w:t>
      </w:r>
    </w:p>
    <w:p w:rsidR="006B1586" w:rsidRDefault="006B1586" w:rsidP="006B1586">
      <w:pPr>
        <w:pStyle w:val="scfnutzer"/>
        <w:spacing w:before="120" w:line="276" w:lineRule="auto"/>
        <w:rPr>
          <w:sz w:val="22"/>
          <w:lang w:val="en-US"/>
        </w:rPr>
      </w:pPr>
      <w:r w:rsidRPr="00F91199">
        <w:rPr>
          <w:sz w:val="22"/>
          <w:lang w:val="en-US"/>
        </w:rPr>
        <w:t>As ESMA seems to view the waiver and deferral regimes as a way to reduce the detrimental impact of an illiquid instrument being incorrectly assessed as liquid, we urge ESMA to ensure that the LIS and SSTI thresholds are set at levels sufficiently low to ensure a more accurate reflection of which classes of instruments should be subject to the transparency obligations.</w:t>
      </w:r>
      <w:r>
        <w:rPr>
          <w:sz w:val="22"/>
          <w:lang w:val="en-US"/>
        </w:rPr>
        <w:t xml:space="preserve"> The 50% proposed seem to be much to aggressive in that respect. We would see a level of 10 - 15% of LIS as being more adequate for SSTI, for both pre- and post-trade transparency. We reiterate what was said above: it is very important especially for less liquid asset classes or maturities that the sourcing financial institution has ample time to position itself in a way that allows it to serve the customer order, and also that opportunistic traders are not </w:t>
      </w:r>
      <w:r>
        <w:rPr>
          <w:sz w:val="22"/>
          <w:lang w:val="en-US"/>
        </w:rPr>
        <w:lastRenderedPageBreak/>
        <w:t xml:space="preserve">positioning themselves against partial executions in illiquid classes. Otherwise, as also indicated further above, the result will be either significantly higher prices, or no offer at all for the requesting end-user. We further reiterate that corporate treasuries are relatively often requesting individual and less liquid solutions for their hedging purposes as they better reflect underlying operative business than standardized ones. </w:t>
      </w:r>
    </w:p>
    <w:p w:rsidR="006B1586" w:rsidRPr="00F91199" w:rsidRDefault="006B1586" w:rsidP="006B1586">
      <w:pPr>
        <w:pStyle w:val="scfnutzer"/>
        <w:spacing w:before="120" w:line="276" w:lineRule="auto"/>
        <w:rPr>
          <w:sz w:val="22"/>
          <w:lang w:val="en-US"/>
        </w:rPr>
      </w:pPr>
      <w:r>
        <w:rPr>
          <w:sz w:val="22"/>
          <w:lang w:val="en-US"/>
        </w:rPr>
        <w:t>With regard to LIS thresholds, our</w:t>
      </w:r>
      <w:r w:rsidRPr="00065FFE">
        <w:rPr>
          <w:sz w:val="22"/>
          <w:lang w:val="en-US"/>
        </w:rPr>
        <w:t xml:space="preserve"> view </w:t>
      </w:r>
      <w:r>
        <w:rPr>
          <w:sz w:val="22"/>
          <w:lang w:val="en-US"/>
        </w:rPr>
        <w:t xml:space="preserve">is </w:t>
      </w:r>
      <w:r w:rsidRPr="00065FFE">
        <w:rPr>
          <w:sz w:val="22"/>
          <w:lang w:val="en-US"/>
        </w:rPr>
        <w:t>that the LIS should be recalibrated</w:t>
      </w:r>
      <w:r>
        <w:rPr>
          <w:sz w:val="22"/>
          <w:lang w:val="en-US"/>
        </w:rPr>
        <w:t xml:space="preserve"> on a regular basis</w:t>
      </w:r>
      <w:r w:rsidRPr="00065FFE">
        <w:rPr>
          <w:sz w:val="22"/>
          <w:lang w:val="en-US"/>
        </w:rPr>
        <w:t xml:space="preserve">. However, we do not endorse option 2 </w:t>
      </w:r>
      <w:r>
        <w:rPr>
          <w:sz w:val="22"/>
          <w:lang w:val="en-US"/>
        </w:rPr>
        <w:t>fully as proposed</w:t>
      </w:r>
      <w:r w:rsidRPr="00065FFE">
        <w:rPr>
          <w:sz w:val="22"/>
          <w:lang w:val="en-US"/>
        </w:rPr>
        <w:t>. As an alternative, we suggest that the most relevant measure of the LIS threshold is trade count as distributed over the notional value of trades.</w:t>
      </w:r>
      <w:r>
        <w:rPr>
          <w:sz w:val="22"/>
          <w:lang w:val="en-US"/>
        </w:rPr>
        <w:t xml:space="preserve"> </w:t>
      </w:r>
      <w:r w:rsidRPr="00065FFE">
        <w:rPr>
          <w:sz w:val="22"/>
          <w:lang w:val="en-US"/>
        </w:rPr>
        <w:t xml:space="preserve">We do not support the use of the volume measure set out in option 2. The determination of whether a transaction is large relative to the market should not be </w:t>
      </w:r>
      <w:r>
        <w:rPr>
          <w:sz w:val="22"/>
          <w:lang w:val="en-US"/>
        </w:rPr>
        <w:t>linked to</w:t>
      </w:r>
      <w:r w:rsidRPr="00065FFE">
        <w:rPr>
          <w:sz w:val="22"/>
          <w:lang w:val="en-US"/>
        </w:rPr>
        <w:t xml:space="preserve"> the volume of trading in that market. We also disagree with ESMA’s proposal to include a “floor” in option 2. In our view, this goes beyond the Level 1 requirements.</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6B1586" w:rsidRDefault="006B1586" w:rsidP="00EC2C93">
      <w:pPr>
        <w:keepNext/>
        <w:rPr>
          <w:lang w:val="en-US"/>
        </w:rPr>
      </w:pPr>
      <w:permStart w:id="88" w:edGrp="everyone"/>
      <w:r>
        <w:rPr>
          <w:lang w:val="en-US"/>
        </w:rPr>
        <w:t>Please refer to our answers given in Q78 which we deem valid for all derivative classes.</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6B1586" w:rsidRDefault="006B1586" w:rsidP="00EC2C93">
      <w:pPr>
        <w:keepNext/>
        <w:rPr>
          <w:lang w:val="en-US"/>
        </w:rPr>
      </w:pPr>
      <w:permStart w:id="91" w:edGrp="everyone"/>
      <w:r>
        <w:rPr>
          <w:lang w:val="en-US"/>
        </w:rPr>
        <w:t>Please refer to our answers given in Q78 which we deem valid also for emission allowances.</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AF45B0" w:rsidRDefault="00AF45B0" w:rsidP="00EC2C93">
      <w:pPr>
        <w:keepNext/>
        <w:rPr>
          <w:lang w:val="en-US"/>
        </w:rPr>
      </w:pPr>
      <w:permStart w:id="92" w:edGrp="everyone"/>
      <w:r>
        <w:rPr>
          <w:lang w:val="en-US"/>
        </w:rPr>
        <w:t xml:space="preserve">With regard to the proposed description of the NCA supplementary deferral regime we want to point to the fact that a limitation of the delay to traded volumes only is not going to provide substantial relief in any asset classes that are not highly liquid in principle. With regard to “liquid”, we also note that we believe this label is valid for significantly less derivative classes as ESMA stipulates in the consultation, which makes this point even more important. </w:t>
      </w:r>
      <w:r w:rsidRPr="00A536A0">
        <w:rPr>
          <w:lang w:val="en-US"/>
        </w:rPr>
        <w:t>A</w:t>
      </w:r>
      <w:r>
        <w:rPr>
          <w:lang w:val="en-US"/>
        </w:rPr>
        <w:t>n emergency</w:t>
      </w:r>
      <w:r w:rsidRPr="00A536A0">
        <w:rPr>
          <w:lang w:val="en-US"/>
        </w:rPr>
        <w:t xml:space="preserve"> waiver, especially when temporary, should not reveal </w:t>
      </w:r>
      <w:r>
        <w:rPr>
          <w:lang w:val="en-US"/>
        </w:rPr>
        <w:t>detail</w:t>
      </w:r>
      <w:r w:rsidRPr="00A536A0">
        <w:rPr>
          <w:lang w:val="en-US"/>
        </w:rPr>
        <w:t xml:space="preserve"> information, or it is superfluous from the very beginning</w:t>
      </w:r>
      <w:r>
        <w:rPr>
          <w:lang w:val="en-US"/>
        </w:rPr>
        <w:t xml:space="preserve"> in our opinion</w:t>
      </w:r>
      <w:r w:rsidRPr="00A536A0">
        <w:rPr>
          <w:lang w:val="en-US"/>
        </w:rPr>
        <w:t xml:space="preserve">. </w:t>
      </w:r>
      <w:r>
        <w:rPr>
          <w:lang w:val="en-US"/>
        </w:rPr>
        <w:t>It has to be kept in mind that the regime is meant for either unusual circumstances in parts of markets or outright market failure. In such situations the relevant information to detect illiquid transactions is not necessarily the volume traded, but e.g. the unusual asset class or tenure. Therefore, no information on the transaction(s) should be published within the chosen deferral period. We further note the CFTC rules for deferred publication do not contain a requirement to release any details immediately, which means the US would have a competitive advantage in comparison, which could lead to a migration of dealing volumes away from the EU. Last, not least, we would like to note that w</w:t>
      </w:r>
      <w:r w:rsidRPr="00F640EF">
        <w:rPr>
          <w:lang w:val="en-US"/>
        </w:rPr>
        <w:t>hil</w:t>
      </w:r>
      <w:r>
        <w:rPr>
          <w:lang w:val="en-US"/>
        </w:rPr>
        <w:t>e</w:t>
      </w:r>
      <w:r w:rsidRPr="00F640EF">
        <w:rPr>
          <w:lang w:val="en-US"/>
        </w:rPr>
        <w:t xml:space="preserve"> a four week deferral period </w:t>
      </w:r>
      <w:r>
        <w:rPr>
          <w:lang w:val="en-US"/>
        </w:rPr>
        <w:t>seems</w:t>
      </w:r>
      <w:r w:rsidRPr="00F640EF">
        <w:rPr>
          <w:lang w:val="en-US"/>
        </w:rPr>
        <w:t xml:space="preserve"> acceptable for the omission of the publication of volume information for a transaction which is liquid and LIS, we </w:t>
      </w:r>
      <w:r>
        <w:rPr>
          <w:lang w:val="en-US"/>
        </w:rPr>
        <w:t xml:space="preserve">clearly </w:t>
      </w:r>
      <w:r w:rsidRPr="00F640EF">
        <w:rPr>
          <w:lang w:val="en-US"/>
        </w:rPr>
        <w:t>do not believe that this period would be sufficient for transactions which are illiquid.</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AF45B0" w:rsidRDefault="00AF45B0" w:rsidP="00AF45B0">
      <w:pPr>
        <w:pStyle w:val="scfnutzer"/>
        <w:spacing w:before="120" w:line="276" w:lineRule="auto"/>
        <w:rPr>
          <w:sz w:val="22"/>
          <w:lang w:val="en-US"/>
        </w:rPr>
      </w:pPr>
      <w:permStart w:id="93" w:edGrp="everyone"/>
      <w:r w:rsidRPr="00430E28">
        <w:rPr>
          <w:sz w:val="22"/>
          <w:lang w:val="en-US"/>
        </w:rPr>
        <w:t xml:space="preserve">NCAs should have regard to both quantitative and qualitative data, </w:t>
      </w:r>
      <w:r>
        <w:rPr>
          <w:sz w:val="22"/>
          <w:lang w:val="en-US"/>
        </w:rPr>
        <w:t xml:space="preserve">but </w:t>
      </w:r>
      <w:r w:rsidRPr="00430E28">
        <w:rPr>
          <w:sz w:val="22"/>
          <w:lang w:val="en-US"/>
        </w:rPr>
        <w:t xml:space="preserve">greater emphasis should be given to qualitative arguments. In particular, we believe that it would be dangerous to limit NCAs powers by imposing a </w:t>
      </w:r>
      <w:r>
        <w:rPr>
          <w:sz w:val="22"/>
          <w:lang w:val="en-US"/>
        </w:rPr>
        <w:t xml:space="preserve">complex </w:t>
      </w:r>
      <w:r w:rsidRPr="00430E28">
        <w:rPr>
          <w:sz w:val="22"/>
          <w:lang w:val="en-US"/>
        </w:rPr>
        <w:t xml:space="preserve">quantitative test which must be met before NCAs can exercise their powers of temporary suspension. </w:t>
      </w:r>
      <w:r>
        <w:rPr>
          <w:sz w:val="22"/>
          <w:lang w:val="en-US"/>
        </w:rPr>
        <w:t>W</w:t>
      </w:r>
      <w:r w:rsidRPr="00430E28">
        <w:rPr>
          <w:sz w:val="22"/>
          <w:lang w:val="en-US"/>
        </w:rPr>
        <w:t xml:space="preserve">e </w:t>
      </w:r>
      <w:r>
        <w:rPr>
          <w:sz w:val="22"/>
          <w:lang w:val="en-US"/>
        </w:rPr>
        <w:t>are not convinced</w:t>
      </w:r>
      <w:r w:rsidRPr="00430E28">
        <w:rPr>
          <w:sz w:val="22"/>
          <w:lang w:val="en-US"/>
        </w:rPr>
        <w:t xml:space="preserve"> that such data could be provided in a timely enough fashion for the temporary suspension powers to be utilised effectively in an emergency</w:t>
      </w:r>
      <w:r>
        <w:rPr>
          <w:sz w:val="22"/>
          <w:lang w:val="en-US"/>
        </w:rPr>
        <w:t xml:space="preserve"> situation</w:t>
      </w:r>
      <w:r w:rsidRPr="00430E28">
        <w:rPr>
          <w:sz w:val="22"/>
          <w:lang w:val="en-US"/>
        </w:rPr>
        <w:t xml:space="preserve">. NCAs should be able to exercise this power quickly if market factors necessitate this and they should not be required to wait until they have all the data they need to be sure that the quantitative threshold has be met. </w:t>
      </w:r>
    </w:p>
    <w:p w:rsidR="00AF45B0" w:rsidRPr="00430E28" w:rsidRDefault="00AF45B0" w:rsidP="00AF45B0">
      <w:pPr>
        <w:pStyle w:val="scfnutzer"/>
        <w:spacing w:before="120" w:line="276" w:lineRule="auto"/>
        <w:rPr>
          <w:sz w:val="22"/>
          <w:lang w:val="en-US"/>
        </w:rPr>
      </w:pPr>
      <w:r>
        <w:rPr>
          <w:sz w:val="22"/>
          <w:lang w:val="en-US"/>
        </w:rPr>
        <w:lastRenderedPageBreak/>
        <w:t xml:space="preserve">With regard to the proposed description of the NCA supplementary deferral regime, we want to point to the fact that a limitation of the delay to traded volumes only is not going to provide substantial relief in most cases. </w:t>
      </w:r>
      <w:r w:rsidRPr="00A536A0">
        <w:rPr>
          <w:sz w:val="22"/>
          <w:lang w:val="en-US"/>
        </w:rPr>
        <w:t>A</w:t>
      </w:r>
      <w:r>
        <w:rPr>
          <w:sz w:val="22"/>
          <w:lang w:val="en-US"/>
        </w:rPr>
        <w:t>n emergency</w:t>
      </w:r>
      <w:r w:rsidRPr="00A536A0">
        <w:rPr>
          <w:sz w:val="22"/>
          <w:lang w:val="en-US"/>
        </w:rPr>
        <w:t xml:space="preserve"> waiver, especially when temporary, should not reveal </w:t>
      </w:r>
      <w:r>
        <w:rPr>
          <w:sz w:val="22"/>
          <w:lang w:val="en-US"/>
        </w:rPr>
        <w:t>detail</w:t>
      </w:r>
      <w:r w:rsidRPr="00A536A0">
        <w:rPr>
          <w:sz w:val="22"/>
          <w:lang w:val="en-US"/>
        </w:rPr>
        <w:t xml:space="preserve"> </w:t>
      </w:r>
      <w:r>
        <w:rPr>
          <w:sz w:val="22"/>
          <w:lang w:val="en-US"/>
        </w:rPr>
        <w:t>information to offer effective protection</w:t>
      </w:r>
      <w:r w:rsidRPr="00A536A0">
        <w:rPr>
          <w:sz w:val="22"/>
          <w:lang w:val="en-US"/>
        </w:rPr>
        <w:t xml:space="preserve">. </w:t>
      </w:r>
      <w:r>
        <w:rPr>
          <w:sz w:val="22"/>
          <w:lang w:val="en-US"/>
        </w:rPr>
        <w:t>It has to be kept in mind that the regime is meant for either unusual circumstances in parts of markets or outright market failure. In such situations the relevant information to identify illiquid transactions is not necessarily the volume traded, but e.g. the unusual asset class or tenure. Therefore, no information on the transaction(s) should be published in the chosen deferral period. We again note the CFTC rules for deferred publication do not contain a requirement to release any details immediately, which means the US would have a competitive advantage in comparison which could lead to a migration of dealing volumes away from the EU.</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lastRenderedPageBreak/>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AF45B0" w:rsidRDefault="00AF45B0" w:rsidP="00EC2C93">
      <w:pPr>
        <w:keepNext/>
        <w:rPr>
          <w:lang w:val="en-US"/>
        </w:rPr>
      </w:pPr>
      <w:permStart w:id="177" w:edGrp="everyone"/>
      <w:r>
        <w:rPr>
          <w:lang w:val="en-US"/>
        </w:rPr>
        <w:t xml:space="preserve">Yes, but only if the additional de </w:t>
      </w:r>
      <w:proofErr w:type="spellStart"/>
      <w:r>
        <w:rPr>
          <w:lang w:val="en-US"/>
        </w:rPr>
        <w:t>minimis</w:t>
      </w:r>
      <w:proofErr w:type="spellEnd"/>
      <w:r>
        <w:rPr>
          <w:lang w:val="en-US"/>
        </w:rPr>
        <w:t xml:space="preserve"> threshold ESMA proposes for those companies that are mainly using commodity markets for hedging purposes is also implemented, please also refer to our answers to Q180. It is highly important to limit the administrative burden for those market participants that are far away from playing any role of significance with regard to trading activities. </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AF45B0" w:rsidRPr="007F1AA1" w:rsidRDefault="00AF45B0" w:rsidP="00AF45B0">
      <w:pPr>
        <w:pStyle w:val="scfnutzer"/>
        <w:spacing w:before="120" w:line="276" w:lineRule="auto"/>
        <w:rPr>
          <w:sz w:val="22"/>
          <w:lang w:val="en-US"/>
        </w:rPr>
      </w:pPr>
      <w:permStart w:id="178" w:edGrp="everyone"/>
      <w:r w:rsidRPr="007F1AA1">
        <w:rPr>
          <w:sz w:val="22"/>
          <w:lang w:val="en-US"/>
        </w:rPr>
        <w:t>Yes, we agree.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AF45B0" w:rsidRDefault="00AF45B0" w:rsidP="00AF45B0">
      <w:pPr>
        <w:pStyle w:val="scfnutzer"/>
        <w:spacing w:before="120" w:line="276" w:lineRule="auto"/>
        <w:rPr>
          <w:sz w:val="22"/>
          <w:lang w:val="en-US"/>
        </w:rPr>
      </w:pPr>
      <w:permStart w:id="179" w:edGrp="everyone"/>
      <w:r>
        <w:rPr>
          <w:sz w:val="22"/>
          <w:lang w:val="en-US"/>
        </w:rPr>
        <w:t>ESMA needs to understand the difference between non-financial companies active in commodity trading (often from the energy or argriculture sectors) and those corporates that are active in the industrial or service sectors. While the former will tend to have seperated trading entities with individual capital allocation, the latter will transact from corporate treasury centers which are responsible for every financial aspect of the group, including risk management and financing. We reiterate that calculating capital employed for normal treasury business is not a standard for non-financial companies of the latter type, so a simpler approach would be very important. The reason is that Treasury in a corporate is not a stand-alone segment, but a support function of operative business, which is typically not segregated like a trading operation in a financial or commodity trading company would be, and therefore will neither be individually capitalized. We therefore welcome the idea of ESMA to allow a “de-minimis” shortcut for those who are concentrating on their normal treasury business, please refer also to our answer to Q180. The additional effort these market participants would be facing to calculate the proposed “capital test” is not proportionate to the relative amount of risk they contribute to markets, which is clearly non-systemic. Commodity derivatives done in corporate hedging are always meant to counterbalance “real economy” risk positions coming from materials required for operative (i.e. production) purposes.</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lastRenderedPageBreak/>
        <w:t>&lt;ESMA_QUESTION_CP_MIFID_171&gt;</w:t>
      </w:r>
    </w:p>
    <w:p w:rsidR="00AF45B0" w:rsidRDefault="00AF45B0" w:rsidP="00EC2C93">
      <w:pPr>
        <w:keepNext/>
        <w:rPr>
          <w:lang w:val="en-US"/>
        </w:rPr>
      </w:pPr>
      <w:permStart w:id="180" w:edGrp="everyone"/>
      <w:r>
        <w:rPr>
          <w:lang w:val="en-US"/>
        </w:rPr>
        <w:t xml:space="preserve">Yes, we think it is correct to exclude “licensed activity” (i.e. that of licensed entities of a group) from the volume to be tested as ancillary activity, as it is already subject to </w:t>
      </w:r>
      <w:proofErr w:type="spellStart"/>
      <w:r>
        <w:rPr>
          <w:lang w:val="en-US"/>
        </w:rPr>
        <w:t>MiFID</w:t>
      </w:r>
      <w:proofErr w:type="spellEnd"/>
      <w:r>
        <w:rPr>
          <w:lang w:val="en-US"/>
        </w:rPr>
        <w:t xml:space="preserve"> supervision. An “unlicensed” group which has voluntarily subjected certain activities in commodities to </w:t>
      </w:r>
      <w:proofErr w:type="spellStart"/>
      <w:r>
        <w:rPr>
          <w:lang w:val="en-US"/>
        </w:rPr>
        <w:t>MiFID</w:t>
      </w:r>
      <w:proofErr w:type="spellEnd"/>
      <w:r>
        <w:rPr>
          <w:lang w:val="en-US"/>
        </w:rPr>
        <w:t xml:space="preserve"> supervision should not be penalized by having that volume being counted in here, thereby creating additional operational burdens through further calculations.</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AF45B0" w:rsidRPr="006D11A9" w:rsidRDefault="00AF45B0" w:rsidP="00AF45B0">
      <w:pPr>
        <w:pStyle w:val="scfnutzer"/>
        <w:spacing w:before="120" w:line="276" w:lineRule="auto"/>
        <w:rPr>
          <w:sz w:val="22"/>
          <w:lang w:val="en-GB"/>
        </w:rPr>
      </w:pPr>
      <w:permStart w:id="182" w:edGrp="everyone"/>
      <w:r w:rsidRPr="006D11A9">
        <w:rPr>
          <w:sz w:val="22"/>
          <w:lang w:val="en-GB"/>
        </w:rPr>
        <w:t>While we agree with ESMA that the threshold could be lower than 50% due to the excluded activities, we do not agree to such a drastic reduction. ESMA does not provide any numerical or substantiated economical reasoning for the 5%, so the proposal seems to be a rather arbitrary value. Thresholds which are very low are of concern for all market participants because major players will probably leave the market with unintended consequences for its overall liquidity. As a result, bid/offer spreads and hence prices for the respective instruments will rise, for the detriment of end-users. Please also refer also to the answers on Q179 as we believe the additional limits to commodity holdings will aggravate already existing liquidity problems. As we are also concerned about the proposed treatment of emission allowances - ESMA only mentions to exclude those that are used by liquidity providers, not those by end-users due to certificate allocation/requirements - we believe a reduction by half is enough. We hence propose to use 25%. ESMA could further include a review clause to analyze effects and assess the appropriateness of the set level in a couple of years.</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AF45B0" w:rsidRDefault="00AF45B0" w:rsidP="00EC2C93">
      <w:pPr>
        <w:keepNext/>
        <w:rPr>
          <w:lang w:val="en-US"/>
        </w:rPr>
      </w:pPr>
      <w:permStart w:id="183" w:edGrp="everyone"/>
      <w:r>
        <w:rPr>
          <w:lang w:val="en-US"/>
        </w:rPr>
        <w:t xml:space="preserve">Yes. We believe this is more suitable for companies of all sizes, while </w:t>
      </w:r>
      <w:proofErr w:type="spellStart"/>
      <w:r>
        <w:rPr>
          <w:lang w:val="en-US"/>
        </w:rPr>
        <w:t>VaR</w:t>
      </w:r>
      <w:proofErr w:type="spellEnd"/>
      <w:r>
        <w:rPr>
          <w:lang w:val="en-US"/>
        </w:rPr>
        <w:t xml:space="preserve"> values would not always be available for smaller non-financial market participants. In general, qualitative criteria like those mentioned in the report seem rather arbitrary to us with regard to their information values.</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lastRenderedPageBreak/>
        <w:t>&lt;ESMA_QUESTION_CP_MIFID_175&gt;</w:t>
      </w:r>
    </w:p>
    <w:p w:rsidR="00AF45B0" w:rsidRDefault="00AF45B0" w:rsidP="00EC2C93">
      <w:pPr>
        <w:keepNext/>
        <w:rPr>
          <w:lang w:val="en-US"/>
        </w:rPr>
      </w:pPr>
      <w:permStart w:id="184" w:edGrp="everyone"/>
      <w:r>
        <w:rPr>
          <w:lang w:val="en-US"/>
        </w:rPr>
        <w:t>No. In our opinion the term “capital” for regulatory and analytical purposes is usually limited to shareholder capital. This is for example the case for purposes of Basel III. While debt is a common financing alternative, it is not part of the risk capital of a company which is paid for by more or less volatile returns, but so-called borrowed money which is only available for a limited amount of time, against a fixed amount of interest. Last, not least, the capital figure used for the test should be as simple as possible to determine, and not lead to confusion when compared with “capital” definitions used in other regulations or analysis. We remind ESMA that commodity derivatives in hedging are also common for smaller companies that should not be overburdened with complex calculations. Equity capital would be a number that can be simply taken over from the balance sheet.</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AF45B0" w:rsidRPr="00A54325" w:rsidRDefault="00AF45B0" w:rsidP="00AF45B0">
      <w:pPr>
        <w:pStyle w:val="scfnutzer"/>
        <w:spacing w:before="120" w:line="276" w:lineRule="auto"/>
        <w:rPr>
          <w:sz w:val="22"/>
          <w:lang w:val="en-US"/>
        </w:rPr>
      </w:pPr>
      <w:permStart w:id="185" w:edGrp="everyone"/>
      <w:r w:rsidRPr="00A54325">
        <w:rPr>
          <w:sz w:val="22"/>
          <w:lang w:val="en-US"/>
        </w:rPr>
        <w:t>Yes</w:t>
      </w:r>
      <w:r>
        <w:rPr>
          <w:sz w:val="22"/>
          <w:lang w:val="en-US"/>
        </w:rPr>
        <w:t>, we agree.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6D11A9" w:rsidRDefault="00AF45B0" w:rsidP="006D11A9">
      <w:pPr>
        <w:pStyle w:val="scfnutzer"/>
        <w:spacing w:before="120" w:line="276" w:lineRule="auto"/>
        <w:rPr>
          <w:sz w:val="22"/>
          <w:lang w:val="en-GB"/>
        </w:rPr>
      </w:pPr>
      <w:permStart w:id="186" w:edGrp="everyone"/>
      <w:r w:rsidRPr="006D11A9">
        <w:rPr>
          <w:sz w:val="22"/>
          <w:lang w:val="en-GB"/>
        </w:rPr>
        <w:t xml:space="preserve">We agree to the group view, as the overall activity should be in focus, not that of a subdivision only. It should further be made totally clear that if a subsidiary crosses a threshold, the requirement to obtain a MiFID license would only be concerning that respective entity, and not the whole group. </w:t>
      </w:r>
    </w:p>
    <w:p w:rsidR="00AF45B0" w:rsidRPr="006D11A9" w:rsidRDefault="00AF45B0" w:rsidP="006D11A9">
      <w:pPr>
        <w:pStyle w:val="scfnutzer"/>
        <w:spacing w:before="120" w:line="276" w:lineRule="auto"/>
        <w:rPr>
          <w:sz w:val="22"/>
          <w:lang w:val="en-GB"/>
        </w:rPr>
      </w:pPr>
      <w:r w:rsidRPr="006D11A9">
        <w:rPr>
          <w:sz w:val="22"/>
          <w:lang w:val="en-GB"/>
        </w:rPr>
        <w:t xml:space="preserve">However we would like to point to a problem with the determination of the denominator of the test. While we again agree overall market activity in the EU is a sensible basis of comparison, we do not see how an individual company would be able to draw the required information at a reasonable effort. There are currently six active trade repositories in the Union, and typically a company will only be directly connected to one of them. To draw on repository data again is a useful </w:t>
      </w:r>
      <w:proofErr w:type="gramStart"/>
      <w:r w:rsidRPr="006D11A9">
        <w:rPr>
          <w:sz w:val="22"/>
          <w:lang w:val="en-GB"/>
        </w:rPr>
        <w:t>idea,</w:t>
      </w:r>
      <w:proofErr w:type="gramEnd"/>
      <w:r w:rsidRPr="006D11A9">
        <w:rPr>
          <w:sz w:val="22"/>
          <w:lang w:val="en-GB"/>
        </w:rPr>
        <w:t xml:space="preserve"> however the only institution coming to mind with access to all repository data seem to be ESMA and NCAs. Our opinion is the test can only be feasible if everyone is using the same data base, and that it cannot be the responsibility of market participants to collect the relevant data from different sources, including the effort to integrate that data. We believe it can only be the responsibility of ESMA or the NCAs to provide the figures for overall market trading activity in the relevant commodity classes. Otherwise the resulting calculations will hardly be </w:t>
      </w:r>
      <w:proofErr w:type="gramStart"/>
      <w:r w:rsidRPr="006D11A9">
        <w:rPr>
          <w:sz w:val="22"/>
          <w:lang w:val="en-GB"/>
        </w:rPr>
        <w:t>comparable,</w:t>
      </w:r>
      <w:proofErr w:type="gramEnd"/>
      <w:r w:rsidRPr="006D11A9">
        <w:rPr>
          <w:sz w:val="22"/>
          <w:lang w:val="en-GB"/>
        </w:rPr>
        <w:t xml:space="preserve"> as it is highly unlikely every company will be using the identical denominator for the calculation. The error ratio will be much lower if only one institution is providing the market activity numbers, and it would be much more cost effective. Last, not least, we assume that ESMA is interested in gaining such an overview for EMIR purposes anyway. The same problem exist</w:t>
      </w:r>
      <w:r w:rsidR="003811C4" w:rsidRPr="006D11A9">
        <w:rPr>
          <w:sz w:val="22"/>
          <w:lang w:val="en-GB"/>
        </w:rPr>
        <w:t>s</w:t>
      </w:r>
      <w:r w:rsidRPr="006D11A9">
        <w:rPr>
          <w:sz w:val="22"/>
          <w:lang w:val="en-GB"/>
        </w:rPr>
        <w:t xml:space="preserve"> for the calculation of the 0.5% threshold, please see answers to Q179.</w:t>
      </w:r>
    </w:p>
    <w:permEnd w:id="186"/>
    <w:p w:rsidR="00577C33" w:rsidRDefault="00577C33" w:rsidP="00EC2C93">
      <w:pPr>
        <w:keepNext/>
      </w:pPr>
      <w:r>
        <w:lastRenderedPageBreak/>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AF45B0" w:rsidRPr="003811C4" w:rsidRDefault="00AF45B0" w:rsidP="00AF45B0">
      <w:pPr>
        <w:pStyle w:val="scfnutzer"/>
        <w:spacing w:before="120" w:line="276" w:lineRule="auto"/>
        <w:rPr>
          <w:sz w:val="22"/>
          <w:lang w:val="en-GB"/>
        </w:rPr>
      </w:pPr>
      <w:permStart w:id="188" w:edGrp="everyone"/>
      <w:r w:rsidRPr="003811C4">
        <w:rPr>
          <w:sz w:val="22"/>
          <w:lang w:val="en-GB"/>
        </w:rPr>
        <w:t xml:space="preserve">Thresholds which are very low are of concern for all market participants because major players will probably leave the market with unintended consequences for overall liquidity. As a result, bid/offer spreads and hence prices for the respective instruments will rise, for the detriment of end-users. Please refer also to the answers on Q173 as we believe the additional limits to market share will aggravate liquidity problems. We suggest to use a higher threshold to avoid such developments. </w:t>
      </w:r>
    </w:p>
    <w:p w:rsidR="00AF45B0" w:rsidRPr="003811C4" w:rsidRDefault="00AF45B0" w:rsidP="003811C4">
      <w:pPr>
        <w:pStyle w:val="scfnutzer"/>
        <w:spacing w:before="120" w:line="276" w:lineRule="auto"/>
        <w:rPr>
          <w:sz w:val="22"/>
          <w:lang w:val="en-GB"/>
        </w:rPr>
      </w:pPr>
      <w:r w:rsidRPr="003811C4">
        <w:rPr>
          <w:sz w:val="22"/>
          <w:lang w:val="en-GB"/>
        </w:rPr>
        <w:t>On a different note, it is unclear from the proposal if ESMA intends to provide data regarding the calculation of the overall market activity. The latter is necessary as market participants do not have access to all relevant trade repositories to calculate the respective figures, please compare our answers in Q177. Therefore, the numbers regarding the overall market activity in the respective asset classes should be provided centrally by ESMA or the national supervisory authorities, which have access to the data collected on the level of all trade repositories. Otherwise, the calculation of the market activity thresholds will not be possible for individual market participants, and probably neither use identical numbers.</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AF45B0" w:rsidRPr="003811C4" w:rsidRDefault="00AF45B0" w:rsidP="00AF45B0">
      <w:pPr>
        <w:pStyle w:val="scfnutzer"/>
        <w:spacing w:before="120" w:line="276" w:lineRule="auto"/>
        <w:rPr>
          <w:sz w:val="22"/>
          <w:lang w:val="en-GB"/>
        </w:rPr>
      </w:pPr>
      <w:permStart w:id="189" w:edGrp="everyone"/>
      <w:r w:rsidRPr="003811C4">
        <w:rPr>
          <w:sz w:val="22"/>
          <w:lang w:val="en-GB"/>
        </w:rPr>
        <w:t xml:space="preserve">Yes, however we would not only consider a “de minimis” threshold as being merely useful, but rather as a clear necessity, please refer also to our reasoning in Q170. A typical corporate treasury is a support function with no separate capital allocation, so the “capital test” would create an additional administrative burden which is not proportionate to its information value. While non-financials will mostly concentrate on hedging, a certain amount of latitude is important from a practical point of view (as it is for EMIR purposes). Some hedging positions may change their character due to changes in production timing or (planned) order volumes. As the derivatives used in corporate hedging are tailored to needs and thus not always of a liquid asset class, amending or terminating them could require some time, during which the position is not a hedge as such anymore. In other cases an accounting point of view may prohibit a hedging designation for a macro hedging strategy. Hence, a “de minimis” clause as proposed would certainly simplify corporate treasury activities. We further note that such “unlicensed” activity would not happen under the radar screen, as EMIR reporting does already capture commodity derivatives for supervision purposes. The proposed level of 0.25% however seems too low considering we believe the </w:t>
      </w:r>
      <w:r w:rsidRPr="003811C4">
        <w:rPr>
          <w:sz w:val="22"/>
          <w:lang w:val="en-GB"/>
        </w:rPr>
        <w:lastRenderedPageBreak/>
        <w:t>other threshold proposed (0.5%) is too restrictive as well, as it will be detrimental to market liquidity (please refer also to our answer to Q179). Both should be set at a higher level.</w:t>
      </w:r>
    </w:p>
    <w:p w:rsidR="00AF45B0" w:rsidRPr="003811C4" w:rsidRDefault="00AF45B0" w:rsidP="003811C4">
      <w:pPr>
        <w:pStyle w:val="scfnutzer"/>
        <w:spacing w:before="120" w:line="276" w:lineRule="auto"/>
        <w:rPr>
          <w:sz w:val="22"/>
          <w:lang w:val="en-GB"/>
        </w:rPr>
      </w:pPr>
      <w:r w:rsidRPr="003811C4">
        <w:rPr>
          <w:sz w:val="22"/>
          <w:lang w:val="en-GB"/>
        </w:rPr>
        <w:t xml:space="preserve">With regard to the feasibility of such a proposal with ESMA’s mandate, we believe a de </w:t>
      </w:r>
      <w:proofErr w:type="spellStart"/>
      <w:r w:rsidRPr="003811C4">
        <w:rPr>
          <w:sz w:val="22"/>
          <w:lang w:val="en-GB"/>
        </w:rPr>
        <w:t>minimis</w:t>
      </w:r>
      <w:proofErr w:type="spellEnd"/>
      <w:r w:rsidRPr="003811C4">
        <w:rPr>
          <w:sz w:val="22"/>
          <w:lang w:val="en-GB"/>
        </w:rPr>
        <w:t xml:space="preserve"> threshold as a shortcut to required calculations is perfectly in line with Level 1. Firstly, Article 2(4) </w:t>
      </w:r>
      <w:proofErr w:type="spellStart"/>
      <w:r w:rsidRPr="003811C4">
        <w:rPr>
          <w:sz w:val="22"/>
          <w:lang w:val="en-GB"/>
        </w:rPr>
        <w:t>MiFID</w:t>
      </w:r>
      <w:proofErr w:type="spellEnd"/>
      <w:r w:rsidRPr="003811C4">
        <w:rPr>
          <w:sz w:val="22"/>
          <w:lang w:val="en-GB"/>
        </w:rPr>
        <w:t xml:space="preserve"> II states that the criteria should “at least” contain the proposed minority and trading activity tests, leaving room for further proposals. Secondly, it says that ESMA “may determine” a consideration of capital employed, which means that it is not mandatory to </w:t>
      </w:r>
      <w:r w:rsidR="00200DDF" w:rsidRPr="003811C4">
        <w:rPr>
          <w:sz w:val="22"/>
          <w:lang w:val="en-GB"/>
        </w:rPr>
        <w:t>fulfill</w:t>
      </w:r>
      <w:r w:rsidRPr="003811C4">
        <w:rPr>
          <w:sz w:val="22"/>
          <w:lang w:val="en-GB"/>
        </w:rPr>
        <w:t xml:space="preserve"> such capital calculations in each and every proposed solution. We further note that companies would still be required to file a yearly notification with local authorities that they are making use of the exemption, however this would be much less of an administrative burden if the application does not have to include the activity calculations (please see also our answers to Q170). We strongly encourage ESMA to include a de </w:t>
      </w:r>
      <w:proofErr w:type="spellStart"/>
      <w:r w:rsidRPr="003811C4">
        <w:rPr>
          <w:sz w:val="22"/>
          <w:lang w:val="en-GB"/>
        </w:rPr>
        <w:t>minimis</w:t>
      </w:r>
      <w:proofErr w:type="spellEnd"/>
      <w:r w:rsidRPr="003811C4">
        <w:rPr>
          <w:sz w:val="22"/>
          <w:lang w:val="en-GB"/>
        </w:rPr>
        <w:t xml:space="preserve"> threshold in its final guidance.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200DDF" w:rsidRDefault="00200DDF" w:rsidP="00200DDF">
      <w:pPr>
        <w:pStyle w:val="scfnutzer"/>
        <w:spacing w:before="120" w:line="276" w:lineRule="auto"/>
        <w:rPr>
          <w:sz w:val="22"/>
          <w:lang w:val="en-US"/>
        </w:rPr>
      </w:pPr>
      <w:permStart w:id="190" w:edGrp="everyone"/>
      <w:r>
        <w:rPr>
          <w:sz w:val="22"/>
          <w:lang w:val="en-US"/>
        </w:rPr>
        <w:t xml:space="preserve">We clearly support to define privileged transactions according to hedging definitions layed out in EMIR, as we think it is important to cross-reference existing definitions to avoid ambiguity across financial market regulations. However, we note that ESMA has deviated from that view when defining risk reducing positions for purposes of position limits, an idea that we as clearly oppose for the same reasons, please refer also to our answers to Q200. </w:t>
      </w:r>
    </w:p>
    <w:p w:rsidR="00200DDF" w:rsidRDefault="00200DDF" w:rsidP="00EC2C93">
      <w:pPr>
        <w:keepNext/>
        <w:rPr>
          <w:lang w:val="en-US"/>
        </w:rPr>
      </w:pPr>
      <w:r>
        <w:rPr>
          <w:lang w:val="en-US"/>
        </w:rPr>
        <w:t xml:space="preserve">With regard to emission allowances, we believe there is a definition gap. Privileged transactions according to ESMA are limited to those certificates that are traded to fulfill liquidity obligations on platforms. No reference is made to end-users buying or selling emission allowances following their regulatory obligation with regard to their required amount of certificates. Some users may need to purchase additional ones, others may sell some as their allocation has been more than they require in the relevant period. Both types of transactions are not speculative, and are even necessary for a functioning market where end-users should be both buying and selling. Accordingly, all of these should be defined as privileged transaction types within the limits of individual certificate allocation. </w:t>
      </w:r>
      <w:r w:rsidRPr="004400CE">
        <w:rPr>
          <w:lang w:val="en-US"/>
        </w:rPr>
        <w:t xml:space="preserve">These </w:t>
      </w:r>
      <w:r>
        <w:rPr>
          <w:lang w:val="en-US"/>
        </w:rPr>
        <w:t>transactions could</w:t>
      </w:r>
      <w:r w:rsidRPr="004400CE">
        <w:rPr>
          <w:lang w:val="en-US"/>
        </w:rPr>
        <w:t xml:space="preserve"> be easily identified as they are </w:t>
      </w:r>
      <w:r>
        <w:rPr>
          <w:lang w:val="en-US"/>
        </w:rPr>
        <w:t>classified</w:t>
      </w:r>
      <w:r w:rsidRPr="004400CE">
        <w:rPr>
          <w:lang w:val="en-US"/>
        </w:rPr>
        <w:t xml:space="preserve"> as “own use”</w:t>
      </w:r>
      <w:r>
        <w:rPr>
          <w:lang w:val="en-US"/>
        </w:rPr>
        <w:t xml:space="preserve"> </w:t>
      </w:r>
      <w:r w:rsidRPr="004400CE">
        <w:rPr>
          <w:lang w:val="en-US"/>
        </w:rPr>
        <w:t>instruments under the accounting rules</w:t>
      </w:r>
      <w:r>
        <w:rPr>
          <w:lang w:val="en-US"/>
        </w:rPr>
        <w:t>.</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lastRenderedPageBreak/>
        <w:t>&lt;ESMA_QUESTION_CP_MIFID_182&gt;</w:t>
      </w:r>
    </w:p>
    <w:p w:rsidR="00200DDF" w:rsidRDefault="00200DDF" w:rsidP="00EC2C93">
      <w:pPr>
        <w:keepNext/>
      </w:pPr>
      <w:permStart w:id="191" w:edGrp="everyone"/>
      <w:r w:rsidRPr="003D10D0">
        <w:t xml:space="preserve">As mentioned in our answers to Q173, Q179 and Q180 we think that the thresholds for capital employed, for the market share and the de </w:t>
      </w:r>
      <w:proofErr w:type="spellStart"/>
      <w:r w:rsidRPr="003D10D0">
        <w:t>minimis</w:t>
      </w:r>
      <w:proofErr w:type="spellEnd"/>
      <w:r w:rsidRPr="003D10D0">
        <w:t xml:space="preserve"> exemption </w:t>
      </w:r>
      <w:r>
        <w:t xml:space="preserve">are too low as a starting point and </w:t>
      </w:r>
      <w:r w:rsidRPr="003D10D0">
        <w:t>should be increase</w:t>
      </w:r>
      <w:r>
        <w:t>d</w:t>
      </w:r>
      <w:r w:rsidRPr="003D10D0">
        <w:t xml:space="preserve">. These thresholds should </w:t>
      </w:r>
      <w:r>
        <w:t xml:space="preserve">then </w:t>
      </w:r>
      <w:r w:rsidRPr="003D10D0">
        <w:t>be reviewed in a timely manner</w:t>
      </w:r>
      <w:r>
        <w:t xml:space="preserve"> by ESMA to assess their appropriateness</w:t>
      </w:r>
      <w:r w:rsidRPr="003D10D0">
        <w:t>, e.g. in 2017.</w:t>
      </w:r>
      <w:r>
        <w:t xml:space="preserve"> We would like to stress we believe it is imperative that the risk to disrupt markets with limits set artificially low (we again note ESMA has not offered quantitative analysis in their proposals) is avoided.</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200DDF" w:rsidRPr="005A4C1B" w:rsidRDefault="00200DDF" w:rsidP="00200DDF">
      <w:pPr>
        <w:pStyle w:val="scfnutzer"/>
        <w:spacing w:before="120" w:line="276" w:lineRule="auto"/>
        <w:rPr>
          <w:sz w:val="22"/>
          <w:lang w:val="en-GB"/>
        </w:rPr>
      </w:pPr>
      <w:permStart w:id="192" w:edGrp="everyone"/>
      <w:r w:rsidRPr="005A4C1B">
        <w:rPr>
          <w:sz w:val="22"/>
          <w:lang w:val="en-GB"/>
        </w:rPr>
        <w:t>Due consideration must be given to the netting treatment of OTC contracts to ensure that in calculating the net position of an entity that entity is able to net OTC instruments which are closely correlated to on-venue contracts. This is critical from an end-user perspective as financial institutions should be able to continue to provide efficient risk-mitigating derivatives.</w:t>
      </w:r>
    </w:p>
    <w:p w:rsidR="00200DDF" w:rsidRPr="005A4C1B" w:rsidRDefault="00200DDF" w:rsidP="00200DDF">
      <w:pPr>
        <w:pStyle w:val="scfnutzer"/>
        <w:spacing w:before="120" w:line="276" w:lineRule="auto"/>
        <w:rPr>
          <w:sz w:val="22"/>
          <w:lang w:val="en-GB"/>
        </w:rPr>
      </w:pPr>
      <w:r w:rsidRPr="005A4C1B">
        <w:rPr>
          <w:sz w:val="22"/>
          <w:lang w:val="en-GB"/>
        </w:rPr>
        <w:t>Although risk-mitigating derivatives used by non-financial companies are exempted from the position limits regime</w:t>
      </w:r>
      <w:r>
        <w:rPr>
          <w:sz w:val="22"/>
          <w:lang w:val="en-GB"/>
        </w:rPr>
        <w:t>,</w:t>
      </w:r>
      <w:r w:rsidRPr="005A4C1B">
        <w:rPr>
          <w:sz w:val="22"/>
          <w:lang w:val="en-GB"/>
        </w:rPr>
        <w:t xml:space="preserve"> this exemption would be </w:t>
      </w:r>
      <w:r>
        <w:rPr>
          <w:sz w:val="22"/>
          <w:lang w:val="en-GB"/>
        </w:rPr>
        <w:t>damaged</w:t>
      </w:r>
      <w:r w:rsidRPr="005A4C1B">
        <w:rPr>
          <w:sz w:val="22"/>
          <w:lang w:val="en-GB"/>
        </w:rPr>
        <w:t xml:space="preserve"> if their financial counterparties could not provide the respective instruments due to </w:t>
      </w:r>
      <w:r>
        <w:rPr>
          <w:sz w:val="22"/>
          <w:lang w:val="en-GB"/>
        </w:rPr>
        <w:t xml:space="preserve">their own </w:t>
      </w:r>
      <w:r w:rsidRPr="005A4C1B">
        <w:rPr>
          <w:sz w:val="22"/>
          <w:lang w:val="en-GB"/>
        </w:rPr>
        <w:t xml:space="preserve">position limits set too strict. </w:t>
      </w:r>
      <w:r>
        <w:rPr>
          <w:sz w:val="22"/>
          <w:lang w:val="en-GB"/>
        </w:rPr>
        <w:t xml:space="preserve">Frequently </w:t>
      </w:r>
      <w:r w:rsidRPr="005A4C1B">
        <w:rPr>
          <w:sz w:val="22"/>
          <w:lang w:val="en-GB"/>
        </w:rPr>
        <w:t>the financial counterparties offset the OTC derivative exposure provided to their non-financial clients with exchange traded benchmarks</w:t>
      </w:r>
      <w:r>
        <w:rPr>
          <w:sz w:val="22"/>
          <w:lang w:val="en-GB"/>
        </w:rPr>
        <w:t>,</w:t>
      </w:r>
      <w:r w:rsidRPr="005A4C1B">
        <w:rPr>
          <w:sz w:val="22"/>
          <w:lang w:val="en-GB"/>
        </w:rPr>
        <w:t xml:space="preserve"> as </w:t>
      </w:r>
      <w:r>
        <w:rPr>
          <w:sz w:val="22"/>
          <w:lang w:val="en-GB"/>
        </w:rPr>
        <w:t xml:space="preserve">both are closely correlated. While the client may need to use a “tailored” OTC contract to match an underlying operative position, the financial counterparty often has more freedom in its choice of instruments, and might also have matching business from other customers. </w:t>
      </w:r>
    </w:p>
    <w:p w:rsidR="00200DDF" w:rsidRDefault="00200DDF" w:rsidP="00200DDF">
      <w:pPr>
        <w:pStyle w:val="scfnutzer"/>
        <w:spacing w:before="120" w:line="276" w:lineRule="auto"/>
        <w:rPr>
          <w:sz w:val="22"/>
          <w:lang w:val="en-GB"/>
        </w:rPr>
      </w:pPr>
      <w:r w:rsidRPr="005A4C1B">
        <w:rPr>
          <w:sz w:val="22"/>
          <w:lang w:val="en-GB"/>
        </w:rPr>
        <w:t xml:space="preserve">It must be ensured that financial entities can continue this </w:t>
      </w:r>
      <w:r>
        <w:rPr>
          <w:sz w:val="22"/>
          <w:lang w:val="en-GB"/>
        </w:rPr>
        <w:t>service</w:t>
      </w:r>
      <w:r w:rsidRPr="005A4C1B">
        <w:rPr>
          <w:sz w:val="22"/>
          <w:lang w:val="en-GB"/>
        </w:rPr>
        <w:t xml:space="preserve"> for non-financial companies </w:t>
      </w:r>
      <w:r>
        <w:rPr>
          <w:sz w:val="22"/>
          <w:lang w:val="en-GB"/>
        </w:rPr>
        <w:t xml:space="preserve">also </w:t>
      </w:r>
      <w:r w:rsidRPr="005A4C1B">
        <w:rPr>
          <w:sz w:val="22"/>
          <w:lang w:val="en-GB"/>
        </w:rPr>
        <w:t xml:space="preserve">under the newly introduced position limit regime. In the absence of a “pass through hedge exemption” it is crucial that these correlated OTC instruments continue to operate as legitimate offsets to the futures exposure assumed by financial institutions to deliver this source of liquidity to non-financial companies. </w:t>
      </w:r>
      <w:r>
        <w:rPr>
          <w:sz w:val="22"/>
          <w:lang w:val="en-GB"/>
        </w:rPr>
        <w:t xml:space="preserve">However, we would not want to see the </w:t>
      </w:r>
      <w:r w:rsidRPr="005A4C1B">
        <w:rPr>
          <w:sz w:val="22"/>
          <w:lang w:val="en-GB"/>
        </w:rPr>
        <w:t>“economic equivalence”</w:t>
      </w:r>
      <w:r>
        <w:rPr>
          <w:sz w:val="22"/>
          <w:lang w:val="en-GB"/>
        </w:rPr>
        <w:t xml:space="preserve"> definition being widened in a way to catch these end-user OTC transactions. </w:t>
      </w:r>
    </w:p>
    <w:p w:rsidR="00200DDF" w:rsidRPr="003811C4" w:rsidRDefault="00200DDF" w:rsidP="003811C4">
      <w:pPr>
        <w:pStyle w:val="scfnutzer"/>
        <w:spacing w:before="120" w:line="276" w:lineRule="auto"/>
        <w:rPr>
          <w:sz w:val="22"/>
          <w:lang w:val="en-GB"/>
        </w:rPr>
      </w:pPr>
      <w:r w:rsidRPr="003811C4">
        <w:rPr>
          <w:sz w:val="22"/>
          <w:lang w:val="en-GB"/>
        </w:rPr>
        <w:t>Accordingly, we ask ESMA to allow that exposures to such OTC derivatives can be taken into account in determining the net position notwithstanding such contracts do not constitute economic equivalent OTC contracts as proposed by ESMA, in case they are mirroring customer business in privileged transactions. While we are in principle agreeing to ESMA’s idea of a narrower scope of “economic equivalence”, we are clearly concerned that end-users could not make use of their exemptions on hedging transactions in practice because banks may not offer them due to their own position limits.</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lastRenderedPageBreak/>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lastRenderedPageBreak/>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lastRenderedPageBreak/>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200DDF" w:rsidRPr="0090769B" w:rsidRDefault="00200DDF" w:rsidP="00200DDF">
      <w:pPr>
        <w:pStyle w:val="scfnutzer"/>
        <w:spacing w:before="120" w:line="276" w:lineRule="auto"/>
        <w:rPr>
          <w:sz w:val="22"/>
          <w:lang w:val="en-US"/>
        </w:rPr>
      </w:pPr>
      <w:permStart w:id="209" w:edGrp="everyone"/>
      <w:r>
        <w:rPr>
          <w:sz w:val="22"/>
          <w:lang w:val="en-US"/>
        </w:rPr>
        <w:t xml:space="preserve">No, we do not agree. In the explanatory notes, </w:t>
      </w:r>
      <w:r w:rsidRPr="0090769B">
        <w:rPr>
          <w:sz w:val="22"/>
          <w:lang w:val="en-US"/>
        </w:rPr>
        <w:t xml:space="preserve">ESMA </w:t>
      </w:r>
      <w:r>
        <w:rPr>
          <w:sz w:val="22"/>
          <w:lang w:val="en-US"/>
        </w:rPr>
        <w:t>states that</w:t>
      </w:r>
      <w:r w:rsidRPr="0090769B">
        <w:rPr>
          <w:sz w:val="22"/>
          <w:lang w:val="en-US"/>
        </w:rPr>
        <w:t xml:space="preserve"> including portfolio/macro/proxy hedging </w:t>
      </w:r>
      <w:r>
        <w:rPr>
          <w:sz w:val="22"/>
          <w:lang w:val="en-US"/>
        </w:rPr>
        <w:t xml:space="preserve">in the “risk reducing” definitions </w:t>
      </w:r>
      <w:r w:rsidRPr="0090769B">
        <w:rPr>
          <w:sz w:val="22"/>
          <w:lang w:val="en-US"/>
        </w:rPr>
        <w:t>would be “</w:t>
      </w:r>
      <w:r w:rsidRPr="00AC66D5">
        <w:rPr>
          <w:sz w:val="22"/>
          <w:lang w:val="en-US"/>
        </w:rPr>
        <w:t>unnecessary and inappropriate</w:t>
      </w:r>
      <w:r w:rsidRPr="0090769B">
        <w:rPr>
          <w:sz w:val="22"/>
          <w:lang w:val="en-US"/>
        </w:rPr>
        <w:t xml:space="preserve">”, which is also expressed in the fact that the proposed text </w:t>
      </w:r>
      <w:r>
        <w:rPr>
          <w:sz w:val="22"/>
          <w:lang w:val="en-US"/>
        </w:rPr>
        <w:t>for the technical standards, while</w:t>
      </w:r>
      <w:r w:rsidRPr="0090769B">
        <w:rPr>
          <w:sz w:val="22"/>
          <w:lang w:val="en-US"/>
        </w:rPr>
        <w:t xml:space="preserve"> </w:t>
      </w:r>
      <w:r>
        <w:rPr>
          <w:sz w:val="22"/>
          <w:lang w:val="en-US"/>
        </w:rPr>
        <w:t>quoting</w:t>
      </w:r>
      <w:r w:rsidRPr="0090769B">
        <w:rPr>
          <w:sz w:val="22"/>
          <w:lang w:val="en-US"/>
        </w:rPr>
        <w:t xml:space="preserve"> Art. 10 of ESMA’s </w:t>
      </w:r>
      <w:r>
        <w:rPr>
          <w:sz w:val="22"/>
          <w:lang w:val="en-US"/>
        </w:rPr>
        <w:t xml:space="preserve">own </w:t>
      </w:r>
      <w:r w:rsidRPr="0090769B">
        <w:rPr>
          <w:sz w:val="22"/>
          <w:lang w:val="en-US"/>
        </w:rPr>
        <w:t>EMIR RTS, leaves out a</w:t>
      </w:r>
      <w:r>
        <w:rPr>
          <w:sz w:val="22"/>
          <w:lang w:val="en-US"/>
        </w:rPr>
        <w:t>n important</w:t>
      </w:r>
      <w:r w:rsidRPr="0090769B">
        <w:rPr>
          <w:sz w:val="22"/>
          <w:lang w:val="en-US"/>
        </w:rPr>
        <w:t xml:space="preserve"> half</w:t>
      </w:r>
      <w:r>
        <w:rPr>
          <w:sz w:val="22"/>
          <w:lang w:val="en-US"/>
        </w:rPr>
        <w:t>-</w:t>
      </w:r>
      <w:r w:rsidRPr="0090769B">
        <w:rPr>
          <w:sz w:val="22"/>
          <w:lang w:val="en-US"/>
        </w:rPr>
        <w:t>sentence</w:t>
      </w:r>
      <w:r>
        <w:rPr>
          <w:sz w:val="22"/>
          <w:lang w:val="en-US"/>
        </w:rPr>
        <w:t>.</w:t>
      </w:r>
      <w:r w:rsidRPr="0090769B">
        <w:rPr>
          <w:sz w:val="22"/>
          <w:lang w:val="en-US"/>
        </w:rPr>
        <w:t xml:space="preserve"> </w:t>
      </w:r>
      <w:r>
        <w:rPr>
          <w:sz w:val="22"/>
          <w:lang w:val="en-US"/>
        </w:rPr>
        <w:t>T</w:t>
      </w:r>
      <w:r w:rsidRPr="0090769B">
        <w:rPr>
          <w:sz w:val="22"/>
          <w:lang w:val="en-US"/>
        </w:rPr>
        <w:t xml:space="preserve">he original </w:t>
      </w:r>
      <w:r>
        <w:rPr>
          <w:sz w:val="22"/>
          <w:lang w:val="en-US"/>
        </w:rPr>
        <w:t xml:space="preserve">text from EMIR </w:t>
      </w:r>
      <w:r w:rsidRPr="0090769B">
        <w:rPr>
          <w:sz w:val="22"/>
          <w:lang w:val="en-US"/>
        </w:rPr>
        <w:t xml:space="preserve">reads </w:t>
      </w:r>
      <w:r>
        <w:rPr>
          <w:sz w:val="22"/>
          <w:lang w:val="en-US"/>
        </w:rPr>
        <w:t>as follows:</w:t>
      </w:r>
    </w:p>
    <w:p w:rsidR="00200DDF" w:rsidRDefault="00200DDF" w:rsidP="00200DDF">
      <w:pPr>
        <w:pStyle w:val="scfnutzer"/>
        <w:spacing w:before="120" w:line="276" w:lineRule="auto"/>
        <w:rPr>
          <w:sz w:val="22"/>
          <w:lang w:val="en-US"/>
        </w:rPr>
      </w:pPr>
      <w:r w:rsidRPr="0090769B">
        <w:rPr>
          <w:i/>
          <w:sz w:val="22"/>
          <w:lang w:val="en-US"/>
        </w:rPr>
        <w:t xml:space="preserve">“(1) A position ... , by itself or in combination with other derivative contracts, </w:t>
      </w:r>
      <w:r w:rsidRPr="0090769B">
        <w:rPr>
          <w:b/>
          <w:i/>
          <w:sz w:val="22"/>
          <w:u w:val="single"/>
          <w:lang w:val="en-US"/>
        </w:rPr>
        <w:t>directly or through closely correlated instruments</w:t>
      </w:r>
      <w:r w:rsidRPr="0090769B">
        <w:rPr>
          <w:i/>
          <w:sz w:val="22"/>
          <w:lang w:val="en-US"/>
        </w:rPr>
        <w:t>, it meets one of the following criteria:</w:t>
      </w:r>
      <w:r>
        <w:rPr>
          <w:i/>
          <w:sz w:val="22"/>
          <w:lang w:val="en-US"/>
        </w:rPr>
        <w:t xml:space="preserve"> ...</w:t>
      </w:r>
      <w:r w:rsidRPr="0090769B">
        <w:rPr>
          <w:sz w:val="22"/>
          <w:lang w:val="en-US"/>
        </w:rPr>
        <w:t xml:space="preserve">“ </w:t>
      </w:r>
    </w:p>
    <w:p w:rsidR="00200DDF" w:rsidRDefault="00200DDF" w:rsidP="00200DDF">
      <w:pPr>
        <w:pStyle w:val="scfnutzer"/>
        <w:spacing w:before="120" w:line="276" w:lineRule="auto"/>
        <w:rPr>
          <w:sz w:val="22"/>
          <w:lang w:val="en-US"/>
        </w:rPr>
      </w:pPr>
      <w:r w:rsidRPr="0090769B">
        <w:rPr>
          <w:sz w:val="22"/>
          <w:lang w:val="en-US"/>
        </w:rPr>
        <w:t xml:space="preserve">In its </w:t>
      </w:r>
      <w:r>
        <w:rPr>
          <w:sz w:val="22"/>
          <w:lang w:val="en-US"/>
        </w:rPr>
        <w:t>current</w:t>
      </w:r>
      <w:r w:rsidRPr="0090769B">
        <w:rPr>
          <w:sz w:val="22"/>
          <w:lang w:val="en-US"/>
        </w:rPr>
        <w:t xml:space="preserve"> proposal</w:t>
      </w:r>
      <w:r>
        <w:rPr>
          <w:sz w:val="22"/>
          <w:lang w:val="en-US"/>
        </w:rPr>
        <w:t xml:space="preserve"> for MiFID</w:t>
      </w:r>
      <w:r w:rsidRPr="0090769B">
        <w:rPr>
          <w:sz w:val="22"/>
          <w:lang w:val="en-US"/>
        </w:rPr>
        <w:t xml:space="preserve">, ESMA has deleted the highlighted part. We are very strongly opposed to this idea, as macro hedging strategies are highly important to corporate risk management. Which is why they were accepted by </w:t>
      </w:r>
      <w:r>
        <w:rPr>
          <w:sz w:val="22"/>
          <w:lang w:val="en-US"/>
        </w:rPr>
        <w:t>regulators</w:t>
      </w:r>
      <w:r w:rsidRPr="0090769B">
        <w:rPr>
          <w:sz w:val="22"/>
          <w:lang w:val="en-US"/>
        </w:rPr>
        <w:t xml:space="preserve"> into the EMIR </w:t>
      </w:r>
      <w:r>
        <w:rPr>
          <w:sz w:val="22"/>
          <w:lang w:val="en-US"/>
        </w:rPr>
        <w:t xml:space="preserve">(and Dodd-Frank, to note) </w:t>
      </w:r>
      <w:r w:rsidRPr="0090769B">
        <w:rPr>
          <w:sz w:val="22"/>
          <w:lang w:val="en-US"/>
        </w:rPr>
        <w:t>rules in the first place</w:t>
      </w:r>
      <w:r>
        <w:rPr>
          <w:sz w:val="22"/>
          <w:lang w:val="en-US"/>
        </w:rPr>
        <w:t>, we would like to add</w:t>
      </w:r>
      <w:r w:rsidRPr="0090769B">
        <w:rPr>
          <w:sz w:val="22"/>
          <w:lang w:val="en-US"/>
        </w:rPr>
        <w:t xml:space="preserve">. ESMA’s opinion that these concepts would be “inconsistent” or “imprecise” is </w:t>
      </w:r>
      <w:r>
        <w:rPr>
          <w:sz w:val="22"/>
          <w:lang w:val="en-US"/>
        </w:rPr>
        <w:t>unfounded</w:t>
      </w:r>
      <w:r w:rsidRPr="0090769B">
        <w:rPr>
          <w:sz w:val="22"/>
          <w:lang w:val="en-US"/>
        </w:rPr>
        <w:t xml:space="preserve">, as it cannot be that rules that are acceptable for EMIR are inacceptable for MiFID. In fact the latter is what would create inconsistencies between </w:t>
      </w:r>
      <w:r>
        <w:rPr>
          <w:sz w:val="22"/>
          <w:lang w:val="en-US"/>
        </w:rPr>
        <w:t xml:space="preserve">these two </w:t>
      </w:r>
      <w:r w:rsidRPr="0090769B">
        <w:rPr>
          <w:sz w:val="22"/>
          <w:lang w:val="en-US"/>
        </w:rPr>
        <w:t xml:space="preserve">regulations, and not the acceptance that macro </w:t>
      </w:r>
      <w:r w:rsidRPr="002D366A">
        <w:rPr>
          <w:i/>
          <w:sz w:val="22"/>
          <w:lang w:val="en-US"/>
        </w:rPr>
        <w:t>et al</w:t>
      </w:r>
      <w:r w:rsidRPr="0090769B">
        <w:rPr>
          <w:sz w:val="22"/>
          <w:lang w:val="en-US"/>
        </w:rPr>
        <w:t xml:space="preserve"> is also hedging. As each transaction reported under EMIR has to be marked as “hedging” or “non-hedging”, there is neither a problem to identify them as such. </w:t>
      </w:r>
      <w:r>
        <w:rPr>
          <w:sz w:val="22"/>
          <w:lang w:val="en-US"/>
        </w:rPr>
        <w:t xml:space="preserve">It is very important that no ambiguity is created, not only versus EMIR, but also within MiFID, as the paragraph about “priviledged transactions” (please see also our answers on Q181) does neither contain any respective limitations, which we believe is the correct way to include the EMIR reference. </w:t>
      </w:r>
    </w:p>
    <w:p w:rsidR="00200DDF" w:rsidRDefault="00200DDF" w:rsidP="00EC2C93">
      <w:pPr>
        <w:keepNext/>
        <w:rPr>
          <w:lang w:val="en-US"/>
        </w:rPr>
      </w:pPr>
      <w:r>
        <w:rPr>
          <w:lang w:val="en-US"/>
        </w:rPr>
        <w:t>We are asking ESMA</w:t>
      </w:r>
      <w:r w:rsidRPr="0090769B">
        <w:rPr>
          <w:lang w:val="en-US"/>
        </w:rPr>
        <w:t xml:space="preserve"> that the deleted </w:t>
      </w:r>
      <w:r>
        <w:rPr>
          <w:lang w:val="en-US"/>
        </w:rPr>
        <w:t xml:space="preserve">partial </w:t>
      </w:r>
      <w:r w:rsidRPr="0090769B">
        <w:rPr>
          <w:lang w:val="en-US"/>
        </w:rPr>
        <w:t xml:space="preserve">sentence above is reinstated into the draft proposal, and </w:t>
      </w:r>
      <w:r>
        <w:rPr>
          <w:lang w:val="en-US"/>
        </w:rPr>
        <w:t xml:space="preserve">that </w:t>
      </w:r>
      <w:r w:rsidRPr="0090769B">
        <w:rPr>
          <w:lang w:val="en-US"/>
        </w:rPr>
        <w:t xml:space="preserve">ESMA confirms in the explanations that also those non-hedge-accounting strategies which meet the requirements defined under EMIR are counted as risk reducing transactions </w:t>
      </w:r>
      <w:r>
        <w:rPr>
          <w:lang w:val="en-US"/>
        </w:rPr>
        <w:t>for all parts of</w:t>
      </w:r>
      <w:r w:rsidRPr="0090769B">
        <w:rPr>
          <w:lang w:val="en-US"/>
        </w:rPr>
        <w:t xml:space="preserve"> </w:t>
      </w:r>
      <w:proofErr w:type="spellStart"/>
      <w:r w:rsidRPr="0090769B">
        <w:rPr>
          <w:lang w:val="en-US"/>
        </w:rPr>
        <w:t>MiFID</w:t>
      </w:r>
      <w:proofErr w:type="spellEnd"/>
      <w:r w:rsidRPr="0090769B">
        <w:rPr>
          <w:lang w:val="en-US"/>
        </w:rPr>
        <w:t xml:space="preserve"> to assure consistency between these two regulations.</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200DDF" w:rsidRPr="001D7947" w:rsidRDefault="00200DDF" w:rsidP="00200DDF">
      <w:pPr>
        <w:pStyle w:val="scfnutzer"/>
        <w:spacing w:before="120" w:line="276" w:lineRule="auto"/>
        <w:rPr>
          <w:sz w:val="22"/>
          <w:lang w:val="en-US"/>
        </w:rPr>
      </w:pPr>
      <w:permStart w:id="210" w:edGrp="everyone"/>
      <w:r w:rsidRPr="001D7947">
        <w:rPr>
          <w:sz w:val="22"/>
          <w:lang w:val="en-US"/>
        </w:rPr>
        <w:t>We agree</w:t>
      </w:r>
      <w:r>
        <w:rPr>
          <w:sz w:val="22"/>
          <w:lang w:val="en-US"/>
        </w:rPr>
        <w:t xml:space="preserve"> on the principle to avoid a definition based on rather subjective structural characteristics like assets or facilities. T</w:t>
      </w:r>
      <w:r w:rsidRPr="001D7947">
        <w:rPr>
          <w:sz w:val="22"/>
          <w:lang w:val="en-US"/>
        </w:rPr>
        <w:t xml:space="preserve">he term "non-financial entity" </w:t>
      </w:r>
      <w:r>
        <w:rPr>
          <w:sz w:val="22"/>
          <w:lang w:val="en-US"/>
        </w:rPr>
        <w:t>should</w:t>
      </w:r>
      <w:r w:rsidRPr="001D7947">
        <w:rPr>
          <w:sz w:val="22"/>
          <w:lang w:val="en-US"/>
        </w:rPr>
        <w:t xml:space="preserve"> be understood to cover </w:t>
      </w:r>
      <w:r>
        <w:rPr>
          <w:sz w:val="22"/>
          <w:lang w:val="en-US"/>
        </w:rPr>
        <w:t>institutions</w:t>
      </w:r>
      <w:r w:rsidRPr="001D7947">
        <w:rPr>
          <w:sz w:val="22"/>
          <w:lang w:val="en-US"/>
        </w:rPr>
        <w:t xml:space="preserve"> that are not either:</w:t>
      </w:r>
    </w:p>
    <w:p w:rsidR="00200DDF" w:rsidRPr="001D7947" w:rsidRDefault="00200DDF" w:rsidP="00200DDF">
      <w:pPr>
        <w:pStyle w:val="scfnutzer"/>
        <w:spacing w:before="120" w:line="276" w:lineRule="auto"/>
        <w:ind w:left="360"/>
        <w:rPr>
          <w:sz w:val="22"/>
          <w:lang w:val="en-US"/>
        </w:rPr>
      </w:pPr>
      <w:r>
        <w:rPr>
          <w:sz w:val="22"/>
          <w:lang w:val="en-US"/>
        </w:rPr>
        <w:t>p</w:t>
      </w:r>
      <w:r w:rsidRPr="001D7947">
        <w:rPr>
          <w:sz w:val="22"/>
          <w:lang w:val="en-US"/>
        </w:rPr>
        <w:t>ersons</w:t>
      </w:r>
      <w:r>
        <w:rPr>
          <w:sz w:val="22"/>
          <w:lang w:val="en-US"/>
        </w:rPr>
        <w:t>/entities</w:t>
      </w:r>
      <w:r w:rsidRPr="001D7947">
        <w:rPr>
          <w:sz w:val="22"/>
          <w:lang w:val="en-US"/>
        </w:rPr>
        <w:t xml:space="preserve"> regulated under the various EU directives or regulations regulating financial entities; or</w:t>
      </w:r>
    </w:p>
    <w:p w:rsidR="00200DDF" w:rsidRPr="001D7947" w:rsidRDefault="00200DDF" w:rsidP="00200DDF">
      <w:pPr>
        <w:pStyle w:val="scfnutzer"/>
        <w:spacing w:before="120" w:line="276" w:lineRule="auto"/>
        <w:ind w:left="360"/>
        <w:rPr>
          <w:sz w:val="22"/>
          <w:lang w:val="en-US"/>
        </w:rPr>
      </w:pPr>
      <w:r w:rsidRPr="001D7947">
        <w:rPr>
          <w:sz w:val="22"/>
          <w:lang w:val="en-US"/>
        </w:rPr>
        <w:t>persons</w:t>
      </w:r>
      <w:r>
        <w:rPr>
          <w:sz w:val="22"/>
          <w:lang w:val="en-US"/>
        </w:rPr>
        <w:t>/entities</w:t>
      </w:r>
      <w:r w:rsidRPr="001D7947">
        <w:rPr>
          <w:sz w:val="22"/>
          <w:lang w:val="en-US"/>
        </w:rPr>
        <w:t xml:space="preserve"> who would be regulated under those directives or regulations if they were established in the EU.</w:t>
      </w:r>
    </w:p>
    <w:p w:rsidR="00200DDF" w:rsidRPr="003811C4" w:rsidRDefault="00200DDF" w:rsidP="003811C4">
      <w:pPr>
        <w:pStyle w:val="scfnutzer"/>
        <w:spacing w:before="120" w:line="276" w:lineRule="auto"/>
        <w:rPr>
          <w:sz w:val="22"/>
          <w:lang w:val="en-US"/>
        </w:rPr>
      </w:pPr>
      <w:r w:rsidRPr="003811C4">
        <w:rPr>
          <w:sz w:val="22"/>
          <w:lang w:val="en-US"/>
        </w:rPr>
        <w:t xml:space="preserve">We consider that the definition should be read in this way even if the territorial and personal scope of Article 57 is limited to EU persons. Even if this is the case, there is a risk that the positions of non-EU non-financial entities could need to be aggregated with the positions of a </w:t>
      </w:r>
      <w:r w:rsidRPr="003811C4">
        <w:rPr>
          <w:sz w:val="22"/>
          <w:lang w:val="en-US"/>
        </w:rPr>
        <w:lastRenderedPageBreak/>
        <w:t>parent undertaking in the EU. The non-EU entity or its EU parent on its behalf should be able to obtain the benefit of the exemption for risk reducing positions.</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200DDF" w:rsidRDefault="00200DDF" w:rsidP="00EC2C93">
      <w:pPr>
        <w:keepNext/>
      </w:pPr>
      <w:permStart w:id="213" w:edGrp="everyone"/>
      <w:r>
        <w:t>Yes, we agree to a narrower interpretation of “economic equivalence” as proposed. We would however ask ESMA to allow more flexibility in netting in the position limit regime, please refer to our answers on Q183. We would otherwise be concerned about the impact on privileged transactions of non-financial end-users.</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200DDF" w:rsidRPr="003811C4" w:rsidRDefault="00200DDF" w:rsidP="00200DDF">
      <w:pPr>
        <w:pStyle w:val="scfnutzer"/>
        <w:spacing w:before="120" w:line="276" w:lineRule="auto"/>
        <w:rPr>
          <w:sz w:val="22"/>
          <w:lang w:val="en-US"/>
        </w:rPr>
      </w:pPr>
      <w:permStart w:id="217" w:edGrp="everyone"/>
      <w:r w:rsidRPr="003811C4">
        <w:rPr>
          <w:sz w:val="22"/>
          <w:lang w:val="en-US"/>
        </w:rPr>
        <w:t xml:space="preserve">No, we disagree. The proposed notification process for the hedging exemption is too complex and does not reflect risk management practice in markets. If the proposal indeed means companies are required to wait up to 30 days until each single transaction is </w:t>
      </w:r>
      <w:r w:rsidRPr="003811C4">
        <w:rPr>
          <w:sz w:val="22"/>
          <w:lang w:val="en-US"/>
        </w:rPr>
        <w:lastRenderedPageBreak/>
        <w:t xml:space="preserve">acknowledged by the competent authorities as “risk mitigating”, it is inappropriate, as it is inconceivable to delay hedging decisions due to risk exposures coming from operative businesses for such prolonged periods. The only feasible approach would be an ex-post approval procedure, i.e. the firm notifies the competent authority but trades immediately without waiting for approval.  </w:t>
      </w:r>
    </w:p>
    <w:p w:rsidR="00200DDF" w:rsidRPr="003811C4" w:rsidRDefault="00200DDF" w:rsidP="003811C4">
      <w:pPr>
        <w:pStyle w:val="scfnutzer"/>
        <w:spacing w:before="120" w:line="276" w:lineRule="auto"/>
        <w:rPr>
          <w:sz w:val="22"/>
          <w:lang w:val="en-US"/>
        </w:rPr>
      </w:pPr>
      <w:r w:rsidRPr="003811C4">
        <w:rPr>
          <w:sz w:val="22"/>
          <w:lang w:val="en-US"/>
        </w:rPr>
        <w:t>Besides that, filing individual transaction applications seems inefficient given the significant number of deals some corporates need to transact due to their operative needs (including recalibration of hedges due to changes in plans or production schedules). Therefore, in the interest of both market participants and competent authorities the notification process for the hedging exemption should be designed much leaner, and in aggregated form (e.g. weekly or monthly summary). One possible solution: reference could be made to reports provided by the relevant EMIR trade repositories which already include the information given by the company whether the derivative in question is for risk-mitigating purposes or not. Such a report for purposes of the limit regime could be flagged and directly submitted from the trade repository to the competent authority. Hence, a separate notification in order to apply for the hedging exemption under the position limit regime would be superfluous.</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200DDF" w:rsidRPr="00EA5ECE" w:rsidRDefault="00200DDF" w:rsidP="00200DDF">
      <w:pPr>
        <w:pStyle w:val="scfnutzer"/>
        <w:spacing w:before="120" w:line="276" w:lineRule="auto"/>
        <w:rPr>
          <w:sz w:val="22"/>
          <w:lang w:val="en-GB"/>
        </w:rPr>
      </w:pPr>
      <w:permStart w:id="221" w:edGrp="everyone"/>
      <w:r w:rsidRPr="00EA5ECE">
        <w:rPr>
          <w:sz w:val="22"/>
          <w:lang w:val="en-GB"/>
        </w:rPr>
        <w:t>To avoid double reporting under Art. 58 MiFID II</w:t>
      </w:r>
      <w:r>
        <w:rPr>
          <w:sz w:val="22"/>
          <w:lang w:val="en-GB"/>
        </w:rPr>
        <w:t xml:space="preserve">, especially with regard to end-clients, </w:t>
      </w:r>
      <w:r w:rsidRPr="00EA5ECE">
        <w:rPr>
          <w:sz w:val="22"/>
          <w:lang w:val="en-GB"/>
        </w:rPr>
        <w:t xml:space="preserve">already existing reporting arrangements should be utilised as far as possible. According to EMIR, commodity derivatives and derivatives on emission allowances (according to the respective definition under MiFID I and MiFID II) have to be reported to trade repositories. For these instruments the venue operator should be allowed to tap the information already available in the trade repositories. This information is sufficient to calculate and update the respective positions of every end client in the respective derivative instruments. </w:t>
      </w:r>
    </w:p>
    <w:p w:rsidR="00200DDF" w:rsidRPr="004C5887" w:rsidRDefault="00200DDF" w:rsidP="00200DDF">
      <w:pPr>
        <w:pStyle w:val="scfnutzer"/>
        <w:spacing w:before="120" w:line="276" w:lineRule="auto"/>
        <w:rPr>
          <w:sz w:val="22"/>
          <w:lang w:val="en-GB"/>
        </w:rPr>
      </w:pPr>
      <w:r w:rsidRPr="00EA5ECE">
        <w:rPr>
          <w:sz w:val="22"/>
          <w:lang w:val="en-GB"/>
        </w:rPr>
        <w:t xml:space="preserve">Data for the positions in emission allowances is available as well: </w:t>
      </w:r>
      <w:r>
        <w:rPr>
          <w:sz w:val="22"/>
          <w:lang w:val="en-GB"/>
        </w:rPr>
        <w:t>i</w:t>
      </w:r>
      <w:r w:rsidRPr="00EA5ECE">
        <w:rPr>
          <w:sz w:val="22"/>
          <w:lang w:val="en-GB"/>
        </w:rPr>
        <w:t xml:space="preserve">n Germany the German Emissions Trading Authority (see http://www.dehst.de/EN/Home/home_node.html) collects </w:t>
      </w:r>
      <w:r w:rsidRPr="00EA5ECE">
        <w:rPr>
          <w:sz w:val="22"/>
          <w:lang w:val="en-GB"/>
        </w:rPr>
        <w:lastRenderedPageBreak/>
        <w:t>data according to the emission allowances and the positions each company holds in these instruments. These sources should be used for position reporting as well.</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C4" w:rsidRDefault="003811C4" w:rsidP="007E7997">
      <w:pPr>
        <w:spacing w:line="240" w:lineRule="auto"/>
      </w:pPr>
      <w:r>
        <w:separator/>
      </w:r>
    </w:p>
  </w:endnote>
  <w:endnote w:type="continuationSeparator" w:id="0">
    <w:p w:rsidR="003811C4" w:rsidRDefault="003811C4"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C4" w:rsidRDefault="003811C4">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3811C4" w:rsidRDefault="003811C4" w:rsidP="00375BA2">
        <w:pPr>
          <w:pStyle w:val="Fuzeile"/>
          <w:jc w:val="right"/>
        </w:pPr>
        <w:fldSimple w:instr=" PAGE   \* MERGEFORMAT ">
          <w:r w:rsidR="006D11A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C4" w:rsidRDefault="003811C4" w:rsidP="007E7997">
      <w:pPr>
        <w:spacing w:line="240" w:lineRule="auto"/>
      </w:pPr>
      <w:r>
        <w:separator/>
      </w:r>
    </w:p>
  </w:footnote>
  <w:footnote w:type="continuationSeparator" w:id="0">
    <w:p w:rsidR="003811C4" w:rsidRDefault="003811C4" w:rsidP="007E7997">
      <w:pPr>
        <w:spacing w:line="240" w:lineRule="auto"/>
      </w:pPr>
      <w:r>
        <w:continuationSeparator/>
      </w:r>
    </w:p>
  </w:footnote>
  <w:footnote w:id="1">
    <w:p w:rsidR="003811C4" w:rsidRPr="00AA7A30" w:rsidRDefault="003811C4"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C4" w:rsidRDefault="003811C4">
    <w:pPr>
      <w:pStyle w:val="Kopfzeile"/>
    </w:pPr>
    <w:r>
      <w:rPr>
        <w:noProof/>
        <w:lang w:val="de-DE" w:eastAsia="de-DE"/>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val="de-DE" w:eastAsia="de-DE"/>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C4" w:rsidRDefault="003811C4" w:rsidP="00B50534">
    <w:pPr>
      <w:pStyle w:val="Kopfzeile"/>
      <w:jc w:val="right"/>
      <w:rPr>
        <w:b/>
        <w:color w:val="FF0000"/>
      </w:rPr>
    </w:pPr>
  </w:p>
  <w:p w:rsidR="003811C4" w:rsidRDefault="003811C4" w:rsidP="00B50534">
    <w:pPr>
      <w:pStyle w:val="Kopfzeile"/>
      <w:jc w:val="right"/>
      <w:rPr>
        <w:b/>
        <w:color w:val="FF0000"/>
      </w:rPr>
    </w:pPr>
    <w:r w:rsidRPr="006F63BF">
      <w:rPr>
        <w:rFonts w:ascii="Arial" w:hAnsi="Arial" w:cs="Arial"/>
        <w:noProof/>
        <w:lang w:eastAsia="en-GB"/>
      </w:rPr>
      <w:pict>
        <v:line id="Line 16" o:spid="_x0000_s4097"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3811C4" w:rsidRPr="00B50534" w:rsidRDefault="003811C4"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6000D5B"/>
    <w:multiLevelType w:val="hybridMultilevel"/>
    <w:tmpl w:val="E1A415F0"/>
    <w:lvl w:ilvl="0" w:tplc="FA10E064">
      <w:start w:val="1"/>
      <w:numFmt w:val="upperRoman"/>
      <w:lvlText w:val="%1."/>
      <w:lvlJc w:val="left"/>
      <w:pPr>
        <w:ind w:left="720" w:hanging="720"/>
      </w:pPr>
      <w:rPr>
        <w:rFonts w:hint="default"/>
      </w:rPr>
    </w:lvl>
    <w:lvl w:ilvl="1" w:tplc="0407001B">
      <w:start w:val="1"/>
      <w:numFmt w:val="lowerRoman"/>
      <w:lvlText w:val="%2."/>
      <w:lvlJc w:val="righ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2B0576C"/>
    <w:multiLevelType w:val="hybridMultilevel"/>
    <w:tmpl w:val="1ACC5890"/>
    <w:lvl w:ilvl="0" w:tplc="FA10E064">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7"/>
  </w:num>
  <w:num w:numId="4">
    <w:abstractNumId w:val="6"/>
  </w:num>
  <w:num w:numId="5">
    <w:abstractNumId w:val="15"/>
  </w:num>
  <w:num w:numId="6">
    <w:abstractNumId w:val="9"/>
  </w:num>
  <w:num w:numId="7">
    <w:abstractNumId w:val="0"/>
  </w:num>
  <w:num w:numId="8">
    <w:abstractNumId w:val="7"/>
  </w:num>
  <w:num w:numId="9">
    <w:abstractNumId w:val="4"/>
  </w:num>
  <w:num w:numId="10">
    <w:abstractNumId w:val="2"/>
  </w:num>
  <w:num w:numId="11">
    <w:abstractNumId w:val="16"/>
  </w:num>
  <w:num w:numId="12">
    <w:abstractNumId w:val="8"/>
  </w:num>
  <w:num w:numId="13">
    <w:abstractNumId w:val="18"/>
  </w:num>
  <w:num w:numId="14">
    <w:abstractNumId w:val="10"/>
  </w:num>
  <w:num w:numId="15">
    <w:abstractNumId w:val="12"/>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rsids>
    <w:rsidRoot w:val="00C212A5"/>
    <w:rsid w:val="00012D68"/>
    <w:rsid w:val="00020300"/>
    <w:rsid w:val="000372BF"/>
    <w:rsid w:val="00044C5A"/>
    <w:rsid w:val="0005509E"/>
    <w:rsid w:val="00061686"/>
    <w:rsid w:val="000632C2"/>
    <w:rsid w:val="00063762"/>
    <w:rsid w:val="0006528D"/>
    <w:rsid w:val="000932BC"/>
    <w:rsid w:val="000A3D10"/>
    <w:rsid w:val="000B5D3D"/>
    <w:rsid w:val="000C0CE0"/>
    <w:rsid w:val="000D1038"/>
    <w:rsid w:val="00106D66"/>
    <w:rsid w:val="00110389"/>
    <w:rsid w:val="00130EF9"/>
    <w:rsid w:val="001319C7"/>
    <w:rsid w:val="00136584"/>
    <w:rsid w:val="00144AAD"/>
    <w:rsid w:val="0017613C"/>
    <w:rsid w:val="00192A12"/>
    <w:rsid w:val="001B2151"/>
    <w:rsid w:val="001B3CFF"/>
    <w:rsid w:val="001B4996"/>
    <w:rsid w:val="001D47A5"/>
    <w:rsid w:val="001E7CA0"/>
    <w:rsid w:val="001F3D9D"/>
    <w:rsid w:val="00200DDF"/>
    <w:rsid w:val="002574D1"/>
    <w:rsid w:val="00287C8F"/>
    <w:rsid w:val="00296EA1"/>
    <w:rsid w:val="002E1C11"/>
    <w:rsid w:val="00314117"/>
    <w:rsid w:val="00315875"/>
    <w:rsid w:val="00317EDF"/>
    <w:rsid w:val="003279E7"/>
    <w:rsid w:val="0033324D"/>
    <w:rsid w:val="003454ED"/>
    <w:rsid w:val="00366D42"/>
    <w:rsid w:val="00375BA2"/>
    <w:rsid w:val="003811C4"/>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586"/>
    <w:rsid w:val="006B1B6B"/>
    <w:rsid w:val="006D11A9"/>
    <w:rsid w:val="006D48A6"/>
    <w:rsid w:val="006F53E8"/>
    <w:rsid w:val="006F63BF"/>
    <w:rsid w:val="00706072"/>
    <w:rsid w:val="00754B57"/>
    <w:rsid w:val="00797E0C"/>
    <w:rsid w:val="007B4808"/>
    <w:rsid w:val="007E7997"/>
    <w:rsid w:val="007F2DC3"/>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A5B95"/>
    <w:rsid w:val="00AB7542"/>
    <w:rsid w:val="00AC79E0"/>
    <w:rsid w:val="00AE4FC7"/>
    <w:rsid w:val="00AE6C93"/>
    <w:rsid w:val="00AF3B7F"/>
    <w:rsid w:val="00AF45B0"/>
    <w:rsid w:val="00B04283"/>
    <w:rsid w:val="00B11730"/>
    <w:rsid w:val="00B15C0B"/>
    <w:rsid w:val="00B17AF3"/>
    <w:rsid w:val="00B27499"/>
    <w:rsid w:val="00B40D81"/>
    <w:rsid w:val="00B50534"/>
    <w:rsid w:val="00B52E10"/>
    <w:rsid w:val="00B655D1"/>
    <w:rsid w:val="00B712DD"/>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Anfhrungszeichen">
    <w:name w:val="Quote"/>
    <w:basedOn w:val="Standard"/>
    <w:next w:val="Standard"/>
    <w:link w:val="AnfhrungszeichenZchn"/>
    <w:uiPriority w:val="29"/>
    <w:qFormat/>
    <w:rsid w:val="00AA054E"/>
    <w:pPr>
      <w:spacing w:before="160"/>
      <w:ind w:left="720" w:right="720"/>
    </w:pPr>
    <w:rPr>
      <w:i/>
      <w:iCs/>
      <w:color w:val="404040" w:themeColor="text1" w:themeTint="BF"/>
    </w:rPr>
  </w:style>
  <w:style w:type="character" w:customStyle="1" w:styleId="AnfhrungszeichenZchn">
    <w:name w:val="Anführungszeichen Zchn"/>
    <w:basedOn w:val="Absatz-Standardschriftart"/>
    <w:link w:val="Anfhrungszeichen"/>
    <w:uiPriority w:val="29"/>
    <w:rsid w:val="00AA054E"/>
    <w:rPr>
      <w:i/>
      <w:iCs/>
      <w:color w:val="404040" w:themeColor="text1" w:themeTint="BF"/>
    </w:rPr>
  </w:style>
  <w:style w:type="paragraph" w:styleId="IntensivesAnfhrungszeichen">
    <w:name w:val="Intense Quote"/>
    <w:basedOn w:val="Standard"/>
    <w:next w:val="Standard"/>
    <w:link w:val="IntensivesAnfhrungszeichen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AnfhrungszeichenZchn">
    <w:name w:val="Intensives Anführungszeichen Zchn"/>
    <w:basedOn w:val="Absatz-Standardschriftart"/>
    <w:link w:val="IntensivesAnfhrungszeichen"/>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gitternetz">
    <w:name w:val="Table Grid"/>
    <w:basedOn w:val="NormaleTabel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scfnutzer">
    <w:name w:val="scfnutzer"/>
    <w:basedOn w:val="Standard"/>
    <w:rsid w:val="00063762"/>
    <w:pPr>
      <w:spacing w:line="200" w:lineRule="exact"/>
      <w:jc w:val="left"/>
    </w:pPr>
    <w:rPr>
      <w:rFonts w:ascii="Arial" w:eastAsia="Times New Roman" w:hAnsi="Arial" w:cs="Times New Roman"/>
      <w:noProof/>
      <w:sz w:val="1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6589-A9C6-4044-A994-70C8516A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55</Pages>
  <Words>14770</Words>
  <Characters>93052</Characters>
  <Application>Microsoft Office Word</Application>
  <DocSecurity>8</DocSecurity>
  <Lines>775</Lines>
  <Paragraphs>215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BMW Group</Company>
  <LinksUpToDate>false</LinksUpToDate>
  <CharactersWithSpaces>107607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mhslr004</cp:lastModifiedBy>
  <cp:revision>6</cp:revision>
  <dcterms:created xsi:type="dcterms:W3CDTF">2015-01-26T16:04:00Z</dcterms:created>
  <dcterms:modified xsi:type="dcterms:W3CDTF">2015-02-27T12:53:00Z</dcterms:modified>
</cp:coreProperties>
</file>