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2A2746"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4"/>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4"/>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4"/>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5"/>
        </w:numPr>
        <w:spacing w:after="120" w:line="264" w:lineRule="auto"/>
      </w:pPr>
      <w:r>
        <w:t>if they respond to the question stated;</w:t>
      </w:r>
    </w:p>
    <w:p w:rsidR="000632C2" w:rsidRDefault="000632C2" w:rsidP="000632C2">
      <w:pPr>
        <w:pStyle w:val="ListParagraph"/>
        <w:numPr>
          <w:ilvl w:val="0"/>
          <w:numId w:val="15"/>
        </w:numPr>
        <w:spacing w:after="120" w:line="264" w:lineRule="auto"/>
      </w:pPr>
      <w:r>
        <w:t>contain a clear rationale, and</w:t>
      </w:r>
    </w:p>
    <w:p w:rsidR="000632C2" w:rsidRDefault="000632C2" w:rsidP="000632C2">
      <w:pPr>
        <w:pStyle w:val="ListParagraph"/>
        <w:numPr>
          <w:ilvl w:val="0"/>
          <w:numId w:val="15"/>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58659018"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934098667" w:edGrp="everyone" w:displacedByCustomXml="prev"/>
            <w:tc>
              <w:tcPr>
                <w:tcW w:w="5595" w:type="dxa"/>
                <w:shd w:val="clear" w:color="auto" w:fill="auto"/>
              </w:tcPr>
              <w:p w:rsidR="000632C2" w:rsidRPr="00AB6D88" w:rsidRDefault="00D8376E" w:rsidP="00D8376E">
                <w:pPr>
                  <w:rPr>
                    <w:rStyle w:val="PlaceholderText"/>
                    <w:rFonts w:ascii="Arial" w:hAnsi="Arial" w:cs="Arial"/>
                  </w:rPr>
                </w:pPr>
                <w:r>
                  <w:rPr>
                    <w:rStyle w:val="PlaceholderText"/>
                    <w:rFonts w:ascii="Arial" w:hAnsi="Arial" w:cs="Arial"/>
                  </w:rPr>
                  <w:t>Irish Stock Exchange</w:t>
                </w:r>
              </w:p>
            </w:tc>
            <w:permEnd w:id="193409866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40142748" w:edGrp="everyone" w:colFirst="1" w:colLast="1"/>
            <w:permEnd w:id="1558659018"/>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66549199" w:edGrp="everyone" w:colFirst="1" w:colLast="1"/>
            <w:permEnd w:id="1840142748"/>
            <w:r w:rsidRPr="00AB6D88">
              <w:rPr>
                <w:rFonts w:ascii="Arial" w:hAnsi="Arial" w:cs="Arial"/>
              </w:rPr>
              <w:t>Activity:</w:t>
            </w:r>
          </w:p>
        </w:tc>
        <w:tc>
          <w:tcPr>
            <w:tcW w:w="5595" w:type="dxa"/>
            <w:shd w:val="clear" w:color="auto" w:fill="auto"/>
          </w:tcPr>
          <w:p w:rsidR="000632C2" w:rsidRPr="00AB6D88" w:rsidRDefault="002A2746"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39537928" w:edGrp="everyone"/>
                <w:r w:rsidR="00D8376E">
                  <w:rPr>
                    <w:rFonts w:ascii="Arial" w:hAnsi="Arial" w:cs="Arial"/>
                  </w:rPr>
                  <w:t>Regulated markets/Exchanges/Trading Systems</w:t>
                </w:r>
                <w:permEnd w:id="39537928"/>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41185668" w:edGrp="everyone" w:colFirst="1" w:colLast="1"/>
            <w:permEnd w:id="86654919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F61D59"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57109864" w:edGrp="everyone" w:colFirst="1" w:colLast="1"/>
            <w:permEnd w:id="241185668"/>
            <w:r w:rsidRPr="00AB6D88">
              <w:rPr>
                <w:rFonts w:ascii="Arial" w:hAnsi="Arial" w:cs="Arial"/>
              </w:rPr>
              <w:t>Country/Region</w:t>
            </w:r>
          </w:p>
        </w:tc>
        <w:permStart w:id="1403415380"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254507469" w:edGrp="everyone" w:displacedByCustomXml="prev"/>
            <w:tc>
              <w:tcPr>
                <w:tcW w:w="5595" w:type="dxa"/>
                <w:shd w:val="clear" w:color="auto" w:fill="auto"/>
              </w:tcPr>
              <w:p w:rsidR="000632C2" w:rsidRPr="00AB6D88" w:rsidRDefault="00D8376E" w:rsidP="009E5107">
                <w:pPr>
                  <w:rPr>
                    <w:rFonts w:ascii="Arial" w:hAnsi="Arial" w:cs="Arial"/>
                  </w:rPr>
                </w:pPr>
                <w:r>
                  <w:rPr>
                    <w:rFonts w:ascii="Arial" w:hAnsi="Arial" w:cs="Arial"/>
                  </w:rPr>
                  <w:t>Ireland</w:t>
                </w:r>
              </w:p>
            </w:tc>
            <w:permEnd w:id="1254507469" w:displacedByCustomXml="next"/>
          </w:sdtContent>
        </w:sdt>
        <w:permEnd w:id="1403415380" w:displacedByCustomXml="prev"/>
      </w:tr>
      <w:permEnd w:id="195710986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BA1955" w:rsidRDefault="00FB55DD" w:rsidP="00FB55DD">
      <w:pPr>
        <w:spacing w:line="300" w:lineRule="exact"/>
        <w:rPr>
          <w:rFonts w:ascii="Arial" w:hAnsi="Arial" w:cs="Arial"/>
          <w:szCs w:val="22"/>
        </w:rPr>
      </w:pPr>
      <w:permStart w:id="183858073" w:edGrp="everyone"/>
      <w:r w:rsidRPr="00FB55DD">
        <w:rPr>
          <w:rFonts w:ascii="Arial" w:hAnsi="Arial" w:cs="Arial"/>
          <w:szCs w:val="22"/>
        </w:rPr>
        <w:t xml:space="preserve">The ISE, as a market operator of a regulated market and 3 MTFs, welcomes the opportunity to comment on these proposals regarding the Regulatory Technical Standards in </w:t>
      </w:r>
      <w:proofErr w:type="spellStart"/>
      <w:r w:rsidRPr="00FB55DD">
        <w:rPr>
          <w:rFonts w:ascii="Arial" w:hAnsi="Arial" w:cs="Arial"/>
          <w:szCs w:val="22"/>
        </w:rPr>
        <w:t>MiFID</w:t>
      </w:r>
      <w:proofErr w:type="spellEnd"/>
      <w:r w:rsidRPr="00FB55DD">
        <w:rPr>
          <w:rFonts w:ascii="Arial" w:hAnsi="Arial" w:cs="Arial"/>
          <w:szCs w:val="22"/>
        </w:rPr>
        <w:t xml:space="preserve"> II/</w:t>
      </w:r>
      <w:proofErr w:type="spellStart"/>
      <w:r w:rsidRPr="00FB55DD">
        <w:rPr>
          <w:rFonts w:ascii="Arial" w:hAnsi="Arial" w:cs="Arial"/>
          <w:szCs w:val="22"/>
        </w:rPr>
        <w:t>MiFIR</w:t>
      </w:r>
      <w:proofErr w:type="spellEnd"/>
      <w:r w:rsidRPr="00FB55DD">
        <w:rPr>
          <w:rFonts w:ascii="Arial" w:hAnsi="Arial" w:cs="Arial"/>
          <w:szCs w:val="22"/>
        </w:rPr>
        <w:t xml:space="preserve">. We appreciate the extensive work done by ESMA to date across a very broad range of topics. We understand that the data analysed by ESMA so far for the Cost-Benefit Analysis has only been taken from 12 Member States and as such still remains quite limited. Therefore, we believe when further analysis is done in the coming months it is essential to ensure the proposed provisions are still appropriate. In particular, in relation to some of the new proposals for transparency and publication of execution quality, we would suggest a more detailed impact assessment is undertaken, and perhaps a more gradual approach to implementation should be adopted. </w:t>
      </w:r>
    </w:p>
    <w:p w:rsidR="00FB55DD" w:rsidRPr="00FB55DD" w:rsidRDefault="00FB55DD" w:rsidP="00FB55DD">
      <w:pPr>
        <w:spacing w:line="300" w:lineRule="exact"/>
        <w:rPr>
          <w:rFonts w:ascii="Arial" w:hAnsi="Arial" w:cs="Arial"/>
          <w:szCs w:val="22"/>
        </w:rPr>
      </w:pPr>
      <w:r w:rsidRPr="00FB55DD">
        <w:rPr>
          <w:rFonts w:ascii="Arial" w:hAnsi="Arial" w:cs="Arial"/>
          <w:szCs w:val="22"/>
        </w:rPr>
        <w:t>We have set out our most important points from the consultation below:</w:t>
      </w:r>
    </w:p>
    <w:p w:rsidR="00FB55DD" w:rsidRPr="00FB55DD" w:rsidRDefault="00FB55DD" w:rsidP="00FB55DD">
      <w:pPr>
        <w:pStyle w:val="ListParagraph"/>
        <w:keepNext w:val="0"/>
        <w:numPr>
          <w:ilvl w:val="0"/>
          <w:numId w:val="31"/>
        </w:numPr>
        <w:spacing w:line="300" w:lineRule="exact"/>
        <w:rPr>
          <w:rFonts w:ascii="Arial" w:hAnsi="Arial" w:cs="Arial"/>
          <w:b/>
          <w:bCs/>
          <w:szCs w:val="22"/>
        </w:rPr>
      </w:pPr>
      <w:r w:rsidRPr="00FB55DD">
        <w:rPr>
          <w:rFonts w:ascii="Arial" w:hAnsi="Arial" w:cs="Arial"/>
          <w:b/>
          <w:bCs/>
          <w:szCs w:val="22"/>
        </w:rPr>
        <w:t>Transparency - Equity</w:t>
      </w:r>
    </w:p>
    <w:p w:rsidR="00FB55DD" w:rsidRPr="00FB55DD" w:rsidRDefault="00FB55DD" w:rsidP="00FB55DD">
      <w:pPr>
        <w:pStyle w:val="ListParagraph"/>
        <w:numPr>
          <w:ilvl w:val="0"/>
          <w:numId w:val="0"/>
        </w:numPr>
        <w:spacing w:line="300" w:lineRule="exact"/>
        <w:ind w:left="720"/>
        <w:rPr>
          <w:rFonts w:ascii="Arial" w:hAnsi="Arial" w:cs="Arial"/>
          <w:szCs w:val="22"/>
        </w:rPr>
      </w:pPr>
      <w:r w:rsidRPr="00FB55DD">
        <w:rPr>
          <w:rFonts w:ascii="Arial" w:hAnsi="Arial" w:cs="Arial"/>
          <w:szCs w:val="22"/>
        </w:rPr>
        <w:t>In general we support ESMA’s approach to the equity pre-trade transparency waivers. In particular we welcome the proportionate approach taken for the large-in-scale and order management system waivers. In relation to the negotiated transaction waiver, we support the list of non-price forming transaction types and would welcome the inclusion of non-standard settlement to this list. However we still have some concerns in relation to the volume cap mechanism and in particular the use of value (quantity by price) rather than volume (quantity) as the base metric, which will increase the risk of errors and be less predictable as it will be subject to currency fluctuations. We are also very concerned with the tight timelines and with the fact that certain practical details have yet to be addressed, such as the harmonised implementation of a suspension across all EU Member States if the 8% cap is breached. Lastly, in relation to the SI regime, we remain concerned that ambiguities remain in the text pertaining to the potential use of matched or riskless principal trading by an SI. We note that ESMA has acknowledged this is an issue but that it cannot provide further clarity in the draft RTS as it has no relevant empowerment to do so. Therefore we strongly urge ESMA to raise this further with the European Commission so that it can be addressed appropriately.</w:t>
      </w:r>
    </w:p>
    <w:p w:rsidR="00FB55DD" w:rsidRPr="00FB55DD" w:rsidRDefault="00FB55DD" w:rsidP="00FB55DD">
      <w:pPr>
        <w:spacing w:line="300" w:lineRule="exact"/>
        <w:rPr>
          <w:rFonts w:ascii="Arial" w:hAnsi="Arial" w:cs="Arial"/>
          <w:szCs w:val="22"/>
          <w:u w:val="single"/>
        </w:rPr>
      </w:pPr>
    </w:p>
    <w:p w:rsidR="00FB55DD" w:rsidRPr="00FB55DD" w:rsidRDefault="00FB55DD" w:rsidP="00FB55DD">
      <w:pPr>
        <w:pStyle w:val="ListParagraph"/>
        <w:keepNext w:val="0"/>
        <w:numPr>
          <w:ilvl w:val="0"/>
          <w:numId w:val="31"/>
        </w:numPr>
        <w:spacing w:line="300" w:lineRule="exact"/>
        <w:rPr>
          <w:rFonts w:ascii="Arial" w:hAnsi="Arial" w:cs="Arial"/>
          <w:b/>
          <w:bCs/>
          <w:szCs w:val="22"/>
        </w:rPr>
      </w:pPr>
      <w:r w:rsidRPr="00FB55DD">
        <w:rPr>
          <w:rFonts w:ascii="Arial" w:hAnsi="Arial" w:cs="Arial"/>
          <w:b/>
          <w:bCs/>
          <w:szCs w:val="22"/>
        </w:rPr>
        <w:lastRenderedPageBreak/>
        <w:t>Transparency - Non-equity</w:t>
      </w:r>
    </w:p>
    <w:p w:rsidR="00FB55DD" w:rsidRPr="00FB55DD" w:rsidRDefault="00FB55DD" w:rsidP="00FB55DD">
      <w:pPr>
        <w:pStyle w:val="ListParagraph"/>
        <w:numPr>
          <w:ilvl w:val="0"/>
          <w:numId w:val="0"/>
        </w:numPr>
        <w:spacing w:line="300" w:lineRule="exact"/>
        <w:ind w:left="720"/>
        <w:rPr>
          <w:rFonts w:ascii="Arial" w:hAnsi="Arial" w:cs="Arial"/>
          <w:szCs w:val="22"/>
        </w:rPr>
      </w:pPr>
      <w:r w:rsidRPr="00FB55DD">
        <w:rPr>
          <w:rFonts w:ascii="Arial" w:hAnsi="Arial" w:cs="Arial"/>
          <w:szCs w:val="22"/>
        </w:rPr>
        <w:t xml:space="preserve">In relation to non-equity transparency, whereas we support a regime that is not too complex, we are concerned that the proposed approach is likely to result in a significant proportion of bonds being misclassified i.e. bonds are deemed liquid when in fact they are actually illiquid, and vice versa; we suggest ESMA revisits this in order to avoid negative consequences in the bond markets. </w:t>
      </w:r>
    </w:p>
    <w:p w:rsidR="00FB55DD" w:rsidRPr="00FB55DD" w:rsidRDefault="00FB55DD" w:rsidP="00FB55DD">
      <w:pPr>
        <w:spacing w:line="300" w:lineRule="exact"/>
        <w:rPr>
          <w:rFonts w:ascii="Arial" w:hAnsi="Arial" w:cs="Arial"/>
          <w:szCs w:val="22"/>
        </w:rPr>
      </w:pPr>
    </w:p>
    <w:p w:rsidR="00FB55DD" w:rsidRPr="00FB55DD" w:rsidRDefault="00FB55DD" w:rsidP="00FB55DD">
      <w:pPr>
        <w:pStyle w:val="ListParagraph"/>
        <w:keepNext w:val="0"/>
        <w:numPr>
          <w:ilvl w:val="0"/>
          <w:numId w:val="31"/>
        </w:numPr>
        <w:spacing w:line="300" w:lineRule="exact"/>
        <w:rPr>
          <w:rFonts w:ascii="Arial" w:hAnsi="Arial" w:cs="Arial"/>
          <w:szCs w:val="22"/>
        </w:rPr>
      </w:pPr>
      <w:r w:rsidRPr="00FB55DD">
        <w:rPr>
          <w:rFonts w:ascii="Arial" w:hAnsi="Arial" w:cs="Arial"/>
          <w:b/>
          <w:bCs/>
          <w:szCs w:val="22"/>
        </w:rPr>
        <w:t>Microstructural issues</w:t>
      </w:r>
      <w:r w:rsidRPr="00FB55DD">
        <w:rPr>
          <w:rFonts w:ascii="Arial" w:hAnsi="Arial" w:cs="Arial"/>
          <w:szCs w:val="22"/>
        </w:rPr>
        <w:t xml:space="preserve"> </w:t>
      </w:r>
    </w:p>
    <w:p w:rsidR="00FB55DD" w:rsidRPr="00FB55DD" w:rsidRDefault="00FB55DD" w:rsidP="00FB55DD">
      <w:pPr>
        <w:spacing w:line="300" w:lineRule="exact"/>
        <w:ind w:left="708" w:firstLine="12"/>
        <w:rPr>
          <w:rFonts w:ascii="Arial" w:hAnsi="Arial" w:cs="Arial"/>
          <w:szCs w:val="22"/>
        </w:rPr>
      </w:pPr>
      <w:r w:rsidRPr="00FB55DD">
        <w:rPr>
          <w:rFonts w:ascii="Arial" w:hAnsi="Arial" w:cs="Arial"/>
          <w:szCs w:val="22"/>
        </w:rPr>
        <w:t>We have a number of concerns across the Microstructural Issues topics as detailed in our response. The key areas of concern are:</w:t>
      </w:r>
    </w:p>
    <w:p w:rsidR="00FB55DD" w:rsidRPr="00FB55DD" w:rsidRDefault="00FB55DD" w:rsidP="00FB55DD">
      <w:pPr>
        <w:pStyle w:val="ListParagraph"/>
        <w:keepNext w:val="0"/>
        <w:numPr>
          <w:ilvl w:val="0"/>
          <w:numId w:val="32"/>
        </w:numPr>
        <w:spacing w:line="300" w:lineRule="exact"/>
        <w:rPr>
          <w:rFonts w:ascii="Arial" w:hAnsi="Arial" w:cs="Arial"/>
          <w:szCs w:val="22"/>
        </w:rPr>
      </w:pPr>
      <w:r w:rsidRPr="00FB55DD">
        <w:rPr>
          <w:rFonts w:ascii="Arial" w:hAnsi="Arial" w:cs="Arial"/>
          <w:szCs w:val="22"/>
        </w:rPr>
        <w:t>The new proposed outsourcing requirements, part of the organisational requirements for trading venues. While we believe that most of the proposal is proportionate and appropriate, we strongly object to the requirement for trading venues to obtain specific prior authorisation when outsourcing critical functions as this should be part of the overall authorisation and supervision of venues by national competent authorities. Even more concerning is the proposal for the agreement between trading venues and their service providers to contain an explicit empowerment for the competent authority of the venue to access the books, records and premises of the service provider.  We believe it should be sufficient for the agreement to ensure that the service provider will comply with all requests for information from the competent authority of the venue but that such requests can be made either via the venue or via the competent authority of the provider if it is a regulated entity in another EU Member State. Otherwise we fear that the obligations on service providers will be so onerous as to dis-incentivise the provision of such services which smaller venues usually rely on to make their markets accessible and competitive.   </w:t>
      </w:r>
    </w:p>
    <w:p w:rsidR="00FB55DD" w:rsidRPr="00FB55DD" w:rsidRDefault="00FB55DD" w:rsidP="00FB55DD">
      <w:pPr>
        <w:pStyle w:val="ListParagraph"/>
        <w:keepNext w:val="0"/>
        <w:numPr>
          <w:ilvl w:val="0"/>
          <w:numId w:val="32"/>
        </w:numPr>
        <w:spacing w:line="300" w:lineRule="exact"/>
        <w:rPr>
          <w:rFonts w:ascii="Arial" w:hAnsi="Arial" w:cs="Arial"/>
          <w:szCs w:val="22"/>
        </w:rPr>
      </w:pPr>
      <w:r w:rsidRPr="00FB55DD">
        <w:rPr>
          <w:rFonts w:ascii="Arial" w:hAnsi="Arial" w:cs="Arial"/>
          <w:szCs w:val="22"/>
        </w:rPr>
        <w:t>The draft RTS for market making contain an extremely concerning proposal for venues to offer incentives to promote the presence of members engaged in market making agreements during stressed market conditions. Such a proposal places a dangerous obligation on venues which we believe is far in excess of Level 1, placing the venue in a questionable position in relation to market integrity by potentially exposing the venue to market risk, and also places those firms engaged in a market making agreement in a position of compromise in relation to their risk management.  Therefore it is critical that the proposal for venues to offer such incentives in stressed market conditions is completely removed from the RTS.</w:t>
      </w:r>
    </w:p>
    <w:p w:rsidR="00FB55DD" w:rsidRPr="00FB55DD" w:rsidRDefault="00FB55DD" w:rsidP="00FB55DD">
      <w:pPr>
        <w:pStyle w:val="ListParagraph"/>
        <w:keepNext w:val="0"/>
        <w:numPr>
          <w:ilvl w:val="0"/>
          <w:numId w:val="32"/>
        </w:numPr>
        <w:spacing w:line="300" w:lineRule="exact"/>
        <w:rPr>
          <w:rFonts w:ascii="Arial" w:hAnsi="Arial" w:cs="Arial"/>
          <w:szCs w:val="22"/>
        </w:rPr>
      </w:pPr>
      <w:r w:rsidRPr="00FB55DD">
        <w:rPr>
          <w:rFonts w:ascii="Arial" w:hAnsi="Arial" w:cs="Arial"/>
          <w:szCs w:val="22"/>
        </w:rPr>
        <w:t xml:space="preserve">The tick size proposal for equities does not provide sufficient flexibility to be implementable across all markets as it does not set appropriate tick sizes for less liquid small and mid-cap shares, nor in general for shares on smaller markets which are likely to have a higher spread to tick ratio. While we note ESMA has undertaken a certain level of impact analysis, we believe that a more granular impact assessment is necessary as the actual impact on our market will be far in excess of that anticipated by ESMA i.e. a new tick size for 96.5% of our shares, with none of our </w:t>
      </w:r>
      <w:proofErr w:type="spellStart"/>
      <w:r w:rsidRPr="00FB55DD">
        <w:rPr>
          <w:rFonts w:ascii="Arial" w:hAnsi="Arial" w:cs="Arial"/>
          <w:szCs w:val="22"/>
        </w:rPr>
        <w:t>MiFID</w:t>
      </w:r>
      <w:proofErr w:type="spellEnd"/>
      <w:r w:rsidRPr="00FB55DD">
        <w:rPr>
          <w:rFonts w:ascii="Arial" w:hAnsi="Arial" w:cs="Arial"/>
          <w:szCs w:val="22"/>
        </w:rPr>
        <w:t xml:space="preserve"> liquid shares falling within the 1.5 to 3 range proposed. Furthermore the addition of more granular price ranges at the lower end (prices </w:t>
      </w:r>
      <w:r w:rsidRPr="00FB55DD">
        <w:rPr>
          <w:rFonts w:ascii="Arial" w:hAnsi="Arial" w:cs="Arial"/>
          <w:szCs w:val="22"/>
        </w:rPr>
        <w:lastRenderedPageBreak/>
        <w:t xml:space="preserve">less than 1 euro) results in a far smaller tick for those shares in the lowest liquidity band than that indicated as in fact they will be assigned a tick almost exactly in line the FESE Table 2 rather than being three levels up as indicated on page 423 of the CP. </w:t>
      </w:r>
    </w:p>
    <w:p w:rsidR="00FB55DD" w:rsidRPr="00FB55DD" w:rsidRDefault="00FB55DD" w:rsidP="00FB55DD">
      <w:pPr>
        <w:spacing w:line="300" w:lineRule="exact"/>
        <w:rPr>
          <w:rFonts w:ascii="Arial" w:hAnsi="Arial" w:cs="Arial"/>
          <w:szCs w:val="22"/>
        </w:rPr>
      </w:pPr>
    </w:p>
    <w:p w:rsidR="00FB55DD" w:rsidRPr="00FB55DD" w:rsidRDefault="00FB55DD" w:rsidP="00FB55DD">
      <w:pPr>
        <w:pStyle w:val="ListParagraph"/>
        <w:keepNext w:val="0"/>
        <w:numPr>
          <w:ilvl w:val="0"/>
          <w:numId w:val="31"/>
        </w:numPr>
        <w:spacing w:line="300" w:lineRule="exact"/>
        <w:rPr>
          <w:rFonts w:ascii="Arial" w:hAnsi="Arial" w:cs="Arial"/>
          <w:b/>
          <w:bCs/>
          <w:szCs w:val="22"/>
        </w:rPr>
      </w:pPr>
      <w:r w:rsidRPr="00FB55DD">
        <w:rPr>
          <w:rFonts w:ascii="Arial" w:hAnsi="Arial" w:cs="Arial"/>
          <w:b/>
          <w:bCs/>
          <w:szCs w:val="22"/>
        </w:rPr>
        <w:t>Investor Protection</w:t>
      </w:r>
    </w:p>
    <w:p w:rsidR="00FB55DD" w:rsidRPr="00FB55DD" w:rsidRDefault="00FB55DD" w:rsidP="00FB55DD">
      <w:pPr>
        <w:pStyle w:val="ListParagraph"/>
        <w:numPr>
          <w:ilvl w:val="0"/>
          <w:numId w:val="0"/>
        </w:numPr>
        <w:spacing w:line="300" w:lineRule="exact"/>
        <w:ind w:left="720"/>
        <w:rPr>
          <w:szCs w:val="22"/>
        </w:rPr>
      </w:pPr>
      <w:r w:rsidRPr="00FB55DD">
        <w:rPr>
          <w:rFonts w:ascii="Arial" w:hAnsi="Arial" w:cs="Arial"/>
          <w:szCs w:val="22"/>
        </w:rPr>
        <w:t>We are very concerned with the extensiveness of the proposed requirements on trading venues in relation to the execution information to be published. We believe it is far too granular to be of benefit to investors, particularly retail investors. We believe that only a subset of the proposed data fields should be included in the initial RTS until a full impact assessment of the benefits of and the demand for additional data can be undertaken. Furthermore, we believe the publication of non-comparable sample executions across venues at specific points in time will potentially be misleading as the full specific details of each order cannot be disclosed, and therefore that general trends (no more granular than on a daily basis) would be far more valuable. We also remain concerned with the inclusion of market makers and other liquidity providers in the list of execution venues and would again urge ESMA to remove these entities from the list unless in relation to when they trade away from trading venues on an OTC basis.</w:t>
      </w:r>
    </w:p>
    <w:p w:rsidR="00FB55DD" w:rsidRPr="00FB55DD" w:rsidRDefault="00FB55DD" w:rsidP="00FB55DD">
      <w:pPr>
        <w:spacing w:line="300" w:lineRule="exact"/>
        <w:rPr>
          <w:rFonts w:ascii="Arial" w:hAnsi="Arial" w:cs="Arial"/>
          <w:b/>
          <w:bCs/>
          <w:szCs w:val="22"/>
        </w:rPr>
      </w:pPr>
    </w:p>
    <w:p w:rsidR="00FB55DD" w:rsidRPr="00FB55DD" w:rsidRDefault="00FB55DD" w:rsidP="00FB55DD">
      <w:pPr>
        <w:pStyle w:val="ListParagraph"/>
        <w:keepNext w:val="0"/>
        <w:numPr>
          <w:ilvl w:val="0"/>
          <w:numId w:val="31"/>
        </w:numPr>
        <w:spacing w:line="300" w:lineRule="exact"/>
        <w:rPr>
          <w:rFonts w:ascii="Arial" w:hAnsi="Arial" w:cs="Arial"/>
          <w:b/>
          <w:bCs/>
          <w:szCs w:val="22"/>
        </w:rPr>
      </w:pPr>
      <w:r w:rsidRPr="00FB55DD">
        <w:rPr>
          <w:rFonts w:ascii="Arial" w:hAnsi="Arial" w:cs="Arial"/>
          <w:b/>
          <w:bCs/>
          <w:szCs w:val="22"/>
        </w:rPr>
        <w:t>Trading Venue requirements</w:t>
      </w:r>
    </w:p>
    <w:p w:rsidR="00FB55DD" w:rsidRPr="00042D6D" w:rsidRDefault="00FB55DD" w:rsidP="00FB55DD">
      <w:pPr>
        <w:pStyle w:val="ListParagraph"/>
        <w:numPr>
          <w:ilvl w:val="0"/>
          <w:numId w:val="0"/>
        </w:numPr>
        <w:spacing w:line="300" w:lineRule="exact"/>
        <w:ind w:left="720"/>
        <w:rPr>
          <w:rFonts w:ascii="Arial" w:hAnsi="Arial" w:cs="Arial"/>
          <w:sz w:val="19"/>
          <w:szCs w:val="19"/>
        </w:rPr>
      </w:pPr>
      <w:r w:rsidRPr="00FB55DD">
        <w:rPr>
          <w:rFonts w:ascii="Arial" w:hAnsi="Arial" w:cs="Arial"/>
          <w:szCs w:val="22"/>
        </w:rPr>
        <w:t>We also would like to highlight our concern that throughout the consultation, some provisions appear to impose certain responsibilities on trading venues that, in our view, are the responsibility of the national competent authority. We consider amendments need to be made to the text to clarify trading venues are not responsible for enforcing any provisions of these Regulatory Technical Standards. An example of this is RTS 14 which requires trading venues to ensure investment firms comply with certain provisions in RTS 13, which we believe clearly should be the role of the competent authority. We have highlighted these points in our responses and would ask ESMA to bear this in mind when finalising these provisions</w:t>
      </w:r>
      <w:r w:rsidRPr="00042D6D">
        <w:rPr>
          <w:rFonts w:ascii="Arial" w:hAnsi="Arial" w:cs="Arial"/>
          <w:sz w:val="19"/>
          <w:szCs w:val="19"/>
        </w:rPr>
        <w:t>.</w:t>
      </w:r>
    </w:p>
    <w:permEnd w:id="18385807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16"/>
        </w:numPr>
        <w:spacing w:after="250"/>
      </w:pPr>
      <w:r>
        <w:br w:type="page"/>
      </w:r>
    </w:p>
    <w:p w:rsidR="00577C33" w:rsidRDefault="00577C33" w:rsidP="00577C33"/>
    <w:p w:rsidR="00577C33" w:rsidRDefault="00577C33" w:rsidP="00577C33">
      <w:pPr>
        <w:pStyle w:val="CPTitle1"/>
        <w:numPr>
          <w:ilvl w:val="0"/>
          <w:numId w:val="16"/>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574032943" w:edGrp="everyone"/>
      <w:r>
        <w:t>TYPE YOUR TEXT HERE</w:t>
      </w:r>
    </w:p>
    <w:permEnd w:id="57403294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463050471" w:edGrp="everyone"/>
      <w:r>
        <w:t>TYPE YOUR TEXT HERE</w:t>
      </w:r>
    </w:p>
    <w:permEnd w:id="146305047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617290697" w:edGrp="everyone"/>
      <w:r>
        <w:t>TYPE YOUR TEXT HERE</w:t>
      </w:r>
    </w:p>
    <w:permEnd w:id="61729069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39937354" w:edGrp="everyone"/>
      <w:r>
        <w:t>TYPE YOUR TEXT HERE</w:t>
      </w:r>
    </w:p>
    <w:permEnd w:id="23993735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085898931" w:edGrp="everyone"/>
      <w:r>
        <w:t>TYPE YOUR TEXT HERE</w:t>
      </w:r>
    </w:p>
    <w:permEnd w:id="208589893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882081504" w:edGrp="everyone"/>
      <w:r>
        <w:t>TYPE YOUR TEXT HERE</w:t>
      </w:r>
    </w:p>
    <w:permEnd w:id="882081504"/>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441789366" w:edGrp="everyone"/>
      <w:r>
        <w:t>TYPE YOUR TEXT HERE</w:t>
      </w:r>
    </w:p>
    <w:permEnd w:id="44178936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511945662" w:edGrp="everyone"/>
      <w:r>
        <w:t>TYPE YOUR TEXT HERE</w:t>
      </w:r>
    </w:p>
    <w:permEnd w:id="151194566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53263731" w:edGrp="everyone"/>
      <w:r>
        <w:t>TYPE YOUR TEXT HERE</w:t>
      </w:r>
    </w:p>
    <w:permEnd w:id="115326373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9C5EF0" w:rsidP="00EC2C93">
      <w:pPr>
        <w:keepNext/>
      </w:pPr>
      <w:permStart w:id="1598111800" w:edGrp="everyone"/>
      <w:r>
        <w:t>TYPE YOUR TEXT HERE</w:t>
      </w:r>
    </w:p>
    <w:permEnd w:id="159811180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43735343" w:edGrp="everyone"/>
      <w:r>
        <w:t>TYPE YOUR TEXT HERE</w:t>
      </w:r>
    </w:p>
    <w:permEnd w:id="24373534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591179260" w:edGrp="everyone"/>
      <w:r>
        <w:t>TYPE YOUR TEXT HERE</w:t>
      </w:r>
    </w:p>
    <w:permEnd w:id="159117926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771437899" w:edGrp="everyone"/>
      <w:r>
        <w:t>TYPE YOUR TEXT HERE</w:t>
      </w:r>
    </w:p>
    <w:permEnd w:id="77143789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039033191" w:edGrp="everyone"/>
      <w:r>
        <w:t>TYPE YOUR TEXT HERE</w:t>
      </w:r>
    </w:p>
    <w:permEnd w:id="203903319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669334769" w:edGrp="everyone"/>
      <w:r>
        <w:t>TYPE YOUR TEXT HERE</w:t>
      </w:r>
    </w:p>
    <w:permEnd w:id="66933476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923171081" w:edGrp="everyone"/>
      <w:r>
        <w:t>TYPE YOUR TEXT HERE</w:t>
      </w:r>
    </w:p>
    <w:permEnd w:id="192317108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344215343" w:edGrp="everyone"/>
      <w:r>
        <w:t>TYPE YOUR TEXT HERE</w:t>
      </w:r>
    </w:p>
    <w:permEnd w:id="34421534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8605777" w:edGrp="everyone"/>
      <w:r>
        <w:t>TYPE YOUR TEXT HERE</w:t>
      </w:r>
    </w:p>
    <w:permEnd w:id="27860577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290356648" w:edGrp="everyone"/>
      <w:r>
        <w:t>TYPE YOUR TEXT HERE</w:t>
      </w:r>
    </w:p>
    <w:permEnd w:id="129035664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494701897" w:edGrp="everyone"/>
      <w:r>
        <w:t>TYPE YOUR TEXT HERE</w:t>
      </w:r>
    </w:p>
    <w:permEnd w:id="1494701897"/>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097072774" w:edGrp="everyone"/>
      <w:r>
        <w:t>TYPE YOUR TEXT HERE</w:t>
      </w:r>
    </w:p>
    <w:permEnd w:id="109707277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769490509" w:edGrp="everyone"/>
      <w:r>
        <w:t>TYPE YOUR TEXT HERE</w:t>
      </w:r>
    </w:p>
    <w:permEnd w:id="176949050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594639860" w:edGrp="everyone"/>
      <w:r>
        <w:t>TYPE YOUR TEXT HERE</w:t>
      </w:r>
    </w:p>
    <w:permEnd w:id="59463986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94792396" w:edGrp="everyone"/>
      <w:r>
        <w:t>TYPE YOUR TEXT HERE</w:t>
      </w:r>
    </w:p>
    <w:permEnd w:id="19479239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766392153" w:edGrp="everyone"/>
      <w:r>
        <w:t>TYPE YOUR TEXT HERE</w:t>
      </w:r>
    </w:p>
    <w:permEnd w:id="176639215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436760190" w:edGrp="everyone"/>
      <w:r>
        <w:t>TYPE YOUR TEXT HERE</w:t>
      </w:r>
    </w:p>
    <w:permEnd w:id="43676019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769284479" w:edGrp="everyone"/>
      <w:r>
        <w:t>TYPE YOUR TEXT HERE</w:t>
      </w:r>
    </w:p>
    <w:permEnd w:id="76928447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4686060" w:edGrp="everyone"/>
      <w:r>
        <w:t>TYPE YOUR TEXT HERE</w:t>
      </w:r>
    </w:p>
    <w:permEnd w:id="37468606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775385907" w:edGrp="everyone"/>
      <w:r>
        <w:t>TYPE YOUR TEXT HERE</w:t>
      </w:r>
    </w:p>
    <w:permEnd w:id="775385907"/>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984744" w:rsidRDefault="00984744" w:rsidP="00EC2C93">
      <w:pPr>
        <w:keepNext/>
      </w:pPr>
      <w:permStart w:id="1886136768" w:edGrp="everyone"/>
      <w:r>
        <w:t>We have a number of concerns regarding the proposals set out by ESMA.</w:t>
      </w:r>
    </w:p>
    <w:p w:rsidR="00984744" w:rsidRDefault="00984744" w:rsidP="00EC2C93">
      <w:pPr>
        <w:keepNext/>
      </w:pPr>
    </w:p>
    <w:p w:rsidR="00984744" w:rsidRPr="00E53830" w:rsidRDefault="00984744" w:rsidP="00EC2C93">
      <w:pPr>
        <w:keepNext/>
        <w:rPr>
          <w:b/>
          <w:u w:val="single"/>
        </w:rPr>
      </w:pPr>
      <w:r w:rsidRPr="00E53830">
        <w:rPr>
          <w:b/>
          <w:u w:val="single"/>
        </w:rPr>
        <w:t xml:space="preserve">Definition of Execution Venue </w:t>
      </w:r>
    </w:p>
    <w:p w:rsidR="00BA1C60" w:rsidRDefault="00BA1C60" w:rsidP="00EC2C93">
      <w:pPr>
        <w:keepNext/>
      </w:pPr>
      <w:r>
        <w:t>We are very concerned that ESMA has not taken on-board the concerns raised by the majority of participants (ref paragraph 2</w:t>
      </w:r>
      <w:r w:rsidR="00D01921">
        <w:t>, CP</w:t>
      </w:r>
      <w:r>
        <w:t>) in relation to the inclusion of market makers and liquidity providers in the list of execution venues</w:t>
      </w:r>
      <w:r w:rsidR="00152321">
        <w:t xml:space="preserve">. As it is proposed in the draft RTS, </w:t>
      </w:r>
      <w:r w:rsidR="000C2398">
        <w:t>there is a risk of duplication</w:t>
      </w:r>
      <w:r>
        <w:t xml:space="preserve"> when the market maker executes on a venue</w:t>
      </w:r>
      <w:r w:rsidR="000C2398">
        <w:t>,</w:t>
      </w:r>
      <w:r>
        <w:t xml:space="preserve"> and both it and the venue publish the same data </w:t>
      </w:r>
      <w:r w:rsidR="00152321">
        <w:t xml:space="preserve">for </w:t>
      </w:r>
      <w:r>
        <w:t xml:space="preserve">transactions and orders. </w:t>
      </w:r>
      <w:r w:rsidR="00152321">
        <w:t>W</w:t>
      </w:r>
      <w:r>
        <w:t xml:space="preserve">e do not believe that this was the intention of the Level 1 text. Specifically Article 27(3) of the Directive refers to the obligation on “trading venues and systematic </w:t>
      </w:r>
      <w:proofErr w:type="spellStart"/>
      <w:r>
        <w:t>internalisers</w:t>
      </w:r>
      <w:proofErr w:type="spellEnd"/>
      <w:r>
        <w:t xml:space="preserve">” in relation to financial instruments subject to the trading obligation, and on “execution venues” for all other financial instruments. We therefore believe that the intention was to capture both trading venues and systematic </w:t>
      </w:r>
      <w:proofErr w:type="spellStart"/>
      <w:r>
        <w:t>internalisers</w:t>
      </w:r>
      <w:proofErr w:type="spellEnd"/>
      <w:r>
        <w:t xml:space="preserve"> under the broader definition of </w:t>
      </w:r>
      <w:r w:rsidR="000C2398">
        <w:t>“</w:t>
      </w:r>
      <w:r>
        <w:t>execution venue</w:t>
      </w:r>
      <w:r w:rsidR="000C2398">
        <w:t>s”</w:t>
      </w:r>
      <w:r>
        <w:t>. We do not believe that (or support) the intention to extend the obligation for financial instruments not subject to the trading obligation to market makers and other liquidity providers</w:t>
      </w:r>
      <w:r w:rsidR="00D839AE">
        <w:t xml:space="preserve"> as separate venues. We</w:t>
      </w:r>
      <w:r>
        <w:t xml:space="preserve"> believe the only exception could be where those fir</w:t>
      </w:r>
      <w:r w:rsidR="00B6568A">
        <w:t xml:space="preserve">ms execute on a pure OTC basis, although we note that even this approach would result in a different list of venues (trading venues and </w:t>
      </w:r>
      <w:r w:rsidR="00232313">
        <w:t>SI</w:t>
      </w:r>
      <w:r w:rsidR="00B6568A">
        <w:t xml:space="preserve">s only) for financial instruments subject to the trading obligation than for other financial instruments (trading venues, </w:t>
      </w:r>
      <w:r w:rsidR="00232313">
        <w:t>SI</w:t>
      </w:r>
      <w:r w:rsidR="00B6568A">
        <w:t xml:space="preserve">s, and market makers and other liquidity providers when executing OTC). </w:t>
      </w:r>
      <w:r>
        <w:t xml:space="preserve"> </w:t>
      </w:r>
    </w:p>
    <w:p w:rsidR="00BA1C60" w:rsidRDefault="00BA1C60" w:rsidP="00EC2C93">
      <w:pPr>
        <w:keepNext/>
      </w:pPr>
    </w:p>
    <w:p w:rsidR="00152321" w:rsidRDefault="00BA574E" w:rsidP="00152321">
      <w:r>
        <w:t xml:space="preserve">The proposed inclusion of “a market maker and other liquidity </w:t>
      </w:r>
      <w:r w:rsidR="001D0DFF">
        <w:t>provider” in the definition of “execution venue”</w:t>
      </w:r>
      <w:r>
        <w:t xml:space="preserve"> is also </w:t>
      </w:r>
      <w:r w:rsidR="00152321">
        <w:t>misleading</w:t>
      </w:r>
      <w:r>
        <w:t xml:space="preserve"> in relation to the obligations set out in the Articles</w:t>
      </w:r>
      <w:r w:rsidR="00152321">
        <w:t xml:space="preserve"> and</w:t>
      </w:r>
      <w:r>
        <w:t>, we believe,</w:t>
      </w:r>
      <w:r w:rsidR="00152321">
        <w:t xml:space="preserve"> not in line with the Level 1 text which clearly applies the obligation to “trading venues and systematic </w:t>
      </w:r>
      <w:proofErr w:type="spellStart"/>
      <w:r w:rsidR="00152321">
        <w:t>internalisers</w:t>
      </w:r>
      <w:proofErr w:type="spellEnd"/>
      <w:r w:rsidR="00152321">
        <w:t xml:space="preserve">” in relation to financial instruments subject to the trading obligation. If ESMA amends the definition of execution venue to be “a regulated market, multilateral trading facility, organised trading facility and systematic </w:t>
      </w:r>
      <w:proofErr w:type="spellStart"/>
      <w:r w:rsidR="00152321">
        <w:t>internaliser</w:t>
      </w:r>
      <w:proofErr w:type="spellEnd"/>
      <w:r w:rsidR="00152321">
        <w:t xml:space="preserve">”, then </w:t>
      </w:r>
      <w:r w:rsidR="00760FD9">
        <w:t>we believe it is appropriate to use the term ‘execution venue’ throughout the subsequent Articles</w:t>
      </w:r>
      <w:r>
        <w:t xml:space="preserve"> as currently proposed</w:t>
      </w:r>
      <w:r w:rsidR="000C689E">
        <w:t xml:space="preserve">. However if ESMA chooses </w:t>
      </w:r>
      <w:r w:rsidR="00760FD9">
        <w:t>to</w:t>
      </w:r>
      <w:r w:rsidR="000C689E">
        <w:t xml:space="preserve"> maintain t</w:t>
      </w:r>
      <w:r w:rsidR="00760FD9">
        <w:t xml:space="preserve">he definition of ‘execution venue’ </w:t>
      </w:r>
      <w:r w:rsidR="000C689E">
        <w:t>as per the draft RTS</w:t>
      </w:r>
      <w:r w:rsidR="00760FD9">
        <w:t xml:space="preserve">, then each Article needs to be amended to clearly state that the requirement is on trading venues and systematic </w:t>
      </w:r>
      <w:proofErr w:type="spellStart"/>
      <w:r w:rsidR="00760FD9">
        <w:t>internalisers</w:t>
      </w:r>
      <w:proofErr w:type="spellEnd"/>
      <w:r w:rsidR="00760FD9">
        <w:t xml:space="preserve"> in relation to financial instruments subject to the trading obligation, and </w:t>
      </w:r>
      <w:r w:rsidR="001D0DFF">
        <w:t xml:space="preserve">on </w:t>
      </w:r>
      <w:r w:rsidR="00760FD9">
        <w:t>execution venues in relation to all other financial instruments. For example</w:t>
      </w:r>
      <w:r w:rsidR="00152321">
        <w:t xml:space="preserve"> Article 3(2) </w:t>
      </w:r>
      <w:r w:rsidR="00760FD9">
        <w:t>sh</w:t>
      </w:r>
      <w:r w:rsidR="00152321">
        <w:t xml:space="preserve">ould state “The information to be published shall include for each financial instrument subject to the trading obligation in Articles 23 and 28 Regulation (EU) No 600/2014 by each trading venue and systematic </w:t>
      </w:r>
      <w:proofErr w:type="spellStart"/>
      <w:r w:rsidR="00152321">
        <w:t>internaliser</w:t>
      </w:r>
      <w:proofErr w:type="spellEnd"/>
      <w:r w:rsidR="00152321">
        <w:t xml:space="preserve">, and for </w:t>
      </w:r>
      <w:r w:rsidR="000C689E">
        <w:lastRenderedPageBreak/>
        <w:t>each other financial instrument</w:t>
      </w:r>
      <w:r w:rsidR="00152321">
        <w:t xml:space="preserve"> by each execution venue the following……”</w:t>
      </w:r>
      <w:r>
        <w:t xml:space="preserve">. Otherwise it places an obligation on market makers to also publish such information for financial instruments subject to the trading obligation, which is not in line with the Level 1 text. </w:t>
      </w:r>
    </w:p>
    <w:p w:rsidR="00152321" w:rsidRDefault="00152321" w:rsidP="00EC2C93">
      <w:pPr>
        <w:keepNext/>
      </w:pPr>
    </w:p>
    <w:p w:rsidR="00A50FDA" w:rsidRPr="00E53830" w:rsidRDefault="00A50FDA" w:rsidP="00EC2C93">
      <w:pPr>
        <w:keepNext/>
        <w:rPr>
          <w:b/>
          <w:u w:val="single"/>
        </w:rPr>
      </w:pPr>
      <w:r w:rsidRPr="00E53830">
        <w:rPr>
          <w:b/>
          <w:u w:val="single"/>
        </w:rPr>
        <w:t>Point-in-time Executions</w:t>
      </w:r>
    </w:p>
    <w:p w:rsidR="00E709A4" w:rsidRDefault="003B1BDE" w:rsidP="00E709A4">
      <w:r>
        <w:t xml:space="preserve">We are also concerned with the proposal by ESMA to include execution details at specific </w:t>
      </w:r>
      <w:r w:rsidR="000C689E">
        <w:t>point-in-time leve</w:t>
      </w:r>
      <w:r>
        <w:t xml:space="preserve">ls. </w:t>
      </w:r>
      <w:r w:rsidR="00F23ECF">
        <w:t>T</w:t>
      </w:r>
      <w:r>
        <w:t xml:space="preserve">here are several factors </w:t>
      </w:r>
      <w:r w:rsidR="00F23ECF">
        <w:t xml:space="preserve">(at least price, cost, speed and likelihood) </w:t>
      </w:r>
      <w:r>
        <w:t xml:space="preserve">to be considered when executing </w:t>
      </w:r>
      <w:r w:rsidR="00821437">
        <w:t>each order</w:t>
      </w:r>
      <w:r w:rsidR="00F23ECF">
        <w:t>, some of which may be more relevant than others depending on the specifics of each order and each client instruction.</w:t>
      </w:r>
      <w:r>
        <w:t xml:space="preserve"> As </w:t>
      </w:r>
      <w:r w:rsidR="00F23ECF">
        <w:t>the specific details of how each</w:t>
      </w:r>
      <w:r>
        <w:t xml:space="preserve"> of these factors</w:t>
      </w:r>
      <w:r w:rsidR="00F23ECF">
        <w:t xml:space="preserve"> has been applied</w:t>
      </w:r>
      <w:r>
        <w:t xml:space="preserve"> cannot be disclosed on a case-by-case basis </w:t>
      </w:r>
      <w:r w:rsidR="00F23ECF">
        <w:t>for each order, it is appropriate that certain metrics that capture each of these factors more genera</w:t>
      </w:r>
      <w:r w:rsidR="00AE5B99">
        <w:t>lly is published by venues on a representative</w:t>
      </w:r>
      <w:r w:rsidR="00F23ECF">
        <w:t xml:space="preserve"> basis in order to provide the market with general indications o</w:t>
      </w:r>
      <w:r w:rsidR="00A45ABD">
        <w:t>f</w:t>
      </w:r>
      <w:r w:rsidR="00F23ECF">
        <w:t xml:space="preserve"> execution</w:t>
      </w:r>
      <w:r w:rsidR="006720FC">
        <w:t xml:space="preserve"> quality</w:t>
      </w:r>
      <w:r w:rsidR="00F23ECF">
        <w:t xml:space="preserve"> on each venue. W</w:t>
      </w:r>
      <w:r>
        <w:t xml:space="preserve">e </w:t>
      </w:r>
      <w:r w:rsidR="00F23ECF">
        <w:t>are concerned that</w:t>
      </w:r>
      <w:r>
        <w:t xml:space="preserve"> providing</w:t>
      </w:r>
      <w:r w:rsidR="00F23ECF">
        <w:t xml:space="preserve"> details at specific time intervals</w:t>
      </w:r>
      <w:r>
        <w:t xml:space="preserve"> may provide misleading information given that the full details of the </w:t>
      </w:r>
      <w:r w:rsidR="00E709A4">
        <w:t xml:space="preserve">relevant </w:t>
      </w:r>
      <w:r>
        <w:t>order (which may include client specific instructions) cannot be published</w:t>
      </w:r>
      <w:r w:rsidR="00E709A4">
        <w:t>. F</w:t>
      </w:r>
      <w:r w:rsidR="00F23ECF">
        <w:t>urthermore</w:t>
      </w:r>
      <w:r w:rsidR="00E709A4">
        <w:t>, as the execution example relevant to each point-in-time is likely to have different execution times across the</w:t>
      </w:r>
      <w:r w:rsidR="00F23ECF">
        <w:t xml:space="preserve"> different venues,</w:t>
      </w:r>
      <w:r w:rsidR="00E709A4">
        <w:t xml:space="preserve"> even if there are only fractions of a second between executions, it will result in information that is not</w:t>
      </w:r>
      <w:r w:rsidR="004D6CC1">
        <w:t xml:space="preserve"> directly comparable</w:t>
      </w:r>
      <w:r>
        <w:t>.</w:t>
      </w:r>
      <w:r w:rsidR="00E709A4">
        <w:t xml:space="preserve"> For example, if we take the point-in-time of 11.00.00 and two </w:t>
      </w:r>
      <w:r w:rsidR="00C013E2">
        <w:t>regulated markets</w:t>
      </w:r>
      <w:r w:rsidR="00E709A4">
        <w:t xml:space="preserve"> A and B with the following executions</w:t>
      </w:r>
      <w:r w:rsidR="00C013E2">
        <w:t xml:space="preserve"> in the same share</w:t>
      </w:r>
      <w:r w:rsidR="00E709A4">
        <w:t>:</w:t>
      </w:r>
    </w:p>
    <w:p w:rsidR="00E709A4" w:rsidRDefault="00E709A4" w:rsidP="00E709A4"/>
    <w:tbl>
      <w:tblPr>
        <w:tblStyle w:val="TableGrid"/>
        <w:tblW w:w="0" w:type="auto"/>
        <w:tblLayout w:type="fixed"/>
        <w:tblLook w:val="04A0" w:firstRow="1" w:lastRow="0" w:firstColumn="1" w:lastColumn="0" w:noHBand="0" w:noVBand="1"/>
      </w:tblPr>
      <w:tblGrid>
        <w:gridCol w:w="675"/>
        <w:gridCol w:w="1667"/>
        <w:gridCol w:w="1667"/>
        <w:gridCol w:w="672"/>
        <w:gridCol w:w="1667"/>
        <w:gridCol w:w="1667"/>
      </w:tblGrid>
      <w:tr w:rsidR="00C013E2" w:rsidTr="00C013E2">
        <w:tc>
          <w:tcPr>
            <w:tcW w:w="1667" w:type="dxa"/>
            <w:gridSpan w:val="3"/>
          </w:tcPr>
          <w:p w:rsidR="00C013E2" w:rsidRPr="00E709A4" w:rsidRDefault="00C013E2" w:rsidP="00E709A4">
            <w:pPr>
              <w:jc w:val="center"/>
              <w:rPr>
                <w:b/>
              </w:rPr>
            </w:pPr>
            <w:r>
              <w:rPr>
                <w:b/>
              </w:rPr>
              <w:t>Regulated Market</w:t>
            </w:r>
            <w:r w:rsidRPr="00E709A4">
              <w:rPr>
                <w:b/>
              </w:rPr>
              <w:t xml:space="preserve"> A</w:t>
            </w:r>
          </w:p>
        </w:tc>
        <w:tc>
          <w:tcPr>
            <w:tcW w:w="1667" w:type="dxa"/>
            <w:gridSpan w:val="3"/>
          </w:tcPr>
          <w:p w:rsidR="00C013E2" w:rsidRPr="00E709A4" w:rsidRDefault="00C013E2" w:rsidP="00E709A4">
            <w:pPr>
              <w:jc w:val="center"/>
              <w:rPr>
                <w:b/>
              </w:rPr>
            </w:pPr>
            <w:r>
              <w:rPr>
                <w:b/>
              </w:rPr>
              <w:t>Regulated Market</w:t>
            </w:r>
            <w:r w:rsidRPr="00E709A4">
              <w:rPr>
                <w:b/>
              </w:rPr>
              <w:t xml:space="preserve"> B</w:t>
            </w:r>
          </w:p>
        </w:tc>
      </w:tr>
      <w:tr w:rsidR="00C013E2" w:rsidTr="00C013E2">
        <w:tc>
          <w:tcPr>
            <w:tcW w:w="675" w:type="dxa"/>
          </w:tcPr>
          <w:p w:rsidR="00C013E2" w:rsidRPr="00E709A4" w:rsidRDefault="00C013E2" w:rsidP="00C013E2">
            <w:pPr>
              <w:jc w:val="center"/>
              <w:rPr>
                <w:b/>
              </w:rPr>
            </w:pPr>
            <w:r>
              <w:rPr>
                <w:b/>
              </w:rPr>
              <w:t>No</w:t>
            </w:r>
          </w:p>
        </w:tc>
        <w:tc>
          <w:tcPr>
            <w:tcW w:w="1667" w:type="dxa"/>
          </w:tcPr>
          <w:p w:rsidR="00C013E2" w:rsidRPr="00E709A4" w:rsidRDefault="00C013E2" w:rsidP="00E709A4">
            <w:pPr>
              <w:jc w:val="center"/>
              <w:rPr>
                <w:b/>
              </w:rPr>
            </w:pPr>
            <w:r w:rsidRPr="00E709A4">
              <w:rPr>
                <w:b/>
              </w:rPr>
              <w:t>Time</w:t>
            </w:r>
          </w:p>
        </w:tc>
        <w:tc>
          <w:tcPr>
            <w:tcW w:w="1667" w:type="dxa"/>
          </w:tcPr>
          <w:p w:rsidR="00C013E2" w:rsidRPr="00E709A4" w:rsidRDefault="00C013E2" w:rsidP="00E709A4">
            <w:pPr>
              <w:jc w:val="center"/>
              <w:rPr>
                <w:b/>
              </w:rPr>
            </w:pPr>
            <w:r w:rsidRPr="00E709A4">
              <w:rPr>
                <w:b/>
              </w:rPr>
              <w:t>Price</w:t>
            </w:r>
          </w:p>
        </w:tc>
        <w:tc>
          <w:tcPr>
            <w:tcW w:w="672" w:type="dxa"/>
          </w:tcPr>
          <w:p w:rsidR="00C013E2" w:rsidRPr="00E709A4" w:rsidRDefault="00C013E2" w:rsidP="00C013E2">
            <w:pPr>
              <w:jc w:val="center"/>
              <w:rPr>
                <w:b/>
              </w:rPr>
            </w:pPr>
            <w:r>
              <w:rPr>
                <w:b/>
              </w:rPr>
              <w:t>No</w:t>
            </w:r>
          </w:p>
        </w:tc>
        <w:tc>
          <w:tcPr>
            <w:tcW w:w="1667" w:type="dxa"/>
          </w:tcPr>
          <w:p w:rsidR="00C013E2" w:rsidRPr="00E709A4" w:rsidRDefault="00C013E2" w:rsidP="00E709A4">
            <w:pPr>
              <w:jc w:val="center"/>
              <w:rPr>
                <w:b/>
              </w:rPr>
            </w:pPr>
            <w:r w:rsidRPr="00E709A4">
              <w:rPr>
                <w:b/>
              </w:rPr>
              <w:t>Time</w:t>
            </w:r>
          </w:p>
        </w:tc>
        <w:tc>
          <w:tcPr>
            <w:tcW w:w="1667" w:type="dxa"/>
          </w:tcPr>
          <w:p w:rsidR="00C013E2" w:rsidRPr="00E709A4" w:rsidRDefault="00C013E2" w:rsidP="00E709A4">
            <w:pPr>
              <w:jc w:val="center"/>
              <w:rPr>
                <w:b/>
              </w:rPr>
            </w:pPr>
            <w:r w:rsidRPr="00E709A4">
              <w:rPr>
                <w:b/>
              </w:rPr>
              <w:t>Price</w:t>
            </w:r>
          </w:p>
        </w:tc>
      </w:tr>
      <w:tr w:rsidR="00C013E2" w:rsidTr="00C013E2">
        <w:tc>
          <w:tcPr>
            <w:tcW w:w="675" w:type="dxa"/>
          </w:tcPr>
          <w:p w:rsidR="00C013E2" w:rsidRDefault="00C013E2" w:rsidP="00C013E2">
            <w:pPr>
              <w:jc w:val="center"/>
            </w:pPr>
            <w:r>
              <w:t>1</w:t>
            </w:r>
          </w:p>
        </w:tc>
        <w:tc>
          <w:tcPr>
            <w:tcW w:w="1667" w:type="dxa"/>
          </w:tcPr>
          <w:p w:rsidR="00C013E2" w:rsidRDefault="00C013E2" w:rsidP="00E709A4">
            <w:r>
              <w:t>11.01.02</w:t>
            </w:r>
          </w:p>
        </w:tc>
        <w:tc>
          <w:tcPr>
            <w:tcW w:w="1667" w:type="dxa"/>
          </w:tcPr>
          <w:p w:rsidR="00C013E2" w:rsidRDefault="00C013E2" w:rsidP="00E709A4">
            <w:r>
              <w:t>12.560</w:t>
            </w:r>
          </w:p>
        </w:tc>
        <w:tc>
          <w:tcPr>
            <w:tcW w:w="672" w:type="dxa"/>
          </w:tcPr>
          <w:p w:rsidR="00C013E2" w:rsidRDefault="00C013E2" w:rsidP="00C013E2">
            <w:pPr>
              <w:jc w:val="center"/>
            </w:pPr>
            <w:r>
              <w:t>1</w:t>
            </w:r>
          </w:p>
        </w:tc>
        <w:tc>
          <w:tcPr>
            <w:tcW w:w="1667" w:type="dxa"/>
          </w:tcPr>
          <w:p w:rsidR="00C013E2" w:rsidRDefault="00C013E2" w:rsidP="00E709A4">
            <w:r>
              <w:t>11.03.52</w:t>
            </w:r>
          </w:p>
        </w:tc>
        <w:tc>
          <w:tcPr>
            <w:tcW w:w="1667" w:type="dxa"/>
          </w:tcPr>
          <w:p w:rsidR="00C013E2" w:rsidRDefault="00C013E2" w:rsidP="00E709A4">
            <w:r>
              <w:t>12.570</w:t>
            </w:r>
          </w:p>
        </w:tc>
      </w:tr>
      <w:tr w:rsidR="00C013E2" w:rsidTr="00C013E2">
        <w:tc>
          <w:tcPr>
            <w:tcW w:w="675" w:type="dxa"/>
          </w:tcPr>
          <w:p w:rsidR="00C013E2" w:rsidRDefault="00C013E2" w:rsidP="00C013E2">
            <w:pPr>
              <w:jc w:val="center"/>
            </w:pPr>
            <w:r>
              <w:t>2</w:t>
            </w:r>
          </w:p>
        </w:tc>
        <w:tc>
          <w:tcPr>
            <w:tcW w:w="1667" w:type="dxa"/>
          </w:tcPr>
          <w:p w:rsidR="00C013E2" w:rsidRDefault="00C013E2" w:rsidP="00E709A4">
            <w:r>
              <w:t>11.02.21</w:t>
            </w:r>
          </w:p>
        </w:tc>
        <w:tc>
          <w:tcPr>
            <w:tcW w:w="1667" w:type="dxa"/>
          </w:tcPr>
          <w:p w:rsidR="00C013E2" w:rsidRDefault="00C013E2" w:rsidP="00E709A4">
            <w:r>
              <w:t>12.569</w:t>
            </w:r>
          </w:p>
        </w:tc>
        <w:tc>
          <w:tcPr>
            <w:tcW w:w="672" w:type="dxa"/>
          </w:tcPr>
          <w:p w:rsidR="00C013E2" w:rsidRDefault="00C013E2" w:rsidP="00C013E2">
            <w:pPr>
              <w:jc w:val="center"/>
            </w:pPr>
            <w:r>
              <w:t>2</w:t>
            </w:r>
          </w:p>
        </w:tc>
        <w:tc>
          <w:tcPr>
            <w:tcW w:w="1667" w:type="dxa"/>
          </w:tcPr>
          <w:p w:rsidR="00C013E2" w:rsidRDefault="00C013E2" w:rsidP="00E709A4">
            <w:r>
              <w:t>11.05.11</w:t>
            </w:r>
          </w:p>
        </w:tc>
        <w:tc>
          <w:tcPr>
            <w:tcW w:w="1667" w:type="dxa"/>
          </w:tcPr>
          <w:p w:rsidR="00C013E2" w:rsidRDefault="00C013E2" w:rsidP="00E709A4">
            <w:r>
              <w:t>12.571</w:t>
            </w:r>
          </w:p>
        </w:tc>
      </w:tr>
      <w:tr w:rsidR="00C013E2" w:rsidTr="00C013E2">
        <w:tc>
          <w:tcPr>
            <w:tcW w:w="675" w:type="dxa"/>
          </w:tcPr>
          <w:p w:rsidR="00C013E2" w:rsidRDefault="00C013E2" w:rsidP="00C013E2">
            <w:pPr>
              <w:jc w:val="center"/>
            </w:pPr>
            <w:r>
              <w:t>3</w:t>
            </w:r>
          </w:p>
        </w:tc>
        <w:tc>
          <w:tcPr>
            <w:tcW w:w="1667" w:type="dxa"/>
          </w:tcPr>
          <w:p w:rsidR="00C013E2" w:rsidRDefault="00C013E2" w:rsidP="00E709A4">
            <w:r>
              <w:t>11.03.36</w:t>
            </w:r>
          </w:p>
        </w:tc>
        <w:tc>
          <w:tcPr>
            <w:tcW w:w="1667" w:type="dxa"/>
          </w:tcPr>
          <w:p w:rsidR="00C013E2" w:rsidRDefault="00C013E2" w:rsidP="00E709A4">
            <w:r>
              <w:t>12.572</w:t>
            </w:r>
          </w:p>
        </w:tc>
        <w:tc>
          <w:tcPr>
            <w:tcW w:w="672" w:type="dxa"/>
          </w:tcPr>
          <w:p w:rsidR="00C013E2" w:rsidRDefault="00C013E2" w:rsidP="00C013E2">
            <w:pPr>
              <w:jc w:val="center"/>
            </w:pPr>
            <w:r>
              <w:t>3</w:t>
            </w:r>
          </w:p>
        </w:tc>
        <w:tc>
          <w:tcPr>
            <w:tcW w:w="1667" w:type="dxa"/>
          </w:tcPr>
          <w:p w:rsidR="00C013E2" w:rsidRDefault="00C013E2" w:rsidP="00E709A4">
            <w:r>
              <w:t>11.08.01</w:t>
            </w:r>
          </w:p>
        </w:tc>
        <w:tc>
          <w:tcPr>
            <w:tcW w:w="1667" w:type="dxa"/>
          </w:tcPr>
          <w:p w:rsidR="00C013E2" w:rsidRDefault="004A1B6B" w:rsidP="00E709A4">
            <w:r>
              <w:t>12.574</w:t>
            </w:r>
          </w:p>
        </w:tc>
      </w:tr>
      <w:tr w:rsidR="00C013E2" w:rsidTr="00C013E2">
        <w:trPr>
          <w:trHeight w:val="77"/>
        </w:trPr>
        <w:tc>
          <w:tcPr>
            <w:tcW w:w="675" w:type="dxa"/>
          </w:tcPr>
          <w:p w:rsidR="00C013E2" w:rsidRDefault="00C013E2" w:rsidP="00C013E2">
            <w:pPr>
              <w:jc w:val="center"/>
            </w:pPr>
            <w:r>
              <w:t>4</w:t>
            </w:r>
          </w:p>
        </w:tc>
        <w:tc>
          <w:tcPr>
            <w:tcW w:w="1667" w:type="dxa"/>
          </w:tcPr>
          <w:p w:rsidR="00C013E2" w:rsidRDefault="00C013E2" w:rsidP="00E709A4">
            <w:r>
              <w:t>11.03.59</w:t>
            </w:r>
          </w:p>
        </w:tc>
        <w:tc>
          <w:tcPr>
            <w:tcW w:w="1667" w:type="dxa"/>
          </w:tcPr>
          <w:p w:rsidR="00C013E2" w:rsidRDefault="00C013E2" w:rsidP="00E709A4">
            <w:r>
              <w:t>12.571</w:t>
            </w:r>
          </w:p>
        </w:tc>
        <w:tc>
          <w:tcPr>
            <w:tcW w:w="672" w:type="dxa"/>
          </w:tcPr>
          <w:p w:rsidR="00C013E2" w:rsidRDefault="00C013E2" w:rsidP="00C013E2">
            <w:pPr>
              <w:jc w:val="center"/>
            </w:pPr>
            <w:r>
              <w:t>4</w:t>
            </w:r>
          </w:p>
        </w:tc>
        <w:tc>
          <w:tcPr>
            <w:tcW w:w="1667" w:type="dxa"/>
          </w:tcPr>
          <w:p w:rsidR="00C013E2" w:rsidRDefault="00C013E2" w:rsidP="00E709A4">
            <w:r>
              <w:t>11.10.14</w:t>
            </w:r>
          </w:p>
        </w:tc>
        <w:tc>
          <w:tcPr>
            <w:tcW w:w="1667" w:type="dxa"/>
          </w:tcPr>
          <w:p w:rsidR="00C013E2" w:rsidRDefault="004A1B6B" w:rsidP="00E709A4">
            <w:r>
              <w:t>12.57</w:t>
            </w:r>
            <w:r w:rsidR="00C013E2">
              <w:t>3</w:t>
            </w:r>
          </w:p>
        </w:tc>
      </w:tr>
    </w:tbl>
    <w:p w:rsidR="00E709A4" w:rsidRDefault="00E709A4" w:rsidP="00E709A4"/>
    <w:p w:rsidR="00C013E2" w:rsidRDefault="00C013E2" w:rsidP="00E709A4">
      <w:r>
        <w:t xml:space="preserve">The proposed requirement would result in market </w:t>
      </w:r>
      <w:proofErr w:type="gramStart"/>
      <w:r>
        <w:t>A</w:t>
      </w:r>
      <w:proofErr w:type="gramEnd"/>
      <w:r>
        <w:t xml:space="preserve"> publishing the details for its execution at 11.01.02 with an execution price of 12.560 while market B would publish its execution at 11.03.52 with an execution price of 12.570. However the more meaningful comparison, from a price point of view, would be to compare execution</w:t>
      </w:r>
      <w:r w:rsidR="00FB1C27">
        <w:t>s 3 and 4 from market A with</w:t>
      </w:r>
      <w:r>
        <w:t xml:space="preserve"> execution 1 from market B as they are closer in time. However even this would only give an indication of comparability as other factors such as volume would also then need to be considered. Furthermore, the lack of comparability would be even greater for less liquid securities as the time diffe</w:t>
      </w:r>
      <w:r w:rsidR="00992846">
        <w:t>rences between executions will be longer. Even for liquid securities trading in fast-paced markets, small time differences are meaningful</w:t>
      </w:r>
      <w:r w:rsidR="00FB1C27">
        <w:t xml:space="preserve"> in terms of the execution results.</w:t>
      </w:r>
    </w:p>
    <w:p w:rsidR="00E709A4" w:rsidRDefault="00E709A4" w:rsidP="00E709A4"/>
    <w:p w:rsidR="003B1BDE" w:rsidRDefault="00FB1C27" w:rsidP="00E709A4">
      <w:r>
        <w:t>Therefore w</w:t>
      </w:r>
      <w:r w:rsidR="003B1BDE">
        <w:t>e believe that aggregated data</w:t>
      </w:r>
      <w:r w:rsidR="004D6CC1">
        <w:t xml:space="preserve"> showing general trends is more beneficial, and therefore urge ESMA to re-consider their proposal and restrict the publicat</w:t>
      </w:r>
      <w:r w:rsidR="00F23ECF">
        <w:t xml:space="preserve">ion </w:t>
      </w:r>
      <w:r w:rsidR="004D6CC1">
        <w:t>to aggregate data no more granular than on a daily basis</w:t>
      </w:r>
      <w:r w:rsidR="00F23ECF">
        <w:t>, although</w:t>
      </w:r>
      <w:r w:rsidR="00C404DD">
        <w:t xml:space="preserve"> w</w:t>
      </w:r>
      <w:r w:rsidR="00C404DD" w:rsidRPr="00EB04FF">
        <w:t xml:space="preserve">e believe that daily is too frequent and suggest </w:t>
      </w:r>
      <w:r w:rsidR="00C404DD">
        <w:t xml:space="preserve">that </w:t>
      </w:r>
      <w:r w:rsidR="00322289">
        <w:t>present</w:t>
      </w:r>
      <w:r w:rsidR="00C404DD" w:rsidRPr="00EB04FF">
        <w:t>ing data</w:t>
      </w:r>
      <w:r w:rsidR="00117512">
        <w:t xml:space="preserve"> averaged</w:t>
      </w:r>
      <w:r w:rsidR="00C404DD" w:rsidRPr="00EB04FF">
        <w:t xml:space="preserve"> over a longer period would be more appropriate for </w:t>
      </w:r>
      <w:r w:rsidR="00C404DD">
        <w:t>identifying</w:t>
      </w:r>
      <w:r w:rsidR="00C404DD" w:rsidRPr="00EB04FF">
        <w:t xml:space="preserve"> general market trends. </w:t>
      </w:r>
    </w:p>
    <w:p w:rsidR="00CE17A4" w:rsidRDefault="00CE17A4" w:rsidP="004E53BD"/>
    <w:p w:rsidR="00CE17A4" w:rsidRDefault="00CE17A4" w:rsidP="00CE17A4">
      <w:r>
        <w:t xml:space="preserve">If </w:t>
      </w:r>
      <w:r w:rsidR="002138B3">
        <w:t xml:space="preserve">however </w:t>
      </w:r>
      <w:r>
        <w:t xml:space="preserve">ESMA does proceed with the point-in-time proposal, then we believe it needs to take the following into </w:t>
      </w:r>
      <w:r w:rsidR="008405E2">
        <w:t>consideration</w:t>
      </w:r>
      <w:r>
        <w:t>:</w:t>
      </w:r>
    </w:p>
    <w:p w:rsidR="00CE17A4" w:rsidRDefault="00CE17A4" w:rsidP="00F51125">
      <w:pPr>
        <w:pStyle w:val="ListParagraph"/>
      </w:pPr>
      <w:r w:rsidRPr="007D65D2">
        <w:lastRenderedPageBreak/>
        <w:t>Art</w:t>
      </w:r>
      <w:r>
        <w:t>icle</w:t>
      </w:r>
      <w:r w:rsidRPr="007D65D2">
        <w:t xml:space="preserve"> 4(1) s</w:t>
      </w:r>
      <w:r>
        <w:t>tates</w:t>
      </w:r>
      <w:r w:rsidRPr="007D65D2">
        <w:t xml:space="preserve"> that </w:t>
      </w:r>
      <w:r>
        <w:t>additional</w:t>
      </w:r>
      <w:r w:rsidRPr="007D65D2">
        <w:t xml:space="preserve"> information should be submitted for</w:t>
      </w:r>
      <w:r>
        <w:t xml:space="preserve"> each executed transaction as reported</w:t>
      </w:r>
      <w:r w:rsidRPr="007D65D2">
        <w:t xml:space="preserve"> in Art</w:t>
      </w:r>
      <w:r>
        <w:t>icle</w:t>
      </w:r>
      <w:r w:rsidRPr="007D65D2">
        <w:t xml:space="preserve"> 3(4</w:t>
      </w:r>
      <w:proofErr w:type="gramStart"/>
      <w:r w:rsidRPr="007D65D2">
        <w:t>)(</w:t>
      </w:r>
      <w:proofErr w:type="gramEnd"/>
      <w:r w:rsidRPr="007D65D2">
        <w:t>a</w:t>
      </w:r>
      <w:r>
        <w:t>)&amp;(</w:t>
      </w:r>
      <w:r w:rsidRPr="007D65D2">
        <w:t>b)</w:t>
      </w:r>
      <w:r>
        <w:t xml:space="preserve"> i.e. the first executed transaction immediately after each of 9.00.00, 11.00.00, 13.00.00 and 15.00.00</w:t>
      </w:r>
      <w:r w:rsidRPr="007D65D2">
        <w:t xml:space="preserve">. However, </w:t>
      </w:r>
      <w:r>
        <w:t xml:space="preserve">it is not clear if it is requiring the information at the time of execution (at which case the best bid will always be equal to the best ask), or immediately prior to or after the execution, or </w:t>
      </w:r>
      <w:r w:rsidR="00836BA2">
        <w:t>if</w:t>
      </w:r>
      <w:r w:rsidRPr="007D65D2">
        <w:t xml:space="preserve"> </w:t>
      </w:r>
      <w:r w:rsidR="00836BA2">
        <w:t>it is</w:t>
      </w:r>
      <w:r>
        <w:t xml:space="preserve"> referring to immediately after each time period (</w:t>
      </w:r>
      <w:r w:rsidRPr="007D65D2">
        <w:t>11.00</w:t>
      </w:r>
      <w:r>
        <w:t xml:space="preserve">.00 </w:t>
      </w:r>
      <w:r w:rsidRPr="007D65D2">
        <w:t xml:space="preserve">for example)? </w:t>
      </w:r>
    </w:p>
    <w:p w:rsidR="00CE17A4" w:rsidRDefault="00CE17A4" w:rsidP="00F51125">
      <w:pPr>
        <w:pStyle w:val="ListParagraph"/>
      </w:pPr>
      <w:r>
        <w:t>If one of the price points coincides with an auction (scheduled, such as the opening auction which may end at around 09.00.00, or unscheduled such as a volatility interruption), then it is possible that the best bid could be higher than the best ask. There is also the risk</w:t>
      </w:r>
      <w:r w:rsidRPr="00CE17A4">
        <w:t xml:space="preserve"> that this </w:t>
      </w:r>
      <w:r>
        <w:t xml:space="preserve">approach </w:t>
      </w:r>
      <w:r w:rsidRPr="00CE17A4">
        <w:t xml:space="preserve">could be gamed by venues </w:t>
      </w:r>
      <w:r>
        <w:t>scheduling</w:t>
      </w:r>
      <w:r w:rsidRPr="00CE17A4">
        <w:t xml:space="preserve"> auctions just prior to these times to give the impression of </w:t>
      </w:r>
      <w:r w:rsidR="00D01CEC">
        <w:t>larger execution sizes</w:t>
      </w:r>
      <w:r w:rsidRPr="00CE17A4">
        <w:t xml:space="preserve"> and/or </w:t>
      </w:r>
      <w:r w:rsidR="001B5C42">
        <w:t>tighter</w:t>
      </w:r>
      <w:r w:rsidRPr="00CE17A4">
        <w:t xml:space="preserve"> spreads.</w:t>
      </w:r>
    </w:p>
    <w:p w:rsidR="004D5465" w:rsidRDefault="004D5465" w:rsidP="00F51125">
      <w:pPr>
        <w:pStyle w:val="ListParagraph"/>
      </w:pPr>
      <w:r>
        <w:t xml:space="preserve">Article 3(4)(a): We note that the requirement is to publish the details for executions “immediately after” each specified time, however this does not take into account illiquid markets where there may be only a few transactions throughout the day and there may be no transaction “immediately after” the reference time. We therefore suggest ESMA aligns the wording in the Article with the wording in the table on page 94 i.e. “the price excluding commission and where relevant accrued interest for the </w:t>
      </w:r>
      <w:r w:rsidRPr="005311FA">
        <w:rPr>
          <w:b/>
        </w:rPr>
        <w:t>first executed</w:t>
      </w:r>
      <w:r>
        <w:t xml:space="preserve"> purchase after each of….</w:t>
      </w:r>
      <w:proofErr w:type="gramStart"/>
      <w:r>
        <w:t>” .</w:t>
      </w:r>
      <w:proofErr w:type="gramEnd"/>
      <w:r>
        <w:t xml:space="preserve"> Similarly for (b). ESMA should also clarify how data should be published where the first executed order is later in the day e.g. if the first executed order is  at 14.00, should this be included only in the row with the 13.00.00 timestamp or should it be included for each timestamp up to an</w:t>
      </w:r>
      <w:r w:rsidR="000E468E">
        <w:t>d</w:t>
      </w:r>
      <w:r>
        <w:t xml:space="preserve"> including 13.00.00?</w:t>
      </w:r>
    </w:p>
    <w:p w:rsidR="00D5233F" w:rsidRDefault="00D5233F" w:rsidP="00F51125">
      <w:pPr>
        <w:pStyle w:val="ListParagraph"/>
      </w:pPr>
      <w:r>
        <w:t>Article 3(4</w:t>
      </w:r>
      <w:proofErr w:type="gramStart"/>
      <w:r>
        <w:t>)(</w:t>
      </w:r>
      <w:proofErr w:type="gramEnd"/>
      <w:r>
        <w:t xml:space="preserve">a) &amp; (b): We note that ESMA refers to the time in UTC. However our understanding is that UTC does not take into account daylight savings time. Therefore the reference times will change for approximately half of the year resulting in non-comparable data. For example, during the winter months in a GMT </w:t>
      </w:r>
      <w:proofErr w:type="spellStart"/>
      <w:r>
        <w:t>timezone</w:t>
      </w:r>
      <w:proofErr w:type="spellEnd"/>
      <w:r>
        <w:t xml:space="preserve"> the reference times will be 9.00.00, 11.00.00, 13.00.00 and 15.00.00, however during the summer they will be 10.00.00, 12.00.00, 14.00.00 and 16.00.00 as BST is one hour ahead of UTC. We therefore believe that the times should be with reference to the time in the local market in order to provide a consistent approach.</w:t>
      </w:r>
    </w:p>
    <w:p w:rsidR="00CE7D4C" w:rsidRDefault="00CE7D4C" w:rsidP="004E53BD"/>
    <w:p w:rsidR="008A1C7F" w:rsidRPr="00E53830" w:rsidRDefault="008A1C7F" w:rsidP="004E53BD">
      <w:pPr>
        <w:rPr>
          <w:b/>
          <w:u w:val="single"/>
        </w:rPr>
      </w:pPr>
      <w:r w:rsidRPr="00E53830">
        <w:rPr>
          <w:b/>
          <w:u w:val="single"/>
        </w:rPr>
        <w:t>Extensiveness of Proposals</w:t>
      </w:r>
    </w:p>
    <w:p w:rsidR="00C60B44" w:rsidRDefault="00CE7D4C" w:rsidP="00C60B44">
      <w:r>
        <w:t>We also have a general comment to make on the extensiveness of the proposed publication requirements which we believe are far too detailed to be beneficial to investors. In particular we believe that the large number of data fields will be far in excess of what a retail investor would find beneficial in order to assess execution, that the details of execution at certain time intervals could be misleading, and that some of the fields, in particular average effective spread, average realised spread and average speed of execution, will be too technical to be understood by most retail investors. In relation to institutional investors, our experience to date is that these investors source and analyse data to suit their own business needs which clearly varies between firms</w:t>
      </w:r>
      <w:r w:rsidR="00EB6C82">
        <w:t>. T</w:t>
      </w:r>
      <w:r>
        <w:t xml:space="preserve">herefore </w:t>
      </w:r>
      <w:r w:rsidR="00EB6C82">
        <w:t>it is likely that</w:t>
      </w:r>
      <w:r>
        <w:t xml:space="preserve"> the </w:t>
      </w:r>
      <w:r w:rsidR="00EB6C82">
        <w:t>proposed published metrics</w:t>
      </w:r>
      <w:r>
        <w:t xml:space="preserve"> will </w:t>
      </w:r>
      <w:r w:rsidR="00EB6C82">
        <w:t xml:space="preserve">not </w:t>
      </w:r>
      <w:r>
        <w:t>meet all</w:t>
      </w:r>
      <w:r w:rsidR="00EB6C82">
        <w:t xml:space="preserve"> of their needs, and institutional investors</w:t>
      </w:r>
      <w:r>
        <w:t xml:space="preserve"> will continue to </w:t>
      </w:r>
      <w:r w:rsidR="00EB6C82">
        <w:t xml:space="preserve">obtain </w:t>
      </w:r>
      <w:r>
        <w:t xml:space="preserve">and analyse data from other </w:t>
      </w:r>
      <w:r w:rsidR="00EB6C82">
        <w:t>source</w:t>
      </w:r>
      <w:r>
        <w:t xml:space="preserve">s, therefore making the data published under </w:t>
      </w:r>
      <w:r w:rsidR="00AD1D63">
        <w:t>draft RTS</w:t>
      </w:r>
      <w:r>
        <w:t xml:space="preserve"> 6 </w:t>
      </w:r>
      <w:r w:rsidR="00F57849">
        <w:t>to a large</w:t>
      </w:r>
      <w:r w:rsidR="00EB6C82">
        <w:t xml:space="preserve"> extent </w:t>
      </w:r>
      <w:r>
        <w:t xml:space="preserve">redundant. For these reasons, we urge ESMA to take a more </w:t>
      </w:r>
      <w:r w:rsidR="00F57849">
        <w:t>proportional</w:t>
      </w:r>
      <w:r>
        <w:t xml:space="preserve"> approach, reducing the </w:t>
      </w:r>
      <w:r w:rsidR="00EB6C82">
        <w:t xml:space="preserve">number of </w:t>
      </w:r>
      <w:r>
        <w:t>data fields</w:t>
      </w:r>
      <w:r w:rsidR="00EB6C82">
        <w:t xml:space="preserve"> to be introduced at</w:t>
      </w:r>
      <w:r>
        <w:t xml:space="preserve"> the initial stage which can then be </w:t>
      </w:r>
      <w:r>
        <w:lastRenderedPageBreak/>
        <w:t>reviewed</w:t>
      </w:r>
      <w:r w:rsidR="00EB6C82">
        <w:t xml:space="preserve"> several months</w:t>
      </w:r>
      <w:r>
        <w:t xml:space="preserve"> after implementation and </w:t>
      </w:r>
      <w:r w:rsidR="00EB6C82">
        <w:t>supplemented</w:t>
      </w:r>
      <w:r>
        <w:t xml:space="preserve"> if a </w:t>
      </w:r>
      <w:r w:rsidR="00416713">
        <w:t xml:space="preserve">clear </w:t>
      </w:r>
      <w:r>
        <w:t>need</w:t>
      </w:r>
      <w:r w:rsidR="00416713">
        <w:t xml:space="preserve"> has been identified</w:t>
      </w:r>
      <w:r>
        <w:t>.</w:t>
      </w:r>
    </w:p>
    <w:p w:rsidR="00C60B44" w:rsidRDefault="00C60B44" w:rsidP="00C60B44"/>
    <w:p w:rsidR="00C60B44" w:rsidRPr="00E53830" w:rsidRDefault="00C60B44" w:rsidP="00C60B44">
      <w:pPr>
        <w:rPr>
          <w:b/>
          <w:u w:val="single"/>
        </w:rPr>
      </w:pPr>
      <w:r w:rsidRPr="00E53830">
        <w:rPr>
          <w:b/>
          <w:u w:val="single"/>
        </w:rPr>
        <w:t>Draft RTS</w:t>
      </w:r>
    </w:p>
    <w:p w:rsidR="00C60B44" w:rsidRDefault="00BA574E" w:rsidP="00C60B44">
      <w:r>
        <w:t xml:space="preserve">We also have a number of comments on </w:t>
      </w:r>
      <w:r w:rsidR="00CD2C7E">
        <w:t>specific</w:t>
      </w:r>
      <w:r>
        <w:t xml:space="preserve"> areas of the draft RTS as follows.</w:t>
      </w:r>
    </w:p>
    <w:p w:rsidR="00C60B44" w:rsidRDefault="00C60B44" w:rsidP="00C60B44"/>
    <w:p w:rsidR="006D1A3F" w:rsidRDefault="00C672C2" w:rsidP="006D1A3F">
      <w:pPr>
        <w:rPr>
          <w:u w:val="single"/>
        </w:rPr>
      </w:pPr>
      <w:r w:rsidRPr="00C672C2">
        <w:rPr>
          <w:u w:val="single"/>
        </w:rPr>
        <w:t>Recitals</w:t>
      </w:r>
    </w:p>
    <w:p w:rsidR="00C672C2" w:rsidRDefault="00C672C2" w:rsidP="006D1A3F">
      <w:r>
        <w:t>Recital (8) includes ‘failed trades’ but without any further definition in the proposed text. We presume it is referring to ca</w:t>
      </w:r>
      <w:r w:rsidR="00E1793D">
        <w:t>ncelled orders as per Article 3(3</w:t>
      </w:r>
      <w:proofErr w:type="gramStart"/>
      <w:r w:rsidR="00E1793D">
        <w:t>)</w:t>
      </w:r>
      <w:r w:rsidR="006B3F9C">
        <w:t>(</w:t>
      </w:r>
      <w:proofErr w:type="gramEnd"/>
      <w:r w:rsidR="006B3F9C">
        <w:t xml:space="preserve">c) however </w:t>
      </w:r>
      <w:r w:rsidR="006B3F9C" w:rsidRPr="00476D48">
        <w:t xml:space="preserve">this is not </w:t>
      </w:r>
      <w:r w:rsidR="00476D48">
        <w:t xml:space="preserve">clear and we wish to state that ‘cancelled orders’ are not the same as ‘failed trades’. Furthermore we question the inclusion of such data as orders can be cancelled for a variety of reasons </w:t>
      </w:r>
      <w:r w:rsidRPr="00476D48">
        <w:t xml:space="preserve">and </w:t>
      </w:r>
      <w:r>
        <w:t>it is not necessarily an indication of poor execution quality.</w:t>
      </w:r>
    </w:p>
    <w:p w:rsidR="00C672C2" w:rsidRDefault="00C672C2" w:rsidP="00EC2C93">
      <w:pPr>
        <w:keepNext/>
      </w:pPr>
    </w:p>
    <w:p w:rsidR="00BA574E" w:rsidRPr="00BA574E" w:rsidRDefault="00BA574E" w:rsidP="00EC2C93">
      <w:pPr>
        <w:keepNext/>
        <w:rPr>
          <w:u w:val="single"/>
        </w:rPr>
      </w:pPr>
      <w:r w:rsidRPr="00BA574E">
        <w:rPr>
          <w:u w:val="single"/>
        </w:rPr>
        <w:t>Article 2</w:t>
      </w:r>
    </w:p>
    <w:p w:rsidR="00BA574E" w:rsidRDefault="00BA574E" w:rsidP="00F51125">
      <w:pPr>
        <w:pStyle w:val="ListParagraph"/>
      </w:pPr>
      <w:r>
        <w:t>Article 2(1): ‘settlement’ should be deleted given that it is not one of the factors included in the Level 1 text i.e. Article 27(3) of the Directive specifically lists “price, costs, speed and likelihood of execution” as the parameters to be considered.</w:t>
      </w:r>
    </w:p>
    <w:p w:rsidR="00BA574E" w:rsidRDefault="00BA574E" w:rsidP="00F51125">
      <w:pPr>
        <w:pStyle w:val="ListParagraph"/>
      </w:pPr>
      <w:r>
        <w:t xml:space="preserve">Article 2(4): We believe the word ‘directly’ needs to be added in i.e.”…..imposed or incurred </w:t>
      </w:r>
      <w:r w:rsidRPr="003A0FEC">
        <w:rPr>
          <w:b/>
        </w:rPr>
        <w:t>directly</w:t>
      </w:r>
      <w:r>
        <w:t xml:space="preserve"> by the….”</w:t>
      </w:r>
    </w:p>
    <w:p w:rsidR="00F20532" w:rsidRDefault="00F20532" w:rsidP="00F51125">
      <w:pPr>
        <w:pStyle w:val="ListParagraph"/>
      </w:pPr>
      <w:r>
        <w:t xml:space="preserve">Article 2(7): We note that Recital </w:t>
      </w:r>
      <w:r w:rsidR="006D0EA4">
        <w:t>(</w:t>
      </w:r>
      <w:r>
        <w:t>6</w:t>
      </w:r>
      <w:r w:rsidR="006D0EA4">
        <w:t>)</w:t>
      </w:r>
      <w:r>
        <w:t xml:space="preserve"> provides examples of a ‘central limit order book’ and a ‘quote driven market’ but </w:t>
      </w:r>
      <w:proofErr w:type="gramStart"/>
      <w:r>
        <w:t>believe</w:t>
      </w:r>
      <w:proofErr w:type="gramEnd"/>
      <w:r>
        <w:t xml:space="preserve"> that an exhaustive list needs</w:t>
      </w:r>
      <w:r w:rsidR="00E1793D">
        <w:t xml:space="preserve"> to be defined within Article 2</w:t>
      </w:r>
      <w:r>
        <w:t xml:space="preserve">(7). In order to provide consistency with other areas of </w:t>
      </w:r>
      <w:proofErr w:type="spellStart"/>
      <w:r>
        <w:t>MiFID</w:t>
      </w:r>
      <w:proofErr w:type="spellEnd"/>
      <w:r>
        <w:t xml:space="preserve"> we suggest that the market mechanism is defined under the system types defined in Table 3, Annex I of </w:t>
      </w:r>
      <w:r w:rsidR="00AD1D63">
        <w:t>draft RTS</w:t>
      </w:r>
      <w:r>
        <w:t xml:space="preserve"> 8.</w:t>
      </w:r>
    </w:p>
    <w:p w:rsidR="00AC7227" w:rsidRDefault="00BA574E" w:rsidP="00F51125">
      <w:pPr>
        <w:pStyle w:val="ListParagraph"/>
      </w:pPr>
      <w:r>
        <w:t>Article 2(9): We believe it would be better to refer to the post-trade transparency Articles in the Regulation e.g. Articles 6, 10, 20, 21</w:t>
      </w:r>
      <w:r w:rsidR="00F20532">
        <w:t xml:space="preserve">. However we are also concerned that the proposal (considering the examples provided in Recital 6) will be too granular and question the need to provide the information separately for each transaction type. We are concerned that overly granular information will not be useful to investors as it will not enable them to discern general trends as each information line will be too specific. We would suggest instead that transaction types are amalgamated under broader headings </w:t>
      </w:r>
      <w:r w:rsidR="003874F7">
        <w:t>e.g.</w:t>
      </w:r>
      <w:r w:rsidR="00F20532">
        <w:t xml:space="preserve"> </w:t>
      </w:r>
      <w:r w:rsidR="003874F7">
        <w:t xml:space="preserve">executed </w:t>
      </w:r>
      <w:r w:rsidR="00924A1B">
        <w:t xml:space="preserve">with pre-trade transparency </w:t>
      </w:r>
      <w:r w:rsidR="003874F7">
        <w:t xml:space="preserve">on a trading venue; executed </w:t>
      </w:r>
      <w:r w:rsidR="00924A1B">
        <w:t>without pre-trade transparency as permitted using one of the waivers</w:t>
      </w:r>
      <w:r w:rsidR="003874F7">
        <w:t>; OTC.</w:t>
      </w:r>
      <w:r w:rsidR="00AA24D6">
        <w:t xml:space="preserve"> At the very least trades under the Negotiated Trade Waiver should be grouped into a single category.</w:t>
      </w:r>
    </w:p>
    <w:p w:rsidR="00AC7227" w:rsidRDefault="00AC7227" w:rsidP="00F51125">
      <w:pPr>
        <w:pStyle w:val="ListParagraph"/>
      </w:pPr>
      <w:r>
        <w:t>Article 2(11): We question the definition of average effective spread proposed by ESMA as we believe the accepted industry definition is 2*</w:t>
      </w:r>
      <w:proofErr w:type="spellStart"/>
      <w:r w:rsidRPr="00AC7227">
        <w:rPr>
          <w:rFonts w:ascii="Arial" w:hAnsi="Arial" w:cs="Arial"/>
        </w:rPr>
        <w:t>ǀ</w:t>
      </w:r>
      <w:r>
        <w:t>execution</w:t>
      </w:r>
      <w:proofErr w:type="spellEnd"/>
      <w:r>
        <w:t xml:space="preserve"> price – mid-</w:t>
      </w:r>
      <w:proofErr w:type="spellStart"/>
      <w:r>
        <w:t>point</w:t>
      </w:r>
      <w:r w:rsidRPr="00AC7227">
        <w:rPr>
          <w:rFonts w:ascii="Arial" w:hAnsi="Arial" w:cs="Arial"/>
        </w:rPr>
        <w:t>ǀ</w:t>
      </w:r>
      <w:proofErr w:type="spellEnd"/>
      <w:r>
        <w:t xml:space="preserve">. It </w:t>
      </w:r>
      <w:r w:rsidR="00282540">
        <w:t>appears t</w:t>
      </w:r>
      <w:r>
        <w:t>hat the definition</w:t>
      </w:r>
      <w:r w:rsidR="00282540">
        <w:t xml:space="preserve"> proposed</w:t>
      </w:r>
      <w:r>
        <w:t xml:space="preserve"> in the </w:t>
      </w:r>
      <w:r w:rsidR="00AD1D63">
        <w:t>draft RTS</w:t>
      </w:r>
      <w:r>
        <w:t xml:space="preserve"> doesn’t doub</w:t>
      </w:r>
      <w:r w:rsidR="00282540">
        <w:t xml:space="preserve">le the difference, although perhaps ESMA is </w:t>
      </w:r>
      <w:r>
        <w:t>deliberately</w:t>
      </w:r>
      <w:r w:rsidR="00282540">
        <w:t xml:space="preserve"> leaving this open to industry interpretation and change over time? We also note that it refers to the time of receipt ra</w:t>
      </w:r>
      <w:r w:rsidR="00443149">
        <w:t>ther than the time of execution.</w:t>
      </w:r>
    </w:p>
    <w:p w:rsidR="00F354DA" w:rsidRDefault="00F354DA" w:rsidP="00B01902">
      <w:pPr>
        <w:ind w:left="720"/>
      </w:pPr>
    </w:p>
    <w:p w:rsidR="00F354DA" w:rsidRPr="00AA24D6" w:rsidRDefault="00AA24D6" w:rsidP="00EC2C93">
      <w:pPr>
        <w:keepNext/>
        <w:rPr>
          <w:u w:val="single"/>
        </w:rPr>
      </w:pPr>
      <w:r w:rsidRPr="00AA24D6">
        <w:rPr>
          <w:u w:val="single"/>
        </w:rPr>
        <w:t>Article 3</w:t>
      </w:r>
    </w:p>
    <w:p w:rsidR="001E1005" w:rsidRDefault="001E1005" w:rsidP="00F51125">
      <w:pPr>
        <w:pStyle w:val="ListParagraph"/>
      </w:pPr>
      <w:r>
        <w:t>Article 3(1</w:t>
      </w:r>
      <w:proofErr w:type="gramStart"/>
      <w:r>
        <w:t>)(</w:t>
      </w:r>
      <w:proofErr w:type="gramEnd"/>
      <w:r>
        <w:t xml:space="preserve">d): We believe the detail of volatility interruptions is not useful information for the purpose of best execution given that such mechanisms are in place in order to try and prevent disorderly trading and therefore should not be seen negatively or as a </w:t>
      </w:r>
      <w:r>
        <w:lastRenderedPageBreak/>
        <w:t xml:space="preserve">deterrent to using venues that may have additional volatility interruptions by virtue of having more stringent controls than other </w:t>
      </w:r>
      <w:r w:rsidR="007935DC">
        <w:t>venues</w:t>
      </w:r>
      <w:r>
        <w:t>.</w:t>
      </w:r>
    </w:p>
    <w:p w:rsidR="001E1005" w:rsidRDefault="009E0E67" w:rsidP="00F51125">
      <w:pPr>
        <w:pStyle w:val="ListParagraph"/>
      </w:pPr>
      <w:r>
        <w:t>Article 3(3</w:t>
      </w:r>
      <w:proofErr w:type="gramStart"/>
      <w:r>
        <w:t>)</w:t>
      </w:r>
      <w:r w:rsidR="001E1005">
        <w:t>(</w:t>
      </w:r>
      <w:proofErr w:type="gramEnd"/>
      <w:r w:rsidR="001E1005">
        <w:t>a – d) should not read ‘number’ as the number of orders is not required, as per the table on page 93. Instead it should read, for example in (a), “the total volume and value of orders…..</w:t>
      </w:r>
      <w:proofErr w:type="gramStart"/>
      <w:r w:rsidR="001E1005">
        <w:t>”.</w:t>
      </w:r>
      <w:proofErr w:type="gramEnd"/>
    </w:p>
    <w:p w:rsidR="00CF0868" w:rsidRDefault="006B2EA0" w:rsidP="00F51125">
      <w:pPr>
        <w:pStyle w:val="ListParagraph"/>
      </w:pPr>
      <w:r>
        <w:t>Art 3(4</w:t>
      </w:r>
      <w:proofErr w:type="gramStart"/>
      <w:r>
        <w:t>)(</w:t>
      </w:r>
      <w:proofErr w:type="gramEnd"/>
      <w:r>
        <w:t>a) &amp; (b) refer to “</w:t>
      </w:r>
      <w:r w:rsidR="00CF0868" w:rsidRPr="00266FD1">
        <w:rPr>
          <w:i/>
        </w:rPr>
        <w:t xml:space="preserve">order </w:t>
      </w:r>
      <w:r>
        <w:t>sizes”</w:t>
      </w:r>
      <w:r w:rsidR="00CF0868">
        <w:t>, however we are unclear if the reference should be to ‘execution sizes’.</w:t>
      </w:r>
    </w:p>
    <w:p w:rsidR="001E1005" w:rsidRDefault="001E1005" w:rsidP="00F51125">
      <w:pPr>
        <w:pStyle w:val="ListParagraph"/>
      </w:pPr>
      <w:r>
        <w:t>Article 3(4</w:t>
      </w:r>
      <w:proofErr w:type="gramStart"/>
      <w:r>
        <w:t>)(</w:t>
      </w:r>
      <w:proofErr w:type="gramEnd"/>
      <w:r>
        <w:t xml:space="preserve">g) refers to market orders only although (a) and (b) are not limited to market orders. We are therefore unclear if (g) </w:t>
      </w:r>
      <w:r w:rsidR="005A72E4">
        <w:t xml:space="preserve">should </w:t>
      </w:r>
      <w:r>
        <w:t>only appl</w:t>
      </w:r>
      <w:r w:rsidR="005A72E4">
        <w:t>y</w:t>
      </w:r>
      <w:r w:rsidR="002B7D6F">
        <w:t xml:space="preserve"> in the case of market orders</w:t>
      </w:r>
      <w:r w:rsidR="00A47B5B">
        <w:t>, and therefore i</w:t>
      </w:r>
      <w:r w:rsidR="0022706B">
        <w:t>f no market orders are executed</w:t>
      </w:r>
      <w:r w:rsidR="00A47B5B">
        <w:t xml:space="preserve"> no data should be provided?</w:t>
      </w:r>
    </w:p>
    <w:p w:rsidR="001E1005" w:rsidRDefault="001E1005" w:rsidP="00F51125">
      <w:pPr>
        <w:pStyle w:val="ListParagraph"/>
      </w:pPr>
      <w:r>
        <w:t>Article 3(4</w:t>
      </w:r>
      <w:proofErr w:type="gramStart"/>
      <w:r>
        <w:t>)(</w:t>
      </w:r>
      <w:proofErr w:type="gramEnd"/>
      <w:r>
        <w:t>l): refers to the ‘benchmark’ price however t</w:t>
      </w:r>
      <w:r w:rsidR="00F37558">
        <w:t>his is not defined in Article 2 (although we note that paragraph 19 of the consultation paper provides examples as to what may be considered).</w:t>
      </w:r>
    </w:p>
    <w:p w:rsidR="00F354DA" w:rsidRDefault="00F354DA" w:rsidP="00EC2C93">
      <w:pPr>
        <w:keepNext/>
      </w:pPr>
    </w:p>
    <w:p w:rsidR="004E53BD" w:rsidRDefault="004E53BD" w:rsidP="00EC2C93">
      <w:pPr>
        <w:keepNext/>
        <w:rPr>
          <w:u w:val="single"/>
        </w:rPr>
      </w:pPr>
      <w:r w:rsidRPr="004E53BD">
        <w:rPr>
          <w:u w:val="single"/>
        </w:rPr>
        <w:t>Article 4</w:t>
      </w:r>
    </w:p>
    <w:p w:rsidR="0011323B" w:rsidRDefault="0011323B" w:rsidP="00F51125">
      <w:pPr>
        <w:pStyle w:val="ListParagraph"/>
      </w:pPr>
      <w:r>
        <w:t>Article 4(1</w:t>
      </w:r>
      <w:proofErr w:type="gramStart"/>
      <w:r>
        <w:t>)(</w:t>
      </w:r>
      <w:proofErr w:type="gramEnd"/>
      <w:r>
        <w:t>b): We believe it would be useful to define ‘depth weighted spread’ since other similar terms are defined.</w:t>
      </w:r>
    </w:p>
    <w:p w:rsidR="00C22E6E" w:rsidRDefault="00C22E6E" w:rsidP="00F51125">
      <w:pPr>
        <w:pStyle w:val="ListParagraph"/>
      </w:pPr>
      <w:r>
        <w:t>Article 4(2</w:t>
      </w:r>
      <w:proofErr w:type="gramStart"/>
      <w:r>
        <w:t>)(</w:t>
      </w:r>
      <w:proofErr w:type="gramEnd"/>
      <w:r>
        <w:t xml:space="preserve">h) and 4(2)(i): As this requirement relates to information per day, we presume it is the </w:t>
      </w:r>
      <w:r w:rsidRPr="00C22E6E">
        <w:rPr>
          <w:b/>
        </w:rPr>
        <w:t>average</w:t>
      </w:r>
      <w:r>
        <w:rPr>
          <w:b/>
        </w:rPr>
        <w:t xml:space="preserve"> </w:t>
      </w:r>
      <w:r w:rsidRPr="00C22E6E">
        <w:t>book depth that is required.</w:t>
      </w:r>
    </w:p>
    <w:p w:rsidR="00955004" w:rsidRDefault="00955004" w:rsidP="00F51125">
      <w:pPr>
        <w:pStyle w:val="ListParagraph"/>
      </w:pPr>
      <w:r>
        <w:t>Article 4(2</w:t>
      </w:r>
      <w:proofErr w:type="gramStart"/>
      <w:r>
        <w:t>)(</w:t>
      </w:r>
      <w:proofErr w:type="gramEnd"/>
      <w:r>
        <w:t>j): We assume this means the ‘official closing price’ and therefore request tha</w:t>
      </w:r>
      <w:r w:rsidR="001B31D6">
        <w:t xml:space="preserve">t ESMA reflects this in the </w:t>
      </w:r>
      <w:r w:rsidR="00AD1D63">
        <w:t>draft RTS</w:t>
      </w:r>
      <w:r w:rsidR="001B31D6">
        <w:t xml:space="preserve">, as markets may have an ‘official closing price’ which is not the same as the last traded price. </w:t>
      </w:r>
    </w:p>
    <w:p w:rsidR="00AA49E4" w:rsidRDefault="00AA49E4" w:rsidP="00F51125">
      <w:pPr>
        <w:pStyle w:val="ListParagraph"/>
      </w:pPr>
      <w:r>
        <w:t>Article 4(2</w:t>
      </w:r>
      <w:proofErr w:type="gramStart"/>
      <w:r>
        <w:t>)(</w:t>
      </w:r>
      <w:proofErr w:type="gramEnd"/>
      <w:r>
        <w:t>n): We are unclear if the intention is to capture the last price before the official closing price (see previous comment) or the last price before the closing auction (if relevant) or t</w:t>
      </w:r>
      <w:r w:rsidR="008C13A9">
        <w:t>he last traded price of the day and request ESMA to clarify this</w:t>
      </w:r>
      <w:r w:rsidR="00DC1F00">
        <w:t xml:space="preserve"> to ensure a consistent approach</w:t>
      </w:r>
      <w:r w:rsidR="008C13A9">
        <w:t>.</w:t>
      </w:r>
    </w:p>
    <w:p w:rsidR="00B51E89" w:rsidRDefault="00B51E89" w:rsidP="00F51125">
      <w:pPr>
        <w:pStyle w:val="ListParagraph"/>
      </w:pPr>
      <w:r>
        <w:t>Article 4(2</w:t>
      </w:r>
      <w:proofErr w:type="gramStart"/>
      <w:r>
        <w:t>)(</w:t>
      </w:r>
      <w:proofErr w:type="gramEnd"/>
      <w:r>
        <w:t xml:space="preserve">o): We note that the requirement is only in relation to market orders and again request clarity if the intention is to exclude </w:t>
      </w:r>
      <w:r w:rsidR="00EC5C27">
        <w:t>all other</w:t>
      </w:r>
      <w:r>
        <w:t xml:space="preserve"> order</w:t>
      </w:r>
      <w:r w:rsidR="00EC5C27">
        <w:t xml:space="preserve"> type</w:t>
      </w:r>
      <w:r>
        <w:t>s?</w:t>
      </w:r>
    </w:p>
    <w:p w:rsidR="00483ECE" w:rsidRDefault="00483ECE" w:rsidP="00EC2C93">
      <w:pPr>
        <w:keepNext/>
      </w:pPr>
    </w:p>
    <w:p w:rsidR="00483ECE" w:rsidRPr="00483ECE" w:rsidRDefault="00483ECE" w:rsidP="00EC2C93">
      <w:pPr>
        <w:keepNext/>
        <w:rPr>
          <w:u w:val="single"/>
        </w:rPr>
      </w:pPr>
      <w:r w:rsidRPr="00483ECE">
        <w:rPr>
          <w:u w:val="single"/>
        </w:rPr>
        <w:t>Annex 1</w:t>
      </w:r>
    </w:p>
    <w:p w:rsidR="00A35DC1" w:rsidRDefault="00A35DC1" w:rsidP="00F51125">
      <w:pPr>
        <w:pStyle w:val="ListParagraph"/>
      </w:pPr>
      <w:r>
        <w:t>Table page 94: Further guidance is needed on the expected content of column 2</w:t>
      </w:r>
      <w:r w:rsidR="00483ECE">
        <w:t xml:space="preserve"> ‘Category of order size’ as we do not see where this is defined.</w:t>
      </w:r>
    </w:p>
    <w:p w:rsidR="00483ECE" w:rsidRDefault="00483ECE" w:rsidP="00F51125">
      <w:pPr>
        <w:pStyle w:val="ListParagraph"/>
      </w:pPr>
      <w:r>
        <w:t>Table page 94: We believe the information is required for executed orders and therefor</w:t>
      </w:r>
      <w:r w:rsidR="000A5D0B">
        <w:t>e suggest chang</w:t>
      </w:r>
      <w:r w:rsidR="00AB18EF">
        <w:t>ing</w:t>
      </w:r>
      <w:r w:rsidR="000A5D0B">
        <w:t xml:space="preserve"> the title to “</w:t>
      </w:r>
      <w:r>
        <w:t>First Buy/Sell Executed Order after Time T”.</w:t>
      </w:r>
    </w:p>
    <w:p w:rsidR="00A35DC1" w:rsidRDefault="00A35DC1" w:rsidP="00EC2C93">
      <w:pPr>
        <w:keepNext/>
      </w:pPr>
    </w:p>
    <w:permEnd w:id="188613676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lastRenderedPageBreak/>
        <w:t>&lt;ESMA_QUESTION_CP_MIFID_31&gt;</w:t>
      </w:r>
    </w:p>
    <w:p w:rsidR="00BB0724" w:rsidRDefault="00BB0724" w:rsidP="00EC2C93">
      <w:pPr>
        <w:keepNext/>
      </w:pPr>
      <w:permStart w:id="1558327167" w:edGrp="everyone"/>
      <w:r>
        <w:t xml:space="preserve">While we were supportive of the proposal in the DP to categorise securities into ranges as we had </w:t>
      </w:r>
      <w:r w:rsidR="00065ED1">
        <w:t xml:space="preserve">expected </w:t>
      </w:r>
      <w:r>
        <w:t>that</w:t>
      </w:r>
      <w:r w:rsidR="00065ED1">
        <w:t xml:space="preserve"> this would result in the</w:t>
      </w:r>
      <w:r>
        <w:t xml:space="preserve"> data be</w:t>
      </w:r>
      <w:r w:rsidR="00065ED1">
        <w:t>ing</w:t>
      </w:r>
      <w:r>
        <w:t xml:space="preserve"> aggregated in a meaningful way for all of the sec</w:t>
      </w:r>
      <w:r w:rsidR="00065ED1">
        <w:t>urities within each range, as we now understand</w:t>
      </w:r>
      <w:r>
        <w:t xml:space="preserve"> that </w:t>
      </w:r>
      <w:r w:rsidR="00065ED1">
        <w:t>the intention is that it will provide an even more</w:t>
      </w:r>
      <w:r>
        <w:t xml:space="preserve"> granular approach to data (for each financial instrument on a daily basis), we no longer believe that such ranges are beneficial.</w:t>
      </w:r>
    </w:p>
    <w:p w:rsidR="00BB0724" w:rsidRDefault="00BB0724" w:rsidP="00EC2C93">
      <w:pPr>
        <w:keepNext/>
      </w:pPr>
    </w:p>
    <w:p w:rsidR="00577C33" w:rsidRDefault="006B3B06" w:rsidP="00EC2C93">
      <w:pPr>
        <w:keepNext/>
      </w:pPr>
      <w:r>
        <w:t>However i</w:t>
      </w:r>
      <w:r w:rsidR="00BB0724">
        <w:t>f ESMA decides to maintain the inclusion of ranges</w:t>
      </w:r>
      <w:r w:rsidR="00EB04FF">
        <w:t>,</w:t>
      </w:r>
      <w:r w:rsidR="00BB0724">
        <w:t xml:space="preserve"> then we believe the ranges for shares need to be set in a transparent way using established ranges, and that the same ranges are used under </w:t>
      </w:r>
      <w:r w:rsidR="00920D2A">
        <w:t xml:space="preserve">both </w:t>
      </w:r>
      <w:r w:rsidR="00AD1D63">
        <w:t>draft RTS</w:t>
      </w:r>
      <w:r w:rsidR="00BB0724">
        <w:t xml:space="preserve"> 6 and </w:t>
      </w:r>
      <w:r w:rsidR="00AD1D63">
        <w:t>draft RTS</w:t>
      </w:r>
      <w:r w:rsidR="00BB0724">
        <w:t xml:space="preserve"> 7 (in order to provide </w:t>
      </w:r>
      <w:r>
        <w:t xml:space="preserve">some level of </w:t>
      </w:r>
      <w:r w:rsidR="00BB0724">
        <w:t>comparability).</w:t>
      </w:r>
      <w:r w:rsidR="00EB04FF">
        <w:t xml:space="preserve"> </w:t>
      </w:r>
      <w:r w:rsidR="00BB0724">
        <w:t xml:space="preserve">We suggest that either the </w:t>
      </w:r>
      <w:r w:rsidR="00EB04FF">
        <w:t>Standard Market Size</w:t>
      </w:r>
      <w:r w:rsidR="00BB0724">
        <w:t xml:space="preserve"> table</w:t>
      </w:r>
      <w:r w:rsidR="00EB04FF">
        <w:t xml:space="preserve"> or</w:t>
      </w:r>
      <w:r w:rsidR="00BB0724">
        <w:t xml:space="preserve"> the</w:t>
      </w:r>
      <w:r w:rsidR="00EB04FF">
        <w:t xml:space="preserve"> Large in Scale</w:t>
      </w:r>
      <w:r w:rsidR="00BB0724">
        <w:t xml:space="preserve"> table is used i.e. 8 ranges</w:t>
      </w:r>
      <w:r w:rsidR="00920D2A">
        <w:t>, but not both</w:t>
      </w:r>
      <w:r w:rsidR="00BB0724">
        <w:t>. For example, if applying the LIS table, range 1 would be “greater than zero and less than 100000”, range 2 would be “greater than or equal to 100000 and less than 500000” etc.</w:t>
      </w:r>
    </w:p>
    <w:permEnd w:id="155832716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8D3725" w:rsidP="00EC2C93">
      <w:pPr>
        <w:keepNext/>
      </w:pPr>
      <w:permStart w:id="852173583" w:edGrp="everyone"/>
      <w:r>
        <w:t xml:space="preserve">We have not identified any additional metrics that should be considered. Furthermore we </w:t>
      </w:r>
      <w:r w:rsidR="00D473E9">
        <w:t xml:space="preserve">believe that </w:t>
      </w:r>
      <w:r>
        <w:t xml:space="preserve">‘settlement’ </w:t>
      </w:r>
      <w:r w:rsidR="00D473E9">
        <w:t>should be deleted from Article 2(1) given that it is</w:t>
      </w:r>
      <w:r>
        <w:t xml:space="preserve"> not</w:t>
      </w:r>
      <w:r w:rsidR="00D473E9">
        <w:t xml:space="preserve"> one of the factors included</w:t>
      </w:r>
      <w:r>
        <w:t xml:space="preserve"> in the Level 1 text</w:t>
      </w:r>
      <w:r w:rsidR="00D473E9">
        <w:t xml:space="preserve"> i.e. Article 27(3) of the Directive specifically lists “price, costs, speed and likelihood of execution” as the parameters that should be considered</w:t>
      </w:r>
      <w:r>
        <w:t>.</w:t>
      </w:r>
    </w:p>
    <w:permEnd w:id="852173583"/>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8D3725" w:rsidP="00EC2C93">
      <w:pPr>
        <w:keepNext/>
      </w:pPr>
      <w:permStart w:id="1522553840" w:edGrp="everyone"/>
      <w:r>
        <w:t>We believe that clarity is needed when considering the speed of execution. It should explicitly exclude those trades that are executed outside of an electronic system such as manual trades.</w:t>
      </w:r>
    </w:p>
    <w:permEnd w:id="1522553840"/>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230323691" w:edGrp="everyone"/>
      <w:r>
        <w:t>TYPE YOUR TEXT HERE</w:t>
      </w:r>
    </w:p>
    <w:permEnd w:id="1230323691"/>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563155088" w:edGrp="everyone"/>
      <w:r>
        <w:t>TYPE YOUR TEXT HERE</w:t>
      </w:r>
    </w:p>
    <w:permEnd w:id="563155088"/>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21575A" w:rsidRDefault="0021575A" w:rsidP="005B2F1E">
      <w:pPr>
        <w:ind w:left="360"/>
      </w:pPr>
      <w:permStart w:id="765814177" w:edGrp="everyone"/>
      <w:r>
        <w:t>Our mai</w:t>
      </w:r>
      <w:r w:rsidR="005B2F1E">
        <w:t xml:space="preserve">n concern is the inclusion of </w:t>
      </w:r>
      <w:r>
        <w:t>market maker</w:t>
      </w:r>
      <w:r w:rsidR="005B2F1E">
        <w:t>s and other liquidity providers</w:t>
      </w:r>
      <w:r>
        <w:t xml:space="preserve"> as a type of execution venue. This should only be the case where the market maker </w:t>
      </w:r>
      <w:r w:rsidR="008606FB">
        <w:t xml:space="preserve">or other liquidity provider </w:t>
      </w:r>
      <w:r>
        <w:t>executes the trades on an OTC basis.</w:t>
      </w:r>
    </w:p>
    <w:p w:rsidR="00307870" w:rsidRDefault="00307870" w:rsidP="005B2F1E">
      <w:pPr>
        <w:ind w:left="360"/>
      </w:pPr>
    </w:p>
    <w:p w:rsidR="00307870" w:rsidRDefault="00307870" w:rsidP="005B2F1E">
      <w:pPr>
        <w:ind w:left="360"/>
      </w:pPr>
      <w:r>
        <w:t>We also have a number of other final comments on the proposals:</w:t>
      </w:r>
    </w:p>
    <w:p w:rsidR="00146B8E" w:rsidRDefault="00146B8E" w:rsidP="00F51125">
      <w:pPr>
        <w:pStyle w:val="ListParagraph"/>
      </w:pPr>
      <w:r>
        <w:t>The ISE believes that any separation of reporting by client type should only be provided to the NCA as it may be detrimental to investment firms’ business if this information was made public, and dissuade retail investors from dealing with certain firms, thereby offering them less choice.</w:t>
      </w:r>
    </w:p>
    <w:p w:rsidR="00CC31C5" w:rsidRDefault="00CC31C5" w:rsidP="00F51125">
      <w:pPr>
        <w:pStyle w:val="ListParagraph"/>
      </w:pPr>
      <w:r>
        <w:t>Article 5(3) requires information to be published as a percentage “of all client orders”, whereas Article 5(4) requires information to be published as a percentage “of total executed orders”. This suggests a varying denominator which will make it more difficult to compare data. We propose that the denominator for each calculation should be “all client orders”.</w:t>
      </w:r>
    </w:p>
    <w:p w:rsidR="00D77A9D" w:rsidRDefault="00D77A9D" w:rsidP="00D77A9D">
      <w:pPr>
        <w:pStyle w:val="ListParagraph"/>
      </w:pPr>
      <w:r>
        <w:t>Article 5(4) states that the total number of orders should be published however Recital 3 states that absolute numbers will not be required. This same comment also applies to the table in Annex 1.</w:t>
      </w:r>
    </w:p>
    <w:p w:rsidR="00EB2200" w:rsidRDefault="00EB2200" w:rsidP="00F51125">
      <w:pPr>
        <w:pStyle w:val="ListParagraph"/>
      </w:pPr>
      <w:r>
        <w:t xml:space="preserve">Article 5(9) refers to discounts or rebates however only in the general sense. We note that in paragraph 33 of the CP ESMA clarifies that this is specifically in relation to discounts and rebates that are given to the firm in return for routing a client order to that particular venue. We believe this must also be clear in the </w:t>
      </w:r>
      <w:r w:rsidR="00AD1D63">
        <w:t>RTS</w:t>
      </w:r>
      <w:r>
        <w:t xml:space="preserve"> as otherwise it could include general discounts that are part of volume based pricing. Therefore we propose the following wording:</w:t>
      </w:r>
    </w:p>
    <w:p w:rsidR="00EB2200" w:rsidRDefault="00EB2200" w:rsidP="00EE4200">
      <w:pPr>
        <w:ind w:left="720"/>
      </w:pPr>
      <w:r>
        <w:t xml:space="preserve">“For each of the top five execution venues the existence and monthly value of any payments, discounts or rebates received from the execution venue </w:t>
      </w:r>
      <w:r w:rsidRPr="00EE4200">
        <w:rPr>
          <w:b/>
        </w:rPr>
        <w:t xml:space="preserve">in return for routing client orders to that venue </w:t>
      </w:r>
      <w:r w:rsidRPr="00EB2200">
        <w:t>together with……”</w:t>
      </w:r>
    </w:p>
    <w:p w:rsidR="00EE4200" w:rsidRDefault="00EE4200" w:rsidP="00F51125">
      <w:pPr>
        <w:pStyle w:val="ListParagraph"/>
      </w:pPr>
      <w:r>
        <w:t>Article 5(13): We question the benefit of requiring investment firms to include the</w:t>
      </w:r>
      <w:r w:rsidR="00493B62">
        <w:t xml:space="preserve"> link to the relevant section on</w:t>
      </w:r>
      <w:r>
        <w:t xml:space="preserve"> the website of the execution venue containing the execution quality data, particularly when the proposed data is likely to be too granular and in certain cases too technical for it to be understood </w:t>
      </w:r>
      <w:r w:rsidR="00493B62">
        <w:t>by</w:t>
      </w:r>
      <w:r>
        <w:t xml:space="preserve"> retail investors.</w:t>
      </w:r>
    </w:p>
    <w:p w:rsidR="00B22865" w:rsidRDefault="00B22865" w:rsidP="00F51125">
      <w:pPr>
        <w:pStyle w:val="ListParagraph"/>
      </w:pPr>
      <w:r>
        <w:t>We note that there is no table prescribed for the information to be published under Article 6.</w:t>
      </w:r>
    </w:p>
    <w:p w:rsidR="00EB2200" w:rsidRDefault="00EB2200" w:rsidP="00EB2200"/>
    <w:permEnd w:id="76581417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16"/>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98857496" w:edGrp="everyone"/>
      <w:r>
        <w:t>TYPE YOUR TEXT HERE</w:t>
      </w:r>
    </w:p>
    <w:permEnd w:id="19885749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66103962" w:edGrp="everyone"/>
      <w:r>
        <w:t>TYPE YOUR TEXT HERE</w:t>
      </w:r>
    </w:p>
    <w:permEnd w:id="266103962"/>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266651" w:rsidRDefault="00266651" w:rsidP="00266651">
      <w:pPr>
        <w:pStyle w:val="CPQuestions"/>
        <w:numPr>
          <w:ilvl w:val="0"/>
          <w:numId w:val="0"/>
        </w:numPr>
        <w:rPr>
          <w:b w:val="0"/>
        </w:rPr>
      </w:pPr>
      <w:permStart w:id="1865881173" w:edGrp="everyone"/>
      <w:r w:rsidRPr="00AD01EF">
        <w:rPr>
          <w:b w:val="0"/>
        </w:rPr>
        <w:t>In general we support the types of transactions listed as not contribu</w:t>
      </w:r>
      <w:r w:rsidR="00755BAC">
        <w:rPr>
          <w:b w:val="0"/>
        </w:rPr>
        <w:t>ting to price formation but have</w:t>
      </w:r>
      <w:r w:rsidRPr="00AD01EF">
        <w:rPr>
          <w:b w:val="0"/>
        </w:rPr>
        <w:t xml:space="preserve"> a </w:t>
      </w:r>
      <w:r w:rsidR="00755BAC">
        <w:rPr>
          <w:b w:val="0"/>
        </w:rPr>
        <w:t>concern with the approach of defining an exhaustive list</w:t>
      </w:r>
      <w:r w:rsidRPr="00AD01EF">
        <w:rPr>
          <w:b w:val="0"/>
        </w:rPr>
        <w:t xml:space="preserve">. The </w:t>
      </w:r>
      <w:r>
        <w:rPr>
          <w:b w:val="0"/>
        </w:rPr>
        <w:t>identification</w:t>
      </w:r>
      <w:r w:rsidRPr="00AD01EF">
        <w:rPr>
          <w:b w:val="0"/>
        </w:rPr>
        <w:t xml:space="preserve"> of non-standard settlement </w:t>
      </w:r>
      <w:r>
        <w:rPr>
          <w:b w:val="0"/>
        </w:rPr>
        <w:t xml:space="preserve">as another transaction type which could be added to the list </w:t>
      </w:r>
      <w:r w:rsidRPr="00AD01EF">
        <w:rPr>
          <w:b w:val="0"/>
        </w:rPr>
        <w:t xml:space="preserve">demonstrates the inherent risks of an exhaustive list, namely that types of transactions which </w:t>
      </w:r>
      <w:r>
        <w:rPr>
          <w:b w:val="0"/>
        </w:rPr>
        <w:t>meet the criteria</w:t>
      </w:r>
      <w:r w:rsidRPr="00AD01EF">
        <w:rPr>
          <w:b w:val="0"/>
        </w:rPr>
        <w:t xml:space="preserve"> but which have yet to be identified and flagged</w:t>
      </w:r>
      <w:r>
        <w:rPr>
          <w:b w:val="0"/>
        </w:rPr>
        <w:t xml:space="preserve"> as such by market participants</w:t>
      </w:r>
      <w:r w:rsidRPr="00AD01EF">
        <w:rPr>
          <w:b w:val="0"/>
        </w:rPr>
        <w:t xml:space="preserve"> will not be able to be added to this list at a later date. Therefore, the ISE believes that the transactions listed</w:t>
      </w:r>
      <w:r>
        <w:rPr>
          <w:b w:val="0"/>
        </w:rPr>
        <w:t xml:space="preserve"> with the addition of non-standard settlement</w:t>
      </w:r>
      <w:r w:rsidRPr="00AD01EF">
        <w:rPr>
          <w:b w:val="0"/>
        </w:rPr>
        <w:t xml:space="preserve"> should be retained as examples</w:t>
      </w:r>
      <w:r>
        <w:rPr>
          <w:b w:val="0"/>
        </w:rPr>
        <w:t xml:space="preserve"> in principle</w:t>
      </w:r>
      <w:r w:rsidRPr="00AD01EF">
        <w:rPr>
          <w:b w:val="0"/>
        </w:rPr>
        <w:t xml:space="preserve"> of transactions which do not contribute to price discovery but that the possibility of others being added should be left open</w:t>
      </w:r>
      <w:r>
        <w:rPr>
          <w:b w:val="0"/>
        </w:rPr>
        <w:t>, potentially requiring approval by competent authorities to ensure a consistent approach.</w:t>
      </w:r>
    </w:p>
    <w:p w:rsidR="00EE235A" w:rsidRDefault="00EE235A" w:rsidP="00266651">
      <w:pPr>
        <w:pStyle w:val="CPQuestions"/>
        <w:numPr>
          <w:ilvl w:val="0"/>
          <w:numId w:val="0"/>
        </w:numPr>
        <w:rPr>
          <w:b w:val="0"/>
        </w:rPr>
      </w:pPr>
    </w:p>
    <w:p w:rsidR="00EE235A" w:rsidRPr="00EE235A" w:rsidRDefault="00EE235A" w:rsidP="00266651">
      <w:pPr>
        <w:pStyle w:val="CPQuestions"/>
        <w:numPr>
          <w:ilvl w:val="0"/>
          <w:numId w:val="0"/>
        </w:numPr>
        <w:rPr>
          <w:u w:val="single"/>
        </w:rPr>
      </w:pPr>
      <w:r w:rsidRPr="00EE235A">
        <w:rPr>
          <w:u w:val="single"/>
        </w:rPr>
        <w:t>Non-standard settlement</w:t>
      </w:r>
    </w:p>
    <w:p w:rsidR="00266651" w:rsidRDefault="00266651" w:rsidP="00266651">
      <w:pPr>
        <w:pStyle w:val="CPQuestions"/>
        <w:numPr>
          <w:ilvl w:val="0"/>
          <w:numId w:val="0"/>
        </w:numPr>
        <w:rPr>
          <w:b w:val="0"/>
        </w:rPr>
      </w:pPr>
      <w:r w:rsidRPr="00AD01EF">
        <w:rPr>
          <w:b w:val="0"/>
        </w:rPr>
        <w:t xml:space="preserve">We agree that non-standard </w:t>
      </w:r>
      <w:r w:rsidR="002360AB">
        <w:rPr>
          <w:b w:val="0"/>
        </w:rPr>
        <w:t>or special settlement trades, due to</w:t>
      </w:r>
      <w:r w:rsidRPr="00AD01EF">
        <w:rPr>
          <w:b w:val="0"/>
        </w:rPr>
        <w:t xml:space="preserve"> their nature, </w:t>
      </w:r>
      <w:r>
        <w:rPr>
          <w:b w:val="0"/>
        </w:rPr>
        <w:t>should be included on this list</w:t>
      </w:r>
      <w:r w:rsidR="002360AB">
        <w:rPr>
          <w:b w:val="0"/>
        </w:rPr>
        <w:t xml:space="preserve"> of transactions subject to conditions other than the current market price in Article 6 of the </w:t>
      </w:r>
      <w:r w:rsidR="00AD1D63">
        <w:rPr>
          <w:b w:val="0"/>
        </w:rPr>
        <w:t>draft RTS</w:t>
      </w:r>
      <w:r w:rsidR="00FF3772">
        <w:rPr>
          <w:b w:val="0"/>
        </w:rPr>
        <w:t xml:space="preserve">. </w:t>
      </w:r>
      <w:r>
        <w:rPr>
          <w:b w:val="0"/>
        </w:rPr>
        <w:t>Situations in which non-standard settlement trades are not price forming include when:</w:t>
      </w:r>
    </w:p>
    <w:p w:rsidR="00266651" w:rsidRPr="00231A2B" w:rsidRDefault="00266651" w:rsidP="00266651">
      <w:pPr>
        <w:pStyle w:val="CPQuestions"/>
        <w:numPr>
          <w:ilvl w:val="0"/>
          <w:numId w:val="20"/>
        </w:numPr>
        <w:rPr>
          <w:b w:val="0"/>
        </w:rPr>
      </w:pPr>
      <w:r>
        <w:rPr>
          <w:b w:val="0"/>
        </w:rPr>
        <w:t>n</w:t>
      </w:r>
      <w:r w:rsidRPr="00AD01EF">
        <w:rPr>
          <w:b w:val="0"/>
        </w:rPr>
        <w:t>on-standard or special settlement tra</w:t>
      </w:r>
      <w:r>
        <w:rPr>
          <w:b w:val="0"/>
        </w:rPr>
        <w:t>des</w:t>
      </w:r>
      <w:r w:rsidRPr="00AD01EF">
        <w:rPr>
          <w:b w:val="0"/>
        </w:rPr>
        <w:t xml:space="preserve"> </w:t>
      </w:r>
      <w:r>
        <w:rPr>
          <w:b w:val="0"/>
        </w:rPr>
        <w:t>are</w:t>
      </w:r>
      <w:r w:rsidRPr="00AD01EF">
        <w:rPr>
          <w:b w:val="0"/>
        </w:rPr>
        <w:t xml:space="preserve"> for extended settlement periods. </w:t>
      </w:r>
      <w:r>
        <w:rPr>
          <w:b w:val="0"/>
        </w:rPr>
        <w:t>When these trades take place</w:t>
      </w:r>
      <w:r w:rsidRPr="00AD01EF">
        <w:rPr>
          <w:b w:val="0"/>
        </w:rPr>
        <w:t xml:space="preserve"> the agreed price</w:t>
      </w:r>
      <w:r w:rsidR="00FF3772">
        <w:rPr>
          <w:b w:val="0"/>
        </w:rPr>
        <w:t xml:space="preserve"> usually</w:t>
      </w:r>
      <w:r w:rsidRPr="00AD01EF">
        <w:rPr>
          <w:b w:val="0"/>
        </w:rPr>
        <w:t xml:space="preserve"> include</w:t>
      </w:r>
      <w:r w:rsidR="00FF3772">
        <w:rPr>
          <w:b w:val="0"/>
        </w:rPr>
        <w:t>s</w:t>
      </w:r>
      <w:r w:rsidRPr="00AD01EF">
        <w:rPr>
          <w:b w:val="0"/>
        </w:rPr>
        <w:t xml:space="preserve"> a premium for the added risk taken on by the counterparties and, in this respect, </w:t>
      </w:r>
      <w:r w:rsidR="00FF3772">
        <w:rPr>
          <w:b w:val="0"/>
        </w:rPr>
        <w:t>is not reflective of the current market price.</w:t>
      </w:r>
    </w:p>
    <w:p w:rsidR="00266651" w:rsidRDefault="00266651" w:rsidP="00266651">
      <w:pPr>
        <w:pStyle w:val="CPQuestions"/>
        <w:numPr>
          <w:ilvl w:val="0"/>
          <w:numId w:val="20"/>
        </w:numPr>
        <w:rPr>
          <w:b w:val="0"/>
        </w:rPr>
      </w:pPr>
      <w:r w:rsidRPr="00AD01EF">
        <w:rPr>
          <w:b w:val="0"/>
        </w:rPr>
        <w:t>individual investors require immediate liquidity and thus a r</w:t>
      </w:r>
      <w:r w:rsidR="00E873E6">
        <w:rPr>
          <w:b w:val="0"/>
        </w:rPr>
        <w:t>educed settlement period. In the</w:t>
      </w:r>
      <w:r w:rsidRPr="00AD01EF">
        <w:rPr>
          <w:b w:val="0"/>
        </w:rPr>
        <w:t>s</w:t>
      </w:r>
      <w:r w:rsidR="00E873E6">
        <w:rPr>
          <w:b w:val="0"/>
        </w:rPr>
        <w:t>e</w:t>
      </w:r>
      <w:r w:rsidRPr="00AD01EF">
        <w:rPr>
          <w:b w:val="0"/>
        </w:rPr>
        <w:t xml:space="preserve"> </w:t>
      </w:r>
      <w:r>
        <w:rPr>
          <w:b w:val="0"/>
        </w:rPr>
        <w:t>circumstance</w:t>
      </w:r>
      <w:r w:rsidR="00E873E6">
        <w:rPr>
          <w:b w:val="0"/>
        </w:rPr>
        <w:t>s</w:t>
      </w:r>
      <w:r w:rsidRPr="00AD01EF">
        <w:rPr>
          <w:b w:val="0"/>
        </w:rPr>
        <w:t>, the preference for immediate liquidity</w:t>
      </w:r>
      <w:r>
        <w:rPr>
          <w:b w:val="0"/>
        </w:rPr>
        <w:t xml:space="preserve"> over best price</w:t>
      </w:r>
      <w:r w:rsidRPr="00AD01EF">
        <w:rPr>
          <w:b w:val="0"/>
        </w:rPr>
        <w:t xml:space="preserve"> may result in the transaction price </w:t>
      </w:r>
      <w:r>
        <w:rPr>
          <w:b w:val="0"/>
        </w:rPr>
        <w:t xml:space="preserve">deviating </w:t>
      </w:r>
      <w:r w:rsidRPr="00AD01EF">
        <w:rPr>
          <w:b w:val="0"/>
        </w:rPr>
        <w:t>from the</w:t>
      </w:r>
      <w:r>
        <w:rPr>
          <w:b w:val="0"/>
        </w:rPr>
        <w:t xml:space="preserve"> market</w:t>
      </w:r>
      <w:r w:rsidRPr="00AD01EF">
        <w:rPr>
          <w:b w:val="0"/>
        </w:rPr>
        <w:t xml:space="preserve"> price. </w:t>
      </w:r>
    </w:p>
    <w:p w:rsidR="00266651" w:rsidRPr="00AD01EF" w:rsidRDefault="00266651" w:rsidP="00266651">
      <w:pPr>
        <w:pStyle w:val="CPQuestions"/>
        <w:numPr>
          <w:ilvl w:val="0"/>
          <w:numId w:val="20"/>
        </w:numPr>
        <w:rPr>
          <w:b w:val="0"/>
        </w:rPr>
      </w:pPr>
      <w:r>
        <w:rPr>
          <w:b w:val="0"/>
        </w:rPr>
        <w:lastRenderedPageBreak/>
        <w:t xml:space="preserve">corporate actions are due. For example, </w:t>
      </w:r>
      <w:r w:rsidRPr="00AD01EF">
        <w:rPr>
          <w:b w:val="0"/>
        </w:rPr>
        <w:t xml:space="preserve">the prices of non-standard or special settlement trades may differ from the market price owing to the declaration of dividends. For example, if a share goes ex-div the market price </w:t>
      </w:r>
      <w:r>
        <w:rPr>
          <w:b w:val="0"/>
        </w:rPr>
        <w:t>will be</w:t>
      </w:r>
      <w:r w:rsidRPr="00AD01EF">
        <w:rPr>
          <w:b w:val="0"/>
        </w:rPr>
        <w:t xml:space="preserve"> adjusted downward for the dividend</w:t>
      </w:r>
      <w:r>
        <w:rPr>
          <w:b w:val="0"/>
        </w:rPr>
        <w:t>. Should market participants then</w:t>
      </w:r>
      <w:r w:rsidRPr="00AD01EF">
        <w:rPr>
          <w:b w:val="0"/>
        </w:rPr>
        <w:t xml:space="preserve"> agree on a transaction with T+0 settlement such that the buyer of the share will capture the dividend</w:t>
      </w:r>
      <w:r w:rsidR="00BD5D2A">
        <w:rPr>
          <w:b w:val="0"/>
        </w:rPr>
        <w:t>,</w:t>
      </w:r>
      <w:r>
        <w:rPr>
          <w:b w:val="0"/>
        </w:rPr>
        <w:t xml:space="preserve"> the execution price will incorporate the dividend and therefore deviate from the existing market price. Similarly, if a trade is negotiated prior to the declaration of a dividend with a settlement date after the dividend payment date, the trade price would then have to be adjusted downward to take account of the anticipated dividend price and would also not be price forming.  </w:t>
      </w:r>
    </w:p>
    <w:p w:rsidR="006E7968" w:rsidRPr="00AD01EF" w:rsidRDefault="00266651" w:rsidP="006E7968">
      <w:pPr>
        <w:pStyle w:val="CPQuestions"/>
        <w:numPr>
          <w:ilvl w:val="0"/>
          <w:numId w:val="0"/>
        </w:numPr>
        <w:rPr>
          <w:b w:val="0"/>
        </w:rPr>
      </w:pPr>
      <w:r>
        <w:rPr>
          <w:b w:val="0"/>
        </w:rPr>
        <w:t>We recognise ESMA’s concerns that including non-standard or special settlement may undermine the policy objectives of MiFIR of ensuring that price formation remains efficient</w:t>
      </w:r>
      <w:r w:rsidR="00BD5D2A">
        <w:rPr>
          <w:b w:val="0"/>
        </w:rPr>
        <w:t>, however we</w:t>
      </w:r>
      <w:r>
        <w:rPr>
          <w:b w:val="0"/>
        </w:rPr>
        <w:t xml:space="preserve"> do not believe they are warranted in this circumstance. Non-standard or special settlement is only available for a limited number of </w:t>
      </w:r>
      <w:r w:rsidR="004252C5">
        <w:rPr>
          <w:b w:val="0"/>
        </w:rPr>
        <w:t>specific situations</w:t>
      </w:r>
      <w:r>
        <w:rPr>
          <w:b w:val="0"/>
        </w:rPr>
        <w:t xml:space="preserve"> as outlined above and represent a </w:t>
      </w:r>
      <w:r w:rsidR="0088123A">
        <w:rPr>
          <w:b w:val="0"/>
        </w:rPr>
        <w:t>small</w:t>
      </w:r>
      <w:r>
        <w:rPr>
          <w:b w:val="0"/>
        </w:rPr>
        <w:t xml:space="preserve"> p</w:t>
      </w:r>
      <w:r w:rsidR="0088123A">
        <w:rPr>
          <w:b w:val="0"/>
        </w:rPr>
        <w:t>roportion</w:t>
      </w:r>
      <w:r>
        <w:rPr>
          <w:b w:val="0"/>
        </w:rPr>
        <w:t xml:space="preserve"> of trades</w:t>
      </w:r>
      <w:r w:rsidR="00443388">
        <w:rPr>
          <w:b w:val="0"/>
        </w:rPr>
        <w:t>. We see a decreasing trend for such types of transactions as settlement efficiencies continue to grow and t</w:t>
      </w:r>
      <w:r>
        <w:rPr>
          <w:b w:val="0"/>
        </w:rPr>
        <w:t>herefore</w:t>
      </w:r>
      <w:r w:rsidR="00443388">
        <w:rPr>
          <w:b w:val="0"/>
        </w:rPr>
        <w:t xml:space="preserve"> believe</w:t>
      </w:r>
      <w:r>
        <w:rPr>
          <w:b w:val="0"/>
        </w:rPr>
        <w:t xml:space="preserve"> the inclusion</w:t>
      </w:r>
      <w:r w:rsidR="00443388">
        <w:rPr>
          <w:b w:val="0"/>
        </w:rPr>
        <w:t xml:space="preserve"> of such transactions</w:t>
      </w:r>
      <w:r>
        <w:rPr>
          <w:b w:val="0"/>
        </w:rPr>
        <w:t xml:space="preserve"> will not undermine the objectives of MiFIR.</w:t>
      </w:r>
    </w:p>
    <w:permEnd w:id="1865881173"/>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6E7968" w:rsidRPr="000928F6" w:rsidRDefault="006E7968" w:rsidP="006E7968">
      <w:pPr>
        <w:pStyle w:val="CPQuestions"/>
        <w:numPr>
          <w:ilvl w:val="0"/>
          <w:numId w:val="0"/>
        </w:numPr>
        <w:rPr>
          <w:b w:val="0"/>
        </w:rPr>
      </w:pPr>
      <w:permStart w:id="781739475" w:edGrp="everyone"/>
      <w:r>
        <w:rPr>
          <w:b w:val="0"/>
        </w:rPr>
        <w:t>The ISE agrees with ESMA’s proposals in relation to the key characteristics of orders held in order management facilities and the proposed minimum size for reserve orders</w:t>
      </w:r>
      <w:r w:rsidR="000667CC">
        <w:rPr>
          <w:b w:val="0"/>
        </w:rPr>
        <w:t>, as we belive they are proportional and relevant to those orde types</w:t>
      </w:r>
      <w:r>
        <w:rPr>
          <w:b w:val="0"/>
        </w:rPr>
        <w:t>.</w:t>
      </w:r>
    </w:p>
    <w:permEnd w:id="781739475"/>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0D4307" w:rsidRDefault="006E7968" w:rsidP="006E7968">
      <w:permStart w:id="80294764" w:edGrp="everyone"/>
      <w:r>
        <w:t>The ISE is broadly in agreement with the classes and frequency of calculation proposed by ESMA for shares</w:t>
      </w:r>
      <w:r w:rsidR="009F5C20">
        <w:t xml:space="preserve"> and continues to support the inclusion of additional liquidity classes in order to try and achieve a more balanced </w:t>
      </w:r>
      <w:r w:rsidR="00C27E3F">
        <w:t>approach</w:t>
      </w:r>
      <w:r w:rsidR="009F5C20">
        <w:t>, particularly the new class for shares with an ADT &lt; 100000</w:t>
      </w:r>
      <w:r>
        <w:t xml:space="preserve">. </w:t>
      </w:r>
      <w:r w:rsidR="009F5C20">
        <w:t>However</w:t>
      </w:r>
      <w:r w:rsidR="0011601C">
        <w:t>, w</w:t>
      </w:r>
      <w:r>
        <w:t>e still have</w:t>
      </w:r>
      <w:r w:rsidR="00700438">
        <w:t xml:space="preserve"> some</w:t>
      </w:r>
      <w:r>
        <w:t xml:space="preserve"> reservations that the minimum sizes for orders to qualify as large in scale </w:t>
      </w:r>
      <w:r w:rsidR="00700438">
        <w:t>are potentially set</w:t>
      </w:r>
      <w:r>
        <w:t xml:space="preserve"> too high </w:t>
      </w:r>
      <w:r w:rsidR="009F5C20">
        <w:t>for those shares in the lowest ADT classes as the minimum order size for them is a higher percentage of the ADT than for the more liquid shares in the upper classes. As</w:t>
      </w:r>
      <w:r w:rsidR="00266651">
        <w:t xml:space="preserve"> </w:t>
      </w:r>
      <w:r w:rsidR="009F5C20">
        <w:t>t</w:t>
      </w:r>
      <w:r>
        <w:t>he ADT is calculated on an aggregate basis across</w:t>
      </w:r>
      <w:r w:rsidR="009F5C20">
        <w:t xml:space="preserve"> the Union, the minimum sizes</w:t>
      </w:r>
      <w:r>
        <w:t xml:space="preserve"> for orders to qualify as large in scale are not being</w:t>
      </w:r>
      <w:r w:rsidR="009F5C20">
        <w:t xml:space="preserve"> calibrated to relate to</w:t>
      </w:r>
      <w:r>
        <w:t xml:space="preserve"> the </w:t>
      </w:r>
      <w:r w:rsidR="00266651">
        <w:t>ADT of each</w:t>
      </w:r>
      <w:r>
        <w:t xml:space="preserve"> individual market. Therefore, calculating a size for an order to qualify as large in scale on a particular market based on t</w:t>
      </w:r>
      <w:r w:rsidR="00F52EB5">
        <w:t>he total share across the Union</w:t>
      </w:r>
      <w:r>
        <w:t xml:space="preserve"> </w:t>
      </w:r>
      <w:r w:rsidR="009F5C20">
        <w:t>makes it</w:t>
      </w:r>
      <w:r>
        <w:t xml:space="preserve"> </w:t>
      </w:r>
      <w:r w:rsidR="009F5C20">
        <w:t>less attainable when such shares are</w:t>
      </w:r>
      <w:r>
        <w:t xml:space="preserve"> </w:t>
      </w:r>
      <w:r w:rsidR="00266651">
        <w:t>traded</w:t>
      </w:r>
      <w:r>
        <w:t xml:space="preserve"> on a num</w:t>
      </w:r>
      <w:r w:rsidR="009F5C20">
        <w:t>ber of venue</w:t>
      </w:r>
      <w:r>
        <w:t>s.</w:t>
      </w:r>
      <w:r w:rsidR="00700438">
        <w:t xml:space="preserve"> </w:t>
      </w:r>
      <w:r w:rsidR="003A381C">
        <w:t>Therefore w</w:t>
      </w:r>
      <w:r w:rsidR="00700438">
        <w:t>e believe that it is important that the minimum sizes are not increased from the current proposal as this would favour larger markets with shares which do not trade, or trade in small amounts, on other markets.</w:t>
      </w:r>
    </w:p>
    <w:p w:rsidR="00A056EB" w:rsidRDefault="00A056EB" w:rsidP="006E7968"/>
    <w:p w:rsidR="00A056EB" w:rsidRDefault="00A056EB" w:rsidP="006E7968">
      <w:r>
        <w:t xml:space="preserve">We agree that ADT is a reliable metric to use to determine the large in scale thresholds. Additionally we appreciate and agree with ESMA’s acknowledgement that it can be collected </w:t>
      </w:r>
      <w:r>
        <w:lastRenderedPageBreak/>
        <w:t>and processed in a relatively simple way. Furthermore participants have developed appropriate systems and procedures as regards the current system and therefore we have a strong preference for maintaining the current system including the calculation methodology</w:t>
      </w:r>
      <w:r w:rsidR="00AB78C4">
        <w:t xml:space="preserve"> as it currently is</w:t>
      </w:r>
      <w:r>
        <w:t>. This will avoid an unnecessary operational impact on market participants</w:t>
      </w:r>
      <w:r w:rsidR="002963A0">
        <w:t xml:space="preserve"> and ensure a consistency and comparability in approach</w:t>
      </w:r>
      <w:r>
        <w:t>.</w:t>
      </w:r>
      <w:r w:rsidR="000D4307">
        <w:t xml:space="preserve"> </w:t>
      </w:r>
    </w:p>
    <w:p w:rsidR="000D4307" w:rsidRDefault="000D4307" w:rsidP="006E7968"/>
    <w:p w:rsidR="000D4307" w:rsidRDefault="000D4307" w:rsidP="006E7968">
      <w:r>
        <w:t xml:space="preserve">In relation to Article 8(2) in the draft RTS, we note that the proposal is to calculate the ADT excluding the non-trading days in the Member State of the relevant competent authority for that financial instrument. However given that the data will be averaged over the year we believe that a less complex approach would be for each venue to calculate the average over all days that they are open </w:t>
      </w:r>
      <w:r w:rsidR="00DA6C6F">
        <w:t>which</w:t>
      </w:r>
      <w:r>
        <w:t xml:space="preserve"> will provide a more accurate ADT for each venue. </w:t>
      </w:r>
    </w:p>
    <w:permEnd w:id="80294764"/>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031092405" w:edGrp="everyone"/>
      <w:r>
        <w:t>TYPE YOUR TEXT HERE</w:t>
      </w:r>
    </w:p>
    <w:permEnd w:id="103109240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700687965" w:edGrp="everyone"/>
      <w:r>
        <w:t>TYPE YOUR TEXT HERE</w:t>
      </w:r>
    </w:p>
    <w:permEnd w:id="170068796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6E7968" w:rsidRDefault="006E7968" w:rsidP="006E7968">
      <w:permStart w:id="443815667" w:edGrp="everyone"/>
      <w:r>
        <w:t xml:space="preserve">Yes, the ISE welcomes ESMA’s decision to </w:t>
      </w:r>
      <w:r w:rsidR="00700438">
        <w:t>allow</w:t>
      </w:r>
      <w:r>
        <w:t xml:space="preserve"> stubs </w:t>
      </w:r>
      <w:r w:rsidR="00700438">
        <w:t>to</w:t>
      </w:r>
      <w:r>
        <w:t xml:space="preserve"> remain protected after a partial execution even if they fall below the relevant large in scale threshold.</w:t>
      </w:r>
      <w:r w:rsidR="00700438">
        <w:t xml:space="preserve"> We believe this is important to</w:t>
      </w:r>
      <w:r w:rsidR="00044B5B">
        <w:t xml:space="preserve"> allow </w:t>
      </w:r>
      <w:r w:rsidR="00700438">
        <w:t>large orders</w:t>
      </w:r>
      <w:r w:rsidR="00044B5B">
        <w:t xml:space="preserve"> to be executed</w:t>
      </w:r>
      <w:r w:rsidR="00700438">
        <w:t xml:space="preserve"> without revealing sensitive information.</w:t>
      </w:r>
    </w:p>
    <w:permEnd w:id="443815667"/>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Pr="00F61D59" w:rsidRDefault="009966A3" w:rsidP="00EC2C93">
      <w:pPr>
        <w:keepNext/>
      </w:pPr>
      <w:permStart w:id="1130985491" w:edGrp="everyone"/>
      <w:r w:rsidRPr="00F61D59">
        <w:t xml:space="preserve">To ensure a consistent approach and a level-playing field for trading venues and </w:t>
      </w:r>
      <w:r w:rsidR="00232313" w:rsidRPr="00F61D59">
        <w:t>SI</w:t>
      </w:r>
      <w:r w:rsidRPr="00F61D59">
        <w:t xml:space="preserve">s we believe that </w:t>
      </w:r>
      <w:r w:rsidR="00232313" w:rsidRPr="00F61D59">
        <w:t>SI</w:t>
      </w:r>
      <w:r w:rsidRPr="00F61D59">
        <w:t>s should have to publish with each quote the publication time it has been entered or updated. This would be similar to the obligations on trading venues to timestamp the entry, modification and deletion of all quotes entered into their systems.</w:t>
      </w:r>
    </w:p>
    <w:permEnd w:id="1130985491"/>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lastRenderedPageBreak/>
        <w:t>&lt;ESMA_QUESTION_CP_MIFID_46&gt;</w:t>
      </w:r>
    </w:p>
    <w:p w:rsidR="006B3F9C" w:rsidRPr="00F61D59" w:rsidRDefault="006B3F9C" w:rsidP="006B3F9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pPr>
      <w:permStart w:id="276063739" w:edGrp="everyone"/>
      <w:r w:rsidRPr="00F61D59">
        <w:rPr>
          <w:rFonts w:asciiTheme="majorHAnsi" w:hAnsiTheme="majorHAnsi" w:cstheme="majorHAnsi"/>
          <w:lang w:val="en-US"/>
        </w:rPr>
        <w:t xml:space="preserve">Yes the ISE agrees that a price reflects prevailing market conditions if it is close to comparable quotes for the same financial instrument on other trading venues. However we strongly urge ESMA to consider extending this definition. </w:t>
      </w:r>
      <w:r w:rsidR="00232313" w:rsidRPr="00F61D59">
        <w:rPr>
          <w:rFonts w:asciiTheme="majorHAnsi" w:hAnsiTheme="majorHAnsi" w:cstheme="majorHAnsi"/>
          <w:lang w:val="en-US"/>
        </w:rPr>
        <w:t>In particular, i</w:t>
      </w:r>
      <w:r w:rsidRPr="00F61D59">
        <w:rPr>
          <w:rFonts w:asciiTheme="majorHAnsi" w:hAnsiTheme="majorHAnsi" w:cstheme="majorHAnsi"/>
          <w:lang w:val="en-US"/>
        </w:rPr>
        <w:t xml:space="preserve">t should be clarified that only prices executed at price levels in line with the applicable tick size of that financial instrument should be deemed to reflect prevailing market conditions. </w:t>
      </w:r>
      <w:r w:rsidR="00232313" w:rsidRPr="00F61D59">
        <w:t xml:space="preserve">This </w:t>
      </w:r>
      <w:r w:rsidRPr="00F61D59">
        <w:t xml:space="preserve">is </w:t>
      </w:r>
      <w:r w:rsidR="00232313" w:rsidRPr="00F61D59">
        <w:t xml:space="preserve">because </w:t>
      </w:r>
      <w:r w:rsidRPr="00F61D59">
        <w:t xml:space="preserve">the introduction of a harmonized tick size regime in Europe will unfortunately not </w:t>
      </w:r>
      <w:r w:rsidR="00232313" w:rsidRPr="00F61D59">
        <w:t>include</w:t>
      </w:r>
      <w:r w:rsidRPr="00F61D59">
        <w:t xml:space="preserve"> </w:t>
      </w:r>
      <w:r w:rsidR="00232313" w:rsidRPr="00F61D59">
        <w:t>SI</w:t>
      </w:r>
      <w:r w:rsidRPr="00F61D59">
        <w:t xml:space="preserve">s. </w:t>
      </w:r>
    </w:p>
    <w:p w:rsidR="006B3F9C" w:rsidRPr="00F61D59" w:rsidRDefault="006B3F9C" w:rsidP="006B3F9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pPr>
    </w:p>
    <w:p w:rsidR="006B3F9C" w:rsidRPr="00F61D59" w:rsidRDefault="00232313" w:rsidP="006B3F9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ajorHAnsi" w:hAnsiTheme="majorHAnsi" w:cstheme="majorHAnsi"/>
          <w:lang w:val="en-US"/>
        </w:rPr>
      </w:pPr>
      <w:r w:rsidRPr="00F61D59">
        <w:rPr>
          <w:rFonts w:asciiTheme="majorHAnsi" w:hAnsiTheme="majorHAnsi" w:cstheme="majorHAnsi"/>
          <w:lang w:val="en-US"/>
        </w:rPr>
        <w:t>As a result</w:t>
      </w:r>
      <w:r w:rsidR="006B3F9C" w:rsidRPr="00F61D59">
        <w:rPr>
          <w:rFonts w:asciiTheme="majorHAnsi" w:hAnsiTheme="majorHAnsi" w:cstheme="majorHAnsi"/>
          <w:lang w:val="en-US"/>
        </w:rPr>
        <w:t xml:space="preserve"> </w:t>
      </w:r>
      <w:r w:rsidRPr="00F61D59">
        <w:rPr>
          <w:rFonts w:asciiTheme="majorHAnsi" w:hAnsiTheme="majorHAnsi" w:cstheme="majorHAnsi"/>
          <w:lang w:val="en-US"/>
        </w:rPr>
        <w:t>SI</w:t>
      </w:r>
      <w:r w:rsidR="006B3F9C" w:rsidRPr="00F61D59">
        <w:rPr>
          <w:rFonts w:asciiTheme="majorHAnsi" w:hAnsiTheme="majorHAnsi" w:cstheme="majorHAnsi"/>
          <w:lang w:val="en-US"/>
        </w:rPr>
        <w:t xml:space="preserve">s will be able to execute at any price </w:t>
      </w:r>
      <w:r w:rsidRPr="00F61D59">
        <w:rPr>
          <w:rFonts w:asciiTheme="majorHAnsi" w:hAnsiTheme="majorHAnsi" w:cstheme="majorHAnsi"/>
          <w:lang w:val="en-US"/>
        </w:rPr>
        <w:t>which</w:t>
      </w:r>
      <w:r w:rsidR="006B3F9C" w:rsidRPr="00F61D59">
        <w:rPr>
          <w:rFonts w:asciiTheme="majorHAnsi" w:hAnsiTheme="majorHAnsi" w:cstheme="majorHAnsi"/>
          <w:lang w:val="en-US"/>
        </w:rPr>
        <w:t xml:space="preserve"> means that they are not in line with the harmonized tick size of the respective financial instrument. Further</w:t>
      </w:r>
      <w:r w:rsidRPr="00F61D59">
        <w:rPr>
          <w:rFonts w:asciiTheme="majorHAnsi" w:hAnsiTheme="majorHAnsi" w:cstheme="majorHAnsi"/>
          <w:lang w:val="en-US"/>
        </w:rPr>
        <w:t>more</w:t>
      </w:r>
      <w:r w:rsidR="006B3F9C" w:rsidRPr="00F61D59">
        <w:rPr>
          <w:rFonts w:asciiTheme="majorHAnsi" w:hAnsiTheme="majorHAnsi" w:cstheme="majorHAnsi"/>
          <w:lang w:val="en-US"/>
        </w:rPr>
        <w:t xml:space="preserve"> they may also price improve over </w:t>
      </w:r>
      <w:r w:rsidRPr="00F61D59">
        <w:rPr>
          <w:rFonts w:asciiTheme="majorHAnsi" w:hAnsiTheme="majorHAnsi" w:cstheme="majorHAnsi"/>
          <w:lang w:val="en-US"/>
        </w:rPr>
        <w:t>bid and offer prices posted on Regulated M</w:t>
      </w:r>
      <w:r w:rsidR="006B3F9C" w:rsidRPr="00F61D59">
        <w:rPr>
          <w:rFonts w:asciiTheme="majorHAnsi" w:hAnsiTheme="majorHAnsi" w:cstheme="majorHAnsi"/>
          <w:lang w:val="en-US"/>
        </w:rPr>
        <w:t>arkets and MTFs at virtually no cost because their quotes do not need to meet the minimum tick size.</w:t>
      </w:r>
    </w:p>
    <w:permEnd w:id="27606373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FE60CA" w:rsidRPr="00F61D59" w:rsidRDefault="00FE60CA" w:rsidP="00FE60CA">
      <w:pPr>
        <w:spacing w:line="240" w:lineRule="auto"/>
      </w:pPr>
      <w:permStart w:id="1898278928" w:edGrp="everyone"/>
      <w:r w:rsidRPr="00F61D59">
        <w:t>In principle, we are concerned with the potentially</w:t>
      </w:r>
      <w:r w:rsidR="00232313" w:rsidRPr="00F61D59">
        <w:t xml:space="preserve"> more</w:t>
      </w:r>
      <w:r w:rsidRPr="00F61D59">
        <w:t xml:space="preserve"> flexible transparency regimes for </w:t>
      </w:r>
      <w:r w:rsidR="00232313" w:rsidRPr="00F61D59">
        <w:t xml:space="preserve">SIs than the one applicable to market </w:t>
      </w:r>
      <w:r w:rsidRPr="00F61D59">
        <w:t xml:space="preserve">makers on multilateral platforms. This is </w:t>
      </w:r>
      <w:r w:rsidR="00A461D9" w:rsidRPr="00F61D59">
        <w:t>particularly worrying</w:t>
      </w:r>
      <w:r w:rsidRPr="00F61D59">
        <w:t xml:space="preserve"> considering that they could become an increasingly attractive option for accommodating current BCN-type activity. </w:t>
      </w:r>
    </w:p>
    <w:p w:rsidR="00FE60CA" w:rsidRPr="00F61D59" w:rsidRDefault="00FE60CA" w:rsidP="00FE60CA">
      <w:pPr>
        <w:spacing w:line="240" w:lineRule="auto"/>
      </w:pPr>
    </w:p>
    <w:p w:rsidR="00FE60CA" w:rsidRPr="00F61D59" w:rsidRDefault="00FE60CA" w:rsidP="00FE60CA">
      <w:pPr>
        <w:spacing w:line="240" w:lineRule="auto"/>
      </w:pPr>
      <w:r w:rsidRPr="00F61D59">
        <w:rPr>
          <w:lang w:val="en-US"/>
        </w:rPr>
        <w:t>We are extremely concerned regarding the ambiguities in the text pertaining to the potential use of matched or riskless pri</w:t>
      </w:r>
      <w:r w:rsidR="00C85D09" w:rsidRPr="00F61D59">
        <w:rPr>
          <w:lang w:val="en-US"/>
        </w:rPr>
        <w:t>ncipal trading by an SI. W</w:t>
      </w:r>
      <w:r w:rsidRPr="00F61D59">
        <w:rPr>
          <w:lang w:val="en-US"/>
        </w:rPr>
        <w:t xml:space="preserve">e note that ESMA has acknowledged this is an issue but that it cannot provide further clarity in the </w:t>
      </w:r>
      <w:r w:rsidR="00AD1D63" w:rsidRPr="00F61D59">
        <w:rPr>
          <w:lang w:val="en-US"/>
        </w:rPr>
        <w:t>draft RTS</w:t>
      </w:r>
      <w:r w:rsidRPr="00F61D59">
        <w:rPr>
          <w:lang w:val="en-US"/>
        </w:rPr>
        <w:t xml:space="preserve"> as it has no relevant empowerment to do so; we still strongly urge ESMA to raise this further with the European Commission so that it can be addressed appropriately.</w:t>
      </w:r>
    </w:p>
    <w:permEnd w:id="189827892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A032E1" w:rsidP="00EC2C93">
      <w:pPr>
        <w:keepNext/>
      </w:pPr>
      <w:permStart w:id="1707830638" w:edGrp="everyone"/>
      <w:r>
        <w:t>Yes, we agree with the proposed list.</w:t>
      </w:r>
    </w:p>
    <w:permEnd w:id="170783063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6E7968" w:rsidRDefault="006E7968" w:rsidP="006E7968">
      <w:permStart w:id="1233943088" w:edGrp="everyone"/>
      <w:r>
        <w:t>We agree with the proposed list of information that trading venues and investment firms shall make public.</w:t>
      </w:r>
      <w:r w:rsidR="00AB3177">
        <w:t xml:space="preserve"> However we would recommend that the information is made public in local time with a reference to the UTC offset as we believe this is more beneficial to retail investors.</w:t>
      </w:r>
    </w:p>
    <w:permEnd w:id="123394308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6E7968" w:rsidP="00EC2C93">
      <w:pPr>
        <w:keepNext/>
      </w:pPr>
      <w:permStart w:id="1282033503" w:edGrp="everyone"/>
      <w:r>
        <w:t>We believe that requiring the publication of the da</w:t>
      </w:r>
      <w:r w:rsidR="00A032E1">
        <w:t>te</w:t>
      </w:r>
      <w:r>
        <w:t xml:space="preserve"> and time of execution is of </w:t>
      </w:r>
      <w:r w:rsidR="00CC3884">
        <w:t xml:space="preserve">most </w:t>
      </w:r>
      <w:r>
        <w:t>benefit to market participants</w:t>
      </w:r>
      <w:r w:rsidR="00CC3884">
        <w:t>, but the date and time of publication can also be informative.</w:t>
      </w:r>
    </w:p>
    <w:permEnd w:id="1282033503"/>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D401D6" w:rsidRDefault="00D401D6" w:rsidP="00D401D6">
      <w:permStart w:id="103494772" w:edGrp="everyone"/>
      <w:r>
        <w:t xml:space="preserve">The ISE appreciates that the work of the industry-led Market Model Typology (MMT) has been taken into account by ESMA in formulating these flags. In general we </w:t>
      </w:r>
      <w:r w:rsidR="00725E43">
        <w:t>agree with ESMA’s proposal, however with the following exception</w:t>
      </w:r>
      <w:r>
        <w:t>.</w:t>
      </w:r>
    </w:p>
    <w:p w:rsidR="00D401D6" w:rsidRDefault="00D401D6" w:rsidP="00D401D6"/>
    <w:p w:rsidR="00997013" w:rsidRPr="00997013" w:rsidRDefault="00997013" w:rsidP="00997013">
      <w:pPr>
        <w:keepNext/>
      </w:pPr>
      <w:r w:rsidRPr="00997013">
        <w:t>We do not belie</w:t>
      </w:r>
      <w:r w:rsidR="0092207B">
        <w:t>ve that the large in scale (pre-</w:t>
      </w:r>
      <w:r w:rsidRPr="00997013">
        <w:t xml:space="preserve">trade) flag should be included in post-trade reports. </w:t>
      </w:r>
      <w:r w:rsidR="00D26F14">
        <w:t>As the stub of a partially filled LIS order can remain dark, publishing the partial fill with the ‘L’ flag will only alert the market that a (potentially significant) portion of a LIS order remains unfilled. The result would be for market participants to adjust their pricing to the disadvantage of the investor</w:t>
      </w:r>
      <w:r w:rsidR="00A96E87">
        <w:t>, which is in conflict of the aim of achieving best execution as outlined in paragraph 6</w:t>
      </w:r>
      <w:r w:rsidR="00D26F14">
        <w:t xml:space="preserve">. To avoid this, market participants would be forced to look at moving such orders away from transparent markets which is obviously not in line with the objectives of </w:t>
      </w:r>
      <w:proofErr w:type="spellStart"/>
      <w:r w:rsidR="00D26F14">
        <w:t>MiFID</w:t>
      </w:r>
      <w:proofErr w:type="spellEnd"/>
      <w:r w:rsidR="00D26F14">
        <w:t xml:space="preserve"> II. </w:t>
      </w:r>
      <w:r w:rsidR="000B4959">
        <w:t>Moreover a</w:t>
      </w:r>
      <w:r w:rsidRPr="00997013">
        <w:t xml:space="preserve">s only one side of the trade </w:t>
      </w:r>
      <w:r w:rsidR="000B4959">
        <w:t xml:space="preserve">with </w:t>
      </w:r>
      <w:r w:rsidR="00725E43">
        <w:t>such a flag</w:t>
      </w:r>
      <w:r w:rsidR="00D26F14">
        <w:t xml:space="preserve"> may be LIS</w:t>
      </w:r>
      <w:r w:rsidR="000B4959">
        <w:t xml:space="preserve"> (if such an order is permitted to interact with non-LIS orders on an order book)</w:t>
      </w:r>
      <w:r w:rsidR="00D26F14">
        <w:t xml:space="preserve">, </w:t>
      </w:r>
      <w:r w:rsidR="000B4959">
        <w:t>there</w:t>
      </w:r>
      <w:r w:rsidR="00725E43">
        <w:t xml:space="preserve"> would</w:t>
      </w:r>
      <w:r w:rsidR="000B4959">
        <w:t xml:space="preserve"> be a clear risk to overstating</w:t>
      </w:r>
      <w:r w:rsidRPr="00997013">
        <w:t xml:space="preserve"> the </w:t>
      </w:r>
      <w:r w:rsidR="000B4959">
        <w:t>extent</w:t>
      </w:r>
      <w:r w:rsidRPr="00997013">
        <w:t xml:space="preserve"> of trading</w:t>
      </w:r>
      <w:r w:rsidR="00352CA3">
        <w:t xml:space="preserve"> under the </w:t>
      </w:r>
      <w:r w:rsidR="00352CA3" w:rsidRPr="00997013">
        <w:t>large in scale</w:t>
      </w:r>
      <w:r w:rsidR="00352CA3">
        <w:t xml:space="preserve"> waiver</w:t>
      </w:r>
      <w:r w:rsidRPr="00997013">
        <w:t>. Even avoiding this issue by requiring the side of the trade which was executed via a large in scale order</w:t>
      </w:r>
      <w:r w:rsidR="00352CA3">
        <w:t xml:space="preserve"> to be flagged</w:t>
      </w:r>
      <w:r w:rsidRPr="00997013">
        <w:t xml:space="preserve"> would</w:t>
      </w:r>
      <w:r w:rsidR="00725E43">
        <w:t xml:space="preserve"> still</w:t>
      </w:r>
      <w:r w:rsidRPr="00997013">
        <w:t xml:space="preserve"> risk alerting the market to a partially filled large in scale order</w:t>
      </w:r>
      <w:r w:rsidR="00D26F14">
        <w:t xml:space="preserve"> as noted above.</w:t>
      </w:r>
      <w:r w:rsidRPr="00997013">
        <w:t xml:space="preserve"> </w:t>
      </w:r>
      <w:r w:rsidR="0078103B">
        <w:t>This is contrary to what ESMA has attempted to achieve by altering its position in relation to stubs after feedback that the proposed approach would risk revealing sensitive information. We believe that the same principle applies in this situation and therefore the large in scale flag should be excluded from the table.</w:t>
      </w:r>
    </w:p>
    <w:p w:rsidR="00D401D6" w:rsidRPr="00352CA3" w:rsidRDefault="00D401D6" w:rsidP="00D401D6"/>
    <w:p w:rsidR="00352CA3" w:rsidRPr="00352CA3" w:rsidRDefault="00352CA3" w:rsidP="00D401D6">
      <w:r w:rsidRPr="00352CA3">
        <w:t xml:space="preserve">Please note that we do however support the publication of a post-trade flag for large trades which have been deferred for publication as permitted under Article 7 of the Directive. </w:t>
      </w:r>
    </w:p>
    <w:p w:rsidR="00352CA3" w:rsidRDefault="00352CA3" w:rsidP="00D401D6"/>
    <w:p w:rsidR="00D401D6" w:rsidRDefault="0078103B" w:rsidP="00D401D6">
      <w:r>
        <w:t>We also believe that the definition of Algorithmic trades in Table 2 should refer to Article 4(1</w:t>
      </w:r>
      <w:proofErr w:type="gramStart"/>
      <w:r>
        <w:t>)(</w:t>
      </w:r>
      <w:proofErr w:type="gramEnd"/>
      <w:r>
        <w:t>39</w:t>
      </w:r>
      <w:r w:rsidR="00352CA3">
        <w:t>) rather than Article 4(1)(49).</w:t>
      </w:r>
    </w:p>
    <w:p w:rsidR="00D417A8" w:rsidRDefault="00D417A8" w:rsidP="00D401D6"/>
    <w:p w:rsidR="00D417A8" w:rsidRPr="00352CA3" w:rsidRDefault="00D417A8" w:rsidP="00D401D6">
      <w:r>
        <w:t>Finally we believe it should be made clear that the responsibility to assign the appropriate flag rests with the firm that executed the trade and that they must be responsible for providing this information to the trading venues as the venues cannot themselves determine this.</w:t>
      </w:r>
    </w:p>
    <w:permEnd w:id="10349477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lastRenderedPageBreak/>
        <w:t>&lt;ESMA_QUESTION_CP_MIFID_52&gt;</w:t>
      </w:r>
    </w:p>
    <w:p w:rsidR="00D401D6" w:rsidRDefault="00D401D6" w:rsidP="00D401D6">
      <w:permStart w:id="1331711169" w:edGrp="everyone"/>
      <w:r>
        <w:t>The ISE agrees with the definition of ‘normal trading hour</w:t>
      </w:r>
      <w:r w:rsidR="00E7474E">
        <w:t xml:space="preserve">s’ as set out in the </w:t>
      </w:r>
      <w:r w:rsidR="00AD1D63">
        <w:t>draft RTS</w:t>
      </w:r>
      <w:r w:rsidR="00E7474E">
        <w:t xml:space="preserve"> (i.e. “</w:t>
      </w:r>
      <w:r>
        <w:t>those hours which the trading venue or investment firm establishes in advance and makes public as trading hours</w:t>
      </w:r>
      <w:r w:rsidR="00E7474E">
        <w:t>”</w:t>
      </w:r>
      <w:r>
        <w:t xml:space="preserve">). </w:t>
      </w:r>
    </w:p>
    <w:permEnd w:id="133171116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39323485" w:edGrp="everyone"/>
      <w:r>
        <w:t>TYPE YOUR TEXT HERE</w:t>
      </w:r>
    </w:p>
    <w:permEnd w:id="63932348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D401D6" w:rsidP="00EC2C93">
      <w:pPr>
        <w:keepNext/>
      </w:pPr>
      <w:permStart w:id="900727125" w:edGrp="everyone"/>
      <w:r>
        <w:t>We agree with the proposed classes and thresholds</w:t>
      </w:r>
      <w:r w:rsidR="00E86520">
        <w:t xml:space="preserve"> for deferred publication</w:t>
      </w:r>
      <w:r>
        <w:t xml:space="preserve"> and welcome the decision to require the publication of transactions before the beginning of the next trading day, where appropriate.</w:t>
      </w:r>
    </w:p>
    <w:permEnd w:id="90072712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673549778" w:edGrp="everyone"/>
      <w:r>
        <w:t>TYPE YOUR TEXT HERE</w:t>
      </w:r>
    </w:p>
    <w:permEnd w:id="167354977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876876491" w:edGrp="everyone"/>
      <w:r>
        <w:t>TYPE YOUR TEXT HERE</w:t>
      </w:r>
    </w:p>
    <w:permEnd w:id="87687649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w:t>
      </w:r>
      <w:r>
        <w:lastRenderedPageBreak/>
        <w:t xml:space="preserve">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A04C52" w:rsidRDefault="00A04C52" w:rsidP="00EC2C93">
      <w:pPr>
        <w:keepNext/>
      </w:pPr>
      <w:permStart w:id="1247894599" w:edGrp="everyone"/>
      <w:r>
        <w:t>Yes, in general the ISE agrees with the proposal, and support</w:t>
      </w:r>
      <w:r w:rsidR="0023672F">
        <w:t>s</w:t>
      </w:r>
      <w:r>
        <w:t xml:space="preserve"> the approach to ensure the regime is</w:t>
      </w:r>
      <w:r w:rsidR="00780E1C">
        <w:t xml:space="preserve"> not too</w:t>
      </w:r>
      <w:r>
        <w:t xml:space="preserve"> complex</w:t>
      </w:r>
      <w:r w:rsidR="00512B89">
        <w:t>. H</w:t>
      </w:r>
      <w:r>
        <w:t>owever</w:t>
      </w:r>
      <w:r w:rsidR="00512B89">
        <w:t xml:space="preserve">, </w:t>
      </w:r>
      <w:r w:rsidR="00780E1C">
        <w:t xml:space="preserve">we are concerned that ESMA’s analysis </w:t>
      </w:r>
      <w:r w:rsidR="0023672F">
        <w:t>leads to a</w:t>
      </w:r>
      <w:r w:rsidR="00780E1C">
        <w:t xml:space="preserve"> significant proportion of bonds be</w:t>
      </w:r>
      <w:r w:rsidR="0023672F">
        <w:t>ing</w:t>
      </w:r>
      <w:r w:rsidR="00780E1C">
        <w:t xml:space="preserve"> misclassified. </w:t>
      </w:r>
      <w:proofErr w:type="gramStart"/>
      <w:r w:rsidR="00780E1C">
        <w:t>i.e</w:t>
      </w:r>
      <w:proofErr w:type="gramEnd"/>
      <w:r w:rsidR="00780E1C">
        <w:t>.</w:t>
      </w:r>
      <w:r w:rsidR="00512B89">
        <w:t xml:space="preserve"> bonds are deemed liquid when in fact they are actually illiquid, and vice versa</w:t>
      </w:r>
      <w:r w:rsidR="00780E1C">
        <w:t>. Therefore,</w:t>
      </w:r>
      <w:r w:rsidR="00512B89">
        <w:t xml:space="preserve"> </w:t>
      </w:r>
      <w:r>
        <w:t xml:space="preserve">we suggest </w:t>
      </w:r>
      <w:r w:rsidR="0023672F">
        <w:t xml:space="preserve">that ESMA re-examines its analysis as in some cases the classification of certain types of bonds as ‘liquid’ and, in other cases, the </w:t>
      </w:r>
      <w:r w:rsidR="00116B6C">
        <w:t xml:space="preserve">high </w:t>
      </w:r>
      <w:r w:rsidR="0023672F">
        <w:t xml:space="preserve">proportion of a class of bonds that would fall under the ‘liquid’ classification, does not appear to be correct.  It will be very important that </w:t>
      </w:r>
      <w:r>
        <w:t xml:space="preserve">this is monitored </w:t>
      </w:r>
      <w:r w:rsidR="00780E1C">
        <w:t xml:space="preserve">closely </w:t>
      </w:r>
      <w:r>
        <w:t xml:space="preserve">by ESMA </w:t>
      </w:r>
      <w:r w:rsidR="0023672F">
        <w:t xml:space="preserve">on an on-going basis </w:t>
      </w:r>
      <w:r>
        <w:t xml:space="preserve">to ensure there is no negative impact on certain instruments that may be deemed to be liquid given the </w:t>
      </w:r>
      <w:r w:rsidR="001C1A9B">
        <w:t xml:space="preserve">bond </w:t>
      </w:r>
      <w:r>
        <w:t xml:space="preserve">class they belong to, even though they may in </w:t>
      </w:r>
      <w:r w:rsidR="001C1A9B">
        <w:t>reality</w:t>
      </w:r>
      <w:r>
        <w:t xml:space="preserve"> be illiquid</w:t>
      </w:r>
      <w:r w:rsidR="001C1A9B">
        <w:t xml:space="preserve"> bonds</w:t>
      </w:r>
      <w:r>
        <w:t xml:space="preserve">. It is important to ensure there </w:t>
      </w:r>
      <w:r w:rsidR="001C1A9B">
        <w:t>are</w:t>
      </w:r>
      <w:r>
        <w:t xml:space="preserve"> no negative consequences from these transparency requirements and if it is identified that liquidity in certain bonds is being harmed, this will have to be addressed</w:t>
      </w:r>
      <w:r w:rsidR="00780E1C">
        <w:t xml:space="preserve"> immediately</w:t>
      </w:r>
      <w:r>
        <w:t xml:space="preserve"> by ESMA. </w:t>
      </w:r>
    </w:p>
    <w:p w:rsidR="00123385" w:rsidRDefault="00123385" w:rsidP="00EC2C93">
      <w:pPr>
        <w:keepNext/>
      </w:pPr>
    </w:p>
    <w:p w:rsidR="00957692" w:rsidRDefault="00A04C52" w:rsidP="00EC2C93">
      <w:pPr>
        <w:keepNext/>
      </w:pPr>
      <w:r>
        <w:t>In addition, we note from the work undertaken, ESMA concluded that issuance size was a good proxy for whether the bond was liquid or not, and that this was based on analysis of ave</w:t>
      </w:r>
      <w:r w:rsidR="0023672F">
        <w:t>rage</w:t>
      </w:r>
      <w:r>
        <w:t xml:space="preserve"> frequency of transactions and ave</w:t>
      </w:r>
      <w:r w:rsidR="0023672F">
        <w:t>rage</w:t>
      </w:r>
      <w:r>
        <w:t xml:space="preserve"> size of transactions etc. We believe it is important to ensure that any further work done in this regard continues to include analysis of </w:t>
      </w:r>
      <w:r w:rsidR="001C1A9B">
        <w:t xml:space="preserve">these specific metrics </w:t>
      </w:r>
      <w:r>
        <w:t>and does not just focus on issuance size alone.</w:t>
      </w:r>
    </w:p>
    <w:permEnd w:id="1247894599"/>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E05934" w:rsidRDefault="00957692" w:rsidP="00EC2C93">
      <w:pPr>
        <w:keepNext/>
      </w:pPr>
      <w:permStart w:id="491598678" w:edGrp="everyone"/>
      <w:r>
        <w:t>Yes, the ISE agrees with the definitions.</w:t>
      </w:r>
      <w:r w:rsidR="00F16780">
        <w:t xml:space="preserve"> </w:t>
      </w:r>
    </w:p>
    <w:p w:rsidR="00957692" w:rsidRDefault="00F16780" w:rsidP="00EC2C93">
      <w:pPr>
        <w:keepNext/>
      </w:pPr>
      <w:r>
        <w:t>However, we would like to point out that it is not clear who is responsible f</w:t>
      </w:r>
      <w:r w:rsidR="00123385">
        <w:t>or determining which category a financial</w:t>
      </w:r>
      <w:r>
        <w:t xml:space="preserve"> instrument belongs to. We would strongly argue that it should be the issuer of the security in consultation with its own advisor that determines this, and that this information should be made available in the initial prospectus or admission document, and it can then be made public to the market through the admissions notice issued once it is admitted to trading.</w:t>
      </w:r>
      <w:r w:rsidR="00123385">
        <w:t xml:space="preserve"> This will result in a consistent approach across the EU. </w:t>
      </w:r>
    </w:p>
    <w:p w:rsidR="00123385" w:rsidRDefault="00123385" w:rsidP="00123385">
      <w:pPr>
        <w:keepNext/>
        <w:spacing w:line="240" w:lineRule="auto"/>
        <w:rPr>
          <w:color w:val="0070C0"/>
        </w:rPr>
      </w:pPr>
    </w:p>
    <w:p w:rsidR="00123385" w:rsidRPr="00DC7FC7" w:rsidRDefault="00123385" w:rsidP="00123385">
      <w:pPr>
        <w:keepNext/>
        <w:spacing w:line="240" w:lineRule="auto"/>
      </w:pPr>
      <w:r w:rsidRPr="00DC7FC7">
        <w:t xml:space="preserve">We understood from ESMA at the Open Hearing on 19 Feb 2015, that </w:t>
      </w:r>
      <w:r>
        <w:t>the categorisation of bonds is</w:t>
      </w:r>
      <w:r w:rsidRPr="00DC7FC7">
        <w:t xml:space="preserve"> addressed in section 8 of the consultation on Supplying Financial Instrument Reference Data (</w:t>
      </w:r>
      <w:r w:rsidR="00AD1D63">
        <w:t>draft RTS</w:t>
      </w:r>
      <w:r w:rsidRPr="00DC7FC7">
        <w:t xml:space="preserve"> 22) and that it will be the responsibility of the trading venue. However, we believe this is not the case. While trading venues and </w:t>
      </w:r>
      <w:r w:rsidR="00232313">
        <w:t>SIs</w:t>
      </w:r>
      <w:r w:rsidRPr="00DC7FC7">
        <w:t xml:space="preserve"> will be responsible for submitting reference data to the NCA, this data is taken from the admission document/prospectus that has been submitted by the issuer. This is really an administrative data entry exercise; in our experience the trading venue is not responsible for determining or making a decision on the specific data. Therefore, we feel this provision does not clarify who is actually responsible for classifying what category each bond falls under in the COFIA approach and as mentioned above, we believe it should be stated that the issuer should set it out in its prospectus/admission document in consultation with its own advisors.</w:t>
      </w:r>
      <w:r>
        <w:t xml:space="preserve"> If it is left to each different trading venue or SI to determine, there is likely to be a lot of inconsistent categorisations which would result in the same financial instrument being subjected to </w:t>
      </w:r>
      <w:r>
        <w:lastRenderedPageBreak/>
        <w:t>different transparency requirements because of how it is classified by each respective trading venue or SI.</w:t>
      </w:r>
    </w:p>
    <w:p w:rsidR="00123385" w:rsidRDefault="00123385" w:rsidP="00EC2C93">
      <w:pPr>
        <w:keepNext/>
      </w:pPr>
    </w:p>
    <w:permEnd w:id="49159867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8E4289" w:rsidP="00EC2C93">
      <w:pPr>
        <w:keepNext/>
      </w:pPr>
      <w:permStart w:id="1896371098" w:edGrp="everyone"/>
      <w:r>
        <w:t>ESMA states that from its sample of securitised derivatives analysed, 94% trade very little or not at all during the one year period reviewed; from this analysis, it is unclear to us how ESMA could then conclude that all securitised derivatives should be deemed liquid.</w:t>
      </w:r>
    </w:p>
    <w:permEnd w:id="189637109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957692" w:rsidP="00EC2C93">
      <w:pPr>
        <w:keepNext/>
      </w:pPr>
      <w:permStart w:id="266411016" w:edGrp="everyone"/>
      <w:r>
        <w:t>Yes, the ISE agrees.</w:t>
      </w:r>
    </w:p>
    <w:permEnd w:id="26641101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&lt;ESMA_QUESTION_CP_MIFID_61&gt;</w:t>
      </w:r>
    </w:p>
    <w:p w:rsidR="00577C33" w:rsidRDefault="00577C33" w:rsidP="00EC2C93">
      <w:pPr>
        <w:keepNext/>
      </w:pPr>
      <w:permStart w:id="515527926" w:edGrp="everyone"/>
      <w:r>
        <w:t>TYPE YOUR TEXT HERE</w:t>
      </w:r>
    </w:p>
    <w:permEnd w:id="51552792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028735955" w:edGrp="everyone"/>
      <w:r>
        <w:t>TYPE YOUR TEXT HERE</w:t>
      </w:r>
    </w:p>
    <w:permEnd w:id="202873595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608602504" w:edGrp="everyone"/>
      <w:r>
        <w:t>TYPE YOUR TEXT HERE</w:t>
      </w:r>
    </w:p>
    <w:permEnd w:id="1608602504"/>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594084694" w:edGrp="everyone"/>
      <w:r>
        <w:t>TYPE YOUR TEXT HERE</w:t>
      </w:r>
    </w:p>
    <w:permEnd w:id="59408469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240937586" w:edGrp="everyone"/>
      <w:r>
        <w:t>TYPE YOUR TEXT HERE</w:t>
      </w:r>
    </w:p>
    <w:permEnd w:id="1240937586"/>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45059405" w:edGrp="everyone"/>
      <w:r>
        <w:t>TYPE YOUR TEXT HERE</w:t>
      </w:r>
    </w:p>
    <w:permEnd w:id="24505940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092399954" w:edGrp="everyone"/>
      <w:r>
        <w:t>TYPE YOUR TEXT HERE</w:t>
      </w:r>
    </w:p>
    <w:permEnd w:id="2092399954"/>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610162367" w:edGrp="everyone"/>
      <w:r>
        <w:t>TYPE YOUR TEXT HERE</w:t>
      </w:r>
    </w:p>
    <w:permEnd w:id="61016236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lastRenderedPageBreak/>
        <w:t>&lt;ESMA_QUESTION_CP_MIFID_69&gt;</w:t>
      </w:r>
    </w:p>
    <w:p w:rsidR="00577C33" w:rsidRDefault="00577C33" w:rsidP="00EC2C93">
      <w:pPr>
        <w:keepNext/>
      </w:pPr>
      <w:permStart w:id="1822512613" w:edGrp="everyone"/>
      <w:r>
        <w:t>TYPE YOUR TEXT HERE</w:t>
      </w:r>
    </w:p>
    <w:permEnd w:id="182251261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872853" w:rsidRPr="00872853" w:rsidRDefault="00957692" w:rsidP="00872853">
      <w:pPr>
        <w:keepNext/>
      </w:pPr>
      <w:permStart w:id="727592466" w:edGrp="everyone"/>
      <w:r>
        <w:t>Yes, the ISE agrees with the content of pre-trade transparency</w:t>
      </w:r>
      <w:r w:rsidR="00872853">
        <w:t>, but w</w:t>
      </w:r>
      <w:r w:rsidR="00426514">
        <w:t xml:space="preserve">e would like to ask ESMA for further clarification </w:t>
      </w:r>
      <w:r w:rsidR="00872853" w:rsidRPr="00832CFA">
        <w:rPr>
          <w:rFonts w:cstheme="minorHAnsi"/>
          <w:szCs w:val="22"/>
        </w:rPr>
        <w:t xml:space="preserve">on two issues: </w:t>
      </w:r>
    </w:p>
    <w:p w:rsidR="00872853" w:rsidRPr="00C2696E" w:rsidRDefault="00872853" w:rsidP="00872853">
      <w:pPr>
        <w:pStyle w:val="CPQuest2"/>
        <w:numPr>
          <w:ilvl w:val="0"/>
          <w:numId w:val="0"/>
        </w:numPr>
        <w:rPr>
          <w:rFonts w:cstheme="minorHAnsi"/>
          <w:b w:val="0"/>
          <w:szCs w:val="22"/>
          <w:lang w:val="en-US"/>
        </w:rPr>
      </w:pPr>
      <w:r w:rsidRPr="00832CFA">
        <w:rPr>
          <w:rFonts w:cstheme="minorHAnsi"/>
          <w:b w:val="0"/>
          <w:szCs w:val="22"/>
          <w:lang w:val="en-US"/>
        </w:rPr>
        <w:t xml:space="preserve">(1) We </w:t>
      </w:r>
      <w:r w:rsidRPr="00C2696E">
        <w:rPr>
          <w:rFonts w:cstheme="minorHAnsi"/>
          <w:b w:val="0"/>
          <w:szCs w:val="22"/>
          <w:lang w:val="en-US"/>
        </w:rPr>
        <w:t>understand that some systems are executable and others are indicative and we would like to have further clarification on what information</w:t>
      </w:r>
      <w:r>
        <w:rPr>
          <w:rFonts w:cstheme="minorHAnsi"/>
          <w:b w:val="0"/>
          <w:szCs w:val="22"/>
          <w:lang w:val="en-US"/>
        </w:rPr>
        <w:t xml:space="preserve"> is</w:t>
      </w:r>
      <w:r w:rsidRPr="00C2696E">
        <w:rPr>
          <w:rFonts w:cstheme="minorHAnsi"/>
          <w:b w:val="0"/>
          <w:szCs w:val="22"/>
          <w:lang w:val="en-US"/>
        </w:rPr>
        <w:t xml:space="preserve"> to be published from RFQ systems that only produces indicative quote replies.</w:t>
      </w:r>
    </w:p>
    <w:p w:rsidR="00872853" w:rsidRDefault="00872853" w:rsidP="00872853">
      <w:pPr>
        <w:keepNext/>
        <w:rPr>
          <w:rFonts w:cstheme="minorHAnsi"/>
          <w:szCs w:val="22"/>
          <w:lang w:val="en-US"/>
        </w:rPr>
      </w:pPr>
      <w:r w:rsidRPr="00C2696E">
        <w:rPr>
          <w:rFonts w:cstheme="minorHAnsi"/>
          <w:szCs w:val="22"/>
          <w:lang w:val="en-US"/>
        </w:rPr>
        <w:t>(2) Similarly, we would ask ESMA specifically to clarify what information is required to be made public from systems operating by displaying indicative quotes but not using RFQ-functionality.</w:t>
      </w:r>
    </w:p>
    <w:p w:rsidR="00577C33" w:rsidRPr="00957692" w:rsidRDefault="00577C33" w:rsidP="00EC2C93">
      <w:pPr>
        <w:keepNext/>
        <w:rPr>
          <w:i/>
        </w:rPr>
      </w:pPr>
    </w:p>
    <w:permEnd w:id="72759246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BA7CA3" w:rsidP="00EC2C93">
      <w:pPr>
        <w:keepNext/>
      </w:pPr>
      <w:permStart w:id="1680633605" w:edGrp="everyone"/>
      <w:r>
        <w:t>It</w:t>
      </w:r>
      <w:r w:rsidR="00957692">
        <w:t xml:space="preserve"> seems somewhat unusual that the minimum size for reserve orders s</w:t>
      </w:r>
      <w:r w:rsidR="00C531D6">
        <w:t>hould be the same for non-equity as it is for equity</w:t>
      </w:r>
      <w:r w:rsidR="00743DB2">
        <w:t>. W</w:t>
      </w:r>
      <w:r w:rsidR="00426514">
        <w:t xml:space="preserve">e would consider the threshold </w:t>
      </w:r>
      <w:r w:rsidR="00872853">
        <w:t xml:space="preserve">should be higher for non-equity, and should possibly differ depending on the financial instrument, as we do not believe a </w:t>
      </w:r>
      <w:r w:rsidR="00743DB2">
        <w:t>“</w:t>
      </w:r>
      <w:r w:rsidR="00872853">
        <w:t xml:space="preserve">one size fits </w:t>
      </w:r>
      <w:r w:rsidR="00743DB2">
        <w:t xml:space="preserve">all” </w:t>
      </w:r>
      <w:r w:rsidR="00872853">
        <w:t xml:space="preserve">approach makes sense in this regard. </w:t>
      </w:r>
    </w:p>
    <w:permEnd w:id="168063360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916473835" w:edGrp="everyone"/>
      <w:r>
        <w:t>TYPE YOUR TEXT HERE</w:t>
      </w:r>
    </w:p>
    <w:permEnd w:id="91647383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C531D6" w:rsidP="00EC2C93">
      <w:pPr>
        <w:keepNext/>
      </w:pPr>
      <w:permStart w:id="227366781" w:edGrp="everyone"/>
      <w:r>
        <w:t xml:space="preserve">Yes, the ISE believes the date and time of publication should be included as it is informative for market participants and it is already accepted as the current approach in </w:t>
      </w:r>
      <w:r w:rsidR="00E05934">
        <w:t>a lot of</w:t>
      </w:r>
      <w:r>
        <w:t xml:space="preserve"> market</w:t>
      </w:r>
      <w:r w:rsidR="00E05934">
        <w:t>s</w:t>
      </w:r>
      <w:r w:rsidR="005939F3">
        <w:t>, but w</w:t>
      </w:r>
      <w:r w:rsidR="00BA7CA3">
        <w:t xml:space="preserve">e believe the date and time of execution is </w:t>
      </w:r>
      <w:r w:rsidR="005939F3">
        <w:t xml:space="preserve">the most </w:t>
      </w:r>
      <w:r w:rsidR="00BA7CA3">
        <w:t xml:space="preserve">relevant. </w:t>
      </w:r>
    </w:p>
    <w:permEnd w:id="227366781"/>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F61D59" w:rsidP="00516875">
      <w:pPr>
        <w:autoSpaceDE w:val="0"/>
        <w:autoSpaceDN w:val="0"/>
        <w:adjustRightInd w:val="0"/>
        <w:spacing w:line="240" w:lineRule="auto"/>
      </w:pPr>
      <w:permStart w:id="1770850386" w:edGrp="everyone"/>
      <w:r>
        <w:t>The ISE would suggest that ESMA liaises with the MMT Group on this issue.</w:t>
      </w:r>
    </w:p>
    <w:permEnd w:id="1770850386"/>
    <w:p w:rsidR="00577C33" w:rsidRDefault="00577C33" w:rsidP="00EC2C93">
      <w:pPr>
        <w:keepNext/>
      </w:pPr>
      <w:r>
        <w:lastRenderedPageBreak/>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C531D6" w:rsidP="00EC2C93">
      <w:pPr>
        <w:keepNext/>
      </w:pPr>
      <w:permStart w:id="1968114727" w:edGrp="everyone"/>
      <w:r>
        <w:t>Yes this seems to be a reasonable approach.</w:t>
      </w:r>
    </w:p>
    <w:permEnd w:id="1968114727"/>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978998478" w:edGrp="everyone"/>
      <w:r>
        <w:t>TYPE YOUR TEXT HERE</w:t>
      </w:r>
    </w:p>
    <w:permEnd w:id="1978998478"/>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9267B5" w:rsidRDefault="00C531D6" w:rsidP="00EC2C93">
      <w:pPr>
        <w:keepNext/>
      </w:pPr>
      <w:permStart w:id="874741005" w:edGrp="everyone"/>
      <w:r>
        <w:t xml:space="preserve">Yes, in </w:t>
      </w:r>
      <w:r w:rsidR="009267B5">
        <w:t>relation to points 1) – 3)</w:t>
      </w:r>
      <w:r>
        <w:t xml:space="preserve"> the ISE </w:t>
      </w:r>
      <w:r w:rsidR="009267B5">
        <w:t xml:space="preserve">generally </w:t>
      </w:r>
      <w:r w:rsidR="00653DDE">
        <w:t>agrees with the</w:t>
      </w:r>
      <w:r>
        <w:t xml:space="preserve"> approach.</w:t>
      </w:r>
      <w:r w:rsidR="009267B5">
        <w:t xml:space="preserve"> </w:t>
      </w:r>
    </w:p>
    <w:p w:rsidR="00577C33" w:rsidRDefault="009267B5" w:rsidP="00EC2C93">
      <w:pPr>
        <w:keepNext/>
      </w:pPr>
      <w:r>
        <w:t>Regarding 4) this seems a reasonable approach, but we also accept that there may be a justified case for thresholds to be lower for pre-trade in order to protect liquidity providers from too much risk.</w:t>
      </w:r>
    </w:p>
    <w:p w:rsidR="009267B5" w:rsidRDefault="009267B5" w:rsidP="00EC2C93">
      <w:pPr>
        <w:keepNext/>
      </w:pPr>
      <w:r>
        <w:t>Regarding 5) we strongly support</w:t>
      </w:r>
      <w:r w:rsidRPr="00712E97">
        <w:t xml:space="preserve"> Option 2 as it will enable an annual recalculation of the thresholds based on accurate and comprehensive data from 2018 onwards. A dynamic </w:t>
      </w:r>
      <w:r w:rsidRPr="00712E97">
        <w:lastRenderedPageBreak/>
        <w:t xml:space="preserve">system with recalculation will also make it possible to adapt the thresholds to global market conditions and the expected positive impact of </w:t>
      </w:r>
      <w:proofErr w:type="spellStart"/>
      <w:r w:rsidRPr="00712E97">
        <w:t>MiFID</w:t>
      </w:r>
      <w:proofErr w:type="spellEnd"/>
      <w:r w:rsidRPr="00712E97">
        <w:t xml:space="preserve"> II on fixed income markets.</w:t>
      </w:r>
    </w:p>
    <w:permEnd w:id="874741005"/>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514169879" w:edGrp="everyone"/>
      <w:r>
        <w:t>TYPE YOUR TEXT HERE</w:t>
      </w:r>
    </w:p>
    <w:permEnd w:id="1514169879"/>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684201865" w:edGrp="everyone"/>
      <w:r>
        <w:t>TYPE YOUR TEXT HERE</w:t>
      </w:r>
    </w:p>
    <w:permEnd w:id="68420186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655458976" w:edGrp="everyone"/>
      <w:r>
        <w:t>TYPE YOUR TEXT HERE</w:t>
      </w:r>
    </w:p>
    <w:permEnd w:id="1655458976"/>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240148826" w:edGrp="everyone"/>
      <w:r>
        <w:t>TYPE YOUR TEXT HERE</w:t>
      </w:r>
    </w:p>
    <w:permEnd w:id="124014882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163788619" w:edGrp="everyone"/>
      <w:r>
        <w:t>TYPE YOUR TEXT HERE</w:t>
      </w:r>
    </w:p>
    <w:permEnd w:id="116378861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9267B5" w:rsidP="00EC2C93">
      <w:pPr>
        <w:keepNext/>
      </w:pPr>
      <w:permStart w:id="1595631228" w:edGrp="everyone"/>
      <w:r>
        <w:t>Yes, t</w:t>
      </w:r>
      <w:r w:rsidR="00DE5905">
        <w:t>he proposals seem in line with the expected requirements.</w:t>
      </w:r>
    </w:p>
    <w:permEnd w:id="159563122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635E5D" w:rsidP="00EC2C93">
      <w:pPr>
        <w:keepNext/>
      </w:pPr>
      <w:permStart w:id="1409111564" w:edGrp="everyone"/>
      <w:r>
        <w:t>Yes</w:t>
      </w:r>
      <w:r w:rsidR="00C21748">
        <w:t>, the ISE agrees.</w:t>
      </w:r>
    </w:p>
    <w:permEnd w:id="140911156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770082241" w:edGrp="everyone"/>
      <w:r>
        <w:t>TYPE YOUR TEXT HERE</w:t>
      </w:r>
    </w:p>
    <w:permEnd w:id="1770082241"/>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C543CF" w:rsidRDefault="00C543CF" w:rsidP="00C543CF">
      <w:permStart w:id="725441139" w:edGrp="everyone"/>
      <w:r>
        <w:t xml:space="preserve">The ISE welcomes the clarification of a number of areas in relation to the double volume cap mechanism but </w:t>
      </w:r>
      <w:r w:rsidRPr="009D36E6">
        <w:t xml:space="preserve">there are other matters which </w:t>
      </w:r>
      <w:r>
        <w:t>we</w:t>
      </w:r>
      <w:r w:rsidR="008A1291">
        <w:t xml:space="preserve"> believe need to be considered and addressed by ESMA</w:t>
      </w:r>
      <w:r w:rsidRPr="009D36E6">
        <w:t>:</w:t>
      </w:r>
    </w:p>
    <w:p w:rsidR="00C543CF" w:rsidRDefault="00997013" w:rsidP="00F51125">
      <w:pPr>
        <w:pStyle w:val="ListParagraph"/>
        <w:numPr>
          <w:ilvl w:val="0"/>
          <w:numId w:val="12"/>
        </w:numPr>
      </w:pPr>
      <w:r>
        <w:lastRenderedPageBreak/>
        <w:t xml:space="preserve">It is not clear how the calculation mechanism will operate after the end of a suspension. </w:t>
      </w:r>
      <w:r w:rsidR="00C543CF">
        <w:t>We believe that after a six-month suspension the aggregated volumes of the two waivers should be reset to zero rather than in</w:t>
      </w:r>
      <w:r w:rsidR="00531F6A">
        <w:t>clude</w:t>
      </w:r>
      <w:r w:rsidR="00C543CF">
        <w:t xml:space="preserve"> the six months prior to the suspension in a rolling 12 month calculation. Otherwise, there is a risk that the same trades could result in 2 separate suspensions.</w:t>
      </w:r>
    </w:p>
    <w:p w:rsidR="00DA6C7A" w:rsidRDefault="00C543CF" w:rsidP="00F51125">
      <w:pPr>
        <w:pStyle w:val="ListParagraph"/>
        <w:numPr>
          <w:ilvl w:val="0"/>
          <w:numId w:val="12"/>
        </w:numPr>
      </w:pPr>
      <w:r>
        <w:t>We believe it would be beneficial to have information on how the suspension and resumption of these waivers will operate in practice. In particular, we are interested in how it will be achieved consistently across trading venues and jurisdictions.</w:t>
      </w:r>
      <w:r w:rsidR="004F2EF9">
        <w:t xml:space="preserve"> </w:t>
      </w:r>
      <w:r w:rsidR="004701FF">
        <w:t>For example, when the 8% cap is breached</w:t>
      </w:r>
      <w:r w:rsidR="004F2EF9" w:rsidRPr="004F2EF9">
        <w:t xml:space="preserve"> competent authorities have to suspend the use of the waiver within 2 days, however it is not clear how this will be harmonised or </w:t>
      </w:r>
      <w:r w:rsidR="004F2EF9">
        <w:t>if</w:t>
      </w:r>
      <w:r w:rsidR="004F2EF9" w:rsidRPr="004F2EF9">
        <w:t xml:space="preserve"> it </w:t>
      </w:r>
      <w:r w:rsidR="004F2EF9">
        <w:t>is</w:t>
      </w:r>
      <w:r w:rsidR="004701FF">
        <w:t xml:space="preserve"> possible that the waiver will be</w:t>
      </w:r>
      <w:r w:rsidR="004F2EF9" w:rsidRPr="004F2EF9">
        <w:t xml:space="preserve"> suspended in different Member States on different days resulting in an un-level playing field.</w:t>
      </w:r>
    </w:p>
    <w:p w:rsidR="00C543CF" w:rsidRDefault="00DA6C7A" w:rsidP="00F51125">
      <w:pPr>
        <w:pStyle w:val="ListParagraph"/>
        <w:numPr>
          <w:ilvl w:val="0"/>
          <w:numId w:val="12"/>
        </w:numPr>
      </w:pPr>
      <w:r>
        <w:t>I</w:t>
      </w:r>
      <w:r w:rsidR="00C543CF">
        <w:t>t is not clear to us whether suspensions can result from the mid-month data request or if it is solely from the data submitted at the start of a month.</w:t>
      </w:r>
    </w:p>
    <w:p w:rsidR="00C543CF" w:rsidRPr="00D51AC1" w:rsidRDefault="00C543CF" w:rsidP="00F51125">
      <w:pPr>
        <w:pStyle w:val="ListParagraph"/>
        <w:numPr>
          <w:ilvl w:val="0"/>
          <w:numId w:val="12"/>
        </w:numPr>
        <w:rPr>
          <w:color w:val="0070C0"/>
        </w:rPr>
      </w:pPr>
      <w:r>
        <w:t xml:space="preserve">The </w:t>
      </w:r>
      <w:r w:rsidR="00C2077C">
        <w:t>CP</w:t>
      </w:r>
      <w:r>
        <w:t xml:space="preserve"> mentions that conversions to euro should be calculated using the ECB monthly average rate. However the </w:t>
      </w:r>
      <w:r w:rsidR="0009629F">
        <w:t xml:space="preserve">draft </w:t>
      </w:r>
      <w:r>
        <w:t xml:space="preserve">RTS state that the End of Day conversion rate should be used. </w:t>
      </w:r>
      <w:r w:rsidR="00161A26">
        <w:t>If ESMA maintains its approach to use a ‘value’ threshold (</w:t>
      </w:r>
      <w:r w:rsidR="00BA434B">
        <w:t xml:space="preserve">i.e. </w:t>
      </w:r>
      <w:r w:rsidR="00161A26">
        <w:t>volume</w:t>
      </w:r>
      <w:r w:rsidR="00161A26" w:rsidRPr="005F07C2">
        <w:t xml:space="preserve"> multiplied by price) rather than a ‘volume’ </w:t>
      </w:r>
      <w:r w:rsidR="0009629F" w:rsidRPr="005F07C2">
        <w:t xml:space="preserve">(i.e. the number of shares) </w:t>
      </w:r>
      <w:r w:rsidR="00161A26" w:rsidRPr="005F07C2">
        <w:t xml:space="preserve">threshold, then we believe </w:t>
      </w:r>
      <w:r w:rsidRPr="005F07C2">
        <w:t>clarity</w:t>
      </w:r>
      <w:r w:rsidR="00161A26" w:rsidRPr="005F07C2">
        <w:t xml:space="preserve"> needs to be provided</w:t>
      </w:r>
      <w:r w:rsidRPr="005F07C2">
        <w:t xml:space="preserve"> on which rate should be used.</w:t>
      </w:r>
      <w:r w:rsidR="00DA1FA3" w:rsidRPr="005F07C2">
        <w:t xml:space="preserve"> </w:t>
      </w:r>
      <w:r w:rsidR="00161A26" w:rsidRPr="005F07C2">
        <w:t xml:space="preserve">However </w:t>
      </w:r>
      <w:r w:rsidR="00DA1FA3" w:rsidRPr="005F07C2">
        <w:t xml:space="preserve">we believe </w:t>
      </w:r>
      <w:r w:rsidR="005F07C2" w:rsidRPr="005F07C2">
        <w:t xml:space="preserve">the optimal approach, </w:t>
      </w:r>
      <w:r w:rsidR="00DA1FA3" w:rsidRPr="005F07C2">
        <w:t>in order to avoid the risk of inconsistent application</w:t>
      </w:r>
      <w:r w:rsidR="00161A26" w:rsidRPr="005F07C2">
        <w:t xml:space="preserve"> and to reduce the potential likelihood for errors</w:t>
      </w:r>
      <w:r w:rsidR="00DA1FA3" w:rsidRPr="005F07C2">
        <w:t>, i</w:t>
      </w:r>
      <w:r w:rsidR="005F07C2" w:rsidRPr="005F07C2">
        <w:t>s</w:t>
      </w:r>
      <w:r w:rsidR="00DA1FA3" w:rsidRPr="005F07C2">
        <w:t xml:space="preserve"> to use volume as the metric for the calculation</w:t>
      </w:r>
      <w:r w:rsidR="004F20FD">
        <w:t>s under</w:t>
      </w:r>
      <w:r w:rsidR="00DA1FA3" w:rsidRPr="005F07C2">
        <w:t xml:space="preserve"> the cap mechanism, </w:t>
      </w:r>
      <w:r w:rsidR="00161A26" w:rsidRPr="005F07C2">
        <w:t xml:space="preserve">rather than value. </w:t>
      </w:r>
      <w:r w:rsidR="00DA1FA3" w:rsidRPr="005F07C2">
        <w:t>This would be a simpler and more straight-forward approach and would avoid the issue of price and currency fluctuations.</w:t>
      </w:r>
      <w:r w:rsidRPr="005F07C2">
        <w:t xml:space="preserve"> </w:t>
      </w:r>
      <w:r w:rsidR="00BE2FD3" w:rsidRPr="005F07C2">
        <w:t xml:space="preserve">This change could be simply incorporated by amending Article 6(4) as follows: </w:t>
      </w:r>
      <w:r w:rsidR="00BE2FD3">
        <w:t>“</w:t>
      </w:r>
      <w:r w:rsidR="00BE2FD3" w:rsidRPr="00BE2FD3">
        <w:t xml:space="preserve">For the purpose of this Regulation, the volume of individual transactions shall be determined </w:t>
      </w:r>
      <w:r w:rsidR="00BE2FD3" w:rsidRPr="00BE2FD3">
        <w:rPr>
          <w:strike/>
        </w:rPr>
        <w:t>by multiplying the price of the financial instrument</w:t>
      </w:r>
      <w:r w:rsidR="00BE2FD3" w:rsidRPr="00BE2FD3">
        <w:t xml:space="preserve"> by the number of units and the total volume of trading for each financial instrument shall be obtained by collating the volume of all individual and single-counted transactions. </w:t>
      </w:r>
      <w:r w:rsidR="00BE2FD3" w:rsidRPr="00BE2FD3">
        <w:rPr>
          <w:strike/>
        </w:rPr>
        <w:t>Transactions executed in a currency other than euro need to be converted prior to making the calculations in this paragraph using the End of Day conversion rate published by the European Central Bank on its website.</w:t>
      </w:r>
      <w:r w:rsidR="005F07C2">
        <w:rPr>
          <w:strike/>
        </w:rPr>
        <w:t>”</w:t>
      </w:r>
    </w:p>
    <w:p w:rsidR="00D51AC1" w:rsidRPr="00BE2FD3" w:rsidRDefault="00D51AC1" w:rsidP="00F51125">
      <w:pPr>
        <w:pStyle w:val="ListParagraph"/>
        <w:numPr>
          <w:ilvl w:val="0"/>
          <w:numId w:val="12"/>
        </w:numPr>
        <w:rPr>
          <w:color w:val="0070C0"/>
        </w:rPr>
      </w:pPr>
      <w:r>
        <w:t xml:space="preserve">In general, we believe that the timelines proposed by ESMA are extremely tight and do not leave a lot of time for data to be queried </w:t>
      </w:r>
      <w:r w:rsidR="00B91A00">
        <w:t>or</w:t>
      </w:r>
      <w:r>
        <w:t xml:space="preserve"> verified. However we recognise that this is required in order to meet the publication timelines imposed on ESMA in the Level 1. Therefore we do not object to the requirement for trading venues to submit data by 13.00 CET on the first and sixteenth day of each calendar month. However we do strongly object to the even tighter timeline proposed in Article 6(6) for venues to provide the data before the market opens in the event that the first or sixteenth day falls on a non-working day</w:t>
      </w:r>
      <w:r w:rsidR="00072ACC">
        <w:t xml:space="preserve"> for that venue</w:t>
      </w:r>
      <w:r>
        <w:t>. We do not see any reason for imposing a shorter</w:t>
      </w:r>
      <w:r w:rsidR="00B133F9">
        <w:t xml:space="preserve"> timeline in such circumstances particularly when</w:t>
      </w:r>
      <w:r>
        <w:t xml:space="preserve"> under Article 7(1), the timeline imposed on the competent authority remains as 13.00 CET on the next working day following the receipt of the data. Imposing a stricter timeline in exceptional circumstances will only increase the risk of error. Therefore we urge ESMA to revise its proposal and </w:t>
      </w:r>
      <w:r w:rsidR="00A74CB4">
        <w:t>instead propose that the timeline is 13.00</w:t>
      </w:r>
      <w:r w:rsidR="00B133F9">
        <w:t xml:space="preserve"> </w:t>
      </w:r>
      <w:r w:rsidR="00A74CB4">
        <w:t xml:space="preserve">CET also on the working day following a non-working day. This will provide some additional time for venues to review </w:t>
      </w:r>
      <w:r w:rsidR="00776C30">
        <w:t xml:space="preserve">the </w:t>
      </w:r>
      <w:r w:rsidR="00A74CB4">
        <w:t>data before submitting it therefore m</w:t>
      </w:r>
      <w:r w:rsidR="00B133F9">
        <w:t>inimising the likelihood of error</w:t>
      </w:r>
      <w:r w:rsidR="00A74CB4">
        <w:t xml:space="preserve">s. </w:t>
      </w:r>
    </w:p>
    <w:p w:rsidR="009E0E2B" w:rsidRDefault="00C543CF" w:rsidP="00F51125">
      <w:pPr>
        <w:pStyle w:val="ListParagraph"/>
        <w:numPr>
          <w:ilvl w:val="0"/>
          <w:numId w:val="12"/>
        </w:numPr>
      </w:pPr>
      <w:r>
        <w:lastRenderedPageBreak/>
        <w:t xml:space="preserve">We </w:t>
      </w:r>
      <w:r w:rsidR="00673522">
        <w:t xml:space="preserve">also </w:t>
      </w:r>
      <w:r>
        <w:t>have some concerns in</w:t>
      </w:r>
      <w:r w:rsidR="00673522">
        <w:t xml:space="preserve"> relation to the tight timeline</w:t>
      </w:r>
      <w:r>
        <w:t xml:space="preserve"> for the initial submission in January 2017. We believe that ensuring the accuracy of data should be the priority and</w:t>
      </w:r>
      <w:r w:rsidR="00351B7B">
        <w:t xml:space="preserve"> that</w:t>
      </w:r>
      <w:r>
        <w:t xml:space="preserve"> this may be negatively impacted by inflexible deadlines. Therefore,</w:t>
      </w:r>
      <w:r w:rsidR="00981038">
        <w:t xml:space="preserve"> we would recommend that ESMA is</w:t>
      </w:r>
      <w:r>
        <w:t xml:space="preserve"> required to publish the data within five working days ‘where possible’.</w:t>
      </w:r>
    </w:p>
    <w:p w:rsidR="00C543CF" w:rsidRDefault="009E0E2B" w:rsidP="00F51125">
      <w:pPr>
        <w:pStyle w:val="ListParagraph"/>
        <w:numPr>
          <w:ilvl w:val="0"/>
          <w:numId w:val="12"/>
        </w:numPr>
      </w:pPr>
      <w:r>
        <w:t>Finally we note that the proposal is for ESMA to source data from both trading venues and CTPs. However we believe that a single source, being the trading venues, should be sufficient as trading venues are required to monitor the volumes executed under each waiver</w:t>
      </w:r>
      <w:r w:rsidR="002C3C1C">
        <w:t xml:space="preserve"> and therefore will be collecting this data in any case</w:t>
      </w:r>
      <w:r>
        <w:t>. We believe that always obtaining the data from two sources will result in multiple queries which will be costly for both trading venues and CTPs.</w:t>
      </w:r>
      <w:r w:rsidR="00C543CF">
        <w:t xml:space="preserve"> </w:t>
      </w:r>
    </w:p>
    <w:permEnd w:id="72544113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E720DA" w:rsidRPr="00E720DA" w:rsidRDefault="00E720DA" w:rsidP="00E720DA">
      <w:pPr>
        <w:keepNext/>
      </w:pPr>
      <w:permStart w:id="459146357" w:edGrp="everyone"/>
      <w:r w:rsidRPr="00E720DA">
        <w:t>We welcome the proposal for stan</w:t>
      </w:r>
      <w:r w:rsidR="00C415D1">
        <w:t>dardised templates. T</w:t>
      </w:r>
      <w:r w:rsidRPr="00E720DA">
        <w:t xml:space="preserve">hese templates should be circulated to the market well in advance of the regulation being introduced. Detailed information on the required fields, </w:t>
      </w:r>
      <w:proofErr w:type="spellStart"/>
      <w:r w:rsidRPr="00E720DA">
        <w:t>preset</w:t>
      </w:r>
      <w:proofErr w:type="spellEnd"/>
      <w:r w:rsidRPr="00E720DA">
        <w:t xml:space="preserve"> dates and file formats should be known with enough time to build systems to automate the necessary data extraction. We would suggest at least a year.  </w:t>
      </w:r>
    </w:p>
    <w:p w:rsidR="00E720DA" w:rsidRPr="00E720DA" w:rsidRDefault="00E720DA" w:rsidP="00E720DA">
      <w:pPr>
        <w:keepNext/>
      </w:pPr>
    </w:p>
    <w:p w:rsidR="00E720DA" w:rsidRPr="00E720DA" w:rsidRDefault="00E720DA" w:rsidP="00E720DA">
      <w:pPr>
        <w:keepNext/>
      </w:pPr>
      <w:r w:rsidRPr="00E720DA">
        <w:t xml:space="preserve">We would </w:t>
      </w:r>
      <w:r w:rsidR="00C415D1">
        <w:t xml:space="preserve">also </w:t>
      </w:r>
      <w:r w:rsidRPr="00E720DA">
        <w:t xml:space="preserve">suggest </w:t>
      </w:r>
      <w:proofErr w:type="spellStart"/>
      <w:r w:rsidRPr="00E720DA">
        <w:t>csv</w:t>
      </w:r>
      <w:proofErr w:type="spellEnd"/>
      <w:r w:rsidRPr="00E720DA">
        <w:t xml:space="preserve"> as the format to be used. </w:t>
      </w:r>
    </w:p>
    <w:p w:rsidR="00E720DA" w:rsidRPr="00E720DA" w:rsidRDefault="00E720DA" w:rsidP="00E720DA">
      <w:pPr>
        <w:keepNext/>
      </w:pPr>
    </w:p>
    <w:p w:rsidR="00577C33" w:rsidRDefault="00E720DA" w:rsidP="00EC2C93">
      <w:pPr>
        <w:keepNext/>
      </w:pPr>
      <w:r w:rsidRPr="00E720DA">
        <w:t xml:space="preserve">In relation to ad-hoc queries, these should be kept as close to the standardised formats as possible. Timelines should reflect the amount of extra work that will be needed to extract data for ad-hoc requests. 4 weeks, in theory should be enough time to respond to an ad-hoc </w:t>
      </w:r>
      <w:r w:rsidR="00C415D1">
        <w:t>request</w:t>
      </w:r>
      <w:r w:rsidRPr="00E720DA">
        <w:t xml:space="preserve">, but without knowing the specifics of the query it is not possible to commit to a specific timeframe. </w:t>
      </w:r>
      <w:r w:rsidR="00C415D1">
        <w:t>How</w:t>
      </w:r>
      <w:r w:rsidRPr="00E720DA">
        <w:t>e</w:t>
      </w:r>
      <w:r w:rsidR="00C415D1">
        <w:t>ver we</w:t>
      </w:r>
      <w:r w:rsidRPr="00E720DA">
        <w:t xml:space="preserve"> can commit to undertaking all reasonable efforts to respond to data requests within the set timeline</w:t>
      </w:r>
      <w:r w:rsidR="00C415D1">
        <w:t xml:space="preserve">.  </w:t>
      </w:r>
    </w:p>
    <w:permEnd w:id="459146357"/>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22619258" w:edGrp="everyone"/>
      <w:r>
        <w:t>TYPE YOUR TEXT HERE</w:t>
      </w:r>
    </w:p>
    <w:permEnd w:id="92261925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870211985" w:edGrp="everyone"/>
      <w:r>
        <w:t>TYPE YOUR TEXT HERE</w:t>
      </w:r>
    </w:p>
    <w:permEnd w:id="87021198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lastRenderedPageBreak/>
        <w:t>&lt;ESMA_QUESTION_CP_MIFID_90&gt;</w:t>
      </w:r>
    </w:p>
    <w:p w:rsidR="00577C33" w:rsidRDefault="00577C33" w:rsidP="00EC2C93">
      <w:pPr>
        <w:keepNext/>
      </w:pPr>
      <w:permStart w:id="444601725" w:edGrp="everyone"/>
      <w:r>
        <w:t>TYPE YOUR TEXT HERE</w:t>
      </w:r>
    </w:p>
    <w:permEnd w:id="44460172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46119016" w:edGrp="everyone"/>
      <w:r>
        <w:t>TYPE YOUR TEXT HERE</w:t>
      </w:r>
    </w:p>
    <w:permEnd w:id="204611901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34776284" w:edGrp="everyone"/>
      <w:r>
        <w:t>TYPE YOUR TEXT HERE</w:t>
      </w:r>
    </w:p>
    <w:permEnd w:id="1034776284"/>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16"/>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251237852" w:edGrp="everyone"/>
      <w:r>
        <w:t>TYPE YOUR TEXT HERE</w:t>
      </w:r>
    </w:p>
    <w:permEnd w:id="125123785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C57B81" w:rsidP="00EC2C93">
      <w:pPr>
        <w:keepNext/>
      </w:pPr>
      <w:permStart w:id="699157162" w:edGrp="everyone"/>
      <w:r>
        <w:t xml:space="preserve">We would like to strongly </w:t>
      </w:r>
      <w:r w:rsidR="00AD1D63">
        <w:t>state</w:t>
      </w:r>
      <w:r>
        <w:t xml:space="preserve"> our concerns regarding the applicability of the restricted deployment requirements to market makers, given the obligations of market makers to continuously quote. We believe this needs to be addre</w:t>
      </w:r>
      <w:r w:rsidR="00BC2AE8">
        <w:t>ssed either in Article 12 of this</w:t>
      </w:r>
      <w:r w:rsidR="00AD1D63">
        <w:t xml:space="preserve"> draft</w:t>
      </w:r>
      <w:r>
        <w:t xml:space="preserve"> RTS, or in section 4.3 by incorporating a relaxation of the continuous quoting obligations in the market making agreements where the firm is deploying a new trading algorithm or a pre-existing algorithm that was successfully deployed on other trading venues, or material changes to previous architecture. Otherwise the relevant requirements will conflict.</w:t>
      </w:r>
      <w:r w:rsidR="008D3798">
        <w:t xml:space="preserve"> (Please also see our response to Q106).</w:t>
      </w:r>
      <w:r>
        <w:t xml:space="preserve"> </w:t>
      </w:r>
    </w:p>
    <w:permEnd w:id="69915716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3838A8" w:rsidP="00EC2C93">
      <w:pPr>
        <w:keepNext/>
      </w:pPr>
      <w:permStart w:id="1587567370" w:edGrp="everyone"/>
      <w:r>
        <w:t>We request ESMA to clarify if the requirements on pre-trade and post-trade controls for DEA providers only apply to investment firms engaged in algorithmic trading who are also a DEA provider or DEA client i.e. that they do not apply to investment firms who are a DEA provider or a DEA client but do not engage in algorithmic trading</w:t>
      </w:r>
      <w:r w:rsidR="00CC6B25">
        <w:t xml:space="preserve"> to do so</w:t>
      </w:r>
      <w:r>
        <w:t>. This is based on our reading of paragraph</w:t>
      </w:r>
      <w:r w:rsidR="00F17FBF">
        <w:t>s</w:t>
      </w:r>
      <w:r>
        <w:t xml:space="preserve"> 45 </w:t>
      </w:r>
      <w:r w:rsidR="00F17FBF">
        <w:t xml:space="preserve">and 47 </w:t>
      </w:r>
      <w:r>
        <w:t>in the CP</w:t>
      </w:r>
      <w:r w:rsidR="00F17FBF">
        <w:t xml:space="preserve"> and also the definition of</w:t>
      </w:r>
      <w:r w:rsidR="004F4539">
        <w:t xml:space="preserve"> ‘investment firm’ in Article 1</w:t>
      </w:r>
      <w:r w:rsidR="00F17FBF">
        <w:t>(1).</w:t>
      </w:r>
      <w:r w:rsidR="004F4539">
        <w:t xml:space="preserve"> Similarly we note that Articles 23 – 26 also refer to investment firms, which by virtue of the definition in Article 1(1) implies that these sections only apply to such firms if they are also engaged in algorithmic trading.</w:t>
      </w:r>
      <w:r>
        <w:t xml:space="preserve"> </w:t>
      </w:r>
    </w:p>
    <w:permEnd w:id="1587567370"/>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BC2AE8" w:rsidRPr="00600CA4" w:rsidRDefault="000624E0" w:rsidP="00BC2AE8">
      <w:pPr>
        <w:keepNext/>
      </w:pPr>
      <w:permStart w:id="1872983040" w:edGrp="everyone"/>
      <w:r w:rsidRPr="00600CA4">
        <w:t xml:space="preserve">No, we </w:t>
      </w:r>
      <w:r w:rsidR="00BC2AE8" w:rsidRPr="00600CA4">
        <w:t>do not agree</w:t>
      </w:r>
      <w:r w:rsidRPr="00600CA4">
        <w:t>.</w:t>
      </w:r>
      <w:r w:rsidR="00BC2AE8" w:rsidRPr="00600CA4">
        <w:t xml:space="preserve"> The implementation of such a market impact assessment would cause firms to intercept their orders, snap shot the order book </w:t>
      </w:r>
      <w:r w:rsidRPr="00600CA4">
        <w:t>and evaluate the impact. By</w:t>
      </w:r>
      <w:r w:rsidR="00BC2AE8" w:rsidRPr="00600CA4">
        <w:t xml:space="preserve"> the time the decision</w:t>
      </w:r>
      <w:r w:rsidRPr="00600CA4">
        <w:t xml:space="preserve"> is made</w:t>
      </w:r>
      <w:r w:rsidR="00BC2AE8" w:rsidRPr="00600CA4">
        <w:t xml:space="preserve"> on whether</w:t>
      </w:r>
      <w:r w:rsidRPr="00600CA4">
        <w:t xml:space="preserve"> or not</w:t>
      </w:r>
      <w:r w:rsidR="00BC2AE8" w:rsidRPr="00600CA4">
        <w:t xml:space="preserve"> to send the order, the snap</w:t>
      </w:r>
      <w:r w:rsidRPr="00600CA4">
        <w:t xml:space="preserve"> shot</w:t>
      </w:r>
      <w:r w:rsidR="00BC2AE8" w:rsidRPr="00600CA4">
        <w:t xml:space="preserve"> is </w:t>
      </w:r>
      <w:proofErr w:type="spellStart"/>
      <w:r w:rsidR="00BC2AE8" w:rsidRPr="00600CA4">
        <w:t>outdated</w:t>
      </w:r>
      <w:proofErr w:type="spellEnd"/>
      <w:r w:rsidR="00BC2AE8" w:rsidRPr="00600CA4">
        <w:t xml:space="preserve"> and not of relevance anymore.</w:t>
      </w:r>
      <w:r w:rsidRPr="00600CA4">
        <w:t xml:space="preserve"> Furthermore this would potentially need to be across multiple markets. This would </w:t>
      </w:r>
      <w:r w:rsidR="00BC2AE8" w:rsidRPr="00600CA4">
        <w:t>result</w:t>
      </w:r>
      <w:r w:rsidRPr="00600CA4">
        <w:t xml:space="preserve"> in</w:t>
      </w:r>
      <w:r w:rsidR="00BC2AE8" w:rsidRPr="00600CA4">
        <w:t xml:space="preserve"> inappropriate delays in the order flow</w:t>
      </w:r>
      <w:r w:rsidRPr="00600CA4">
        <w:t xml:space="preserve"> and a potential risk of loss of best execution</w:t>
      </w:r>
      <w:r w:rsidR="00BC2AE8" w:rsidRPr="00600CA4">
        <w:t xml:space="preserve">. We believe that </w:t>
      </w:r>
      <w:r w:rsidRPr="00600CA4">
        <w:t>the other pre-trade controls propo</w:t>
      </w:r>
      <w:r w:rsidR="00600CA4" w:rsidRPr="00600CA4">
        <w:t>sed are sufficient</w:t>
      </w:r>
      <w:r w:rsidR="00402F7F">
        <w:t xml:space="preserve"> to prevent potential ‘fat finger’ errors</w:t>
      </w:r>
      <w:r w:rsidR="00AD1D63">
        <w:t xml:space="preserve">, and furthermore that the impact assessment done by each venue on receipt of each order (circuit breakers) is the most appropriate, relevant and </w:t>
      </w:r>
      <w:r w:rsidR="00AD1D63">
        <w:lastRenderedPageBreak/>
        <w:t>timely market impact assessment as it relates to the actual impact at the time the order would interact with the market. No such control at the investment firm level is required or appropriate.</w:t>
      </w:r>
    </w:p>
    <w:permEnd w:id="1872983040"/>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2107508312" w:edGrp="everyone"/>
      <w:r>
        <w:t>TYPE YOUR TEXT HERE</w:t>
      </w:r>
    </w:p>
    <w:permEnd w:id="210750831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FE64F1" w:rsidP="00EC2C93">
      <w:pPr>
        <w:keepNext/>
      </w:pPr>
      <w:permStart w:id="600403959" w:edGrp="everyone"/>
      <w:r>
        <w:t xml:space="preserve">We are </w:t>
      </w:r>
      <w:r w:rsidR="002C5948">
        <w:t xml:space="preserve">very </w:t>
      </w:r>
      <w:r>
        <w:t xml:space="preserve">concerned with the list of criteria set out in Article 28 which an investment firm acting as a clearing firm must consider. While we note the assessment should be done according to the nature, scale and complexity of the prospective client’s business, </w:t>
      </w:r>
      <w:r w:rsidR="002C5948">
        <w:t>due to the prescriptive detail and type of criteria included</w:t>
      </w:r>
      <w:r w:rsidR="005A707F">
        <w:t xml:space="preserve"> (with a particular focus on systems)</w:t>
      </w:r>
      <w:r w:rsidR="002C5948">
        <w:t xml:space="preserve">, </w:t>
      </w:r>
      <w:r>
        <w:t>we</w:t>
      </w:r>
      <w:r w:rsidR="002C5948">
        <w:t xml:space="preserve"> believe</w:t>
      </w:r>
      <w:r>
        <w:t xml:space="preserve"> it will </w:t>
      </w:r>
      <w:r w:rsidR="00F34C61">
        <w:t>in reality</w:t>
      </w:r>
      <w:r>
        <w:t xml:space="preserve"> result in a set of requirements th</w:t>
      </w:r>
      <w:r w:rsidR="00A30DBF">
        <w:t xml:space="preserve">at will not be suitable for </w:t>
      </w:r>
      <w:r>
        <w:t>l</w:t>
      </w:r>
      <w:r w:rsidR="00A30DBF">
        <w:t>ocal</w:t>
      </w:r>
      <w:r>
        <w:t xml:space="preserve"> brokers in smaller and regional markets. This could result in such brokers being unable to engage the services of any clearing firm and therefore being unable to trade</w:t>
      </w:r>
      <w:r w:rsidR="00F34C61">
        <w:t xml:space="preserve"> where there is mandatory clearing</w:t>
      </w:r>
      <w:r>
        <w:t xml:space="preserve">. This will have a significant impact on retail investors who </w:t>
      </w:r>
      <w:r w:rsidR="00CA0C6A">
        <w:t>are</w:t>
      </w:r>
      <w:r>
        <w:t xml:space="preserve"> the main client base of such firms. It will </w:t>
      </w:r>
      <w:r w:rsidR="00E60822">
        <w:t xml:space="preserve">therefore </w:t>
      </w:r>
      <w:r>
        <w:t>also impact on investment in SMEs.</w:t>
      </w:r>
    </w:p>
    <w:permEnd w:id="60040395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lastRenderedPageBreak/>
        <w:t>&lt;ESMA_QUESTION_CP_MIFID_99&gt;</w:t>
      </w:r>
    </w:p>
    <w:p w:rsidR="00577C33" w:rsidRDefault="00BA4D17" w:rsidP="00EC2C93">
      <w:pPr>
        <w:keepNext/>
      </w:pPr>
      <w:permStart w:id="25107847" w:edGrp="everyone"/>
      <w:r>
        <w:t>We have some additional comments on the draft RTS 13 as follows:</w:t>
      </w:r>
    </w:p>
    <w:p w:rsidR="00BA4D17" w:rsidRDefault="00BA4D17" w:rsidP="00F51125">
      <w:pPr>
        <w:pStyle w:val="ListParagraph"/>
      </w:pPr>
      <w:r>
        <w:t>Article 1(3</w:t>
      </w:r>
      <w:proofErr w:type="gramStart"/>
      <w:r>
        <w:t>)(</w:t>
      </w:r>
      <w:proofErr w:type="gramEnd"/>
      <w:r>
        <w:t>b): We would like clarity on the expectation in relation to the ‘kill functionality’ embedded in the trading venue’s system and whether the expectation is that the trading venue provides such functionality for use by its members, or by itself</w:t>
      </w:r>
      <w:r w:rsidR="00056DDE">
        <w:t>,</w:t>
      </w:r>
      <w:r w:rsidR="002E0C25">
        <w:t xml:space="preserve"> as we note the same definition has been used in both the section on o</w:t>
      </w:r>
      <w:r w:rsidR="00A40DF2">
        <w:t>rganisational requirements</w:t>
      </w:r>
      <w:r w:rsidR="002E0C25">
        <w:t xml:space="preserve"> of investment firms and the section on </w:t>
      </w:r>
      <w:r w:rsidR="00A40DF2">
        <w:t>organisational requirements</w:t>
      </w:r>
      <w:r w:rsidR="002E0C25">
        <w:t xml:space="preserve"> of trading venues</w:t>
      </w:r>
      <w:r w:rsidR="00CE680F">
        <w:t xml:space="preserve"> (</w:t>
      </w:r>
      <w:r w:rsidR="00AD1D63">
        <w:t>draft RTS</w:t>
      </w:r>
      <w:r w:rsidR="002E0C25">
        <w:t xml:space="preserve"> 14)</w:t>
      </w:r>
      <w:r w:rsidR="00056DDE">
        <w:t>.</w:t>
      </w:r>
    </w:p>
    <w:p w:rsidR="00BA4D17" w:rsidRDefault="00BA4D17" w:rsidP="00F51125">
      <w:pPr>
        <w:pStyle w:val="ListParagraph"/>
      </w:pPr>
      <w:r>
        <w:t>Article 1</w:t>
      </w:r>
      <w:r w:rsidR="00056DDE">
        <w:t>(4</w:t>
      </w:r>
      <w:proofErr w:type="gramStart"/>
      <w:r w:rsidR="00056DDE">
        <w:t>)(</w:t>
      </w:r>
      <w:proofErr w:type="gramEnd"/>
      <w:r w:rsidR="00056DDE">
        <w:t>c</w:t>
      </w:r>
      <w:r>
        <w:t>): As ‘multiple’ generally means more than one, we believe that this needs to be re-worded to ensure it is referring to situations where there are ‘</w:t>
      </w:r>
      <w:r w:rsidRPr="00BA4D17">
        <w:rPr>
          <w:b/>
        </w:rPr>
        <w:t>significant</w:t>
      </w:r>
      <w:r>
        <w:t xml:space="preserve">’ multiple. </w:t>
      </w:r>
      <w:r w:rsidR="00056DDE">
        <w:t>Furthermore it should be clarified that it is only where this occurs over a short timeframe i.e. “are experienced within a short timeframe”.</w:t>
      </w:r>
    </w:p>
    <w:p w:rsidR="007D1841" w:rsidRDefault="00056DDE" w:rsidP="00F51125">
      <w:pPr>
        <w:pStyle w:val="ListParagraph"/>
      </w:pPr>
      <w:r>
        <w:t>Article 1</w:t>
      </w:r>
      <w:r w:rsidR="007D1841">
        <w:t>(6</w:t>
      </w:r>
      <w:proofErr w:type="gramStart"/>
      <w:r w:rsidR="007D1841">
        <w:t>)(</w:t>
      </w:r>
      <w:proofErr w:type="gramEnd"/>
      <w:r w:rsidR="007D1841">
        <w:t xml:space="preserve">a): We believe this should include the word significant as per </w:t>
      </w:r>
      <w:r w:rsidR="00AD1D63">
        <w:t>draft RTS</w:t>
      </w:r>
      <w:r w:rsidR="007D1841">
        <w:t xml:space="preserve"> 14 Article 2(5) i.e. “a </w:t>
      </w:r>
      <w:r w:rsidR="007D1841" w:rsidRPr="007D1841">
        <w:rPr>
          <w:b/>
        </w:rPr>
        <w:t>significant</w:t>
      </w:r>
      <w:r w:rsidR="007D1841">
        <w:t xml:space="preserve"> increase or decrease….”</w:t>
      </w:r>
    </w:p>
    <w:p w:rsidR="002F334B" w:rsidRDefault="009C535F" w:rsidP="00F51125">
      <w:pPr>
        <w:pStyle w:val="ListParagraph"/>
      </w:pPr>
      <w:r>
        <w:t>Article</w:t>
      </w:r>
      <w:r w:rsidR="00056DDE">
        <w:t xml:space="preserve"> 1</w:t>
      </w:r>
      <w:r>
        <w:t>(6</w:t>
      </w:r>
      <w:proofErr w:type="gramStart"/>
      <w:r>
        <w:t>)(</w:t>
      </w:r>
      <w:proofErr w:type="gramEnd"/>
      <w:r>
        <w:t>b) &amp; (c): We are unclear if the intention here is for a singular “significant short-term change</w:t>
      </w:r>
      <w:r w:rsidRPr="009C535F">
        <w:rPr>
          <w:strike/>
        </w:rPr>
        <w:t>s</w:t>
      </w:r>
      <w:r>
        <w:t>” or multiple “</w:t>
      </w:r>
      <w:r w:rsidRPr="009C535F">
        <w:rPr>
          <w:strike/>
        </w:rPr>
        <w:t xml:space="preserve">a </w:t>
      </w:r>
      <w:r>
        <w:t>significant short-term changes”</w:t>
      </w:r>
      <w:r w:rsidR="002F334B">
        <w:t>.</w:t>
      </w:r>
    </w:p>
    <w:p w:rsidR="009C535F" w:rsidRDefault="002F334B" w:rsidP="00F51125">
      <w:pPr>
        <w:pStyle w:val="ListParagraph"/>
      </w:pPr>
      <w:r>
        <w:t>Article 16(4): We question the ability of a firm to be able to implement/adopt a system which will provide alerts in real-time in relation to algorithms and DEA orders triggering circuit breakers of the trading venue</w:t>
      </w:r>
      <w:r w:rsidR="00945B03">
        <w:t>,</w:t>
      </w:r>
      <w:r>
        <w:t xml:space="preserve"> and suggest that the obligation is either moved from the real-time monitoring section or is amended so that the alert identifies where the algorithm or order </w:t>
      </w:r>
      <w:r w:rsidRPr="002F334B">
        <w:rPr>
          <w:b/>
          <w:i/>
        </w:rPr>
        <w:t>may</w:t>
      </w:r>
      <w:r>
        <w:t xml:space="preserve"> have triggered a circuit breaker.</w:t>
      </w:r>
    </w:p>
    <w:p w:rsidR="00FE64F1" w:rsidRDefault="00FE64F1" w:rsidP="00F51125">
      <w:pPr>
        <w:pStyle w:val="ListParagraph"/>
      </w:pPr>
      <w:r>
        <w:t>Articles 27 to 30 refer to investment firms acting as general clearing members. However Article 1(1) defines ‘investment firm’ for the purpose of this specific Regulation as “an investment firm engaged in algorithmic trading”. This therefore implies that Articles 27 to 30 applies to investment firms acting as general clearing members only if those firms also engage in algorithmic trading.</w:t>
      </w:r>
    </w:p>
    <w:permEnd w:id="25107847"/>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EB4F7A" w:rsidRDefault="00B30B97" w:rsidP="00B30B97">
      <w:permStart w:id="750329198" w:edGrp="everyone"/>
      <w:r>
        <w:t>The ISE notes that the requirements under Article 48 apply to Regulated Markets (and to other trading venues by virtue of Article 18), and we welcome ESMA’s pragmatic approach in recognising that these requirements are aimed at trading venues that provide or enable algorithmic trading. However we believe that ESMA needs to take an even more granular approach by clarifying that the obligations apply only to the venues’ specific systems</w:t>
      </w:r>
      <w:r w:rsidR="004E0B9C">
        <w:t xml:space="preserve"> or segments</w:t>
      </w:r>
      <w:r>
        <w:t xml:space="preserve"> which enable algorithmic trading. Trading venues can have different systems and market models in place for different markets or asset classes, with only a subset of those systems enabling algorithmic trading. It would be impractical to require venues to meet these requirements for all systems and </w:t>
      </w:r>
      <w:r w:rsidR="003F279C">
        <w:t>market models</w:t>
      </w:r>
      <w:r>
        <w:t xml:space="preserve"> they operate, if not all of those systems enable algorithmic trading.</w:t>
      </w:r>
      <w:r w:rsidR="005148E9">
        <w:t xml:space="preserve"> We note that this is the approach that ESMA has taken in relation to market making in </w:t>
      </w:r>
      <w:r w:rsidR="008E0CA8">
        <w:t>section 4.3, paragraph 50</w:t>
      </w:r>
      <w:r w:rsidR="00D305D7">
        <w:t>(iii), and also the reporting requirements on trading and execution venues in section 2.4 where the ‘market mechanism’ is one of the factors taken into account.</w:t>
      </w:r>
      <w:r w:rsidR="003F279C">
        <w:t xml:space="preserve"> We believe this approach can be easily accommodated by amending the text in Article 1(1) as follows: “This regulation lays down the detailed rules and requirements for trading venue</w:t>
      </w:r>
      <w:r w:rsidR="003F279C" w:rsidRPr="003F279C">
        <w:rPr>
          <w:b/>
        </w:rPr>
        <w:t>’s systems</w:t>
      </w:r>
      <w:r w:rsidR="003F279C">
        <w:rPr>
          <w:b/>
        </w:rPr>
        <w:t xml:space="preserve"> </w:t>
      </w:r>
      <w:r w:rsidR="003F279C">
        <w:t xml:space="preserve">allowing or enabling algorithmic trading </w:t>
      </w:r>
      <w:r w:rsidR="003F279C" w:rsidRPr="003F279C">
        <w:rPr>
          <w:strike/>
        </w:rPr>
        <w:t xml:space="preserve">through </w:t>
      </w:r>
      <w:r w:rsidR="003F279C" w:rsidRPr="003F279C">
        <w:rPr>
          <w:strike/>
        </w:rPr>
        <w:lastRenderedPageBreak/>
        <w:t>its systems</w:t>
      </w:r>
      <w:r w:rsidR="003F279C">
        <w:t>, in relation…</w:t>
      </w:r>
      <w:proofErr w:type="gramStart"/>
      <w:r w:rsidR="003F279C">
        <w:t>”.</w:t>
      </w:r>
      <w:proofErr w:type="gramEnd"/>
      <w:r w:rsidR="001B413F">
        <w:t xml:space="preserve"> Furthermore we note in paragraph 6 of the CP that ESMA states it has not amended the definition of “trading system”, however we were unable to locate this definition within the </w:t>
      </w:r>
      <w:r w:rsidR="00AD1D63">
        <w:t>draft RTS</w:t>
      </w:r>
      <w:r w:rsidR="001B413F">
        <w:t>.</w:t>
      </w:r>
    </w:p>
    <w:p w:rsidR="008E0CA8" w:rsidRDefault="008E0CA8" w:rsidP="00B30B97"/>
    <w:p w:rsidR="008E0CA8" w:rsidRPr="003F279C" w:rsidRDefault="008E0CA8" w:rsidP="00B30B97">
      <w:r>
        <w:t>We also have a number of comments on certain parts of the draft RTS 14 as follows:</w:t>
      </w:r>
    </w:p>
    <w:p w:rsidR="00EB4F7A" w:rsidRDefault="00EB4F7A" w:rsidP="00B30B97"/>
    <w:p w:rsidR="003406C3" w:rsidRDefault="008E0CA8" w:rsidP="00B30B97">
      <w:r>
        <w:t>Article 2</w:t>
      </w:r>
      <w:r w:rsidR="003406C3">
        <w:t>(2): We are unclear if the kill functionality embedded within the trading ve</w:t>
      </w:r>
      <w:r w:rsidR="00AF16B3">
        <w:t xml:space="preserve">nues’ systems should be for </w:t>
      </w:r>
      <w:r w:rsidR="003406C3">
        <w:t xml:space="preserve">use by the venue or by the member or both, since it is defined similarly in both </w:t>
      </w:r>
      <w:r w:rsidR="00AD1D63">
        <w:t>draft RTS</w:t>
      </w:r>
      <w:r w:rsidR="003406C3">
        <w:t xml:space="preserve"> 13 </w:t>
      </w:r>
      <w:r w:rsidR="00C10752">
        <w:t>in relation to the organisational requirements of investment firms</w:t>
      </w:r>
      <w:r w:rsidR="003406C3">
        <w:t xml:space="preserve">, and also </w:t>
      </w:r>
      <w:r w:rsidR="00AD1D63">
        <w:t>draft RTS</w:t>
      </w:r>
      <w:r w:rsidR="003406C3">
        <w:t xml:space="preserve"> 14 </w:t>
      </w:r>
      <w:r w:rsidR="00C10752">
        <w:t>in relation to the organisational requirements</w:t>
      </w:r>
      <w:r w:rsidR="003406C3">
        <w:t xml:space="preserve"> </w:t>
      </w:r>
      <w:r w:rsidR="00C10752">
        <w:t xml:space="preserve">of trading </w:t>
      </w:r>
      <w:r w:rsidR="001E1397">
        <w:t>venues, and furthermore Recital 15 states that the use of the functionality will “permit m</w:t>
      </w:r>
      <w:r w:rsidR="00FF5398">
        <w:t>embers or participants to react</w:t>
      </w:r>
      <w:r w:rsidR="001E1397">
        <w:t>….</w:t>
      </w:r>
      <w:r w:rsidR="00FF5398">
        <w:t>”.</w:t>
      </w:r>
      <w:r w:rsidR="00FA6419">
        <w:t xml:space="preserve"> However in clarifying this we urge ESMA to ensure that it is not overly prescriptive and in fact enables venues to have a flexible approach so that they can implement a kill functionality method that is appropriate for their market.</w:t>
      </w:r>
    </w:p>
    <w:p w:rsidR="003406C3" w:rsidRDefault="003406C3" w:rsidP="00B30B97"/>
    <w:p w:rsidR="00C76500" w:rsidRDefault="008E0CA8" w:rsidP="00B30B97">
      <w:r>
        <w:t>Article 2</w:t>
      </w:r>
      <w:r w:rsidR="00C76500">
        <w:t>(3</w:t>
      </w:r>
      <w:proofErr w:type="gramStart"/>
      <w:r w:rsidR="0046559C">
        <w:t>)</w:t>
      </w:r>
      <w:r w:rsidR="00C76500">
        <w:t>(</w:t>
      </w:r>
      <w:proofErr w:type="gramEnd"/>
      <w:r w:rsidR="00C76500">
        <w:t>b): We do not believe this definition is sufficiently clear to enable a consistent and transparent approach. More specifically:</w:t>
      </w:r>
    </w:p>
    <w:p w:rsidR="00C76500" w:rsidRDefault="00C76500" w:rsidP="00F51125">
      <w:pPr>
        <w:pStyle w:val="ListParagraph"/>
      </w:pPr>
      <w:r>
        <w:t>‘</w:t>
      </w:r>
      <w:proofErr w:type="gramStart"/>
      <w:r>
        <w:t>multiple</w:t>
      </w:r>
      <w:proofErr w:type="gramEnd"/>
      <w:r>
        <w:t>’ means more than one. This implies that two erroneous orders could be defined as causing ‘disorderly trading conditions’. We do not believe this is the intention of the text and therefore recommend that it is amended to ensure it accurately captures and defines disorderly trading. We therefore suggest ‘significant multiple’.</w:t>
      </w:r>
      <w:r w:rsidR="00B5013B">
        <w:t xml:space="preserve"> Furthermore we believe it should be clarified that it is only when this occurs over a “short timeframe”.</w:t>
      </w:r>
    </w:p>
    <w:p w:rsidR="00C76500" w:rsidRDefault="00C76500" w:rsidP="00F51125">
      <w:pPr>
        <w:pStyle w:val="ListParagraph"/>
      </w:pPr>
      <w:r>
        <w:t>‘</w:t>
      </w:r>
      <w:proofErr w:type="gramStart"/>
      <w:r>
        <w:t>sufficient</w:t>
      </w:r>
      <w:proofErr w:type="gramEnd"/>
      <w:r>
        <w:t xml:space="preserve"> time’ is an arbitrary term that is open to interpretation, particularly given the number of factors that can influence the execution of an order. Furthermore we do not believe that cancelled orders should be considered to be a subset of erroneous orders. In fact there are a number of reasons why orders may be cancelled, </w:t>
      </w:r>
      <w:r w:rsidR="008314B4">
        <w:t xml:space="preserve">only </w:t>
      </w:r>
      <w:r w:rsidR="007E7D6F">
        <w:t xml:space="preserve">one of </w:t>
      </w:r>
      <w:r>
        <w:t xml:space="preserve">which could be that they are in fact erroneous. </w:t>
      </w:r>
    </w:p>
    <w:p w:rsidR="00D20A9C" w:rsidRDefault="00D20A9C" w:rsidP="00C45273"/>
    <w:p w:rsidR="00614F1C" w:rsidRDefault="00614F1C" w:rsidP="00C45273">
      <w:r>
        <w:t>Article 4(1</w:t>
      </w:r>
      <w:proofErr w:type="gramStart"/>
      <w:r>
        <w:t>)(</w:t>
      </w:r>
      <w:proofErr w:type="gramEnd"/>
      <w:r>
        <w:t>b)</w:t>
      </w:r>
      <w:r w:rsidR="0047757F">
        <w:t>: We believe that such procedures must also take into account any outsourcing arrangement that the venue has in place in relation to its trading systems. The Irish Stock Exchange outsources</w:t>
      </w:r>
      <w:r w:rsidR="00E00478">
        <w:t xml:space="preserve"> the provision of</w:t>
      </w:r>
      <w:r w:rsidR="0047757F">
        <w:t xml:space="preserve"> its trading system </w:t>
      </w:r>
      <w:r w:rsidR="00E00478">
        <w:t>to</w:t>
      </w:r>
      <w:r w:rsidR="0047757F">
        <w:t xml:space="preserve"> Deutsche </w:t>
      </w:r>
      <w:proofErr w:type="spellStart"/>
      <w:r w:rsidR="0047757F">
        <w:t>Börse</w:t>
      </w:r>
      <w:proofErr w:type="spellEnd"/>
      <w:r w:rsidR="0047757F">
        <w:t xml:space="preserve">. As part </w:t>
      </w:r>
      <w:r w:rsidR="00E00478">
        <w:t>of this outsourcing arrangement</w:t>
      </w:r>
      <w:r w:rsidR="0047757F">
        <w:t xml:space="preserve"> we have in place procedures regarding the updating of the trading system and resolution of issues, however we don’t approve the overall development of the trading system, but rather the specific functionality for the ISE’s part of that trading system.</w:t>
      </w:r>
      <w:r w:rsidR="00925983">
        <w:t xml:space="preserve"> </w:t>
      </w:r>
      <w:r w:rsidR="009A49F4">
        <w:t>We believe this would</w:t>
      </w:r>
      <w:r w:rsidR="00925983">
        <w:t xml:space="preserve"> be</w:t>
      </w:r>
      <w:r w:rsidR="009A49F4">
        <w:t xml:space="preserve"> best</w:t>
      </w:r>
      <w:r w:rsidR="00925983">
        <w:t xml:space="preserve"> dealt with by a specific Recital on outsourcing – please see our response to question 101.</w:t>
      </w:r>
    </w:p>
    <w:p w:rsidR="00614F1C" w:rsidRDefault="00614F1C" w:rsidP="00C45273"/>
    <w:p w:rsidR="00C54ECD" w:rsidRPr="00C54ECD" w:rsidRDefault="00D20A9C" w:rsidP="00C54ECD">
      <w:pPr>
        <w:rPr>
          <w:u w:val="single"/>
        </w:rPr>
      </w:pPr>
      <w:r>
        <w:t>Article 5(1): ‘providing’ should be deleted from the end of the first sentence.</w:t>
      </w:r>
      <w:r w:rsidR="00872C8D">
        <w:t xml:space="preserve"> </w:t>
      </w:r>
      <w:r w:rsidR="001B413F">
        <w:t xml:space="preserve"> </w:t>
      </w:r>
      <w:r w:rsidR="001C4D72">
        <w:t>W</w:t>
      </w:r>
      <w:r w:rsidR="001B413F">
        <w:t>e believe that the obligation on the compliance function should be to (c</w:t>
      </w:r>
      <w:r w:rsidR="001B413F" w:rsidRPr="00C12C8C">
        <w:t>) “</w:t>
      </w:r>
      <w:r w:rsidR="00C54ECD" w:rsidRPr="00C12C8C">
        <w:t xml:space="preserve">establish, implement and maintain adequate policies and procedures” designed to detect any risk of failure to comply with the regulated entity’s obligations under the relevant legislation.  As such, we do not believe that the compliance function can necessarily ensure that failure to comply with the obligations are detected, however they should be able to develop and maintain such procedures that will address this.  Further, in line with the ESMA publication, “Guidelines on certain aspects of the </w:t>
      </w:r>
      <w:proofErr w:type="spellStart"/>
      <w:r w:rsidR="00C54ECD" w:rsidRPr="00C12C8C">
        <w:t>MiFID</w:t>
      </w:r>
      <w:proofErr w:type="spellEnd"/>
      <w:r w:rsidR="00C54ECD" w:rsidRPr="00C12C8C">
        <w:t xml:space="preserve"> compliance function requirements” (ESMA document/2012/388), we believe that regulated entities should ensure that the compliance function take</w:t>
      </w:r>
      <w:r w:rsidR="001C4D72">
        <w:t>s</w:t>
      </w:r>
      <w:r w:rsidR="00C54ECD" w:rsidRPr="00C12C8C">
        <w:t xml:space="preserve"> a risk-based approach in </w:t>
      </w:r>
      <w:r w:rsidR="00C54ECD" w:rsidRPr="00C12C8C">
        <w:lastRenderedPageBreak/>
        <w:t>order to allocate the function’s resources efficiently.  Drawing on this, the compliance function can adopt an appropriate risk-based approach which can form the basis for determining the appropriate tools and methodologies to be used by the compliance function to monitor on-going compliance.</w:t>
      </w:r>
      <w:r w:rsidR="00C54ECD" w:rsidRPr="00CE7CEC">
        <w:rPr>
          <w:u w:val="single"/>
        </w:rPr>
        <w:t xml:space="preserve"> </w:t>
      </w:r>
    </w:p>
    <w:p w:rsidR="002E3DE3" w:rsidRDefault="002E3DE3" w:rsidP="00C45273"/>
    <w:p w:rsidR="005914EE" w:rsidRDefault="005914EE" w:rsidP="00C45273">
      <w:r>
        <w:t>Article 6(1): In order to take into account any outsourcing arrangements in place, the following wording should be added at the end of paragraph 1</w:t>
      </w:r>
      <w:r w:rsidR="0047062A">
        <w:t>:</w:t>
      </w:r>
      <w:r>
        <w:t xml:space="preserve"> “taking into account any outsourcing arrangements in accordance with Article 7”.</w:t>
      </w:r>
      <w:r w:rsidR="00DE0F08">
        <w:t xml:space="preserve"> </w:t>
      </w:r>
      <w:r w:rsidR="009A7A3F">
        <w:t>However we believe this w</w:t>
      </w:r>
      <w:r w:rsidR="00DE0F08">
        <w:t>ould be</w:t>
      </w:r>
      <w:r w:rsidR="009A7A3F">
        <w:t xml:space="preserve"> best</w:t>
      </w:r>
      <w:r w:rsidR="00DE0F08">
        <w:t xml:space="preserve"> dealt with by a specific Recital on outsourcing – please see our response to question 101.</w:t>
      </w:r>
    </w:p>
    <w:p w:rsidR="005914EE" w:rsidRDefault="005914EE" w:rsidP="00C45273"/>
    <w:p w:rsidR="002E3DE3" w:rsidRDefault="002E3DE3" w:rsidP="00C45273">
      <w:r w:rsidRPr="00A907CE">
        <w:t xml:space="preserve">Article 8: </w:t>
      </w:r>
      <w:r w:rsidR="007C20E1" w:rsidRPr="007C20E1">
        <w:t xml:space="preserve">We welcome </w:t>
      </w:r>
      <w:r w:rsidR="007C20E1">
        <w:t>ESMA’s recognition that it is appropriate for trading venues to apply a risk-based approach to the annual due diligence assessment of its members, as referred to in paragraph 19(iii) of the CP and in Recital 9. However we note that this has not been brought forwar</w:t>
      </w:r>
      <w:r w:rsidR="00F37173">
        <w:t>d into the content of Article 8</w:t>
      </w:r>
      <w:r w:rsidR="007C20E1">
        <w:t xml:space="preserve">(3). </w:t>
      </w:r>
      <w:r w:rsidR="00F37173">
        <w:t>Without a risk based approach,</w:t>
      </w:r>
      <w:r w:rsidR="007C20E1">
        <w:t xml:space="preserve"> the requirement for all trading venues to assess </w:t>
      </w:r>
      <w:r w:rsidR="00F37173">
        <w:t xml:space="preserve">all members on an annual basis </w:t>
      </w:r>
      <w:r w:rsidR="007C20E1">
        <w:t>would be considerably onerous</w:t>
      </w:r>
      <w:r w:rsidR="00F37173">
        <w:t xml:space="preserve"> as previously highlighted</w:t>
      </w:r>
      <w:r w:rsidR="007C20E1">
        <w:t xml:space="preserve">. We therefore urge ESMA to </w:t>
      </w:r>
      <w:r w:rsidR="00CE7CEC" w:rsidRPr="00A72D94">
        <w:t xml:space="preserve">(i) set out an absolute minimum standard of due diligence which must be applied to all members or participants of trading venues and to (ii) empower trading venues to apply this on a risk-weighted basis.  By </w:t>
      </w:r>
      <w:r w:rsidR="007C20E1" w:rsidRPr="00A72D94">
        <w:t>incorporat</w:t>
      </w:r>
      <w:r w:rsidR="00CE7CEC" w:rsidRPr="00A72D94">
        <w:t>ing</w:t>
      </w:r>
      <w:r w:rsidR="007C20E1" w:rsidRPr="00A72D94">
        <w:t xml:space="preserve"> the risk-based approach within Article 8</w:t>
      </w:r>
      <w:r w:rsidR="00CE7CEC" w:rsidRPr="00A72D94">
        <w:t>, this would permit trading venues to</w:t>
      </w:r>
      <w:r w:rsidR="007C20E1" w:rsidRPr="00A72D94">
        <w:t xml:space="preserve"> </w:t>
      </w:r>
      <w:r w:rsidR="007C20E1">
        <w:t>determine the level and frequency of the review of its members.</w:t>
      </w:r>
      <w:r w:rsidR="0083635E">
        <w:t xml:space="preserve"> Venues should be able to limit the content of the reviews based on</w:t>
      </w:r>
      <w:r w:rsidR="000842EB">
        <w:t xml:space="preserve"> the outcome of</w:t>
      </w:r>
      <w:r w:rsidR="0083635E">
        <w:t xml:space="preserve"> its risk assessment.</w:t>
      </w:r>
      <w:r w:rsidR="003B6C0B">
        <w:t xml:space="preserve"> Furthermore in relation to the technical and functional conformance testing (part (d)</w:t>
      </w:r>
      <w:r w:rsidR="009D24EB">
        <w:t>)</w:t>
      </w:r>
      <w:r w:rsidR="003B6C0B">
        <w:t xml:space="preserve">, we do not believe that this should be part of the annual assessment of members as there are already requirements for such testing to be carried out </w:t>
      </w:r>
      <w:r w:rsidR="009D24EB">
        <w:t xml:space="preserve">in specific circumstances, </w:t>
      </w:r>
      <w:r w:rsidR="003B6C0B">
        <w:t xml:space="preserve">for changes to algorithms for example. Testing is better driven by specific changes to software, hardware, strategies etc. Furthermore, while trading venues should set out certain minimal requirements for such testing, the responsibility for ultimate compliance must remain with the investment firm as trading venues do not have sufficient information of trading strategies of firms to be able to provide the same level of assurance that the investment firm can itself. </w:t>
      </w:r>
      <w:r w:rsidR="00540FBE">
        <w:t>In addition, in relation to part (b), we believe there is limited ability for a trading venue to assess a member’s compliance with this requirement as it will be difficult to set a reasonable and consistent measurement to assess the experience of staff in all key positions in all members. We also question how a trading venue would assess the outsourcing p</w:t>
      </w:r>
      <w:r w:rsidR="00FD5DC1">
        <w:t xml:space="preserve">olicy of its members (part (i)) as we believe that </w:t>
      </w:r>
      <w:r w:rsidR="00540FBE">
        <w:t>this is an assessment that the regulator of the member will undertake.</w:t>
      </w:r>
      <w:r w:rsidR="003B6C0B">
        <w:t xml:space="preserve"> </w:t>
      </w:r>
    </w:p>
    <w:p w:rsidR="003B6C0B" w:rsidRDefault="003B6C0B" w:rsidP="00C45273"/>
    <w:p w:rsidR="003B6C0B" w:rsidRDefault="003B6C0B" w:rsidP="00C45273">
      <w:r>
        <w:t xml:space="preserve">Article 10: While we welcome the additional clarity provided by ESMA, we are very concerned with some of the proposed obligations on trading venues. In particular, we believe that the test environment should </w:t>
      </w:r>
      <w:r w:rsidR="00677B40">
        <w:t xml:space="preserve">provide the same functionalities of the production environment in order to enable prospective or existing members to test all such functionalities that are relevant to its business on that </w:t>
      </w:r>
      <w:proofErr w:type="gramStart"/>
      <w:r w:rsidR="00677B40">
        <w:t>venue,</w:t>
      </w:r>
      <w:proofErr w:type="gramEnd"/>
      <w:r w:rsidR="00677B40">
        <w:t xml:space="preserve"> however members should not necessarily be required to test all new functionalities if it is not relevant to their business. Furthermore, a representative sample of financial instruments should be sufficient</w:t>
      </w:r>
      <w:r w:rsidR="00582A28">
        <w:t xml:space="preserve"> for testing purposes. T</w:t>
      </w:r>
      <w:r w:rsidR="00677B40">
        <w:t xml:space="preserve">he full list of instruments available in production is unlikely to be required even in smaller markets and discretion should be left to the venue to identify the representative number. </w:t>
      </w:r>
    </w:p>
    <w:p w:rsidR="00677B40" w:rsidRDefault="00677B40" w:rsidP="00C45273"/>
    <w:p w:rsidR="00677B40" w:rsidRDefault="00677B40" w:rsidP="00C45273">
      <w:r>
        <w:t xml:space="preserve">Article 11: We are concerned with the level of detail and expectation proposed by ESMA. In particular it is not possible for trading venues to provide a test environment that will enable members to ensure that their algorithms will not create or contribute to disorderly trading conditions as the test environment can never fully predict the interaction of orders in a production environment. It must be recognised that any member’s testing will interact with other members’ testing (which is in fact representative of production environments) and that this will constantly be changing. Therefore while there are of course benefits to requiring a certain level of testing to be done, it must be recognised that it cannot produce guarantees as to how orders will interact in a live environment. Therefore proportional obligations on both venues and investment firms are appropriate to ensure a sufficient level of testing and comfort is achieved. </w:t>
      </w:r>
    </w:p>
    <w:p w:rsidR="00677B40" w:rsidRDefault="00677B40" w:rsidP="00C45273"/>
    <w:p w:rsidR="00677B40" w:rsidRDefault="00677B40" w:rsidP="00C45273">
      <w:r>
        <w:t>Article 12:</w:t>
      </w:r>
      <w:r w:rsidR="004637DF">
        <w:t xml:space="preserve"> We believe that Article 12(4) should clarify that the requirement of the trading venue to inform its competent authority about the measures planned to expand capacity is only when it is in response to a compromise of its capacity, but that such a notification should not be required for standard system upgrades.</w:t>
      </w:r>
    </w:p>
    <w:p w:rsidR="00543FD7" w:rsidRDefault="00543FD7" w:rsidP="00C45273"/>
    <w:p w:rsidR="004326D2" w:rsidRDefault="00543FD7" w:rsidP="00C45273">
      <w:r>
        <w:t>Article 15: While we agree</w:t>
      </w:r>
      <w:r w:rsidRPr="00543FD7">
        <w:t xml:space="preserve"> that </w:t>
      </w:r>
      <w:r>
        <w:t xml:space="preserve">there are benefits of </w:t>
      </w:r>
      <w:r w:rsidRPr="00543FD7">
        <w:t xml:space="preserve">a periodical review, </w:t>
      </w:r>
      <w:r>
        <w:t>we believe the proposed</w:t>
      </w:r>
      <w:r w:rsidR="007F27DB">
        <w:t xml:space="preserve"> requirements of such reviews are</w:t>
      </w:r>
      <w:r>
        <w:t xml:space="preserve"> too prescriptive and will be very costly for trading venues to operate. In order to operate a reliable trading system, v</w:t>
      </w:r>
      <w:r w:rsidRPr="00543FD7">
        <w:t>enues</w:t>
      </w:r>
      <w:r>
        <w:t xml:space="preserve"> already monitor their systems, gathering particular </w:t>
      </w:r>
      <w:r w:rsidRPr="00543FD7">
        <w:t>data about key elements of their systems during live trading</w:t>
      </w:r>
      <w:r>
        <w:t>. This data is used by venues</w:t>
      </w:r>
      <w:r w:rsidRPr="00543FD7">
        <w:t xml:space="preserve"> when evaluating </w:t>
      </w:r>
      <w:r>
        <w:t xml:space="preserve">the </w:t>
      </w:r>
      <w:r w:rsidRPr="00543FD7">
        <w:t>system</w:t>
      </w:r>
      <w:r w:rsidR="007F27DB">
        <w:t>’s</w:t>
      </w:r>
      <w:r w:rsidRPr="00543FD7">
        <w:t xml:space="preserve"> performance and capacity. </w:t>
      </w:r>
      <w:r>
        <w:t>Therefore very prescriptive requirements do not need to be set out in the draft RTS. Moreover, s</w:t>
      </w:r>
      <w:r w:rsidRPr="00543FD7">
        <w:t xml:space="preserve">tress testing without impact on members would </w:t>
      </w:r>
      <w:r>
        <w:t>require venues to develop and maintain</w:t>
      </w:r>
      <w:r w:rsidRPr="00543FD7">
        <w:t xml:space="preserve"> another independent environment</w:t>
      </w:r>
      <w:r>
        <w:t>,</w:t>
      </w:r>
      <w:r w:rsidRPr="00543FD7">
        <w:t xml:space="preserve"> thereby </w:t>
      </w:r>
      <w:r>
        <w:t>further</w:t>
      </w:r>
      <w:r w:rsidRPr="00543FD7">
        <w:t xml:space="preserve"> increasing the cost</w:t>
      </w:r>
      <w:r>
        <w:t>s</w:t>
      </w:r>
      <w:r w:rsidRPr="00543FD7">
        <w:t xml:space="preserve"> without ben</w:t>
      </w:r>
      <w:r>
        <w:t>efit to the market or members. Therefore we urge ESMA to remove the overly prescriptive and onerous requirements from the draft RTS.</w:t>
      </w:r>
      <w:r w:rsidR="00480A00">
        <w:t xml:space="preserve"> (We also question the repetitive requirements in </w:t>
      </w:r>
      <w:r w:rsidR="0000168F">
        <w:t>1(b) and (c) where the “unexpected behaviour of critical constituent elements” is required in both parts).</w:t>
      </w:r>
    </w:p>
    <w:p w:rsidR="004326D2" w:rsidRDefault="004326D2" w:rsidP="00C45273"/>
    <w:p w:rsidR="00543FD7" w:rsidRDefault="004326D2" w:rsidP="00C45273">
      <w:r>
        <w:t>Article 16: We believe ESMA should re-consider the recovery point objective of close to zero and instead allow for different recovery point objectives to be set depending on the criticality of the underlying data.</w:t>
      </w:r>
      <w:r w:rsidR="0000168F">
        <w:t xml:space="preserve"> </w:t>
      </w:r>
    </w:p>
    <w:p w:rsidR="0083159A" w:rsidRDefault="0083159A" w:rsidP="00C45273"/>
    <w:p w:rsidR="006042B9" w:rsidRDefault="00DE5F9C" w:rsidP="00C45273">
      <w:r>
        <w:t>Articles 17</w:t>
      </w:r>
      <w:r w:rsidR="006042B9">
        <w:t>: We</w:t>
      </w:r>
      <w:r w:rsidR="007408B1">
        <w:t xml:space="preserve"> welcome the flexible approach of ESMA to allow the sign-off and oversight of the business continuity arrangements</w:t>
      </w:r>
      <w:r w:rsidR="00276FC1">
        <w:t xml:space="preserve"> (in Art 17(4) &amp; (5), and Art 18(1</w:t>
      </w:r>
      <w:proofErr w:type="gramStart"/>
      <w:r w:rsidR="00276FC1">
        <w:t>)(</w:t>
      </w:r>
      <w:proofErr w:type="gramEnd"/>
      <w:r w:rsidR="00276FC1">
        <w:t>a))</w:t>
      </w:r>
      <w:r w:rsidR="007408B1">
        <w:t xml:space="preserve"> to be undertaken either by the Board of Directors </w:t>
      </w:r>
      <w:r w:rsidR="007408B1" w:rsidRPr="005E532C">
        <w:rPr>
          <w:b/>
        </w:rPr>
        <w:t>or</w:t>
      </w:r>
      <w:r w:rsidR="007408B1">
        <w:t xml:space="preserve"> by any other competent management body.</w:t>
      </w:r>
      <w:r w:rsidR="005E532C">
        <w:t xml:space="preserve"> It is important that this approach is maintained in the final text to ensure trading venues can implement such arrangements in the most app</w:t>
      </w:r>
      <w:r w:rsidR="009D038B">
        <w:t>ropriate way for their business and organisational structure.</w:t>
      </w:r>
      <w:r w:rsidR="007408B1">
        <w:t xml:space="preserve"> </w:t>
      </w:r>
      <w:r w:rsidR="00872603">
        <w:t>Furthermore</w:t>
      </w:r>
      <w:r w:rsidR="007408B1">
        <w:t xml:space="preserve"> we</w:t>
      </w:r>
      <w:r w:rsidR="006042B9">
        <w:t xml:space="preserve"> believe that the proposal for the Board </w:t>
      </w:r>
      <w:r w:rsidR="007408B1">
        <w:t xml:space="preserve">of Directors/competent management body </w:t>
      </w:r>
      <w:r w:rsidR="006042B9">
        <w:t xml:space="preserve">to approve “any amendments” is for too onerous, and instead </w:t>
      </w:r>
      <w:r w:rsidR="007408B1">
        <w:t>it should specify only “significant amendments”. This will still provide the</w:t>
      </w:r>
      <w:r w:rsidR="006042B9">
        <w:t xml:space="preserve"> appropriate level of </w:t>
      </w:r>
      <w:r w:rsidR="007408B1">
        <w:t xml:space="preserve">Board/management body </w:t>
      </w:r>
      <w:r w:rsidR="0037309C">
        <w:t>oversight without creating unnecessary administrative burden</w:t>
      </w:r>
      <w:r w:rsidR="007408B1">
        <w:t xml:space="preserve"> due to, for example, insignificant changes within the organisation such as an immaterial change in staff within a particular department</w:t>
      </w:r>
      <w:r w:rsidR="0037309C">
        <w:t xml:space="preserve">. </w:t>
      </w:r>
      <w:r w:rsidR="001D733F">
        <w:t xml:space="preserve">Finally in relation to the identification of all risks (Art 17(4)), we believe it is more appropriate to require the identification of possible scenarios as </w:t>
      </w:r>
      <w:r w:rsidR="001D733F">
        <w:lastRenderedPageBreak/>
        <w:t>it may not be possible to identify all potential risks, but identifying an exhaustive list of possible scenarios should ensure all potential threats are identified.</w:t>
      </w:r>
    </w:p>
    <w:p w:rsidR="006042B9" w:rsidRDefault="006042B9" w:rsidP="00C45273"/>
    <w:p w:rsidR="004A47BB" w:rsidRDefault="00C339D9" w:rsidP="00C45273">
      <w:r w:rsidRPr="00F661F2">
        <w:t>Article 19</w:t>
      </w:r>
      <w:r w:rsidR="00F661F2">
        <w:t xml:space="preserve">: </w:t>
      </w:r>
      <w:r>
        <w:t>We welcome the amendments made by ESMA taking into account the feedback from the DP, in particular in relation to the concerns raised with regard to the amend</w:t>
      </w:r>
      <w:r w:rsidR="004C3A42">
        <w:t>ing of</w:t>
      </w:r>
      <w:r>
        <w:t xml:space="preserve"> orders and transactions. We believe the revised approach is more transparent and workable</w:t>
      </w:r>
      <w:r w:rsidR="004A47BB">
        <w:t>, however we believe it would be further improved by removing the ability for a venue to ‘correct’ transactions in 2(d)</w:t>
      </w:r>
      <w:r>
        <w:t>.</w:t>
      </w:r>
      <w:r w:rsidR="004A47BB">
        <w:t xml:space="preserve"> While a venue may be able to identify a clearly erroneous price or quantity of a transaction, it cannot know what the correct price or quantity is as this is determined by the members and the market. Therefore this should be removed.</w:t>
      </w:r>
    </w:p>
    <w:p w:rsidR="00C339D9" w:rsidRDefault="004A47BB" w:rsidP="00C45273">
      <w:r>
        <w:t>W</w:t>
      </w:r>
      <w:r w:rsidR="00B17327">
        <w:t xml:space="preserve">e </w:t>
      </w:r>
      <w:r>
        <w:t>also</w:t>
      </w:r>
      <w:r w:rsidR="00B17327">
        <w:t xml:space="preserve"> have some further comments to make on Article 19 in the draft RTS:</w:t>
      </w:r>
    </w:p>
    <w:p w:rsidR="00A25C1C" w:rsidRDefault="0083159A" w:rsidP="00F51125">
      <w:pPr>
        <w:pStyle w:val="ListParagraph"/>
      </w:pPr>
      <w:r>
        <w:t>(3)(e)(iii): We are unclear if the intention of the text is to prescribe that the cancellation procedures must include all elements set out within the brackets i.e. reverse trade, transfer position, cash settlement and a price adjustment. We believe this is excessively prescriptive and that it should be left to the venue, together with their CCP if relevant, to determine the optimal process or processes for cancellation of a transaction.</w:t>
      </w:r>
      <w:r w:rsidR="00B17327">
        <w:t xml:space="preserve"> The list of potential procedures could be included as a suggestion but should not be prescribed as</w:t>
      </w:r>
      <w:r w:rsidR="001B2CB6">
        <w:t xml:space="preserve"> a</w:t>
      </w:r>
      <w:r w:rsidR="00B17327">
        <w:t xml:space="preserve"> requir</w:t>
      </w:r>
      <w:r w:rsidR="00BC5229">
        <w:t>e</w:t>
      </w:r>
      <w:r w:rsidR="001B2CB6">
        <w:t>m</w:t>
      </w:r>
      <w:r w:rsidR="00B17327">
        <w:t>e</w:t>
      </w:r>
      <w:r w:rsidR="001B2CB6">
        <w:t>nt</w:t>
      </w:r>
      <w:r w:rsidR="00B17327">
        <w:t>.</w:t>
      </w:r>
    </w:p>
    <w:p w:rsidR="00A25C1C" w:rsidRDefault="00A25C1C" w:rsidP="00F51125">
      <w:pPr>
        <w:pStyle w:val="ListParagraph"/>
      </w:pPr>
      <w:r>
        <w:t>(3)(e)</w:t>
      </w:r>
      <w:proofErr w:type="gramStart"/>
      <w:r>
        <w:t>(vi)</w:t>
      </w:r>
      <w:proofErr w:type="gramEnd"/>
      <w:r>
        <w:t xml:space="preserve">: We believe it would be more appropriate for this to be included within the </w:t>
      </w:r>
      <w:r w:rsidR="00BC5229">
        <w:t xml:space="preserve">general </w:t>
      </w:r>
      <w:r>
        <w:t>list of controls that a venue must have</w:t>
      </w:r>
      <w:r w:rsidR="00BC5229">
        <w:t xml:space="preserve"> under (1), rather than within the cancellation procedures as the measures to minimise erroneous trades are separate to the actual policy and procedures on the cancellation of such trades when they occur.</w:t>
      </w:r>
    </w:p>
    <w:p w:rsidR="00A25C1C" w:rsidRDefault="00A25C1C" w:rsidP="00F51125">
      <w:pPr>
        <w:pStyle w:val="ListParagraph"/>
      </w:pPr>
      <w:r>
        <w:t>(3)(e)(</w:t>
      </w:r>
      <w:proofErr w:type="gramStart"/>
      <w:r>
        <w:t>vii</w:t>
      </w:r>
      <w:proofErr w:type="gramEnd"/>
      <w:r>
        <w:t xml:space="preserve"> – xi): We believe that these should separately be listed as (f)</w:t>
      </w:r>
      <w:r w:rsidR="00055F01">
        <w:t>(i) – (iv</w:t>
      </w:r>
      <w:r>
        <w:t>) as they are not directly relevant to the cancella</w:t>
      </w:r>
      <w:r w:rsidR="00055F01">
        <w:t>tion procedures of transactions and are all elements of procedures around throttling.</w:t>
      </w:r>
    </w:p>
    <w:p w:rsidR="0029719B" w:rsidRDefault="00186FA6" w:rsidP="00F51125">
      <w:pPr>
        <w:pStyle w:val="ListParagraph"/>
      </w:pPr>
      <w:r>
        <w:t xml:space="preserve">(5): </w:t>
      </w:r>
      <w:r w:rsidR="0029719B">
        <w:t xml:space="preserve">The inclusion of the word ‘intends’ should be removed on the basis that it implies advance notification and potentially approval by the competent authority. Instead trading venues should </w:t>
      </w:r>
      <w:r>
        <w:t xml:space="preserve">only </w:t>
      </w:r>
      <w:r w:rsidR="0029719B">
        <w:t xml:space="preserve">be required to provide updated policies and procedures whenever they </w:t>
      </w:r>
      <w:r w:rsidR="005C4E47">
        <w:t>are</w:t>
      </w:r>
      <w:r w:rsidR="0029719B">
        <w:t xml:space="preserve"> amended.</w:t>
      </w:r>
    </w:p>
    <w:p w:rsidR="00282F86" w:rsidRDefault="00282F86" w:rsidP="00C45273"/>
    <w:p w:rsidR="00DA1FA3" w:rsidRPr="00E06634" w:rsidRDefault="00DA1FA3" w:rsidP="00C45273">
      <w:r w:rsidRPr="00E06634">
        <w:t>Article 20(2)</w:t>
      </w:r>
      <w:r w:rsidR="00E06634">
        <w:t>: In relation to r</w:t>
      </w:r>
      <w:r w:rsidRPr="00E06634">
        <w:t xml:space="preserve">equiring trading venues to notify their NCAs of significant price movements, we suggest that ESMA includes a recital in this </w:t>
      </w:r>
      <w:r w:rsidR="00AD1D63" w:rsidRPr="00E06634">
        <w:t>draft RTS</w:t>
      </w:r>
      <w:r w:rsidRPr="00E06634">
        <w:t xml:space="preserve"> stating that trading venues and NCAs should agree on when it is expected that a TV should make such notifications (i.e. how significant would the price movement have to be to trigger the notification requirement) so as to avoid this becoming an overly onerous requirement. This follows the same approach ESMA has taken in</w:t>
      </w:r>
      <w:r w:rsidR="00AA6F39">
        <w:t xml:space="preserve"> the Technical Advice p. 385 </w:t>
      </w:r>
      <w:r w:rsidRPr="00E06634">
        <w:t>suggesting market operators consult with their NCA regarding the NCA’s expectation of when to notify of a significant infringement of rules, disorderly trading etc.</w:t>
      </w:r>
    </w:p>
    <w:p w:rsidR="00DA1FA3" w:rsidRDefault="00DA1FA3" w:rsidP="00C45273"/>
    <w:p w:rsidR="004D6B1B" w:rsidRDefault="00282F86" w:rsidP="004D6B1B">
      <w:r>
        <w:t>Article 20(6):</w:t>
      </w:r>
      <w:r w:rsidR="00B943D5">
        <w:t xml:space="preserve"> We note that ESMA proposes that “any modification” should be reported to the competent authority. However we believe this proposal goes beyond the requirements of Level 1 as Article 48(5) requires “any material changes” to be reported to the competent authority. Therefore we request that ESMA updates the </w:t>
      </w:r>
      <w:r w:rsidR="00AD1D63">
        <w:t>draft RTS</w:t>
      </w:r>
      <w:r w:rsidR="00B943D5">
        <w:t xml:space="preserve"> to </w:t>
      </w:r>
      <w:r w:rsidR="001D6CA0">
        <w:t xml:space="preserve">include the word “material” to </w:t>
      </w:r>
      <w:r w:rsidR="00B943D5">
        <w:t xml:space="preserve">ensure it is in line with the Level 1 text. </w:t>
      </w:r>
    </w:p>
    <w:p w:rsidR="00282F86" w:rsidRDefault="00282F86" w:rsidP="00C45273"/>
    <w:p w:rsidR="00F549EE" w:rsidRDefault="00F549EE" w:rsidP="00C45273">
      <w:r>
        <w:lastRenderedPageBreak/>
        <w:t>Article 21(1</w:t>
      </w:r>
      <w:proofErr w:type="gramStart"/>
      <w:r>
        <w:t>)(</w:t>
      </w:r>
      <w:proofErr w:type="gramEnd"/>
      <w:r>
        <w:t>a):</w:t>
      </w:r>
      <w:r w:rsidR="00AB6C08">
        <w:t>We note that ESMA is proposing that the price collars of trading venues should automatically “block or cancel” orders that do not meet the relevant price criteria. While we welcome the flexible approach, we believe that blocking such orders is more relevant as cancelling them after entry on the order book may</w:t>
      </w:r>
      <w:r w:rsidR="0025757B">
        <w:t xml:space="preserve"> not be possible if an order is instantaneously matched</w:t>
      </w:r>
      <w:r w:rsidR="00AB6C08">
        <w:t xml:space="preserve"> result</w:t>
      </w:r>
      <w:r w:rsidR="0025757B">
        <w:t>ing</w:t>
      </w:r>
      <w:r w:rsidR="00AB6C08">
        <w:t xml:space="preserve"> in an erroneous trade. However we believe the actual mechanism in place should be left to the venue to determine taking into account its trading model, the financial instruments etc.</w:t>
      </w:r>
    </w:p>
    <w:p w:rsidR="00F549EE" w:rsidRDefault="00F549EE" w:rsidP="00C45273"/>
    <w:p w:rsidR="00A907CE" w:rsidRDefault="00A907CE" w:rsidP="00C45273">
      <w:r>
        <w:t>Article 21(2</w:t>
      </w:r>
      <w:proofErr w:type="gramStart"/>
      <w:r>
        <w:t>)(</w:t>
      </w:r>
      <w:proofErr w:type="gramEnd"/>
      <w:r>
        <w:t xml:space="preserve">b): We note that the </w:t>
      </w:r>
      <w:r w:rsidR="00AD1D63">
        <w:t>draft RTS</w:t>
      </w:r>
      <w:r>
        <w:t xml:space="preserve"> impose a different and potentially </w:t>
      </w:r>
      <w:r w:rsidR="00D57FE2">
        <w:t xml:space="preserve">a more </w:t>
      </w:r>
      <w:r w:rsidR="00DA605E">
        <w:t>harmful</w:t>
      </w:r>
      <w:r>
        <w:t xml:space="preserve"> obligation on trading venues, than is suggested in the CP. Paragraph 69 in the CP states that the controls should “enable” trading venues to stop order submission entirely once a threshold is breached, however the draft RTS places an obligation to “ensure</w:t>
      </w:r>
      <w:r w:rsidR="00DF6355">
        <w:t>”</w:t>
      </w:r>
      <w:r>
        <w:t xml:space="preserve"> order submission is </w:t>
      </w:r>
      <w:r w:rsidR="00DA605E">
        <w:t>“</w:t>
      </w:r>
      <w:r>
        <w:t>entirely stoppe</w:t>
      </w:r>
      <w:r w:rsidR="00DF6355">
        <w:t>d</w:t>
      </w:r>
      <w:r w:rsidR="00DA605E">
        <w:t xml:space="preserve"> once a </w:t>
      </w:r>
      <w:r w:rsidR="00A6746B">
        <w:t>limit</w:t>
      </w:r>
      <w:r w:rsidR="00DA605E">
        <w:t xml:space="preserve"> is breached”</w:t>
      </w:r>
      <w:r>
        <w:t xml:space="preserve">. </w:t>
      </w:r>
      <w:r w:rsidR="00A6746B">
        <w:t>T</w:t>
      </w:r>
      <w:r>
        <w:t>he proposed</w:t>
      </w:r>
      <w:r w:rsidR="00A6746B">
        <w:t xml:space="preserve"> wording in the</w:t>
      </w:r>
      <w:r>
        <w:t xml:space="preserve"> </w:t>
      </w:r>
      <w:r w:rsidR="00AD1D63">
        <w:t>draft RTS</w:t>
      </w:r>
      <w:r>
        <w:t xml:space="preserve"> would place an obligation on trading venues to completely stop order entry of a member across all financial instruments due to one bre</w:t>
      </w:r>
      <w:r w:rsidR="00A6746B">
        <w:t>ach in one financial instrument. This would therefore affect the firm’s ability to deliver best execution for its clients as all further orders would be prevented from entering the order book even in a different instrument. Furthermore we believe the proposal is not workable</w:t>
      </w:r>
      <w:r>
        <w:t xml:space="preserve"> when the trading venue is also required to have mechanisms in place to authorise orders above pre-set limits. In practical terms, this could mean restricting order submission </w:t>
      </w:r>
      <w:r w:rsidR="00DF6355">
        <w:t xml:space="preserve">completely </w:t>
      </w:r>
      <w:r>
        <w:t xml:space="preserve">for a short period due to a breach by an order that is then </w:t>
      </w:r>
      <w:r w:rsidR="00A6746B">
        <w:t xml:space="preserve">subsequently </w:t>
      </w:r>
      <w:r>
        <w:t>permitted, with the potential compromise of best execution for legitimate (client) orders. We agree that trading venues should have the right to block order submission, but with the flexibility to impose this r</w:t>
      </w:r>
      <w:r w:rsidR="00F549EE">
        <w:t xml:space="preserve">equirement </w:t>
      </w:r>
      <w:r>
        <w:t xml:space="preserve">as relevant. </w:t>
      </w:r>
    </w:p>
    <w:p w:rsidR="00222400" w:rsidRPr="00496941" w:rsidRDefault="00222400" w:rsidP="00C45273"/>
    <w:p w:rsidR="00222400" w:rsidRPr="00496941" w:rsidRDefault="00222400" w:rsidP="00C45273">
      <w:r w:rsidRPr="00496941">
        <w:t>Article 21</w:t>
      </w:r>
      <w:r w:rsidR="00496941" w:rsidRPr="00496941">
        <w:t>: Furthermore, we note that</w:t>
      </w:r>
      <w:r w:rsidRPr="00496941">
        <w:t xml:space="preserve"> trading venues</w:t>
      </w:r>
      <w:r w:rsidR="00496941" w:rsidRPr="00496941">
        <w:t xml:space="preserve"> are required</w:t>
      </w:r>
      <w:r w:rsidRPr="00496941">
        <w:t xml:space="preserve"> to ensure their members operate the pre-trade risk limits and controls described in the Regulation on the organisational requirements for investment firms engaged in algorithmic trading. While we fully support the use of such controls and the inclusion of pre-trade control requirements in the rules of trading venues, it should be for the national competent authority to be the enforcer of the requirements on investment firms that are set out in these Regulations.</w:t>
      </w:r>
    </w:p>
    <w:permEnd w:id="75032919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943F78" w:rsidRDefault="00943F78" w:rsidP="00422E46">
      <w:permStart w:id="1396998097" w:edGrp="everyone"/>
      <w:r>
        <w:t>We are very concerned with two particular provisions, which we be</w:t>
      </w:r>
      <w:r w:rsidR="009A4E8B">
        <w:t xml:space="preserve">lieve are not proportionate and would </w:t>
      </w:r>
      <w:r>
        <w:t>in fact disadvantag</w:t>
      </w:r>
      <w:r w:rsidR="009A4E8B">
        <w:t>e</w:t>
      </w:r>
      <w:r>
        <w:t xml:space="preserve"> markets that</w:t>
      </w:r>
      <w:r w:rsidR="009A4E8B">
        <w:t xml:space="preserve"> outsource their trading system, p</w:t>
      </w:r>
      <w:r>
        <w:t>articularly since the outsourcing of a trading system is usually a key enabler to sustaining the business of smaller and regional markets, and the</w:t>
      </w:r>
      <w:r w:rsidR="00972F3F">
        <w:t>refore t</w:t>
      </w:r>
      <w:r w:rsidR="00193FF9">
        <w:t>h</w:t>
      </w:r>
      <w:r w:rsidR="00972F3F">
        <w:t>e</w:t>
      </w:r>
      <w:r>
        <w:t xml:space="preserve"> liquidity on those markets.</w:t>
      </w:r>
      <w:r w:rsidR="00631FAD">
        <w:t xml:space="preserve"> We therefore believe it is critical that the below proposals are deleted from the </w:t>
      </w:r>
      <w:r w:rsidR="00AD1D63">
        <w:t>draft RTS</w:t>
      </w:r>
      <w:r w:rsidR="00631FAD">
        <w:t>.</w:t>
      </w:r>
    </w:p>
    <w:p w:rsidR="00943F78" w:rsidRDefault="00943F78" w:rsidP="00422E46"/>
    <w:p w:rsidR="00943F78" w:rsidRDefault="00943F78" w:rsidP="00943F78">
      <w:r>
        <w:t>Specifically, in relation to the draft Article 7:</w:t>
      </w:r>
    </w:p>
    <w:p w:rsidR="00943F78" w:rsidRDefault="00943F78" w:rsidP="00F51125">
      <w:pPr>
        <w:pStyle w:val="ListParagraph"/>
      </w:pPr>
      <w:r>
        <w:t xml:space="preserve">(3)(i) and (4)(b)(ii) &amp; </w:t>
      </w:r>
      <w:r w:rsidR="006D4651">
        <w:t>(4)</w:t>
      </w:r>
      <w:r>
        <w:t>(c): We agree that the</w:t>
      </w:r>
      <w:r w:rsidR="005207D1">
        <w:t xml:space="preserve"> contractual </w:t>
      </w:r>
      <w:r>
        <w:t xml:space="preserve">agreement between the trading venue and the service provider should ensure that the service provider will co-operate with information requests from the competent authority of the trading venue, where they are necessary to enable that competent authority to supervise the trading venue. However we strongly disagree with the proposal that the competent authority </w:t>
      </w:r>
      <w:r>
        <w:lastRenderedPageBreak/>
        <w:t xml:space="preserve">of the venue should be granted unprecedented access rights to the premises of the service provider. We believe that ensuring a level of co-operation should be sufficient, and that requests for information should be processed either via the trading venue or via the competent authority of the service provider, </w:t>
      </w:r>
      <w:r w:rsidR="00563FB3">
        <w:t xml:space="preserve">thereby </w:t>
      </w:r>
      <w:r>
        <w:t xml:space="preserve">still enabling the competent authority of the trading venue to receive the information it needs. Furthermore, where both the trading venue and the service provider are authorised within the EU, we believe co-operation between the competent authorities is a more appropriate approach. We therefore urge ESMA to remove the requirement for competent authorities to have access to the premises of the service providers of the trading venues they authorise. </w:t>
      </w:r>
      <w:r w:rsidR="00FF159B">
        <w:t>We believe that the requirement should also be removed in relation to the auditors of the trading venue as again any information they require can be obtai</w:t>
      </w:r>
      <w:r w:rsidR="000213E1">
        <w:t>ned from the service provider via</w:t>
      </w:r>
      <w:r w:rsidR="00FF159B">
        <w:t xml:space="preserve"> the trading venue.</w:t>
      </w:r>
    </w:p>
    <w:p w:rsidR="00943F78" w:rsidRDefault="00943F78" w:rsidP="00F51125">
      <w:pPr>
        <w:pStyle w:val="ListParagraph"/>
      </w:pPr>
      <w:r>
        <w:t>5(b): We object to the proposal that the competent authority of the trading venue has to give prior authorisation to the outsourcing of critical operation</w:t>
      </w:r>
      <w:r w:rsidR="00622F04">
        <w:t>al function</w:t>
      </w:r>
      <w:r>
        <w:t>s.</w:t>
      </w:r>
      <w:r w:rsidR="005C4579">
        <w:t xml:space="preserve"> As part of a trading venue</w:t>
      </w:r>
      <w:r w:rsidR="00BC23B4">
        <w:t>’</w:t>
      </w:r>
      <w:r w:rsidR="005C4579">
        <w:t>s original authorisation, details of any outsourcing of critical operational functions will need to be provided and therefore will be part of the overall approval by the competent authority.</w:t>
      </w:r>
      <w:r>
        <w:t xml:space="preserve"> </w:t>
      </w:r>
      <w:r w:rsidR="005C4579">
        <w:t>Thereafter w</w:t>
      </w:r>
      <w:r>
        <w:t xml:space="preserve">e believe that the trading venue should be required to provide notification with relevant information, however explicit </w:t>
      </w:r>
      <w:r w:rsidR="005C4579">
        <w:t xml:space="preserve">separate </w:t>
      </w:r>
      <w:r>
        <w:t>authorisation should not be required. Instead the competent authority should have the right to object to the outsourcing if has identified it is not in compliance with Article 7(1)</w:t>
      </w:r>
      <w:r w:rsidR="004D6B1B">
        <w:t xml:space="preserve"> </w:t>
      </w:r>
      <w:r w:rsidR="004D6B1B" w:rsidRPr="003832C2">
        <w:t>and/or not in compliance with the terms of the initial authorisation of the regulated entity</w:t>
      </w:r>
      <w:r w:rsidRPr="003832C2">
        <w:t>.</w:t>
      </w:r>
      <w:r>
        <w:t xml:space="preserve"> </w:t>
      </w:r>
    </w:p>
    <w:p w:rsidR="00943F78" w:rsidRDefault="00943F78" w:rsidP="00422E46"/>
    <w:p w:rsidR="00943F78" w:rsidRDefault="00C54674" w:rsidP="00943F78">
      <w:r>
        <w:t>W</w:t>
      </w:r>
      <w:r w:rsidR="00943F78">
        <w:t xml:space="preserve">e are extremely concerned that these over onerous obligations (above) proposed by ESMA will </w:t>
      </w:r>
      <w:r w:rsidR="00886A14">
        <w:t xml:space="preserve">also </w:t>
      </w:r>
      <w:r w:rsidR="00943F78">
        <w:t>be over burdensome for service providers, resulting in them questioning the commercial viability of offering such services with the potential withdrawal of one of more such providers from the market. This would have serious implications for smaller markets which often outsource their trading system in order to increase the accessibility of their markets. Without this vital service, smaller and regional markets will be forced to develop their own</w:t>
      </w:r>
      <w:r w:rsidR="00440C46">
        <w:t xml:space="preserve"> trading systems at a high cost, </w:t>
      </w:r>
      <w:r w:rsidR="00943F78">
        <w:t>with the loss of trading members, thereby reducing liquidity and potential growth in those markets.</w:t>
      </w:r>
    </w:p>
    <w:p w:rsidR="00943F78" w:rsidRDefault="00943F78" w:rsidP="00422E46"/>
    <w:p w:rsidR="00422E46" w:rsidRDefault="00943F78" w:rsidP="00422E46">
      <w:r>
        <w:t>On a more general note,</w:t>
      </w:r>
      <w:r w:rsidR="00422E46">
        <w:t xml:space="preserve"> we would like ESMA to provide further clarity on how outsourcing is dealt with outside of Article 7. We believe that this can be addressed by the addition of a general Recital which clearly states that the obligations and responsibilities ultimately rest with the trading venue, however where a trading venue outsources certain functions, in compliance with the requirements set out in Article 7, the actions to meet the requirements under the Regulations can be undertaken by the outsource provider. For </w:t>
      </w:r>
      <w:r w:rsidR="001818B7">
        <w:t>example, we note that Article 4</w:t>
      </w:r>
      <w:r w:rsidR="00422E46">
        <w:t xml:space="preserve">(1) recognises in the opening paragraph that the trading system of a trading venue may be through an outsourcing arrangement, however paragraph (b) requires the trading venue to have procedures to “approve the development….” of the trading system. It should be clarified that the obligation is only in relation to the services and functionality under the terms of the agreement between the trading venue and the service provider. If the service provider outsources its trading system to a number of venues, each of which has some different functionality, each venue should not be expected to provide approval for development that is outside the scope of its agreement with its provider. The ISE has an agreement in place with Deutsche </w:t>
      </w:r>
      <w:proofErr w:type="spellStart"/>
      <w:r w:rsidR="00422E46">
        <w:t>Börse</w:t>
      </w:r>
      <w:proofErr w:type="spellEnd"/>
      <w:r w:rsidR="00422E46">
        <w:t xml:space="preserve"> AG for the outsourcing of its trading system, which </w:t>
      </w:r>
      <w:r w:rsidR="00422E46">
        <w:lastRenderedPageBreak/>
        <w:t>includes process</w:t>
      </w:r>
      <w:r w:rsidR="00933C1B">
        <w:t>es</w:t>
      </w:r>
      <w:r w:rsidR="00422E46">
        <w:t xml:space="preserve"> and procedures for system updates, development and corrective action, including approval. However this is only in so far as it relates to the ISE’s part of the overall system and does not, nor should it, require or enable the ISE to provide approval where an update may relate to functionality that it does not </w:t>
      </w:r>
      <w:r w:rsidR="00CF21F5">
        <w:t>use, or is solely related to another</w:t>
      </w:r>
      <w:r w:rsidR="00422E46">
        <w:t xml:space="preserve"> trading venue</w:t>
      </w:r>
      <w:r w:rsidR="00CF21F5">
        <w:t xml:space="preserve"> client of the service provider</w:t>
      </w:r>
      <w:r w:rsidR="00422E46">
        <w:t>.</w:t>
      </w:r>
      <w:r w:rsidR="00933C1B">
        <w:t xml:space="preserve"> There are other similar examples in other Articles</w:t>
      </w:r>
      <w:r w:rsidR="00766F51">
        <w:t xml:space="preserve"> (please see our response to question 100)</w:t>
      </w:r>
      <w:r w:rsidR="00933C1B">
        <w:t>, and therefore we believe that a general Recital needs to be included to clarify the approach throughout.</w:t>
      </w:r>
    </w:p>
    <w:p w:rsidR="00A249F2" w:rsidRDefault="00A249F2" w:rsidP="00422E46"/>
    <w:p w:rsidR="00A249F2" w:rsidRDefault="00A249F2" w:rsidP="00422E46">
      <w:r>
        <w:t>In relation to specific wording changes that should be made to address our concerns:</w:t>
      </w:r>
    </w:p>
    <w:p w:rsidR="00A249F2" w:rsidRPr="00A249F2" w:rsidRDefault="00A249F2" w:rsidP="00F51125">
      <w:pPr>
        <w:pStyle w:val="ListParagraph"/>
      </w:pPr>
      <w:r>
        <w:t>Article 7(3)(i): the trading venue, its auditors</w:t>
      </w:r>
      <w:r w:rsidR="001818B7">
        <w:t xml:space="preserve"> </w:t>
      </w:r>
      <w:r w:rsidR="001818B7" w:rsidRPr="001818B7">
        <w:t>and the relevant competent authorities</w:t>
      </w:r>
      <w:r w:rsidR="001818B7">
        <w:t xml:space="preserve"> must have effective access to data related to the outsourced activities,</w:t>
      </w:r>
      <w:r>
        <w:t xml:space="preserve"> </w:t>
      </w:r>
      <w:r w:rsidRPr="00AA4134">
        <w:rPr>
          <w:strike/>
        </w:rPr>
        <w:t>as well as to the business premises of the service provider; and the competent authorities shall be able to exercise those rights of access</w:t>
      </w:r>
      <w:r w:rsidRPr="00A249F2">
        <w:t>”.</w:t>
      </w:r>
    </w:p>
    <w:p w:rsidR="00A249F2" w:rsidRDefault="00A249F2" w:rsidP="00F51125">
      <w:pPr>
        <w:pStyle w:val="ListParagraph"/>
      </w:pPr>
      <w:r w:rsidRPr="00A249F2">
        <w:t>Article</w:t>
      </w:r>
      <w:r>
        <w:t xml:space="preserve"> 7(4</w:t>
      </w:r>
      <w:proofErr w:type="gramStart"/>
      <w:r>
        <w:t>)(</w:t>
      </w:r>
      <w:proofErr w:type="gramEnd"/>
      <w:r>
        <w:t xml:space="preserve">b)(ii): the access of the outsourcing trading venue, </w:t>
      </w:r>
      <w:r w:rsidRPr="00A249F2">
        <w:rPr>
          <w:strike/>
        </w:rPr>
        <w:t>of its national competent authority and of its auditors</w:t>
      </w:r>
      <w:r>
        <w:t xml:space="preserve"> to the books and records of the service provider.</w:t>
      </w:r>
    </w:p>
    <w:p w:rsidR="00834E39" w:rsidRPr="00A249F2" w:rsidRDefault="00834E39" w:rsidP="00F51125">
      <w:pPr>
        <w:pStyle w:val="ListParagraph"/>
      </w:pPr>
      <w:r>
        <w:t>Article 7(7): To be completely deleted.</w:t>
      </w:r>
    </w:p>
    <w:p w:rsidR="00A249F2" w:rsidRDefault="00A249F2" w:rsidP="00422E46"/>
    <w:p w:rsidR="00D8146B" w:rsidRDefault="009F4DB2" w:rsidP="001818B7">
      <w:r>
        <w:t>Lastly, we are unclear on the rationale for notification to the competent authority (under Article 7(5)(a)</w:t>
      </w:r>
      <w:r w:rsidR="008B0E67">
        <w:t>)</w:t>
      </w:r>
      <w:r>
        <w:t xml:space="preserve"> where the service provider is providing the same service to other trading venues unless all of those trading venues are located in the same Member State, thereby potentially increasing the risk within that </w:t>
      </w:r>
      <w:r w:rsidR="000D104D">
        <w:t>Member S</w:t>
      </w:r>
      <w:r w:rsidR="001818B7">
        <w:t>tate.</w:t>
      </w:r>
    </w:p>
    <w:permEnd w:id="1396998097"/>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D8146B" w:rsidRDefault="00C121EA" w:rsidP="00EC2C93">
      <w:pPr>
        <w:keepNext/>
      </w:pPr>
      <w:permStart w:id="1323764704" w:edGrp="everyone"/>
      <w:r>
        <w:t xml:space="preserve"> We believe that </w:t>
      </w:r>
      <w:r w:rsidRPr="00C121EA">
        <w:t>the set</w:t>
      </w:r>
      <w:r>
        <w:t>-</w:t>
      </w:r>
      <w:r w:rsidRPr="00C121EA">
        <w:t>up of a conformance testing environment should focus on the inst</w:t>
      </w:r>
      <w:r>
        <w:t>rument groups and functionality, and that i</w:t>
      </w:r>
      <w:r w:rsidRPr="00C121EA">
        <w:t xml:space="preserve">t should be sufficient to provide representative instruments out of each instrument class. The full, identical setup of </w:t>
      </w:r>
      <w:r>
        <w:t>a test environment mirroring</w:t>
      </w:r>
      <w:r w:rsidRPr="00C121EA">
        <w:t xml:space="preserve"> production only increase</w:t>
      </w:r>
      <w:r w:rsidR="008B0E67">
        <w:t>s complexity and cost without the</w:t>
      </w:r>
      <w:r w:rsidRPr="00C121EA">
        <w:t xml:space="preserve"> additional benefit. </w:t>
      </w:r>
    </w:p>
    <w:p w:rsidR="00C121EA" w:rsidRDefault="00C121EA" w:rsidP="00EC2C93">
      <w:pPr>
        <w:keepNext/>
      </w:pPr>
    </w:p>
    <w:p w:rsidR="00C121EA" w:rsidRDefault="00C121EA" w:rsidP="00EC2C93">
      <w:pPr>
        <w:keepNext/>
      </w:pPr>
      <w:r>
        <w:t xml:space="preserve">In relation to </w:t>
      </w:r>
      <w:r w:rsidRPr="00C121EA">
        <w:t xml:space="preserve">the testing of algorithms, the only way to effectively test an algorithm is with the </w:t>
      </w:r>
      <w:r>
        <w:t>relevant member. Venues can require their member</w:t>
      </w:r>
      <w:r w:rsidRPr="00C121EA">
        <w:t>s to test those</w:t>
      </w:r>
      <w:r w:rsidR="00E8658D">
        <w:t xml:space="preserve"> algorithms</w:t>
      </w:r>
      <w:r w:rsidRPr="00C121EA">
        <w:t xml:space="preserve"> in the respective instruments in</w:t>
      </w:r>
      <w:r w:rsidR="00E8658D">
        <w:t xml:space="preserve"> the</w:t>
      </w:r>
      <w:r w:rsidRPr="00C121EA">
        <w:t xml:space="preserve"> simulation environment, but</w:t>
      </w:r>
      <w:r>
        <w:t xml:space="preserve"> as the code and </w:t>
      </w:r>
      <w:r w:rsidRPr="00C121EA">
        <w:t xml:space="preserve">parameter settings are unknown to the venue, </w:t>
      </w:r>
      <w:r>
        <w:t>the venue cannot provide</w:t>
      </w:r>
      <w:r w:rsidRPr="00C121EA">
        <w:t xml:space="preserve"> a positive or negative certification for those</w:t>
      </w:r>
      <w:r w:rsidR="00E8658D">
        <w:t xml:space="preserve"> tests</w:t>
      </w:r>
      <w:r w:rsidRPr="00C121EA">
        <w:t xml:space="preserve">. The full responsibility </w:t>
      </w:r>
      <w:r>
        <w:t>must stay</w:t>
      </w:r>
      <w:r w:rsidRPr="00C121EA">
        <w:t xml:space="preserve"> with the </w:t>
      </w:r>
      <w:r>
        <w:t>member</w:t>
      </w:r>
      <w:r w:rsidRPr="00C121EA">
        <w:t>s</w:t>
      </w:r>
      <w:r>
        <w:t>,</w:t>
      </w:r>
      <w:r w:rsidRPr="00C121EA">
        <w:t xml:space="preserve"> </w:t>
      </w:r>
      <w:r>
        <w:t>with</w:t>
      </w:r>
      <w:r w:rsidRPr="00C121EA">
        <w:t xml:space="preserve"> venues ensur</w:t>
      </w:r>
      <w:r>
        <w:t xml:space="preserve">ing </w:t>
      </w:r>
      <w:r w:rsidRPr="00C121EA">
        <w:t xml:space="preserve">that they have procedures in place that they </w:t>
      </w:r>
      <w:r>
        <w:t>can stop individual member</w:t>
      </w:r>
      <w:r w:rsidRPr="00C121EA">
        <w:t>s/traders/algorithms from affecting their markets</w:t>
      </w:r>
      <w:r>
        <w:t xml:space="preserve"> in production</w:t>
      </w:r>
      <w:r w:rsidRPr="00C121EA">
        <w:t>.</w:t>
      </w:r>
    </w:p>
    <w:p w:rsidR="002871DF" w:rsidRDefault="002871DF" w:rsidP="00EC2C93">
      <w:pPr>
        <w:keepNext/>
      </w:pPr>
    </w:p>
    <w:p w:rsidR="002871DF" w:rsidRDefault="002871DF" w:rsidP="00EC2C93">
      <w:pPr>
        <w:keepNext/>
      </w:pPr>
      <w:r>
        <w:t>In particular, Article 11(2) cannot</w:t>
      </w:r>
      <w:r w:rsidRPr="002871DF">
        <w:t xml:space="preserve"> be fulfilled by a venue. As the environment</w:t>
      </w:r>
      <w:r>
        <w:t xml:space="preserve"> will be open to all member</w:t>
      </w:r>
      <w:r w:rsidRPr="002871DF">
        <w:t>s for testing</w:t>
      </w:r>
      <w:r>
        <w:t xml:space="preserve"> (which it ought to be in order to try and replicate a live environment)</w:t>
      </w:r>
      <w:r w:rsidRPr="002871DF">
        <w:t>, the reconstruction of disorderly trading behavio</w:t>
      </w:r>
      <w:r>
        <w:t>u</w:t>
      </w:r>
      <w:r w:rsidRPr="002871DF">
        <w:t>rs (which needs to be defined</w:t>
      </w:r>
      <w:r>
        <w:t>) highly depends on the activity and</w:t>
      </w:r>
      <w:r w:rsidRPr="002871DF">
        <w:t xml:space="preserve"> reaction</w:t>
      </w:r>
      <w:r>
        <w:t xml:space="preserve"> of other members</w:t>
      </w:r>
      <w:r w:rsidRPr="002871DF">
        <w:t>. Even with the highest effort</w:t>
      </w:r>
      <w:r w:rsidR="00A05029">
        <w:t>,</w:t>
      </w:r>
      <w:r w:rsidRPr="002871DF">
        <w:t xml:space="preserve"> a venue cannot ensure that it will be able to reproduce disorderly trading circumstance.</w:t>
      </w:r>
      <w:r w:rsidR="004E5620">
        <w:t xml:space="preserve"> Moreover two disorderly trading conditions are never the same as each other and therefore</w:t>
      </w:r>
      <w:r w:rsidR="00A05029">
        <w:t xml:space="preserve"> the</w:t>
      </w:r>
      <w:r w:rsidR="004E5620">
        <w:t xml:space="preserve"> replication of one potential such situation in the test environment cannot provide any certainty or level of </w:t>
      </w:r>
      <w:r w:rsidR="004E5620">
        <w:lastRenderedPageBreak/>
        <w:t>guarantee for any other such situation.</w:t>
      </w:r>
      <w:r w:rsidR="00F96928">
        <w:t xml:space="preserve"> Therefore even if the te</w:t>
      </w:r>
      <w:r w:rsidR="00A05029">
        <w:t>s</w:t>
      </w:r>
      <w:r w:rsidR="00F96928">
        <w:t xml:space="preserve">t environment replays live data, which may indicate possible scenarios, it still cannot guarantee how a particular algorithm will impact a different but similar situation in the </w:t>
      </w:r>
      <w:r w:rsidR="00EF0A30">
        <w:t>future as market replay is based on historical activity. It is not possible to predict futur</w:t>
      </w:r>
      <w:r w:rsidR="00A05029">
        <w:t>e activity or scenarios with a high</w:t>
      </w:r>
      <w:r w:rsidR="00EF0A30">
        <w:t xml:space="preserve"> level of </w:t>
      </w:r>
      <w:r w:rsidR="00AA179A">
        <w:t>certainty or predictability.</w:t>
      </w:r>
    </w:p>
    <w:permEnd w:id="132376470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0E1AB2" w:rsidP="00EC2C93">
      <w:pPr>
        <w:keepNext/>
      </w:pPr>
      <w:permStart w:id="1268855075" w:edGrp="everyone"/>
      <w:r>
        <w:t>In general we agree with the approach and the controls on DEA access proposed by ESMA.</w:t>
      </w:r>
      <w:r w:rsidR="00C275F1">
        <w:t xml:space="preserve"> In particular, w</w:t>
      </w:r>
      <w:r w:rsidR="00C275F1" w:rsidRPr="00C275F1">
        <w:t>e welcome ESMA’s clarification (in Article 23(1</w:t>
      </w:r>
      <w:proofErr w:type="gramStart"/>
      <w:r w:rsidR="00C275F1" w:rsidRPr="00C275F1">
        <w:t>)(</w:t>
      </w:r>
      <w:proofErr w:type="gramEnd"/>
      <w:r w:rsidR="00C275F1" w:rsidRPr="00C275F1">
        <w:t>e)) that the responsibility ultimately lies with the DEA provider for all trades using its market member ID code.</w:t>
      </w:r>
      <w:r>
        <w:t xml:space="preserve"> </w:t>
      </w:r>
    </w:p>
    <w:p w:rsidR="00C275F1" w:rsidRDefault="00C275F1" w:rsidP="00EC2C93">
      <w:pPr>
        <w:keepNext/>
      </w:pPr>
    </w:p>
    <w:p w:rsidR="000E1AB2" w:rsidRDefault="00C275F1" w:rsidP="00EC2C93">
      <w:pPr>
        <w:keepNext/>
      </w:pPr>
      <w:r>
        <w:t xml:space="preserve">Our only specific comment on the </w:t>
      </w:r>
      <w:r w:rsidR="00AD1D63">
        <w:t>draft RTS</w:t>
      </w:r>
      <w:r w:rsidR="00727A26">
        <w:t xml:space="preserve"> is in relation to Article 24</w:t>
      </w:r>
      <w:r>
        <w:t>(1</w:t>
      </w:r>
      <w:proofErr w:type="gramStart"/>
      <w:r>
        <w:t>)(</w:t>
      </w:r>
      <w:proofErr w:type="gramEnd"/>
      <w:r>
        <w:t>b) as w</w:t>
      </w:r>
      <w:r w:rsidR="000E1AB2">
        <w:t xml:space="preserve">e believe the requirement should be for the DEA provider to stop order flow by </w:t>
      </w:r>
      <w:r w:rsidR="000E1AB2" w:rsidRPr="000E1AB2">
        <w:rPr>
          <w:b/>
        </w:rPr>
        <w:t>any of</w:t>
      </w:r>
      <w:r w:rsidR="000E1AB2">
        <w:t xml:space="preserve"> their DMA users. Currently it could be interpreted that they must stop all order flow, without the flexibility to stop it for only some members</w:t>
      </w:r>
      <w:r w:rsidR="00D11C37">
        <w:t>, where appropriate to do so</w:t>
      </w:r>
      <w:r w:rsidR="000E1AB2">
        <w:t>.</w:t>
      </w:r>
    </w:p>
    <w:p w:rsidR="000E1AB2" w:rsidRDefault="000E1AB2" w:rsidP="00EC2C93">
      <w:pPr>
        <w:keepNext/>
      </w:pPr>
    </w:p>
    <w:permEnd w:id="1268855075"/>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lastRenderedPageBreak/>
        <w:t>&lt;ESMA_QUESTION_CP_MIFID_104&gt;</w:t>
      </w:r>
    </w:p>
    <w:p w:rsidR="00753CE5" w:rsidRPr="003426F8" w:rsidRDefault="00753CE5" w:rsidP="00EC2C93">
      <w:pPr>
        <w:keepNext/>
        <w:rPr>
          <w:b/>
          <w:u w:val="single"/>
        </w:rPr>
      </w:pPr>
      <w:permStart w:id="764094347" w:edGrp="everyone"/>
      <w:r w:rsidRPr="003426F8">
        <w:rPr>
          <w:b/>
          <w:u w:val="single"/>
        </w:rPr>
        <w:t>Proposal for venues to offer incentives for presence during stressed market conditions</w:t>
      </w:r>
    </w:p>
    <w:p w:rsidR="00753CE5" w:rsidRPr="00753CE5" w:rsidRDefault="00753CE5" w:rsidP="00EC2C93">
      <w:pPr>
        <w:keepNext/>
        <w:rPr>
          <w:u w:val="single"/>
        </w:rPr>
      </w:pPr>
    </w:p>
    <w:p w:rsidR="00986538" w:rsidRDefault="00CE46A5" w:rsidP="00EC2C93">
      <w:pPr>
        <w:keepNext/>
      </w:pPr>
      <w:r>
        <w:t>We fundamentally disagree with ESMA’s proposal that a trading venue must offer incentives to promote the presence of members engaged in market making agreements in case of stressed market conditions. This places an obligation on venues far in excess of what was envisaged by the Level 1, and also on investment firms to react to such incentives even</w:t>
      </w:r>
      <w:r w:rsidR="00222400">
        <w:t xml:space="preserve"> </w:t>
      </w:r>
      <w:r>
        <w:t xml:space="preserve">though it may compromise their risk management practices. </w:t>
      </w:r>
      <w:r w:rsidR="00FD7455">
        <w:t xml:space="preserve">This is the antithesis of the principle in </w:t>
      </w:r>
      <w:proofErr w:type="spellStart"/>
      <w:r w:rsidR="00FD7455">
        <w:t>MiFID</w:t>
      </w:r>
      <w:proofErr w:type="spellEnd"/>
      <w:r w:rsidR="00FD7455">
        <w:t xml:space="preserve"> II Level 1 to try and protect markets from disorderly trading conditions.</w:t>
      </w:r>
      <w:r w:rsidR="008B6411">
        <w:t xml:space="preserve"> As noted by ESMA in paragraph 1 of the CP “</w:t>
      </w:r>
      <w:proofErr w:type="spellStart"/>
      <w:r w:rsidR="008B6411">
        <w:t>MiFID</w:t>
      </w:r>
      <w:proofErr w:type="spellEnd"/>
      <w:r w:rsidR="008B6411">
        <w:t xml:space="preserve"> II aims to maintain market participants’ ability to transfer risks efficiently during stressed market conditions”.</w:t>
      </w:r>
      <w:r w:rsidR="00FD7455">
        <w:t xml:space="preserve"> In such circumstances, it is more usual for market making requirements to be relaxed or even waived to enable firms to react to the changing market conditions and ame</w:t>
      </w:r>
      <w:r w:rsidR="00986538">
        <w:t>nd their quotes as appropriate.</w:t>
      </w:r>
    </w:p>
    <w:p w:rsidR="00986538" w:rsidRDefault="00986538" w:rsidP="00EC2C93">
      <w:pPr>
        <w:keepNext/>
      </w:pPr>
    </w:p>
    <w:p w:rsidR="00986538" w:rsidRDefault="00986538" w:rsidP="00EC2C93">
      <w:pPr>
        <w:keepNext/>
      </w:pPr>
      <w:r w:rsidRPr="00986538">
        <w:t xml:space="preserve">The revenue a trading venue generates is given by the fees charged per traded unit such as </w:t>
      </w:r>
      <w:r w:rsidR="00BC23B4">
        <w:t xml:space="preserve">the </w:t>
      </w:r>
      <w:r w:rsidRPr="00986538">
        <w:t>notional amount (cash equities</w:t>
      </w:r>
      <w:r w:rsidR="00BC23B4">
        <w:t>)</w:t>
      </w:r>
      <w:r>
        <w:t xml:space="preserve">. </w:t>
      </w:r>
      <w:r w:rsidRPr="00986538">
        <w:t>These fees are a fraction of an instrument’s minimum price movement and therefore much lower than the profit or loss potential of the smallest market price move</w:t>
      </w:r>
      <w:r w:rsidR="004A36AF">
        <w:t>ment</w:t>
      </w:r>
      <w:r w:rsidRPr="00986538">
        <w:t xml:space="preserve"> in a given instrument. The trading venue’s ability to set incentives depends highly on its cost base to ensure the viability of its business model of operating markets in </w:t>
      </w:r>
      <w:r w:rsidR="004A36AF">
        <w:t xml:space="preserve">trading </w:t>
      </w:r>
      <w:r w:rsidRPr="00986538">
        <w:t>financial instruments. A trading venue’s revenues from trading in an instrument will be exhausted and exceeded by potential market making incentives to ensure quotation in stressed market conditions, as soon as one market maker is negatively affected by an unfavo</w:t>
      </w:r>
      <w:r w:rsidR="004A36AF">
        <w:t>u</w:t>
      </w:r>
      <w:r w:rsidRPr="00986538">
        <w:t xml:space="preserve">rable development of its </w:t>
      </w:r>
      <w:r>
        <w:t>distribution of trading returns.</w:t>
      </w:r>
    </w:p>
    <w:p w:rsidR="00986538" w:rsidRDefault="00986538" w:rsidP="00EC2C93">
      <w:pPr>
        <w:keepNext/>
      </w:pPr>
    </w:p>
    <w:p w:rsidR="008B6411" w:rsidRDefault="00FD7455" w:rsidP="00EC2C93">
      <w:pPr>
        <w:keepNext/>
      </w:pPr>
      <w:r>
        <w:t xml:space="preserve">Requiring firms to remain quoting at the same price, size and spread is adding risk to the market and potentially misleading information </w:t>
      </w:r>
      <w:r w:rsidR="008B6411">
        <w:t>as</w:t>
      </w:r>
      <w:r>
        <w:t xml:space="preserve"> the quotes will be at significant variance to other participants’ orders in the book</w:t>
      </w:r>
      <w:r w:rsidR="008B6411">
        <w:t>.</w:t>
      </w:r>
      <w:r w:rsidR="00355CBE">
        <w:t xml:space="preserve"> Moreover it is likely to exaggerate the m</w:t>
      </w:r>
      <w:r w:rsidR="00BC23B4">
        <w:t>arket conditions leading to an u</w:t>
      </w:r>
      <w:r w:rsidR="00355CBE">
        <w:t>nstable trading environment.</w:t>
      </w:r>
      <w:r w:rsidR="002636A3">
        <w:t xml:space="preserve"> Furthermore the suggestion of compensati</w:t>
      </w:r>
      <w:r w:rsidR="002636A3" w:rsidRPr="002636A3">
        <w:t>n</w:t>
      </w:r>
      <w:r w:rsidR="002636A3">
        <w:t>g</w:t>
      </w:r>
      <w:r w:rsidR="002636A3" w:rsidRPr="002636A3">
        <w:t xml:space="preserve"> market risks in stressed market conditions by means of setting incentives stands in contrast to trading venues’ </w:t>
      </w:r>
      <w:r w:rsidR="002636A3">
        <w:t xml:space="preserve">required </w:t>
      </w:r>
      <w:r w:rsidR="002636A3" w:rsidRPr="002636A3">
        <w:t xml:space="preserve">neutrality to </w:t>
      </w:r>
      <w:r w:rsidR="002636A3">
        <w:t>ensure fair and orderly price formation</w:t>
      </w:r>
      <w:r w:rsidR="002636A3" w:rsidRPr="002636A3">
        <w:t xml:space="preserve"> as they should not be exposed to market risks linked to trading strategies.</w:t>
      </w:r>
      <w:r w:rsidR="00753CE5">
        <w:t xml:space="preserve"> In order to address these concerns we urge ESMA to make the following wording changes in the </w:t>
      </w:r>
      <w:r w:rsidR="00467FE8">
        <w:t xml:space="preserve">draft </w:t>
      </w:r>
      <w:r w:rsidR="00753CE5">
        <w:t>RTS:</w:t>
      </w:r>
    </w:p>
    <w:p w:rsidR="00753CE5" w:rsidRDefault="00753CE5" w:rsidP="00F51125">
      <w:pPr>
        <w:pStyle w:val="ListParagraph"/>
      </w:pPr>
      <w:r>
        <w:t xml:space="preserve">Recital 5: </w:t>
      </w:r>
      <w:r w:rsidR="0035468F">
        <w:t>To d</w:t>
      </w:r>
      <w:r>
        <w:t>elete</w:t>
      </w:r>
    </w:p>
    <w:p w:rsidR="00753CE5" w:rsidRDefault="00753CE5" w:rsidP="00F51125">
      <w:pPr>
        <w:pStyle w:val="ListParagraph"/>
      </w:pPr>
      <w:r>
        <w:t xml:space="preserve">Recital </w:t>
      </w:r>
      <w:r w:rsidR="0035468F">
        <w:t>6: To d</w:t>
      </w:r>
      <w:r>
        <w:t>elete</w:t>
      </w:r>
    </w:p>
    <w:p w:rsidR="00CD0F39" w:rsidRDefault="00CD0F39" w:rsidP="00CD0F39">
      <w:pPr>
        <w:keepNext/>
        <w:ind w:left="708"/>
      </w:pPr>
      <w:r>
        <w:t>Article 4(1</w:t>
      </w:r>
      <w:proofErr w:type="gramStart"/>
      <w:r>
        <w:t>)(</w:t>
      </w:r>
      <w:proofErr w:type="gramEnd"/>
      <w:r>
        <w:t xml:space="preserve">d): </w:t>
      </w:r>
      <w:r w:rsidRPr="00727A26">
        <w:t>To delete everything after “scheme” i.e. once updated, it should read: “</w:t>
      </w:r>
      <w:r w:rsidRPr="00727A26">
        <w:rPr>
          <w:i/>
        </w:rPr>
        <w:t>The incentives provided by the trading venue for the performance of the obligations according to the market making scheme”.</w:t>
      </w:r>
    </w:p>
    <w:p w:rsidR="00727A26" w:rsidRDefault="00B41D5F" w:rsidP="00F51125">
      <w:pPr>
        <w:pStyle w:val="ListParagraph"/>
      </w:pPr>
      <w:r>
        <w:t xml:space="preserve">Article 8(1)(b)(iii): </w:t>
      </w:r>
      <w:r w:rsidR="00727A26">
        <w:t>To delete the first part of</w:t>
      </w:r>
      <w:r w:rsidR="00727A26" w:rsidRPr="00B41D5F">
        <w:t xml:space="preserve"> the first sub-bullet point</w:t>
      </w:r>
      <w:r w:rsidR="00727A26">
        <w:t xml:space="preserve"> and to completely delete t</w:t>
      </w:r>
      <w:r w:rsidR="00727A26" w:rsidRPr="00B41D5F">
        <w:t>he second sub-bullet point</w:t>
      </w:r>
      <w:r w:rsidR="00727A26">
        <w:t xml:space="preserve"> </w:t>
      </w:r>
      <w:r w:rsidR="00727A26" w:rsidRPr="00727A26">
        <w:t>i.e. once updated, it should read:</w:t>
      </w:r>
    </w:p>
    <w:p w:rsidR="00CD0F39" w:rsidRPr="00727A26" w:rsidRDefault="00727A26" w:rsidP="00501D7A">
      <w:pPr>
        <w:ind w:left="720"/>
      </w:pPr>
      <w:proofErr w:type="gramStart"/>
      <w:r w:rsidRPr="00727A26">
        <w:t>“</w:t>
      </w:r>
      <w:r w:rsidR="00B41D5F" w:rsidRPr="00727A26">
        <w:t>The incentives in cases where those parameters have been met.</w:t>
      </w:r>
      <w:proofErr w:type="gramEnd"/>
      <w:r w:rsidR="00B41D5F" w:rsidRPr="00727A26">
        <w:t xml:space="preserve"> In particular, the market making scheme</w:t>
      </w:r>
      <w:r w:rsidR="00B41D5F" w:rsidRPr="00501D7A">
        <w:rPr>
          <w:strike/>
        </w:rPr>
        <w:t xml:space="preserve"> </w:t>
      </w:r>
      <w:proofErr w:type="gramStart"/>
      <w:r w:rsidR="00B41D5F" w:rsidRPr="00501D7A">
        <w:rPr>
          <w:strike/>
        </w:rPr>
        <w:t xml:space="preserve">shall </w:t>
      </w:r>
      <w:r w:rsidR="00B41D5F" w:rsidRPr="00501D7A">
        <w:rPr>
          <w:b/>
          <w:color w:val="FF0000"/>
        </w:rPr>
        <w:t>may</w:t>
      </w:r>
      <w:proofErr w:type="gramEnd"/>
      <w:r w:rsidR="00B41D5F" w:rsidRPr="00727A26">
        <w:t xml:space="preserve"> establish:</w:t>
      </w:r>
    </w:p>
    <w:p w:rsidR="00B41D5F" w:rsidRPr="00727A26" w:rsidRDefault="00B41D5F" w:rsidP="00467FE8">
      <w:pPr>
        <w:ind w:left="720"/>
        <w:rPr>
          <w:i/>
        </w:rPr>
      </w:pPr>
      <w:r w:rsidRPr="00727A26">
        <w:rPr>
          <w:i/>
        </w:rPr>
        <w:t>- Trading venues may establish that only the best performers under the market making agreemen</w:t>
      </w:r>
      <w:r w:rsidR="00727A26">
        <w:rPr>
          <w:i/>
        </w:rPr>
        <w:t>t will access those incentives.”</w:t>
      </w:r>
    </w:p>
    <w:p w:rsidR="0035468F" w:rsidRDefault="0035468F" w:rsidP="00F51125">
      <w:pPr>
        <w:pStyle w:val="ListParagraph"/>
      </w:pPr>
      <w:r w:rsidRPr="0035468F">
        <w:lastRenderedPageBreak/>
        <w:t>Article 9</w:t>
      </w:r>
      <w:r w:rsidR="00362C94">
        <w:t>(5): To delete second sentence.</w:t>
      </w:r>
    </w:p>
    <w:p w:rsidR="00606B52" w:rsidRDefault="00606B52" w:rsidP="00F51125">
      <w:pPr>
        <w:pStyle w:val="ListParagraph"/>
      </w:pPr>
      <w:r>
        <w:t>Article 11: To delete.</w:t>
      </w:r>
    </w:p>
    <w:p w:rsidR="008B6411" w:rsidRDefault="008B6411" w:rsidP="00EC2C93">
      <w:pPr>
        <w:keepNext/>
      </w:pPr>
    </w:p>
    <w:p w:rsidR="00BE6D5D" w:rsidRDefault="00FE0008" w:rsidP="00CD0F39">
      <w:pPr>
        <w:keepNext/>
      </w:pPr>
      <w:r>
        <w:t>We also are unclear on whether the inclusion of “when trading is resumed after volatility interruptions” in Article 4(1)(d), is proposing yet another level of incentive</w:t>
      </w:r>
      <w:r w:rsidR="00D61B55">
        <w:t>s</w:t>
      </w:r>
      <w:r>
        <w:t xml:space="preserve"> particular to these circumstances or whether it considers such a situation to be a stressed market condition. </w:t>
      </w:r>
      <w:r w:rsidR="0093436D">
        <w:t xml:space="preserve">However this wording should also be removed so that trading venues are not required to provide additional incentives to promote liquidity in the immediate period after a volatility interruption. </w:t>
      </w:r>
      <w:r w:rsidR="00BE6D5D">
        <w:t>Therefore Article 4(1</w:t>
      </w:r>
      <w:proofErr w:type="gramStart"/>
      <w:r w:rsidR="00BE6D5D">
        <w:t>)(</w:t>
      </w:r>
      <w:proofErr w:type="gramEnd"/>
      <w:r w:rsidR="00BE6D5D">
        <w:t xml:space="preserve">d) should be amended </w:t>
      </w:r>
      <w:r w:rsidR="00CD0F39">
        <w:t>as above.</w:t>
      </w:r>
    </w:p>
    <w:p w:rsidR="00621A3D" w:rsidRDefault="00621A3D" w:rsidP="00EC2C93">
      <w:pPr>
        <w:keepNext/>
      </w:pPr>
    </w:p>
    <w:p w:rsidR="00FE2C0A" w:rsidRPr="003426F8" w:rsidRDefault="00FE2C0A" w:rsidP="00FE2C0A">
      <w:pPr>
        <w:keepNext/>
        <w:rPr>
          <w:b/>
          <w:u w:val="single"/>
        </w:rPr>
      </w:pPr>
      <w:r w:rsidRPr="003426F8">
        <w:rPr>
          <w:b/>
          <w:u w:val="single"/>
        </w:rPr>
        <w:t>Responsibilities of Trading Venues</w:t>
      </w:r>
    </w:p>
    <w:p w:rsidR="00753CE5" w:rsidRDefault="00753CE5" w:rsidP="00EC2C93">
      <w:pPr>
        <w:keepNext/>
      </w:pPr>
    </w:p>
    <w:p w:rsidR="00621A3D" w:rsidRDefault="00621A3D" w:rsidP="00EC2C93">
      <w:pPr>
        <w:keepNext/>
      </w:pPr>
      <w:r>
        <w:t xml:space="preserve">We also strongly disagree with the proposal that trading venues must be able to detect market making strategies. The obligation should clearly rest with the firm to notify the venue, </w:t>
      </w:r>
      <w:r w:rsidR="00D61B55">
        <w:t>however if a</w:t>
      </w:r>
      <w:r>
        <w:t xml:space="preserve"> venue does identify that such a strategy is in place of which it was</w:t>
      </w:r>
      <w:r w:rsidR="00D61B55">
        <w:t xml:space="preserve"> not</w:t>
      </w:r>
      <w:r>
        <w:t xml:space="preserve"> notified, then it should require the firm to enter into a market making agreement. We would like to highlight that the Level 1 </w:t>
      </w:r>
      <w:r w:rsidR="007E6B3F">
        <w:t>text, specifically Article 48</w:t>
      </w:r>
      <w:r>
        <w:t>(3), requires the trading venue to “monitor and enforce compliance”. Therefore we do not agree with ESMA’s proposal to enforce a more</w:t>
      </w:r>
      <w:r w:rsidR="007E6B3F">
        <w:t xml:space="preserve"> onerous requirement in Level 2 and urge ESMA to make the following changes to the draft RTS:</w:t>
      </w:r>
    </w:p>
    <w:p w:rsidR="00467FE8" w:rsidRDefault="00467FE8" w:rsidP="00F51125">
      <w:pPr>
        <w:pStyle w:val="ListParagraph"/>
      </w:pPr>
      <w:r>
        <w:t>Recital 7:</w:t>
      </w:r>
      <w:r w:rsidR="00001C5D">
        <w:t xml:space="preserve"> Amend as follows: “</w:t>
      </w:r>
      <w:r w:rsidR="00001C5D" w:rsidRPr="00001C5D">
        <w:t>As established in Article 17(3) of Directive 2014/65/EU, market making strategies may relate to one or more financial instruments and one or more trading venues. However</w:t>
      </w:r>
      <w:r w:rsidR="00001C5D" w:rsidRPr="00001C5D">
        <w:rPr>
          <w:strike/>
        </w:rPr>
        <w:t>, in certain cases,</w:t>
      </w:r>
      <w:r w:rsidR="00001C5D" w:rsidRPr="00001C5D">
        <w:t xml:space="preserve"> it</w:t>
      </w:r>
      <w:r w:rsidR="00001C5D" w:rsidRPr="00131432">
        <w:rPr>
          <w:color w:val="FF0000"/>
        </w:rPr>
        <w:t xml:space="preserve"> </w:t>
      </w:r>
      <w:r w:rsidR="00001C5D" w:rsidRPr="00131432">
        <w:rPr>
          <w:b/>
          <w:color w:val="FF0000"/>
        </w:rPr>
        <w:t>is</w:t>
      </w:r>
      <w:r w:rsidR="00001C5D" w:rsidRPr="00131432">
        <w:rPr>
          <w:color w:val="FF0000"/>
        </w:rPr>
        <w:t xml:space="preserve"> </w:t>
      </w:r>
      <w:proofErr w:type="gramStart"/>
      <w:r w:rsidR="00001C5D" w:rsidRPr="00001C5D">
        <w:rPr>
          <w:strike/>
        </w:rPr>
        <w:t>may</w:t>
      </w:r>
      <w:proofErr w:type="gramEnd"/>
      <w:r w:rsidR="00001C5D" w:rsidRPr="00001C5D">
        <w:t xml:space="preserve"> not</w:t>
      </w:r>
      <w:r w:rsidR="00001C5D">
        <w:t xml:space="preserve"> </w:t>
      </w:r>
      <w:r w:rsidR="00001C5D" w:rsidRPr="00131432">
        <w:rPr>
          <w:b/>
          <w:color w:val="FF0000"/>
        </w:rPr>
        <w:t>practical</w:t>
      </w:r>
      <w:r w:rsidR="00001C5D" w:rsidRPr="00001C5D">
        <w:t xml:space="preserve"> </w:t>
      </w:r>
      <w:r w:rsidR="00001C5D" w:rsidRPr="00001C5D">
        <w:rPr>
          <w:strike/>
        </w:rPr>
        <w:t>be practically possible</w:t>
      </w:r>
      <w:r w:rsidR="00001C5D" w:rsidRPr="00001C5D">
        <w:t xml:space="preserve"> for a trading venue to</w:t>
      </w:r>
      <w:r w:rsidR="00001C5D">
        <w:t xml:space="preserve"> </w:t>
      </w:r>
      <w:r w:rsidR="00001C5D" w:rsidRPr="00131432">
        <w:rPr>
          <w:b/>
          <w:color w:val="FF0000"/>
        </w:rPr>
        <w:t>monito</w:t>
      </w:r>
      <w:r w:rsidR="00001C5D" w:rsidRPr="00001C5D">
        <w:rPr>
          <w:b/>
        </w:rPr>
        <w:t>r</w:t>
      </w:r>
      <w:r w:rsidR="00001C5D" w:rsidRPr="00001C5D">
        <w:rPr>
          <w:strike/>
        </w:rPr>
        <w:t xml:space="preserve"> identify</w:t>
      </w:r>
      <w:r w:rsidR="00001C5D" w:rsidRPr="00001C5D">
        <w:t xml:space="preserve"> extremely soph</w:t>
      </w:r>
      <w:r w:rsidR="00B67D65">
        <w:t>isticated strategies. Therefore</w:t>
      </w:r>
      <w:r w:rsidR="00001C5D" w:rsidRPr="00001C5D">
        <w:t xml:space="preserve"> </w:t>
      </w:r>
      <w:r w:rsidR="00001C5D" w:rsidRPr="00B67D65">
        <w:rPr>
          <w:strike/>
        </w:rPr>
        <w:t>trading venues should be able to detect market making strategies in accordance with the nature, scale and complexity of their business.</w:t>
      </w:r>
      <w:r w:rsidR="00B67D65">
        <w:t xml:space="preserve"> </w:t>
      </w:r>
      <w:proofErr w:type="gramStart"/>
      <w:r w:rsidR="00B67D65">
        <w:t>t</w:t>
      </w:r>
      <w:r w:rsidR="00001C5D" w:rsidRPr="00001C5D">
        <w:t>he</w:t>
      </w:r>
      <w:proofErr w:type="gramEnd"/>
      <w:r w:rsidR="00001C5D" w:rsidRPr="00001C5D">
        <w:t xml:space="preserve"> basic strategy which trading venues should be able to </w:t>
      </w:r>
      <w:r w:rsidR="00B67D65" w:rsidRPr="00131432">
        <w:rPr>
          <w:b/>
          <w:color w:val="FF0000"/>
        </w:rPr>
        <w:t>monitor</w:t>
      </w:r>
      <w:r w:rsidR="00B67D65" w:rsidRPr="00B67D65">
        <w:rPr>
          <w:strike/>
        </w:rPr>
        <w:t xml:space="preserve"> </w:t>
      </w:r>
      <w:r w:rsidR="00001C5D" w:rsidRPr="00B67D65">
        <w:rPr>
          <w:strike/>
        </w:rPr>
        <w:t>detect</w:t>
      </w:r>
      <w:r w:rsidR="00001C5D" w:rsidRPr="00001C5D">
        <w:t xml:space="preserve"> is that which affects one instrument traded on their venue.</w:t>
      </w:r>
    </w:p>
    <w:p w:rsidR="00542959" w:rsidRPr="00AB0487" w:rsidRDefault="00542959" w:rsidP="00F51125">
      <w:pPr>
        <w:pStyle w:val="ListParagraph"/>
      </w:pPr>
      <w:r>
        <w:t xml:space="preserve">Recital 9: To delete the following wording at the end: </w:t>
      </w:r>
      <w:r w:rsidRPr="00542959">
        <w:rPr>
          <w:strike/>
        </w:rPr>
        <w:t>or the identification of market making strategies.</w:t>
      </w:r>
    </w:p>
    <w:p w:rsidR="00AB0487" w:rsidRPr="000A3419" w:rsidRDefault="00AB0487" w:rsidP="00F51125">
      <w:pPr>
        <w:pStyle w:val="ListParagraph"/>
      </w:pPr>
      <w:r w:rsidRPr="00AB0487">
        <w:t>Article 2</w:t>
      </w:r>
      <w:r>
        <w:t xml:space="preserve">(1): To add the following wording at the end: “….to the venue </w:t>
      </w:r>
      <w:r w:rsidRPr="00131432">
        <w:rPr>
          <w:b/>
          <w:color w:val="FF0000"/>
        </w:rPr>
        <w:t>and sign a market making agreement with that venue</w:t>
      </w:r>
      <w:r w:rsidRPr="00AB0487">
        <w:rPr>
          <w:b/>
        </w:rPr>
        <w:t>”.</w:t>
      </w:r>
    </w:p>
    <w:p w:rsidR="000A3419" w:rsidRDefault="000A3419" w:rsidP="00F51125">
      <w:pPr>
        <w:pStyle w:val="ListParagraph"/>
      </w:pPr>
      <w:r w:rsidRPr="000A3419">
        <w:t>Article 2(2):</w:t>
      </w:r>
      <w:r>
        <w:t xml:space="preserve"> </w:t>
      </w:r>
      <w:r w:rsidR="00AC6921">
        <w:t>“</w:t>
      </w:r>
      <w:r w:rsidRPr="000A3419">
        <w:t>Investment firms engaged in algorithmic trading</w:t>
      </w:r>
      <w:r>
        <w:t xml:space="preserve"> </w:t>
      </w:r>
      <w:r w:rsidRPr="000A3419">
        <w:rPr>
          <w:b/>
          <w:color w:val="FF0000"/>
        </w:rPr>
        <w:t>to pursue</w:t>
      </w:r>
      <w:r w:rsidRPr="000A3419">
        <w:rPr>
          <w:color w:val="FF0000"/>
        </w:rPr>
        <w:t xml:space="preserve"> </w:t>
      </w:r>
      <w:r w:rsidRPr="000A3419">
        <w:rPr>
          <w:strike/>
        </w:rPr>
        <w:t>and pursuing</w:t>
      </w:r>
      <w:r w:rsidRPr="000A3419">
        <w:t xml:space="preserve"> a market making strategy shall sign a market making agreement following the notification by the trading venue in that respect,</w:t>
      </w:r>
      <w:r w:rsidRPr="000A3419">
        <w:rPr>
          <w:b/>
          <w:color w:val="FF0000"/>
        </w:rPr>
        <w:t xml:space="preserve"> if</w:t>
      </w:r>
      <w:r w:rsidRPr="000A3419">
        <w:rPr>
          <w:color w:val="FF0000"/>
        </w:rPr>
        <w:t xml:space="preserve"> </w:t>
      </w:r>
      <w:r w:rsidRPr="000A3419">
        <w:rPr>
          <w:strike/>
        </w:rPr>
        <w:t>when</w:t>
      </w:r>
      <w:r w:rsidRPr="000A3419">
        <w:t xml:space="preserve"> the trading venue has detected the effective implementation of a market making strategy without prior notification. In cases where an investment firm is not willing to engage in such agreement following the notification by the trading venue, it shall disconnect the strategy identified</w:t>
      </w:r>
      <w:r w:rsidR="00AC6921">
        <w:t>”</w:t>
      </w:r>
      <w:r w:rsidRPr="000A3419">
        <w:t>.</w:t>
      </w:r>
    </w:p>
    <w:p w:rsidR="000A3419" w:rsidRDefault="00906D95" w:rsidP="00F51125">
      <w:pPr>
        <w:pStyle w:val="ListParagraph"/>
      </w:pPr>
      <w:r>
        <w:t xml:space="preserve">Article 10(1), </w:t>
      </w:r>
      <w:r w:rsidR="000A3419">
        <w:t>(2)</w:t>
      </w:r>
      <w:r>
        <w:t xml:space="preserve"> </w:t>
      </w:r>
      <w:r w:rsidRPr="0012409E">
        <w:t>and (3</w:t>
      </w:r>
      <w:proofErr w:type="gramStart"/>
      <w:r w:rsidRPr="0012409E">
        <w:t>)(</w:t>
      </w:r>
      <w:proofErr w:type="gramEnd"/>
      <w:r w:rsidRPr="0012409E">
        <w:t>iii)</w:t>
      </w:r>
      <w:r w:rsidR="000A3419" w:rsidRPr="0012409E">
        <w:t xml:space="preserve">: </w:t>
      </w:r>
      <w:r w:rsidR="000A3419">
        <w:t>To delete.</w:t>
      </w:r>
    </w:p>
    <w:p w:rsidR="00372EA2" w:rsidRPr="000A3419" w:rsidRDefault="00372EA2" w:rsidP="00F51125">
      <w:pPr>
        <w:pStyle w:val="ListParagraph"/>
      </w:pPr>
      <w:r>
        <w:t xml:space="preserve">Article 10(3)(a)(ii): </w:t>
      </w:r>
      <w:r w:rsidR="00C06A00">
        <w:t>“</w:t>
      </w:r>
      <w:r w:rsidRPr="00372EA2">
        <w:t>Sign a market making agreement following the notification by the trading venue</w:t>
      </w:r>
      <w:r>
        <w:t xml:space="preserve"> </w:t>
      </w:r>
      <w:r w:rsidRPr="00372EA2">
        <w:rPr>
          <w:b/>
          <w:color w:val="FF0000"/>
        </w:rPr>
        <w:t>if</w:t>
      </w:r>
      <w:r w:rsidRPr="00372EA2">
        <w:t xml:space="preserve"> </w:t>
      </w:r>
      <w:r w:rsidRPr="00372EA2">
        <w:rPr>
          <w:strike/>
        </w:rPr>
        <w:t>where</w:t>
      </w:r>
      <w:r w:rsidRPr="00372EA2">
        <w:t xml:space="preserve"> the firm has been detected as pu</w:t>
      </w:r>
      <w:r w:rsidR="00091880">
        <w:t>rsuing a market making strategy</w:t>
      </w:r>
      <w:r w:rsidR="00C06A00">
        <w:t>”</w:t>
      </w:r>
      <w:r w:rsidR="00D81043">
        <w:t>;</w:t>
      </w:r>
    </w:p>
    <w:p w:rsidR="00A6751C" w:rsidRDefault="00A6751C" w:rsidP="00EC2C93">
      <w:pPr>
        <w:keepNext/>
      </w:pPr>
    </w:p>
    <w:p w:rsidR="00091880" w:rsidRDefault="00091880" w:rsidP="00EC2C93">
      <w:pPr>
        <w:keepNext/>
      </w:pPr>
    </w:p>
    <w:p w:rsidR="00091880" w:rsidRDefault="00091880" w:rsidP="00EC2C93">
      <w:pPr>
        <w:keepNext/>
      </w:pPr>
    </w:p>
    <w:p w:rsidR="00843DA8" w:rsidRPr="003426F8" w:rsidRDefault="00843DA8" w:rsidP="00EC2C93">
      <w:pPr>
        <w:keepNext/>
        <w:rPr>
          <w:b/>
          <w:u w:val="single"/>
        </w:rPr>
      </w:pPr>
      <w:r w:rsidRPr="003426F8">
        <w:rPr>
          <w:b/>
          <w:u w:val="single"/>
        </w:rPr>
        <w:lastRenderedPageBreak/>
        <w:t>Scheme of Incentives</w:t>
      </w:r>
    </w:p>
    <w:p w:rsidR="00843DA8" w:rsidRPr="00843DA8" w:rsidRDefault="00843DA8" w:rsidP="00EC2C93">
      <w:pPr>
        <w:keepNext/>
        <w:rPr>
          <w:u w:val="single"/>
        </w:rPr>
      </w:pPr>
    </w:p>
    <w:p w:rsidR="00E271F8" w:rsidRDefault="00BF78F8" w:rsidP="00EC2C93">
      <w:pPr>
        <w:keepNext/>
      </w:pPr>
      <w:r>
        <w:t>We are concerned with the p</w:t>
      </w:r>
      <w:r w:rsidR="005F2EE8">
        <w:t>otential requirement for venues to offer</w:t>
      </w:r>
      <w:r w:rsidR="0012409E">
        <w:t xml:space="preserve"> different incentives</w:t>
      </w:r>
      <w:r>
        <w:t xml:space="preserve"> d</w:t>
      </w:r>
      <w:r w:rsidR="005F2EE8">
        <w:t>epending on the</w:t>
      </w:r>
      <w:r>
        <w:t xml:space="preserve"> quality of liquidity provision, which </w:t>
      </w:r>
      <w:r w:rsidR="005F2EE8">
        <w:t>could result in</w:t>
      </w:r>
      <w:r>
        <w:t xml:space="preserve"> the market making scheme </w:t>
      </w:r>
      <w:r w:rsidR="005F2EE8">
        <w:t xml:space="preserve">being </w:t>
      </w:r>
      <w:r>
        <w:t>member led rather than tr</w:t>
      </w:r>
      <w:r w:rsidR="00D61B55">
        <w:t xml:space="preserve">ading venue led, </w:t>
      </w:r>
      <w:r w:rsidR="005F2EE8">
        <w:t>if</w:t>
      </w:r>
      <w:r w:rsidR="00D61B55">
        <w:t xml:space="preserve"> a member expect</w:t>
      </w:r>
      <w:r w:rsidR="005F2EE8">
        <w:t>s</w:t>
      </w:r>
      <w:r w:rsidR="00D61B55">
        <w:t xml:space="preserve"> that it can</w:t>
      </w:r>
      <w:r>
        <w:t xml:space="preserve"> demand additional incenti</w:t>
      </w:r>
      <w:r w:rsidR="00D61B55">
        <w:t>ves for providing better prices</w:t>
      </w:r>
      <w:r>
        <w:t xml:space="preserve"> or increased sizes than other market makers. It is </w:t>
      </w:r>
      <w:r w:rsidR="00D61B55">
        <w:t>critical that the venue retains the ability</w:t>
      </w:r>
      <w:r>
        <w:t xml:space="preserve"> to determine the framework of the incentives it offers taking into account the nature, scale and size of its market, and should not be forced to increase incentives due to member demand. </w:t>
      </w:r>
      <w:r w:rsidR="00E271F8">
        <w:t>Furthermore, offering different levels of incentives for different levels of participation</w:t>
      </w:r>
      <w:r w:rsidR="005F2EE8">
        <w:t xml:space="preserve"> could</w:t>
      </w:r>
      <w:r w:rsidR="00E271F8">
        <w:t xml:space="preserve"> actually have the o</w:t>
      </w:r>
      <w:r w:rsidR="005F2EE8">
        <w:t>pposite effect to that intended</w:t>
      </w:r>
      <w:r w:rsidR="00E271F8">
        <w:t xml:space="preserve"> </w:t>
      </w:r>
      <w:r w:rsidR="005F2EE8">
        <w:t>by discouraging</w:t>
      </w:r>
      <w:r w:rsidR="00E271F8">
        <w:t xml:space="preserve"> some members to enter into such an agreement if they cannot attain the highest level of incentives</w:t>
      </w:r>
      <w:r w:rsidR="00A6751C">
        <w:t xml:space="preserve"> due to the scale and nature of their business</w:t>
      </w:r>
      <w:r w:rsidR="00E271F8">
        <w:t>, thereby making it impossible for venues to meet the Level 1 requirement in Article 48(2)(b) to put in place a market making scheme to ensure a sufficient number of investment firms participate.</w:t>
      </w:r>
      <w:r w:rsidR="00273A28">
        <w:t xml:space="preserve"> </w:t>
      </w:r>
      <w:r w:rsidR="00A6751C">
        <w:t xml:space="preserve">We believe that this should be left as a point of discretion for trading venues in case it suits their business and trading model, but it should not be a requirement. </w:t>
      </w:r>
      <w:r w:rsidR="00D00E9C">
        <w:t xml:space="preserve">We believe this is the intention as per Recital 11, but are concerned that some of the proposed wording in the Articles is not consistent with this principle. </w:t>
      </w:r>
      <w:r w:rsidR="00A6751C">
        <w:t>Therefore we request ESMA to make the following changes to the draft RTS:</w:t>
      </w:r>
    </w:p>
    <w:p w:rsidR="005F2EE8" w:rsidRDefault="005F2EE8" w:rsidP="00F51125">
      <w:pPr>
        <w:pStyle w:val="ListParagraph"/>
      </w:pPr>
      <w:r>
        <w:t>Article 8(1</w:t>
      </w:r>
      <w:proofErr w:type="gramStart"/>
      <w:r>
        <w:t>)(</w:t>
      </w:r>
      <w:proofErr w:type="gramEnd"/>
      <w:r>
        <w:t xml:space="preserve">b)(iii): </w:t>
      </w:r>
      <w:r w:rsidR="00362C94">
        <w:t>“</w:t>
      </w:r>
      <w:r>
        <w:t>The incentives in cases where those parameters have been met. In particular, the market making scheme</w:t>
      </w:r>
      <w:r w:rsidRPr="00B41D5F">
        <w:rPr>
          <w:strike/>
        </w:rPr>
        <w:t xml:space="preserve"> shall</w:t>
      </w:r>
      <w:r>
        <w:rPr>
          <w:strike/>
        </w:rPr>
        <w:t xml:space="preserve"> </w:t>
      </w:r>
      <w:r w:rsidRPr="005F2EE8">
        <w:rPr>
          <w:b/>
          <w:color w:val="FF0000"/>
        </w:rPr>
        <w:t>may</w:t>
      </w:r>
      <w:r>
        <w:t xml:space="preserve"> establish</w:t>
      </w:r>
      <w:r w:rsidR="00362C94">
        <w:t>”</w:t>
      </w:r>
      <w:r>
        <w:t>:</w:t>
      </w:r>
    </w:p>
    <w:p w:rsidR="00D00E9C" w:rsidRDefault="005F2EE8" w:rsidP="00F51125">
      <w:pPr>
        <w:pStyle w:val="ListParagraph"/>
      </w:pPr>
      <w:r>
        <w:t xml:space="preserve">Article 9(5): </w:t>
      </w:r>
      <w:r w:rsidR="00362C94">
        <w:t>“</w:t>
      </w:r>
      <w:r w:rsidRPr="005F2EE8">
        <w:t>The incentives offered under the market making scheme</w:t>
      </w:r>
      <w:r>
        <w:t xml:space="preserve"> </w:t>
      </w:r>
      <w:r w:rsidRPr="005F2EE8">
        <w:rPr>
          <w:b/>
          <w:color w:val="FF0000"/>
        </w:rPr>
        <w:t>may</w:t>
      </w:r>
      <w:r w:rsidRPr="005F2EE8">
        <w:t xml:space="preserve"> </w:t>
      </w:r>
      <w:r w:rsidRPr="005F2EE8">
        <w:rPr>
          <w:strike/>
        </w:rPr>
        <w:t>have to</w:t>
      </w:r>
      <w:r w:rsidRPr="005F2EE8">
        <w:t xml:space="preserve"> be proportionate to the effective contribution to the liquidity in the trading venue measured in terms of presence, size and spread</w:t>
      </w:r>
      <w:r w:rsidR="00362C94">
        <w:t>”</w:t>
      </w:r>
      <w:r w:rsidRPr="005F2EE8">
        <w:t>.</w:t>
      </w:r>
    </w:p>
    <w:p w:rsidR="00D00E9C" w:rsidRDefault="00D00E9C" w:rsidP="00EC2C93">
      <w:pPr>
        <w:keepNext/>
      </w:pPr>
    </w:p>
    <w:p w:rsidR="0012409E" w:rsidRDefault="0012409E" w:rsidP="00EC2C93">
      <w:pPr>
        <w:keepNext/>
      </w:pPr>
      <w:r>
        <w:t xml:space="preserve">Furthermore, it is important to recognise that incentives can also incentives other than those related to the market making fees such as </w:t>
      </w:r>
      <w:r w:rsidRPr="0012409E">
        <w:t>relaxed quoting requirements</w:t>
      </w:r>
      <w:r>
        <w:t>, and that this should be left to the discretion of the trading venue.</w:t>
      </w:r>
    </w:p>
    <w:p w:rsidR="0012409E" w:rsidRDefault="0012409E" w:rsidP="00EC2C93">
      <w:pPr>
        <w:keepNext/>
      </w:pPr>
    </w:p>
    <w:p w:rsidR="00843DA8" w:rsidRPr="003426F8" w:rsidRDefault="00843DA8" w:rsidP="00EC2C93">
      <w:pPr>
        <w:keepNext/>
        <w:rPr>
          <w:b/>
          <w:u w:val="single"/>
        </w:rPr>
      </w:pPr>
      <w:r w:rsidRPr="003426F8">
        <w:rPr>
          <w:b/>
          <w:u w:val="single"/>
        </w:rPr>
        <w:t>Communication of exceptional circumstances</w:t>
      </w:r>
    </w:p>
    <w:p w:rsidR="00843DA8" w:rsidRDefault="00843DA8" w:rsidP="00843DA8">
      <w:pPr>
        <w:rPr>
          <w:rFonts w:ascii="Arial" w:hAnsi="Arial" w:cs="Arial"/>
          <w:szCs w:val="22"/>
          <w:lang w:val="en-US"/>
        </w:rPr>
      </w:pPr>
    </w:p>
    <w:p w:rsidR="00843DA8" w:rsidRDefault="00067794" w:rsidP="00843DA8">
      <w:pPr>
        <w:rPr>
          <w:rFonts w:ascii="Arial" w:hAnsi="Arial" w:cs="Arial"/>
          <w:szCs w:val="22"/>
          <w:lang w:val="en-US"/>
        </w:rPr>
      </w:pPr>
      <w:r>
        <w:rPr>
          <w:rFonts w:ascii="Arial" w:hAnsi="Arial" w:cs="Arial"/>
          <w:szCs w:val="22"/>
          <w:lang w:val="en-US"/>
        </w:rPr>
        <w:t>W</w:t>
      </w:r>
      <w:r w:rsidR="00843DA8" w:rsidRPr="00843DA8">
        <w:rPr>
          <w:rFonts w:ascii="Arial" w:hAnsi="Arial" w:cs="Arial"/>
          <w:szCs w:val="22"/>
          <w:lang w:val="en-US"/>
        </w:rPr>
        <w:t xml:space="preserve">e are concerned with the approach of ESMA </w:t>
      </w:r>
      <w:r w:rsidR="00843DA8">
        <w:rPr>
          <w:rFonts w:ascii="Arial" w:hAnsi="Arial" w:cs="Arial"/>
          <w:szCs w:val="22"/>
          <w:lang w:val="en-US"/>
        </w:rPr>
        <w:t xml:space="preserve">in relation to the proposed obligation </w:t>
      </w:r>
      <w:r w:rsidR="00FF10F6">
        <w:rPr>
          <w:rFonts w:ascii="Arial" w:hAnsi="Arial" w:cs="Arial"/>
          <w:szCs w:val="22"/>
          <w:lang w:val="en-US"/>
        </w:rPr>
        <w:t>a</w:t>
      </w:r>
      <w:r w:rsidR="00843DA8">
        <w:rPr>
          <w:rFonts w:ascii="Arial" w:hAnsi="Arial" w:cs="Arial"/>
          <w:szCs w:val="22"/>
          <w:lang w:val="en-US"/>
        </w:rPr>
        <w:t xml:space="preserve">s </w:t>
      </w:r>
      <w:r w:rsidR="00843DA8" w:rsidRPr="00843DA8">
        <w:rPr>
          <w:rFonts w:ascii="Arial" w:hAnsi="Arial" w:cs="Arial"/>
          <w:szCs w:val="22"/>
          <w:lang w:val="en-US"/>
        </w:rPr>
        <w:t>to the definitions of stressed market conditions and disorderly trading conditions</w:t>
      </w:r>
      <w:r w:rsidR="00F95EE7">
        <w:rPr>
          <w:rFonts w:ascii="Arial" w:hAnsi="Arial" w:cs="Arial"/>
          <w:szCs w:val="22"/>
          <w:lang w:val="en-US"/>
        </w:rPr>
        <w:t>,</w:t>
      </w:r>
      <w:r w:rsidR="00843DA8" w:rsidRPr="00843DA8">
        <w:rPr>
          <w:rFonts w:ascii="Arial" w:hAnsi="Arial" w:cs="Arial"/>
          <w:szCs w:val="22"/>
          <w:lang w:val="en-US"/>
        </w:rPr>
        <w:t xml:space="preserve"> and in particular the proposal for a trading venue to ‘declare’ when there is a stressed market condition. While such situations can sometimes be clear, there are cases where it may not be immediately apparent depending on the security, general market conditions and the speed with which it happens. </w:t>
      </w:r>
      <w:r w:rsidR="00843DA8">
        <w:rPr>
          <w:rFonts w:ascii="Arial" w:hAnsi="Arial" w:cs="Arial"/>
          <w:szCs w:val="22"/>
          <w:lang w:val="en-US"/>
        </w:rPr>
        <w:t>Furthermore we do not believe that such information needs to be made public as the most important communication is between the venue and its market makers.</w:t>
      </w:r>
      <w:r w:rsidR="004F2BC7">
        <w:rPr>
          <w:rFonts w:ascii="Arial" w:hAnsi="Arial" w:cs="Arial"/>
          <w:szCs w:val="22"/>
          <w:lang w:val="en-US"/>
        </w:rPr>
        <w:t xml:space="preserve"> To that extent we also believe that it should not be mandated that the trading venue alone has to determine ‘exceptional circumstances’ but that it can also be the trading venue with the relevant </w:t>
      </w:r>
      <w:r w:rsidR="00F95EE7">
        <w:rPr>
          <w:rFonts w:ascii="Arial" w:hAnsi="Arial" w:cs="Arial"/>
          <w:szCs w:val="22"/>
          <w:lang w:val="en-US"/>
        </w:rPr>
        <w:t>member</w:t>
      </w:r>
      <w:r w:rsidR="004F2BC7">
        <w:rPr>
          <w:rFonts w:ascii="Arial" w:hAnsi="Arial" w:cs="Arial"/>
          <w:szCs w:val="22"/>
          <w:lang w:val="en-US"/>
        </w:rPr>
        <w:t>, particularly (but not limited to) when it is due to risk management issues within the firm.</w:t>
      </w:r>
      <w:r w:rsidR="00843DA8">
        <w:rPr>
          <w:rFonts w:ascii="Arial" w:hAnsi="Arial" w:cs="Arial"/>
          <w:szCs w:val="22"/>
          <w:lang w:val="en-US"/>
        </w:rPr>
        <w:t xml:space="preserve"> Therefore we propose the following changes to the draft RTS:</w:t>
      </w:r>
    </w:p>
    <w:p w:rsidR="00843DA8" w:rsidRDefault="004F2BC7" w:rsidP="00F51125">
      <w:pPr>
        <w:pStyle w:val="ListParagraph"/>
        <w:rPr>
          <w:lang w:val="en-US"/>
        </w:rPr>
      </w:pPr>
      <w:r>
        <w:rPr>
          <w:lang w:val="en-US"/>
        </w:rPr>
        <w:lastRenderedPageBreak/>
        <w:t>Article 4(3):</w:t>
      </w:r>
      <w:r w:rsidRPr="004F2BC7">
        <w:t xml:space="preserve"> </w:t>
      </w:r>
      <w:r w:rsidR="00455C00">
        <w:t>“</w:t>
      </w:r>
      <w:r w:rsidRPr="004F2BC7">
        <w:rPr>
          <w:lang w:val="en-US"/>
        </w:rPr>
        <w:t>The agreement shall specify that an investment firm engaged in a market making agreement may suspend its market making activity without incurring any penalties from the trading venue, if the trading venue</w:t>
      </w:r>
      <w:r>
        <w:rPr>
          <w:lang w:val="en-US"/>
        </w:rPr>
        <w:t xml:space="preserve"> </w:t>
      </w:r>
      <w:r w:rsidRPr="004F2BC7">
        <w:rPr>
          <w:b/>
          <w:color w:val="FF0000"/>
          <w:lang w:val="en-US"/>
        </w:rPr>
        <w:t>(either by itself or together with the investment firm)</w:t>
      </w:r>
      <w:r w:rsidRPr="004F2BC7">
        <w:rPr>
          <w:color w:val="FF0000"/>
          <w:lang w:val="en-US"/>
        </w:rPr>
        <w:t xml:space="preserve"> </w:t>
      </w:r>
      <w:r w:rsidRPr="004F2BC7">
        <w:rPr>
          <w:lang w:val="en-US"/>
        </w:rPr>
        <w:t>determines the state of its market to be under exceptional circumstances as defined in this Regulation</w:t>
      </w:r>
      <w:r w:rsidR="00455C00">
        <w:rPr>
          <w:lang w:val="en-US"/>
        </w:rPr>
        <w:t>”</w:t>
      </w:r>
      <w:r w:rsidRPr="004F2BC7">
        <w:rPr>
          <w:lang w:val="en-US"/>
        </w:rPr>
        <w:t>.</w:t>
      </w:r>
    </w:p>
    <w:p w:rsidR="007E7ED5" w:rsidRDefault="007E7ED5" w:rsidP="00F51125">
      <w:pPr>
        <w:pStyle w:val="ListParagraph"/>
        <w:rPr>
          <w:lang w:val="en-US"/>
        </w:rPr>
      </w:pPr>
      <w:r>
        <w:rPr>
          <w:lang w:val="en-US"/>
        </w:rPr>
        <w:t xml:space="preserve">Article 5(5): </w:t>
      </w:r>
      <w:r w:rsidR="00455C00">
        <w:rPr>
          <w:lang w:val="en-US"/>
        </w:rPr>
        <w:t>“</w:t>
      </w:r>
      <w:r w:rsidRPr="007E7ED5">
        <w:rPr>
          <w:lang w:val="en-US"/>
        </w:rPr>
        <w:t xml:space="preserve">The exceptional circumstances shall be </w:t>
      </w:r>
      <w:r w:rsidRPr="007E7ED5">
        <w:rPr>
          <w:strike/>
          <w:lang w:val="en-US"/>
        </w:rPr>
        <w:t>made public</w:t>
      </w:r>
      <w:r w:rsidRPr="007E7ED5">
        <w:rPr>
          <w:lang w:val="en-US"/>
        </w:rPr>
        <w:t xml:space="preserve"> </w:t>
      </w:r>
      <w:r w:rsidRPr="007E7ED5">
        <w:rPr>
          <w:b/>
          <w:color w:val="FF0000"/>
          <w:lang w:val="en-US"/>
        </w:rPr>
        <w:t>communicated</w:t>
      </w:r>
      <w:r>
        <w:rPr>
          <w:lang w:val="en-US"/>
        </w:rPr>
        <w:t xml:space="preserve"> </w:t>
      </w:r>
      <w:r w:rsidRPr="007E7ED5">
        <w:rPr>
          <w:lang w:val="en-US"/>
        </w:rPr>
        <w:t xml:space="preserve">by the trading venue </w:t>
      </w:r>
      <w:r w:rsidRPr="007E7ED5">
        <w:rPr>
          <w:b/>
          <w:color w:val="FF0000"/>
          <w:lang w:val="en-US"/>
        </w:rPr>
        <w:t>to the market makers</w:t>
      </w:r>
      <w:r w:rsidRPr="007E7ED5">
        <w:rPr>
          <w:color w:val="FF0000"/>
          <w:lang w:val="en-US"/>
        </w:rPr>
        <w:t xml:space="preserve"> </w:t>
      </w:r>
      <w:r w:rsidRPr="007E7ED5">
        <w:rPr>
          <w:lang w:val="en-US"/>
        </w:rPr>
        <w:t>as soon as technically possible except in the case of circumstances that impede the investment firm’s ability to maintain prudent risk management practice as described above</w:t>
      </w:r>
      <w:r w:rsidR="00455C00">
        <w:rPr>
          <w:lang w:val="en-US"/>
        </w:rPr>
        <w:t>”</w:t>
      </w:r>
      <w:r w:rsidRPr="007E7ED5">
        <w:rPr>
          <w:lang w:val="en-US"/>
        </w:rPr>
        <w:t>.</w:t>
      </w:r>
    </w:p>
    <w:p w:rsidR="00503C9F" w:rsidRPr="004F2BC7" w:rsidRDefault="00503C9F" w:rsidP="00F51125">
      <w:pPr>
        <w:pStyle w:val="ListParagraph"/>
        <w:rPr>
          <w:lang w:val="en-US"/>
        </w:rPr>
      </w:pPr>
      <w:r>
        <w:rPr>
          <w:lang w:val="en-US"/>
        </w:rPr>
        <w:t xml:space="preserve">Article 8(2): </w:t>
      </w:r>
      <w:r w:rsidR="00455C00">
        <w:rPr>
          <w:lang w:val="en-US"/>
        </w:rPr>
        <w:t>“</w:t>
      </w:r>
      <w:r w:rsidRPr="00503C9F">
        <w:rPr>
          <w:lang w:val="en-US"/>
        </w:rPr>
        <w:t xml:space="preserve">Market making schemes shall specify that an investment firm engaged in a market making agreement may suspend its market making activity without incurring any penalties from the trading venue, if the trading venue </w:t>
      </w:r>
      <w:r w:rsidRPr="004F2BC7">
        <w:rPr>
          <w:b/>
          <w:color w:val="FF0000"/>
          <w:lang w:val="en-US"/>
        </w:rPr>
        <w:t>(either by itself or together with the investment firm)</w:t>
      </w:r>
      <w:r w:rsidRPr="004F2BC7">
        <w:rPr>
          <w:color w:val="FF0000"/>
          <w:lang w:val="en-US"/>
        </w:rPr>
        <w:t xml:space="preserve"> </w:t>
      </w:r>
      <w:r w:rsidRPr="00503C9F">
        <w:rPr>
          <w:lang w:val="en-US"/>
        </w:rPr>
        <w:t>determines the state of its market to be under exceptional circumstances as defined in this Regulation</w:t>
      </w:r>
      <w:r w:rsidR="00455C00">
        <w:rPr>
          <w:lang w:val="en-US"/>
        </w:rPr>
        <w:t>”</w:t>
      </w:r>
      <w:r w:rsidRPr="00503C9F">
        <w:rPr>
          <w:lang w:val="en-US"/>
        </w:rPr>
        <w:t>.</w:t>
      </w:r>
    </w:p>
    <w:p w:rsidR="00843DA8" w:rsidRDefault="00843DA8" w:rsidP="00843DA8">
      <w:pPr>
        <w:rPr>
          <w:rFonts w:ascii="Arial" w:hAnsi="Arial" w:cs="Arial"/>
          <w:szCs w:val="22"/>
          <w:lang w:val="en-US"/>
        </w:rPr>
      </w:pPr>
    </w:p>
    <w:p w:rsidR="000D6A1F" w:rsidRDefault="000D6A1F" w:rsidP="00843DA8">
      <w:pPr>
        <w:rPr>
          <w:rFonts w:ascii="Arial" w:hAnsi="Arial" w:cs="Arial"/>
          <w:szCs w:val="22"/>
          <w:lang w:val="en-US"/>
        </w:rPr>
      </w:pPr>
      <w:r>
        <w:rPr>
          <w:rFonts w:ascii="Arial" w:hAnsi="Arial" w:cs="Arial"/>
          <w:szCs w:val="22"/>
          <w:lang w:val="en-US"/>
        </w:rPr>
        <w:t>In relation to Article 5(7), it should only be the general procedures that need to be made public. Specific procedures on a case-by-case basis need only be communicated to the market makers.</w:t>
      </w:r>
    </w:p>
    <w:p w:rsidR="000D6A1F" w:rsidRDefault="000D6A1F" w:rsidP="00843DA8">
      <w:pPr>
        <w:rPr>
          <w:rFonts w:ascii="Arial" w:hAnsi="Arial" w:cs="Arial"/>
          <w:szCs w:val="22"/>
          <w:lang w:val="en-US"/>
        </w:rPr>
      </w:pPr>
    </w:p>
    <w:p w:rsidR="00843DA8" w:rsidRDefault="00843DA8" w:rsidP="007B7954">
      <w:pPr>
        <w:rPr>
          <w:rFonts w:ascii="Arial" w:hAnsi="Arial" w:cs="Arial"/>
          <w:szCs w:val="22"/>
          <w:lang w:val="en-US"/>
        </w:rPr>
      </w:pPr>
      <w:r w:rsidRPr="00843DA8">
        <w:rPr>
          <w:rFonts w:ascii="Arial" w:hAnsi="Arial" w:cs="Arial"/>
          <w:szCs w:val="22"/>
          <w:lang w:val="en-US"/>
        </w:rPr>
        <w:t xml:space="preserve">Moreover, the actual definitions of these terms are not the exact same in the different </w:t>
      </w:r>
      <w:r w:rsidR="00F95EE7">
        <w:rPr>
          <w:rFonts w:ascii="Arial" w:hAnsi="Arial" w:cs="Arial"/>
          <w:szCs w:val="22"/>
          <w:lang w:val="en-US"/>
        </w:rPr>
        <w:t>draft RTS</w:t>
      </w:r>
      <w:r w:rsidRPr="00843DA8">
        <w:rPr>
          <w:rFonts w:ascii="Arial" w:hAnsi="Arial" w:cs="Arial"/>
          <w:szCs w:val="22"/>
          <w:lang w:val="en-US"/>
        </w:rPr>
        <w:t xml:space="preserve">, even those that refer </w:t>
      </w:r>
      <w:r w:rsidR="00F95EE7">
        <w:rPr>
          <w:rFonts w:ascii="Arial" w:hAnsi="Arial" w:cs="Arial"/>
          <w:szCs w:val="22"/>
          <w:lang w:val="en-US"/>
        </w:rPr>
        <w:t xml:space="preserve">to the same Article in Level 1 </w:t>
      </w:r>
      <w:r w:rsidRPr="00843DA8">
        <w:rPr>
          <w:rFonts w:ascii="Arial" w:hAnsi="Arial" w:cs="Arial"/>
          <w:szCs w:val="22"/>
          <w:lang w:val="en-US"/>
        </w:rPr>
        <w:t xml:space="preserve">e.g. </w:t>
      </w:r>
      <w:r w:rsidR="00AD1D63">
        <w:rPr>
          <w:rFonts w:ascii="Arial" w:hAnsi="Arial" w:cs="Arial"/>
          <w:szCs w:val="22"/>
          <w:lang w:val="en-US"/>
        </w:rPr>
        <w:t>draft RTS</w:t>
      </w:r>
      <w:r w:rsidRPr="00843DA8">
        <w:rPr>
          <w:rFonts w:ascii="Arial" w:hAnsi="Arial" w:cs="Arial"/>
          <w:szCs w:val="22"/>
          <w:lang w:val="en-US"/>
        </w:rPr>
        <w:t xml:space="preserve"> 13 and </w:t>
      </w:r>
      <w:r w:rsidR="00AD1D63">
        <w:rPr>
          <w:rFonts w:ascii="Arial" w:hAnsi="Arial" w:cs="Arial"/>
          <w:szCs w:val="22"/>
          <w:lang w:val="en-US"/>
        </w:rPr>
        <w:t>draft RTS</w:t>
      </w:r>
      <w:r w:rsidRPr="00843DA8">
        <w:rPr>
          <w:rFonts w:ascii="Arial" w:hAnsi="Arial" w:cs="Arial"/>
          <w:szCs w:val="22"/>
          <w:lang w:val="en-US"/>
        </w:rPr>
        <w:t xml:space="preserve"> 15.  Therefore we believe it is not reasonable to expect a trading venue to declare such instances as they occur.   </w:t>
      </w:r>
    </w:p>
    <w:p w:rsidR="003426F8" w:rsidRDefault="003426F8" w:rsidP="007B7954">
      <w:pPr>
        <w:rPr>
          <w:rFonts w:ascii="Arial" w:hAnsi="Arial" w:cs="Arial"/>
          <w:szCs w:val="22"/>
          <w:lang w:val="en-US"/>
        </w:rPr>
      </w:pPr>
    </w:p>
    <w:p w:rsidR="003426F8" w:rsidRDefault="003426F8" w:rsidP="007B7954">
      <w:pPr>
        <w:rPr>
          <w:rFonts w:ascii="Arial" w:hAnsi="Arial" w:cs="Arial"/>
          <w:b/>
          <w:szCs w:val="22"/>
          <w:u w:val="single"/>
          <w:lang w:val="en-US"/>
        </w:rPr>
      </w:pPr>
      <w:r w:rsidRPr="003426F8">
        <w:rPr>
          <w:rFonts w:ascii="Arial" w:hAnsi="Arial" w:cs="Arial"/>
          <w:b/>
          <w:szCs w:val="22"/>
          <w:u w:val="single"/>
          <w:lang w:val="en-US"/>
        </w:rPr>
        <w:t>Financial Instruments in Scope</w:t>
      </w:r>
    </w:p>
    <w:p w:rsidR="003426F8" w:rsidRDefault="003426F8" w:rsidP="007B7954">
      <w:pPr>
        <w:rPr>
          <w:rFonts w:ascii="Arial" w:hAnsi="Arial" w:cs="Arial"/>
          <w:b/>
          <w:szCs w:val="22"/>
          <w:u w:val="single"/>
          <w:lang w:val="en-US"/>
        </w:rPr>
      </w:pPr>
    </w:p>
    <w:p w:rsidR="003426F8" w:rsidRDefault="003426F8" w:rsidP="007B7954">
      <w:pPr>
        <w:rPr>
          <w:rFonts w:ascii="Arial" w:hAnsi="Arial" w:cs="Arial"/>
          <w:szCs w:val="22"/>
          <w:lang w:val="en-US"/>
        </w:rPr>
      </w:pPr>
      <w:r>
        <w:rPr>
          <w:rFonts w:ascii="Arial" w:hAnsi="Arial" w:cs="Arial"/>
          <w:szCs w:val="22"/>
          <w:lang w:val="en-US"/>
        </w:rPr>
        <w:t xml:space="preserve">We note that ESMA has </w:t>
      </w:r>
      <w:r w:rsidR="00586CDA">
        <w:rPr>
          <w:rFonts w:ascii="Arial" w:hAnsi="Arial" w:cs="Arial"/>
          <w:szCs w:val="22"/>
          <w:lang w:val="en-US"/>
        </w:rPr>
        <w:t>considered all of th</w:t>
      </w:r>
      <w:r>
        <w:rPr>
          <w:rFonts w:ascii="Arial" w:hAnsi="Arial" w:cs="Arial"/>
          <w:szCs w:val="22"/>
          <w:lang w:val="en-US"/>
        </w:rPr>
        <w:t xml:space="preserve">e feedback from the DP in relation to the scope of instruments that should be covered by the market making requirements, however we would urge ESMA to re-consider this and to set out that the requirements should be limited to only those equity instruments for which there is a liquid market as it is only in these instruments that algorithmic trading is concentrated. </w:t>
      </w:r>
      <w:r w:rsidR="00407C45" w:rsidRPr="00407C45">
        <w:rPr>
          <w:rFonts w:ascii="Arial" w:hAnsi="Arial" w:cs="Arial"/>
          <w:szCs w:val="22"/>
          <w:lang w:val="en-US"/>
        </w:rPr>
        <w:t xml:space="preserve">The ESMA proposals pose the risk that not only would new and illiquid products fail at market, but also that liquidity is reduced in liquid instruments, which would contradict </w:t>
      </w:r>
      <w:proofErr w:type="spellStart"/>
      <w:r w:rsidR="00407C45" w:rsidRPr="00407C45">
        <w:rPr>
          <w:rFonts w:ascii="Arial" w:hAnsi="Arial" w:cs="Arial"/>
          <w:szCs w:val="22"/>
          <w:lang w:val="en-US"/>
        </w:rPr>
        <w:t>MiFID’s</w:t>
      </w:r>
      <w:proofErr w:type="spellEnd"/>
      <w:r w:rsidR="00407C45" w:rsidRPr="00407C45">
        <w:rPr>
          <w:rFonts w:ascii="Arial" w:hAnsi="Arial" w:cs="Arial"/>
          <w:szCs w:val="22"/>
          <w:lang w:val="en-US"/>
        </w:rPr>
        <w:t xml:space="preserve"> goal to ensure liquid markets.</w:t>
      </w:r>
    </w:p>
    <w:p w:rsidR="00A37C80" w:rsidRDefault="00A37C80" w:rsidP="007B7954">
      <w:pPr>
        <w:rPr>
          <w:rFonts w:ascii="Arial" w:hAnsi="Arial" w:cs="Arial"/>
          <w:szCs w:val="22"/>
          <w:lang w:val="en-US"/>
        </w:rPr>
      </w:pPr>
    </w:p>
    <w:p w:rsidR="00A37C80" w:rsidRPr="00A37C80" w:rsidRDefault="00A37C80" w:rsidP="007B7954">
      <w:pPr>
        <w:rPr>
          <w:rFonts w:ascii="Arial" w:hAnsi="Arial" w:cs="Arial"/>
          <w:b/>
          <w:szCs w:val="22"/>
          <w:u w:val="single"/>
          <w:lang w:val="en-US"/>
        </w:rPr>
      </w:pPr>
      <w:r w:rsidRPr="00A37C80">
        <w:rPr>
          <w:rFonts w:ascii="Arial" w:hAnsi="Arial" w:cs="Arial"/>
          <w:b/>
          <w:szCs w:val="22"/>
          <w:u w:val="single"/>
          <w:lang w:val="en-US"/>
        </w:rPr>
        <w:t>Definitions</w:t>
      </w:r>
    </w:p>
    <w:p w:rsidR="00A37C80" w:rsidRDefault="00A37C80" w:rsidP="007B7954">
      <w:pPr>
        <w:rPr>
          <w:rFonts w:ascii="Arial" w:hAnsi="Arial" w:cs="Arial"/>
          <w:szCs w:val="22"/>
          <w:lang w:val="en-US"/>
        </w:rPr>
      </w:pPr>
    </w:p>
    <w:p w:rsidR="00A37C80" w:rsidRDefault="00A37C80" w:rsidP="00A37C80">
      <w:pPr>
        <w:keepNext/>
      </w:pPr>
      <w:r>
        <w:t>We also would like to raise comments in relation to the proposed definitions of:</w:t>
      </w:r>
    </w:p>
    <w:p w:rsidR="00A37C80" w:rsidRDefault="00A37C80" w:rsidP="00F51125">
      <w:pPr>
        <w:pStyle w:val="ListParagraph"/>
      </w:pPr>
      <w:r>
        <w:t>Firm quote</w:t>
      </w:r>
    </w:p>
    <w:p w:rsidR="00A37C80" w:rsidRDefault="00A37C80" w:rsidP="00F51125">
      <w:pPr>
        <w:pStyle w:val="ListParagraph"/>
      </w:pPr>
      <w:r>
        <w:t>Simultaneous two-way quote</w:t>
      </w:r>
    </w:p>
    <w:p w:rsidR="00A37C80" w:rsidRDefault="00A37C80" w:rsidP="00F51125">
      <w:pPr>
        <w:pStyle w:val="ListParagraph"/>
      </w:pPr>
      <w:r>
        <w:t>Comparable size</w:t>
      </w:r>
    </w:p>
    <w:p w:rsidR="00F07700" w:rsidRDefault="00F07700" w:rsidP="00F51125">
      <w:pPr>
        <w:pStyle w:val="ListParagraph"/>
      </w:pPr>
      <w:r>
        <w:t>Competitive prices</w:t>
      </w:r>
    </w:p>
    <w:p w:rsidR="00A37C80" w:rsidRDefault="00A37C80" w:rsidP="00A37C80">
      <w:pPr>
        <w:keepNext/>
      </w:pPr>
    </w:p>
    <w:p w:rsidR="00A37C80" w:rsidRDefault="00A37C80" w:rsidP="00A37C80">
      <w:pPr>
        <w:keepNext/>
        <w:rPr>
          <w:u w:val="single"/>
        </w:rPr>
      </w:pPr>
      <w:r w:rsidRPr="00A37C80">
        <w:rPr>
          <w:u w:val="single"/>
        </w:rPr>
        <w:t>Firm quote</w:t>
      </w:r>
    </w:p>
    <w:p w:rsidR="00A37C80" w:rsidRDefault="00A37C80" w:rsidP="00A37C80">
      <w:pPr>
        <w:keepNext/>
      </w:pPr>
      <w:r w:rsidRPr="00A37C80">
        <w:t xml:space="preserve">It should also be clarified that only </w:t>
      </w:r>
      <w:r>
        <w:t>the technical order type “quote</w:t>
      </w:r>
      <w:r w:rsidRPr="00A37C80">
        <w:t xml:space="preserve">” should be considered for the assessment of </w:t>
      </w:r>
      <w:proofErr w:type="spellStart"/>
      <w:r w:rsidRPr="00A37C80">
        <w:t>MiFID</w:t>
      </w:r>
      <w:proofErr w:type="spellEnd"/>
      <w:r w:rsidRPr="00A37C80">
        <w:t xml:space="preserve"> II market making </w:t>
      </w:r>
      <w:r>
        <w:t xml:space="preserve">in order </w:t>
      </w:r>
      <w:r w:rsidRPr="00A37C80">
        <w:t xml:space="preserve">to avoid </w:t>
      </w:r>
      <w:r>
        <w:t xml:space="preserve">mixing </w:t>
      </w:r>
      <w:r w:rsidR="00B157FC">
        <w:t xml:space="preserve">quote activity </w:t>
      </w:r>
      <w:r>
        <w:t>with</w:t>
      </w:r>
      <w:r w:rsidRPr="00A37C80">
        <w:t xml:space="preserve"> orders </w:t>
      </w:r>
      <w:r w:rsidRPr="00A37C80">
        <w:lastRenderedPageBreak/>
        <w:t xml:space="preserve">and </w:t>
      </w:r>
      <w:r w:rsidR="00B157FC">
        <w:t xml:space="preserve">therefore a </w:t>
      </w:r>
      <w:r w:rsidRPr="00A37C80">
        <w:t>misinterpretation of market activity.</w:t>
      </w:r>
      <w:r>
        <w:t xml:space="preserve"> Therefore the following amendment should be made to the RTS:</w:t>
      </w:r>
    </w:p>
    <w:p w:rsidR="00076FF4" w:rsidRDefault="00076FF4" w:rsidP="007B7954">
      <w:pPr>
        <w:rPr>
          <w:rFonts w:ascii="Arial" w:hAnsi="Arial" w:cs="Arial"/>
          <w:szCs w:val="22"/>
          <w:lang w:val="en-US"/>
        </w:rPr>
      </w:pPr>
    </w:p>
    <w:p w:rsidR="00076FF4" w:rsidRDefault="00076FF4" w:rsidP="007B7954">
      <w:pPr>
        <w:rPr>
          <w:rFonts w:ascii="Arial" w:hAnsi="Arial" w:cs="Arial"/>
          <w:szCs w:val="22"/>
          <w:lang w:val="en-US"/>
        </w:rPr>
      </w:pPr>
      <w:r>
        <w:rPr>
          <w:rFonts w:ascii="Arial" w:hAnsi="Arial" w:cs="Arial"/>
          <w:szCs w:val="22"/>
          <w:lang w:val="en-US"/>
        </w:rPr>
        <w:t>Article 1(</w:t>
      </w:r>
      <w:r w:rsidR="00937426">
        <w:rPr>
          <w:rFonts w:ascii="Arial" w:hAnsi="Arial" w:cs="Arial"/>
          <w:szCs w:val="22"/>
          <w:lang w:val="en-US"/>
        </w:rPr>
        <w:t>4</w:t>
      </w:r>
      <w:r>
        <w:rPr>
          <w:rFonts w:ascii="Arial" w:hAnsi="Arial" w:cs="Arial"/>
          <w:szCs w:val="22"/>
          <w:lang w:val="en-US"/>
        </w:rPr>
        <w:t xml:space="preserve">): </w:t>
      </w:r>
      <w:r w:rsidRPr="00076FF4">
        <w:rPr>
          <w:rFonts w:ascii="Arial" w:hAnsi="Arial" w:cs="Arial"/>
          <w:szCs w:val="22"/>
          <w:lang w:val="en-US"/>
        </w:rPr>
        <w:t xml:space="preserve">‘firm quote’ means </w:t>
      </w:r>
      <w:r w:rsidRPr="00076FF4">
        <w:rPr>
          <w:rFonts w:ascii="Arial" w:hAnsi="Arial" w:cs="Arial"/>
          <w:strike/>
          <w:szCs w:val="22"/>
          <w:lang w:val="en-US"/>
        </w:rPr>
        <w:t>an order or</w:t>
      </w:r>
      <w:r w:rsidRPr="00076FF4">
        <w:rPr>
          <w:rFonts w:ascii="Arial" w:hAnsi="Arial" w:cs="Arial"/>
          <w:szCs w:val="22"/>
          <w:lang w:val="en-US"/>
        </w:rPr>
        <w:t xml:space="preserve"> a quote that is executable and can be matched against an opposite order or quote under the rules of a trading venue;</w:t>
      </w:r>
    </w:p>
    <w:p w:rsidR="00D7543B" w:rsidRDefault="00D7543B" w:rsidP="007B7954">
      <w:pPr>
        <w:rPr>
          <w:rFonts w:ascii="Arial" w:hAnsi="Arial" w:cs="Arial"/>
          <w:szCs w:val="22"/>
          <w:lang w:val="en-US"/>
        </w:rPr>
      </w:pPr>
    </w:p>
    <w:p w:rsidR="00022374" w:rsidRDefault="00022374" w:rsidP="00022374">
      <w:pPr>
        <w:rPr>
          <w:u w:val="single"/>
        </w:rPr>
      </w:pPr>
      <w:r w:rsidRPr="00022374">
        <w:rPr>
          <w:u w:val="single"/>
        </w:rPr>
        <w:t>Simultaneous two-way quote</w:t>
      </w:r>
    </w:p>
    <w:p w:rsidR="000673E9" w:rsidRDefault="000673E9" w:rsidP="00022374">
      <w:r w:rsidRPr="000673E9">
        <w:t>Two orders from one trading firm sent independent</w:t>
      </w:r>
      <w:r w:rsidR="009740D2">
        <w:t>ly</w:t>
      </w:r>
      <w:r w:rsidRPr="000673E9">
        <w:t xml:space="preserve"> from one another (and in addition potentially by different traders) within one second cannot be considered as pursuing a market making strategy by virtue of their opposing market sides in sizes greater than the stipulated minimum quote size. The decisive factor for a market maker quote is</w:t>
      </w:r>
      <w:r>
        <w:t xml:space="preserve"> that both are entered at the exact same time.</w:t>
      </w:r>
      <w:r w:rsidR="00937426">
        <w:t xml:space="preserve"> Therefore the following amendment should be made to the RTS:</w:t>
      </w:r>
    </w:p>
    <w:p w:rsidR="00937426" w:rsidRPr="000673E9" w:rsidRDefault="00937426" w:rsidP="00022374">
      <w:r>
        <w:rPr>
          <w:rFonts w:ascii="Arial" w:hAnsi="Arial" w:cs="Arial"/>
          <w:szCs w:val="22"/>
          <w:lang w:val="en-US"/>
        </w:rPr>
        <w:t>Article 1(5)</w:t>
      </w:r>
      <w:r w:rsidRPr="00937426">
        <w:t xml:space="preserve"> ‘simultaneous two-way quote’ is a two-way quote where both sides are entered into the order book</w:t>
      </w:r>
      <w:r>
        <w:t xml:space="preserve"> </w:t>
      </w:r>
      <w:r w:rsidRPr="00937426">
        <w:rPr>
          <w:b/>
          <w:color w:val="FF0000"/>
        </w:rPr>
        <w:t>at the exact same time</w:t>
      </w:r>
      <w:r w:rsidRPr="00937426">
        <w:rPr>
          <w:color w:val="FF0000"/>
        </w:rPr>
        <w:t xml:space="preserve"> </w:t>
      </w:r>
      <w:r w:rsidRPr="00937426">
        <w:rPr>
          <w:strike/>
        </w:rPr>
        <w:t>within one second of one another</w:t>
      </w:r>
      <w:r w:rsidRPr="00937426">
        <w:t>;</w:t>
      </w:r>
    </w:p>
    <w:p w:rsidR="00D7543B" w:rsidRDefault="00D7543B" w:rsidP="007B7954">
      <w:pPr>
        <w:rPr>
          <w:rFonts w:ascii="Arial" w:hAnsi="Arial" w:cs="Arial"/>
          <w:szCs w:val="22"/>
          <w:lang w:val="en-US"/>
        </w:rPr>
      </w:pPr>
    </w:p>
    <w:p w:rsidR="002D28F8" w:rsidRPr="002D28F8" w:rsidRDefault="002D28F8" w:rsidP="002D28F8">
      <w:pPr>
        <w:rPr>
          <w:u w:val="single"/>
        </w:rPr>
      </w:pPr>
      <w:r w:rsidRPr="002D28F8">
        <w:rPr>
          <w:u w:val="single"/>
        </w:rPr>
        <w:t>Comparable size</w:t>
      </w:r>
    </w:p>
    <w:p w:rsidR="002D28F8" w:rsidRDefault="001B3B3B" w:rsidP="007B7954">
      <w:pPr>
        <w:rPr>
          <w:rFonts w:ascii="Arial" w:hAnsi="Arial" w:cs="Arial"/>
          <w:szCs w:val="22"/>
          <w:lang w:val="en-US"/>
        </w:rPr>
      </w:pPr>
      <w:r w:rsidRPr="00052050">
        <w:rPr>
          <w:rFonts w:cstheme="minorHAnsi"/>
          <w:szCs w:val="22"/>
          <w:lang w:val="en-US"/>
        </w:rPr>
        <w:t xml:space="preserve">ESMA suggests that the </w:t>
      </w:r>
      <w:r w:rsidRPr="00052050">
        <w:rPr>
          <w:rFonts w:cstheme="minorHAnsi"/>
          <w:b/>
          <w:szCs w:val="22"/>
          <w:lang w:val="en-US"/>
        </w:rPr>
        <w:t>size of the</w:t>
      </w:r>
      <w:r w:rsidRPr="00052050">
        <w:rPr>
          <w:rFonts w:cstheme="minorHAnsi"/>
          <w:szCs w:val="22"/>
          <w:lang w:val="en-US"/>
        </w:rPr>
        <w:t xml:space="preserve"> </w:t>
      </w:r>
      <w:r w:rsidRPr="00052050">
        <w:rPr>
          <w:rFonts w:cstheme="minorHAnsi"/>
          <w:b/>
          <w:szCs w:val="22"/>
          <w:lang w:val="en-US"/>
        </w:rPr>
        <w:t>opposite quotes</w:t>
      </w:r>
      <w:r>
        <w:rPr>
          <w:rFonts w:cstheme="minorHAnsi"/>
          <w:szCs w:val="22"/>
          <w:lang w:val="en-US"/>
        </w:rPr>
        <w:t xml:space="preserve"> posted in the order book do</w:t>
      </w:r>
      <w:r w:rsidRPr="00052050">
        <w:rPr>
          <w:rFonts w:cstheme="minorHAnsi"/>
          <w:szCs w:val="22"/>
          <w:lang w:val="en-US"/>
        </w:rPr>
        <w:t xml:space="preserve"> not dive</w:t>
      </w:r>
      <w:r>
        <w:rPr>
          <w:rFonts w:cstheme="minorHAnsi"/>
          <w:szCs w:val="22"/>
          <w:lang w:val="en-US"/>
        </w:rPr>
        <w:t>rge more than 50% of each other. However</w:t>
      </w:r>
      <w:r w:rsidRPr="00052050">
        <w:rPr>
          <w:rFonts w:cstheme="minorHAnsi"/>
          <w:szCs w:val="22"/>
          <w:lang w:val="en-US"/>
        </w:rPr>
        <w:t xml:space="preserve"> this adds to the risks of false measurement and misclassification of </w:t>
      </w:r>
      <w:r>
        <w:rPr>
          <w:rFonts w:cstheme="minorHAnsi"/>
          <w:szCs w:val="22"/>
          <w:lang w:val="en-US"/>
        </w:rPr>
        <w:t>members’</w:t>
      </w:r>
      <w:r w:rsidRPr="00052050">
        <w:rPr>
          <w:rFonts w:cstheme="minorHAnsi"/>
          <w:szCs w:val="22"/>
          <w:lang w:val="en-US"/>
        </w:rPr>
        <w:t xml:space="preserve"> trading activity as a market making strategy. Unbalanced quote sizes are not a valid market </w:t>
      </w:r>
      <w:r w:rsidRPr="00E262B9">
        <w:rPr>
          <w:rFonts w:cstheme="minorHAnsi"/>
          <w:szCs w:val="22"/>
          <w:lang w:val="en-US"/>
        </w:rPr>
        <w:t xml:space="preserve">maker quote as it reflects a member’s bias for a certain market direction, in which he is willing to take on significantly more risk than in the other. </w:t>
      </w:r>
      <w:r w:rsidR="00E262B9" w:rsidRPr="00E262B9">
        <w:rPr>
          <w:rFonts w:cstheme="minorHAnsi"/>
          <w:szCs w:val="22"/>
          <w:lang w:val="en-US"/>
        </w:rPr>
        <w:t>Therefore b</w:t>
      </w:r>
      <w:r w:rsidRPr="00E262B9">
        <w:rPr>
          <w:rFonts w:cstheme="minorHAnsi"/>
          <w:szCs w:val="22"/>
          <w:lang w:val="en-US"/>
        </w:rPr>
        <w:t>oth sides of a quote should be the same size</w:t>
      </w:r>
      <w:r w:rsidR="00E262B9" w:rsidRPr="00E262B9">
        <w:rPr>
          <w:rFonts w:cstheme="minorHAnsi"/>
          <w:szCs w:val="22"/>
          <w:lang w:val="en-US"/>
        </w:rPr>
        <w:t>, which should be at least equal to or greater than the minimum quote size set by the trading venue.</w:t>
      </w:r>
      <w:r w:rsidRPr="00E262B9">
        <w:rPr>
          <w:rFonts w:cstheme="minorHAnsi"/>
          <w:szCs w:val="22"/>
          <w:lang w:val="en-US"/>
        </w:rPr>
        <w:t xml:space="preserve"> </w:t>
      </w:r>
      <w:r w:rsidR="00201D46">
        <w:t>Therefore the following amendment should be made to the RTS:</w:t>
      </w:r>
    </w:p>
    <w:p w:rsidR="002D28F8" w:rsidRDefault="00201D46" w:rsidP="007B7954">
      <w:pPr>
        <w:rPr>
          <w:rFonts w:ascii="Arial" w:hAnsi="Arial" w:cs="Arial"/>
          <w:szCs w:val="22"/>
          <w:lang w:val="en-US"/>
        </w:rPr>
      </w:pPr>
      <w:r>
        <w:rPr>
          <w:rFonts w:ascii="Arial" w:hAnsi="Arial" w:cs="Arial"/>
          <w:szCs w:val="22"/>
          <w:lang w:val="en-US"/>
        </w:rPr>
        <w:t xml:space="preserve">Article 1(6): </w:t>
      </w:r>
      <w:r w:rsidRPr="00201D46">
        <w:rPr>
          <w:rFonts w:ascii="Arial" w:hAnsi="Arial" w:cs="Arial"/>
          <w:szCs w:val="22"/>
          <w:lang w:val="en-US"/>
        </w:rPr>
        <w:t>‘comparable size’ means that the size of the opposite quotes posted in the order book</w:t>
      </w:r>
      <w:r>
        <w:rPr>
          <w:rFonts w:ascii="Arial" w:hAnsi="Arial" w:cs="Arial"/>
          <w:szCs w:val="22"/>
          <w:lang w:val="en-US"/>
        </w:rPr>
        <w:t xml:space="preserve"> </w:t>
      </w:r>
      <w:r w:rsidRPr="00201D46">
        <w:rPr>
          <w:rFonts w:ascii="Arial" w:hAnsi="Arial" w:cs="Arial"/>
          <w:b/>
          <w:color w:val="FF0000"/>
          <w:szCs w:val="22"/>
          <w:lang w:val="en-US"/>
        </w:rPr>
        <w:t>are equal to each other and are at least equal to the minimum quote size determined by the trading venue</w:t>
      </w:r>
      <w:r>
        <w:rPr>
          <w:rFonts w:ascii="Arial" w:hAnsi="Arial" w:cs="Arial"/>
          <w:szCs w:val="22"/>
          <w:lang w:val="en-US"/>
        </w:rPr>
        <w:t>.</w:t>
      </w:r>
      <w:r w:rsidRPr="00201D46">
        <w:rPr>
          <w:rFonts w:ascii="Arial" w:hAnsi="Arial" w:cs="Arial"/>
          <w:szCs w:val="22"/>
          <w:lang w:val="en-US"/>
        </w:rPr>
        <w:t xml:space="preserve"> </w:t>
      </w:r>
      <w:proofErr w:type="gramStart"/>
      <w:r w:rsidRPr="00201D46">
        <w:rPr>
          <w:rFonts w:ascii="Arial" w:hAnsi="Arial" w:cs="Arial"/>
          <w:strike/>
          <w:szCs w:val="22"/>
          <w:lang w:val="en-US"/>
        </w:rPr>
        <w:t>does</w:t>
      </w:r>
      <w:proofErr w:type="gramEnd"/>
      <w:r w:rsidRPr="00201D46">
        <w:rPr>
          <w:rFonts w:ascii="Arial" w:hAnsi="Arial" w:cs="Arial"/>
          <w:strike/>
          <w:szCs w:val="22"/>
          <w:lang w:val="en-US"/>
        </w:rPr>
        <w:t xml:space="preserve"> not diverge more than 50% of each other</w:t>
      </w:r>
      <w:r w:rsidRPr="00201D46">
        <w:rPr>
          <w:rFonts w:ascii="Arial" w:hAnsi="Arial" w:cs="Arial"/>
          <w:szCs w:val="22"/>
          <w:lang w:val="en-US"/>
        </w:rPr>
        <w:t>.</w:t>
      </w:r>
    </w:p>
    <w:p w:rsidR="002D28F8" w:rsidRDefault="002D28F8" w:rsidP="007B7954">
      <w:pPr>
        <w:rPr>
          <w:rFonts w:ascii="Arial" w:hAnsi="Arial" w:cs="Arial"/>
          <w:szCs w:val="22"/>
          <w:lang w:val="en-US"/>
        </w:rPr>
      </w:pPr>
    </w:p>
    <w:p w:rsidR="00E836FB" w:rsidRPr="00E836FB" w:rsidRDefault="00E836FB" w:rsidP="00E836FB">
      <w:pPr>
        <w:rPr>
          <w:u w:val="single"/>
        </w:rPr>
      </w:pPr>
      <w:r w:rsidRPr="00E836FB">
        <w:rPr>
          <w:u w:val="single"/>
        </w:rPr>
        <w:t>Competitive prices</w:t>
      </w:r>
    </w:p>
    <w:p w:rsidR="00E836FB" w:rsidRPr="00E836FB" w:rsidRDefault="00E836FB" w:rsidP="00E836FB">
      <w:pPr>
        <w:rPr>
          <w:rFonts w:ascii="Arial" w:hAnsi="Arial" w:cs="Arial"/>
          <w:szCs w:val="22"/>
          <w:lang w:val="en-US"/>
        </w:rPr>
      </w:pPr>
      <w:r w:rsidRPr="00E836FB">
        <w:rPr>
          <w:rFonts w:ascii="Arial" w:hAnsi="Arial" w:cs="Arial"/>
          <w:szCs w:val="22"/>
          <w:lang w:val="en-US"/>
        </w:rPr>
        <w:t>The definition of competitive prices should reflect the maximum bid-ask spreads set by a trading venue for market making in</w:t>
      </w:r>
      <w:r>
        <w:rPr>
          <w:rFonts w:ascii="Arial" w:hAnsi="Arial" w:cs="Arial"/>
          <w:szCs w:val="22"/>
          <w:lang w:val="en-US"/>
        </w:rPr>
        <w:t xml:space="preserve"> a given instrument. Therefore </w:t>
      </w:r>
      <w:r>
        <w:t>the following amendment should be made to the RTS:</w:t>
      </w:r>
      <w:r w:rsidRPr="00E836FB">
        <w:rPr>
          <w:rFonts w:ascii="Arial" w:hAnsi="Arial" w:cs="Arial"/>
          <w:szCs w:val="22"/>
          <w:lang w:val="en-US"/>
        </w:rPr>
        <w:t xml:space="preserve"> </w:t>
      </w:r>
    </w:p>
    <w:p w:rsidR="00E836FB" w:rsidRDefault="00E836FB" w:rsidP="00E836FB">
      <w:pPr>
        <w:rPr>
          <w:rFonts w:ascii="Arial" w:hAnsi="Arial" w:cs="Arial"/>
          <w:szCs w:val="22"/>
          <w:lang w:val="en-US"/>
        </w:rPr>
      </w:pPr>
      <w:r>
        <w:rPr>
          <w:rFonts w:ascii="Arial" w:hAnsi="Arial" w:cs="Arial"/>
          <w:szCs w:val="22"/>
          <w:lang w:val="en-US"/>
        </w:rPr>
        <w:t>Article 1 (7):</w:t>
      </w:r>
      <w:r w:rsidRPr="00E836FB">
        <w:rPr>
          <w:rFonts w:ascii="Arial" w:hAnsi="Arial" w:cs="Arial"/>
          <w:szCs w:val="22"/>
          <w:lang w:val="en-US"/>
        </w:rPr>
        <w:t xml:space="preserve"> “‘competitive prices’ means quotes posted within the </w:t>
      </w:r>
      <w:r w:rsidRPr="00E836FB">
        <w:rPr>
          <w:rFonts w:ascii="Arial" w:hAnsi="Arial" w:cs="Arial"/>
          <w:strike/>
          <w:szCs w:val="22"/>
          <w:lang w:val="en-US"/>
        </w:rPr>
        <w:t>average</w:t>
      </w:r>
      <w:r w:rsidRPr="00E836FB">
        <w:rPr>
          <w:rFonts w:ascii="Arial" w:hAnsi="Arial" w:cs="Arial"/>
          <w:szCs w:val="22"/>
          <w:lang w:val="en-US"/>
        </w:rPr>
        <w:t xml:space="preserve"> </w:t>
      </w:r>
      <w:r w:rsidRPr="00E836FB">
        <w:rPr>
          <w:rFonts w:ascii="Arial" w:hAnsi="Arial" w:cs="Arial"/>
          <w:b/>
          <w:color w:val="FF0000"/>
          <w:szCs w:val="22"/>
          <w:lang w:val="en-US"/>
        </w:rPr>
        <w:t>maximum</w:t>
      </w:r>
      <w:r>
        <w:rPr>
          <w:rFonts w:ascii="Arial" w:hAnsi="Arial" w:cs="Arial"/>
          <w:szCs w:val="22"/>
          <w:lang w:val="en-US"/>
        </w:rPr>
        <w:t xml:space="preserve"> </w:t>
      </w:r>
      <w:r w:rsidRPr="00E836FB">
        <w:rPr>
          <w:rFonts w:ascii="Arial" w:hAnsi="Arial" w:cs="Arial"/>
          <w:szCs w:val="22"/>
          <w:lang w:val="en-US"/>
        </w:rPr>
        <w:t>bid-ask sp</w:t>
      </w:r>
      <w:r>
        <w:rPr>
          <w:rFonts w:ascii="Arial" w:hAnsi="Arial" w:cs="Arial"/>
          <w:szCs w:val="22"/>
          <w:lang w:val="en-US"/>
        </w:rPr>
        <w:t>read given by the trading venue</w:t>
      </w:r>
      <w:r w:rsidRPr="00E836FB">
        <w:rPr>
          <w:rFonts w:ascii="Arial" w:hAnsi="Arial" w:cs="Arial"/>
          <w:szCs w:val="22"/>
          <w:lang w:val="en-US"/>
        </w:rPr>
        <w:t xml:space="preserve"> for market making.</w:t>
      </w:r>
    </w:p>
    <w:p w:rsidR="002309BE" w:rsidRDefault="002309BE" w:rsidP="007B7954">
      <w:pPr>
        <w:rPr>
          <w:rFonts w:ascii="Arial" w:hAnsi="Arial" w:cs="Arial"/>
          <w:szCs w:val="22"/>
          <w:lang w:val="en-US"/>
        </w:rPr>
      </w:pPr>
    </w:p>
    <w:p w:rsidR="00D7543B" w:rsidRPr="00D7543B" w:rsidRDefault="00D7543B" w:rsidP="007B7954">
      <w:pPr>
        <w:rPr>
          <w:rFonts w:ascii="Arial" w:hAnsi="Arial" w:cs="Arial"/>
          <w:b/>
          <w:szCs w:val="22"/>
          <w:u w:val="single"/>
          <w:lang w:val="en-US"/>
        </w:rPr>
      </w:pPr>
      <w:r w:rsidRPr="00D7543B">
        <w:rPr>
          <w:rFonts w:ascii="Arial" w:hAnsi="Arial" w:cs="Arial"/>
          <w:b/>
          <w:szCs w:val="22"/>
          <w:u w:val="single"/>
          <w:lang w:val="en-US"/>
        </w:rPr>
        <w:t>Draft RTS</w:t>
      </w:r>
    </w:p>
    <w:p w:rsidR="00CE46A5" w:rsidRDefault="00CE46A5" w:rsidP="00EC2C93">
      <w:pPr>
        <w:keepNext/>
      </w:pPr>
    </w:p>
    <w:p w:rsidR="00577C33" w:rsidRDefault="00B93A56" w:rsidP="00EC2C93">
      <w:pPr>
        <w:keepNext/>
      </w:pPr>
      <w:r>
        <w:t xml:space="preserve">We have a number of </w:t>
      </w:r>
      <w:r w:rsidR="003F59BF">
        <w:t xml:space="preserve">other </w:t>
      </w:r>
      <w:r>
        <w:t>comments on the draft RTS as follows:</w:t>
      </w:r>
    </w:p>
    <w:p w:rsidR="00B93A56" w:rsidRDefault="00843DA8" w:rsidP="00F51125">
      <w:pPr>
        <w:pStyle w:val="ListParagraph"/>
      </w:pPr>
      <w:r>
        <w:t xml:space="preserve">Recital 2: </w:t>
      </w:r>
      <w:r w:rsidR="00B93A56">
        <w:t xml:space="preserve">We believe the wording should be consistent with the Level 1 text, and specifically Article 17(3) which states “algorithmic trading </w:t>
      </w:r>
      <w:r w:rsidR="00B93A56" w:rsidRPr="009740D2">
        <w:rPr>
          <w:b/>
          <w:color w:val="FF0000"/>
        </w:rPr>
        <w:t>to</w:t>
      </w:r>
      <w:r w:rsidR="00B93A56" w:rsidRPr="00B93A56">
        <w:rPr>
          <w:b/>
        </w:rPr>
        <w:t xml:space="preserve"> </w:t>
      </w:r>
      <w:r w:rsidR="00B93A56">
        <w:t xml:space="preserve">pursue a market making strategy”, whereas the draft RTS proposes “engaged in algorithmic trading </w:t>
      </w:r>
      <w:r w:rsidR="00B93A56" w:rsidRPr="00B93A56">
        <w:rPr>
          <w:b/>
        </w:rPr>
        <w:t>and</w:t>
      </w:r>
      <w:r w:rsidR="00B93A56">
        <w:t xml:space="preserve"> pursuing a market making strategy”, which could include firms that engage in algorithmic trading and separately engage in market making without the means of an algorithm.</w:t>
      </w:r>
    </w:p>
    <w:p w:rsidR="00342624" w:rsidRDefault="00342624" w:rsidP="00F51125">
      <w:pPr>
        <w:pStyle w:val="ListParagraph"/>
      </w:pPr>
      <w:r>
        <w:t>Article 1(8):</w:t>
      </w:r>
      <w:r w:rsidR="0061371E">
        <w:t xml:space="preserve"> </w:t>
      </w:r>
      <w:r>
        <w:t xml:space="preserve">We note that paragraph 35 in the CP describes exceptional circumstances as including “an interruption of trading with respect to all instruments as opposed to stressed market conditions” and therefore this implies that stressed </w:t>
      </w:r>
      <w:r>
        <w:lastRenderedPageBreak/>
        <w:t>market conditions can be in respect of just one security, but believe it is important to have absolute clarity on this to ensure a consistent application. We are also unclear as to the reason for ESMA to conclude that stressed market conditions occur frequently.</w:t>
      </w:r>
    </w:p>
    <w:p w:rsidR="00FE0008" w:rsidRDefault="00FE0008" w:rsidP="00F51125">
      <w:pPr>
        <w:pStyle w:val="ListParagraph"/>
      </w:pPr>
      <w:r>
        <w:t>Article 1(9):</w:t>
      </w:r>
    </w:p>
    <w:p w:rsidR="00FE0008" w:rsidRDefault="00FE0008" w:rsidP="009740D2">
      <w:pPr>
        <w:pStyle w:val="ListParagraph"/>
        <w:ind w:left="1068"/>
      </w:pPr>
      <w:r>
        <w:t>‘</w:t>
      </w:r>
      <w:proofErr w:type="gramStart"/>
      <w:r>
        <w:t>multiple</w:t>
      </w:r>
      <w:proofErr w:type="gramEnd"/>
      <w:r>
        <w:t>’ means more than one. This implies that two erroneous orders could be defined as causing ‘disorderly trading conditions’. We do not believe this is the intention of the text and therefore recommend that it is amended to ensure it accurately captures and defines disorderly trading. We therefore suggest ‘significant multiple’.</w:t>
      </w:r>
    </w:p>
    <w:p w:rsidR="00FE0008" w:rsidRDefault="00FE0008" w:rsidP="009740D2">
      <w:pPr>
        <w:pStyle w:val="ListParagraph"/>
        <w:ind w:left="1068"/>
      </w:pPr>
      <w:r>
        <w:t>‘</w:t>
      </w:r>
      <w:proofErr w:type="gramStart"/>
      <w:r>
        <w:t>sufficient</w:t>
      </w:r>
      <w:proofErr w:type="gramEnd"/>
      <w:r>
        <w:t xml:space="preserve"> time’ is an arbitrary term that is open to interpretation, particularly given the number of factors that can influence the execution of an order. Furthermore we do not believe that cancelled orders should be considered to be a subset of erroneous orders. In fact there are a number of reasons why orders may be cancelled,</w:t>
      </w:r>
      <w:r w:rsidR="00B126A6">
        <w:t xml:space="preserve"> only</w:t>
      </w:r>
      <w:r>
        <w:t xml:space="preserve"> </w:t>
      </w:r>
      <w:r w:rsidR="00D61B55">
        <w:t xml:space="preserve">one of </w:t>
      </w:r>
      <w:r>
        <w:t xml:space="preserve">which could be that they are in fact erroneous. </w:t>
      </w:r>
    </w:p>
    <w:p w:rsidR="00FE0008" w:rsidRDefault="008B6411" w:rsidP="00F51125">
      <w:pPr>
        <w:pStyle w:val="ListParagraph"/>
      </w:pPr>
      <w:r>
        <w:t>Article 7: We welcome ESMA’s clarification that the obligati</w:t>
      </w:r>
      <w:r w:rsidR="0010244B">
        <w:t>on only applies to the system or</w:t>
      </w:r>
      <w:r>
        <w:t xml:space="preserve"> market segment that allows or enables algorithmic trading. We urge ESMA to apply this principle across all relevant sections of </w:t>
      </w:r>
      <w:proofErr w:type="spellStart"/>
      <w:r>
        <w:t>MiFID</w:t>
      </w:r>
      <w:proofErr w:type="spellEnd"/>
      <w:r>
        <w:t xml:space="preserve"> II, and in particular to section 4.2. </w:t>
      </w:r>
    </w:p>
    <w:p w:rsidR="008B6411" w:rsidRDefault="008B6411" w:rsidP="00F51125">
      <w:pPr>
        <w:pStyle w:val="ListParagraph"/>
      </w:pPr>
      <w:r>
        <w:t>Article 9(2): We would like ESMA to clarify that only significant changes to the terms of the market making scheme should be communicated</w:t>
      </w:r>
      <w:r w:rsidR="0081130F">
        <w:t xml:space="preserve">. Moreover the </w:t>
      </w:r>
      <w:r w:rsidR="006F2371">
        <w:t xml:space="preserve">advance </w:t>
      </w:r>
      <w:r w:rsidR="0081130F">
        <w:t>notification</w:t>
      </w:r>
      <w:r w:rsidR="006F2371">
        <w:t xml:space="preserve"> period</w:t>
      </w:r>
      <w:r w:rsidR="0081130F">
        <w:t xml:space="preserve"> should be reduced to one month rather than</w:t>
      </w:r>
      <w:r w:rsidR="00B126A6">
        <w:t xml:space="preserve"> three months</w:t>
      </w:r>
      <w:r>
        <w:t>. As it is currently worded, it implies that changes in parameters should also be notified at least three months in advance, but this is not practical as trading venues need to be able to amend the parameters within a much shorter timeframe in line with changes in trading conditions for a se</w:t>
      </w:r>
      <w:r w:rsidR="007E0B9B">
        <w:t>curity or the market as a whole, for example due to a corporate action or a significant announcement from the issuer which has a material impact on the price and/or liquidity.</w:t>
      </w:r>
      <w:r w:rsidR="00F50FE8">
        <w:t xml:space="preserve"> </w:t>
      </w:r>
      <w:r>
        <w:t>It will also be dis-incentivising to members if they were forced to quote with parameters no longer appropriate for a security for an additional three</w:t>
      </w:r>
      <w:r w:rsidR="000A4453">
        <w:t xml:space="preserve"> (or even one)</w:t>
      </w:r>
      <w:r w:rsidR="002B0F33">
        <w:t xml:space="preserve"> month period.</w:t>
      </w:r>
    </w:p>
    <w:permEnd w:id="76409434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2B0F33" w:rsidRDefault="00273A28" w:rsidP="00EC2C93">
      <w:pPr>
        <w:keepNext/>
      </w:pPr>
      <w:permStart w:id="1189242841" w:edGrp="everyone"/>
      <w:r>
        <w:t xml:space="preserve">No. There are many reasons why a firm may meet such criteria only on one day but not in general, for example due to a particular increase in activity in a stock on one day due to an announcement. </w:t>
      </w:r>
      <w:r w:rsidR="002B0F33">
        <w:t xml:space="preserve">Furthermore we believe the minimum threshold of 30% is far too low. </w:t>
      </w:r>
    </w:p>
    <w:p w:rsidR="002B0F33" w:rsidRDefault="002B0F33" w:rsidP="00EC2C93">
      <w:pPr>
        <w:keepNext/>
      </w:pPr>
    </w:p>
    <w:p w:rsidR="002B0F33" w:rsidRDefault="002B0F33" w:rsidP="002B0F33">
      <w:pPr>
        <w:keepNext/>
      </w:pPr>
      <w:r>
        <w:t xml:space="preserve">In relation to the minimum threshold, we suggest aligning the entrance presence with the on-going presence with both at </w:t>
      </w:r>
      <w:r w:rsidRPr="002B0F33">
        <w:rPr>
          <w:b/>
        </w:rPr>
        <w:t>50%.</w:t>
      </w:r>
      <w:r>
        <w:t xml:space="preserve"> A trading strategy or behaviour that makes up more than 50% of a firm’s time is a substantial activity rather than a 'side-line' or coincidental activity on a particular day. It is important to capture only those investment firms who intend to act as a market maker (a) to preserve commercial choice for participants and (b) to minimize the chance of imposing obligations on firms that may not be able or willing to take them on. Otherwise, the risk arises that firms will stop using liquidity providing strategies to avoid </w:t>
      </w:r>
      <w:r>
        <w:lastRenderedPageBreak/>
        <w:t>unintended consequences, which will reduce rather than increase the amount of liquidity in European markets.</w:t>
      </w:r>
    </w:p>
    <w:p w:rsidR="002B0F33" w:rsidRDefault="002B0F33" w:rsidP="002B0F33">
      <w:pPr>
        <w:keepNext/>
      </w:pPr>
    </w:p>
    <w:p w:rsidR="002B0F33" w:rsidRDefault="002B0F33" w:rsidP="002B0F33">
      <w:pPr>
        <w:keepNext/>
      </w:pPr>
      <w:r>
        <w:t xml:space="preserve">Also, in relation to the proposed observation period for market making strategies, we believe one day is far too onerous, will lead to systematic misclassifications and is not feasible from an operational perspective. Such a low one day qualification threshold will discourage members from incrementally increasing their quoting presence to evolve from a market maker ‘interested’ in market making into a fully-fledged market maker. An observation period of 1 month is suggested, during which a market maker’s quote presence must on average lie higher than the threshold defined (which should be at least 50%). </w:t>
      </w:r>
    </w:p>
    <w:p w:rsidR="002B0F33" w:rsidRDefault="002B0F33" w:rsidP="002B0F33">
      <w:pPr>
        <w:keepNext/>
      </w:pPr>
    </w:p>
    <w:p w:rsidR="002B0F33" w:rsidRDefault="002B0F33" w:rsidP="002B0F33">
      <w:pPr>
        <w:keepNext/>
      </w:pPr>
      <w:r>
        <w:t>Therefore we propose the following amendments to the draft RTS 15:</w:t>
      </w:r>
    </w:p>
    <w:p w:rsidR="002B0F33" w:rsidRPr="009366FB" w:rsidRDefault="002B0F33" w:rsidP="00F51125">
      <w:pPr>
        <w:pStyle w:val="ListParagraph"/>
      </w:pPr>
      <w:r>
        <w:t>Article 3 (1)</w:t>
      </w:r>
      <w:r w:rsidRPr="0055426B">
        <w:t xml:space="preserve">: “For the purposes of this Regulation, an investment firm shall be deemed to pursue a market making strategy if it is posting firm, simultaneous two-way quotes of </w:t>
      </w:r>
      <w:r w:rsidRPr="002B0F33">
        <w:t>comparable size</w:t>
      </w:r>
      <w:r>
        <w:t xml:space="preserve"> a</w:t>
      </w:r>
      <w:r w:rsidRPr="0055426B">
        <w:t>nd competitive prices in at least one financial instrument on a single trading venue for no less than</w:t>
      </w:r>
      <w:r>
        <w:t xml:space="preserve"> </w:t>
      </w:r>
      <w:r w:rsidRPr="002B0F33">
        <w:rPr>
          <w:b/>
          <w:color w:val="FF0000"/>
        </w:rPr>
        <w:t>50%</w:t>
      </w:r>
      <w:r w:rsidRPr="002B0F33">
        <w:rPr>
          <w:color w:val="FF0000"/>
        </w:rPr>
        <w:t xml:space="preserve"> </w:t>
      </w:r>
      <w:r w:rsidRPr="0055426B">
        <w:t xml:space="preserve">of the daily trading hours during </w:t>
      </w:r>
      <w:r w:rsidRPr="002B0F33">
        <w:rPr>
          <w:b/>
          <w:color w:val="FF0000"/>
        </w:rPr>
        <w:t>a rolling monthly (calendar) period</w:t>
      </w:r>
      <w:r w:rsidRPr="009366FB">
        <w:t xml:space="preserve">. </w:t>
      </w:r>
    </w:p>
    <w:p w:rsidR="002B0F33" w:rsidRDefault="002B0F33" w:rsidP="002B0F33">
      <w:pPr>
        <w:keepNext/>
      </w:pPr>
    </w:p>
    <w:p w:rsidR="00577C33" w:rsidRDefault="002B0F33" w:rsidP="00EC2C93">
      <w:pPr>
        <w:keepNext/>
      </w:pPr>
      <w:r>
        <w:t xml:space="preserve">Furthermore, it should be clear that the scope of the market making agreement entered into by members meeting </w:t>
      </w:r>
      <w:proofErr w:type="gramStart"/>
      <w:r>
        <w:t>this criteria</w:t>
      </w:r>
      <w:proofErr w:type="gramEnd"/>
      <w:r>
        <w:t xml:space="preserve"> should be limited to those instruments in which they are engaged in a market making strategy. Extending the scope of the agre</w:t>
      </w:r>
      <w:r w:rsidR="005215C3">
        <w:t>ement to all instruments traded</w:t>
      </w:r>
      <w:r>
        <w:t xml:space="preserve"> on the venue would certainly result in a significant withdrawal of liquidity across the market.</w:t>
      </w:r>
      <w:r w:rsidR="00A316E4">
        <w:t xml:space="preserve"> </w:t>
      </w:r>
    </w:p>
    <w:p w:rsidR="000F750E" w:rsidRDefault="000F750E" w:rsidP="00EC2C93">
      <w:pPr>
        <w:keepNext/>
      </w:pPr>
    </w:p>
    <w:p w:rsidR="000F750E" w:rsidRDefault="000F750E" w:rsidP="00EC2C93">
      <w:pPr>
        <w:keepNext/>
      </w:pPr>
      <w:r>
        <w:t xml:space="preserve">We also note that the proposed RTS do not envisage any review or exit clause for such agreements. This is particularly worrying given the low entry criteria proposed (30% on one day). It is important that members are not required to enter into such onerous agreements for an indefinite period due to increased activity on a particular day due to for example a company announcement or a client order. The increase of the threshold to a more reasonable level of 50% and the change to a monthly observation period would alleviate this to a certain extent. However when a member no longer meets the criteria for a particular length of time, it should be permitted that they can then withdraw from the agreement. </w:t>
      </w:r>
    </w:p>
    <w:permEnd w:id="118924284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8D3798" w:rsidRDefault="00064AA0" w:rsidP="00EC2C93">
      <w:pPr>
        <w:keepNext/>
      </w:pPr>
      <w:permStart w:id="807412015" w:edGrp="everyone"/>
      <w:r>
        <w:t xml:space="preserve">In relation to equity, we believe that 50% is a reasonable minimum threshold for ESMA to impose and we welcome its approach in setting a threshold which still provides flexibility to the trading venues to set a higher threshold relevant to its market. </w:t>
      </w:r>
      <w:proofErr w:type="gramStart"/>
      <w:r>
        <w:t>A one-size-fits</w:t>
      </w:r>
      <w:proofErr w:type="gramEnd"/>
      <w:r>
        <w:t xml:space="preserve"> all approach with a higher minimum threshold would not be feasible.</w:t>
      </w:r>
    </w:p>
    <w:p w:rsidR="00FB60E0" w:rsidRDefault="00FB60E0" w:rsidP="00EC2C93">
      <w:pPr>
        <w:keepNext/>
      </w:pPr>
    </w:p>
    <w:p w:rsidR="00FB60E0" w:rsidRDefault="00FB60E0" w:rsidP="00EC2C93">
      <w:pPr>
        <w:keepNext/>
      </w:pPr>
      <w:r>
        <w:t>However t</w:t>
      </w:r>
      <w:r w:rsidRPr="00FB60E0">
        <w:t xml:space="preserve">his level of quote presence will not be attainable for market makers during periods of stressed market conditions as defined by the legislator. Relaxed market making requirements during stressed market conditions do not insulate market makers from severe trading losses as price action unfolds. Continuing to be hit on bids in a fast falling market </w:t>
      </w:r>
      <w:r w:rsidRPr="00FB60E0">
        <w:lastRenderedPageBreak/>
        <w:t>produces immediate losses to market makers quoting, and hence, the majority of market makers opt to further widen quotes, quote one-sided prices, or to withdraw from the market temporarily during periods of ‘stressed market conditions’. As outlined under Q104, trading venues cannot and should not compensate a market maker for trading risks in an instrument under stressed market conditions.</w:t>
      </w:r>
    </w:p>
    <w:p w:rsidR="008D3798" w:rsidRDefault="008D3798" w:rsidP="008D3798">
      <w:pPr>
        <w:keepNext/>
      </w:pPr>
    </w:p>
    <w:p w:rsidR="00A37C80" w:rsidRDefault="008D3798" w:rsidP="008D3798">
      <w:pPr>
        <w:keepNext/>
      </w:pPr>
      <w:r>
        <w:t>In addition, we believe that it is of key importance that the minimum presence requirement is permitted to be relaxed whenever a firm is deploying a new trading algorithm, or a pre-existing algorithm that was successfully deployed on other trading venues, or material changes to previous architecture</w:t>
      </w:r>
      <w:r w:rsidR="00D84FE9">
        <w:t xml:space="preserve"> when pursuing a market making strategy</w:t>
      </w:r>
      <w:r>
        <w:t xml:space="preserve">, in order to enable the firm and the trading venue to also comply with the restricted deployment requirements in section 4.2. Otherwise both the firm and the venue will </w:t>
      </w:r>
      <w:r w:rsidR="00D84FE9">
        <w:t xml:space="preserve">not </w:t>
      </w:r>
      <w:r>
        <w:t xml:space="preserve">be able to meet both requirements simultaneously. (Please also see our response to Q94).    </w:t>
      </w:r>
    </w:p>
    <w:p w:rsidR="00577C33" w:rsidRDefault="00064AA0" w:rsidP="00EC2C93">
      <w:pPr>
        <w:keepNext/>
      </w:pPr>
      <w:r>
        <w:t xml:space="preserve"> </w:t>
      </w:r>
    </w:p>
    <w:permEnd w:id="8074120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860878" w:rsidRDefault="00860878" w:rsidP="00860878">
      <w:pPr>
        <w:keepNext/>
      </w:pPr>
      <w:permStart w:id="6317489" w:edGrp="everyone"/>
      <w:r>
        <w:t xml:space="preserve">We do not believe that the list of exceptional circumstances set out by ESMA in Article 5 sufficiently captures all legitimate scenarios when a market maker may need to temporarily withdraw from its quoting obligations. In particular, ESMA has not recognised the fact that a firm may be prohibited from dealing on its own account when connected to the </w:t>
      </w:r>
      <w:proofErr w:type="spellStart"/>
      <w:r>
        <w:t>offeror</w:t>
      </w:r>
      <w:proofErr w:type="spellEnd"/>
      <w:r>
        <w:t xml:space="preserve"> or </w:t>
      </w:r>
      <w:proofErr w:type="spellStart"/>
      <w:r>
        <w:t>offeree</w:t>
      </w:r>
      <w:proofErr w:type="spellEnd"/>
      <w:r>
        <w:t xml:space="preserve"> in relation to a merger or acquisition situation.</w:t>
      </w:r>
      <w:r w:rsidR="000B5A62">
        <w:t xml:space="preserve"> Therefore the following should be added to Article 5(2):</w:t>
      </w:r>
    </w:p>
    <w:p w:rsidR="000B5A62" w:rsidRPr="004F7FE1" w:rsidRDefault="000B5A62" w:rsidP="00F51125">
      <w:pPr>
        <w:pStyle w:val="ListParagraph"/>
      </w:pPr>
      <w:r w:rsidRPr="004F7FE1">
        <w:t xml:space="preserve">Circumstances when a firm is precluded from dealing on its own account where it is associated with either the </w:t>
      </w:r>
      <w:proofErr w:type="spellStart"/>
      <w:r w:rsidRPr="004F7FE1">
        <w:t>offeror</w:t>
      </w:r>
      <w:proofErr w:type="spellEnd"/>
      <w:r w:rsidRPr="004F7FE1">
        <w:t xml:space="preserve"> or the </w:t>
      </w:r>
      <w:proofErr w:type="spellStart"/>
      <w:r w:rsidRPr="004F7FE1">
        <w:t>offeree</w:t>
      </w:r>
      <w:proofErr w:type="spellEnd"/>
      <w:r w:rsidRPr="004F7FE1">
        <w:t xml:space="preserve"> in an acquisition or merger situation.</w:t>
      </w:r>
    </w:p>
    <w:p w:rsidR="000B5A62" w:rsidRDefault="000B5A62" w:rsidP="00860878">
      <w:pPr>
        <w:keepNext/>
      </w:pPr>
    </w:p>
    <w:p w:rsidR="003921E5" w:rsidRDefault="003921E5" w:rsidP="00860878">
      <w:pPr>
        <w:keepNext/>
      </w:pPr>
      <w:r>
        <w:t>Furthermore, w</w:t>
      </w:r>
      <w:r w:rsidRPr="003921E5">
        <w:t xml:space="preserve">e also believe events that are specific to one or </w:t>
      </w:r>
      <w:r>
        <w:t>more</w:t>
      </w:r>
      <w:r w:rsidRPr="003921E5">
        <w:t xml:space="preserve"> stocks should also be included as an event should not have to affect all financial instruments on the market in order to be deemed exceptional circumstances</w:t>
      </w:r>
      <w:r>
        <w:t>. Therefore Article 5(2</w:t>
      </w:r>
      <w:proofErr w:type="gramStart"/>
      <w:r>
        <w:t>)(</w:t>
      </w:r>
      <w:proofErr w:type="gramEnd"/>
      <w:r>
        <w:t>a) should be amended to read:</w:t>
      </w:r>
    </w:p>
    <w:p w:rsidR="003921E5" w:rsidRPr="003921E5" w:rsidRDefault="003921E5" w:rsidP="00F51125">
      <w:pPr>
        <w:pStyle w:val="ListParagraph"/>
        <w:rPr>
          <w:lang w:val="en-US"/>
        </w:rPr>
      </w:pPr>
      <w:r w:rsidRPr="00B222EB">
        <w:rPr>
          <w:lang w:val="en-US"/>
        </w:rPr>
        <w:t xml:space="preserve">Circumstances of extreme volatility, leading to </w:t>
      </w:r>
      <w:r w:rsidRPr="003921E5">
        <w:rPr>
          <w:b/>
          <w:i/>
          <w:color w:val="FF0000"/>
          <w:lang w:val="en-US"/>
        </w:rPr>
        <w:t>but not limited to</w:t>
      </w:r>
      <w:r w:rsidRPr="003921E5">
        <w:rPr>
          <w:color w:val="FF0000"/>
          <w:lang w:val="en-US"/>
        </w:rPr>
        <w:t xml:space="preserve"> </w:t>
      </w:r>
      <w:r w:rsidRPr="00B222EB">
        <w:rPr>
          <w:lang w:val="en-US"/>
        </w:rPr>
        <w:t xml:space="preserve">an interruption of trading with respect </w:t>
      </w:r>
      <w:r w:rsidRPr="003921E5">
        <w:rPr>
          <w:b/>
          <w:i/>
          <w:color w:val="FF0000"/>
          <w:lang w:val="en-US"/>
        </w:rPr>
        <w:t xml:space="preserve">to </w:t>
      </w:r>
      <w:r w:rsidRPr="003921E5">
        <w:rPr>
          <w:b/>
          <w:i/>
          <w:strike/>
          <w:color w:val="FF0000"/>
          <w:lang w:val="en-US"/>
        </w:rPr>
        <w:t>all</w:t>
      </w:r>
      <w:r w:rsidRPr="003921E5">
        <w:rPr>
          <w:b/>
          <w:i/>
          <w:color w:val="FF0000"/>
          <w:lang w:val="en-US"/>
        </w:rPr>
        <w:t xml:space="preserve"> an instrument</w:t>
      </w:r>
      <w:r w:rsidRPr="003921E5">
        <w:rPr>
          <w:b/>
          <w:i/>
          <w:strike/>
          <w:color w:val="FF0000"/>
          <w:lang w:val="en-US"/>
        </w:rPr>
        <w:t>s</w:t>
      </w:r>
      <w:r w:rsidRPr="003921E5">
        <w:rPr>
          <w:color w:val="FF0000"/>
          <w:lang w:val="en-US"/>
        </w:rPr>
        <w:t xml:space="preserve"> </w:t>
      </w:r>
      <w:r w:rsidRPr="00B222EB">
        <w:rPr>
          <w:lang w:val="en-US"/>
        </w:rPr>
        <w:t>traded on that venue;</w:t>
      </w:r>
    </w:p>
    <w:p w:rsidR="003921E5" w:rsidRDefault="003921E5" w:rsidP="00860878">
      <w:pPr>
        <w:keepNext/>
      </w:pPr>
    </w:p>
    <w:p w:rsidR="00906D95" w:rsidRPr="002309BE" w:rsidRDefault="00906D95" w:rsidP="00860878">
      <w:pPr>
        <w:keepNext/>
      </w:pPr>
      <w:r w:rsidRPr="002309BE">
        <w:t>F</w:t>
      </w:r>
      <w:r w:rsidR="0040653C" w:rsidRPr="002309BE">
        <w:t>urthermore, we are of the view that this list should be a non-exhaustive list in order to provide trading venues with some flexibility in determining when such a situation has arisen on their markets.</w:t>
      </w:r>
    </w:p>
    <w:permEnd w:id="6317489"/>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243D6E" w:rsidRDefault="005937A0" w:rsidP="00EC2C93">
      <w:pPr>
        <w:keepNext/>
      </w:pPr>
      <w:permStart w:id="1776683534" w:edGrp="everyone"/>
      <w:r>
        <w:t xml:space="preserve">In order for a market making scheme to be fair and non-discriminatory it should </w:t>
      </w:r>
      <w:r w:rsidR="00987B3A">
        <w:t>ensure that it is accessible to as many firms as possible, as is for</w:t>
      </w:r>
      <w:r w:rsidR="00A341ED">
        <w:t>e</w:t>
      </w:r>
      <w:r w:rsidR="00987B3A">
        <w:t xml:space="preserve">seen in Article 48(2)(b). To achieve this, incentives should be appropriate to the market, equally available to all members meeting the relevant criteria, and not </w:t>
      </w:r>
      <w:r w:rsidR="00017ECE">
        <w:t>lead</w:t>
      </w:r>
      <w:r w:rsidR="00987B3A">
        <w:t xml:space="preserve"> members to compromise their risk management practices. Therefore the proposals under Article 9 to require the trading venues to set different </w:t>
      </w:r>
      <w:r w:rsidR="00987B3A">
        <w:lastRenderedPageBreak/>
        <w:t xml:space="preserve">incentives for different </w:t>
      </w:r>
      <w:proofErr w:type="gramStart"/>
      <w:r w:rsidR="00987B3A">
        <w:t>members,</w:t>
      </w:r>
      <w:proofErr w:type="gramEnd"/>
      <w:r w:rsidR="00987B3A">
        <w:t xml:space="preserve"> and to incentivise presence of members under stressed conditions must be removed.</w:t>
      </w:r>
      <w:r w:rsidR="00112EC3">
        <w:t xml:space="preserve"> As different firms have different risk management processes, depending on their size, business activities </w:t>
      </w:r>
      <w:r w:rsidR="00A341ED">
        <w:t>etc.</w:t>
      </w:r>
      <w:r w:rsidR="00BF3345">
        <w:t xml:space="preserve">, such an </w:t>
      </w:r>
      <w:proofErr w:type="spellStart"/>
      <w:r w:rsidR="00BF3345">
        <w:t>incentivis</w:t>
      </w:r>
      <w:r w:rsidR="00112EC3">
        <w:t>ation</w:t>
      </w:r>
      <w:proofErr w:type="spellEnd"/>
      <w:r w:rsidR="00112EC3">
        <w:t xml:space="preserve"> would be unfair and discriminate against certain members.</w:t>
      </w:r>
    </w:p>
    <w:p w:rsidR="00243D6E" w:rsidRDefault="00243D6E" w:rsidP="00EC2C93">
      <w:pPr>
        <w:keepNext/>
      </w:pPr>
    </w:p>
    <w:p w:rsidR="00243D6E" w:rsidRPr="005A506F" w:rsidRDefault="00243D6E" w:rsidP="00243D6E">
      <w:pPr>
        <w:spacing w:line="240" w:lineRule="auto"/>
        <w:rPr>
          <w:rFonts w:ascii="Arial" w:hAnsi="Arial" w:cs="Arial"/>
          <w:szCs w:val="22"/>
          <w:lang w:val="en-US"/>
        </w:rPr>
      </w:pPr>
      <w:r>
        <w:rPr>
          <w:rFonts w:ascii="Arial" w:hAnsi="Arial" w:cs="Arial"/>
          <w:szCs w:val="22"/>
          <w:lang w:val="en-US"/>
        </w:rPr>
        <w:t xml:space="preserve">We would also like to suggest that ‘volume’ is also added to the list of definitions and included in the criteria for assessing market making contribution. </w:t>
      </w:r>
      <w:r w:rsidRPr="005A506F">
        <w:rPr>
          <w:rFonts w:ascii="Arial" w:hAnsi="Arial" w:cs="Arial"/>
          <w:szCs w:val="22"/>
          <w:lang w:val="en-US"/>
        </w:rPr>
        <w:t xml:space="preserve">Adding volume to the dimensions of effective liquidity contribution would further ensure </w:t>
      </w:r>
      <w:r w:rsidRPr="003C2817">
        <w:rPr>
          <w:rFonts w:ascii="Arial" w:hAnsi="Arial" w:cs="Arial"/>
          <w:szCs w:val="22"/>
          <w:lang w:val="en-US"/>
        </w:rPr>
        <w:t xml:space="preserve">proportionality of incentives </w:t>
      </w:r>
      <w:r w:rsidR="006D0D7D">
        <w:rPr>
          <w:rFonts w:ascii="Arial" w:hAnsi="Arial" w:cs="Arial"/>
          <w:szCs w:val="22"/>
          <w:lang w:val="en-US"/>
        </w:rPr>
        <w:t>under Article 9</w:t>
      </w:r>
      <w:r>
        <w:rPr>
          <w:rFonts w:ascii="Arial" w:hAnsi="Arial" w:cs="Arial"/>
          <w:szCs w:val="22"/>
          <w:lang w:val="en-US"/>
        </w:rPr>
        <w:t>(</w:t>
      </w:r>
      <w:r w:rsidRPr="005A506F">
        <w:rPr>
          <w:rFonts w:ascii="Arial" w:hAnsi="Arial" w:cs="Arial"/>
          <w:szCs w:val="22"/>
          <w:lang w:val="en-US"/>
        </w:rPr>
        <w:t>5</w:t>
      </w:r>
      <w:r>
        <w:rPr>
          <w:rFonts w:ascii="Arial" w:hAnsi="Arial" w:cs="Arial"/>
          <w:szCs w:val="22"/>
          <w:lang w:val="en-US"/>
        </w:rPr>
        <w:t>)</w:t>
      </w:r>
      <w:r w:rsidRPr="005A506F">
        <w:rPr>
          <w:rFonts w:ascii="Arial" w:hAnsi="Arial" w:cs="Arial"/>
          <w:szCs w:val="22"/>
          <w:lang w:val="en-US"/>
        </w:rPr>
        <w:t>, as liquidity contributed by m</w:t>
      </w:r>
      <w:r>
        <w:rPr>
          <w:rFonts w:ascii="Arial" w:hAnsi="Arial" w:cs="Arial"/>
          <w:szCs w:val="22"/>
          <w:lang w:val="en-US"/>
        </w:rPr>
        <w:t>arket maker quotes at best lead to trade executions that are</w:t>
      </w:r>
      <w:r w:rsidRPr="005A506F">
        <w:rPr>
          <w:rFonts w:ascii="Arial" w:hAnsi="Arial" w:cs="Arial"/>
          <w:szCs w:val="22"/>
          <w:lang w:val="en-US"/>
        </w:rPr>
        <w:t xml:space="preserve"> reflected in traded volume. </w:t>
      </w:r>
      <w:r>
        <w:rPr>
          <w:rFonts w:ascii="Arial" w:hAnsi="Arial" w:cs="Arial"/>
          <w:szCs w:val="22"/>
          <w:lang w:val="en-US"/>
        </w:rPr>
        <w:t xml:space="preserve">Therefore </w:t>
      </w:r>
      <w:r>
        <w:t>the following amendment should be made to the RTS:</w:t>
      </w:r>
    </w:p>
    <w:p w:rsidR="00243D6E" w:rsidRPr="005A506F" w:rsidRDefault="006D0D7D" w:rsidP="00243D6E">
      <w:pPr>
        <w:pStyle w:val="Default"/>
        <w:jc w:val="both"/>
        <w:rPr>
          <w:color w:val="auto"/>
          <w:sz w:val="22"/>
          <w:szCs w:val="22"/>
        </w:rPr>
      </w:pPr>
      <w:r>
        <w:rPr>
          <w:color w:val="auto"/>
          <w:sz w:val="22"/>
          <w:szCs w:val="22"/>
        </w:rPr>
        <w:t>Article 9</w:t>
      </w:r>
      <w:r w:rsidR="00243D6E">
        <w:rPr>
          <w:color w:val="auto"/>
          <w:sz w:val="22"/>
          <w:szCs w:val="22"/>
        </w:rPr>
        <w:t>(</w:t>
      </w:r>
      <w:r w:rsidR="00243D6E" w:rsidRPr="005A506F">
        <w:rPr>
          <w:color w:val="auto"/>
          <w:sz w:val="22"/>
          <w:szCs w:val="22"/>
        </w:rPr>
        <w:t>5</w:t>
      </w:r>
      <w:r w:rsidR="00243D6E">
        <w:rPr>
          <w:color w:val="auto"/>
          <w:sz w:val="22"/>
          <w:szCs w:val="22"/>
        </w:rPr>
        <w:t>)</w:t>
      </w:r>
      <w:r w:rsidR="00243D6E" w:rsidRPr="005A506F">
        <w:rPr>
          <w:color w:val="auto"/>
          <w:sz w:val="22"/>
          <w:szCs w:val="22"/>
        </w:rPr>
        <w:t xml:space="preserve"> “The incentives offered under the market making scheme have to be </w:t>
      </w:r>
      <w:r w:rsidR="00243D6E" w:rsidRPr="00E04661">
        <w:rPr>
          <w:strike/>
          <w:color w:val="auto"/>
          <w:sz w:val="22"/>
          <w:szCs w:val="22"/>
        </w:rPr>
        <w:t>proportionate</w:t>
      </w:r>
      <w:r w:rsidR="00243D6E">
        <w:rPr>
          <w:color w:val="auto"/>
          <w:sz w:val="22"/>
          <w:szCs w:val="22"/>
        </w:rPr>
        <w:t xml:space="preserve"> </w:t>
      </w:r>
      <w:r w:rsidR="00243D6E" w:rsidRPr="006D0D7D">
        <w:rPr>
          <w:b/>
          <w:color w:val="FF0000"/>
          <w:sz w:val="22"/>
          <w:szCs w:val="22"/>
        </w:rPr>
        <w:t>appropriate</w:t>
      </w:r>
      <w:r w:rsidR="00243D6E" w:rsidRPr="005A506F">
        <w:rPr>
          <w:color w:val="auto"/>
          <w:sz w:val="22"/>
          <w:szCs w:val="22"/>
        </w:rPr>
        <w:t xml:space="preserve"> to the effective contribution to the liquidity in the trading venue measured in terms of </w:t>
      </w:r>
      <w:r w:rsidR="00243D6E" w:rsidRPr="005A506F">
        <w:rPr>
          <w:b/>
          <w:i/>
          <w:color w:val="auto"/>
          <w:sz w:val="22"/>
          <w:szCs w:val="22"/>
        </w:rPr>
        <w:t>volume</w:t>
      </w:r>
      <w:r w:rsidR="00243D6E" w:rsidRPr="005A506F">
        <w:rPr>
          <w:color w:val="auto"/>
          <w:sz w:val="22"/>
          <w:szCs w:val="22"/>
        </w:rPr>
        <w:t>, presence, size and spread.</w:t>
      </w:r>
      <w:r w:rsidR="00243D6E">
        <w:rPr>
          <w:color w:val="auto"/>
          <w:sz w:val="22"/>
          <w:szCs w:val="22"/>
        </w:rPr>
        <w:t>”</w:t>
      </w:r>
      <w:r w:rsidR="00243D6E" w:rsidRPr="005A506F">
        <w:rPr>
          <w:color w:val="auto"/>
          <w:sz w:val="22"/>
          <w:szCs w:val="22"/>
        </w:rPr>
        <w:t xml:space="preserve"> </w:t>
      </w:r>
      <w:r w:rsidR="00243D6E" w:rsidRPr="00E04661">
        <w:rPr>
          <w:strike/>
          <w:color w:val="auto"/>
          <w:sz w:val="22"/>
          <w:szCs w:val="22"/>
        </w:rPr>
        <w:t>In particular, those incentives shall promote the presence of members engaged in market making agreements in case of stressed market conditions.”</w:t>
      </w:r>
      <w:r w:rsidR="00243D6E" w:rsidRPr="005A506F">
        <w:rPr>
          <w:color w:val="auto"/>
          <w:sz w:val="22"/>
          <w:szCs w:val="22"/>
        </w:rPr>
        <w:t xml:space="preserve"> </w:t>
      </w:r>
      <w:r w:rsidR="001977EA">
        <w:rPr>
          <w:color w:val="auto"/>
          <w:sz w:val="22"/>
          <w:szCs w:val="22"/>
        </w:rPr>
        <w:t xml:space="preserve"> </w:t>
      </w:r>
      <w:r w:rsidR="001977EA" w:rsidRPr="001977EA">
        <w:rPr>
          <w:i/>
          <w:color w:val="auto"/>
          <w:sz w:val="22"/>
          <w:szCs w:val="22"/>
        </w:rPr>
        <w:t>(</w:t>
      </w:r>
      <w:proofErr w:type="gramStart"/>
      <w:r w:rsidR="001977EA" w:rsidRPr="001977EA">
        <w:rPr>
          <w:i/>
          <w:color w:val="auto"/>
          <w:sz w:val="22"/>
          <w:szCs w:val="22"/>
        </w:rPr>
        <w:t>second</w:t>
      </w:r>
      <w:proofErr w:type="gramEnd"/>
      <w:r w:rsidR="001977EA" w:rsidRPr="001977EA">
        <w:rPr>
          <w:i/>
          <w:color w:val="auto"/>
          <w:sz w:val="22"/>
          <w:szCs w:val="22"/>
        </w:rPr>
        <w:t xml:space="preserve"> sentence to be deleted as per our response to Q104)</w:t>
      </w:r>
    </w:p>
    <w:p w:rsidR="008D3798" w:rsidRDefault="00987B3A" w:rsidP="00EC2C93">
      <w:pPr>
        <w:keepNext/>
      </w:pPr>
      <w:r>
        <w:t xml:space="preserve"> </w:t>
      </w:r>
    </w:p>
    <w:permEnd w:id="1776683534"/>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7C2FAF" w:rsidRPr="005A506F" w:rsidRDefault="00E66752" w:rsidP="007C2FAF">
      <w:pPr>
        <w:keepNext/>
        <w:spacing w:line="240" w:lineRule="auto"/>
        <w:rPr>
          <w:rFonts w:ascii="Arial" w:hAnsi="Arial" w:cs="Arial"/>
          <w:bCs/>
          <w:szCs w:val="22"/>
        </w:rPr>
      </w:pPr>
      <w:permStart w:id="826112779" w:edGrp="everyone"/>
      <w:r>
        <w:t>In general the ISE agrees with the proposed regulatory technical standards, and in particular welcome the clarity provided by ESMA. We also welcome the flexible approach which allows a trading venue to determine the ratio at a financial instrument level and enables the establishment of derogatory arrangements for firms engaged in market making agreements.</w:t>
      </w:r>
      <w:r w:rsidR="007C2FAF">
        <w:t xml:space="preserve"> In particular, </w:t>
      </w:r>
      <w:r w:rsidR="007C2FAF">
        <w:rPr>
          <w:rFonts w:ascii="Arial" w:hAnsi="Arial" w:cs="Arial"/>
          <w:szCs w:val="22"/>
        </w:rPr>
        <w:t xml:space="preserve">for </w:t>
      </w:r>
      <w:r w:rsidR="007C2FAF" w:rsidRPr="005A506F">
        <w:rPr>
          <w:rFonts w:ascii="Arial" w:hAnsi="Arial" w:cs="Arial"/>
          <w:szCs w:val="22"/>
        </w:rPr>
        <w:t>market mak</w:t>
      </w:r>
      <w:r w:rsidR="007C2FAF">
        <w:rPr>
          <w:rFonts w:ascii="Arial" w:hAnsi="Arial" w:cs="Arial"/>
          <w:szCs w:val="22"/>
        </w:rPr>
        <w:t>ers</w:t>
      </w:r>
      <w:r w:rsidR="007C2FAF" w:rsidRPr="005A506F">
        <w:rPr>
          <w:rFonts w:ascii="Arial" w:hAnsi="Arial" w:cs="Arial"/>
          <w:szCs w:val="22"/>
        </w:rPr>
        <w:t xml:space="preserve"> in illiquid products it cannot be guaranteed that quoting activity will always lead to transactions</w:t>
      </w:r>
      <w:r w:rsidR="007C2FAF" w:rsidRPr="005A506F">
        <w:rPr>
          <w:rFonts w:ascii="Arial" w:hAnsi="Arial" w:cs="Arial"/>
          <w:bCs/>
          <w:szCs w:val="22"/>
        </w:rPr>
        <w:t xml:space="preserve">. </w:t>
      </w:r>
      <w:r w:rsidR="007C2FAF">
        <w:rPr>
          <w:rFonts w:ascii="Arial" w:hAnsi="Arial" w:cs="Arial"/>
          <w:bCs/>
          <w:szCs w:val="22"/>
        </w:rPr>
        <w:t>However the provision of liquidity in these instruments is critical for their growth.</w:t>
      </w:r>
    </w:p>
    <w:p w:rsidR="00577C33" w:rsidRDefault="00577C33" w:rsidP="00EC2C93">
      <w:pPr>
        <w:keepNext/>
      </w:pPr>
    </w:p>
    <w:p w:rsidR="00566EE2" w:rsidRDefault="00566EE2" w:rsidP="00566EE2">
      <w:pPr>
        <w:keepNext/>
        <w:spacing w:line="240" w:lineRule="auto"/>
        <w:rPr>
          <w:rFonts w:ascii="Arial" w:hAnsi="Arial" w:cs="Arial"/>
          <w:szCs w:val="22"/>
        </w:rPr>
      </w:pPr>
      <w:r>
        <w:rPr>
          <w:rFonts w:ascii="Arial" w:hAnsi="Arial" w:cs="Arial"/>
          <w:szCs w:val="22"/>
        </w:rPr>
        <w:t>However we disagree</w:t>
      </w:r>
      <w:r w:rsidRPr="005A506F">
        <w:rPr>
          <w:rFonts w:ascii="Arial" w:hAnsi="Arial" w:cs="Arial"/>
          <w:szCs w:val="22"/>
        </w:rPr>
        <w:t xml:space="preserve"> with a methodology</w:t>
      </w:r>
      <w:r w:rsidR="008A01F6">
        <w:rPr>
          <w:rFonts w:ascii="Arial" w:hAnsi="Arial" w:cs="Arial"/>
          <w:szCs w:val="22"/>
        </w:rPr>
        <w:t xml:space="preserve"> dependent on the previous year’s activity</w:t>
      </w:r>
      <w:r w:rsidRPr="005A506F">
        <w:rPr>
          <w:rFonts w:ascii="Arial" w:hAnsi="Arial" w:cs="Arial"/>
          <w:szCs w:val="22"/>
        </w:rPr>
        <w:t xml:space="preserve">, </w:t>
      </w:r>
      <w:r w:rsidR="008A01F6">
        <w:rPr>
          <w:rFonts w:ascii="Arial" w:hAnsi="Arial" w:cs="Arial"/>
          <w:szCs w:val="22"/>
        </w:rPr>
        <w:t>the link to the tick size regime</w:t>
      </w:r>
      <w:r w:rsidRPr="005A506F">
        <w:rPr>
          <w:rFonts w:ascii="Arial" w:hAnsi="Arial" w:cs="Arial"/>
          <w:szCs w:val="22"/>
        </w:rPr>
        <w:t xml:space="preserve">, </w:t>
      </w:r>
      <w:r>
        <w:rPr>
          <w:rFonts w:ascii="Arial" w:hAnsi="Arial" w:cs="Arial"/>
          <w:szCs w:val="22"/>
        </w:rPr>
        <w:t>and</w:t>
      </w:r>
      <w:r w:rsidR="008A01F6">
        <w:rPr>
          <w:rFonts w:ascii="Arial" w:hAnsi="Arial" w:cs="Arial"/>
          <w:szCs w:val="22"/>
        </w:rPr>
        <w:t xml:space="preserve"> the absence of a</w:t>
      </w:r>
      <w:r w:rsidR="008A01F6" w:rsidRPr="005A506F">
        <w:rPr>
          <w:rFonts w:ascii="Arial" w:hAnsi="Arial" w:cs="Arial"/>
          <w:szCs w:val="22"/>
        </w:rPr>
        <w:t xml:space="preserve"> floor</w:t>
      </w:r>
      <w:r w:rsidRPr="005A506F">
        <w:rPr>
          <w:rFonts w:ascii="Arial" w:hAnsi="Arial" w:cs="Arial"/>
          <w:szCs w:val="22"/>
        </w:rPr>
        <w:t>.</w:t>
      </w:r>
      <w:r>
        <w:rPr>
          <w:rFonts w:ascii="Arial" w:hAnsi="Arial" w:cs="Arial"/>
          <w:szCs w:val="22"/>
        </w:rPr>
        <w:t xml:space="preserve"> More specifically:</w:t>
      </w:r>
    </w:p>
    <w:p w:rsidR="00D2695A" w:rsidRDefault="00D2695A" w:rsidP="00F51125">
      <w:pPr>
        <w:pStyle w:val="ListParagraph"/>
      </w:pPr>
      <w:r>
        <w:t xml:space="preserve">We believe that deriving the max ratio from the previous year’s activity could lead to </w:t>
      </w:r>
      <w:r w:rsidRPr="00D2695A">
        <w:t xml:space="preserve">a downward-spiralling effect </w:t>
      </w:r>
      <w:r w:rsidR="00333420">
        <w:t xml:space="preserve">which </w:t>
      </w:r>
      <w:r w:rsidRPr="00D2695A">
        <w:t xml:space="preserve">would occur </w:t>
      </w:r>
      <w:r w:rsidR="006C3550">
        <w:t>when</w:t>
      </w:r>
      <w:r w:rsidRPr="00D2695A">
        <w:t xml:space="preserve"> the max ratio would not take into account other parameters. For instance, introducing a max ratio by taking a value of the previous year “t-1” would lead to the situation that all market participants would reduce their ratios in order to obey the max ratio in a current year “t”. Hence, the ratio for the upcoming year t+1 would be calculated by those lower ratios of “t” and the new max ratio t+1 would be lower than the ratio of the current year “t”. As a result the ratios would decrease yearly which would severely and seriously affect the well-functioning of markets.</w:t>
      </w:r>
      <w:r>
        <w:t xml:space="preserve"> However i</w:t>
      </w:r>
      <w:r w:rsidRPr="00D2695A">
        <w:t xml:space="preserve">f the max ratio </w:t>
      </w:r>
      <w:r>
        <w:t>is</w:t>
      </w:r>
      <w:r w:rsidRPr="00D2695A">
        <w:t xml:space="preserve"> calculated by taking the maximum ratio of a participant of the previous year, this limit would often be set to a value that is very high </w:t>
      </w:r>
      <w:r>
        <w:t>and hence considered an outlier</w:t>
      </w:r>
      <w:r w:rsidRPr="00D2695A">
        <w:t xml:space="preserve">. Hence, the determination of the max ratio </w:t>
      </w:r>
      <w:r>
        <w:t>would be</w:t>
      </w:r>
      <w:r w:rsidRPr="00D2695A">
        <w:t xml:space="preserve"> calculated based across all members’ activity and not based on the most extreme outliers.</w:t>
      </w:r>
    </w:p>
    <w:p w:rsidR="00D2695A" w:rsidRPr="00D2695A" w:rsidRDefault="00D2695A" w:rsidP="00F51125">
      <w:pPr>
        <w:pStyle w:val="ListParagraph"/>
        <w:rPr>
          <w:rFonts w:ascii="Arial" w:hAnsi="Arial" w:cs="Arial"/>
          <w:strike/>
          <w:szCs w:val="22"/>
        </w:rPr>
      </w:pPr>
      <w:r>
        <w:rPr>
          <w:lang w:val="en-US"/>
        </w:rPr>
        <w:t>We do</w:t>
      </w:r>
      <w:r w:rsidRPr="00FD1F7F">
        <w:rPr>
          <w:lang w:val="en-US"/>
        </w:rPr>
        <w:t xml:space="preserve"> not agree with the grouping</w:t>
      </w:r>
      <w:r>
        <w:rPr>
          <w:lang w:val="en-US"/>
        </w:rPr>
        <w:t xml:space="preserve"> o</w:t>
      </w:r>
      <w:r w:rsidR="006C3550">
        <w:rPr>
          <w:lang w:val="en-US"/>
        </w:rPr>
        <w:t>f</w:t>
      </w:r>
      <w:r>
        <w:rPr>
          <w:lang w:val="en-US"/>
        </w:rPr>
        <w:t xml:space="preserve"> equities</w:t>
      </w:r>
      <w:r w:rsidRPr="00FD1F7F">
        <w:rPr>
          <w:lang w:val="en-US"/>
        </w:rPr>
        <w:t xml:space="preserve"> per tick size band as this would link the ratio regime with the tick size regime. The tick size parameters price and average dai</w:t>
      </w:r>
      <w:r w:rsidR="006C3550">
        <w:rPr>
          <w:lang w:val="en-US"/>
        </w:rPr>
        <w:t>ly trades are then the drivers f</w:t>
      </w:r>
      <w:r w:rsidRPr="00FD1F7F">
        <w:rPr>
          <w:lang w:val="en-US"/>
        </w:rPr>
        <w:t>o</w:t>
      </w:r>
      <w:r w:rsidR="006C3550">
        <w:rPr>
          <w:lang w:val="en-US"/>
        </w:rPr>
        <w:t>r</w:t>
      </w:r>
      <w:r w:rsidRPr="00FD1F7F">
        <w:rPr>
          <w:lang w:val="en-US"/>
        </w:rPr>
        <w:t xml:space="preserve"> changes to the ratio regime. As the goals of the ratio regime are market integrity and system stability, the price level has no influence on the goals of the ratio regime or the parameters of it. Furthermore, the second tick </w:t>
      </w:r>
      <w:r w:rsidRPr="00FD1F7F">
        <w:rPr>
          <w:lang w:val="en-US"/>
        </w:rPr>
        <w:lastRenderedPageBreak/>
        <w:t>size parameter is average daily trades; a link between the regimes would be redundant as the ratio regime considers trades in a volume perspective as well as in a number perspective. Those parameters, as additional influence to the parameters of the ratio regime, might lead to unnecessary noise. Furthermore, the linkage might lead to frequent and surprising changes in the max ratios as the tick size will change on a more frequent and surprising basis whenever the price of the instrument reaches another</w:t>
      </w:r>
      <w:r w:rsidR="006C3550">
        <w:rPr>
          <w:lang w:val="en-US"/>
        </w:rPr>
        <w:t xml:space="preserve"> level</w:t>
      </w:r>
      <w:r w:rsidRPr="00FD1F7F">
        <w:rPr>
          <w:lang w:val="en-US"/>
        </w:rPr>
        <w:t xml:space="preserve">. </w:t>
      </w:r>
    </w:p>
    <w:p w:rsidR="00566EE2" w:rsidRPr="00606B0F" w:rsidRDefault="00D2695A" w:rsidP="00B66B31">
      <w:pPr>
        <w:pStyle w:val="ListParagraph"/>
        <w:rPr>
          <w:strike/>
        </w:rPr>
      </w:pPr>
      <w:r w:rsidRPr="00D2695A">
        <w:t xml:space="preserve">We do not agree with ESMA’s suggestion to </w:t>
      </w:r>
      <w:r w:rsidR="00606B0F">
        <w:t>not include a</w:t>
      </w:r>
      <w:r w:rsidRPr="00D2695A">
        <w:t xml:space="preserve"> floor.</w:t>
      </w:r>
      <w:r w:rsidR="00606B0F">
        <w:t xml:space="preserve"> </w:t>
      </w:r>
      <w:r w:rsidRPr="00D2695A">
        <w:t xml:space="preserve">We strongly recommend the introduction of a floor as </w:t>
      </w:r>
      <w:r w:rsidR="008B72BD">
        <w:t>it</w:t>
      </w:r>
      <w:r w:rsidRPr="00D2695A">
        <w:t xml:space="preserve"> is necessary to account for illiquid instruments. We propose the floor determination shall be up to the venue and in accordance with the liquidity of the instruments traded</w:t>
      </w:r>
      <w:r w:rsidR="00F56CB4">
        <w:t xml:space="preserve">. </w:t>
      </w:r>
      <w:r w:rsidR="00F56CB4" w:rsidRPr="00F56CB4">
        <w:t>The ratio needs to distinguish between participant types by using different fl</w:t>
      </w:r>
      <w:r w:rsidR="008B72BD">
        <w:t>oors,</w:t>
      </w:r>
      <w:r w:rsidR="00F56CB4" w:rsidRPr="00F56CB4">
        <w:t xml:space="preserve"> e.g. market making or regular participant, where the market makers shall get a higher floor.</w:t>
      </w:r>
    </w:p>
    <w:p w:rsidR="00566EE2" w:rsidRDefault="00566EE2" w:rsidP="00EC2C93">
      <w:pPr>
        <w:keepNext/>
      </w:pPr>
    </w:p>
    <w:permEnd w:id="826112779"/>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BE6490" w:rsidP="00EC2C93">
      <w:pPr>
        <w:keepNext/>
      </w:pPr>
      <w:permStart w:id="1796941949" w:edGrp="everyone"/>
      <w:r>
        <w:t>W</w:t>
      </w:r>
      <w:r w:rsidR="00D837BB">
        <w:t>e believe</w:t>
      </w:r>
      <w:r>
        <w:t xml:space="preserve"> that modifications </w:t>
      </w:r>
      <w:r w:rsidR="00D837BB">
        <w:t xml:space="preserve">should be counted as one (unless the firm is actually </w:t>
      </w:r>
      <w:r w:rsidR="004B1770">
        <w:t>d</w:t>
      </w:r>
      <w:r w:rsidR="00D837BB">
        <w:t>eleting the order and entering a completely new order rather than using the modification functio</w:t>
      </w:r>
      <w:r w:rsidR="004B1770">
        <w:t>nality provided by the system), and in fact that all order types should be counted as one</w:t>
      </w:r>
      <w:r w:rsidR="00D837BB">
        <w:t>.</w:t>
      </w:r>
    </w:p>
    <w:permEnd w:id="179694194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0A626F" w:rsidP="00EC2C93">
      <w:pPr>
        <w:keepNext/>
      </w:pPr>
      <w:permStart w:id="139217774" w:edGrp="everyone"/>
      <w:r>
        <w:t>Yes, we believe it is sufficiently precise.</w:t>
      </w:r>
    </w:p>
    <w:permEnd w:id="13921777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0A626F" w:rsidP="00EC2C93">
      <w:pPr>
        <w:keepNext/>
      </w:pPr>
      <w:permStart w:id="723416322" w:edGrp="everyone"/>
      <w:r>
        <w:t>No, we do not believe any further clarification is needed.</w:t>
      </w:r>
    </w:p>
    <w:permEnd w:id="723416322"/>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602825" w:rsidP="00EC2C93">
      <w:pPr>
        <w:keepNext/>
      </w:pPr>
      <w:permStart w:id="225732074" w:edGrp="everyone"/>
      <w:r>
        <w:t>Yes, we believe that once a year should be sufficient, however the trading venue should have the ability to determine it on a more frequent basis if necessary to take into account significant changes in the trading environment.</w:t>
      </w:r>
    </w:p>
    <w:permEnd w:id="22573207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lastRenderedPageBreak/>
        <w:t>&lt;ESMA_QUESTION_CP_MIFID_114&gt;</w:t>
      </w:r>
    </w:p>
    <w:p w:rsidR="00577C33" w:rsidRDefault="00C67DDB" w:rsidP="00EC2C93">
      <w:pPr>
        <w:keepNext/>
      </w:pPr>
      <w:permStart w:id="377765865" w:edGrp="everyone"/>
      <w:r>
        <w:t>We agree that auctions should be included, however p</w:t>
      </w:r>
      <w:r w:rsidR="00255F4E">
        <w:t>re- and post-trading phases should be excluded since no execution can take place during those phases.</w:t>
      </w:r>
    </w:p>
    <w:permEnd w:id="37776586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D2158B" w:rsidP="00EC2C93">
      <w:pPr>
        <w:keepNext/>
      </w:pPr>
      <w:permStart w:id="2033680058" w:edGrp="everyone"/>
      <w:r>
        <w:t>Yes, we agree.</w:t>
      </w:r>
    </w:p>
    <w:permEnd w:id="203368005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AA7272" w:rsidRDefault="00AA6433" w:rsidP="00EC2C93">
      <w:pPr>
        <w:keepNext/>
      </w:pPr>
      <w:permStart w:id="1715109058" w:edGrp="everyone"/>
      <w:r>
        <w:t>We</w:t>
      </w:r>
      <w:r w:rsidR="00D067CE">
        <w:t xml:space="preserve"> support ESMA’s view (in paragraph 5 of the CP) that other types of users such as IT providers should also be able to gain equal access to co-</w:t>
      </w:r>
      <w:r w:rsidR="00AA7272">
        <w:t>location services. We consider this</w:t>
      </w:r>
      <w:r w:rsidR="00AA7272" w:rsidRPr="00AA7272">
        <w:t xml:space="preserve"> non-discriminatory practice in relation to 3rd party service providers is an e</w:t>
      </w:r>
      <w:r w:rsidR="00AA7272">
        <w:t>ssential obligation within the R</w:t>
      </w:r>
      <w:r w:rsidR="00AA7272" w:rsidRPr="00AA7272">
        <w:t>egulation</w:t>
      </w:r>
      <w:r w:rsidR="00AA7272">
        <w:t xml:space="preserve"> in order</w:t>
      </w:r>
      <w:r w:rsidR="00AA7272" w:rsidRPr="00AA7272">
        <w:t xml:space="preserve"> to ensure that those providers offer the</w:t>
      </w:r>
      <w:r w:rsidR="00AA7272">
        <w:t xml:space="preserve"> same non-discriminatory access. However this</w:t>
      </w:r>
      <w:r w:rsidR="00AA7272" w:rsidRPr="00AA7272">
        <w:t xml:space="preserve"> can only be done on a contractual basis, </w:t>
      </w:r>
      <w:r w:rsidR="00AA7272">
        <w:t>and can</w:t>
      </w:r>
      <w:r w:rsidR="00AA7272" w:rsidRPr="00AA7272">
        <w:t xml:space="preserve">not be verified by the venues themselves. </w:t>
      </w:r>
      <w:r w:rsidR="00AA7272">
        <w:t xml:space="preserve">Therefore the responsibility on trading venues should be </w:t>
      </w:r>
      <w:r w:rsidR="00AA7272" w:rsidRPr="00AA7272">
        <w:t>to ensure that 3rd party service providers get the same access and have to fulfil the same obligations as investment firms, who want to directly use co</w:t>
      </w:r>
      <w:r w:rsidR="008B72BD">
        <w:t>-</w:t>
      </w:r>
      <w:r w:rsidR="00AA7272" w:rsidRPr="00AA7272">
        <w:t>location services of venues.</w:t>
      </w:r>
    </w:p>
    <w:p w:rsidR="00AA7272" w:rsidRDefault="00AA7272" w:rsidP="00EC2C93">
      <w:pPr>
        <w:keepNext/>
      </w:pPr>
    </w:p>
    <w:p w:rsidR="00577C33" w:rsidRDefault="00D067CE" w:rsidP="00EC2C93">
      <w:pPr>
        <w:keepNext/>
      </w:pPr>
      <w:r>
        <w:t>Furthermore trading venues should not be forced to an endless expansion of their capacities to cater for further co-location requests.</w:t>
      </w:r>
      <w:r w:rsidR="00AA6433">
        <w:t xml:space="preserve"> </w:t>
      </w:r>
    </w:p>
    <w:permEnd w:id="171510905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051476" w:rsidP="00EC2C93">
      <w:pPr>
        <w:keepNext/>
      </w:pPr>
      <w:permStart w:id="649267691" w:edGrp="everyone"/>
      <w:r>
        <w:t>Yes, in general we agree.</w:t>
      </w:r>
    </w:p>
    <w:permEnd w:id="64926769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081038051" w:edGrp="everyone"/>
      <w:r>
        <w:t>TYPE YOUR TEXT HERE</w:t>
      </w:r>
    </w:p>
    <w:permEnd w:id="108103805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896151018" w:edGrp="everyone"/>
      <w:r>
        <w:t>TYPE YOUR TEXT HERE</w:t>
      </w:r>
    </w:p>
    <w:permEnd w:id="89615101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lastRenderedPageBreak/>
        <w:t>&lt;ESMA_QUESTION_CP_MIFID_120&gt;</w:t>
      </w:r>
    </w:p>
    <w:p w:rsidR="00577C33" w:rsidRDefault="00577C33" w:rsidP="00EC2C93">
      <w:pPr>
        <w:keepNext/>
      </w:pPr>
      <w:permStart w:id="1525570087" w:edGrp="everyone"/>
      <w:r>
        <w:t>TYPE YOUR TEXT HERE</w:t>
      </w:r>
    </w:p>
    <w:permEnd w:id="1525570087"/>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996875894" w:edGrp="everyone"/>
      <w:r>
        <w:t>TYPE YOUR TEXT HERE</w:t>
      </w:r>
    </w:p>
    <w:permEnd w:id="99687589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6031E1" w:rsidP="00EC2C93">
      <w:pPr>
        <w:keepNext/>
      </w:pPr>
      <w:permStart w:id="870334669" w:edGrp="everyone"/>
      <w:r>
        <w:t>W</w:t>
      </w:r>
      <w:r w:rsidR="00406115">
        <w:t xml:space="preserve">e </w:t>
      </w:r>
      <w:r>
        <w:t xml:space="preserve">suggest amending the </w:t>
      </w:r>
      <w:r w:rsidR="00406115">
        <w:t>definition of ‘cliff edge’</w:t>
      </w:r>
      <w:r>
        <w:t xml:space="preserve"> by deleting “in some cases”, as otherwise there will not be enough of a distinction between the definition of ‘cliff edge’ and ‘volume discounts’. Furthermore, we believe that the definition of ‘cliff edge’ should be explicitly included within Article 5 in order to provide complete clarity on the type of activity that is not permitted. </w:t>
      </w:r>
    </w:p>
    <w:permEnd w:id="87033466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D032EA" w:rsidRDefault="00D032EA" w:rsidP="00EC2C93">
      <w:pPr>
        <w:keepNext/>
      </w:pPr>
      <w:permStart w:id="1676238162" w:edGrp="everyone"/>
      <w:r>
        <w:t xml:space="preserve">In relation to the most relevant market in terms of liquidity, we believe that the primary listing market would provide a more consistent approach as it would always be known in advance which securities are under the remit of each competent authority. </w:t>
      </w:r>
      <w:r w:rsidR="002A02EC">
        <w:t>On the other hand</w:t>
      </w:r>
      <w:r>
        <w:t>, using the most relevant market in terms of liquidity will result in a regime that will have periodic changes over time, potentially more so for liquid securities. We would like ESMA to address how this would work in practical terms i.e. should the calculation be first done to identify the most liquid market each year and therefore which securities each competent authority is responsible for, before then publishing the applicable tick sizes?</w:t>
      </w:r>
    </w:p>
    <w:p w:rsidR="00D032EA" w:rsidRDefault="00D032EA" w:rsidP="00EC2C93">
      <w:pPr>
        <w:keepNext/>
      </w:pPr>
    </w:p>
    <w:p w:rsidR="00577C33" w:rsidRDefault="00D032EA" w:rsidP="00EC2C93">
      <w:pPr>
        <w:keepNext/>
      </w:pPr>
      <w:r>
        <w:t>If ESMA ultimately decides that the primary market should be considered, then it is important to ensure that the primary market definition includes circumstances where a security may be dual primary listed. To this end we point to the work that was already done via the FESE tick size approach and th</w:t>
      </w:r>
      <w:r w:rsidR="00426CD4">
        <w:t>e established definition there.</w:t>
      </w:r>
    </w:p>
    <w:permEnd w:id="167623816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lastRenderedPageBreak/>
        <w:t>&lt;ESMA_QUESTION_CP_MIFID_124&gt;</w:t>
      </w:r>
    </w:p>
    <w:p w:rsidR="00577C33" w:rsidRDefault="005C33C3" w:rsidP="00EC2C93">
      <w:pPr>
        <w:keepNext/>
      </w:pPr>
      <w:permStart w:id="652947876" w:edGrp="everyone"/>
      <w:r>
        <w:t>Please note that our comments are specifically in relation to the shares traded on the ISE</w:t>
      </w:r>
      <w:r w:rsidR="00D92036">
        <w:t xml:space="preserve"> and to the price bands up to and including 50 – 100</w:t>
      </w:r>
      <w:r w:rsidR="007A39AF">
        <w:t>euro</w:t>
      </w:r>
      <w:r w:rsidR="00D92036">
        <w:t>, as we have no shares trading in excess of 100 euro</w:t>
      </w:r>
      <w:r>
        <w:t>.</w:t>
      </w:r>
    </w:p>
    <w:p w:rsidR="005C33C3" w:rsidRDefault="005C33C3" w:rsidP="00EC2C93">
      <w:pPr>
        <w:keepNext/>
      </w:pPr>
    </w:p>
    <w:p w:rsidR="005C33C3" w:rsidRDefault="005C33C3" w:rsidP="00EC2C93">
      <w:pPr>
        <w:keepNext/>
      </w:pPr>
      <w:r>
        <w:t xml:space="preserve">We note the comments by ESMA that its intention is to provide an approach that will be simple to understand and implement, and that it must be accepted that the proposed table will not result in all stocks lying within the targeted spread to tick ratio. While we agree that it is not possible to design a single table that will suit all shares on all markets, and </w:t>
      </w:r>
      <w:r w:rsidR="00163CD6">
        <w:t>for this reason</w:t>
      </w:r>
      <w:r>
        <w:t xml:space="preserve"> </w:t>
      </w:r>
      <w:r w:rsidR="00426CD4">
        <w:t xml:space="preserve">we </w:t>
      </w:r>
      <w:r>
        <w:t>would have preferred a more flexible approach enabling venues to choose between two alternative tables, we are concerned that the actual impact on our market will be far in excess of that anticipated by ESMA. This is based on our modelling of the proposed table on all ISE shares, the results of which highlight the following issues:</w:t>
      </w:r>
    </w:p>
    <w:p w:rsidR="005C33C3" w:rsidRDefault="00130A45" w:rsidP="00F51125">
      <w:pPr>
        <w:pStyle w:val="ListParagraph"/>
      </w:pPr>
      <w:r w:rsidRPr="00130A45">
        <w:rPr>
          <w:i/>
        </w:rPr>
        <w:t>The table is not</w:t>
      </w:r>
      <w:r w:rsidR="007E6798">
        <w:rPr>
          <w:i/>
        </w:rPr>
        <w:t xml:space="preserve"> suitable to less liquid shares:</w:t>
      </w:r>
      <w:r>
        <w:t xml:space="preserve"> Of the 57 shares currently admitted to trading on the ISE, only two would remain with their existing tick size. Therefore, 96.5% of our shares would see either an increase or a decrease in tick size. </w:t>
      </w:r>
      <w:r w:rsidR="00EC6383">
        <w:t>Furthe</w:t>
      </w:r>
      <w:r w:rsidR="00163CD6">
        <w:t xml:space="preserve">rmore, almost 90% of those </w:t>
      </w:r>
      <w:r w:rsidR="00EC6383">
        <w:t xml:space="preserve">would change by more than two increments, with 9% moving four increments. </w:t>
      </w:r>
      <w:r>
        <w:t>While this may be partially due to the fact that we would be moving from the current FESE Table 4 to a table with a far greater number of price bands, we do not see this as being the only cause, but also the fact that the proposed table is more suited to trading venues with a higher number of liqu</w:t>
      </w:r>
      <w:r w:rsidR="00C96BDB">
        <w:t>id shares and was not designed with</w:t>
      </w:r>
      <w:r>
        <w:t xml:space="preserve"> sufficient consideration to the impact on less liquid shares. We believe this is also evident by the impact analysis in Annex 4.6.2 which shows the greatest impact is for those shares in the lowest liquidity band.</w:t>
      </w:r>
    </w:p>
    <w:p w:rsidR="00F91D80" w:rsidRDefault="00130A45" w:rsidP="00F51125">
      <w:pPr>
        <w:pStyle w:val="ListParagraph"/>
      </w:pPr>
      <w:r w:rsidRPr="00130A45">
        <w:rPr>
          <w:i/>
        </w:rPr>
        <w:t xml:space="preserve">The spread to tick ratio is not being met by a large number </w:t>
      </w:r>
      <w:r w:rsidR="007E6798">
        <w:rPr>
          <w:i/>
        </w:rPr>
        <w:t xml:space="preserve">of securities: </w:t>
      </w:r>
      <w:r>
        <w:t xml:space="preserve">Of the 57 shares currently admitted to trading on the ISE, we have 7 </w:t>
      </w:r>
      <w:proofErr w:type="spellStart"/>
      <w:r>
        <w:t>MiFID</w:t>
      </w:r>
      <w:proofErr w:type="spellEnd"/>
      <w:r>
        <w:t xml:space="preserve"> liquid shares. We note that ESMA proposes a range of 1.5 to 3 for liquid shares. However none of the ISE’s liquid shares fall into this range under the proposed table, with some having a lower ratio while the rest have a higher ratio.</w:t>
      </w:r>
      <w:r w:rsidR="00F91D80">
        <w:t xml:space="preserve"> </w:t>
      </w:r>
    </w:p>
    <w:p w:rsidR="00130A45" w:rsidRDefault="00F91D80" w:rsidP="00F51125">
      <w:pPr>
        <w:pStyle w:val="ListParagraph"/>
      </w:pPr>
      <w:r>
        <w:rPr>
          <w:i/>
        </w:rPr>
        <w:t xml:space="preserve">The additional bands create </w:t>
      </w:r>
      <w:r w:rsidR="006066BB">
        <w:rPr>
          <w:i/>
        </w:rPr>
        <w:t xml:space="preserve">overly small ticks </w:t>
      </w:r>
      <w:r>
        <w:rPr>
          <w:i/>
        </w:rPr>
        <w:t>at the lower price levels</w:t>
      </w:r>
      <w:r w:rsidR="006066BB">
        <w:rPr>
          <w:i/>
        </w:rPr>
        <w:t xml:space="preserve"> and do not accurately reflect the FESE table 2</w:t>
      </w:r>
      <w:r>
        <w:rPr>
          <w:i/>
        </w:rPr>
        <w:t>:</w:t>
      </w:r>
      <w:r>
        <w:t xml:space="preserve"> The table on page 423 of the CP indicates that for the lowest liquidity band, the table reflects the FESE Table 2 moved up 3 levels. However due to the addition of more granular price bands for the lowest priced stocks this is not actually the case. The lowest tick for FESE Table 2 is 0.00</w:t>
      </w:r>
      <w:r w:rsidR="006066BB">
        <w:t>0</w:t>
      </w:r>
      <w:r>
        <w:t>1 for securities with a price up to 0.4999euro.</w:t>
      </w:r>
      <w:r w:rsidR="006066BB">
        <w:t xml:space="preserve"> Moving this up three levels would result in the smallest tick of 0.002. However due to the more granular price ranges, the smallest tick for the least liquid shares is significantly smaller at 0.0002. We believe that ESMA’s assertions are potentially misleading as they imply that the existing table is being proportionately moved up to accommodate less liquid instruments whereas in fact they are moving down to create tick sizes too small for such illiquid securities</w:t>
      </w:r>
      <w:r w:rsidR="008439E1">
        <w:t xml:space="preserve"> which will result in to</w:t>
      </w:r>
      <w:r w:rsidR="00330AA0">
        <w:t>o low viscosity for these shares</w:t>
      </w:r>
      <w:r w:rsidR="006066BB">
        <w:t>.</w:t>
      </w:r>
      <w:r w:rsidR="008439E1">
        <w:t xml:space="preserve"> Therefore rather than creating an environment that would allow the liquidity to grow, the proposal will in fact further constrain liquidity in SME shares priced in the lower bands.</w:t>
      </w:r>
      <w:r w:rsidR="006066BB">
        <w:t xml:space="preserve"> As a market with a material proportion of SME shares we are </w:t>
      </w:r>
      <w:r w:rsidR="00DC7765">
        <w:t>extremely</w:t>
      </w:r>
      <w:r w:rsidR="006066BB">
        <w:t xml:space="preserve"> concerned with this approach.</w:t>
      </w:r>
    </w:p>
    <w:p w:rsidR="00507E2C" w:rsidRDefault="00507E2C" w:rsidP="00507E2C"/>
    <w:p w:rsidR="00EC6383" w:rsidRDefault="00EC6383" w:rsidP="00507E2C">
      <w:r>
        <w:t xml:space="preserve">We would also like to highlight that the proposed approach does not take into account that a once size fits all approach to the spread to tick ratio is not allowing for the fact that the same </w:t>
      </w:r>
      <w:r>
        <w:lastRenderedPageBreak/>
        <w:t>share can have a different trading profile on each market due to the different sizes of the markets, the extent of algorithmic trading on each market, the type of members and investors trading on each market, all of which should legitimately allow more flexibility an</w:t>
      </w:r>
      <w:r w:rsidR="00DC7765">
        <w:t>d</w:t>
      </w:r>
      <w:r>
        <w:t xml:space="preserve"> discretion when setting the tick size. </w:t>
      </w:r>
      <w:r w:rsidR="00DC7765">
        <w:t>H</w:t>
      </w:r>
      <w:r>
        <w:t>owever the proposed</w:t>
      </w:r>
      <w:r w:rsidR="00DC7765">
        <w:t xml:space="preserve"> approach does not allow this and</w:t>
      </w:r>
      <w:r>
        <w:t xml:space="preserve"> it seems to assume that a share will trade more or less the same on each market that it is admitted to. </w:t>
      </w:r>
    </w:p>
    <w:p w:rsidR="00EC6383" w:rsidRDefault="00EC6383" w:rsidP="00507E2C"/>
    <w:p w:rsidR="00507E2C" w:rsidRDefault="00507E2C" w:rsidP="00507E2C">
      <w:pPr>
        <w:rPr>
          <w:u w:val="single"/>
        </w:rPr>
      </w:pPr>
      <w:r w:rsidRPr="00507E2C">
        <w:rPr>
          <w:u w:val="single"/>
        </w:rPr>
        <w:t>Proposal</w:t>
      </w:r>
    </w:p>
    <w:p w:rsidR="00507E2C" w:rsidRDefault="00507E2C" w:rsidP="00507E2C">
      <w:r w:rsidRPr="00507E2C">
        <w:t xml:space="preserve">In order </w:t>
      </w:r>
      <w:r>
        <w:t xml:space="preserve">to address our concerns and to ensure that the </w:t>
      </w:r>
      <w:r w:rsidR="00EC6383">
        <w:t xml:space="preserve">final </w:t>
      </w:r>
      <w:r>
        <w:t>table is more accommodating of less liquid shares (although we’d like to highlight still not a perfect fit for all our shares) we propose the following changes to be made:</w:t>
      </w:r>
    </w:p>
    <w:p w:rsidR="007B5735" w:rsidRDefault="007B5735" w:rsidP="00F51125">
      <w:pPr>
        <w:pStyle w:val="ListParagraph"/>
      </w:pPr>
      <w:r>
        <w:t>In order to provide more suitable tick sizes for lower priced illiquid shares we suggest either setting a floor of 0.001 for the liquidity class of 0-100 (i.e. the price ranges 0–0.1, 0.1–0.2 and 0.2-0.5 would all have a tick of 0.001), or amalgamating the first three price levels across all liquidity classes and applying the tick size for the price range 0.2 to 0.5 to all so that the first price range would be:</w:t>
      </w:r>
    </w:p>
    <w:tbl>
      <w:tblPr>
        <w:tblW w:w="8936" w:type="dxa"/>
        <w:tblCellMar>
          <w:left w:w="0" w:type="dxa"/>
          <w:right w:w="0" w:type="dxa"/>
        </w:tblCellMar>
        <w:tblLook w:val="04A0" w:firstRow="1" w:lastRow="0" w:firstColumn="1" w:lastColumn="0" w:noHBand="0" w:noVBand="1"/>
      </w:tblPr>
      <w:tblGrid>
        <w:gridCol w:w="509"/>
        <w:gridCol w:w="1211"/>
        <w:gridCol w:w="1278"/>
        <w:gridCol w:w="1720"/>
        <w:gridCol w:w="1360"/>
        <w:gridCol w:w="1582"/>
        <w:gridCol w:w="1276"/>
      </w:tblGrid>
      <w:tr w:rsidR="007B5735" w:rsidRPr="00507E2C" w:rsidTr="00B66B31">
        <w:trPr>
          <w:trHeight w:val="315"/>
        </w:trPr>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5735" w:rsidRPr="00507E2C" w:rsidRDefault="007B5735" w:rsidP="00B66B31">
            <w:pPr>
              <w:rPr>
                <w:b/>
                <w:bCs/>
              </w:rPr>
            </w:pPr>
            <w:r w:rsidRPr="00507E2C">
              <w:rPr>
                <w:b/>
                <w:bCs/>
              </w:rPr>
              <w:t>Price ranges</w:t>
            </w:r>
          </w:p>
        </w:tc>
        <w:tc>
          <w:tcPr>
            <w:tcW w:w="7216" w:type="dxa"/>
            <w:gridSpan w:val="5"/>
            <w:tcBorders>
              <w:top w:val="single" w:sz="4" w:space="0" w:color="auto"/>
              <w:left w:val="nil"/>
              <w:bottom w:val="single" w:sz="4" w:space="0" w:color="auto"/>
              <w:right w:val="single" w:sz="4" w:space="0" w:color="auto"/>
            </w:tcBorders>
            <w:shd w:val="clear" w:color="auto" w:fill="auto"/>
            <w:noWrap/>
            <w:vAlign w:val="bottom"/>
            <w:hideMark/>
          </w:tcPr>
          <w:p w:rsidR="007B5735" w:rsidRPr="00507E2C" w:rsidRDefault="007B5735" w:rsidP="00B66B31">
            <w:pPr>
              <w:rPr>
                <w:b/>
                <w:bCs/>
              </w:rPr>
            </w:pPr>
            <w:r w:rsidRPr="00507E2C">
              <w:rPr>
                <w:b/>
                <w:bCs/>
              </w:rPr>
              <w:t>Number of trades per day</w:t>
            </w:r>
          </w:p>
        </w:tc>
      </w:tr>
      <w:tr w:rsidR="007B5735" w:rsidRPr="00507E2C" w:rsidTr="00B66B31">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735" w:rsidRPr="00507E2C" w:rsidRDefault="007B5735" w:rsidP="00B66B31">
            <w:pPr>
              <w:rPr>
                <w:b/>
                <w:bCs/>
              </w:rPr>
            </w:pPr>
          </w:p>
        </w:tc>
        <w:tc>
          <w:tcPr>
            <w:tcW w:w="1278"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0-100</w:t>
            </w:r>
          </w:p>
        </w:tc>
        <w:tc>
          <w:tcPr>
            <w:tcW w:w="1720"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100-500</w:t>
            </w:r>
          </w:p>
        </w:tc>
        <w:tc>
          <w:tcPr>
            <w:tcW w:w="1360"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500-2,000</w:t>
            </w:r>
          </w:p>
        </w:tc>
        <w:tc>
          <w:tcPr>
            <w:tcW w:w="1582"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2,000-15,000</w:t>
            </w:r>
          </w:p>
        </w:tc>
        <w:tc>
          <w:tcPr>
            <w:tcW w:w="1276"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15,000</w:t>
            </w:r>
          </w:p>
        </w:tc>
      </w:tr>
      <w:tr w:rsidR="007B5735" w:rsidRPr="00507E2C" w:rsidTr="00B66B3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B5735" w:rsidRPr="00507E2C" w:rsidRDefault="007B5735" w:rsidP="00B66B31">
            <w:r>
              <w:t>0</w:t>
            </w:r>
          </w:p>
        </w:tc>
        <w:tc>
          <w:tcPr>
            <w:tcW w:w="0" w:type="auto"/>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0.5</w:t>
            </w:r>
          </w:p>
        </w:tc>
        <w:tc>
          <w:tcPr>
            <w:tcW w:w="1278"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0.001</w:t>
            </w:r>
          </w:p>
        </w:tc>
        <w:tc>
          <w:tcPr>
            <w:tcW w:w="1720"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0.0005</w:t>
            </w:r>
          </w:p>
        </w:tc>
        <w:tc>
          <w:tcPr>
            <w:tcW w:w="1360"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0.0002</w:t>
            </w:r>
          </w:p>
        </w:tc>
        <w:tc>
          <w:tcPr>
            <w:tcW w:w="1582"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0.0001</w:t>
            </w:r>
          </w:p>
        </w:tc>
        <w:tc>
          <w:tcPr>
            <w:tcW w:w="1276" w:type="dxa"/>
            <w:tcBorders>
              <w:top w:val="nil"/>
              <w:left w:val="nil"/>
              <w:bottom w:val="single" w:sz="4" w:space="0" w:color="auto"/>
              <w:right w:val="single" w:sz="4" w:space="0" w:color="auto"/>
            </w:tcBorders>
            <w:shd w:val="clear" w:color="auto" w:fill="auto"/>
            <w:noWrap/>
            <w:vAlign w:val="bottom"/>
            <w:hideMark/>
          </w:tcPr>
          <w:p w:rsidR="007B5735" w:rsidRPr="00507E2C" w:rsidRDefault="007B5735" w:rsidP="00B66B31">
            <w:r w:rsidRPr="00507E2C">
              <w:t>0.0001</w:t>
            </w:r>
          </w:p>
        </w:tc>
      </w:tr>
    </w:tbl>
    <w:p w:rsidR="007B5735" w:rsidRDefault="007B5735" w:rsidP="00507E2C"/>
    <w:p w:rsidR="007B5735" w:rsidRDefault="007B5735" w:rsidP="00F51125">
      <w:pPr>
        <w:pStyle w:val="ListParagraph"/>
      </w:pPr>
      <w:r>
        <w:t>In order to provide a more suitable tick size for the higher price</w:t>
      </w:r>
      <w:r w:rsidR="00A36C1A">
        <w:t>d less liquid</w:t>
      </w:r>
      <w:r>
        <w:t xml:space="preserve"> shares:</w:t>
      </w:r>
    </w:p>
    <w:p w:rsidR="0070576B" w:rsidRDefault="0070576B" w:rsidP="00F51125">
      <w:pPr>
        <w:pStyle w:val="ListParagraph"/>
      </w:pPr>
      <w:r>
        <w:t>Changing the upper band of the second liquidity class to 250, and therefore the lower band of the third liquidity class to same.</w:t>
      </w:r>
      <w:r w:rsidR="007B5735">
        <w:t xml:space="preserve"> </w:t>
      </w:r>
    </w:p>
    <w:p w:rsidR="0070576B" w:rsidRDefault="0070576B" w:rsidP="00F51125">
      <w:pPr>
        <w:pStyle w:val="ListParagraph"/>
      </w:pPr>
      <w:r>
        <w:t>Amalgamating the price levels 10-20 and 20-50, and applying the tick in the 10-20 band to all shares priced in the new wider band of 10-50, i.e.</w:t>
      </w:r>
    </w:p>
    <w:p w:rsidR="0070576B" w:rsidRDefault="0070576B" w:rsidP="0070576B">
      <w:pPr>
        <w:ind w:left="480"/>
      </w:pPr>
    </w:p>
    <w:tbl>
      <w:tblPr>
        <w:tblStyle w:val="TableGrid"/>
        <w:tblW w:w="0" w:type="auto"/>
        <w:tblLook w:val="04A0" w:firstRow="1" w:lastRow="0" w:firstColumn="1" w:lastColumn="0" w:noHBand="0" w:noVBand="1"/>
      </w:tblPr>
      <w:tblGrid>
        <w:gridCol w:w="1002"/>
        <w:gridCol w:w="1002"/>
        <w:gridCol w:w="1369"/>
        <w:gridCol w:w="1369"/>
        <w:gridCol w:w="1369"/>
        <w:gridCol w:w="1540"/>
        <w:gridCol w:w="1369"/>
      </w:tblGrid>
      <w:tr w:rsidR="0070576B" w:rsidRPr="0070576B" w:rsidTr="0070576B">
        <w:trPr>
          <w:trHeight w:val="315"/>
        </w:trPr>
        <w:tc>
          <w:tcPr>
            <w:tcW w:w="2004" w:type="dxa"/>
            <w:gridSpan w:val="2"/>
            <w:vMerge w:val="restart"/>
            <w:noWrap/>
            <w:hideMark/>
          </w:tcPr>
          <w:p w:rsidR="0070576B" w:rsidRPr="0070576B" w:rsidRDefault="0070576B" w:rsidP="0070576B">
            <w:pPr>
              <w:ind w:left="480"/>
              <w:rPr>
                <w:b/>
                <w:bCs/>
              </w:rPr>
            </w:pPr>
            <w:r w:rsidRPr="0070576B">
              <w:rPr>
                <w:b/>
                <w:bCs/>
              </w:rPr>
              <w:t>Price ranges</w:t>
            </w:r>
          </w:p>
        </w:tc>
        <w:tc>
          <w:tcPr>
            <w:tcW w:w="7016" w:type="dxa"/>
            <w:gridSpan w:val="5"/>
            <w:noWrap/>
            <w:hideMark/>
          </w:tcPr>
          <w:p w:rsidR="0070576B" w:rsidRPr="0070576B" w:rsidRDefault="0070576B" w:rsidP="0070576B">
            <w:pPr>
              <w:ind w:left="480"/>
              <w:rPr>
                <w:b/>
                <w:bCs/>
              </w:rPr>
            </w:pPr>
            <w:r w:rsidRPr="0070576B">
              <w:rPr>
                <w:b/>
                <w:bCs/>
              </w:rPr>
              <w:t>Number of trades per day</w:t>
            </w:r>
          </w:p>
        </w:tc>
      </w:tr>
      <w:tr w:rsidR="0070576B" w:rsidRPr="0070576B" w:rsidTr="0070576B">
        <w:trPr>
          <w:trHeight w:val="315"/>
        </w:trPr>
        <w:tc>
          <w:tcPr>
            <w:tcW w:w="2004" w:type="dxa"/>
            <w:gridSpan w:val="2"/>
            <w:vMerge/>
            <w:hideMark/>
          </w:tcPr>
          <w:p w:rsidR="0070576B" w:rsidRPr="0070576B" w:rsidRDefault="0070576B" w:rsidP="0070576B">
            <w:pPr>
              <w:ind w:left="480"/>
              <w:rPr>
                <w:b/>
                <w:bCs/>
              </w:rPr>
            </w:pPr>
          </w:p>
        </w:tc>
        <w:tc>
          <w:tcPr>
            <w:tcW w:w="1369" w:type="dxa"/>
            <w:noWrap/>
            <w:hideMark/>
          </w:tcPr>
          <w:p w:rsidR="0070576B" w:rsidRPr="0070576B" w:rsidRDefault="0070576B" w:rsidP="0070576B">
            <w:pPr>
              <w:ind w:left="480"/>
            </w:pPr>
            <w:r w:rsidRPr="0070576B">
              <w:t>0-100</w:t>
            </w:r>
          </w:p>
        </w:tc>
        <w:tc>
          <w:tcPr>
            <w:tcW w:w="1369" w:type="dxa"/>
            <w:noWrap/>
            <w:hideMark/>
          </w:tcPr>
          <w:p w:rsidR="0070576B" w:rsidRPr="0070576B" w:rsidRDefault="0070576B" w:rsidP="0070576B">
            <w:pPr>
              <w:ind w:left="480"/>
            </w:pPr>
            <w:r w:rsidRPr="0070576B">
              <w:t>100-500</w:t>
            </w:r>
          </w:p>
        </w:tc>
        <w:tc>
          <w:tcPr>
            <w:tcW w:w="1369" w:type="dxa"/>
            <w:noWrap/>
            <w:hideMark/>
          </w:tcPr>
          <w:p w:rsidR="0070576B" w:rsidRPr="0070576B" w:rsidRDefault="0070576B" w:rsidP="0070576B">
            <w:pPr>
              <w:ind w:left="480"/>
            </w:pPr>
            <w:r w:rsidRPr="0070576B">
              <w:t>500-2,000</w:t>
            </w:r>
          </w:p>
        </w:tc>
        <w:tc>
          <w:tcPr>
            <w:tcW w:w="1540" w:type="dxa"/>
            <w:noWrap/>
            <w:hideMark/>
          </w:tcPr>
          <w:p w:rsidR="0070576B" w:rsidRPr="0070576B" w:rsidRDefault="0070576B" w:rsidP="0070576B">
            <w:pPr>
              <w:ind w:left="480"/>
            </w:pPr>
            <w:r w:rsidRPr="0070576B">
              <w:t>2,000-15,000</w:t>
            </w:r>
          </w:p>
        </w:tc>
        <w:tc>
          <w:tcPr>
            <w:tcW w:w="1369" w:type="dxa"/>
            <w:noWrap/>
            <w:hideMark/>
          </w:tcPr>
          <w:p w:rsidR="0070576B" w:rsidRPr="0070576B" w:rsidRDefault="0070576B" w:rsidP="0070576B">
            <w:pPr>
              <w:ind w:left="480"/>
            </w:pPr>
            <w:r w:rsidRPr="0070576B">
              <w:t>15,000</w:t>
            </w:r>
          </w:p>
        </w:tc>
      </w:tr>
      <w:tr w:rsidR="0070576B" w:rsidRPr="0070576B" w:rsidTr="0070576B">
        <w:trPr>
          <w:trHeight w:val="300"/>
        </w:trPr>
        <w:tc>
          <w:tcPr>
            <w:tcW w:w="1002" w:type="dxa"/>
            <w:noWrap/>
            <w:hideMark/>
          </w:tcPr>
          <w:p w:rsidR="0070576B" w:rsidRPr="0070576B" w:rsidRDefault="0070576B" w:rsidP="0070576B">
            <w:pPr>
              <w:ind w:left="480"/>
            </w:pPr>
            <w:r w:rsidRPr="0070576B">
              <w:t>10</w:t>
            </w:r>
          </w:p>
        </w:tc>
        <w:tc>
          <w:tcPr>
            <w:tcW w:w="1002" w:type="dxa"/>
            <w:noWrap/>
            <w:hideMark/>
          </w:tcPr>
          <w:p w:rsidR="0070576B" w:rsidRPr="0070576B" w:rsidRDefault="0070576B" w:rsidP="0070576B">
            <w:pPr>
              <w:ind w:left="480"/>
            </w:pPr>
            <w:r>
              <w:t>5</w:t>
            </w:r>
            <w:r w:rsidRPr="0070576B">
              <w:t>0</w:t>
            </w:r>
          </w:p>
        </w:tc>
        <w:tc>
          <w:tcPr>
            <w:tcW w:w="1369" w:type="dxa"/>
            <w:noWrap/>
            <w:hideMark/>
          </w:tcPr>
          <w:p w:rsidR="0070576B" w:rsidRPr="0070576B" w:rsidRDefault="0070576B" w:rsidP="0070576B">
            <w:pPr>
              <w:ind w:left="480"/>
            </w:pPr>
            <w:r w:rsidRPr="0070576B">
              <w:t>0.05</w:t>
            </w:r>
          </w:p>
        </w:tc>
        <w:tc>
          <w:tcPr>
            <w:tcW w:w="1369" w:type="dxa"/>
            <w:noWrap/>
            <w:hideMark/>
          </w:tcPr>
          <w:p w:rsidR="0070576B" w:rsidRPr="0070576B" w:rsidRDefault="0070576B" w:rsidP="0070576B">
            <w:pPr>
              <w:ind w:left="480"/>
            </w:pPr>
            <w:r w:rsidRPr="0070576B">
              <w:t>0.02</w:t>
            </w:r>
          </w:p>
        </w:tc>
        <w:tc>
          <w:tcPr>
            <w:tcW w:w="1369" w:type="dxa"/>
            <w:noWrap/>
            <w:hideMark/>
          </w:tcPr>
          <w:p w:rsidR="0070576B" w:rsidRPr="0070576B" w:rsidRDefault="0070576B" w:rsidP="0070576B">
            <w:pPr>
              <w:ind w:left="480"/>
            </w:pPr>
            <w:r w:rsidRPr="0070576B">
              <w:t>0.01</w:t>
            </w:r>
          </w:p>
        </w:tc>
        <w:tc>
          <w:tcPr>
            <w:tcW w:w="1540" w:type="dxa"/>
            <w:noWrap/>
            <w:hideMark/>
          </w:tcPr>
          <w:p w:rsidR="0070576B" w:rsidRPr="0070576B" w:rsidRDefault="0070576B" w:rsidP="0070576B">
            <w:pPr>
              <w:ind w:left="480"/>
            </w:pPr>
            <w:r w:rsidRPr="0070576B">
              <w:t>0.005</w:t>
            </w:r>
          </w:p>
        </w:tc>
        <w:tc>
          <w:tcPr>
            <w:tcW w:w="1369" w:type="dxa"/>
            <w:noWrap/>
            <w:hideMark/>
          </w:tcPr>
          <w:p w:rsidR="0070576B" w:rsidRPr="0070576B" w:rsidRDefault="0070576B" w:rsidP="0070576B">
            <w:pPr>
              <w:ind w:left="480"/>
            </w:pPr>
            <w:r w:rsidRPr="0070576B">
              <w:t>0.002</w:t>
            </w:r>
          </w:p>
        </w:tc>
      </w:tr>
    </w:tbl>
    <w:p w:rsidR="0070576B" w:rsidRDefault="0070576B" w:rsidP="0070576B">
      <w:pPr>
        <w:ind w:left="480"/>
      </w:pPr>
    </w:p>
    <w:p w:rsidR="00EC6383" w:rsidRDefault="00EC6383" w:rsidP="00507E2C">
      <w:r>
        <w:t>Finally given the extensive variance in shares and liquidity across all trading venues, we propose that ESMA enables venues to set a floor and a cap for the tick sizes for their market. This is based on our analysis that the most damaging tick size changes for our market will be for those shares at the lowest and highest price levels</w:t>
      </w:r>
      <w:r w:rsidR="00A36C1A">
        <w:t>.</w:t>
      </w:r>
      <w:r>
        <w:t xml:space="preserve"> </w:t>
      </w:r>
    </w:p>
    <w:p w:rsidR="00D41371" w:rsidRDefault="00D41371" w:rsidP="00507E2C"/>
    <w:p w:rsidR="00D41371" w:rsidRDefault="00D41371" w:rsidP="00507E2C">
      <w:pPr>
        <w:rPr>
          <w:u w:val="single"/>
        </w:rPr>
      </w:pPr>
      <w:r w:rsidRPr="00D41371">
        <w:rPr>
          <w:u w:val="single"/>
        </w:rPr>
        <w:t>Draft RTS</w:t>
      </w:r>
    </w:p>
    <w:p w:rsidR="00D41371" w:rsidRDefault="00D41371" w:rsidP="00507E2C">
      <w:pPr>
        <w:rPr>
          <w:u w:val="single"/>
        </w:rPr>
      </w:pPr>
    </w:p>
    <w:p w:rsidR="00D41371" w:rsidRDefault="00D41371" w:rsidP="00507E2C">
      <w:r>
        <w:t>We also have the following comments to make on the draft RTS:</w:t>
      </w:r>
    </w:p>
    <w:p w:rsidR="00AF3644" w:rsidRDefault="00AF3644" w:rsidP="00F51125">
      <w:pPr>
        <w:pStyle w:val="ListParagraph"/>
      </w:pPr>
      <w:r>
        <w:t>Article 2(4):We believe that trading venues should be allowed a number of days to adjust their systems to the revised liquidity band rather than setting the expectation of next day, particularly when it is unknown the time when the information will be published.</w:t>
      </w:r>
    </w:p>
    <w:p w:rsidR="00F90628" w:rsidRDefault="00F90628" w:rsidP="00F51125">
      <w:pPr>
        <w:pStyle w:val="ListParagraph"/>
      </w:pPr>
      <w:r>
        <w:t>Article 4: It is not clear which trading venue can determine this.</w:t>
      </w:r>
    </w:p>
    <w:p w:rsidR="00507E2C" w:rsidRPr="00507E2C" w:rsidRDefault="00507E2C" w:rsidP="00507E2C"/>
    <w:permEnd w:id="652947876"/>
    <w:p w:rsidR="00577C33" w:rsidRDefault="00577C33" w:rsidP="00EC2C93">
      <w:pPr>
        <w:keepNext/>
      </w:pPr>
      <w:r>
        <w:lastRenderedPageBreak/>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1101CA" w:rsidRDefault="009C0FBB" w:rsidP="001101CA">
      <w:pPr>
        <w:keepNext/>
      </w:pPr>
      <w:permStart w:id="2038316579" w:edGrp="everyone"/>
      <w:r>
        <w:t>In relation to shares newly admitted to trading we agree with the approach outlined but would ask ESMA to also require that the publication of the new tick should be done a number of days in advance in order to ensure that all venues can adopt the same tick for the first day of trading.</w:t>
      </w:r>
      <w:r w:rsidR="001101CA">
        <w:t xml:space="preserve"> As it currently stands we believe that new shares are usually added to the </w:t>
      </w:r>
      <w:proofErr w:type="spellStart"/>
      <w:r w:rsidR="001101CA">
        <w:t>MiFID</w:t>
      </w:r>
      <w:proofErr w:type="spellEnd"/>
      <w:r w:rsidR="001101CA">
        <w:t xml:space="preserve"> database only on the first day of trading which will not give other venues and market </w:t>
      </w:r>
      <w:proofErr w:type="gramStart"/>
      <w:r w:rsidR="001101CA">
        <w:t>participants</w:t>
      </w:r>
      <w:proofErr w:type="gramEnd"/>
      <w:r w:rsidR="001101CA">
        <w:t xml:space="preserve"> sufficient time to set-up the relevant tick for the first day of trading.</w:t>
      </w:r>
    </w:p>
    <w:p w:rsidR="001101CA" w:rsidRDefault="001101CA" w:rsidP="00EC2C93">
      <w:pPr>
        <w:keepNext/>
      </w:pPr>
    </w:p>
    <w:p w:rsidR="00EC48A3" w:rsidRDefault="000A20DE" w:rsidP="00EC2C93">
      <w:pPr>
        <w:keepNext/>
      </w:pPr>
      <w:r>
        <w:t>Therefore we do not agree with the proposal in Recital 9 that trading venues should be able to apply “immediately” the tick size corresponding to the new band. Furthermore, venues should not be expected to amend limits of outstanding orders as it is not appropriate for venues to take a p</w:t>
      </w:r>
      <w:r w:rsidR="00EC48A3">
        <w:t>osition on the limit of orders.</w:t>
      </w:r>
    </w:p>
    <w:p w:rsidR="00EC48A3" w:rsidRDefault="00EC48A3" w:rsidP="00EC2C93">
      <w:pPr>
        <w:keepNext/>
      </w:pPr>
    </w:p>
    <w:permEnd w:id="2038316579"/>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9C0FBB" w:rsidP="00EC2C93">
      <w:pPr>
        <w:keepNext/>
      </w:pPr>
      <w:permStart w:id="1223636790" w:edGrp="everyone"/>
      <w:r>
        <w:t xml:space="preserve">We agree with the list provided but believe that dividends should also be added to the list. Furthermore we believe that any changes due to corporate actions should also be published at least one day in advance of the effective change to ensure all trading venues can adopt it in their systems. </w:t>
      </w:r>
    </w:p>
    <w:permEnd w:id="1223636790"/>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20415240" w:edGrp="everyone"/>
      <w:r>
        <w:t>TYPE YOUR TEXT HERE</w:t>
      </w:r>
    </w:p>
    <w:permEnd w:id="22041524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898915167" w:edGrp="everyone"/>
      <w:r>
        <w:t>TYPE YOUR TEXT HERE</w:t>
      </w:r>
    </w:p>
    <w:permEnd w:id="189891516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lastRenderedPageBreak/>
        <w:t>&lt;ESMA_QUESTION_CP_MIFID_129&gt;</w:t>
      </w:r>
    </w:p>
    <w:p w:rsidR="00577C33" w:rsidRDefault="000A20DE" w:rsidP="00EC2C93">
      <w:pPr>
        <w:keepNext/>
      </w:pPr>
      <w:permStart w:id="1061383283" w:edGrp="everyone"/>
      <w:r>
        <w:t>We are unclear as to how this will be managed in practice, what data will be used for the annual revision and where it will be sourced.</w:t>
      </w:r>
    </w:p>
    <w:permEnd w:id="106138328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0A20DE" w:rsidP="00EC2C93">
      <w:pPr>
        <w:keepNext/>
      </w:pPr>
      <w:permStart w:id="237186824" w:edGrp="everyone"/>
      <w:r>
        <w:t xml:space="preserve">As per our response to Q123, the proposed table would result in significant changes for our market with all but 2 shares moving to a new tick size, </w:t>
      </w:r>
      <w:r w:rsidR="007B5735">
        <w:t xml:space="preserve">and </w:t>
      </w:r>
      <w:r>
        <w:t xml:space="preserve">a large number by at least two increments. In addition to changes to the proposed table as per above, we would prefer to see the table first implemented only for liquid shares with the extension to illiquid shares at least six months later after the impact on liquid shares can be evaluated. </w:t>
      </w:r>
    </w:p>
    <w:permEnd w:id="237186824"/>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481B89" w:rsidP="00EC2C93">
      <w:pPr>
        <w:keepNext/>
      </w:pPr>
      <w:permStart w:id="572528498" w:edGrp="everyone"/>
      <w:r>
        <w:t>We believe dividends should be added to the list.</w:t>
      </w:r>
    </w:p>
    <w:permEnd w:id="572528498"/>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481B89" w:rsidP="00EC2C93">
      <w:pPr>
        <w:keepNext/>
      </w:pPr>
      <w:permStart w:id="1140349662" w:edGrp="everyone"/>
      <w:r>
        <w:t>We welcome ESMA’s recognition</w:t>
      </w:r>
      <w:r w:rsidR="003E31A7">
        <w:t xml:space="preserve"> and inclusion in the draft RTS</w:t>
      </w:r>
      <w:r>
        <w:t xml:space="preserve"> that a security may be admitted to more than one venue on its initial admission</w:t>
      </w:r>
      <w:r w:rsidR="003E31A7">
        <w:t xml:space="preserve"> and that all such venues should be considered in terms of ‘material market’</w:t>
      </w:r>
      <w:r>
        <w:t>.</w:t>
      </w:r>
    </w:p>
    <w:permEnd w:id="114034966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085949060" w:edGrp="everyone"/>
      <w:r>
        <w:t>TYPE YOUR TEXT HERE</w:t>
      </w:r>
    </w:p>
    <w:permEnd w:id="108594906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17"/>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068849723" w:edGrp="everyone"/>
      <w:r>
        <w:t>TYPE YOUR TEXT HERE</w:t>
      </w:r>
    </w:p>
    <w:permEnd w:id="106884972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1D62E7" w:rsidRPr="001D62E7" w:rsidRDefault="001D62E7" w:rsidP="001D62E7">
      <w:pPr>
        <w:keepNext/>
      </w:pPr>
      <w:permStart w:id="2021406239" w:edGrp="everyone"/>
      <w:r w:rsidRPr="001D62E7">
        <w:t>No, as depending on the disruptive incident it may not be possible to recover systems in 6 hours.  DRSPs will always endeavour to get systems back on line as quickly as possible and should not be penalised for failing to do so within a 6 hour window due to exceptional circumstances that maybe beyond their control</w:t>
      </w:r>
    </w:p>
    <w:permEnd w:id="202140623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9C2EB0" w:rsidP="00EC2C93">
      <w:pPr>
        <w:keepNext/>
      </w:pPr>
      <w:permStart w:id="740954013" w:edGrp="everyone"/>
      <w:r>
        <w:t xml:space="preserve">Yes, we agree that DRSPs should be allowed establish their own opening hours. </w:t>
      </w:r>
    </w:p>
    <w:permEnd w:id="74095401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12A9A" w:rsidRPr="00512A9A" w:rsidRDefault="00512A9A" w:rsidP="00512A9A">
      <w:pPr>
        <w:pStyle w:val="Default"/>
        <w:jc w:val="both"/>
        <w:rPr>
          <w:rFonts w:asciiTheme="minorHAnsi" w:hAnsiTheme="minorHAnsi" w:cstheme="minorBidi"/>
          <w:color w:val="auto"/>
          <w:sz w:val="22"/>
          <w:szCs w:val="22"/>
        </w:rPr>
      </w:pPr>
      <w:permStart w:id="1028159360" w:edGrp="everyone"/>
      <w:r w:rsidRPr="00512A9A">
        <w:rPr>
          <w:rFonts w:asciiTheme="minorHAnsi" w:hAnsiTheme="minorHAnsi" w:cstheme="minorBidi"/>
          <w:color w:val="auto"/>
          <w:sz w:val="22"/>
          <w:szCs w:val="22"/>
        </w:rPr>
        <w:t xml:space="preserve">We generally agree with the draft technical standards apart from the following issues: </w:t>
      </w:r>
    </w:p>
    <w:p w:rsidR="00512A9A" w:rsidRPr="00512A9A" w:rsidRDefault="00512A9A" w:rsidP="00512A9A">
      <w:pPr>
        <w:pStyle w:val="Default"/>
        <w:jc w:val="both"/>
        <w:rPr>
          <w:rFonts w:asciiTheme="minorHAnsi" w:hAnsiTheme="minorHAnsi" w:cstheme="minorBidi"/>
          <w:color w:val="auto"/>
          <w:sz w:val="22"/>
          <w:szCs w:val="22"/>
        </w:rPr>
      </w:pPr>
    </w:p>
    <w:p w:rsidR="00512A9A" w:rsidRPr="00DE73CB" w:rsidRDefault="00512A9A" w:rsidP="00512A9A">
      <w:pPr>
        <w:pStyle w:val="Default"/>
        <w:numPr>
          <w:ilvl w:val="0"/>
          <w:numId w:val="23"/>
        </w:numPr>
        <w:jc w:val="both"/>
        <w:rPr>
          <w:rFonts w:asciiTheme="minorHAnsi" w:hAnsiTheme="minorHAnsi" w:cstheme="minorBidi"/>
          <w:i/>
          <w:color w:val="auto"/>
          <w:sz w:val="22"/>
          <w:szCs w:val="22"/>
        </w:rPr>
      </w:pPr>
      <w:r w:rsidRPr="00512A9A">
        <w:rPr>
          <w:rFonts w:asciiTheme="minorHAnsi" w:hAnsiTheme="minorHAnsi" w:cstheme="minorBidi"/>
          <w:color w:val="auto"/>
          <w:sz w:val="22"/>
          <w:szCs w:val="22"/>
        </w:rPr>
        <w:t>ESMA suggests that an APA and CTP should be able to delete and amend the information which it received from the entity providing it with information. This will allow an APA and CTP to deal with situations where in exceptional circumstances the entity cannot delete or amend the information itself. We consider that deleting and amending trade reports from IFs through a service provider can have legal consequences, which not every provider wants to assume. Therefore, we would strongly argue for the deletion of this requirement. This should be up to competing service providers to offer as an additional service.</w:t>
      </w:r>
    </w:p>
    <w:p w:rsidR="00DE73CB" w:rsidRDefault="00DE73CB" w:rsidP="00DE73CB">
      <w:pPr>
        <w:pStyle w:val="Default"/>
        <w:ind w:left="720"/>
        <w:jc w:val="both"/>
        <w:rPr>
          <w:rFonts w:asciiTheme="minorHAnsi" w:hAnsiTheme="minorHAnsi" w:cstheme="minorBidi"/>
          <w:color w:val="auto"/>
          <w:sz w:val="22"/>
          <w:szCs w:val="22"/>
        </w:rPr>
      </w:pPr>
    </w:p>
    <w:p w:rsidR="00DE73CB" w:rsidRPr="00512A9A" w:rsidRDefault="00DE73CB" w:rsidP="00DE73CB">
      <w:pPr>
        <w:pStyle w:val="Default"/>
        <w:ind w:left="720"/>
        <w:jc w:val="both"/>
        <w:rPr>
          <w:rFonts w:asciiTheme="minorHAnsi" w:hAnsiTheme="minorHAnsi" w:cstheme="minorBidi"/>
          <w:i/>
          <w:color w:val="auto"/>
          <w:sz w:val="22"/>
          <w:szCs w:val="22"/>
        </w:rPr>
      </w:pPr>
      <w:r>
        <w:rPr>
          <w:rFonts w:asciiTheme="minorHAnsi" w:hAnsiTheme="minorHAnsi" w:cstheme="minorBidi"/>
          <w:color w:val="auto"/>
          <w:sz w:val="22"/>
          <w:szCs w:val="22"/>
        </w:rPr>
        <w:t>Furthermore, we do not support the obligation in Art 14(4) that requires an APA to ensure it does not publish a trade report where it determines it is erroneous. While we agree APAs should ensure the trade report is complete, it cannot monitor for erroneous trades prior to publication, given trades are required to be published immediately. We therefore suggest deleting the reference to erroneous trades in this provision.</w:t>
      </w:r>
    </w:p>
    <w:p w:rsidR="00512A9A" w:rsidRPr="00512A9A" w:rsidRDefault="00512A9A" w:rsidP="00512A9A">
      <w:pPr>
        <w:pStyle w:val="Default"/>
        <w:ind w:left="720"/>
        <w:jc w:val="both"/>
        <w:rPr>
          <w:rFonts w:asciiTheme="minorHAnsi" w:hAnsiTheme="minorHAnsi" w:cstheme="minorBidi"/>
          <w:i/>
          <w:color w:val="auto"/>
          <w:sz w:val="22"/>
          <w:szCs w:val="22"/>
        </w:rPr>
      </w:pPr>
    </w:p>
    <w:p w:rsidR="00512A9A" w:rsidRPr="00512A9A" w:rsidRDefault="00512A9A" w:rsidP="00512A9A">
      <w:pPr>
        <w:pStyle w:val="Default"/>
        <w:numPr>
          <w:ilvl w:val="0"/>
          <w:numId w:val="23"/>
        </w:numPr>
        <w:jc w:val="both"/>
        <w:rPr>
          <w:rFonts w:asciiTheme="minorHAnsi" w:hAnsiTheme="minorHAnsi" w:cstheme="minorBidi"/>
          <w:color w:val="auto"/>
          <w:sz w:val="22"/>
          <w:szCs w:val="22"/>
        </w:rPr>
      </w:pPr>
      <w:r w:rsidRPr="00512A9A">
        <w:rPr>
          <w:rFonts w:asciiTheme="minorHAnsi" w:hAnsiTheme="minorHAnsi" w:cstheme="minorBidi"/>
          <w:color w:val="auto"/>
          <w:sz w:val="22"/>
          <w:szCs w:val="22"/>
        </w:rPr>
        <w:lastRenderedPageBreak/>
        <w:t xml:space="preserve">Requirements for stress tests are not being supported at all. DSRPs have a significant interest to provide their services at all times and usually cater for such tests. Therefore, we suggest the deletion of this requirement in Recital 15. Furthermore, the last sentence of the Recital should be amended and state: </w:t>
      </w:r>
      <w:r w:rsidRPr="00512A9A">
        <w:rPr>
          <w:rFonts w:asciiTheme="minorHAnsi" w:hAnsiTheme="minorHAnsi" w:cstheme="minorBidi"/>
          <w:i/>
          <w:color w:val="auto"/>
          <w:sz w:val="22"/>
          <w:szCs w:val="22"/>
        </w:rPr>
        <w:t>“In order to handle this, the DRSP should ensure operating at sufficient capacity including headroom capacity”</w:t>
      </w:r>
      <w:r w:rsidRPr="00512A9A">
        <w:rPr>
          <w:rFonts w:asciiTheme="minorHAnsi" w:hAnsiTheme="minorHAnsi" w:cstheme="minorBidi"/>
          <w:color w:val="auto"/>
          <w:sz w:val="22"/>
          <w:szCs w:val="22"/>
        </w:rPr>
        <w:t>. We consider that this would be sufficient.</w:t>
      </w:r>
    </w:p>
    <w:p w:rsidR="00512A9A" w:rsidRPr="00512A9A" w:rsidRDefault="00BA1955" w:rsidP="00512A9A">
      <w:pPr>
        <w:pStyle w:val="Default"/>
        <w:numPr>
          <w:ilvl w:val="0"/>
          <w:numId w:val="23"/>
        </w:numPr>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We recommend </w:t>
      </w:r>
      <w:r w:rsidR="00512A9A" w:rsidRPr="00512A9A">
        <w:rPr>
          <w:rFonts w:asciiTheme="minorHAnsi" w:hAnsiTheme="minorHAnsi" w:cstheme="minorBidi"/>
          <w:color w:val="auto"/>
          <w:sz w:val="22"/>
          <w:szCs w:val="22"/>
        </w:rPr>
        <w:t>delet</w:t>
      </w:r>
      <w:r>
        <w:rPr>
          <w:rFonts w:asciiTheme="minorHAnsi" w:hAnsiTheme="minorHAnsi" w:cstheme="minorBidi"/>
          <w:color w:val="auto"/>
          <w:sz w:val="22"/>
          <w:szCs w:val="22"/>
        </w:rPr>
        <w:t>ing</w:t>
      </w:r>
      <w:r w:rsidR="00512A9A" w:rsidRPr="00512A9A">
        <w:rPr>
          <w:rFonts w:asciiTheme="minorHAnsi" w:hAnsiTheme="minorHAnsi" w:cstheme="minorBidi"/>
          <w:color w:val="auto"/>
          <w:sz w:val="22"/>
          <w:szCs w:val="22"/>
        </w:rPr>
        <w:t xml:space="preserve"> Recital 20. While cyber-attacks are currently being discussed by regulators, necessary measures would need to be analysed before becoming enshrined into </w:t>
      </w:r>
      <w:proofErr w:type="spellStart"/>
      <w:r w:rsidR="00512A9A" w:rsidRPr="00512A9A">
        <w:rPr>
          <w:rFonts w:asciiTheme="minorHAnsi" w:hAnsiTheme="minorHAnsi" w:cstheme="minorBidi"/>
          <w:color w:val="auto"/>
          <w:sz w:val="22"/>
          <w:szCs w:val="22"/>
        </w:rPr>
        <w:t>MiFID</w:t>
      </w:r>
      <w:proofErr w:type="spellEnd"/>
      <w:r w:rsidR="00512A9A" w:rsidRPr="00512A9A">
        <w:rPr>
          <w:rFonts w:asciiTheme="minorHAnsi" w:hAnsiTheme="minorHAnsi" w:cstheme="minorBidi"/>
          <w:color w:val="auto"/>
          <w:sz w:val="22"/>
          <w:szCs w:val="22"/>
        </w:rPr>
        <w:t xml:space="preserve"> II / </w:t>
      </w:r>
      <w:proofErr w:type="spellStart"/>
      <w:r w:rsidR="00512A9A" w:rsidRPr="00512A9A">
        <w:rPr>
          <w:rFonts w:asciiTheme="minorHAnsi" w:hAnsiTheme="minorHAnsi" w:cstheme="minorBidi"/>
          <w:color w:val="auto"/>
          <w:sz w:val="22"/>
          <w:szCs w:val="22"/>
        </w:rPr>
        <w:t>MiFIR</w:t>
      </w:r>
      <w:proofErr w:type="spellEnd"/>
      <w:r w:rsidR="00512A9A" w:rsidRPr="00512A9A">
        <w:rPr>
          <w:rFonts w:asciiTheme="minorHAnsi" w:hAnsiTheme="minorHAnsi" w:cstheme="minorBidi"/>
          <w:color w:val="auto"/>
          <w:sz w:val="22"/>
          <w:szCs w:val="22"/>
        </w:rPr>
        <w:t xml:space="preserve">. </w:t>
      </w:r>
    </w:p>
    <w:p w:rsidR="00512A9A" w:rsidRPr="00512A9A" w:rsidRDefault="00512A9A" w:rsidP="00512A9A">
      <w:pPr>
        <w:pStyle w:val="Default"/>
        <w:jc w:val="both"/>
        <w:rPr>
          <w:rFonts w:asciiTheme="minorHAnsi" w:hAnsiTheme="minorHAnsi" w:cstheme="minorBidi"/>
          <w:color w:val="auto"/>
          <w:sz w:val="22"/>
          <w:szCs w:val="22"/>
        </w:rPr>
      </w:pPr>
    </w:p>
    <w:p w:rsidR="00512A9A" w:rsidRPr="00512A9A" w:rsidRDefault="00BA1955" w:rsidP="00512A9A">
      <w:pPr>
        <w:pStyle w:val="Default"/>
        <w:numPr>
          <w:ilvl w:val="0"/>
          <w:numId w:val="23"/>
        </w:numPr>
        <w:jc w:val="both"/>
        <w:rPr>
          <w:rFonts w:asciiTheme="minorHAnsi" w:hAnsiTheme="minorHAnsi" w:cstheme="minorBidi"/>
          <w:color w:val="auto"/>
          <w:sz w:val="22"/>
          <w:szCs w:val="22"/>
        </w:rPr>
      </w:pPr>
      <w:r>
        <w:rPr>
          <w:rFonts w:asciiTheme="minorHAnsi" w:hAnsiTheme="minorHAnsi" w:cstheme="minorBidi"/>
          <w:color w:val="auto"/>
          <w:sz w:val="22"/>
          <w:szCs w:val="22"/>
        </w:rPr>
        <w:t>We strongly recommend</w:t>
      </w:r>
      <w:r w:rsidR="00512A9A" w:rsidRPr="00512A9A">
        <w:rPr>
          <w:rFonts w:asciiTheme="minorHAnsi" w:hAnsiTheme="minorHAnsi" w:cstheme="minorBidi"/>
          <w:color w:val="auto"/>
          <w:sz w:val="22"/>
          <w:szCs w:val="22"/>
        </w:rPr>
        <w:t xml:space="preserve"> </w:t>
      </w:r>
      <w:r>
        <w:rPr>
          <w:rFonts w:asciiTheme="minorHAnsi" w:hAnsiTheme="minorHAnsi" w:cstheme="minorBidi"/>
          <w:color w:val="auto"/>
          <w:sz w:val="22"/>
          <w:szCs w:val="22"/>
        </w:rPr>
        <w:t>deleting</w:t>
      </w:r>
      <w:r w:rsidR="00512A9A" w:rsidRPr="00512A9A">
        <w:rPr>
          <w:rFonts w:asciiTheme="minorHAnsi" w:hAnsiTheme="minorHAnsi" w:cstheme="minorBidi"/>
          <w:color w:val="auto"/>
          <w:sz w:val="22"/>
          <w:szCs w:val="22"/>
        </w:rPr>
        <w:t xml:space="preserve"> Recital 22. While we agree with ESMA that CTPs might provide additional services, it seems overly intrusive to define which services these might be. This would be both restrictive and exclusive in terms of excluding potential service providers like exchanges seeking authorization from NCAs. W</w:t>
      </w:r>
      <w:r w:rsidR="00DC6F9D">
        <w:rPr>
          <w:rFonts w:asciiTheme="minorHAnsi" w:hAnsiTheme="minorHAnsi" w:cstheme="minorBidi"/>
          <w:color w:val="auto"/>
          <w:sz w:val="22"/>
          <w:szCs w:val="22"/>
        </w:rPr>
        <w:t xml:space="preserve">e therefore strongly suggest </w:t>
      </w:r>
      <w:r>
        <w:rPr>
          <w:rFonts w:asciiTheme="minorHAnsi" w:hAnsiTheme="minorHAnsi" w:cstheme="minorBidi"/>
          <w:color w:val="auto"/>
          <w:sz w:val="22"/>
          <w:szCs w:val="22"/>
        </w:rPr>
        <w:t>deleting</w:t>
      </w:r>
      <w:r w:rsidR="00512A9A" w:rsidRPr="00512A9A">
        <w:rPr>
          <w:rFonts w:asciiTheme="minorHAnsi" w:hAnsiTheme="minorHAnsi" w:cstheme="minorBidi"/>
          <w:color w:val="auto"/>
          <w:sz w:val="22"/>
          <w:szCs w:val="22"/>
        </w:rPr>
        <w:t xml:space="preserve"> this recital as well as the corresponding paragraph as outlined below.</w:t>
      </w:r>
    </w:p>
    <w:p w:rsidR="00512A9A" w:rsidRPr="00512A9A" w:rsidRDefault="00512A9A" w:rsidP="00512A9A">
      <w:pPr>
        <w:pStyle w:val="Default"/>
        <w:jc w:val="both"/>
        <w:rPr>
          <w:rFonts w:asciiTheme="minorHAnsi" w:hAnsiTheme="minorHAnsi" w:cstheme="minorBidi"/>
          <w:color w:val="auto"/>
          <w:sz w:val="22"/>
          <w:szCs w:val="22"/>
        </w:rPr>
      </w:pPr>
    </w:p>
    <w:p w:rsidR="00512A9A" w:rsidRPr="00512A9A" w:rsidRDefault="00CE6022" w:rsidP="00512A9A">
      <w:pPr>
        <w:pStyle w:val="Default"/>
        <w:numPr>
          <w:ilvl w:val="0"/>
          <w:numId w:val="23"/>
        </w:numPr>
        <w:jc w:val="both"/>
        <w:rPr>
          <w:rFonts w:asciiTheme="minorHAnsi" w:hAnsiTheme="minorHAnsi" w:cstheme="minorBidi"/>
          <w:color w:val="auto"/>
          <w:sz w:val="22"/>
          <w:szCs w:val="22"/>
        </w:rPr>
      </w:pPr>
      <w:r>
        <w:rPr>
          <w:rFonts w:asciiTheme="minorHAnsi" w:hAnsiTheme="minorHAnsi" w:cstheme="minorBidi"/>
          <w:color w:val="auto"/>
          <w:sz w:val="22"/>
          <w:szCs w:val="22"/>
        </w:rPr>
        <w:t>Regarding Art 5(2</w:t>
      </w:r>
      <w:proofErr w:type="gramStart"/>
      <w:r>
        <w:rPr>
          <w:rFonts w:asciiTheme="minorHAnsi" w:hAnsiTheme="minorHAnsi" w:cstheme="minorBidi"/>
          <w:color w:val="auto"/>
          <w:sz w:val="22"/>
          <w:szCs w:val="22"/>
        </w:rPr>
        <w:t>)</w:t>
      </w:r>
      <w:r w:rsidR="00512A9A" w:rsidRPr="00512A9A">
        <w:rPr>
          <w:rFonts w:asciiTheme="minorHAnsi" w:hAnsiTheme="minorHAnsi" w:cstheme="minorBidi"/>
          <w:color w:val="auto"/>
          <w:sz w:val="22"/>
          <w:szCs w:val="22"/>
        </w:rPr>
        <w:t>(</w:t>
      </w:r>
      <w:proofErr w:type="gramEnd"/>
      <w:r w:rsidR="00512A9A" w:rsidRPr="00512A9A">
        <w:rPr>
          <w:rFonts w:asciiTheme="minorHAnsi" w:hAnsiTheme="minorHAnsi" w:cstheme="minorBidi"/>
          <w:color w:val="auto"/>
          <w:sz w:val="22"/>
          <w:szCs w:val="22"/>
        </w:rPr>
        <w:t>a), it is unclear why ESMA requires the submission of information on the remuneration policy. This seems unjustified and disproportionate and therefore we consider that this should be deleted.</w:t>
      </w:r>
    </w:p>
    <w:p w:rsidR="00512A9A" w:rsidRPr="00512A9A" w:rsidRDefault="00512A9A" w:rsidP="00512A9A">
      <w:pPr>
        <w:pStyle w:val="Default"/>
        <w:jc w:val="both"/>
        <w:rPr>
          <w:rFonts w:asciiTheme="minorHAnsi" w:hAnsiTheme="minorHAnsi" w:cstheme="minorBidi"/>
          <w:color w:val="auto"/>
          <w:sz w:val="22"/>
          <w:szCs w:val="22"/>
        </w:rPr>
      </w:pPr>
    </w:p>
    <w:p w:rsidR="00512A9A" w:rsidRPr="00512A9A" w:rsidRDefault="00512A9A" w:rsidP="00512A9A">
      <w:pPr>
        <w:pStyle w:val="Default"/>
        <w:numPr>
          <w:ilvl w:val="0"/>
          <w:numId w:val="23"/>
        </w:numPr>
        <w:jc w:val="both"/>
        <w:rPr>
          <w:rFonts w:asciiTheme="minorHAnsi" w:hAnsiTheme="minorHAnsi" w:cstheme="minorBidi"/>
          <w:color w:val="auto"/>
          <w:sz w:val="22"/>
          <w:szCs w:val="22"/>
        </w:rPr>
      </w:pPr>
      <w:r w:rsidRPr="00512A9A">
        <w:rPr>
          <w:rFonts w:asciiTheme="minorHAnsi" w:hAnsiTheme="minorHAnsi" w:cstheme="minorBidi"/>
          <w:color w:val="auto"/>
          <w:sz w:val="22"/>
          <w:szCs w:val="22"/>
        </w:rPr>
        <w:t>Regarding Art 8</w:t>
      </w:r>
      <w:r w:rsidR="00CE6022">
        <w:rPr>
          <w:rFonts w:asciiTheme="minorHAnsi" w:hAnsiTheme="minorHAnsi" w:cstheme="minorBidi"/>
          <w:color w:val="auto"/>
          <w:sz w:val="22"/>
          <w:szCs w:val="22"/>
        </w:rPr>
        <w:t>(2</w:t>
      </w:r>
      <w:proofErr w:type="gramStart"/>
      <w:r w:rsidR="00CE6022">
        <w:rPr>
          <w:rFonts w:asciiTheme="minorHAnsi" w:hAnsiTheme="minorHAnsi" w:cstheme="minorBidi"/>
          <w:color w:val="auto"/>
          <w:sz w:val="22"/>
          <w:szCs w:val="22"/>
        </w:rPr>
        <w:t>)</w:t>
      </w:r>
      <w:r w:rsidRPr="00512A9A">
        <w:rPr>
          <w:rFonts w:asciiTheme="minorHAnsi" w:hAnsiTheme="minorHAnsi" w:cstheme="minorBidi"/>
          <w:color w:val="auto"/>
          <w:sz w:val="22"/>
          <w:szCs w:val="22"/>
        </w:rPr>
        <w:t>(</w:t>
      </w:r>
      <w:proofErr w:type="gramEnd"/>
      <w:r w:rsidRPr="00512A9A">
        <w:rPr>
          <w:rFonts w:asciiTheme="minorHAnsi" w:hAnsiTheme="minorHAnsi" w:cstheme="minorBidi"/>
          <w:color w:val="auto"/>
          <w:sz w:val="22"/>
          <w:szCs w:val="22"/>
        </w:rPr>
        <w:t xml:space="preserve">c), the determination of fees charged by the DSRPs and related third parties should be deleted. In a competitive market it is questionable why a NCA should be involved in the determination of price setting. This is disproportionate and unjustified, and therefore should be deleted. </w:t>
      </w:r>
    </w:p>
    <w:p w:rsidR="00512A9A" w:rsidRPr="00512A9A" w:rsidRDefault="00512A9A" w:rsidP="00512A9A">
      <w:pPr>
        <w:pStyle w:val="Default"/>
        <w:jc w:val="both"/>
        <w:rPr>
          <w:rFonts w:asciiTheme="minorHAnsi" w:hAnsiTheme="minorHAnsi" w:cstheme="minorBidi"/>
          <w:color w:val="auto"/>
          <w:sz w:val="22"/>
          <w:szCs w:val="22"/>
        </w:rPr>
      </w:pPr>
    </w:p>
    <w:p w:rsidR="00512A9A" w:rsidRPr="00512A9A" w:rsidRDefault="00512A9A" w:rsidP="00512A9A">
      <w:pPr>
        <w:pStyle w:val="Default"/>
        <w:numPr>
          <w:ilvl w:val="0"/>
          <w:numId w:val="23"/>
        </w:numPr>
        <w:jc w:val="both"/>
        <w:rPr>
          <w:rFonts w:asciiTheme="minorHAnsi" w:hAnsiTheme="minorHAnsi" w:cstheme="minorBidi"/>
          <w:color w:val="auto"/>
          <w:sz w:val="22"/>
          <w:szCs w:val="22"/>
        </w:rPr>
      </w:pPr>
      <w:r w:rsidRPr="00512A9A">
        <w:rPr>
          <w:rFonts w:asciiTheme="minorHAnsi" w:hAnsiTheme="minorHAnsi" w:cstheme="minorBidi"/>
          <w:color w:val="auto"/>
          <w:sz w:val="22"/>
          <w:szCs w:val="22"/>
        </w:rPr>
        <w:t>We suggest the introduction of a n</w:t>
      </w:r>
      <w:r w:rsidR="00236CF3">
        <w:rPr>
          <w:rFonts w:asciiTheme="minorHAnsi" w:hAnsiTheme="minorHAnsi" w:cstheme="minorBidi"/>
          <w:color w:val="auto"/>
          <w:sz w:val="22"/>
          <w:szCs w:val="22"/>
        </w:rPr>
        <w:t>ew Art 9(5) (new) and Art 10(3</w:t>
      </w:r>
      <w:r w:rsidRPr="00512A9A">
        <w:rPr>
          <w:rFonts w:asciiTheme="minorHAnsi" w:hAnsiTheme="minorHAnsi" w:cstheme="minorBidi"/>
          <w:color w:val="auto"/>
          <w:sz w:val="22"/>
          <w:szCs w:val="22"/>
        </w:rPr>
        <w:t xml:space="preserve">) (new) which states: </w:t>
      </w:r>
      <w:r w:rsidRPr="00512A9A">
        <w:rPr>
          <w:rFonts w:asciiTheme="minorHAnsi" w:hAnsiTheme="minorHAnsi" w:cstheme="minorBidi"/>
          <w:i/>
          <w:color w:val="auto"/>
          <w:sz w:val="22"/>
          <w:szCs w:val="22"/>
        </w:rPr>
        <w:t>“where the DSRP is already regulated as a trading venue, it shall be considered to comply with these requirements”</w:t>
      </w:r>
      <w:r w:rsidRPr="00512A9A">
        <w:rPr>
          <w:rFonts w:asciiTheme="minorHAnsi" w:hAnsiTheme="minorHAnsi" w:cstheme="minorBidi"/>
          <w:color w:val="auto"/>
          <w:sz w:val="22"/>
          <w:szCs w:val="22"/>
        </w:rPr>
        <w:t>.</w:t>
      </w:r>
      <w:r w:rsidRPr="00512A9A">
        <w:rPr>
          <w:rFonts w:asciiTheme="minorHAnsi" w:hAnsiTheme="minorHAnsi" w:cstheme="minorBidi"/>
          <w:i/>
          <w:color w:val="auto"/>
          <w:sz w:val="22"/>
          <w:szCs w:val="22"/>
        </w:rPr>
        <w:t xml:space="preserve"> </w:t>
      </w:r>
      <w:r w:rsidRPr="00512A9A">
        <w:rPr>
          <w:rFonts w:asciiTheme="minorHAnsi" w:hAnsiTheme="minorHAnsi" w:cstheme="minorBidi"/>
          <w:color w:val="auto"/>
          <w:sz w:val="22"/>
          <w:szCs w:val="22"/>
        </w:rPr>
        <w:t xml:space="preserve">Regulated Markets (RMs) are already appropriately regulated and supervised and have significant experience as regards data processing and publication. We consider that imposing additional administrative burdens would be disproportionate and not in line with the Level 1 text. Therefore, we recommend </w:t>
      </w:r>
      <w:proofErr w:type="gramStart"/>
      <w:r w:rsidRPr="00512A9A">
        <w:rPr>
          <w:rFonts w:asciiTheme="minorHAnsi" w:hAnsiTheme="minorHAnsi" w:cstheme="minorBidi"/>
          <w:color w:val="auto"/>
          <w:sz w:val="22"/>
          <w:szCs w:val="22"/>
        </w:rPr>
        <w:t>to include</w:t>
      </w:r>
      <w:proofErr w:type="gramEnd"/>
      <w:r w:rsidRPr="00512A9A">
        <w:rPr>
          <w:rFonts w:asciiTheme="minorHAnsi" w:hAnsiTheme="minorHAnsi" w:cstheme="minorBidi"/>
          <w:color w:val="auto"/>
          <w:sz w:val="22"/>
          <w:szCs w:val="22"/>
        </w:rPr>
        <w:t xml:space="preserve"> these new paragraphs to state that RMs comply with these requirements.</w:t>
      </w:r>
    </w:p>
    <w:p w:rsidR="00512A9A" w:rsidRPr="00512A9A" w:rsidRDefault="00512A9A" w:rsidP="00512A9A">
      <w:pPr>
        <w:spacing w:line="240" w:lineRule="auto"/>
        <w:ind w:left="360" w:hanging="360"/>
      </w:pPr>
    </w:p>
    <w:p w:rsidR="00512A9A" w:rsidRDefault="00512A9A" w:rsidP="00F51125">
      <w:pPr>
        <w:pStyle w:val="ListParagraph"/>
        <w:numPr>
          <w:ilvl w:val="0"/>
          <w:numId w:val="23"/>
        </w:numPr>
        <w:rPr>
          <w:rFonts w:eastAsiaTheme="minorHAnsi"/>
        </w:rPr>
      </w:pPr>
      <w:r w:rsidRPr="00512A9A">
        <w:rPr>
          <w:rFonts w:eastAsiaTheme="minorHAnsi"/>
        </w:rPr>
        <w:t>Regard</w:t>
      </w:r>
      <w:r w:rsidR="0064210E">
        <w:rPr>
          <w:rFonts w:eastAsiaTheme="minorHAnsi"/>
        </w:rPr>
        <w:t>ing Art 11(</w:t>
      </w:r>
      <w:r w:rsidRPr="00512A9A">
        <w:rPr>
          <w:rFonts w:eastAsiaTheme="minorHAnsi"/>
        </w:rPr>
        <w:t>5</w:t>
      </w:r>
      <w:proofErr w:type="gramStart"/>
      <w:r w:rsidR="0064210E">
        <w:rPr>
          <w:rFonts w:eastAsiaTheme="minorHAnsi"/>
        </w:rPr>
        <w:t>)</w:t>
      </w:r>
      <w:r w:rsidRPr="00512A9A">
        <w:rPr>
          <w:rFonts w:eastAsiaTheme="minorHAnsi"/>
        </w:rPr>
        <w:t>(</w:t>
      </w:r>
      <w:proofErr w:type="gramEnd"/>
      <w:r w:rsidRPr="00512A9A">
        <w:rPr>
          <w:rFonts w:eastAsiaTheme="minorHAnsi"/>
        </w:rPr>
        <w:t xml:space="preserve">g), </w:t>
      </w:r>
      <w:r w:rsidR="00021BF5">
        <w:t>w</w:t>
      </w:r>
      <w:r w:rsidRPr="00512A9A">
        <w:t>e do not agree with ESMAs proposal to establish maximum recovery times for DRSPs. This will be too prescriptive for the various providers while not providing for a quicker resumption of a business. DSRPs will always aim to provide the best service under competition, however, in severe cases 6 hours might not be achievable and a legal requirement will not change the impracticalities of such recovery. Instead of imposing legal requirements in fixed terms, ESMA should require that service level descriptions shall contain information about business continuity arrangements and be transparent to the customer</w:t>
      </w:r>
      <w:r w:rsidRPr="00512A9A">
        <w:rPr>
          <w:rFonts w:eastAsiaTheme="minorHAnsi"/>
        </w:rPr>
        <w:t>.</w:t>
      </w:r>
    </w:p>
    <w:p w:rsidR="00F51125" w:rsidRDefault="00F51125" w:rsidP="00F51125">
      <w:pPr>
        <w:rPr>
          <w:rFonts w:eastAsiaTheme="minorHAnsi"/>
        </w:rPr>
      </w:pPr>
    </w:p>
    <w:p w:rsidR="00F51125" w:rsidRPr="00F51125" w:rsidRDefault="00F51125" w:rsidP="00F51125">
      <w:pPr>
        <w:pStyle w:val="ListParagraph"/>
        <w:rPr>
          <w:rFonts w:eastAsiaTheme="minorHAnsi"/>
        </w:rPr>
      </w:pPr>
      <w:r>
        <w:rPr>
          <w:rFonts w:eastAsiaTheme="minorHAnsi"/>
        </w:rPr>
        <w:t>Art 12(8</w:t>
      </w:r>
      <w:proofErr w:type="gramStart"/>
      <w:r>
        <w:rPr>
          <w:rFonts w:eastAsiaTheme="minorHAnsi"/>
        </w:rPr>
        <w:t>)(</w:t>
      </w:r>
      <w:proofErr w:type="gramEnd"/>
      <w:r>
        <w:rPr>
          <w:rFonts w:eastAsiaTheme="minorHAnsi"/>
        </w:rPr>
        <w:t xml:space="preserve">a) requires a DRSP to have sufficient capacity to perform its functions “without failure or outages, missing or incorrect data”. While this will always be the aim of every DRSP, not just for regulatory reasons but to ensure that it can provide a commercially reliable and therefore attractive service, 100% error free service cannot be guaranteed. There the article should be amended to provide some level of flexibility i.e. “have sufficient capacity to perform its functions </w:t>
      </w:r>
      <w:r w:rsidRPr="00F51125">
        <w:rPr>
          <w:rFonts w:eastAsiaTheme="minorHAnsi"/>
          <w:b/>
          <w:color w:val="FF0000"/>
        </w:rPr>
        <w:t>with minimal</w:t>
      </w:r>
      <w:r w:rsidRPr="00F51125">
        <w:rPr>
          <w:rFonts w:eastAsiaTheme="minorHAnsi"/>
          <w:color w:val="FF0000"/>
        </w:rPr>
        <w:t xml:space="preserve"> </w:t>
      </w:r>
      <w:r w:rsidRPr="00F51125">
        <w:rPr>
          <w:rFonts w:eastAsiaTheme="minorHAnsi"/>
          <w:strike/>
        </w:rPr>
        <w:t>without</w:t>
      </w:r>
      <w:r>
        <w:rPr>
          <w:rFonts w:eastAsiaTheme="minorHAnsi"/>
        </w:rPr>
        <w:t xml:space="preserve"> failure or outages, missing or incorrect data”.</w:t>
      </w:r>
    </w:p>
    <w:p w:rsidR="00512A9A" w:rsidRDefault="00512A9A" w:rsidP="00512A9A"/>
    <w:p w:rsidR="00B66B31" w:rsidRDefault="00B66B31" w:rsidP="00F51125">
      <w:pPr>
        <w:pStyle w:val="ListParagraph"/>
      </w:pPr>
      <w:r>
        <w:lastRenderedPageBreak/>
        <w:t xml:space="preserve">Regarding the proposed outsourcing requirements in Art 16 which we believe are in general proportionate and </w:t>
      </w:r>
      <w:proofErr w:type="gramStart"/>
      <w:r>
        <w:t>appropriate,</w:t>
      </w:r>
      <w:proofErr w:type="gramEnd"/>
      <w:r>
        <w:t xml:space="preserve"> we would like to highlight </w:t>
      </w:r>
      <w:r w:rsidR="008B52C5">
        <w:t>o</w:t>
      </w:r>
      <w:r w:rsidR="009B74AE">
        <w:t>ne area that is of</w:t>
      </w:r>
      <w:r w:rsidR="008B52C5">
        <w:t xml:space="preserve"> serious concern. T</w:t>
      </w:r>
      <w:r>
        <w:t>he proposal in 5(c) to mandate that the competent authority of the DRSP must be able to obtain information directly from the service provider. While we fully agree that the relevant competent authority of the DRSP must be able to exercise their supervisory powers, we do not agree that this should place a requirement on the DRSP to include additional rights of the competent author</w:t>
      </w:r>
      <w:r w:rsidR="00B25B2B">
        <w:t>ity in the commercial agreement with its service provider</w:t>
      </w:r>
      <w:r>
        <w:t>. It should be sufficient for the DRSP to require that its service provider will comply with any requests for information from the competent authority and that these can be made either via the DRSP or via the competent authority of the service provider if it is in another EU Member State. We believe that anything in excess of that could be excessively onerous for the service provider and therefore reduce the appetite of such providers which could in turn reduce competition in this space</w:t>
      </w:r>
      <w:r w:rsidR="008B52C5">
        <w:t xml:space="preserve">. </w:t>
      </w:r>
    </w:p>
    <w:p w:rsidR="00B66B31" w:rsidRPr="00512A9A" w:rsidRDefault="00B66B31" w:rsidP="00B66B31">
      <w:pPr>
        <w:ind w:left="360"/>
      </w:pPr>
    </w:p>
    <w:p w:rsidR="00512A9A" w:rsidRPr="00512A9A" w:rsidRDefault="00B66B31" w:rsidP="00F51125">
      <w:pPr>
        <w:pStyle w:val="ListParagraph"/>
        <w:numPr>
          <w:ilvl w:val="0"/>
          <w:numId w:val="23"/>
        </w:numPr>
        <w:rPr>
          <w:rFonts w:eastAsiaTheme="minorHAnsi"/>
        </w:rPr>
      </w:pPr>
      <w:r>
        <w:t>We propose</w:t>
      </w:r>
      <w:r w:rsidR="00512A9A" w:rsidRPr="00512A9A">
        <w:t xml:space="preserve"> to delete Art 18 in </w:t>
      </w:r>
      <w:r w:rsidR="00AD1D63">
        <w:t>draft RTS</w:t>
      </w:r>
      <w:r w:rsidR="00512A9A" w:rsidRPr="00512A9A">
        <w:t xml:space="preserve"> 20. We question why ESMA outlined additional services which may be provided by a CTP. We deem this an unjustified restriction, especially as services offered by RMs are not explicitly included in the description, while at the same time research services are being explicitly included. While we fully agree with ESMA that CTPs should be allowed to offer additional services, we do not support to include selected services in a “positive list” within the regulation. We consider that CTPs can offer other services as long as this does not hinder the services provided as a CTP. We therefore strongly advice to delete Art 18 in </w:t>
      </w:r>
      <w:r w:rsidR="00AD1D63">
        <w:t>draft RTS</w:t>
      </w:r>
      <w:r w:rsidR="00512A9A" w:rsidRPr="00512A9A">
        <w:t xml:space="preserve"> 20. </w:t>
      </w:r>
    </w:p>
    <w:permEnd w:id="102815936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B64506" w:rsidP="00EC2C93">
      <w:pPr>
        <w:keepNext/>
      </w:pPr>
      <w:permStart w:id="1968650940" w:edGrp="everyone"/>
      <w:r w:rsidRPr="00B64506">
        <w:t xml:space="preserve"> </w:t>
      </w:r>
      <w:r>
        <w:t>TYPE YOUR TEXT HERE</w:t>
      </w:r>
    </w:p>
    <w:permEnd w:id="1968650940"/>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12A9A" w:rsidRPr="00512A9A" w:rsidRDefault="00512A9A" w:rsidP="00E709A4">
      <w:pPr>
        <w:pStyle w:val="Default"/>
        <w:jc w:val="both"/>
        <w:rPr>
          <w:rFonts w:asciiTheme="minorHAnsi" w:hAnsiTheme="minorHAnsi" w:cstheme="minorBidi"/>
          <w:color w:val="auto"/>
          <w:sz w:val="22"/>
          <w:szCs w:val="22"/>
        </w:rPr>
      </w:pPr>
      <w:permStart w:id="150555482" w:edGrp="everyone"/>
      <w:r w:rsidRPr="00512A9A">
        <w:rPr>
          <w:rFonts w:asciiTheme="minorHAnsi" w:hAnsiTheme="minorHAnsi" w:cstheme="minorBidi"/>
          <w:color w:val="auto"/>
          <w:sz w:val="22"/>
          <w:szCs w:val="22"/>
        </w:rPr>
        <w:t xml:space="preserve">We appreciate ESMAs neutral approach; however, we do not agree with ESMA on using free open source software only or on a 1 month only notice period. </w:t>
      </w:r>
    </w:p>
    <w:p w:rsidR="00512A9A" w:rsidRPr="00512A9A" w:rsidRDefault="00512A9A" w:rsidP="00E709A4">
      <w:pPr>
        <w:pStyle w:val="Default"/>
        <w:jc w:val="both"/>
        <w:rPr>
          <w:rFonts w:asciiTheme="minorHAnsi" w:hAnsiTheme="minorHAnsi" w:cstheme="minorBidi"/>
          <w:color w:val="auto"/>
          <w:sz w:val="22"/>
          <w:szCs w:val="22"/>
        </w:rPr>
      </w:pPr>
    </w:p>
    <w:p w:rsidR="00512A9A" w:rsidRPr="00512A9A" w:rsidRDefault="00512A9A" w:rsidP="00E709A4">
      <w:pPr>
        <w:pStyle w:val="Default"/>
        <w:jc w:val="both"/>
        <w:rPr>
          <w:rFonts w:asciiTheme="minorHAnsi" w:hAnsiTheme="minorHAnsi" w:cstheme="minorBidi"/>
          <w:color w:val="auto"/>
          <w:sz w:val="22"/>
          <w:szCs w:val="22"/>
        </w:rPr>
      </w:pPr>
      <w:r w:rsidRPr="00512A9A">
        <w:rPr>
          <w:rFonts w:asciiTheme="minorHAnsi" w:hAnsiTheme="minorHAnsi" w:cstheme="minorBidi"/>
          <w:color w:val="auto"/>
          <w:sz w:val="22"/>
          <w:szCs w:val="22"/>
        </w:rPr>
        <w:t xml:space="preserve">We do not agree with the wording provided by ESMA regarding Art 14. (iii). </w:t>
      </w:r>
      <w:proofErr w:type="gramStart"/>
      <w:r w:rsidRPr="00512A9A">
        <w:rPr>
          <w:rFonts w:asciiTheme="minorHAnsi" w:hAnsiTheme="minorHAnsi" w:cstheme="minorBidi"/>
          <w:color w:val="auto"/>
          <w:sz w:val="22"/>
          <w:szCs w:val="22"/>
        </w:rPr>
        <w:t>Currently</w:t>
      </w:r>
      <w:proofErr w:type="gramEnd"/>
      <w:r w:rsidRPr="00512A9A">
        <w:rPr>
          <w:rFonts w:asciiTheme="minorHAnsi" w:hAnsiTheme="minorHAnsi" w:cstheme="minorBidi"/>
          <w:color w:val="auto"/>
          <w:sz w:val="22"/>
          <w:szCs w:val="22"/>
        </w:rPr>
        <w:t xml:space="preserve">, several exchanges provide APA like services already via the infrastructure and data feeds they operate for on-exchange trading purposes. This provides cost-effective solutions to their customers.  While some exchanges apply proprietary protocols, others have applied more standard solutions. The source code is not always openly shared due to the fact that software contains certain assets as well as IP rights. </w:t>
      </w:r>
      <w:proofErr w:type="gramStart"/>
      <w:r w:rsidRPr="00512A9A">
        <w:rPr>
          <w:rFonts w:asciiTheme="minorHAnsi" w:hAnsiTheme="minorHAnsi" w:cstheme="minorBidi"/>
          <w:color w:val="auto"/>
          <w:sz w:val="22"/>
          <w:szCs w:val="22"/>
        </w:rPr>
        <w:t>Therefore, all of these protocols, regardless if they are proprietary or not, provide real-time data in push mode directly to the CTP/Consolidator, without them having to collect it.</w:t>
      </w:r>
      <w:proofErr w:type="gramEnd"/>
      <w:r w:rsidRPr="00512A9A">
        <w:rPr>
          <w:rFonts w:asciiTheme="minorHAnsi" w:hAnsiTheme="minorHAnsi" w:cstheme="minorBidi"/>
          <w:color w:val="auto"/>
          <w:sz w:val="22"/>
          <w:szCs w:val="22"/>
        </w:rPr>
        <w:t xml:space="preserve"> Therefore, we strongly suggest that ESMA in line with being neutral is not taking a bias position on whether a source code is open or not, but instead whether data is being delivered securely to the CTP/ Consolidator. Regardless, exchanges should not be required to apply different protocols than they currently </w:t>
      </w:r>
      <w:r w:rsidRPr="00512A9A">
        <w:rPr>
          <w:rFonts w:asciiTheme="minorHAnsi" w:hAnsiTheme="minorHAnsi" w:cstheme="minorBidi"/>
          <w:color w:val="auto"/>
          <w:sz w:val="22"/>
          <w:szCs w:val="22"/>
        </w:rPr>
        <w:lastRenderedPageBreak/>
        <w:t xml:space="preserve">use as they already provide reliable data to CTP/Consolidators while posing significantly less risk on them as regards the omission of data. </w:t>
      </w:r>
    </w:p>
    <w:p w:rsidR="00512A9A" w:rsidRPr="00512A9A" w:rsidRDefault="00512A9A" w:rsidP="00E709A4">
      <w:pPr>
        <w:pStyle w:val="Default"/>
        <w:jc w:val="both"/>
        <w:rPr>
          <w:rFonts w:asciiTheme="minorHAnsi" w:hAnsiTheme="minorHAnsi" w:cstheme="minorBidi"/>
          <w:color w:val="auto"/>
          <w:sz w:val="22"/>
          <w:szCs w:val="22"/>
        </w:rPr>
      </w:pPr>
    </w:p>
    <w:p w:rsidR="00512A9A" w:rsidRPr="00512A9A" w:rsidRDefault="00512A9A" w:rsidP="00E709A4">
      <w:pPr>
        <w:pStyle w:val="Default"/>
        <w:jc w:val="both"/>
        <w:rPr>
          <w:rFonts w:asciiTheme="minorHAnsi" w:hAnsiTheme="minorHAnsi" w:cstheme="minorBidi"/>
          <w:color w:val="auto"/>
          <w:sz w:val="22"/>
          <w:szCs w:val="22"/>
        </w:rPr>
      </w:pPr>
      <w:r w:rsidRPr="00512A9A">
        <w:rPr>
          <w:rFonts w:asciiTheme="minorHAnsi" w:hAnsiTheme="minorHAnsi" w:cstheme="minorBidi"/>
          <w:color w:val="auto"/>
          <w:sz w:val="22"/>
          <w:szCs w:val="22"/>
        </w:rPr>
        <w:t xml:space="preserve">Furthermore, we disagree with the 1 month advance notice period suggested by ESMA and strongly suggest </w:t>
      </w:r>
      <w:proofErr w:type="gramStart"/>
      <w:r w:rsidRPr="00512A9A">
        <w:rPr>
          <w:rFonts w:asciiTheme="minorHAnsi" w:hAnsiTheme="minorHAnsi" w:cstheme="minorBidi"/>
          <w:color w:val="auto"/>
          <w:sz w:val="22"/>
          <w:szCs w:val="22"/>
        </w:rPr>
        <w:t>to increase</w:t>
      </w:r>
      <w:proofErr w:type="gramEnd"/>
      <w:r w:rsidRPr="00512A9A">
        <w:rPr>
          <w:rFonts w:asciiTheme="minorHAnsi" w:hAnsiTheme="minorHAnsi" w:cstheme="minorBidi"/>
          <w:color w:val="auto"/>
          <w:sz w:val="22"/>
          <w:szCs w:val="22"/>
        </w:rPr>
        <w:t xml:space="preserve"> it to a 3 month advance notice at least. This is the market standard while consolidators usually appreciate even longer advance notices where possible. </w:t>
      </w:r>
    </w:p>
    <w:p w:rsidR="00512A9A" w:rsidRPr="00512A9A" w:rsidRDefault="00512A9A" w:rsidP="00E709A4">
      <w:pPr>
        <w:pStyle w:val="Default"/>
        <w:jc w:val="both"/>
        <w:rPr>
          <w:rFonts w:asciiTheme="minorHAnsi" w:hAnsiTheme="minorHAnsi" w:cstheme="minorBidi"/>
          <w:color w:val="auto"/>
          <w:sz w:val="22"/>
          <w:szCs w:val="22"/>
        </w:rPr>
      </w:pPr>
    </w:p>
    <w:p w:rsidR="00512A9A" w:rsidRPr="00512A9A" w:rsidRDefault="00512A9A" w:rsidP="00E709A4">
      <w:pPr>
        <w:pStyle w:val="Default"/>
        <w:jc w:val="both"/>
        <w:rPr>
          <w:rFonts w:asciiTheme="minorHAnsi" w:hAnsiTheme="minorHAnsi" w:cstheme="minorBidi"/>
          <w:color w:val="auto"/>
          <w:sz w:val="22"/>
          <w:szCs w:val="22"/>
        </w:rPr>
      </w:pPr>
      <w:r w:rsidRPr="00512A9A">
        <w:rPr>
          <w:rFonts w:asciiTheme="minorHAnsi" w:hAnsiTheme="minorHAnsi" w:cstheme="minorBidi"/>
          <w:color w:val="auto"/>
          <w:sz w:val="22"/>
          <w:szCs w:val="22"/>
        </w:rPr>
        <w:t xml:space="preserve">Regarding machine readability, one of the short-comings of </w:t>
      </w:r>
      <w:proofErr w:type="spellStart"/>
      <w:r w:rsidRPr="00512A9A">
        <w:rPr>
          <w:rFonts w:asciiTheme="minorHAnsi" w:hAnsiTheme="minorHAnsi" w:cstheme="minorBidi"/>
          <w:color w:val="auto"/>
          <w:sz w:val="22"/>
          <w:szCs w:val="22"/>
        </w:rPr>
        <w:t>MiFID</w:t>
      </w:r>
      <w:proofErr w:type="spellEnd"/>
      <w:r w:rsidRPr="00512A9A">
        <w:rPr>
          <w:rFonts w:asciiTheme="minorHAnsi" w:hAnsiTheme="minorHAnsi" w:cstheme="minorBidi"/>
          <w:color w:val="auto"/>
          <w:sz w:val="22"/>
          <w:szCs w:val="22"/>
        </w:rPr>
        <w:t xml:space="preserve"> I was the publication of OTC trade data on web-sites which resulted in non-consolidation of this data. This was due to the fact that the effort </w:t>
      </w:r>
      <w:r w:rsidR="00C256AC">
        <w:rPr>
          <w:rFonts w:asciiTheme="minorHAnsi" w:hAnsiTheme="minorHAnsi" w:cstheme="minorBidi"/>
          <w:color w:val="auto"/>
          <w:sz w:val="22"/>
          <w:szCs w:val="22"/>
        </w:rPr>
        <w:t xml:space="preserve">to consolidate incurs </w:t>
      </w:r>
      <w:r w:rsidRPr="00512A9A">
        <w:rPr>
          <w:rFonts w:asciiTheme="minorHAnsi" w:hAnsiTheme="minorHAnsi" w:cstheme="minorBidi"/>
          <w:color w:val="auto"/>
          <w:sz w:val="22"/>
          <w:szCs w:val="22"/>
        </w:rPr>
        <w:t xml:space="preserve">significant costs, as well as significant risks for the CTP/Consolidator. Collecting data from web-sites is extremely costly and it significantly increases the risk for any CTP for omissions or errors. The complaints about a lack of a proper tape are well known to ESMA. The introduction of APAs was targeted at improving the quality of OTC data, both for the accuracy of the data as well as the completeness. Allowing web-based publication only will be reiterating again that same mistake of </w:t>
      </w:r>
      <w:proofErr w:type="spellStart"/>
      <w:r w:rsidRPr="00512A9A">
        <w:rPr>
          <w:rFonts w:asciiTheme="minorHAnsi" w:hAnsiTheme="minorHAnsi" w:cstheme="minorBidi"/>
          <w:color w:val="auto"/>
          <w:sz w:val="22"/>
          <w:szCs w:val="22"/>
        </w:rPr>
        <w:t>MiFID</w:t>
      </w:r>
      <w:proofErr w:type="spellEnd"/>
      <w:r w:rsidRPr="00512A9A">
        <w:rPr>
          <w:rFonts w:asciiTheme="minorHAnsi" w:hAnsiTheme="minorHAnsi" w:cstheme="minorBidi"/>
          <w:color w:val="auto"/>
          <w:sz w:val="22"/>
          <w:szCs w:val="22"/>
        </w:rPr>
        <w:t xml:space="preserve"> I, which led to current complaints by market participants about the lack of a reliable tape. The current acceptance of web-only publication by ESMA risks both </w:t>
      </w:r>
      <w:proofErr w:type="gramStart"/>
      <w:r w:rsidRPr="00512A9A">
        <w:rPr>
          <w:rFonts w:asciiTheme="minorHAnsi" w:hAnsiTheme="minorHAnsi" w:cstheme="minorBidi"/>
          <w:color w:val="auto"/>
          <w:sz w:val="22"/>
          <w:szCs w:val="22"/>
        </w:rPr>
        <w:t>non-consolidation</w:t>
      </w:r>
      <w:proofErr w:type="gramEnd"/>
      <w:r w:rsidRPr="00512A9A">
        <w:rPr>
          <w:rFonts w:asciiTheme="minorHAnsi" w:hAnsiTheme="minorHAnsi" w:cstheme="minorBidi"/>
          <w:color w:val="auto"/>
          <w:sz w:val="22"/>
          <w:szCs w:val="22"/>
        </w:rPr>
        <w:t xml:space="preserve"> of this data, as well as</w:t>
      </w:r>
      <w:r w:rsidR="00C256AC">
        <w:rPr>
          <w:rFonts w:asciiTheme="minorHAnsi" w:hAnsiTheme="minorHAnsi" w:cstheme="minorBidi"/>
          <w:color w:val="auto"/>
          <w:sz w:val="22"/>
          <w:szCs w:val="22"/>
        </w:rPr>
        <w:t xml:space="preserve"> a further discouragement for </w:t>
      </w:r>
      <w:r w:rsidRPr="00512A9A">
        <w:rPr>
          <w:rFonts w:asciiTheme="minorHAnsi" w:hAnsiTheme="minorHAnsi" w:cstheme="minorBidi"/>
          <w:color w:val="auto"/>
          <w:sz w:val="22"/>
          <w:szCs w:val="22"/>
        </w:rPr>
        <w:t>CTP</w:t>
      </w:r>
      <w:r w:rsidR="00C256AC">
        <w:rPr>
          <w:rFonts w:asciiTheme="minorHAnsi" w:hAnsiTheme="minorHAnsi" w:cstheme="minorBidi"/>
          <w:color w:val="auto"/>
          <w:sz w:val="22"/>
          <w:szCs w:val="22"/>
        </w:rPr>
        <w:t>s</w:t>
      </w:r>
      <w:r w:rsidRPr="00512A9A">
        <w:rPr>
          <w:rFonts w:asciiTheme="minorHAnsi" w:hAnsiTheme="minorHAnsi" w:cstheme="minorBidi"/>
          <w:color w:val="auto"/>
          <w:sz w:val="22"/>
          <w:szCs w:val="22"/>
        </w:rPr>
        <w:t xml:space="preserve"> to be the providers to enter the market.  An acceptance of web-publication only is neither effecti</w:t>
      </w:r>
      <w:r w:rsidR="00C256AC">
        <w:rPr>
          <w:rFonts w:asciiTheme="minorHAnsi" w:hAnsiTheme="minorHAnsi" w:cstheme="minorBidi"/>
          <w:color w:val="auto"/>
          <w:sz w:val="22"/>
          <w:szCs w:val="22"/>
        </w:rPr>
        <w:t>ve nor proportionate. Therefore</w:t>
      </w:r>
      <w:r w:rsidRPr="00512A9A">
        <w:rPr>
          <w:rFonts w:asciiTheme="minorHAnsi" w:hAnsiTheme="minorHAnsi" w:cstheme="minorBidi"/>
          <w:color w:val="auto"/>
          <w:sz w:val="22"/>
          <w:szCs w:val="22"/>
        </w:rPr>
        <w:t xml:space="preserve"> we strongly urge ESMA, to reconsider its approach for the sake of data consolidation. It must be clear that only real-time push data feeds applied by Trading Venues, as well as APAs, should have to be accepted by the CTP provider. There is no need to discuss microseconds or even milliseconds in cases where data would need to be consolidated from the web. </w:t>
      </w:r>
    </w:p>
    <w:p w:rsidR="00512A9A" w:rsidRPr="00512A9A" w:rsidRDefault="00512A9A" w:rsidP="00E709A4">
      <w:pPr>
        <w:pStyle w:val="Default"/>
        <w:jc w:val="both"/>
        <w:rPr>
          <w:rFonts w:asciiTheme="minorHAnsi" w:hAnsiTheme="minorHAnsi" w:cstheme="minorBidi"/>
          <w:color w:val="auto"/>
          <w:sz w:val="22"/>
          <w:szCs w:val="22"/>
        </w:rPr>
      </w:pPr>
    </w:p>
    <w:p w:rsidR="00577C33" w:rsidRDefault="00512A9A" w:rsidP="00EC2C93">
      <w:pPr>
        <w:keepNext/>
      </w:pPr>
      <w:r w:rsidRPr="00512A9A">
        <w:rPr>
          <w:szCs w:val="22"/>
        </w:rPr>
        <w:t>Furthermore, in its proposal referring to machine readability in 14 (2) ESMA refers to Article 12(7) of [draft RTS on the authorisation and organisational requirements for DRSPs] that enables automatic access, is robust and ensures adequate access in terms of speed. We cannot see any connection as this article refers to ARMs. We consider that there should be further clarification on this</w:t>
      </w:r>
      <w:permEnd w:id="150555482"/>
      <w:r w:rsidR="00577C33">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Pr="00512A9A" w:rsidRDefault="006B3E98" w:rsidP="00EC2C93">
      <w:pPr>
        <w:keepNext/>
      </w:pPr>
      <w:permStart w:id="2137745057" w:edGrp="everyone"/>
      <w:r>
        <w:t xml:space="preserve"> </w:t>
      </w:r>
      <w:r w:rsidR="00512A9A" w:rsidRPr="00512A9A">
        <w:t xml:space="preserve">We agree with both proposals from ESMA, that said </w:t>
      </w:r>
      <w:proofErr w:type="gramStart"/>
      <w:r w:rsidR="00512A9A" w:rsidRPr="00512A9A">
        <w:t>It</w:t>
      </w:r>
      <w:proofErr w:type="gramEnd"/>
      <w:r w:rsidR="00512A9A" w:rsidRPr="00512A9A">
        <w:t xml:space="preserve"> would be preferable that IF’s report </w:t>
      </w:r>
      <w:r w:rsidR="00512A9A">
        <w:t>each</w:t>
      </w:r>
      <w:r w:rsidR="00512A9A" w:rsidRPr="00512A9A">
        <w:t xml:space="preserve"> trade to only one APA, this would reduce the risk </w:t>
      </w:r>
      <w:r w:rsidR="00C256AC">
        <w:t xml:space="preserve">of </w:t>
      </w:r>
      <w:r w:rsidR="00512A9A" w:rsidRPr="00512A9A">
        <w:t>trades being incorrectly counted more than once.</w:t>
      </w:r>
      <w:r w:rsidR="00512A9A">
        <w:t xml:space="preserve"> We do not think that IF’s need to have an exclusive relationship with only </w:t>
      </w:r>
      <w:r w:rsidR="00C256AC">
        <w:t>one</w:t>
      </w:r>
      <w:r w:rsidR="00512A9A">
        <w:t xml:space="preserve"> APA.</w:t>
      </w:r>
    </w:p>
    <w:permEnd w:id="2137745057"/>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12A9A" w:rsidRPr="00512A9A" w:rsidRDefault="00512A9A" w:rsidP="00512A9A">
      <w:pPr>
        <w:keepNext/>
      </w:pPr>
      <w:permStart w:id="1592197892" w:edGrp="everyone"/>
      <w:r w:rsidRPr="00512A9A">
        <w:t xml:space="preserve">We don’t agree </w:t>
      </w:r>
      <w:r>
        <w:t>th</w:t>
      </w:r>
      <w:r w:rsidR="006C25CD">
        <w:t>at CTPs should assign Trade IDs. T</w:t>
      </w:r>
      <w:r>
        <w:t>his ID</w:t>
      </w:r>
      <w:r w:rsidRPr="00512A9A">
        <w:t xml:space="preserve"> should come from the source of the trade, either the TV or </w:t>
      </w:r>
      <w:r w:rsidR="006C25CD">
        <w:t xml:space="preserve">the </w:t>
      </w:r>
      <w:r w:rsidRPr="00512A9A">
        <w:t xml:space="preserve">APA. We agree to a composite key including both the date and the unique trade identifier.  </w:t>
      </w:r>
    </w:p>
    <w:permEnd w:id="159219789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lastRenderedPageBreak/>
        <w:t>&lt;ESMA_QUESTION_CP_MIFID_142&gt;</w:t>
      </w:r>
    </w:p>
    <w:p w:rsidR="00577C33" w:rsidRDefault="00512A9A" w:rsidP="00EC2C93">
      <w:pPr>
        <w:keepNext/>
      </w:pPr>
      <w:permStart w:id="1978532252" w:edGrp="everyone"/>
      <w:r w:rsidRPr="00512A9A">
        <w:t>The time the trade was executed is the field that is of most importance. We have no issue in publishing a publication time in addition to this, but the execution time is where the focus should be</w:t>
      </w:r>
      <w:r w:rsidR="00984836">
        <w:t>.</w:t>
      </w:r>
      <w:r w:rsidRPr="00512A9A">
        <w:t xml:space="preserve"> </w:t>
      </w:r>
      <w:r w:rsidR="005939F3">
        <w:t>Both publication and execution information should be taken from source e.g. from the trading venue or the APA.</w:t>
      </w:r>
      <w:r w:rsidRPr="00512A9A">
        <w:t xml:space="preserve"> </w:t>
      </w:r>
      <w:permEnd w:id="1978532252"/>
      <w:r w:rsidR="00577C33">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12A9A" w:rsidRPr="00512A9A" w:rsidRDefault="00DE73CB" w:rsidP="00DE73CB">
      <w:pPr>
        <w:keepNext/>
        <w:spacing w:line="240" w:lineRule="auto"/>
      </w:pPr>
      <w:permStart w:id="979898086" w:edGrp="everyone"/>
      <w:r>
        <w:t xml:space="preserve">The ISE is of the view that </w:t>
      </w:r>
      <w:r w:rsidRPr="00FB35B2">
        <w:t>regard</w:t>
      </w:r>
      <w:r>
        <w:t>ing</w:t>
      </w:r>
      <w:r w:rsidRPr="00FB35B2">
        <w:t xml:space="preserve"> t</w:t>
      </w:r>
      <w:r>
        <w:t>he timestamp accuracy of an APA, a</w:t>
      </w:r>
      <w:r w:rsidRPr="00FB35B2">
        <w:t>ccuracy to the second is sufficient (regardless of the trade being executed on an electronic system or not). This is to avoid confusion to the market (some trade reports would have an accuracy to the second and others an accuracy to the millisecond) and also because an APA is only relaying the information received by other sources and, therefore, the latency introduced by sending the report from the original source to the APA and the latency the APA itself will introduce so as to comply with the requirements for the detection of errors would make the accuracy to the millisecond useless.</w:t>
      </w:r>
    </w:p>
    <w:permEnd w:id="979898086"/>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12A9A" w:rsidP="00EC2C93">
      <w:pPr>
        <w:keepNext/>
      </w:pPr>
      <w:permStart w:id="757098186" w:edGrp="everyone"/>
      <w:r w:rsidRPr="00512A9A">
        <w:t xml:space="preserve">Yes we agree the CTP should identify the original source, the MIC code as proposed by the MMT would make the most sense to be used as an identifier of source </w:t>
      </w:r>
      <w:permEnd w:id="757098186"/>
      <w:r w:rsidR="00577C33">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12A9A" w:rsidRPr="00512A9A" w:rsidRDefault="00512A9A" w:rsidP="00512A9A">
      <w:pPr>
        <w:keepNext/>
      </w:pPr>
      <w:permStart w:id="627136475" w:edGrp="everyone"/>
      <w:r w:rsidRPr="00512A9A">
        <w:t xml:space="preserve">We agree to Article 1, the disaggregation by asset class however we would like to see article 2 removed. </w:t>
      </w:r>
    </w:p>
    <w:p w:rsidR="00512A9A" w:rsidRPr="00512A9A" w:rsidRDefault="00512A9A" w:rsidP="00512A9A">
      <w:pPr>
        <w:keepNext/>
      </w:pPr>
    </w:p>
    <w:p w:rsidR="00512A9A" w:rsidRPr="00512A9A" w:rsidRDefault="00CD3F4B" w:rsidP="00512A9A">
      <w:r>
        <w:t>W</w:t>
      </w:r>
      <w:r w:rsidR="00512A9A" w:rsidRPr="00512A9A">
        <w:t>e strongly believe it will add to unmanageable complexity and potentially higher costs to the end user instead of lower cost and thus be neither proportionate nor efficient.  It is also important to note that 90% of trading venue data is sent to data vendors and not directly to trading participants. (In this respect the assumption made in the Cost Benefit Analysis that Market Data Vendors will offer at least the same level of dis-aggregation is not correct and needs to be corrected).</w:t>
      </w:r>
    </w:p>
    <w:p w:rsidR="00512A9A" w:rsidRPr="00512A9A" w:rsidRDefault="00512A9A" w:rsidP="00512A9A">
      <w:pPr>
        <w:shd w:val="clear" w:color="auto" w:fill="FFFFFF"/>
        <w:autoSpaceDE w:val="0"/>
        <w:autoSpaceDN w:val="0"/>
        <w:adjustRightInd w:val="0"/>
        <w:rPr>
          <w:rFonts w:cs="Calibri"/>
          <w:bCs/>
        </w:rPr>
      </w:pPr>
    </w:p>
    <w:p w:rsidR="00512A9A" w:rsidRPr="00512A9A" w:rsidRDefault="00512A9A" w:rsidP="00512A9A">
      <w:pPr>
        <w:shd w:val="clear" w:color="auto" w:fill="FFFFFF"/>
        <w:autoSpaceDE w:val="0"/>
        <w:autoSpaceDN w:val="0"/>
        <w:adjustRightInd w:val="0"/>
        <w:rPr>
          <w:rFonts w:cs="Calibri"/>
          <w:bCs/>
        </w:rPr>
      </w:pPr>
      <w:r w:rsidRPr="00512A9A">
        <w:rPr>
          <w:rFonts w:cs="Calibri"/>
          <w:bCs/>
        </w:rPr>
        <w:t>We understand that the objective of data disaggregation is to offer the most appropriate data package to some more or less homogeneous groups of data consumers. Therefore, as stated in our response to the ESMA Discussion Paper we propose to aggregate the service around the three main groups of activities traditionally present in investment banking:</w:t>
      </w:r>
    </w:p>
    <w:p w:rsidR="00512A9A" w:rsidRPr="00512A9A" w:rsidRDefault="00512A9A" w:rsidP="00F51125">
      <w:pPr>
        <w:pStyle w:val="ListParagraph"/>
        <w:numPr>
          <w:ilvl w:val="0"/>
          <w:numId w:val="24"/>
        </w:numPr>
      </w:pPr>
      <w:r w:rsidRPr="00512A9A">
        <w:t>Equities</w:t>
      </w:r>
    </w:p>
    <w:p w:rsidR="00512A9A" w:rsidRPr="00512A9A" w:rsidRDefault="00512A9A" w:rsidP="00F51125">
      <w:pPr>
        <w:pStyle w:val="ListParagraph"/>
        <w:numPr>
          <w:ilvl w:val="0"/>
          <w:numId w:val="24"/>
        </w:numPr>
      </w:pPr>
      <w:r w:rsidRPr="00512A9A">
        <w:t>FICC (Fixed-Income, Currency, Commodities)</w:t>
      </w:r>
    </w:p>
    <w:p w:rsidR="00512A9A" w:rsidRPr="00512A9A" w:rsidRDefault="00512A9A" w:rsidP="00F51125">
      <w:pPr>
        <w:pStyle w:val="ListParagraph"/>
        <w:numPr>
          <w:ilvl w:val="0"/>
          <w:numId w:val="24"/>
        </w:numPr>
      </w:pPr>
      <w:r w:rsidRPr="00512A9A">
        <w:t>Derivatives</w:t>
      </w:r>
    </w:p>
    <w:p w:rsidR="00512A9A" w:rsidRPr="00512A9A" w:rsidRDefault="00512A9A" w:rsidP="00512A9A">
      <w:pPr>
        <w:shd w:val="clear" w:color="auto" w:fill="FFFFFF"/>
        <w:autoSpaceDE w:val="0"/>
        <w:autoSpaceDN w:val="0"/>
        <w:adjustRightInd w:val="0"/>
        <w:rPr>
          <w:rFonts w:cs="Calibri"/>
          <w:bCs/>
        </w:rPr>
      </w:pPr>
    </w:p>
    <w:p w:rsidR="00512A9A" w:rsidRPr="00512A9A" w:rsidRDefault="00512A9A" w:rsidP="00512A9A">
      <w:pPr>
        <w:keepNext/>
      </w:pPr>
      <w:r w:rsidRPr="00512A9A">
        <w:rPr>
          <w:rFonts w:cs="Calibri"/>
          <w:bCs/>
        </w:rPr>
        <w:lastRenderedPageBreak/>
        <w:t>Any further disaggregation especially of derivatives products is too granular and would face a too limited audience. As regards customer groups only very few retail investors would subscribe to derivatives packages.</w:t>
      </w:r>
      <w:r w:rsidRPr="00512A9A">
        <w:t xml:space="preserve"> We also re-iterate our concerns that if a trading venue were forced to disaggregate by instrument but there was no requirement for a vendor to do the same, then the vendor would most likely just re-bundle the data.</w:t>
      </w:r>
    </w:p>
    <w:p w:rsidR="00512A9A" w:rsidRPr="00512A9A" w:rsidRDefault="00512A9A" w:rsidP="00512A9A"/>
    <w:p w:rsidR="00512A9A" w:rsidRPr="00512A9A" w:rsidRDefault="00512A9A" w:rsidP="00512A9A">
      <w:r w:rsidRPr="00512A9A">
        <w:t>We</w:t>
      </w:r>
      <w:r w:rsidR="00CD3F4B">
        <w:t xml:space="preserve"> would also</w:t>
      </w:r>
      <w:r w:rsidRPr="00512A9A">
        <w:t xml:space="preserve"> like to point out that</w:t>
      </w:r>
      <w:r w:rsidR="00CD3F4B">
        <w:t>,</w:t>
      </w:r>
      <w:r w:rsidRPr="00512A9A">
        <w:t xml:space="preserve"> unlike</w:t>
      </w:r>
      <w:r w:rsidR="00CD3F4B">
        <w:t xml:space="preserve"> as it is stated in the Cost Benefit A</w:t>
      </w:r>
      <w:r w:rsidRPr="00512A9A">
        <w:t xml:space="preserve">nalysis no trading venue in the EU currently provides a full unbundling/disaggregation of pre- and post-trade data. In fact this is not the case. </w:t>
      </w:r>
    </w:p>
    <w:p w:rsidR="00512A9A" w:rsidRPr="00512A9A" w:rsidRDefault="00512A9A" w:rsidP="00512A9A">
      <w:pPr>
        <w:keepNext/>
      </w:pPr>
    </w:p>
    <w:p w:rsidR="00512A9A" w:rsidRPr="00512A9A" w:rsidRDefault="00512A9A" w:rsidP="00512A9A">
      <w:pPr>
        <w:keepNext/>
        <w:rPr>
          <w:u w:val="single"/>
        </w:rPr>
      </w:pPr>
      <w:r w:rsidRPr="00512A9A">
        <w:rPr>
          <w:u w:val="single"/>
        </w:rPr>
        <w:t xml:space="preserve">Unintended consequences of increased data packages </w:t>
      </w:r>
    </w:p>
    <w:p w:rsidR="00512A9A" w:rsidRPr="00512A9A" w:rsidRDefault="00512A9A" w:rsidP="00512A9A">
      <w:pPr>
        <w:keepNext/>
        <w:rPr>
          <w:bCs/>
        </w:rPr>
      </w:pPr>
      <w:r w:rsidRPr="00512A9A">
        <w:t>Greater disaggregation will not only result in significantly higher costs in distributing market data, but it will also lead to confusion among investors who no longer can rely on receiving all the relevant market data. As the administration of market data already represents a burden for trading venues, vendors and end users, anything which adds to this burden is unhelpful and does not serve the purpose. In our view, market forces should decide on the level of disaggregation. Unless the regulator is in the position to control the way data vendors proceed with the data, there is no point in imposing such an obligation on trading venues which might as well then be ignored by data vendors.</w:t>
      </w:r>
    </w:p>
    <w:p w:rsidR="00512A9A" w:rsidRPr="00512A9A" w:rsidRDefault="00512A9A" w:rsidP="00512A9A">
      <w:pPr>
        <w:keepNext/>
        <w:rPr>
          <w:bCs/>
        </w:rPr>
      </w:pPr>
    </w:p>
    <w:p w:rsidR="00512A9A" w:rsidRPr="00512A9A" w:rsidRDefault="00512A9A" w:rsidP="00512A9A">
      <w:pPr>
        <w:keepNext/>
        <w:rPr>
          <w:bCs/>
        </w:rPr>
      </w:pPr>
      <w:r w:rsidRPr="00512A9A">
        <w:rPr>
          <w:bCs/>
        </w:rPr>
        <w:t>In addition:</w:t>
      </w:r>
    </w:p>
    <w:p w:rsidR="00512A9A" w:rsidRPr="00512A9A" w:rsidRDefault="00512A9A" w:rsidP="00512A9A">
      <w:pPr>
        <w:keepNext/>
        <w:numPr>
          <w:ilvl w:val="0"/>
          <w:numId w:val="25"/>
        </w:numPr>
        <w:rPr>
          <w:bCs/>
        </w:rPr>
      </w:pPr>
      <w:r w:rsidRPr="00512A9A">
        <w:rPr>
          <w:bCs/>
        </w:rPr>
        <w:t>Trading venues, data vendors and brokers would have to massively enlarge their administration operations to manage access rights. This would, as a consequence, add to the cost of market data instead of red</w:t>
      </w:r>
      <w:r w:rsidR="00DF4B6B">
        <w:rPr>
          <w:bCs/>
        </w:rPr>
        <w:t>ucing it. Thus it would be both</w:t>
      </w:r>
      <w:r w:rsidRPr="00512A9A">
        <w:rPr>
          <w:bCs/>
        </w:rPr>
        <w:t xml:space="preserve"> disproportionate as well as ineffective.</w:t>
      </w:r>
    </w:p>
    <w:p w:rsidR="00512A9A" w:rsidRPr="00512A9A" w:rsidRDefault="00512A9A" w:rsidP="00512A9A">
      <w:pPr>
        <w:keepNext/>
        <w:numPr>
          <w:ilvl w:val="0"/>
          <w:numId w:val="25"/>
        </w:numPr>
        <w:rPr>
          <w:bCs/>
        </w:rPr>
      </w:pPr>
      <w:r w:rsidRPr="00512A9A">
        <w:rPr>
          <w:bCs/>
        </w:rPr>
        <w:t xml:space="preserve">Categorising in an unambiguous manner a very large universe of securities according to hard scientific criteria is a burdensome task. Specialised vendors and proprietary standard owners (ICB, GICS) charge </w:t>
      </w:r>
      <w:r w:rsidR="00DF4B6B">
        <w:rPr>
          <w:bCs/>
        </w:rPr>
        <w:t>a</w:t>
      </w:r>
      <w:r w:rsidRPr="00512A9A">
        <w:rPr>
          <w:bCs/>
        </w:rPr>
        <w:t xml:space="preserve"> substantial amount of money for this type of activity.</w:t>
      </w:r>
    </w:p>
    <w:p w:rsidR="00512A9A" w:rsidRPr="00512A9A" w:rsidRDefault="00512A9A" w:rsidP="00512A9A">
      <w:pPr>
        <w:keepNext/>
        <w:numPr>
          <w:ilvl w:val="0"/>
          <w:numId w:val="25"/>
        </w:numPr>
        <w:rPr>
          <w:bCs/>
        </w:rPr>
      </w:pPr>
      <w:r w:rsidRPr="00512A9A">
        <w:t xml:space="preserve">While the classification of securities is advanced for plain-vanilla equities, it is fragmented, incomplete and not widely accepted for other asset classes. </w:t>
      </w:r>
    </w:p>
    <w:p w:rsidR="00512A9A" w:rsidRPr="00512A9A" w:rsidRDefault="00512A9A" w:rsidP="00512A9A">
      <w:pPr>
        <w:keepNext/>
        <w:numPr>
          <w:ilvl w:val="0"/>
          <w:numId w:val="25"/>
        </w:numPr>
        <w:rPr>
          <w:bCs/>
        </w:rPr>
      </w:pPr>
      <w:r w:rsidRPr="00512A9A">
        <w:rPr>
          <w:bCs/>
        </w:rPr>
        <w:t>Disaggregation based on multiple securities classification standard simultaneously will trigger confusion and costly bug fixing considering the large complexity of the market segmentation matrix.</w:t>
      </w:r>
    </w:p>
    <w:p w:rsidR="00512A9A" w:rsidRPr="00512A9A" w:rsidRDefault="00512A9A" w:rsidP="00512A9A">
      <w:pPr>
        <w:keepNext/>
        <w:rPr>
          <w:bCs/>
        </w:rPr>
      </w:pPr>
    </w:p>
    <w:p w:rsidR="00512A9A" w:rsidRPr="00512A9A" w:rsidRDefault="00512A9A" w:rsidP="00512A9A">
      <w:pPr>
        <w:keepNext/>
      </w:pPr>
      <w:r w:rsidRPr="00512A9A">
        <w:rPr>
          <w:bCs/>
        </w:rPr>
        <w:t>All these attempts to structure market data alongside the above mentioned criteria would generate large additional costs for market participants.</w:t>
      </w:r>
    </w:p>
    <w:p w:rsidR="00512A9A" w:rsidRPr="00512A9A" w:rsidRDefault="00512A9A" w:rsidP="00512A9A">
      <w:pPr>
        <w:keepNext/>
      </w:pPr>
    </w:p>
    <w:p w:rsidR="00512A9A" w:rsidRPr="00512A9A" w:rsidRDefault="00512A9A" w:rsidP="00512A9A">
      <w:pPr>
        <w:keepNext/>
      </w:pPr>
      <w:r w:rsidRPr="00512A9A">
        <w:t>Moreover, ESMA must consider that there will be additional costs that infrastructures must face when striving to provide additional data packages. Therefore, the more granular the data disaggregation that is required, the more cost will be incurred.  This will not help to reduce costs for investors. Moreover, increased number of data packages could add a lot of confusion in the market, i.e. more products and more data streams for investors to consider.</w:t>
      </w:r>
    </w:p>
    <w:p w:rsidR="00512A9A" w:rsidRPr="00512A9A" w:rsidRDefault="00512A9A" w:rsidP="00512A9A">
      <w:pPr>
        <w:keepNext/>
      </w:pPr>
    </w:p>
    <w:p w:rsidR="00512A9A" w:rsidRPr="00512A9A" w:rsidRDefault="00512A9A" w:rsidP="00512A9A">
      <w:pPr>
        <w:keepNext/>
      </w:pPr>
      <w:r w:rsidRPr="00512A9A">
        <w:t>Furthermore, the disaggregation by trading venues, as well as possible re-aggregation by vendors will add latency giving an edge to HFTs that take the full range of data directly from the primary sources</w:t>
      </w:r>
      <w:r w:rsidRPr="00512A9A">
        <w:rPr>
          <w:rStyle w:val="CommentReference"/>
        </w:rPr>
        <w:t>.</w:t>
      </w:r>
    </w:p>
    <w:permEnd w:id="627136475"/>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&lt;ESMA_QUESTION_CP_MIFID_146&gt;</w:t>
      </w:r>
    </w:p>
    <w:p w:rsidR="00577C33" w:rsidRDefault="00577C33" w:rsidP="00EC2C93">
      <w:pPr>
        <w:keepNext/>
      </w:pPr>
      <w:permStart w:id="385167763" w:edGrp="everyone"/>
      <w:r>
        <w:t>TYPE YOUR TEXT HERE</w:t>
      </w:r>
    </w:p>
    <w:permEnd w:id="385167763"/>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782661504" w:edGrp="everyone"/>
      <w:r>
        <w:t>TYPE YOUR TEXT HERE</w:t>
      </w:r>
    </w:p>
    <w:permEnd w:id="78266150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725DF3" w:rsidP="00EC2C93">
      <w:pPr>
        <w:keepNext/>
      </w:pPr>
      <w:permStart w:id="1096827973" w:edGrp="everyone"/>
      <w:r>
        <w:t>We welcome the pragmatic approach by ESMA in relation to costs and that costs should be agreed between the tradi</w:t>
      </w:r>
      <w:r w:rsidR="00736E65">
        <w:t>ng venue and the CCP, and to ensure that smaller venues are not disadvantaged.</w:t>
      </w:r>
    </w:p>
    <w:permEnd w:id="109682797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285436057" w:edGrp="everyone"/>
      <w:r>
        <w:t>TYPE YOUR TEXT HERE</w:t>
      </w:r>
    </w:p>
    <w:permEnd w:id="128543605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23060999" w:edGrp="everyone"/>
      <w:r>
        <w:t>TYPE YOUR TEXT HERE</w:t>
      </w:r>
    </w:p>
    <w:permEnd w:id="152306099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537308325" w:edGrp="everyone"/>
      <w:r>
        <w:t>TYPE YOUR TEXT HERE</w:t>
      </w:r>
    </w:p>
    <w:permEnd w:id="153730832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lastRenderedPageBreak/>
        <w:t>&lt;ESMA_QUESTION_CP_MIFID_152&gt;</w:t>
      </w:r>
    </w:p>
    <w:p w:rsidR="00577C33" w:rsidRDefault="0011683F" w:rsidP="00EC2C93">
      <w:pPr>
        <w:keepNext/>
      </w:pPr>
      <w:permStart w:id="119831313" w:edGrp="everyone"/>
      <w:r>
        <w:t xml:space="preserve">While we agree with the elements, we would like clarity on the wording in </w:t>
      </w:r>
      <w:r w:rsidR="00AD1D63">
        <w:t>draft RTS</w:t>
      </w:r>
      <w:r>
        <w:t xml:space="preserve"> 24, Article 8 (1) (g) which refers to ‘contracts’ whereas paragraph 56 of the CP refers to ‘instruments’. </w:t>
      </w:r>
    </w:p>
    <w:permEnd w:id="11983131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143221398" w:edGrp="everyone"/>
      <w:r>
        <w:t>TYPE YOUR TEXT HERE</w:t>
      </w:r>
    </w:p>
    <w:permEnd w:id="1143221398"/>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90250554" w:edGrp="everyone"/>
      <w:r>
        <w:t>TYPE YOUR TEXT HERE</w:t>
      </w:r>
    </w:p>
    <w:permEnd w:id="149025055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170237214" w:edGrp="everyone"/>
      <w:r>
        <w:t>TYPE YOUR TEXT HERE</w:t>
      </w:r>
    </w:p>
    <w:permEnd w:id="117023721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137712985" w:edGrp="everyone"/>
      <w:r>
        <w:t>TYPE YOUR TEXT HERE</w:t>
      </w:r>
    </w:p>
    <w:permEnd w:id="113771298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803688444" w:edGrp="everyone"/>
      <w:r>
        <w:t>TYPE YOUR TEXT HERE</w:t>
      </w:r>
    </w:p>
    <w:permEnd w:id="80368844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209952835" w:edGrp="everyone"/>
      <w:r>
        <w:t>TYPE YOUR TEXT HERE</w:t>
      </w:r>
    </w:p>
    <w:permEnd w:id="120995283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lastRenderedPageBreak/>
        <w:t>&lt;ESMA_QUESTION_CP_MIFID_159&gt;</w:t>
      </w:r>
    </w:p>
    <w:p w:rsidR="00577C33" w:rsidRDefault="00577C33" w:rsidP="00EC2C93">
      <w:pPr>
        <w:keepNext/>
      </w:pPr>
      <w:permStart w:id="69298713" w:edGrp="everyone"/>
      <w:r>
        <w:t>TYPE YOUR TEXT HERE</w:t>
      </w:r>
    </w:p>
    <w:permEnd w:id="6929871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16"/>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A909E7" w:rsidRDefault="00066465" w:rsidP="00DF7A80">
      <w:pPr>
        <w:keepNext/>
        <w:rPr>
          <w:rFonts w:ascii="Arial" w:hAnsi="Arial" w:cs="Arial"/>
        </w:rPr>
      </w:pPr>
      <w:permStart w:id="2101747479" w:edGrp="everyone"/>
      <w:r>
        <w:t>Yes,</w:t>
      </w:r>
      <w:r w:rsidR="00A909E7" w:rsidRPr="00A909E7">
        <w:rPr>
          <w:rFonts w:ascii="Arial" w:hAnsi="Arial" w:cs="Arial"/>
        </w:rPr>
        <w:t xml:space="preserve"> </w:t>
      </w:r>
      <w:r w:rsidR="00A909E7">
        <w:rPr>
          <w:rFonts w:ascii="Arial" w:hAnsi="Arial" w:cs="Arial"/>
        </w:rPr>
        <w:t>overall the ISE</w:t>
      </w:r>
      <w:r w:rsidR="00A909E7" w:rsidRPr="00331CE0">
        <w:rPr>
          <w:rFonts w:ascii="Arial" w:hAnsi="Arial" w:cs="Arial"/>
        </w:rPr>
        <w:t xml:space="preserve"> agrees with </w:t>
      </w:r>
      <w:r w:rsidR="00AD1D63">
        <w:rPr>
          <w:rFonts w:ascii="Arial" w:hAnsi="Arial" w:cs="Arial"/>
        </w:rPr>
        <w:t>draft RTS</w:t>
      </w:r>
      <w:r w:rsidR="00A909E7" w:rsidRPr="00331CE0">
        <w:rPr>
          <w:rFonts w:ascii="Arial" w:hAnsi="Arial" w:cs="Arial"/>
        </w:rPr>
        <w:t xml:space="preserve"> 25 as long as no arrangements come into effect, which might clash with existing regulation </w:t>
      </w:r>
      <w:r w:rsidR="0059480B">
        <w:rPr>
          <w:rFonts w:ascii="Arial" w:hAnsi="Arial" w:cs="Arial"/>
        </w:rPr>
        <w:t xml:space="preserve">that </w:t>
      </w:r>
      <w:r w:rsidR="00A909E7" w:rsidRPr="00331CE0">
        <w:rPr>
          <w:rFonts w:ascii="Arial" w:hAnsi="Arial" w:cs="Arial"/>
        </w:rPr>
        <w:t>deal</w:t>
      </w:r>
      <w:r w:rsidR="0059480B">
        <w:rPr>
          <w:rFonts w:ascii="Arial" w:hAnsi="Arial" w:cs="Arial"/>
        </w:rPr>
        <w:t xml:space="preserve">s </w:t>
      </w:r>
      <w:r w:rsidR="00A909E7" w:rsidRPr="00331CE0">
        <w:rPr>
          <w:rFonts w:ascii="Arial" w:hAnsi="Arial" w:cs="Arial"/>
        </w:rPr>
        <w:t xml:space="preserve">with the admission rules with respect to the admission process and the securities considered to be admitted to a regulated market. </w:t>
      </w:r>
      <w:r w:rsidR="00A909E7">
        <w:rPr>
          <w:rFonts w:ascii="Arial" w:hAnsi="Arial" w:cs="Arial"/>
        </w:rPr>
        <w:t>As such, there are certain provisions in Art 4 Verification of Issuer Obligations that we cannot support.</w:t>
      </w:r>
    </w:p>
    <w:p w:rsidR="00A909E7" w:rsidRDefault="00A909E7" w:rsidP="00DF7A80">
      <w:pPr>
        <w:keepNext/>
        <w:rPr>
          <w:rFonts w:ascii="Arial" w:hAnsi="Arial" w:cs="Arial"/>
        </w:rPr>
      </w:pPr>
    </w:p>
    <w:p w:rsidR="00A909E7" w:rsidRDefault="00A909E7" w:rsidP="00DF7A80">
      <w:pPr>
        <w:keepNext/>
      </w:pPr>
      <w:r>
        <w:rPr>
          <w:rFonts w:ascii="Arial" w:hAnsi="Arial" w:cs="Arial"/>
        </w:rPr>
        <w:t>We believe</w:t>
      </w:r>
      <w:r w:rsidRPr="00331CE0">
        <w:rPr>
          <w:rFonts w:ascii="Arial" w:hAnsi="Arial" w:cs="Arial"/>
        </w:rPr>
        <w:t xml:space="preserve"> that</w:t>
      </w:r>
      <w:r>
        <w:rPr>
          <w:rFonts w:ascii="Arial" w:hAnsi="Arial" w:cs="Arial"/>
        </w:rPr>
        <w:t xml:space="preserve"> the</w:t>
      </w:r>
      <w:r w:rsidRPr="00331CE0">
        <w:rPr>
          <w:rFonts w:ascii="Arial" w:hAnsi="Arial" w:cs="Arial"/>
        </w:rPr>
        <w:t xml:space="preserve"> (1) existing admission process, (2) existing arrangements with regard to the </w:t>
      </w:r>
      <w:r w:rsidR="00110F3E">
        <w:rPr>
          <w:rFonts w:ascii="Arial" w:hAnsi="Arial" w:cs="Arial"/>
        </w:rPr>
        <w:t>aforementioned securities and (3</w:t>
      </w:r>
      <w:r w:rsidRPr="00331CE0">
        <w:rPr>
          <w:rFonts w:ascii="Arial" w:hAnsi="Arial" w:cs="Arial"/>
        </w:rPr>
        <w:t xml:space="preserve">) existing regulations concerning information to be available about the securities/the underlying securities are reasonable and sufficient. Consequently </w:t>
      </w:r>
      <w:r>
        <w:rPr>
          <w:rFonts w:ascii="Arial" w:hAnsi="Arial" w:cs="Arial"/>
        </w:rPr>
        <w:t>we view the purpose of</w:t>
      </w:r>
      <w:r w:rsidRPr="00331CE0">
        <w:rPr>
          <w:rFonts w:ascii="Arial" w:hAnsi="Arial" w:cs="Arial"/>
        </w:rPr>
        <w:t xml:space="preserve"> </w:t>
      </w:r>
      <w:r>
        <w:rPr>
          <w:rFonts w:ascii="Arial" w:hAnsi="Arial" w:cs="Arial"/>
        </w:rPr>
        <w:t xml:space="preserve">this </w:t>
      </w:r>
      <w:r w:rsidR="00AD1D63">
        <w:rPr>
          <w:rFonts w:ascii="Arial" w:hAnsi="Arial" w:cs="Arial"/>
        </w:rPr>
        <w:t>draft RTS</w:t>
      </w:r>
      <w:r w:rsidRPr="00331CE0">
        <w:rPr>
          <w:rFonts w:ascii="Arial" w:hAnsi="Arial" w:cs="Arial"/>
        </w:rPr>
        <w:t xml:space="preserve"> </w:t>
      </w:r>
      <w:r>
        <w:rPr>
          <w:rFonts w:ascii="Arial" w:hAnsi="Arial" w:cs="Arial"/>
        </w:rPr>
        <w:t xml:space="preserve">is to </w:t>
      </w:r>
      <w:r w:rsidRPr="00331CE0">
        <w:rPr>
          <w:rFonts w:ascii="Arial" w:hAnsi="Arial" w:cs="Arial"/>
        </w:rPr>
        <w:t xml:space="preserve">clarify existing regulations. </w:t>
      </w:r>
    </w:p>
    <w:p w:rsidR="00A909E7" w:rsidRDefault="00A909E7" w:rsidP="00DF7A80">
      <w:pPr>
        <w:keepNext/>
      </w:pPr>
    </w:p>
    <w:p w:rsidR="00577C33" w:rsidRDefault="00A909E7" w:rsidP="00DF7A80">
      <w:pPr>
        <w:keepNext/>
      </w:pPr>
      <w:r>
        <w:t>Therefore, we particularly we</w:t>
      </w:r>
      <w:r w:rsidR="008F6A3D">
        <w:t>lcome that Article 1</w:t>
      </w:r>
      <w:r w:rsidR="003032F6">
        <w:t>(5) carries forward the e</w:t>
      </w:r>
      <w:r w:rsidR="00895BAE">
        <w:t xml:space="preserve">stablished position from </w:t>
      </w:r>
      <w:proofErr w:type="spellStart"/>
      <w:r w:rsidR="00895BAE">
        <w:t>MiFID</w:t>
      </w:r>
      <w:proofErr w:type="spellEnd"/>
      <w:r w:rsidR="00895BAE">
        <w:t xml:space="preserve"> I</w:t>
      </w:r>
      <w:r w:rsidR="003032F6">
        <w:t xml:space="preserve"> and clearly sets out that</w:t>
      </w:r>
      <w:r w:rsidR="008F6A3D">
        <w:t xml:space="preserve"> a transferable security that is officially listed in accordance with Directive 2001/34/EC, and the listing of which is not suspended, shall be deemed to be freely negotiable and capable of being traded in a fair, orderly and efficient manner.</w:t>
      </w:r>
    </w:p>
    <w:p w:rsidR="008F6A3D" w:rsidRDefault="008F6A3D" w:rsidP="00DF7A80">
      <w:pPr>
        <w:keepNext/>
      </w:pPr>
      <w:r>
        <w:t>However, we have a number of concerns in relation to Art 4 as set out in Q161.</w:t>
      </w:r>
    </w:p>
    <w:permEnd w:id="210174747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A909E7" w:rsidRDefault="008F6A3D" w:rsidP="00EC2C93">
      <w:pPr>
        <w:keepNext/>
      </w:pPr>
      <w:permStart w:id="29501518" w:edGrp="everyone"/>
      <w:r>
        <w:t>No, the ISE does not agree with these arrangements. As a regulated market, we are obliged to publish conditions for admission to trading and must ensure an issuer complies with these. However, we believe the</w:t>
      </w:r>
      <w:r w:rsidR="007F5C14">
        <w:t>se new</w:t>
      </w:r>
      <w:r>
        <w:t xml:space="preserve"> requirements for </w:t>
      </w:r>
      <w:r w:rsidR="005A18B2">
        <w:t xml:space="preserve">publishing information on how we </w:t>
      </w:r>
      <w:r>
        <w:t xml:space="preserve">verify compliance by issuers with obligations under Union law go too far, as it should be the competent authority </w:t>
      </w:r>
      <w:r w:rsidR="004D6B1B" w:rsidRPr="004D6B1B">
        <w:rPr>
          <w:u w:val="single"/>
        </w:rPr>
        <w:t>(</w:t>
      </w:r>
      <w:r w:rsidR="004D6B1B" w:rsidRPr="00A909E7">
        <w:t>of those regulated entities</w:t>
      </w:r>
      <w:r w:rsidR="004D6B1B">
        <w:t xml:space="preserve">) </w:t>
      </w:r>
      <w:r w:rsidR="00AB53EC">
        <w:t xml:space="preserve">designated under the relevant EU legislation </w:t>
      </w:r>
      <w:r>
        <w:t xml:space="preserve">that </w:t>
      </w:r>
      <w:r w:rsidR="00DF7A80">
        <w:t xml:space="preserve">is responsible for </w:t>
      </w:r>
      <w:r>
        <w:t>monitor</w:t>
      </w:r>
      <w:r w:rsidR="00DF7A80">
        <w:t>ing and enforcing</w:t>
      </w:r>
      <w:r>
        <w:t xml:space="preserve"> </w:t>
      </w:r>
      <w:r w:rsidRPr="00A909E7">
        <w:t>this</w:t>
      </w:r>
      <w:r w:rsidR="006A1E8B" w:rsidRPr="00A909E7">
        <w:t xml:space="preserve"> as is currently the case</w:t>
      </w:r>
      <w:r>
        <w:t xml:space="preserve">. </w:t>
      </w:r>
    </w:p>
    <w:p w:rsidR="00577C33" w:rsidRDefault="007F5C14" w:rsidP="00EC2C93">
      <w:pPr>
        <w:keepNext/>
      </w:pPr>
      <w:r>
        <w:t>ESMA sugges</w:t>
      </w:r>
      <w:r w:rsidR="00780E1C">
        <w:t>ts that a regulated market must</w:t>
      </w:r>
      <w:r>
        <w:t xml:space="preserve"> publish</w:t>
      </w:r>
      <w:r w:rsidR="00780E1C">
        <w:t xml:space="preserve"> its </w:t>
      </w:r>
      <w:r>
        <w:t xml:space="preserve">policy </w:t>
      </w:r>
      <w:r w:rsidR="00780E1C">
        <w:t xml:space="preserve">on its website which </w:t>
      </w:r>
      <w:r>
        <w:t xml:space="preserve">should give guidance to issuers on how best to demonstrate compliance with Union law; but in our view, </w:t>
      </w:r>
      <w:r w:rsidR="00AB53EC">
        <w:t>each issuer must determine this for itself in accordance with the relevant legislation and any guidance from relevant competent authority</w:t>
      </w:r>
      <w:r w:rsidR="008F6A3D">
        <w:t>.</w:t>
      </w:r>
      <w:r>
        <w:t xml:space="preserve"> </w:t>
      </w:r>
      <w:r w:rsidR="003E1B63">
        <w:t>It is unclear what regulatory risk or objective the proposed policy requirement is seeking to address and in our view could lead to the perverse outcome where a regulated market’s policy is determining how an issuer best complies with the requirements of certain EU directives, rather than an issuer achieving compliance in a manner that is best suited to its own business and activities.</w:t>
      </w:r>
      <w:r w:rsidR="004B13EB">
        <w:t xml:space="preserve">  </w:t>
      </w:r>
    </w:p>
    <w:permEnd w:id="2950151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lastRenderedPageBreak/>
        <w:t>&lt;ESMA_QUESTION_CP_MIFID_162&gt;</w:t>
      </w:r>
    </w:p>
    <w:p w:rsidR="00577C33" w:rsidRDefault="007F5C14" w:rsidP="00EC2C93">
      <w:pPr>
        <w:keepNext/>
      </w:pPr>
      <w:permStart w:id="203886265" w:edGrp="everyone"/>
      <w:r>
        <w:t xml:space="preserve">The ISE believes that the proposals are adequate if the intention is that the regulated market’s obligation in facilitating access can be met if it provides a link to where the information is available i.e. to the </w:t>
      </w:r>
      <w:r w:rsidR="00DC6F33">
        <w:t xml:space="preserve">national appointed storage mechanism (the </w:t>
      </w:r>
      <w:r>
        <w:t>OAM</w:t>
      </w:r>
      <w:r w:rsidR="00DC6F33">
        <w:t>) under the Transparency Directive</w:t>
      </w:r>
      <w:r>
        <w:t xml:space="preserve">. As the </w:t>
      </w:r>
      <w:r w:rsidR="005A18B2">
        <w:t xml:space="preserve">obligation to make this information public under Union law falls on the issuers themselves, we do not think any further requirements should be applied to the trading venue, other than to direct members to where the relevant information </w:t>
      </w:r>
      <w:r w:rsidR="00DC6F33">
        <w:t>is available</w:t>
      </w:r>
      <w:r w:rsidR="005A18B2">
        <w:t>.</w:t>
      </w:r>
    </w:p>
    <w:permEnd w:id="20388626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BF6E70" w:rsidRDefault="00BF6E70" w:rsidP="00EC2C93">
      <w:pPr>
        <w:keepNext/>
      </w:pPr>
      <w:permStart w:id="2008443840" w:edGrp="everyone"/>
      <w:r>
        <w:t xml:space="preserve">Yes, the ISE agrees with this </w:t>
      </w:r>
      <w:r w:rsidR="00AD1D63">
        <w:t>draft RTS</w:t>
      </w:r>
      <w:r>
        <w:t>.</w:t>
      </w:r>
    </w:p>
    <w:permEnd w:id="200844384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D8146B" w:rsidRDefault="00BF6E70" w:rsidP="00EC2C93">
      <w:pPr>
        <w:keepNext/>
      </w:pPr>
      <w:permStart w:id="560220502" w:edGrp="everyone"/>
      <w:r>
        <w:t>Yes, the ISE agrees that this should be an exhaustive list.</w:t>
      </w:r>
    </w:p>
    <w:p w:rsidR="003F0E9A" w:rsidRDefault="003F0E9A" w:rsidP="00EC2C93">
      <w:pPr>
        <w:keepNext/>
      </w:pPr>
    </w:p>
    <w:p w:rsidR="003F0E9A" w:rsidRPr="00396336" w:rsidRDefault="003F0E9A" w:rsidP="00EC2C93">
      <w:pPr>
        <w:keepNext/>
      </w:pPr>
      <w:r w:rsidRPr="00396336">
        <w:t xml:space="preserve">We also welcome the clarification from ESMA in Article 8(2) of the proposed ITS27 that the market operator does not need to include information which is of a purely minor or technical nature that would not be relevant to an assessment of its compliance with the Directive. </w:t>
      </w:r>
    </w:p>
    <w:permEnd w:id="560220502"/>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D8146B" w:rsidRDefault="00BF6E70" w:rsidP="00EC2C93">
      <w:pPr>
        <w:keepNext/>
      </w:pPr>
      <w:permStart w:id="375995806" w:edGrp="everyone"/>
      <w:r>
        <w:t xml:space="preserve">Yes, the ISE believes this list is sufficient </w:t>
      </w:r>
      <w:r w:rsidR="00A3055D">
        <w:t>but we propose</w:t>
      </w:r>
      <w:r>
        <w:t xml:space="preserve"> where an operator of an MTF is also an operator of a regulated market, in any areas where the requirements overlap that it only needs to provide this information once, in order to avoid duplicating the work unnecessarily.</w:t>
      </w:r>
    </w:p>
    <w:permEnd w:id="37599580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8F4786" w:rsidRDefault="00D72E9D" w:rsidP="00EC2C93">
      <w:pPr>
        <w:keepNext/>
      </w:pPr>
      <w:permStart w:id="955473533" w:edGrp="everyone"/>
      <w:r>
        <w:t>Yes</w:t>
      </w:r>
      <w:r w:rsidR="00782AD1">
        <w:t xml:space="preserve">, </w:t>
      </w:r>
      <w:r w:rsidR="00BF6E70">
        <w:t>the ISE</w:t>
      </w:r>
      <w:r w:rsidR="00782AD1">
        <w:t xml:space="preserve"> agree</w:t>
      </w:r>
      <w:r w:rsidR="00BF6E70">
        <w:t>s</w:t>
      </w:r>
      <w:r w:rsidR="00782AD1">
        <w:t xml:space="preserve"> with one streamlined process</w:t>
      </w:r>
      <w:r>
        <w:t>.</w:t>
      </w:r>
      <w:r w:rsidR="00BF6E70">
        <w:t xml:space="preserve"> In relation to the proposed format, we would question why a column is necessary for the “relevant operator” as </w:t>
      </w:r>
      <w:r w:rsidR="007B6C60">
        <w:t>we would expect</w:t>
      </w:r>
      <w:r w:rsidR="00BF6E70">
        <w:t xml:space="preserve"> the entire document/application </w:t>
      </w:r>
      <w:r w:rsidR="007B6C60">
        <w:t>to be</w:t>
      </w:r>
      <w:r w:rsidR="00BF6E70">
        <w:t xml:space="preserve"> provided by the same operator</w:t>
      </w:r>
      <w:r w:rsidR="00A3055D">
        <w:t>, and therefore we suggest deleting this column</w:t>
      </w:r>
      <w:r w:rsidR="00BF6E70">
        <w:t>.</w:t>
      </w:r>
    </w:p>
    <w:permEnd w:id="95547353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782AD1" w:rsidP="00EC2C93">
      <w:pPr>
        <w:keepNext/>
      </w:pPr>
      <w:permStart w:id="1574963309" w:edGrp="everyone"/>
      <w:r>
        <w:t xml:space="preserve">Yes, </w:t>
      </w:r>
      <w:r w:rsidR="00BF6E70">
        <w:t xml:space="preserve">the ISE </w:t>
      </w:r>
      <w:r>
        <w:t>agree</w:t>
      </w:r>
      <w:r w:rsidR="00BF6E70">
        <w:t>s</w:t>
      </w:r>
      <w:r>
        <w:t xml:space="preserve"> with one streamlined process</w:t>
      </w:r>
      <w:r w:rsidR="00BF6E70">
        <w:t>, and the proposed format seems fine</w:t>
      </w:r>
      <w:r w:rsidR="00D8146B">
        <w:t>.</w:t>
      </w:r>
    </w:p>
    <w:permEnd w:id="157496330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16"/>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33910952" w:edGrp="everyone"/>
      <w:r>
        <w:t>TYPE YOUR TEXT HERE</w:t>
      </w:r>
    </w:p>
    <w:permEnd w:id="23391095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972847997" w:edGrp="everyone"/>
      <w:r>
        <w:t>TYPE YOUR TEXT HERE</w:t>
      </w:r>
    </w:p>
    <w:permEnd w:id="97284799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37725581" w:edGrp="everyone"/>
      <w:r>
        <w:t>TYPE YOUR TEXT HERE</w:t>
      </w:r>
    </w:p>
    <w:permEnd w:id="337725581"/>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708738020" w:edGrp="everyone"/>
      <w:r>
        <w:t>TYPE YOUR TEXT HERE</w:t>
      </w:r>
    </w:p>
    <w:permEnd w:id="70873802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752832407" w:edGrp="everyone"/>
      <w:r>
        <w:t>TYPE YOUR TEXT HERE</w:t>
      </w:r>
    </w:p>
    <w:permEnd w:id="75283240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471995503" w:edGrp="everyone"/>
      <w:r>
        <w:t>TYPE YOUR TEXT HERE</w:t>
      </w:r>
    </w:p>
    <w:permEnd w:id="471995503"/>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636332700" w:edGrp="everyone"/>
      <w:r>
        <w:t>TYPE YOUR TEXT HERE</w:t>
      </w:r>
    </w:p>
    <w:permEnd w:id="163633270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583496185" w:edGrp="everyone"/>
      <w:r>
        <w:t>TYPE YOUR TEXT HERE</w:t>
      </w:r>
    </w:p>
    <w:permEnd w:id="583496185"/>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588082717" w:edGrp="everyone"/>
      <w:r>
        <w:t>TYPE YOUR TEXT HERE</w:t>
      </w:r>
    </w:p>
    <w:permEnd w:id="588082717"/>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588150178" w:edGrp="everyone"/>
      <w:r>
        <w:t>TYPE YOUR TEXT HERE</w:t>
      </w:r>
    </w:p>
    <w:permEnd w:id="58815017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62368623" w:edGrp="everyone"/>
      <w:r>
        <w:t>TYPE YOUR TEXT HERE</w:t>
      </w:r>
    </w:p>
    <w:permEnd w:id="1862368623"/>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395197450" w:edGrp="everyone"/>
      <w:r>
        <w:t>TYPE YOUR TEXT HERE</w:t>
      </w:r>
    </w:p>
    <w:permEnd w:id="39519745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88903383" w:edGrp="everyone"/>
      <w:r>
        <w:t>TYPE YOUR TEXT HERE</w:t>
      </w:r>
    </w:p>
    <w:permEnd w:id="188890338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316648849" w:edGrp="everyone"/>
      <w:r>
        <w:t>TYPE YOUR TEXT HERE</w:t>
      </w:r>
    </w:p>
    <w:permEnd w:id="131664884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376983784" w:edGrp="everyone"/>
      <w:r>
        <w:t>TYPE YOUR TEXT HERE</w:t>
      </w:r>
    </w:p>
    <w:permEnd w:id="376983784"/>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52567418" w:edGrp="everyone"/>
      <w:r>
        <w:t>TYPE YOUR TEXT HERE</w:t>
      </w:r>
    </w:p>
    <w:permEnd w:id="5256741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793598038" w:edGrp="everyone"/>
      <w:r>
        <w:t>TYPE YOUR TEXT HERE</w:t>
      </w:r>
    </w:p>
    <w:permEnd w:id="793598038"/>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003454012" w:edGrp="everyone"/>
      <w:r>
        <w:t>TYPE YOUR TEXT HERE</w:t>
      </w:r>
    </w:p>
    <w:permEnd w:id="2003454012"/>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188263918" w:edGrp="everyone"/>
      <w:r>
        <w:t>TYPE YOUR TEXT HERE</w:t>
      </w:r>
    </w:p>
    <w:permEnd w:id="118826391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2084652176" w:edGrp="everyone"/>
      <w:r>
        <w:t>TYPE YOUR TEXT HERE</w:t>
      </w:r>
    </w:p>
    <w:permEnd w:id="208465217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218636706" w:edGrp="everyone"/>
      <w:r>
        <w:t>TYPE YOUR TEXT HERE</w:t>
      </w:r>
    </w:p>
    <w:permEnd w:id="21863670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410408938" w:edGrp="everyone"/>
      <w:r>
        <w:t>TYPE YOUR TEXT HERE</w:t>
      </w:r>
    </w:p>
    <w:permEnd w:id="141040893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397774747" w:edGrp="everyone"/>
      <w:r>
        <w:t>TYPE YOUR TEXT HERE</w:t>
      </w:r>
    </w:p>
    <w:permEnd w:id="1397774747"/>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356231916" w:edGrp="everyone"/>
      <w:r>
        <w:t>TYPE YOUR TEXT HERE</w:t>
      </w:r>
    </w:p>
    <w:permEnd w:id="135623191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507927521" w:edGrp="everyone"/>
      <w:r>
        <w:t>TYPE YOUR TEXT HERE</w:t>
      </w:r>
    </w:p>
    <w:permEnd w:id="50792752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334324068" w:edGrp="everyone"/>
      <w:r>
        <w:t>TYPE YOUR TEXT HERE</w:t>
      </w:r>
    </w:p>
    <w:permEnd w:id="133432406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282563580" w:edGrp="everyone"/>
      <w:r>
        <w:t>TYPE YOUR TEXT HERE</w:t>
      </w:r>
    </w:p>
    <w:permEnd w:id="128256358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784245764" w:edGrp="everyone"/>
      <w:r>
        <w:t>TYPE YOUR TEXT HERE</w:t>
      </w:r>
    </w:p>
    <w:permEnd w:id="178424576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757683746" w:edGrp="everyone"/>
      <w:r>
        <w:t>TYPE YOUR TEXT HERE</w:t>
      </w:r>
    </w:p>
    <w:permEnd w:id="1757683746"/>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75855853" w:edGrp="everyone"/>
      <w:r>
        <w:t>TYPE YOUR TEXT HERE</w:t>
      </w:r>
    </w:p>
    <w:permEnd w:id="75855853"/>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487466216" w:edGrp="everyone"/>
      <w:r>
        <w:t>TYPE YOUR TEXT HERE</w:t>
      </w:r>
    </w:p>
    <w:permEnd w:id="487466216"/>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479743698" w:edGrp="everyone"/>
      <w:r>
        <w:t>TYPE YOUR TEXT HERE</w:t>
      </w:r>
    </w:p>
    <w:permEnd w:id="47974369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67651870" w:edGrp="everyone"/>
      <w:r>
        <w:t>TYPE YOUR TEXT HERE</w:t>
      </w:r>
    </w:p>
    <w:permEnd w:id="16765187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138428429" w:edGrp="everyone"/>
      <w:r>
        <w:t>TYPE YOUR TEXT HERE</w:t>
      </w:r>
    </w:p>
    <w:permEnd w:id="113842842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037918836" w:edGrp="everyone"/>
      <w:r>
        <w:t>TYPE YOUR TEXT HERE</w:t>
      </w:r>
    </w:p>
    <w:permEnd w:id="1037918836"/>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678460365" w:edGrp="everyone"/>
      <w:r>
        <w:t>TYPE YOUR TEXT HERE</w:t>
      </w:r>
    </w:p>
    <w:permEnd w:id="67846036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652810138" w:edGrp="everyone"/>
      <w:r>
        <w:t>TYPE YOUR TEXT HERE</w:t>
      </w:r>
    </w:p>
    <w:permEnd w:id="652810138"/>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388016819" w:edGrp="everyone"/>
      <w:r>
        <w:t>TYPE YOUR TEXT HERE</w:t>
      </w:r>
    </w:p>
    <w:permEnd w:id="138801681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982719407" w:edGrp="everyone"/>
      <w:r>
        <w:t>TYPE YOUR TEXT HERE</w:t>
      </w:r>
    </w:p>
    <w:permEnd w:id="98271940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750815982" w:edGrp="everyone"/>
      <w:r>
        <w:t>TYPE YOUR TEXT HERE</w:t>
      </w:r>
    </w:p>
    <w:permEnd w:id="1750815982"/>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560412666" w:edGrp="everyone"/>
      <w:r>
        <w:t>TYPE YOUR TEXT HERE</w:t>
      </w:r>
    </w:p>
    <w:permEnd w:id="560412666"/>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714610216" w:edGrp="everyone"/>
      <w:r>
        <w:t>TYPE YOUR TEXT HERE</w:t>
      </w:r>
    </w:p>
    <w:permEnd w:id="714610216"/>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69694982" w:edGrp="everyone"/>
      <w:r>
        <w:t>TYPE YOUR TEXT HERE</w:t>
      </w:r>
    </w:p>
    <w:permEnd w:id="26969498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465660858" w:edGrp="everyone"/>
      <w:r>
        <w:t>TYPE YOUR TEXT HERE</w:t>
      </w:r>
    </w:p>
    <w:permEnd w:id="465660858"/>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816278369" w:edGrp="everyone"/>
      <w:r>
        <w:t>TYPE YOUR TEXT HERE</w:t>
      </w:r>
    </w:p>
    <w:permEnd w:id="81627836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16"/>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DA266A" w:rsidRPr="00D94CD9" w:rsidRDefault="00DA266A" w:rsidP="00DA266A">
      <w:pPr>
        <w:spacing w:line="240" w:lineRule="auto"/>
      </w:pPr>
      <w:permStart w:id="1588077221" w:edGrp="everyone"/>
      <w:r w:rsidRPr="00D94CD9">
        <w:t>We have not been exposed in any significant way to any of the following:</w:t>
      </w:r>
    </w:p>
    <w:p w:rsidR="00DA266A" w:rsidRPr="00D94CD9" w:rsidRDefault="00DA266A" w:rsidP="00DA266A">
      <w:pPr>
        <w:spacing w:line="240" w:lineRule="auto"/>
      </w:pPr>
      <w:proofErr w:type="spellStart"/>
      <w:r w:rsidRPr="00D94CD9">
        <w:t>FpML</w:t>
      </w:r>
      <w:proofErr w:type="spellEnd"/>
      <w:r w:rsidRPr="00D94CD9">
        <w:t xml:space="preserve">, ISO 2022, </w:t>
      </w:r>
      <w:proofErr w:type="gramStart"/>
      <w:r w:rsidRPr="00D94CD9">
        <w:t>TREM ,</w:t>
      </w:r>
      <w:proofErr w:type="gramEnd"/>
      <w:r w:rsidRPr="00D94CD9">
        <w:t xml:space="preserve"> IFX, FIX and XBRL.</w:t>
      </w:r>
    </w:p>
    <w:p w:rsidR="00DA266A" w:rsidRPr="00D94CD9" w:rsidRDefault="00DA266A" w:rsidP="00DA266A">
      <w:pPr>
        <w:spacing w:line="240" w:lineRule="auto"/>
      </w:pPr>
    </w:p>
    <w:p w:rsidR="00DA266A" w:rsidRPr="00D94CD9" w:rsidRDefault="00DA266A" w:rsidP="00DA266A">
      <w:pPr>
        <w:spacing w:line="240" w:lineRule="auto"/>
      </w:pPr>
      <w:r w:rsidRPr="00D94CD9">
        <w:t>We do not currently have a preference of one format over another.</w:t>
      </w:r>
    </w:p>
    <w:permEnd w:id="158807722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001004361" w:edGrp="everyone"/>
      <w:r>
        <w:t>TYPE YOUR TEXT HERE</w:t>
      </w:r>
    </w:p>
    <w:permEnd w:id="100100436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64265" w:rsidP="00EC2C93">
      <w:pPr>
        <w:keepNext/>
      </w:pPr>
      <w:permStart w:id="485634288" w:edGrp="everyone"/>
      <w:r>
        <w:t xml:space="preserve">We believe there are typing errors in the second sentence of Recital 2 and it should read “This is to </w:t>
      </w:r>
      <w:r w:rsidRPr="00564265">
        <w:rPr>
          <w:b/>
        </w:rPr>
        <w:t>ensure</w:t>
      </w:r>
      <w:r>
        <w:rPr>
          <w:b/>
        </w:rPr>
        <w:t xml:space="preserve"> </w:t>
      </w:r>
      <w:r w:rsidRPr="00564265">
        <w:t>that</w:t>
      </w:r>
      <w:r>
        <w:t xml:space="preserve"> any report provided by the third party firm after the order is filled </w:t>
      </w:r>
      <w:r w:rsidRPr="00564265">
        <w:rPr>
          <w:strike/>
        </w:rPr>
        <w:t>to</w:t>
      </w:r>
      <w:r>
        <w:rPr>
          <w:strike/>
        </w:rPr>
        <w:t xml:space="preserve"> </w:t>
      </w:r>
      <w:r w:rsidRPr="00564265">
        <w:t>incorporate</w:t>
      </w:r>
      <w:r w:rsidRPr="00564265">
        <w:rPr>
          <w:b/>
        </w:rPr>
        <w:t>s</w:t>
      </w:r>
      <w:r w:rsidRPr="00564265">
        <w:t>……”</w:t>
      </w:r>
    </w:p>
    <w:permEnd w:id="48563428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064775894" w:edGrp="everyone"/>
      <w:r>
        <w:t>TYPE YOUR TEXT HERE</w:t>
      </w:r>
    </w:p>
    <w:permEnd w:id="1064775894"/>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96F5E" w:rsidRPr="001777E8" w:rsidRDefault="00596F5E" w:rsidP="00596F5E">
      <w:pPr>
        <w:keepNext/>
        <w:spacing w:line="240" w:lineRule="auto"/>
      </w:pPr>
      <w:permStart w:id="748553296" w:edGrp="everyone"/>
      <w:r>
        <w:t>The ISE</w:t>
      </w:r>
      <w:r w:rsidRPr="001777E8">
        <w:t xml:space="preserve"> asks ESMA for clar</w:t>
      </w:r>
      <w:r>
        <w:t>ification on the</w:t>
      </w:r>
      <w:r w:rsidRPr="001777E8">
        <w:t xml:space="preserve"> inclusion of a ‘trading venue’ as a counter party to a trade. We consider that this is a misunderstanding of the role of a trading venue </w:t>
      </w:r>
      <w:r>
        <w:t xml:space="preserve">as a </w:t>
      </w:r>
      <w:r w:rsidRPr="001777E8">
        <w:t>tradin</w:t>
      </w:r>
      <w:r>
        <w:t xml:space="preserve">g venue can never be a ‘counter </w:t>
      </w:r>
      <w:r w:rsidRPr="001777E8">
        <w:t>party’ to a trade.</w:t>
      </w:r>
    </w:p>
    <w:permEnd w:id="74855329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CD1B6D" w:rsidP="00EC2C93">
      <w:pPr>
        <w:keepNext/>
      </w:pPr>
      <w:permStart w:id="884042026" w:edGrp="everyone"/>
      <w:r>
        <w:t>We have comments only on in relation to the following:</w:t>
      </w:r>
    </w:p>
    <w:p w:rsidR="00CD1B6D" w:rsidRDefault="00CD1B6D" w:rsidP="00F51125">
      <w:pPr>
        <w:pStyle w:val="ListParagraph"/>
      </w:pPr>
      <w:r>
        <w:t xml:space="preserve">Article 6(4): Please note that postcodes </w:t>
      </w:r>
      <w:r w:rsidR="00D40180">
        <w:t>are not available in all countries</w:t>
      </w:r>
      <w:r>
        <w:t>.</w:t>
      </w:r>
    </w:p>
    <w:p w:rsidR="00CD1B6D" w:rsidRDefault="00CD1B6D" w:rsidP="00F51125">
      <w:pPr>
        <w:pStyle w:val="ListParagraph"/>
      </w:pPr>
      <w:r>
        <w:t xml:space="preserve">Article 15: This needs to include the situation where an instrument is first admitted to trading on two regulated markets. This is often the case for Irish companies who </w:t>
      </w:r>
      <w:r>
        <w:lastRenderedPageBreak/>
        <w:t xml:space="preserve">initially dual-list on the ISE and the LSE. We suggest that ESMA includes here the same wording that it has included in </w:t>
      </w:r>
      <w:r w:rsidR="00AD1D63">
        <w:t>draft RTS</w:t>
      </w:r>
      <w:r>
        <w:t xml:space="preserve"> 19, Article 1(1)</w:t>
      </w:r>
      <w:r w:rsidR="005E6CFF">
        <w:t>.</w:t>
      </w:r>
    </w:p>
    <w:p w:rsidR="005E6CFF" w:rsidRDefault="005E6CFF" w:rsidP="00F51125">
      <w:pPr>
        <w:pStyle w:val="ListParagraph"/>
      </w:pPr>
      <w:proofErr w:type="spellStart"/>
      <w:r>
        <w:t>Algo</w:t>
      </w:r>
      <w:proofErr w:type="spellEnd"/>
      <w:r>
        <w:t xml:space="preserve"> ID: We believe that </w:t>
      </w:r>
      <w:r w:rsidRPr="005E6CFF">
        <w:t xml:space="preserve">ESMA </w:t>
      </w:r>
      <w:r>
        <w:t>should specify</w:t>
      </w:r>
      <w:r w:rsidRPr="005E6CFF">
        <w:t xml:space="preserve"> the format of the field (length and type of characters) as currently this varies across venues and therefore it is not possible for an investment firm to harmonise across all venues.</w:t>
      </w:r>
    </w:p>
    <w:p w:rsidR="00130100" w:rsidRDefault="00130100" w:rsidP="00F51125">
      <w:pPr>
        <w:pStyle w:val="ListParagraph"/>
      </w:pPr>
      <w:r>
        <w:t>Annex II Table 1 regarding national client identifiers: we note only CONCAT is suggested as the identifier in Ireland and question why a national passport number would not be included in the 1</w:t>
      </w:r>
      <w:r w:rsidRPr="00130100">
        <w:rPr>
          <w:vertAlign w:val="superscript"/>
        </w:rPr>
        <w:t>st</w:t>
      </w:r>
      <w:r>
        <w:t xml:space="preserve"> priority column as is proposed for other jurisdictions.</w:t>
      </w:r>
    </w:p>
    <w:permEnd w:id="884042026"/>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792031216" w:edGrp="everyone"/>
      <w:r>
        <w:t>TYPE YOUR TEXT HERE</w:t>
      </w:r>
    </w:p>
    <w:permEnd w:id="1792031216"/>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24905834" w:edGrp="everyone"/>
      <w:r>
        <w:t>TYPE YOUR TEXT HERE</w:t>
      </w:r>
    </w:p>
    <w:permEnd w:id="24905834"/>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CD2CA1" w:rsidP="00EC2C93">
      <w:pPr>
        <w:keepNext/>
      </w:pPr>
      <w:permStart w:id="1606425960" w:edGrp="everyone"/>
      <w:r>
        <w:t>TYPE YOUR TEXT HERE</w:t>
      </w:r>
    </w:p>
    <w:permEnd w:id="160642596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435355808" w:edGrp="everyone"/>
      <w:r>
        <w:t>TYPE YOUR TEXT HERE</w:t>
      </w:r>
    </w:p>
    <w:permEnd w:id="43535580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073174688" w:edGrp="everyone"/>
      <w:r>
        <w:t>TYPE YOUR TEXT HERE</w:t>
      </w:r>
    </w:p>
    <w:permEnd w:id="2073174688"/>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954444879" w:edGrp="everyone"/>
      <w:r>
        <w:t>TYPE YOUR TEXT HERE</w:t>
      </w:r>
    </w:p>
    <w:permEnd w:id="1954444879"/>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96F5E" w:rsidRPr="00C4642C" w:rsidRDefault="00596F5E" w:rsidP="00596F5E">
      <w:pPr>
        <w:widowControl w:val="0"/>
        <w:overflowPunct w:val="0"/>
        <w:autoSpaceDE w:val="0"/>
        <w:autoSpaceDN w:val="0"/>
        <w:adjustRightInd w:val="0"/>
        <w:spacing w:line="240" w:lineRule="auto"/>
        <w:rPr>
          <w:rFonts w:ascii="Times New Roman" w:hAnsi="Times New Roman"/>
          <w:sz w:val="24"/>
          <w:szCs w:val="24"/>
        </w:rPr>
      </w:pPr>
      <w:permStart w:id="851929342" w:edGrp="everyone"/>
      <w:r w:rsidRPr="00C4642C">
        <w:rPr>
          <w:rFonts w:ascii="Arial" w:hAnsi="Arial" w:cs="Arial"/>
        </w:rPr>
        <w:t xml:space="preserve">Article 26 (5) of </w:t>
      </w:r>
      <w:proofErr w:type="spellStart"/>
      <w:r w:rsidRPr="00C4642C">
        <w:rPr>
          <w:rFonts w:ascii="Arial" w:hAnsi="Arial" w:cs="Arial"/>
        </w:rPr>
        <w:t>MiFIR</w:t>
      </w:r>
      <w:proofErr w:type="spellEnd"/>
      <w:r w:rsidRPr="00C4642C">
        <w:rPr>
          <w:rFonts w:ascii="Arial" w:hAnsi="Arial" w:cs="Arial"/>
        </w:rPr>
        <w:t xml:space="preserve"> obliges trading venues to “report the details of transactions in financial </w:t>
      </w:r>
      <w:r w:rsidRPr="00C4642C">
        <w:rPr>
          <w:rFonts w:ascii="Arial" w:hAnsi="Arial" w:cs="Arial"/>
        </w:rPr>
        <w:lastRenderedPageBreak/>
        <w:t xml:space="preserve">Instruments traded on its platform which are executed through its systems by a firm which is not subject to this Regulation in accordance with paragraphs 1 and 3” ( of the Article 26). In this respect the </w:t>
      </w:r>
      <w:r>
        <w:rPr>
          <w:rFonts w:ascii="Arial" w:hAnsi="Arial" w:cs="Arial"/>
        </w:rPr>
        <w:t>ISE</w:t>
      </w:r>
      <w:r w:rsidRPr="0098372B">
        <w:rPr>
          <w:rFonts w:ascii="Arial" w:hAnsi="Arial" w:cs="Arial"/>
        </w:rPr>
        <w:t xml:space="preserve"> </w:t>
      </w:r>
      <w:r w:rsidRPr="00C4642C">
        <w:rPr>
          <w:rFonts w:ascii="Arial" w:hAnsi="Arial" w:cs="Arial"/>
        </w:rPr>
        <w:t>would like to stress the following issues:</w:t>
      </w:r>
    </w:p>
    <w:p w:rsidR="00596F5E" w:rsidRPr="00C4642C" w:rsidRDefault="00596F5E" w:rsidP="00596F5E">
      <w:pPr>
        <w:keepNext/>
        <w:spacing w:line="240" w:lineRule="auto"/>
      </w:pPr>
    </w:p>
    <w:p w:rsidR="00596F5E" w:rsidRPr="00C4642C" w:rsidRDefault="00596F5E" w:rsidP="00596F5E">
      <w:pPr>
        <w:widowControl w:val="0"/>
        <w:overflowPunct w:val="0"/>
        <w:autoSpaceDE w:val="0"/>
        <w:autoSpaceDN w:val="0"/>
        <w:adjustRightInd w:val="0"/>
        <w:spacing w:line="240" w:lineRule="auto"/>
        <w:rPr>
          <w:rFonts w:ascii="Times New Roman" w:hAnsi="Times New Roman"/>
          <w:sz w:val="24"/>
          <w:szCs w:val="24"/>
        </w:rPr>
      </w:pPr>
      <w:r w:rsidRPr="00C4642C">
        <w:rPr>
          <w:rFonts w:ascii="Arial" w:hAnsi="Arial" w:cs="Arial"/>
        </w:rPr>
        <w:t xml:space="preserve">First, a trading venue might not obtain all the requested information from its clients, </w:t>
      </w:r>
      <w:r w:rsidR="00D05350">
        <w:rPr>
          <w:rFonts w:ascii="Arial" w:hAnsi="Arial" w:cs="Arial"/>
        </w:rPr>
        <w:t>due to</w:t>
      </w:r>
      <w:r w:rsidRPr="00C4642C">
        <w:rPr>
          <w:rFonts w:ascii="Arial" w:hAnsi="Arial" w:cs="Arial"/>
        </w:rPr>
        <w:t xml:space="preserve"> data protection constraints, for example a firm might not disseminate client identification data to third parties. Thus a trading venue will not be able to fulfil its reporting duties when reporting on behalf of firm</w:t>
      </w:r>
      <w:r w:rsidR="00D05350">
        <w:rPr>
          <w:rFonts w:ascii="Arial" w:hAnsi="Arial" w:cs="Arial"/>
        </w:rPr>
        <w:t>s that are not subject to this R</w:t>
      </w:r>
      <w:r w:rsidRPr="00C4642C">
        <w:rPr>
          <w:rFonts w:ascii="Arial" w:hAnsi="Arial" w:cs="Arial"/>
        </w:rPr>
        <w:t>egulation. It is therefore of utmost importance to have a clear definition of mandatory fields which should be reported in this case, a definition that will take data protection confidentiality into account.</w:t>
      </w:r>
    </w:p>
    <w:p w:rsidR="00596F5E" w:rsidRPr="00C4642C" w:rsidRDefault="00596F5E" w:rsidP="00596F5E">
      <w:pPr>
        <w:widowControl w:val="0"/>
        <w:overflowPunct w:val="0"/>
        <w:autoSpaceDE w:val="0"/>
        <w:autoSpaceDN w:val="0"/>
        <w:adjustRightInd w:val="0"/>
        <w:spacing w:line="240" w:lineRule="auto"/>
        <w:rPr>
          <w:rFonts w:ascii="Arial" w:hAnsi="Arial" w:cs="Arial"/>
        </w:rPr>
      </w:pPr>
    </w:p>
    <w:p w:rsidR="00596F5E" w:rsidRPr="00C4642C" w:rsidRDefault="00596F5E" w:rsidP="00596F5E">
      <w:pPr>
        <w:widowControl w:val="0"/>
        <w:overflowPunct w:val="0"/>
        <w:autoSpaceDE w:val="0"/>
        <w:autoSpaceDN w:val="0"/>
        <w:adjustRightInd w:val="0"/>
        <w:spacing w:line="240" w:lineRule="auto"/>
        <w:rPr>
          <w:rFonts w:ascii="Times New Roman" w:hAnsi="Times New Roman"/>
          <w:sz w:val="24"/>
          <w:szCs w:val="24"/>
        </w:rPr>
      </w:pPr>
      <w:r w:rsidRPr="00C4642C">
        <w:rPr>
          <w:rFonts w:ascii="Arial" w:hAnsi="Arial" w:cs="Arial"/>
        </w:rPr>
        <w:t>Second</w:t>
      </w:r>
      <w:r w:rsidR="00D05350">
        <w:rPr>
          <w:rFonts w:ascii="Arial" w:hAnsi="Arial" w:cs="Arial"/>
        </w:rPr>
        <w:t>ly</w:t>
      </w:r>
      <w:r w:rsidRPr="00C4642C">
        <w:rPr>
          <w:rFonts w:ascii="Arial" w:hAnsi="Arial" w:cs="Arial"/>
        </w:rPr>
        <w:t xml:space="preserve">, </w:t>
      </w:r>
      <w:r>
        <w:rPr>
          <w:rFonts w:ascii="Arial" w:hAnsi="Arial" w:cs="Arial"/>
        </w:rPr>
        <w:t>we believe</w:t>
      </w:r>
      <w:r w:rsidRPr="00C4642C">
        <w:rPr>
          <w:rFonts w:ascii="Arial" w:hAnsi="Arial" w:cs="Arial"/>
        </w:rPr>
        <w:t xml:space="preserve"> clear guidance </w:t>
      </w:r>
      <w:r>
        <w:rPr>
          <w:rFonts w:ascii="Arial" w:hAnsi="Arial" w:cs="Arial"/>
        </w:rPr>
        <w:t xml:space="preserve">needs to be provided </w:t>
      </w:r>
      <w:r w:rsidRPr="00C4642C">
        <w:rPr>
          <w:rFonts w:ascii="Arial" w:hAnsi="Arial" w:cs="Arial"/>
        </w:rPr>
        <w:t>as to how a trading venue can identify firm</w:t>
      </w:r>
      <w:r w:rsidR="00D05350">
        <w:rPr>
          <w:rFonts w:ascii="Arial" w:hAnsi="Arial" w:cs="Arial"/>
        </w:rPr>
        <w:t>s that are not subject to this R</w:t>
      </w:r>
      <w:r w:rsidRPr="00C4642C">
        <w:rPr>
          <w:rFonts w:ascii="Arial" w:hAnsi="Arial" w:cs="Arial"/>
        </w:rPr>
        <w:t>egulation in order for it to report on its behalf. The lack of such provisions will ultimately result in over or under reporting.</w:t>
      </w:r>
    </w:p>
    <w:p w:rsidR="00596F5E" w:rsidRPr="00C4642C" w:rsidRDefault="00596F5E" w:rsidP="00596F5E">
      <w:pPr>
        <w:widowControl w:val="0"/>
        <w:autoSpaceDE w:val="0"/>
        <w:autoSpaceDN w:val="0"/>
        <w:adjustRightInd w:val="0"/>
        <w:spacing w:line="240" w:lineRule="auto"/>
        <w:rPr>
          <w:rFonts w:ascii="Times New Roman" w:hAnsi="Times New Roman"/>
          <w:sz w:val="24"/>
          <w:szCs w:val="24"/>
        </w:rPr>
      </w:pPr>
    </w:p>
    <w:p w:rsidR="00596F5E" w:rsidRDefault="00596F5E" w:rsidP="00596F5E">
      <w:pPr>
        <w:keepNext/>
        <w:spacing w:line="240" w:lineRule="auto"/>
      </w:pPr>
      <w:r>
        <w:rPr>
          <w:rFonts w:ascii="Arial" w:hAnsi="Arial" w:cs="Arial"/>
        </w:rPr>
        <w:t>Finally</w:t>
      </w:r>
      <w:r w:rsidRPr="00C4642C">
        <w:rPr>
          <w:rFonts w:ascii="Arial" w:hAnsi="Arial" w:cs="Arial"/>
        </w:rPr>
        <w:t xml:space="preserve">, it is crucial to point out that a trading venue is not and </w:t>
      </w:r>
      <w:r w:rsidRPr="00596F5E">
        <w:rPr>
          <w:rFonts w:ascii="Arial" w:hAnsi="Arial" w:cs="Arial"/>
          <w:bCs/>
        </w:rPr>
        <w:t>shall not</w:t>
      </w:r>
      <w:r w:rsidRPr="00C4642C">
        <w:rPr>
          <w:rFonts w:ascii="Arial" w:hAnsi="Arial" w:cs="Arial"/>
        </w:rPr>
        <w:t xml:space="preserve"> be responsible </w:t>
      </w:r>
      <w:r>
        <w:rPr>
          <w:rFonts w:ascii="Arial" w:hAnsi="Arial" w:cs="Arial"/>
        </w:rPr>
        <w:t xml:space="preserve">for </w:t>
      </w:r>
      <w:r w:rsidRPr="00C4642C">
        <w:rPr>
          <w:rFonts w:ascii="Arial" w:hAnsi="Arial" w:cs="Arial"/>
        </w:rPr>
        <w:t xml:space="preserve">determining whether or not a given counterparty is subject to </w:t>
      </w:r>
      <w:proofErr w:type="spellStart"/>
      <w:r w:rsidRPr="00C4642C">
        <w:rPr>
          <w:rFonts w:ascii="Arial" w:hAnsi="Arial" w:cs="Arial"/>
        </w:rPr>
        <w:t>MiFIR</w:t>
      </w:r>
      <w:proofErr w:type="spellEnd"/>
      <w:r w:rsidRPr="00C4642C">
        <w:rPr>
          <w:rFonts w:ascii="Arial" w:hAnsi="Arial" w:cs="Arial"/>
        </w:rPr>
        <w:t xml:space="preserve"> or not.</w:t>
      </w:r>
      <w:r w:rsidRPr="00C4642C">
        <w:t xml:space="preserve"> </w:t>
      </w:r>
    </w:p>
    <w:permEnd w:id="851929342"/>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CF2939" w:rsidRDefault="00D16C18" w:rsidP="00EC2C93">
      <w:pPr>
        <w:keepNext/>
      </w:pPr>
      <w:permStart w:id="1739860563" w:edGrp="everyone"/>
      <w:r>
        <w:t>The ISE has concerns with the proposal in Article 3(1</w:t>
      </w:r>
      <w:proofErr w:type="gramStart"/>
      <w:r>
        <w:t>)(</w:t>
      </w:r>
      <w:proofErr w:type="gramEnd"/>
      <w:r>
        <w:t>e)</w:t>
      </w:r>
      <w:r w:rsidR="00CF2939">
        <w:t>.</w:t>
      </w:r>
    </w:p>
    <w:p w:rsidR="00CF2939" w:rsidRDefault="00CF2939" w:rsidP="00EC2C93">
      <w:pPr>
        <w:keepNext/>
      </w:pPr>
    </w:p>
    <w:p w:rsidR="00CF2939" w:rsidRDefault="00CF2939" w:rsidP="00EC2C93">
      <w:pPr>
        <w:keepNext/>
      </w:pPr>
      <w:r>
        <w:t>We note that ESMA believes that the provision of the client information to the venue when submitting the order is information which “will allow CAs to identify potential cases of cross-market and attempted market abuse”. However we believe that this will actually be achieved via the provision of client information in transaction reports, and do not see the added value that will be provided to the monitoring by CAs by also requiring such information to be added to orders submitted to trading venues. We further question if such data is compatible with confidentiality agreements and data protection law.</w:t>
      </w:r>
      <w:r w:rsidR="00D16C18">
        <w:t xml:space="preserve"> </w:t>
      </w:r>
    </w:p>
    <w:p w:rsidR="00CF2939" w:rsidRDefault="00CF2939" w:rsidP="00EC2C93">
      <w:pPr>
        <w:keepNext/>
      </w:pPr>
    </w:p>
    <w:p w:rsidR="00577C33" w:rsidRDefault="00CF2939" w:rsidP="00EC2C93">
      <w:pPr>
        <w:keepNext/>
      </w:pPr>
      <w:r>
        <w:t>Furthermore, it</w:t>
      </w:r>
      <w:r w:rsidR="00D16C18">
        <w:t xml:space="preserve"> has not</w:t>
      </w:r>
      <w:r>
        <w:t xml:space="preserve"> been</w:t>
      </w:r>
      <w:r w:rsidR="00D16C18">
        <w:t xml:space="preserve"> addressed that the client information is not always available at the time of order entry. Therefore an obligation should not be placed on a trading venue to store such information </w:t>
      </w:r>
      <w:r>
        <w:t>when it may not be</w:t>
      </w:r>
      <w:r w:rsidR="00D16C18">
        <w:t xml:space="preserve"> provided </w:t>
      </w:r>
      <w:r>
        <w:t>to</w:t>
      </w:r>
      <w:r w:rsidR="00D16C18">
        <w:t xml:space="preserve"> it by the investment firm. Therefore the fields in section 2 of Table 1</w:t>
      </w:r>
      <w:r>
        <w:t>, if maintained,</w:t>
      </w:r>
      <w:r w:rsidR="00D16C18">
        <w:t xml:space="preserve"> should allow also for this option</w:t>
      </w:r>
      <w:r>
        <w:t xml:space="preserve"> i.e. by including that it can be left “blank”. Furthermore, if not provided to the trading venue at the time of order entry, there should be no obligation on the venue to </w:t>
      </w:r>
      <w:r w:rsidR="00543316">
        <w:t>subsequently</w:t>
      </w:r>
      <w:r>
        <w:t xml:space="preserve"> source this information</w:t>
      </w:r>
      <w:r w:rsidR="00976FFF">
        <w:t>.</w:t>
      </w:r>
      <w:r>
        <w:t xml:space="preserve"> </w:t>
      </w:r>
    </w:p>
    <w:permEnd w:id="173986056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lastRenderedPageBreak/>
        <w:t>&lt;ESMA_QUESTION_CP_MIFID_227&gt;</w:t>
      </w:r>
    </w:p>
    <w:p w:rsidR="00577C33" w:rsidRDefault="00793ADA" w:rsidP="00EC2C93">
      <w:pPr>
        <w:keepNext/>
      </w:pPr>
      <w:permStart w:id="1573074549" w:edGrp="everyone"/>
      <w:r>
        <w:t xml:space="preserve">We believe it would be beneficial for ESMA to include the definition of each capacity type within this </w:t>
      </w:r>
      <w:r w:rsidR="00AD1D63">
        <w:t>draft RTS</w:t>
      </w:r>
      <w:r>
        <w:t>.</w:t>
      </w:r>
    </w:p>
    <w:p w:rsidR="004B35E1" w:rsidRDefault="004B35E1" w:rsidP="00EC2C93">
      <w:pPr>
        <w:keepNext/>
      </w:pPr>
    </w:p>
    <w:p w:rsidR="004B35E1" w:rsidRDefault="004B35E1" w:rsidP="00EC2C93">
      <w:pPr>
        <w:keepNext/>
      </w:pPr>
      <w:r>
        <w:t>However we believe further clarity is needed on the description of ‘Liquidity provision activity’ in Table 1, Annex 1, draft RTS 34 (page 476), and propose the following amendment:</w:t>
      </w:r>
    </w:p>
    <w:p w:rsidR="004B35E1" w:rsidRDefault="004B35E1" w:rsidP="00EC2C93">
      <w:pPr>
        <w:keepNext/>
      </w:pPr>
      <w:r>
        <w:t>Where orders are placed in a trading venue by investment firms “</w:t>
      </w:r>
      <w:r w:rsidRPr="004B35E1">
        <w:rPr>
          <w:b/>
          <w:color w:val="FF0000"/>
        </w:rPr>
        <w:t xml:space="preserve">engaged in a market making </w:t>
      </w:r>
      <w:proofErr w:type="gramStart"/>
      <w:r w:rsidRPr="004B35E1">
        <w:rPr>
          <w:b/>
          <w:color w:val="FF0000"/>
        </w:rPr>
        <w:t>agreement</w:t>
      </w:r>
      <w:r>
        <w:t>”,</w:t>
      </w:r>
      <w:proofErr w:type="gramEnd"/>
      <w:r>
        <w:t xml:space="preserve"> or by………</w:t>
      </w:r>
    </w:p>
    <w:p w:rsidR="004B35E1" w:rsidRDefault="004B35E1" w:rsidP="00EC2C93">
      <w:pPr>
        <w:keepNext/>
      </w:pPr>
    </w:p>
    <w:permEnd w:id="157307454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C629E3" w:rsidRDefault="00C629E3" w:rsidP="00EC2C93">
      <w:pPr>
        <w:keepNext/>
      </w:pPr>
      <w:permStart w:id="1352022938" w:edGrp="everyone"/>
      <w:r>
        <w:t xml:space="preserve">The ISE agrees with the differentiation between electronic trading and voice trading however we believe that this needs to be done at a trading system level rather than at a venue level so that if a particular trading venue operates both an electronic trading system and a voice trading system, the requirements </w:t>
      </w:r>
      <w:r w:rsidR="006C166B">
        <w:t>are</w:t>
      </w:r>
      <w:r>
        <w:t xml:space="preserve"> set </w:t>
      </w:r>
      <w:r w:rsidR="006C166B">
        <w:t>appropriately</w:t>
      </w:r>
      <w:r>
        <w:t xml:space="preserve"> for each system. Otherwise disproportional requirements will be placed on the voice trading system. Therefore we suggest the following amendments to Article 4 of the draft RTS:</w:t>
      </w:r>
    </w:p>
    <w:p w:rsidR="00C629E3" w:rsidRDefault="00C629E3" w:rsidP="00EC2C93">
      <w:pPr>
        <w:keepNext/>
      </w:pPr>
    </w:p>
    <w:p w:rsidR="00C629E3" w:rsidRDefault="00C629E3" w:rsidP="009C5875">
      <w:pPr>
        <w:keepNext/>
        <w:ind w:left="708"/>
      </w:pPr>
      <w:r>
        <w:t>Article 4(1): …….</w:t>
      </w:r>
      <w:r w:rsidRPr="00C629E3">
        <w:t xml:space="preserve"> </w:t>
      </w:r>
      <w:r>
        <w:t xml:space="preserve">In the case of trading venues operating an electronic trading system, all data elements that require a time stamp shall be in a format that complies with the level of granularity required under paragraph 2(a) of this Article </w:t>
      </w:r>
      <w:r w:rsidRPr="00C629E3">
        <w:rPr>
          <w:b/>
          <w:color w:val="FF0000"/>
        </w:rPr>
        <w:t xml:space="preserve">for </w:t>
      </w:r>
      <w:r>
        <w:rPr>
          <w:b/>
          <w:color w:val="FF0000"/>
        </w:rPr>
        <w:t xml:space="preserve">orders placed through </w:t>
      </w:r>
      <w:r w:rsidRPr="00C629E3">
        <w:rPr>
          <w:b/>
          <w:color w:val="FF0000"/>
        </w:rPr>
        <w:t>that system</w:t>
      </w:r>
      <w:r>
        <w:t xml:space="preserve">. Trading venues operating voice-trading systems </w:t>
      </w:r>
      <w:r w:rsidRPr="00C629E3">
        <w:rPr>
          <w:strike/>
        </w:rPr>
        <w:t xml:space="preserve">only </w:t>
      </w:r>
      <w:r>
        <w:t xml:space="preserve">shall utilise a format that accommodates for data element fields to be recorded to the level of granularity required under paragraph 2(b) of this Article </w:t>
      </w:r>
      <w:r w:rsidRPr="00C629E3">
        <w:rPr>
          <w:b/>
          <w:color w:val="FF0000"/>
        </w:rPr>
        <w:t>for</w:t>
      </w:r>
      <w:r>
        <w:rPr>
          <w:b/>
          <w:color w:val="FF0000"/>
        </w:rPr>
        <w:t xml:space="preserve"> orders placed through</w:t>
      </w:r>
      <w:r w:rsidRPr="00C629E3">
        <w:rPr>
          <w:b/>
          <w:color w:val="FF0000"/>
        </w:rPr>
        <w:t xml:space="preserve"> that system</w:t>
      </w:r>
      <w:r>
        <w:t>.</w:t>
      </w:r>
    </w:p>
    <w:p w:rsidR="00C629E3" w:rsidRDefault="00C629E3" w:rsidP="009C5875">
      <w:pPr>
        <w:keepNext/>
        <w:ind w:left="708"/>
      </w:pPr>
    </w:p>
    <w:p w:rsidR="005B4F5F" w:rsidRDefault="005B4F5F" w:rsidP="009C5875">
      <w:pPr>
        <w:keepNext/>
        <w:ind w:left="708"/>
      </w:pPr>
      <w:r>
        <w:t>2. The time stamp for all order related events shall be accurate to the millisecond as a minimum. By way of derogation from this paragraph:</w:t>
      </w:r>
    </w:p>
    <w:p w:rsidR="005B4F5F" w:rsidRDefault="005B4F5F" w:rsidP="009C5875">
      <w:pPr>
        <w:keepNext/>
        <w:ind w:left="708"/>
      </w:pPr>
      <w:r>
        <w:t xml:space="preserve">(a) Trading venues operating an electronic trading system where the gateway-to-gateway latency is measured in less than one millisecond shall maintain time stamps for all order related events </w:t>
      </w:r>
      <w:r>
        <w:rPr>
          <w:b/>
          <w:color w:val="FF0000"/>
        </w:rPr>
        <w:t>through</w:t>
      </w:r>
      <w:r w:rsidRPr="00C629E3">
        <w:rPr>
          <w:b/>
          <w:color w:val="FF0000"/>
        </w:rPr>
        <w:t xml:space="preserve"> that system</w:t>
      </w:r>
      <w:r>
        <w:t xml:space="preserve"> in accordance with Article 50 of the Directive;</w:t>
      </w:r>
    </w:p>
    <w:p w:rsidR="005B4F5F" w:rsidRDefault="005B4F5F" w:rsidP="009C5875">
      <w:pPr>
        <w:keepNext/>
        <w:ind w:left="708"/>
      </w:pPr>
      <w:r>
        <w:t>(b) Trading venues that</w:t>
      </w:r>
      <w:r w:rsidRPr="005B4F5F">
        <w:rPr>
          <w:strike/>
        </w:rPr>
        <w:t xml:space="preserve"> only</w:t>
      </w:r>
      <w:r>
        <w:t xml:space="preserve"> operate a voice-trading system shall maintain a time stamp for all order related events </w:t>
      </w:r>
      <w:r>
        <w:rPr>
          <w:b/>
          <w:color w:val="FF0000"/>
        </w:rPr>
        <w:t>through</w:t>
      </w:r>
      <w:r w:rsidRPr="00C629E3">
        <w:rPr>
          <w:b/>
          <w:color w:val="FF0000"/>
        </w:rPr>
        <w:t xml:space="preserve"> that system</w:t>
      </w:r>
      <w:r>
        <w:t xml:space="preserve"> with a granularity of one second.</w:t>
      </w:r>
    </w:p>
    <w:p w:rsidR="00C629E3" w:rsidRDefault="00C629E3" w:rsidP="00EC2C93">
      <w:pPr>
        <w:keepNext/>
      </w:pPr>
    </w:p>
    <w:p w:rsidR="009C5875" w:rsidRDefault="009C5875" w:rsidP="00EC2C93">
      <w:pPr>
        <w:keepNext/>
      </w:pPr>
      <w:r>
        <w:t xml:space="preserve">We would also like to highlight that we believe the local time of the market should be used to timestamp order events rather than UTC as UTC does not take into account adjustments for daylight savings and therefore will not provide a level of consistency. Instead we suggest that venues maintain the local time but will provide competent authorities with the UTC offset time for its market to enable a comparison, similar to the current approach under </w:t>
      </w:r>
      <w:proofErr w:type="spellStart"/>
      <w:r>
        <w:t>MiFID</w:t>
      </w:r>
      <w:proofErr w:type="spellEnd"/>
      <w:r>
        <w:t xml:space="preserve"> I.</w:t>
      </w:r>
    </w:p>
    <w:p w:rsidR="004E780A" w:rsidRDefault="004E780A" w:rsidP="00EC2C93">
      <w:pPr>
        <w:keepNext/>
      </w:pPr>
    </w:p>
    <w:p w:rsidR="004E780A" w:rsidRDefault="004E780A" w:rsidP="00EC2C93">
      <w:pPr>
        <w:keepNext/>
      </w:pPr>
      <w:r>
        <w:t>We also note that there is an error in the definitions of “electronic system” and “voice trading system” in Article 2 where part (h) has a cross-reference to letter (b) which we believe should be to letter (g).</w:t>
      </w:r>
    </w:p>
    <w:p w:rsidR="00C629E3" w:rsidRDefault="00C629E3" w:rsidP="00EC2C93">
      <w:pPr>
        <w:keepNext/>
      </w:pPr>
    </w:p>
    <w:permEnd w:id="135202293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lastRenderedPageBreak/>
        <w:t>&lt;ESMA_QUESTION_CP_MIFID_229&gt;</w:t>
      </w:r>
    </w:p>
    <w:p w:rsidR="0075661E" w:rsidRDefault="0075661E" w:rsidP="00EC2C93">
      <w:pPr>
        <w:keepNext/>
      </w:pPr>
      <w:permStart w:id="1103577056" w:edGrp="everyone"/>
      <w:r>
        <w:t xml:space="preserve">We welcome ESMA’s recognition that not all instruments have an ISIN code. However we would like to highlight that </w:t>
      </w:r>
      <w:r w:rsidR="00903155">
        <w:t>those</w:t>
      </w:r>
      <w:r>
        <w:t xml:space="preserve"> instruments may not have an AII code either. While there are only a limited number of such instruments, it is important that they are captured within the Table 1 in Annex 1, and that a venue is allowed to assign another venue specific identification code to such instruments.  Therefore we propose the following amendment</w:t>
      </w:r>
      <w:r w:rsidR="00C9362F">
        <w:t>s</w:t>
      </w:r>
      <w:r>
        <w:t xml:space="preserve"> to the table:</w:t>
      </w:r>
    </w:p>
    <w:p w:rsidR="0075661E" w:rsidRDefault="0075661E" w:rsidP="00EC2C93">
      <w:pPr>
        <w:keepNext/>
      </w:pPr>
    </w:p>
    <w:tbl>
      <w:tblPr>
        <w:tblStyle w:val="TableGrid"/>
        <w:tblW w:w="0" w:type="auto"/>
        <w:tblLook w:val="04A0" w:firstRow="1" w:lastRow="0" w:firstColumn="1" w:lastColumn="0" w:noHBand="0" w:noVBand="1"/>
      </w:tblPr>
      <w:tblGrid>
        <w:gridCol w:w="3096"/>
        <w:gridCol w:w="3096"/>
        <w:gridCol w:w="3096"/>
      </w:tblGrid>
      <w:tr w:rsidR="0075661E" w:rsidRPr="0075661E" w:rsidTr="0075661E">
        <w:tc>
          <w:tcPr>
            <w:tcW w:w="3096" w:type="dxa"/>
          </w:tcPr>
          <w:p w:rsidR="0075661E" w:rsidRPr="0075661E" w:rsidRDefault="0075661E" w:rsidP="00E709A4">
            <w:pPr>
              <w:keepNext/>
            </w:pPr>
            <w:r w:rsidRPr="0075661E">
              <w:t>Financial instruments ID code</w:t>
            </w:r>
          </w:p>
        </w:tc>
        <w:tc>
          <w:tcPr>
            <w:tcW w:w="3096" w:type="dxa"/>
          </w:tcPr>
          <w:p w:rsidR="0075661E" w:rsidRPr="0075661E" w:rsidRDefault="0075661E" w:rsidP="00E709A4">
            <w:pPr>
              <w:keepNext/>
            </w:pPr>
            <w:r w:rsidRPr="0075661E">
              <w:t>The financial instrument’s identification code i.e. the ISIN code; if there is no ISIN code, then the AII product code should be chosen.</w:t>
            </w:r>
            <w:r>
              <w:t xml:space="preserve"> </w:t>
            </w:r>
            <w:r w:rsidRPr="0075661E">
              <w:rPr>
                <w:b/>
                <w:color w:val="FF0000"/>
              </w:rPr>
              <w:t xml:space="preserve">If an instrument has </w:t>
            </w:r>
            <w:proofErr w:type="gramStart"/>
            <w:r w:rsidRPr="0075661E">
              <w:rPr>
                <w:b/>
                <w:color w:val="FF0000"/>
              </w:rPr>
              <w:t xml:space="preserve">neither an ISIN </w:t>
            </w:r>
            <w:r>
              <w:rPr>
                <w:b/>
                <w:color w:val="FF0000"/>
              </w:rPr>
              <w:t xml:space="preserve">code </w:t>
            </w:r>
            <w:r w:rsidRPr="0075661E">
              <w:rPr>
                <w:b/>
                <w:color w:val="FF0000"/>
              </w:rPr>
              <w:t xml:space="preserve">nor an AII code, then an instrument </w:t>
            </w:r>
            <w:r>
              <w:rPr>
                <w:b/>
                <w:color w:val="FF0000"/>
              </w:rPr>
              <w:t xml:space="preserve">ID </w:t>
            </w:r>
            <w:r w:rsidRPr="0075661E">
              <w:rPr>
                <w:b/>
                <w:color w:val="FF0000"/>
              </w:rPr>
              <w:t>code</w:t>
            </w:r>
            <w:proofErr w:type="gramEnd"/>
            <w:r w:rsidRPr="0075661E">
              <w:rPr>
                <w:b/>
                <w:color w:val="FF0000"/>
              </w:rPr>
              <w:t xml:space="preserve"> assigned by that venue.</w:t>
            </w:r>
          </w:p>
        </w:tc>
        <w:tc>
          <w:tcPr>
            <w:tcW w:w="3096" w:type="dxa"/>
          </w:tcPr>
          <w:p w:rsidR="0075661E" w:rsidRPr="0075661E" w:rsidRDefault="0075661E" w:rsidP="00E709A4">
            <w:pPr>
              <w:keepNext/>
            </w:pPr>
            <w:r w:rsidRPr="0075661E">
              <w:t>ISIN or AII product code</w:t>
            </w:r>
            <w:r>
              <w:t xml:space="preserve"> </w:t>
            </w:r>
            <w:r w:rsidRPr="0075661E">
              <w:rPr>
                <w:b/>
                <w:color w:val="FF0000"/>
              </w:rPr>
              <w:t>or venue assigned instrument ID code.</w:t>
            </w:r>
          </w:p>
        </w:tc>
      </w:tr>
    </w:tbl>
    <w:p w:rsidR="0075661E" w:rsidRDefault="0075661E" w:rsidP="00EC2C93">
      <w:pPr>
        <w:keepNext/>
      </w:pPr>
    </w:p>
    <w:p w:rsidR="00197376" w:rsidRDefault="00197376" w:rsidP="00EC2C93">
      <w:pPr>
        <w:keepNext/>
      </w:pPr>
      <w:r>
        <w:t>The same changes should also be applied to section 13 of the table:</w:t>
      </w:r>
    </w:p>
    <w:p w:rsidR="00197376" w:rsidRDefault="00197376" w:rsidP="00EC2C93">
      <w:pPr>
        <w:keepNext/>
      </w:pPr>
    </w:p>
    <w:tbl>
      <w:tblPr>
        <w:tblStyle w:val="TableGrid"/>
        <w:tblW w:w="0" w:type="auto"/>
        <w:tblLook w:val="04A0" w:firstRow="1" w:lastRow="0" w:firstColumn="1" w:lastColumn="0" w:noHBand="0" w:noVBand="1"/>
      </w:tblPr>
      <w:tblGrid>
        <w:gridCol w:w="3096"/>
        <w:gridCol w:w="3096"/>
        <w:gridCol w:w="3096"/>
      </w:tblGrid>
      <w:tr w:rsidR="00197376" w:rsidRPr="00197376" w:rsidTr="00197376">
        <w:tc>
          <w:tcPr>
            <w:tcW w:w="3096" w:type="dxa"/>
          </w:tcPr>
          <w:p w:rsidR="00197376" w:rsidRPr="00197376" w:rsidRDefault="00197376" w:rsidP="00E709A4">
            <w:pPr>
              <w:keepNext/>
            </w:pPr>
            <w:r w:rsidRPr="00197376">
              <w:t>Instrument identification code type</w:t>
            </w:r>
          </w:p>
        </w:tc>
        <w:tc>
          <w:tcPr>
            <w:tcW w:w="3096" w:type="dxa"/>
          </w:tcPr>
          <w:p w:rsidR="00197376" w:rsidRPr="00197376" w:rsidRDefault="00197376" w:rsidP="00E709A4">
            <w:pPr>
              <w:keepNext/>
            </w:pPr>
            <w:r w:rsidRPr="00197376">
              <w:t>Code type used to identify the financial instrument.</w:t>
            </w:r>
          </w:p>
        </w:tc>
        <w:tc>
          <w:tcPr>
            <w:tcW w:w="3096" w:type="dxa"/>
          </w:tcPr>
          <w:p w:rsidR="00197376" w:rsidRPr="00197376" w:rsidRDefault="00197376" w:rsidP="00197376">
            <w:pPr>
              <w:keepNext/>
            </w:pPr>
            <w:r w:rsidRPr="00197376">
              <w:t>I = ISIN, A = AII</w:t>
            </w:r>
            <w:r>
              <w:t xml:space="preserve"> </w:t>
            </w:r>
            <w:r w:rsidRPr="0075661E">
              <w:rPr>
                <w:b/>
                <w:color w:val="FF0000"/>
              </w:rPr>
              <w:t xml:space="preserve">or </w:t>
            </w:r>
            <w:r>
              <w:rPr>
                <w:b/>
                <w:color w:val="FF0000"/>
              </w:rPr>
              <w:t>O = Other</w:t>
            </w:r>
          </w:p>
        </w:tc>
      </w:tr>
      <w:tr w:rsidR="00197376" w:rsidRPr="00197376" w:rsidTr="00197376">
        <w:tc>
          <w:tcPr>
            <w:tcW w:w="3096" w:type="dxa"/>
          </w:tcPr>
          <w:p w:rsidR="00197376" w:rsidRPr="00197376" w:rsidRDefault="00197376" w:rsidP="00E709A4">
            <w:pPr>
              <w:keepNext/>
            </w:pPr>
            <w:r w:rsidRPr="00197376">
              <w:t>Identification code of the financial instrument</w:t>
            </w:r>
          </w:p>
        </w:tc>
        <w:tc>
          <w:tcPr>
            <w:tcW w:w="3096" w:type="dxa"/>
          </w:tcPr>
          <w:p w:rsidR="00197376" w:rsidRPr="00197376" w:rsidRDefault="00197376" w:rsidP="00E709A4">
            <w:pPr>
              <w:keepNext/>
            </w:pPr>
            <w:r w:rsidRPr="00197376">
              <w:t>Code used to identify the financial instrument.</w:t>
            </w:r>
          </w:p>
        </w:tc>
        <w:tc>
          <w:tcPr>
            <w:tcW w:w="3096" w:type="dxa"/>
          </w:tcPr>
          <w:p w:rsidR="00197376" w:rsidRDefault="00197376" w:rsidP="00E709A4">
            <w:pPr>
              <w:keepNext/>
            </w:pPr>
            <w:r w:rsidRPr="00197376">
              <w:t>Where the instrument identification code type is I, ISO 6166 ISIN shall be used</w:t>
            </w:r>
          </w:p>
          <w:p w:rsidR="00197376" w:rsidRDefault="00197376" w:rsidP="00E709A4">
            <w:pPr>
              <w:keepNext/>
            </w:pPr>
          </w:p>
          <w:p w:rsidR="00197376" w:rsidRDefault="00197376" w:rsidP="00E709A4">
            <w:pPr>
              <w:keepNext/>
            </w:pPr>
            <w:r w:rsidRPr="00197376">
              <w:t>Where the instrument identification code type is A, the AII venue + Exchange Product Code (16 alphanumerical characters) shall be used</w:t>
            </w:r>
          </w:p>
          <w:p w:rsidR="00197376" w:rsidRDefault="00197376" w:rsidP="00E709A4">
            <w:pPr>
              <w:keepNext/>
            </w:pPr>
          </w:p>
          <w:p w:rsidR="00197376" w:rsidRPr="00197376" w:rsidRDefault="00197376" w:rsidP="00E709A4">
            <w:pPr>
              <w:keepNext/>
            </w:pPr>
            <w:r w:rsidRPr="0075661E">
              <w:rPr>
                <w:b/>
                <w:color w:val="FF0000"/>
              </w:rPr>
              <w:t xml:space="preserve">If an instrument has </w:t>
            </w:r>
            <w:proofErr w:type="gramStart"/>
            <w:r w:rsidRPr="0075661E">
              <w:rPr>
                <w:b/>
                <w:color w:val="FF0000"/>
              </w:rPr>
              <w:t xml:space="preserve">neither an ISIN </w:t>
            </w:r>
            <w:r>
              <w:rPr>
                <w:b/>
                <w:color w:val="FF0000"/>
              </w:rPr>
              <w:t xml:space="preserve">code </w:t>
            </w:r>
            <w:r w:rsidRPr="0075661E">
              <w:rPr>
                <w:b/>
                <w:color w:val="FF0000"/>
              </w:rPr>
              <w:t xml:space="preserve">nor an AII code, then an instrument </w:t>
            </w:r>
            <w:r>
              <w:rPr>
                <w:b/>
                <w:color w:val="FF0000"/>
              </w:rPr>
              <w:t xml:space="preserve">ID </w:t>
            </w:r>
            <w:r w:rsidRPr="0075661E">
              <w:rPr>
                <w:b/>
                <w:color w:val="FF0000"/>
              </w:rPr>
              <w:t>code</w:t>
            </w:r>
            <w:proofErr w:type="gramEnd"/>
            <w:r w:rsidRPr="0075661E">
              <w:rPr>
                <w:b/>
                <w:color w:val="FF0000"/>
              </w:rPr>
              <w:t xml:space="preserve"> assigned by that venue.</w:t>
            </w:r>
          </w:p>
        </w:tc>
      </w:tr>
      <w:tr w:rsidR="00197376" w:rsidRPr="00197376" w:rsidTr="00197376">
        <w:tc>
          <w:tcPr>
            <w:tcW w:w="3096" w:type="dxa"/>
          </w:tcPr>
          <w:p w:rsidR="00197376" w:rsidRPr="00197376" w:rsidRDefault="00197376" w:rsidP="00E709A4">
            <w:pPr>
              <w:keepNext/>
            </w:pPr>
            <w:r w:rsidRPr="00197376">
              <w:t>Instrument classification</w:t>
            </w:r>
          </w:p>
        </w:tc>
        <w:tc>
          <w:tcPr>
            <w:tcW w:w="3096" w:type="dxa"/>
          </w:tcPr>
          <w:p w:rsidR="00197376" w:rsidRPr="00197376" w:rsidRDefault="00197376" w:rsidP="00E709A4">
            <w:pPr>
              <w:keepNext/>
            </w:pPr>
            <w:r w:rsidRPr="00197376">
              <w:t>Taxonomy used to classify the financial instrument</w:t>
            </w:r>
          </w:p>
        </w:tc>
        <w:tc>
          <w:tcPr>
            <w:tcW w:w="3096" w:type="dxa"/>
          </w:tcPr>
          <w:p w:rsidR="00197376" w:rsidRPr="00197376" w:rsidRDefault="00197376" w:rsidP="00E709A4">
            <w:pPr>
              <w:keepNext/>
            </w:pPr>
            <w:r w:rsidRPr="00197376">
              <w:t>ISO 10962 CFI code</w:t>
            </w:r>
            <w:r>
              <w:t xml:space="preserve"> </w:t>
            </w:r>
            <w:r w:rsidRPr="00197376">
              <w:rPr>
                <w:b/>
                <w:color w:val="FF0000"/>
              </w:rPr>
              <w:t>or Other</w:t>
            </w:r>
          </w:p>
        </w:tc>
      </w:tr>
    </w:tbl>
    <w:p w:rsidR="00197376" w:rsidRDefault="00197376" w:rsidP="00EC2C93">
      <w:pPr>
        <w:keepNext/>
      </w:pPr>
    </w:p>
    <w:p w:rsidR="00577C33" w:rsidRDefault="00223A7C" w:rsidP="00EC2C93">
      <w:pPr>
        <w:keepNext/>
      </w:pPr>
      <w:r>
        <w:t xml:space="preserve">We have comments on two of the fields in Table 1 of Annex 1 of the </w:t>
      </w:r>
      <w:r w:rsidR="00AD1D63">
        <w:t>draft RTS</w:t>
      </w:r>
      <w:r>
        <w:t>:</w:t>
      </w:r>
    </w:p>
    <w:p w:rsidR="00223A7C" w:rsidRDefault="00223A7C" w:rsidP="00F51125">
      <w:pPr>
        <w:pStyle w:val="ListParagraph"/>
      </w:pPr>
      <w:r>
        <w:t>‘Order modification’ – ‘Replaced by market operations’: We believe it is more appropriate for the example given i.e. where the order needs to be cancelled, to be included under the heading of ‘Order cancellation’, and that only modifications that result in the order remaining as an executable order on the system should be included in this category.</w:t>
      </w:r>
    </w:p>
    <w:p w:rsidR="00223A7C" w:rsidRDefault="00223A7C" w:rsidP="00F51125">
      <w:pPr>
        <w:pStyle w:val="ListParagraph"/>
      </w:pPr>
      <w:r>
        <w:lastRenderedPageBreak/>
        <w:t>‘Order cancellation’ – ‘</w:t>
      </w:r>
      <w:r w:rsidR="005F424A">
        <w:t xml:space="preserve"> Rejected by the counterparty’:</w:t>
      </w:r>
      <w:r>
        <w:t xml:space="preserve"> If an </w:t>
      </w:r>
      <w:r w:rsidR="005F424A">
        <w:t>order has already been executed</w:t>
      </w:r>
      <w:r>
        <w:t xml:space="preserve"> but that execution is subsequently cancelled, then we believe that should be categorised as a trade cancellation rather than an order cancellation w</w:t>
      </w:r>
      <w:r w:rsidR="005F424A">
        <w:t>hich is specific to each order and</w:t>
      </w:r>
      <w:r>
        <w:t xml:space="preserve"> only represents one side of a potential trade.</w:t>
      </w:r>
    </w:p>
    <w:permEnd w:id="110357705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538538431" w:edGrp="everyone"/>
      <w:r>
        <w:t>TYPE YOUR TEXT HERE</w:t>
      </w:r>
    </w:p>
    <w:permEnd w:id="153853843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083987411" w:edGrp="everyone"/>
      <w:r>
        <w:t>TYPE YOUR TEXT HERE</w:t>
      </w:r>
    </w:p>
    <w:permEnd w:id="1083987411"/>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96F5E" w:rsidP="00EC2C93">
      <w:pPr>
        <w:keepNext/>
      </w:pPr>
      <w:permStart w:id="1268085048" w:edGrp="everyone"/>
      <w:r>
        <w:t>Yes, the ISE agrees.</w:t>
      </w:r>
    </w:p>
    <w:permEnd w:id="126808504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131DA4" w:rsidP="00EC2C93">
      <w:pPr>
        <w:keepNext/>
      </w:pPr>
      <w:permStart w:id="1581867893" w:edGrp="everyone"/>
      <w:r>
        <w:t xml:space="preserve">We agree with ESMA’s intention to propose a calibration that takes into account different trading models, however we don’t believe that this has been fully realised within the </w:t>
      </w:r>
      <w:r w:rsidR="00AD1D63">
        <w:t>draft RTS</w:t>
      </w:r>
      <w:r>
        <w:t xml:space="preserve"> and are very concerned with the limited distinction between electronic systems and voice-trading at the venue level only, which will result in unworkable and unfair obligations on venues which operate both. </w:t>
      </w:r>
    </w:p>
    <w:p w:rsidR="00131DA4" w:rsidRDefault="00131DA4" w:rsidP="00EC2C93">
      <w:pPr>
        <w:keepNext/>
      </w:pPr>
    </w:p>
    <w:p w:rsidR="00131DA4" w:rsidRDefault="00131DA4" w:rsidP="00EC2C93">
      <w:pPr>
        <w:keepNext/>
      </w:pPr>
      <w:r>
        <w:t xml:space="preserve">The ISE operates the electronic trading system, ISE </w:t>
      </w:r>
      <w:proofErr w:type="spellStart"/>
      <w:r>
        <w:t>Xetra</w:t>
      </w:r>
      <w:proofErr w:type="spellEnd"/>
      <w:r>
        <w:t xml:space="preserve">, for its equity </w:t>
      </w:r>
      <w:proofErr w:type="gramStart"/>
      <w:r>
        <w:t>model,</w:t>
      </w:r>
      <w:proofErr w:type="gramEnd"/>
      <w:r>
        <w:t xml:space="preserve"> however for other asset classes (primarily fixed income) the ISE operates a voice trading system. In order to ensure the appropriate calibration requirements are applied to each trading model, it is critical that the </w:t>
      </w:r>
      <w:r w:rsidR="00AD1D63">
        <w:t>draft RTS</w:t>
      </w:r>
      <w:r>
        <w:t xml:space="preserve"> distinguish at a trading segment or market model level. This approach is already being applied by ESMA in relation to</w:t>
      </w:r>
      <w:r w:rsidRPr="00131DA4">
        <w:t xml:space="preserve"> </w:t>
      </w:r>
      <w:r>
        <w:t>market making in section 4.3, paragraph 50 (iii)</w:t>
      </w:r>
      <w:r w:rsidR="00D305D7">
        <w:t xml:space="preserve"> and also the reporting requirements on trading and execution venues in section 2.4 where the ‘market mechanism’ is one of the factors taken into account</w:t>
      </w:r>
      <w:r>
        <w:t xml:space="preserve">. Therefore a similar approach in this section would be fully in line with ESMA’s approach in other sections. </w:t>
      </w:r>
    </w:p>
    <w:p w:rsidR="004C2B31" w:rsidRDefault="004C2B31" w:rsidP="00EC2C93">
      <w:pPr>
        <w:keepNext/>
      </w:pPr>
    </w:p>
    <w:p w:rsidR="004C2B31" w:rsidRDefault="004C2B31" w:rsidP="00EC2C93">
      <w:pPr>
        <w:keepNext/>
      </w:pPr>
      <w:r>
        <w:t>Therefore the following changes should be made to draft RTS 36:</w:t>
      </w:r>
    </w:p>
    <w:p w:rsidR="004C2B31" w:rsidRDefault="004C2B31" w:rsidP="00EC2C93">
      <w:pPr>
        <w:keepNext/>
      </w:pPr>
    </w:p>
    <w:p w:rsidR="004C2B31" w:rsidRDefault="004C2B31" w:rsidP="00EC2C93">
      <w:pPr>
        <w:keepNext/>
      </w:pPr>
      <w:r>
        <w:t xml:space="preserve">Recital 6: </w:t>
      </w:r>
      <w:r w:rsidRPr="004C2B31">
        <w:t xml:space="preserve">ESMA is also conscious that there are trading models for which the millisecond granularity might not be relevant or feasible. Therefore trading venues that operate through </w:t>
      </w:r>
      <w:r w:rsidRPr="004C2B31">
        <w:lastRenderedPageBreak/>
        <w:t xml:space="preserve">voice trading </w:t>
      </w:r>
      <w:r w:rsidRPr="004C2B31">
        <w:rPr>
          <w:strike/>
          <w:color w:val="FF0000"/>
        </w:rPr>
        <w:t>only</w:t>
      </w:r>
      <w:r w:rsidRPr="004C2B31">
        <w:t xml:space="preserve"> are required to have a maximum divergence from the reference clock of one second.</w:t>
      </w:r>
    </w:p>
    <w:p w:rsidR="00B738EA" w:rsidRDefault="00B738EA" w:rsidP="00EC2C93">
      <w:pPr>
        <w:keepNext/>
      </w:pPr>
    </w:p>
    <w:p w:rsidR="00B738EA" w:rsidRDefault="00B738EA" w:rsidP="00EC2C93">
      <w:pPr>
        <w:keepNext/>
      </w:pPr>
      <w:r>
        <w:t>Article 3:</w:t>
      </w:r>
    </w:p>
    <w:p w:rsidR="00B738EA" w:rsidRDefault="00B738EA" w:rsidP="00EC2C93">
      <w:pPr>
        <w:keepNext/>
      </w:pPr>
      <w:r>
        <w:t xml:space="preserve">(1) </w:t>
      </w:r>
      <w:r w:rsidRPr="00B738EA">
        <w:t xml:space="preserve">A trading venue operating an electronic system shall ensure that its business clocks do not </w:t>
      </w:r>
      <w:proofErr w:type="gramStart"/>
      <w:r w:rsidRPr="00B738EA">
        <w:t>diverge</w:t>
      </w:r>
      <w:proofErr w:type="gramEnd"/>
      <w:r w:rsidRPr="00B738EA">
        <w:t xml:space="preserve"> more than one millisecond from the reference time</w:t>
      </w:r>
      <w:r>
        <w:t xml:space="preserve"> </w:t>
      </w:r>
      <w:r w:rsidRPr="00B738EA">
        <w:rPr>
          <w:b/>
          <w:color w:val="FF0000"/>
        </w:rPr>
        <w:t>for that system</w:t>
      </w:r>
      <w:r w:rsidRPr="00B738EA">
        <w:t>.</w:t>
      </w:r>
    </w:p>
    <w:p w:rsidR="00B738EA" w:rsidRDefault="00B738EA" w:rsidP="00EC2C93">
      <w:pPr>
        <w:keepNext/>
      </w:pPr>
    </w:p>
    <w:p w:rsidR="00B738EA" w:rsidRDefault="00B738EA" w:rsidP="00EC2C93">
      <w:pPr>
        <w:keepNext/>
      </w:pPr>
      <w:r>
        <w:t>(2) By way of……</w:t>
      </w:r>
    </w:p>
    <w:p w:rsidR="00B738EA" w:rsidRDefault="00B738EA" w:rsidP="00EC2C93">
      <w:pPr>
        <w:keepNext/>
      </w:pPr>
    </w:p>
    <w:p w:rsidR="00B738EA" w:rsidRDefault="00B738EA" w:rsidP="00EC2C93">
      <w:pPr>
        <w:keepNext/>
      </w:pPr>
      <w:r>
        <w:t xml:space="preserve">(3)  </w:t>
      </w:r>
      <w:r w:rsidRPr="00B738EA">
        <w:t xml:space="preserve">A trading venue that </w:t>
      </w:r>
      <w:r w:rsidRPr="00B738EA">
        <w:rPr>
          <w:strike/>
          <w:color w:val="FF0000"/>
        </w:rPr>
        <w:t xml:space="preserve">only </w:t>
      </w:r>
      <w:r w:rsidRPr="00B738EA">
        <w:t>operates</w:t>
      </w:r>
      <w:r w:rsidRPr="00B738EA">
        <w:rPr>
          <w:color w:val="FF0000"/>
        </w:rPr>
        <w:t xml:space="preserve"> a </w:t>
      </w:r>
      <w:r w:rsidRPr="00B738EA">
        <w:t>voice trading system</w:t>
      </w:r>
      <w:r w:rsidRPr="00B738EA">
        <w:rPr>
          <w:strike/>
          <w:color w:val="FF0000"/>
        </w:rPr>
        <w:t>s</w:t>
      </w:r>
      <w:r w:rsidRPr="00B738EA">
        <w:t xml:space="preserve"> shall ensure that its business clocks do not diverge more than one second from the reference time</w:t>
      </w:r>
      <w:r>
        <w:t xml:space="preserve"> </w:t>
      </w:r>
      <w:r w:rsidRPr="00B738EA">
        <w:rPr>
          <w:b/>
          <w:color w:val="FF0000"/>
        </w:rPr>
        <w:t>for that system</w:t>
      </w:r>
      <w:r w:rsidRPr="00B738EA">
        <w:t>.</w:t>
      </w:r>
    </w:p>
    <w:p w:rsidR="00D03520" w:rsidRDefault="00D03520" w:rsidP="00EC2C93">
      <w:pPr>
        <w:keepNext/>
      </w:pPr>
    </w:p>
    <w:permEnd w:id="158186789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A2400F" w:rsidP="00EC2C93">
      <w:pPr>
        <w:keepNext/>
      </w:pPr>
      <w:permStart w:id="1225550279" w:edGrp="everyone"/>
      <w:r>
        <w:t>We are concerned with the proposal for all investment firms to synchronise the clocks in the systems that they use to the trading venues they connect to. This will in particular place vey onerous and costly obligations on smaller brokers connecting to electronic trading systems of larger venues that have a low latency.</w:t>
      </w:r>
    </w:p>
    <w:p w:rsidR="006B3888" w:rsidRDefault="006B3888" w:rsidP="00EC2C93">
      <w:pPr>
        <w:keepNext/>
      </w:pPr>
    </w:p>
    <w:p w:rsidR="006B3888" w:rsidRDefault="006B3888" w:rsidP="00EC2C93">
      <w:pPr>
        <w:keepNext/>
      </w:pPr>
      <w:r>
        <w:t>Furthermore, investment firms may not be aware of such changes to the gateway latency if it is due to a system upgrade that has no member impact. The proposal therefore places new obligations on both the venue</w:t>
      </w:r>
      <w:r w:rsidR="002F5DE4">
        <w:t>s</w:t>
      </w:r>
      <w:r>
        <w:t xml:space="preserve"> and the investment firms in this respect.</w:t>
      </w:r>
    </w:p>
    <w:p w:rsidR="006B3888" w:rsidRDefault="006B3888" w:rsidP="00EC2C93">
      <w:pPr>
        <w:keepNext/>
      </w:pPr>
    </w:p>
    <w:p w:rsidR="006B3888" w:rsidRDefault="006B3888" w:rsidP="00EC2C93">
      <w:pPr>
        <w:keepNext/>
      </w:pPr>
      <w:r>
        <w:t>We therefore believe 1 millisecond provides sufficient synchronisation granularity.</w:t>
      </w:r>
    </w:p>
    <w:permEnd w:id="122555027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0C31C7" w:rsidRDefault="00D36F32" w:rsidP="00EC2C93">
      <w:pPr>
        <w:keepNext/>
      </w:pPr>
      <w:permStart w:id="360193656" w:edGrp="everyone"/>
      <w:r>
        <w:t>In relation to debt products, we believe there should be sufficient flexibility in the approach so that not every field must be populated for every instrument, as we would not have information for every proposed field for all of our debt instruments. In particular, we would highlight</w:t>
      </w:r>
      <w:r w:rsidR="00355F02">
        <w:t xml:space="preserve"> that we would not capture</w:t>
      </w:r>
      <w:r>
        <w:t xml:space="preserve"> “ultimate issuer identifier”, “redemption value”, “currency of the reimbursement”, “price multiplier”. Regarding the Identifier of the Ultimate Underlying and the Identifier Type, while </w:t>
      </w:r>
      <w:r w:rsidR="00355F02">
        <w:t xml:space="preserve">we believe </w:t>
      </w:r>
      <w:r>
        <w:t>information on the underlying is essential</w:t>
      </w:r>
      <w:r w:rsidR="00355F02">
        <w:t xml:space="preserve"> information for investors</w:t>
      </w:r>
      <w:r>
        <w:t xml:space="preserve"> we would not necessarily capture the specific identifier.</w:t>
      </w:r>
    </w:p>
    <w:p w:rsidR="000C31C7" w:rsidRDefault="000C31C7" w:rsidP="00EC2C93">
      <w:pPr>
        <w:keepNext/>
      </w:pPr>
    </w:p>
    <w:p w:rsidR="00512A9A" w:rsidRPr="00512A9A" w:rsidRDefault="00512A9A" w:rsidP="00512A9A">
      <w:pPr>
        <w:keepNext/>
      </w:pPr>
      <w:r w:rsidRPr="00512A9A">
        <w:t>We agree to the publication of the following fields only</w:t>
      </w:r>
    </w:p>
    <w:p w:rsidR="00512A9A" w:rsidRPr="00512A9A" w:rsidRDefault="00512A9A" w:rsidP="00F51125">
      <w:pPr>
        <w:pStyle w:val="ListParagraph"/>
        <w:numPr>
          <w:ilvl w:val="0"/>
          <w:numId w:val="26"/>
        </w:numPr>
      </w:pPr>
      <w:r w:rsidRPr="00512A9A">
        <w:t xml:space="preserve">ISIN </w:t>
      </w:r>
    </w:p>
    <w:p w:rsidR="00512A9A" w:rsidRPr="00512A9A" w:rsidRDefault="00512A9A" w:rsidP="00F51125">
      <w:pPr>
        <w:pStyle w:val="ListParagraph"/>
        <w:numPr>
          <w:ilvl w:val="0"/>
          <w:numId w:val="26"/>
        </w:numPr>
      </w:pPr>
      <w:r w:rsidRPr="00512A9A">
        <w:t xml:space="preserve">Instrument status </w:t>
      </w:r>
    </w:p>
    <w:p w:rsidR="00512A9A" w:rsidRPr="00512A9A" w:rsidRDefault="00512A9A" w:rsidP="00F51125">
      <w:pPr>
        <w:pStyle w:val="ListParagraph"/>
        <w:numPr>
          <w:ilvl w:val="0"/>
          <w:numId w:val="26"/>
        </w:numPr>
      </w:pPr>
      <w:r w:rsidRPr="00512A9A">
        <w:t xml:space="preserve">Instrument category </w:t>
      </w:r>
    </w:p>
    <w:p w:rsidR="00512A9A" w:rsidRPr="00512A9A" w:rsidRDefault="00512A9A" w:rsidP="00F51125">
      <w:pPr>
        <w:pStyle w:val="ListParagraph"/>
        <w:numPr>
          <w:ilvl w:val="0"/>
          <w:numId w:val="26"/>
        </w:numPr>
      </w:pPr>
      <w:r w:rsidRPr="00512A9A">
        <w:t xml:space="preserve">Issue description </w:t>
      </w:r>
    </w:p>
    <w:p w:rsidR="00512A9A" w:rsidRPr="00512A9A" w:rsidRDefault="00512A9A" w:rsidP="00F51125">
      <w:pPr>
        <w:pStyle w:val="ListParagraph"/>
        <w:numPr>
          <w:ilvl w:val="0"/>
          <w:numId w:val="26"/>
        </w:numPr>
      </w:pPr>
      <w:r w:rsidRPr="00512A9A">
        <w:t xml:space="preserve">Issue currency </w:t>
      </w:r>
    </w:p>
    <w:p w:rsidR="00512A9A" w:rsidRPr="00512A9A" w:rsidRDefault="00512A9A" w:rsidP="00F51125">
      <w:pPr>
        <w:pStyle w:val="ListParagraph"/>
        <w:numPr>
          <w:ilvl w:val="0"/>
          <w:numId w:val="26"/>
        </w:numPr>
      </w:pPr>
      <w:r w:rsidRPr="00512A9A">
        <w:t xml:space="preserve">Maturity/expiry date </w:t>
      </w:r>
    </w:p>
    <w:p w:rsidR="00512A9A" w:rsidRPr="00512A9A" w:rsidRDefault="00512A9A" w:rsidP="00F51125">
      <w:pPr>
        <w:pStyle w:val="ListParagraph"/>
        <w:numPr>
          <w:ilvl w:val="0"/>
          <w:numId w:val="26"/>
        </w:numPr>
      </w:pPr>
      <w:r w:rsidRPr="00512A9A">
        <w:t xml:space="preserve">Type of interest </w:t>
      </w:r>
    </w:p>
    <w:p w:rsidR="00512A9A" w:rsidRPr="00512A9A" w:rsidRDefault="00512A9A" w:rsidP="00F51125">
      <w:pPr>
        <w:pStyle w:val="ListParagraph"/>
        <w:numPr>
          <w:ilvl w:val="0"/>
          <w:numId w:val="26"/>
        </w:numPr>
      </w:pPr>
      <w:r w:rsidRPr="00512A9A">
        <w:t xml:space="preserve">Issuer long name </w:t>
      </w:r>
    </w:p>
    <w:p w:rsidR="00512A9A" w:rsidRPr="00512A9A" w:rsidRDefault="00512A9A" w:rsidP="00F51125">
      <w:pPr>
        <w:pStyle w:val="ListParagraph"/>
        <w:numPr>
          <w:ilvl w:val="0"/>
          <w:numId w:val="26"/>
        </w:numPr>
      </w:pPr>
      <w:r w:rsidRPr="00512A9A">
        <w:t>Issuer legal registration country</w:t>
      </w:r>
    </w:p>
    <w:p w:rsidR="00512A9A" w:rsidRPr="00512A9A" w:rsidRDefault="00512A9A" w:rsidP="00512A9A">
      <w:pPr>
        <w:keepNext/>
      </w:pPr>
    </w:p>
    <w:p w:rsidR="00512A9A" w:rsidRPr="00512A9A" w:rsidRDefault="00512A9A" w:rsidP="00512A9A">
      <w:pPr>
        <w:keepNext/>
      </w:pPr>
      <w:r w:rsidRPr="00512A9A">
        <w:t>The ISIN field can be provided where it is available, this field should not be mandatory.</w:t>
      </w:r>
    </w:p>
    <w:p w:rsidR="00512A9A" w:rsidRPr="00512A9A" w:rsidRDefault="00512A9A" w:rsidP="00512A9A">
      <w:pPr>
        <w:keepNext/>
      </w:pPr>
      <w:r w:rsidRPr="00512A9A">
        <w:t xml:space="preserve">There is no obligation to issuers listing on the ISE to obtain an ISIN code, as such cannot be provided for all instruments. </w:t>
      </w:r>
    </w:p>
    <w:p w:rsidR="00577C33" w:rsidRDefault="000C31C7" w:rsidP="00EC2C93">
      <w:pPr>
        <w:keepNext/>
      </w:pPr>
      <w:r>
        <w:t xml:space="preserve"> </w:t>
      </w:r>
      <w:permEnd w:id="360193656"/>
      <w:r w:rsidR="00577C33">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1F4583" w:rsidP="00EC2C93">
      <w:pPr>
        <w:keepNext/>
      </w:pPr>
      <w:permStart w:id="300049011" w:edGrp="everyone"/>
      <w:r>
        <w:t>Yes we agree with this.</w:t>
      </w:r>
    </w:p>
    <w:permEnd w:id="30004901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1F4583" w:rsidRDefault="001F4583" w:rsidP="001F4583">
      <w:pPr>
        <w:keepNext/>
      </w:pPr>
      <w:permStart w:id="1155678160" w:edGrp="everyone"/>
      <w:r>
        <w:t>Yes we agree with this.</w:t>
      </w:r>
    </w:p>
    <w:permEnd w:id="1155678160"/>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221A96" w:rsidRDefault="00512A9A" w:rsidP="00221A96">
      <w:pPr>
        <w:keepNext/>
      </w:pPr>
      <w:permStart w:id="1637635660" w:edGrp="everyone"/>
      <w:r w:rsidRPr="00512A9A">
        <w:t>We agree to the use of ISIN code where available, however thi</w:t>
      </w:r>
      <w:r w:rsidR="002F5DE4">
        <w:t>s field should not be mandatory.</w:t>
      </w:r>
      <w:r w:rsidR="00584DB9">
        <w:t xml:space="preserve"> Instead a venue should be able to assign its own code.</w:t>
      </w:r>
      <w:bookmarkStart w:id="23" w:name="_GoBack"/>
      <w:bookmarkEnd w:id="23"/>
    </w:p>
    <w:permEnd w:id="1637635660"/>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16"/>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080601051" w:edGrp="everyone"/>
      <w:r>
        <w:t>TYPE YOUR TEXT HERE</w:t>
      </w:r>
    </w:p>
    <w:permEnd w:id="208060105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67662393" w:edGrp="everyone"/>
      <w:r>
        <w:t>TYPE YOUR TEXT HERE</w:t>
      </w:r>
    </w:p>
    <w:permEnd w:id="16766239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551307368" w:edGrp="everyone"/>
      <w:r>
        <w:t>TYPE YOUR TEXT HERE</w:t>
      </w:r>
    </w:p>
    <w:permEnd w:id="155130736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417300325" w:edGrp="everyone"/>
      <w:r>
        <w:t>TYPE YOUR TEXT HERE</w:t>
      </w:r>
    </w:p>
    <w:permEnd w:id="417300325"/>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473143823" w:edGrp="everyone"/>
      <w:r>
        <w:t>TYPE YOUR TEXT HERE</w:t>
      </w:r>
    </w:p>
    <w:permEnd w:id="147314382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505250904" w:edGrp="everyone"/>
      <w:r>
        <w:t>TYPE YOUR TEXT HERE</w:t>
      </w:r>
    </w:p>
    <w:permEnd w:id="150525090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947877903" w:edGrp="everyone"/>
      <w:r>
        <w:t>TYPE YOUR TEXT HERE</w:t>
      </w:r>
    </w:p>
    <w:permEnd w:id="1947877903"/>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A6" w:rsidRDefault="00B126A6" w:rsidP="007E7997">
      <w:pPr>
        <w:spacing w:line="240" w:lineRule="auto"/>
      </w:pPr>
      <w:r>
        <w:separator/>
      </w:r>
    </w:p>
  </w:endnote>
  <w:endnote w:type="continuationSeparator" w:id="0">
    <w:p w:rsidR="00B126A6" w:rsidRDefault="00B126A6"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A6" w:rsidRDefault="00B126A6">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B126A6" w:rsidRDefault="00B126A6" w:rsidP="00375BA2">
        <w:pPr>
          <w:pStyle w:val="Footer"/>
          <w:jc w:val="right"/>
        </w:pPr>
        <w:r>
          <w:fldChar w:fldCharType="begin"/>
        </w:r>
        <w:r>
          <w:instrText xml:space="preserve"> PAGE   \* MERGEFORMAT </w:instrText>
        </w:r>
        <w:r>
          <w:fldChar w:fldCharType="separate"/>
        </w:r>
        <w:r w:rsidR="002A2746">
          <w:rPr>
            <w:noProof/>
          </w:rPr>
          <w:t>93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A6" w:rsidRDefault="00B126A6" w:rsidP="007E7997">
      <w:pPr>
        <w:spacing w:line="240" w:lineRule="auto"/>
      </w:pPr>
      <w:r>
        <w:separator/>
      </w:r>
    </w:p>
  </w:footnote>
  <w:footnote w:type="continuationSeparator" w:id="0">
    <w:p w:rsidR="00B126A6" w:rsidRDefault="00B126A6" w:rsidP="007E7997">
      <w:pPr>
        <w:spacing w:line="240" w:lineRule="auto"/>
      </w:pPr>
      <w:r>
        <w:continuationSeparator/>
      </w:r>
    </w:p>
  </w:footnote>
  <w:footnote w:id="1">
    <w:p w:rsidR="00B126A6" w:rsidRPr="00AA7A30" w:rsidRDefault="00B126A6"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A6" w:rsidRDefault="00B126A6">
    <w:pPr>
      <w:pStyle w:val="Header"/>
    </w:pPr>
    <w:r>
      <w:rPr>
        <w:noProof/>
        <w:lang w:val="en-IE" w:eastAsia="en-I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A6" w:rsidRDefault="00B126A6" w:rsidP="00B50534">
    <w:pPr>
      <w:pStyle w:val="Header"/>
      <w:jc w:val="right"/>
      <w:rPr>
        <w:b/>
        <w:color w:val="FF0000"/>
      </w:rPr>
    </w:pPr>
  </w:p>
  <w:p w:rsidR="00B126A6" w:rsidRDefault="00B126A6" w:rsidP="00B50534">
    <w:pPr>
      <w:pStyle w:val="Header"/>
      <w:jc w:val="right"/>
      <w:rPr>
        <w:b/>
        <w:color w:val="FF0000"/>
      </w:rPr>
    </w:pPr>
    <w:r w:rsidRPr="008D5F86">
      <w:rPr>
        <w:rFonts w:ascii="Arial" w:hAnsi="Arial" w:cs="Arial"/>
        <w:noProof/>
        <w:lang w:val="en-IE" w:eastAsia="en-I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B126A6" w:rsidRPr="00B50534" w:rsidRDefault="00B126A6" w:rsidP="00B50534">
    <w:pPr>
      <w:pStyle w:val="Header"/>
      <w:jc w:val="right"/>
      <w:rPr>
        <w:b/>
        <w:color w:val="FF0000"/>
      </w:rPr>
    </w:pPr>
    <w:r w:rsidRPr="0038331A">
      <w:rPr>
        <w:b/>
        <w:noProof/>
        <w:color w:val="FF0000"/>
        <w:sz w:val="20"/>
        <w:lang w:val="en-IE" w:eastAsia="en-I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825"/>
    <w:multiLevelType w:val="hybridMultilevel"/>
    <w:tmpl w:val="2D14B748"/>
    <w:lvl w:ilvl="0" w:tplc="D7C4F2FE">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3A5A03"/>
    <w:multiLevelType w:val="hybridMultilevel"/>
    <w:tmpl w:val="863AC2AC"/>
    <w:lvl w:ilvl="0" w:tplc="D57C8E70">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
    <w:nsid w:val="0CB35927"/>
    <w:multiLevelType w:val="hybridMultilevel"/>
    <w:tmpl w:val="06C63BEC"/>
    <w:lvl w:ilvl="0" w:tplc="3190C1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BE5D21"/>
    <w:multiLevelType w:val="hybridMultilevel"/>
    <w:tmpl w:val="E7400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5E339B"/>
    <w:multiLevelType w:val="multilevel"/>
    <w:tmpl w:val="E1B81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2292534"/>
    <w:multiLevelType w:val="hybridMultilevel"/>
    <w:tmpl w:val="3B8E2C22"/>
    <w:lvl w:ilvl="0" w:tplc="973082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2D7867"/>
    <w:multiLevelType w:val="hybridMultilevel"/>
    <w:tmpl w:val="C92A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D73DEA"/>
    <w:multiLevelType w:val="hybridMultilevel"/>
    <w:tmpl w:val="AF0A80A8"/>
    <w:lvl w:ilvl="0" w:tplc="29FC329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6B0F8B"/>
    <w:multiLevelType w:val="hybridMultilevel"/>
    <w:tmpl w:val="BA62C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4B23230"/>
    <w:multiLevelType w:val="hybridMultilevel"/>
    <w:tmpl w:val="BCCA02AC"/>
    <w:lvl w:ilvl="0" w:tplc="CA362528">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5D06F46"/>
    <w:multiLevelType w:val="hybridMultilevel"/>
    <w:tmpl w:val="FCF84FBE"/>
    <w:lvl w:ilvl="0" w:tplc="BB22B87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692763"/>
    <w:multiLevelType w:val="hybridMultilevel"/>
    <w:tmpl w:val="78F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530F3"/>
    <w:multiLevelType w:val="hybridMultilevel"/>
    <w:tmpl w:val="75B29DD8"/>
    <w:lvl w:ilvl="0" w:tplc="080C0017">
      <w:start w:val="1"/>
      <w:numFmt w:val="lowerLetter"/>
      <w:lvlText w:val="%1)"/>
      <w:lvlJc w:val="left"/>
      <w:pPr>
        <w:ind w:left="1440" w:hanging="360"/>
      </w:pPr>
    </w:lvl>
    <w:lvl w:ilvl="1" w:tplc="CE485A0A">
      <w:start w:val="1"/>
      <w:numFmt w:val="bullet"/>
      <w:lvlText w:val=""/>
      <w:lvlJc w:val="left"/>
      <w:pPr>
        <w:ind w:left="1211" w:hanging="360"/>
      </w:pPr>
      <w:rPr>
        <w:rFonts w:ascii="Symbol" w:hAnsi="Symbol" w:hint="default"/>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8">
    <w:nsid w:val="666F0C18"/>
    <w:multiLevelType w:val="hybridMultilevel"/>
    <w:tmpl w:val="6CF8C8BC"/>
    <w:lvl w:ilvl="0" w:tplc="05643F24">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204978"/>
    <w:multiLevelType w:val="hybridMultilevel"/>
    <w:tmpl w:val="F2704C70"/>
    <w:lvl w:ilvl="0" w:tplc="828E24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E64F6D"/>
    <w:multiLevelType w:val="hybridMultilevel"/>
    <w:tmpl w:val="A02AF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B0F53D7"/>
    <w:multiLevelType w:val="hybridMultilevel"/>
    <w:tmpl w:val="CCF46222"/>
    <w:lvl w:ilvl="0" w:tplc="03948C6E">
      <w:start w:val="1"/>
      <w:numFmt w:val="bullet"/>
      <w:lvlText w:val="­"/>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nsid w:val="7DF856AF"/>
    <w:multiLevelType w:val="hybridMultilevel"/>
    <w:tmpl w:val="F0EACE9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9"/>
  </w:num>
  <w:num w:numId="2">
    <w:abstractNumId w:val="9"/>
  </w:num>
  <w:num w:numId="3">
    <w:abstractNumId w:val="19"/>
  </w:num>
  <w:num w:numId="4">
    <w:abstractNumId w:val="11"/>
  </w:num>
  <w:num w:numId="5">
    <w:abstractNumId w:val="12"/>
  </w:num>
  <w:num w:numId="6">
    <w:abstractNumId w:val="21"/>
  </w:num>
  <w:num w:numId="7">
    <w:abstractNumId w:val="7"/>
  </w:num>
  <w:num w:numId="8">
    <w:abstractNumId w:val="20"/>
  </w:num>
  <w:num w:numId="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7"/>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23"/>
  </w:num>
  <w:num w:numId="21">
    <w:abstractNumId w:val="18"/>
  </w:num>
  <w:num w:numId="22">
    <w:abstractNumId w:val="5"/>
  </w:num>
  <w:num w:numId="23">
    <w:abstractNumId w:val="10"/>
  </w:num>
  <w:num w:numId="24">
    <w:abstractNumId w:val="16"/>
  </w:num>
  <w:num w:numId="25">
    <w:abstractNumId w:val="6"/>
  </w:num>
  <w:num w:numId="26">
    <w:abstractNumId w:val="3"/>
  </w:num>
  <w:num w:numId="27">
    <w:abstractNumId w:val="14"/>
  </w:num>
  <w:num w:numId="28">
    <w:abstractNumId w:val="22"/>
  </w:num>
  <w:num w:numId="29">
    <w:abstractNumId w:val="2"/>
  </w:num>
  <w:num w:numId="30">
    <w:abstractNumId w:val="13"/>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437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0F80"/>
    <w:rsid w:val="0000168F"/>
    <w:rsid w:val="00001C5D"/>
    <w:rsid w:val="00012D68"/>
    <w:rsid w:val="000167E5"/>
    <w:rsid w:val="00017ECE"/>
    <w:rsid w:val="00020300"/>
    <w:rsid w:val="000213E1"/>
    <w:rsid w:val="00021BF5"/>
    <w:rsid w:val="00022374"/>
    <w:rsid w:val="00031435"/>
    <w:rsid w:val="000372BF"/>
    <w:rsid w:val="00044B5B"/>
    <w:rsid w:val="00044C5A"/>
    <w:rsid w:val="00051476"/>
    <w:rsid w:val="000529A2"/>
    <w:rsid w:val="0005509E"/>
    <w:rsid w:val="00055F01"/>
    <w:rsid w:val="00056DDE"/>
    <w:rsid w:val="000624E0"/>
    <w:rsid w:val="00062684"/>
    <w:rsid w:val="000632C2"/>
    <w:rsid w:val="00064AA0"/>
    <w:rsid w:val="0006528D"/>
    <w:rsid w:val="00065ED1"/>
    <w:rsid w:val="00066465"/>
    <w:rsid w:val="000667CC"/>
    <w:rsid w:val="000673E9"/>
    <w:rsid w:val="00067794"/>
    <w:rsid w:val="000705BF"/>
    <w:rsid w:val="00072ACC"/>
    <w:rsid w:val="00076FF4"/>
    <w:rsid w:val="00080D1D"/>
    <w:rsid w:val="000842EB"/>
    <w:rsid w:val="00091880"/>
    <w:rsid w:val="000932BC"/>
    <w:rsid w:val="0009629F"/>
    <w:rsid w:val="000A20DE"/>
    <w:rsid w:val="000A3419"/>
    <w:rsid w:val="000A3D10"/>
    <w:rsid w:val="000A4453"/>
    <w:rsid w:val="000A5D0B"/>
    <w:rsid w:val="000A626F"/>
    <w:rsid w:val="000B151E"/>
    <w:rsid w:val="000B4959"/>
    <w:rsid w:val="000B57B2"/>
    <w:rsid w:val="000B5A62"/>
    <w:rsid w:val="000B5D3D"/>
    <w:rsid w:val="000C0CE0"/>
    <w:rsid w:val="000C2398"/>
    <w:rsid w:val="000C31C7"/>
    <w:rsid w:val="000C4CEE"/>
    <w:rsid w:val="000C689E"/>
    <w:rsid w:val="000D1038"/>
    <w:rsid w:val="000D104D"/>
    <w:rsid w:val="000D4307"/>
    <w:rsid w:val="000D6A1F"/>
    <w:rsid w:val="000E1AB2"/>
    <w:rsid w:val="000E2704"/>
    <w:rsid w:val="000E42B7"/>
    <w:rsid w:val="000E468E"/>
    <w:rsid w:val="000F7399"/>
    <w:rsid w:val="000F750E"/>
    <w:rsid w:val="00100202"/>
    <w:rsid w:val="0010244B"/>
    <w:rsid w:val="001051A5"/>
    <w:rsid w:val="0010576A"/>
    <w:rsid w:val="0010732F"/>
    <w:rsid w:val="001101CA"/>
    <w:rsid w:val="00110F3E"/>
    <w:rsid w:val="00112EC3"/>
    <w:rsid w:val="0011323B"/>
    <w:rsid w:val="00115779"/>
    <w:rsid w:val="0011601C"/>
    <w:rsid w:val="0011683F"/>
    <w:rsid w:val="00116B6C"/>
    <w:rsid w:val="00117512"/>
    <w:rsid w:val="00123385"/>
    <w:rsid w:val="0012409E"/>
    <w:rsid w:val="00130100"/>
    <w:rsid w:val="00130A45"/>
    <w:rsid w:val="00130EF9"/>
    <w:rsid w:val="00131432"/>
    <w:rsid w:val="001319C7"/>
    <w:rsid w:val="00131DA4"/>
    <w:rsid w:val="00136584"/>
    <w:rsid w:val="00144AAD"/>
    <w:rsid w:val="00144F35"/>
    <w:rsid w:val="00146B8E"/>
    <w:rsid w:val="00151DE7"/>
    <w:rsid w:val="00152321"/>
    <w:rsid w:val="00154B09"/>
    <w:rsid w:val="001559E3"/>
    <w:rsid w:val="00156F22"/>
    <w:rsid w:val="00157B91"/>
    <w:rsid w:val="00161A26"/>
    <w:rsid w:val="00163CD6"/>
    <w:rsid w:val="0017613C"/>
    <w:rsid w:val="001818B7"/>
    <w:rsid w:val="00186FA6"/>
    <w:rsid w:val="00192A12"/>
    <w:rsid w:val="00193FF9"/>
    <w:rsid w:val="00197376"/>
    <w:rsid w:val="001977EA"/>
    <w:rsid w:val="00197931"/>
    <w:rsid w:val="001B2151"/>
    <w:rsid w:val="001B2CB6"/>
    <w:rsid w:val="001B31D6"/>
    <w:rsid w:val="001B3B3B"/>
    <w:rsid w:val="001B3CFF"/>
    <w:rsid w:val="001B413F"/>
    <w:rsid w:val="001B4996"/>
    <w:rsid w:val="001B5C42"/>
    <w:rsid w:val="001C1A9B"/>
    <w:rsid w:val="001C4D72"/>
    <w:rsid w:val="001D06FD"/>
    <w:rsid w:val="001D0DFF"/>
    <w:rsid w:val="001D1403"/>
    <w:rsid w:val="001D47A5"/>
    <w:rsid w:val="001D62E7"/>
    <w:rsid w:val="001D6CA0"/>
    <w:rsid w:val="001D733F"/>
    <w:rsid w:val="001E1005"/>
    <w:rsid w:val="001E1397"/>
    <w:rsid w:val="001F3921"/>
    <w:rsid w:val="001F3D9D"/>
    <w:rsid w:val="001F4583"/>
    <w:rsid w:val="00201D46"/>
    <w:rsid w:val="0020340F"/>
    <w:rsid w:val="002138B3"/>
    <w:rsid w:val="0021575A"/>
    <w:rsid w:val="00221A96"/>
    <w:rsid w:val="00222400"/>
    <w:rsid w:val="00223A7C"/>
    <w:rsid w:val="0022706B"/>
    <w:rsid w:val="002309BE"/>
    <w:rsid w:val="00232313"/>
    <w:rsid w:val="00232FD2"/>
    <w:rsid w:val="002360AB"/>
    <w:rsid w:val="0023672F"/>
    <w:rsid w:val="00236CF3"/>
    <w:rsid w:val="00243D6E"/>
    <w:rsid w:val="00255F4E"/>
    <w:rsid w:val="002574D1"/>
    <w:rsid w:val="0025757B"/>
    <w:rsid w:val="002636A3"/>
    <w:rsid w:val="00266651"/>
    <w:rsid w:val="00273A28"/>
    <w:rsid w:val="00276FC1"/>
    <w:rsid w:val="00282540"/>
    <w:rsid w:val="00282F86"/>
    <w:rsid w:val="00283D59"/>
    <w:rsid w:val="002871DF"/>
    <w:rsid w:val="00287C8F"/>
    <w:rsid w:val="002963A0"/>
    <w:rsid w:val="00296EA1"/>
    <w:rsid w:val="0029719B"/>
    <w:rsid w:val="002A02EC"/>
    <w:rsid w:val="002A2746"/>
    <w:rsid w:val="002A3739"/>
    <w:rsid w:val="002B0F33"/>
    <w:rsid w:val="002B7D6F"/>
    <w:rsid w:val="002C3C1C"/>
    <w:rsid w:val="002C5948"/>
    <w:rsid w:val="002D28F8"/>
    <w:rsid w:val="002D3286"/>
    <w:rsid w:val="002E0C25"/>
    <w:rsid w:val="002E1C11"/>
    <w:rsid w:val="002E3DE3"/>
    <w:rsid w:val="002F334B"/>
    <w:rsid w:val="002F5DE4"/>
    <w:rsid w:val="0030197B"/>
    <w:rsid w:val="00301EAB"/>
    <w:rsid w:val="003032F6"/>
    <w:rsid w:val="00306FBA"/>
    <w:rsid w:val="00307870"/>
    <w:rsid w:val="00311276"/>
    <w:rsid w:val="00314117"/>
    <w:rsid w:val="00317EDF"/>
    <w:rsid w:val="00320044"/>
    <w:rsid w:val="00322289"/>
    <w:rsid w:val="003262D9"/>
    <w:rsid w:val="003279E7"/>
    <w:rsid w:val="003304AD"/>
    <w:rsid w:val="00330AA0"/>
    <w:rsid w:val="0033171A"/>
    <w:rsid w:val="0033324D"/>
    <w:rsid w:val="00333420"/>
    <w:rsid w:val="003406C3"/>
    <w:rsid w:val="00342624"/>
    <w:rsid w:val="003426F8"/>
    <w:rsid w:val="003454ED"/>
    <w:rsid w:val="00345CA8"/>
    <w:rsid w:val="00351B7B"/>
    <w:rsid w:val="00352CA3"/>
    <w:rsid w:val="0035468F"/>
    <w:rsid w:val="00355CBE"/>
    <w:rsid w:val="00355F02"/>
    <w:rsid w:val="00362C94"/>
    <w:rsid w:val="00366D42"/>
    <w:rsid w:val="00372EA2"/>
    <w:rsid w:val="0037309C"/>
    <w:rsid w:val="00375BA2"/>
    <w:rsid w:val="0038296B"/>
    <w:rsid w:val="003832C2"/>
    <w:rsid w:val="0038331A"/>
    <w:rsid w:val="003838A8"/>
    <w:rsid w:val="003874F7"/>
    <w:rsid w:val="003921E5"/>
    <w:rsid w:val="00396336"/>
    <w:rsid w:val="003A0FEC"/>
    <w:rsid w:val="003A381C"/>
    <w:rsid w:val="003B1BDE"/>
    <w:rsid w:val="003B6C0B"/>
    <w:rsid w:val="003B6C6F"/>
    <w:rsid w:val="003C1B6E"/>
    <w:rsid w:val="003C2817"/>
    <w:rsid w:val="003C4EB5"/>
    <w:rsid w:val="003E1B63"/>
    <w:rsid w:val="003E31A7"/>
    <w:rsid w:val="003F0E9A"/>
    <w:rsid w:val="003F279C"/>
    <w:rsid w:val="003F39B1"/>
    <w:rsid w:val="003F59BF"/>
    <w:rsid w:val="00402F7F"/>
    <w:rsid w:val="00404A1C"/>
    <w:rsid w:val="00406115"/>
    <w:rsid w:val="0040653C"/>
    <w:rsid w:val="00407C45"/>
    <w:rsid w:val="004113FF"/>
    <w:rsid w:val="00416713"/>
    <w:rsid w:val="00416C7D"/>
    <w:rsid w:val="00422E46"/>
    <w:rsid w:val="004252C5"/>
    <w:rsid w:val="00426514"/>
    <w:rsid w:val="00426CD4"/>
    <w:rsid w:val="00430A00"/>
    <w:rsid w:val="004326D2"/>
    <w:rsid w:val="00435FE9"/>
    <w:rsid w:val="00440C46"/>
    <w:rsid w:val="00443149"/>
    <w:rsid w:val="00443388"/>
    <w:rsid w:val="00443EAF"/>
    <w:rsid w:val="00445696"/>
    <w:rsid w:val="00455213"/>
    <w:rsid w:val="00455C00"/>
    <w:rsid w:val="004637DF"/>
    <w:rsid w:val="0046559C"/>
    <w:rsid w:val="00467FE8"/>
    <w:rsid w:val="004701FF"/>
    <w:rsid w:val="0047062A"/>
    <w:rsid w:val="00476D48"/>
    <w:rsid w:val="0047757F"/>
    <w:rsid w:val="00480A00"/>
    <w:rsid w:val="00481B89"/>
    <w:rsid w:val="00483ECE"/>
    <w:rsid w:val="00484BC5"/>
    <w:rsid w:val="00484C86"/>
    <w:rsid w:val="00486D05"/>
    <w:rsid w:val="00487944"/>
    <w:rsid w:val="00493B62"/>
    <w:rsid w:val="00496941"/>
    <w:rsid w:val="004A1B6B"/>
    <w:rsid w:val="004A3358"/>
    <w:rsid w:val="004A36AF"/>
    <w:rsid w:val="004A47BB"/>
    <w:rsid w:val="004B13EB"/>
    <w:rsid w:val="004B1770"/>
    <w:rsid w:val="004B35E1"/>
    <w:rsid w:val="004B7401"/>
    <w:rsid w:val="004C2B31"/>
    <w:rsid w:val="004C3A42"/>
    <w:rsid w:val="004C6899"/>
    <w:rsid w:val="004C6C7F"/>
    <w:rsid w:val="004D5465"/>
    <w:rsid w:val="004D6B1B"/>
    <w:rsid w:val="004D6CC1"/>
    <w:rsid w:val="004E0B9C"/>
    <w:rsid w:val="004E53BD"/>
    <w:rsid w:val="004E5620"/>
    <w:rsid w:val="004E6E25"/>
    <w:rsid w:val="004E780A"/>
    <w:rsid w:val="004F20FD"/>
    <w:rsid w:val="004F2679"/>
    <w:rsid w:val="004F2BC7"/>
    <w:rsid w:val="004F2EF9"/>
    <w:rsid w:val="004F3192"/>
    <w:rsid w:val="004F4539"/>
    <w:rsid w:val="00501D7A"/>
    <w:rsid w:val="00503C9F"/>
    <w:rsid w:val="00507E2C"/>
    <w:rsid w:val="00512A9A"/>
    <w:rsid w:val="00512B89"/>
    <w:rsid w:val="00513287"/>
    <w:rsid w:val="005148E9"/>
    <w:rsid w:val="00516875"/>
    <w:rsid w:val="005207D1"/>
    <w:rsid w:val="005215C3"/>
    <w:rsid w:val="00526E5D"/>
    <w:rsid w:val="005311FA"/>
    <w:rsid w:val="00531F6A"/>
    <w:rsid w:val="00540FBE"/>
    <w:rsid w:val="00542959"/>
    <w:rsid w:val="00543316"/>
    <w:rsid w:val="00543FD7"/>
    <w:rsid w:val="005629B3"/>
    <w:rsid w:val="00563FB3"/>
    <w:rsid w:val="00564265"/>
    <w:rsid w:val="00565193"/>
    <w:rsid w:val="00566EE2"/>
    <w:rsid w:val="0057799E"/>
    <w:rsid w:val="00577C33"/>
    <w:rsid w:val="00582A28"/>
    <w:rsid w:val="00583F06"/>
    <w:rsid w:val="00584DB9"/>
    <w:rsid w:val="00586CDA"/>
    <w:rsid w:val="005914EE"/>
    <w:rsid w:val="005937A0"/>
    <w:rsid w:val="005939F3"/>
    <w:rsid w:val="0059480B"/>
    <w:rsid w:val="00596F5E"/>
    <w:rsid w:val="0059703C"/>
    <w:rsid w:val="005A18B2"/>
    <w:rsid w:val="005A546B"/>
    <w:rsid w:val="005A707F"/>
    <w:rsid w:val="005A72E4"/>
    <w:rsid w:val="005B2F1E"/>
    <w:rsid w:val="005B4F5F"/>
    <w:rsid w:val="005B6B12"/>
    <w:rsid w:val="005B7E53"/>
    <w:rsid w:val="005C33C3"/>
    <w:rsid w:val="005C4579"/>
    <w:rsid w:val="005C4E47"/>
    <w:rsid w:val="005D2DE7"/>
    <w:rsid w:val="005E532C"/>
    <w:rsid w:val="005E6CFF"/>
    <w:rsid w:val="005E7969"/>
    <w:rsid w:val="005F07C2"/>
    <w:rsid w:val="005F2EE8"/>
    <w:rsid w:val="005F424A"/>
    <w:rsid w:val="00600CA4"/>
    <w:rsid w:val="00602825"/>
    <w:rsid w:val="006031E1"/>
    <w:rsid w:val="006042B9"/>
    <w:rsid w:val="006051D8"/>
    <w:rsid w:val="006066BB"/>
    <w:rsid w:val="00606B0F"/>
    <w:rsid w:val="00606B52"/>
    <w:rsid w:val="0061371E"/>
    <w:rsid w:val="00614F1C"/>
    <w:rsid w:val="00621A3D"/>
    <w:rsid w:val="00622F04"/>
    <w:rsid w:val="0063000F"/>
    <w:rsid w:val="00631FAD"/>
    <w:rsid w:val="0063565E"/>
    <w:rsid w:val="00635E5D"/>
    <w:rsid w:val="00636E02"/>
    <w:rsid w:val="00640436"/>
    <w:rsid w:val="0064210E"/>
    <w:rsid w:val="00642297"/>
    <w:rsid w:val="00644A34"/>
    <w:rsid w:val="00653DDE"/>
    <w:rsid w:val="00662882"/>
    <w:rsid w:val="006641D0"/>
    <w:rsid w:val="00665A7C"/>
    <w:rsid w:val="00671363"/>
    <w:rsid w:val="006720FC"/>
    <w:rsid w:val="00673522"/>
    <w:rsid w:val="00677B40"/>
    <w:rsid w:val="006A1E8B"/>
    <w:rsid w:val="006A7A10"/>
    <w:rsid w:val="006B0DA4"/>
    <w:rsid w:val="006B1B6B"/>
    <w:rsid w:val="006B2EA0"/>
    <w:rsid w:val="006B3888"/>
    <w:rsid w:val="006B3B06"/>
    <w:rsid w:val="006B3E98"/>
    <w:rsid w:val="006B3F9C"/>
    <w:rsid w:val="006C166B"/>
    <w:rsid w:val="006C1FD0"/>
    <w:rsid w:val="006C25CD"/>
    <w:rsid w:val="006C3550"/>
    <w:rsid w:val="006D0D7D"/>
    <w:rsid w:val="006D0EA4"/>
    <w:rsid w:val="006D1A3F"/>
    <w:rsid w:val="006D4651"/>
    <w:rsid w:val="006D48A6"/>
    <w:rsid w:val="006D755F"/>
    <w:rsid w:val="006E7968"/>
    <w:rsid w:val="006F2371"/>
    <w:rsid w:val="006F53E8"/>
    <w:rsid w:val="006F7A32"/>
    <w:rsid w:val="00700438"/>
    <w:rsid w:val="00701CA5"/>
    <w:rsid w:val="00704654"/>
    <w:rsid w:val="0070576B"/>
    <w:rsid w:val="00706072"/>
    <w:rsid w:val="00716098"/>
    <w:rsid w:val="00721722"/>
    <w:rsid w:val="00725DF3"/>
    <w:rsid w:val="00725E43"/>
    <w:rsid w:val="00726020"/>
    <w:rsid w:val="00727A26"/>
    <w:rsid w:val="007306D5"/>
    <w:rsid w:val="00736E65"/>
    <w:rsid w:val="007408B1"/>
    <w:rsid w:val="00743DB2"/>
    <w:rsid w:val="00753CE5"/>
    <w:rsid w:val="00754B57"/>
    <w:rsid w:val="00755BAC"/>
    <w:rsid w:val="0075661E"/>
    <w:rsid w:val="00760FD9"/>
    <w:rsid w:val="00766F51"/>
    <w:rsid w:val="00776C30"/>
    <w:rsid w:val="00780E1C"/>
    <w:rsid w:val="0078103B"/>
    <w:rsid w:val="00782AD1"/>
    <w:rsid w:val="00790853"/>
    <w:rsid w:val="007935DC"/>
    <w:rsid w:val="00793ADA"/>
    <w:rsid w:val="00797E0C"/>
    <w:rsid w:val="007A39AF"/>
    <w:rsid w:val="007B5735"/>
    <w:rsid w:val="007B6C60"/>
    <w:rsid w:val="007B7954"/>
    <w:rsid w:val="007C20E1"/>
    <w:rsid w:val="007C2FAF"/>
    <w:rsid w:val="007D1841"/>
    <w:rsid w:val="007D1D4A"/>
    <w:rsid w:val="007D65D2"/>
    <w:rsid w:val="007E0B9B"/>
    <w:rsid w:val="007E37CB"/>
    <w:rsid w:val="007E6798"/>
    <w:rsid w:val="007E6B3F"/>
    <w:rsid w:val="007E7997"/>
    <w:rsid w:val="007E7D6F"/>
    <w:rsid w:val="007E7ED5"/>
    <w:rsid w:val="007F27DB"/>
    <w:rsid w:val="007F5C14"/>
    <w:rsid w:val="007F750E"/>
    <w:rsid w:val="0081130F"/>
    <w:rsid w:val="00821437"/>
    <w:rsid w:val="00830D00"/>
    <w:rsid w:val="008314B4"/>
    <w:rsid w:val="0083159A"/>
    <w:rsid w:val="00834E39"/>
    <w:rsid w:val="0083635E"/>
    <w:rsid w:val="00836BA2"/>
    <w:rsid w:val="008405E2"/>
    <w:rsid w:val="008439E1"/>
    <w:rsid w:val="00843DA8"/>
    <w:rsid w:val="00846692"/>
    <w:rsid w:val="008606FB"/>
    <w:rsid w:val="00860878"/>
    <w:rsid w:val="00867DB2"/>
    <w:rsid w:val="00872603"/>
    <w:rsid w:val="00872853"/>
    <w:rsid w:val="00872C8D"/>
    <w:rsid w:val="0088123A"/>
    <w:rsid w:val="00886A14"/>
    <w:rsid w:val="0089075A"/>
    <w:rsid w:val="00895BAE"/>
    <w:rsid w:val="008A01F6"/>
    <w:rsid w:val="008A1291"/>
    <w:rsid w:val="008A1C7F"/>
    <w:rsid w:val="008A1D7D"/>
    <w:rsid w:val="008A4F52"/>
    <w:rsid w:val="008B0E67"/>
    <w:rsid w:val="008B32DA"/>
    <w:rsid w:val="008B52C5"/>
    <w:rsid w:val="008B6411"/>
    <w:rsid w:val="008B72BD"/>
    <w:rsid w:val="008C13A9"/>
    <w:rsid w:val="008C2021"/>
    <w:rsid w:val="008C767A"/>
    <w:rsid w:val="008D00FC"/>
    <w:rsid w:val="008D3509"/>
    <w:rsid w:val="008D3725"/>
    <w:rsid w:val="008D3798"/>
    <w:rsid w:val="008D5C28"/>
    <w:rsid w:val="008D6997"/>
    <w:rsid w:val="008D79C3"/>
    <w:rsid w:val="008E0CA8"/>
    <w:rsid w:val="008E4289"/>
    <w:rsid w:val="008F4786"/>
    <w:rsid w:val="008F48F8"/>
    <w:rsid w:val="008F6A3D"/>
    <w:rsid w:val="008F77FC"/>
    <w:rsid w:val="00903155"/>
    <w:rsid w:val="00906D95"/>
    <w:rsid w:val="0091021B"/>
    <w:rsid w:val="00914561"/>
    <w:rsid w:val="0091474E"/>
    <w:rsid w:val="00920D2A"/>
    <w:rsid w:val="0092207B"/>
    <w:rsid w:val="009243C8"/>
    <w:rsid w:val="00924A1B"/>
    <w:rsid w:val="00925983"/>
    <w:rsid w:val="009267B5"/>
    <w:rsid w:val="0093317A"/>
    <w:rsid w:val="00933C1B"/>
    <w:rsid w:val="0093436D"/>
    <w:rsid w:val="00937426"/>
    <w:rsid w:val="00937569"/>
    <w:rsid w:val="00940EFD"/>
    <w:rsid w:val="0094215E"/>
    <w:rsid w:val="00943F78"/>
    <w:rsid w:val="00945B03"/>
    <w:rsid w:val="00955004"/>
    <w:rsid w:val="00957692"/>
    <w:rsid w:val="009663D9"/>
    <w:rsid w:val="00972278"/>
    <w:rsid w:val="00972F3F"/>
    <w:rsid w:val="009740D2"/>
    <w:rsid w:val="00976FFF"/>
    <w:rsid w:val="00981038"/>
    <w:rsid w:val="009816D8"/>
    <w:rsid w:val="009818A8"/>
    <w:rsid w:val="00984744"/>
    <w:rsid w:val="00984836"/>
    <w:rsid w:val="00986538"/>
    <w:rsid w:val="00987B3A"/>
    <w:rsid w:val="00992846"/>
    <w:rsid w:val="0099526D"/>
    <w:rsid w:val="009966A3"/>
    <w:rsid w:val="00997013"/>
    <w:rsid w:val="009A49F4"/>
    <w:rsid w:val="009A4E8B"/>
    <w:rsid w:val="009A7A3F"/>
    <w:rsid w:val="009B74AE"/>
    <w:rsid w:val="009C0FBB"/>
    <w:rsid w:val="009C2EB0"/>
    <w:rsid w:val="009C535F"/>
    <w:rsid w:val="009C5875"/>
    <w:rsid w:val="009C5EF0"/>
    <w:rsid w:val="009C7694"/>
    <w:rsid w:val="009D038B"/>
    <w:rsid w:val="009D24EB"/>
    <w:rsid w:val="009D7294"/>
    <w:rsid w:val="009E0E2B"/>
    <w:rsid w:val="009E0E67"/>
    <w:rsid w:val="009E5107"/>
    <w:rsid w:val="009F27B9"/>
    <w:rsid w:val="009F4DB2"/>
    <w:rsid w:val="009F5C20"/>
    <w:rsid w:val="00A01AEB"/>
    <w:rsid w:val="00A026A4"/>
    <w:rsid w:val="00A032E1"/>
    <w:rsid w:val="00A04C52"/>
    <w:rsid w:val="00A05029"/>
    <w:rsid w:val="00A056EB"/>
    <w:rsid w:val="00A166EA"/>
    <w:rsid w:val="00A2400F"/>
    <w:rsid w:val="00A249F2"/>
    <w:rsid w:val="00A25C1C"/>
    <w:rsid w:val="00A3055D"/>
    <w:rsid w:val="00A30DBF"/>
    <w:rsid w:val="00A316E4"/>
    <w:rsid w:val="00A341ED"/>
    <w:rsid w:val="00A35DC1"/>
    <w:rsid w:val="00A36C1A"/>
    <w:rsid w:val="00A37C80"/>
    <w:rsid w:val="00A40DF2"/>
    <w:rsid w:val="00A40EAA"/>
    <w:rsid w:val="00A410CC"/>
    <w:rsid w:val="00A42B43"/>
    <w:rsid w:val="00A4477E"/>
    <w:rsid w:val="00A45ABD"/>
    <w:rsid w:val="00A461D9"/>
    <w:rsid w:val="00A47B5B"/>
    <w:rsid w:val="00A501F5"/>
    <w:rsid w:val="00A50FDA"/>
    <w:rsid w:val="00A53AF0"/>
    <w:rsid w:val="00A56976"/>
    <w:rsid w:val="00A6746B"/>
    <w:rsid w:val="00A6751C"/>
    <w:rsid w:val="00A72D94"/>
    <w:rsid w:val="00A74CB4"/>
    <w:rsid w:val="00A760FE"/>
    <w:rsid w:val="00A800EF"/>
    <w:rsid w:val="00A907CE"/>
    <w:rsid w:val="00A909E7"/>
    <w:rsid w:val="00A91D91"/>
    <w:rsid w:val="00A96E87"/>
    <w:rsid w:val="00A977A2"/>
    <w:rsid w:val="00AA054E"/>
    <w:rsid w:val="00AA179A"/>
    <w:rsid w:val="00AA24D6"/>
    <w:rsid w:val="00AA4134"/>
    <w:rsid w:val="00AA49E4"/>
    <w:rsid w:val="00AA5EB4"/>
    <w:rsid w:val="00AA6433"/>
    <w:rsid w:val="00AA6F39"/>
    <w:rsid w:val="00AA7272"/>
    <w:rsid w:val="00AB0487"/>
    <w:rsid w:val="00AB18EF"/>
    <w:rsid w:val="00AB3177"/>
    <w:rsid w:val="00AB53EC"/>
    <w:rsid w:val="00AB59D8"/>
    <w:rsid w:val="00AB6C08"/>
    <w:rsid w:val="00AB7542"/>
    <w:rsid w:val="00AB78C4"/>
    <w:rsid w:val="00AC6921"/>
    <w:rsid w:val="00AC7227"/>
    <w:rsid w:val="00AC79E0"/>
    <w:rsid w:val="00AD1D63"/>
    <w:rsid w:val="00AD7AF6"/>
    <w:rsid w:val="00AE2537"/>
    <w:rsid w:val="00AE4FC7"/>
    <w:rsid w:val="00AE5B99"/>
    <w:rsid w:val="00AE6C93"/>
    <w:rsid w:val="00AF16B3"/>
    <w:rsid w:val="00AF1E66"/>
    <w:rsid w:val="00AF3644"/>
    <w:rsid w:val="00AF3B7F"/>
    <w:rsid w:val="00B01902"/>
    <w:rsid w:val="00B04283"/>
    <w:rsid w:val="00B079B9"/>
    <w:rsid w:val="00B11730"/>
    <w:rsid w:val="00B126A6"/>
    <w:rsid w:val="00B133F9"/>
    <w:rsid w:val="00B157FC"/>
    <w:rsid w:val="00B15C0B"/>
    <w:rsid w:val="00B17327"/>
    <w:rsid w:val="00B17AF3"/>
    <w:rsid w:val="00B22346"/>
    <w:rsid w:val="00B22865"/>
    <w:rsid w:val="00B25B2B"/>
    <w:rsid w:val="00B27499"/>
    <w:rsid w:val="00B30B97"/>
    <w:rsid w:val="00B40D3A"/>
    <w:rsid w:val="00B40D81"/>
    <w:rsid w:val="00B41D5F"/>
    <w:rsid w:val="00B42019"/>
    <w:rsid w:val="00B46D2E"/>
    <w:rsid w:val="00B47FCC"/>
    <w:rsid w:val="00B5013B"/>
    <w:rsid w:val="00B50534"/>
    <w:rsid w:val="00B51E89"/>
    <w:rsid w:val="00B52E10"/>
    <w:rsid w:val="00B64506"/>
    <w:rsid w:val="00B655D1"/>
    <w:rsid w:val="00B6568A"/>
    <w:rsid w:val="00B66B31"/>
    <w:rsid w:val="00B67D65"/>
    <w:rsid w:val="00B738EA"/>
    <w:rsid w:val="00B865D5"/>
    <w:rsid w:val="00B87758"/>
    <w:rsid w:val="00B91A00"/>
    <w:rsid w:val="00B91B6E"/>
    <w:rsid w:val="00B92FAC"/>
    <w:rsid w:val="00B93A56"/>
    <w:rsid w:val="00B943D5"/>
    <w:rsid w:val="00B944A7"/>
    <w:rsid w:val="00BA1955"/>
    <w:rsid w:val="00BA1C60"/>
    <w:rsid w:val="00BA434B"/>
    <w:rsid w:val="00BA4D17"/>
    <w:rsid w:val="00BA574E"/>
    <w:rsid w:val="00BA7CA3"/>
    <w:rsid w:val="00BB016A"/>
    <w:rsid w:val="00BB0724"/>
    <w:rsid w:val="00BB449C"/>
    <w:rsid w:val="00BC2020"/>
    <w:rsid w:val="00BC23B4"/>
    <w:rsid w:val="00BC2561"/>
    <w:rsid w:val="00BC2AE8"/>
    <w:rsid w:val="00BC422A"/>
    <w:rsid w:val="00BC5229"/>
    <w:rsid w:val="00BD10FB"/>
    <w:rsid w:val="00BD5D2A"/>
    <w:rsid w:val="00BE14EC"/>
    <w:rsid w:val="00BE225E"/>
    <w:rsid w:val="00BE2FD3"/>
    <w:rsid w:val="00BE6490"/>
    <w:rsid w:val="00BE6D5D"/>
    <w:rsid w:val="00BF25CD"/>
    <w:rsid w:val="00BF3345"/>
    <w:rsid w:val="00BF6E70"/>
    <w:rsid w:val="00BF78F8"/>
    <w:rsid w:val="00C013E2"/>
    <w:rsid w:val="00C0358F"/>
    <w:rsid w:val="00C035F1"/>
    <w:rsid w:val="00C0696A"/>
    <w:rsid w:val="00C06A00"/>
    <w:rsid w:val="00C10752"/>
    <w:rsid w:val="00C121EA"/>
    <w:rsid w:val="00C12C8C"/>
    <w:rsid w:val="00C1710C"/>
    <w:rsid w:val="00C2077C"/>
    <w:rsid w:val="00C212A5"/>
    <w:rsid w:val="00C21748"/>
    <w:rsid w:val="00C22E6E"/>
    <w:rsid w:val="00C256AC"/>
    <w:rsid w:val="00C275F1"/>
    <w:rsid w:val="00C27E3F"/>
    <w:rsid w:val="00C3245D"/>
    <w:rsid w:val="00C33292"/>
    <w:rsid w:val="00C339D9"/>
    <w:rsid w:val="00C404DD"/>
    <w:rsid w:val="00C415D1"/>
    <w:rsid w:val="00C45273"/>
    <w:rsid w:val="00C531D6"/>
    <w:rsid w:val="00C543CF"/>
    <w:rsid w:val="00C54674"/>
    <w:rsid w:val="00C54ECD"/>
    <w:rsid w:val="00C57B81"/>
    <w:rsid w:val="00C60B44"/>
    <w:rsid w:val="00C629E3"/>
    <w:rsid w:val="00C62A8F"/>
    <w:rsid w:val="00C672C2"/>
    <w:rsid w:val="00C67DDB"/>
    <w:rsid w:val="00C73862"/>
    <w:rsid w:val="00C76495"/>
    <w:rsid w:val="00C76500"/>
    <w:rsid w:val="00C76741"/>
    <w:rsid w:val="00C80398"/>
    <w:rsid w:val="00C85D09"/>
    <w:rsid w:val="00C91EC0"/>
    <w:rsid w:val="00C9362F"/>
    <w:rsid w:val="00C96BDB"/>
    <w:rsid w:val="00C978C6"/>
    <w:rsid w:val="00CA08E6"/>
    <w:rsid w:val="00CA0C6A"/>
    <w:rsid w:val="00CA5E73"/>
    <w:rsid w:val="00CB50EF"/>
    <w:rsid w:val="00CB791A"/>
    <w:rsid w:val="00CC31C5"/>
    <w:rsid w:val="00CC3884"/>
    <w:rsid w:val="00CC4B3F"/>
    <w:rsid w:val="00CC6B25"/>
    <w:rsid w:val="00CD0F39"/>
    <w:rsid w:val="00CD1B6D"/>
    <w:rsid w:val="00CD2C7E"/>
    <w:rsid w:val="00CD2CA1"/>
    <w:rsid w:val="00CD3F4B"/>
    <w:rsid w:val="00CD414C"/>
    <w:rsid w:val="00CD47B2"/>
    <w:rsid w:val="00CE17A4"/>
    <w:rsid w:val="00CE2BEA"/>
    <w:rsid w:val="00CE46A5"/>
    <w:rsid w:val="00CE49F8"/>
    <w:rsid w:val="00CE6022"/>
    <w:rsid w:val="00CE680F"/>
    <w:rsid w:val="00CE7CEC"/>
    <w:rsid w:val="00CE7D4C"/>
    <w:rsid w:val="00CF0868"/>
    <w:rsid w:val="00CF21F5"/>
    <w:rsid w:val="00CF2939"/>
    <w:rsid w:val="00D00E9C"/>
    <w:rsid w:val="00D01921"/>
    <w:rsid w:val="00D01CEC"/>
    <w:rsid w:val="00D032EA"/>
    <w:rsid w:val="00D03520"/>
    <w:rsid w:val="00D05350"/>
    <w:rsid w:val="00D067CE"/>
    <w:rsid w:val="00D11C37"/>
    <w:rsid w:val="00D12F0D"/>
    <w:rsid w:val="00D14F6A"/>
    <w:rsid w:val="00D16C18"/>
    <w:rsid w:val="00D17950"/>
    <w:rsid w:val="00D20A9C"/>
    <w:rsid w:val="00D2158B"/>
    <w:rsid w:val="00D22F2F"/>
    <w:rsid w:val="00D2695A"/>
    <w:rsid w:val="00D26F14"/>
    <w:rsid w:val="00D305D7"/>
    <w:rsid w:val="00D33B18"/>
    <w:rsid w:val="00D36F32"/>
    <w:rsid w:val="00D40180"/>
    <w:rsid w:val="00D401D6"/>
    <w:rsid w:val="00D41371"/>
    <w:rsid w:val="00D417A8"/>
    <w:rsid w:val="00D41A06"/>
    <w:rsid w:val="00D46275"/>
    <w:rsid w:val="00D473E9"/>
    <w:rsid w:val="00D51AC1"/>
    <w:rsid w:val="00D5233F"/>
    <w:rsid w:val="00D54267"/>
    <w:rsid w:val="00D54A47"/>
    <w:rsid w:val="00D57A41"/>
    <w:rsid w:val="00D57FE2"/>
    <w:rsid w:val="00D61B55"/>
    <w:rsid w:val="00D72E9D"/>
    <w:rsid w:val="00D73338"/>
    <w:rsid w:val="00D7543B"/>
    <w:rsid w:val="00D77A9D"/>
    <w:rsid w:val="00D81043"/>
    <w:rsid w:val="00D8146B"/>
    <w:rsid w:val="00D8376E"/>
    <w:rsid w:val="00D837BB"/>
    <w:rsid w:val="00D839AE"/>
    <w:rsid w:val="00D84FE9"/>
    <w:rsid w:val="00D92036"/>
    <w:rsid w:val="00D920E0"/>
    <w:rsid w:val="00D94CD9"/>
    <w:rsid w:val="00D978C6"/>
    <w:rsid w:val="00DA0CE9"/>
    <w:rsid w:val="00DA1FA3"/>
    <w:rsid w:val="00DA21A9"/>
    <w:rsid w:val="00DA266A"/>
    <w:rsid w:val="00DA3ECB"/>
    <w:rsid w:val="00DA605E"/>
    <w:rsid w:val="00DA6C6F"/>
    <w:rsid w:val="00DA6C7A"/>
    <w:rsid w:val="00DB0C59"/>
    <w:rsid w:val="00DB1BCC"/>
    <w:rsid w:val="00DC1F00"/>
    <w:rsid w:val="00DC3E4C"/>
    <w:rsid w:val="00DC6F33"/>
    <w:rsid w:val="00DC6F9D"/>
    <w:rsid w:val="00DC7765"/>
    <w:rsid w:val="00DD5A07"/>
    <w:rsid w:val="00DD7C5D"/>
    <w:rsid w:val="00DE0F08"/>
    <w:rsid w:val="00DE5905"/>
    <w:rsid w:val="00DE5F9C"/>
    <w:rsid w:val="00DE73CB"/>
    <w:rsid w:val="00DF1ED8"/>
    <w:rsid w:val="00DF3785"/>
    <w:rsid w:val="00DF4B6B"/>
    <w:rsid w:val="00DF6355"/>
    <w:rsid w:val="00DF7A80"/>
    <w:rsid w:val="00E00478"/>
    <w:rsid w:val="00E05934"/>
    <w:rsid w:val="00E06634"/>
    <w:rsid w:val="00E1793D"/>
    <w:rsid w:val="00E24D42"/>
    <w:rsid w:val="00E262B9"/>
    <w:rsid w:val="00E271F8"/>
    <w:rsid w:val="00E3456B"/>
    <w:rsid w:val="00E4656D"/>
    <w:rsid w:val="00E53830"/>
    <w:rsid w:val="00E57D4E"/>
    <w:rsid w:val="00E60822"/>
    <w:rsid w:val="00E640E2"/>
    <w:rsid w:val="00E66752"/>
    <w:rsid w:val="00E709A4"/>
    <w:rsid w:val="00E720DA"/>
    <w:rsid w:val="00E7474E"/>
    <w:rsid w:val="00E836FB"/>
    <w:rsid w:val="00E86520"/>
    <w:rsid w:val="00E8658D"/>
    <w:rsid w:val="00E873E6"/>
    <w:rsid w:val="00E95479"/>
    <w:rsid w:val="00E9678F"/>
    <w:rsid w:val="00EA2103"/>
    <w:rsid w:val="00EA319E"/>
    <w:rsid w:val="00EB04FF"/>
    <w:rsid w:val="00EB2200"/>
    <w:rsid w:val="00EB4F7A"/>
    <w:rsid w:val="00EB6C82"/>
    <w:rsid w:val="00EC092F"/>
    <w:rsid w:val="00EC2C93"/>
    <w:rsid w:val="00EC48A3"/>
    <w:rsid w:val="00EC5C27"/>
    <w:rsid w:val="00EC6383"/>
    <w:rsid w:val="00EC6BD8"/>
    <w:rsid w:val="00ED74D7"/>
    <w:rsid w:val="00EE1623"/>
    <w:rsid w:val="00EE1762"/>
    <w:rsid w:val="00EE235A"/>
    <w:rsid w:val="00EE4200"/>
    <w:rsid w:val="00EF0A30"/>
    <w:rsid w:val="00EF2E2F"/>
    <w:rsid w:val="00EF667D"/>
    <w:rsid w:val="00F06B6A"/>
    <w:rsid w:val="00F07700"/>
    <w:rsid w:val="00F12B6E"/>
    <w:rsid w:val="00F12F89"/>
    <w:rsid w:val="00F16780"/>
    <w:rsid w:val="00F17FBF"/>
    <w:rsid w:val="00F20532"/>
    <w:rsid w:val="00F226E0"/>
    <w:rsid w:val="00F23ECF"/>
    <w:rsid w:val="00F34C61"/>
    <w:rsid w:val="00F354DA"/>
    <w:rsid w:val="00F37173"/>
    <w:rsid w:val="00F37558"/>
    <w:rsid w:val="00F401BC"/>
    <w:rsid w:val="00F46EA5"/>
    <w:rsid w:val="00F50FE8"/>
    <w:rsid w:val="00F51125"/>
    <w:rsid w:val="00F52EB5"/>
    <w:rsid w:val="00F53CBE"/>
    <w:rsid w:val="00F5412D"/>
    <w:rsid w:val="00F549EE"/>
    <w:rsid w:val="00F56CB4"/>
    <w:rsid w:val="00F57849"/>
    <w:rsid w:val="00F57ACD"/>
    <w:rsid w:val="00F61D59"/>
    <w:rsid w:val="00F661F2"/>
    <w:rsid w:val="00F67EBD"/>
    <w:rsid w:val="00F71D42"/>
    <w:rsid w:val="00F80FAB"/>
    <w:rsid w:val="00F87B64"/>
    <w:rsid w:val="00F90628"/>
    <w:rsid w:val="00F91D80"/>
    <w:rsid w:val="00F95EE7"/>
    <w:rsid w:val="00F96928"/>
    <w:rsid w:val="00FA1D35"/>
    <w:rsid w:val="00FA6419"/>
    <w:rsid w:val="00FB1C27"/>
    <w:rsid w:val="00FB24ED"/>
    <w:rsid w:val="00FB55DD"/>
    <w:rsid w:val="00FB60E0"/>
    <w:rsid w:val="00FD5DC1"/>
    <w:rsid w:val="00FD6938"/>
    <w:rsid w:val="00FD7455"/>
    <w:rsid w:val="00FE0008"/>
    <w:rsid w:val="00FE0BD8"/>
    <w:rsid w:val="00FE2C0A"/>
    <w:rsid w:val="00FE5635"/>
    <w:rsid w:val="00FE60CA"/>
    <w:rsid w:val="00FE64F1"/>
    <w:rsid w:val="00FF10F6"/>
    <w:rsid w:val="00FF159B"/>
    <w:rsid w:val="00FF3772"/>
    <w:rsid w:val="00FF5398"/>
    <w:rsid w:val="00FF79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
    <w:basedOn w:val="Normal"/>
    <w:link w:val="ListParagraphChar"/>
    <w:autoRedefine/>
    <w:uiPriority w:val="34"/>
    <w:qFormat/>
    <w:rsid w:val="00F51125"/>
    <w:pPr>
      <w:keepNext/>
      <w:numPr>
        <w:numId w:val="30"/>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8"/>
      </w:numPr>
    </w:pPr>
    <w:rPr>
      <w:rFonts w:cstheme="majorHAnsi"/>
      <w:lang w:val="nl-BE"/>
    </w:rPr>
  </w:style>
  <w:style w:type="paragraph" w:customStyle="1" w:styleId="CPTitle3">
    <w:name w:val="CP_Title3"/>
    <w:basedOn w:val="Heading2"/>
    <w:qFormat/>
    <w:rsid w:val="009E5107"/>
    <w:pPr>
      <w:numPr>
        <w:ilvl w:val="2"/>
        <w:numId w:val="8"/>
      </w:numPr>
      <w:tabs>
        <w:tab w:val="num" w:pos="360"/>
      </w:tabs>
      <w:spacing w:before="250"/>
    </w:pPr>
    <w:rPr>
      <w:rFonts w:cstheme="majorHAnsi"/>
    </w:rPr>
  </w:style>
  <w:style w:type="paragraph" w:customStyle="1" w:styleId="CPTitle4">
    <w:name w:val="CP_Title4"/>
    <w:basedOn w:val="Normal"/>
    <w:qFormat/>
    <w:rsid w:val="009E5107"/>
    <w:pPr>
      <w:numPr>
        <w:ilvl w:val="3"/>
        <w:numId w:val="8"/>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8"/>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8"/>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8"/>
      </w:numPr>
      <w:spacing w:before="250"/>
    </w:pPr>
  </w:style>
  <w:style w:type="paragraph" w:customStyle="1" w:styleId="CPisubtitles">
    <w:name w:val="CP_isubtitles"/>
    <w:basedOn w:val="Normal"/>
    <w:qFormat/>
    <w:rsid w:val="009E5107"/>
    <w:pPr>
      <w:numPr>
        <w:ilvl w:val="7"/>
        <w:numId w:val="8"/>
      </w:numPr>
      <w:spacing w:before="250"/>
    </w:pPr>
  </w:style>
  <w:style w:type="paragraph" w:customStyle="1" w:styleId="CPasubtitles">
    <w:name w:val="CP_asubtitles"/>
    <w:basedOn w:val="Normal"/>
    <w:qFormat/>
    <w:rsid w:val="009E5107"/>
    <w:pPr>
      <w:numPr>
        <w:ilvl w:val="8"/>
        <w:numId w:val="8"/>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11"/>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unhideWhenUsed/>
    <w:rsid w:val="000C4CEE"/>
    <w:rPr>
      <w:sz w:val="16"/>
      <w:szCs w:val="16"/>
    </w:rPr>
  </w:style>
  <w:style w:type="paragraph" w:styleId="CommentText">
    <w:name w:val="annotation text"/>
    <w:basedOn w:val="Normal"/>
    <w:link w:val="CommentTextChar"/>
    <w:uiPriority w:val="99"/>
    <w:unhideWhenUsed/>
    <w:rsid w:val="000C4CEE"/>
    <w:pPr>
      <w:spacing w:line="240" w:lineRule="auto"/>
    </w:pPr>
    <w:rPr>
      <w:sz w:val="20"/>
    </w:rPr>
  </w:style>
  <w:style w:type="character" w:customStyle="1" w:styleId="CommentTextChar">
    <w:name w:val="Comment Text Char"/>
    <w:basedOn w:val="DefaultParagraphFont"/>
    <w:link w:val="CommentText"/>
    <w:uiPriority w:val="99"/>
    <w:rsid w:val="000C4CEE"/>
    <w:rPr>
      <w:lang w:val="en-GB"/>
    </w:rPr>
  </w:style>
  <w:style w:type="paragraph" w:styleId="CommentSubject">
    <w:name w:val="annotation subject"/>
    <w:basedOn w:val="CommentText"/>
    <w:next w:val="CommentText"/>
    <w:link w:val="CommentSubjectChar"/>
    <w:uiPriority w:val="99"/>
    <w:semiHidden/>
    <w:unhideWhenUsed/>
    <w:rsid w:val="000C4CEE"/>
    <w:rPr>
      <w:b/>
      <w:bCs/>
    </w:rPr>
  </w:style>
  <w:style w:type="character" w:customStyle="1" w:styleId="CommentSubjectChar">
    <w:name w:val="Comment Subject Char"/>
    <w:basedOn w:val="CommentTextChar"/>
    <w:link w:val="CommentSubject"/>
    <w:uiPriority w:val="99"/>
    <w:semiHidden/>
    <w:rsid w:val="000C4CEE"/>
    <w:rPr>
      <w:b/>
      <w:bCs/>
      <w:lang w:val="en-GB"/>
    </w:rPr>
  </w:style>
  <w:style w:type="paragraph" w:customStyle="1" w:styleId="Default">
    <w:name w:val="Default"/>
    <w:rsid w:val="000E42B7"/>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ListParagraphChar">
    <w:name w:val="List Paragraph Char"/>
    <w:aliases w:val="Paragraphe EI Char,Paragraphe de liste1 Char,EC Char"/>
    <w:link w:val="ListParagraph"/>
    <w:uiPriority w:val="34"/>
    <w:locked/>
    <w:rsid w:val="00F51125"/>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
    <w:basedOn w:val="Normal"/>
    <w:link w:val="ListParagraphChar"/>
    <w:autoRedefine/>
    <w:uiPriority w:val="34"/>
    <w:qFormat/>
    <w:rsid w:val="00F51125"/>
    <w:pPr>
      <w:keepNext/>
      <w:numPr>
        <w:numId w:val="30"/>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8"/>
      </w:numPr>
    </w:pPr>
    <w:rPr>
      <w:rFonts w:cstheme="majorHAnsi"/>
      <w:lang w:val="nl-BE"/>
    </w:rPr>
  </w:style>
  <w:style w:type="paragraph" w:customStyle="1" w:styleId="CPTitle3">
    <w:name w:val="CP_Title3"/>
    <w:basedOn w:val="Heading2"/>
    <w:qFormat/>
    <w:rsid w:val="009E5107"/>
    <w:pPr>
      <w:numPr>
        <w:ilvl w:val="2"/>
        <w:numId w:val="8"/>
      </w:numPr>
      <w:tabs>
        <w:tab w:val="num" w:pos="360"/>
      </w:tabs>
      <w:spacing w:before="250"/>
    </w:pPr>
    <w:rPr>
      <w:rFonts w:cstheme="majorHAnsi"/>
    </w:rPr>
  </w:style>
  <w:style w:type="paragraph" w:customStyle="1" w:styleId="CPTitle4">
    <w:name w:val="CP_Title4"/>
    <w:basedOn w:val="Normal"/>
    <w:qFormat/>
    <w:rsid w:val="009E5107"/>
    <w:pPr>
      <w:numPr>
        <w:ilvl w:val="3"/>
        <w:numId w:val="8"/>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8"/>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8"/>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8"/>
      </w:numPr>
      <w:spacing w:before="250"/>
    </w:pPr>
  </w:style>
  <w:style w:type="paragraph" w:customStyle="1" w:styleId="CPisubtitles">
    <w:name w:val="CP_isubtitles"/>
    <w:basedOn w:val="Normal"/>
    <w:qFormat/>
    <w:rsid w:val="009E5107"/>
    <w:pPr>
      <w:numPr>
        <w:ilvl w:val="7"/>
        <w:numId w:val="8"/>
      </w:numPr>
      <w:spacing w:before="250"/>
    </w:pPr>
  </w:style>
  <w:style w:type="paragraph" w:customStyle="1" w:styleId="CPasubtitles">
    <w:name w:val="CP_asubtitles"/>
    <w:basedOn w:val="Normal"/>
    <w:qFormat/>
    <w:rsid w:val="009E5107"/>
    <w:pPr>
      <w:numPr>
        <w:ilvl w:val="8"/>
        <w:numId w:val="8"/>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11"/>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unhideWhenUsed/>
    <w:rsid w:val="000C4CEE"/>
    <w:rPr>
      <w:sz w:val="16"/>
      <w:szCs w:val="16"/>
    </w:rPr>
  </w:style>
  <w:style w:type="paragraph" w:styleId="CommentText">
    <w:name w:val="annotation text"/>
    <w:basedOn w:val="Normal"/>
    <w:link w:val="CommentTextChar"/>
    <w:uiPriority w:val="99"/>
    <w:unhideWhenUsed/>
    <w:rsid w:val="000C4CEE"/>
    <w:pPr>
      <w:spacing w:line="240" w:lineRule="auto"/>
    </w:pPr>
    <w:rPr>
      <w:sz w:val="20"/>
    </w:rPr>
  </w:style>
  <w:style w:type="character" w:customStyle="1" w:styleId="CommentTextChar">
    <w:name w:val="Comment Text Char"/>
    <w:basedOn w:val="DefaultParagraphFont"/>
    <w:link w:val="CommentText"/>
    <w:uiPriority w:val="99"/>
    <w:rsid w:val="000C4CEE"/>
    <w:rPr>
      <w:lang w:val="en-GB"/>
    </w:rPr>
  </w:style>
  <w:style w:type="paragraph" w:styleId="CommentSubject">
    <w:name w:val="annotation subject"/>
    <w:basedOn w:val="CommentText"/>
    <w:next w:val="CommentText"/>
    <w:link w:val="CommentSubjectChar"/>
    <w:uiPriority w:val="99"/>
    <w:semiHidden/>
    <w:unhideWhenUsed/>
    <w:rsid w:val="000C4CEE"/>
    <w:rPr>
      <w:b/>
      <w:bCs/>
    </w:rPr>
  </w:style>
  <w:style w:type="character" w:customStyle="1" w:styleId="CommentSubjectChar">
    <w:name w:val="Comment Subject Char"/>
    <w:basedOn w:val="CommentTextChar"/>
    <w:link w:val="CommentSubject"/>
    <w:uiPriority w:val="99"/>
    <w:semiHidden/>
    <w:rsid w:val="000C4CEE"/>
    <w:rPr>
      <w:b/>
      <w:bCs/>
      <w:lang w:val="en-GB"/>
    </w:rPr>
  </w:style>
  <w:style w:type="paragraph" w:customStyle="1" w:styleId="Default">
    <w:name w:val="Default"/>
    <w:rsid w:val="000E42B7"/>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ListParagraphChar">
    <w:name w:val="List Paragraph Char"/>
    <w:aliases w:val="Paragraphe EI Char,Paragraphe de liste1 Char,EC Char"/>
    <w:link w:val="ListParagraph"/>
    <w:uiPriority w:val="34"/>
    <w:locked/>
    <w:rsid w:val="00F5112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8960">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335771171">
      <w:bodyDiv w:val="1"/>
      <w:marLeft w:val="0"/>
      <w:marRight w:val="0"/>
      <w:marTop w:val="0"/>
      <w:marBottom w:val="0"/>
      <w:divBdr>
        <w:top w:val="none" w:sz="0" w:space="0" w:color="auto"/>
        <w:left w:val="none" w:sz="0" w:space="0" w:color="auto"/>
        <w:bottom w:val="none" w:sz="0" w:space="0" w:color="auto"/>
        <w:right w:val="none" w:sz="0" w:space="0" w:color="auto"/>
      </w:divBdr>
    </w:div>
    <w:div w:id="921984633">
      <w:bodyDiv w:val="1"/>
      <w:marLeft w:val="0"/>
      <w:marRight w:val="0"/>
      <w:marTop w:val="0"/>
      <w:marBottom w:val="0"/>
      <w:divBdr>
        <w:top w:val="none" w:sz="0" w:space="0" w:color="auto"/>
        <w:left w:val="none" w:sz="0" w:space="0" w:color="auto"/>
        <w:bottom w:val="none" w:sz="0" w:space="0" w:color="auto"/>
        <w:right w:val="none" w:sz="0" w:space="0" w:color="auto"/>
      </w:divBdr>
    </w:div>
    <w:div w:id="1093934314">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7298731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678575176">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42866322">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057463210">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E5DF-EEA4-45C9-B092-DBC9A69C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94</Pages>
  <Words>34022</Words>
  <Characters>193928</Characters>
  <Application>Microsoft Office Word</Application>
  <DocSecurity>8</DocSecurity>
  <Lines>1616</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Leavy, Rosemary</dc:creator>
  <cp:lastModifiedBy>Leeson, Gillian</cp:lastModifiedBy>
  <cp:revision>534</cp:revision>
  <cp:lastPrinted>2015-02-28T09:33:00Z</cp:lastPrinted>
  <dcterms:created xsi:type="dcterms:W3CDTF">2015-02-10T09:17:00Z</dcterms:created>
  <dcterms:modified xsi:type="dcterms:W3CDTF">2015-03-02T17:19:00Z</dcterms:modified>
</cp:coreProperties>
</file>