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931B16"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 w:edGrp="everyone" w:displacedByCustomXml="prev"/>
            <w:tc>
              <w:tcPr>
                <w:tcW w:w="5595" w:type="dxa"/>
                <w:shd w:val="clear" w:color="auto" w:fill="auto"/>
              </w:tcPr>
              <w:p w:rsidR="000632C2" w:rsidRPr="00AB6D88" w:rsidRDefault="00D04F27" w:rsidP="00D04F27">
                <w:pPr>
                  <w:rPr>
                    <w:rStyle w:val="PlaceholderText"/>
                    <w:rFonts w:ascii="Arial" w:hAnsi="Arial" w:cs="Arial"/>
                  </w:rPr>
                </w:pPr>
                <w:r>
                  <w:rPr>
                    <w:rStyle w:val="PlaceholderText"/>
                    <w:rFonts w:ascii="Arial" w:hAnsi="Arial" w:cs="Arial"/>
                  </w:rPr>
                  <w:t>EUROPEX</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931B16" w:rsidP="00D04F2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D04F27">
                  <w:rPr>
                    <w:rFonts w:ascii="Arial" w:hAnsi="Arial" w:cs="Arial"/>
                  </w:rPr>
                  <w:t>Energy exchanges</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D04F27" w:rsidP="009E5107">
                <w:pPr>
                  <w:rPr>
                    <w:rFonts w:ascii="Arial" w:hAnsi="Arial" w:cs="Arial"/>
                  </w:rPr>
                </w:pPr>
                <w:r>
                  <w:rPr>
                    <w:rFonts w:ascii="Arial" w:hAnsi="Arial" w:cs="Arial"/>
                  </w:rPr>
                  <w:t>YES</w:t>
                </w:r>
                <w:r w:rsidR="000632C2"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D04F27" w:rsidP="00D04F27">
                <w:pPr>
                  <w:rPr>
                    <w:rFonts w:ascii="Arial" w:hAnsi="Arial" w:cs="Arial"/>
                  </w:rPr>
                </w:pPr>
                <w:r>
                  <w:rPr>
                    <w:rFonts w:ascii="Arial" w:hAnsi="Arial" w:cs="Arial"/>
                  </w:rPr>
                  <w:t>BELGIUM</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9" w:edGrp="everyone"/>
      <w:r>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ermStart w:id="177" w:edGrp="everyone"/>
      <w:r w:rsidRPr="00D04F27">
        <w:rPr>
          <w:rFonts w:eastAsia="Times New Roman" w:cstheme="minorHAnsi"/>
          <w:color w:val="000000"/>
          <w:lang w:eastAsia="en-GB"/>
        </w:rPr>
        <w:t xml:space="preserve">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broadly agrees with ESMA’s approach but would like to highlight a few specific aspects in order to help further improve the suggested methodology:</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b/>
          <w:color w:val="000000"/>
          <w:lang w:eastAsia="en-GB"/>
        </w:rPr>
      </w:pPr>
      <w:r w:rsidRPr="002B2A67">
        <w:rPr>
          <w:rFonts w:eastAsia="Times New Roman" w:cstheme="minorHAnsi"/>
          <w:b/>
          <w:color w:val="000000"/>
          <w:lang w:eastAsia="en-GB"/>
        </w:rPr>
        <w:t xml:space="preserve">(1)  </w:t>
      </w:r>
      <w:proofErr w:type="spellStart"/>
      <w:r w:rsidRPr="002B2A67">
        <w:rPr>
          <w:rFonts w:eastAsia="Times New Roman" w:cstheme="minorHAnsi"/>
          <w:b/>
          <w:color w:val="000000"/>
          <w:lang w:eastAsia="en-GB"/>
        </w:rPr>
        <w:t>Europex</w:t>
      </w:r>
      <w:proofErr w:type="spellEnd"/>
      <w:r w:rsidRPr="002B2A67">
        <w:rPr>
          <w:rFonts w:eastAsia="Times New Roman" w:cstheme="minorHAnsi"/>
          <w:b/>
          <w:color w:val="000000"/>
          <w:lang w:eastAsia="en-GB"/>
        </w:rPr>
        <w:t xml:space="preserve"> does not share ESMA’s view that the ancillary activity test and the trading activity test should be met both in order for an entity to qualify for the ancillary activity exemption</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on the contrary, deems appropriate that those tests must both be </w:t>
      </w:r>
      <w:r w:rsidRPr="002B2A67">
        <w:rPr>
          <w:rFonts w:eastAsia="Times New Roman" w:cstheme="minorHAnsi"/>
          <w:b/>
          <w:color w:val="000000"/>
          <w:lang w:eastAsia="en-GB"/>
        </w:rPr>
        <w:t>failed in order</w:t>
      </w:r>
      <w:r w:rsidRPr="002B2A67">
        <w:rPr>
          <w:rFonts w:eastAsia="Times New Roman" w:cstheme="minorHAnsi"/>
          <w:color w:val="000000"/>
          <w:lang w:eastAsia="en-GB"/>
        </w:rPr>
        <w:t xml:space="preserve"> for an entity to be required to obtain a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license. We understand that this is in line with the Level 1 text and the mandate given to ESMA by the Commission. The mandate indeed explicitly asks ESMA to elaborate a methodology where both the ancillary nature and the trading size of the activity are taken into account in order to determine whether a firm should be captured by the scope of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or not</w:t>
      </w:r>
      <w:r>
        <w:rPr>
          <w:rFonts w:eastAsia="Times New Roman" w:cstheme="minorHAnsi"/>
          <w:color w:val="000000"/>
          <w:lang w:eastAsia="en-GB"/>
        </w:rPr>
        <w:t>.</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b/>
          <w:color w:val="000000"/>
          <w:lang w:eastAsia="en-GB"/>
        </w:rPr>
      </w:pPr>
      <w:r w:rsidRPr="002B2A67">
        <w:rPr>
          <w:rFonts w:eastAsia="Times New Roman" w:cstheme="minorHAnsi"/>
          <w:b/>
          <w:color w:val="000000"/>
          <w:lang w:eastAsia="en-GB"/>
        </w:rPr>
        <w:t>(2) The risk reducing effect of central clearing by Central Counterparties (CCPs) should be reflected in the determination of the ancillary activity tests</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suggests that commodity and emission allowances derivatives that are traded on Regulated Markets (RMs) should only count towards the ancillary activity thresholds in a risk-adjusted manner. Indeed, the significant narrowing of the</w:t>
      </w:r>
      <w:r>
        <w:rPr>
          <w:rFonts w:eastAsia="Times New Roman" w:cstheme="minorHAnsi"/>
          <w:color w:val="000000"/>
          <w:lang w:eastAsia="en-GB"/>
        </w:rPr>
        <w:t xml:space="preserve"> </w:t>
      </w:r>
      <w:proofErr w:type="spellStart"/>
      <w:r>
        <w:rPr>
          <w:rFonts w:eastAsia="Times New Roman" w:cstheme="minorHAnsi"/>
          <w:color w:val="000000"/>
          <w:lang w:eastAsia="en-GB"/>
        </w:rPr>
        <w:t>MiFID</w:t>
      </w:r>
      <w:proofErr w:type="spellEnd"/>
      <w:r>
        <w:rPr>
          <w:rFonts w:eastAsia="Times New Roman" w:cstheme="minorHAnsi"/>
          <w:color w:val="000000"/>
          <w:lang w:eastAsia="en-GB"/>
        </w:rPr>
        <w:t xml:space="preserve"> I exemptions in </w:t>
      </w:r>
      <w:proofErr w:type="spellStart"/>
      <w:r>
        <w:rPr>
          <w:rFonts w:eastAsia="Times New Roman" w:cstheme="minorHAnsi"/>
          <w:color w:val="000000"/>
          <w:lang w:eastAsia="en-GB"/>
        </w:rPr>
        <w:t>MiFID</w:t>
      </w:r>
      <w:proofErr w:type="spellEnd"/>
      <w:r>
        <w:rPr>
          <w:rFonts w:eastAsia="Times New Roman" w:cstheme="minorHAnsi"/>
          <w:color w:val="000000"/>
          <w:lang w:eastAsia="en-GB"/>
        </w:rPr>
        <w:t xml:space="preserve"> II</w:t>
      </w:r>
      <w:r w:rsidRPr="002B2A67">
        <w:rPr>
          <w:rFonts w:eastAsia="Times New Roman" w:cstheme="minorHAnsi"/>
          <w:color w:val="000000"/>
          <w:lang w:eastAsia="en-GB"/>
        </w:rPr>
        <w:t xml:space="preserve"> aims primarily at mitigating systemic risk. Yet, contracts traded on regulated markets are systematically centrally cleared and do thus not pose the same level of systemic risk as non-cleared contracts that are traded on other platforms. This aspect is taken into account by the European Market Infrastructure Regulation (EMIR). Under EMIR, exchange-traded and centrally cleared derivatives (ETDs) do not count towards the EMIR threshold.</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When a derivative is centrally cleared, the counterparty risk arising from the transaction is managed by the CCP. The risk to cover an open position of a clearing member in the event of a default is </w:t>
      </w:r>
      <w:r w:rsidRPr="002B2A67">
        <w:rPr>
          <w:rFonts w:eastAsia="Times New Roman" w:cstheme="minorHAnsi"/>
          <w:i/>
          <w:color w:val="000000"/>
          <w:lang w:eastAsia="en-GB"/>
        </w:rPr>
        <w:t>inter alia</w:t>
      </w:r>
      <w:r w:rsidRPr="002B2A67">
        <w:rPr>
          <w:rFonts w:eastAsia="Times New Roman" w:cstheme="minorHAnsi"/>
          <w:color w:val="000000"/>
          <w:lang w:eastAsia="en-GB"/>
        </w:rPr>
        <w:t xml:space="preserve"> captured by the initial margin provided by the clearing member. In this context, the initial margin corresponds to the default risk in case of a cleared contract. The value of the initial margin can vary depending on the contract as it depends on the contract volatility. In gas and power</w:t>
      </w:r>
      <w:r>
        <w:t xml:space="preserve"> </w:t>
      </w:r>
      <w:r w:rsidRPr="002B2A67">
        <w:rPr>
          <w:rFonts w:eastAsia="Times New Roman" w:cstheme="minorHAnsi"/>
          <w:color w:val="000000"/>
          <w:lang w:eastAsia="en-GB"/>
        </w:rPr>
        <w:t xml:space="preserve">derivative markets, initial margins do not exceed 15%. </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therefore suggests that the capital employed for carrying out the ancillary activity should be measured via the initial margin in relation to contracts traded on a RM. Therefore, an exchange-traded contract would only be considered with 15% compared to an OTC-derivative with similar characteristics which is not cleared. This would better reflect both the actual capital employed by the market participants as well as the risk structure of cleared contracts. </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b/>
          <w:color w:val="000000"/>
          <w:lang w:eastAsia="en-GB"/>
        </w:rPr>
        <w:t>Taking into account 15 percent of the costs of each contract traded on Regulated Markets in the calculation of the ancillary activity</w:t>
      </w:r>
      <w:r w:rsidRPr="002B2A67">
        <w:rPr>
          <w:rFonts w:eastAsia="Times New Roman" w:cstheme="minorHAnsi"/>
          <w:color w:val="000000"/>
          <w:lang w:eastAsia="en-GB"/>
        </w:rPr>
        <w:t xml:space="preserve"> tests would: </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(a) incentivis</w:t>
      </w:r>
      <w:r w:rsidRPr="008765FD">
        <w:rPr>
          <w:rFonts w:eastAsia="Times New Roman" w:cstheme="minorHAnsi"/>
          <w:color w:val="000000"/>
          <w:lang w:eastAsia="en-GB"/>
        </w:rPr>
        <w:t>e</w:t>
      </w:r>
      <w:r w:rsidRPr="002B2A67">
        <w:rPr>
          <w:rFonts w:eastAsia="Times New Roman" w:cstheme="minorHAnsi"/>
          <w:color w:val="000000"/>
          <w:lang w:eastAsia="en-GB"/>
        </w:rPr>
        <w:t xml:space="preserve"> non-financial firms to trade in exchange traded (under the scope of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cleared products (under the scope of EMIR). The proposal would therefore incentivise a shift </w:t>
      </w:r>
      <w:r w:rsidRPr="002B2A67">
        <w:rPr>
          <w:rFonts w:eastAsia="Times New Roman" w:cstheme="minorHAnsi"/>
          <w:color w:val="000000"/>
          <w:lang w:eastAsia="en-GB"/>
        </w:rPr>
        <w:lastRenderedPageBreak/>
        <w:t xml:space="preserve">in trading activity towards regulated trading venues and would thereby reduce counterparty risk and systemic risk in European wholesale commodity markets.     </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(b) be in line with the G-20 Pittsburgh commitments of promoting more transparent, non-discriminatory and systemically safer markets and the specific aims of the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review of preventing market abuse, systemic risk and achieving a level playing field.</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b/>
          <w:color w:val="000000"/>
          <w:lang w:eastAsia="en-GB"/>
        </w:rPr>
        <w:t xml:space="preserve">(3) </w:t>
      </w:r>
      <w:proofErr w:type="spellStart"/>
      <w:r w:rsidRPr="002B2A67">
        <w:rPr>
          <w:rFonts w:eastAsia="Times New Roman" w:cstheme="minorHAnsi"/>
          <w:b/>
          <w:color w:val="000000"/>
          <w:lang w:eastAsia="en-GB"/>
        </w:rPr>
        <w:t>Europex</w:t>
      </w:r>
      <w:proofErr w:type="spellEnd"/>
      <w:r w:rsidRPr="002B2A67">
        <w:rPr>
          <w:rFonts w:eastAsia="Times New Roman" w:cstheme="minorHAnsi"/>
          <w:b/>
          <w:color w:val="000000"/>
          <w:lang w:eastAsia="en-GB"/>
        </w:rPr>
        <w:t xml:space="preserve"> does not share the view that for each asset class the same thresholds should apply.</w:t>
      </w:r>
      <w:r w:rsidRPr="002B2A67">
        <w:rPr>
          <w:rFonts w:eastAsia="Times New Roman" w:cstheme="minorHAnsi"/>
          <w:color w:val="000000"/>
          <w:lang w:eastAsia="en-GB"/>
        </w:rPr>
        <w:t xml:space="preserve"> </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This is based on the following reasons:</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092B4D" w:rsidRDefault="00D04F27" w:rsidP="00D04F27">
      <w:pPr>
        <w:pStyle w:val="ListParagraph"/>
        <w:numPr>
          <w:ilvl w:val="0"/>
          <w:numId w:val="30"/>
        </w:numPr>
        <w:autoSpaceDE w:val="0"/>
        <w:autoSpaceDN w:val="0"/>
        <w:adjustRightInd w:val="0"/>
        <w:spacing w:line="240" w:lineRule="auto"/>
        <w:ind w:left="360"/>
        <w:rPr>
          <w:rFonts w:eastAsia="Times New Roman" w:cstheme="minorHAnsi"/>
          <w:color w:val="000000"/>
          <w:lang w:eastAsia="en-GB"/>
        </w:rPr>
      </w:pPr>
      <w:r w:rsidRPr="002B2A67">
        <w:rPr>
          <w:rFonts w:eastAsia="Times New Roman" w:cstheme="minorHAnsi"/>
          <w:color w:val="000000"/>
          <w:lang w:eastAsia="en-GB"/>
        </w:rPr>
        <w:t xml:space="preserve">Regarding the ancillary activity test,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shares the view that only business activities in the EU should be taken into account, and that these activities should be put in relation to global business at group level. However, this creates a disadvantage for firms that are only active within the EU. As for grid bound commodities like power and gas, the firms’ activity is naturally concentrated at EU level.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assumes that the thresholds for both the ancillary activity test and the trading activity test have been lowered by ESMA due to the adoption of the “EU-business/worldwide activities” approach. Though,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notes that small gas and power trading firms do not benefit from the “EU-business/worldwide activities” approach, since they only have activity in the EU and therefore are adversely affected by the</w:t>
      </w:r>
      <w:r>
        <w:rPr>
          <w:rFonts w:eastAsia="Times New Roman" w:cstheme="minorHAnsi"/>
          <w:color w:val="000000"/>
          <w:lang w:eastAsia="en-GB"/>
        </w:rPr>
        <w:t xml:space="preserve"> lower thresholds as suggested.</w:t>
      </w:r>
    </w:p>
    <w:p w:rsidR="00D04F27" w:rsidRPr="00092B4D" w:rsidRDefault="00D04F27" w:rsidP="00D04F27">
      <w:pPr>
        <w:pStyle w:val="ListParagraph"/>
        <w:numPr>
          <w:ilvl w:val="0"/>
          <w:numId w:val="30"/>
        </w:numPr>
        <w:autoSpaceDE w:val="0"/>
        <w:autoSpaceDN w:val="0"/>
        <w:adjustRightInd w:val="0"/>
        <w:spacing w:line="240" w:lineRule="auto"/>
        <w:ind w:left="360"/>
        <w:rPr>
          <w:rFonts w:eastAsia="Times New Roman" w:cstheme="minorHAnsi"/>
          <w:color w:val="000000"/>
          <w:lang w:eastAsia="en-GB"/>
        </w:rPr>
      </w:pPr>
      <w:r w:rsidRPr="002B2A67">
        <w:rPr>
          <w:rFonts w:eastAsia="Times New Roman" w:cstheme="minorHAnsi"/>
          <w:color w:val="000000"/>
          <w:lang w:eastAsia="en-GB"/>
        </w:rPr>
        <w:t xml:space="preserve">Considering gas and power,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does clearly not deem a threshold of 5% appropriate for the first test. If it was applied at the suggested level of 5%, it would seriously harm energy trading in Europe with far reaching negative consequences for market liquidity, transparency and the further integration of the EU internal energy market. Given the direct linkage of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to the applicability of CRD IV, a large majority of real economy companies, including e.g. small</w:t>
      </w:r>
      <w:r>
        <w:rPr>
          <w:rFonts w:eastAsia="Times New Roman" w:cstheme="minorHAnsi"/>
          <w:color w:val="000000"/>
          <w:lang w:eastAsia="en-GB"/>
        </w:rPr>
        <w:t xml:space="preserve"> </w:t>
      </w:r>
      <w:r w:rsidRPr="002B2A67">
        <w:rPr>
          <w:rFonts w:eastAsia="Times New Roman" w:cstheme="minorHAnsi"/>
          <w:color w:val="000000"/>
          <w:lang w:eastAsia="en-GB"/>
        </w:rPr>
        <w:t xml:space="preserve">and medium-sized utilities, would have to become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investments firms and meet considerably higher capital requirements than today. In consequence, many companies would not be able to cope with the cost increase and may either largely reduce their trading activity or shift it to OTF platforms. Thus, wholesale gas and power wholesale markets would become fragmented and the EMIR</w:t>
      </w:r>
      <w:r>
        <w:rPr>
          <w:rFonts w:eastAsia="Times New Roman" w:cstheme="minorHAnsi"/>
          <w:color w:val="000000"/>
          <w:lang w:eastAsia="en-GB"/>
        </w:rPr>
        <w:t xml:space="preserve"> framework would be undermined.</w:t>
      </w:r>
    </w:p>
    <w:p w:rsidR="00D04F27" w:rsidRPr="002B2A67" w:rsidRDefault="00D04F27" w:rsidP="00D04F27">
      <w:pPr>
        <w:pStyle w:val="ListParagraph"/>
        <w:numPr>
          <w:ilvl w:val="0"/>
          <w:numId w:val="30"/>
        </w:numPr>
        <w:autoSpaceDE w:val="0"/>
        <w:autoSpaceDN w:val="0"/>
        <w:adjustRightInd w:val="0"/>
        <w:spacing w:line="240" w:lineRule="auto"/>
        <w:ind w:left="360"/>
        <w:rPr>
          <w:rFonts w:eastAsia="Times New Roman" w:cstheme="minorHAnsi"/>
          <w:color w:val="000000"/>
          <w:lang w:eastAsia="en-GB"/>
        </w:rPr>
      </w:pPr>
      <w:r w:rsidRPr="002B2A67">
        <w:rPr>
          <w:rFonts w:eastAsia="Times New Roman" w:cstheme="minorHAnsi"/>
          <w:color w:val="000000"/>
          <w:lang w:eastAsia="en-GB"/>
        </w:rPr>
        <w:t xml:space="preserve">As far as gas and power are concerned, a specific exemption is foreseen in Annex I C (6). REMIT wholesale products that are derivatives, traded on an OTF and “that must be physically settled” are not considered financial instruments. Therefore, neither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nor EMIR does apply. The C6 exemption as such creates incentives to shift liquidity away from RMs and MTFs to OTFs as can be already observed today where non-MTFs attract liquidity. Low thresholds of the ancillary activity exemption would further boost these incentives. In order to keep a level playing field between RMs, MTFs and OTFs and to keep a significant share of traded gas and power contracts within the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and EMIR frameworks, the thresholds should be defined proportionally. </w:t>
      </w:r>
    </w:p>
    <w:p w:rsidR="00D04F27" w:rsidRPr="002B2A67" w:rsidRDefault="00D04F27" w:rsidP="00D04F27">
      <w:pPr>
        <w:pStyle w:val="ListParagraph"/>
        <w:autoSpaceDE w:val="0"/>
        <w:autoSpaceDN w:val="0"/>
        <w:adjustRightInd w:val="0"/>
        <w:rPr>
          <w:rFonts w:eastAsia="Times New Roman" w:cstheme="minorHAnsi"/>
          <w:b/>
          <w:color w:val="000000"/>
          <w:lang w:eastAsia="en-GB"/>
        </w:rPr>
      </w:pPr>
    </w:p>
    <w:p w:rsidR="00D04F27" w:rsidRPr="002B2A67" w:rsidRDefault="00D04F27" w:rsidP="00D04F27">
      <w:pPr>
        <w:pStyle w:val="ListParagraph"/>
        <w:autoSpaceDE w:val="0"/>
        <w:autoSpaceDN w:val="0"/>
        <w:adjustRightInd w:val="0"/>
        <w:rPr>
          <w:rFonts w:eastAsia="Times New Roman" w:cstheme="minorHAnsi"/>
          <w:color w:val="000000"/>
          <w:lang w:eastAsia="en-GB"/>
        </w:rPr>
      </w:pPr>
      <w:r w:rsidRPr="002B2A67">
        <w:rPr>
          <w:rFonts w:eastAsia="Times New Roman" w:cstheme="minorHAnsi"/>
          <w:b/>
          <w:color w:val="000000"/>
          <w:lang w:eastAsia="en-GB"/>
        </w:rPr>
        <w:t xml:space="preserve">In case of no further changes to the suggested thresholds, </w:t>
      </w:r>
      <w:proofErr w:type="spellStart"/>
      <w:r w:rsidRPr="002B2A67">
        <w:rPr>
          <w:rFonts w:eastAsia="Times New Roman" w:cstheme="minorHAnsi"/>
          <w:b/>
          <w:color w:val="000000"/>
          <w:lang w:eastAsia="en-GB"/>
        </w:rPr>
        <w:t>Europex</w:t>
      </w:r>
      <w:proofErr w:type="spellEnd"/>
      <w:r w:rsidRPr="002B2A67">
        <w:rPr>
          <w:rFonts w:eastAsia="Times New Roman" w:cstheme="minorHAnsi"/>
          <w:b/>
          <w:color w:val="000000"/>
          <w:lang w:eastAsia="en-GB"/>
        </w:rPr>
        <w:t xml:space="preserve"> expects the following</w:t>
      </w:r>
      <w:r w:rsidRPr="002B2A67">
        <w:rPr>
          <w:rFonts w:eastAsia="Times New Roman" w:cstheme="minorHAnsi"/>
          <w:color w:val="000000"/>
          <w:lang w:eastAsia="en-GB"/>
        </w:rPr>
        <w:t xml:space="preserve">: Regarding gas and power trading, firms will be exempted from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because of the C6 carve out. The design of the ancillary activity exemption and the definition of the thresholds therefore will not put a cap on companies that are exempted from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On the contrary, it will rather determine the shares of contracts that will be traded on RMs, MTFs and OTFs, and thus the applicability of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and EMIR to gas and power derivatives trading.</w:t>
      </w:r>
    </w:p>
    <w:p w:rsidR="00577C33" w:rsidRDefault="00577C33" w:rsidP="00D04F27">
      <w:pPr>
        <w:keepNext/>
      </w:pP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D04F27" w:rsidRDefault="00D04F27" w:rsidP="00D04F27">
      <w:pPr>
        <w:pStyle w:val="NoSpacing"/>
        <w:jc w:val="both"/>
        <w:rPr>
          <w:rFonts w:cstheme="minorHAnsi"/>
        </w:rPr>
      </w:pPr>
      <w:permStart w:id="178" w:edGrp="everyone"/>
      <w:r w:rsidRPr="002B2A67">
        <w:rPr>
          <w:rFonts w:cstheme="minorHAnsi"/>
        </w:rPr>
        <w:t xml:space="preserve">Yes, </w:t>
      </w:r>
      <w:proofErr w:type="spellStart"/>
      <w:r w:rsidRPr="002B2A67">
        <w:rPr>
          <w:rFonts w:cstheme="minorHAnsi"/>
        </w:rPr>
        <w:t>Europex</w:t>
      </w:r>
      <w:proofErr w:type="spellEnd"/>
      <w:r w:rsidRPr="002B2A67">
        <w:rPr>
          <w:rFonts w:cstheme="minorHAnsi"/>
        </w:rPr>
        <w:t xml:space="preserve"> agrees. However, we would like to point out that this approach greatly disadvantages firms without non-EU activities. This relates in particular to firms whose main business is based on grid bound commodities, an activity which naturally local and regional. The threshold should thus not be lowered because non-EU activities are taken into account. This is especially true for small and medium-sized firms which will not benef</w:t>
      </w:r>
      <w:r>
        <w:rPr>
          <w:rFonts w:cstheme="minorHAnsi"/>
        </w:rPr>
        <w:t>it</w:t>
      </w:r>
      <w:r w:rsidRPr="002B2A67">
        <w:rPr>
          <w:rFonts w:cstheme="minorHAnsi"/>
        </w:rPr>
        <w:t xml:space="preserve"> from this widening of the scope of activities for the threshold calculation.</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D04F27" w:rsidP="00EC2C93">
      <w:pPr>
        <w:keepNext/>
      </w:pPr>
      <w:permStart w:id="179" w:edGrp="everyone"/>
      <w:r w:rsidRPr="002B2A67">
        <w:rPr>
          <w:rFonts w:eastAsia="Times New Roman" w:cstheme="minorHAnsi"/>
          <w:lang w:eastAsia="en-GB"/>
        </w:rPr>
        <w:t xml:space="preserve">Yes, </w:t>
      </w:r>
      <w:proofErr w:type="spellStart"/>
      <w:r w:rsidRPr="002B2A67">
        <w:rPr>
          <w:rFonts w:eastAsia="Times New Roman" w:cstheme="minorHAnsi"/>
          <w:lang w:eastAsia="en-GB"/>
        </w:rPr>
        <w:t>Europex</w:t>
      </w:r>
      <w:proofErr w:type="spellEnd"/>
      <w:r w:rsidRPr="002B2A67">
        <w:rPr>
          <w:rFonts w:eastAsia="Times New Roman" w:cstheme="minorHAnsi"/>
          <w:lang w:eastAsia="en-GB"/>
        </w:rPr>
        <w:t xml:space="preserve"> agrees.</w:t>
      </w:r>
      <w:permEnd w:id="179"/>
      <w:r w:rsidR="00577C33">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D04F27" w:rsidP="00EC2C93">
      <w:pPr>
        <w:keepNext/>
      </w:pPr>
      <w:permStart w:id="180" w:edGrp="everyone"/>
      <w:r w:rsidRPr="002B2A67">
        <w:rPr>
          <w:rFonts w:eastAsia="Times New Roman" w:cstheme="minorHAnsi"/>
          <w:lang w:eastAsia="en-GB"/>
        </w:rPr>
        <w:t xml:space="preserve">Yes, </w:t>
      </w:r>
      <w:proofErr w:type="spellStart"/>
      <w:r w:rsidRPr="002B2A67">
        <w:rPr>
          <w:rFonts w:eastAsia="Times New Roman" w:cstheme="minorHAnsi"/>
          <w:lang w:eastAsia="en-GB"/>
        </w:rPr>
        <w:t>Europex</w:t>
      </w:r>
      <w:proofErr w:type="spellEnd"/>
      <w:r w:rsidRPr="002B2A67">
        <w:rPr>
          <w:rFonts w:eastAsia="Times New Roman" w:cstheme="minorHAnsi"/>
          <w:lang w:eastAsia="en-GB"/>
        </w:rPr>
        <w:t xml:space="preserve"> agrees.</w:t>
      </w:r>
      <w:permEnd w:id="180"/>
      <w:r w:rsidR="00577C33">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D04F27" w:rsidRPr="002B2A67" w:rsidRDefault="00D04F27" w:rsidP="00D04F27">
      <w:pPr>
        <w:pStyle w:val="ListParagraph"/>
        <w:numPr>
          <w:ilvl w:val="0"/>
          <w:numId w:val="31"/>
        </w:numPr>
        <w:spacing w:line="240" w:lineRule="auto"/>
        <w:ind w:left="360"/>
        <w:rPr>
          <w:rFonts w:eastAsia="Times New Roman" w:cstheme="minorHAnsi"/>
          <w:lang w:eastAsia="en-GB"/>
        </w:rPr>
      </w:pPr>
      <w:permStart w:id="181" w:edGrp="everyone"/>
      <w:proofErr w:type="spellStart"/>
      <w:r w:rsidRPr="002B2A67">
        <w:rPr>
          <w:rFonts w:eastAsia="Times New Roman" w:cstheme="minorHAnsi"/>
          <w:lang w:eastAsia="en-GB"/>
        </w:rPr>
        <w:t>Europex</w:t>
      </w:r>
      <w:proofErr w:type="spellEnd"/>
      <w:r w:rsidRPr="002B2A67">
        <w:rPr>
          <w:rFonts w:eastAsia="Times New Roman" w:cstheme="minorHAnsi"/>
          <w:lang w:eastAsia="en-GB"/>
        </w:rPr>
        <w:t xml:space="preserve"> welcomes the approach to calculate the ancillary activity at group level and not person by person. This does not only allow for an easier implementation of </w:t>
      </w:r>
      <w:proofErr w:type="spellStart"/>
      <w:r w:rsidRPr="002B2A67">
        <w:rPr>
          <w:rFonts w:eastAsia="Times New Roman" w:cstheme="minorHAnsi"/>
          <w:lang w:eastAsia="en-GB"/>
        </w:rPr>
        <w:t>MiFID</w:t>
      </w:r>
      <w:proofErr w:type="spellEnd"/>
      <w:r w:rsidRPr="002B2A67">
        <w:rPr>
          <w:rFonts w:eastAsia="Times New Roman" w:cstheme="minorHAnsi"/>
          <w:lang w:eastAsia="en-GB"/>
        </w:rPr>
        <w:t xml:space="preserve"> II/</w:t>
      </w:r>
      <w:proofErr w:type="spellStart"/>
      <w:r w:rsidRPr="002B2A67">
        <w:rPr>
          <w:rFonts w:eastAsia="Times New Roman" w:cstheme="minorHAnsi"/>
          <w:lang w:eastAsia="en-GB"/>
        </w:rPr>
        <w:t>MiFIR</w:t>
      </w:r>
      <w:proofErr w:type="spellEnd"/>
      <w:r w:rsidRPr="002B2A67">
        <w:rPr>
          <w:rFonts w:eastAsia="Times New Roman" w:cstheme="minorHAnsi"/>
          <w:lang w:eastAsia="en-GB"/>
        </w:rPr>
        <w:t xml:space="preserve"> by the concerned companies and by the national competent authorities alike. It also reflects the actual activity and the dealing in financial instruments of those companies much better. Given the oftentimes complex organisational structure of historically grown firms due to regional and international engagements and other reasons, a more fragmented approach would eventually risk undermining the ancillary activity exemption as such.</w:t>
      </w:r>
    </w:p>
    <w:p w:rsidR="00D04F27" w:rsidRPr="002B2A67" w:rsidRDefault="00D04F27" w:rsidP="00D04F27">
      <w:pPr>
        <w:spacing w:line="240" w:lineRule="auto"/>
        <w:rPr>
          <w:rFonts w:eastAsia="Times New Roman" w:cstheme="minorHAnsi"/>
          <w:lang w:eastAsia="en-GB"/>
        </w:rPr>
      </w:pPr>
    </w:p>
    <w:p w:rsidR="00D04F27" w:rsidRPr="002B2A67" w:rsidRDefault="00D04F27" w:rsidP="00D04F27">
      <w:pPr>
        <w:pStyle w:val="ListParagraph"/>
        <w:numPr>
          <w:ilvl w:val="0"/>
          <w:numId w:val="31"/>
        </w:numPr>
        <w:spacing w:line="240" w:lineRule="auto"/>
        <w:ind w:left="360"/>
        <w:rPr>
          <w:rFonts w:eastAsia="Times New Roman" w:cstheme="minorHAnsi"/>
          <w:lang w:eastAsia="en-GB"/>
        </w:rPr>
      </w:pPr>
      <w:r w:rsidRPr="002B2A67">
        <w:rPr>
          <w:rFonts w:eastAsia="Times New Roman" w:cstheme="minorHAnsi"/>
          <w:lang w:eastAsia="en-GB"/>
        </w:rPr>
        <w:t xml:space="preserve">It needs to be clarified which entity of a group and under which circumstances requires a license. For instance, if the calculation is done at group-level and if the threshold is exceeded, it will be unclear which entity needs to apply for a license. If the calculation is done based on persons, we understand that only persons exceeding the threshold need to apply for a </w:t>
      </w:r>
      <w:proofErr w:type="spellStart"/>
      <w:r w:rsidRPr="002B2A67">
        <w:rPr>
          <w:rFonts w:eastAsia="Times New Roman" w:cstheme="minorHAnsi"/>
          <w:lang w:eastAsia="en-GB"/>
        </w:rPr>
        <w:t>MiFID</w:t>
      </w:r>
      <w:proofErr w:type="spellEnd"/>
      <w:r w:rsidRPr="002B2A67">
        <w:rPr>
          <w:rFonts w:eastAsia="Times New Roman" w:cstheme="minorHAnsi"/>
          <w:lang w:eastAsia="en-GB"/>
        </w:rPr>
        <w:t xml:space="preserve"> license. </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lastRenderedPageBreak/>
        <w:t>&lt;ESMA_QUESTION_CP_MIFID_173&gt;</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ermStart w:id="182" w:edGrp="everyone"/>
      <w:r w:rsidRPr="002B2A67">
        <w:rPr>
          <w:rFonts w:eastAsia="Times New Roman" w:cstheme="minorHAnsi"/>
          <w:color w:val="000000"/>
          <w:lang w:eastAsia="en-GB"/>
        </w:rPr>
        <w:t xml:space="preserve">Considering gas and power,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does clearly not deem a threshold of 5% appropriate for the first test. If it was applied at the suggested level of 5%, it would seriously harm energy trading in Europe with far reaching negative consequences for market liquidity, transparency and the further integration of the EU internal energy market. Given the direct linkage of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to the applicability of CRD IV, a large majority of real economy companies, including e.g. small and medium-sized utilities, would have to become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investments firms and meet considerably higher capital requirements than today. In consequence, many companies would not be able to cope with the cost increase and may either largely reduce their trading activity or shift it to OTF platforms. If the thresholds remained as low as currently proposed,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would not rule out a situation where the total traded market could shrink to one in which only physical consumption volumes will be hedged (churn ratio of 1). Lower wholesale market liquidity would result in significantly higher trading costs. Please find below two examples showing the additional charges for the energy industry:</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pStyle w:val="ListParagraph"/>
        <w:numPr>
          <w:ilvl w:val="0"/>
          <w:numId w:val="32"/>
        </w:num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Less liquid markets see bid/offer differentials widen as there are fewer available buyers and sellers and a less efficient distribution of the relevant supply and demand information. The table below shows the additional costs of trading in case of a widening bid/ask spread. Taking into account rough figures of European energy trading, the drifting apart of spreads could lead to an additional cost of </w:t>
      </w:r>
      <w:r w:rsidRPr="002B2A67">
        <w:rPr>
          <w:rFonts w:eastAsia="Times New Roman" w:cstheme="minorHAnsi"/>
          <w:b/>
          <w:color w:val="000000"/>
          <w:lang w:eastAsia="en-GB"/>
        </w:rPr>
        <w:t>€4 bn</w:t>
      </w:r>
      <w:r w:rsidRPr="002B2A67">
        <w:rPr>
          <w:rFonts w:eastAsia="Times New Roman" w:cstheme="minorHAnsi"/>
          <w:color w:val="000000"/>
          <w:lang w:eastAsia="en-GB"/>
        </w:rPr>
        <w:t xml:space="preserve">. </w:t>
      </w: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p>
    <w:p w:rsidR="00D04F27" w:rsidRPr="002B2A67" w:rsidRDefault="00D04F27" w:rsidP="00D04F27">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noProof/>
          <w:color w:val="000000"/>
          <w:lang w:eastAsia="en-GB"/>
        </w:rPr>
        <w:drawing>
          <wp:inline distT="0" distB="0" distL="0" distR="0">
            <wp:extent cx="5745480" cy="1485304"/>
            <wp:effectExtent l="0" t="0" r="7620" b="63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5480" cy="1485304"/>
                    </a:xfrm>
                    <a:prstGeom prst="rect">
                      <a:avLst/>
                    </a:prstGeom>
                    <a:noFill/>
                    <a:ln>
                      <a:noFill/>
                    </a:ln>
                  </pic:spPr>
                </pic:pic>
              </a:graphicData>
            </a:graphic>
          </wp:inline>
        </w:drawing>
      </w:r>
    </w:p>
    <w:p w:rsidR="00D04F27" w:rsidRPr="002B2A67" w:rsidRDefault="00D04F27" w:rsidP="00D04F27">
      <w:pPr>
        <w:pStyle w:val="ListParagraph"/>
        <w:autoSpaceDE w:val="0"/>
        <w:autoSpaceDN w:val="0"/>
        <w:adjustRightInd w:val="0"/>
        <w:rPr>
          <w:rFonts w:eastAsia="Times New Roman" w:cstheme="minorHAnsi"/>
          <w:color w:val="000000"/>
          <w:lang w:eastAsia="en-GB"/>
        </w:rPr>
      </w:pPr>
    </w:p>
    <w:p w:rsidR="00D04F27" w:rsidRPr="002B2A67" w:rsidRDefault="00D04F27" w:rsidP="00D04F27">
      <w:pPr>
        <w:pStyle w:val="ListParagraph"/>
        <w:numPr>
          <w:ilvl w:val="0"/>
          <w:numId w:val="32"/>
        </w:num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In a less liquid market, an asset-owner wishing to hedge its physical assets would need a longer period of time to close out its hedge volumes. The increase in the exposure over more days will lead to a market-wide increase in the Value at Risk of about €6bn (see table below). This value can then be translated as a cost of doing business in the industry by multiplying it by an average risk capital multiplier and a risk capital charge, hence amounting to approximately </w:t>
      </w:r>
      <w:r w:rsidRPr="002B2A67">
        <w:rPr>
          <w:rFonts w:eastAsia="Times New Roman" w:cstheme="minorHAnsi"/>
          <w:b/>
          <w:color w:val="000000"/>
          <w:lang w:eastAsia="en-GB"/>
        </w:rPr>
        <w:t>€15bn per year.</w:t>
      </w:r>
    </w:p>
    <w:p w:rsidR="00D04F27" w:rsidRPr="002B2A67" w:rsidRDefault="00D04F27" w:rsidP="00D04F27">
      <w:pPr>
        <w:autoSpaceDE w:val="0"/>
        <w:autoSpaceDN w:val="0"/>
        <w:adjustRightInd w:val="0"/>
        <w:rPr>
          <w:rFonts w:eastAsia="Times New Roman" w:cstheme="minorHAnsi"/>
          <w:color w:val="000000"/>
          <w:lang w:eastAsia="en-GB"/>
        </w:rPr>
      </w:pPr>
    </w:p>
    <w:p w:rsidR="00D04F27" w:rsidRPr="002B2A67" w:rsidRDefault="00D04F27" w:rsidP="00D04F27">
      <w:pPr>
        <w:autoSpaceDE w:val="0"/>
        <w:autoSpaceDN w:val="0"/>
        <w:adjustRightInd w:val="0"/>
        <w:rPr>
          <w:rFonts w:eastAsia="Times New Roman" w:cstheme="minorHAnsi"/>
          <w:color w:val="000000"/>
          <w:lang w:eastAsia="en-GB"/>
        </w:rPr>
      </w:pPr>
      <w:r w:rsidRPr="002B2A67">
        <w:rPr>
          <w:rFonts w:eastAsia="Times New Roman" w:cstheme="minorHAnsi"/>
          <w:noProof/>
          <w:color w:val="000000"/>
          <w:lang w:eastAsia="en-GB"/>
        </w:rPr>
        <w:drawing>
          <wp:inline distT="0" distB="0" distL="0" distR="0">
            <wp:extent cx="5745480" cy="1233001"/>
            <wp:effectExtent l="0" t="0" r="0" b="571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5480" cy="1233001"/>
                    </a:xfrm>
                    <a:prstGeom prst="rect">
                      <a:avLst/>
                    </a:prstGeom>
                    <a:noFill/>
                    <a:ln>
                      <a:noFill/>
                    </a:ln>
                  </pic:spPr>
                </pic:pic>
              </a:graphicData>
            </a:graphic>
          </wp:inline>
        </w:drawing>
      </w:r>
    </w:p>
    <w:p w:rsidR="00577C33" w:rsidRDefault="00D04F27" w:rsidP="00D04F27">
      <w:pPr>
        <w:keepNext/>
      </w:pPr>
      <w:r w:rsidRPr="002B2A67">
        <w:rPr>
          <w:rFonts w:eastAsia="Times New Roman" w:cstheme="minorHAnsi"/>
          <w:color w:val="000000"/>
          <w:lang w:eastAsia="en-GB"/>
        </w:rPr>
        <w:t xml:space="preserve">Please refer to the document attached to find more detailed explanations on the way the </w:t>
      </w:r>
      <w:r>
        <w:rPr>
          <w:rFonts w:eastAsia="Times New Roman" w:cstheme="minorHAnsi"/>
          <w:color w:val="000000"/>
          <w:lang w:eastAsia="en-GB"/>
        </w:rPr>
        <w:t xml:space="preserve">above mentioned </w:t>
      </w:r>
      <w:r w:rsidRPr="002B2A67">
        <w:rPr>
          <w:rFonts w:eastAsia="Times New Roman" w:cstheme="minorHAnsi"/>
          <w:color w:val="000000"/>
          <w:lang w:eastAsia="en-GB"/>
        </w:rPr>
        <w:t>calculations have been</w:t>
      </w:r>
      <w:r>
        <w:rPr>
          <w:rFonts w:eastAsia="Times New Roman" w:cstheme="minorHAnsi"/>
          <w:color w:val="000000"/>
          <w:lang w:eastAsia="en-GB"/>
        </w:rPr>
        <w:t xml:space="preserve"> performed.</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D04F27" w:rsidRDefault="00D04F27" w:rsidP="00D04F27">
      <w:pPr>
        <w:spacing w:line="240" w:lineRule="auto"/>
        <w:rPr>
          <w:rFonts w:eastAsia="Times New Roman" w:cstheme="minorHAnsi"/>
          <w:color w:val="000000"/>
          <w:lang w:eastAsia="en-GB"/>
        </w:rPr>
      </w:pPr>
      <w:permStart w:id="183" w:edGrp="everyone"/>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generally welcomes the approach of using an accounting capital measure for determining the “capital employed” as defined in Article 2(4). Yet, it is of great importance to provide companies with some flexibility and allow them to refer to proxies when using accounting capital to determine their “capital employed” both for the ancillary activity and the main business. Moreover, this measure needs to be a generally accepted standard with no (negative) impact on the application of the ancillary activity exemption. If any doubts occur, ESMA shall consider making a public consultation on this specific issue.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D04F27" w:rsidP="00EC2C93">
      <w:pPr>
        <w:keepNext/>
      </w:pPr>
      <w:permStart w:id="184" w:edGrp="everyone"/>
      <w:r w:rsidRPr="00A16621">
        <w:rPr>
          <w:rFonts w:eastAsia="Times New Roman" w:cstheme="minorHAnsi"/>
          <w:color w:val="000000"/>
          <w:lang w:eastAsia="en-GB"/>
        </w:rPr>
        <w:t xml:space="preserve">Yes, </w:t>
      </w:r>
      <w:proofErr w:type="spellStart"/>
      <w:r w:rsidRPr="00A16621">
        <w:rPr>
          <w:rFonts w:eastAsia="Times New Roman" w:cstheme="minorHAnsi"/>
          <w:color w:val="000000"/>
          <w:lang w:eastAsia="en-GB"/>
        </w:rPr>
        <w:t>Europex</w:t>
      </w:r>
      <w:proofErr w:type="spellEnd"/>
      <w:r w:rsidRPr="00A16621">
        <w:rPr>
          <w:rFonts w:eastAsia="Times New Roman" w:cstheme="minorHAnsi"/>
          <w:color w:val="000000"/>
          <w:lang w:eastAsia="en-GB"/>
        </w:rPr>
        <w:t xml:space="preserve"> generally agree</w:t>
      </w:r>
      <w:r w:rsidRPr="00212607">
        <w:rPr>
          <w:rFonts w:eastAsia="Times New Roman" w:cstheme="minorHAnsi"/>
          <w:color w:val="000000"/>
          <w:lang w:eastAsia="en-GB"/>
        </w:rPr>
        <w:t xml:space="preserve">s with the approach. </w:t>
      </w:r>
      <w:permEnd w:id="184"/>
      <w:r w:rsidR="00577C33">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D04F27" w:rsidP="00EC2C93">
      <w:pPr>
        <w:keepNext/>
      </w:pPr>
      <w:permStart w:id="185" w:edGrp="everyone"/>
      <w:r w:rsidRPr="002B2A67">
        <w:rPr>
          <w:rFonts w:eastAsia="Times New Roman" w:cstheme="minorHAnsi"/>
          <w:color w:val="000000"/>
          <w:lang w:eastAsia="en-GB"/>
        </w:rPr>
        <w:t xml:space="preserve">Yes,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agrees.</w:t>
      </w:r>
      <w:permEnd w:id="185"/>
      <w:r w:rsidR="00577C33">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D04F27" w:rsidRPr="002B2A67" w:rsidRDefault="00D04F27" w:rsidP="00D04F27">
      <w:pPr>
        <w:spacing w:line="240" w:lineRule="auto"/>
        <w:rPr>
          <w:rFonts w:eastAsia="Times New Roman" w:cstheme="minorHAnsi"/>
          <w:color w:val="000000"/>
          <w:lang w:eastAsia="en-GB"/>
        </w:rPr>
      </w:pPr>
      <w:permStart w:id="186" w:edGrp="everyone"/>
      <w:r w:rsidRPr="002B2A67">
        <w:rPr>
          <w:rFonts w:eastAsia="Times New Roman" w:cstheme="minorHAnsi"/>
          <w:color w:val="000000"/>
          <w:lang w:eastAsia="en-GB"/>
        </w:rPr>
        <w:t xml:space="preserve">Yes,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agrees.</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D04F27" w:rsidP="00EC2C93">
      <w:pPr>
        <w:keepNext/>
      </w:pPr>
      <w:permStart w:id="187" w:edGrp="everyone"/>
      <w:r w:rsidRPr="002B2A67">
        <w:rPr>
          <w:rFonts w:eastAsia="Times New Roman" w:cstheme="minorHAnsi"/>
          <w:color w:val="000000"/>
          <w:lang w:eastAsia="en-GB"/>
        </w:rPr>
        <w:t xml:space="preserve">Yes,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agrees.</w:t>
      </w:r>
      <w:permEnd w:id="187"/>
      <w:r w:rsidR="00577C33">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D04F27" w:rsidRDefault="00D04F27" w:rsidP="00D04F27">
      <w:pPr>
        <w:pStyle w:val="ListParagraph"/>
        <w:numPr>
          <w:ilvl w:val="0"/>
          <w:numId w:val="33"/>
        </w:numPr>
        <w:spacing w:line="240" w:lineRule="auto"/>
        <w:rPr>
          <w:rFonts w:eastAsia="Times New Roman" w:cstheme="minorHAnsi"/>
          <w:color w:val="000000"/>
          <w:lang w:eastAsia="en-GB"/>
        </w:rPr>
      </w:pPr>
      <w:permStart w:id="188" w:edGrp="everyone"/>
      <w:r w:rsidRPr="00467594">
        <w:rPr>
          <w:rFonts w:eastAsia="Times New Roman" w:cstheme="minorHAnsi"/>
          <w:color w:val="000000"/>
          <w:lang w:eastAsia="en-GB"/>
        </w:rPr>
        <w:t xml:space="preserve">As far as gas and power trading is concerned,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considers the threshold to be significantly too low. Gas and power wholesale markets have only been liberalised recently. Due to </w:t>
      </w:r>
      <w:r>
        <w:rPr>
          <w:rFonts w:eastAsia="Times New Roman" w:cstheme="minorHAnsi"/>
          <w:color w:val="000000"/>
          <w:lang w:eastAsia="en-GB"/>
        </w:rPr>
        <w:t>their</w:t>
      </w:r>
      <w:r w:rsidRPr="002B2A67">
        <w:rPr>
          <w:rFonts w:eastAsia="Times New Roman" w:cstheme="minorHAnsi"/>
          <w:color w:val="000000"/>
          <w:lang w:eastAsia="en-GB"/>
        </w:rPr>
        <w:t xml:space="preserve"> historical development, the market structure in these markets is less </w:t>
      </w:r>
      <w:r>
        <w:rPr>
          <w:rFonts w:eastAsia="Times New Roman" w:cstheme="minorHAnsi"/>
          <w:color w:val="000000"/>
          <w:lang w:eastAsia="en-GB"/>
        </w:rPr>
        <w:t>multipartite</w:t>
      </w:r>
      <w:r w:rsidRPr="002B2A67">
        <w:rPr>
          <w:rFonts w:eastAsia="Times New Roman" w:cstheme="minorHAnsi"/>
          <w:color w:val="000000"/>
          <w:lang w:eastAsia="en-GB"/>
        </w:rPr>
        <w:t xml:space="preserve"> compared to other markets. Utility companies that used to be </w:t>
      </w:r>
      <w:r>
        <w:rPr>
          <w:rFonts w:eastAsia="Times New Roman" w:cstheme="minorHAnsi"/>
          <w:color w:val="000000"/>
          <w:lang w:eastAsia="en-GB"/>
        </w:rPr>
        <w:t xml:space="preserve">politically wanted </w:t>
      </w:r>
      <w:r w:rsidRPr="002B2A67">
        <w:rPr>
          <w:rFonts w:eastAsia="Times New Roman" w:cstheme="minorHAnsi"/>
          <w:color w:val="000000"/>
          <w:lang w:eastAsia="en-GB"/>
        </w:rPr>
        <w:t xml:space="preserve">regulated monopolies before </w:t>
      </w:r>
      <w:r>
        <w:rPr>
          <w:rFonts w:eastAsia="Times New Roman" w:cstheme="minorHAnsi"/>
          <w:color w:val="000000"/>
          <w:lang w:eastAsia="en-GB"/>
        </w:rPr>
        <w:t xml:space="preserve">the </w:t>
      </w:r>
      <w:r w:rsidRPr="002B2A67">
        <w:rPr>
          <w:rFonts w:eastAsia="Times New Roman" w:cstheme="minorHAnsi"/>
          <w:color w:val="000000"/>
          <w:lang w:eastAsia="en-GB"/>
        </w:rPr>
        <w:t>liberali</w:t>
      </w:r>
      <w:r>
        <w:rPr>
          <w:rFonts w:eastAsia="Times New Roman" w:cstheme="minorHAnsi"/>
          <w:color w:val="000000"/>
          <w:lang w:eastAsia="en-GB"/>
        </w:rPr>
        <w:t>s</w:t>
      </w:r>
      <w:r w:rsidRPr="002B2A67">
        <w:rPr>
          <w:rFonts w:eastAsia="Times New Roman" w:cstheme="minorHAnsi"/>
          <w:color w:val="000000"/>
          <w:lang w:eastAsia="en-GB"/>
        </w:rPr>
        <w:t xml:space="preserve">ation would be </w:t>
      </w:r>
      <w:r>
        <w:rPr>
          <w:rFonts w:eastAsia="Times New Roman" w:cstheme="minorHAnsi"/>
          <w:color w:val="000000"/>
          <w:lang w:eastAsia="en-GB"/>
        </w:rPr>
        <w:t xml:space="preserve">easily </w:t>
      </w:r>
      <w:r w:rsidRPr="002B2A67">
        <w:rPr>
          <w:rFonts w:eastAsia="Times New Roman" w:cstheme="minorHAnsi"/>
          <w:color w:val="000000"/>
          <w:lang w:eastAsia="en-GB"/>
        </w:rPr>
        <w:t xml:space="preserve">caught by the 0.5% threshold. </w:t>
      </w:r>
    </w:p>
    <w:p w:rsidR="00D04F27" w:rsidRDefault="00D04F27" w:rsidP="00D04F27">
      <w:pPr>
        <w:pStyle w:val="ListParagraph"/>
        <w:rPr>
          <w:rFonts w:eastAsia="Times New Roman" w:cstheme="minorHAnsi"/>
          <w:color w:val="000000"/>
          <w:lang w:eastAsia="en-GB"/>
        </w:rPr>
      </w:pPr>
    </w:p>
    <w:p w:rsidR="00D04F27" w:rsidRPr="002B2A67" w:rsidRDefault="00D04F27" w:rsidP="00D04F27">
      <w:pPr>
        <w:pStyle w:val="ListParagraph"/>
        <w:numPr>
          <w:ilvl w:val="0"/>
          <w:numId w:val="33"/>
        </w:numPr>
        <w:spacing w:line="240" w:lineRule="auto"/>
        <w:rPr>
          <w:rFonts w:eastAsia="Times New Roman" w:cstheme="minorHAnsi"/>
          <w:color w:val="000000"/>
          <w:lang w:eastAsia="en-GB"/>
        </w:rPr>
      </w:pPr>
      <w:r w:rsidRPr="002B2A67">
        <w:rPr>
          <w:rFonts w:eastAsia="Times New Roman" w:cstheme="minorHAnsi"/>
          <w:color w:val="000000"/>
          <w:lang w:eastAsia="en-GB"/>
        </w:rPr>
        <w:t>As a consequence, such companies would either:</w:t>
      </w:r>
    </w:p>
    <w:p w:rsidR="00D04F27" w:rsidRPr="002B2A67" w:rsidRDefault="00D04F27" w:rsidP="00D04F27">
      <w:pPr>
        <w:pStyle w:val="ListParagraph"/>
        <w:numPr>
          <w:ilvl w:val="1"/>
          <w:numId w:val="33"/>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reduce their trading activity and thus decrease liquidity of wholesale power and gas markets. This would throw these markets </w:t>
      </w:r>
      <w:r w:rsidRPr="00DD623B">
        <w:rPr>
          <w:rFonts w:eastAsia="Times New Roman" w:cstheme="minorHAnsi"/>
          <w:color w:val="000000"/>
          <w:lang w:eastAsia="en-GB"/>
        </w:rPr>
        <w:t xml:space="preserve">back </w:t>
      </w:r>
      <w:r>
        <w:rPr>
          <w:rFonts w:eastAsia="Times New Roman" w:cstheme="minorHAnsi"/>
          <w:color w:val="000000"/>
          <w:lang w:eastAsia="en-GB"/>
        </w:rPr>
        <w:t>by many</w:t>
      </w:r>
      <w:r w:rsidRPr="002B2A67">
        <w:rPr>
          <w:rFonts w:eastAsia="Times New Roman" w:cstheme="minorHAnsi"/>
          <w:color w:val="000000"/>
          <w:lang w:eastAsia="en-GB"/>
        </w:rPr>
        <w:t xml:space="preserve"> years and undermine the achievements of the past 15 years,</w:t>
      </w:r>
    </w:p>
    <w:p w:rsidR="00D04F27" w:rsidRDefault="00D04F27" w:rsidP="00D04F27">
      <w:pPr>
        <w:pStyle w:val="ListParagraph"/>
        <w:numPr>
          <w:ilvl w:val="1"/>
          <w:numId w:val="33"/>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shift their trading activity to those segments that are not covered by the financial instrument definition, i.e. OTF platforms. This would circumvent the </w:t>
      </w:r>
      <w:proofErr w:type="spellStart"/>
      <w:r w:rsidRPr="002B2A67">
        <w:rPr>
          <w:rFonts w:eastAsia="Times New Roman" w:cstheme="minorHAnsi"/>
          <w:color w:val="000000"/>
          <w:lang w:eastAsia="en-GB"/>
        </w:rPr>
        <w:lastRenderedPageBreak/>
        <w:t>MiFID</w:t>
      </w:r>
      <w:proofErr w:type="spellEnd"/>
      <w:r w:rsidRPr="002B2A67">
        <w:rPr>
          <w:rFonts w:eastAsia="Times New Roman" w:cstheme="minorHAnsi"/>
          <w:color w:val="000000"/>
          <w:lang w:eastAsia="en-GB"/>
        </w:rPr>
        <w:t xml:space="preserve"> II and EMIR framework and would undermine the </w:t>
      </w:r>
      <w:r>
        <w:rPr>
          <w:rFonts w:eastAsia="Times New Roman" w:cstheme="minorHAnsi"/>
          <w:color w:val="000000"/>
          <w:lang w:eastAsia="en-GB"/>
        </w:rPr>
        <w:t>systemic risk mitigation efforts of the last years</w:t>
      </w:r>
      <w:r w:rsidRPr="002B2A67">
        <w:rPr>
          <w:rFonts w:eastAsia="Times New Roman" w:cstheme="minorHAnsi"/>
          <w:color w:val="000000"/>
          <w:lang w:eastAsia="en-GB"/>
        </w:rPr>
        <w:t>.</w:t>
      </w:r>
    </w:p>
    <w:p w:rsidR="00D04F27" w:rsidRPr="002B2A67" w:rsidRDefault="00D04F27" w:rsidP="00D04F27">
      <w:pPr>
        <w:pStyle w:val="ListParagraph"/>
        <w:ind w:left="1440"/>
        <w:rPr>
          <w:rFonts w:eastAsia="Times New Roman" w:cstheme="minorHAnsi"/>
          <w:color w:val="000000"/>
          <w:lang w:eastAsia="en-GB"/>
        </w:rPr>
      </w:pPr>
    </w:p>
    <w:p w:rsidR="00D04F27" w:rsidRPr="002B2A67" w:rsidRDefault="00D04F27" w:rsidP="00D04F27">
      <w:pPr>
        <w:pStyle w:val="ListParagraph"/>
        <w:numPr>
          <w:ilvl w:val="0"/>
          <w:numId w:val="33"/>
        </w:numPr>
        <w:spacing w:line="240" w:lineRule="auto"/>
        <w:rPr>
          <w:rFonts w:eastAsia="Times New Roman" w:cstheme="minorHAnsi"/>
          <w:color w:val="000000"/>
          <w:lang w:eastAsia="en-GB"/>
        </w:rPr>
      </w:pPr>
      <w:r>
        <w:rPr>
          <w:rFonts w:eastAsia="Times New Roman" w:cstheme="minorHAnsi"/>
          <w:color w:val="000000"/>
          <w:lang w:eastAsia="en-GB"/>
        </w:rPr>
        <w:t>D</w:t>
      </w:r>
      <w:r w:rsidRPr="002B2A67">
        <w:rPr>
          <w:rFonts w:eastAsia="Times New Roman" w:cstheme="minorHAnsi"/>
          <w:color w:val="000000"/>
          <w:lang w:eastAsia="en-GB"/>
        </w:rPr>
        <w:t>efin</w:t>
      </w:r>
      <w:r>
        <w:rPr>
          <w:rFonts w:eastAsia="Times New Roman" w:cstheme="minorHAnsi"/>
          <w:color w:val="000000"/>
          <w:lang w:eastAsia="en-GB"/>
        </w:rPr>
        <w:t>ing</w:t>
      </w:r>
      <w:r w:rsidRPr="002B2A67">
        <w:rPr>
          <w:rFonts w:eastAsia="Times New Roman" w:cstheme="minorHAnsi"/>
          <w:color w:val="000000"/>
          <w:lang w:eastAsia="en-GB"/>
        </w:rPr>
        <w:t xml:space="preserve"> </w:t>
      </w:r>
      <w:r>
        <w:rPr>
          <w:rFonts w:eastAsia="Times New Roman" w:cstheme="minorHAnsi"/>
          <w:color w:val="000000"/>
          <w:lang w:eastAsia="en-GB"/>
        </w:rPr>
        <w:t>specific</w:t>
      </w:r>
      <w:r w:rsidRPr="002B2A67">
        <w:rPr>
          <w:rFonts w:eastAsia="Times New Roman" w:cstheme="minorHAnsi"/>
          <w:color w:val="000000"/>
          <w:lang w:eastAsia="en-GB"/>
        </w:rPr>
        <w:t xml:space="preserve"> thresholds</w:t>
      </w:r>
      <w:r>
        <w:rPr>
          <w:rFonts w:eastAsia="Times New Roman" w:cstheme="minorHAnsi"/>
          <w:color w:val="000000"/>
          <w:lang w:eastAsia="en-GB"/>
        </w:rPr>
        <w:t xml:space="preserve"> </w:t>
      </w:r>
      <w:r w:rsidRPr="002B2A67">
        <w:rPr>
          <w:rFonts w:eastAsia="Times New Roman" w:cstheme="minorHAnsi"/>
          <w:color w:val="000000"/>
          <w:lang w:eastAsia="en-GB"/>
        </w:rPr>
        <w:t xml:space="preserve">for each asset class is therefore of great importance for an appropriate application of the ancillary activity exemption. This is especially true </w:t>
      </w:r>
      <w:r>
        <w:rPr>
          <w:rFonts w:eastAsia="Times New Roman" w:cstheme="minorHAnsi"/>
          <w:color w:val="000000"/>
          <w:lang w:eastAsia="en-GB"/>
        </w:rPr>
        <w:t>because of</w:t>
      </w:r>
      <w:r w:rsidRPr="002B2A67">
        <w:rPr>
          <w:rFonts w:eastAsia="Times New Roman" w:cstheme="minorHAnsi"/>
          <w:color w:val="000000"/>
          <w:lang w:eastAsia="en-GB"/>
        </w:rPr>
        <w:t xml:space="preserve"> the rule that if one threshold is not met in one asset class, the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w:t>
      </w:r>
      <w:proofErr w:type="spellStart"/>
      <w:r w:rsidRPr="002B2A67">
        <w:rPr>
          <w:rFonts w:eastAsia="Times New Roman" w:cstheme="minorHAnsi"/>
          <w:color w:val="000000"/>
          <w:lang w:eastAsia="en-GB"/>
        </w:rPr>
        <w:t>MiFIR</w:t>
      </w:r>
      <w:proofErr w:type="spellEnd"/>
      <w:r w:rsidRPr="002B2A67">
        <w:rPr>
          <w:rFonts w:eastAsia="Times New Roman" w:cstheme="minorHAnsi"/>
          <w:color w:val="000000"/>
          <w:lang w:eastAsia="en-GB"/>
        </w:rPr>
        <w:t xml:space="preserve"> requirements will apply to all other asset classes as well.</w:t>
      </w:r>
    </w:p>
    <w:p w:rsidR="00D04F27" w:rsidRPr="008765FD" w:rsidRDefault="00D04F27" w:rsidP="00D04F27">
      <w:pPr>
        <w:spacing w:line="240" w:lineRule="auto"/>
        <w:rPr>
          <w:rFonts w:eastAsia="Times New Roman" w:cstheme="minorHAnsi"/>
          <w:color w:val="000000"/>
          <w:lang w:eastAsia="en-GB"/>
        </w:rPr>
      </w:pPr>
    </w:p>
    <w:p w:rsidR="00D04F27" w:rsidRPr="002B2A67" w:rsidRDefault="00D04F27" w:rsidP="00D04F27">
      <w:pPr>
        <w:pStyle w:val="ListParagraph"/>
        <w:numPr>
          <w:ilvl w:val="0"/>
          <w:numId w:val="33"/>
        </w:numPr>
        <w:spacing w:line="240" w:lineRule="auto"/>
        <w:rPr>
          <w:rFonts w:eastAsia="Times New Roman" w:cstheme="minorHAnsi"/>
          <w:color w:val="000000"/>
          <w:lang w:eastAsia="en-GB"/>
        </w:rPr>
      </w:pPr>
      <w:r w:rsidRPr="002B2A67">
        <w:rPr>
          <w:rFonts w:eastAsia="Times New Roman" w:cstheme="minorHAnsi"/>
          <w:b/>
          <w:color w:val="000000"/>
          <w:lang w:eastAsia="en-GB"/>
        </w:rPr>
        <w:t>Use of TR data:</w:t>
      </w:r>
      <w:r w:rsidRPr="002B2A67">
        <w:rPr>
          <w:rFonts w:eastAsia="Times New Roman" w:cstheme="minorHAnsi"/>
          <w:color w:val="000000"/>
          <w:lang w:eastAsia="en-GB"/>
        </w:rPr>
        <w:t xml:space="preserve"> For gas and power </w:t>
      </w:r>
      <w:r>
        <w:rPr>
          <w:rFonts w:eastAsia="Times New Roman" w:cstheme="minorHAnsi"/>
          <w:color w:val="000000"/>
          <w:lang w:eastAsia="en-GB"/>
        </w:rPr>
        <w:t>trading</w:t>
      </w:r>
      <w:r w:rsidRPr="002B2A67">
        <w:rPr>
          <w:rFonts w:eastAsia="Times New Roman" w:cstheme="minorHAnsi"/>
          <w:color w:val="000000"/>
          <w:lang w:eastAsia="en-GB"/>
        </w:rPr>
        <w:t>, it is of u</w:t>
      </w:r>
      <w:r>
        <w:rPr>
          <w:rFonts w:eastAsia="Times New Roman" w:cstheme="minorHAnsi"/>
          <w:color w:val="000000"/>
          <w:lang w:eastAsia="en-GB"/>
        </w:rPr>
        <w:t>t</w:t>
      </w:r>
      <w:r w:rsidRPr="002B2A67">
        <w:rPr>
          <w:rFonts w:eastAsia="Times New Roman" w:cstheme="minorHAnsi"/>
          <w:color w:val="000000"/>
          <w:lang w:eastAsia="en-GB"/>
        </w:rPr>
        <w:t xml:space="preserve">most importance that the size of the overall trading activity in the relevant asset class takes into account the whole trading activity and not only the trading activity in financial instruments. For instance, as ESMA </w:t>
      </w:r>
      <w:r>
        <w:rPr>
          <w:rFonts w:eastAsia="Times New Roman" w:cstheme="minorHAnsi"/>
          <w:color w:val="000000"/>
          <w:lang w:eastAsia="en-GB"/>
        </w:rPr>
        <w:t>stipulates</w:t>
      </w:r>
      <w:r w:rsidRPr="002B2A67">
        <w:rPr>
          <w:rFonts w:eastAsia="Times New Roman" w:cstheme="minorHAnsi"/>
          <w:color w:val="000000"/>
          <w:lang w:eastAsia="en-GB"/>
        </w:rPr>
        <w:t xml:space="preserve"> in paragraph 7.1. §48 of the Consultation Paper, contracts that are traded on OTFs and that must be physically settled will not be financial instruments but still represent a part of the trading activity in these sectors. Moreover, it should be noted that REMIT </w:t>
      </w:r>
      <w:r>
        <w:rPr>
          <w:rFonts w:eastAsia="Times New Roman" w:cstheme="minorHAnsi"/>
          <w:color w:val="000000"/>
          <w:lang w:eastAsia="en-GB"/>
        </w:rPr>
        <w:t>requires</w:t>
      </w:r>
      <w:r w:rsidRPr="002B2A67">
        <w:rPr>
          <w:rFonts w:eastAsia="Times New Roman" w:cstheme="minorHAnsi"/>
          <w:color w:val="000000"/>
          <w:lang w:eastAsia="en-GB"/>
        </w:rPr>
        <w:t xml:space="preserve"> market participants to report non-financial instruments through ad-hoc databases (RRMs). This means the data from the whole trading activity will be available to regulators. For gas and power, data should hence not only come from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Trade Repositories but also from REMIT recognised databases. </w:t>
      </w:r>
      <w:r>
        <w:rPr>
          <w:rFonts w:eastAsia="Times New Roman" w:cstheme="minorHAnsi"/>
          <w:color w:val="000000"/>
          <w:lang w:eastAsia="en-GB"/>
        </w:rPr>
        <w:t>Combining</w:t>
      </w:r>
      <w:r w:rsidRPr="002B2A67">
        <w:rPr>
          <w:rFonts w:eastAsia="Times New Roman" w:cstheme="minorHAnsi"/>
          <w:color w:val="000000"/>
          <w:lang w:eastAsia="en-GB"/>
        </w:rPr>
        <w:t xml:space="preserve"> those figures will </w:t>
      </w:r>
      <w:r w:rsidRPr="00D071D3">
        <w:rPr>
          <w:rFonts w:eastAsia="Times New Roman" w:cstheme="minorHAnsi"/>
          <w:color w:val="000000"/>
          <w:lang w:val="en-US" w:eastAsia="en-GB"/>
        </w:rPr>
        <w:t xml:space="preserve">in any case be needed </w:t>
      </w:r>
      <w:r>
        <w:rPr>
          <w:rFonts w:eastAsia="Times New Roman" w:cstheme="minorHAnsi"/>
          <w:color w:val="000000"/>
          <w:lang w:eastAsia="en-GB"/>
        </w:rPr>
        <w:t>by</w:t>
      </w:r>
      <w:r w:rsidRPr="002B2A67">
        <w:rPr>
          <w:rFonts w:eastAsia="Times New Roman" w:cstheme="minorHAnsi"/>
          <w:color w:val="000000"/>
          <w:lang w:eastAsia="en-GB"/>
        </w:rPr>
        <w:t xml:space="preserve"> ESMA </w:t>
      </w:r>
      <w:r>
        <w:rPr>
          <w:rFonts w:eastAsia="Times New Roman" w:cstheme="minorHAnsi"/>
          <w:color w:val="000000"/>
          <w:lang w:eastAsia="en-GB"/>
        </w:rPr>
        <w:t>and ACER to correctly</w:t>
      </w:r>
      <w:r w:rsidRPr="00D071D3">
        <w:rPr>
          <w:rFonts w:eastAsia="Times New Roman" w:cstheme="minorHAnsi"/>
          <w:color w:val="000000"/>
          <w:lang w:eastAsia="en-GB"/>
        </w:rPr>
        <w:t xml:space="preserve"> </w:t>
      </w:r>
      <w:r w:rsidRPr="002B2A67">
        <w:rPr>
          <w:rFonts w:eastAsia="Times New Roman" w:cstheme="minorHAnsi"/>
          <w:color w:val="000000"/>
          <w:lang w:eastAsia="en-GB"/>
        </w:rPr>
        <w:t>supervis</w:t>
      </w:r>
      <w:r>
        <w:rPr>
          <w:rFonts w:eastAsia="Times New Roman" w:cstheme="minorHAnsi"/>
          <w:color w:val="000000"/>
          <w:lang w:eastAsia="en-GB"/>
        </w:rPr>
        <w:t>e</w:t>
      </w:r>
      <w:r w:rsidRPr="002B2A67">
        <w:rPr>
          <w:rFonts w:eastAsia="Times New Roman" w:cstheme="minorHAnsi"/>
          <w:color w:val="000000"/>
          <w:lang w:eastAsia="en-GB"/>
        </w:rPr>
        <w:t xml:space="preserve"> </w:t>
      </w:r>
      <w:r>
        <w:rPr>
          <w:rFonts w:eastAsia="Times New Roman" w:cstheme="minorHAnsi"/>
          <w:color w:val="000000"/>
          <w:lang w:eastAsia="en-GB"/>
        </w:rPr>
        <w:t>the energy</w:t>
      </w:r>
      <w:r w:rsidRPr="002B2A67">
        <w:rPr>
          <w:rFonts w:eastAsia="Times New Roman" w:cstheme="minorHAnsi"/>
          <w:color w:val="000000"/>
          <w:lang w:eastAsia="en-GB"/>
        </w:rPr>
        <w:t xml:space="preserve"> markets. </w:t>
      </w:r>
    </w:p>
    <w:p w:rsidR="00D04F27" w:rsidRPr="002B2A67" w:rsidRDefault="00D04F27" w:rsidP="00D04F27">
      <w:pPr>
        <w:pStyle w:val="ListParagraph"/>
        <w:rPr>
          <w:rFonts w:eastAsia="Times New Roman" w:cstheme="minorHAnsi"/>
          <w:color w:val="000000"/>
          <w:lang w:eastAsia="en-GB"/>
        </w:rPr>
      </w:pPr>
    </w:p>
    <w:p w:rsidR="00D04F27" w:rsidRPr="002B2A67" w:rsidRDefault="00D04F27" w:rsidP="00D04F27">
      <w:pPr>
        <w:pStyle w:val="ListParagraph"/>
        <w:numPr>
          <w:ilvl w:val="0"/>
          <w:numId w:val="33"/>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If REMIT non-financial instruments were not taken into account </w:t>
      </w:r>
      <w:r>
        <w:rPr>
          <w:rFonts w:eastAsia="Times New Roman" w:cstheme="minorHAnsi"/>
          <w:color w:val="000000"/>
          <w:lang w:eastAsia="en-GB"/>
        </w:rPr>
        <w:t>for determining</w:t>
      </w:r>
      <w:r w:rsidRPr="002B2A67">
        <w:rPr>
          <w:rFonts w:eastAsia="Times New Roman" w:cstheme="minorHAnsi"/>
          <w:color w:val="000000"/>
          <w:lang w:eastAsia="en-GB"/>
        </w:rPr>
        <w:t xml:space="preserve"> the size of the overall trading activity, it is likely that even small </w:t>
      </w:r>
      <w:r w:rsidRPr="00A57758">
        <w:rPr>
          <w:rFonts w:eastAsia="Times New Roman" w:cstheme="minorHAnsi"/>
          <w:color w:val="000000"/>
          <w:lang w:val="en-US" w:eastAsia="en-GB"/>
        </w:rPr>
        <w:t xml:space="preserve">companies could </w:t>
      </w:r>
      <w:r w:rsidRPr="002B2A67">
        <w:rPr>
          <w:rFonts w:eastAsia="Times New Roman" w:cstheme="minorHAnsi"/>
          <w:color w:val="000000"/>
          <w:lang w:eastAsia="en-GB"/>
        </w:rPr>
        <w:t xml:space="preserve">be caught by the 0.5% threshold. </w:t>
      </w:r>
      <w:r>
        <w:rPr>
          <w:rFonts w:eastAsia="Times New Roman" w:cstheme="minorHAnsi"/>
          <w:color w:val="000000"/>
          <w:lang w:eastAsia="en-GB"/>
        </w:rPr>
        <w:t>Indeed</w:t>
      </w:r>
      <w:r w:rsidRPr="002B2A67">
        <w:rPr>
          <w:rFonts w:eastAsia="Times New Roman" w:cstheme="minorHAnsi"/>
          <w:color w:val="000000"/>
          <w:lang w:eastAsia="en-GB"/>
        </w:rPr>
        <w:t xml:space="preserve">, it is likely that some market participants </w:t>
      </w:r>
      <w:r>
        <w:rPr>
          <w:rFonts w:eastAsia="Times New Roman" w:cstheme="minorHAnsi"/>
          <w:color w:val="000000"/>
          <w:lang w:eastAsia="en-GB"/>
        </w:rPr>
        <w:t xml:space="preserve">will </w:t>
      </w:r>
      <w:r w:rsidRPr="002B2A67">
        <w:rPr>
          <w:rFonts w:eastAsia="Times New Roman" w:cstheme="minorHAnsi"/>
          <w:color w:val="000000"/>
          <w:lang w:eastAsia="en-GB"/>
        </w:rPr>
        <w:t>reduce their trading in financial instruments</w:t>
      </w:r>
      <w:r>
        <w:rPr>
          <w:rFonts w:eastAsia="Times New Roman" w:cstheme="minorHAnsi"/>
          <w:color w:val="000000"/>
          <w:lang w:eastAsia="en-GB"/>
        </w:rPr>
        <w:t xml:space="preserve"> once</w:t>
      </w:r>
      <w:r w:rsidRPr="002B2A67">
        <w:rPr>
          <w:rFonts w:eastAsia="Times New Roman" w:cstheme="minorHAnsi"/>
          <w:color w:val="000000"/>
          <w:lang w:eastAsia="en-GB"/>
        </w:rPr>
        <w:t xml:space="preserve">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w:t>
      </w:r>
      <w:r>
        <w:rPr>
          <w:rFonts w:eastAsia="Times New Roman" w:cstheme="minorHAnsi"/>
          <w:color w:val="000000"/>
          <w:lang w:eastAsia="en-GB"/>
        </w:rPr>
        <w:t>enters into full application</w:t>
      </w:r>
      <w:r w:rsidRPr="002B2A67">
        <w:rPr>
          <w:rFonts w:eastAsia="Times New Roman" w:cstheme="minorHAnsi"/>
          <w:color w:val="000000"/>
          <w:lang w:eastAsia="en-GB"/>
        </w:rPr>
        <w:t xml:space="preserve">. This would mean that small market participants </w:t>
      </w:r>
      <w:r>
        <w:rPr>
          <w:rFonts w:eastAsia="Times New Roman" w:cstheme="minorHAnsi"/>
          <w:color w:val="000000"/>
          <w:lang w:eastAsia="en-GB"/>
        </w:rPr>
        <w:t>w</w:t>
      </w:r>
      <w:r w:rsidRPr="002B2A67">
        <w:rPr>
          <w:rFonts w:eastAsia="Times New Roman" w:cstheme="minorHAnsi"/>
          <w:color w:val="000000"/>
          <w:lang w:eastAsia="en-GB"/>
        </w:rPr>
        <w:t xml:space="preserve">ould </w:t>
      </w:r>
      <w:r>
        <w:rPr>
          <w:rFonts w:eastAsia="Times New Roman" w:cstheme="minorHAnsi"/>
          <w:color w:val="000000"/>
          <w:lang w:eastAsia="en-GB"/>
        </w:rPr>
        <w:t>gain a bigger overall relative market share with all related consequences in relation to the statically set thresholds</w:t>
      </w:r>
      <w:r w:rsidRPr="002B2A67">
        <w:rPr>
          <w:rFonts w:eastAsia="Times New Roman" w:cstheme="minorHAnsi"/>
          <w:color w:val="000000"/>
          <w:lang w:eastAsia="en-GB"/>
        </w:rPr>
        <w:t xml:space="preserve">. </w:t>
      </w:r>
    </w:p>
    <w:p w:rsidR="00D04F27" w:rsidRPr="002B2A67" w:rsidRDefault="00D04F27" w:rsidP="00D04F27">
      <w:pPr>
        <w:pStyle w:val="ListParagraph"/>
        <w:rPr>
          <w:rFonts w:eastAsia="Times New Roman" w:cstheme="minorHAnsi"/>
          <w:color w:val="000000"/>
          <w:lang w:eastAsia="en-GB"/>
        </w:rPr>
      </w:pPr>
    </w:p>
    <w:p w:rsidR="00D04F27" w:rsidRDefault="00D04F27" w:rsidP="00D04F27">
      <w:pPr>
        <w:pStyle w:val="ListParagraph"/>
        <w:numPr>
          <w:ilvl w:val="0"/>
          <w:numId w:val="33"/>
        </w:numPr>
        <w:spacing w:line="240" w:lineRule="auto"/>
        <w:rPr>
          <w:rFonts w:eastAsia="Times New Roman" w:cstheme="minorHAnsi"/>
          <w:color w:val="000000"/>
          <w:lang w:eastAsia="en-GB"/>
        </w:rPr>
      </w:pPr>
      <w:r>
        <w:rPr>
          <w:rFonts w:eastAsia="Times New Roman" w:cstheme="minorHAnsi"/>
          <w:color w:val="000000"/>
          <w:lang w:eastAsia="en-GB"/>
        </w:rPr>
        <w:t>W</w:t>
      </w:r>
      <w:r w:rsidRPr="002B2A67">
        <w:rPr>
          <w:rFonts w:eastAsia="Times New Roman" w:cstheme="minorHAnsi"/>
          <w:color w:val="000000"/>
          <w:lang w:eastAsia="en-GB"/>
        </w:rPr>
        <w:t xml:space="preserve">ith </w:t>
      </w:r>
      <w:r>
        <w:rPr>
          <w:rFonts w:eastAsia="Times New Roman" w:cstheme="minorHAnsi"/>
          <w:color w:val="000000"/>
          <w:lang w:eastAsia="en-GB"/>
        </w:rPr>
        <w:t>many</w:t>
      </w:r>
      <w:r w:rsidRPr="002B2A67">
        <w:rPr>
          <w:rFonts w:eastAsia="Times New Roman" w:cstheme="minorHAnsi"/>
          <w:color w:val="000000"/>
          <w:lang w:eastAsia="en-GB"/>
        </w:rPr>
        <w:t xml:space="preserve"> compan</w:t>
      </w:r>
      <w:r>
        <w:rPr>
          <w:rFonts w:eastAsia="Times New Roman" w:cstheme="minorHAnsi"/>
          <w:color w:val="000000"/>
          <w:lang w:eastAsia="en-GB"/>
        </w:rPr>
        <w:t>ies</w:t>
      </w:r>
      <w:r w:rsidRPr="002B2A67">
        <w:rPr>
          <w:rFonts w:eastAsia="Times New Roman" w:cstheme="minorHAnsi"/>
          <w:color w:val="000000"/>
          <w:lang w:eastAsia="en-GB"/>
        </w:rPr>
        <w:t xml:space="preserve"> shifting </w:t>
      </w:r>
      <w:r>
        <w:rPr>
          <w:rFonts w:eastAsia="Times New Roman" w:cstheme="minorHAnsi"/>
          <w:color w:val="000000"/>
          <w:lang w:eastAsia="en-GB"/>
        </w:rPr>
        <w:t>their</w:t>
      </w:r>
      <w:r w:rsidRPr="002B2A67">
        <w:rPr>
          <w:rFonts w:eastAsia="Times New Roman" w:cstheme="minorHAnsi"/>
          <w:color w:val="000000"/>
          <w:lang w:eastAsia="en-GB"/>
        </w:rPr>
        <w:t xml:space="preserve"> trading activity away from </w:t>
      </w:r>
      <w:r>
        <w:rPr>
          <w:rFonts w:eastAsia="Times New Roman" w:cstheme="minorHAnsi"/>
          <w:color w:val="000000"/>
          <w:lang w:eastAsia="en-GB"/>
        </w:rPr>
        <w:t>R</w:t>
      </w:r>
      <w:r w:rsidRPr="002B2A67">
        <w:rPr>
          <w:rFonts w:eastAsia="Times New Roman" w:cstheme="minorHAnsi"/>
          <w:color w:val="000000"/>
          <w:lang w:eastAsia="en-GB"/>
        </w:rPr>
        <w:t xml:space="preserve">egulated </w:t>
      </w:r>
      <w:r>
        <w:rPr>
          <w:rFonts w:eastAsia="Times New Roman" w:cstheme="minorHAnsi"/>
          <w:color w:val="000000"/>
          <w:lang w:eastAsia="en-GB"/>
        </w:rPr>
        <w:t>M</w:t>
      </w:r>
      <w:r w:rsidRPr="002B2A67">
        <w:rPr>
          <w:rFonts w:eastAsia="Times New Roman" w:cstheme="minorHAnsi"/>
          <w:color w:val="000000"/>
          <w:lang w:eastAsia="en-GB"/>
        </w:rPr>
        <w:t>arkets to OTF</w:t>
      </w:r>
      <w:r>
        <w:rPr>
          <w:rFonts w:eastAsia="Times New Roman" w:cstheme="minorHAnsi"/>
          <w:color w:val="000000"/>
          <w:lang w:eastAsia="en-GB"/>
        </w:rPr>
        <w:t>s,</w:t>
      </w:r>
      <w:r w:rsidRPr="002B2A67">
        <w:rPr>
          <w:rFonts w:eastAsia="Times New Roman" w:cstheme="minorHAnsi"/>
          <w:color w:val="000000"/>
          <w:lang w:eastAsia="en-GB"/>
        </w:rPr>
        <w:t xml:space="preserve"> the relative market share of firms remaining </w:t>
      </w:r>
      <w:r>
        <w:rPr>
          <w:rFonts w:eastAsia="Times New Roman" w:cstheme="minorHAnsi"/>
          <w:color w:val="000000"/>
          <w:lang w:eastAsia="en-GB"/>
        </w:rPr>
        <w:t>in</w:t>
      </w:r>
      <w:r w:rsidRPr="002B2A67">
        <w:rPr>
          <w:rFonts w:eastAsia="Times New Roman" w:cstheme="minorHAnsi"/>
          <w:color w:val="000000"/>
          <w:lang w:eastAsia="en-GB"/>
        </w:rPr>
        <w:t xml:space="preserve"> the regulated market increases, in case </w:t>
      </w:r>
      <w:r>
        <w:rPr>
          <w:rFonts w:eastAsia="Times New Roman" w:cstheme="minorHAnsi"/>
          <w:color w:val="000000"/>
          <w:lang w:eastAsia="en-GB"/>
        </w:rPr>
        <w:t xml:space="preserve">only </w:t>
      </w:r>
      <w:r w:rsidRPr="002B2A67">
        <w:rPr>
          <w:rFonts w:eastAsia="Times New Roman" w:cstheme="minorHAnsi"/>
          <w:color w:val="000000"/>
          <w:lang w:eastAsia="en-GB"/>
        </w:rPr>
        <w:t xml:space="preserve">TR data is used to calculate the overall market trading activity. This </w:t>
      </w:r>
      <w:r>
        <w:rPr>
          <w:rFonts w:eastAsia="Times New Roman" w:cstheme="minorHAnsi"/>
          <w:color w:val="000000"/>
          <w:lang w:eastAsia="en-GB"/>
        </w:rPr>
        <w:t>may</w:t>
      </w:r>
      <w:r w:rsidRPr="002B2A67">
        <w:rPr>
          <w:rFonts w:eastAsia="Times New Roman" w:cstheme="minorHAnsi"/>
          <w:color w:val="000000"/>
          <w:lang w:eastAsia="en-GB"/>
        </w:rPr>
        <w:t xml:space="preserve"> </w:t>
      </w:r>
      <w:r>
        <w:rPr>
          <w:rFonts w:eastAsia="Times New Roman" w:cstheme="minorHAnsi"/>
          <w:color w:val="000000"/>
          <w:lang w:eastAsia="en-GB"/>
        </w:rPr>
        <w:t>trigger</w:t>
      </w:r>
      <w:r w:rsidRPr="002B2A67">
        <w:rPr>
          <w:rFonts w:eastAsia="Times New Roman" w:cstheme="minorHAnsi"/>
          <w:color w:val="000000"/>
          <w:lang w:eastAsia="en-GB"/>
        </w:rPr>
        <w:t xml:space="preserve"> a chain reaction of companies leaving the regulated market</w:t>
      </w:r>
      <w:r>
        <w:rPr>
          <w:rFonts w:eastAsia="Times New Roman" w:cstheme="minorHAnsi"/>
          <w:color w:val="000000"/>
          <w:lang w:eastAsia="en-GB"/>
        </w:rPr>
        <w:t>,</w:t>
      </w:r>
      <w:r w:rsidRPr="002B2A67">
        <w:rPr>
          <w:rFonts w:eastAsia="Times New Roman" w:cstheme="minorHAnsi"/>
          <w:color w:val="000000"/>
          <w:lang w:eastAsia="en-GB"/>
        </w:rPr>
        <w:t xml:space="preserve"> the </w:t>
      </w:r>
      <w:proofErr w:type="spellStart"/>
      <w:r>
        <w:rPr>
          <w:rFonts w:eastAsia="Times New Roman" w:cstheme="minorHAnsi"/>
          <w:color w:val="000000"/>
          <w:lang w:eastAsia="en-GB"/>
        </w:rPr>
        <w:t>MiFID</w:t>
      </w:r>
      <w:proofErr w:type="spellEnd"/>
      <w:r>
        <w:rPr>
          <w:rFonts w:eastAsia="Times New Roman" w:cstheme="minorHAnsi"/>
          <w:color w:val="000000"/>
          <w:lang w:eastAsia="en-GB"/>
        </w:rPr>
        <w:t xml:space="preserve"> II and </w:t>
      </w:r>
      <w:r w:rsidRPr="002B2A67">
        <w:rPr>
          <w:rFonts w:eastAsia="Times New Roman" w:cstheme="minorHAnsi"/>
          <w:color w:val="000000"/>
          <w:lang w:eastAsia="en-GB"/>
        </w:rPr>
        <w:t>EMIR framework and of companies dropping out of the market.</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D04F27" w:rsidP="00EC2C93">
      <w:pPr>
        <w:keepNext/>
      </w:pPr>
      <w:permStart w:id="189" w:edGrp="everyone"/>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fully supports the introduction of a de </w:t>
      </w:r>
      <w:proofErr w:type="spellStart"/>
      <w:r w:rsidRPr="002B2A67">
        <w:rPr>
          <w:rFonts w:eastAsia="Times New Roman" w:cstheme="minorHAnsi"/>
          <w:color w:val="000000"/>
          <w:lang w:eastAsia="en-GB"/>
        </w:rPr>
        <w:t>minimis</w:t>
      </w:r>
      <w:proofErr w:type="spellEnd"/>
      <w:r w:rsidRPr="002B2A67">
        <w:rPr>
          <w:rFonts w:eastAsia="Times New Roman" w:cstheme="minorHAnsi"/>
          <w:color w:val="000000"/>
          <w:lang w:eastAsia="en-GB"/>
        </w:rPr>
        <w:t xml:space="preserve"> threshold for small firms. However, this must not lead to a general in-or-out-decision with an overly diminished ancillary activity exemption for bigger companies.</w:t>
      </w:r>
      <w:permEnd w:id="189"/>
      <w:r w:rsidR="00577C33">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D04F27" w:rsidRDefault="00D04F27" w:rsidP="00D04F27">
      <w:pPr>
        <w:spacing w:line="240" w:lineRule="auto"/>
        <w:rPr>
          <w:rFonts w:eastAsia="Times New Roman" w:cstheme="minorHAnsi"/>
          <w:color w:val="000000"/>
          <w:lang w:eastAsia="en-GB"/>
        </w:rPr>
      </w:pPr>
      <w:permStart w:id="190" w:edGrp="everyone"/>
      <w:proofErr w:type="spellStart"/>
      <w:r w:rsidRPr="00B007A3">
        <w:rPr>
          <w:rFonts w:eastAsia="Times New Roman" w:cstheme="minorHAnsi"/>
          <w:color w:val="000000"/>
          <w:lang w:eastAsia="en-GB"/>
        </w:rPr>
        <w:t>Europex</w:t>
      </w:r>
      <w:proofErr w:type="spellEnd"/>
      <w:r w:rsidRPr="00B97938">
        <w:rPr>
          <w:rFonts w:eastAsia="Times New Roman" w:cstheme="minorHAnsi"/>
          <w:color w:val="000000"/>
          <w:lang w:eastAsia="en-GB"/>
        </w:rPr>
        <w:t xml:space="preserve"> agrees with the ESMA conclusions. This applies in particular to point 70 of the </w:t>
      </w:r>
      <w:r>
        <w:rPr>
          <w:rFonts w:eastAsia="Times New Roman" w:cstheme="minorHAnsi"/>
          <w:color w:val="000000"/>
          <w:lang w:eastAsia="en-GB"/>
        </w:rPr>
        <w:t>C</w:t>
      </w:r>
      <w:r w:rsidRPr="00512D59">
        <w:rPr>
          <w:rFonts w:eastAsia="Times New Roman" w:cstheme="minorHAnsi"/>
          <w:color w:val="000000"/>
          <w:lang w:eastAsia="en-GB"/>
        </w:rPr>
        <w:t xml:space="preserve">onsultation </w:t>
      </w:r>
      <w:r>
        <w:rPr>
          <w:rFonts w:eastAsia="Times New Roman" w:cstheme="minorHAnsi"/>
          <w:color w:val="000000"/>
          <w:lang w:eastAsia="en-GB"/>
        </w:rPr>
        <w:t>P</w:t>
      </w:r>
      <w:r w:rsidRPr="00512D59">
        <w:rPr>
          <w:rFonts w:eastAsia="Times New Roman" w:cstheme="minorHAnsi"/>
          <w:color w:val="000000"/>
          <w:lang w:eastAsia="en-GB"/>
        </w:rPr>
        <w:t xml:space="preserve">aper on the hedging exemption and the need to complement the reference by ETDs. Moreover, we fully support the reasoning of point 71 allowing for the full exemption of liquidity provision activities (e.g. market making) in commodity </w:t>
      </w:r>
      <w:r>
        <w:rPr>
          <w:rFonts w:eastAsia="Times New Roman" w:cstheme="minorHAnsi"/>
          <w:color w:val="000000"/>
          <w:lang w:eastAsia="en-GB"/>
        </w:rPr>
        <w:t>and</w:t>
      </w:r>
      <w:r w:rsidRPr="00512D59">
        <w:rPr>
          <w:rFonts w:eastAsia="Times New Roman" w:cstheme="minorHAnsi"/>
          <w:color w:val="000000"/>
          <w:lang w:eastAsia="en-GB"/>
        </w:rPr>
        <w:t xml:space="preserve"> emission allowances trading where required by EU or national law or by</w:t>
      </w:r>
      <w:r w:rsidRPr="009F3C74">
        <w:rPr>
          <w:rFonts w:eastAsia="Times New Roman" w:cstheme="minorHAnsi"/>
          <w:color w:val="000000"/>
          <w:lang w:eastAsia="en-GB"/>
        </w:rPr>
        <w:t xml:space="preserve"> trading venues. In this context, the EU should consider generally introduc</w:t>
      </w:r>
      <w:r>
        <w:rPr>
          <w:rFonts w:eastAsia="Times New Roman" w:cstheme="minorHAnsi"/>
          <w:color w:val="000000"/>
          <w:lang w:eastAsia="en-GB"/>
        </w:rPr>
        <w:t>ing</w:t>
      </w:r>
      <w:r w:rsidRPr="009F3C74">
        <w:rPr>
          <w:rFonts w:eastAsia="Times New Roman" w:cstheme="minorHAnsi"/>
          <w:color w:val="000000"/>
          <w:lang w:eastAsia="en-GB"/>
        </w:rPr>
        <w:t xml:space="preserve"> such an obligation for all member states.</w:t>
      </w:r>
    </w:p>
    <w:p w:rsidR="00D04F27" w:rsidRPr="00E20010" w:rsidRDefault="00D04F27" w:rsidP="00D04F27">
      <w:pPr>
        <w:spacing w:line="240" w:lineRule="auto"/>
        <w:rPr>
          <w:rFonts w:eastAsia="Times New Roman" w:cstheme="minorHAnsi"/>
          <w:color w:val="000000"/>
          <w:lang w:eastAsia="en-GB"/>
        </w:rPr>
      </w:pPr>
    </w:p>
    <w:p w:rsidR="00D04F27" w:rsidRPr="008765FD" w:rsidRDefault="00D04F27" w:rsidP="00D04F27">
      <w:pPr>
        <w:spacing w:line="240" w:lineRule="auto"/>
        <w:rPr>
          <w:rFonts w:eastAsia="Times New Roman" w:cstheme="minorHAnsi"/>
          <w:color w:val="000000"/>
          <w:lang w:eastAsia="en-GB"/>
        </w:rPr>
      </w:pPr>
      <w:proofErr w:type="spellStart"/>
      <w:r w:rsidRPr="00212607">
        <w:rPr>
          <w:rFonts w:eastAsia="Times New Roman" w:cstheme="minorHAnsi"/>
          <w:color w:val="000000"/>
          <w:lang w:eastAsia="en-GB"/>
        </w:rPr>
        <w:lastRenderedPageBreak/>
        <w:t>Europex</w:t>
      </w:r>
      <w:proofErr w:type="spellEnd"/>
      <w:r w:rsidRPr="00212607">
        <w:rPr>
          <w:rFonts w:eastAsia="Times New Roman" w:cstheme="minorHAnsi"/>
          <w:color w:val="000000"/>
          <w:lang w:eastAsia="en-GB"/>
        </w:rPr>
        <w:t xml:space="preserve"> believes that </w:t>
      </w:r>
      <w:r>
        <w:rPr>
          <w:rFonts w:eastAsia="Times New Roman" w:cstheme="minorHAnsi"/>
          <w:color w:val="000000"/>
          <w:lang w:eastAsia="en-GB"/>
        </w:rPr>
        <w:t xml:space="preserve">the </w:t>
      </w:r>
      <w:r w:rsidRPr="00512D59">
        <w:rPr>
          <w:rFonts w:eastAsia="Times New Roman" w:cstheme="minorHAnsi"/>
          <w:color w:val="000000"/>
          <w:lang w:eastAsia="en-GB"/>
        </w:rPr>
        <w:t xml:space="preserve">provision of liquidity from market participants when engaging in algorithmic trading and pursuing market making strategies should also be considered as privileged transactions and hence </w:t>
      </w:r>
      <w:r w:rsidRPr="00D24CE5">
        <w:rPr>
          <w:rFonts w:eastAsia="Times New Roman" w:cstheme="minorHAnsi"/>
          <w:color w:val="000000"/>
          <w:lang w:eastAsia="en-GB"/>
        </w:rPr>
        <w:t xml:space="preserve">should be deducted from the numerator. </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D04F27" w:rsidRPr="002D6E6E" w:rsidRDefault="00D04F27" w:rsidP="00D04F27">
      <w:pPr>
        <w:spacing w:line="240" w:lineRule="auto"/>
        <w:rPr>
          <w:rFonts w:eastAsia="Times New Roman" w:cstheme="minorHAnsi"/>
          <w:color w:val="000000"/>
          <w:lang w:eastAsia="en-GB"/>
        </w:rPr>
      </w:pPr>
      <w:permStart w:id="191" w:edGrp="everyone"/>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agrees with determining the qualification for </w:t>
      </w:r>
      <w:r>
        <w:rPr>
          <w:rFonts w:eastAsia="Times New Roman" w:cstheme="minorHAnsi"/>
          <w:color w:val="000000"/>
          <w:lang w:eastAsia="en-GB"/>
        </w:rPr>
        <w:t xml:space="preserve">the </w:t>
      </w:r>
      <w:r w:rsidRPr="002D6E6E">
        <w:rPr>
          <w:rFonts w:eastAsia="Times New Roman" w:cstheme="minorHAnsi"/>
          <w:color w:val="000000"/>
          <w:lang w:eastAsia="en-GB"/>
        </w:rPr>
        <w:t xml:space="preserve">exemption on the basis of a rolling average of three years. </w:t>
      </w:r>
      <w:r>
        <w:rPr>
          <w:rFonts w:eastAsia="Times New Roman" w:cstheme="minorHAnsi"/>
          <w:color w:val="000000"/>
          <w:lang w:eastAsia="en-GB"/>
        </w:rPr>
        <w:t>Against this background, it</w:t>
      </w:r>
      <w:r w:rsidRPr="002D6E6E">
        <w:rPr>
          <w:rFonts w:eastAsia="Times New Roman" w:cstheme="minorHAnsi"/>
          <w:color w:val="000000"/>
          <w:lang w:eastAsia="en-GB"/>
        </w:rPr>
        <w:t xml:space="preserve"> is very important to take into account that trading behaviour can fluctuate from one year to the other.</w:t>
      </w:r>
    </w:p>
    <w:p w:rsidR="00D04F27" w:rsidRPr="00313DFD" w:rsidRDefault="00D04F27" w:rsidP="00D04F27">
      <w:pPr>
        <w:spacing w:line="240" w:lineRule="auto"/>
        <w:rPr>
          <w:rFonts w:eastAsia="Times New Roman" w:cstheme="minorHAnsi"/>
          <w:color w:val="000000"/>
          <w:lang w:eastAsia="en-GB"/>
        </w:rPr>
      </w:pPr>
    </w:p>
    <w:p w:rsidR="00D04F27" w:rsidRPr="00585288" w:rsidRDefault="00D04F27" w:rsidP="00D04F27">
      <w:pPr>
        <w:spacing w:line="240" w:lineRule="auto"/>
        <w:rPr>
          <w:rFonts w:eastAsia="Times New Roman" w:cstheme="minorHAnsi"/>
          <w:color w:val="000000"/>
          <w:lang w:eastAsia="en-GB"/>
        </w:rPr>
      </w:pPr>
      <w:r w:rsidRPr="00B97938">
        <w:rPr>
          <w:rFonts w:eastAsia="Times New Roman" w:cstheme="minorHAnsi"/>
          <w:color w:val="000000"/>
          <w:lang w:eastAsia="en-GB"/>
        </w:rPr>
        <w:t xml:space="preserve">However, </w:t>
      </w:r>
      <w:proofErr w:type="spellStart"/>
      <w:r w:rsidRPr="00B97938">
        <w:rPr>
          <w:rFonts w:eastAsia="Times New Roman" w:cstheme="minorHAnsi"/>
          <w:color w:val="000000"/>
          <w:lang w:eastAsia="en-GB"/>
        </w:rPr>
        <w:t>Europex</w:t>
      </w:r>
      <w:proofErr w:type="spellEnd"/>
      <w:r w:rsidRPr="00B97938">
        <w:rPr>
          <w:rFonts w:eastAsia="Times New Roman" w:cstheme="minorHAnsi"/>
          <w:color w:val="000000"/>
          <w:lang w:eastAsia="en-GB"/>
        </w:rPr>
        <w:t xml:space="preserve"> </w:t>
      </w:r>
      <w:r>
        <w:rPr>
          <w:rFonts w:eastAsia="Times New Roman" w:cstheme="minorHAnsi"/>
          <w:color w:val="000000"/>
          <w:lang w:eastAsia="en-GB"/>
        </w:rPr>
        <w:t>absolutely</w:t>
      </w:r>
      <w:r w:rsidRPr="00585288">
        <w:rPr>
          <w:rFonts w:eastAsia="Times New Roman" w:cstheme="minorHAnsi"/>
          <w:color w:val="000000"/>
          <w:lang w:eastAsia="en-GB"/>
        </w:rPr>
        <w:t xml:space="preserve"> </w:t>
      </w:r>
      <w:r>
        <w:rPr>
          <w:rFonts w:eastAsia="Times New Roman" w:cstheme="minorHAnsi"/>
          <w:color w:val="000000"/>
          <w:lang w:eastAsia="en-GB"/>
        </w:rPr>
        <w:t>dis</w:t>
      </w:r>
      <w:r w:rsidRPr="00585288">
        <w:rPr>
          <w:rFonts w:eastAsia="Times New Roman" w:cstheme="minorHAnsi"/>
          <w:color w:val="000000"/>
          <w:lang w:eastAsia="en-GB"/>
        </w:rPr>
        <w:t>agree</w:t>
      </w:r>
      <w:r>
        <w:rPr>
          <w:rFonts w:eastAsia="Times New Roman" w:cstheme="minorHAnsi"/>
          <w:color w:val="000000"/>
          <w:lang w:eastAsia="en-GB"/>
        </w:rPr>
        <w:t>s</w:t>
      </w:r>
      <w:r w:rsidRPr="00585288">
        <w:rPr>
          <w:rFonts w:eastAsia="Times New Roman" w:cstheme="minorHAnsi"/>
          <w:color w:val="000000"/>
          <w:lang w:eastAsia="en-GB"/>
        </w:rPr>
        <w:t xml:space="preserve"> with the </w:t>
      </w:r>
      <w:r>
        <w:rPr>
          <w:rFonts w:eastAsia="Times New Roman" w:cstheme="minorHAnsi"/>
          <w:color w:val="000000"/>
          <w:lang w:eastAsia="en-GB"/>
        </w:rPr>
        <w:t xml:space="preserve">proposed </w:t>
      </w:r>
      <w:r w:rsidRPr="00585288">
        <w:rPr>
          <w:rFonts w:eastAsia="Times New Roman" w:cstheme="minorHAnsi"/>
          <w:color w:val="000000"/>
          <w:lang w:eastAsia="en-GB"/>
        </w:rPr>
        <w:t xml:space="preserve">interim approach. </w:t>
      </w:r>
      <w:r w:rsidRPr="008765FD">
        <w:rPr>
          <w:rFonts w:eastAsia="Times New Roman" w:cstheme="minorHAnsi"/>
          <w:color w:val="000000"/>
          <w:lang w:eastAsia="en-GB"/>
        </w:rPr>
        <w:t xml:space="preserve">ESMA suggests that the trading data of 2016 is used to determine whether a firm </w:t>
      </w:r>
      <w:r w:rsidRPr="00585288">
        <w:rPr>
          <w:rFonts w:eastAsia="Times New Roman" w:cstheme="minorHAnsi"/>
          <w:color w:val="000000"/>
          <w:lang w:eastAsia="en-GB"/>
        </w:rPr>
        <w:t>can benefit from the ancillary service exemption in January 2017. This creates a number of problems:</w:t>
      </w:r>
    </w:p>
    <w:p w:rsidR="00D04F27" w:rsidRPr="002B2A67" w:rsidRDefault="00D04F27" w:rsidP="00D04F27">
      <w:pPr>
        <w:pStyle w:val="ListParagraph"/>
        <w:numPr>
          <w:ilvl w:val="0"/>
          <w:numId w:val="34"/>
        </w:numPr>
        <w:spacing w:line="240" w:lineRule="auto"/>
        <w:rPr>
          <w:rFonts w:eastAsia="Times New Roman" w:cstheme="minorHAnsi"/>
          <w:color w:val="000000"/>
          <w:lang w:eastAsia="en-GB"/>
        </w:rPr>
      </w:pPr>
      <w:r>
        <w:rPr>
          <w:rFonts w:eastAsia="Times New Roman" w:cstheme="minorHAnsi"/>
          <w:color w:val="000000"/>
          <w:lang w:eastAsia="en-GB"/>
        </w:rPr>
        <w:t>Until today</w:t>
      </w:r>
      <w:r w:rsidRPr="002B2A67">
        <w:rPr>
          <w:rFonts w:eastAsia="Times New Roman" w:cstheme="minorHAnsi"/>
          <w:color w:val="000000"/>
          <w:lang w:eastAsia="en-GB"/>
        </w:rPr>
        <w:t xml:space="preserve">, it </w:t>
      </w:r>
      <w:r>
        <w:rPr>
          <w:rFonts w:eastAsia="Times New Roman" w:cstheme="minorHAnsi"/>
          <w:color w:val="000000"/>
          <w:lang w:eastAsia="en-GB"/>
        </w:rPr>
        <w:t>has</w:t>
      </w:r>
      <w:r w:rsidRPr="002B2A67">
        <w:rPr>
          <w:rFonts w:eastAsia="Times New Roman" w:cstheme="minorHAnsi"/>
          <w:color w:val="000000"/>
          <w:lang w:eastAsia="en-GB"/>
        </w:rPr>
        <w:t xml:space="preserve"> not </w:t>
      </w:r>
      <w:r>
        <w:rPr>
          <w:rFonts w:eastAsia="Times New Roman" w:cstheme="minorHAnsi"/>
          <w:color w:val="000000"/>
          <w:lang w:eastAsia="en-GB"/>
        </w:rPr>
        <w:t xml:space="preserve">been </w:t>
      </w:r>
      <w:r w:rsidRPr="002B2A67">
        <w:rPr>
          <w:rFonts w:eastAsia="Times New Roman" w:cstheme="minorHAnsi"/>
          <w:color w:val="000000"/>
          <w:lang w:eastAsia="en-GB"/>
        </w:rPr>
        <w:t xml:space="preserve">fully defined </w:t>
      </w:r>
      <w:r>
        <w:rPr>
          <w:rFonts w:eastAsia="Times New Roman" w:cstheme="minorHAnsi"/>
          <w:color w:val="000000"/>
          <w:lang w:eastAsia="en-GB"/>
        </w:rPr>
        <w:t xml:space="preserve">yet </w:t>
      </w:r>
      <w:r w:rsidRPr="002B2A67">
        <w:rPr>
          <w:rFonts w:eastAsia="Times New Roman" w:cstheme="minorHAnsi"/>
          <w:color w:val="000000"/>
          <w:lang w:eastAsia="en-GB"/>
        </w:rPr>
        <w:t xml:space="preserve">what a financial instrument in the sense of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w:t>
      </w:r>
      <w:r>
        <w:rPr>
          <w:rFonts w:eastAsia="Times New Roman" w:cstheme="minorHAnsi"/>
          <w:color w:val="000000"/>
          <w:lang w:eastAsia="en-GB"/>
        </w:rPr>
        <w:t xml:space="preserve"> is</w:t>
      </w:r>
      <w:r w:rsidRPr="002B2A67">
        <w:rPr>
          <w:rFonts w:eastAsia="Times New Roman" w:cstheme="minorHAnsi"/>
          <w:color w:val="000000"/>
          <w:lang w:eastAsia="en-GB"/>
        </w:rPr>
        <w:t xml:space="preserve"> </w:t>
      </w:r>
      <w:r>
        <w:rPr>
          <w:rFonts w:eastAsia="Times New Roman" w:cstheme="minorHAnsi"/>
          <w:color w:val="000000"/>
          <w:lang w:eastAsia="en-GB"/>
        </w:rPr>
        <w:t xml:space="preserve">and </w:t>
      </w:r>
      <w:r w:rsidRPr="002B2A67">
        <w:rPr>
          <w:rFonts w:eastAsia="Times New Roman" w:cstheme="minorHAnsi"/>
          <w:color w:val="000000"/>
          <w:lang w:eastAsia="en-GB"/>
        </w:rPr>
        <w:t xml:space="preserve">what a financial instrument in the sense of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w:t>
      </w:r>
      <w:r>
        <w:rPr>
          <w:rFonts w:eastAsia="Times New Roman" w:cstheme="minorHAnsi"/>
          <w:color w:val="000000"/>
          <w:lang w:eastAsia="en-GB"/>
        </w:rPr>
        <w:t xml:space="preserve"> will be</w:t>
      </w:r>
      <w:r w:rsidRPr="002B2A67">
        <w:rPr>
          <w:rFonts w:eastAsia="Times New Roman" w:cstheme="minorHAnsi"/>
          <w:color w:val="000000"/>
          <w:lang w:eastAsia="en-GB"/>
        </w:rPr>
        <w:t xml:space="preserve">. It </w:t>
      </w:r>
      <w:r>
        <w:rPr>
          <w:rFonts w:eastAsia="Times New Roman" w:cstheme="minorHAnsi"/>
          <w:color w:val="000000"/>
          <w:lang w:eastAsia="en-GB"/>
        </w:rPr>
        <w:t xml:space="preserve">seems thus very unlikely that </w:t>
      </w:r>
      <w:r w:rsidRPr="002B2A67">
        <w:rPr>
          <w:rFonts w:eastAsia="Times New Roman" w:cstheme="minorHAnsi"/>
          <w:color w:val="000000"/>
          <w:lang w:eastAsia="en-GB"/>
        </w:rPr>
        <w:t xml:space="preserve">there </w:t>
      </w:r>
      <w:r>
        <w:rPr>
          <w:rFonts w:eastAsia="Times New Roman" w:cstheme="minorHAnsi"/>
          <w:color w:val="000000"/>
          <w:lang w:eastAsia="en-GB"/>
        </w:rPr>
        <w:t>will be</w:t>
      </w:r>
      <w:r w:rsidRPr="002B2A67">
        <w:rPr>
          <w:rFonts w:eastAsia="Times New Roman" w:cstheme="minorHAnsi"/>
          <w:color w:val="000000"/>
          <w:lang w:eastAsia="en-GB"/>
        </w:rPr>
        <w:t xml:space="preserve"> a harmoni</w:t>
      </w:r>
      <w:r>
        <w:rPr>
          <w:rFonts w:eastAsia="Times New Roman" w:cstheme="minorHAnsi"/>
          <w:color w:val="000000"/>
          <w:lang w:eastAsia="en-GB"/>
        </w:rPr>
        <w:t>s</w:t>
      </w:r>
      <w:r w:rsidRPr="002B2A67">
        <w:rPr>
          <w:rFonts w:eastAsia="Times New Roman" w:cstheme="minorHAnsi"/>
          <w:color w:val="000000"/>
          <w:lang w:eastAsia="en-GB"/>
        </w:rPr>
        <w:t xml:space="preserve">ed and clear definition of financial instruments at the beginning of 2016, which would be a precondition </w:t>
      </w:r>
      <w:r>
        <w:rPr>
          <w:rFonts w:eastAsia="Times New Roman" w:cstheme="minorHAnsi"/>
          <w:color w:val="000000"/>
          <w:lang w:eastAsia="en-GB"/>
        </w:rPr>
        <w:t>for</w:t>
      </w:r>
      <w:r w:rsidRPr="002B2A67">
        <w:rPr>
          <w:rFonts w:eastAsia="Times New Roman" w:cstheme="minorHAnsi"/>
          <w:color w:val="000000"/>
          <w:lang w:eastAsia="en-GB"/>
        </w:rPr>
        <w:t xml:space="preserve"> apply</w:t>
      </w:r>
      <w:r>
        <w:rPr>
          <w:rFonts w:eastAsia="Times New Roman" w:cstheme="minorHAnsi"/>
          <w:color w:val="000000"/>
          <w:lang w:eastAsia="en-GB"/>
        </w:rPr>
        <w:t>ing</w:t>
      </w:r>
      <w:r w:rsidRPr="002B2A67">
        <w:rPr>
          <w:rFonts w:eastAsia="Times New Roman" w:cstheme="minorHAnsi"/>
          <w:color w:val="000000"/>
          <w:lang w:eastAsia="en-GB"/>
        </w:rPr>
        <w:t xml:space="preserve"> the methodology as suggested by ESMA. This is particular</w:t>
      </w:r>
      <w:r>
        <w:rPr>
          <w:rFonts w:eastAsia="Times New Roman" w:cstheme="minorHAnsi"/>
          <w:color w:val="000000"/>
          <w:lang w:eastAsia="en-GB"/>
        </w:rPr>
        <w:t>ly</w:t>
      </w:r>
      <w:r w:rsidRPr="002B2A67">
        <w:rPr>
          <w:rFonts w:eastAsia="Times New Roman" w:cstheme="minorHAnsi"/>
          <w:color w:val="000000"/>
          <w:lang w:eastAsia="en-GB"/>
        </w:rPr>
        <w:t xml:space="preserve"> true for derivatives that are classified as financial instruments </w:t>
      </w:r>
      <w:r>
        <w:rPr>
          <w:rFonts w:eastAsia="Times New Roman" w:cstheme="minorHAnsi"/>
          <w:color w:val="000000"/>
          <w:lang w:eastAsia="en-GB"/>
        </w:rPr>
        <w:t>in</w:t>
      </w:r>
      <w:r w:rsidRPr="002B2A67">
        <w:rPr>
          <w:rFonts w:eastAsia="Times New Roman" w:cstheme="minorHAnsi"/>
          <w:color w:val="000000"/>
          <w:lang w:eastAsia="en-GB"/>
        </w:rPr>
        <w:t xml:space="preserve"> Annex I C (6) and C (7).</w:t>
      </w:r>
    </w:p>
    <w:p w:rsidR="00D04F27" w:rsidRPr="002B2A67" w:rsidRDefault="00D04F27" w:rsidP="00D04F27">
      <w:pPr>
        <w:pStyle w:val="ListParagraph"/>
        <w:numPr>
          <w:ilvl w:val="0"/>
          <w:numId w:val="34"/>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Regarding gas and power,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foresees a </w:t>
      </w:r>
      <w:r>
        <w:rPr>
          <w:rFonts w:eastAsia="Times New Roman" w:cstheme="minorHAnsi"/>
          <w:color w:val="000000"/>
          <w:lang w:eastAsia="en-GB"/>
        </w:rPr>
        <w:t xml:space="preserve">special </w:t>
      </w:r>
      <w:r w:rsidRPr="002B2A67">
        <w:rPr>
          <w:rFonts w:eastAsia="Times New Roman" w:cstheme="minorHAnsi"/>
          <w:color w:val="000000"/>
          <w:lang w:eastAsia="en-GB"/>
        </w:rPr>
        <w:t xml:space="preserve">exemption for contracts traded on an OTF that must be physically settled. However, firms can benefit from this exemption only </w:t>
      </w:r>
      <w:r>
        <w:rPr>
          <w:rFonts w:eastAsia="Times New Roman" w:cstheme="minorHAnsi"/>
          <w:color w:val="000000"/>
          <w:lang w:eastAsia="en-GB"/>
        </w:rPr>
        <w:t>as of</w:t>
      </w:r>
      <w:r w:rsidRPr="002B2A67">
        <w:rPr>
          <w:rFonts w:eastAsia="Times New Roman" w:cstheme="minorHAnsi"/>
          <w:color w:val="000000"/>
          <w:lang w:eastAsia="en-GB"/>
        </w:rPr>
        <w:t xml:space="preserve"> 2017.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believes that the general exemption for gas and power trading may not be repealed before the C6 exemption fully enters into </w:t>
      </w:r>
      <w:r>
        <w:rPr>
          <w:rFonts w:eastAsia="Times New Roman" w:cstheme="minorHAnsi"/>
          <w:color w:val="000000"/>
          <w:lang w:eastAsia="en-GB"/>
        </w:rPr>
        <w:t>application.</w:t>
      </w:r>
    </w:p>
    <w:p w:rsidR="00D04F27" w:rsidRPr="002B2A67" w:rsidRDefault="00D04F27" w:rsidP="00D04F27">
      <w:pPr>
        <w:pStyle w:val="ListParagraph"/>
        <w:numPr>
          <w:ilvl w:val="0"/>
          <w:numId w:val="34"/>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The reporting obligation will not be in place </w:t>
      </w:r>
      <w:r>
        <w:rPr>
          <w:rFonts w:eastAsia="Times New Roman" w:cstheme="minorHAnsi"/>
          <w:color w:val="000000"/>
          <w:lang w:eastAsia="en-GB"/>
        </w:rPr>
        <w:t xml:space="preserve">either </w:t>
      </w:r>
      <w:r w:rsidRPr="002B2A67">
        <w:rPr>
          <w:rFonts w:eastAsia="Times New Roman" w:cstheme="minorHAnsi"/>
          <w:color w:val="000000"/>
          <w:lang w:eastAsia="en-GB"/>
        </w:rPr>
        <w:t xml:space="preserve">before </w:t>
      </w:r>
      <w:r>
        <w:rPr>
          <w:rFonts w:eastAsia="Times New Roman" w:cstheme="minorHAnsi"/>
          <w:color w:val="000000"/>
          <w:lang w:eastAsia="en-GB"/>
        </w:rPr>
        <w:t>2017</w:t>
      </w:r>
      <w:r w:rsidRPr="002B2A67">
        <w:rPr>
          <w:rFonts w:eastAsia="Times New Roman" w:cstheme="minorHAnsi"/>
          <w:color w:val="000000"/>
          <w:lang w:eastAsia="en-GB"/>
        </w:rPr>
        <w:t>, which will make the collection of data particularly difficult in 2016. It will hence be nearly impossible to assess the trading activity threshold in 2016.</w:t>
      </w:r>
    </w:p>
    <w:p w:rsidR="00D04F27" w:rsidRDefault="00D04F27" w:rsidP="00D04F27">
      <w:pPr>
        <w:pStyle w:val="ListParagraph"/>
        <w:numPr>
          <w:ilvl w:val="0"/>
          <w:numId w:val="34"/>
        </w:numPr>
        <w:spacing w:line="240" w:lineRule="auto"/>
        <w:rPr>
          <w:rFonts w:eastAsia="Times New Roman" w:cstheme="minorHAnsi"/>
          <w:color w:val="000000"/>
          <w:lang w:eastAsia="en-GB"/>
        </w:rPr>
      </w:pP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believes that firms should </w:t>
      </w:r>
      <w:r>
        <w:rPr>
          <w:rFonts w:eastAsia="Times New Roman" w:cstheme="minorHAnsi"/>
          <w:color w:val="000000"/>
          <w:lang w:eastAsia="en-GB"/>
        </w:rPr>
        <w:t>be given</w:t>
      </w:r>
      <w:r w:rsidRPr="002B2A67">
        <w:rPr>
          <w:rFonts w:eastAsia="Times New Roman" w:cstheme="minorHAnsi"/>
          <w:color w:val="000000"/>
          <w:lang w:eastAsia="en-GB"/>
        </w:rPr>
        <w:t xml:space="preserve"> the choice to (a) reduce their trading activity and to avoid becoming an investment firm or (b) not to reduce their trading activity and </w:t>
      </w:r>
      <w:r>
        <w:rPr>
          <w:rFonts w:eastAsia="Times New Roman" w:cstheme="minorHAnsi"/>
          <w:color w:val="000000"/>
          <w:lang w:eastAsia="en-GB"/>
        </w:rPr>
        <w:t xml:space="preserve">to </w:t>
      </w:r>
      <w:r w:rsidRPr="002B2A67">
        <w:rPr>
          <w:rFonts w:eastAsia="Times New Roman" w:cstheme="minorHAnsi"/>
          <w:color w:val="000000"/>
          <w:lang w:eastAsia="en-GB"/>
        </w:rPr>
        <w:t xml:space="preserve">apply for a license. Given the uncertainties outlined above, it </w:t>
      </w:r>
      <w:r>
        <w:rPr>
          <w:rFonts w:eastAsia="Times New Roman" w:cstheme="minorHAnsi"/>
          <w:color w:val="000000"/>
          <w:lang w:eastAsia="en-GB"/>
        </w:rPr>
        <w:t>will be</w:t>
      </w:r>
      <w:r w:rsidRPr="002B2A67">
        <w:rPr>
          <w:rFonts w:eastAsia="Times New Roman" w:cstheme="minorHAnsi"/>
          <w:color w:val="000000"/>
          <w:lang w:eastAsia="en-GB"/>
        </w:rPr>
        <w:t xml:space="preserve"> </w:t>
      </w:r>
      <w:r>
        <w:rPr>
          <w:rFonts w:eastAsia="Times New Roman" w:cstheme="minorHAnsi"/>
          <w:color w:val="000000"/>
          <w:lang w:eastAsia="en-GB"/>
        </w:rPr>
        <w:t>almost</w:t>
      </w:r>
      <w:r w:rsidRPr="002B2A67">
        <w:rPr>
          <w:rFonts w:eastAsia="Times New Roman" w:cstheme="minorHAnsi"/>
          <w:color w:val="000000"/>
          <w:lang w:eastAsia="en-GB"/>
        </w:rPr>
        <w:t xml:space="preserve"> </w:t>
      </w:r>
      <w:r>
        <w:rPr>
          <w:rFonts w:eastAsia="Times New Roman" w:cstheme="minorHAnsi"/>
          <w:color w:val="000000"/>
          <w:lang w:eastAsia="en-GB"/>
        </w:rPr>
        <w:t>im</w:t>
      </w:r>
      <w:r w:rsidRPr="002B2A67">
        <w:rPr>
          <w:rFonts w:eastAsia="Times New Roman" w:cstheme="minorHAnsi"/>
          <w:color w:val="000000"/>
          <w:lang w:eastAsia="en-GB"/>
        </w:rPr>
        <w:t xml:space="preserve">possible for a firm to anticipate the thresholds and to adjust </w:t>
      </w:r>
      <w:r>
        <w:rPr>
          <w:rFonts w:eastAsia="Times New Roman" w:cstheme="minorHAnsi"/>
          <w:color w:val="000000"/>
          <w:lang w:eastAsia="en-GB"/>
        </w:rPr>
        <w:t>its</w:t>
      </w:r>
      <w:r w:rsidRPr="002B2A67">
        <w:rPr>
          <w:rFonts w:eastAsia="Times New Roman" w:cstheme="minorHAnsi"/>
          <w:color w:val="000000"/>
          <w:lang w:eastAsia="en-GB"/>
        </w:rPr>
        <w:t xml:space="preserve"> </w:t>
      </w:r>
      <w:r>
        <w:rPr>
          <w:rFonts w:eastAsia="Times New Roman" w:cstheme="minorHAnsi"/>
          <w:color w:val="000000"/>
          <w:lang w:eastAsia="en-GB"/>
        </w:rPr>
        <w:t xml:space="preserve">trading </w:t>
      </w:r>
      <w:r w:rsidRPr="002B2A67">
        <w:rPr>
          <w:rFonts w:eastAsia="Times New Roman" w:cstheme="minorHAnsi"/>
          <w:color w:val="000000"/>
          <w:lang w:eastAsia="en-GB"/>
        </w:rPr>
        <w:t>activity accordingly. This is particular</w:t>
      </w:r>
      <w:r>
        <w:rPr>
          <w:rFonts w:eastAsia="Times New Roman" w:cstheme="minorHAnsi"/>
          <w:color w:val="000000"/>
          <w:lang w:eastAsia="en-GB"/>
        </w:rPr>
        <w:t>ly</w:t>
      </w:r>
      <w:r w:rsidRPr="002B2A67">
        <w:rPr>
          <w:rFonts w:eastAsia="Times New Roman" w:cstheme="minorHAnsi"/>
          <w:color w:val="000000"/>
          <w:lang w:eastAsia="en-GB"/>
        </w:rPr>
        <w:t xml:space="preserve"> true with regard to the trading activity test, because firms cannot anticipate the </w:t>
      </w:r>
      <w:r w:rsidRPr="00B97938">
        <w:rPr>
          <w:rFonts w:eastAsia="Times New Roman" w:cstheme="minorHAnsi"/>
          <w:color w:val="000000"/>
          <w:lang w:eastAsia="en-GB"/>
        </w:rPr>
        <w:t>behaviour</w:t>
      </w:r>
      <w:r w:rsidRPr="002B2A67">
        <w:rPr>
          <w:rFonts w:eastAsia="Times New Roman" w:cstheme="minorHAnsi"/>
          <w:color w:val="000000"/>
          <w:lang w:eastAsia="en-GB"/>
        </w:rPr>
        <w:t xml:space="preserve"> of other firms trading in th</w:t>
      </w:r>
      <w:r>
        <w:rPr>
          <w:rFonts w:eastAsia="Times New Roman" w:cstheme="minorHAnsi"/>
          <w:color w:val="000000"/>
          <w:lang w:eastAsia="en-GB"/>
        </w:rPr>
        <w:t>e same</w:t>
      </w:r>
      <w:r w:rsidRPr="002B2A67">
        <w:rPr>
          <w:rFonts w:eastAsia="Times New Roman" w:cstheme="minorHAnsi"/>
          <w:color w:val="000000"/>
          <w:lang w:eastAsia="en-GB"/>
        </w:rPr>
        <w:t xml:space="preserve"> asset class</w:t>
      </w:r>
      <w:r>
        <w:rPr>
          <w:rFonts w:eastAsia="Times New Roman" w:cstheme="minorHAnsi"/>
          <w:color w:val="000000"/>
          <w:lang w:eastAsia="en-GB"/>
        </w:rPr>
        <w:t>(</w:t>
      </w:r>
      <w:proofErr w:type="spellStart"/>
      <w:r>
        <w:rPr>
          <w:rFonts w:eastAsia="Times New Roman" w:cstheme="minorHAnsi"/>
          <w:color w:val="000000"/>
          <w:lang w:eastAsia="en-GB"/>
        </w:rPr>
        <w:t>es</w:t>
      </w:r>
      <w:proofErr w:type="spellEnd"/>
      <w:r>
        <w:rPr>
          <w:rFonts w:eastAsia="Times New Roman" w:cstheme="minorHAnsi"/>
          <w:color w:val="000000"/>
          <w:lang w:eastAsia="en-GB"/>
        </w:rPr>
        <w:t>).</w:t>
      </w:r>
    </w:p>
    <w:p w:rsidR="00D04F27" w:rsidRPr="002B2A67" w:rsidRDefault="00D04F27" w:rsidP="00D04F27">
      <w:pPr>
        <w:pStyle w:val="ListParagraph"/>
        <w:rPr>
          <w:rFonts w:eastAsia="Times New Roman" w:cstheme="minorHAnsi"/>
          <w:color w:val="000000"/>
          <w:lang w:eastAsia="en-GB"/>
        </w:rPr>
      </w:pPr>
    </w:p>
    <w:p w:rsidR="00D04F27" w:rsidRPr="002B2A67" w:rsidRDefault="00D04F27" w:rsidP="00D04F27">
      <w:pPr>
        <w:rPr>
          <w:rFonts w:eastAsia="Times New Roman" w:cstheme="minorHAnsi"/>
          <w:color w:val="000000"/>
          <w:lang w:eastAsia="en-GB"/>
        </w:rPr>
      </w:pPr>
      <w:r w:rsidRPr="002B2A67">
        <w:rPr>
          <w:rFonts w:eastAsia="Times New Roman" w:cstheme="minorHAnsi"/>
          <w:color w:val="000000"/>
          <w:lang w:eastAsia="en-GB"/>
        </w:rPr>
        <w:t xml:space="preserve">The suggested interim approach </w:t>
      </w:r>
      <w:r>
        <w:rPr>
          <w:rFonts w:eastAsia="Times New Roman" w:cstheme="minorHAnsi"/>
          <w:color w:val="000000"/>
          <w:lang w:eastAsia="en-GB"/>
        </w:rPr>
        <w:t xml:space="preserve">fully </w:t>
      </w:r>
      <w:r w:rsidRPr="002B2A67">
        <w:rPr>
          <w:rFonts w:eastAsia="Times New Roman" w:cstheme="minorHAnsi"/>
          <w:color w:val="000000"/>
          <w:lang w:eastAsia="en-GB"/>
        </w:rPr>
        <w:t xml:space="preserve">surprises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w:t>
      </w:r>
      <w:r w:rsidRPr="00313DFD">
        <w:rPr>
          <w:rFonts w:eastAsia="Times New Roman" w:cstheme="minorHAnsi"/>
          <w:color w:val="000000"/>
          <w:lang w:val="en-US" w:eastAsia="en-GB"/>
        </w:rPr>
        <w:t>To us</w:t>
      </w:r>
      <w:r>
        <w:rPr>
          <w:rFonts w:eastAsia="Times New Roman" w:cstheme="minorHAnsi"/>
          <w:color w:val="000000"/>
          <w:lang w:val="en-US" w:eastAsia="en-GB"/>
        </w:rPr>
        <w:t>,</w:t>
      </w:r>
      <w:r w:rsidRPr="00313DFD">
        <w:rPr>
          <w:rFonts w:eastAsia="Times New Roman" w:cstheme="minorHAnsi"/>
          <w:color w:val="000000"/>
          <w:lang w:val="en-US" w:eastAsia="en-GB"/>
        </w:rPr>
        <w:t xml:space="preserve"> this </w:t>
      </w:r>
      <w:r w:rsidRPr="002B2A67">
        <w:rPr>
          <w:rFonts w:eastAsia="Times New Roman" w:cstheme="minorHAnsi"/>
          <w:color w:val="000000"/>
          <w:lang w:eastAsia="en-GB"/>
        </w:rPr>
        <w:t xml:space="preserve">is the main point of concern in the </w:t>
      </w:r>
      <w:r>
        <w:rPr>
          <w:rFonts w:eastAsia="Times New Roman" w:cstheme="minorHAnsi"/>
          <w:color w:val="000000"/>
          <w:lang w:eastAsia="en-GB"/>
        </w:rPr>
        <w:t xml:space="preserve">present </w:t>
      </w:r>
      <w:r w:rsidRPr="002B2A67">
        <w:rPr>
          <w:rFonts w:eastAsia="Times New Roman" w:cstheme="minorHAnsi"/>
          <w:color w:val="000000"/>
          <w:lang w:eastAsia="en-GB"/>
        </w:rPr>
        <w:t xml:space="preserve">consultation paper. We strongly recommend excluding the trading data from the year 2016 with respect to the ancillary activity exemption. The first ‘ancillary activity test’ should </w:t>
      </w:r>
      <w:r>
        <w:rPr>
          <w:rFonts w:eastAsia="Times New Roman" w:cstheme="minorHAnsi"/>
          <w:color w:val="000000"/>
          <w:lang w:eastAsia="en-GB"/>
        </w:rPr>
        <w:t>take place</w:t>
      </w:r>
      <w:r w:rsidRPr="002B2A67">
        <w:rPr>
          <w:rFonts w:eastAsia="Times New Roman" w:cstheme="minorHAnsi"/>
          <w:color w:val="000000"/>
          <w:lang w:eastAsia="en-GB"/>
        </w:rPr>
        <w:t xml:space="preserve"> no sooner than </w:t>
      </w:r>
      <w:r>
        <w:rPr>
          <w:rFonts w:eastAsia="Times New Roman" w:cstheme="minorHAnsi"/>
          <w:color w:val="000000"/>
          <w:lang w:eastAsia="en-GB"/>
        </w:rPr>
        <w:t>at</w:t>
      </w:r>
      <w:r w:rsidRPr="002B2A67">
        <w:rPr>
          <w:rFonts w:eastAsia="Times New Roman" w:cstheme="minorHAnsi"/>
          <w:color w:val="000000"/>
          <w:lang w:eastAsia="en-GB"/>
        </w:rPr>
        <w:t xml:space="preserve"> the beginning of 2018, when reliable data </w:t>
      </w:r>
      <w:r>
        <w:rPr>
          <w:rFonts w:eastAsia="Times New Roman" w:cstheme="minorHAnsi"/>
          <w:color w:val="000000"/>
          <w:lang w:eastAsia="en-GB"/>
        </w:rPr>
        <w:t>will be</w:t>
      </w:r>
      <w:r w:rsidRPr="002B2A67">
        <w:rPr>
          <w:rFonts w:eastAsia="Times New Roman" w:cstheme="minorHAnsi"/>
          <w:color w:val="000000"/>
          <w:lang w:eastAsia="en-GB"/>
        </w:rPr>
        <w:t xml:space="preserve"> available. </w:t>
      </w:r>
    </w:p>
    <w:p w:rsidR="00577C33" w:rsidRDefault="00D04F27" w:rsidP="00EC2C93">
      <w:pPr>
        <w:keepNext/>
      </w:pPr>
      <w:r w:rsidRPr="002B2A67">
        <w:rPr>
          <w:rFonts w:eastAsia="Times New Roman" w:cstheme="minorHAnsi"/>
          <w:color w:val="000000"/>
          <w:lang w:eastAsia="en-GB"/>
        </w:rPr>
        <w:lastRenderedPageBreak/>
        <w:t xml:space="preserve">Additionally, </w:t>
      </w: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would like to </w:t>
      </w:r>
      <w:r>
        <w:rPr>
          <w:rFonts w:eastAsia="Times New Roman" w:cstheme="minorHAnsi"/>
          <w:color w:val="000000"/>
          <w:lang w:eastAsia="en-GB"/>
        </w:rPr>
        <w:t>emphasise</w:t>
      </w:r>
      <w:r w:rsidRPr="002B2A67">
        <w:rPr>
          <w:rFonts w:eastAsia="Times New Roman" w:cstheme="minorHAnsi"/>
          <w:color w:val="000000"/>
          <w:lang w:eastAsia="en-GB"/>
        </w:rPr>
        <w:t xml:space="preserve"> that requiring firms to report to their national </w:t>
      </w:r>
      <w:r>
        <w:rPr>
          <w:rFonts w:eastAsia="Times New Roman" w:cstheme="minorHAnsi"/>
          <w:color w:val="000000"/>
          <w:lang w:eastAsia="en-GB"/>
        </w:rPr>
        <w:t>competent authorities</w:t>
      </w:r>
      <w:r w:rsidRPr="002B2A67">
        <w:rPr>
          <w:rFonts w:eastAsia="Times New Roman" w:cstheme="minorHAnsi"/>
          <w:color w:val="000000"/>
          <w:lang w:eastAsia="en-GB"/>
        </w:rPr>
        <w:t xml:space="preserve"> on 3 January of year X the</w:t>
      </w:r>
      <w:r>
        <w:rPr>
          <w:rFonts w:eastAsia="Times New Roman" w:cstheme="minorHAnsi"/>
          <w:color w:val="000000"/>
          <w:lang w:eastAsia="en-GB"/>
        </w:rPr>
        <w:t>ir</w:t>
      </w:r>
      <w:r w:rsidRPr="002B2A67">
        <w:rPr>
          <w:rFonts w:eastAsia="Times New Roman" w:cstheme="minorHAnsi"/>
          <w:color w:val="000000"/>
          <w:lang w:eastAsia="en-GB"/>
        </w:rPr>
        <w:t xml:space="preserve"> use of exemptions seems </w:t>
      </w:r>
      <w:r w:rsidRPr="006C6C0F">
        <w:rPr>
          <w:rFonts w:eastAsia="Times New Roman" w:cstheme="minorHAnsi"/>
          <w:color w:val="000000"/>
          <w:lang w:eastAsia="en-GB"/>
        </w:rPr>
        <w:t>operationally</w:t>
      </w:r>
      <w:r w:rsidRPr="00EE281E">
        <w:rPr>
          <w:rFonts w:eastAsia="Times New Roman" w:cstheme="minorHAnsi"/>
          <w:color w:val="000000"/>
          <w:lang w:eastAsia="en-GB"/>
        </w:rPr>
        <w:t xml:space="preserve"> </w:t>
      </w:r>
      <w:r w:rsidRPr="002B2A67">
        <w:rPr>
          <w:rFonts w:eastAsia="Times New Roman" w:cstheme="minorHAnsi"/>
          <w:color w:val="000000"/>
          <w:lang w:eastAsia="en-GB"/>
        </w:rPr>
        <w:t>very problematic</w:t>
      </w:r>
      <w:r>
        <w:rPr>
          <w:rFonts w:eastAsia="Times New Roman" w:cstheme="minorHAnsi"/>
          <w:color w:val="000000"/>
          <w:lang w:eastAsia="en-GB"/>
        </w:rPr>
        <w:t>, if not impossible</w:t>
      </w:r>
      <w:r w:rsidRPr="002B2A67">
        <w:rPr>
          <w:rFonts w:eastAsia="Times New Roman" w:cstheme="minorHAnsi"/>
          <w:color w:val="000000"/>
          <w:lang w:eastAsia="en-GB"/>
        </w:rPr>
        <w:t xml:space="preserve">. Indeed, the calculation of the ancillary activity requires access to figures that are not </w:t>
      </w:r>
      <w:r>
        <w:rPr>
          <w:rFonts w:eastAsia="Times New Roman" w:cstheme="minorHAnsi"/>
          <w:color w:val="000000"/>
          <w:lang w:eastAsia="en-GB"/>
        </w:rPr>
        <w:t xml:space="preserve">yet </w:t>
      </w:r>
      <w:r w:rsidRPr="002B2A67">
        <w:rPr>
          <w:rFonts w:eastAsia="Times New Roman" w:cstheme="minorHAnsi"/>
          <w:color w:val="000000"/>
          <w:lang w:eastAsia="en-GB"/>
        </w:rPr>
        <w:t xml:space="preserve">available at this </w:t>
      </w:r>
      <w:r>
        <w:rPr>
          <w:rFonts w:eastAsia="Times New Roman" w:cstheme="minorHAnsi"/>
          <w:color w:val="000000"/>
          <w:lang w:eastAsia="en-GB"/>
        </w:rPr>
        <w:t>point in time</w:t>
      </w:r>
      <w:r w:rsidRPr="002B2A67">
        <w:rPr>
          <w:rFonts w:eastAsia="Times New Roman" w:cstheme="minorHAnsi"/>
          <w:color w:val="000000"/>
          <w:lang w:eastAsia="en-GB"/>
        </w:rPr>
        <w:t xml:space="preserve"> (i.e. the consolidated accounts of the group for year X or the global trading activity of year X). As an example, the approval of consolidated accounts of year X does </w:t>
      </w:r>
      <w:r>
        <w:rPr>
          <w:rFonts w:eastAsia="Times New Roman" w:cstheme="minorHAnsi"/>
          <w:color w:val="000000"/>
          <w:lang w:eastAsia="en-GB"/>
        </w:rPr>
        <w:t xml:space="preserve">generally </w:t>
      </w:r>
      <w:r w:rsidRPr="002B2A67">
        <w:rPr>
          <w:rFonts w:eastAsia="Times New Roman" w:cstheme="minorHAnsi"/>
          <w:color w:val="000000"/>
          <w:lang w:eastAsia="en-GB"/>
        </w:rPr>
        <w:t xml:space="preserve">not </w:t>
      </w:r>
      <w:r>
        <w:rPr>
          <w:rFonts w:eastAsia="Times New Roman" w:cstheme="minorHAnsi"/>
          <w:color w:val="000000"/>
          <w:lang w:eastAsia="en-GB"/>
        </w:rPr>
        <w:t>happen</w:t>
      </w:r>
      <w:r w:rsidRPr="002B2A67">
        <w:rPr>
          <w:rFonts w:eastAsia="Times New Roman" w:cstheme="minorHAnsi"/>
          <w:color w:val="000000"/>
          <w:lang w:eastAsia="en-GB"/>
        </w:rPr>
        <w:t xml:space="preserve"> before April of year X+1. </w:t>
      </w:r>
      <w:permEnd w:id="191"/>
      <w:r w:rsidR="00577C33">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D04F27" w:rsidRPr="00975C23" w:rsidRDefault="00D04F27" w:rsidP="00D04F27">
      <w:pPr>
        <w:spacing w:line="240" w:lineRule="auto"/>
        <w:rPr>
          <w:rFonts w:eastAsia="Times New Roman" w:cstheme="minorHAnsi"/>
          <w:color w:val="000000"/>
          <w:lang w:eastAsia="en-GB"/>
        </w:rPr>
      </w:pPr>
      <w:permStart w:id="192" w:edGrp="everyone"/>
      <w:proofErr w:type="spellStart"/>
      <w:r w:rsidRPr="008765FD">
        <w:rPr>
          <w:rFonts w:eastAsia="Times New Roman" w:cstheme="minorHAnsi"/>
          <w:color w:val="000000"/>
          <w:lang w:eastAsia="en-GB"/>
        </w:rPr>
        <w:t>Europex</w:t>
      </w:r>
      <w:proofErr w:type="spellEnd"/>
      <w:r w:rsidRPr="008765FD">
        <w:rPr>
          <w:rFonts w:eastAsia="Times New Roman" w:cstheme="minorHAnsi"/>
          <w:color w:val="000000"/>
          <w:lang w:eastAsia="en-GB"/>
        </w:rPr>
        <w:t xml:space="preserve"> </w:t>
      </w:r>
      <w:r>
        <w:rPr>
          <w:rFonts w:eastAsia="Times New Roman" w:cstheme="minorHAnsi"/>
          <w:color w:val="000000"/>
          <w:lang w:eastAsia="en-GB"/>
        </w:rPr>
        <w:t xml:space="preserve">generally </w:t>
      </w:r>
      <w:r w:rsidRPr="008765FD">
        <w:rPr>
          <w:rFonts w:eastAsia="Times New Roman" w:cstheme="minorHAnsi"/>
          <w:color w:val="000000"/>
          <w:lang w:eastAsia="en-GB"/>
        </w:rPr>
        <w:t xml:space="preserve">supports the framework proposed by ESMA.  </w:t>
      </w:r>
      <w:r w:rsidRPr="00D24CE5">
        <w:rPr>
          <w:rFonts w:eastAsia="Times New Roman" w:cstheme="minorHAnsi"/>
          <w:color w:val="000000"/>
          <w:lang w:eastAsia="en-GB"/>
        </w:rPr>
        <w:t xml:space="preserve">We </w:t>
      </w:r>
      <w:r w:rsidRPr="00FB2030">
        <w:rPr>
          <w:rFonts w:eastAsia="Times New Roman" w:cstheme="minorHAnsi"/>
          <w:color w:val="000000"/>
          <w:lang w:eastAsia="en-GB"/>
        </w:rPr>
        <w:t>agre</w:t>
      </w:r>
      <w:r w:rsidRPr="004D0B7C">
        <w:rPr>
          <w:rFonts w:eastAsia="Times New Roman" w:cstheme="minorHAnsi"/>
          <w:color w:val="000000"/>
          <w:lang w:eastAsia="en-GB"/>
        </w:rPr>
        <w:t xml:space="preserve">e that </w:t>
      </w:r>
      <w:r>
        <w:rPr>
          <w:rFonts w:eastAsia="Times New Roman" w:cstheme="minorHAnsi"/>
          <w:color w:val="000000"/>
          <w:lang w:eastAsia="en-GB"/>
        </w:rPr>
        <w:t xml:space="preserve">the </w:t>
      </w:r>
      <w:r w:rsidRPr="004D0B7C">
        <w:rPr>
          <w:rFonts w:eastAsia="Times New Roman" w:cstheme="minorHAnsi"/>
          <w:color w:val="000000"/>
          <w:lang w:eastAsia="en-GB"/>
        </w:rPr>
        <w:t xml:space="preserve">deliverable supply is the most appropriate basis for the EU position limits regime, both for the spot month and for other </w:t>
      </w:r>
      <w:r>
        <w:rPr>
          <w:rFonts w:eastAsia="Times New Roman" w:cstheme="minorHAnsi"/>
          <w:color w:val="000000"/>
          <w:lang w:eastAsia="en-GB"/>
        </w:rPr>
        <w:t>maturities</w:t>
      </w:r>
      <w:r w:rsidRPr="004D0B7C">
        <w:rPr>
          <w:rFonts w:eastAsia="Times New Roman" w:cstheme="minorHAnsi"/>
          <w:color w:val="000000"/>
          <w:lang w:eastAsia="en-GB"/>
        </w:rPr>
        <w:t>. This is because undue influence and control over deliverable supply, coupled with holding a significant f</w:t>
      </w:r>
      <w:r w:rsidRPr="00507FF5">
        <w:rPr>
          <w:rFonts w:eastAsia="Times New Roman" w:cstheme="minorHAnsi"/>
          <w:color w:val="000000"/>
          <w:lang w:eastAsia="en-GB"/>
        </w:rPr>
        <w:t xml:space="preserve">utures position, </w:t>
      </w:r>
      <w:r>
        <w:rPr>
          <w:rFonts w:eastAsia="Times New Roman" w:cstheme="minorHAnsi"/>
          <w:color w:val="000000"/>
          <w:lang w:eastAsia="en-GB"/>
        </w:rPr>
        <w:t>can trigger</w:t>
      </w:r>
      <w:r w:rsidRPr="00507FF5">
        <w:rPr>
          <w:rFonts w:eastAsia="Times New Roman" w:cstheme="minorHAnsi"/>
          <w:color w:val="000000"/>
          <w:lang w:eastAsia="en-GB"/>
        </w:rPr>
        <w:t xml:space="preserve"> a disorderly market. In contrast, we </w:t>
      </w:r>
      <w:r>
        <w:rPr>
          <w:rFonts w:eastAsia="Times New Roman" w:cstheme="minorHAnsi"/>
          <w:color w:val="000000"/>
          <w:lang w:eastAsia="en-GB"/>
        </w:rPr>
        <w:t>deem</w:t>
      </w:r>
      <w:r w:rsidRPr="00507FF5">
        <w:rPr>
          <w:rFonts w:eastAsia="Times New Roman" w:cstheme="minorHAnsi"/>
          <w:color w:val="000000"/>
          <w:lang w:eastAsia="en-GB"/>
        </w:rPr>
        <w:t xml:space="preserve"> open interest </w:t>
      </w:r>
      <w:r>
        <w:rPr>
          <w:rFonts w:eastAsia="Times New Roman" w:cstheme="minorHAnsi"/>
          <w:color w:val="000000"/>
          <w:lang w:eastAsia="en-GB"/>
        </w:rPr>
        <w:t>inappropriate</w:t>
      </w:r>
      <w:r w:rsidRPr="00507FF5">
        <w:rPr>
          <w:rFonts w:eastAsia="Times New Roman" w:cstheme="minorHAnsi"/>
          <w:color w:val="000000"/>
          <w:lang w:eastAsia="en-GB"/>
        </w:rPr>
        <w:t xml:space="preserve"> for the EU position limit regime</w:t>
      </w:r>
      <w:r w:rsidRPr="00975C23">
        <w:rPr>
          <w:rFonts w:eastAsia="Times New Roman" w:cstheme="minorHAnsi"/>
          <w:color w:val="000000"/>
          <w:lang w:eastAsia="en-GB"/>
        </w:rPr>
        <w:t xml:space="preserve"> for the following reasons: </w:t>
      </w:r>
    </w:p>
    <w:p w:rsidR="00D04F27" w:rsidRPr="00301B57" w:rsidRDefault="00D04F27" w:rsidP="00D04F27">
      <w:pPr>
        <w:spacing w:line="240" w:lineRule="auto"/>
        <w:rPr>
          <w:rFonts w:eastAsia="Times New Roman" w:cstheme="minorHAnsi"/>
          <w:color w:val="000000"/>
          <w:lang w:eastAsia="en-GB"/>
        </w:rPr>
      </w:pPr>
    </w:p>
    <w:p w:rsidR="00D04F27" w:rsidRPr="002B2A67" w:rsidRDefault="00D04F27" w:rsidP="00D04F27">
      <w:pPr>
        <w:pStyle w:val="ListParagraph"/>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t>As a matter of principle, holding a significant proportion of open interest in future contract</w:t>
      </w:r>
      <w:r>
        <w:rPr>
          <w:rFonts w:eastAsia="Times New Roman" w:cstheme="minorHAnsi"/>
          <w:color w:val="000000"/>
          <w:lang w:eastAsia="en-GB"/>
        </w:rPr>
        <w:t>s</w:t>
      </w:r>
      <w:r w:rsidRPr="002B2A67">
        <w:rPr>
          <w:rFonts w:eastAsia="Times New Roman" w:cstheme="minorHAnsi"/>
          <w:color w:val="000000"/>
          <w:lang w:eastAsia="en-GB"/>
        </w:rPr>
        <w:t xml:space="preserve"> in isolation does not create a disorderly market. </w:t>
      </w:r>
    </w:p>
    <w:p w:rsidR="00D04F27" w:rsidRPr="002B2A67" w:rsidRDefault="00D04F27" w:rsidP="00D04F27">
      <w:pPr>
        <w:pStyle w:val="ListParagraph"/>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Open interest can be very volatile. Depending on the time, trading volumes can differ </w:t>
      </w:r>
      <w:r>
        <w:rPr>
          <w:rFonts w:eastAsia="Times New Roman" w:cstheme="minorHAnsi"/>
          <w:color w:val="000000"/>
          <w:lang w:eastAsia="en-GB"/>
        </w:rPr>
        <w:t>significantly</w:t>
      </w:r>
      <w:r w:rsidRPr="002B2A67">
        <w:rPr>
          <w:rFonts w:eastAsia="Times New Roman" w:cstheme="minorHAnsi"/>
          <w:color w:val="000000"/>
          <w:lang w:eastAsia="en-GB"/>
        </w:rPr>
        <w:t xml:space="preserve"> from one period to another and open interest a</w:t>
      </w:r>
      <w:r>
        <w:rPr>
          <w:rFonts w:eastAsia="Times New Roman" w:cstheme="minorHAnsi"/>
          <w:color w:val="000000"/>
          <w:lang w:eastAsia="en-GB"/>
        </w:rPr>
        <w:t>s well</w:t>
      </w:r>
      <w:r w:rsidRPr="002B2A67">
        <w:rPr>
          <w:rFonts w:eastAsia="Times New Roman" w:cstheme="minorHAnsi"/>
          <w:color w:val="000000"/>
          <w:lang w:eastAsia="en-GB"/>
        </w:rPr>
        <w:t xml:space="preserve">. Therefore, position limits based on open interest would have to be adjusted </w:t>
      </w:r>
      <w:r>
        <w:rPr>
          <w:rFonts w:eastAsia="Times New Roman" w:cstheme="minorHAnsi"/>
          <w:color w:val="000000"/>
          <w:lang w:eastAsia="en-GB"/>
        </w:rPr>
        <w:t xml:space="preserve">very </w:t>
      </w:r>
      <w:r w:rsidRPr="002B2A67">
        <w:rPr>
          <w:rFonts w:eastAsia="Times New Roman" w:cstheme="minorHAnsi"/>
          <w:color w:val="000000"/>
          <w:lang w:eastAsia="en-GB"/>
        </w:rPr>
        <w:t xml:space="preserve">often. Deliverable supply is more stable, allowing for a more stable position limit regime. </w:t>
      </w:r>
    </w:p>
    <w:p w:rsidR="00D04F27" w:rsidRPr="002B2A67" w:rsidRDefault="00D04F27" w:rsidP="00D04F27">
      <w:pPr>
        <w:pStyle w:val="ListParagraph"/>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Especially in gas and power markets, due to the C6 REMIT carve-out, financial instruments </w:t>
      </w:r>
      <w:r>
        <w:rPr>
          <w:rFonts w:eastAsia="Times New Roman" w:cstheme="minorHAnsi"/>
          <w:color w:val="000000"/>
          <w:lang w:eastAsia="en-GB"/>
        </w:rPr>
        <w:t xml:space="preserve">may </w:t>
      </w:r>
      <w:r w:rsidRPr="002B2A67">
        <w:rPr>
          <w:rFonts w:eastAsia="Times New Roman" w:cstheme="minorHAnsi"/>
          <w:color w:val="000000"/>
          <w:lang w:eastAsia="en-GB"/>
        </w:rPr>
        <w:t xml:space="preserve">only represent the minority of trading volumes compared to the </w:t>
      </w:r>
      <w:r>
        <w:rPr>
          <w:rFonts w:eastAsia="Times New Roman" w:cstheme="minorHAnsi"/>
          <w:color w:val="000000"/>
          <w:lang w:eastAsia="en-GB"/>
        </w:rPr>
        <w:t>overall</w:t>
      </w:r>
      <w:r w:rsidRPr="002B2A67">
        <w:rPr>
          <w:rFonts w:eastAsia="Times New Roman" w:cstheme="minorHAnsi"/>
          <w:color w:val="000000"/>
          <w:lang w:eastAsia="en-GB"/>
        </w:rPr>
        <w:t xml:space="preserve"> market. As a result, open interest in financial instruments only represents a limited part of the whole market. Against this backdrop, a large relative position in open interest</w:t>
      </w:r>
      <w:r>
        <w:rPr>
          <w:rFonts w:eastAsia="Times New Roman" w:cstheme="minorHAnsi"/>
          <w:color w:val="000000"/>
          <w:lang w:eastAsia="en-GB"/>
        </w:rPr>
        <w:t>s</w:t>
      </w:r>
      <w:r w:rsidRPr="002B2A67">
        <w:rPr>
          <w:rFonts w:eastAsia="Times New Roman" w:cstheme="minorHAnsi"/>
          <w:color w:val="000000"/>
          <w:lang w:eastAsia="en-GB"/>
        </w:rPr>
        <w:t xml:space="preserve"> in financial instrument</w:t>
      </w:r>
      <w:r>
        <w:rPr>
          <w:rFonts w:eastAsia="Times New Roman" w:cstheme="minorHAnsi"/>
          <w:color w:val="000000"/>
          <w:lang w:eastAsia="en-GB"/>
        </w:rPr>
        <w:t>s</w:t>
      </w:r>
      <w:r w:rsidRPr="002B2A67">
        <w:rPr>
          <w:rFonts w:eastAsia="Times New Roman" w:cstheme="minorHAnsi"/>
          <w:color w:val="000000"/>
          <w:lang w:eastAsia="en-GB"/>
        </w:rPr>
        <w:t xml:space="preserve"> can be a small position </w:t>
      </w:r>
      <w:r>
        <w:rPr>
          <w:rFonts w:eastAsia="Times New Roman" w:cstheme="minorHAnsi"/>
          <w:color w:val="000000"/>
          <w:lang w:eastAsia="en-GB"/>
        </w:rPr>
        <w:t>when compared to</w:t>
      </w:r>
      <w:r w:rsidRPr="002B2A67">
        <w:rPr>
          <w:rFonts w:eastAsia="Times New Roman" w:cstheme="minorHAnsi"/>
          <w:color w:val="000000"/>
          <w:lang w:eastAsia="en-GB"/>
        </w:rPr>
        <w:t xml:space="preserve"> the whole market. </w:t>
      </w:r>
    </w:p>
    <w:p w:rsidR="00D04F27" w:rsidRDefault="00D04F27" w:rsidP="00D04F27">
      <w:pPr>
        <w:pStyle w:val="ListParagraph"/>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The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II application </w:t>
      </w:r>
      <w:r>
        <w:rPr>
          <w:rFonts w:eastAsia="Times New Roman" w:cstheme="minorHAnsi"/>
          <w:color w:val="000000"/>
          <w:lang w:eastAsia="en-GB"/>
        </w:rPr>
        <w:t>to</w:t>
      </w:r>
      <w:r w:rsidRPr="002B2A67">
        <w:rPr>
          <w:rFonts w:eastAsia="Times New Roman" w:cstheme="minorHAnsi"/>
          <w:color w:val="000000"/>
          <w:lang w:eastAsia="en-GB"/>
        </w:rPr>
        <w:t xml:space="preserve"> gas and power </w:t>
      </w:r>
      <w:r>
        <w:rPr>
          <w:rFonts w:eastAsia="Times New Roman" w:cstheme="minorHAnsi"/>
          <w:color w:val="000000"/>
          <w:lang w:eastAsia="en-GB"/>
        </w:rPr>
        <w:t xml:space="preserve">derivatives </w:t>
      </w:r>
      <w:r w:rsidRPr="002B2A67">
        <w:rPr>
          <w:rFonts w:eastAsia="Times New Roman" w:cstheme="minorHAnsi"/>
          <w:color w:val="000000"/>
          <w:lang w:eastAsia="en-GB"/>
        </w:rPr>
        <w:t xml:space="preserve">may lead to a general decrease of liquidity in </w:t>
      </w:r>
      <w:r>
        <w:rPr>
          <w:rFonts w:eastAsia="Times New Roman" w:cstheme="minorHAnsi"/>
          <w:color w:val="000000"/>
          <w:lang w:eastAsia="en-GB"/>
        </w:rPr>
        <w:t>financial gas and power markets. T</w:t>
      </w:r>
      <w:r w:rsidRPr="002B2A67">
        <w:rPr>
          <w:rFonts w:eastAsia="Times New Roman" w:cstheme="minorHAnsi"/>
          <w:color w:val="000000"/>
          <w:lang w:eastAsia="en-GB"/>
        </w:rPr>
        <w:t xml:space="preserve">here </w:t>
      </w:r>
      <w:r>
        <w:rPr>
          <w:rFonts w:eastAsia="Times New Roman" w:cstheme="minorHAnsi"/>
          <w:color w:val="000000"/>
          <w:lang w:eastAsia="en-GB"/>
        </w:rPr>
        <w:t>are</w:t>
      </w:r>
      <w:r w:rsidRPr="002B2A67">
        <w:rPr>
          <w:rFonts w:eastAsia="Times New Roman" w:cstheme="minorHAnsi"/>
          <w:color w:val="000000"/>
          <w:lang w:eastAsia="en-GB"/>
        </w:rPr>
        <w:t xml:space="preserve"> two reasons</w:t>
      </w:r>
      <w:r>
        <w:rPr>
          <w:rFonts w:eastAsia="Times New Roman" w:cstheme="minorHAnsi"/>
          <w:color w:val="000000"/>
          <w:lang w:eastAsia="en-GB"/>
        </w:rPr>
        <w:t xml:space="preserve"> for this</w:t>
      </w:r>
      <w:r w:rsidRPr="002B2A67">
        <w:rPr>
          <w:rFonts w:eastAsia="Times New Roman" w:cstheme="minorHAnsi"/>
          <w:color w:val="000000"/>
          <w:lang w:eastAsia="en-GB"/>
        </w:rPr>
        <w:t xml:space="preserve">: 1/ If the ancillary activity exemption is very restrictive, some companies could significantly reduce their trading activity in financial instruments in order to avoid being </w:t>
      </w:r>
      <w:proofErr w:type="spellStart"/>
      <w:r w:rsidRPr="002B2A67">
        <w:rPr>
          <w:rFonts w:eastAsia="Times New Roman" w:cstheme="minorHAnsi"/>
          <w:color w:val="000000"/>
          <w:lang w:eastAsia="en-GB"/>
        </w:rPr>
        <w:t>MiFID</w:t>
      </w:r>
      <w:proofErr w:type="spellEnd"/>
      <w:r w:rsidRPr="002B2A67">
        <w:rPr>
          <w:rFonts w:eastAsia="Times New Roman" w:cstheme="minorHAnsi"/>
          <w:color w:val="000000"/>
          <w:lang w:eastAsia="en-GB"/>
        </w:rPr>
        <w:t xml:space="preserve"> regulated firms. 2/ this is particularly true as the REMIT carve-out may cause a shift of liquidity from the financial sector to the non-financial one (trading in physically settled instruments on OTFs). </w:t>
      </w:r>
    </w:p>
    <w:p w:rsidR="00D04F27" w:rsidRPr="002B2A67" w:rsidRDefault="00D04F27" w:rsidP="00D04F27">
      <w:pPr>
        <w:pStyle w:val="ListParagraph"/>
        <w:rPr>
          <w:rFonts w:eastAsia="Times New Roman" w:cstheme="minorHAnsi"/>
          <w:color w:val="000000"/>
          <w:lang w:eastAsia="en-GB"/>
        </w:rPr>
      </w:pPr>
    </w:p>
    <w:p w:rsidR="00D04F27" w:rsidRPr="002B2A67" w:rsidRDefault="00D04F27" w:rsidP="00D04F27">
      <w:pPr>
        <w:rPr>
          <w:rFonts w:eastAsia="Times New Roman" w:cstheme="minorHAnsi"/>
          <w:b/>
          <w:color w:val="000000"/>
          <w:lang w:eastAsia="en-GB"/>
        </w:rPr>
      </w:pPr>
      <w:r w:rsidRPr="002B2A67">
        <w:rPr>
          <w:rFonts w:eastAsia="Times New Roman" w:cstheme="minorHAnsi"/>
          <w:b/>
          <w:color w:val="000000"/>
          <w:lang w:eastAsia="en-GB"/>
        </w:rPr>
        <w:t>Need for a clear, sector-specific and coherent European definition of deliverable supply</w:t>
      </w:r>
    </w:p>
    <w:p w:rsidR="00D04F27" w:rsidRPr="00B01409" w:rsidRDefault="00D04F27" w:rsidP="00D04F27">
      <w:pPr>
        <w:spacing w:line="240" w:lineRule="auto"/>
        <w:rPr>
          <w:rFonts w:eastAsia="Times New Roman" w:cstheme="minorHAnsi"/>
          <w:color w:val="000000"/>
          <w:lang w:eastAsia="en-GB"/>
        </w:rPr>
      </w:pPr>
      <w:r>
        <w:rPr>
          <w:rFonts w:eastAsia="Times New Roman" w:cstheme="minorHAnsi"/>
          <w:color w:val="000000"/>
          <w:lang w:eastAsia="en-GB"/>
        </w:rPr>
        <w:t>There has been no clear definition of d</w:t>
      </w:r>
      <w:r w:rsidRPr="00B01409">
        <w:rPr>
          <w:rFonts w:eastAsia="Times New Roman" w:cstheme="minorHAnsi"/>
          <w:color w:val="000000"/>
          <w:lang w:eastAsia="en-GB"/>
        </w:rPr>
        <w:t xml:space="preserve">eliverable supply </w:t>
      </w:r>
      <w:r>
        <w:rPr>
          <w:rFonts w:eastAsia="Times New Roman" w:cstheme="minorHAnsi"/>
          <w:color w:val="000000"/>
          <w:lang w:eastAsia="en-GB"/>
        </w:rPr>
        <w:t xml:space="preserve">in the context of </w:t>
      </w:r>
      <w:proofErr w:type="spellStart"/>
      <w:r>
        <w:rPr>
          <w:rFonts w:eastAsia="Times New Roman" w:cstheme="minorHAnsi"/>
          <w:color w:val="000000"/>
          <w:lang w:eastAsia="en-GB"/>
        </w:rPr>
        <w:t>MiFID</w:t>
      </w:r>
      <w:proofErr w:type="spellEnd"/>
      <w:r>
        <w:rPr>
          <w:rFonts w:eastAsia="Times New Roman" w:cstheme="minorHAnsi"/>
          <w:color w:val="000000"/>
          <w:lang w:eastAsia="en-GB"/>
        </w:rPr>
        <w:t xml:space="preserve"> so far.</w:t>
      </w:r>
      <w:r w:rsidRPr="00B01409">
        <w:rPr>
          <w:rFonts w:eastAsia="Times New Roman" w:cstheme="minorHAnsi"/>
          <w:color w:val="000000"/>
          <w:lang w:eastAsia="en-GB"/>
        </w:rPr>
        <w:t xml:space="preserve"> </w:t>
      </w:r>
      <w:r>
        <w:rPr>
          <w:rFonts w:eastAsia="Times New Roman" w:cstheme="minorHAnsi"/>
          <w:color w:val="000000"/>
          <w:lang w:eastAsia="en-GB"/>
        </w:rPr>
        <w:t>It</w:t>
      </w:r>
      <w:r w:rsidRPr="00B01409">
        <w:rPr>
          <w:rFonts w:eastAsia="Times New Roman" w:cstheme="minorHAnsi"/>
          <w:color w:val="000000"/>
          <w:lang w:eastAsia="en-GB"/>
        </w:rPr>
        <w:t xml:space="preserve"> is </w:t>
      </w:r>
      <w:r>
        <w:rPr>
          <w:rFonts w:eastAsia="Times New Roman" w:cstheme="minorHAnsi"/>
          <w:color w:val="000000"/>
          <w:lang w:eastAsia="en-GB"/>
        </w:rPr>
        <w:t xml:space="preserve">therefore </w:t>
      </w:r>
      <w:r w:rsidRPr="00B01409">
        <w:rPr>
          <w:rFonts w:eastAsia="Times New Roman" w:cstheme="minorHAnsi"/>
          <w:color w:val="000000"/>
          <w:lang w:eastAsia="en-GB"/>
        </w:rPr>
        <w:t>of u</w:t>
      </w:r>
      <w:r>
        <w:rPr>
          <w:rFonts w:eastAsia="Times New Roman" w:cstheme="minorHAnsi"/>
          <w:color w:val="000000"/>
          <w:lang w:eastAsia="en-GB"/>
        </w:rPr>
        <w:t>t</w:t>
      </w:r>
      <w:r w:rsidRPr="00B01409">
        <w:rPr>
          <w:rFonts w:eastAsia="Times New Roman" w:cstheme="minorHAnsi"/>
          <w:color w:val="000000"/>
          <w:lang w:eastAsia="en-GB"/>
        </w:rPr>
        <w:t xml:space="preserve">most importance that </w:t>
      </w:r>
      <w:r>
        <w:rPr>
          <w:rFonts w:eastAsia="Times New Roman" w:cstheme="minorHAnsi"/>
          <w:color w:val="000000"/>
          <w:lang w:eastAsia="en-GB"/>
        </w:rPr>
        <w:t xml:space="preserve">the </w:t>
      </w:r>
      <w:r w:rsidRPr="00B01409">
        <w:rPr>
          <w:rFonts w:eastAsia="Times New Roman" w:cstheme="minorHAnsi"/>
          <w:color w:val="000000"/>
          <w:lang w:eastAsia="en-GB"/>
        </w:rPr>
        <w:t xml:space="preserve">deliverable supply is defined depending on the specificities of the different asset classes (or asset sub-classes). </w:t>
      </w:r>
    </w:p>
    <w:p w:rsidR="00D04F27" w:rsidRPr="00E20010" w:rsidRDefault="00D04F27" w:rsidP="00D04F27">
      <w:pPr>
        <w:spacing w:line="240" w:lineRule="auto"/>
        <w:rPr>
          <w:rFonts w:eastAsia="Times New Roman" w:cstheme="minorHAnsi"/>
          <w:color w:val="000000"/>
          <w:lang w:eastAsia="en-GB"/>
        </w:rPr>
      </w:pPr>
    </w:p>
    <w:p w:rsidR="00D04F27" w:rsidRPr="00D934CB" w:rsidRDefault="00D04F27" w:rsidP="00D04F27">
      <w:pPr>
        <w:spacing w:line="240" w:lineRule="auto"/>
        <w:rPr>
          <w:rFonts w:eastAsia="Times New Roman" w:cstheme="minorHAnsi"/>
          <w:color w:val="000000"/>
          <w:lang w:eastAsia="en-GB"/>
        </w:rPr>
      </w:pPr>
      <w:proofErr w:type="spellStart"/>
      <w:r w:rsidRPr="00A16621">
        <w:rPr>
          <w:rFonts w:eastAsia="Times New Roman" w:cstheme="minorHAnsi"/>
          <w:color w:val="000000"/>
          <w:lang w:eastAsia="en-GB"/>
        </w:rPr>
        <w:t>Europex</w:t>
      </w:r>
      <w:proofErr w:type="spellEnd"/>
      <w:r w:rsidRPr="00A16621">
        <w:rPr>
          <w:rFonts w:eastAsia="Times New Roman" w:cstheme="minorHAnsi"/>
          <w:color w:val="000000"/>
          <w:lang w:eastAsia="en-GB"/>
        </w:rPr>
        <w:t xml:space="preserve"> </w:t>
      </w:r>
      <w:r>
        <w:rPr>
          <w:rFonts w:eastAsia="Times New Roman" w:cstheme="minorHAnsi"/>
          <w:color w:val="000000"/>
          <w:lang w:eastAsia="en-GB"/>
        </w:rPr>
        <w:t>suggests determining the deliverable supply</w:t>
      </w:r>
      <w:r w:rsidRPr="00AF7040">
        <w:rPr>
          <w:rFonts w:eastAsia="Times New Roman" w:cstheme="minorHAnsi"/>
          <w:color w:val="000000"/>
          <w:lang w:eastAsia="en-GB"/>
        </w:rPr>
        <w:t xml:space="preserve"> for gas and power markets</w:t>
      </w:r>
      <w:r>
        <w:rPr>
          <w:rFonts w:eastAsia="Times New Roman" w:cstheme="minorHAnsi"/>
          <w:color w:val="000000"/>
          <w:lang w:eastAsia="en-GB"/>
        </w:rPr>
        <w:t xml:space="preserve"> inter alia based on European demand.</w:t>
      </w:r>
      <w:r w:rsidRPr="00D934CB">
        <w:rPr>
          <w:rFonts w:eastAsia="Times New Roman" w:cstheme="minorHAnsi"/>
          <w:color w:val="000000"/>
          <w:lang w:eastAsia="en-GB"/>
        </w:rPr>
        <w:t xml:space="preserve"> This is key as markets are typically strongly interlinked. </w:t>
      </w:r>
      <w:r>
        <w:rPr>
          <w:rFonts w:eastAsia="Times New Roman" w:cstheme="minorHAnsi"/>
          <w:color w:val="000000"/>
          <w:lang w:eastAsia="en-GB"/>
        </w:rPr>
        <w:t>For</w:t>
      </w:r>
      <w:r w:rsidRPr="00D934CB">
        <w:rPr>
          <w:rFonts w:eastAsia="Times New Roman" w:cstheme="minorHAnsi"/>
          <w:color w:val="000000"/>
          <w:lang w:eastAsia="en-GB"/>
        </w:rPr>
        <w:t xml:space="preserve"> gas, </w:t>
      </w:r>
      <w:r>
        <w:rPr>
          <w:rFonts w:eastAsia="Times New Roman" w:cstheme="minorHAnsi"/>
          <w:color w:val="000000"/>
          <w:lang w:eastAsia="en-GB"/>
        </w:rPr>
        <w:t xml:space="preserve">e.g., </w:t>
      </w:r>
      <w:r w:rsidRPr="00D934CB">
        <w:rPr>
          <w:rFonts w:eastAsia="Times New Roman" w:cstheme="minorHAnsi"/>
          <w:color w:val="000000"/>
          <w:lang w:eastAsia="en-GB"/>
        </w:rPr>
        <w:t xml:space="preserve">the UK hub </w:t>
      </w:r>
      <w:r>
        <w:rPr>
          <w:rFonts w:eastAsia="Times New Roman" w:cstheme="minorHAnsi"/>
          <w:color w:val="000000"/>
          <w:lang w:eastAsia="en-GB"/>
        </w:rPr>
        <w:t xml:space="preserve">NBP </w:t>
      </w:r>
      <w:r w:rsidRPr="00D934CB">
        <w:rPr>
          <w:rFonts w:eastAsia="Times New Roman" w:cstheme="minorHAnsi"/>
          <w:color w:val="000000"/>
          <w:lang w:eastAsia="en-GB"/>
        </w:rPr>
        <w:t>and the Dutch hub TTF are far more liquid than the other</w:t>
      </w:r>
      <w:r>
        <w:rPr>
          <w:rFonts w:eastAsia="Times New Roman" w:cstheme="minorHAnsi"/>
          <w:color w:val="000000"/>
          <w:lang w:eastAsia="en-GB"/>
        </w:rPr>
        <w:t xml:space="preserve"> hubs</w:t>
      </w:r>
      <w:r w:rsidRPr="00D934CB">
        <w:rPr>
          <w:rFonts w:eastAsia="Times New Roman" w:cstheme="minorHAnsi"/>
          <w:color w:val="000000"/>
          <w:lang w:eastAsia="en-GB"/>
        </w:rPr>
        <w:t xml:space="preserve"> and </w:t>
      </w:r>
      <w:r>
        <w:rPr>
          <w:rFonts w:eastAsia="Times New Roman" w:cstheme="minorHAnsi"/>
          <w:color w:val="000000"/>
          <w:lang w:eastAsia="en-GB"/>
        </w:rPr>
        <w:t xml:space="preserve">are </w:t>
      </w:r>
      <w:r w:rsidRPr="00D934CB">
        <w:rPr>
          <w:rFonts w:eastAsia="Times New Roman" w:cstheme="minorHAnsi"/>
          <w:color w:val="000000"/>
          <w:lang w:eastAsia="en-GB"/>
        </w:rPr>
        <w:t>used to cover activities in other countries</w:t>
      </w:r>
      <w:r>
        <w:rPr>
          <w:rFonts w:eastAsia="Times New Roman" w:cstheme="minorHAnsi"/>
          <w:color w:val="000000"/>
          <w:lang w:eastAsia="en-GB"/>
        </w:rPr>
        <w:t xml:space="preserve"> too</w:t>
      </w:r>
      <w:r w:rsidRPr="00D934CB">
        <w:rPr>
          <w:rFonts w:eastAsia="Times New Roman" w:cstheme="minorHAnsi"/>
          <w:color w:val="000000"/>
          <w:lang w:eastAsia="en-GB"/>
        </w:rPr>
        <w:t xml:space="preserve">. The same is true for the German/Austrian </w:t>
      </w:r>
      <w:r>
        <w:rPr>
          <w:rFonts w:eastAsia="Times New Roman" w:cstheme="minorHAnsi"/>
          <w:color w:val="000000"/>
          <w:lang w:eastAsia="en-GB"/>
        </w:rPr>
        <w:t>bidding</w:t>
      </w:r>
      <w:r w:rsidRPr="00D934CB">
        <w:rPr>
          <w:rFonts w:eastAsia="Times New Roman" w:cstheme="minorHAnsi"/>
          <w:color w:val="000000"/>
          <w:lang w:eastAsia="en-GB"/>
        </w:rPr>
        <w:t xml:space="preserve"> zone in power. </w:t>
      </w:r>
    </w:p>
    <w:p w:rsidR="00D04F27" w:rsidRPr="00E20010" w:rsidRDefault="00D04F27" w:rsidP="00D04F27">
      <w:pPr>
        <w:spacing w:line="240" w:lineRule="auto"/>
        <w:rPr>
          <w:rFonts w:eastAsia="Times New Roman" w:cstheme="minorHAnsi"/>
          <w:color w:val="000000"/>
          <w:lang w:eastAsia="en-GB"/>
        </w:rPr>
      </w:pPr>
    </w:p>
    <w:p w:rsidR="00D04F27" w:rsidRPr="00AF7040" w:rsidRDefault="00D04F27" w:rsidP="00D04F27">
      <w:pPr>
        <w:spacing w:line="240" w:lineRule="auto"/>
        <w:rPr>
          <w:rFonts w:eastAsia="Times New Roman" w:cstheme="minorHAnsi"/>
          <w:color w:val="000000"/>
          <w:lang w:eastAsia="en-GB"/>
        </w:rPr>
      </w:pPr>
      <w:r w:rsidRPr="004D1140">
        <w:rPr>
          <w:rFonts w:eastAsia="Times New Roman" w:cstheme="minorHAnsi"/>
          <w:color w:val="000000"/>
          <w:lang w:eastAsia="en-GB"/>
        </w:rPr>
        <w:t xml:space="preserve">The deliverable supply </w:t>
      </w:r>
      <w:r>
        <w:rPr>
          <w:rFonts w:eastAsia="Times New Roman" w:cstheme="minorHAnsi"/>
          <w:color w:val="000000"/>
          <w:lang w:eastAsia="en-GB"/>
        </w:rPr>
        <w:t>sh</w:t>
      </w:r>
      <w:r w:rsidRPr="00004D64">
        <w:rPr>
          <w:rFonts w:eastAsia="Times New Roman" w:cstheme="minorHAnsi"/>
          <w:color w:val="000000"/>
          <w:lang w:eastAsia="en-GB"/>
        </w:rPr>
        <w:t xml:space="preserve">ould be </w:t>
      </w:r>
      <w:r>
        <w:rPr>
          <w:rFonts w:eastAsia="Times New Roman" w:cstheme="minorHAnsi"/>
          <w:color w:val="000000"/>
          <w:lang w:eastAsia="en-GB"/>
        </w:rPr>
        <w:t>adjusted</w:t>
      </w:r>
      <w:r w:rsidRPr="00AF7040">
        <w:rPr>
          <w:rFonts w:eastAsia="Times New Roman" w:cstheme="minorHAnsi"/>
          <w:color w:val="000000"/>
          <w:lang w:eastAsia="en-GB"/>
        </w:rPr>
        <w:t xml:space="preserve"> every two years.</w:t>
      </w:r>
    </w:p>
    <w:p w:rsidR="00D04F27" w:rsidRPr="00A16621" w:rsidRDefault="00D04F27" w:rsidP="00D04F27">
      <w:pPr>
        <w:spacing w:line="240" w:lineRule="auto"/>
        <w:rPr>
          <w:rFonts w:eastAsia="Times New Roman" w:cstheme="minorHAnsi"/>
          <w:color w:val="000000"/>
          <w:lang w:eastAsia="en-GB"/>
        </w:rPr>
      </w:pPr>
    </w:p>
    <w:p w:rsidR="00D04F27" w:rsidRDefault="00D04F27" w:rsidP="00D04F27">
      <w:pPr>
        <w:spacing w:line="240" w:lineRule="auto"/>
        <w:rPr>
          <w:rFonts w:eastAsia="Times New Roman" w:cstheme="minorHAnsi"/>
          <w:color w:val="000000"/>
          <w:lang w:eastAsia="en-GB"/>
        </w:rPr>
      </w:pPr>
    </w:p>
    <w:p w:rsidR="00D04F27" w:rsidRPr="002B2A67" w:rsidRDefault="00D04F27" w:rsidP="00D04F27">
      <w:pPr>
        <w:spacing w:line="240" w:lineRule="auto"/>
        <w:rPr>
          <w:rFonts w:eastAsia="Times New Roman" w:cstheme="minorHAnsi"/>
          <w:b/>
          <w:color w:val="000000"/>
          <w:lang w:eastAsia="en-GB"/>
        </w:rPr>
      </w:pPr>
      <w:r w:rsidRPr="002B2A67">
        <w:rPr>
          <w:rFonts w:eastAsia="Times New Roman" w:cstheme="minorHAnsi"/>
          <w:b/>
          <w:color w:val="000000"/>
          <w:lang w:eastAsia="en-GB"/>
        </w:rPr>
        <w:t>Need for exchange involvement in the determination of deliverable supply</w:t>
      </w:r>
    </w:p>
    <w:p w:rsidR="00D04F27" w:rsidRPr="00A16621" w:rsidRDefault="00D04F27" w:rsidP="00D04F27">
      <w:pPr>
        <w:spacing w:line="240" w:lineRule="auto"/>
        <w:rPr>
          <w:rFonts w:eastAsia="Times New Roman" w:cstheme="minorHAnsi"/>
          <w:color w:val="000000"/>
          <w:lang w:eastAsia="en-GB"/>
        </w:rPr>
      </w:pPr>
    </w:p>
    <w:p w:rsidR="00D04F27" w:rsidRPr="008765FD" w:rsidRDefault="00D04F27" w:rsidP="00D04F27">
      <w:pPr>
        <w:spacing w:line="240" w:lineRule="auto"/>
        <w:rPr>
          <w:rFonts w:eastAsia="Times New Roman" w:cstheme="minorHAnsi"/>
          <w:color w:val="000000"/>
          <w:lang w:eastAsia="en-GB"/>
        </w:rPr>
      </w:pPr>
      <w:proofErr w:type="spellStart"/>
      <w:r w:rsidRPr="004F7E42">
        <w:rPr>
          <w:rFonts w:eastAsia="Times New Roman" w:cstheme="minorHAnsi"/>
          <w:color w:val="000000"/>
          <w:lang w:eastAsia="en-GB"/>
        </w:rPr>
        <w:t>Europex</w:t>
      </w:r>
      <w:proofErr w:type="spellEnd"/>
      <w:r w:rsidRPr="004F7E42">
        <w:rPr>
          <w:rFonts w:eastAsia="Times New Roman" w:cstheme="minorHAnsi"/>
          <w:color w:val="000000"/>
          <w:lang w:eastAsia="en-GB"/>
        </w:rPr>
        <w:t xml:space="preserve"> agrees that trading venues are well placed to source and </w:t>
      </w:r>
      <w:r w:rsidRPr="00507FF5">
        <w:rPr>
          <w:rFonts w:eastAsia="Times New Roman" w:cstheme="minorHAnsi"/>
          <w:color w:val="000000"/>
          <w:lang w:eastAsia="en-GB"/>
        </w:rPr>
        <w:t xml:space="preserve">provide data in relation to </w:t>
      </w:r>
      <w:r>
        <w:rPr>
          <w:rFonts w:eastAsia="Times New Roman" w:cstheme="minorHAnsi"/>
          <w:color w:val="000000"/>
          <w:lang w:eastAsia="en-GB"/>
        </w:rPr>
        <w:t xml:space="preserve">the determination of </w:t>
      </w:r>
      <w:r w:rsidRPr="00507FF5">
        <w:rPr>
          <w:rFonts w:eastAsia="Times New Roman" w:cstheme="minorHAnsi"/>
          <w:color w:val="000000"/>
          <w:lang w:eastAsia="en-GB"/>
        </w:rPr>
        <w:t>deliverable supply to the relevant National Competent Authorit</w:t>
      </w:r>
      <w:r>
        <w:rPr>
          <w:rFonts w:eastAsia="Times New Roman" w:cstheme="minorHAnsi"/>
          <w:color w:val="000000"/>
          <w:lang w:eastAsia="en-GB"/>
        </w:rPr>
        <w:t>ies</w:t>
      </w:r>
      <w:r w:rsidRPr="008765FD">
        <w:rPr>
          <w:rFonts w:eastAsia="Times New Roman" w:cstheme="minorHAnsi"/>
          <w:color w:val="000000"/>
          <w:lang w:eastAsia="en-GB"/>
        </w:rPr>
        <w:t xml:space="preserve">. This is because trading venues: </w:t>
      </w:r>
    </w:p>
    <w:p w:rsidR="00D04F27" w:rsidRPr="00E20010" w:rsidRDefault="00D04F27" w:rsidP="00D04F27">
      <w:pPr>
        <w:spacing w:line="240" w:lineRule="auto"/>
        <w:rPr>
          <w:rFonts w:eastAsia="Times New Roman" w:cstheme="minorHAnsi"/>
          <w:color w:val="000000"/>
          <w:lang w:eastAsia="en-GB"/>
        </w:rPr>
      </w:pPr>
      <w:r w:rsidRPr="00E20010">
        <w:rPr>
          <w:rFonts w:eastAsia="Times New Roman" w:cstheme="minorHAnsi"/>
          <w:color w:val="000000"/>
          <w:lang w:eastAsia="en-GB"/>
        </w:rPr>
        <w:t>•</w:t>
      </w:r>
      <w:r w:rsidRPr="00E20010">
        <w:rPr>
          <w:rFonts w:eastAsia="Times New Roman" w:cstheme="minorHAnsi"/>
          <w:color w:val="000000"/>
          <w:lang w:eastAsia="en-GB"/>
        </w:rPr>
        <w:tab/>
        <w:t xml:space="preserve">have ready access to such data; </w:t>
      </w:r>
    </w:p>
    <w:p w:rsidR="00D04F27" w:rsidRPr="00A16621" w:rsidRDefault="00D04F27" w:rsidP="00D04F27">
      <w:pPr>
        <w:spacing w:line="240" w:lineRule="auto"/>
        <w:rPr>
          <w:rFonts w:eastAsia="Times New Roman" w:cstheme="minorHAnsi"/>
          <w:color w:val="000000"/>
          <w:lang w:eastAsia="en-GB"/>
        </w:rPr>
      </w:pPr>
      <w:r w:rsidRPr="00A16621">
        <w:rPr>
          <w:rFonts w:eastAsia="Times New Roman" w:cstheme="minorHAnsi"/>
          <w:color w:val="000000"/>
          <w:lang w:eastAsia="en-GB"/>
        </w:rPr>
        <w:t>•</w:t>
      </w:r>
      <w:r w:rsidRPr="00A16621">
        <w:rPr>
          <w:rFonts w:eastAsia="Times New Roman" w:cstheme="minorHAnsi"/>
          <w:color w:val="000000"/>
          <w:lang w:eastAsia="en-GB"/>
        </w:rPr>
        <w:tab/>
        <w:t xml:space="preserve">are independent of the trading interests of the participants which are active in the market; and </w:t>
      </w:r>
    </w:p>
    <w:p w:rsidR="00D04F27" w:rsidRPr="00301B57" w:rsidRDefault="00D04F27" w:rsidP="00D04F27">
      <w:pPr>
        <w:spacing w:line="240" w:lineRule="auto"/>
        <w:rPr>
          <w:rFonts w:eastAsia="Times New Roman" w:cstheme="minorHAnsi"/>
          <w:color w:val="000000"/>
          <w:lang w:eastAsia="en-GB"/>
        </w:rPr>
      </w:pPr>
      <w:r w:rsidRPr="003E15A7">
        <w:rPr>
          <w:rFonts w:eastAsia="Times New Roman" w:cstheme="minorHAnsi"/>
          <w:color w:val="000000"/>
          <w:lang w:eastAsia="en-GB"/>
        </w:rPr>
        <w:t>•</w:t>
      </w:r>
      <w:r w:rsidRPr="003E15A7">
        <w:rPr>
          <w:rFonts w:eastAsia="Times New Roman" w:cstheme="minorHAnsi"/>
          <w:color w:val="000000"/>
          <w:lang w:eastAsia="en-GB"/>
        </w:rPr>
        <w:tab/>
        <w:t xml:space="preserve">have </w:t>
      </w:r>
      <w:r>
        <w:rPr>
          <w:rFonts w:eastAsia="Times New Roman" w:cstheme="minorHAnsi"/>
          <w:color w:val="000000"/>
          <w:lang w:eastAsia="en-GB"/>
        </w:rPr>
        <w:t xml:space="preserve">the </w:t>
      </w:r>
      <w:r w:rsidRPr="004D1140">
        <w:rPr>
          <w:rFonts w:eastAsia="Times New Roman" w:cstheme="minorHAnsi"/>
          <w:color w:val="000000"/>
          <w:lang w:eastAsia="en-GB"/>
        </w:rPr>
        <w:t xml:space="preserve">legal obligation to operate orderly markets and in particular to apply associated position management controls in relation to the </w:t>
      </w:r>
      <w:r w:rsidRPr="00E20010">
        <w:rPr>
          <w:rFonts w:eastAsia="Times New Roman" w:cstheme="minorHAnsi"/>
          <w:color w:val="000000"/>
          <w:lang w:eastAsia="en-GB"/>
        </w:rPr>
        <w:t>commodity derivatives concerned.</w:t>
      </w:r>
    </w:p>
    <w:p w:rsidR="00D04F27" w:rsidRPr="008765FD" w:rsidRDefault="00D04F27" w:rsidP="00D04F27">
      <w:pPr>
        <w:spacing w:line="240" w:lineRule="auto"/>
        <w:rPr>
          <w:rFonts w:eastAsia="Times New Roman" w:cstheme="minorHAnsi"/>
          <w:color w:val="000000"/>
          <w:lang w:eastAsia="en-GB"/>
        </w:rPr>
      </w:pPr>
    </w:p>
    <w:p w:rsidR="00D04F27" w:rsidRDefault="00D04F27" w:rsidP="00D04F27">
      <w:pPr>
        <w:spacing w:line="240" w:lineRule="auto"/>
        <w:rPr>
          <w:rFonts w:eastAsia="Times New Roman" w:cstheme="minorHAnsi"/>
          <w:color w:val="000000"/>
          <w:lang w:eastAsia="en-GB"/>
        </w:rPr>
      </w:pPr>
      <w:r>
        <w:rPr>
          <w:rFonts w:eastAsia="Times New Roman" w:cstheme="minorHAnsi"/>
          <w:color w:val="000000"/>
          <w:lang w:eastAsia="en-GB"/>
        </w:rPr>
        <w:t>The</w:t>
      </w:r>
      <w:r w:rsidRPr="004F7E42">
        <w:rPr>
          <w:rFonts w:eastAsia="Times New Roman" w:cstheme="minorHAnsi"/>
          <w:color w:val="000000"/>
          <w:lang w:eastAsia="en-GB"/>
        </w:rPr>
        <w:t xml:space="preserve"> deliverable supply data can be used by </w:t>
      </w:r>
      <w:r>
        <w:rPr>
          <w:rFonts w:eastAsia="Times New Roman" w:cstheme="minorHAnsi"/>
          <w:color w:val="000000"/>
          <w:lang w:eastAsia="en-GB"/>
        </w:rPr>
        <w:t xml:space="preserve">the </w:t>
      </w:r>
      <w:r w:rsidRPr="004F7E42">
        <w:rPr>
          <w:rFonts w:eastAsia="Times New Roman" w:cstheme="minorHAnsi"/>
          <w:color w:val="000000"/>
          <w:lang w:eastAsia="en-GB"/>
        </w:rPr>
        <w:t>National Competent Authorities in order to calculate the baseline levels for determining the position limits for the commodity contracts in question.</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D04F27" w:rsidRPr="007B7765" w:rsidRDefault="00D04F27" w:rsidP="00D04F27">
      <w:pPr>
        <w:spacing w:line="240" w:lineRule="auto"/>
        <w:rPr>
          <w:rFonts w:eastAsia="Times New Roman" w:cstheme="minorHAnsi"/>
          <w:color w:val="000000"/>
          <w:lang w:eastAsia="en-GB"/>
        </w:rPr>
      </w:pPr>
      <w:permStart w:id="193" w:edGrp="everyone"/>
      <w:proofErr w:type="spellStart"/>
      <w:r>
        <w:rPr>
          <w:rFonts w:eastAsia="Times New Roman" w:cstheme="minorHAnsi"/>
          <w:color w:val="000000"/>
          <w:lang w:eastAsia="en-GB"/>
        </w:rPr>
        <w:t>Europex</w:t>
      </w:r>
      <w:proofErr w:type="spellEnd"/>
      <w:r>
        <w:rPr>
          <w:rFonts w:eastAsia="Times New Roman" w:cstheme="minorHAnsi"/>
          <w:color w:val="000000"/>
          <w:lang w:eastAsia="en-GB"/>
        </w:rPr>
        <w:t xml:space="preserve"> deems a</w:t>
      </w:r>
      <w:r w:rsidRPr="007B7765">
        <w:rPr>
          <w:rFonts w:eastAsia="Times New Roman" w:cstheme="minorHAnsi"/>
          <w:color w:val="000000"/>
          <w:lang w:eastAsia="en-GB"/>
        </w:rPr>
        <w:t xml:space="preserve"> 25% baseline level a suitable starting point for calculating position limits applicable to commodity derivatives in the EU. </w:t>
      </w:r>
      <w:r>
        <w:rPr>
          <w:rFonts w:eastAsia="Times New Roman" w:cstheme="minorHAnsi"/>
          <w:color w:val="000000"/>
          <w:lang w:eastAsia="en-GB"/>
        </w:rPr>
        <w:t>After</w:t>
      </w:r>
      <w:r w:rsidRPr="007B7765">
        <w:rPr>
          <w:rFonts w:eastAsia="Times New Roman" w:cstheme="minorHAnsi"/>
          <w:color w:val="000000"/>
          <w:lang w:eastAsia="en-GB"/>
        </w:rPr>
        <w:t xml:space="preserve"> establish</w:t>
      </w:r>
      <w:r>
        <w:rPr>
          <w:rFonts w:eastAsia="Times New Roman" w:cstheme="minorHAnsi"/>
          <w:color w:val="000000"/>
          <w:lang w:eastAsia="en-GB"/>
        </w:rPr>
        <w:t>ing</w:t>
      </w:r>
      <w:r w:rsidRPr="007B7765">
        <w:rPr>
          <w:rFonts w:eastAsia="Times New Roman" w:cstheme="minorHAnsi"/>
          <w:color w:val="000000"/>
          <w:lang w:eastAsia="en-GB"/>
        </w:rPr>
        <w:t xml:space="preserve"> the baseline for each commodity derivative, it will </w:t>
      </w:r>
      <w:r>
        <w:rPr>
          <w:rFonts w:eastAsia="Times New Roman" w:cstheme="minorHAnsi"/>
          <w:color w:val="000000"/>
          <w:lang w:eastAsia="en-GB"/>
        </w:rPr>
        <w:t xml:space="preserve">indeed </w:t>
      </w:r>
      <w:r w:rsidRPr="007B7765">
        <w:rPr>
          <w:rFonts w:eastAsia="Times New Roman" w:cstheme="minorHAnsi"/>
          <w:color w:val="000000"/>
          <w:lang w:eastAsia="en-GB"/>
        </w:rPr>
        <w:t xml:space="preserve">be necessary to consider the extent to which the seven factors enumerated in </w:t>
      </w:r>
      <w:proofErr w:type="spellStart"/>
      <w:r w:rsidRPr="007B7765">
        <w:rPr>
          <w:rFonts w:eastAsia="Times New Roman" w:cstheme="minorHAnsi"/>
          <w:color w:val="000000"/>
          <w:lang w:eastAsia="en-GB"/>
        </w:rPr>
        <w:t>M</w:t>
      </w:r>
      <w:r>
        <w:rPr>
          <w:rFonts w:eastAsia="Times New Roman" w:cstheme="minorHAnsi"/>
          <w:color w:val="000000"/>
          <w:lang w:eastAsia="en-GB"/>
        </w:rPr>
        <w:t>i</w:t>
      </w:r>
      <w:r w:rsidRPr="007B7765">
        <w:rPr>
          <w:rFonts w:eastAsia="Times New Roman" w:cstheme="minorHAnsi"/>
          <w:color w:val="000000"/>
          <w:lang w:eastAsia="en-GB"/>
        </w:rPr>
        <w:t>FID</w:t>
      </w:r>
      <w:proofErr w:type="spellEnd"/>
      <w:r w:rsidRPr="007B7765">
        <w:rPr>
          <w:rFonts w:eastAsia="Times New Roman" w:cstheme="minorHAnsi"/>
          <w:color w:val="000000"/>
          <w:lang w:eastAsia="en-GB"/>
        </w:rPr>
        <w:t xml:space="preserve"> </w:t>
      </w:r>
      <w:r>
        <w:rPr>
          <w:rFonts w:eastAsia="Times New Roman" w:cstheme="minorHAnsi"/>
          <w:color w:val="000000"/>
          <w:lang w:eastAsia="en-GB"/>
        </w:rPr>
        <w:t xml:space="preserve">II </w:t>
      </w:r>
      <w:r w:rsidRPr="007B7765">
        <w:rPr>
          <w:rFonts w:eastAsia="Times New Roman" w:cstheme="minorHAnsi"/>
          <w:color w:val="000000"/>
          <w:lang w:eastAsia="en-GB"/>
        </w:rPr>
        <w:t>should increase or decrease th</w:t>
      </w:r>
      <w:r>
        <w:rPr>
          <w:rFonts w:eastAsia="Times New Roman" w:cstheme="minorHAnsi"/>
          <w:color w:val="000000"/>
          <w:lang w:eastAsia="en-GB"/>
        </w:rPr>
        <w:t>is</w:t>
      </w:r>
      <w:r w:rsidRPr="007B7765">
        <w:rPr>
          <w:rFonts w:eastAsia="Times New Roman" w:cstheme="minorHAnsi"/>
          <w:color w:val="000000"/>
          <w:lang w:eastAsia="en-GB"/>
        </w:rPr>
        <w:t xml:space="preserve"> level in order to </w:t>
      </w:r>
      <w:r>
        <w:rPr>
          <w:rFonts w:eastAsia="Times New Roman" w:cstheme="minorHAnsi"/>
          <w:color w:val="000000"/>
          <w:lang w:eastAsia="en-GB"/>
        </w:rPr>
        <w:t>set</w:t>
      </w:r>
      <w:r w:rsidRPr="007B7765">
        <w:rPr>
          <w:rFonts w:eastAsia="Times New Roman" w:cstheme="minorHAnsi"/>
          <w:color w:val="000000"/>
          <w:lang w:eastAsia="en-GB"/>
        </w:rPr>
        <w:t xml:space="preserve"> the spot month and other months position limits for each commodity derivative.</w:t>
      </w:r>
    </w:p>
    <w:p w:rsidR="00D04F27" w:rsidRPr="005C3FD7" w:rsidRDefault="00D04F27" w:rsidP="00D04F27">
      <w:pPr>
        <w:spacing w:line="240" w:lineRule="auto"/>
        <w:rPr>
          <w:rFonts w:eastAsia="Times New Roman" w:cstheme="minorHAnsi"/>
          <w:color w:val="000000"/>
          <w:lang w:eastAsia="en-GB"/>
        </w:rPr>
      </w:pPr>
    </w:p>
    <w:p w:rsidR="00577C33" w:rsidRDefault="00D04F27" w:rsidP="00EC2C93">
      <w:pPr>
        <w:keepNext/>
      </w:pPr>
      <w:r w:rsidRPr="005C3FD7">
        <w:rPr>
          <w:rFonts w:eastAsia="Times New Roman" w:cstheme="minorHAnsi"/>
          <w:color w:val="000000"/>
          <w:lang w:eastAsia="en-GB"/>
        </w:rPr>
        <w:t xml:space="preserve">Yet, it </w:t>
      </w:r>
      <w:r>
        <w:rPr>
          <w:rFonts w:eastAsia="Times New Roman" w:cstheme="minorHAnsi"/>
          <w:color w:val="000000"/>
          <w:lang w:eastAsia="en-GB"/>
        </w:rPr>
        <w:t>remains</w:t>
      </w:r>
      <w:r w:rsidRPr="005C3FD7">
        <w:rPr>
          <w:rFonts w:eastAsia="Times New Roman" w:cstheme="minorHAnsi"/>
          <w:color w:val="000000"/>
          <w:lang w:eastAsia="en-GB"/>
        </w:rPr>
        <w:t xml:space="preserve"> difficult to assess th</w:t>
      </w:r>
      <w:r>
        <w:rPr>
          <w:rFonts w:eastAsia="Times New Roman" w:cstheme="minorHAnsi"/>
          <w:color w:val="000000"/>
          <w:lang w:eastAsia="en-GB"/>
        </w:rPr>
        <w:t>ese</w:t>
      </w:r>
      <w:r w:rsidRPr="005C3FD7">
        <w:rPr>
          <w:rFonts w:eastAsia="Times New Roman" w:cstheme="minorHAnsi"/>
          <w:color w:val="000000"/>
          <w:lang w:eastAsia="en-GB"/>
        </w:rPr>
        <w:t xml:space="preserve"> figure</w:t>
      </w:r>
      <w:r>
        <w:rPr>
          <w:rFonts w:eastAsia="Times New Roman" w:cstheme="minorHAnsi"/>
          <w:color w:val="000000"/>
          <w:lang w:eastAsia="en-GB"/>
        </w:rPr>
        <w:t>s</w:t>
      </w:r>
      <w:r w:rsidRPr="005C3FD7">
        <w:rPr>
          <w:rFonts w:eastAsia="Times New Roman" w:cstheme="minorHAnsi"/>
          <w:color w:val="000000"/>
          <w:lang w:eastAsia="en-GB"/>
        </w:rPr>
        <w:t xml:space="preserve"> exactly as no further inform</w:t>
      </w:r>
      <w:r w:rsidRPr="00041826">
        <w:rPr>
          <w:rFonts w:eastAsia="Times New Roman" w:cstheme="minorHAnsi"/>
          <w:color w:val="000000"/>
          <w:lang w:eastAsia="en-GB"/>
        </w:rPr>
        <w:t xml:space="preserve">ation on how deliverable supply </w:t>
      </w:r>
      <w:r>
        <w:rPr>
          <w:rFonts w:eastAsia="Times New Roman" w:cstheme="minorHAnsi"/>
          <w:color w:val="000000"/>
          <w:lang w:eastAsia="en-GB"/>
        </w:rPr>
        <w:t>will be</w:t>
      </w:r>
      <w:r w:rsidRPr="00041826">
        <w:rPr>
          <w:rFonts w:eastAsia="Times New Roman" w:cstheme="minorHAnsi"/>
          <w:color w:val="000000"/>
          <w:lang w:eastAsia="en-GB"/>
        </w:rPr>
        <w:t xml:space="preserve"> calculated</w:t>
      </w:r>
      <w:r>
        <w:rPr>
          <w:rFonts w:eastAsia="Times New Roman" w:cstheme="minorHAnsi"/>
          <w:color w:val="000000"/>
          <w:lang w:eastAsia="en-GB"/>
        </w:rPr>
        <w:t xml:space="preserve"> is available for the time being</w:t>
      </w:r>
      <w:r w:rsidRPr="00041826">
        <w:rPr>
          <w:rFonts w:eastAsia="Times New Roman" w:cstheme="minorHAnsi"/>
          <w:color w:val="000000"/>
          <w:lang w:eastAsia="en-GB"/>
        </w:rPr>
        <w:t xml:space="preserve">. </w:t>
      </w:r>
      <w:r>
        <w:rPr>
          <w:rFonts w:eastAsia="Times New Roman" w:cstheme="minorHAnsi"/>
          <w:color w:val="000000"/>
          <w:lang w:eastAsia="en-GB"/>
        </w:rPr>
        <w:t>In this context, it is important that the d</w:t>
      </w:r>
      <w:r w:rsidRPr="00041826">
        <w:rPr>
          <w:rFonts w:eastAsia="Times New Roman" w:cstheme="minorHAnsi"/>
          <w:color w:val="000000"/>
          <w:lang w:eastAsia="en-GB"/>
        </w:rPr>
        <w:t xml:space="preserve">eliverable supply </w:t>
      </w:r>
      <w:r>
        <w:rPr>
          <w:rFonts w:eastAsia="Times New Roman" w:cstheme="minorHAnsi"/>
          <w:color w:val="000000"/>
          <w:lang w:eastAsia="en-GB"/>
        </w:rPr>
        <w:t>is</w:t>
      </w:r>
      <w:r w:rsidRPr="00E94B02">
        <w:rPr>
          <w:rFonts w:eastAsia="Times New Roman" w:cstheme="minorHAnsi"/>
          <w:color w:val="000000"/>
          <w:lang w:eastAsia="en-GB"/>
        </w:rPr>
        <w:t xml:space="preserve"> defined </w:t>
      </w:r>
      <w:r>
        <w:rPr>
          <w:rFonts w:eastAsia="Times New Roman" w:cstheme="minorHAnsi"/>
          <w:color w:val="000000"/>
          <w:lang w:eastAsia="en-GB"/>
        </w:rPr>
        <w:t xml:space="preserve">and determined properly in order </w:t>
      </w:r>
      <w:r w:rsidRPr="00E94B02">
        <w:rPr>
          <w:rFonts w:eastAsia="Times New Roman" w:cstheme="minorHAnsi"/>
          <w:color w:val="000000"/>
          <w:lang w:eastAsia="en-GB"/>
        </w:rPr>
        <w:t>to ensure a correct application of th</w:t>
      </w:r>
      <w:r>
        <w:rPr>
          <w:rFonts w:eastAsia="Times New Roman" w:cstheme="minorHAnsi"/>
          <w:color w:val="000000"/>
          <w:lang w:eastAsia="en-GB"/>
        </w:rPr>
        <w:t>e</w:t>
      </w:r>
      <w:r w:rsidRPr="00E94B02">
        <w:rPr>
          <w:rFonts w:eastAsia="Times New Roman" w:cstheme="minorHAnsi"/>
          <w:color w:val="000000"/>
          <w:lang w:eastAsia="en-GB"/>
        </w:rPr>
        <w:t xml:space="preserve"> threshold</w:t>
      </w:r>
      <w:r>
        <w:rPr>
          <w:rFonts w:eastAsia="Times New Roman" w:cstheme="minorHAnsi"/>
          <w:color w:val="000000"/>
          <w:lang w:eastAsia="en-GB"/>
        </w:rPr>
        <w:t>s</w:t>
      </w:r>
      <w:r w:rsidRPr="00E94B02">
        <w:rPr>
          <w:rFonts w:eastAsia="Times New Roman" w:cstheme="minorHAnsi"/>
          <w:color w:val="000000"/>
          <w:lang w:eastAsia="en-GB"/>
        </w:rPr>
        <w:t>.</w:t>
      </w:r>
      <w:permEnd w:id="193"/>
      <w:r w:rsidR="00577C33">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D04F27" w:rsidRPr="002B2A67" w:rsidRDefault="00D04F27" w:rsidP="00D04F27">
      <w:pPr>
        <w:spacing w:line="240" w:lineRule="auto"/>
        <w:ind w:left="720"/>
        <w:contextualSpacing/>
        <w:rPr>
          <w:rFonts w:eastAsia="Times New Roman" w:cstheme="minorHAnsi"/>
          <w:color w:val="000000"/>
          <w:lang w:eastAsia="en-GB"/>
        </w:rPr>
      </w:pPr>
      <w:permStart w:id="194" w:edGrp="everyone"/>
    </w:p>
    <w:p w:rsidR="00D04F27" w:rsidRPr="00853455" w:rsidRDefault="00D04F27" w:rsidP="00D04F27">
      <w:pPr>
        <w:spacing w:line="240" w:lineRule="auto"/>
        <w:contextualSpacing/>
        <w:rPr>
          <w:rFonts w:eastAsia="Times New Roman" w:cstheme="minorHAnsi"/>
          <w:color w:val="000000"/>
          <w:lang w:eastAsia="en-GB"/>
        </w:rPr>
      </w:pPr>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believes that 40% of deliverable supply should be an indicative boundary rather than a hard cap.  This is because particular circumstances </w:t>
      </w:r>
      <w:r>
        <w:rPr>
          <w:rFonts w:eastAsia="Times New Roman" w:cstheme="minorHAnsi"/>
          <w:color w:val="000000"/>
          <w:lang w:eastAsia="en-GB"/>
        </w:rPr>
        <w:t xml:space="preserve">may occur </w:t>
      </w:r>
      <w:r w:rsidRPr="006C13B4">
        <w:rPr>
          <w:rFonts w:eastAsia="Times New Roman" w:cstheme="minorHAnsi"/>
          <w:color w:val="000000"/>
          <w:lang w:eastAsia="en-GB"/>
        </w:rPr>
        <w:t xml:space="preserve">in which greater flexibility is appropriate. For </w:t>
      </w:r>
      <w:r>
        <w:rPr>
          <w:rFonts w:eastAsia="Times New Roman" w:cstheme="minorHAnsi"/>
          <w:color w:val="000000"/>
          <w:lang w:eastAsia="en-GB"/>
        </w:rPr>
        <w:t>instance</w:t>
      </w:r>
      <w:r w:rsidRPr="00853455">
        <w:rPr>
          <w:rFonts w:eastAsia="Times New Roman" w:cstheme="minorHAnsi"/>
          <w:color w:val="000000"/>
          <w:lang w:eastAsia="en-GB"/>
        </w:rPr>
        <w:t>, a figure of 40% may be too restrictive for certain nascent or niche products (</w:t>
      </w:r>
      <w:r>
        <w:rPr>
          <w:rFonts w:eastAsia="Times New Roman" w:cstheme="minorHAnsi"/>
          <w:color w:val="000000"/>
          <w:lang w:eastAsia="en-GB"/>
        </w:rPr>
        <w:t>cf.</w:t>
      </w:r>
      <w:r w:rsidRPr="00853455">
        <w:rPr>
          <w:rFonts w:eastAsia="Times New Roman" w:cstheme="minorHAnsi"/>
          <w:color w:val="000000"/>
          <w:lang w:eastAsia="en-GB"/>
        </w:rPr>
        <w:t xml:space="preserve"> </w:t>
      </w:r>
      <w:r>
        <w:rPr>
          <w:rFonts w:eastAsia="Times New Roman" w:cstheme="minorHAnsi"/>
          <w:color w:val="000000"/>
          <w:lang w:eastAsia="en-GB"/>
        </w:rPr>
        <w:t xml:space="preserve">our responses </w:t>
      </w:r>
      <w:r w:rsidRPr="00853455">
        <w:rPr>
          <w:rFonts w:eastAsia="Times New Roman" w:cstheme="minorHAnsi"/>
          <w:color w:val="000000"/>
          <w:lang w:eastAsia="en-GB"/>
        </w:rPr>
        <w:t>to Questions 189 and 195).</w:t>
      </w:r>
    </w:p>
    <w:p w:rsidR="00D04F27" w:rsidRPr="00853455" w:rsidRDefault="00D04F27" w:rsidP="00D04F27">
      <w:pPr>
        <w:spacing w:line="240" w:lineRule="auto"/>
        <w:contextualSpacing/>
        <w:rPr>
          <w:rFonts w:eastAsia="Times New Roman" w:cstheme="minorHAnsi"/>
          <w:color w:val="000000"/>
          <w:lang w:eastAsia="en-GB"/>
        </w:rPr>
      </w:pPr>
    </w:p>
    <w:p w:rsidR="00577C33" w:rsidRDefault="00D04F27" w:rsidP="00EC2C93">
      <w:pPr>
        <w:keepNext/>
      </w:pPr>
      <w:r w:rsidRPr="005C3FD7">
        <w:rPr>
          <w:rFonts w:eastAsia="Times New Roman" w:cstheme="minorHAnsi"/>
          <w:color w:val="000000"/>
          <w:lang w:eastAsia="en-GB"/>
        </w:rPr>
        <w:t xml:space="preserve">Yet, it </w:t>
      </w:r>
      <w:r>
        <w:rPr>
          <w:rFonts w:eastAsia="Times New Roman" w:cstheme="minorHAnsi"/>
          <w:color w:val="000000"/>
          <w:lang w:eastAsia="en-GB"/>
        </w:rPr>
        <w:t>remains</w:t>
      </w:r>
      <w:r w:rsidRPr="005C3FD7">
        <w:rPr>
          <w:rFonts w:eastAsia="Times New Roman" w:cstheme="minorHAnsi"/>
          <w:color w:val="000000"/>
          <w:lang w:eastAsia="en-GB"/>
        </w:rPr>
        <w:t xml:space="preserve"> difficult to assess th</w:t>
      </w:r>
      <w:r>
        <w:rPr>
          <w:rFonts w:eastAsia="Times New Roman" w:cstheme="minorHAnsi"/>
          <w:color w:val="000000"/>
          <w:lang w:eastAsia="en-GB"/>
        </w:rPr>
        <w:t>ese</w:t>
      </w:r>
      <w:r w:rsidRPr="005C3FD7">
        <w:rPr>
          <w:rFonts w:eastAsia="Times New Roman" w:cstheme="minorHAnsi"/>
          <w:color w:val="000000"/>
          <w:lang w:eastAsia="en-GB"/>
        </w:rPr>
        <w:t xml:space="preserve"> figure</w:t>
      </w:r>
      <w:r>
        <w:rPr>
          <w:rFonts w:eastAsia="Times New Roman" w:cstheme="minorHAnsi"/>
          <w:color w:val="000000"/>
          <w:lang w:eastAsia="en-GB"/>
        </w:rPr>
        <w:t>s</w:t>
      </w:r>
      <w:r w:rsidRPr="005C3FD7">
        <w:rPr>
          <w:rFonts w:eastAsia="Times New Roman" w:cstheme="minorHAnsi"/>
          <w:color w:val="000000"/>
          <w:lang w:eastAsia="en-GB"/>
        </w:rPr>
        <w:t xml:space="preserve"> exactly as no further inform</w:t>
      </w:r>
      <w:r w:rsidRPr="00041826">
        <w:rPr>
          <w:rFonts w:eastAsia="Times New Roman" w:cstheme="minorHAnsi"/>
          <w:color w:val="000000"/>
          <w:lang w:eastAsia="en-GB"/>
        </w:rPr>
        <w:t xml:space="preserve">ation on how deliverable supply </w:t>
      </w:r>
      <w:r>
        <w:rPr>
          <w:rFonts w:eastAsia="Times New Roman" w:cstheme="minorHAnsi"/>
          <w:color w:val="000000"/>
          <w:lang w:eastAsia="en-GB"/>
        </w:rPr>
        <w:t>will be</w:t>
      </w:r>
      <w:r w:rsidRPr="00041826">
        <w:rPr>
          <w:rFonts w:eastAsia="Times New Roman" w:cstheme="minorHAnsi"/>
          <w:color w:val="000000"/>
          <w:lang w:eastAsia="en-GB"/>
        </w:rPr>
        <w:t xml:space="preserve"> calculated</w:t>
      </w:r>
      <w:r>
        <w:rPr>
          <w:rFonts w:eastAsia="Times New Roman" w:cstheme="minorHAnsi"/>
          <w:color w:val="000000"/>
          <w:lang w:eastAsia="en-GB"/>
        </w:rPr>
        <w:t xml:space="preserve"> is available for the time being</w:t>
      </w:r>
      <w:r w:rsidRPr="00041826">
        <w:rPr>
          <w:rFonts w:eastAsia="Times New Roman" w:cstheme="minorHAnsi"/>
          <w:color w:val="000000"/>
          <w:lang w:eastAsia="en-GB"/>
        </w:rPr>
        <w:t>.</w:t>
      </w:r>
      <w:permEnd w:id="194"/>
      <w:r w:rsidR="00577C33">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lastRenderedPageBreak/>
        <w:t>&lt;ESMA_QUESTION_CP_MIFID_186&gt;</w:t>
      </w:r>
    </w:p>
    <w:p w:rsidR="00D04F27" w:rsidRPr="004B0CDB" w:rsidRDefault="00D04F27" w:rsidP="00D04F27">
      <w:pPr>
        <w:tabs>
          <w:tab w:val="left" w:pos="1650"/>
        </w:tabs>
        <w:rPr>
          <w:rFonts w:eastAsia="Times New Roman" w:cstheme="minorHAnsi"/>
          <w:lang w:eastAsia="en-GB"/>
        </w:rPr>
      </w:pPr>
      <w:permStart w:id="195" w:edGrp="everyone"/>
      <w:r>
        <w:rPr>
          <w:rFonts w:eastAsia="Times New Roman" w:cstheme="minorHAnsi"/>
          <w:lang w:eastAsia="en-GB"/>
        </w:rPr>
        <w:t xml:space="preserve">+/- </w:t>
      </w:r>
      <w:r w:rsidRPr="002B51DB">
        <w:rPr>
          <w:rFonts w:eastAsia="Times New Roman" w:cstheme="minorHAnsi"/>
          <w:lang w:eastAsia="en-GB"/>
        </w:rPr>
        <w:t xml:space="preserve">15% seems to be a reasonable number provided </w:t>
      </w:r>
      <w:r w:rsidRPr="00301B57">
        <w:rPr>
          <w:rFonts w:eastAsia="Times New Roman" w:cstheme="minorHAnsi"/>
          <w:lang w:eastAsia="en-GB"/>
        </w:rPr>
        <w:t>that it remains an indicative boundary</w:t>
      </w:r>
      <w:r w:rsidRPr="00A16621">
        <w:rPr>
          <w:rFonts w:eastAsia="Times New Roman" w:cstheme="minorHAnsi"/>
          <w:lang w:eastAsia="en-GB"/>
        </w:rPr>
        <w:t xml:space="preserve"> rather than </w:t>
      </w:r>
      <w:r>
        <w:rPr>
          <w:rFonts w:eastAsia="Times New Roman" w:cstheme="minorHAnsi"/>
          <w:lang w:eastAsia="en-GB"/>
        </w:rPr>
        <w:t xml:space="preserve">a </w:t>
      </w:r>
      <w:r w:rsidRPr="004B0CDB">
        <w:rPr>
          <w:rFonts w:eastAsia="Times New Roman" w:cstheme="minorHAnsi"/>
          <w:lang w:eastAsia="en-GB"/>
        </w:rPr>
        <w:t>hard cap</w:t>
      </w:r>
      <w:r>
        <w:rPr>
          <w:rFonts w:eastAsia="Times New Roman" w:cstheme="minorHAnsi"/>
          <w:lang w:eastAsia="en-GB"/>
        </w:rPr>
        <w:t xml:space="preserve"> / floor</w:t>
      </w:r>
      <w:r w:rsidRPr="004B0CDB">
        <w:rPr>
          <w:rFonts w:eastAsia="Times New Roman" w:cstheme="minorHAnsi"/>
          <w:lang w:eastAsia="en-GB"/>
        </w:rPr>
        <w:t>.  As the methodolog</w:t>
      </w:r>
      <w:r>
        <w:rPr>
          <w:rFonts w:eastAsia="Times New Roman" w:cstheme="minorHAnsi"/>
          <w:lang w:eastAsia="en-GB"/>
        </w:rPr>
        <w:t>ies</w:t>
      </w:r>
      <w:r w:rsidRPr="004B0CDB">
        <w:rPr>
          <w:rFonts w:eastAsia="Times New Roman" w:cstheme="minorHAnsi"/>
          <w:lang w:eastAsia="en-GB"/>
        </w:rPr>
        <w:t xml:space="preserve"> for setting position limits and deliverable supply </w:t>
      </w:r>
      <w:r>
        <w:rPr>
          <w:rFonts w:eastAsia="Times New Roman" w:cstheme="minorHAnsi"/>
          <w:lang w:eastAsia="en-GB"/>
        </w:rPr>
        <w:t>are</w:t>
      </w:r>
      <w:r w:rsidRPr="004B0CDB">
        <w:rPr>
          <w:rFonts w:eastAsia="Times New Roman" w:cstheme="minorHAnsi"/>
          <w:lang w:eastAsia="en-GB"/>
        </w:rPr>
        <w:t xml:space="preserve"> not totally clear yet, it is difficult to assess more precisely the impact of such </w:t>
      </w:r>
      <w:r>
        <w:rPr>
          <w:rFonts w:eastAsia="Times New Roman" w:cstheme="minorHAnsi"/>
          <w:lang w:eastAsia="en-GB"/>
        </w:rPr>
        <w:t xml:space="preserve">+/- </w:t>
      </w:r>
      <w:r w:rsidRPr="004B0CDB">
        <w:rPr>
          <w:rFonts w:eastAsia="Times New Roman" w:cstheme="minorHAnsi"/>
          <w:lang w:eastAsia="en-GB"/>
        </w:rPr>
        <w:t>15% parameter</w:t>
      </w:r>
      <w:r>
        <w:rPr>
          <w:rFonts w:eastAsia="Times New Roman" w:cstheme="minorHAnsi"/>
          <w:lang w:eastAsia="en-GB"/>
        </w:rPr>
        <w:t>s</w:t>
      </w:r>
      <w:r w:rsidRPr="004B0CDB">
        <w:rPr>
          <w:rFonts w:eastAsia="Times New Roman" w:cstheme="minorHAnsi"/>
          <w:lang w:eastAsia="en-GB"/>
        </w:rPr>
        <w:t xml:space="preserve">. </w:t>
      </w:r>
    </w:p>
    <w:p w:rsidR="00577C33" w:rsidRDefault="00D04F27" w:rsidP="00EC2C93">
      <w:pPr>
        <w:keepNext/>
      </w:pPr>
      <w:proofErr w:type="spellStart"/>
      <w:r w:rsidRPr="002B51DB">
        <w:rPr>
          <w:rFonts w:eastAsia="Times New Roman" w:cstheme="minorHAnsi"/>
          <w:lang w:eastAsia="en-GB"/>
        </w:rPr>
        <w:t>Europex</w:t>
      </w:r>
      <w:proofErr w:type="spellEnd"/>
      <w:r w:rsidRPr="002B51DB">
        <w:rPr>
          <w:rFonts w:eastAsia="Times New Roman" w:cstheme="minorHAnsi"/>
          <w:lang w:eastAsia="en-GB"/>
        </w:rPr>
        <w:t xml:space="preserve"> believes that some of the factors which ESMA may use to alter the baseline level should be given greater weight than others, given their greater relevance to orderly markets and pricing considerations (</w:t>
      </w:r>
      <w:r>
        <w:rPr>
          <w:rFonts w:eastAsia="Times New Roman" w:cstheme="minorHAnsi"/>
          <w:lang w:eastAsia="en-GB"/>
        </w:rPr>
        <w:t xml:space="preserve">Cf. our response to </w:t>
      </w:r>
      <w:r w:rsidRPr="002B51DB">
        <w:rPr>
          <w:rFonts w:eastAsia="Times New Roman" w:cstheme="minorHAnsi"/>
          <w:lang w:eastAsia="en-GB"/>
        </w:rPr>
        <w:t>Question 187 for further details).</w:t>
      </w:r>
      <w:permEnd w:id="195"/>
      <w:r w:rsidR="00577C33">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D04F27" w:rsidRPr="00713CB2" w:rsidRDefault="00D04F27" w:rsidP="00D04F27">
      <w:pPr>
        <w:spacing w:line="240" w:lineRule="auto"/>
        <w:rPr>
          <w:rFonts w:eastAsia="Times New Roman" w:cstheme="minorHAnsi"/>
          <w:color w:val="000000"/>
          <w:lang w:eastAsia="en-GB"/>
        </w:rPr>
      </w:pPr>
      <w:permStart w:id="196" w:edGrp="everyone"/>
      <w:proofErr w:type="spellStart"/>
      <w:r>
        <w:rPr>
          <w:rFonts w:eastAsia="Times New Roman" w:cstheme="minorHAnsi"/>
          <w:color w:val="000000"/>
          <w:lang w:eastAsia="en-GB"/>
        </w:rPr>
        <w:t>Europex</w:t>
      </w:r>
      <w:proofErr w:type="spellEnd"/>
      <w:r>
        <w:rPr>
          <w:rFonts w:eastAsia="Times New Roman" w:cstheme="minorHAnsi"/>
          <w:color w:val="000000"/>
          <w:lang w:eastAsia="en-GB"/>
        </w:rPr>
        <w:t xml:space="preserve"> is convinced that the</w:t>
      </w:r>
      <w:r w:rsidRPr="00ED4326">
        <w:rPr>
          <w:rFonts w:eastAsia="Times New Roman" w:cstheme="minorHAnsi"/>
          <w:color w:val="000000"/>
          <w:lang w:eastAsia="en-GB"/>
        </w:rPr>
        <w:t xml:space="preserve"> </w:t>
      </w:r>
      <w:r>
        <w:rPr>
          <w:rFonts w:eastAsia="Times New Roman" w:cstheme="minorHAnsi"/>
          <w:color w:val="000000"/>
          <w:lang w:eastAsia="en-GB"/>
        </w:rPr>
        <w:t xml:space="preserve">listed </w:t>
      </w:r>
      <w:r w:rsidRPr="003150A5">
        <w:rPr>
          <w:rFonts w:eastAsia="Times New Roman" w:cstheme="minorHAnsi"/>
          <w:color w:val="000000"/>
          <w:lang w:eastAsia="en-GB"/>
        </w:rPr>
        <w:t xml:space="preserve">factors in question should not </w:t>
      </w:r>
      <w:r>
        <w:rPr>
          <w:rFonts w:eastAsia="Times New Roman" w:cstheme="minorHAnsi"/>
          <w:color w:val="000000"/>
          <w:lang w:eastAsia="en-GB"/>
        </w:rPr>
        <w:t>be</w:t>
      </w:r>
      <w:r w:rsidRPr="003150A5">
        <w:rPr>
          <w:rFonts w:eastAsia="Times New Roman" w:cstheme="minorHAnsi"/>
          <w:color w:val="000000"/>
          <w:lang w:eastAsia="en-GB"/>
        </w:rPr>
        <w:t xml:space="preserve"> equal</w:t>
      </w:r>
      <w:r>
        <w:rPr>
          <w:rFonts w:eastAsia="Times New Roman" w:cstheme="minorHAnsi"/>
          <w:color w:val="000000"/>
          <w:lang w:eastAsia="en-GB"/>
        </w:rPr>
        <w:t>ly</w:t>
      </w:r>
      <w:r w:rsidRPr="003150A5">
        <w:rPr>
          <w:rFonts w:eastAsia="Times New Roman" w:cstheme="minorHAnsi"/>
          <w:color w:val="000000"/>
          <w:lang w:eastAsia="en-GB"/>
        </w:rPr>
        <w:t xml:space="preserve"> weight</w:t>
      </w:r>
      <w:r>
        <w:rPr>
          <w:rFonts w:eastAsia="Times New Roman" w:cstheme="minorHAnsi"/>
          <w:color w:val="000000"/>
          <w:lang w:eastAsia="en-GB"/>
        </w:rPr>
        <w:t>ed</w:t>
      </w:r>
      <w:r w:rsidRPr="003150A5">
        <w:rPr>
          <w:rFonts w:eastAsia="Times New Roman" w:cstheme="minorHAnsi"/>
          <w:color w:val="000000"/>
          <w:lang w:eastAsia="en-GB"/>
        </w:rPr>
        <w:t xml:space="preserve">. </w:t>
      </w:r>
      <w:proofErr w:type="spellStart"/>
      <w:r>
        <w:rPr>
          <w:rFonts w:eastAsia="Times New Roman" w:cstheme="minorHAnsi"/>
          <w:color w:val="000000"/>
          <w:lang w:eastAsia="en-GB"/>
        </w:rPr>
        <w:t>Europex</w:t>
      </w:r>
      <w:proofErr w:type="spellEnd"/>
      <w:r w:rsidRPr="00810B5D">
        <w:rPr>
          <w:rFonts w:eastAsia="Times New Roman" w:cstheme="minorHAnsi"/>
          <w:color w:val="000000"/>
          <w:lang w:eastAsia="en-GB"/>
        </w:rPr>
        <w:t xml:space="preserve"> favour</w:t>
      </w:r>
      <w:r>
        <w:rPr>
          <w:rFonts w:eastAsia="Times New Roman" w:cstheme="minorHAnsi"/>
          <w:color w:val="000000"/>
          <w:lang w:eastAsia="en-GB"/>
        </w:rPr>
        <w:t>s</w:t>
      </w:r>
      <w:r w:rsidRPr="00810B5D">
        <w:rPr>
          <w:rFonts w:eastAsia="Times New Roman" w:cstheme="minorHAnsi"/>
          <w:color w:val="000000"/>
          <w:lang w:eastAsia="en-GB"/>
        </w:rPr>
        <w:t xml:space="preserve"> the option to take deliverable supply as a baseline </w:t>
      </w:r>
      <w:r>
        <w:rPr>
          <w:rFonts w:eastAsia="Times New Roman" w:cstheme="minorHAnsi"/>
          <w:color w:val="000000"/>
          <w:lang w:eastAsia="en-GB"/>
        </w:rPr>
        <w:t>from</w:t>
      </w:r>
      <w:r w:rsidRPr="00810B5D">
        <w:rPr>
          <w:rFonts w:eastAsia="Times New Roman" w:cstheme="minorHAnsi"/>
          <w:color w:val="000000"/>
          <w:lang w:eastAsia="en-GB"/>
        </w:rPr>
        <w:t xml:space="preserve"> which to apply position limits. For </w:t>
      </w:r>
      <w:r w:rsidRPr="00810B5D">
        <w:t>parameters altering the baseline position</w:t>
      </w:r>
      <w:r w:rsidRPr="00BF4C8A">
        <w:rPr>
          <w:rFonts w:eastAsia="Times New Roman" w:cstheme="minorHAnsi"/>
          <w:color w:val="000000"/>
          <w:lang w:eastAsia="en-GB"/>
        </w:rPr>
        <w:t xml:space="preserve">, most weight should be </w:t>
      </w:r>
      <w:r>
        <w:rPr>
          <w:rFonts w:eastAsia="Times New Roman" w:cstheme="minorHAnsi"/>
          <w:color w:val="000000"/>
          <w:lang w:eastAsia="en-GB"/>
        </w:rPr>
        <w:t>given</w:t>
      </w:r>
      <w:r w:rsidRPr="00BF4C8A">
        <w:rPr>
          <w:rFonts w:eastAsia="Times New Roman" w:cstheme="minorHAnsi"/>
          <w:color w:val="000000"/>
          <w:lang w:eastAsia="en-GB"/>
        </w:rPr>
        <w:t xml:space="preserve"> to the size of deliverable supply, </w:t>
      </w:r>
      <w:r>
        <w:rPr>
          <w:rFonts w:eastAsia="Times New Roman" w:cstheme="minorHAnsi"/>
          <w:color w:val="000000"/>
          <w:lang w:eastAsia="en-GB"/>
        </w:rPr>
        <w:t xml:space="preserve">the </w:t>
      </w:r>
      <w:r w:rsidRPr="00BF4C8A">
        <w:rPr>
          <w:rFonts w:eastAsia="Times New Roman" w:cstheme="minorHAnsi"/>
          <w:color w:val="000000"/>
          <w:lang w:eastAsia="en-GB"/>
        </w:rPr>
        <w:t>maturity of the contracts and the state of development of the market</w:t>
      </w:r>
      <w:r>
        <w:rPr>
          <w:rFonts w:eastAsia="Times New Roman" w:cstheme="minorHAnsi"/>
          <w:color w:val="000000"/>
          <w:lang w:eastAsia="en-GB"/>
        </w:rPr>
        <w:t>.</w:t>
      </w:r>
      <w:r w:rsidRPr="00BF4C8A">
        <w:rPr>
          <w:rFonts w:eastAsia="Times New Roman" w:cstheme="minorHAnsi"/>
          <w:color w:val="000000"/>
          <w:lang w:eastAsia="en-GB"/>
        </w:rPr>
        <w:t xml:space="preserve"> </w:t>
      </w:r>
      <w:r>
        <w:rPr>
          <w:rFonts w:eastAsia="Times New Roman" w:cstheme="minorHAnsi"/>
          <w:color w:val="000000"/>
          <w:lang w:eastAsia="en-GB"/>
        </w:rPr>
        <w:t>T</w:t>
      </w:r>
      <w:r w:rsidRPr="00BF4C8A">
        <w:rPr>
          <w:rFonts w:eastAsia="Times New Roman" w:cstheme="minorHAnsi"/>
          <w:color w:val="000000"/>
          <w:lang w:eastAsia="en-GB"/>
        </w:rPr>
        <w:t xml:space="preserve">hese </w:t>
      </w:r>
      <w:r>
        <w:rPr>
          <w:rFonts w:eastAsia="Times New Roman" w:cstheme="minorHAnsi"/>
          <w:color w:val="000000"/>
          <w:lang w:eastAsia="en-GB"/>
        </w:rPr>
        <w:t xml:space="preserve">three </w:t>
      </w:r>
      <w:r w:rsidRPr="00BF4C8A">
        <w:rPr>
          <w:rFonts w:eastAsia="Times New Roman" w:cstheme="minorHAnsi"/>
          <w:color w:val="000000"/>
          <w:lang w:eastAsia="en-GB"/>
        </w:rPr>
        <w:t xml:space="preserve">are the key factors </w:t>
      </w:r>
      <w:r>
        <w:rPr>
          <w:rFonts w:eastAsia="Times New Roman" w:cstheme="minorHAnsi"/>
          <w:color w:val="000000"/>
          <w:lang w:eastAsia="en-GB"/>
        </w:rPr>
        <w:t>for</w:t>
      </w:r>
      <w:r w:rsidRPr="00BF4C8A">
        <w:rPr>
          <w:rFonts w:eastAsia="Times New Roman" w:cstheme="minorHAnsi"/>
          <w:color w:val="000000"/>
          <w:lang w:eastAsia="en-GB"/>
        </w:rPr>
        <w:t xml:space="preserve"> the design of position limits which support orderly pricing and settlement conditions and prevent market abuse.  A second category of factors should be given a medium weighting (i.e. number and size of participants, characteristics of the underlying market and new contracts), as they are also relevant </w:t>
      </w:r>
      <w:r>
        <w:rPr>
          <w:rFonts w:eastAsia="Times New Roman" w:cstheme="minorHAnsi"/>
          <w:color w:val="000000"/>
          <w:lang w:eastAsia="en-GB"/>
        </w:rPr>
        <w:t>for</w:t>
      </w:r>
      <w:r w:rsidRPr="00BF4C8A">
        <w:rPr>
          <w:rFonts w:eastAsia="Times New Roman" w:cstheme="minorHAnsi"/>
          <w:color w:val="000000"/>
          <w:lang w:eastAsia="en-GB"/>
        </w:rPr>
        <w:t xml:space="preserve"> calibrating the application of</w:t>
      </w:r>
      <w:r w:rsidRPr="00713CB2">
        <w:rPr>
          <w:rFonts w:eastAsia="Times New Roman" w:cstheme="minorHAnsi"/>
          <w:color w:val="000000"/>
          <w:lang w:eastAsia="en-GB"/>
        </w:rPr>
        <w:t xml:space="preserve"> position limits </w:t>
      </w:r>
      <w:r>
        <w:rPr>
          <w:rFonts w:eastAsia="Times New Roman" w:cstheme="minorHAnsi"/>
          <w:color w:val="000000"/>
          <w:lang w:eastAsia="en-GB"/>
        </w:rPr>
        <w:t>in</w:t>
      </w:r>
      <w:r w:rsidRPr="00713CB2">
        <w:rPr>
          <w:rFonts w:eastAsia="Times New Roman" w:cstheme="minorHAnsi"/>
          <w:color w:val="000000"/>
          <w:lang w:eastAsia="en-GB"/>
        </w:rPr>
        <w:t xml:space="preserve"> the market in question.  </w:t>
      </w:r>
    </w:p>
    <w:p w:rsidR="00D04F27" w:rsidRPr="00FA6D42" w:rsidRDefault="00D04F27" w:rsidP="00D04F27">
      <w:pPr>
        <w:spacing w:line="240" w:lineRule="auto"/>
        <w:rPr>
          <w:rFonts w:eastAsia="Times New Roman" w:cstheme="minorHAnsi"/>
          <w:color w:val="000000"/>
          <w:lang w:eastAsia="en-GB"/>
        </w:rPr>
      </w:pPr>
    </w:p>
    <w:p w:rsidR="00D04F27" w:rsidRPr="00FA6D42" w:rsidRDefault="00D04F27" w:rsidP="00D04F27">
      <w:pPr>
        <w:spacing w:line="240" w:lineRule="auto"/>
        <w:rPr>
          <w:rFonts w:eastAsia="Times New Roman" w:cstheme="minorHAnsi"/>
          <w:color w:val="000000"/>
          <w:lang w:eastAsia="en-GB"/>
        </w:rPr>
      </w:pPr>
      <w:r w:rsidRPr="00FA6D42">
        <w:rPr>
          <w:rFonts w:eastAsia="Times New Roman" w:cstheme="minorHAnsi"/>
          <w:color w:val="000000"/>
          <w:lang w:eastAsia="en-GB"/>
        </w:rPr>
        <w:t>A third category should be given a low w</w:t>
      </w:r>
      <w:r w:rsidRPr="003150A5">
        <w:rPr>
          <w:rFonts w:eastAsia="Times New Roman" w:cstheme="minorHAnsi"/>
          <w:color w:val="000000"/>
          <w:lang w:eastAsia="en-GB"/>
        </w:rPr>
        <w:t>eighting</w:t>
      </w:r>
      <w:r>
        <w:rPr>
          <w:rFonts w:eastAsia="Times New Roman" w:cstheme="minorHAnsi"/>
          <w:color w:val="000000"/>
          <w:lang w:eastAsia="en-GB"/>
        </w:rPr>
        <w:t xml:space="preserve"> (</w:t>
      </w:r>
      <w:r w:rsidRPr="00FA6D42">
        <w:rPr>
          <w:rFonts w:eastAsia="Times New Roman" w:cstheme="minorHAnsi"/>
          <w:color w:val="000000"/>
          <w:lang w:eastAsia="en-GB"/>
        </w:rPr>
        <w:t>i.e. open interest and volatility</w:t>
      </w:r>
      <w:r>
        <w:rPr>
          <w:rFonts w:eastAsia="Times New Roman" w:cstheme="minorHAnsi"/>
          <w:color w:val="000000"/>
          <w:lang w:eastAsia="en-GB"/>
        </w:rPr>
        <w:t>)</w:t>
      </w:r>
      <w:r w:rsidRPr="00FA6D42">
        <w:rPr>
          <w:rFonts w:eastAsia="Times New Roman" w:cstheme="minorHAnsi"/>
          <w:color w:val="000000"/>
          <w:lang w:eastAsia="en-GB"/>
        </w:rPr>
        <w:t xml:space="preserve"> for the </w:t>
      </w:r>
      <w:r>
        <w:rPr>
          <w:rFonts w:eastAsia="Times New Roman" w:cstheme="minorHAnsi"/>
          <w:color w:val="000000"/>
          <w:lang w:eastAsia="en-GB"/>
        </w:rPr>
        <w:t xml:space="preserve">following </w:t>
      </w:r>
      <w:r w:rsidRPr="00FA6D42">
        <w:rPr>
          <w:rFonts w:eastAsia="Times New Roman" w:cstheme="minorHAnsi"/>
          <w:color w:val="000000"/>
          <w:lang w:eastAsia="en-GB"/>
        </w:rPr>
        <w:t>reasons</w:t>
      </w:r>
      <w:r>
        <w:rPr>
          <w:rFonts w:eastAsia="Times New Roman" w:cstheme="minorHAnsi"/>
          <w:color w:val="000000"/>
          <w:lang w:eastAsia="en-GB"/>
        </w:rPr>
        <w:t>:</w:t>
      </w:r>
    </w:p>
    <w:p w:rsidR="00D04F27" w:rsidRPr="002B2A67" w:rsidRDefault="00D04F27" w:rsidP="00D04F27">
      <w:pPr>
        <w:pStyle w:val="ListParagraph"/>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t>Open interest should not be viewed in isolation. It is unavoidably backward-looking and presupposes a certain number of participants in the market in order to work. For instance, a per-participant limit of 5% of the open interest would require at least 20 participants</w:t>
      </w:r>
      <w:r>
        <w:rPr>
          <w:rFonts w:eastAsia="Times New Roman" w:cstheme="minorHAnsi"/>
          <w:color w:val="000000"/>
          <w:lang w:eastAsia="en-GB"/>
        </w:rPr>
        <w:t xml:space="preserve"> with 5% of open interest each</w:t>
      </w:r>
      <w:r w:rsidRPr="002B2A67">
        <w:rPr>
          <w:rFonts w:eastAsia="Times New Roman" w:cstheme="minorHAnsi"/>
          <w:color w:val="000000"/>
          <w:lang w:eastAsia="en-GB"/>
        </w:rPr>
        <w:t xml:space="preserve">. This cannot be assumed to </w:t>
      </w:r>
      <w:r w:rsidRPr="007D7F54">
        <w:rPr>
          <w:rFonts w:eastAsia="Times New Roman" w:cstheme="minorHAnsi"/>
          <w:color w:val="000000"/>
          <w:lang w:eastAsia="en-GB"/>
        </w:rPr>
        <w:t xml:space="preserve">always </w:t>
      </w:r>
      <w:r w:rsidRPr="002B2A67">
        <w:rPr>
          <w:rFonts w:eastAsia="Times New Roman" w:cstheme="minorHAnsi"/>
          <w:color w:val="000000"/>
          <w:lang w:eastAsia="en-GB"/>
        </w:rPr>
        <w:t>be the case.  Indeed, in the interests of the efficacy of nascent or niche markets – in which there may be only a handful of active market participants – it might be necessary to introduce a threshold level below which the application of position limits would be suspended.</w:t>
      </w:r>
    </w:p>
    <w:p w:rsidR="00D04F27" w:rsidRPr="002B2A67" w:rsidRDefault="00D04F27" w:rsidP="00D04F27">
      <w:pPr>
        <w:pStyle w:val="ListParagraph"/>
        <w:numPr>
          <w:ilvl w:val="0"/>
          <w:numId w:val="35"/>
        </w:numPr>
        <w:spacing w:line="240" w:lineRule="auto"/>
        <w:rPr>
          <w:rFonts w:eastAsia="Times New Roman" w:cstheme="minorHAnsi"/>
          <w:color w:val="000000"/>
          <w:lang w:eastAsia="en-GB"/>
        </w:rPr>
      </w:pPr>
      <w:r>
        <w:rPr>
          <w:rFonts w:eastAsia="Times New Roman" w:cstheme="minorHAnsi"/>
          <w:color w:val="000000"/>
          <w:lang w:eastAsia="en-GB"/>
        </w:rPr>
        <w:t>Another factor is</w:t>
      </w:r>
      <w:r w:rsidRPr="002B2A67">
        <w:rPr>
          <w:rFonts w:eastAsia="Times New Roman" w:cstheme="minorHAnsi"/>
          <w:color w:val="000000"/>
          <w:lang w:eastAsia="en-GB"/>
        </w:rPr>
        <w:t xml:space="preserve"> “volatility”</w:t>
      </w:r>
      <w:r>
        <w:rPr>
          <w:rFonts w:eastAsia="Times New Roman" w:cstheme="minorHAnsi"/>
          <w:color w:val="000000"/>
          <w:lang w:eastAsia="en-GB"/>
        </w:rPr>
        <w:t>.</w:t>
      </w:r>
      <w:r w:rsidRPr="002B2A67">
        <w:rPr>
          <w:rFonts w:eastAsia="Times New Roman" w:cstheme="minorHAnsi"/>
          <w:color w:val="000000"/>
          <w:lang w:eastAsia="en-GB"/>
        </w:rPr>
        <w:t xml:space="preserve"> </w:t>
      </w:r>
      <w:r>
        <w:rPr>
          <w:rFonts w:eastAsia="Times New Roman" w:cstheme="minorHAnsi"/>
          <w:color w:val="000000"/>
          <w:lang w:eastAsia="en-GB"/>
        </w:rPr>
        <w:t>T</w:t>
      </w:r>
      <w:r w:rsidRPr="002B2A67">
        <w:rPr>
          <w:rFonts w:eastAsia="Times New Roman" w:cstheme="minorHAnsi"/>
          <w:color w:val="000000"/>
          <w:lang w:eastAsia="en-GB"/>
        </w:rPr>
        <w:t>h</w:t>
      </w:r>
      <w:r>
        <w:rPr>
          <w:rFonts w:eastAsia="Times New Roman" w:cstheme="minorHAnsi"/>
          <w:color w:val="000000"/>
          <w:lang w:eastAsia="en-GB"/>
        </w:rPr>
        <w:t>is</w:t>
      </w:r>
      <w:r w:rsidRPr="002B2A67">
        <w:rPr>
          <w:rFonts w:eastAsia="Times New Roman" w:cstheme="minorHAnsi"/>
          <w:color w:val="000000"/>
          <w:lang w:eastAsia="en-GB"/>
        </w:rPr>
        <w:t xml:space="preserve"> term is often </w:t>
      </w:r>
      <w:r>
        <w:rPr>
          <w:rFonts w:eastAsia="Times New Roman" w:cstheme="minorHAnsi"/>
          <w:color w:val="000000"/>
          <w:lang w:eastAsia="en-GB"/>
        </w:rPr>
        <w:t>confusingly (</w:t>
      </w:r>
      <w:proofErr w:type="spellStart"/>
      <w:r>
        <w:rPr>
          <w:rFonts w:eastAsia="Times New Roman" w:cstheme="minorHAnsi"/>
          <w:color w:val="000000"/>
          <w:lang w:eastAsia="en-GB"/>
        </w:rPr>
        <w:t>mis</w:t>
      </w:r>
      <w:proofErr w:type="spellEnd"/>
      <w:r>
        <w:rPr>
          <w:rFonts w:eastAsia="Times New Roman" w:cstheme="minorHAnsi"/>
          <w:color w:val="000000"/>
          <w:lang w:eastAsia="en-GB"/>
        </w:rPr>
        <w:t>-)used</w:t>
      </w:r>
      <w:r w:rsidRPr="002B2A67">
        <w:rPr>
          <w:rFonts w:eastAsia="Times New Roman" w:cstheme="minorHAnsi"/>
          <w:color w:val="000000"/>
          <w:lang w:eastAsia="en-GB"/>
        </w:rPr>
        <w:t xml:space="preserve"> for </w:t>
      </w:r>
      <w:r>
        <w:rPr>
          <w:rFonts w:eastAsia="Times New Roman" w:cstheme="minorHAnsi"/>
          <w:color w:val="000000"/>
          <w:lang w:eastAsia="en-GB"/>
        </w:rPr>
        <w:t xml:space="preserve">describing </w:t>
      </w:r>
      <w:r w:rsidRPr="002B2A67">
        <w:rPr>
          <w:rFonts w:eastAsia="Times New Roman" w:cstheme="minorHAnsi"/>
          <w:color w:val="000000"/>
          <w:lang w:eastAsia="en-GB"/>
        </w:rPr>
        <w:t xml:space="preserve">pricing distortions </w:t>
      </w:r>
      <w:r>
        <w:rPr>
          <w:rFonts w:eastAsia="Times New Roman" w:cstheme="minorHAnsi"/>
          <w:color w:val="000000"/>
          <w:lang w:eastAsia="en-GB"/>
        </w:rPr>
        <w:t>that</w:t>
      </w:r>
      <w:r w:rsidRPr="002B2A67">
        <w:rPr>
          <w:rFonts w:eastAsia="Times New Roman" w:cstheme="minorHAnsi"/>
          <w:color w:val="000000"/>
          <w:lang w:eastAsia="en-GB"/>
        </w:rPr>
        <w:t xml:space="preserve"> can occur (whether for technical or nefarious reasons) in commodity markets as a contract approaches maturity. Rather than volatility per se (which implies that the price of the spot month is rising and falling sharply during a short </w:t>
      </w:r>
      <w:r>
        <w:rPr>
          <w:rFonts w:eastAsia="Times New Roman" w:cstheme="minorHAnsi"/>
          <w:color w:val="000000"/>
          <w:lang w:eastAsia="en-GB"/>
        </w:rPr>
        <w:t>period</w:t>
      </w:r>
      <w:r w:rsidRPr="002B2A67">
        <w:rPr>
          <w:rFonts w:eastAsia="Times New Roman" w:cstheme="minorHAnsi"/>
          <w:color w:val="000000"/>
          <w:lang w:eastAsia="en-GB"/>
        </w:rPr>
        <w:t xml:space="preserve"> of time), it is more likely that any pricing distortions would be characterised by increases or decreases in price in a clear direction and/or a change in the pricing relationship between the spot month and the next delivery month.  </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D04F27" w:rsidRPr="00301B57" w:rsidRDefault="00D04F27" w:rsidP="00D04F27">
      <w:pPr>
        <w:spacing w:line="240" w:lineRule="auto"/>
        <w:rPr>
          <w:rFonts w:eastAsia="Times New Roman" w:cstheme="minorHAnsi"/>
          <w:color w:val="000000"/>
          <w:lang w:eastAsia="en-GB"/>
        </w:rPr>
      </w:pPr>
      <w:permStart w:id="197" w:edGrp="everyone"/>
      <w:r w:rsidRPr="002B2A67">
        <w:rPr>
          <w:rFonts w:eastAsia="Times New Roman" w:cstheme="minorHAnsi"/>
          <w:color w:val="000000"/>
          <w:lang w:eastAsia="en-GB"/>
        </w:rPr>
        <w:t>As ESMA has proposed</w:t>
      </w:r>
      <w:r>
        <w:rPr>
          <w:rFonts w:eastAsia="Times New Roman" w:cstheme="minorHAnsi"/>
          <w:color w:val="000000"/>
          <w:lang w:eastAsia="en-GB"/>
        </w:rPr>
        <w:t xml:space="preserve"> in its CP</w:t>
      </w:r>
      <w:r w:rsidRPr="00301B57">
        <w:rPr>
          <w:rFonts w:eastAsia="Times New Roman" w:cstheme="minorHAnsi"/>
          <w:color w:val="000000"/>
          <w:lang w:eastAsia="en-GB"/>
        </w:rPr>
        <w:t xml:space="preserve">, the baseline level for both the spot month position limit and the other months position limit should be based on deliverable supply.  This is because </w:t>
      </w:r>
      <w:r>
        <w:rPr>
          <w:rFonts w:eastAsia="Times New Roman" w:cstheme="minorHAnsi"/>
          <w:color w:val="000000"/>
          <w:lang w:eastAsia="en-GB"/>
        </w:rPr>
        <w:t>of</w:t>
      </w:r>
      <w:r w:rsidRPr="00301B57">
        <w:rPr>
          <w:rFonts w:eastAsia="Times New Roman" w:cstheme="minorHAnsi"/>
          <w:color w:val="000000"/>
          <w:lang w:eastAsia="en-GB"/>
        </w:rPr>
        <w:t xml:space="preserve"> undue influence and control over deliverable supply, coupled with holding a significant futures position, which can </w:t>
      </w:r>
      <w:r>
        <w:rPr>
          <w:rFonts w:eastAsia="Times New Roman" w:cstheme="minorHAnsi"/>
          <w:color w:val="000000"/>
          <w:lang w:eastAsia="en-GB"/>
        </w:rPr>
        <w:t>result in a</w:t>
      </w:r>
      <w:r w:rsidRPr="00301B57">
        <w:rPr>
          <w:rFonts w:eastAsia="Times New Roman" w:cstheme="minorHAnsi"/>
          <w:color w:val="000000"/>
          <w:lang w:eastAsia="en-GB"/>
        </w:rPr>
        <w:t xml:space="preserve"> disorderly market.  </w:t>
      </w:r>
    </w:p>
    <w:p w:rsidR="00D04F27" w:rsidRPr="00301B57" w:rsidRDefault="00D04F27" w:rsidP="00D04F27">
      <w:pPr>
        <w:spacing w:line="240" w:lineRule="auto"/>
        <w:rPr>
          <w:rFonts w:eastAsia="Times New Roman" w:cstheme="minorHAnsi"/>
          <w:color w:val="000000"/>
          <w:lang w:eastAsia="en-GB"/>
        </w:rPr>
      </w:pPr>
    </w:p>
    <w:p w:rsidR="00D04F27" w:rsidRPr="00301B57" w:rsidRDefault="00D04F27" w:rsidP="00D04F27">
      <w:pPr>
        <w:spacing w:line="240" w:lineRule="auto"/>
        <w:rPr>
          <w:rFonts w:eastAsia="Times New Roman" w:cstheme="minorHAnsi"/>
          <w:color w:val="000000"/>
          <w:lang w:eastAsia="en-GB"/>
        </w:rPr>
      </w:pPr>
      <w:r w:rsidRPr="00301B57">
        <w:rPr>
          <w:rFonts w:eastAsia="Times New Roman" w:cstheme="minorHAnsi"/>
          <w:color w:val="000000"/>
          <w:lang w:eastAsia="en-GB"/>
        </w:rPr>
        <w:lastRenderedPageBreak/>
        <w:t xml:space="preserve">The only distinctions which the methodology needs to </w:t>
      </w:r>
      <w:r>
        <w:rPr>
          <w:rFonts w:eastAsia="Times New Roman" w:cstheme="minorHAnsi"/>
          <w:color w:val="000000"/>
          <w:lang w:eastAsia="en-GB"/>
        </w:rPr>
        <w:t>allow for</w:t>
      </w:r>
      <w:r w:rsidRPr="00301B57">
        <w:rPr>
          <w:rFonts w:eastAsia="Times New Roman" w:cstheme="minorHAnsi"/>
          <w:color w:val="000000"/>
          <w:lang w:eastAsia="en-GB"/>
        </w:rPr>
        <w:t xml:space="preserve"> – and already does </w:t>
      </w:r>
      <w:r>
        <w:rPr>
          <w:rFonts w:eastAsia="Times New Roman" w:cstheme="minorHAnsi"/>
          <w:color w:val="000000"/>
          <w:lang w:eastAsia="en-GB"/>
        </w:rPr>
        <w:t>so</w:t>
      </w:r>
      <w:r w:rsidRPr="00301B57">
        <w:rPr>
          <w:rFonts w:eastAsia="Times New Roman" w:cstheme="minorHAnsi"/>
          <w:color w:val="000000"/>
          <w:lang w:eastAsia="en-GB"/>
        </w:rPr>
        <w:t xml:space="preserve"> - between the spot month position limit and the other months position limit is to recognise the facts that: </w:t>
      </w:r>
    </w:p>
    <w:p w:rsidR="00D04F27" w:rsidRPr="007F361B" w:rsidRDefault="00D04F27" w:rsidP="00D04F27">
      <w:pPr>
        <w:spacing w:line="240" w:lineRule="auto"/>
        <w:rPr>
          <w:rFonts w:eastAsia="Times New Roman" w:cstheme="minorHAnsi"/>
          <w:color w:val="000000"/>
          <w:lang w:eastAsia="en-GB"/>
        </w:rPr>
      </w:pPr>
    </w:p>
    <w:p w:rsidR="00D04F27" w:rsidRPr="002B2A67" w:rsidRDefault="00D04F27" w:rsidP="00D04F27">
      <w:pPr>
        <w:pStyle w:val="ListParagraph"/>
        <w:numPr>
          <w:ilvl w:val="0"/>
          <w:numId w:val="36"/>
        </w:numPr>
        <w:spacing w:line="240" w:lineRule="auto"/>
        <w:rPr>
          <w:rFonts w:eastAsia="Times New Roman" w:cstheme="minorHAnsi"/>
          <w:color w:val="000000"/>
          <w:lang w:eastAsia="en-GB"/>
        </w:rPr>
      </w:pPr>
      <w:r w:rsidRPr="002B2A67">
        <w:rPr>
          <w:rFonts w:eastAsia="Times New Roman" w:cstheme="minorHAnsi"/>
          <w:color w:val="000000"/>
          <w:lang w:eastAsia="en-GB"/>
        </w:rPr>
        <w:t>the other months position limit is likely to cover many production periods, rather than just one, and thus will be based on a wider measure of deliverable supply than the spot month position limit; and</w:t>
      </w:r>
    </w:p>
    <w:p w:rsidR="00D04F27" w:rsidRPr="002B2A67" w:rsidRDefault="00D04F27" w:rsidP="00D04F27">
      <w:pPr>
        <w:pStyle w:val="ListParagraph"/>
        <w:numPr>
          <w:ilvl w:val="0"/>
          <w:numId w:val="36"/>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the other months position limit is a single limit covering multiple delivery months, rather than just one. </w:t>
      </w:r>
    </w:p>
    <w:p w:rsidR="00D04F27" w:rsidRPr="008765FD" w:rsidRDefault="00D04F27" w:rsidP="00D04F27">
      <w:pPr>
        <w:spacing w:line="240" w:lineRule="auto"/>
        <w:rPr>
          <w:rFonts w:eastAsia="Times New Roman" w:cstheme="minorHAnsi"/>
          <w:color w:val="000000"/>
          <w:lang w:eastAsia="en-GB"/>
        </w:rPr>
      </w:pPr>
    </w:p>
    <w:p w:rsidR="00D04F27" w:rsidRDefault="00D04F27" w:rsidP="00D04F27">
      <w:pPr>
        <w:spacing w:line="240" w:lineRule="auto"/>
        <w:rPr>
          <w:rFonts w:eastAsia="Times New Roman" w:cstheme="minorHAnsi"/>
          <w:color w:val="000000"/>
          <w:lang w:eastAsia="en-GB"/>
        </w:rPr>
      </w:pPr>
      <w:r w:rsidRPr="00E20010">
        <w:rPr>
          <w:rFonts w:eastAsia="Times New Roman" w:cstheme="minorHAnsi"/>
          <w:color w:val="000000"/>
          <w:lang w:eastAsia="en-GB"/>
        </w:rPr>
        <w:t>As a result, position limits will be broader in relation to delivery months which are far from maturity (i.e. the “other months”) and will become narrower and more restrictive as maturity approaches (i.e. once the del</w:t>
      </w:r>
      <w:r w:rsidRPr="00301B57">
        <w:rPr>
          <w:rFonts w:eastAsia="Times New Roman" w:cstheme="minorHAnsi"/>
          <w:color w:val="000000"/>
          <w:lang w:eastAsia="en-GB"/>
        </w:rPr>
        <w:t>ivery month in question becomes the spot month).  This will reflect the availability of deliverable supply during two distinct phases in the life cycle of the delivery month.  By doing so, the level of position limits during those different phases will ref</w:t>
      </w:r>
      <w:r w:rsidRPr="00A16621">
        <w:rPr>
          <w:rFonts w:eastAsia="Times New Roman" w:cstheme="minorHAnsi"/>
          <w:color w:val="000000"/>
          <w:lang w:eastAsia="en-GB"/>
        </w:rPr>
        <w:t>lect</w:t>
      </w:r>
      <w:r w:rsidRPr="00BB1CAB">
        <w:rPr>
          <w:rFonts w:eastAsia="Times New Roman" w:cstheme="minorHAnsi"/>
          <w:color w:val="000000"/>
          <w:lang w:eastAsia="en-GB"/>
        </w:rPr>
        <w:t xml:space="preserve"> the extent to which the price of the delivery month is susceptible t</w:t>
      </w:r>
      <w:r>
        <w:rPr>
          <w:rFonts w:eastAsia="Times New Roman" w:cstheme="minorHAnsi"/>
          <w:color w:val="000000"/>
          <w:lang w:eastAsia="en-GB"/>
        </w:rPr>
        <w:t>o distortion or manipulation.</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D04F27" w:rsidRDefault="00D04F27" w:rsidP="00D04F27">
      <w:pPr>
        <w:spacing w:line="240" w:lineRule="auto"/>
        <w:rPr>
          <w:rFonts w:eastAsia="Times New Roman" w:cstheme="minorHAnsi"/>
          <w:color w:val="000000"/>
          <w:lang w:eastAsia="en-GB"/>
        </w:rPr>
      </w:pPr>
      <w:permStart w:id="198" w:edGrp="everyone"/>
    </w:p>
    <w:p w:rsidR="00D04F27" w:rsidRPr="00B858E5" w:rsidRDefault="00D04F27" w:rsidP="00D04F27">
      <w:pPr>
        <w:spacing w:line="240" w:lineRule="auto"/>
        <w:rPr>
          <w:rFonts w:eastAsia="Times New Roman" w:cstheme="minorHAnsi"/>
          <w:color w:val="000000"/>
          <w:lang w:eastAsia="en-GB"/>
        </w:rPr>
      </w:pPr>
      <w:r>
        <w:rPr>
          <w:rFonts w:eastAsia="Times New Roman" w:cstheme="minorHAnsi"/>
          <w:color w:val="000000"/>
          <w:lang w:eastAsia="en-GB"/>
        </w:rPr>
        <w:t>Special c</w:t>
      </w:r>
      <w:r w:rsidRPr="00B858E5">
        <w:rPr>
          <w:rFonts w:eastAsia="Times New Roman" w:cstheme="minorHAnsi"/>
          <w:color w:val="000000"/>
          <w:lang w:eastAsia="en-GB"/>
        </w:rPr>
        <w:t>are needs to be taken in applying the position limits regime to nascent or niche markets, in which there may be only a handful of active market participants either at the outset or on an ongoing basis.  It might be necessary to apply a threshold test – possibly expressed as a number of active market participants - below which the application of position limits would be suspended until such time as participation increase</w:t>
      </w:r>
      <w:r>
        <w:rPr>
          <w:rFonts w:eastAsia="Times New Roman" w:cstheme="minorHAnsi"/>
          <w:color w:val="000000"/>
          <w:lang w:eastAsia="en-GB"/>
        </w:rPr>
        <w:t>s</w:t>
      </w:r>
      <w:r w:rsidRPr="00B858E5">
        <w:rPr>
          <w:rFonts w:eastAsia="Times New Roman" w:cstheme="minorHAnsi"/>
          <w:color w:val="000000"/>
          <w:lang w:eastAsia="en-GB"/>
        </w:rPr>
        <w:t>. If such a measure is not introduced, it is possible that many nascent and niche markets will not be able to co-exist with the position limits regime.</w:t>
      </w:r>
    </w:p>
    <w:p w:rsidR="00D04F27" w:rsidRPr="003B28DB" w:rsidRDefault="00D04F27" w:rsidP="00D04F27">
      <w:pPr>
        <w:spacing w:line="240" w:lineRule="auto"/>
        <w:rPr>
          <w:rFonts w:eastAsia="Times New Roman" w:cstheme="minorHAnsi"/>
          <w:color w:val="000000"/>
          <w:lang w:eastAsia="en-GB"/>
        </w:rPr>
      </w:pP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D04F27" w:rsidRPr="00A16621" w:rsidRDefault="00D04F27" w:rsidP="00D04F27">
      <w:pPr>
        <w:spacing w:line="240" w:lineRule="auto"/>
        <w:rPr>
          <w:rFonts w:eastAsia="Times New Roman" w:cstheme="minorHAnsi"/>
          <w:color w:val="000000"/>
          <w:lang w:eastAsia="en-GB"/>
        </w:rPr>
      </w:pPr>
      <w:permStart w:id="199" w:edGrp="everyone"/>
      <w:r w:rsidRPr="002B2A67">
        <w:rPr>
          <w:rFonts w:eastAsia="Times New Roman" w:cstheme="minorHAnsi"/>
          <w:color w:val="000000"/>
          <w:lang w:eastAsia="en-GB"/>
        </w:rPr>
        <w:t xml:space="preserve">In relation to the “other months”, the key factor is the number of production periods between the </w:t>
      </w:r>
      <w:r>
        <w:rPr>
          <w:rFonts w:eastAsia="Times New Roman" w:cstheme="minorHAnsi"/>
          <w:color w:val="000000"/>
          <w:lang w:eastAsia="en-GB"/>
        </w:rPr>
        <w:t xml:space="preserve">point in </w:t>
      </w:r>
      <w:r w:rsidRPr="003B28DB">
        <w:rPr>
          <w:rFonts w:eastAsia="Times New Roman" w:cstheme="minorHAnsi"/>
          <w:color w:val="000000"/>
          <w:lang w:eastAsia="en-GB"/>
        </w:rPr>
        <w:t>time at which the position limit is set and the maturity date of the relevant contracts. In most cases, the trading venue should have considered this in calculating a deliverable supply measure for the “other months”.</w:t>
      </w:r>
    </w:p>
    <w:p w:rsidR="00D04F27" w:rsidRPr="00212607" w:rsidRDefault="00D04F27" w:rsidP="00D04F27">
      <w:pPr>
        <w:spacing w:line="240" w:lineRule="auto"/>
        <w:rPr>
          <w:rFonts w:eastAsia="Times New Roman" w:cstheme="minorHAnsi"/>
          <w:color w:val="000000"/>
          <w:lang w:eastAsia="en-GB"/>
        </w:rPr>
      </w:pPr>
    </w:p>
    <w:p w:rsidR="00D04F27" w:rsidRPr="008765FD" w:rsidRDefault="00D04F27" w:rsidP="00D04F27">
      <w:pPr>
        <w:spacing w:line="240" w:lineRule="auto"/>
      </w:pPr>
      <w:r w:rsidRPr="002B2A67">
        <w:rPr>
          <w:rFonts w:eastAsia="Times New Roman" w:cstheme="minorHAnsi"/>
          <w:color w:val="000000"/>
          <w:lang w:eastAsia="en-GB"/>
        </w:rPr>
        <w:t xml:space="preserve">In relation to the spot month, the key factor will vary depending on the product concerned (again, the trading venue should have already taken this into account in calculating a deliverable supply measure for the spot month).  </w:t>
      </w:r>
      <w:r w:rsidRPr="008765FD">
        <w:t>.</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lastRenderedPageBreak/>
        <w:t>&lt;ESMA_QUESTION_CP_MIFID_191&gt;</w:t>
      </w:r>
    </w:p>
    <w:p w:rsidR="00577C33" w:rsidRDefault="00D04F27" w:rsidP="00EC2C93">
      <w:pPr>
        <w:keepNext/>
      </w:pPr>
      <w:permStart w:id="200" w:edGrp="everyone"/>
      <w:r w:rsidRPr="002B2A67">
        <w:rPr>
          <w:rFonts w:eastAsia="Times New Roman" w:cstheme="minorHAnsi"/>
          <w:lang w:eastAsia="en-GB"/>
        </w:rPr>
        <w:t xml:space="preserve">The trading venue and National Competent Authority will need to consider the likely impact of any exogenous events or longer-term trends, which could affect future deliverable supply positively or </w:t>
      </w:r>
      <w:r w:rsidRPr="003B28DB">
        <w:rPr>
          <w:rFonts w:eastAsia="Times New Roman" w:cstheme="minorHAnsi"/>
          <w:lang w:eastAsia="en-GB"/>
        </w:rPr>
        <w:t xml:space="preserve">negatively.   </w:t>
      </w:r>
      <w:permEnd w:id="200"/>
      <w:r w:rsidR="00577C33">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D04F27" w:rsidRPr="00A16621" w:rsidRDefault="00D04F27" w:rsidP="00D04F27">
      <w:pPr>
        <w:spacing w:line="240" w:lineRule="auto"/>
        <w:rPr>
          <w:rFonts w:eastAsia="Times New Roman" w:cstheme="minorHAnsi"/>
          <w:color w:val="000000"/>
          <w:lang w:eastAsia="en-GB"/>
        </w:rPr>
      </w:pPr>
      <w:permStart w:id="201" w:edGrp="everyone"/>
      <w:r>
        <w:rPr>
          <w:rFonts w:eastAsia="Times New Roman" w:cstheme="minorHAnsi"/>
          <w:color w:val="000000"/>
          <w:lang w:eastAsia="en-GB"/>
        </w:rPr>
        <w:t>Special c</w:t>
      </w:r>
      <w:r w:rsidRPr="003B28DB">
        <w:rPr>
          <w:rFonts w:eastAsia="Times New Roman" w:cstheme="minorHAnsi"/>
          <w:color w:val="000000"/>
          <w:lang w:eastAsia="en-GB"/>
        </w:rPr>
        <w:t>are needs to be taken in applying the position limits regime to less liquid markets, in which there may be only a handful of active market participants either at the outset or on an ongoing basis. Less stringent position limits should apply, if any.</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D04F27" w:rsidP="00EC2C93">
      <w:pPr>
        <w:keepNext/>
      </w:pPr>
      <w:permStart w:id="202" w:edGrp="everyone"/>
      <w:r>
        <w:rPr>
          <w:rFonts w:eastAsia="Times New Roman" w:cstheme="minorHAnsi"/>
          <w:color w:val="000000"/>
          <w:lang w:eastAsia="en-GB"/>
        </w:rPr>
        <w:t>Special c</w:t>
      </w:r>
      <w:r w:rsidRPr="003B28DB">
        <w:rPr>
          <w:rFonts w:eastAsia="Times New Roman" w:cstheme="minorHAnsi"/>
          <w:color w:val="000000"/>
          <w:lang w:eastAsia="en-GB"/>
        </w:rPr>
        <w:t>are needs to be taken in applying the position limits regime to nascent or niche markets, in which there may be only a handful of active market participants either at the outset or on an ongoing basis.  It might be necessary to apply a threshold test – for instance, expressed as a number of active market participants - below which the application of position limits would be suspended until such time as participation increase</w:t>
      </w:r>
      <w:r>
        <w:rPr>
          <w:rFonts w:eastAsia="Times New Roman" w:cstheme="minorHAnsi"/>
          <w:color w:val="000000"/>
          <w:lang w:eastAsia="en-GB"/>
        </w:rPr>
        <w:t>s</w:t>
      </w:r>
      <w:r w:rsidRPr="003B28DB">
        <w:rPr>
          <w:rFonts w:eastAsia="Times New Roman" w:cstheme="minorHAnsi"/>
          <w:color w:val="000000"/>
          <w:lang w:eastAsia="en-GB"/>
        </w:rPr>
        <w:t>.  If such a measure is not introduced, it is possible that many nascent and niche markets will not be able to co-exist with the position limits regime.</w:t>
      </w:r>
      <w:permEnd w:id="202"/>
      <w:r w:rsidR="00577C33">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D04F27" w:rsidP="00EC2C93">
      <w:pPr>
        <w:keepNext/>
      </w:pPr>
      <w:permStart w:id="203" w:edGrp="everyone"/>
      <w:r w:rsidRPr="002B2A67">
        <w:rPr>
          <w:rFonts w:eastAsia="Times New Roman" w:cstheme="minorHAnsi"/>
          <w:color w:val="000000"/>
          <w:lang w:eastAsia="en-GB"/>
        </w:rPr>
        <w:t>ESMA has correctly identified the main features of the underlying commodity markets which would need to be taken into account by Nation</w:t>
      </w:r>
      <w:r w:rsidRPr="003B54DA">
        <w:rPr>
          <w:rFonts w:eastAsia="Times New Roman" w:cstheme="minorHAnsi"/>
          <w:color w:val="000000"/>
          <w:lang w:eastAsia="en-GB"/>
        </w:rPr>
        <w:t>al Competent Authorities in establishing position limits.</w:t>
      </w:r>
      <w:permEnd w:id="203"/>
      <w:r w:rsidR="00577C33">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D04F27" w:rsidRPr="002B2A67" w:rsidRDefault="00D04F27" w:rsidP="00D04F27">
      <w:pPr>
        <w:spacing w:line="240" w:lineRule="auto"/>
        <w:rPr>
          <w:rFonts w:eastAsia="Times New Roman" w:cstheme="minorHAnsi"/>
          <w:color w:val="000000"/>
          <w:lang w:eastAsia="en-GB"/>
        </w:rPr>
      </w:pPr>
      <w:permStart w:id="204" w:edGrp="everyone"/>
      <w:r w:rsidRPr="002B2A67">
        <w:rPr>
          <w:rFonts w:eastAsia="Times New Roman" w:cstheme="minorHAnsi"/>
          <w:color w:val="000000"/>
          <w:lang w:eastAsia="en-GB"/>
        </w:rPr>
        <w:t xml:space="preserve">It is not possible to quantify a meaningful time period applicable to all contracts because: </w:t>
      </w:r>
    </w:p>
    <w:p w:rsidR="00D04F27" w:rsidRPr="002B2A67" w:rsidRDefault="00D04F27" w:rsidP="00D04F27">
      <w:pPr>
        <w:spacing w:line="240" w:lineRule="auto"/>
        <w:rPr>
          <w:rFonts w:eastAsia="Times New Roman" w:cstheme="minorHAnsi"/>
          <w:color w:val="000000"/>
          <w:lang w:eastAsia="en-GB"/>
        </w:rPr>
      </w:pPr>
    </w:p>
    <w:p w:rsidR="00D04F27" w:rsidRPr="00446175" w:rsidRDefault="00D04F27" w:rsidP="00D04F27">
      <w:pPr>
        <w:spacing w:line="240" w:lineRule="auto"/>
        <w:rPr>
          <w:rFonts w:eastAsia="Times New Roman" w:cstheme="minorHAnsi"/>
          <w:color w:val="000000"/>
          <w:lang w:eastAsia="en-GB"/>
        </w:rPr>
      </w:pPr>
      <w:r w:rsidRPr="002B2A67">
        <w:rPr>
          <w:rFonts w:eastAsia="Times New Roman" w:cstheme="minorHAnsi"/>
          <w:color w:val="000000"/>
          <w:lang w:eastAsia="en-GB"/>
        </w:rPr>
        <w:t>•</w:t>
      </w:r>
      <w:r w:rsidRPr="002B2A67">
        <w:rPr>
          <w:rFonts w:eastAsia="Times New Roman" w:cstheme="minorHAnsi"/>
          <w:color w:val="000000"/>
          <w:lang w:eastAsia="en-GB"/>
        </w:rPr>
        <w:tab/>
        <w:t>contracts mature at different rates;</w:t>
      </w:r>
    </w:p>
    <w:p w:rsidR="00D04F27" w:rsidRPr="003B54DA" w:rsidRDefault="00D04F27" w:rsidP="00D04F27">
      <w:pPr>
        <w:spacing w:line="240" w:lineRule="auto"/>
        <w:rPr>
          <w:rFonts w:eastAsia="Times New Roman" w:cstheme="minorHAnsi"/>
          <w:color w:val="000000"/>
          <w:lang w:eastAsia="en-GB"/>
        </w:rPr>
      </w:pPr>
      <w:r w:rsidRPr="00A16621">
        <w:rPr>
          <w:rFonts w:eastAsia="Times New Roman" w:cstheme="minorHAnsi"/>
          <w:color w:val="000000"/>
          <w:lang w:eastAsia="en-GB"/>
        </w:rPr>
        <w:t>•</w:t>
      </w:r>
      <w:r w:rsidRPr="00A16621">
        <w:rPr>
          <w:rFonts w:eastAsia="Times New Roman" w:cstheme="minorHAnsi"/>
          <w:color w:val="000000"/>
          <w:lang w:eastAsia="en-GB"/>
        </w:rPr>
        <w:tab/>
        <w:t xml:space="preserve">once they are mature, some contracts will become benchmark products whilst others will remain niche products </w:t>
      </w:r>
      <w:r>
        <w:rPr>
          <w:rFonts w:eastAsia="Times New Roman" w:cstheme="minorHAnsi"/>
          <w:color w:val="000000"/>
          <w:lang w:eastAsia="en-GB"/>
        </w:rPr>
        <w:t>with</w:t>
      </w:r>
      <w:r w:rsidRPr="003B54DA">
        <w:rPr>
          <w:rFonts w:eastAsia="Times New Roman" w:cstheme="minorHAnsi"/>
          <w:color w:val="000000"/>
          <w:lang w:eastAsia="en-GB"/>
        </w:rPr>
        <w:t xml:space="preserve"> limited participation.   </w:t>
      </w:r>
    </w:p>
    <w:p w:rsidR="00D04F27" w:rsidRPr="00446175" w:rsidRDefault="00D04F27" w:rsidP="00D04F27">
      <w:pPr>
        <w:spacing w:line="240" w:lineRule="auto"/>
        <w:rPr>
          <w:rFonts w:eastAsia="Times New Roman" w:cstheme="minorHAnsi"/>
          <w:color w:val="000000"/>
          <w:lang w:eastAsia="en-GB"/>
        </w:rPr>
      </w:pPr>
    </w:p>
    <w:p w:rsidR="00D04F27" w:rsidRPr="00446175" w:rsidRDefault="00D04F27" w:rsidP="00D04F27">
      <w:pPr>
        <w:spacing w:line="240" w:lineRule="auto"/>
        <w:rPr>
          <w:rFonts w:eastAsia="Times New Roman" w:cstheme="minorHAnsi"/>
          <w:color w:val="000000"/>
          <w:lang w:eastAsia="en-GB"/>
        </w:rPr>
      </w:pPr>
      <w:r w:rsidRPr="00A16621">
        <w:rPr>
          <w:rFonts w:eastAsia="Times New Roman" w:cstheme="minorHAnsi"/>
          <w:color w:val="000000"/>
          <w:lang w:eastAsia="en-GB"/>
        </w:rPr>
        <w:t xml:space="preserve">Furthermore, </w:t>
      </w:r>
      <w:proofErr w:type="spellStart"/>
      <w:r w:rsidRPr="00A16621">
        <w:rPr>
          <w:rFonts w:eastAsia="Times New Roman" w:cstheme="minorHAnsi"/>
          <w:color w:val="000000"/>
          <w:lang w:eastAsia="en-GB"/>
        </w:rPr>
        <w:t>Euro</w:t>
      </w:r>
      <w:r w:rsidRPr="00446175">
        <w:rPr>
          <w:rFonts w:eastAsia="Times New Roman" w:cstheme="minorHAnsi"/>
          <w:color w:val="000000"/>
          <w:lang w:eastAsia="en-GB"/>
        </w:rPr>
        <w:t>pex</w:t>
      </w:r>
      <w:proofErr w:type="spellEnd"/>
      <w:r w:rsidRPr="00446175">
        <w:rPr>
          <w:rFonts w:eastAsia="Times New Roman" w:cstheme="minorHAnsi"/>
          <w:color w:val="000000"/>
          <w:lang w:eastAsia="en-GB"/>
        </w:rPr>
        <w:t xml:space="preserve"> beli</w:t>
      </w:r>
      <w:r w:rsidRPr="00A16621">
        <w:rPr>
          <w:rFonts w:eastAsia="Times New Roman" w:cstheme="minorHAnsi"/>
          <w:color w:val="000000"/>
          <w:lang w:eastAsia="en-GB"/>
        </w:rPr>
        <w:t xml:space="preserve">eves that applying an </w:t>
      </w:r>
      <w:r w:rsidRPr="00446175">
        <w:rPr>
          <w:rFonts w:eastAsia="Times New Roman" w:cstheme="minorHAnsi"/>
          <w:color w:val="000000"/>
          <w:lang w:eastAsia="en-GB"/>
        </w:rPr>
        <w:t>arbitrary cut-off point beyond which a contract is no longer regarded as “new” – at which point lower position limits would automatically apply - may have the effect of stifling the development of nascent products and damaging the via</w:t>
      </w:r>
      <w:r w:rsidRPr="00A16621">
        <w:rPr>
          <w:rFonts w:eastAsia="Times New Roman" w:cstheme="minorHAnsi"/>
          <w:color w:val="000000"/>
          <w:lang w:eastAsia="en-GB"/>
        </w:rPr>
        <w:t xml:space="preserve">bility of niche products.  Instead of applying an arbitrary quantitative cut-off point, National Competent Authorities </w:t>
      </w:r>
      <w:r>
        <w:rPr>
          <w:rFonts w:eastAsia="Times New Roman" w:cstheme="minorHAnsi"/>
          <w:color w:val="000000"/>
          <w:lang w:eastAsia="en-GB"/>
        </w:rPr>
        <w:t>should</w:t>
      </w:r>
      <w:r w:rsidRPr="00446175">
        <w:rPr>
          <w:rFonts w:eastAsia="Times New Roman" w:cstheme="minorHAnsi"/>
          <w:color w:val="000000"/>
          <w:lang w:eastAsia="en-GB"/>
        </w:rPr>
        <w:t xml:space="preserve"> consider qualitative factors (such as those mentioned in the previous paragraph) when determining whether a contract should continue to be regarded as “new”.  </w:t>
      </w:r>
    </w:p>
    <w:p w:rsidR="00D04F27" w:rsidRPr="00446175" w:rsidRDefault="00D04F27" w:rsidP="00D04F27">
      <w:pPr>
        <w:spacing w:line="240" w:lineRule="auto"/>
        <w:rPr>
          <w:rFonts w:eastAsia="Times New Roman" w:cstheme="minorHAnsi"/>
          <w:color w:val="000000"/>
          <w:lang w:eastAsia="en-GB"/>
        </w:rPr>
      </w:pPr>
    </w:p>
    <w:p w:rsidR="00577C33" w:rsidRDefault="00D04F27" w:rsidP="00EC2C93">
      <w:pPr>
        <w:keepNext/>
      </w:pPr>
      <w:r>
        <w:rPr>
          <w:rFonts w:eastAsia="Times New Roman" w:cstheme="minorHAnsi"/>
          <w:color w:val="000000"/>
          <w:lang w:eastAsia="en-GB"/>
        </w:rPr>
        <w:lastRenderedPageBreak/>
        <w:t>Cf. our response</w:t>
      </w:r>
      <w:r w:rsidRPr="00446175">
        <w:rPr>
          <w:rFonts w:eastAsia="Times New Roman" w:cstheme="minorHAnsi"/>
          <w:color w:val="000000"/>
          <w:lang w:eastAsia="en-GB"/>
        </w:rPr>
        <w:t xml:space="preserve"> to Question 193, which is </w:t>
      </w:r>
      <w:r>
        <w:rPr>
          <w:rFonts w:eastAsia="Times New Roman" w:cstheme="minorHAnsi"/>
          <w:color w:val="000000"/>
          <w:lang w:eastAsia="en-GB"/>
        </w:rPr>
        <w:t xml:space="preserve">directly </w:t>
      </w:r>
      <w:r w:rsidRPr="00446175">
        <w:rPr>
          <w:rFonts w:eastAsia="Times New Roman" w:cstheme="minorHAnsi"/>
          <w:color w:val="000000"/>
          <w:lang w:eastAsia="en-GB"/>
        </w:rPr>
        <w:t xml:space="preserve">related to this issue.  </w:t>
      </w:r>
      <w:permEnd w:id="204"/>
      <w:r w:rsidR="00577C33">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D04F27" w:rsidP="00EC2C93">
      <w:pPr>
        <w:keepNext/>
      </w:pPr>
      <w:permStart w:id="205" w:edGrp="everyone"/>
      <w:r w:rsidRPr="002B2A67">
        <w:rPr>
          <w:rFonts w:eastAsia="Times New Roman" w:cstheme="minorHAnsi"/>
          <w:color w:val="000000"/>
          <w:lang w:eastAsia="en-GB"/>
        </w:rPr>
        <w:t>Cf. our response to Question 195.</w:t>
      </w:r>
      <w:permEnd w:id="205"/>
      <w:r w:rsidR="00577C33">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D04F27" w:rsidP="00EC2C93">
      <w:pPr>
        <w:keepNext/>
      </w:pPr>
      <w:permStart w:id="206" w:edGrp="everyone"/>
      <w:r w:rsidRPr="002B2A67">
        <w:rPr>
          <w:rFonts w:eastAsia="Times New Roman" w:cstheme="minorHAnsi"/>
          <w:color w:val="000000"/>
          <w:lang w:eastAsia="en-GB"/>
        </w:rPr>
        <w:t>No.</w:t>
      </w:r>
      <w:permEnd w:id="206"/>
      <w:r w:rsidR="00577C33">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D04F27" w:rsidRPr="002B2A67" w:rsidRDefault="00D04F27" w:rsidP="00D04F27">
      <w:pPr>
        <w:tabs>
          <w:tab w:val="left" w:pos="1480"/>
        </w:tabs>
        <w:rPr>
          <w:rFonts w:eastAsia="Times New Roman" w:cstheme="minorHAnsi"/>
          <w:lang w:eastAsia="en-GB"/>
        </w:rPr>
      </w:pPr>
      <w:permStart w:id="207" w:edGrp="everyone"/>
      <w:r w:rsidRPr="002B2A67">
        <w:rPr>
          <w:rFonts w:eastAsia="Times New Roman" w:cstheme="minorHAnsi"/>
          <w:lang w:eastAsia="en-GB"/>
        </w:rPr>
        <w:t xml:space="preserve">Yes.  </w:t>
      </w:r>
      <w:proofErr w:type="spellStart"/>
      <w:r w:rsidRPr="002B2A67">
        <w:rPr>
          <w:rFonts w:eastAsia="Times New Roman" w:cstheme="minorHAnsi"/>
          <w:lang w:eastAsia="en-GB"/>
        </w:rPr>
        <w:t>Europex</w:t>
      </w:r>
      <w:proofErr w:type="spellEnd"/>
      <w:r w:rsidRPr="002B2A67">
        <w:rPr>
          <w:rFonts w:eastAsia="Times New Roman" w:cstheme="minorHAnsi"/>
          <w:lang w:eastAsia="en-GB"/>
        </w:rPr>
        <w:t xml:space="preserve"> agrees that the factors enumerated under Article 57(3)(a)-(g) of </w:t>
      </w:r>
      <w:proofErr w:type="spellStart"/>
      <w:r>
        <w:rPr>
          <w:rFonts w:eastAsia="Times New Roman" w:cstheme="minorHAnsi"/>
          <w:lang w:eastAsia="en-GB"/>
        </w:rPr>
        <w:t>MiFID</w:t>
      </w:r>
      <w:proofErr w:type="spellEnd"/>
      <w:r w:rsidRPr="00BB7D45">
        <w:rPr>
          <w:rFonts w:eastAsia="Times New Roman" w:cstheme="minorHAnsi"/>
          <w:lang w:eastAsia="en-GB"/>
        </w:rPr>
        <w:t xml:space="preserve"> II, and the manner in which ESMA proposes to frame the methodology, provides National </w:t>
      </w:r>
      <w:r w:rsidRPr="002B2A67">
        <w:rPr>
          <w:rFonts w:eastAsia="Times New Roman" w:cstheme="minorHAnsi"/>
          <w:lang w:eastAsia="en-GB"/>
        </w:rPr>
        <w:t>Competent Authorities with sufficient scope to take into account the specificities of different markets without incorporating asset-class specific elements into the methodology.</w:t>
      </w:r>
    </w:p>
    <w:p w:rsidR="00577C33" w:rsidRDefault="00D04F27" w:rsidP="00EC2C93">
      <w:pPr>
        <w:keepNext/>
      </w:pPr>
      <w:r>
        <w:rPr>
          <w:rFonts w:eastAsia="Times New Roman" w:cstheme="minorHAnsi"/>
          <w:color w:val="000000"/>
          <w:lang w:eastAsia="en-GB"/>
        </w:rPr>
        <w:t>There has been no clear definition of d</w:t>
      </w:r>
      <w:r w:rsidRPr="00B01409">
        <w:rPr>
          <w:rFonts w:eastAsia="Times New Roman" w:cstheme="minorHAnsi"/>
          <w:color w:val="000000"/>
          <w:lang w:eastAsia="en-GB"/>
        </w:rPr>
        <w:t xml:space="preserve">eliverable supply </w:t>
      </w:r>
      <w:r>
        <w:rPr>
          <w:rFonts w:eastAsia="Times New Roman" w:cstheme="minorHAnsi"/>
          <w:color w:val="000000"/>
          <w:lang w:eastAsia="en-GB"/>
        </w:rPr>
        <w:t xml:space="preserve">in the context of </w:t>
      </w:r>
      <w:proofErr w:type="spellStart"/>
      <w:r>
        <w:rPr>
          <w:rFonts w:eastAsia="Times New Roman" w:cstheme="minorHAnsi"/>
          <w:color w:val="000000"/>
          <w:lang w:eastAsia="en-GB"/>
        </w:rPr>
        <w:t>MiFID</w:t>
      </w:r>
      <w:proofErr w:type="spellEnd"/>
      <w:r>
        <w:rPr>
          <w:rFonts w:eastAsia="Times New Roman" w:cstheme="minorHAnsi"/>
          <w:color w:val="000000"/>
          <w:lang w:eastAsia="en-GB"/>
        </w:rPr>
        <w:t xml:space="preserve"> so far.</w:t>
      </w:r>
      <w:r w:rsidRPr="00B01409">
        <w:rPr>
          <w:rFonts w:eastAsia="Times New Roman" w:cstheme="minorHAnsi"/>
          <w:color w:val="000000"/>
          <w:lang w:eastAsia="en-GB"/>
        </w:rPr>
        <w:t xml:space="preserve"> </w:t>
      </w:r>
      <w:r>
        <w:rPr>
          <w:rFonts w:eastAsia="Times New Roman" w:cstheme="minorHAnsi"/>
          <w:color w:val="000000"/>
          <w:lang w:eastAsia="en-GB"/>
        </w:rPr>
        <w:t>It</w:t>
      </w:r>
      <w:r w:rsidRPr="00B01409">
        <w:rPr>
          <w:rFonts w:eastAsia="Times New Roman" w:cstheme="minorHAnsi"/>
          <w:color w:val="000000"/>
          <w:lang w:eastAsia="en-GB"/>
        </w:rPr>
        <w:t xml:space="preserve"> is </w:t>
      </w:r>
      <w:r>
        <w:rPr>
          <w:rFonts w:eastAsia="Times New Roman" w:cstheme="minorHAnsi"/>
          <w:color w:val="000000"/>
          <w:lang w:eastAsia="en-GB"/>
        </w:rPr>
        <w:t>of great</w:t>
      </w:r>
      <w:r w:rsidRPr="00B01409">
        <w:rPr>
          <w:rFonts w:eastAsia="Times New Roman" w:cstheme="minorHAnsi"/>
          <w:color w:val="000000"/>
          <w:lang w:eastAsia="en-GB"/>
        </w:rPr>
        <w:t xml:space="preserve"> importance that </w:t>
      </w:r>
      <w:r>
        <w:rPr>
          <w:rFonts w:eastAsia="Times New Roman" w:cstheme="minorHAnsi"/>
          <w:color w:val="000000"/>
          <w:lang w:eastAsia="en-GB"/>
        </w:rPr>
        <w:t xml:space="preserve">the </w:t>
      </w:r>
      <w:r w:rsidRPr="00B01409">
        <w:rPr>
          <w:rFonts w:eastAsia="Times New Roman" w:cstheme="minorHAnsi"/>
          <w:color w:val="000000"/>
          <w:lang w:eastAsia="en-GB"/>
        </w:rPr>
        <w:t>deliverable supply is defined depending on the specificities of the different asset classes (or asset sub-classes).</w:t>
      </w:r>
      <w:r w:rsidRPr="00212607">
        <w:rPr>
          <w:rFonts w:eastAsia="Times New Roman" w:cstheme="minorHAnsi"/>
          <w:lang w:eastAsia="en-GB"/>
        </w:rPr>
        <w:tab/>
      </w:r>
      <w:r w:rsidRPr="002B2A67">
        <w:rPr>
          <w:rFonts w:eastAsia="Times New Roman" w:cstheme="minorHAnsi"/>
          <w:color w:val="000000"/>
          <w:lang w:eastAsia="en-GB"/>
        </w:rPr>
        <w:t>.</w:t>
      </w:r>
      <w:permEnd w:id="207"/>
      <w:r w:rsidR="00577C33">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D04F27" w:rsidP="00EC2C93">
      <w:pPr>
        <w:keepNext/>
      </w:pPr>
      <w:permStart w:id="208" w:edGrp="everyone"/>
      <w:r w:rsidRPr="002B2A67">
        <w:rPr>
          <w:rFonts w:eastAsia="Times New Roman" w:cstheme="minorHAnsi"/>
          <w:color w:val="000000"/>
          <w:lang w:eastAsia="en-GB"/>
        </w:rPr>
        <w:t xml:space="preserve">The main factors </w:t>
      </w:r>
      <w:r>
        <w:rPr>
          <w:rFonts w:eastAsia="Times New Roman" w:cstheme="minorHAnsi"/>
          <w:color w:val="000000"/>
          <w:lang w:eastAsia="en-GB"/>
        </w:rPr>
        <w:t xml:space="preserve">to be </w:t>
      </w:r>
      <w:r w:rsidRPr="00A01E5F">
        <w:rPr>
          <w:rFonts w:eastAsia="Times New Roman" w:cstheme="minorHAnsi"/>
          <w:color w:val="000000"/>
          <w:lang w:eastAsia="en-GB"/>
        </w:rPr>
        <w:t xml:space="preserve">taken into account </w:t>
      </w:r>
      <w:r>
        <w:rPr>
          <w:rFonts w:eastAsia="Times New Roman" w:cstheme="minorHAnsi"/>
          <w:color w:val="000000"/>
          <w:lang w:eastAsia="en-GB"/>
        </w:rPr>
        <w:t>for</w:t>
      </w:r>
      <w:r w:rsidRPr="00416B5D">
        <w:rPr>
          <w:rFonts w:eastAsia="Times New Roman" w:cstheme="minorHAnsi"/>
          <w:color w:val="000000"/>
          <w:lang w:eastAsia="en-GB"/>
        </w:rPr>
        <w:t xml:space="preserve"> the design and application of existing limits and controls by EU trading venues (e.g. delivery limits and accountability levels) are deliverable supply, the </w:t>
      </w:r>
      <w:r>
        <w:rPr>
          <w:rFonts w:eastAsia="Times New Roman" w:cstheme="minorHAnsi"/>
          <w:color w:val="000000"/>
          <w:lang w:eastAsia="en-GB"/>
        </w:rPr>
        <w:t xml:space="preserve">remaining </w:t>
      </w:r>
      <w:r w:rsidRPr="00416B5D">
        <w:rPr>
          <w:rFonts w:eastAsia="Times New Roman" w:cstheme="minorHAnsi"/>
          <w:color w:val="000000"/>
          <w:lang w:eastAsia="en-GB"/>
        </w:rPr>
        <w:t xml:space="preserve">time to contract maturity and – during the delivery period itself – the size of </w:t>
      </w:r>
      <w:r>
        <w:rPr>
          <w:rFonts w:eastAsia="Times New Roman" w:cstheme="minorHAnsi"/>
          <w:color w:val="000000"/>
          <w:lang w:eastAsia="en-GB"/>
        </w:rPr>
        <w:t xml:space="preserve">deliverable </w:t>
      </w:r>
      <w:r w:rsidRPr="00416B5D">
        <w:rPr>
          <w:rFonts w:eastAsia="Times New Roman" w:cstheme="minorHAnsi"/>
          <w:color w:val="000000"/>
          <w:lang w:eastAsia="en-GB"/>
        </w:rPr>
        <w:t>position wit</w:t>
      </w:r>
      <w:r w:rsidRPr="00A01E5F">
        <w:rPr>
          <w:rFonts w:eastAsia="Times New Roman" w:cstheme="minorHAnsi"/>
          <w:color w:val="000000"/>
          <w:lang w:eastAsia="en-GB"/>
        </w:rPr>
        <w:t xml:space="preserve">hout causing logistical problems or </w:t>
      </w:r>
      <w:r>
        <w:rPr>
          <w:rFonts w:eastAsia="Times New Roman" w:cstheme="minorHAnsi"/>
          <w:color w:val="000000"/>
          <w:lang w:eastAsia="en-GB"/>
        </w:rPr>
        <w:t xml:space="preserve">a </w:t>
      </w:r>
      <w:r w:rsidRPr="00A01E5F">
        <w:rPr>
          <w:rFonts w:eastAsia="Times New Roman" w:cstheme="minorHAnsi"/>
          <w:color w:val="000000"/>
          <w:lang w:eastAsia="en-GB"/>
        </w:rPr>
        <w:t>delivery failure.</w:t>
      </w:r>
      <w:permEnd w:id="208"/>
      <w:r w:rsidR="00577C33">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lastRenderedPageBreak/>
        <w:t>&lt;ESMA_QUESTION_CP_MIFID_200&gt;</w:t>
      </w:r>
    </w:p>
    <w:p w:rsidR="00577C33" w:rsidRDefault="00D04F27" w:rsidP="00EC2C93">
      <w:pPr>
        <w:keepNext/>
      </w:pPr>
      <w:permStart w:id="209" w:edGrp="everyone"/>
      <w:proofErr w:type="spellStart"/>
      <w:r w:rsidRPr="002B2A67">
        <w:rPr>
          <w:rFonts w:eastAsia="Times New Roman" w:cstheme="minorHAnsi"/>
          <w:color w:val="000000"/>
          <w:lang w:eastAsia="en-GB"/>
        </w:rPr>
        <w:t>Europex</w:t>
      </w:r>
      <w:proofErr w:type="spellEnd"/>
      <w:r w:rsidRPr="002B2A67">
        <w:rPr>
          <w:rFonts w:eastAsia="Times New Roman" w:cstheme="minorHAnsi"/>
          <w:color w:val="000000"/>
          <w:lang w:eastAsia="en-GB"/>
        </w:rPr>
        <w:t xml:space="preserve"> agrees with ESMA’s proposed approach of defining “risk reducing positions” in a manner which is consistent with the relevant definition under </w:t>
      </w:r>
      <w:r w:rsidRPr="00212607">
        <w:rPr>
          <w:rFonts w:eastAsia="Times New Roman" w:cstheme="minorHAnsi"/>
          <w:color w:val="000000"/>
          <w:lang w:eastAsia="en-GB"/>
        </w:rPr>
        <w:t xml:space="preserve">EMIR </w:t>
      </w:r>
      <w:r>
        <w:rPr>
          <w:rFonts w:eastAsia="Times New Roman" w:cstheme="minorHAnsi"/>
          <w:color w:val="000000"/>
          <w:lang w:eastAsia="en-GB"/>
        </w:rPr>
        <w:t>(</w:t>
      </w:r>
      <w:r w:rsidRPr="00212607">
        <w:rPr>
          <w:rFonts w:eastAsia="Times New Roman" w:cstheme="minorHAnsi"/>
          <w:color w:val="000000"/>
          <w:lang w:eastAsia="en-GB"/>
        </w:rPr>
        <w:t xml:space="preserve">(Regulation (EU) 638/2012), Article 10(4)(a), and </w:t>
      </w:r>
      <w:r>
        <w:rPr>
          <w:rFonts w:eastAsia="Times New Roman" w:cstheme="minorHAnsi"/>
          <w:color w:val="000000"/>
          <w:lang w:eastAsia="en-GB"/>
        </w:rPr>
        <w:t xml:space="preserve">the </w:t>
      </w:r>
      <w:r w:rsidRPr="00212607">
        <w:rPr>
          <w:rFonts w:eastAsia="Times New Roman" w:cstheme="minorHAnsi"/>
          <w:color w:val="000000"/>
          <w:lang w:eastAsia="en-GB"/>
        </w:rPr>
        <w:t xml:space="preserve">Commission Delegated Regulation (EU) No. 149/2013, Article 10). The purpose of EMIR Article 10(4)(a) is to identify a non-financial counterparty’s positions which are “objectively measurable as reducing risks directly related to the commercial activity or treasury financing activity of the non-financial counterparty”.   Such positions are </w:t>
      </w:r>
      <w:r>
        <w:rPr>
          <w:rFonts w:eastAsia="Times New Roman" w:cstheme="minorHAnsi"/>
          <w:color w:val="000000"/>
          <w:lang w:eastAsia="en-GB"/>
        </w:rPr>
        <w:t>not taken into account</w:t>
      </w:r>
      <w:r w:rsidRPr="00A01E5F">
        <w:rPr>
          <w:rFonts w:eastAsia="Times New Roman" w:cstheme="minorHAnsi"/>
          <w:color w:val="000000"/>
          <w:lang w:eastAsia="en-GB"/>
        </w:rPr>
        <w:t xml:space="preserve"> for the calculati</w:t>
      </w:r>
      <w:r>
        <w:rPr>
          <w:rFonts w:eastAsia="Times New Roman" w:cstheme="minorHAnsi"/>
          <w:color w:val="000000"/>
          <w:lang w:eastAsia="en-GB"/>
        </w:rPr>
        <w:t>on</w:t>
      </w:r>
      <w:r w:rsidRPr="00A01E5F">
        <w:rPr>
          <w:rFonts w:eastAsia="Times New Roman" w:cstheme="minorHAnsi"/>
          <w:color w:val="000000"/>
          <w:lang w:eastAsia="en-GB"/>
        </w:rPr>
        <w:t xml:space="preserve"> </w:t>
      </w:r>
      <w:r>
        <w:rPr>
          <w:rFonts w:eastAsia="Times New Roman" w:cstheme="minorHAnsi"/>
          <w:color w:val="000000"/>
          <w:lang w:eastAsia="en-GB"/>
        </w:rPr>
        <w:t>of</w:t>
      </w:r>
      <w:r w:rsidRPr="00A01E5F">
        <w:rPr>
          <w:rFonts w:eastAsia="Times New Roman" w:cstheme="minorHAnsi"/>
          <w:color w:val="000000"/>
          <w:lang w:eastAsia="en-GB"/>
        </w:rPr>
        <w:t xml:space="preserve"> </w:t>
      </w:r>
      <w:r>
        <w:rPr>
          <w:rFonts w:eastAsia="Times New Roman" w:cstheme="minorHAnsi"/>
          <w:color w:val="000000"/>
          <w:lang w:eastAsia="en-GB"/>
        </w:rPr>
        <w:t xml:space="preserve">a </w:t>
      </w:r>
      <w:r w:rsidRPr="00A01E5F">
        <w:rPr>
          <w:rFonts w:eastAsia="Times New Roman" w:cstheme="minorHAnsi"/>
          <w:color w:val="000000"/>
          <w:lang w:eastAsia="en-GB"/>
        </w:rPr>
        <w:t>non-financial counterpa</w:t>
      </w:r>
      <w:r w:rsidRPr="00212607">
        <w:rPr>
          <w:rFonts w:eastAsia="Times New Roman" w:cstheme="minorHAnsi"/>
          <w:color w:val="000000"/>
          <w:lang w:eastAsia="en-GB"/>
        </w:rPr>
        <w:t xml:space="preserve">rty’s overall position in OTC derivatives </w:t>
      </w:r>
      <w:r>
        <w:rPr>
          <w:rFonts w:eastAsia="Times New Roman" w:cstheme="minorHAnsi"/>
          <w:color w:val="000000"/>
          <w:lang w:eastAsia="en-GB"/>
        </w:rPr>
        <w:t xml:space="preserve">in relation to </w:t>
      </w:r>
      <w:r w:rsidRPr="00212607">
        <w:rPr>
          <w:rFonts w:eastAsia="Times New Roman" w:cstheme="minorHAnsi"/>
          <w:color w:val="000000"/>
          <w:lang w:eastAsia="en-GB"/>
        </w:rPr>
        <w:t xml:space="preserve">the EMIR clearing threshold. This is analogous to the process under </w:t>
      </w:r>
      <w:proofErr w:type="spellStart"/>
      <w:r w:rsidRPr="00212607">
        <w:rPr>
          <w:rFonts w:eastAsia="Times New Roman" w:cstheme="minorHAnsi"/>
          <w:color w:val="000000"/>
          <w:lang w:eastAsia="en-GB"/>
        </w:rPr>
        <w:t>M</w:t>
      </w:r>
      <w:r>
        <w:rPr>
          <w:rFonts w:eastAsia="Times New Roman" w:cstheme="minorHAnsi"/>
          <w:color w:val="000000"/>
          <w:lang w:eastAsia="en-GB"/>
        </w:rPr>
        <w:t>i</w:t>
      </w:r>
      <w:r w:rsidRPr="00212607">
        <w:rPr>
          <w:rFonts w:eastAsia="Times New Roman" w:cstheme="minorHAnsi"/>
          <w:color w:val="000000"/>
          <w:lang w:eastAsia="en-GB"/>
        </w:rPr>
        <w:t>FID</w:t>
      </w:r>
      <w:proofErr w:type="spellEnd"/>
      <w:r w:rsidRPr="00212607">
        <w:rPr>
          <w:rFonts w:eastAsia="Times New Roman" w:cstheme="minorHAnsi"/>
          <w:color w:val="000000"/>
          <w:lang w:eastAsia="en-GB"/>
        </w:rPr>
        <w:t xml:space="preserve"> II whereby position limits in respect </w:t>
      </w:r>
      <w:r>
        <w:rPr>
          <w:rFonts w:eastAsia="Times New Roman" w:cstheme="minorHAnsi"/>
          <w:color w:val="000000"/>
          <w:lang w:eastAsia="en-GB"/>
        </w:rPr>
        <w:t>to</w:t>
      </w:r>
      <w:r w:rsidRPr="00212607">
        <w:rPr>
          <w:rFonts w:eastAsia="Times New Roman" w:cstheme="minorHAnsi"/>
          <w:color w:val="000000"/>
          <w:lang w:eastAsia="en-GB"/>
        </w:rPr>
        <w:t xml:space="preserve"> commodity derivatives shall </w:t>
      </w:r>
      <w:r>
        <w:rPr>
          <w:rFonts w:eastAsia="Times New Roman" w:cstheme="minorHAnsi"/>
          <w:color w:val="000000"/>
          <w:lang w:eastAsia="en-GB"/>
        </w:rPr>
        <w:t>not be included in the calculation of</w:t>
      </w:r>
      <w:r w:rsidRPr="00212607">
        <w:rPr>
          <w:rFonts w:eastAsia="Times New Roman" w:cstheme="minorHAnsi"/>
          <w:color w:val="000000"/>
          <w:lang w:eastAsia="en-GB"/>
        </w:rPr>
        <w:t xml:space="preserve"> the positions of a non-financial entity which</w:t>
      </w:r>
      <w:r w:rsidRPr="00D220B5">
        <w:rPr>
          <w:rFonts w:eastAsia="Times New Roman" w:cstheme="minorHAnsi"/>
          <w:color w:val="000000"/>
          <w:lang w:eastAsia="en-GB"/>
        </w:rPr>
        <w:t xml:space="preserve"> are “ob</w:t>
      </w:r>
      <w:r w:rsidRPr="00A01E5F">
        <w:rPr>
          <w:rFonts w:eastAsia="Times New Roman" w:cstheme="minorHAnsi"/>
          <w:color w:val="000000"/>
          <w:lang w:eastAsia="en-GB"/>
        </w:rPr>
        <w:t>jectively measurable as reducing risks related to that entity’s commercial activity”.</w:t>
      </w:r>
      <w:r>
        <w:rPr>
          <w:rFonts w:eastAsia="Times New Roman" w:cstheme="minorHAnsi"/>
          <w:color w:val="000000"/>
          <w:lang w:eastAsia="en-GB"/>
        </w:rPr>
        <w:t xml:space="preserve"> Both the </w:t>
      </w:r>
      <w:proofErr w:type="spellStart"/>
      <w:r>
        <w:rPr>
          <w:rFonts w:eastAsia="Times New Roman" w:cstheme="minorHAnsi"/>
          <w:color w:val="000000"/>
          <w:lang w:eastAsia="en-GB"/>
        </w:rPr>
        <w:t>MiFID</w:t>
      </w:r>
      <w:proofErr w:type="spellEnd"/>
      <w:r>
        <w:rPr>
          <w:rFonts w:eastAsia="Times New Roman" w:cstheme="minorHAnsi"/>
          <w:color w:val="000000"/>
          <w:lang w:eastAsia="en-GB"/>
        </w:rPr>
        <w:t xml:space="preserve"> and EMIR RTS on risk reducing positions should be fully consistent with each other.</w:t>
      </w:r>
      <w:permEnd w:id="209"/>
      <w:r w:rsidR="00577C33">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D04F27" w:rsidP="00EC2C93">
      <w:pPr>
        <w:keepNext/>
      </w:pPr>
      <w:permStart w:id="210" w:edGrp="everyone"/>
      <w:r w:rsidRPr="00BB7D45">
        <w:rPr>
          <w:rFonts w:eastAsia="Times New Roman" w:cstheme="minorHAnsi"/>
          <w:color w:val="000000"/>
          <w:lang w:eastAsia="en-GB"/>
        </w:rPr>
        <w:t xml:space="preserve">In its 2014 </w:t>
      </w:r>
      <w:proofErr w:type="spellStart"/>
      <w:r>
        <w:rPr>
          <w:rFonts w:eastAsia="Times New Roman" w:cstheme="minorHAnsi"/>
          <w:color w:val="000000"/>
          <w:lang w:eastAsia="en-GB"/>
        </w:rPr>
        <w:t>MiFID</w:t>
      </w:r>
      <w:proofErr w:type="spellEnd"/>
      <w:r w:rsidRPr="00BB7D45">
        <w:rPr>
          <w:rFonts w:eastAsia="Times New Roman" w:cstheme="minorHAnsi"/>
          <w:color w:val="000000"/>
          <w:lang w:eastAsia="en-GB"/>
        </w:rPr>
        <w:t xml:space="preserve"> II Discussion Paper, ESMA noted that </w:t>
      </w:r>
      <w:r>
        <w:rPr>
          <w:rFonts w:eastAsia="Times New Roman" w:cstheme="minorHAnsi"/>
          <w:color w:val="000000"/>
          <w:lang w:eastAsia="en-GB"/>
        </w:rPr>
        <w:t xml:space="preserve">the expression </w:t>
      </w:r>
      <w:r w:rsidRPr="003403EB">
        <w:rPr>
          <w:rFonts w:eastAsia="Times New Roman" w:cstheme="minorHAnsi"/>
          <w:color w:val="000000"/>
          <w:lang w:eastAsia="en-GB"/>
        </w:rPr>
        <w:t xml:space="preserve">“non-financial entity” is not defined in </w:t>
      </w:r>
      <w:proofErr w:type="spellStart"/>
      <w:r w:rsidRPr="003403EB">
        <w:rPr>
          <w:rFonts w:eastAsia="Times New Roman" w:cstheme="minorHAnsi"/>
          <w:color w:val="000000"/>
          <w:lang w:eastAsia="en-GB"/>
        </w:rPr>
        <w:t>M</w:t>
      </w:r>
      <w:r>
        <w:rPr>
          <w:rFonts w:eastAsia="Times New Roman" w:cstheme="minorHAnsi"/>
          <w:color w:val="000000"/>
          <w:lang w:eastAsia="en-GB"/>
        </w:rPr>
        <w:t>i</w:t>
      </w:r>
      <w:r w:rsidRPr="003403EB">
        <w:rPr>
          <w:rFonts w:eastAsia="Times New Roman" w:cstheme="minorHAnsi"/>
          <w:color w:val="000000"/>
          <w:lang w:eastAsia="en-GB"/>
        </w:rPr>
        <w:t>FID</w:t>
      </w:r>
      <w:proofErr w:type="spellEnd"/>
      <w:r w:rsidRPr="003403EB">
        <w:rPr>
          <w:rFonts w:eastAsia="Times New Roman" w:cstheme="minorHAnsi"/>
          <w:color w:val="000000"/>
          <w:lang w:eastAsia="en-GB"/>
        </w:rPr>
        <w:t xml:space="preserve"> II </w:t>
      </w:r>
      <w:r>
        <w:rPr>
          <w:rFonts w:eastAsia="Times New Roman" w:cstheme="minorHAnsi"/>
          <w:color w:val="000000"/>
          <w:lang w:eastAsia="en-GB"/>
        </w:rPr>
        <w:t xml:space="preserve">and </w:t>
      </w:r>
      <w:r w:rsidRPr="003403EB">
        <w:rPr>
          <w:rFonts w:eastAsia="Times New Roman" w:cstheme="minorHAnsi"/>
          <w:color w:val="000000"/>
          <w:lang w:eastAsia="en-GB"/>
        </w:rPr>
        <w:t xml:space="preserve">proposed to consider “non-financial entities” to be any entities which are not financial institutions under </w:t>
      </w:r>
      <w:proofErr w:type="spellStart"/>
      <w:r w:rsidRPr="003403EB">
        <w:rPr>
          <w:rFonts w:eastAsia="Times New Roman" w:cstheme="minorHAnsi"/>
          <w:color w:val="000000"/>
          <w:lang w:eastAsia="en-GB"/>
        </w:rPr>
        <w:t>M</w:t>
      </w:r>
      <w:r>
        <w:rPr>
          <w:rFonts w:eastAsia="Times New Roman" w:cstheme="minorHAnsi"/>
          <w:color w:val="000000"/>
          <w:lang w:eastAsia="en-GB"/>
        </w:rPr>
        <w:t>i</w:t>
      </w:r>
      <w:r w:rsidRPr="003403EB">
        <w:rPr>
          <w:rFonts w:eastAsia="Times New Roman" w:cstheme="minorHAnsi"/>
          <w:color w:val="000000"/>
          <w:lang w:eastAsia="en-GB"/>
        </w:rPr>
        <w:t>FID</w:t>
      </w:r>
      <w:proofErr w:type="spellEnd"/>
      <w:r w:rsidRPr="003403EB">
        <w:rPr>
          <w:rFonts w:eastAsia="Times New Roman" w:cstheme="minorHAnsi"/>
          <w:color w:val="000000"/>
          <w:lang w:eastAsia="en-GB"/>
        </w:rPr>
        <w:t xml:space="preserve"> II or other relevant EU legislation.  Such an approach may not work effectively in the context of </w:t>
      </w:r>
      <w:r>
        <w:rPr>
          <w:rFonts w:eastAsia="Times New Roman" w:cstheme="minorHAnsi"/>
          <w:color w:val="000000"/>
          <w:lang w:eastAsia="en-GB"/>
        </w:rPr>
        <w:t xml:space="preserve">the </w:t>
      </w:r>
      <w:proofErr w:type="spellStart"/>
      <w:r w:rsidRPr="003403EB">
        <w:rPr>
          <w:rFonts w:eastAsia="Times New Roman" w:cstheme="minorHAnsi"/>
          <w:color w:val="000000"/>
          <w:lang w:eastAsia="en-GB"/>
        </w:rPr>
        <w:t>M</w:t>
      </w:r>
      <w:r>
        <w:rPr>
          <w:rFonts w:eastAsia="Times New Roman" w:cstheme="minorHAnsi"/>
          <w:color w:val="000000"/>
          <w:lang w:eastAsia="en-GB"/>
        </w:rPr>
        <w:t>i</w:t>
      </w:r>
      <w:r w:rsidRPr="003403EB">
        <w:rPr>
          <w:rFonts w:eastAsia="Times New Roman" w:cstheme="minorHAnsi"/>
          <w:color w:val="000000"/>
          <w:lang w:eastAsia="en-GB"/>
        </w:rPr>
        <w:t>FID</w:t>
      </w:r>
      <w:proofErr w:type="spellEnd"/>
      <w:r w:rsidRPr="003403EB">
        <w:rPr>
          <w:rFonts w:eastAsia="Times New Roman" w:cstheme="minorHAnsi"/>
          <w:color w:val="000000"/>
          <w:lang w:eastAsia="en-GB"/>
        </w:rPr>
        <w:t xml:space="preserve"> II position limits</w:t>
      </w:r>
      <w:r>
        <w:rPr>
          <w:rFonts w:eastAsia="Times New Roman" w:cstheme="minorHAnsi"/>
          <w:color w:val="000000"/>
          <w:lang w:eastAsia="en-GB"/>
        </w:rPr>
        <w:t xml:space="preserve"> regime</w:t>
      </w:r>
      <w:r w:rsidRPr="003403EB">
        <w:rPr>
          <w:rFonts w:eastAsia="Times New Roman" w:cstheme="minorHAnsi"/>
          <w:color w:val="000000"/>
          <w:lang w:eastAsia="en-GB"/>
        </w:rPr>
        <w:t xml:space="preserve">, given that </w:t>
      </w:r>
      <w:r>
        <w:rPr>
          <w:rFonts w:eastAsia="Times New Roman" w:cstheme="minorHAnsi"/>
          <w:color w:val="000000"/>
          <w:lang w:eastAsia="en-GB"/>
        </w:rPr>
        <w:t>many</w:t>
      </w:r>
      <w:r w:rsidRPr="003403EB">
        <w:rPr>
          <w:rFonts w:eastAsia="Times New Roman" w:cstheme="minorHAnsi"/>
          <w:color w:val="000000"/>
          <w:lang w:eastAsia="en-GB"/>
        </w:rPr>
        <w:t xml:space="preserve"> participants in </w:t>
      </w:r>
      <w:r>
        <w:rPr>
          <w:rFonts w:eastAsia="Times New Roman" w:cstheme="minorHAnsi"/>
          <w:color w:val="000000"/>
          <w:lang w:eastAsia="en-GB"/>
        </w:rPr>
        <w:t xml:space="preserve">EU </w:t>
      </w:r>
      <w:r w:rsidRPr="003403EB">
        <w:rPr>
          <w:rFonts w:eastAsia="Times New Roman" w:cstheme="minorHAnsi"/>
          <w:color w:val="000000"/>
          <w:lang w:eastAsia="en-GB"/>
        </w:rPr>
        <w:t xml:space="preserve">commodity markets are located </w:t>
      </w:r>
      <w:r>
        <w:rPr>
          <w:rFonts w:eastAsia="Times New Roman" w:cstheme="minorHAnsi"/>
          <w:color w:val="000000"/>
          <w:lang w:eastAsia="en-GB"/>
        </w:rPr>
        <w:t>outside the EU</w:t>
      </w:r>
      <w:r w:rsidRPr="003403EB">
        <w:rPr>
          <w:rFonts w:eastAsia="Times New Roman" w:cstheme="minorHAnsi"/>
          <w:color w:val="000000"/>
          <w:lang w:eastAsia="en-GB"/>
        </w:rPr>
        <w:t xml:space="preserve">.  </w:t>
      </w:r>
      <w:r>
        <w:rPr>
          <w:rFonts w:eastAsia="Times New Roman" w:cstheme="minorHAnsi"/>
          <w:color w:val="000000"/>
          <w:lang w:eastAsia="en-GB"/>
        </w:rPr>
        <w:t>A</w:t>
      </w:r>
      <w:r w:rsidRPr="003403EB">
        <w:rPr>
          <w:rFonts w:eastAsia="Times New Roman" w:cstheme="minorHAnsi"/>
          <w:color w:val="000000"/>
          <w:lang w:eastAsia="en-GB"/>
        </w:rPr>
        <w:t xml:space="preserve"> strict application of such an approach would </w:t>
      </w:r>
      <w:r>
        <w:rPr>
          <w:rFonts w:eastAsia="Times New Roman" w:cstheme="minorHAnsi"/>
          <w:color w:val="000000"/>
          <w:lang w:eastAsia="en-GB"/>
        </w:rPr>
        <w:t xml:space="preserve">for instance </w:t>
      </w:r>
      <w:r w:rsidRPr="003403EB">
        <w:rPr>
          <w:rFonts w:eastAsia="Times New Roman" w:cstheme="minorHAnsi"/>
          <w:color w:val="000000"/>
          <w:lang w:eastAsia="en-GB"/>
        </w:rPr>
        <w:t xml:space="preserve">suggest that an investment firm or </w:t>
      </w:r>
      <w:r>
        <w:rPr>
          <w:rFonts w:eastAsia="Times New Roman" w:cstheme="minorHAnsi"/>
          <w:color w:val="000000"/>
          <w:lang w:eastAsia="en-GB"/>
        </w:rPr>
        <w:t xml:space="preserve">a </w:t>
      </w:r>
      <w:r w:rsidRPr="003403EB">
        <w:rPr>
          <w:rFonts w:eastAsia="Times New Roman" w:cstheme="minorHAnsi"/>
          <w:color w:val="000000"/>
          <w:lang w:eastAsia="en-GB"/>
        </w:rPr>
        <w:t xml:space="preserve">bank located in a third country would be treated as a “non-financial entity” rather than a financial entity.  </w:t>
      </w:r>
      <w:permEnd w:id="210"/>
      <w:r w:rsidR="00577C33">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D04F27" w:rsidRPr="002B2A67" w:rsidRDefault="00D04F27" w:rsidP="00D04F27">
      <w:pPr>
        <w:tabs>
          <w:tab w:val="left" w:pos="1100"/>
        </w:tabs>
        <w:rPr>
          <w:rFonts w:eastAsia="Times New Roman" w:cstheme="minorHAnsi"/>
          <w:lang w:eastAsia="en-GB"/>
        </w:rPr>
      </w:pPr>
      <w:permStart w:id="211" w:edGrp="everyone"/>
      <w:r w:rsidRPr="002B2A67">
        <w:rPr>
          <w:rFonts w:eastAsia="Times New Roman" w:cstheme="minorHAnsi"/>
          <w:color w:val="000000"/>
          <w:lang w:eastAsia="en-GB"/>
        </w:rPr>
        <w:t xml:space="preserve">Cf. our response to </w:t>
      </w:r>
      <w:r w:rsidRPr="002B2A67">
        <w:rPr>
          <w:rFonts w:eastAsia="Times New Roman" w:cstheme="minorHAnsi"/>
          <w:lang w:eastAsia="en-GB"/>
        </w:rPr>
        <w:t>Question 203.</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D04F27" w:rsidP="00EC2C93">
      <w:pPr>
        <w:keepNext/>
      </w:pPr>
      <w:permStart w:id="212" w:edGrp="everyone"/>
      <w:proofErr w:type="spellStart"/>
      <w:r w:rsidRPr="00212607">
        <w:rPr>
          <w:rFonts w:eastAsia="Times New Roman" w:cstheme="minorHAnsi"/>
          <w:color w:val="000000"/>
          <w:lang w:eastAsia="en-GB"/>
        </w:rPr>
        <w:t>Europex</w:t>
      </w:r>
      <w:proofErr w:type="spellEnd"/>
      <w:r w:rsidRPr="00212607">
        <w:rPr>
          <w:rFonts w:eastAsia="Times New Roman" w:cstheme="minorHAnsi"/>
          <w:color w:val="000000"/>
          <w:lang w:eastAsia="en-GB"/>
        </w:rPr>
        <w:t xml:space="preserve"> believes that the methodology for aggregating positions - in a situation in which one company has an ownership int</w:t>
      </w:r>
      <w:r w:rsidRPr="00BB7D45">
        <w:rPr>
          <w:rFonts w:eastAsia="Times New Roman" w:cstheme="minorHAnsi"/>
          <w:color w:val="000000"/>
          <w:lang w:eastAsia="en-GB"/>
        </w:rPr>
        <w:t xml:space="preserve">erest in another - should be based on a discrete percentage threshold which is used as a proxy </w:t>
      </w:r>
      <w:r>
        <w:rPr>
          <w:rFonts w:eastAsia="Times New Roman" w:cstheme="minorHAnsi"/>
          <w:color w:val="000000"/>
          <w:lang w:eastAsia="en-GB"/>
        </w:rPr>
        <w:t>of</w:t>
      </w:r>
      <w:r w:rsidRPr="00BB7D45">
        <w:rPr>
          <w:rFonts w:eastAsia="Times New Roman" w:cstheme="minorHAnsi"/>
          <w:color w:val="000000"/>
          <w:lang w:eastAsia="en-GB"/>
        </w:rPr>
        <w:t xml:space="preserve"> “control”.  It suggests that the threshold should be set at 50%. Where the threshold is met, the totality of the position of the controlled entity should be added to the position of the controlling entity for the purposes of calculating the overall net position.   </w:t>
      </w:r>
      <w:permEnd w:id="212"/>
      <w:r w:rsidR="00577C33">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D04F27" w:rsidRPr="002B2A67" w:rsidRDefault="00D04F27" w:rsidP="00D04F27">
      <w:pPr>
        <w:spacing w:line="240" w:lineRule="auto"/>
        <w:rPr>
          <w:rFonts w:eastAsia="Times New Roman" w:cstheme="minorHAnsi"/>
          <w:color w:val="000000"/>
          <w:lang w:eastAsia="en-GB"/>
        </w:rPr>
      </w:pPr>
      <w:permStart w:id="213" w:edGrp="everyone"/>
      <w:r w:rsidRPr="002B2A67">
        <w:rPr>
          <w:rFonts w:eastAsia="Times New Roman" w:cstheme="minorHAnsi"/>
          <w:color w:val="000000"/>
          <w:lang w:eastAsia="en-GB"/>
        </w:rPr>
        <w:t xml:space="preserve">Yes.  ESMA’s proposed approach is similar to the CFTC’s proposal in relation to economic equivalence of swaps and futures contracts, which is designed to identify an entity’s overall </w:t>
      </w:r>
      <w:r w:rsidRPr="002B2A67">
        <w:rPr>
          <w:rFonts w:eastAsia="Times New Roman" w:cstheme="minorHAnsi"/>
          <w:color w:val="000000"/>
          <w:lang w:eastAsia="en-GB"/>
        </w:rPr>
        <w:lastRenderedPageBreak/>
        <w:t>influence on the demand and supply conditions in a particular commodity sector, whilst recognising that the component contracts of that entity’s position are not necessarily legally identical.  Given the global nature of many commodity markets, there would be clear benefits in the EU and US applying consistent definitions of “economically equivalent” for the purposes of operating their position limits regimes.</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D04F27" w:rsidP="00EC2C93">
      <w:pPr>
        <w:keepNext/>
      </w:pPr>
      <w:permStart w:id="214" w:edGrp="everyone"/>
      <w:r>
        <w:rPr>
          <w:rFonts w:eastAsia="Times New Roman" w:cstheme="minorHAnsi"/>
          <w:color w:val="000000"/>
          <w:lang w:eastAsia="en-GB"/>
        </w:rPr>
        <w:t>Special</w:t>
      </w:r>
      <w:r w:rsidRPr="00212607">
        <w:rPr>
          <w:rFonts w:eastAsia="Times New Roman" w:cstheme="minorHAnsi"/>
          <w:color w:val="000000"/>
          <w:lang w:eastAsia="en-GB"/>
        </w:rPr>
        <w:t xml:space="preserve"> care needs to be taken when using the term “same derivative contract”.  The purpose of the term (as used in Article 57(12)(d) of </w:t>
      </w:r>
      <w:proofErr w:type="spellStart"/>
      <w:r>
        <w:rPr>
          <w:rFonts w:eastAsia="Times New Roman" w:cstheme="minorHAnsi"/>
          <w:color w:val="000000"/>
          <w:lang w:eastAsia="en-GB"/>
        </w:rPr>
        <w:t>MiFID</w:t>
      </w:r>
      <w:proofErr w:type="spellEnd"/>
      <w:r w:rsidRPr="00212607">
        <w:rPr>
          <w:rFonts w:eastAsia="Times New Roman" w:cstheme="minorHAnsi"/>
          <w:color w:val="000000"/>
          <w:lang w:eastAsia="en-GB"/>
        </w:rPr>
        <w:t xml:space="preserve"> II) is to manage a situation where</w:t>
      </w:r>
      <w:r w:rsidRPr="00D220B5">
        <w:rPr>
          <w:rFonts w:eastAsia="Times New Roman" w:cstheme="minorHAnsi"/>
          <w:color w:val="000000"/>
          <w:lang w:eastAsia="en-GB"/>
        </w:rPr>
        <w:t xml:space="preserve"> a single position limit needs to be set in relation to the trading of commodity derivat</w:t>
      </w:r>
      <w:r w:rsidRPr="003403EB">
        <w:rPr>
          <w:rFonts w:eastAsia="Times New Roman" w:cstheme="minorHAnsi"/>
          <w:color w:val="000000"/>
          <w:lang w:eastAsia="en-GB"/>
        </w:rPr>
        <w:t>ives at competin</w:t>
      </w:r>
      <w:r w:rsidRPr="00212607">
        <w:rPr>
          <w:rFonts w:eastAsia="Times New Roman" w:cstheme="minorHAnsi"/>
          <w:color w:val="000000"/>
          <w:lang w:eastAsia="en-GB"/>
        </w:rPr>
        <w:t xml:space="preserve">g trading venues.  In the </w:t>
      </w:r>
      <w:r w:rsidRPr="00BB7D45">
        <w:rPr>
          <w:rFonts w:eastAsia="Times New Roman" w:cstheme="minorHAnsi"/>
          <w:color w:val="000000"/>
          <w:lang w:eastAsia="en-GB"/>
        </w:rPr>
        <w:t xml:space="preserve">given context, </w:t>
      </w:r>
      <w:proofErr w:type="spellStart"/>
      <w:r w:rsidRPr="00BB7D45">
        <w:rPr>
          <w:rFonts w:eastAsia="Times New Roman" w:cstheme="minorHAnsi"/>
          <w:color w:val="000000"/>
          <w:lang w:eastAsia="en-GB"/>
        </w:rPr>
        <w:t>Europex</w:t>
      </w:r>
      <w:proofErr w:type="spellEnd"/>
      <w:r w:rsidRPr="00BB7D45">
        <w:rPr>
          <w:rFonts w:eastAsia="Times New Roman" w:cstheme="minorHAnsi"/>
          <w:color w:val="000000"/>
          <w:lang w:eastAsia="en-GB"/>
        </w:rPr>
        <w:t xml:space="preserve"> has no further comments on the proposed approach.</w:t>
      </w:r>
      <w:permEnd w:id="214"/>
      <w:r w:rsidR="00577C33">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D04F27" w:rsidRPr="002B2A67" w:rsidRDefault="00D04F27" w:rsidP="00D04F27">
      <w:pPr>
        <w:spacing w:line="240" w:lineRule="auto"/>
        <w:rPr>
          <w:rFonts w:eastAsia="Times New Roman" w:cstheme="minorHAnsi"/>
          <w:color w:val="000000"/>
          <w:lang w:eastAsia="en-GB"/>
        </w:rPr>
      </w:pPr>
      <w:permStart w:id="215" w:edGrp="everyone"/>
    </w:p>
    <w:p w:rsidR="00577C33" w:rsidRDefault="00D04F27" w:rsidP="00EC2C93">
      <w:pPr>
        <w:keepNext/>
      </w:pPr>
      <w:r w:rsidRPr="002B2A67">
        <w:rPr>
          <w:rFonts w:eastAsia="Times New Roman" w:cstheme="minorHAnsi"/>
          <w:color w:val="000000"/>
          <w:lang w:eastAsia="en-GB"/>
        </w:rPr>
        <w:t xml:space="preserve">Yes, </w:t>
      </w:r>
      <w:proofErr w:type="spellStart"/>
      <w:r>
        <w:rPr>
          <w:rFonts w:eastAsia="Times New Roman" w:cstheme="minorHAnsi"/>
          <w:color w:val="000000"/>
          <w:lang w:eastAsia="en-GB"/>
        </w:rPr>
        <w:t>Europex</w:t>
      </w:r>
      <w:proofErr w:type="spellEnd"/>
      <w:r w:rsidRPr="00212607">
        <w:rPr>
          <w:rFonts w:eastAsia="Times New Roman" w:cstheme="minorHAnsi"/>
          <w:color w:val="000000"/>
          <w:lang w:eastAsia="en-GB"/>
        </w:rPr>
        <w:t xml:space="preserve"> agree</w:t>
      </w:r>
      <w:r>
        <w:rPr>
          <w:rFonts w:eastAsia="Times New Roman" w:cstheme="minorHAnsi"/>
          <w:color w:val="000000"/>
          <w:lang w:eastAsia="en-GB"/>
        </w:rPr>
        <w:t>s</w:t>
      </w:r>
      <w:r w:rsidRPr="00212607">
        <w:rPr>
          <w:rFonts w:eastAsia="Times New Roman" w:cstheme="minorHAnsi"/>
          <w:color w:val="000000"/>
          <w:lang w:eastAsia="en-GB"/>
        </w:rPr>
        <w:t>.</w:t>
      </w:r>
      <w:permEnd w:id="215"/>
      <w:r w:rsidR="00577C33">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D04F27" w:rsidP="00EC2C93">
      <w:pPr>
        <w:keepNext/>
      </w:pPr>
      <w:permStart w:id="216" w:edGrp="everyone"/>
      <w:r w:rsidRPr="002B2A67">
        <w:rPr>
          <w:rFonts w:eastAsia="Times New Roman" w:cstheme="minorHAnsi"/>
          <w:color w:val="000000"/>
          <w:lang w:eastAsia="en-GB"/>
        </w:rPr>
        <w:t>Cf. our response to Question 204.</w:t>
      </w:r>
      <w:permEnd w:id="216"/>
      <w:r w:rsidR="00577C33">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D04F27" w:rsidRPr="002B2A67" w:rsidRDefault="00D04F27" w:rsidP="00D04F27">
      <w:pPr>
        <w:spacing w:line="240" w:lineRule="auto"/>
        <w:rPr>
          <w:rFonts w:eastAsia="Times New Roman" w:cstheme="minorHAnsi"/>
          <w:color w:val="000000"/>
          <w:lang w:eastAsia="en-GB"/>
        </w:rPr>
      </w:pPr>
      <w:permStart w:id="217" w:edGrp="everyone"/>
    </w:p>
    <w:p w:rsidR="00577C33" w:rsidRDefault="00D04F27" w:rsidP="00EC2C93">
      <w:pPr>
        <w:keepNext/>
      </w:pPr>
      <w:r w:rsidRPr="002B2A67">
        <w:rPr>
          <w:rFonts w:eastAsia="Times New Roman" w:cstheme="minorHAnsi"/>
          <w:color w:val="000000"/>
          <w:lang w:eastAsia="en-GB"/>
        </w:rPr>
        <w:t>The proposed draft Regulatory Technical Standard (Article 7 of RTS 30) stipulates that a National Competent Authority (NCA) will be given up to 30 calendar days to approve an application for an exemption. This is a significantly long period, during which the non-financial entity will face regulatory uncertainty about whether or not an exemption will be available to it. We therefore suggest reducing this period.</w:t>
      </w:r>
      <w:permEnd w:id="217"/>
      <w:r w:rsidR="00577C33">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D04F27" w:rsidP="00EC2C93">
      <w:pPr>
        <w:keepNext/>
      </w:pPr>
      <w:permStart w:id="218" w:edGrp="everyone"/>
      <w:r w:rsidRPr="002B2A67">
        <w:rPr>
          <w:rFonts w:eastAsia="Times New Roman" w:cstheme="minorHAnsi"/>
          <w:color w:val="000000"/>
          <w:lang w:eastAsia="en-GB"/>
        </w:rPr>
        <w:t>Cf. our response to Question 204</w:t>
      </w:r>
      <w:r w:rsidR="00FD2EF6">
        <w:rPr>
          <w:rFonts w:eastAsia="Times New Roman" w:cstheme="minorHAnsi"/>
          <w:color w:val="000000"/>
          <w:lang w:eastAsia="en-GB"/>
        </w:rPr>
        <w:t>.</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FD2EF6" w:rsidRPr="002B2A67" w:rsidRDefault="00FD2EF6" w:rsidP="00FD2EF6">
      <w:pPr>
        <w:pStyle w:val="Default"/>
        <w:jc w:val="both"/>
        <w:rPr>
          <w:rFonts w:asciiTheme="minorHAnsi" w:eastAsia="Times New Roman" w:hAnsiTheme="minorHAnsi" w:cstheme="minorHAnsi"/>
          <w:sz w:val="22"/>
          <w:szCs w:val="22"/>
          <w:lang w:val="en-GB" w:eastAsia="en-GB"/>
        </w:rPr>
      </w:pPr>
      <w:permStart w:id="219" w:edGrp="everyone"/>
      <w:proofErr w:type="spellStart"/>
      <w:r w:rsidRPr="002B2A67">
        <w:rPr>
          <w:rFonts w:asciiTheme="minorHAnsi" w:eastAsia="Times New Roman" w:hAnsiTheme="minorHAnsi" w:cstheme="minorHAnsi"/>
          <w:sz w:val="22"/>
          <w:szCs w:val="22"/>
          <w:lang w:val="en-GB" w:eastAsia="en-GB"/>
        </w:rPr>
        <w:t>Europex</w:t>
      </w:r>
      <w:proofErr w:type="spellEnd"/>
      <w:r w:rsidRPr="002B2A67">
        <w:rPr>
          <w:rFonts w:asciiTheme="minorHAnsi" w:eastAsia="Times New Roman" w:hAnsiTheme="minorHAnsi" w:cstheme="minorHAnsi"/>
          <w:sz w:val="22"/>
          <w:szCs w:val="22"/>
          <w:lang w:val="en-GB" w:eastAsia="en-GB"/>
        </w:rPr>
        <w:t xml:space="preserve"> generally agrees with ESMA’s proposal for the reporting format.</w:t>
      </w:r>
    </w:p>
    <w:p w:rsidR="00FD2EF6" w:rsidRPr="002B2A67" w:rsidRDefault="00FD2EF6" w:rsidP="00FD2EF6">
      <w:pPr>
        <w:pStyle w:val="Default"/>
        <w:jc w:val="both"/>
        <w:rPr>
          <w:rFonts w:asciiTheme="minorHAnsi" w:eastAsia="Times New Roman" w:hAnsiTheme="minorHAnsi" w:cstheme="minorHAnsi"/>
          <w:sz w:val="22"/>
          <w:szCs w:val="22"/>
          <w:lang w:val="en-GB" w:eastAsia="en-GB"/>
        </w:rPr>
      </w:pPr>
      <w:r w:rsidRPr="002B2A67">
        <w:rPr>
          <w:rFonts w:asciiTheme="minorHAnsi" w:eastAsia="Times New Roman" w:hAnsiTheme="minorHAnsi" w:cstheme="minorHAnsi"/>
          <w:sz w:val="22"/>
          <w:szCs w:val="22"/>
          <w:lang w:val="en-GB" w:eastAsia="en-GB"/>
        </w:rPr>
        <w:t xml:space="preserve"> </w:t>
      </w:r>
    </w:p>
    <w:p w:rsidR="00FD2EF6" w:rsidRPr="002B2A67" w:rsidRDefault="00FD2EF6" w:rsidP="00FD2EF6">
      <w:pPr>
        <w:pStyle w:val="Default"/>
        <w:jc w:val="both"/>
        <w:rPr>
          <w:rFonts w:asciiTheme="minorHAnsi" w:eastAsia="Times New Roman" w:hAnsiTheme="minorHAnsi" w:cstheme="minorHAnsi"/>
          <w:sz w:val="22"/>
          <w:szCs w:val="22"/>
          <w:lang w:val="en-GB" w:eastAsia="en-GB"/>
        </w:rPr>
      </w:pPr>
      <w:r w:rsidRPr="002B2A67">
        <w:rPr>
          <w:rFonts w:asciiTheme="minorHAnsi" w:eastAsia="Times New Roman" w:hAnsiTheme="minorHAnsi" w:cstheme="minorHAnsi"/>
          <w:sz w:val="22"/>
          <w:szCs w:val="22"/>
          <w:lang w:val="en-GB" w:eastAsia="en-GB"/>
        </w:rPr>
        <w:t xml:space="preserve">However, the position reporting regime should ensure a high level of confidentiality by not </w:t>
      </w:r>
      <w:r w:rsidRPr="002B2A67">
        <w:rPr>
          <w:rFonts w:asciiTheme="minorHAnsi" w:hAnsiTheme="minorHAnsi"/>
          <w:sz w:val="22"/>
          <w:szCs w:val="22"/>
          <w:lang w:val="en-GB"/>
        </w:rPr>
        <w:t>disclosing details of position holders to the extent that they may be identifiable.</w:t>
      </w:r>
      <w:r w:rsidRPr="002B2A67">
        <w:rPr>
          <w:rFonts w:asciiTheme="minorHAnsi" w:eastAsia="Times New Roman" w:hAnsiTheme="minorHAnsi" w:cstheme="minorHAnsi"/>
          <w:sz w:val="22"/>
          <w:szCs w:val="22"/>
          <w:lang w:val="en-GB" w:eastAsia="en-GB"/>
        </w:rPr>
        <w:t xml:space="preserve"> Reporting of </w:t>
      </w:r>
      <w:r w:rsidRPr="002B2A67">
        <w:rPr>
          <w:rFonts w:asciiTheme="minorHAnsi" w:eastAsia="Times New Roman" w:hAnsiTheme="minorHAnsi" w:cstheme="minorHAnsi"/>
          <w:sz w:val="22"/>
          <w:szCs w:val="22"/>
          <w:lang w:val="en-GB" w:eastAsia="en-GB"/>
        </w:rPr>
        <w:lastRenderedPageBreak/>
        <w:t>all fields with a distinction between ‘risk reducing’ and ‘other’ may put this confidentiality at risk, if there is only one holder in any of these two groups.</w:t>
      </w:r>
    </w:p>
    <w:p w:rsidR="00FD2EF6" w:rsidRPr="002B2A67" w:rsidRDefault="00FD2EF6" w:rsidP="00FD2EF6">
      <w:pPr>
        <w:pStyle w:val="Default"/>
        <w:jc w:val="both"/>
        <w:rPr>
          <w:rFonts w:asciiTheme="minorHAnsi" w:eastAsia="Times New Roman" w:hAnsiTheme="minorHAnsi" w:cstheme="minorHAnsi"/>
          <w:sz w:val="22"/>
          <w:szCs w:val="22"/>
          <w:lang w:val="en-GB" w:eastAsia="en-GB"/>
        </w:rPr>
      </w:pPr>
    </w:p>
    <w:p w:rsidR="00FD2EF6" w:rsidRPr="002B2A67" w:rsidRDefault="00FD2EF6" w:rsidP="00FD2EF6">
      <w:pPr>
        <w:spacing w:line="240" w:lineRule="auto"/>
        <w:rPr>
          <w:rFonts w:eastAsia="Times New Roman" w:cstheme="minorHAnsi"/>
          <w:lang w:eastAsia="en-GB"/>
        </w:rPr>
      </w:pPr>
      <w:r w:rsidRPr="002B2A67">
        <w:rPr>
          <w:rFonts w:eastAsia="Times New Roman" w:cstheme="minorHAnsi"/>
          <w:lang w:eastAsia="en-GB"/>
        </w:rPr>
        <w:t>Example:</w:t>
      </w:r>
      <w:r w:rsidRPr="002B2A67">
        <w:rPr>
          <w:rFonts w:eastAsia="Times New Roman" w:cstheme="minorHAnsi"/>
          <w:color w:val="000000"/>
          <w:lang w:eastAsia="en-GB"/>
        </w:rPr>
        <w:t xml:space="preserve"> </w:t>
      </w:r>
      <w:r w:rsidRPr="002B2A67">
        <w:rPr>
          <w:rFonts w:eastAsia="Times New Roman" w:cstheme="minorHAnsi"/>
          <w:lang w:eastAsia="en-GB"/>
        </w:rPr>
        <w:t xml:space="preserve">Total number of position holders in one category exceeds four and therefore it should be disclosed. However, there is only one position holder out of four whose positions can be qualified as reducing risk. As a result, with reference to that position holder the number of long and short open positions would be made public. The same situation occurs if there is only one position holder out of four whose positions can be qualified as ‘other’. </w:t>
      </w:r>
    </w:p>
    <w:p w:rsidR="00FD2EF6" w:rsidRPr="002B2A67" w:rsidRDefault="00FD2EF6" w:rsidP="00FD2EF6">
      <w:pPr>
        <w:spacing w:line="240" w:lineRule="auto"/>
        <w:rPr>
          <w:rFonts w:eastAsia="Times New Roman" w:cstheme="minorHAnsi"/>
          <w:lang w:eastAsia="en-GB"/>
        </w:rPr>
      </w:pPr>
    </w:p>
    <w:p w:rsidR="00FD2EF6" w:rsidRPr="002B2A67" w:rsidRDefault="00FD2EF6" w:rsidP="00FD2EF6">
      <w:pPr>
        <w:spacing w:line="240" w:lineRule="auto"/>
        <w:rPr>
          <w:rFonts w:eastAsia="Times New Roman" w:cstheme="minorHAnsi"/>
          <w:lang w:eastAsia="en-GB"/>
        </w:rPr>
      </w:pPr>
      <w:r w:rsidRPr="002B2A67">
        <w:rPr>
          <w:rFonts w:eastAsia="Times New Roman" w:cstheme="minorHAnsi"/>
          <w:lang w:eastAsia="en-GB"/>
        </w:rPr>
        <w:t xml:space="preserve">Therefore, the field ‘number of position holders’ in a given category should not differentiate between ‘risk reducing’ and ‘other’. </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FD2EF6" w:rsidP="00EC2C93">
      <w:pPr>
        <w:keepNext/>
      </w:pPr>
      <w:permStart w:id="221" w:edGrp="everyone"/>
      <w:r w:rsidRPr="002B2A67">
        <w:rPr>
          <w:rFonts w:eastAsia="Times New Roman" w:cstheme="minorHAnsi"/>
          <w:color w:val="000000"/>
          <w:lang w:eastAsia="en-GB"/>
        </w:rPr>
        <w:t xml:space="preserve">ESMA should take into account that market operators are not in possession of data on open positions of their members. Such information will have to be obtained from the respective Central Counterparties (CCPs). Therefore, market operators can only partly bear responsibility for the adequacy of the information. </w:t>
      </w:r>
      <w:permEnd w:id="221"/>
      <w:r w:rsidR="00577C33">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2"/>
      <w:footerReference w:type="default" r:id="rId13"/>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A6" w:rsidRDefault="008F2CA6" w:rsidP="007E7997">
      <w:pPr>
        <w:spacing w:line="240" w:lineRule="auto"/>
      </w:pPr>
      <w:r>
        <w:separator/>
      </w:r>
    </w:p>
  </w:endnote>
  <w:endnote w:type="continuationSeparator" w:id="0">
    <w:p w:rsidR="008F2CA6" w:rsidRDefault="008F2CA6"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27" w:rsidRDefault="00D04F27">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D04F27" w:rsidRDefault="00D04F27" w:rsidP="00375BA2">
        <w:pPr>
          <w:pStyle w:val="Footer"/>
          <w:jc w:val="right"/>
        </w:pPr>
        <w:fldSimple w:instr=" PAGE   \* MERGEFORMAT ">
          <w:r w:rsidR="00FD2EF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A6" w:rsidRDefault="008F2CA6" w:rsidP="007E7997">
      <w:pPr>
        <w:spacing w:line="240" w:lineRule="auto"/>
      </w:pPr>
      <w:r>
        <w:separator/>
      </w:r>
    </w:p>
  </w:footnote>
  <w:footnote w:type="continuationSeparator" w:id="0">
    <w:p w:rsidR="008F2CA6" w:rsidRDefault="008F2CA6" w:rsidP="007E7997">
      <w:pPr>
        <w:spacing w:line="240" w:lineRule="auto"/>
      </w:pPr>
      <w:r>
        <w:continuationSeparator/>
      </w:r>
    </w:p>
  </w:footnote>
  <w:footnote w:id="1">
    <w:p w:rsidR="00D04F27" w:rsidRPr="00AA7A30" w:rsidRDefault="00D04F27"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27" w:rsidRDefault="00D04F27">
    <w:pPr>
      <w:pStyle w:val="Header"/>
    </w:pPr>
    <w:r>
      <w:rPr>
        <w:noProof/>
        <w:lang w:eastAsia="en-GB"/>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27" w:rsidRDefault="00D04F27" w:rsidP="00B50534">
    <w:pPr>
      <w:pStyle w:val="Header"/>
      <w:jc w:val="right"/>
      <w:rPr>
        <w:b/>
        <w:color w:val="FF0000"/>
      </w:rPr>
    </w:pPr>
  </w:p>
  <w:p w:rsidR="00D04F27" w:rsidRDefault="00D04F27" w:rsidP="00B50534">
    <w:pPr>
      <w:pStyle w:val="Header"/>
      <w:jc w:val="right"/>
      <w:rPr>
        <w:b/>
        <w:color w:val="FF0000"/>
      </w:rPr>
    </w:pPr>
    <w:r w:rsidRPr="00931B16">
      <w:rPr>
        <w:rFonts w:ascii="Arial" w:hAnsi="Arial" w:cs="Arial"/>
        <w:noProof/>
        <w:lang w:eastAsia="en-GB"/>
      </w:rPr>
      <w:pict>
        <v:line id="Line 16" o:spid="_x0000_s4097" style="position:absolute;left:0;text-align:left;z-index:251672576;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D04F27" w:rsidRPr="00B50534" w:rsidRDefault="00D04F27"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95A781B"/>
    <w:multiLevelType w:val="hybridMultilevel"/>
    <w:tmpl w:val="69009306"/>
    <w:lvl w:ilvl="0" w:tplc="5B261A62">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AAE4269"/>
    <w:multiLevelType w:val="hybridMultilevel"/>
    <w:tmpl w:val="FD2E8D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8BD7CA3"/>
    <w:multiLevelType w:val="hybridMultilevel"/>
    <w:tmpl w:val="68284CE8"/>
    <w:lvl w:ilvl="0" w:tplc="BE9AB36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AE48BC"/>
    <w:multiLevelType w:val="hybridMultilevel"/>
    <w:tmpl w:val="CA7A20AC"/>
    <w:lvl w:ilvl="0" w:tplc="9334C8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D95569A"/>
    <w:multiLevelType w:val="hybridMultilevel"/>
    <w:tmpl w:val="558C5E6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5B633A9"/>
    <w:multiLevelType w:val="hybridMultilevel"/>
    <w:tmpl w:val="30324A3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4">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571CB4"/>
    <w:multiLevelType w:val="hybridMultilevel"/>
    <w:tmpl w:val="C8946F7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21"/>
  </w:num>
  <w:num w:numId="4">
    <w:abstractNumId w:val="8"/>
  </w:num>
  <w:num w:numId="5">
    <w:abstractNumId w:val="18"/>
  </w:num>
  <w:num w:numId="6">
    <w:abstractNumId w:val="13"/>
  </w:num>
  <w:num w:numId="7">
    <w:abstractNumId w:val="0"/>
  </w:num>
  <w:num w:numId="8">
    <w:abstractNumId w:val="9"/>
  </w:num>
  <w:num w:numId="9">
    <w:abstractNumId w:val="6"/>
  </w:num>
  <w:num w:numId="10">
    <w:abstractNumId w:val="3"/>
  </w:num>
  <w:num w:numId="11">
    <w:abstractNumId w:val="20"/>
  </w:num>
  <w:num w:numId="12">
    <w:abstractNumId w:val="10"/>
  </w:num>
  <w:num w:numId="13">
    <w:abstractNumId w:val="22"/>
  </w:num>
  <w:num w:numId="14">
    <w:abstractNumId w:val="14"/>
  </w:num>
  <w:num w:numId="15">
    <w:abstractNumId w:val="16"/>
  </w:num>
  <w:num w:numId="16">
    <w:abstractNumId w:val="2"/>
  </w:num>
  <w:num w:numId="17">
    <w:abstractNumId w:val="25"/>
  </w:num>
  <w:num w:numId="18">
    <w:abstractNumId w:val="5"/>
  </w:num>
  <w:num w:numId="19">
    <w:abstractNumId w:val="23"/>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6"/>
  </w:num>
  <w:num w:numId="32">
    <w:abstractNumId w:val="1"/>
  </w:num>
  <w:num w:numId="33">
    <w:abstractNumId w:val="4"/>
  </w:num>
  <w:num w:numId="34">
    <w:abstractNumId w:val="17"/>
  </w:num>
  <w:num w:numId="35">
    <w:abstractNumId w:val="11"/>
  </w:num>
  <w:num w:numId="36">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8F2CA6"/>
    <w:rsid w:val="009243C8"/>
    <w:rsid w:val="00931B16"/>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04F27"/>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D2EF6"/>
    <w:rsid w:val="00FE0B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FD2EF6"/>
    <w:pPr>
      <w:autoSpaceDE w:val="0"/>
      <w:autoSpaceDN w:val="0"/>
      <w:adjustRightInd w:val="0"/>
      <w:spacing w:after="0" w:line="240" w:lineRule="auto"/>
    </w:pPr>
    <w:rPr>
      <w:rFonts w:ascii="Arial" w:eastAsiaTheme="minorHAnsi" w:hAnsi="Arial" w:cs="Arial"/>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3CFC-A7A6-42BC-8225-3CC3BFA3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2</TotalTime>
  <Pages>57</Pages>
  <Words>16802</Words>
  <Characters>95772</Characters>
  <Application>Microsoft Office Word</Application>
  <DocSecurity>8</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Maria Suman</cp:lastModifiedBy>
  <cp:revision>3</cp:revision>
  <dcterms:created xsi:type="dcterms:W3CDTF">2015-02-26T09:16:00Z</dcterms:created>
  <dcterms:modified xsi:type="dcterms:W3CDTF">2015-02-26T09:16:00Z</dcterms:modified>
</cp:coreProperties>
</file>