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id w:val="-973058580"/>
        <w:docPartObj>
          <w:docPartGallery w:val="Cover Pages"/>
          <w:docPartUnique/>
        </w:docPartObj>
      </w:sdt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8"/>
              <w:footerReference w:type="first" r:id="rId9"/>
              <w:pgSz w:w="11906" w:h="16838"/>
              <w:pgMar w:top="1417" w:right="1417" w:bottom="1417" w:left="1417" w:header="708" w:footer="708" w:gutter="0"/>
              <w:pgNumType w:start="0"/>
              <w:cols w:space="708"/>
              <w:titlePg/>
              <w:docGrid w:linePitch="360"/>
            </w:sectPr>
          </w:pPr>
        </w:p>
        <w:p w:rsidR="009663D9" w:rsidRDefault="00316D49"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0" w:edGrp="everyone" w:colFirst="1" w:colLast="1"/>
            <w:r w:rsidRPr="00AB6D88">
              <w:rPr>
                <w:rFonts w:ascii="Arial" w:hAnsi="Arial" w:cs="Arial"/>
              </w:rPr>
              <w:t>Name of the company / organisation</w:t>
            </w:r>
          </w:p>
        </w:tc>
        <w:sdt>
          <w:sdtPr>
            <w:rPr>
              <w:rStyle w:val="PlaceholderText"/>
              <w:rFonts w:ascii="Arial" w:hAnsi="Arial" w:cs="Arial"/>
            </w:rPr>
            <w:id w:val="-1905066999"/>
            <w:text/>
          </w:sdtPr>
          <w:sdtContent>
            <w:permStart w:id="1" w:edGrp="everyone" w:displacedByCustomXml="prev"/>
            <w:tc>
              <w:tcPr>
                <w:tcW w:w="5595" w:type="dxa"/>
                <w:shd w:val="clear" w:color="auto" w:fill="auto"/>
              </w:tcPr>
              <w:p w:rsidR="000632C2" w:rsidRPr="00AB6D88" w:rsidRDefault="0055006C" w:rsidP="0055006C">
                <w:pPr>
                  <w:rPr>
                    <w:rStyle w:val="PlaceholderText"/>
                    <w:rFonts w:ascii="Arial" w:hAnsi="Arial" w:cs="Arial"/>
                  </w:rPr>
                </w:pPr>
                <w:r>
                  <w:rPr>
                    <w:rStyle w:val="PlaceholderText"/>
                    <w:rFonts w:ascii="Arial" w:hAnsi="Arial" w:cs="Arial"/>
                  </w:rPr>
                  <w:t>DACSI</w:t>
                </w:r>
              </w:p>
            </w:tc>
            <w:permEnd w:id="1"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 w:edGrp="everyone" w:colFirst="1" w:colLast="1"/>
            <w:permEnd w:id="0"/>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sdtPr>
          <w:sdtContent>
            <w:tc>
              <w:tcPr>
                <w:tcW w:w="5595" w:type="dxa"/>
                <w:shd w:val="clear" w:color="auto" w:fill="auto"/>
              </w:tcPr>
              <w:p w:rsidR="000632C2" w:rsidRPr="00AB6D88" w:rsidRDefault="0055006C" w:rsidP="0055006C">
                <w:pPr>
                  <w:rPr>
                    <w:rStyle w:val="PlaceholderText"/>
                    <w:rFonts w:ascii="Arial" w:hAnsi="Arial" w:cs="Arial"/>
                  </w:rPr>
                </w:pPr>
                <w:r>
                  <w:rPr>
                    <w:rStyle w:val="PlaceholderText"/>
                    <w:rFonts w:ascii="MS Gothic" w:eastAsia="MS Gothic" w:hAnsi="MS Gothic" w:cs="Arial"/>
                  </w:rPr>
                  <w:t>no</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3" w:edGrp="everyone" w:colFirst="1" w:colLast="1"/>
            <w:permEnd w:id="2"/>
            <w:r w:rsidRPr="00AB6D88">
              <w:rPr>
                <w:rFonts w:ascii="Arial" w:hAnsi="Arial" w:cs="Arial"/>
              </w:rPr>
              <w:t>Activity:</w:t>
            </w:r>
          </w:p>
        </w:tc>
        <w:tc>
          <w:tcPr>
            <w:tcW w:w="5595" w:type="dxa"/>
            <w:shd w:val="clear" w:color="auto" w:fill="auto"/>
          </w:tcPr>
          <w:p w:rsidR="000632C2" w:rsidRPr="00AB6D88" w:rsidRDefault="00316D49"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4" w:edGrp="everyone"/>
                <w:r w:rsidR="0055006C">
                  <w:rPr>
                    <w:rFonts w:ascii="Arial" w:hAnsi="Arial" w:cs="Arial"/>
                  </w:rPr>
                  <w:t>Banking sector</w:t>
                </w:r>
                <w:permEnd w:id="4"/>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5" w:edGrp="everyone" w:colFirst="1" w:colLast="1"/>
            <w:permEnd w:id="3"/>
            <w:r w:rsidRPr="00AB6D88">
              <w:rPr>
                <w:rFonts w:ascii="Arial" w:hAnsi="Arial" w:cs="Arial"/>
              </w:rPr>
              <w:t>Are you representing an association?</w:t>
            </w:r>
          </w:p>
        </w:tc>
        <w:sdt>
          <w:sdtPr>
            <w:rPr>
              <w:rFonts w:ascii="Arial" w:hAnsi="Arial" w:cs="Arial"/>
            </w:rPr>
            <w:id w:val="-242871467"/>
          </w:sdtPr>
          <w:sdtContent>
            <w:tc>
              <w:tcPr>
                <w:tcW w:w="5595" w:type="dxa"/>
                <w:shd w:val="clear" w:color="auto" w:fill="auto"/>
              </w:tcPr>
              <w:p w:rsidR="000632C2" w:rsidRPr="00AB6D88" w:rsidRDefault="0055006C" w:rsidP="0055006C">
                <w:pPr>
                  <w:rPr>
                    <w:rFonts w:ascii="Arial" w:hAnsi="Arial" w:cs="Arial"/>
                  </w:rPr>
                </w:pPr>
                <w:r>
                  <w:rPr>
                    <w:rFonts w:ascii="MS Gothic" w:eastAsia="MS Gothic" w:hAnsi="MS Gothic" w:cs="MS Gothic"/>
                  </w:rPr>
                  <w:t>yes</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6" w:edGrp="everyone" w:colFirst="1" w:colLast="1"/>
            <w:permEnd w:id="5"/>
            <w:r w:rsidRPr="00AB6D88">
              <w:rPr>
                <w:rFonts w:ascii="Arial" w:hAnsi="Arial" w:cs="Arial"/>
              </w:rPr>
              <w:t>Country/Region</w:t>
            </w:r>
          </w:p>
        </w:tc>
        <w:permStart w:id="7"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8" w:edGrp="everyone" w:displacedByCustomXml="prev"/>
            <w:tc>
              <w:tcPr>
                <w:tcW w:w="5595" w:type="dxa"/>
                <w:shd w:val="clear" w:color="auto" w:fill="auto"/>
              </w:tcPr>
              <w:p w:rsidR="000632C2" w:rsidRPr="00AB6D88" w:rsidRDefault="0055006C" w:rsidP="009E5107">
                <w:pPr>
                  <w:rPr>
                    <w:rFonts w:ascii="Arial" w:hAnsi="Arial" w:cs="Arial"/>
                  </w:rPr>
                </w:pPr>
                <w:r>
                  <w:rPr>
                    <w:rFonts w:ascii="Arial" w:hAnsi="Arial" w:cs="Arial"/>
                  </w:rPr>
                  <w:t>Netherlands</w:t>
                </w:r>
              </w:p>
            </w:tc>
            <w:permEnd w:id="8" w:displacedByCustomXml="next"/>
          </w:sdtContent>
        </w:sdt>
        <w:permEnd w:id="7" w:displacedByCustomXml="prev"/>
      </w:tr>
      <w:permEnd w:id="6"/>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1D47A5" w:rsidRDefault="001D47A5" w:rsidP="00E24D42">
      <w:permStart w:id="9" w:edGrp="everyone"/>
      <w:r>
        <w:t>TYPE YOUR TEXT HERE</w:t>
      </w:r>
    </w:p>
    <w:permEnd w:id="9"/>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1" w:name="_Toc406692468"/>
      <w:bookmarkStart w:id="2" w:name="_Toc406692311"/>
      <w:bookmarkStart w:id="3" w:name="_Toc406691701"/>
      <w:bookmarkStart w:id="4" w:name="_Toc405371754"/>
      <w:r>
        <w:t>Investor protection</w:t>
      </w:r>
      <w:bookmarkEnd w:id="1"/>
      <w:bookmarkEnd w:id="2"/>
      <w:bookmarkEnd w:id="3"/>
      <w:bookmarkEnd w:id="4"/>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10" w:edGrp="everyone"/>
      <w:r>
        <w:t>TYPE YOUR TEXT HERE</w:t>
      </w:r>
    </w:p>
    <w:permEnd w:id="10"/>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11" w:edGrp="everyone"/>
      <w:r>
        <w:t>TYPE YOUR TEXT HERE</w:t>
      </w:r>
    </w:p>
    <w:permEnd w:id="11"/>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12" w:edGrp="everyone"/>
      <w:r>
        <w:t>TYPE YOUR TEXT HERE</w:t>
      </w:r>
    </w:p>
    <w:permEnd w:id="12"/>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13" w:edGrp="everyone"/>
      <w:r>
        <w:t>TYPE YOUR TEXT HERE</w:t>
      </w:r>
    </w:p>
    <w:permEnd w:id="13"/>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14" w:edGrp="everyone"/>
      <w:r>
        <w:t>TYPE YOUR TEXT HERE</w:t>
      </w:r>
    </w:p>
    <w:permEnd w:id="14"/>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15" w:edGrp="everyone"/>
      <w:r>
        <w:t>TYPE YOUR TEXT HERE</w:t>
      </w:r>
    </w:p>
    <w:permEnd w:id="15"/>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16" w:edGrp="everyone"/>
      <w:r>
        <w:t>TYPE YOUR TEXT HERE</w:t>
      </w:r>
    </w:p>
    <w:permEnd w:id="16"/>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17" w:edGrp="everyone"/>
      <w:r>
        <w:t>TYPE YOUR TEXT HERE</w:t>
      </w:r>
    </w:p>
    <w:permEnd w:id="17"/>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18" w:edGrp="everyone"/>
      <w:r>
        <w:t>TYPE YOUR TEXT HERE</w:t>
      </w:r>
    </w:p>
    <w:permEnd w:id="18"/>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19" w:edGrp="everyone"/>
      <w:r>
        <w:t>TYPE YOUR TEXT HERE</w:t>
      </w:r>
    </w:p>
    <w:permEnd w:id="19"/>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20" w:edGrp="everyone"/>
      <w:r>
        <w:t>TYPE YOUR TEXT HERE</w:t>
      </w:r>
    </w:p>
    <w:permEnd w:id="20"/>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21" w:edGrp="everyone"/>
      <w:r>
        <w:t>TYPE YOUR TEXT HERE</w:t>
      </w:r>
    </w:p>
    <w:permEnd w:id="21"/>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22" w:edGrp="everyone"/>
      <w:r>
        <w:t>TYPE YOUR TEXT HERE</w:t>
      </w:r>
    </w:p>
    <w:permEnd w:id="22"/>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23" w:edGrp="everyone"/>
      <w:r>
        <w:t>TYPE YOUR TEXT HERE</w:t>
      </w:r>
    </w:p>
    <w:permEnd w:id="23"/>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24" w:edGrp="everyone"/>
      <w:r>
        <w:t>TYPE YOUR TEXT HERE</w:t>
      </w:r>
    </w:p>
    <w:permEnd w:id="24"/>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25" w:edGrp="everyone"/>
      <w:r>
        <w:t>TYPE YOUR TEXT HERE</w:t>
      </w:r>
    </w:p>
    <w:permEnd w:id="25"/>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26" w:edGrp="everyone"/>
      <w:r>
        <w:t>TYPE YOUR TEXT HERE</w:t>
      </w:r>
    </w:p>
    <w:permEnd w:id="26"/>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27" w:edGrp="everyone"/>
      <w:r>
        <w:t>TYPE YOUR TEXT HERE</w:t>
      </w:r>
    </w:p>
    <w:permEnd w:id="27"/>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28" w:edGrp="everyone"/>
      <w:r>
        <w:t>TYPE YOUR TEXT HERE</w:t>
      </w:r>
    </w:p>
    <w:permEnd w:id="28"/>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29" w:edGrp="everyone"/>
      <w:r>
        <w:t>TYPE YOUR TEXT HERE</w:t>
      </w:r>
    </w:p>
    <w:permEnd w:id="29"/>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30" w:edGrp="everyone"/>
      <w:r>
        <w:t>TYPE YOUR TEXT HERE</w:t>
      </w:r>
    </w:p>
    <w:permEnd w:id="30"/>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31" w:edGrp="everyone"/>
      <w:r>
        <w:t>TYPE YOUR TEXT HERE</w:t>
      </w:r>
    </w:p>
    <w:permEnd w:id="31"/>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32" w:edGrp="everyone"/>
      <w:r>
        <w:t>TYPE YOUR TEXT HERE</w:t>
      </w:r>
    </w:p>
    <w:permEnd w:id="32"/>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33" w:edGrp="everyone"/>
      <w:r>
        <w:t>TYPE YOUR TEXT HERE</w:t>
      </w:r>
    </w:p>
    <w:permEnd w:id="33"/>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34" w:edGrp="everyone"/>
      <w:r>
        <w:t>TYPE YOUR TEXT HERE</w:t>
      </w:r>
    </w:p>
    <w:permEnd w:id="34"/>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35" w:edGrp="everyone"/>
      <w:r>
        <w:t>TYPE YOUR TEXT HERE</w:t>
      </w:r>
    </w:p>
    <w:permEnd w:id="35"/>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36" w:edGrp="everyone"/>
      <w:r>
        <w:t>TYPE YOUR TEXT HERE</w:t>
      </w:r>
    </w:p>
    <w:permEnd w:id="36"/>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37" w:edGrp="everyone"/>
      <w:r>
        <w:t>TYPE YOUR TEXT HERE</w:t>
      </w:r>
    </w:p>
    <w:permEnd w:id="37"/>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38" w:edGrp="everyone"/>
      <w:r>
        <w:t>TYPE YOUR TEXT HERE</w:t>
      </w:r>
    </w:p>
    <w:permEnd w:id="38"/>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39" w:edGrp="everyone"/>
      <w:r>
        <w:t>TYPE YOUR TEXT HERE</w:t>
      </w:r>
    </w:p>
    <w:permEnd w:id="39"/>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40" w:edGrp="everyone"/>
      <w:r>
        <w:t>TYPE YOUR TEXT HERE</w:t>
      </w:r>
    </w:p>
    <w:permEnd w:id="40"/>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41" w:edGrp="everyone"/>
      <w:r>
        <w:t>TYPE YOUR TEXT HERE</w:t>
      </w:r>
    </w:p>
    <w:permEnd w:id="41"/>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42" w:edGrp="everyone"/>
      <w:r>
        <w:t>TYPE YOUR TEXT HERE</w:t>
      </w:r>
    </w:p>
    <w:permEnd w:id="42"/>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43" w:edGrp="everyone"/>
      <w:r>
        <w:t>TYPE YOUR TEXT HERE</w:t>
      </w:r>
    </w:p>
    <w:permEnd w:id="43"/>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44" w:edGrp="everyone"/>
      <w:r>
        <w:t>TYPE YOUR TEXT HERE</w:t>
      </w:r>
    </w:p>
    <w:permEnd w:id="44"/>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&lt;ESMA_QUESTION_CP_MIFID_36&gt;</w:t>
      </w:r>
    </w:p>
    <w:p w:rsidR="00577C33" w:rsidRDefault="00577C33" w:rsidP="00EC2C93">
      <w:pPr>
        <w:keepNext/>
      </w:pPr>
      <w:permStart w:id="45" w:edGrp="everyone"/>
      <w:r>
        <w:t>TYPE YOUR TEXT HERE</w:t>
      </w:r>
    </w:p>
    <w:permEnd w:id="45"/>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5" w:name="_Toc406692477"/>
      <w:bookmarkStart w:id="6" w:name="_Toc406692320"/>
      <w:bookmarkStart w:id="7" w:name="_Toc406691710"/>
      <w:r>
        <w:lastRenderedPageBreak/>
        <w:t>Transparency</w:t>
      </w:r>
      <w:bookmarkEnd w:id="5"/>
      <w:bookmarkEnd w:id="6"/>
      <w:bookmarkEnd w:id="7"/>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46" w:edGrp="everyone"/>
      <w:r>
        <w:t>TYPE YOUR TEXT HERE</w:t>
      </w:r>
    </w:p>
    <w:permEnd w:id="46"/>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47" w:edGrp="everyone"/>
      <w:r>
        <w:t>TYPE YOUR TEXT HERE</w:t>
      </w:r>
    </w:p>
    <w:permEnd w:id="47"/>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48" w:edGrp="everyone"/>
      <w:r>
        <w:t>TYPE YOUR TEXT HERE</w:t>
      </w:r>
    </w:p>
    <w:permEnd w:id="48"/>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49" w:edGrp="everyone"/>
      <w:r>
        <w:t>TYPE YOUR TEXT HERE</w:t>
      </w:r>
    </w:p>
    <w:permEnd w:id="49"/>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50" w:edGrp="everyone"/>
      <w:r>
        <w:t>TYPE YOUR TEXT HERE</w:t>
      </w:r>
    </w:p>
    <w:permEnd w:id="50"/>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51" w:edGrp="everyone"/>
      <w:r>
        <w:t>TYPE YOUR TEXT HERE</w:t>
      </w:r>
    </w:p>
    <w:permEnd w:id="51"/>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lastRenderedPageBreak/>
        <w:t>&lt;ESMA_QUESTION_CP_MIFID_43&gt;</w:t>
      </w:r>
    </w:p>
    <w:p w:rsidR="00577C33" w:rsidRDefault="00577C33" w:rsidP="00EC2C93">
      <w:pPr>
        <w:keepNext/>
      </w:pPr>
      <w:permStart w:id="52" w:edGrp="everyone"/>
      <w:r>
        <w:t>TYPE YOUR TEXT HERE</w:t>
      </w:r>
    </w:p>
    <w:permEnd w:id="52"/>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53" w:edGrp="everyone"/>
      <w:r>
        <w:t>TYPE YOUR TEXT HERE</w:t>
      </w:r>
    </w:p>
    <w:permEnd w:id="53"/>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54" w:edGrp="everyone"/>
      <w:r>
        <w:t>TYPE YOUR TEXT HERE</w:t>
      </w:r>
    </w:p>
    <w:permEnd w:id="54"/>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55" w:edGrp="everyone"/>
      <w:r>
        <w:t>TYPE YOUR TEXT HERE</w:t>
      </w:r>
    </w:p>
    <w:permEnd w:id="55"/>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56" w:edGrp="everyone"/>
      <w:r>
        <w:t>TYPE YOUR TEXT HERE</w:t>
      </w:r>
    </w:p>
    <w:permEnd w:id="56"/>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57" w:edGrp="everyone"/>
      <w:r>
        <w:t>TYPE YOUR TEXT HERE</w:t>
      </w:r>
    </w:p>
    <w:permEnd w:id="57"/>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58" w:edGrp="everyone"/>
      <w:r>
        <w:t>TYPE YOUR TEXT HERE</w:t>
      </w:r>
    </w:p>
    <w:permEnd w:id="58"/>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577C33" w:rsidP="00EC2C93">
      <w:pPr>
        <w:keepNext/>
      </w:pPr>
      <w:permStart w:id="59" w:edGrp="everyone"/>
      <w:r>
        <w:t>TYPE YOUR TEXT HERE</w:t>
      </w:r>
    </w:p>
    <w:permEnd w:id="59"/>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60" w:edGrp="everyone"/>
      <w:r>
        <w:t>TYPE YOUR TEXT HERE</w:t>
      </w:r>
    </w:p>
    <w:permEnd w:id="60"/>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61" w:edGrp="everyone"/>
      <w:r>
        <w:t>TYPE YOUR TEXT HERE</w:t>
      </w:r>
    </w:p>
    <w:permEnd w:id="61"/>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62" w:edGrp="everyone"/>
      <w:r>
        <w:t>TYPE YOUR TEXT HERE</w:t>
      </w:r>
    </w:p>
    <w:permEnd w:id="62"/>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63" w:edGrp="everyone"/>
      <w:r>
        <w:t>TYPE YOUR TEXT HERE</w:t>
      </w:r>
    </w:p>
    <w:permEnd w:id="63"/>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64" w:edGrp="everyone"/>
      <w:r>
        <w:t>TYPE YOUR TEXT HERE</w:t>
      </w:r>
    </w:p>
    <w:permEnd w:id="64"/>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65" w:edGrp="everyone"/>
      <w:r>
        <w:t>TYPE YOUR TEXT HERE</w:t>
      </w:r>
    </w:p>
    <w:permEnd w:id="65"/>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 xml:space="preserve">Do you agree with ESMA’s proposal for the definition of a liquid market? Please provide an answer for SFPs and for each of type of bonds identified (European </w:t>
      </w:r>
      <w:r>
        <w:rPr>
          <w:rFonts w:eastAsia="Calibri"/>
        </w:rPr>
        <w:lastRenderedPageBreak/>
        <w:t>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66" w:edGrp="everyone"/>
      <w:r>
        <w:t>TYPE YOUR TEXT HERE</w:t>
      </w:r>
    </w:p>
    <w:permEnd w:id="66"/>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67" w:edGrp="everyone"/>
      <w:r>
        <w:t>TYPE YOUR TEXT HERE</w:t>
      </w:r>
    </w:p>
    <w:permEnd w:id="67"/>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68" w:edGrp="everyone"/>
      <w:r>
        <w:t>TYPE YOUR TEXT HERE</w:t>
      </w:r>
    </w:p>
    <w:permEnd w:id="68"/>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69" w:edGrp="everyone"/>
      <w:r>
        <w:t>TYPE YOUR TEXT HERE</w:t>
      </w:r>
    </w:p>
    <w:permEnd w:id="69"/>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w:t>
      </w:r>
      <w:r>
        <w:lastRenderedPageBreak/>
        <w:t xml:space="preserve">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70" w:edGrp="everyone"/>
      <w:r>
        <w:t>TYPE YOUR TEXT HERE</w:t>
      </w:r>
    </w:p>
    <w:permEnd w:id="70"/>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71" w:edGrp="everyone"/>
      <w:r>
        <w:t>TYPE YOUR TEXT HERE</w:t>
      </w:r>
    </w:p>
    <w:permEnd w:id="71"/>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72" w:edGrp="everyone"/>
      <w:r>
        <w:t>TYPE YOUR TEXT HERE</w:t>
      </w:r>
    </w:p>
    <w:permEnd w:id="72"/>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lastRenderedPageBreak/>
        <w:t>&lt;ESMA_QUESTION_CP_MIFID_64&gt;</w:t>
      </w:r>
    </w:p>
    <w:p w:rsidR="00577C33" w:rsidRDefault="00577C33" w:rsidP="00EC2C93">
      <w:pPr>
        <w:keepNext/>
      </w:pPr>
      <w:permStart w:id="73" w:edGrp="everyone"/>
      <w:r>
        <w:t>TYPE YOUR TEXT HERE</w:t>
      </w:r>
    </w:p>
    <w:permEnd w:id="73"/>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74" w:edGrp="everyone"/>
      <w:r>
        <w:t>TYPE YOUR TEXT HERE</w:t>
      </w:r>
    </w:p>
    <w:permEnd w:id="74"/>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75" w:edGrp="everyone"/>
      <w:r>
        <w:t>TYPE YOUR TEXT HERE</w:t>
      </w:r>
    </w:p>
    <w:permEnd w:id="75"/>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76" w:edGrp="everyone"/>
      <w:r>
        <w:t>TYPE YOUR TEXT HERE</w:t>
      </w:r>
    </w:p>
    <w:permEnd w:id="76"/>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lastRenderedPageBreak/>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77" w:edGrp="everyone"/>
      <w:r>
        <w:t>TYPE YOUR TEXT HERE</w:t>
      </w:r>
    </w:p>
    <w:permEnd w:id="77"/>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78" w:edGrp="everyone"/>
      <w:r>
        <w:t>TYPE YOUR TEXT HERE</w:t>
      </w:r>
    </w:p>
    <w:permEnd w:id="78"/>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79" w:edGrp="everyone"/>
      <w:r>
        <w:t>TYPE YOUR TEXT HERE</w:t>
      </w:r>
    </w:p>
    <w:permEnd w:id="79"/>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80" w:edGrp="everyone"/>
      <w:r>
        <w:t>TYPE YOUR TEXT HERE</w:t>
      </w:r>
    </w:p>
    <w:permEnd w:id="80"/>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81" w:edGrp="everyone"/>
      <w:r>
        <w:t>TYPE YOUR TEXT HERE</w:t>
      </w:r>
    </w:p>
    <w:permEnd w:id="81"/>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lastRenderedPageBreak/>
        <w:t>&lt;ESMA_QUESTION_CP_MIFID_73&gt;</w:t>
      </w:r>
    </w:p>
    <w:p w:rsidR="00577C33" w:rsidRDefault="00577C33" w:rsidP="00EC2C93">
      <w:pPr>
        <w:keepNext/>
      </w:pPr>
      <w:permStart w:id="82" w:edGrp="everyone"/>
      <w:r>
        <w:t>TYPE YOUR TEXT HERE</w:t>
      </w:r>
    </w:p>
    <w:permEnd w:id="82"/>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83" w:edGrp="everyone"/>
      <w:r>
        <w:t>TYPE YOUR TEXT HERE</w:t>
      </w:r>
    </w:p>
    <w:permEnd w:id="83"/>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84" w:edGrp="everyone"/>
      <w:r>
        <w:t>TYPE YOUR TEXT HERE</w:t>
      </w:r>
    </w:p>
    <w:permEnd w:id="84"/>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85" w:edGrp="everyone"/>
      <w:r>
        <w:t>TYPE YOUR TEXT HERE</w:t>
      </w:r>
    </w:p>
    <w:permEnd w:id="85"/>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&lt;ESMA_QUESTION_CP_MIFID_77&gt;</w:t>
      </w:r>
    </w:p>
    <w:p w:rsidR="00577C33" w:rsidRDefault="00577C33" w:rsidP="00EC2C93">
      <w:pPr>
        <w:keepNext/>
      </w:pPr>
      <w:permStart w:id="86" w:edGrp="everyone"/>
      <w:r>
        <w:t>TYPE YOUR TEXT HERE</w:t>
      </w:r>
    </w:p>
    <w:permEnd w:id="86"/>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87" w:edGrp="everyone"/>
      <w:r>
        <w:t>TYPE YOUR TEXT HERE</w:t>
      </w:r>
    </w:p>
    <w:permEnd w:id="87"/>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w:t>
      </w:r>
      <w:r>
        <w:lastRenderedPageBreak/>
        <w:t>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88" w:edGrp="everyone"/>
      <w:r>
        <w:t>TYPE YOUR TEXT HERE</w:t>
      </w:r>
    </w:p>
    <w:permEnd w:id="88"/>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89" w:edGrp="everyone"/>
      <w:r>
        <w:t>TYPE YOUR TEXT HERE</w:t>
      </w:r>
    </w:p>
    <w:permEnd w:id="89"/>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w:t>
      </w:r>
      <w:r>
        <w:lastRenderedPageBreak/>
        <w:t>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90" w:edGrp="everyone"/>
      <w:r>
        <w:t>TYPE YOUR TEXT HERE</w:t>
      </w:r>
    </w:p>
    <w:permEnd w:id="90"/>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91" w:edGrp="everyone"/>
      <w:r>
        <w:t>TYPE YOUR TEXT HERE</w:t>
      </w:r>
    </w:p>
    <w:permEnd w:id="91"/>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92" w:edGrp="everyone"/>
      <w:r>
        <w:t>TYPE YOUR TEXT HERE</w:t>
      </w:r>
    </w:p>
    <w:permEnd w:id="92"/>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lastRenderedPageBreak/>
        <w:t>&lt;ESMA_QUESTION_CP_MIFID_84&gt;</w:t>
      </w:r>
    </w:p>
    <w:p w:rsidR="00577C33" w:rsidRDefault="00577C33" w:rsidP="00EC2C93">
      <w:pPr>
        <w:keepNext/>
      </w:pPr>
      <w:permStart w:id="93" w:edGrp="everyone"/>
      <w:r>
        <w:t>TYPE YOUR TEXT HERE</w:t>
      </w:r>
    </w:p>
    <w:permEnd w:id="93"/>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94" w:edGrp="everyone"/>
      <w:r>
        <w:t>TYPE YOUR TEXT HERE</w:t>
      </w:r>
    </w:p>
    <w:permEnd w:id="94"/>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95" w:edGrp="everyone"/>
      <w:r>
        <w:t>TYPE YOUR TEXT HERE</w:t>
      </w:r>
    </w:p>
    <w:permEnd w:id="95"/>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96" w:edGrp="everyone"/>
      <w:r>
        <w:t>TYPE YOUR TEXT HERE</w:t>
      </w:r>
    </w:p>
    <w:permEnd w:id="96"/>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97" w:edGrp="everyone"/>
      <w:r>
        <w:t>TYPE YOUR TEXT HERE</w:t>
      </w:r>
    </w:p>
    <w:permEnd w:id="97"/>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98" w:edGrp="everyone"/>
      <w:r>
        <w:t>TYPE YOUR TEXT HERE</w:t>
      </w:r>
    </w:p>
    <w:permEnd w:id="98"/>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99" w:edGrp="everyone"/>
      <w:r>
        <w:t>TYPE YOUR TEXT HERE</w:t>
      </w:r>
    </w:p>
    <w:permEnd w:id="99"/>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100" w:edGrp="everyone"/>
      <w:r>
        <w:t>TYPE YOUR TEXT HERE</w:t>
      </w:r>
    </w:p>
    <w:permEnd w:id="100"/>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lastRenderedPageBreak/>
        <w:t>&lt;ESMA_QUESTION_CP_MIFID_92&gt;</w:t>
      </w:r>
    </w:p>
    <w:p w:rsidR="00577C33" w:rsidRDefault="00577C33" w:rsidP="00EC2C93">
      <w:pPr>
        <w:keepNext/>
      </w:pPr>
      <w:permStart w:id="101" w:edGrp="everyone"/>
      <w:r>
        <w:t>TYPE YOUR TEXT HERE</w:t>
      </w:r>
    </w:p>
    <w:permEnd w:id="101"/>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8" w:name="_Toc406692527"/>
      <w:bookmarkStart w:id="9" w:name="_Toc406692370"/>
      <w:bookmarkStart w:id="10" w:name="_Toc406691760"/>
      <w:r>
        <w:lastRenderedPageBreak/>
        <w:t>Microstructural issues</w:t>
      </w:r>
      <w:bookmarkEnd w:id="8"/>
      <w:bookmarkEnd w:id="9"/>
      <w:bookmarkEnd w:id="10"/>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102" w:edGrp="everyone"/>
      <w:r>
        <w:t>TYPE YOUR TEXT HERE</w:t>
      </w:r>
    </w:p>
    <w:permEnd w:id="102"/>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103" w:edGrp="everyone"/>
      <w:r>
        <w:t>TYPE YOUR TEXT HERE</w:t>
      </w:r>
    </w:p>
    <w:permEnd w:id="103"/>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104" w:edGrp="everyone"/>
      <w:r>
        <w:t>TYPE YOUR TEXT HERE</w:t>
      </w:r>
    </w:p>
    <w:permEnd w:id="104"/>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105" w:edGrp="everyone"/>
      <w:r>
        <w:t>TYPE YOUR TEXT HERE</w:t>
      </w:r>
    </w:p>
    <w:permEnd w:id="105"/>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106" w:edGrp="everyone"/>
      <w:r>
        <w:t>TYPE YOUR TEXT HERE</w:t>
      </w:r>
    </w:p>
    <w:permEnd w:id="106"/>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107" w:edGrp="everyone"/>
      <w:r>
        <w:t>TYPE YOUR TEXT HERE</w:t>
      </w:r>
    </w:p>
    <w:permEnd w:id="107"/>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108" w:edGrp="everyone"/>
      <w:r>
        <w:t>TYPE YOUR TEXT HERE</w:t>
      </w:r>
    </w:p>
    <w:permEnd w:id="108"/>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109" w:edGrp="everyone"/>
      <w:r>
        <w:t>TYPE YOUR TEXT HERE</w:t>
      </w:r>
    </w:p>
    <w:permEnd w:id="109"/>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110" w:edGrp="everyone"/>
      <w:r>
        <w:t>TYPE YOUR TEXT HERE</w:t>
      </w:r>
    </w:p>
    <w:permEnd w:id="110"/>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111" w:edGrp="everyone"/>
      <w:r>
        <w:t>TYPE YOUR TEXT HERE</w:t>
      </w:r>
    </w:p>
    <w:permEnd w:id="111"/>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112" w:edGrp="everyone"/>
      <w:r>
        <w:t>TYPE YOUR TEXT HERE</w:t>
      </w:r>
    </w:p>
    <w:permEnd w:id="112"/>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113" w:edGrp="everyone"/>
      <w:r>
        <w:t>TYPE YOUR TEXT HERE</w:t>
      </w:r>
    </w:p>
    <w:permEnd w:id="113"/>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114" w:edGrp="everyone"/>
      <w:r>
        <w:t>TYPE YOUR TEXT HERE</w:t>
      </w:r>
    </w:p>
    <w:permEnd w:id="114"/>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115" w:edGrp="everyone"/>
      <w:r>
        <w:t>TYPE YOUR TEXT HERE</w:t>
      </w:r>
    </w:p>
    <w:permEnd w:id="115"/>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116" w:edGrp="everyone"/>
      <w:r>
        <w:t>TYPE YOUR TEXT HERE</w:t>
      </w:r>
    </w:p>
    <w:permEnd w:id="116"/>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lastRenderedPageBreak/>
        <w:t>&lt;ESMA_QUESTION_CP_MIFID_108&gt;</w:t>
      </w:r>
    </w:p>
    <w:p w:rsidR="00577C33" w:rsidRDefault="00577C33" w:rsidP="00EC2C93">
      <w:pPr>
        <w:keepNext/>
      </w:pPr>
      <w:permStart w:id="117" w:edGrp="everyone"/>
      <w:r>
        <w:t>TYPE YOUR TEXT HERE</w:t>
      </w:r>
    </w:p>
    <w:permEnd w:id="117"/>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118" w:edGrp="everyone"/>
      <w:r>
        <w:t>TYPE YOUR TEXT HERE</w:t>
      </w:r>
    </w:p>
    <w:permEnd w:id="118"/>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119" w:edGrp="everyone"/>
      <w:r>
        <w:t>TYPE YOUR TEXT HERE</w:t>
      </w:r>
    </w:p>
    <w:permEnd w:id="119"/>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120" w:edGrp="everyone"/>
      <w:r>
        <w:t>TYPE YOUR TEXT HERE</w:t>
      </w:r>
    </w:p>
    <w:permEnd w:id="120"/>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121" w:edGrp="everyone"/>
      <w:r>
        <w:t>TYPE YOUR TEXT HERE</w:t>
      </w:r>
    </w:p>
    <w:permEnd w:id="121"/>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122" w:edGrp="everyone"/>
      <w:r>
        <w:t>TYPE YOUR TEXT HERE</w:t>
      </w:r>
    </w:p>
    <w:permEnd w:id="122"/>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123" w:edGrp="everyone"/>
      <w:r>
        <w:t>TYPE YOUR TEXT HERE</w:t>
      </w:r>
    </w:p>
    <w:permEnd w:id="123"/>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124" w:edGrp="everyone"/>
      <w:r>
        <w:t>TYPE YOUR TEXT HERE</w:t>
      </w:r>
    </w:p>
    <w:permEnd w:id="124"/>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lastRenderedPageBreak/>
        <w:t>&lt;ESMA_QUESTION_CP_MIFID_116&gt;</w:t>
      </w:r>
    </w:p>
    <w:p w:rsidR="00577C33" w:rsidRDefault="00577C33" w:rsidP="00EC2C93">
      <w:pPr>
        <w:keepNext/>
      </w:pPr>
      <w:permStart w:id="125" w:edGrp="everyone"/>
      <w:r>
        <w:t>TYPE YOUR TEXT HERE</w:t>
      </w:r>
    </w:p>
    <w:permEnd w:id="125"/>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126" w:edGrp="everyone"/>
      <w:r>
        <w:t>TYPE YOUR TEXT HERE</w:t>
      </w:r>
    </w:p>
    <w:permEnd w:id="126"/>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127" w:edGrp="everyone"/>
      <w:r>
        <w:t>TYPE YOUR TEXT HERE</w:t>
      </w:r>
    </w:p>
    <w:permEnd w:id="127"/>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128" w:edGrp="everyone"/>
      <w:r>
        <w:t>TYPE YOUR TEXT HERE</w:t>
      </w:r>
    </w:p>
    <w:permEnd w:id="128"/>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129" w:edGrp="everyone"/>
      <w:r>
        <w:t>TYPE YOUR TEXT HERE</w:t>
      </w:r>
    </w:p>
    <w:permEnd w:id="129"/>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130" w:edGrp="everyone"/>
      <w:r>
        <w:t>TYPE YOUR TEXT HERE</w:t>
      </w:r>
    </w:p>
    <w:permEnd w:id="130"/>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131" w:edGrp="everyone"/>
      <w:r>
        <w:t>TYPE YOUR TEXT HERE</w:t>
      </w:r>
    </w:p>
    <w:permEnd w:id="131"/>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lastRenderedPageBreak/>
        <w:t>&lt;ESMA_QUESTION_CP_MIFID_123&gt;</w:t>
      </w:r>
    </w:p>
    <w:p w:rsidR="00577C33" w:rsidRDefault="00577C33" w:rsidP="00EC2C93">
      <w:pPr>
        <w:keepNext/>
      </w:pPr>
      <w:permStart w:id="132" w:edGrp="everyone"/>
      <w:r>
        <w:t>TYPE YOUR TEXT HERE</w:t>
      </w:r>
    </w:p>
    <w:permEnd w:id="132"/>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133" w:edGrp="everyone"/>
      <w:r>
        <w:t>TYPE YOUR TEXT HERE</w:t>
      </w:r>
    </w:p>
    <w:permEnd w:id="133"/>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134" w:edGrp="everyone"/>
      <w:r>
        <w:t>TYPE YOUR TEXT HERE</w:t>
      </w:r>
    </w:p>
    <w:permEnd w:id="134"/>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135" w:edGrp="everyone"/>
      <w:r>
        <w:t>TYPE YOUR TEXT HERE</w:t>
      </w:r>
    </w:p>
    <w:permEnd w:id="135"/>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136" w:edGrp="everyone"/>
      <w:r>
        <w:t>TYPE YOUR TEXT HERE</w:t>
      </w:r>
    </w:p>
    <w:permEnd w:id="136"/>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137" w:edGrp="everyone"/>
      <w:r>
        <w:t>TYPE YOUR TEXT HERE</w:t>
      </w:r>
    </w:p>
    <w:permEnd w:id="137"/>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138" w:edGrp="everyone"/>
      <w:r>
        <w:t>TYPE YOUR TEXT HERE</w:t>
      </w:r>
    </w:p>
    <w:permEnd w:id="138"/>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lastRenderedPageBreak/>
        <w:t>&lt;ESMA_QUESTION_CP_MIFID_130&gt;</w:t>
      </w:r>
    </w:p>
    <w:p w:rsidR="00577C33" w:rsidRDefault="00577C33" w:rsidP="00EC2C93">
      <w:pPr>
        <w:keepNext/>
      </w:pPr>
      <w:permStart w:id="139" w:edGrp="everyone"/>
      <w:r>
        <w:t>TYPE YOUR TEXT HERE</w:t>
      </w:r>
    </w:p>
    <w:permEnd w:id="139"/>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140" w:edGrp="everyone"/>
      <w:r>
        <w:t>TYPE YOUR TEXT HERE</w:t>
      </w:r>
    </w:p>
    <w:permEnd w:id="140"/>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141" w:edGrp="everyone"/>
      <w:r>
        <w:t>TYPE YOUR TEXT HERE</w:t>
      </w:r>
    </w:p>
    <w:permEnd w:id="141"/>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142" w:edGrp="everyone"/>
      <w:r>
        <w:t>TYPE YOUR TEXT HERE</w:t>
      </w:r>
    </w:p>
    <w:permEnd w:id="142"/>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1" w:name="_Toc406692540"/>
      <w:bookmarkStart w:id="12" w:name="_Toc406692383"/>
      <w:bookmarkStart w:id="13" w:name="_Toc406691773"/>
      <w:r>
        <w:lastRenderedPageBreak/>
        <w:t>Data publication and access</w:t>
      </w:r>
      <w:bookmarkEnd w:id="11"/>
      <w:bookmarkEnd w:id="12"/>
      <w:bookmarkEnd w:id="13"/>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143" w:edGrp="everyone"/>
      <w:r>
        <w:t>TYPE YOUR TEXT HERE</w:t>
      </w:r>
    </w:p>
    <w:permEnd w:id="143"/>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144" w:edGrp="everyone"/>
      <w:r>
        <w:t>TYPE YOUR TEXT HERE</w:t>
      </w:r>
    </w:p>
    <w:permEnd w:id="144"/>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145" w:edGrp="everyone"/>
      <w:r>
        <w:t>TYPE YOUR TEXT HERE</w:t>
      </w:r>
    </w:p>
    <w:permEnd w:id="145"/>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146" w:edGrp="everyone"/>
      <w:r>
        <w:t>TYPE YOUR TEXT HERE</w:t>
      </w:r>
    </w:p>
    <w:permEnd w:id="146"/>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147" w:edGrp="everyone"/>
      <w:r>
        <w:t>TYPE YOUR TEXT HERE</w:t>
      </w:r>
    </w:p>
    <w:permEnd w:id="147"/>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148" w:edGrp="everyone"/>
      <w:r>
        <w:t>TYPE YOUR TEXT HERE</w:t>
      </w:r>
    </w:p>
    <w:permEnd w:id="148"/>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149" w:edGrp="everyone"/>
      <w:r>
        <w:t>TYPE YOUR TEXT HERE</w:t>
      </w:r>
    </w:p>
    <w:permEnd w:id="149"/>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lastRenderedPageBreak/>
        <w:t>&lt;ESMA_QUESTION_CP_MIFID_141&gt;</w:t>
      </w:r>
    </w:p>
    <w:p w:rsidR="00577C33" w:rsidRDefault="00577C33" w:rsidP="00EC2C93">
      <w:pPr>
        <w:keepNext/>
      </w:pPr>
      <w:permStart w:id="150" w:edGrp="everyone"/>
      <w:r>
        <w:t>TYPE YOUR TEXT HERE</w:t>
      </w:r>
    </w:p>
    <w:permEnd w:id="150"/>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151" w:edGrp="everyone"/>
      <w:r>
        <w:t>TYPE YOUR TEXT HERE</w:t>
      </w:r>
    </w:p>
    <w:permEnd w:id="151"/>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152" w:edGrp="everyone"/>
      <w:r>
        <w:t>TYPE YOUR TEXT HERE</w:t>
      </w:r>
    </w:p>
    <w:permEnd w:id="152"/>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153" w:edGrp="everyone"/>
      <w:r>
        <w:t>TYPE YOUR TEXT HERE</w:t>
      </w:r>
    </w:p>
    <w:permEnd w:id="153"/>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154" w:edGrp="everyone"/>
      <w:r>
        <w:t>TYPE YOUR TEXT HERE</w:t>
      </w:r>
    </w:p>
    <w:permEnd w:id="154"/>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155" w:edGrp="everyone"/>
      <w:r>
        <w:t>TYPE YOUR TEXT HERE</w:t>
      </w:r>
    </w:p>
    <w:permEnd w:id="155"/>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156" w:edGrp="everyone"/>
      <w:r>
        <w:t>TYPE YOUR TEXT HERE</w:t>
      </w:r>
    </w:p>
    <w:permEnd w:id="156"/>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lastRenderedPageBreak/>
        <w:t>&lt;ESMA_QUESTION_CP_MIFID_148&gt;</w:t>
      </w:r>
    </w:p>
    <w:p w:rsidR="00577C33" w:rsidRDefault="00577C33" w:rsidP="00EC2C93">
      <w:pPr>
        <w:keepNext/>
      </w:pPr>
      <w:permStart w:id="157" w:edGrp="everyone"/>
      <w:r>
        <w:t>TYPE YOUR TEXT HERE</w:t>
      </w:r>
    </w:p>
    <w:permEnd w:id="157"/>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158" w:edGrp="everyone"/>
      <w:r>
        <w:t>TYPE YOUR TEXT HERE</w:t>
      </w:r>
    </w:p>
    <w:permEnd w:id="158"/>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159" w:edGrp="everyone"/>
      <w:r>
        <w:t>TYPE YOUR TEXT HERE</w:t>
      </w:r>
    </w:p>
    <w:permEnd w:id="159"/>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160" w:edGrp="everyone"/>
      <w:r>
        <w:t>TYPE YOUR TEXT HERE</w:t>
      </w:r>
    </w:p>
    <w:permEnd w:id="160"/>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161" w:edGrp="everyone"/>
      <w:r>
        <w:t>TYPE YOUR TEXT HERE</w:t>
      </w:r>
    </w:p>
    <w:permEnd w:id="161"/>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162" w:edGrp="everyone"/>
      <w:r>
        <w:t>TYPE YOUR TEXT HERE</w:t>
      </w:r>
    </w:p>
    <w:permEnd w:id="162"/>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163" w:edGrp="everyone"/>
      <w:r>
        <w:t>TYPE YOUR TEXT HERE</w:t>
      </w:r>
    </w:p>
    <w:permEnd w:id="163"/>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lastRenderedPageBreak/>
        <w:t>&lt;ESMA_QUESTION_CP_MIFID_155&gt;</w:t>
      </w:r>
    </w:p>
    <w:p w:rsidR="00577C33" w:rsidRDefault="00577C33" w:rsidP="00EC2C93">
      <w:pPr>
        <w:keepNext/>
      </w:pPr>
      <w:permStart w:id="164" w:edGrp="everyone"/>
      <w:r>
        <w:t>TYPE YOUR TEXT HERE</w:t>
      </w:r>
    </w:p>
    <w:permEnd w:id="164"/>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165" w:edGrp="everyone"/>
      <w:r>
        <w:t>TYPE YOUR TEXT HERE</w:t>
      </w:r>
    </w:p>
    <w:permEnd w:id="165"/>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166" w:edGrp="everyone"/>
      <w:r>
        <w:t>TYPE YOUR TEXT HERE</w:t>
      </w:r>
    </w:p>
    <w:permEnd w:id="166"/>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167" w:edGrp="everyone"/>
      <w:r>
        <w:t>TYPE YOUR TEXT HERE</w:t>
      </w:r>
    </w:p>
    <w:permEnd w:id="167"/>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168" w:edGrp="everyone"/>
      <w:r>
        <w:t>TYPE YOUR TEXT HERE</w:t>
      </w:r>
    </w:p>
    <w:permEnd w:id="168"/>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4" w:name="_Toc406692563"/>
      <w:bookmarkStart w:id="15" w:name="_Toc406692406"/>
      <w:bookmarkStart w:id="16" w:name="_Toc406691796"/>
      <w:r>
        <w:lastRenderedPageBreak/>
        <w:t>Requirements applying on and to trading venues</w:t>
      </w:r>
      <w:bookmarkEnd w:id="14"/>
      <w:bookmarkEnd w:id="15"/>
      <w:bookmarkEnd w:id="16"/>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169" w:edGrp="everyone"/>
      <w:r>
        <w:t>TYPE YOUR TEXT HERE</w:t>
      </w:r>
    </w:p>
    <w:permEnd w:id="169"/>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170" w:edGrp="everyone"/>
      <w:r>
        <w:t>TYPE YOUR TEXT HERE</w:t>
      </w:r>
    </w:p>
    <w:permEnd w:id="170"/>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171" w:edGrp="everyone"/>
      <w:r>
        <w:t>TYPE YOUR TEXT HERE</w:t>
      </w:r>
    </w:p>
    <w:permEnd w:id="171"/>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172" w:edGrp="everyone"/>
      <w:r>
        <w:t>TYPE YOUR TEXT HERE</w:t>
      </w:r>
    </w:p>
    <w:permEnd w:id="172"/>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173" w:edGrp="everyone"/>
      <w:r>
        <w:t>TYPE YOUR TEXT HERE</w:t>
      </w:r>
    </w:p>
    <w:permEnd w:id="173"/>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174" w:edGrp="everyone"/>
      <w:r>
        <w:t>TYPE YOUR TEXT HERE</w:t>
      </w:r>
    </w:p>
    <w:permEnd w:id="174"/>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175" w:edGrp="everyone"/>
      <w:r>
        <w:t>TYPE YOUR TEXT HERE</w:t>
      </w:r>
    </w:p>
    <w:permEnd w:id="175"/>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176" w:edGrp="everyone"/>
      <w:r>
        <w:t>TYPE YOUR TEXT HERE</w:t>
      </w:r>
    </w:p>
    <w:permEnd w:id="176"/>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7" w:name="_Toc406692567"/>
      <w:bookmarkStart w:id="18" w:name="_Toc406692410"/>
      <w:bookmarkStart w:id="19" w:name="_Toc406691800"/>
      <w:r>
        <w:lastRenderedPageBreak/>
        <w:t>Commodity derivatives</w:t>
      </w:r>
      <w:bookmarkEnd w:id="17"/>
      <w:bookmarkEnd w:id="18"/>
      <w:bookmarkEnd w:id="19"/>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77C33" w:rsidRDefault="00577C33" w:rsidP="00EC2C93">
      <w:pPr>
        <w:keepNext/>
      </w:pPr>
      <w:permStart w:id="177" w:edGrp="everyone"/>
      <w:r>
        <w:t>TYPE YOUR TEXT HERE</w:t>
      </w:r>
    </w:p>
    <w:permEnd w:id="177"/>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178" w:edGrp="everyone"/>
      <w:r>
        <w:t>TYPE YOUR TEXT HERE</w:t>
      </w:r>
    </w:p>
    <w:permEnd w:id="178"/>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179" w:edGrp="everyone"/>
      <w:r>
        <w:t>TYPE YOUR TEXT HERE</w:t>
      </w:r>
    </w:p>
    <w:permEnd w:id="179"/>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180" w:edGrp="everyone"/>
      <w:r>
        <w:t>TYPE YOUR TEXT HERE</w:t>
      </w:r>
    </w:p>
    <w:permEnd w:id="180"/>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181" w:edGrp="everyone"/>
      <w:r>
        <w:t>TYPE YOUR TEXT HERE</w:t>
      </w:r>
    </w:p>
    <w:permEnd w:id="181"/>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577C33" w:rsidP="00EC2C93">
      <w:pPr>
        <w:keepNext/>
      </w:pPr>
      <w:permStart w:id="182" w:edGrp="everyone"/>
      <w:r>
        <w:t>TYPE YOUR TEXT HERE</w:t>
      </w:r>
    </w:p>
    <w:permEnd w:id="182"/>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lastRenderedPageBreak/>
        <w:t>&lt;ESMA_QUESTION_CP_MIFID_174&gt;</w:t>
      </w:r>
    </w:p>
    <w:p w:rsidR="00577C33" w:rsidRDefault="00577C33" w:rsidP="00EC2C93">
      <w:pPr>
        <w:keepNext/>
      </w:pPr>
      <w:permStart w:id="183" w:edGrp="everyone"/>
      <w:r>
        <w:t>TYPE YOUR TEXT HERE</w:t>
      </w:r>
    </w:p>
    <w:permEnd w:id="183"/>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184" w:edGrp="everyone"/>
      <w:r>
        <w:t>TYPE YOUR TEXT HERE</w:t>
      </w:r>
    </w:p>
    <w:permEnd w:id="184"/>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577C33" w:rsidP="00EC2C93">
      <w:pPr>
        <w:keepNext/>
      </w:pPr>
      <w:permStart w:id="185" w:edGrp="everyone"/>
      <w:r>
        <w:t>TYPE YOUR TEXT HERE</w:t>
      </w:r>
    </w:p>
    <w:permEnd w:id="185"/>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186" w:edGrp="everyone"/>
      <w:r>
        <w:t>TYPE YOUR TEXT HERE</w:t>
      </w:r>
    </w:p>
    <w:permEnd w:id="186"/>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187" w:edGrp="everyone"/>
      <w:r>
        <w:t>TYPE YOUR TEXT HERE</w:t>
      </w:r>
    </w:p>
    <w:permEnd w:id="187"/>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77C33" w:rsidRDefault="00577C33" w:rsidP="00EC2C93">
      <w:pPr>
        <w:keepNext/>
      </w:pPr>
      <w:permStart w:id="188" w:edGrp="everyone"/>
      <w:r>
        <w:t>TYPE YOUR TEXT HERE</w:t>
      </w:r>
    </w:p>
    <w:permEnd w:id="188"/>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189" w:edGrp="everyone"/>
      <w:r>
        <w:t>TYPE YOUR TEXT HERE</w:t>
      </w:r>
    </w:p>
    <w:permEnd w:id="189"/>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lastRenderedPageBreak/>
        <w:t>&lt;ESMA_QUESTION_CP_MIFID_181&gt;</w:t>
      </w:r>
    </w:p>
    <w:p w:rsidR="00577C33" w:rsidRDefault="00577C33" w:rsidP="00EC2C93">
      <w:pPr>
        <w:keepNext/>
      </w:pPr>
      <w:permStart w:id="190" w:edGrp="everyone"/>
      <w:r>
        <w:t>TYPE YOUR TEXT HERE</w:t>
      </w:r>
    </w:p>
    <w:permEnd w:id="190"/>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191" w:edGrp="everyone"/>
      <w:r>
        <w:t>TYPE YOUR TEXT HERE</w:t>
      </w:r>
    </w:p>
    <w:permEnd w:id="191"/>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192" w:edGrp="everyone"/>
      <w:r>
        <w:t>TYPE YOUR TEXT HERE</w:t>
      </w:r>
    </w:p>
    <w:permEnd w:id="192"/>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193" w:edGrp="everyone"/>
      <w:r>
        <w:t>TYPE YOUR TEXT HERE</w:t>
      </w:r>
    </w:p>
    <w:permEnd w:id="193"/>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194" w:edGrp="everyone"/>
      <w:r>
        <w:t>TYPE YOUR TEXT HERE</w:t>
      </w:r>
    </w:p>
    <w:permEnd w:id="194"/>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195" w:edGrp="everyone"/>
      <w:r>
        <w:t>TYPE YOUR TEXT HERE</w:t>
      </w:r>
    </w:p>
    <w:permEnd w:id="195"/>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196" w:edGrp="everyone"/>
      <w:r>
        <w:t>TYPE YOUR TEXT HERE</w:t>
      </w:r>
    </w:p>
    <w:permEnd w:id="196"/>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lastRenderedPageBreak/>
        <w:t>&lt;ESMA_QUESTION_CP_MIFID_188&gt;</w:t>
      </w:r>
    </w:p>
    <w:p w:rsidR="00577C33" w:rsidRDefault="00577C33" w:rsidP="00EC2C93">
      <w:pPr>
        <w:keepNext/>
      </w:pPr>
      <w:permStart w:id="197" w:edGrp="everyone"/>
      <w:r>
        <w:t>TYPE YOUR TEXT HERE</w:t>
      </w:r>
    </w:p>
    <w:permEnd w:id="197"/>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198" w:edGrp="everyone"/>
      <w:r>
        <w:t>TYPE YOUR TEXT HERE</w:t>
      </w:r>
    </w:p>
    <w:permEnd w:id="198"/>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199" w:edGrp="everyone"/>
      <w:r>
        <w:t>TYPE YOUR TEXT HERE</w:t>
      </w:r>
    </w:p>
    <w:permEnd w:id="199"/>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200" w:edGrp="everyone"/>
      <w:r>
        <w:t>TYPE YOUR TEXT HERE</w:t>
      </w:r>
    </w:p>
    <w:permEnd w:id="200"/>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201" w:edGrp="everyone"/>
      <w:r>
        <w:t>TYPE YOUR TEXT HERE</w:t>
      </w:r>
    </w:p>
    <w:permEnd w:id="201"/>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202" w:edGrp="everyone"/>
      <w:r>
        <w:t>TYPE YOUR TEXT HERE</w:t>
      </w:r>
    </w:p>
    <w:permEnd w:id="202"/>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203" w:edGrp="everyone"/>
      <w:r>
        <w:t>TYPE YOUR TEXT HERE</w:t>
      </w:r>
    </w:p>
    <w:permEnd w:id="203"/>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lastRenderedPageBreak/>
        <w:t>&lt;ESMA_QUESTION_CP_MIFID_195&gt;</w:t>
      </w:r>
    </w:p>
    <w:p w:rsidR="00577C33" w:rsidRDefault="00577C33" w:rsidP="00EC2C93">
      <w:pPr>
        <w:keepNext/>
      </w:pPr>
      <w:permStart w:id="204" w:edGrp="everyone"/>
      <w:r>
        <w:t>TYPE YOUR TEXT HERE</w:t>
      </w:r>
    </w:p>
    <w:permEnd w:id="204"/>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205" w:edGrp="everyone"/>
      <w:r>
        <w:t>TYPE YOUR TEXT HERE</w:t>
      </w:r>
    </w:p>
    <w:permEnd w:id="205"/>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206" w:edGrp="everyone"/>
      <w:r>
        <w:t>TYPE YOUR TEXT HERE</w:t>
      </w:r>
    </w:p>
    <w:permEnd w:id="206"/>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207" w:edGrp="everyone"/>
      <w:r>
        <w:t>TYPE YOUR TEXT HERE</w:t>
      </w:r>
    </w:p>
    <w:permEnd w:id="207"/>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208" w:edGrp="everyone"/>
      <w:r>
        <w:t>TYPE YOUR TEXT HERE</w:t>
      </w:r>
    </w:p>
    <w:permEnd w:id="208"/>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209" w:edGrp="everyone"/>
      <w:r>
        <w:t>TYPE YOUR TEXT HERE</w:t>
      </w:r>
    </w:p>
    <w:permEnd w:id="209"/>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210" w:edGrp="everyone"/>
      <w:r>
        <w:t>TYPE YOUR TEXT HERE</w:t>
      </w:r>
    </w:p>
    <w:permEnd w:id="210"/>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211" w:edGrp="everyone"/>
      <w:r>
        <w:t>TYPE YOUR TEXT HERE</w:t>
      </w:r>
    </w:p>
    <w:permEnd w:id="211"/>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lastRenderedPageBreak/>
        <w:t>&lt;ESMA_QUESTION_CP_MIFID_203&gt;</w:t>
      </w:r>
    </w:p>
    <w:p w:rsidR="00577C33" w:rsidRDefault="00577C33" w:rsidP="00EC2C93">
      <w:pPr>
        <w:keepNext/>
      </w:pPr>
      <w:permStart w:id="212" w:edGrp="everyone"/>
      <w:r>
        <w:t>TYPE YOUR TEXT HERE</w:t>
      </w:r>
    </w:p>
    <w:permEnd w:id="212"/>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213" w:edGrp="everyone"/>
      <w:r>
        <w:t>TYPE YOUR TEXT HERE</w:t>
      </w:r>
    </w:p>
    <w:permEnd w:id="213"/>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214" w:edGrp="everyone"/>
      <w:r>
        <w:t>TYPE YOUR TEXT HERE</w:t>
      </w:r>
    </w:p>
    <w:permEnd w:id="214"/>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215" w:edGrp="everyone"/>
      <w:r>
        <w:t>TYPE YOUR TEXT HERE</w:t>
      </w:r>
    </w:p>
    <w:permEnd w:id="215"/>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216" w:edGrp="everyone"/>
      <w:r>
        <w:t>TYPE YOUR TEXT HERE</w:t>
      </w:r>
    </w:p>
    <w:permEnd w:id="216"/>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217" w:edGrp="everyone"/>
      <w:r>
        <w:t>TYPE YOUR TEXT HERE</w:t>
      </w:r>
    </w:p>
    <w:permEnd w:id="217"/>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218" w:edGrp="everyone"/>
      <w:r>
        <w:t>TYPE YOUR TEXT HERE</w:t>
      </w:r>
    </w:p>
    <w:permEnd w:id="218"/>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219" w:edGrp="everyone"/>
      <w:r>
        <w:t>TYPE YOUR TEXT HERE</w:t>
      </w:r>
    </w:p>
    <w:permEnd w:id="219"/>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lastRenderedPageBreak/>
        <w:t>&lt;ESMA_QUESTION_CP_MIFID_211&gt;</w:t>
      </w:r>
    </w:p>
    <w:p w:rsidR="00577C33" w:rsidRDefault="00577C33" w:rsidP="00EC2C93">
      <w:pPr>
        <w:keepNext/>
      </w:pPr>
      <w:permStart w:id="220" w:edGrp="everyone"/>
      <w:r>
        <w:t>TYPE YOUR TEXT HERE</w:t>
      </w:r>
    </w:p>
    <w:permEnd w:id="220"/>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221" w:edGrp="everyone"/>
      <w:r>
        <w:t>TYPE YOUR TEXT HERE</w:t>
      </w:r>
    </w:p>
    <w:permEnd w:id="221"/>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5006C" w:rsidRPr="001C3C66" w:rsidRDefault="0055006C" w:rsidP="0055006C">
      <w:permStart w:id="222" w:edGrp="everyone"/>
      <w:r w:rsidRPr="0055006C">
        <w:t xml:space="preserve"> </w:t>
      </w:r>
    </w:p>
    <w:p w:rsidR="0055006C" w:rsidRPr="00034B6C" w:rsidRDefault="0055006C" w:rsidP="0055006C">
      <w:pPr>
        <w:pStyle w:val="Default"/>
        <w:rPr>
          <w:rFonts w:asciiTheme="majorHAnsi" w:hAnsiTheme="majorHAnsi" w:cstheme="majorHAnsi"/>
          <w:color w:val="auto"/>
          <w:sz w:val="22"/>
          <w:szCs w:val="22"/>
          <w:lang w:val="en-GB"/>
        </w:rPr>
      </w:pPr>
      <w:r w:rsidRPr="00034B6C">
        <w:rPr>
          <w:rFonts w:asciiTheme="majorHAnsi" w:hAnsiTheme="majorHAnsi" w:cstheme="majorHAnsi"/>
          <w:color w:val="auto"/>
          <w:sz w:val="22"/>
          <w:szCs w:val="22"/>
          <w:lang w:val="en-GB"/>
        </w:rPr>
        <w:t xml:space="preserve">The following formats would pose substantial implementation challenge: </w:t>
      </w:r>
      <w:proofErr w:type="spellStart"/>
      <w:r w:rsidRPr="00034B6C">
        <w:rPr>
          <w:rFonts w:asciiTheme="majorHAnsi" w:hAnsiTheme="majorHAnsi" w:cstheme="majorHAnsi"/>
          <w:color w:val="auto"/>
          <w:sz w:val="22"/>
          <w:szCs w:val="22"/>
          <w:lang w:val="en-GB"/>
        </w:rPr>
        <w:t>FpML</w:t>
      </w:r>
      <w:proofErr w:type="spellEnd"/>
      <w:r w:rsidRPr="00034B6C">
        <w:rPr>
          <w:rFonts w:asciiTheme="majorHAnsi" w:hAnsiTheme="majorHAnsi" w:cstheme="majorHAnsi"/>
          <w:color w:val="auto"/>
          <w:sz w:val="22"/>
          <w:szCs w:val="22"/>
          <w:lang w:val="en-GB"/>
        </w:rPr>
        <w:t xml:space="preserve">, TREM, IFX, FIX and XBRL. </w:t>
      </w:r>
    </w:p>
    <w:p w:rsidR="0055006C" w:rsidRPr="00034B6C" w:rsidRDefault="0055006C" w:rsidP="0055006C">
      <w:pPr>
        <w:pStyle w:val="Default"/>
        <w:rPr>
          <w:rFonts w:asciiTheme="majorHAnsi" w:hAnsiTheme="majorHAnsi" w:cstheme="majorHAnsi"/>
          <w:color w:val="auto"/>
          <w:sz w:val="22"/>
          <w:szCs w:val="22"/>
          <w:lang w:val="en-GB"/>
        </w:rPr>
      </w:pPr>
      <w:r w:rsidRPr="00034B6C">
        <w:rPr>
          <w:rFonts w:asciiTheme="majorHAnsi" w:hAnsiTheme="majorHAnsi" w:cstheme="majorHAnsi"/>
          <w:color w:val="auto"/>
          <w:sz w:val="22"/>
          <w:szCs w:val="22"/>
          <w:lang w:val="en-GB"/>
        </w:rPr>
        <w:t>These formats are soundly developed and fit for their purpose, but they would introduce unnecessary complexities when used for reporting by intermediaries about individual transactions: current transaction processing is intensively using ISO standards and is in a process of migrating to ISO 20022. The addition of messages for MiFID II transaction reporting purposes would be muss less complex within ISO 20022 than when another format would be introduced.</w:t>
      </w:r>
    </w:p>
    <w:p w:rsidR="0055006C" w:rsidRPr="00034B6C" w:rsidRDefault="0055006C" w:rsidP="0055006C">
      <w:pPr>
        <w:rPr>
          <w:rFonts w:asciiTheme="majorHAnsi" w:hAnsiTheme="majorHAnsi" w:cstheme="majorHAnsi"/>
          <w:szCs w:val="22"/>
        </w:rPr>
      </w:pPr>
    </w:p>
    <w:p w:rsidR="0055006C" w:rsidRPr="00034B6C" w:rsidRDefault="0055006C" w:rsidP="0055006C">
      <w:pPr>
        <w:rPr>
          <w:rFonts w:asciiTheme="majorHAnsi" w:hAnsiTheme="majorHAnsi" w:cstheme="majorHAnsi"/>
          <w:szCs w:val="22"/>
        </w:rPr>
      </w:pPr>
      <w:r w:rsidRPr="00034B6C">
        <w:rPr>
          <w:rFonts w:asciiTheme="majorHAnsi" w:hAnsiTheme="majorHAnsi" w:cstheme="majorHAnsi"/>
          <w:szCs w:val="22"/>
        </w:rPr>
        <w:t xml:space="preserve">In DACSI’s view ISO 20022 would be the most appropriate standard. </w:t>
      </w:r>
    </w:p>
    <w:p w:rsidR="0055006C" w:rsidRPr="00034B6C" w:rsidRDefault="0055006C" w:rsidP="0055006C">
      <w:pPr>
        <w:rPr>
          <w:rFonts w:asciiTheme="majorHAnsi" w:hAnsiTheme="majorHAnsi" w:cstheme="majorHAnsi"/>
          <w:szCs w:val="22"/>
        </w:rPr>
      </w:pPr>
    </w:p>
    <w:p w:rsidR="0055006C" w:rsidRPr="00034B6C" w:rsidRDefault="0055006C" w:rsidP="0055006C">
      <w:pPr>
        <w:rPr>
          <w:rFonts w:asciiTheme="majorHAnsi" w:hAnsiTheme="majorHAnsi" w:cstheme="majorHAnsi"/>
          <w:szCs w:val="22"/>
        </w:rPr>
      </w:pPr>
      <w:r w:rsidRPr="00034B6C">
        <w:rPr>
          <w:rFonts w:asciiTheme="majorHAnsi" w:hAnsiTheme="majorHAnsi" w:cstheme="majorHAnsi"/>
          <w:szCs w:val="22"/>
        </w:rPr>
        <w:t xml:space="preserve">Overall we believe that ISO 20022 offers the best potential for cost-effective and future-proof implementation. It has a strong methodology and model for defining and structuring financial data, and an open governance process that ensures a level playing field for standardisers and users. It also offers expert international scrutiny of submitted content. ISO 20022 is now being implemented in a growing number of markets, which results in increasing opportunities for automation and interoperability. </w:t>
      </w:r>
    </w:p>
    <w:p w:rsidR="0055006C" w:rsidRPr="00034B6C" w:rsidRDefault="0055006C" w:rsidP="0055006C">
      <w:pPr>
        <w:rPr>
          <w:rFonts w:asciiTheme="majorHAnsi" w:hAnsiTheme="majorHAnsi" w:cstheme="majorHAnsi"/>
          <w:szCs w:val="22"/>
        </w:rPr>
      </w:pPr>
      <w:r w:rsidRPr="00034B6C">
        <w:rPr>
          <w:rFonts w:asciiTheme="majorHAnsi" w:hAnsiTheme="majorHAnsi" w:cstheme="majorHAnsi"/>
          <w:szCs w:val="22"/>
        </w:rPr>
        <w:t>We believe ISO 20022 brings the following benefits:</w:t>
      </w:r>
    </w:p>
    <w:p w:rsidR="0055006C" w:rsidRPr="00034B6C" w:rsidRDefault="0055006C" w:rsidP="0055006C">
      <w:pPr>
        <w:pStyle w:val="ListParagraph"/>
        <w:numPr>
          <w:ilvl w:val="0"/>
          <w:numId w:val="30"/>
        </w:numPr>
        <w:spacing w:line="240" w:lineRule="auto"/>
        <w:rPr>
          <w:rFonts w:asciiTheme="majorHAnsi" w:hAnsiTheme="majorHAnsi" w:cstheme="majorHAnsi"/>
          <w:szCs w:val="22"/>
        </w:rPr>
      </w:pPr>
      <w:r w:rsidRPr="00034B6C">
        <w:rPr>
          <w:rFonts w:asciiTheme="majorHAnsi" w:hAnsiTheme="majorHAnsi" w:cstheme="majorHAnsi"/>
          <w:szCs w:val="22"/>
        </w:rPr>
        <w:t>it is the standard used for messaging by strategic initiatives such as the Single Euro Payments Area (SEPA), in the ECB’s Target 2 Securities initiative, the upcoming migrations of Target 2 and EBA EURO1/STEP1;</w:t>
      </w:r>
    </w:p>
    <w:p w:rsidR="0055006C" w:rsidRPr="00034B6C" w:rsidRDefault="0055006C" w:rsidP="0055006C">
      <w:pPr>
        <w:pStyle w:val="ListParagraph"/>
        <w:numPr>
          <w:ilvl w:val="0"/>
          <w:numId w:val="30"/>
        </w:numPr>
        <w:spacing w:line="240" w:lineRule="auto"/>
        <w:rPr>
          <w:rFonts w:asciiTheme="majorHAnsi" w:hAnsiTheme="majorHAnsi" w:cstheme="majorHAnsi"/>
          <w:szCs w:val="22"/>
        </w:rPr>
      </w:pPr>
      <w:r w:rsidRPr="00034B6C">
        <w:rPr>
          <w:rFonts w:asciiTheme="majorHAnsi" w:hAnsiTheme="majorHAnsi" w:cstheme="majorHAnsi"/>
          <w:szCs w:val="22"/>
        </w:rPr>
        <w:t>it enables higher levels of automation and interoperability across payments and securities, reducing overall industry costs and lowering barriers to entry; basing MiFID II /MiFIR Transaction reporting and Reference data on ISO 20022 will enable us to reuse our investment in supporting the standard;</w:t>
      </w:r>
    </w:p>
    <w:p w:rsidR="0055006C" w:rsidRPr="00034B6C" w:rsidRDefault="0055006C" w:rsidP="0055006C">
      <w:pPr>
        <w:pStyle w:val="ListParagraph"/>
        <w:numPr>
          <w:ilvl w:val="0"/>
          <w:numId w:val="30"/>
        </w:numPr>
        <w:spacing w:line="240" w:lineRule="auto"/>
        <w:rPr>
          <w:rFonts w:asciiTheme="majorHAnsi" w:hAnsiTheme="majorHAnsi" w:cstheme="majorHAnsi"/>
          <w:szCs w:val="22"/>
        </w:rPr>
      </w:pPr>
      <w:r w:rsidRPr="00034B6C">
        <w:rPr>
          <w:rFonts w:asciiTheme="majorHAnsi" w:hAnsiTheme="majorHAnsi" w:cstheme="majorHAnsi"/>
          <w:szCs w:val="22"/>
        </w:rPr>
        <w:t>it can easily cater for future additional/new regulatory reporting functionalities including changes to MiFID II /MiFIR reporting components;</w:t>
      </w:r>
    </w:p>
    <w:p w:rsidR="0055006C" w:rsidRPr="00034B6C" w:rsidRDefault="0055006C" w:rsidP="0055006C">
      <w:pPr>
        <w:pStyle w:val="ListParagraph"/>
        <w:numPr>
          <w:ilvl w:val="0"/>
          <w:numId w:val="30"/>
        </w:numPr>
        <w:spacing w:line="240" w:lineRule="auto"/>
        <w:rPr>
          <w:rFonts w:asciiTheme="majorHAnsi" w:hAnsiTheme="majorHAnsi" w:cstheme="majorHAnsi"/>
          <w:szCs w:val="22"/>
        </w:rPr>
      </w:pPr>
      <w:r w:rsidRPr="00034B6C">
        <w:rPr>
          <w:rFonts w:asciiTheme="majorHAnsi" w:hAnsiTheme="majorHAnsi" w:cstheme="majorHAnsi"/>
          <w:szCs w:val="22"/>
        </w:rPr>
        <w:t>it is an open standard which can be freely implemented, with an open governance process and no single entity that controls it; it has an established process for maintenance and evolution;</w:t>
      </w:r>
    </w:p>
    <w:p w:rsidR="0055006C" w:rsidRPr="00034B6C" w:rsidRDefault="0055006C" w:rsidP="0055006C">
      <w:pPr>
        <w:pStyle w:val="ListParagraph"/>
        <w:numPr>
          <w:ilvl w:val="0"/>
          <w:numId w:val="30"/>
        </w:numPr>
        <w:spacing w:line="240" w:lineRule="auto"/>
        <w:rPr>
          <w:rFonts w:asciiTheme="majorHAnsi" w:hAnsiTheme="majorHAnsi" w:cstheme="majorHAnsi"/>
          <w:szCs w:val="22"/>
        </w:rPr>
      </w:pPr>
      <w:r w:rsidRPr="00034B6C">
        <w:rPr>
          <w:rFonts w:asciiTheme="majorHAnsi" w:hAnsiTheme="majorHAnsi" w:cstheme="majorHAnsi"/>
          <w:szCs w:val="22"/>
        </w:rPr>
        <w:t>it is being adopted globally in the financial industry: Central banks and market infrastructures across the world are increasingly using the standard, with around 70 payments and securities clearing and settlement systems implementing ISO 20022;</w:t>
      </w:r>
    </w:p>
    <w:p w:rsidR="0055006C" w:rsidRPr="00034B6C" w:rsidRDefault="0055006C" w:rsidP="0055006C">
      <w:pPr>
        <w:pStyle w:val="ListParagraph"/>
        <w:numPr>
          <w:ilvl w:val="0"/>
          <w:numId w:val="30"/>
        </w:numPr>
        <w:spacing w:line="240" w:lineRule="auto"/>
        <w:rPr>
          <w:rFonts w:asciiTheme="majorHAnsi" w:hAnsiTheme="majorHAnsi" w:cstheme="majorHAnsi"/>
          <w:szCs w:val="22"/>
        </w:rPr>
      </w:pPr>
      <w:r w:rsidRPr="00034B6C">
        <w:rPr>
          <w:rFonts w:asciiTheme="majorHAnsi" w:hAnsiTheme="majorHAnsi" w:cstheme="majorHAnsi"/>
          <w:szCs w:val="22"/>
        </w:rPr>
        <w:t>ISO 20022 standards have been developed across many financial business processes including retail and wholesale payments, foreign exchange, clearing, collateral management, settlement, asset reconciliation and transaction reporting.</w:t>
      </w:r>
    </w:p>
    <w:p w:rsidR="00577C33" w:rsidRDefault="00577C33" w:rsidP="00EC2C93">
      <w:pPr>
        <w:keepNext/>
      </w:pPr>
    </w:p>
    <w:permEnd w:id="222"/>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lastRenderedPageBreak/>
        <w:t>&lt;ESMA_QUESTION_CP_MIFID_214&gt;</w:t>
      </w:r>
    </w:p>
    <w:p w:rsidR="0055006C" w:rsidRDefault="0055006C" w:rsidP="0055006C">
      <w:pPr>
        <w:keepNext/>
      </w:pPr>
      <w:permStart w:id="223" w:edGrp="everyone"/>
    </w:p>
    <w:p w:rsidR="0055006C" w:rsidRDefault="0055006C" w:rsidP="0055006C">
      <w:pPr>
        <w:keepNext/>
      </w:pPr>
      <w:r w:rsidRPr="003114F1">
        <w:t xml:space="preserve">DACSI agrees with the proposed definition for an </w:t>
      </w:r>
      <w:r w:rsidRPr="003114F1">
        <w:rPr>
          <w:b/>
        </w:rPr>
        <w:t>execution</w:t>
      </w:r>
      <w:r w:rsidRPr="003114F1">
        <w:t>.</w:t>
      </w:r>
    </w:p>
    <w:p w:rsidR="0055006C" w:rsidRPr="003114F1" w:rsidRDefault="0055006C" w:rsidP="0055006C">
      <w:pPr>
        <w:keepNext/>
      </w:pPr>
    </w:p>
    <w:p w:rsidR="0055006C" w:rsidRPr="003114F1" w:rsidRDefault="0055006C" w:rsidP="0055006C">
      <w:pPr>
        <w:keepNext/>
      </w:pPr>
      <w:r>
        <w:t xml:space="preserve">However, </w:t>
      </w:r>
      <w:r w:rsidRPr="003114F1">
        <w:t xml:space="preserve">DACSI wants to comment on the definition </w:t>
      </w:r>
      <w:r>
        <w:t>for</w:t>
      </w:r>
      <w:r w:rsidRPr="003114F1">
        <w:t xml:space="preserve"> a </w:t>
      </w:r>
      <w:r w:rsidRPr="003114F1">
        <w:rPr>
          <w:b/>
        </w:rPr>
        <w:t>transaction</w:t>
      </w:r>
      <w:r w:rsidRPr="003114F1">
        <w:t>.</w:t>
      </w:r>
    </w:p>
    <w:p w:rsidR="0055006C" w:rsidRPr="003114F1" w:rsidRDefault="0055006C" w:rsidP="0055006C">
      <w:pPr>
        <w:keepNext/>
      </w:pPr>
      <w:r w:rsidRPr="003114F1">
        <w:t>The MiFID/MiFIR principle is that an investment firm receives an order from a client and will execute this order</w:t>
      </w:r>
      <w:r>
        <w:t>;</w:t>
      </w:r>
      <w:r w:rsidRPr="003114F1">
        <w:t xml:space="preserve"> the result </w:t>
      </w:r>
      <w:r>
        <w:t xml:space="preserve">of order execution </w:t>
      </w:r>
      <w:r w:rsidRPr="003114F1">
        <w:t>is a transaction, which is reportable for the underlying reportable financial instrument (transaction based).</w:t>
      </w:r>
    </w:p>
    <w:p w:rsidR="0055006C" w:rsidRPr="003114F1" w:rsidRDefault="0055006C" w:rsidP="0055006C">
      <w:pPr>
        <w:keepNext/>
      </w:pPr>
      <w:r>
        <w:t>An essentially different situation is that of a client</w:t>
      </w:r>
      <w:r w:rsidRPr="003114F1">
        <w:t xml:space="preserve"> instruction </w:t>
      </w:r>
      <w:r>
        <w:t xml:space="preserve">that is not an </w:t>
      </w:r>
      <w:r w:rsidRPr="003114F1">
        <w:t>order</w:t>
      </w:r>
      <w:r>
        <w:t>; although this</w:t>
      </w:r>
      <w:r w:rsidRPr="003114F1">
        <w:t xml:space="preserve"> will lead to a position movement, this will not result in an execution and </w:t>
      </w:r>
      <w:r>
        <w:t xml:space="preserve">hence </w:t>
      </w:r>
      <w:r w:rsidRPr="003114F1">
        <w:t>not in a transaction.</w:t>
      </w:r>
    </w:p>
    <w:p w:rsidR="0055006C" w:rsidRPr="003114F1" w:rsidRDefault="0055006C" w:rsidP="0055006C">
      <w:pPr>
        <w:keepNext/>
      </w:pPr>
      <w:r w:rsidRPr="003114F1">
        <w:t xml:space="preserve">DACSI wants a clear </w:t>
      </w:r>
      <w:r>
        <w:t>confirmation</w:t>
      </w:r>
      <w:r w:rsidRPr="003114F1">
        <w:t xml:space="preserve"> from ESMA that instructions result</w:t>
      </w:r>
      <w:r>
        <w:t>ing</w:t>
      </w:r>
      <w:r w:rsidRPr="003114F1">
        <w:t xml:space="preserve"> in a </w:t>
      </w:r>
      <w:r w:rsidRPr="003114F1">
        <w:rPr>
          <w:b/>
        </w:rPr>
        <w:t>position movement only</w:t>
      </w:r>
      <w:r>
        <w:t xml:space="preserve"> </w:t>
      </w:r>
      <w:r w:rsidRPr="003114F1">
        <w:t xml:space="preserve">are not in the definition of a transaction and </w:t>
      </w:r>
      <w:r w:rsidRPr="003114F1">
        <w:rPr>
          <w:b/>
        </w:rPr>
        <w:t>not in scope</w:t>
      </w:r>
      <w:r w:rsidRPr="003114F1">
        <w:t xml:space="preserve"> of the MiFID/</w:t>
      </w:r>
      <w:r>
        <w:t>MiFI</w:t>
      </w:r>
      <w:r w:rsidRPr="003114F1">
        <w:t>R reporting requirements.</w:t>
      </w:r>
    </w:p>
    <w:p w:rsidR="0055006C" w:rsidRDefault="0055006C" w:rsidP="0055006C">
      <w:pPr>
        <w:keepNext/>
      </w:pPr>
      <w:r w:rsidRPr="003114F1">
        <w:t>Ev</w:t>
      </w:r>
      <w:r>
        <w:t>id</w:t>
      </w:r>
      <w:r w:rsidRPr="003114F1">
        <w:t>en</w:t>
      </w:r>
      <w:r>
        <w:t xml:space="preserve">tly, </w:t>
      </w:r>
      <w:r w:rsidRPr="003114F1">
        <w:t xml:space="preserve">instructions not </w:t>
      </w:r>
      <w:r>
        <w:t xml:space="preserve">given by </w:t>
      </w:r>
      <w:r w:rsidRPr="003114F1">
        <w:t xml:space="preserve">clients but for example directly </w:t>
      </w:r>
      <w:r>
        <w:t xml:space="preserve">by </w:t>
      </w:r>
      <w:r w:rsidRPr="003114F1">
        <w:t xml:space="preserve">issuers (i.e. all </w:t>
      </w:r>
      <w:r>
        <w:t>c</w:t>
      </w:r>
      <w:r w:rsidRPr="003114F1">
        <w:t xml:space="preserve">orporate </w:t>
      </w:r>
      <w:r>
        <w:t>e</w:t>
      </w:r>
      <w:r w:rsidRPr="003114F1">
        <w:t xml:space="preserve">vents) should not </w:t>
      </w:r>
      <w:r>
        <w:t xml:space="preserve">be in the scope of the definition for </w:t>
      </w:r>
      <w:r w:rsidRPr="003114F1">
        <w:t xml:space="preserve">a transaction. </w:t>
      </w:r>
    </w:p>
    <w:p w:rsidR="0055006C" w:rsidRPr="003114F1" w:rsidRDefault="0055006C" w:rsidP="0055006C">
      <w:pPr>
        <w:keepNext/>
      </w:pPr>
      <w:r w:rsidRPr="003114F1">
        <w:t xml:space="preserve"> </w:t>
      </w:r>
    </w:p>
    <w:permEnd w:id="223"/>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5006C" w:rsidRDefault="0055006C" w:rsidP="0055006C">
      <w:pPr>
        <w:keepNext/>
        <w:rPr>
          <w:rFonts w:asciiTheme="majorHAnsi" w:hAnsiTheme="majorHAnsi"/>
          <w:szCs w:val="21"/>
        </w:rPr>
      </w:pPr>
      <w:permStart w:id="224" w:edGrp="everyone"/>
    </w:p>
    <w:p w:rsidR="0055006C" w:rsidRPr="00B01995" w:rsidRDefault="0055006C" w:rsidP="0055006C">
      <w:pPr>
        <w:keepNext/>
        <w:rPr>
          <w:rFonts w:asciiTheme="majorHAnsi" w:hAnsiTheme="majorHAnsi"/>
          <w:szCs w:val="21"/>
        </w:rPr>
      </w:pPr>
      <w:r w:rsidRPr="00B01995">
        <w:rPr>
          <w:rFonts w:asciiTheme="majorHAnsi" w:hAnsiTheme="majorHAnsi"/>
          <w:szCs w:val="21"/>
        </w:rPr>
        <w:t>DACSI wants to exclude in addition of the proposal (RTS32) in art 3 (3):</w:t>
      </w:r>
    </w:p>
    <w:p w:rsidR="0055006C" w:rsidRPr="00B01995" w:rsidRDefault="0055006C" w:rsidP="0055006C">
      <w:pPr>
        <w:pStyle w:val="ListParagraph"/>
        <w:keepNext/>
        <w:numPr>
          <w:ilvl w:val="0"/>
          <w:numId w:val="31"/>
        </w:numPr>
        <w:spacing w:line="240" w:lineRule="auto"/>
        <w:rPr>
          <w:rFonts w:asciiTheme="majorHAnsi" w:hAnsiTheme="majorHAnsi"/>
          <w:sz w:val="21"/>
          <w:szCs w:val="21"/>
        </w:rPr>
      </w:pPr>
      <w:proofErr w:type="gramStart"/>
      <w:r w:rsidRPr="00B01995">
        <w:rPr>
          <w:rFonts w:asciiTheme="majorHAnsi" w:hAnsiTheme="majorHAnsi"/>
          <w:sz w:val="21"/>
          <w:szCs w:val="21"/>
        </w:rPr>
        <w:t>all</w:t>
      </w:r>
      <w:proofErr w:type="gramEnd"/>
      <w:r w:rsidRPr="00B01995">
        <w:rPr>
          <w:rFonts w:asciiTheme="majorHAnsi" w:hAnsiTheme="majorHAnsi"/>
          <w:sz w:val="21"/>
          <w:szCs w:val="21"/>
        </w:rPr>
        <w:t xml:space="preserve"> </w:t>
      </w:r>
      <w:r w:rsidRPr="00B01995">
        <w:rPr>
          <w:rFonts w:asciiTheme="majorHAnsi" w:hAnsiTheme="majorHAnsi"/>
          <w:b/>
          <w:sz w:val="21"/>
          <w:szCs w:val="21"/>
        </w:rPr>
        <w:t>corporate events</w:t>
      </w:r>
      <w:r w:rsidRPr="00B01995">
        <w:rPr>
          <w:rFonts w:asciiTheme="majorHAnsi" w:hAnsiTheme="majorHAnsi"/>
          <w:sz w:val="21"/>
          <w:szCs w:val="21"/>
        </w:rPr>
        <w:t xml:space="preserve"> announced by the Issuer/Company.</w:t>
      </w:r>
    </w:p>
    <w:p w:rsidR="0055006C" w:rsidRPr="00B01995" w:rsidRDefault="0055006C" w:rsidP="0055006C">
      <w:pPr>
        <w:pStyle w:val="ListParagraph"/>
        <w:keepNext/>
        <w:numPr>
          <w:ilvl w:val="0"/>
          <w:numId w:val="31"/>
        </w:numPr>
        <w:spacing w:line="240" w:lineRule="auto"/>
        <w:rPr>
          <w:rFonts w:asciiTheme="majorHAnsi" w:hAnsiTheme="majorHAnsi"/>
          <w:sz w:val="21"/>
          <w:szCs w:val="21"/>
        </w:rPr>
      </w:pPr>
      <w:proofErr w:type="gramStart"/>
      <w:r>
        <w:rPr>
          <w:rFonts w:asciiTheme="majorHAnsi" w:hAnsiTheme="majorHAnsi"/>
          <w:sz w:val="21"/>
          <w:szCs w:val="21"/>
        </w:rPr>
        <w:t>a</w:t>
      </w:r>
      <w:r w:rsidRPr="00B01995">
        <w:rPr>
          <w:rFonts w:asciiTheme="majorHAnsi" w:hAnsiTheme="majorHAnsi"/>
          <w:sz w:val="21"/>
          <w:szCs w:val="21"/>
        </w:rPr>
        <w:t>ll</w:t>
      </w:r>
      <w:proofErr w:type="gramEnd"/>
      <w:r w:rsidRPr="00B01995">
        <w:rPr>
          <w:rFonts w:asciiTheme="majorHAnsi" w:hAnsiTheme="majorHAnsi"/>
          <w:sz w:val="21"/>
          <w:szCs w:val="21"/>
        </w:rPr>
        <w:t xml:space="preserve"> </w:t>
      </w:r>
      <w:r w:rsidRPr="002A33E9">
        <w:rPr>
          <w:rFonts w:asciiTheme="majorHAnsi" w:hAnsiTheme="majorHAnsi"/>
          <w:b/>
          <w:sz w:val="21"/>
          <w:szCs w:val="21"/>
        </w:rPr>
        <w:t>(internal</w:t>
      </w:r>
      <w:r>
        <w:rPr>
          <w:rFonts w:asciiTheme="majorHAnsi" w:hAnsiTheme="majorHAnsi"/>
          <w:b/>
          <w:sz w:val="21"/>
          <w:szCs w:val="21"/>
        </w:rPr>
        <w:t>)</w:t>
      </w:r>
      <w:r w:rsidRPr="00B01995">
        <w:rPr>
          <w:rFonts w:asciiTheme="majorHAnsi" w:hAnsiTheme="majorHAnsi"/>
          <w:b/>
          <w:sz w:val="21"/>
          <w:szCs w:val="21"/>
        </w:rPr>
        <w:t xml:space="preserve"> transfers</w:t>
      </w:r>
      <w:r>
        <w:rPr>
          <w:rFonts w:asciiTheme="majorHAnsi" w:hAnsiTheme="majorHAnsi"/>
          <w:b/>
          <w:sz w:val="21"/>
          <w:szCs w:val="21"/>
        </w:rPr>
        <w:t xml:space="preserve"> </w:t>
      </w:r>
      <w:r>
        <w:rPr>
          <w:rFonts w:asciiTheme="majorHAnsi" w:hAnsiTheme="majorHAnsi"/>
          <w:sz w:val="21"/>
          <w:szCs w:val="21"/>
        </w:rPr>
        <w:t xml:space="preserve">that do not qualify as a </w:t>
      </w:r>
      <w:r w:rsidRPr="00B01995">
        <w:rPr>
          <w:rFonts w:asciiTheme="majorHAnsi" w:hAnsiTheme="majorHAnsi"/>
          <w:sz w:val="21"/>
          <w:szCs w:val="21"/>
        </w:rPr>
        <w:t>transaction</w:t>
      </w:r>
      <w:r>
        <w:rPr>
          <w:rFonts w:asciiTheme="majorHAnsi" w:hAnsiTheme="majorHAnsi"/>
          <w:sz w:val="21"/>
          <w:szCs w:val="21"/>
        </w:rPr>
        <w:t xml:space="preserve">, </w:t>
      </w:r>
      <w:r w:rsidRPr="00B01995">
        <w:rPr>
          <w:rFonts w:asciiTheme="majorHAnsi" w:hAnsiTheme="majorHAnsi"/>
          <w:sz w:val="21"/>
          <w:szCs w:val="21"/>
        </w:rPr>
        <w:t xml:space="preserve">but </w:t>
      </w:r>
      <w:r>
        <w:rPr>
          <w:rFonts w:asciiTheme="majorHAnsi" w:hAnsiTheme="majorHAnsi"/>
          <w:sz w:val="21"/>
          <w:szCs w:val="21"/>
        </w:rPr>
        <w:t xml:space="preserve">are rather a </w:t>
      </w:r>
      <w:r w:rsidRPr="00B01995">
        <w:rPr>
          <w:rFonts w:asciiTheme="majorHAnsi" w:hAnsiTheme="majorHAnsi"/>
          <w:sz w:val="21"/>
          <w:szCs w:val="21"/>
        </w:rPr>
        <w:t xml:space="preserve">settlement instructions.  </w:t>
      </w:r>
    </w:p>
    <w:p w:rsidR="0055006C" w:rsidRDefault="0055006C" w:rsidP="0055006C">
      <w:pPr>
        <w:keepNext/>
      </w:pPr>
    </w:p>
    <w:p w:rsidR="0055006C" w:rsidRDefault="0055006C" w:rsidP="0055006C">
      <w:pPr>
        <w:keepNext/>
        <w:rPr>
          <w:rFonts w:asciiTheme="majorHAnsi" w:hAnsiTheme="majorHAnsi"/>
          <w:szCs w:val="21"/>
        </w:rPr>
      </w:pPr>
      <w:r>
        <w:t>DACSI also recommends ESMA</w:t>
      </w:r>
      <w:r w:rsidRPr="009231AE">
        <w:t xml:space="preserve"> </w:t>
      </w:r>
      <w:r>
        <w:rPr>
          <w:rFonts w:asciiTheme="majorHAnsi" w:hAnsiTheme="majorHAnsi"/>
          <w:szCs w:val="21"/>
        </w:rPr>
        <w:t>t</w:t>
      </w:r>
      <w:r w:rsidRPr="009231AE">
        <w:rPr>
          <w:rFonts w:asciiTheme="majorHAnsi" w:hAnsiTheme="majorHAnsi"/>
          <w:szCs w:val="21"/>
        </w:rPr>
        <w:t>o delete in art 3 (j) criteria (</w:t>
      </w:r>
      <w:proofErr w:type="gramStart"/>
      <w:r w:rsidRPr="009231AE">
        <w:rPr>
          <w:rFonts w:asciiTheme="majorHAnsi" w:hAnsiTheme="majorHAnsi"/>
          <w:szCs w:val="21"/>
        </w:rPr>
        <w:t>iv</w:t>
      </w:r>
      <w:proofErr w:type="gramEnd"/>
      <w:r w:rsidRPr="009231AE">
        <w:rPr>
          <w:rFonts w:asciiTheme="majorHAnsi" w:hAnsiTheme="majorHAnsi"/>
          <w:szCs w:val="21"/>
        </w:rPr>
        <w:t>)</w:t>
      </w:r>
      <w:r>
        <w:rPr>
          <w:rFonts w:asciiTheme="majorHAnsi" w:hAnsiTheme="majorHAnsi"/>
          <w:szCs w:val="21"/>
        </w:rPr>
        <w:t>:</w:t>
      </w:r>
      <w:r w:rsidRPr="009231AE">
        <w:rPr>
          <w:rFonts w:asciiTheme="majorHAnsi" w:hAnsiTheme="majorHAnsi"/>
          <w:szCs w:val="21"/>
        </w:rPr>
        <w:t xml:space="preserve"> </w:t>
      </w:r>
      <w:r>
        <w:rPr>
          <w:rFonts w:asciiTheme="majorHAnsi" w:hAnsiTheme="majorHAnsi"/>
          <w:szCs w:val="21"/>
        </w:rPr>
        <w:t>i</w:t>
      </w:r>
      <w:r w:rsidRPr="009231AE">
        <w:rPr>
          <w:rFonts w:asciiTheme="majorHAnsi" w:hAnsiTheme="majorHAnsi"/>
          <w:szCs w:val="21"/>
        </w:rPr>
        <w:t>f the criteria (</w:t>
      </w:r>
      <w:proofErr w:type="spellStart"/>
      <w:r w:rsidRPr="009231AE">
        <w:rPr>
          <w:rFonts w:asciiTheme="majorHAnsi" w:hAnsiTheme="majorHAnsi"/>
          <w:szCs w:val="21"/>
        </w:rPr>
        <w:t>i</w:t>
      </w:r>
      <w:proofErr w:type="spellEnd"/>
      <w:r w:rsidRPr="009231AE">
        <w:rPr>
          <w:rFonts w:asciiTheme="majorHAnsi" w:hAnsiTheme="majorHAnsi"/>
          <w:szCs w:val="21"/>
        </w:rPr>
        <w:t>-iii) are met</w:t>
      </w:r>
      <w:r>
        <w:rPr>
          <w:rFonts w:asciiTheme="majorHAnsi" w:hAnsiTheme="majorHAnsi"/>
          <w:szCs w:val="21"/>
        </w:rPr>
        <w:t>,</w:t>
      </w:r>
      <w:r w:rsidRPr="009231AE">
        <w:rPr>
          <w:rFonts w:asciiTheme="majorHAnsi" w:hAnsiTheme="majorHAnsi"/>
          <w:szCs w:val="21"/>
        </w:rPr>
        <w:t xml:space="preserve"> criteria (iv) is not relevant</w:t>
      </w:r>
      <w:r>
        <w:rPr>
          <w:rFonts w:asciiTheme="majorHAnsi" w:hAnsiTheme="majorHAnsi"/>
          <w:szCs w:val="21"/>
        </w:rPr>
        <w:t>.</w:t>
      </w:r>
    </w:p>
    <w:p w:rsidR="0055006C" w:rsidRPr="009231AE" w:rsidRDefault="0055006C" w:rsidP="0055006C">
      <w:pPr>
        <w:keepNext/>
        <w:rPr>
          <w:rFonts w:asciiTheme="majorHAnsi" w:hAnsiTheme="majorHAnsi"/>
          <w:szCs w:val="21"/>
        </w:rPr>
      </w:pPr>
    </w:p>
    <w:permEnd w:id="224"/>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lastRenderedPageBreak/>
        <w:t>&lt;ESMA_QUESTION_CP_MIFID_216&gt;</w:t>
      </w:r>
    </w:p>
    <w:p w:rsidR="0055006C" w:rsidRDefault="0055006C" w:rsidP="0055006C">
      <w:pPr>
        <w:keepNext/>
      </w:pPr>
      <w:permStart w:id="225" w:edGrp="everyone"/>
    </w:p>
    <w:p w:rsidR="0055006C" w:rsidRPr="009231AE" w:rsidRDefault="0055006C" w:rsidP="0055006C">
      <w:pPr>
        <w:keepNext/>
      </w:pPr>
      <w:r w:rsidRPr="009231AE">
        <w:t xml:space="preserve">DACSI </w:t>
      </w:r>
      <w:r>
        <w:t>is of</w:t>
      </w:r>
      <w:r w:rsidRPr="009231AE">
        <w:t xml:space="preserve"> the opinion that the description of the reporting requirement (RTS 32) related to the transmission of an order is </w:t>
      </w:r>
      <w:r w:rsidRPr="009231AE">
        <w:rPr>
          <w:b/>
        </w:rPr>
        <w:t>vague and inefficient</w:t>
      </w:r>
      <w:r w:rsidRPr="009231AE">
        <w:t>.</w:t>
      </w:r>
    </w:p>
    <w:p w:rsidR="0055006C" w:rsidRPr="009231AE" w:rsidRDefault="0055006C" w:rsidP="0055006C">
      <w:pPr>
        <w:keepNext/>
      </w:pPr>
      <w:r w:rsidRPr="009231AE">
        <w:t xml:space="preserve"> </w:t>
      </w:r>
    </w:p>
    <w:p w:rsidR="0055006C" w:rsidRDefault="0055006C" w:rsidP="0055006C">
      <w:pPr>
        <w:keepNext/>
      </w:pPr>
      <w:r w:rsidRPr="009231AE">
        <w:t>The</w:t>
      </w:r>
      <w:r>
        <w:t xml:space="preserve"> process described in art 4.1 </w:t>
      </w:r>
      <w:proofErr w:type="gramStart"/>
      <w:r>
        <w:t>b(</w:t>
      </w:r>
      <w:proofErr w:type="gramEnd"/>
      <w:r>
        <w:t xml:space="preserve">iii) and art 4.2 </w:t>
      </w:r>
      <w:r w:rsidRPr="009231AE">
        <w:t>is not clear</w:t>
      </w:r>
      <w:r>
        <w:t>:</w:t>
      </w:r>
      <w:r w:rsidRPr="009231AE">
        <w:t xml:space="preserve"> it se</w:t>
      </w:r>
      <w:r>
        <w:t>ems that the receiving firm has</w:t>
      </w:r>
      <w:r w:rsidRPr="009231AE">
        <w:t xml:space="preserve"> to send a transaction report to the CA if </w:t>
      </w:r>
      <w:r>
        <w:t xml:space="preserve">the relevant details specified </w:t>
      </w:r>
      <w:r w:rsidRPr="009231AE">
        <w:t>in 4.1 (a)</w:t>
      </w:r>
      <w:r>
        <w:t xml:space="preserve"> </w:t>
      </w:r>
      <w:r w:rsidRPr="009231AE">
        <w:t xml:space="preserve">are passed and </w:t>
      </w:r>
      <w:r>
        <w:t xml:space="preserve">that </w:t>
      </w:r>
      <w:r w:rsidRPr="009231AE">
        <w:t>a new transaction report</w:t>
      </w:r>
      <w:r>
        <w:t xml:space="preserve"> has to</w:t>
      </w:r>
      <w:r w:rsidRPr="009231AE">
        <w:t xml:space="preserve"> be submit</w:t>
      </w:r>
      <w:r>
        <w:t xml:space="preserve">ted </w:t>
      </w:r>
      <w:r w:rsidRPr="009231AE">
        <w:t xml:space="preserve">by the receiving firm if the information in art 2 (a-d) </w:t>
      </w:r>
      <w:r>
        <w:t>is</w:t>
      </w:r>
      <w:r w:rsidRPr="009231AE">
        <w:t xml:space="preserve"> provided</w:t>
      </w:r>
      <w:r>
        <w:t xml:space="preserve">. </w:t>
      </w:r>
    </w:p>
    <w:p w:rsidR="0055006C" w:rsidRPr="009231AE" w:rsidRDefault="0055006C" w:rsidP="0055006C">
      <w:pPr>
        <w:keepNext/>
      </w:pPr>
      <w:r>
        <w:t xml:space="preserve">Could </w:t>
      </w:r>
      <w:r w:rsidRPr="009231AE">
        <w:t xml:space="preserve">ESMA </w:t>
      </w:r>
      <w:r w:rsidRPr="009231AE">
        <w:rPr>
          <w:b/>
        </w:rPr>
        <w:t>please explain</w:t>
      </w:r>
      <w:r w:rsidRPr="009231AE">
        <w:t xml:space="preserve"> this process</w:t>
      </w:r>
      <w:r>
        <w:t>?</w:t>
      </w:r>
      <w:r w:rsidRPr="009231AE">
        <w:t xml:space="preserve"> DACSI prefers one transaction report </w:t>
      </w:r>
      <w:r>
        <w:t xml:space="preserve">to be </w:t>
      </w:r>
      <w:r w:rsidRPr="009231AE">
        <w:t>submit</w:t>
      </w:r>
      <w:r>
        <w:t>ted</w:t>
      </w:r>
      <w:r w:rsidRPr="009231AE">
        <w:t xml:space="preserve"> to the CA by the receiving firm with all relevant information.</w:t>
      </w:r>
    </w:p>
    <w:p w:rsidR="0055006C" w:rsidRPr="009231AE" w:rsidRDefault="0055006C" w:rsidP="0055006C">
      <w:pPr>
        <w:keepNext/>
      </w:pPr>
    </w:p>
    <w:p w:rsidR="0055006C" w:rsidRPr="009231AE" w:rsidRDefault="0055006C" w:rsidP="0055006C">
      <w:pPr>
        <w:keepNext/>
      </w:pPr>
      <w:r>
        <w:t>With regard to t</w:t>
      </w:r>
      <w:r w:rsidRPr="009231AE">
        <w:t>he process in art 4.3 (a)</w:t>
      </w:r>
      <w:r>
        <w:t>:</w:t>
      </w:r>
      <w:r w:rsidRPr="009231AE">
        <w:t xml:space="preserve"> we assume that the transaction report with the missing information should be submit</w:t>
      </w:r>
      <w:r>
        <w:t>ted</w:t>
      </w:r>
      <w:r w:rsidRPr="009231AE">
        <w:t xml:space="preserve"> to the third party and/or client by the transmitting firm</w:t>
      </w:r>
      <w:r>
        <w:t>.</w:t>
      </w:r>
    </w:p>
    <w:p w:rsidR="0055006C" w:rsidRPr="009231AE" w:rsidRDefault="0055006C" w:rsidP="0055006C">
      <w:pPr>
        <w:keepNext/>
      </w:pPr>
      <w:r>
        <w:t>With regard to t</w:t>
      </w:r>
      <w:r w:rsidRPr="009231AE">
        <w:t>he process in art 4.3 (b)</w:t>
      </w:r>
      <w:r>
        <w:t>:</w:t>
      </w:r>
      <w:r w:rsidRPr="009231AE">
        <w:t xml:space="preserve"> we assume that the transaction report should be submit</w:t>
      </w:r>
      <w:r>
        <w:t>ted</w:t>
      </w:r>
      <w:r w:rsidRPr="009231AE">
        <w:t xml:space="preserve"> to the transmitting firm by the receiving firm</w:t>
      </w:r>
      <w:r>
        <w:t>.</w:t>
      </w:r>
    </w:p>
    <w:p w:rsidR="0055006C" w:rsidRDefault="0055006C" w:rsidP="0055006C">
      <w:pPr>
        <w:keepNext/>
      </w:pPr>
      <w:r w:rsidRPr="009231AE">
        <w:t>C</w:t>
      </w:r>
      <w:r>
        <w:t>ould</w:t>
      </w:r>
      <w:r w:rsidRPr="009231AE">
        <w:t xml:space="preserve"> ESMA </w:t>
      </w:r>
      <w:r w:rsidRPr="009231AE">
        <w:rPr>
          <w:b/>
        </w:rPr>
        <w:t>please confirm</w:t>
      </w:r>
      <w:r w:rsidRPr="009231AE">
        <w:t xml:space="preserve"> that </w:t>
      </w:r>
      <w:r>
        <w:t>these assumptions are correct?</w:t>
      </w:r>
    </w:p>
    <w:p w:rsidR="0055006C" w:rsidRDefault="0055006C" w:rsidP="0055006C">
      <w:pPr>
        <w:keepNext/>
      </w:pPr>
    </w:p>
    <w:permEnd w:id="225"/>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5006C" w:rsidRDefault="0055006C" w:rsidP="0055006C">
      <w:pPr>
        <w:keepNext/>
      </w:pPr>
      <w:permStart w:id="226" w:edGrp="everyone"/>
    </w:p>
    <w:p w:rsidR="0055006C" w:rsidRDefault="0055006C" w:rsidP="0055006C">
      <w:pPr>
        <w:keepNext/>
      </w:pPr>
      <w:r>
        <w:t xml:space="preserve">DACSI does </w:t>
      </w:r>
      <w:r w:rsidRPr="00017F1D">
        <w:rPr>
          <w:b/>
        </w:rPr>
        <w:t>not agree</w:t>
      </w:r>
      <w:r>
        <w:t xml:space="preserve"> that the reporting will be simplified by the proposed amendments, because the content of the fields will be changed. The amendments would introduce more fields to be completed, which means there will be more variables, and hence the possibility of mistakes would increase. </w:t>
      </w:r>
    </w:p>
    <w:p w:rsidR="0055006C" w:rsidRDefault="0055006C" w:rsidP="0055006C">
      <w:pPr>
        <w:keepNext/>
      </w:pPr>
      <w:r>
        <w:t xml:space="preserve">We recommend continuing the use the existing report, while including additional columns for the additional information (thereby continuing to use client and counterparty instead of buyer and seller). </w:t>
      </w:r>
    </w:p>
    <w:p w:rsidR="0055006C" w:rsidRDefault="0055006C" w:rsidP="0055006C">
      <w:pPr>
        <w:keepNext/>
      </w:pPr>
    </w:p>
    <w:p w:rsidR="0055006C" w:rsidRDefault="0055006C" w:rsidP="0055006C">
      <w:pPr>
        <w:keepNext/>
      </w:pPr>
      <w:r>
        <w:t xml:space="preserve">In addition, DACSI recommends that ESMA will follow </w:t>
      </w:r>
      <w:r w:rsidRPr="00017F1D">
        <w:rPr>
          <w:b/>
        </w:rPr>
        <w:t>one standard for data fields</w:t>
      </w:r>
      <w:r>
        <w:t xml:space="preserve"> regardless whether it is for EMIR, SFTR and/or MiFID/R reporting requirements, which is not the case in ESMAs proposal.</w:t>
      </w:r>
    </w:p>
    <w:p w:rsidR="00577C33" w:rsidRDefault="00577C33" w:rsidP="00EC2C93">
      <w:pPr>
        <w:keepNext/>
      </w:pPr>
    </w:p>
    <w:permEnd w:id="226"/>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lastRenderedPageBreak/>
        <w:t>&lt;ESMA_QUESTION_CP_MIFID_218&gt;</w:t>
      </w:r>
    </w:p>
    <w:p w:rsidR="0055006C" w:rsidRDefault="0055006C" w:rsidP="0055006C">
      <w:pPr>
        <w:keepNext/>
      </w:pPr>
      <w:permStart w:id="227" w:edGrp="everyone"/>
    </w:p>
    <w:p w:rsidR="0055006C" w:rsidRPr="00017F1D" w:rsidRDefault="0055006C" w:rsidP="0055006C">
      <w:pPr>
        <w:keepNext/>
      </w:pPr>
      <w:r>
        <w:t xml:space="preserve">For </w:t>
      </w:r>
      <w:r w:rsidRPr="00017F1D">
        <w:t>DACSI</w:t>
      </w:r>
      <w:r>
        <w:t xml:space="preserve"> </w:t>
      </w:r>
      <w:r w:rsidRPr="00017F1D">
        <w:t xml:space="preserve">it is </w:t>
      </w:r>
      <w:r w:rsidRPr="00017F1D">
        <w:rPr>
          <w:b/>
        </w:rPr>
        <w:t>unacceptable</w:t>
      </w:r>
      <w:r w:rsidRPr="00017F1D">
        <w:t xml:space="preserve"> that all entities </w:t>
      </w:r>
      <w:r>
        <w:t>that</w:t>
      </w:r>
      <w:r w:rsidRPr="00017F1D">
        <w:t xml:space="preserve"> are </w:t>
      </w:r>
      <w:r>
        <w:t>subject to</w:t>
      </w:r>
      <w:r w:rsidRPr="00017F1D">
        <w:t xml:space="preserve"> the MiFID reporting requirements have to populate additional information to ESM</w:t>
      </w:r>
      <w:r>
        <w:t>A and have to make additional (</w:t>
      </w:r>
      <w:r w:rsidRPr="00017F1D">
        <w:t xml:space="preserve">operating and implementing) costs for a </w:t>
      </w:r>
      <w:r>
        <w:t>need</w:t>
      </w:r>
      <w:r w:rsidRPr="00017F1D">
        <w:t xml:space="preserve"> which ESMA should solve and not the financial industry.</w:t>
      </w:r>
    </w:p>
    <w:p w:rsidR="0055006C" w:rsidRPr="00017F1D" w:rsidRDefault="0055006C" w:rsidP="0055006C">
      <w:pPr>
        <w:keepNext/>
      </w:pPr>
      <w:r w:rsidRPr="00017F1D">
        <w:t>ESMA should have in place a global solution how to gather (reference) data</w:t>
      </w:r>
      <w:r>
        <w:t xml:space="preserve"> from non EEA-trading venues in</w:t>
      </w:r>
      <w:r w:rsidRPr="00017F1D">
        <w:t>stead of shift</w:t>
      </w:r>
      <w:r>
        <w:t>ing</w:t>
      </w:r>
      <w:r w:rsidRPr="00017F1D">
        <w:t xml:space="preserve"> this problem onto the industry.</w:t>
      </w:r>
    </w:p>
    <w:p w:rsidR="0055006C" w:rsidRDefault="0055006C" w:rsidP="0055006C">
      <w:pPr>
        <w:keepNext/>
      </w:pPr>
    </w:p>
    <w:permEnd w:id="227"/>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5006C" w:rsidRDefault="0055006C" w:rsidP="0055006C">
      <w:pPr>
        <w:keepNext/>
      </w:pPr>
      <w:permStart w:id="228" w:edGrp="everyone"/>
    </w:p>
    <w:p w:rsidR="0055006C" w:rsidRDefault="0055006C" w:rsidP="0055006C">
      <w:pPr>
        <w:keepNext/>
      </w:pPr>
      <w:r>
        <w:t>DACSI wants to highlight a</w:t>
      </w:r>
      <w:r w:rsidRPr="00AE6A4A">
        <w:t xml:space="preserve"> </w:t>
      </w:r>
      <w:r w:rsidRPr="00FF1B59">
        <w:rPr>
          <w:b/>
        </w:rPr>
        <w:t xml:space="preserve">special </w:t>
      </w:r>
      <w:r>
        <w:rPr>
          <w:b/>
        </w:rPr>
        <w:t>issue</w:t>
      </w:r>
      <w:r w:rsidRPr="00AE6A4A">
        <w:t xml:space="preserve"> for the Dutch market </w:t>
      </w:r>
      <w:r>
        <w:t xml:space="preserve">related to </w:t>
      </w:r>
      <w:r w:rsidRPr="00AE6A4A">
        <w:t xml:space="preserve">the so called </w:t>
      </w:r>
      <w:r>
        <w:t>“</w:t>
      </w:r>
      <w:proofErr w:type="spellStart"/>
      <w:r w:rsidRPr="0025023D">
        <w:rPr>
          <w:b/>
        </w:rPr>
        <w:t>lastgeving</w:t>
      </w:r>
      <w:proofErr w:type="spellEnd"/>
      <w:r>
        <w:t>”</w:t>
      </w:r>
      <w:r w:rsidRPr="00AE6A4A">
        <w:t xml:space="preserve"> model, </w:t>
      </w:r>
      <w:r>
        <w:t xml:space="preserve">a mandate construction in which the </w:t>
      </w:r>
      <w:r w:rsidRPr="00AE6A4A">
        <w:t xml:space="preserve">Dutch Investment Firm is not acting as an agent or a principal </w:t>
      </w:r>
      <w:r>
        <w:t xml:space="preserve">but directly constitutes a contract between his client and </w:t>
      </w:r>
      <w:proofErr w:type="gramStart"/>
      <w:r>
        <w:t>a counterparty</w:t>
      </w:r>
      <w:proofErr w:type="gramEnd"/>
      <w:r>
        <w:t xml:space="preserve">. </w:t>
      </w:r>
      <w:r w:rsidRPr="003823F9">
        <w:t>In this hybrid model an investment firm acts as agent versus the client, but for the same transaction acts as a principal for the counterpart of the trade.</w:t>
      </w:r>
      <w:r>
        <w:t xml:space="preserve"> </w:t>
      </w:r>
    </w:p>
    <w:p w:rsidR="0055006C" w:rsidRDefault="0055006C" w:rsidP="0055006C">
      <w:pPr>
        <w:keepNext/>
      </w:pPr>
      <w:r>
        <w:t xml:space="preserve">As a consequence, the </w:t>
      </w:r>
      <w:proofErr w:type="spellStart"/>
      <w:r>
        <w:t>MiFiD</w:t>
      </w:r>
      <w:proofErr w:type="spellEnd"/>
      <w:r>
        <w:t xml:space="preserve"> 2 rules are not clear with regard to the capacity flag that has to be filled in for these transactions for the Dutch Investment Firm, because Matched Principal is not part of the current practice in the “</w:t>
      </w:r>
      <w:proofErr w:type="spellStart"/>
      <w:r>
        <w:t>lastgeving</w:t>
      </w:r>
      <w:proofErr w:type="spellEnd"/>
      <w:r>
        <w:t xml:space="preserve">” model. </w:t>
      </w:r>
    </w:p>
    <w:p w:rsidR="0055006C" w:rsidRDefault="0055006C" w:rsidP="0055006C">
      <w:pPr>
        <w:keepNext/>
      </w:pPr>
    </w:p>
    <w:p w:rsidR="0055006C" w:rsidRDefault="0055006C" w:rsidP="0055006C">
      <w:pPr>
        <w:keepNext/>
      </w:pPr>
      <w:r>
        <w:t>W</w:t>
      </w:r>
      <w:r w:rsidRPr="00AE6A4A">
        <w:t xml:space="preserve">e </w:t>
      </w:r>
      <w:r>
        <w:t>request</w:t>
      </w:r>
      <w:r w:rsidRPr="00AE6A4A">
        <w:t xml:space="preserve"> </w:t>
      </w:r>
      <w:r w:rsidRPr="0025023D">
        <w:rPr>
          <w:b/>
        </w:rPr>
        <w:t>guidance</w:t>
      </w:r>
      <w:r w:rsidRPr="00AE6A4A">
        <w:t xml:space="preserve"> from ESMA on this crucial point for the Dutch market</w:t>
      </w:r>
      <w:r>
        <w:t>.</w:t>
      </w:r>
    </w:p>
    <w:p w:rsidR="0055006C" w:rsidRDefault="0055006C" w:rsidP="0055006C">
      <w:pPr>
        <w:keepNext/>
      </w:pPr>
      <w:r>
        <w:t xml:space="preserve"> </w:t>
      </w:r>
    </w:p>
    <w:permEnd w:id="228"/>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lastRenderedPageBreak/>
        <w:t>&lt;ESMA_QUESTION_CP_MIFID_220&gt;</w:t>
      </w:r>
    </w:p>
    <w:p w:rsidR="0055006C" w:rsidRDefault="0055006C" w:rsidP="0055006C">
      <w:pPr>
        <w:keepNext/>
      </w:pPr>
      <w:permStart w:id="229" w:edGrp="everyone"/>
    </w:p>
    <w:p w:rsidR="0055006C" w:rsidRPr="00A64D36" w:rsidRDefault="0055006C" w:rsidP="0055006C">
      <w:pPr>
        <w:keepNext/>
      </w:pPr>
      <w:r>
        <w:t xml:space="preserve">Yes, </w:t>
      </w:r>
      <w:r w:rsidRPr="00A64D36">
        <w:t>DACSI foresee</w:t>
      </w:r>
      <w:r>
        <w:t xml:space="preserve">s problems with the </w:t>
      </w:r>
      <w:r w:rsidRPr="00A64D36">
        <w:rPr>
          <w:b/>
        </w:rPr>
        <w:t>LEI</w:t>
      </w:r>
      <w:r>
        <w:t>, which</w:t>
      </w:r>
      <w:r w:rsidRPr="00A64D36">
        <w:t xml:space="preserve"> needs to be used </w:t>
      </w:r>
      <w:r>
        <w:t>as</w:t>
      </w:r>
      <w:r w:rsidRPr="00A64D36">
        <w:t xml:space="preserve"> client </w:t>
      </w:r>
      <w:r>
        <w:t>identifier</w:t>
      </w:r>
      <w:r w:rsidRPr="00A64D36">
        <w:t xml:space="preserve"> of a legal entity. There is no global system yet and therefore not all entities will have </w:t>
      </w:r>
      <w:r>
        <w:t xml:space="preserve">a </w:t>
      </w:r>
      <w:r w:rsidRPr="00A64D36">
        <w:t>LEI</w:t>
      </w:r>
      <w:r>
        <w:t xml:space="preserve"> or </w:t>
      </w:r>
      <w:r w:rsidRPr="00917B15">
        <w:t>a legal obligation to obtain one</w:t>
      </w:r>
      <w:r w:rsidRPr="00A64D36">
        <w:t xml:space="preserve">. In addition, there is always a </w:t>
      </w:r>
      <w:r w:rsidRPr="00A64D36">
        <w:rPr>
          <w:b/>
        </w:rPr>
        <w:t>period between</w:t>
      </w:r>
      <w:r w:rsidRPr="00A64D36">
        <w:t xml:space="preserve"> </w:t>
      </w:r>
      <w:r w:rsidRPr="00A64D36">
        <w:rPr>
          <w:b/>
        </w:rPr>
        <w:t>requesting</w:t>
      </w:r>
      <w:r w:rsidRPr="00A64D36">
        <w:t xml:space="preserve"> </w:t>
      </w:r>
      <w:r>
        <w:t>a</w:t>
      </w:r>
      <w:r w:rsidRPr="00A64D36">
        <w:t xml:space="preserve"> LEI </w:t>
      </w:r>
      <w:r w:rsidRPr="00A64D36">
        <w:rPr>
          <w:b/>
        </w:rPr>
        <w:t>and receiving</w:t>
      </w:r>
      <w:r w:rsidRPr="00A64D36">
        <w:t xml:space="preserve"> </w:t>
      </w:r>
      <w:r>
        <w:t>one</w:t>
      </w:r>
      <w:r w:rsidRPr="00A64D36">
        <w:t xml:space="preserve">. Is the legal entity not allowed to trade if it does not have </w:t>
      </w:r>
      <w:proofErr w:type="gramStart"/>
      <w:r>
        <w:t>a</w:t>
      </w:r>
      <w:r w:rsidRPr="00A64D36">
        <w:t xml:space="preserve"> LEI</w:t>
      </w:r>
      <w:proofErr w:type="gramEnd"/>
      <w:r w:rsidRPr="00A64D36">
        <w:t xml:space="preserve"> (yet)? If so, this may impact the liquidity (and volatility) in trading. Under EMIR we experienced already that the (high) initial and annual costs of a LEI are a material burden for the smaller clients to ask for a LEI. Therefore</w:t>
      </w:r>
      <w:r>
        <w:t>,</w:t>
      </w:r>
      <w:r w:rsidRPr="00A64D36">
        <w:t xml:space="preserve"> it is very important that the </w:t>
      </w:r>
      <w:r w:rsidRPr="00A64D36">
        <w:rPr>
          <w:b/>
        </w:rPr>
        <w:t xml:space="preserve">costs </w:t>
      </w:r>
      <w:proofErr w:type="gramStart"/>
      <w:r w:rsidRPr="00A64D36">
        <w:rPr>
          <w:b/>
        </w:rPr>
        <w:t>of a LEI</w:t>
      </w:r>
      <w:proofErr w:type="gramEnd"/>
      <w:r w:rsidRPr="00A64D36">
        <w:t xml:space="preserve"> are reasonable for smaller clients and </w:t>
      </w:r>
      <w:r w:rsidRPr="00A64D36">
        <w:rPr>
          <w:b/>
        </w:rPr>
        <w:t>not restricting</w:t>
      </w:r>
      <w:r w:rsidRPr="00A64D36">
        <w:t xml:space="preserve"> them unnecessar</w:t>
      </w:r>
      <w:r>
        <w:t>il</w:t>
      </w:r>
      <w:r w:rsidRPr="00A64D36">
        <w:t>y.</w:t>
      </w:r>
    </w:p>
    <w:p w:rsidR="0055006C" w:rsidRPr="00A64D36" w:rsidRDefault="0055006C" w:rsidP="0055006C">
      <w:pPr>
        <w:keepNext/>
        <w:rPr>
          <w:i/>
        </w:rPr>
      </w:pPr>
      <w:r>
        <w:t xml:space="preserve">DACSI requests </w:t>
      </w:r>
      <w:r w:rsidRPr="00A64D36">
        <w:t>ESMA</w:t>
      </w:r>
      <w:r>
        <w:t xml:space="preserve"> to provide </w:t>
      </w:r>
      <w:r w:rsidRPr="00A64D36">
        <w:rPr>
          <w:b/>
        </w:rPr>
        <w:t>guidance</w:t>
      </w:r>
      <w:r>
        <w:t xml:space="preserve"> on what an investment firm has</w:t>
      </w:r>
      <w:r w:rsidRPr="00A64D36">
        <w:t xml:space="preserve"> to do if a legal entity do</w:t>
      </w:r>
      <w:r>
        <w:t xml:space="preserve">es </w:t>
      </w:r>
      <w:r w:rsidRPr="00A64D36">
        <w:t>n</w:t>
      </w:r>
      <w:r>
        <w:t xml:space="preserve">ot </w:t>
      </w:r>
      <w:proofErr w:type="gramStart"/>
      <w:r>
        <w:t>have a (</w:t>
      </w:r>
      <w:r w:rsidRPr="00A64D36">
        <w:t>active) LEI</w:t>
      </w:r>
      <w:proofErr w:type="gramEnd"/>
      <w:r w:rsidRPr="00A64D36">
        <w:t xml:space="preserve"> in case a client will send an order for execution.  </w:t>
      </w:r>
      <w:r w:rsidRPr="00A64D36">
        <w:rPr>
          <w:i/>
        </w:rPr>
        <w:t xml:space="preserve"> </w:t>
      </w:r>
    </w:p>
    <w:p w:rsidR="0055006C" w:rsidRPr="00A64D36" w:rsidRDefault="0055006C" w:rsidP="0055006C">
      <w:pPr>
        <w:keepNext/>
      </w:pPr>
    </w:p>
    <w:p w:rsidR="0055006C" w:rsidRPr="00A64D36" w:rsidRDefault="0055006C" w:rsidP="0055006C">
      <w:pPr>
        <w:keepNext/>
      </w:pPr>
      <w:r>
        <w:t>DACSI is</w:t>
      </w:r>
      <w:r w:rsidRPr="00A64D36">
        <w:t xml:space="preserve"> also concerned that in relation to </w:t>
      </w:r>
      <w:r w:rsidRPr="00A64D36">
        <w:rPr>
          <w:b/>
        </w:rPr>
        <w:t>data privacy</w:t>
      </w:r>
      <w:r w:rsidRPr="00A64D36">
        <w:t xml:space="preserve"> legislation (especially in third countries), it may constitute reporting data in breach with the applicable legislation. This is also relevant with respect to the trader ID.</w:t>
      </w:r>
    </w:p>
    <w:p w:rsidR="0055006C" w:rsidRPr="00A64D36" w:rsidRDefault="0055006C" w:rsidP="0055006C">
      <w:pPr>
        <w:keepNext/>
      </w:pPr>
    </w:p>
    <w:p w:rsidR="0055006C" w:rsidRPr="00A64D36" w:rsidRDefault="0055006C" w:rsidP="0055006C">
      <w:pPr>
        <w:keepNext/>
      </w:pPr>
      <w:r>
        <w:t>With regard</w:t>
      </w:r>
      <w:r w:rsidRPr="00A64D36">
        <w:t xml:space="preserve"> to </w:t>
      </w:r>
      <w:r>
        <w:t xml:space="preserve">par. </w:t>
      </w:r>
      <w:r w:rsidRPr="00A64D36">
        <w:t xml:space="preserve">139 on page 589, we question what needs to be reported </w:t>
      </w:r>
      <w:r>
        <w:t>when</w:t>
      </w:r>
      <w:r w:rsidRPr="00A64D36">
        <w:t xml:space="preserve"> </w:t>
      </w:r>
      <w:r w:rsidRPr="00202100">
        <w:rPr>
          <w:b/>
        </w:rPr>
        <w:t>multiple waivers</w:t>
      </w:r>
      <w:r w:rsidRPr="00A64D36">
        <w:t xml:space="preserve"> are applicable </w:t>
      </w:r>
      <w:r>
        <w:t>to</w:t>
      </w:r>
      <w:r w:rsidRPr="00A64D36">
        <w:t xml:space="preserve"> a </w:t>
      </w:r>
      <w:r>
        <w:t xml:space="preserve">(composed) </w:t>
      </w:r>
      <w:r w:rsidRPr="00A64D36">
        <w:t>transaction</w:t>
      </w:r>
      <w:r>
        <w:t>.</w:t>
      </w:r>
      <w:r w:rsidRPr="00A64D36">
        <w:t xml:space="preserve"> Would it be necessary to include all waivers or only one of the applicable waivers?</w:t>
      </w:r>
    </w:p>
    <w:p w:rsidR="0055006C" w:rsidRPr="00A64D36" w:rsidRDefault="0055006C" w:rsidP="0055006C">
      <w:pPr>
        <w:keepNext/>
      </w:pPr>
    </w:p>
    <w:p w:rsidR="0055006C" w:rsidRDefault="0055006C" w:rsidP="0055006C">
      <w:pPr>
        <w:keepNext/>
      </w:pPr>
      <w:r>
        <w:t>With regard</w:t>
      </w:r>
      <w:r w:rsidRPr="00A64D36">
        <w:t xml:space="preserve"> to </w:t>
      </w:r>
      <w:r>
        <w:t xml:space="preserve">par. </w:t>
      </w:r>
      <w:r w:rsidRPr="00A64D36">
        <w:t xml:space="preserve">154 on page 592, we anticipate problems in using the </w:t>
      </w:r>
      <w:r w:rsidRPr="00202100">
        <w:rPr>
          <w:b/>
        </w:rPr>
        <w:t>short selling flag</w:t>
      </w:r>
      <w:r w:rsidRPr="00A64D36">
        <w:t>. How would it work if transactions are entered into from different parts of the business to which even Chinese Walls may exist? It may not be possible to know whether a certain transaction at that moment is a short sell</w:t>
      </w:r>
      <w:r>
        <w:t>ing</w:t>
      </w:r>
      <w:r w:rsidRPr="00A64D36">
        <w:t xml:space="preserve"> transaction. Also, different systems will be used, under MiFID II it will be an intra-day report (and thus use of flag) and under the S</w:t>
      </w:r>
      <w:r>
        <w:t>SR it is an end-of-day report</w:t>
      </w:r>
      <w:r w:rsidRPr="00A64D36">
        <w:t xml:space="preserve">. It could be that at the moment of a transaction intra-day it is a short </w:t>
      </w:r>
      <w:r>
        <w:t>sale</w:t>
      </w:r>
      <w:r w:rsidRPr="00A64D36">
        <w:t xml:space="preserve">, but which is ‘remedied’ by another transaction later that day. </w:t>
      </w:r>
    </w:p>
    <w:p w:rsidR="0055006C" w:rsidRDefault="0055006C" w:rsidP="0055006C">
      <w:pPr>
        <w:keepNext/>
      </w:pPr>
      <w:r>
        <w:t>In addition, w</w:t>
      </w:r>
      <w:r w:rsidRPr="00A64D36">
        <w:t xml:space="preserve">e do not think </w:t>
      </w:r>
      <w:r>
        <w:t>these data</w:t>
      </w:r>
      <w:r w:rsidRPr="00A64D36">
        <w:t xml:space="preserve"> will provide </w:t>
      </w:r>
      <w:r>
        <w:t xml:space="preserve">the CAs with </w:t>
      </w:r>
      <w:r w:rsidRPr="00A64D36">
        <w:t xml:space="preserve">the information they are looking for. </w:t>
      </w:r>
      <w:r>
        <w:t xml:space="preserve"> </w:t>
      </w:r>
      <w:r w:rsidRPr="00157038">
        <w:t xml:space="preserve">We expect the CA's to be interested in the intention of the trader to do a short sale; even if a different part of the same investment firm coincidentally has a long position at the same time. </w:t>
      </w:r>
      <w:r w:rsidRPr="00A64D36">
        <w:t xml:space="preserve">And the SSR reporting already exists and </w:t>
      </w:r>
      <w:r>
        <w:t xml:space="preserve">does </w:t>
      </w:r>
      <w:r w:rsidRPr="00A64D36">
        <w:t>provide the relevant information.</w:t>
      </w:r>
    </w:p>
    <w:p w:rsidR="0055006C" w:rsidRDefault="0055006C" w:rsidP="0055006C">
      <w:pPr>
        <w:keepNext/>
      </w:pPr>
    </w:p>
    <w:permEnd w:id="229"/>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5006C" w:rsidRDefault="0055006C" w:rsidP="00EC2C93">
      <w:pPr>
        <w:keepNext/>
      </w:pPr>
      <w:permStart w:id="230" w:edGrp="everyone"/>
    </w:p>
    <w:p w:rsidR="0055006C" w:rsidRDefault="0055006C" w:rsidP="0055006C">
      <w:pPr>
        <w:keepNext/>
      </w:pPr>
      <w:r>
        <w:t xml:space="preserve">DACSI is in favour of a standard method for baskets and indices. </w:t>
      </w:r>
    </w:p>
    <w:p w:rsidR="0055006C" w:rsidRDefault="0055006C" w:rsidP="00EC2C93">
      <w:pPr>
        <w:keepNext/>
      </w:pPr>
    </w:p>
    <w:permEnd w:id="230"/>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lastRenderedPageBreak/>
        <w:t>&lt;ESMA_QUESTION_CP_MIFID_222&gt;</w:t>
      </w:r>
    </w:p>
    <w:p w:rsidR="0055006C" w:rsidRDefault="0055006C" w:rsidP="0055006C">
      <w:pPr>
        <w:keepNext/>
      </w:pPr>
      <w:permStart w:id="231" w:edGrp="everyone"/>
    </w:p>
    <w:p w:rsidR="0055006C" w:rsidRDefault="0055006C" w:rsidP="0055006C">
      <w:pPr>
        <w:keepNext/>
      </w:pPr>
      <w:r>
        <w:t>DACSI recommends that the format for an Index and a basket should be the same.</w:t>
      </w:r>
    </w:p>
    <w:p w:rsidR="0055006C" w:rsidRDefault="0055006C" w:rsidP="0055006C">
      <w:pPr>
        <w:keepNext/>
      </w:pPr>
    </w:p>
    <w:permEnd w:id="231"/>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5006C" w:rsidRDefault="0055006C" w:rsidP="0055006C">
      <w:pPr>
        <w:keepNext/>
      </w:pPr>
      <w:permStart w:id="232" w:edGrp="everyone"/>
    </w:p>
    <w:p w:rsidR="0055006C" w:rsidRDefault="0055006C" w:rsidP="0055006C">
      <w:pPr>
        <w:keepNext/>
      </w:pPr>
      <w:r>
        <w:t xml:space="preserve">With regard to par. 171 on page 595, DACSI foresees that it will be difficult to determine which entity will have the </w:t>
      </w:r>
      <w:r w:rsidRPr="00202100">
        <w:rPr>
          <w:b/>
        </w:rPr>
        <w:t>closest relationship</w:t>
      </w:r>
      <w:r>
        <w:t xml:space="preserve"> with the client, without any guidance on how to assess the relationship. Could ESMA give guidance what will be the exact criteria that entities should take into account with that determination? </w:t>
      </w:r>
    </w:p>
    <w:p w:rsidR="0055006C" w:rsidRDefault="0055006C" w:rsidP="0055006C">
      <w:pPr>
        <w:keepNext/>
      </w:pPr>
    </w:p>
    <w:p w:rsidR="0055006C" w:rsidRDefault="0055006C" w:rsidP="0055006C">
      <w:pPr>
        <w:keepNext/>
      </w:pPr>
      <w:r>
        <w:t xml:space="preserve">In addition, the relationship with the client can change </w:t>
      </w:r>
      <w:r w:rsidRPr="00202100">
        <w:rPr>
          <w:b/>
        </w:rPr>
        <w:t>over time</w:t>
      </w:r>
      <w:r>
        <w:t xml:space="preserve">, by way that another entity can use a different branch or another group entity than initially. </w:t>
      </w:r>
    </w:p>
    <w:p w:rsidR="0055006C" w:rsidRDefault="0055006C" w:rsidP="0055006C">
      <w:pPr>
        <w:keepNext/>
      </w:pPr>
    </w:p>
    <w:p w:rsidR="0055006C" w:rsidRDefault="0055006C" w:rsidP="0055006C">
      <w:pPr>
        <w:keepNext/>
      </w:pPr>
      <w:r>
        <w:t xml:space="preserve">The fact that there are no criteria to be considered in the determination which entity will have the closest relationship, leaves the entities with a lot of discretion, but also liability. If the CAs will determine that the entities did not take the correct criteria into consideration, it can be fined.  </w:t>
      </w:r>
    </w:p>
    <w:p w:rsidR="0055006C" w:rsidRDefault="0055006C" w:rsidP="0055006C">
      <w:pPr>
        <w:keepNext/>
      </w:pPr>
    </w:p>
    <w:permEnd w:id="232"/>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5006C" w:rsidRDefault="0055006C" w:rsidP="0055006C">
      <w:pPr>
        <w:keepNext/>
      </w:pPr>
      <w:permStart w:id="233" w:edGrp="everyone"/>
    </w:p>
    <w:p w:rsidR="0055006C" w:rsidRPr="00197688" w:rsidRDefault="0055006C" w:rsidP="0055006C">
      <w:pPr>
        <w:keepNext/>
      </w:pPr>
      <w:r>
        <w:t xml:space="preserve">Yes, </w:t>
      </w:r>
      <w:r w:rsidRPr="00197688">
        <w:t>DACSI</w:t>
      </w:r>
      <w:r>
        <w:t xml:space="preserve"> anticipates difficulties in this respect. With regard to par. 183 on </w:t>
      </w:r>
      <w:proofErr w:type="gramStart"/>
      <w:r>
        <w:t>page</w:t>
      </w:r>
      <w:proofErr w:type="gramEnd"/>
      <w:r>
        <w:t xml:space="preserve"> 597:</w:t>
      </w:r>
      <w:r w:rsidRPr="00197688">
        <w:t xml:space="preserve"> to validate the LEI, the investment firm should have </w:t>
      </w:r>
      <w:r w:rsidRPr="00197688">
        <w:rPr>
          <w:b/>
        </w:rPr>
        <w:t>access to the global LEI system</w:t>
      </w:r>
      <w:r w:rsidRPr="00197688">
        <w:t xml:space="preserve">. If that is not (yet) possible, it should be possible to assume the correctness if the LEI has been provided by the counterparty. </w:t>
      </w:r>
    </w:p>
    <w:p w:rsidR="0055006C" w:rsidRPr="00197688" w:rsidRDefault="0055006C" w:rsidP="0055006C">
      <w:pPr>
        <w:keepNext/>
      </w:pPr>
    </w:p>
    <w:p w:rsidR="0055006C" w:rsidRPr="00197688" w:rsidRDefault="0055006C" w:rsidP="0055006C">
      <w:pPr>
        <w:keepNext/>
      </w:pPr>
      <w:r w:rsidRPr="00197688">
        <w:t xml:space="preserve">Please also note that we believe that this obligation of verifying the LEI should only apply </w:t>
      </w:r>
      <w:r>
        <w:t>to</w:t>
      </w:r>
      <w:r w:rsidRPr="00197688">
        <w:t xml:space="preserve"> the on-boarding of a client and not </w:t>
      </w:r>
      <w:r>
        <w:t>to</w:t>
      </w:r>
      <w:r w:rsidRPr="00197688">
        <w:t xml:space="preserve"> every single transaction. If the client’s LEI </w:t>
      </w:r>
      <w:proofErr w:type="gramStart"/>
      <w:r w:rsidRPr="00197688">
        <w:t>has</w:t>
      </w:r>
      <w:proofErr w:type="gramEnd"/>
      <w:r w:rsidRPr="00197688">
        <w:t xml:space="preserve"> been </w:t>
      </w:r>
      <w:r w:rsidRPr="00197688">
        <w:rPr>
          <w:b/>
        </w:rPr>
        <w:t>verified at the start</w:t>
      </w:r>
      <w:r>
        <w:t xml:space="preserve"> of a</w:t>
      </w:r>
      <w:r w:rsidRPr="00197688">
        <w:t xml:space="preserve"> relationship, it should be allowed to rely on that LEI for all transactions.</w:t>
      </w:r>
    </w:p>
    <w:p w:rsidR="0055006C" w:rsidRPr="00197688" w:rsidRDefault="0055006C" w:rsidP="0055006C">
      <w:pPr>
        <w:keepNext/>
      </w:pPr>
    </w:p>
    <w:p w:rsidR="0055006C" w:rsidRDefault="0055006C" w:rsidP="0055006C">
      <w:pPr>
        <w:keepNext/>
      </w:pPr>
      <w:r w:rsidRPr="00197688">
        <w:t>It</w:t>
      </w:r>
      <w:r>
        <w:t xml:space="preserve"> i</w:t>
      </w:r>
      <w:r w:rsidRPr="00197688">
        <w:t>s DACSI</w:t>
      </w:r>
      <w:r>
        <w:t>’</w:t>
      </w:r>
      <w:r w:rsidRPr="00197688">
        <w:t>s opinion that the investment firm can</w:t>
      </w:r>
      <w:r>
        <w:t>not</w:t>
      </w:r>
      <w:r w:rsidRPr="00197688">
        <w:t xml:space="preserve"> be </w:t>
      </w:r>
      <w:r>
        <w:t>responsible when the LEI of a</w:t>
      </w:r>
      <w:r w:rsidRPr="00197688">
        <w:t xml:space="preserve"> legal entity is </w:t>
      </w:r>
      <w:r>
        <w:t xml:space="preserve">no longer </w:t>
      </w:r>
      <w:r w:rsidRPr="00197688">
        <w:t>active</w:t>
      </w:r>
      <w:r>
        <w:t>, blocked due to non-payment or other reasons, or withdrawn;</w:t>
      </w:r>
      <w:r w:rsidRPr="00197688">
        <w:t xml:space="preserve"> it is the responsibility of the client to inform the investment firm if the status </w:t>
      </w:r>
      <w:r>
        <w:t>of its LEI changes</w:t>
      </w:r>
      <w:r w:rsidRPr="00197688">
        <w:t>.</w:t>
      </w:r>
    </w:p>
    <w:p w:rsidR="00DF38AC" w:rsidRPr="00197688" w:rsidRDefault="00DF38AC" w:rsidP="0055006C">
      <w:pPr>
        <w:keepNext/>
      </w:pPr>
    </w:p>
    <w:permEnd w:id="233"/>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lastRenderedPageBreak/>
        <w:t>&lt;ESMA_QUESTION_CP_MIFID_225&gt;</w:t>
      </w:r>
    </w:p>
    <w:p w:rsidR="00DF38AC" w:rsidRDefault="00DF38AC" w:rsidP="00DF38AC">
      <w:pPr>
        <w:keepNext/>
      </w:pPr>
      <w:permStart w:id="234" w:edGrp="everyone"/>
    </w:p>
    <w:p w:rsidR="00DF38AC" w:rsidRDefault="00DF38AC" w:rsidP="00DF38AC">
      <w:pPr>
        <w:keepNext/>
      </w:pPr>
      <w:r>
        <w:t xml:space="preserve">DACSI understands that over-reporting will not be allowed as mentioned in par. 186 on page 598, but we would like to emphasise that where there is </w:t>
      </w:r>
      <w:r w:rsidRPr="00197688">
        <w:rPr>
          <w:b/>
        </w:rPr>
        <w:t>room for interpretation</w:t>
      </w:r>
      <w:r>
        <w:t xml:space="preserve"> by the investment firms, this will likely lead to </w:t>
      </w:r>
      <w:r w:rsidRPr="00197688">
        <w:rPr>
          <w:b/>
        </w:rPr>
        <w:t>discrepancies</w:t>
      </w:r>
      <w:r>
        <w:t xml:space="preserve"> between the reports by different investment firms. </w:t>
      </w:r>
      <w:proofErr w:type="gramStart"/>
      <w:r>
        <w:t>Even more so, where it seems that CAs can have different interpretations, for instance in par. 27 under ii on page 565.</w:t>
      </w:r>
      <w:proofErr w:type="gramEnd"/>
    </w:p>
    <w:p w:rsidR="00DF38AC" w:rsidRDefault="00DF38AC" w:rsidP="00DF38AC">
      <w:pPr>
        <w:keepNext/>
      </w:pPr>
      <w:r>
        <w:t>Furthermore, DACSI wants to state again that the data fields and formats of the reports should be standardised and harmonised with other reporting requirements from other European rules and legislation.</w:t>
      </w:r>
    </w:p>
    <w:p w:rsidR="00DF38AC" w:rsidRDefault="00DF38AC" w:rsidP="00DF38AC">
      <w:pPr>
        <w:keepNext/>
      </w:pPr>
      <w:r>
        <w:t xml:space="preserve"> </w:t>
      </w:r>
    </w:p>
    <w:permEnd w:id="234"/>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DF38AC" w:rsidRDefault="00DF38AC" w:rsidP="00DF38AC">
      <w:pPr>
        <w:keepNext/>
      </w:pPr>
      <w:permStart w:id="235" w:edGrp="everyone"/>
    </w:p>
    <w:p w:rsidR="00DF38AC" w:rsidRDefault="00DF38AC" w:rsidP="00DF38AC">
      <w:pPr>
        <w:keepNext/>
      </w:pPr>
      <w:r>
        <w:t xml:space="preserve">DACSI does not understand why the client ID should be provided to the trading venue as this is already known by the CAs through the reporting obligation of the investment firm. Please note that this will mean that the </w:t>
      </w:r>
      <w:r w:rsidRPr="00F66AD7">
        <w:rPr>
          <w:b/>
        </w:rPr>
        <w:t>format</w:t>
      </w:r>
      <w:r>
        <w:t xml:space="preserve"> of the reporting would have </w:t>
      </w:r>
      <w:r w:rsidRPr="00F66AD7">
        <w:rPr>
          <w:b/>
        </w:rPr>
        <w:t>to be amended</w:t>
      </w:r>
      <w:r>
        <w:t>, which would increase the risk of incorrect reports.</w:t>
      </w:r>
    </w:p>
    <w:p w:rsidR="00DF38AC" w:rsidRDefault="00DF38AC" w:rsidP="00DF38AC">
      <w:pPr>
        <w:keepNext/>
      </w:pPr>
    </w:p>
    <w:permEnd w:id="235"/>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DF38AC" w:rsidRDefault="00DF38AC" w:rsidP="00DF38AC">
      <w:pPr>
        <w:keepNext/>
      </w:pPr>
      <w:permStart w:id="236" w:edGrp="everyone"/>
    </w:p>
    <w:p w:rsidR="00DF38AC" w:rsidRDefault="00DF38AC" w:rsidP="00DF38AC">
      <w:pPr>
        <w:keepNext/>
      </w:pPr>
      <w:r>
        <w:t xml:space="preserve">In DACSI’s view this information is </w:t>
      </w:r>
      <w:r w:rsidRPr="00F66AD7">
        <w:rPr>
          <w:b/>
        </w:rPr>
        <w:t>not available</w:t>
      </w:r>
      <w:r>
        <w:t xml:space="preserve"> for the investment firm to be included in the transaction reporting; only the trading venue has to deliver this piece of information in its report.</w:t>
      </w:r>
    </w:p>
    <w:p w:rsidR="00DF38AC" w:rsidRDefault="00DF38AC" w:rsidP="00DF38AC">
      <w:pPr>
        <w:pStyle w:val="CPQuestions"/>
        <w:numPr>
          <w:ilvl w:val="0"/>
          <w:numId w:val="0"/>
        </w:numPr>
        <w:rPr>
          <w:lang w:val="en-GB"/>
        </w:rPr>
      </w:pPr>
    </w:p>
    <w:permEnd w:id="236"/>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t>&lt;ESMA_QUESTION_CP_MIFID_228&gt;</w:t>
      </w:r>
    </w:p>
    <w:p w:rsidR="00577C33" w:rsidRDefault="00577C33" w:rsidP="00EC2C93">
      <w:pPr>
        <w:keepNext/>
      </w:pPr>
      <w:permStart w:id="237" w:edGrp="everyone"/>
      <w:r>
        <w:t>TYPE YOUR TEXT HERE</w:t>
      </w:r>
    </w:p>
    <w:permEnd w:id="237"/>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lastRenderedPageBreak/>
        <w:t>&lt;ESMA_QUESTION_CP_MIFID_229&gt;</w:t>
      </w:r>
    </w:p>
    <w:p w:rsidR="00577C33" w:rsidRDefault="00577C33" w:rsidP="00EC2C93">
      <w:pPr>
        <w:keepNext/>
      </w:pPr>
      <w:permStart w:id="238" w:edGrp="everyone"/>
      <w:r>
        <w:t>TYPE YOUR TEXT HERE</w:t>
      </w:r>
    </w:p>
    <w:permEnd w:id="238"/>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239" w:edGrp="everyone"/>
      <w:r>
        <w:t>TYPE YOUR TEXT HERE</w:t>
      </w:r>
    </w:p>
    <w:permEnd w:id="239"/>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240" w:edGrp="everyone"/>
      <w:r>
        <w:t>TYPE YOUR TEXT HERE</w:t>
      </w:r>
    </w:p>
    <w:permEnd w:id="240"/>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241" w:edGrp="everyone"/>
      <w:r>
        <w:t>TYPE YOUR TEXT HERE</w:t>
      </w:r>
    </w:p>
    <w:permEnd w:id="241"/>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DF38AC" w:rsidRDefault="00DF38AC" w:rsidP="00DF38AC">
      <w:pPr>
        <w:keepNext/>
      </w:pPr>
      <w:permStart w:id="242" w:edGrp="everyone"/>
    </w:p>
    <w:p w:rsidR="00DF38AC" w:rsidRDefault="00DF38AC" w:rsidP="00DF38AC">
      <w:pPr>
        <w:keepNext/>
      </w:pPr>
      <w:r>
        <w:t>DACSI requests ESMA to give further guidance in case different desks within the same legal entity that may trade on different trading venues have to synchronise with each separate trading venue or do the desks have to coordinate and synchronise with the most strict reference time independently of the trading venues?</w:t>
      </w:r>
    </w:p>
    <w:p w:rsidR="00DF38AC" w:rsidRDefault="00DF38AC" w:rsidP="00DF38AC">
      <w:pPr>
        <w:keepNext/>
      </w:pPr>
    </w:p>
    <w:permEnd w:id="242"/>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243" w:edGrp="everyone"/>
      <w:r>
        <w:t>TYPE YOUR TEXT HERE</w:t>
      </w:r>
    </w:p>
    <w:permEnd w:id="243"/>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lastRenderedPageBreak/>
        <w:t>&lt;ESMA_QUESTION_CP_MIFID_235&gt;</w:t>
      </w:r>
    </w:p>
    <w:p w:rsidR="00577C33" w:rsidRDefault="00577C33" w:rsidP="00EC2C93">
      <w:pPr>
        <w:keepNext/>
      </w:pPr>
      <w:permStart w:id="244" w:edGrp="everyone"/>
      <w:r>
        <w:t>TYPE YOUR TEXT HERE</w:t>
      </w:r>
    </w:p>
    <w:permEnd w:id="244"/>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245" w:edGrp="everyone"/>
      <w:r>
        <w:t>TYPE YOUR TEXT HERE</w:t>
      </w:r>
    </w:p>
    <w:permEnd w:id="245"/>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246" w:edGrp="everyone"/>
      <w:r>
        <w:t>TYPE YOUR TEXT HERE</w:t>
      </w:r>
    </w:p>
    <w:permEnd w:id="246"/>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247" w:edGrp="everyone"/>
      <w:r>
        <w:t>TYPE YOUR TEXT HERE</w:t>
      </w:r>
    </w:p>
    <w:permEnd w:id="247"/>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DF38AC" w:rsidRDefault="00DF38AC" w:rsidP="00DF38AC">
      <w:pPr>
        <w:keepNext/>
      </w:pPr>
      <w:permStart w:id="248" w:edGrp="everyone"/>
    </w:p>
    <w:p w:rsidR="00DF38AC" w:rsidRDefault="00DF38AC" w:rsidP="00DF38AC">
      <w:pPr>
        <w:keepNext/>
      </w:pPr>
      <w:r>
        <w:t xml:space="preserve">DACSI believes that </w:t>
      </w:r>
      <w:r w:rsidRPr="00F66AD7">
        <w:rPr>
          <w:b/>
        </w:rPr>
        <w:t>trading venues should not be held liable and responsible</w:t>
      </w:r>
      <w:r>
        <w:t xml:space="preserve"> for limits of trading firms and not whether a derivative transaction will be cleared by a CCP (the clearing obligation for derivatives are part of the EMIR rules). There are currently trading venues that undertake a pre-check as an additional service but not all trading venues are offering this service. CCPs and Clearing members are offering limit (and other) services to their clients for derivatives transactions that are mandatory cleared under the EMIR regime. The current RTS 37 proposal is too narrow and all entities in the chain (trading venue, CCP and Clearing Member) should be in the position to offer limits and (other) clearing services. The RTS should be more flexible and should allow that all entities in the clearing process could offer this service in relation to their own business model. In general, extending the role of the trading venue would create an additional and more risky step of which we do not believe it is within the mandate of the trading venue. The obligation in article 29 (1) MiFIR should be read as an obligation to ensure that the trade feed is sent to a CCP for clearing, and that the CCP and the trading venue have both clear and public rules on when a transaction in principle will be cleared.</w:t>
      </w:r>
    </w:p>
    <w:p w:rsidR="00DF38AC" w:rsidRPr="00F66AD7" w:rsidRDefault="00DF38AC" w:rsidP="00DF38AC">
      <w:pPr>
        <w:keepNext/>
      </w:pPr>
    </w:p>
    <w:permEnd w:id="248"/>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DF38AC" w:rsidRDefault="00DF38AC" w:rsidP="00024FBA">
      <w:pPr>
        <w:keepNext/>
      </w:pPr>
      <w:permStart w:id="249" w:edGrp="everyone"/>
    </w:p>
    <w:p w:rsidR="00DF38AC" w:rsidRDefault="00DF38AC" w:rsidP="00024FBA">
      <w:pPr>
        <w:keepNext/>
      </w:pPr>
      <w:r w:rsidRPr="00F66AD7">
        <w:t xml:space="preserve">DACSI agrees with the proposed timeframe. </w:t>
      </w:r>
    </w:p>
    <w:p w:rsidR="00DF38AC" w:rsidRDefault="00DF38AC" w:rsidP="00024FBA">
      <w:pPr>
        <w:keepNext/>
      </w:pPr>
      <w:r w:rsidRPr="00F66AD7">
        <w:t xml:space="preserve">We </w:t>
      </w:r>
      <w:r>
        <w:t>emphasis</w:t>
      </w:r>
      <w:r w:rsidRPr="00F66AD7">
        <w:t xml:space="preserve">e that the </w:t>
      </w:r>
      <w:r w:rsidRPr="002025ED">
        <w:rPr>
          <w:b/>
        </w:rPr>
        <w:t>sequence</w:t>
      </w:r>
      <w:r w:rsidRPr="00F66AD7">
        <w:t xml:space="preserve"> should be correct. In relation to the orders, the first order should be transacted first. It should not be possible that the information on an order is sent to the CCP, and that </w:t>
      </w:r>
      <w:proofErr w:type="gramStart"/>
      <w:r w:rsidRPr="00F66AD7">
        <w:t>an order that was submitted later</w:t>
      </w:r>
      <w:r>
        <w:t>,</w:t>
      </w:r>
      <w:r w:rsidRPr="00F66AD7">
        <w:t xml:space="preserve"> after which that order</w:t>
      </w:r>
      <w:proofErr w:type="gramEnd"/>
      <w:r w:rsidRPr="00F66AD7">
        <w:t xml:space="preserve"> is processed before the first order. Regarding the 30 minutes timeframe it should be clear that a transaction is concluded bilateral</w:t>
      </w:r>
      <w:r>
        <w:t>ly on a trading venue;</w:t>
      </w:r>
      <w:r w:rsidRPr="00F66AD7">
        <w:t xml:space="preserve"> bilateral</w:t>
      </w:r>
      <w:r>
        <w:t>ly</w:t>
      </w:r>
      <w:r w:rsidRPr="00F66AD7">
        <w:t xml:space="preserve"> executed trades outside a trading venue are not in scope of this proposal. For this kind of bilateral trades th</w:t>
      </w:r>
      <w:r>
        <w:t>e timeframe should be synchronis</w:t>
      </w:r>
      <w:r w:rsidRPr="00F66AD7">
        <w:t>ed with the EMIR requirements regarding the confirmation of the trade and the transformation of the information in case the bila</w:t>
      </w:r>
      <w:r>
        <w:t xml:space="preserve">teral trade will be cleared by </w:t>
      </w:r>
      <w:r w:rsidRPr="00F66AD7">
        <w:t>a CCP.</w:t>
      </w:r>
    </w:p>
    <w:p w:rsidR="00DF38AC" w:rsidRDefault="00DF38AC" w:rsidP="00EC2C93">
      <w:pPr>
        <w:keepNext/>
      </w:pPr>
      <w:r>
        <w:t xml:space="preserve">DACSI recommend </w:t>
      </w:r>
      <w:r>
        <w:t>s</w:t>
      </w:r>
      <w:r w:rsidRPr="00154870">
        <w:t xml:space="preserve"> that the same rules </w:t>
      </w:r>
      <w:r>
        <w:t>are applied</w:t>
      </w:r>
      <w:r w:rsidRPr="00154870">
        <w:t xml:space="preserve"> to voluntar</w:t>
      </w:r>
      <w:r>
        <w:t>il</w:t>
      </w:r>
      <w:r w:rsidRPr="00154870">
        <w:t>y cleared and mandator</w:t>
      </w:r>
      <w:r>
        <w:t>il</w:t>
      </w:r>
      <w:r w:rsidRPr="00154870">
        <w:t>y cleared trades.</w:t>
      </w:r>
      <w:r>
        <w:tab/>
      </w:r>
    </w:p>
    <w:permEnd w:id="249"/>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lastRenderedPageBreak/>
        <w:t>&lt;ESMA_QUESTION_CP_MIFID_241&gt;</w:t>
      </w:r>
    </w:p>
    <w:p w:rsidR="00DF38AC" w:rsidRDefault="00DF38AC" w:rsidP="00DF38AC">
      <w:pPr>
        <w:keepNext/>
      </w:pPr>
      <w:permStart w:id="250" w:edGrp="everyone"/>
    </w:p>
    <w:p w:rsidR="00DF38AC" w:rsidRDefault="00DF38AC" w:rsidP="00DF38AC">
      <w:pPr>
        <w:keepNext/>
      </w:pPr>
      <w:r>
        <w:t xml:space="preserve">DACSI disagrees with the proposal. In our view, the clearing member </w:t>
      </w:r>
      <w:r w:rsidRPr="002025ED">
        <w:rPr>
          <w:b/>
        </w:rPr>
        <w:t>cannot ‘ensure’</w:t>
      </w:r>
      <w:r>
        <w:t xml:space="preserve"> that its client sends the relevant information within the timeframe of the proposed article 5 (1). The clearing member is </w:t>
      </w:r>
      <w:r w:rsidRPr="002025ED">
        <w:rPr>
          <w:b/>
        </w:rPr>
        <w:t>not aware</w:t>
      </w:r>
      <w:r>
        <w:t xml:space="preserve"> that a bilateral transaction is entered into by its client. Because it cannot control this process, it should not be an obligation on the clearing member to ensure that other parties have to take action. Also, if another clearing member is involved in this bilateral transaction the CCP should match this trade before the clearing members could receive the information of the CCP. </w:t>
      </w:r>
    </w:p>
    <w:p w:rsidR="00DF38AC" w:rsidRDefault="00DF38AC" w:rsidP="00DF38AC">
      <w:pPr>
        <w:keepNext/>
        <w:tabs>
          <w:tab w:val="left" w:pos="2411"/>
        </w:tabs>
      </w:pPr>
      <w:r>
        <w:tab/>
      </w:r>
    </w:p>
    <w:p w:rsidR="00DF38AC" w:rsidRDefault="00DF38AC" w:rsidP="00DF38AC">
      <w:pPr>
        <w:keepNext/>
      </w:pPr>
      <w:r>
        <w:t xml:space="preserve">With respect to the proposed article 5 (2): at the time that the clearing member receives the back-to-back trade from the CCP, the clearing member(s) currently needs to be accept this trade </w:t>
      </w:r>
      <w:r w:rsidRPr="002025ED">
        <w:rPr>
          <w:b/>
        </w:rPr>
        <w:t>manually</w:t>
      </w:r>
      <w:r>
        <w:t>. Therefore, at the moment the 60 seconds are not possible.</w:t>
      </w:r>
    </w:p>
    <w:p w:rsidR="00DF38AC" w:rsidRPr="002025ED" w:rsidRDefault="00DF38AC" w:rsidP="00DF38AC">
      <w:pPr>
        <w:keepNext/>
      </w:pPr>
    </w:p>
    <w:permEnd w:id="250"/>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DF38AC" w:rsidRDefault="00DF38AC" w:rsidP="00DF38AC">
      <w:pPr>
        <w:keepNext/>
      </w:pPr>
      <w:permStart w:id="251" w:edGrp="everyone"/>
    </w:p>
    <w:p w:rsidR="00DF38AC" w:rsidRDefault="00DF38AC" w:rsidP="00DF38AC">
      <w:pPr>
        <w:keepNext/>
      </w:pPr>
      <w:r>
        <w:t>DACSI is in favour of a standardised and harmonised global timeframe;</w:t>
      </w:r>
      <w:r w:rsidRPr="008F02E6">
        <w:t xml:space="preserve"> if systems are further developed - it should be done quicker</w:t>
      </w:r>
      <w:r>
        <w:t xml:space="preserve"> than the proposed 10 seconds.</w:t>
      </w:r>
    </w:p>
    <w:p w:rsidR="00DF38AC" w:rsidRDefault="00DF38AC" w:rsidP="00DF38AC">
      <w:pPr>
        <w:keepNext/>
      </w:pPr>
    </w:p>
    <w:permEnd w:id="251"/>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DF38AC" w:rsidRDefault="00DF38AC" w:rsidP="00DF38AC">
      <w:pPr>
        <w:keepNext/>
      </w:pPr>
      <w:permStart w:id="252" w:edGrp="everyone"/>
    </w:p>
    <w:p w:rsidR="00DF38AC" w:rsidRDefault="00DF38AC" w:rsidP="00DF38AC">
      <w:pPr>
        <w:keepNext/>
      </w:pPr>
      <w:r>
        <w:t xml:space="preserve">DACSI recommends that </w:t>
      </w:r>
      <w:r w:rsidRPr="00590E7F">
        <w:rPr>
          <w:b/>
        </w:rPr>
        <w:t>only for a technical reason</w:t>
      </w:r>
      <w:r>
        <w:t xml:space="preserve"> (or on the initiative of the CA) an executed derivatives trade on a trading venue with a mandatory clearing obligation could be </w:t>
      </w:r>
      <w:r w:rsidRPr="00590E7F">
        <w:rPr>
          <w:b/>
        </w:rPr>
        <w:t>rejected</w:t>
      </w:r>
      <w:r>
        <w:t xml:space="preserve">. </w:t>
      </w:r>
      <w:r>
        <w:br/>
        <w:t>It could also be the case that trading continues and that a chain of executed derivatives trades in the same derivatives class should be rejected; this will be a very complex process.</w:t>
      </w:r>
    </w:p>
    <w:p w:rsidR="00DF38AC" w:rsidRDefault="00DF38AC" w:rsidP="00DF38AC">
      <w:pPr>
        <w:keepNext/>
      </w:pPr>
      <w:r>
        <w:t>It is our opinion that ESMA should give additional guidance what to do in these cases.</w:t>
      </w:r>
    </w:p>
    <w:p w:rsidR="00DF38AC" w:rsidRDefault="00DF38AC" w:rsidP="00DF38AC">
      <w:pPr>
        <w:keepNext/>
      </w:pPr>
    </w:p>
    <w:p w:rsidR="00DF38AC" w:rsidRDefault="00DF38AC" w:rsidP="00DF38AC">
      <w:pPr>
        <w:keepNext/>
      </w:pPr>
      <w:r>
        <w:t xml:space="preserve">For </w:t>
      </w:r>
      <w:r w:rsidRPr="00590E7F">
        <w:rPr>
          <w:b/>
        </w:rPr>
        <w:t>bilateral</w:t>
      </w:r>
      <w:r>
        <w:t xml:space="preserve"> derivatives transactions the </w:t>
      </w:r>
      <w:r w:rsidRPr="00590E7F">
        <w:rPr>
          <w:b/>
        </w:rPr>
        <w:t>clearing member</w:t>
      </w:r>
      <w:r>
        <w:t xml:space="preserve"> is </w:t>
      </w:r>
      <w:r w:rsidRPr="00590E7F">
        <w:rPr>
          <w:b/>
        </w:rPr>
        <w:t>not aware</w:t>
      </w:r>
      <w:r>
        <w:t xml:space="preserve"> if a bilateral trade is rejected by the CCP as it is not involved in the process as set out in our answer to Q 241. If the CCP rejects a bilateral trade assuming that the clearing member is not informed, the CCP only informs the clients. It is the liability of the clients how to conclude the transaction i.e. to cancel the trade.  </w:t>
      </w:r>
    </w:p>
    <w:p w:rsidR="00DF38AC" w:rsidRDefault="00DF38AC" w:rsidP="00DF38AC">
      <w:pPr>
        <w:keepNext/>
      </w:pPr>
    </w:p>
    <w:p w:rsidR="00DF38AC" w:rsidRDefault="00DF38AC" w:rsidP="00DF38AC">
      <w:pPr>
        <w:keepNext/>
      </w:pPr>
      <w:r>
        <w:t xml:space="preserve">Why is the proposed article 7 restricted to trade rejections by the CCP? What </w:t>
      </w:r>
      <w:r w:rsidRPr="00590E7F">
        <w:rPr>
          <w:b/>
        </w:rPr>
        <w:t>if the clearing member rejects</w:t>
      </w:r>
      <w:r>
        <w:t xml:space="preserve"> the trade after receiving the information from the CCP?</w:t>
      </w:r>
    </w:p>
    <w:p w:rsidR="00DF38AC" w:rsidRDefault="00DF38AC" w:rsidP="00DF38AC">
      <w:pPr>
        <w:keepNext/>
      </w:pPr>
    </w:p>
    <w:p w:rsidR="00DF38AC" w:rsidRDefault="00DF38AC" w:rsidP="00DF38AC">
      <w:pPr>
        <w:keepNext/>
      </w:pPr>
      <w:r>
        <w:t xml:space="preserve">In relation to the proposed article 7 (4), does this mean that </w:t>
      </w:r>
      <w:r w:rsidRPr="00590E7F">
        <w:rPr>
          <w:b/>
        </w:rPr>
        <w:t>re-submission</w:t>
      </w:r>
      <w:r>
        <w:t xml:space="preserve"> should only be possible if there are technical problems? Currently, the bilateral trades often need to be accepted by the clearing members manually. If at the end of the day the clearing member has not accepted the bilateral back-to-back trade (for whatever reason), the bilateral trade is </w:t>
      </w:r>
      <w:r>
        <w:lastRenderedPageBreak/>
        <w:t>rejected by the CCP. However, in such a case re-submission is possible the next day. DACSI would like to see more guidance from ESMA how to deal in such a situation.</w:t>
      </w:r>
    </w:p>
    <w:p w:rsidR="00DF38AC" w:rsidRDefault="00DF38AC" w:rsidP="00DF38AC">
      <w:pPr>
        <w:keepNext/>
      </w:pPr>
    </w:p>
    <w:permEnd w:id="252"/>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DF38AC" w:rsidRDefault="00DF38AC" w:rsidP="00DF38AC">
      <w:pPr>
        <w:keepNext/>
      </w:pPr>
      <w:permStart w:id="253" w:edGrp="everyone"/>
    </w:p>
    <w:p w:rsidR="00DF38AC" w:rsidRDefault="00DF38AC" w:rsidP="00DF38AC">
      <w:pPr>
        <w:keepNext/>
      </w:pPr>
      <w:r>
        <w:t xml:space="preserve">DACSI in unsure whether the draft RTS addresses the relevant stakeholders. </w:t>
      </w:r>
    </w:p>
    <w:p w:rsidR="00DF38AC" w:rsidRDefault="00DF38AC" w:rsidP="00DF38AC">
      <w:pPr>
        <w:keepNext/>
      </w:pPr>
      <w:r>
        <w:t xml:space="preserve">We believe that the proposed solution provides a clear overview in the administration of the CCP and clearing member. This will assist an insolvency administrator. </w:t>
      </w:r>
    </w:p>
    <w:p w:rsidR="00DF38AC" w:rsidRDefault="00DF38AC" w:rsidP="00DF38AC">
      <w:pPr>
        <w:keepNext/>
      </w:pPr>
      <w:r>
        <w:t>However, we do not think this will constitute legal segregation. Based on our experience with the segregation rules under EMIR, we know that insolvency laws do not facilitate legal segregation as anticipated under EMIR in all jurisdictions. We are unsure whether a court/insolvency administrator would respect the rules in this proposed RTS, based on the fact that a recital in a regulation states that this regulation prevails over conflicting national insolvency laws.</w:t>
      </w:r>
    </w:p>
    <w:p w:rsidR="00DF38AC" w:rsidRDefault="00DF38AC" w:rsidP="00DF38AC">
      <w:pPr>
        <w:keepNext/>
      </w:pPr>
    </w:p>
    <w:p w:rsidR="00DF38AC" w:rsidRDefault="00DF38AC" w:rsidP="00DF38AC">
      <w:pPr>
        <w:keepNext/>
      </w:pPr>
      <w:r>
        <w:t xml:space="preserve">There are </w:t>
      </w:r>
      <w:r w:rsidRPr="00FC5F7C">
        <w:rPr>
          <w:b/>
        </w:rPr>
        <w:t>two possible models</w:t>
      </w:r>
      <w:r>
        <w:t xml:space="preserve"> through which indirect clearing may work in practice.</w:t>
      </w:r>
    </w:p>
    <w:p w:rsidR="00DF38AC" w:rsidRDefault="00DF38AC" w:rsidP="00DF38AC">
      <w:pPr>
        <w:keepNext/>
      </w:pPr>
    </w:p>
    <w:p w:rsidR="00DF38AC" w:rsidRDefault="00DF38AC" w:rsidP="00DF38AC">
      <w:pPr>
        <w:keepNext/>
      </w:pPr>
      <w:r>
        <w:t xml:space="preserve">The </w:t>
      </w:r>
      <w:r w:rsidRPr="00FC5F7C">
        <w:rPr>
          <w:b/>
        </w:rPr>
        <w:t>principal-to-principal</w:t>
      </w:r>
      <w:r>
        <w:t xml:space="preserve"> model, whereby:</w:t>
      </w:r>
    </w:p>
    <w:p w:rsidR="00DF38AC" w:rsidRPr="00FC5F7C" w:rsidRDefault="00DF38AC" w:rsidP="00DF38AC">
      <w:pPr>
        <w:pStyle w:val="ListParagraph"/>
        <w:keepNext/>
        <w:numPr>
          <w:ilvl w:val="0"/>
          <w:numId w:val="32"/>
        </w:numPr>
        <w:spacing w:line="240" w:lineRule="exact"/>
        <w:contextualSpacing/>
        <w:jc w:val="left"/>
        <w:rPr>
          <w:sz w:val="21"/>
          <w:szCs w:val="21"/>
        </w:rPr>
      </w:pPr>
      <w:r w:rsidRPr="00FC5F7C">
        <w:rPr>
          <w:sz w:val="21"/>
          <w:szCs w:val="21"/>
        </w:rPr>
        <w:t>the indirect client enters into a derivative contract with the direct client; and</w:t>
      </w:r>
    </w:p>
    <w:p w:rsidR="00DF38AC" w:rsidRPr="00FC5F7C" w:rsidRDefault="00DF38AC" w:rsidP="00DF38AC">
      <w:pPr>
        <w:pStyle w:val="ListParagraph"/>
        <w:keepNext/>
        <w:numPr>
          <w:ilvl w:val="0"/>
          <w:numId w:val="32"/>
        </w:numPr>
        <w:spacing w:line="240" w:lineRule="exact"/>
        <w:contextualSpacing/>
        <w:jc w:val="left"/>
        <w:rPr>
          <w:sz w:val="21"/>
          <w:szCs w:val="21"/>
        </w:rPr>
      </w:pPr>
      <w:proofErr w:type="gramStart"/>
      <w:r w:rsidRPr="00FC5F7C">
        <w:rPr>
          <w:sz w:val="21"/>
          <w:szCs w:val="21"/>
        </w:rPr>
        <w:t>the</w:t>
      </w:r>
      <w:proofErr w:type="gramEnd"/>
      <w:r w:rsidRPr="00FC5F7C">
        <w:rPr>
          <w:sz w:val="21"/>
          <w:szCs w:val="21"/>
        </w:rPr>
        <w:t xml:space="preserve"> direct client (in its own name, rather than as agent of the indirect client) enters into an equivalent back to back contract with</w:t>
      </w:r>
      <w:r>
        <w:rPr>
          <w:sz w:val="21"/>
          <w:szCs w:val="21"/>
        </w:rPr>
        <w:t xml:space="preserve"> the clearing member.</w:t>
      </w:r>
    </w:p>
    <w:p w:rsidR="00DF38AC" w:rsidRDefault="00DF38AC" w:rsidP="00DF38AC">
      <w:pPr>
        <w:keepNext/>
      </w:pPr>
    </w:p>
    <w:p w:rsidR="00DF38AC" w:rsidRDefault="00DF38AC" w:rsidP="00DF38AC">
      <w:pPr>
        <w:keepNext/>
      </w:pPr>
      <w:r>
        <w:t xml:space="preserve">The </w:t>
      </w:r>
      <w:r w:rsidRPr="00FC5F7C">
        <w:rPr>
          <w:b/>
        </w:rPr>
        <w:t>guaranteed agency</w:t>
      </w:r>
      <w:r>
        <w:t xml:space="preserve"> model, whereby:</w:t>
      </w:r>
    </w:p>
    <w:p w:rsidR="00DF38AC" w:rsidRPr="00FC5F7C" w:rsidRDefault="00DF38AC" w:rsidP="00DF38AC">
      <w:pPr>
        <w:pStyle w:val="ListParagraph"/>
        <w:keepNext/>
        <w:numPr>
          <w:ilvl w:val="0"/>
          <w:numId w:val="33"/>
        </w:numPr>
        <w:spacing w:line="240" w:lineRule="exact"/>
        <w:contextualSpacing/>
        <w:jc w:val="left"/>
        <w:rPr>
          <w:sz w:val="21"/>
          <w:szCs w:val="21"/>
        </w:rPr>
      </w:pPr>
      <w:r w:rsidRPr="00FC5F7C">
        <w:rPr>
          <w:sz w:val="21"/>
          <w:szCs w:val="21"/>
        </w:rPr>
        <w:t>the direct client (as agent of the indirect client) enters into a derivative contract with the clearing member; and</w:t>
      </w:r>
    </w:p>
    <w:p w:rsidR="00DF38AC" w:rsidRPr="00FC5F7C" w:rsidRDefault="00DF38AC" w:rsidP="00DF38AC">
      <w:pPr>
        <w:pStyle w:val="ListParagraph"/>
        <w:keepNext/>
        <w:numPr>
          <w:ilvl w:val="0"/>
          <w:numId w:val="33"/>
        </w:numPr>
        <w:spacing w:line="240" w:lineRule="exact"/>
        <w:contextualSpacing/>
        <w:jc w:val="left"/>
        <w:rPr>
          <w:sz w:val="21"/>
          <w:szCs w:val="21"/>
        </w:rPr>
      </w:pPr>
      <w:proofErr w:type="gramStart"/>
      <w:r w:rsidRPr="00FC5F7C">
        <w:rPr>
          <w:sz w:val="21"/>
          <w:szCs w:val="21"/>
        </w:rPr>
        <w:t>the</w:t>
      </w:r>
      <w:proofErr w:type="gramEnd"/>
      <w:r w:rsidRPr="00FC5F7C">
        <w:rPr>
          <w:sz w:val="21"/>
          <w:szCs w:val="21"/>
        </w:rPr>
        <w:t xml:space="preserve"> direct client guarantees the performance of the indirect client to the clearing member.</w:t>
      </w:r>
    </w:p>
    <w:p w:rsidR="00DF38AC" w:rsidRDefault="00DF38AC" w:rsidP="00DF38AC">
      <w:pPr>
        <w:keepNext/>
      </w:pPr>
    </w:p>
    <w:p w:rsidR="00DF38AC" w:rsidRDefault="00DF38AC" w:rsidP="00DF38AC">
      <w:pPr>
        <w:keepNext/>
      </w:pPr>
      <w:r>
        <w:t>An important difference between the two models is that the direct client enters into two contracts in the principal-to-principal model—one facing the clearing member and one facing the indirect client—and only one under the guaranteed agency model.</w:t>
      </w:r>
    </w:p>
    <w:p w:rsidR="00DF38AC" w:rsidRDefault="00DF38AC" w:rsidP="00DF38AC">
      <w:pPr>
        <w:keepNext/>
      </w:pPr>
    </w:p>
    <w:p w:rsidR="00DF38AC" w:rsidRDefault="00DF38AC" w:rsidP="00DF38AC">
      <w:pPr>
        <w:keepNext/>
      </w:pPr>
      <w:r>
        <w:t xml:space="preserve">Based on the models </w:t>
      </w:r>
      <w:r w:rsidRPr="00C06023">
        <w:t>it is unclear whether the CCPs will be required to facilitate the opening of individually segregated accounts (ISAs) for indirect clients</w:t>
      </w:r>
      <w:r>
        <w:t>, if not, the indirect clients will not protect as obliged under the EMIR requirements. In article 3 is stated that the CCPs are not obliged to open accounts on indirect client level, but only on direct client level. This would imply that the indirect client is not protected on the CCP segregation and portability requirements of the CCP.</w:t>
      </w:r>
    </w:p>
    <w:p w:rsidR="00DF38AC" w:rsidRDefault="00DF38AC" w:rsidP="00DF38AC">
      <w:pPr>
        <w:keepNext/>
      </w:pPr>
    </w:p>
    <w:p w:rsidR="00DF38AC" w:rsidRDefault="00DF38AC" w:rsidP="00DF38AC">
      <w:pPr>
        <w:keepNext/>
      </w:pPr>
      <w:r>
        <w:t>In</w:t>
      </w:r>
      <w:r w:rsidRPr="00590E7F">
        <w:t xml:space="preserve"> addition</w:t>
      </w:r>
      <w:r>
        <w:t>,</w:t>
      </w:r>
      <w:r w:rsidRPr="00590E7F">
        <w:t xml:space="preserve"> DACSI is in favour </w:t>
      </w:r>
      <w:r>
        <w:t>of</w:t>
      </w:r>
      <w:r w:rsidRPr="00590E7F">
        <w:t xml:space="preserve"> carv</w:t>
      </w:r>
      <w:r>
        <w:t>ing</w:t>
      </w:r>
      <w:r w:rsidRPr="00590E7F">
        <w:t xml:space="preserve"> out third country clients for indirect clearing due to legal and solvency constraints.</w:t>
      </w:r>
    </w:p>
    <w:p w:rsidR="00DF38AC" w:rsidRDefault="00DF38AC" w:rsidP="00DF38AC">
      <w:pPr>
        <w:keepNext/>
      </w:pPr>
    </w:p>
    <w:p w:rsidR="00DF38AC" w:rsidRPr="00FC5F7C" w:rsidRDefault="00DF38AC" w:rsidP="00DF38AC"/>
    <w:permEnd w:id="253"/>
    <w:p w:rsidR="00577C33" w:rsidRDefault="00577C33" w:rsidP="00EC2C93">
      <w:pPr>
        <w:keepNext/>
      </w:pPr>
      <w:r>
        <w:lastRenderedPageBreak/>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t>&lt;ESMA_QUESTION_CP_MIFID_245&gt;</w:t>
      </w:r>
    </w:p>
    <w:p w:rsidR="00DF38AC" w:rsidRDefault="00DF38AC" w:rsidP="00DF38AC">
      <w:permStart w:id="254" w:edGrp="everyone"/>
    </w:p>
    <w:p w:rsidR="00DF38AC" w:rsidRDefault="00DF38AC" w:rsidP="00DF38AC">
      <w:r w:rsidRPr="008F02E6">
        <w:t>D</w:t>
      </w:r>
      <w:r>
        <w:t xml:space="preserve">ACSI </w:t>
      </w:r>
      <w:r w:rsidRPr="008F02E6">
        <w:t>belie</w:t>
      </w:r>
      <w:r>
        <w:t>ves</w:t>
      </w:r>
      <w:r w:rsidRPr="008F02E6">
        <w:t xml:space="preserve"> that a gross omnibus account segregation, according to which the clearing member is required to record the collateral value of the assets, rather than the assets held for the benefit of indirect clients, achieves</w:t>
      </w:r>
      <w:r>
        <w:t xml:space="preserve"> - </w:t>
      </w:r>
      <w:r w:rsidRPr="008F02E6">
        <w:t xml:space="preserve">together with other requirements included in the draft RTS </w:t>
      </w:r>
      <w:r>
        <w:t xml:space="preserve">- </w:t>
      </w:r>
      <w:r w:rsidRPr="008F02E6">
        <w:t>a protection to the indirect clients of equivalent effect as the one envisaged for clients under EMIR</w:t>
      </w:r>
      <w:r>
        <w:t>.</w:t>
      </w:r>
    </w:p>
    <w:p w:rsidR="00DF38AC" w:rsidRPr="004627E5" w:rsidRDefault="00DF38AC" w:rsidP="00DF38AC">
      <w:pPr>
        <w:rPr>
          <w:szCs w:val="21"/>
        </w:rPr>
      </w:pPr>
    </w:p>
    <w:permEnd w:id="254"/>
    <w:p w:rsidR="00577C33" w:rsidRDefault="00577C33" w:rsidP="00EC2C93">
      <w:pPr>
        <w:keepNext/>
      </w:pPr>
      <w:r>
        <w:t>&lt;ESMA_QUESTION_CP_MIFID_245&gt;</w:t>
      </w:r>
    </w:p>
    <w:p w:rsidR="00577C33" w:rsidRDefault="00577C33" w:rsidP="00EC2C93">
      <w:pPr>
        <w:keepNext/>
      </w:pPr>
    </w:p>
    <w:sectPr w:rsidR="00577C33" w:rsidSect="00192A12">
      <w:headerReference w:type="default" r:id="rId10"/>
      <w:footerReference w:type="default" r:id="rId11"/>
      <w:pgSz w:w="11906" w:h="16838"/>
      <w:pgMar w:top="1702"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323" w:rsidRDefault="00B53323" w:rsidP="007E7997">
      <w:pPr>
        <w:spacing w:line="240" w:lineRule="auto"/>
      </w:pPr>
      <w:r>
        <w:separator/>
      </w:r>
    </w:p>
  </w:endnote>
  <w:endnote w:type="continuationSeparator" w:id="0">
    <w:p w:rsidR="00B53323" w:rsidRDefault="00B53323" w:rsidP="007E799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6C" w:rsidRDefault="0055006C">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1814451"/>
      <w:docPartObj>
        <w:docPartGallery w:val="Page Numbers (Bottom of Page)"/>
        <w:docPartUnique/>
      </w:docPartObj>
    </w:sdtPr>
    <w:sdtEndPr>
      <w:rPr>
        <w:noProof/>
      </w:rPr>
    </w:sdtEndPr>
    <w:sdtContent>
      <w:p w:rsidR="0055006C" w:rsidRDefault="0055006C" w:rsidP="00375BA2">
        <w:pPr>
          <w:pStyle w:val="Footer"/>
          <w:jc w:val="right"/>
        </w:pPr>
        <w:fldSimple w:instr=" PAGE   \* MERGEFORMAT ">
          <w:r w:rsidR="00034B6C">
            <w:rPr>
              <w:noProof/>
            </w:rPr>
            <w:t>43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323" w:rsidRDefault="00B53323" w:rsidP="007E7997">
      <w:pPr>
        <w:spacing w:line="240" w:lineRule="auto"/>
      </w:pPr>
      <w:r>
        <w:separator/>
      </w:r>
    </w:p>
  </w:footnote>
  <w:footnote w:type="continuationSeparator" w:id="0">
    <w:p w:rsidR="00B53323" w:rsidRDefault="00B53323" w:rsidP="007E7997">
      <w:pPr>
        <w:spacing w:line="240" w:lineRule="auto"/>
      </w:pPr>
      <w:r>
        <w:continuationSeparator/>
      </w:r>
    </w:p>
  </w:footnote>
  <w:footnote w:id="1">
    <w:p w:rsidR="0055006C" w:rsidRPr="00AA7A30" w:rsidRDefault="0055006C"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6C" w:rsidRDefault="0055006C">
    <w:pPr>
      <w:pStyle w:val="Header"/>
    </w:pPr>
    <w:r>
      <w:rPr>
        <w:noProof/>
        <w:lang w:val="nl-NL" w:eastAsia="nl-NL"/>
      </w:rPr>
      <w:drawing>
        <wp:anchor distT="0" distB="0" distL="114300" distR="114300" simplePos="0" relativeHeight="251661312" behindDoc="0" locked="0" layoutInCell="1" allowOverlap="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904875"/>
                  </a:xfrm>
                  <a:prstGeom prst="rect">
                    <a:avLst/>
                  </a:prstGeom>
                  <a:noFill/>
                </pic:spPr>
              </pic:pic>
            </a:graphicData>
          </a:graphic>
        </wp:anchor>
      </w:drawing>
    </w:r>
    <w:r>
      <w:rPr>
        <w:noProof/>
        <w:lang w:val="nl-NL" w:eastAsia="nl-NL"/>
      </w:rPr>
      <w:drawing>
        <wp:anchor distT="0" distB="0" distL="114300" distR="114300" simplePos="0" relativeHeight="251659264" behindDoc="1" locked="0" layoutInCell="1" allowOverlap="1">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0310" cy="680085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6C" w:rsidRDefault="0055006C" w:rsidP="00B50534">
    <w:pPr>
      <w:pStyle w:val="Header"/>
      <w:jc w:val="right"/>
      <w:rPr>
        <w:b/>
        <w:color w:val="FF0000"/>
      </w:rPr>
    </w:pPr>
  </w:p>
  <w:p w:rsidR="0055006C" w:rsidRDefault="0055006C" w:rsidP="00B50534">
    <w:pPr>
      <w:pStyle w:val="Header"/>
      <w:jc w:val="right"/>
      <w:rPr>
        <w:b/>
        <w:color w:val="FF0000"/>
      </w:rPr>
    </w:pPr>
    <w:r w:rsidRPr="00316D49">
      <w:rPr>
        <w:rFonts w:ascii="Arial" w:hAnsi="Arial" w:cs="Arial"/>
        <w:noProof/>
        <w:lang w:eastAsia="en-GB"/>
      </w:rPr>
      <w:pict>
        <v:line id="Line 16" o:spid="_x0000_s4097" style="position:absolute;left:0;text-align:left;z-index:251672576;visibility:visible;mso-position-horizontal-relative:page;mso-position-vertical-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w:r>
  </w:p>
  <w:p w:rsidR="0055006C" w:rsidRPr="00B50534" w:rsidRDefault="0055006C" w:rsidP="00B50534">
    <w:pPr>
      <w:pStyle w:val="Header"/>
      <w:jc w:val="right"/>
      <w:rPr>
        <w:b/>
        <w:color w:val="FF0000"/>
      </w:rPr>
    </w:pPr>
    <w:r w:rsidRPr="0038331A">
      <w:rPr>
        <w:b/>
        <w:noProof/>
        <w:color w:val="FF0000"/>
        <w:sz w:val="20"/>
        <w:lang w:val="nl-NL" w:eastAsia="nl-NL"/>
      </w:rPr>
      <w:drawing>
        <wp:anchor distT="0" distB="0" distL="114300" distR="114300" simplePos="0" relativeHeight="251668480" behindDoc="0" locked="0" layoutInCell="1" allowOverlap="1">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56197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361C19B9"/>
    <w:multiLevelType w:val="hybridMultilevel"/>
    <w:tmpl w:val="0D3E468C"/>
    <w:lvl w:ilvl="0" w:tplc="972E2C42">
      <w:start w:val="1"/>
      <w:numFmt w:val="bullet"/>
      <w:lvlText w:val="-"/>
      <w:lvlJc w:val="left"/>
      <w:pPr>
        <w:ind w:left="720" w:hanging="360"/>
      </w:pPr>
      <w:rPr>
        <w:rFonts w:ascii="Calibri" w:eastAsia="Calibri" w:hAnsi="Calibri"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5F7B3C85"/>
    <w:multiLevelType w:val="hybridMultilevel"/>
    <w:tmpl w:val="D57E02FA"/>
    <w:lvl w:ilvl="0" w:tplc="972E2C42">
      <w:start w:val="1"/>
      <w:numFmt w:val="bullet"/>
      <w:lvlText w:val="-"/>
      <w:lvlJc w:val="left"/>
      <w:pPr>
        <w:ind w:left="720" w:hanging="360"/>
      </w:pPr>
      <w:rPr>
        <w:rFonts w:ascii="Calibri" w:eastAsia="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FA5A6D"/>
    <w:multiLevelType w:val="hybridMultilevel"/>
    <w:tmpl w:val="8C784834"/>
    <w:lvl w:ilvl="0" w:tplc="79F04D7A">
      <w:start w:val="1"/>
      <w:numFmt w:val="decimal"/>
      <w:pStyle w:val="ListParagraph"/>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nsid w:val="66CF5647"/>
    <w:multiLevelType w:val="hybridMultilevel"/>
    <w:tmpl w:val="5F245278"/>
    <w:lvl w:ilvl="0" w:tplc="972E2C42">
      <w:start w:val="1"/>
      <w:numFmt w:val="bullet"/>
      <w:lvlText w:val="-"/>
      <w:lvlJc w:val="left"/>
      <w:pPr>
        <w:ind w:left="720" w:hanging="360"/>
      </w:pPr>
      <w:rPr>
        <w:rFonts w:ascii="Calibri" w:eastAsia="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21">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266054F"/>
    <w:multiLevelType w:val="hybridMultilevel"/>
    <w:tmpl w:val="B39608F4"/>
    <w:lvl w:ilvl="0" w:tplc="972E2C42">
      <w:start w:val="1"/>
      <w:numFmt w:val="bullet"/>
      <w:lvlText w:val="-"/>
      <w:lvlJc w:val="left"/>
      <w:pPr>
        <w:ind w:left="720" w:hanging="360"/>
      </w:pPr>
      <w:rPr>
        <w:rFonts w:ascii="Calibri" w:eastAsia="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18"/>
  </w:num>
  <w:num w:numId="4">
    <w:abstractNumId w:val="6"/>
  </w:num>
  <w:num w:numId="5">
    <w:abstractNumId w:val="15"/>
  </w:num>
  <w:num w:numId="6">
    <w:abstractNumId w:val="10"/>
  </w:num>
  <w:num w:numId="7">
    <w:abstractNumId w:val="0"/>
  </w:num>
  <w:num w:numId="8">
    <w:abstractNumId w:val="7"/>
  </w:num>
  <w:num w:numId="9">
    <w:abstractNumId w:val="4"/>
  </w:num>
  <w:num w:numId="10">
    <w:abstractNumId w:val="2"/>
  </w:num>
  <w:num w:numId="11">
    <w:abstractNumId w:val="17"/>
  </w:num>
  <w:num w:numId="12">
    <w:abstractNumId w:val="8"/>
  </w:num>
  <w:num w:numId="13">
    <w:abstractNumId w:val="19"/>
  </w:num>
  <w:num w:numId="14">
    <w:abstractNumId w:val="11"/>
  </w:num>
  <w:num w:numId="15">
    <w:abstractNumId w:val="13"/>
  </w:num>
  <w:num w:numId="16">
    <w:abstractNumId w:val="1"/>
  </w:num>
  <w:num w:numId="17">
    <w:abstractNumId w:val="22"/>
  </w:num>
  <w:num w:numId="18">
    <w:abstractNumId w:val="3"/>
  </w:num>
  <w:num w:numId="19">
    <w:abstractNumId w:val="20"/>
  </w:num>
  <w:num w:numId="2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num>
  <w:num w:numId="23">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4"/>
  </w:num>
  <w:num w:numId="32">
    <w:abstractNumId w:val="23"/>
  </w:num>
  <w:num w:numId="33">
    <w:abstractNumId w:val="1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C212A5"/>
    <w:rsid w:val="00012D68"/>
    <w:rsid w:val="00020300"/>
    <w:rsid w:val="00034B6C"/>
    <w:rsid w:val="000372BF"/>
    <w:rsid w:val="00044C5A"/>
    <w:rsid w:val="0005509E"/>
    <w:rsid w:val="000632C2"/>
    <w:rsid w:val="0006528D"/>
    <w:rsid w:val="000932BC"/>
    <w:rsid w:val="000A3D10"/>
    <w:rsid w:val="000B5D3D"/>
    <w:rsid w:val="000C0CE0"/>
    <w:rsid w:val="000D1038"/>
    <w:rsid w:val="00101D5B"/>
    <w:rsid w:val="00130EF9"/>
    <w:rsid w:val="001319C7"/>
    <w:rsid w:val="00136584"/>
    <w:rsid w:val="00144AAD"/>
    <w:rsid w:val="0017613C"/>
    <w:rsid w:val="00192A12"/>
    <w:rsid w:val="001B2151"/>
    <w:rsid w:val="001B3CFF"/>
    <w:rsid w:val="001B4996"/>
    <w:rsid w:val="001D1EDB"/>
    <w:rsid w:val="001D47A5"/>
    <w:rsid w:val="001F3D9D"/>
    <w:rsid w:val="002574D1"/>
    <w:rsid w:val="00287C8F"/>
    <w:rsid w:val="00296EA1"/>
    <w:rsid w:val="002E1C11"/>
    <w:rsid w:val="00314117"/>
    <w:rsid w:val="00316D49"/>
    <w:rsid w:val="00317EDF"/>
    <w:rsid w:val="003279E7"/>
    <w:rsid w:val="0033324D"/>
    <w:rsid w:val="003454ED"/>
    <w:rsid w:val="00366D42"/>
    <w:rsid w:val="00375BA2"/>
    <w:rsid w:val="0038331A"/>
    <w:rsid w:val="003C4EB5"/>
    <w:rsid w:val="003F39B1"/>
    <w:rsid w:val="00435FE9"/>
    <w:rsid w:val="00445696"/>
    <w:rsid w:val="00455213"/>
    <w:rsid w:val="00484BC5"/>
    <w:rsid w:val="00486D05"/>
    <w:rsid w:val="00487944"/>
    <w:rsid w:val="00526E5D"/>
    <w:rsid w:val="0055006C"/>
    <w:rsid w:val="00565193"/>
    <w:rsid w:val="0057799E"/>
    <w:rsid w:val="00577C33"/>
    <w:rsid w:val="0059703C"/>
    <w:rsid w:val="005B6B12"/>
    <w:rsid w:val="005D2DE7"/>
    <w:rsid w:val="005E7969"/>
    <w:rsid w:val="0063565E"/>
    <w:rsid w:val="00636E02"/>
    <w:rsid w:val="00642297"/>
    <w:rsid w:val="00644A34"/>
    <w:rsid w:val="00662882"/>
    <w:rsid w:val="00665A7C"/>
    <w:rsid w:val="00671363"/>
    <w:rsid w:val="006A7A10"/>
    <w:rsid w:val="006B0DA4"/>
    <w:rsid w:val="006B1B6B"/>
    <w:rsid w:val="006D48A6"/>
    <w:rsid w:val="006F53E8"/>
    <w:rsid w:val="00706072"/>
    <w:rsid w:val="00754B57"/>
    <w:rsid w:val="00797E0C"/>
    <w:rsid w:val="007E7997"/>
    <w:rsid w:val="00830D00"/>
    <w:rsid w:val="00846692"/>
    <w:rsid w:val="00867DB2"/>
    <w:rsid w:val="0089075A"/>
    <w:rsid w:val="008C767A"/>
    <w:rsid w:val="008D5C28"/>
    <w:rsid w:val="009243C8"/>
    <w:rsid w:val="00940EFD"/>
    <w:rsid w:val="009663D9"/>
    <w:rsid w:val="0099526D"/>
    <w:rsid w:val="009C7694"/>
    <w:rsid w:val="009D7294"/>
    <w:rsid w:val="009E5107"/>
    <w:rsid w:val="00A026A4"/>
    <w:rsid w:val="00A410CC"/>
    <w:rsid w:val="00A42B43"/>
    <w:rsid w:val="00A501F5"/>
    <w:rsid w:val="00A53AF0"/>
    <w:rsid w:val="00A800EF"/>
    <w:rsid w:val="00A91D91"/>
    <w:rsid w:val="00AA054E"/>
    <w:rsid w:val="00AB7542"/>
    <w:rsid w:val="00AC79E0"/>
    <w:rsid w:val="00AE4FC7"/>
    <w:rsid w:val="00AE6C93"/>
    <w:rsid w:val="00AF3B7F"/>
    <w:rsid w:val="00B04283"/>
    <w:rsid w:val="00B06552"/>
    <w:rsid w:val="00B11730"/>
    <w:rsid w:val="00B15C0B"/>
    <w:rsid w:val="00B17AF3"/>
    <w:rsid w:val="00B27499"/>
    <w:rsid w:val="00B40D81"/>
    <w:rsid w:val="00B50534"/>
    <w:rsid w:val="00B52E10"/>
    <w:rsid w:val="00B53323"/>
    <w:rsid w:val="00B655D1"/>
    <w:rsid w:val="00B91B6E"/>
    <w:rsid w:val="00B944A7"/>
    <w:rsid w:val="00BB449C"/>
    <w:rsid w:val="00BC2561"/>
    <w:rsid w:val="00BC422A"/>
    <w:rsid w:val="00BE225E"/>
    <w:rsid w:val="00BF25CD"/>
    <w:rsid w:val="00C0358F"/>
    <w:rsid w:val="00C035F1"/>
    <w:rsid w:val="00C0696A"/>
    <w:rsid w:val="00C212A5"/>
    <w:rsid w:val="00C978C6"/>
    <w:rsid w:val="00CB50EF"/>
    <w:rsid w:val="00CB791A"/>
    <w:rsid w:val="00CD47B2"/>
    <w:rsid w:val="00CE49F8"/>
    <w:rsid w:val="00D14F6A"/>
    <w:rsid w:val="00D22F2F"/>
    <w:rsid w:val="00D46275"/>
    <w:rsid w:val="00D73338"/>
    <w:rsid w:val="00D978C6"/>
    <w:rsid w:val="00DF1ED8"/>
    <w:rsid w:val="00DF3785"/>
    <w:rsid w:val="00DF38AC"/>
    <w:rsid w:val="00E00E81"/>
    <w:rsid w:val="00E24D42"/>
    <w:rsid w:val="00E3456B"/>
    <w:rsid w:val="00E640E2"/>
    <w:rsid w:val="00EA2103"/>
    <w:rsid w:val="00EC2C93"/>
    <w:rsid w:val="00EC6BD8"/>
    <w:rsid w:val="00ED74D7"/>
    <w:rsid w:val="00EF667D"/>
    <w:rsid w:val="00F226E0"/>
    <w:rsid w:val="00F401BC"/>
    <w:rsid w:val="00F53CBE"/>
    <w:rsid w:val="00F5412D"/>
    <w:rsid w:val="00F67EBD"/>
    <w:rsid w:val="00F80FAB"/>
    <w:rsid w:val="00FB24ED"/>
    <w:rsid w:val="00FE0BD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aliases w:val="Paragraphe EI,Paragraphe de liste1,EC"/>
    <w:basedOn w:val="Normal"/>
    <w:link w:val="ListParagraphChar"/>
    <w:autoRedefine/>
    <w:uiPriority w:val="99"/>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uiPriority w:val="49"/>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uiPriority w:val="49"/>
    <w:qFormat/>
    <w:rsid w:val="00940EFD"/>
    <w:pPr>
      <w:numPr>
        <w:ilvl w:val="1"/>
      </w:numPr>
      <w:outlineLvl w:val="9"/>
    </w:pPr>
    <w:rPr>
      <w:rFonts w:eastAsia="Calibri"/>
    </w:rPr>
  </w:style>
  <w:style w:type="character" w:customStyle="1" w:styleId="ListParagraphChar">
    <w:name w:val="List Paragraph Char"/>
    <w:aliases w:val="Paragraphe EI Char,Paragraphe de liste1 Char,EC Char"/>
    <w:link w:val="ListParagraph"/>
    <w:uiPriority w:val="34"/>
    <w:locked/>
    <w:rsid w:val="0055006C"/>
    <w:rPr>
      <w:sz w:val="22"/>
      <w:lang w:val="en-GB"/>
    </w:rPr>
  </w:style>
  <w:style w:type="paragraph" w:customStyle="1" w:styleId="Default">
    <w:name w:val="Default"/>
    <w:rsid w:val="0055006C"/>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webSettings.xml><?xml version="1.0" encoding="utf-8"?>
<w:webSettings xmlns:r="http://schemas.openxmlformats.org/officeDocument/2006/relationships" xmlns:w="http://schemas.openxmlformats.org/wordprocessingml/2006/main">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9A58E-9A44-4E47-8C99-326BA3C0A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Template>
  <TotalTime>4</TotalTime>
  <Pages>55</Pages>
  <Words>14797</Words>
  <Characters>81389</Characters>
  <Application>Microsoft Office Word</Application>
  <DocSecurity>8</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Henk Bruggeman</cp:lastModifiedBy>
  <cp:revision>3</cp:revision>
  <dcterms:created xsi:type="dcterms:W3CDTF">2015-03-02T14:37:00Z</dcterms:created>
  <dcterms:modified xsi:type="dcterms:W3CDTF">2015-03-02T14:39:00Z</dcterms:modified>
</cp:coreProperties>
</file>