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8F4320"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98252881" w:edGrp="everyone" w:colFirst="1" w:colLast="1"/>
            <w:r w:rsidRPr="00AB6D88">
              <w:rPr>
                <w:rFonts w:ascii="Arial" w:hAnsi="Arial" w:cs="Arial"/>
              </w:rPr>
              <w:t>Name of the company / organisation</w:t>
            </w:r>
          </w:p>
        </w:tc>
        <w:sdt>
          <w:sdtPr>
            <w:rPr>
              <w:rStyle w:val="Platzhaltertext"/>
              <w:rFonts w:ascii="Arial" w:hAnsi="Arial" w:cs="Arial"/>
              <w:lang w:val="de-DE"/>
            </w:rPr>
            <w:id w:val="-1905066999"/>
            <w:text/>
          </w:sdtPr>
          <w:sdtEndPr>
            <w:rPr>
              <w:rStyle w:val="Platzhaltertext"/>
            </w:rPr>
          </w:sdtEndPr>
          <w:sdtContent>
            <w:permStart w:id="383980391" w:edGrp="everyone" w:displacedByCustomXml="prev"/>
            <w:tc>
              <w:tcPr>
                <w:tcW w:w="5595" w:type="dxa"/>
                <w:shd w:val="clear" w:color="auto" w:fill="auto"/>
              </w:tcPr>
              <w:p w:rsidR="000632C2" w:rsidRPr="00A758B9" w:rsidRDefault="0091165B" w:rsidP="0091165B">
                <w:pPr>
                  <w:rPr>
                    <w:rStyle w:val="Platzhaltertext"/>
                    <w:rFonts w:ascii="Arial" w:hAnsi="Arial" w:cs="Arial"/>
                    <w:lang w:val="de-DE"/>
                  </w:rPr>
                </w:pPr>
                <w:r w:rsidRPr="00A758B9">
                  <w:rPr>
                    <w:rStyle w:val="Platzhaltertext"/>
                    <w:rFonts w:ascii="Arial" w:hAnsi="Arial" w:cs="Arial"/>
                    <w:lang w:val="de-DE"/>
                  </w:rPr>
                  <w:t>National Association of German Cooperative Banks</w:t>
                </w:r>
                <w:r w:rsidR="00A758B9" w:rsidRPr="00A758B9">
                  <w:rPr>
                    <w:rStyle w:val="Platzhaltertext"/>
                    <w:rFonts w:ascii="Arial" w:hAnsi="Arial" w:cs="Arial"/>
                    <w:lang w:val="de-DE"/>
                  </w:rPr>
                  <w:t xml:space="preserve"> BVR </w:t>
                </w:r>
                <w:r w:rsidR="00A758B9">
                  <w:rPr>
                    <w:rStyle w:val="Platzhaltertext"/>
                    <w:rFonts w:ascii="Arial" w:hAnsi="Arial" w:cs="Arial"/>
                    <w:lang w:val="de-DE"/>
                  </w:rPr>
                  <w:t>/</w:t>
                </w:r>
                <w:r w:rsidR="00A758B9" w:rsidRPr="00A758B9">
                  <w:rPr>
                    <w:rStyle w:val="Platzhaltertext"/>
                    <w:rFonts w:ascii="Arial" w:hAnsi="Arial" w:cs="Arial"/>
                    <w:lang w:val="de-DE"/>
                  </w:rPr>
                  <w:t>Bundesverband der Deutschen Volksbanken und Raiffeisenbanken</w:t>
                </w:r>
              </w:p>
            </w:tc>
            <w:permEnd w:id="38398039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758197918" w:edGrp="everyone" w:colFirst="1" w:colLast="1"/>
            <w:permEnd w:id="898252881"/>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14:checkbox>
              <w14:checked w14:val="0"/>
              <w14:checkedState w14:val="2612" w14:font="MS Gothic"/>
              <w14:uncheckedState w14:val="2610" w14:font="MS Gothic"/>
            </w14:checkbox>
          </w:sdtPr>
          <w:sdtEndPr>
            <w:rPr>
              <w:rStyle w:val="Platzhaltertext"/>
            </w:rPr>
          </w:sdtEndPr>
          <w:sdtContent>
            <w:tc>
              <w:tcPr>
                <w:tcW w:w="5595" w:type="dxa"/>
                <w:shd w:val="clear" w:color="auto" w:fill="auto"/>
              </w:tcPr>
              <w:p w:rsidR="000632C2" w:rsidRPr="00AB6D88" w:rsidRDefault="000932BC"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17232901" w:edGrp="everyone" w:colFirst="1" w:colLast="1"/>
            <w:permEnd w:id="758197918"/>
            <w:r w:rsidRPr="00AB6D88">
              <w:rPr>
                <w:rFonts w:ascii="Arial" w:hAnsi="Arial" w:cs="Arial"/>
              </w:rPr>
              <w:t>Activity:</w:t>
            </w:r>
          </w:p>
        </w:tc>
        <w:tc>
          <w:tcPr>
            <w:tcW w:w="5595" w:type="dxa"/>
            <w:shd w:val="clear" w:color="auto" w:fill="auto"/>
          </w:tcPr>
          <w:p w:rsidR="000632C2" w:rsidRPr="00AB6D88" w:rsidRDefault="008F4320"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942050767" w:edGrp="everyone"/>
                <w:r w:rsidR="0091165B">
                  <w:rPr>
                    <w:rFonts w:ascii="Arial" w:hAnsi="Arial" w:cs="Arial"/>
                  </w:rPr>
                  <w:t>Banking sector</w:t>
                </w:r>
                <w:permEnd w:id="1942050767"/>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74159183" w:edGrp="everyone" w:colFirst="1" w:colLast="1"/>
            <w:permEnd w:id="417232901"/>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91165B"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14157515" w:edGrp="everyone" w:colFirst="1" w:colLast="1"/>
            <w:permEnd w:id="374159183"/>
            <w:r w:rsidRPr="00AB6D88">
              <w:rPr>
                <w:rFonts w:ascii="Arial" w:hAnsi="Arial" w:cs="Arial"/>
              </w:rPr>
              <w:t>Country/Region</w:t>
            </w:r>
          </w:p>
        </w:tc>
        <w:permStart w:id="455738351"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42834120" w:edGrp="everyone" w:displacedByCustomXml="prev"/>
            <w:tc>
              <w:tcPr>
                <w:tcW w:w="5595" w:type="dxa"/>
                <w:shd w:val="clear" w:color="auto" w:fill="auto"/>
              </w:tcPr>
              <w:p w:rsidR="000632C2" w:rsidRPr="00AB6D88" w:rsidRDefault="0091165B" w:rsidP="009E5107">
                <w:pPr>
                  <w:rPr>
                    <w:rFonts w:ascii="Arial" w:hAnsi="Arial" w:cs="Arial"/>
                  </w:rPr>
                </w:pPr>
                <w:r>
                  <w:rPr>
                    <w:rFonts w:ascii="Arial" w:hAnsi="Arial" w:cs="Arial"/>
                  </w:rPr>
                  <w:t>Germany</w:t>
                </w:r>
              </w:p>
            </w:tc>
            <w:permEnd w:id="1942834120" w:displacedByCustomXml="next"/>
          </w:sdtContent>
        </w:sdt>
        <w:permEnd w:id="455738351" w:displacedByCustomXml="prev"/>
      </w:tr>
      <w:permEnd w:id="1514157515"/>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C0796" w:rsidRDefault="00B237CE" w:rsidP="00E24D42">
      <w:permStart w:id="1700995746" w:edGrp="everyone"/>
      <w:r w:rsidRPr="00B237CE">
        <w:t>The National Associati</w:t>
      </w:r>
      <w:r>
        <w:t xml:space="preserve">on of German Cooperative Banks </w:t>
      </w:r>
      <w:r w:rsidR="00A758B9">
        <w:t>BVR</w:t>
      </w:r>
      <w:r w:rsidR="004147BA">
        <w:t xml:space="preserve"> </w:t>
      </w:r>
      <w:r w:rsidR="005314DD">
        <w:t xml:space="preserve">/ Bundesverband der Deutschen Volksbanken und Raiffeisenbanken is the voice of </w:t>
      </w:r>
      <w:r w:rsidRPr="00B237CE">
        <w:t>the 1.07</w:t>
      </w:r>
      <w:r>
        <w:t>8</w:t>
      </w:r>
      <w:r w:rsidRPr="00B237CE">
        <w:t xml:space="preserve"> cooperative banks in Germany</w:t>
      </w:r>
      <w:r w:rsidR="00CA7BF5">
        <w:t>.</w:t>
      </w:r>
    </w:p>
    <w:p w:rsidR="004147BA" w:rsidRDefault="004147BA" w:rsidP="00E24D42"/>
    <w:p w:rsidR="001C0796" w:rsidRPr="00457552" w:rsidRDefault="001C0796" w:rsidP="001C0796">
      <w:pPr>
        <w:rPr>
          <w:rFonts w:ascii="Arial" w:eastAsia="Times New Roman" w:hAnsi="Arial"/>
          <w:lang w:val="en-US"/>
        </w:rPr>
      </w:pPr>
      <w:r w:rsidRPr="00457552">
        <w:rPr>
          <w:rFonts w:ascii="Arial" w:eastAsia="Times New Roman" w:hAnsi="Arial"/>
          <w:lang w:val="en-US"/>
        </w:rPr>
        <w:t>We have closely followed the legislative process to revise the Markets in Financial Instruments Directive (MiFID), which is intended to reorganise the European securities, derivatives and commodities markets and, not least, further enhance investor protection. We welcome the chance to respond to ESMA’s recent consultation on MiFID II/MiFIR – Level 2 measures. We would also, against this background, like to make some general, overarching comments about the consultation:</w:t>
      </w:r>
    </w:p>
    <w:p w:rsidR="00BC3FD9" w:rsidRDefault="00BC3FD9" w:rsidP="004147BA">
      <w:pPr>
        <w:rPr>
          <w:rFonts w:ascii="Arial" w:eastAsia="Times New Roman" w:hAnsi="Arial"/>
          <w:b/>
          <w:lang w:val="en-US"/>
        </w:rPr>
      </w:pPr>
    </w:p>
    <w:p w:rsidR="004147BA" w:rsidRPr="00BD0536" w:rsidRDefault="004147BA" w:rsidP="004147BA">
      <w:pPr>
        <w:rPr>
          <w:rFonts w:ascii="Arial" w:eastAsia="Times New Roman" w:hAnsi="Arial"/>
          <w:b/>
          <w:lang w:val="en-US"/>
        </w:rPr>
      </w:pPr>
      <w:r w:rsidRPr="00BD0536">
        <w:rPr>
          <w:rFonts w:ascii="Arial" w:eastAsia="Times New Roman" w:hAnsi="Arial"/>
          <w:b/>
          <w:lang w:val="en-US"/>
        </w:rPr>
        <w:t>No exceeding of the Level 1 framework</w:t>
      </w:r>
    </w:p>
    <w:p w:rsidR="004147BA" w:rsidRDefault="004147BA" w:rsidP="004147BA">
      <w:pPr>
        <w:rPr>
          <w:rFonts w:ascii="Arial" w:eastAsia="Times New Roman" w:hAnsi="Arial"/>
          <w:lang w:val="en-US"/>
        </w:rPr>
      </w:pPr>
    </w:p>
    <w:p w:rsidR="004147BA" w:rsidRPr="00B912B8" w:rsidRDefault="004147BA" w:rsidP="004147BA">
      <w:pPr>
        <w:rPr>
          <w:rFonts w:ascii="Arial" w:eastAsia="Times New Roman" w:hAnsi="Arial"/>
          <w:lang w:val="en-US"/>
        </w:rPr>
      </w:pPr>
      <w:r w:rsidRPr="00BD0536">
        <w:rPr>
          <w:rFonts w:ascii="Arial" w:eastAsia="Times New Roman" w:hAnsi="Arial"/>
          <w:lang w:val="en-US"/>
        </w:rPr>
        <w:t xml:space="preserve">Level 2 measures should not exceed the framework set at Level 1. The proposals and views set out by ESMA in its Consultation Paper do not always reflect this principle. The proposed measures on </w:t>
      </w:r>
      <w:r>
        <w:rPr>
          <w:rFonts w:ascii="Arial" w:eastAsia="Times New Roman" w:hAnsi="Arial"/>
          <w:lang w:val="en-US"/>
        </w:rPr>
        <w:t xml:space="preserve">transaction </w:t>
      </w:r>
      <w:r w:rsidRPr="00BD0536">
        <w:rPr>
          <w:rFonts w:ascii="Arial" w:eastAsia="Times New Roman" w:hAnsi="Arial"/>
          <w:lang w:val="en-US"/>
        </w:rPr>
        <w:t>reporting are a</w:t>
      </w:r>
      <w:r w:rsidR="00DD670A">
        <w:rPr>
          <w:rFonts w:ascii="Arial" w:eastAsia="Times New Roman" w:hAnsi="Arial"/>
          <w:lang w:val="en-US"/>
        </w:rPr>
        <w:t>n example</w:t>
      </w:r>
      <w:r w:rsidRPr="00BD0536">
        <w:rPr>
          <w:rFonts w:ascii="Arial" w:eastAsia="Times New Roman" w:hAnsi="Arial"/>
          <w:lang w:val="en-US"/>
        </w:rPr>
        <w:t xml:space="preserve"> (chapter 8.2 of the Consultation Paper). The planned extension of reporting obligations to include positions, position changes or exercises of existing rights lacks a legal basis on Level 1 of MiFIR. The same goes for the proposed additional information concerning client’s identity and the proposed designation and additional information concerning decision makers. ESMA’s proposals in this area need to be revised. Further examples of proposed measures which in our view exceed the Level 1 framework can be found in chapters 2.4 (Information relating to execution of orders) </w:t>
      </w:r>
      <w:r w:rsidRPr="00B912B8">
        <w:rPr>
          <w:rFonts w:ascii="Arial" w:eastAsia="Times New Roman" w:hAnsi="Arial"/>
          <w:lang w:val="en-US"/>
        </w:rPr>
        <w:t>and 3.7 (Post-trade transparency requirements for non-equity instruments).</w:t>
      </w:r>
    </w:p>
    <w:p w:rsidR="004147BA" w:rsidRPr="00457552" w:rsidRDefault="004147BA" w:rsidP="001C0796">
      <w:pPr>
        <w:rPr>
          <w:rFonts w:ascii="Arial" w:eastAsia="Times New Roman" w:hAnsi="Arial"/>
          <w:lang w:val="en-US"/>
        </w:rPr>
      </w:pPr>
    </w:p>
    <w:p w:rsidR="001C0796" w:rsidRPr="00457552" w:rsidRDefault="001C0796" w:rsidP="004147BA">
      <w:pPr>
        <w:ind w:left="426" w:hanging="426"/>
        <w:rPr>
          <w:rFonts w:ascii="Arial" w:eastAsia="Times New Roman" w:hAnsi="Arial"/>
          <w:b/>
          <w:lang w:val="en-US"/>
        </w:rPr>
      </w:pPr>
      <w:r w:rsidRPr="00457552">
        <w:rPr>
          <w:rFonts w:ascii="Arial" w:eastAsia="Times New Roman" w:hAnsi="Arial"/>
          <w:b/>
          <w:lang w:val="en-US"/>
        </w:rPr>
        <w:t>Application of the proportionality principle</w:t>
      </w:r>
    </w:p>
    <w:p w:rsidR="004147BA" w:rsidRDefault="004147BA" w:rsidP="001C0796">
      <w:pPr>
        <w:rPr>
          <w:rFonts w:ascii="Arial" w:eastAsia="Times New Roman" w:hAnsi="Arial"/>
          <w:lang w:val="en-US"/>
        </w:rPr>
      </w:pPr>
    </w:p>
    <w:p w:rsidR="001C0796" w:rsidRDefault="001C0796" w:rsidP="001C0796">
      <w:pPr>
        <w:rPr>
          <w:rFonts w:ascii="Arial" w:eastAsia="Times New Roman" w:hAnsi="Arial"/>
          <w:lang w:val="en-US"/>
        </w:rPr>
      </w:pPr>
      <w:r w:rsidRPr="00457552">
        <w:rPr>
          <w:rFonts w:ascii="Arial" w:eastAsia="Times New Roman" w:hAnsi="Arial"/>
          <w:lang w:val="en-US"/>
        </w:rPr>
        <w:t>The proportionality principle enshrined in Article 5</w:t>
      </w:r>
      <w:r w:rsidRPr="00457552">
        <w:rPr>
          <w:rFonts w:ascii="Arial" w:eastAsia="Times New Roman" w:hAnsi="Arial"/>
        </w:rPr>
        <w:t> </w:t>
      </w:r>
      <w:r w:rsidRPr="00457552">
        <w:rPr>
          <w:rFonts w:ascii="Arial" w:eastAsia="Times New Roman" w:hAnsi="Arial"/>
          <w:lang w:val="en-US"/>
        </w:rPr>
        <w:t>(4) of the Treaty on European Union requires Level 2 measures to refrain from exceeding that wh</w:t>
      </w:r>
      <w:r w:rsidR="00DD670A">
        <w:rPr>
          <w:rFonts w:ascii="Arial" w:eastAsia="Times New Roman" w:hAnsi="Arial"/>
          <w:lang w:val="en-US"/>
        </w:rPr>
        <w:t>at</w:t>
      </w:r>
      <w:r w:rsidRPr="00457552">
        <w:rPr>
          <w:rFonts w:ascii="Arial" w:eastAsia="Times New Roman" w:hAnsi="Arial"/>
          <w:lang w:val="en-US"/>
        </w:rPr>
        <w:t xml:space="preserve"> is necessary to achieve the objectives set at Level 1. The cost of Level 2 measures, moreover, should not be </w:t>
      </w:r>
      <w:r w:rsidRPr="00457552">
        <w:rPr>
          <w:rFonts w:ascii="Arial" w:eastAsia="Times New Roman" w:hAnsi="Arial"/>
          <w:lang w:val="en-US"/>
        </w:rPr>
        <w:lastRenderedPageBreak/>
        <w:t xml:space="preserve">disproportionate to the intended benefits. </w:t>
      </w:r>
      <w:r>
        <w:rPr>
          <w:rFonts w:ascii="Arial" w:eastAsia="Times New Roman" w:hAnsi="Arial"/>
          <w:lang w:val="en-US"/>
        </w:rPr>
        <w:t>Furthermore, proporti</w:t>
      </w:r>
      <w:r w:rsidR="00BC3FD9">
        <w:rPr>
          <w:rFonts w:ascii="Arial" w:eastAsia="Times New Roman" w:hAnsi="Arial"/>
          <w:lang w:val="en-US"/>
        </w:rPr>
        <w:t>o</w:t>
      </w:r>
      <w:r>
        <w:rPr>
          <w:rFonts w:ascii="Arial" w:eastAsia="Times New Roman" w:hAnsi="Arial"/>
          <w:lang w:val="en-US"/>
        </w:rPr>
        <w:t xml:space="preserve">nality is necessary to justify requirements with respect </w:t>
      </w:r>
      <w:r w:rsidR="00DD670A">
        <w:rPr>
          <w:rFonts w:ascii="Arial" w:eastAsia="Times New Roman" w:hAnsi="Arial"/>
          <w:lang w:val="en-US"/>
        </w:rPr>
        <w:t>to</w:t>
      </w:r>
      <w:r>
        <w:rPr>
          <w:rFonts w:ascii="Arial" w:eastAsia="Times New Roman" w:hAnsi="Arial"/>
          <w:lang w:val="en-US"/>
        </w:rPr>
        <w:t xml:space="preserve"> data protection law.</w:t>
      </w:r>
    </w:p>
    <w:p w:rsidR="001C0796" w:rsidRDefault="001C0796" w:rsidP="001C0796">
      <w:pPr>
        <w:rPr>
          <w:rFonts w:ascii="Arial" w:eastAsia="Times New Roman" w:hAnsi="Arial"/>
          <w:lang w:val="en-US"/>
        </w:rPr>
      </w:pPr>
    </w:p>
    <w:p w:rsidR="001C0796" w:rsidRDefault="001C0796" w:rsidP="001C0796">
      <w:pPr>
        <w:rPr>
          <w:rFonts w:ascii="Arial" w:eastAsia="Times New Roman" w:hAnsi="Arial"/>
          <w:lang w:val="en-US"/>
        </w:rPr>
      </w:pPr>
      <w:r w:rsidRPr="00457552">
        <w:rPr>
          <w:rFonts w:ascii="Arial" w:eastAsia="Times New Roman" w:hAnsi="Arial"/>
          <w:lang w:val="en-US"/>
        </w:rPr>
        <w:t>With this in mind, a number of ESMA’s proposals need to be more targeted in scope. This applies, for example</w:t>
      </w:r>
      <w:r w:rsidRPr="00457552">
        <w:rPr>
          <w:rFonts w:ascii="Arial" w:eastAsia="Times New Roman" w:hAnsi="Arial"/>
          <w:color w:val="44546A"/>
          <w:lang w:val="en-US"/>
        </w:rPr>
        <w:t xml:space="preserve">, </w:t>
      </w:r>
      <w:r w:rsidR="00B912B8">
        <w:rPr>
          <w:rFonts w:ascii="Arial" w:eastAsia="Times New Roman" w:hAnsi="Arial"/>
          <w:lang w:val="en-US"/>
        </w:rPr>
        <w:t xml:space="preserve">to chapter </w:t>
      </w:r>
      <w:r w:rsidR="00B912B8" w:rsidRPr="00A14DF0">
        <w:rPr>
          <w:rFonts w:ascii="Arial" w:eastAsia="Times New Roman" w:hAnsi="Arial"/>
          <w:lang w:val="en-US"/>
        </w:rPr>
        <w:t>3</w:t>
      </w:r>
      <w:r w:rsidRPr="00A14DF0">
        <w:rPr>
          <w:rFonts w:ascii="Arial" w:eastAsia="Times New Roman" w:hAnsi="Arial"/>
          <w:lang w:val="en-US"/>
        </w:rPr>
        <w:t>.</w:t>
      </w:r>
      <w:r w:rsidRPr="00BD0536">
        <w:rPr>
          <w:rFonts w:ascii="Arial" w:eastAsia="Times New Roman" w:hAnsi="Arial"/>
          <w:lang w:val="en-US"/>
        </w:rPr>
        <w:t>5 (Liquid market definition for non-equity financial instruments). It would be wrong to set the thresholds at a level which aims at a certain coverage ratio. It is true that MiFIR aims at increasing market transparency. However, it is equally true that MiFIR does not intend to create such transparency at the price of unreasonable risks, in particular for systematic internalisers. Defining a liquid market wrongly would result in the risk for systematic internalisers of such instruments becoming prohibitive. Liquidity would then dry up completely. This is not in the interest of issuers or investors. Other examples are ESMA´s proposals in chapters 2.4 (Information relating to the execution of orders</w:t>
      </w:r>
      <w:r w:rsidR="004147BA">
        <w:rPr>
          <w:rFonts w:ascii="Arial" w:eastAsia="Times New Roman" w:hAnsi="Arial"/>
          <w:lang w:val="en-US"/>
        </w:rPr>
        <w:t xml:space="preserve"> to be published</w:t>
      </w:r>
      <w:r w:rsidRPr="00BD0536">
        <w:rPr>
          <w:rFonts w:ascii="Arial" w:eastAsia="Times New Roman" w:hAnsi="Arial"/>
          <w:lang w:val="en-US"/>
        </w:rPr>
        <w:t>), 4.1 (Organisational requirements for investment firms), 8.2 (Obl</w:t>
      </w:r>
      <w:r w:rsidR="0010299D">
        <w:rPr>
          <w:rFonts w:ascii="Arial" w:eastAsia="Times New Roman" w:hAnsi="Arial"/>
          <w:lang w:val="en-US"/>
        </w:rPr>
        <w:t>igation to report transactions) and</w:t>
      </w:r>
      <w:r w:rsidRPr="00BD0536">
        <w:rPr>
          <w:rFonts w:ascii="Arial" w:eastAsia="Times New Roman" w:hAnsi="Arial"/>
          <w:lang w:val="en-US"/>
        </w:rPr>
        <w:t xml:space="preserve"> 8.5 (</w:t>
      </w:r>
      <w:r w:rsidR="004147BA">
        <w:rPr>
          <w:rFonts w:ascii="Arial" w:eastAsia="Times New Roman" w:hAnsi="Arial"/>
          <w:lang w:val="en-US"/>
        </w:rPr>
        <w:t>Clock s</w:t>
      </w:r>
      <w:r w:rsidRPr="00BD0536">
        <w:rPr>
          <w:rFonts w:ascii="Arial" w:eastAsia="Times New Roman" w:hAnsi="Arial"/>
          <w:lang w:val="en-US"/>
        </w:rPr>
        <w:t>ynchronisation of business clocks)</w:t>
      </w:r>
      <w:r w:rsidR="0010299D">
        <w:rPr>
          <w:rFonts w:ascii="Arial" w:eastAsia="Times New Roman" w:hAnsi="Arial"/>
          <w:lang w:val="en-US"/>
        </w:rPr>
        <w:t>.</w:t>
      </w:r>
      <w:r w:rsidRPr="00BD0536">
        <w:rPr>
          <w:rFonts w:ascii="Arial" w:eastAsia="Times New Roman" w:hAnsi="Arial"/>
          <w:lang w:val="en-US"/>
        </w:rPr>
        <w:t xml:space="preserve"> </w:t>
      </w:r>
    </w:p>
    <w:p w:rsidR="001C0796" w:rsidRPr="00BD0536" w:rsidRDefault="001C0796" w:rsidP="001C0796">
      <w:pPr>
        <w:rPr>
          <w:rFonts w:ascii="Arial" w:eastAsia="Times New Roman" w:hAnsi="Arial"/>
          <w:lang w:val="en-US"/>
        </w:rPr>
      </w:pPr>
    </w:p>
    <w:p w:rsidR="001C0796" w:rsidRPr="00BD0536" w:rsidRDefault="001C0796" w:rsidP="001C0796">
      <w:pPr>
        <w:rPr>
          <w:rFonts w:ascii="Arial" w:eastAsia="Times New Roman" w:hAnsi="Arial"/>
          <w:b/>
          <w:lang w:val="en-US"/>
        </w:rPr>
      </w:pPr>
      <w:r w:rsidRPr="00BD0536">
        <w:rPr>
          <w:rFonts w:ascii="Arial" w:eastAsia="Times New Roman" w:hAnsi="Arial"/>
          <w:b/>
          <w:lang w:val="en-US"/>
        </w:rPr>
        <w:t>No mandate for further requirements at Level 3</w:t>
      </w:r>
    </w:p>
    <w:p w:rsidR="004147BA" w:rsidRDefault="004147BA" w:rsidP="001C0796">
      <w:pPr>
        <w:rPr>
          <w:rFonts w:ascii="Arial" w:eastAsia="Times New Roman" w:hAnsi="Arial"/>
          <w:lang w:val="en-US"/>
        </w:rPr>
      </w:pPr>
    </w:p>
    <w:p w:rsidR="001C0796" w:rsidRPr="00BD0536" w:rsidRDefault="001C0796" w:rsidP="001C0796">
      <w:pPr>
        <w:rPr>
          <w:rFonts w:ascii="Arial" w:eastAsia="Times New Roman" w:hAnsi="Arial"/>
          <w:lang w:val="en-US"/>
        </w:rPr>
      </w:pPr>
      <w:r w:rsidRPr="00BD0536">
        <w:rPr>
          <w:rFonts w:ascii="Arial" w:eastAsia="Times New Roman" w:hAnsi="Arial"/>
          <w:lang w:val="en-US"/>
        </w:rPr>
        <w:t>The requir</w:t>
      </w:r>
      <w:r w:rsidR="00B912B8" w:rsidRPr="00A14DF0">
        <w:rPr>
          <w:rFonts w:ascii="Arial" w:eastAsia="Times New Roman" w:hAnsi="Arial"/>
          <w:lang w:val="en-US"/>
        </w:rPr>
        <w:t>e</w:t>
      </w:r>
      <w:r w:rsidRPr="00BD0536">
        <w:rPr>
          <w:rFonts w:ascii="Arial" w:eastAsia="Times New Roman" w:hAnsi="Arial"/>
          <w:lang w:val="en-US"/>
        </w:rPr>
        <w:t xml:space="preserve">ments must be finally regulated at Level 1 and </w:t>
      </w:r>
      <w:r w:rsidR="003646DC">
        <w:rPr>
          <w:rFonts w:ascii="Arial" w:eastAsia="Times New Roman" w:hAnsi="Arial"/>
          <w:lang w:val="en-US"/>
        </w:rPr>
        <w:t xml:space="preserve">Level </w:t>
      </w:r>
      <w:r w:rsidRPr="00BD0536">
        <w:rPr>
          <w:rFonts w:ascii="Arial" w:eastAsia="Times New Roman" w:hAnsi="Arial"/>
          <w:lang w:val="en-US"/>
        </w:rPr>
        <w:t xml:space="preserve">2. Level 3 is only provided for guidelines with respect of the Level 1 and </w:t>
      </w:r>
      <w:r w:rsidR="003646DC">
        <w:rPr>
          <w:rFonts w:ascii="Arial" w:eastAsia="Times New Roman" w:hAnsi="Arial"/>
          <w:lang w:val="en-US"/>
        </w:rPr>
        <w:t xml:space="preserve">Level </w:t>
      </w:r>
      <w:r w:rsidRPr="00BD0536">
        <w:rPr>
          <w:rFonts w:ascii="Arial" w:eastAsia="Times New Roman" w:hAnsi="Arial"/>
          <w:lang w:val="en-US"/>
        </w:rPr>
        <w:t xml:space="preserve">2 requirements. Therefore, </w:t>
      </w:r>
      <w:r w:rsidR="003646DC">
        <w:rPr>
          <w:rFonts w:ascii="Arial" w:eastAsia="Times New Roman" w:hAnsi="Arial"/>
          <w:lang w:val="en-US"/>
        </w:rPr>
        <w:t>i</w:t>
      </w:r>
      <w:r w:rsidRPr="00BD0536">
        <w:rPr>
          <w:rFonts w:ascii="Arial" w:eastAsia="Times New Roman" w:hAnsi="Arial"/>
          <w:lang w:val="en-US"/>
        </w:rPr>
        <w:t>t is not possible to provide mandates for further requir</w:t>
      </w:r>
      <w:r w:rsidR="00B912B8" w:rsidRPr="00A14DF0">
        <w:rPr>
          <w:rFonts w:ascii="Arial" w:eastAsia="Times New Roman" w:hAnsi="Arial"/>
          <w:lang w:val="en-US"/>
        </w:rPr>
        <w:t>e</w:t>
      </w:r>
      <w:r w:rsidRPr="00BD0536">
        <w:rPr>
          <w:rFonts w:ascii="Arial" w:eastAsia="Times New Roman" w:hAnsi="Arial"/>
          <w:lang w:val="en-US"/>
        </w:rPr>
        <w:t xml:space="preserve">ments at Level 3. This applies, for example, to </w:t>
      </w:r>
      <w:r w:rsidR="004147BA">
        <w:rPr>
          <w:rFonts w:ascii="Arial" w:eastAsia="Times New Roman" w:hAnsi="Arial"/>
          <w:lang w:val="en-US"/>
        </w:rPr>
        <w:t>c</w:t>
      </w:r>
      <w:r w:rsidRPr="00BD0536">
        <w:rPr>
          <w:rFonts w:ascii="Arial" w:eastAsia="Times New Roman" w:hAnsi="Arial"/>
          <w:lang w:val="en-US"/>
        </w:rPr>
        <w:t>hapter 8.2 (</w:t>
      </w:r>
      <w:r w:rsidR="004147BA">
        <w:rPr>
          <w:rFonts w:ascii="Arial" w:eastAsia="Times New Roman" w:hAnsi="Arial"/>
          <w:lang w:val="en-US"/>
        </w:rPr>
        <w:t>Obligation to report t</w:t>
      </w:r>
      <w:r w:rsidRPr="00BD0536">
        <w:rPr>
          <w:rFonts w:ascii="Arial" w:eastAsia="Times New Roman" w:hAnsi="Arial"/>
          <w:lang w:val="en-US"/>
        </w:rPr>
        <w:t>ransaction</w:t>
      </w:r>
      <w:r w:rsidR="004147BA">
        <w:rPr>
          <w:rFonts w:ascii="Arial" w:eastAsia="Times New Roman" w:hAnsi="Arial"/>
          <w:lang w:val="en-US"/>
        </w:rPr>
        <w:t>s</w:t>
      </w:r>
      <w:r w:rsidRPr="00BD0536">
        <w:rPr>
          <w:rFonts w:ascii="Arial" w:eastAsia="Times New Roman" w:hAnsi="Arial"/>
          <w:lang w:val="en-US"/>
        </w:rPr>
        <w:t xml:space="preserve">). The definition as to which transactions are subject to a reporting obligation must be finalised on Level 1 and </w:t>
      </w:r>
      <w:r w:rsidR="003646DC">
        <w:rPr>
          <w:rFonts w:ascii="Arial" w:eastAsia="Times New Roman" w:hAnsi="Arial"/>
          <w:lang w:val="en-US"/>
        </w:rPr>
        <w:t xml:space="preserve">Level </w:t>
      </w:r>
      <w:r w:rsidRPr="00BD0536">
        <w:rPr>
          <w:rFonts w:ascii="Arial" w:eastAsia="Times New Roman" w:hAnsi="Arial"/>
          <w:lang w:val="en-US"/>
        </w:rPr>
        <w:t>2 – providing for further scenarios in the context of Level 3 guidelines is not acceptable, also since this would render it impossible for those obliged to report to make all necessary provisions for the verifiable fulfilment of the reporting obligation</w:t>
      </w:r>
      <w:r w:rsidR="003646DC">
        <w:rPr>
          <w:rFonts w:ascii="Arial" w:eastAsia="Times New Roman" w:hAnsi="Arial"/>
          <w:lang w:val="en-US"/>
        </w:rPr>
        <w:t>s</w:t>
      </w:r>
      <w:r w:rsidRPr="00BD0536">
        <w:rPr>
          <w:rFonts w:ascii="Arial" w:eastAsia="Times New Roman" w:hAnsi="Arial"/>
          <w:lang w:val="en-US"/>
        </w:rPr>
        <w:t xml:space="preserve">. </w:t>
      </w:r>
      <w:r w:rsidR="004147BA">
        <w:rPr>
          <w:rFonts w:ascii="Arial" w:eastAsia="Times New Roman" w:hAnsi="Arial"/>
          <w:lang w:val="en-US"/>
        </w:rPr>
        <w:t>Ano</w:t>
      </w:r>
      <w:r w:rsidRPr="00BD0536">
        <w:rPr>
          <w:rFonts w:ascii="Arial" w:eastAsia="Times New Roman" w:hAnsi="Arial"/>
          <w:lang w:val="en-US"/>
        </w:rPr>
        <w:t xml:space="preserve">ther example </w:t>
      </w:r>
      <w:r w:rsidR="004147BA">
        <w:rPr>
          <w:rFonts w:ascii="Arial" w:eastAsia="Times New Roman" w:hAnsi="Arial"/>
          <w:lang w:val="en-US"/>
        </w:rPr>
        <w:t>is</w:t>
      </w:r>
      <w:r w:rsidRPr="00BD0536">
        <w:rPr>
          <w:rFonts w:ascii="Arial" w:eastAsia="Times New Roman" w:hAnsi="Arial"/>
          <w:lang w:val="en-US"/>
        </w:rPr>
        <w:t xml:space="preserve"> ESMA´s proposal </w:t>
      </w:r>
      <w:r w:rsidR="003646DC">
        <w:rPr>
          <w:rFonts w:ascii="Arial" w:eastAsia="Times New Roman" w:hAnsi="Arial"/>
          <w:lang w:val="en-US"/>
        </w:rPr>
        <w:t xml:space="preserve">in chapter </w:t>
      </w:r>
      <w:r w:rsidRPr="00BD0536">
        <w:rPr>
          <w:rFonts w:ascii="Arial" w:eastAsia="Times New Roman" w:hAnsi="Arial"/>
          <w:lang w:val="en-US"/>
        </w:rPr>
        <w:t xml:space="preserve">8.5 (Clock </w:t>
      </w:r>
      <w:r w:rsidR="004147BA">
        <w:rPr>
          <w:rFonts w:ascii="Arial" w:eastAsia="Times New Roman" w:hAnsi="Arial"/>
          <w:lang w:val="en-US"/>
        </w:rPr>
        <w:t>s</w:t>
      </w:r>
      <w:r w:rsidR="003646DC">
        <w:rPr>
          <w:rFonts w:ascii="Arial" w:eastAsia="Times New Roman" w:hAnsi="Arial"/>
          <w:lang w:val="en-US"/>
        </w:rPr>
        <w:t xml:space="preserve">ynchronisation). </w:t>
      </w:r>
      <w:r w:rsidRPr="00BD0536">
        <w:rPr>
          <w:rFonts w:ascii="Arial" w:eastAsia="Times New Roman" w:hAnsi="Arial"/>
          <w:lang w:val="en-US"/>
        </w:rPr>
        <w:t>The National Association of German Cooperative Banks therefore urges ESMA to propose exhaustive requirements at Level 2.</w:t>
      </w:r>
    </w:p>
    <w:p w:rsidR="001C0796" w:rsidRPr="00BD0536" w:rsidRDefault="001C0796" w:rsidP="001C0796">
      <w:pPr>
        <w:rPr>
          <w:rFonts w:ascii="Arial" w:eastAsia="Times New Roman" w:hAnsi="Arial"/>
          <w:lang w:val="en-US"/>
        </w:rPr>
      </w:pPr>
    </w:p>
    <w:p w:rsidR="00CA7BF5" w:rsidRPr="003646DC" w:rsidRDefault="00B912B8" w:rsidP="00E24D42">
      <w:pPr>
        <w:rPr>
          <w:rFonts w:ascii="Arial" w:eastAsia="Times New Roman" w:hAnsi="Arial"/>
          <w:lang w:val="en-US"/>
        </w:rPr>
      </w:pPr>
      <w:r w:rsidRPr="00A14DF0">
        <w:rPr>
          <w:rFonts w:ascii="Arial" w:eastAsia="Times New Roman" w:hAnsi="Arial"/>
          <w:lang w:val="en-US"/>
        </w:rPr>
        <w:t>Please see our response to your questions in detail.</w:t>
      </w:r>
    </w:p>
    <w:permEnd w:id="1700995746"/>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70090719" w:edGrp="everyone"/>
      <w:r>
        <w:t>TYPE YOUR TEXT HERE</w:t>
      </w:r>
    </w:p>
    <w:permEnd w:id="1070090719"/>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2097549325" w:edGrp="everyone"/>
      <w:r>
        <w:t>TYPE YOUR TEXT HERE</w:t>
      </w:r>
    </w:p>
    <w:permEnd w:id="2097549325"/>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450634194" w:edGrp="everyone"/>
      <w:r>
        <w:t>TYPE YOUR TEXT HERE</w:t>
      </w:r>
    </w:p>
    <w:permEnd w:id="450634194"/>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32748738" w:edGrp="everyone"/>
      <w:r>
        <w:t>TYPE YOUR TEXT HERE</w:t>
      </w:r>
    </w:p>
    <w:permEnd w:id="1332748738"/>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078152969" w:edGrp="everyone"/>
      <w:r>
        <w:t>TYPE YOUR TEXT HERE</w:t>
      </w:r>
    </w:p>
    <w:permEnd w:id="1078152969"/>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665104716" w:edGrp="everyone"/>
      <w:r>
        <w:t>TYPE YOUR TEXT HERE</w:t>
      </w:r>
    </w:p>
    <w:permEnd w:id="1665104716"/>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43791349" w:edGrp="everyone"/>
      <w:r>
        <w:t>TYPE YOUR TEXT HERE</w:t>
      </w:r>
    </w:p>
    <w:permEnd w:id="1643791349"/>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814299400" w:edGrp="everyone"/>
      <w:r>
        <w:t>TYPE YOUR TEXT HERE</w:t>
      </w:r>
    </w:p>
    <w:permEnd w:id="1814299400"/>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921216235" w:edGrp="everyone"/>
      <w:r>
        <w:t>TYPE YOUR TEXT HERE</w:t>
      </w:r>
    </w:p>
    <w:permEnd w:id="1921216235"/>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267083015" w:edGrp="everyone"/>
      <w:r>
        <w:t>TYPE YOUR TEXT HERE</w:t>
      </w:r>
    </w:p>
    <w:permEnd w:id="267083015"/>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017211071" w:edGrp="everyone"/>
      <w:r>
        <w:t>TYPE YOUR TEXT HERE</w:t>
      </w:r>
    </w:p>
    <w:permEnd w:id="1017211071"/>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247945257" w:edGrp="everyone"/>
      <w:r>
        <w:t>TYPE YOUR TEXT HERE</w:t>
      </w:r>
    </w:p>
    <w:permEnd w:id="1247945257"/>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46498142" w:edGrp="everyone"/>
      <w:r>
        <w:t>TYPE YOUR TEXT HERE</w:t>
      </w:r>
    </w:p>
    <w:permEnd w:id="14649814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02191248" w:edGrp="everyone"/>
      <w:r>
        <w:t>TYPE YOUR TEXT HERE</w:t>
      </w:r>
    </w:p>
    <w:permEnd w:id="202191248"/>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532524757" w:edGrp="everyone"/>
      <w:r>
        <w:t>TYPE YOUR TEXT HERE</w:t>
      </w:r>
    </w:p>
    <w:permEnd w:id="1532524757"/>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388039099" w:edGrp="everyone"/>
      <w:r>
        <w:t>TYPE YOUR TEXT HERE</w:t>
      </w:r>
    </w:p>
    <w:permEnd w:id="388039099"/>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453934008" w:edGrp="everyone"/>
      <w:r>
        <w:t>TYPE YOUR TEXT HERE</w:t>
      </w:r>
    </w:p>
    <w:permEnd w:id="453934008"/>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671619541" w:edGrp="everyone"/>
      <w:r>
        <w:t>TYPE YOUR TEXT HERE</w:t>
      </w:r>
    </w:p>
    <w:permEnd w:id="671619541"/>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58039248" w:edGrp="everyone"/>
      <w:r>
        <w:t>TYPE YOUR TEXT HERE</w:t>
      </w:r>
    </w:p>
    <w:permEnd w:id="15803924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678866712" w:edGrp="everyone"/>
      <w:r>
        <w:t>TYPE YOUR TEXT HERE</w:t>
      </w:r>
    </w:p>
    <w:permEnd w:id="1678866712"/>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754916057" w:edGrp="everyone"/>
      <w:r>
        <w:t>TYPE YOUR TEXT HERE</w:t>
      </w:r>
    </w:p>
    <w:permEnd w:id="754916057"/>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074552669" w:edGrp="everyone"/>
      <w:r>
        <w:t>TYPE YOUR TEXT HERE</w:t>
      </w:r>
    </w:p>
    <w:permEnd w:id="1074552669"/>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243434190" w:edGrp="everyone"/>
      <w:r>
        <w:t>TYPE YOUR TEXT HERE</w:t>
      </w:r>
    </w:p>
    <w:permEnd w:id="1243434190"/>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673360550" w:edGrp="everyone"/>
      <w:r>
        <w:t>TYPE YOUR TEXT HERE</w:t>
      </w:r>
    </w:p>
    <w:permEnd w:id="1673360550"/>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515529427" w:edGrp="everyone"/>
      <w:r>
        <w:t>TYPE YOUR TEXT HERE</w:t>
      </w:r>
    </w:p>
    <w:permEnd w:id="1515529427"/>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353923369" w:edGrp="everyone"/>
      <w:r>
        <w:t>TYPE YOUR TEXT HERE</w:t>
      </w:r>
    </w:p>
    <w:permEnd w:id="1353923369"/>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071130941" w:edGrp="everyone"/>
      <w:r>
        <w:t>TYPE YOUR TEXT HERE</w:t>
      </w:r>
    </w:p>
    <w:permEnd w:id="1071130941"/>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725880883" w:edGrp="everyone"/>
      <w:r>
        <w:t>TYPE YOUR TEXT HERE</w:t>
      </w:r>
    </w:p>
    <w:permEnd w:id="725880883"/>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567819154" w:edGrp="everyone"/>
      <w:r>
        <w:t>TYPE YOUR TEXT HERE</w:t>
      </w:r>
    </w:p>
    <w:permEnd w:id="1567819154"/>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F26174" w:rsidRDefault="00F26174" w:rsidP="00F26174">
      <w:pPr>
        <w:keepNext/>
      </w:pPr>
      <w:permStart w:id="2019181331" w:edGrp="everyone"/>
      <w:r>
        <w:t xml:space="preserve">The National Association of German Cooperative Banks, which represents the 1.078 cooperative banks in Germany, does not agree with the approach taken by ESMA. We consider the broad based duty of systematic internalisers and market makers to provide the market with granular data concerning execution volumes und execution quality as not appropriate to the purposes of evaluating the execution quality of possible venues. The approach is not compliant with the principle of proportionality. </w:t>
      </w:r>
    </w:p>
    <w:p w:rsidR="00F26174" w:rsidRDefault="00F26174" w:rsidP="00F26174">
      <w:pPr>
        <w:keepNext/>
      </w:pPr>
    </w:p>
    <w:p w:rsidR="00F26174" w:rsidRDefault="00F26174" w:rsidP="00F26174">
      <w:pPr>
        <w:keepNext/>
      </w:pPr>
      <w:r>
        <w:t xml:space="preserve">The Regulation intends to ensure transparency and consideration in the best-execution policies of executing institutions for those market segments that do not have to qualify as trading platforms, but nevertheless represent a significant liquidity pool in an instrument. Minor turnover generated with a specific asset is insignificant for the drafting process of a policy. Thus, it appears inappropriate to oblige systematic internalisers and other participants of the OTC market, which could be qualified as “market makers” in a broad interpretation despite generating relatively small turnover figures (e.g. trading in illiquid assets once per week), to produce and disclose comprehensive documentation. </w:t>
      </w:r>
    </w:p>
    <w:p w:rsidR="00F26174" w:rsidRDefault="00F26174" w:rsidP="00F26174">
      <w:pPr>
        <w:keepNext/>
      </w:pPr>
    </w:p>
    <w:p w:rsidR="00F26174" w:rsidRDefault="00F26174" w:rsidP="00EC2C93">
      <w:pPr>
        <w:keepNext/>
      </w:pPr>
      <w:r>
        <w:t>We therefore recommend applying the proposed requirements exclusively to systematic internalisers with significant market shares. We do not consider it necessary to establish a percentage-based threshold, since market participants have an interest in presenting themselves as an execution venue with significant market share. The extension in the definition of an "execution venue" in Article 2(3) draft RTS 6 on systematic internalisers should therefore be combined with the requirement of a significant market share and the execution of a substantial volume of shares.</w:t>
      </w:r>
    </w:p>
    <w:permEnd w:id="2019181331"/>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lastRenderedPageBreak/>
        <w:t>&lt;ESMA_QUESTION_CP_MIFID_31&gt;</w:t>
      </w:r>
    </w:p>
    <w:p w:rsidR="00F26174" w:rsidRDefault="00F26174" w:rsidP="00EC2C93">
      <w:pPr>
        <w:keepNext/>
      </w:pPr>
      <w:permStart w:id="1278373783" w:edGrp="everyone"/>
      <w:r w:rsidRPr="00F26174">
        <w:t>The National Association of German Cooperative Banks sees no need for a further split of trades. The existing MiFID I Best Execution Regime practically already divides the distribution into several ranges. An implementation of further ranges could lead to a disproportionate increase of ranges, not reflecting liquidity. It should be possible the handle different classes of financial instruments in specific ways. At least for the investors view it is quite important not to display high quality measures where rarely no real data is available. Therefore it should further possible to define relative thresholds.</w:t>
      </w:r>
    </w:p>
    <w:permEnd w:id="1278373783"/>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F26174" w:rsidRDefault="00F26174" w:rsidP="00EC2C93">
      <w:pPr>
        <w:keepNext/>
      </w:pPr>
      <w:permStart w:id="1787187100" w:edGrp="everyone"/>
      <w:r w:rsidRPr="00F26174">
        <w:t>No, The National Association of German Cooperative Banks sees no other useful metrics.</w:t>
      </w:r>
    </w:p>
    <w:permEnd w:id="1787187100"/>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F26174" w:rsidRDefault="00F26174" w:rsidP="00F26174">
      <w:pPr>
        <w:keepNext/>
        <w:rPr>
          <w:rFonts w:ascii="Arial" w:eastAsia="Times New Roman" w:hAnsi="Arial" w:cs="Arial"/>
          <w:szCs w:val="22"/>
          <w:lang w:val="en-US"/>
        </w:rPr>
      </w:pPr>
      <w:permStart w:id="631395117" w:edGrp="everyone"/>
      <w:r w:rsidRPr="00597F48">
        <w:rPr>
          <w:rFonts w:ascii="Arial" w:eastAsia="Times New Roman" w:hAnsi="Arial" w:cs="Arial"/>
          <w:szCs w:val="22"/>
        </w:rPr>
        <w:t>The National Association of German Cooperative Banks</w:t>
      </w:r>
      <w:r>
        <w:rPr>
          <w:rFonts w:ascii="Arial" w:eastAsia="Times New Roman" w:hAnsi="Arial" w:cs="Arial"/>
          <w:szCs w:val="22"/>
        </w:rPr>
        <w:t xml:space="preserve"> generally sees no need to consider additional data. Only, i</w:t>
      </w:r>
      <w:r w:rsidRPr="00F06EF9">
        <w:rPr>
          <w:rFonts w:ascii="Arial" w:eastAsia="Times New Roman" w:hAnsi="Arial" w:cs="Arial"/>
          <w:szCs w:val="22"/>
          <w:lang w:val="en-US"/>
        </w:rPr>
        <w:t xml:space="preserve">n order to avoid </w:t>
      </w:r>
      <w:r>
        <w:rPr>
          <w:rFonts w:ascii="Arial" w:eastAsia="Times New Roman" w:hAnsi="Arial" w:cs="Arial"/>
          <w:szCs w:val="22"/>
          <w:lang w:val="en-US"/>
        </w:rPr>
        <w:t xml:space="preserve">a </w:t>
      </w:r>
      <w:r w:rsidRPr="00F06EF9">
        <w:rPr>
          <w:rFonts w:ascii="Arial" w:eastAsia="Times New Roman" w:hAnsi="Arial" w:cs="Arial"/>
          <w:szCs w:val="22"/>
          <w:lang w:val="en-US"/>
        </w:rPr>
        <w:t xml:space="preserve">misleading </w:t>
      </w:r>
      <w:r>
        <w:rPr>
          <w:rFonts w:ascii="Arial" w:eastAsia="Times New Roman" w:hAnsi="Arial" w:cs="Arial"/>
          <w:szCs w:val="22"/>
          <w:lang w:val="en-US"/>
        </w:rPr>
        <w:t xml:space="preserve">of </w:t>
      </w:r>
      <w:r w:rsidRPr="00F06EF9">
        <w:rPr>
          <w:rFonts w:ascii="Arial" w:eastAsia="Times New Roman" w:hAnsi="Arial" w:cs="Arial"/>
          <w:szCs w:val="22"/>
          <w:lang w:val="en-US"/>
        </w:rPr>
        <w:t>the investor</w:t>
      </w:r>
      <w:r>
        <w:rPr>
          <w:rFonts w:ascii="Arial" w:eastAsia="Times New Roman" w:hAnsi="Arial" w:cs="Arial"/>
          <w:szCs w:val="22"/>
          <w:lang w:val="en-US"/>
        </w:rPr>
        <w:t>,</w:t>
      </w:r>
      <w:r w:rsidRPr="00F06EF9">
        <w:rPr>
          <w:rFonts w:ascii="Arial" w:eastAsia="Times New Roman" w:hAnsi="Arial" w:cs="Arial"/>
          <w:szCs w:val="22"/>
          <w:lang w:val="en-US"/>
        </w:rPr>
        <w:t xml:space="preserve"> the reporting of trading data should address the </w:t>
      </w:r>
      <w:r w:rsidRPr="006B0C27">
        <w:rPr>
          <w:rFonts w:ascii="Arial" w:eastAsia="Times New Roman" w:hAnsi="Arial" w:cs="Arial"/>
          <w:b/>
          <w:szCs w:val="22"/>
          <w:lang w:val="en-US"/>
        </w:rPr>
        <w:t>type of the trading mechanism</w:t>
      </w:r>
      <w:r w:rsidRPr="00F06EF9">
        <w:rPr>
          <w:rFonts w:ascii="Arial" w:eastAsia="Times New Roman" w:hAnsi="Arial" w:cs="Arial"/>
          <w:szCs w:val="22"/>
          <w:lang w:val="en-US"/>
        </w:rPr>
        <w:t>. E.g. in purely quote driven instrument types like warrants, figures like turnover volume will give no real information to the retail client while other measures like bid/ask-spreads or quote volumes are much more relevant. Therefore, the information guidelines should be clearly address</w:t>
      </w:r>
      <w:r>
        <w:rPr>
          <w:rFonts w:ascii="Arial" w:eastAsia="Times New Roman" w:hAnsi="Arial" w:cs="Arial"/>
          <w:szCs w:val="22"/>
          <w:lang w:val="en-US"/>
        </w:rPr>
        <w:t>ing</w:t>
      </w:r>
      <w:r w:rsidRPr="00F06EF9">
        <w:rPr>
          <w:rFonts w:ascii="Arial" w:eastAsia="Times New Roman" w:hAnsi="Arial" w:cs="Arial"/>
          <w:szCs w:val="22"/>
          <w:lang w:val="en-US"/>
        </w:rPr>
        <w:t xml:space="preserve"> instruments and market features. Due to the fact that in such instruments classes the counterpart either on exchanges, on MTFs or OTC is nearly in any case the issuer of the instrument, the entire turnover information of the different venues would give deep insight in the exposures of the issuers, which can´t be accepted by the market participants.</w:t>
      </w:r>
    </w:p>
    <w:p w:rsidR="00F26174" w:rsidRPr="00F06EF9" w:rsidRDefault="00F26174" w:rsidP="00F26174">
      <w:pPr>
        <w:keepNext/>
        <w:rPr>
          <w:rFonts w:ascii="Arial" w:eastAsia="Times New Roman" w:hAnsi="Arial" w:cs="Arial"/>
          <w:szCs w:val="22"/>
          <w:lang w:val="en-US"/>
        </w:rPr>
      </w:pPr>
    </w:p>
    <w:p w:rsidR="00F26174" w:rsidRPr="00554123" w:rsidRDefault="00F26174" w:rsidP="00F26174">
      <w:pPr>
        <w:keepNext/>
        <w:rPr>
          <w:rFonts w:ascii="Arial" w:eastAsia="Times New Roman" w:hAnsi="Arial" w:cs="Arial"/>
          <w:szCs w:val="22"/>
          <w:lang w:val="en-US"/>
        </w:rPr>
      </w:pPr>
      <w:r w:rsidRPr="00F06EF9">
        <w:rPr>
          <w:rFonts w:ascii="Arial" w:eastAsia="Times New Roman" w:hAnsi="Arial" w:cs="Arial"/>
          <w:szCs w:val="22"/>
          <w:lang w:val="en-US"/>
        </w:rPr>
        <w:t>The data, although measured on a daily basis, should be aggregated and published on a higher basis (e.g. monthly basis). In addition some KPIs should be defined which are quality measure which are not based on a single instrument level but rather on a certain group of instruments (like index member).</w:t>
      </w:r>
    </w:p>
    <w:permEnd w:id="631395117"/>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&lt;ESMA_QUESTION_CP_MIFID_34&gt;</w:t>
      </w:r>
    </w:p>
    <w:p w:rsidR="0059228C" w:rsidRDefault="0059228C" w:rsidP="0059228C">
      <w:pPr>
        <w:keepNext/>
        <w:rPr>
          <w:rFonts w:ascii="Arial" w:eastAsia="Times New Roman" w:hAnsi="Arial" w:cs="Arial"/>
          <w:szCs w:val="22"/>
        </w:rPr>
      </w:pPr>
      <w:permStart w:id="127271305" w:edGrp="everyone"/>
      <w:r>
        <w:rPr>
          <w:rFonts w:ascii="Arial" w:eastAsia="Times New Roman" w:hAnsi="Arial" w:cs="Arial"/>
          <w:szCs w:val="22"/>
        </w:rPr>
        <w:t xml:space="preserve">No, </w:t>
      </w:r>
      <w:r w:rsidRPr="00597F48">
        <w:rPr>
          <w:rFonts w:ascii="Arial" w:eastAsia="Times New Roman" w:hAnsi="Arial" w:cs="Arial"/>
          <w:szCs w:val="22"/>
        </w:rPr>
        <w:t>The National Association of German Cooperative Banks</w:t>
      </w:r>
      <w:r>
        <w:rPr>
          <w:rFonts w:ascii="Arial" w:eastAsia="Times New Roman" w:hAnsi="Arial" w:cs="Arial"/>
          <w:szCs w:val="22"/>
        </w:rPr>
        <w:t xml:space="preserve"> does not agree with ESMA’s approach. For market makers as well as liquidity providers </w:t>
      </w:r>
      <w:r w:rsidRPr="00802908">
        <w:rPr>
          <w:rFonts w:ascii="Arial" w:eastAsia="Times New Roman" w:hAnsi="Arial" w:cs="Arial"/>
          <w:szCs w:val="22"/>
        </w:rPr>
        <w:t xml:space="preserve">(in particular the latter, who lack a formal definition) </w:t>
      </w:r>
      <w:r>
        <w:rPr>
          <w:rFonts w:ascii="Arial" w:eastAsia="Times New Roman" w:hAnsi="Arial" w:cs="Arial"/>
          <w:szCs w:val="22"/>
        </w:rPr>
        <w:t>it is not</w:t>
      </w:r>
      <w:r w:rsidRPr="00802908">
        <w:rPr>
          <w:rFonts w:ascii="Arial" w:eastAsia="Times New Roman" w:hAnsi="Arial" w:cs="Arial"/>
          <w:szCs w:val="22"/>
        </w:rPr>
        <w:t xml:space="preserve"> </w:t>
      </w:r>
      <w:r>
        <w:rPr>
          <w:rFonts w:ascii="Arial" w:eastAsia="Times New Roman" w:hAnsi="Arial" w:cs="Arial"/>
          <w:szCs w:val="22"/>
        </w:rPr>
        <w:t xml:space="preserve">practicable </w:t>
      </w:r>
      <w:r w:rsidRPr="00802908">
        <w:rPr>
          <w:rFonts w:ascii="Arial" w:eastAsia="Times New Roman" w:hAnsi="Arial" w:cs="Arial"/>
          <w:szCs w:val="22"/>
        </w:rPr>
        <w:t xml:space="preserve">to have the same reporting requirement </w:t>
      </w:r>
      <w:r>
        <w:rPr>
          <w:rFonts w:ascii="Arial" w:eastAsia="Times New Roman" w:hAnsi="Arial" w:cs="Arial"/>
          <w:szCs w:val="22"/>
        </w:rPr>
        <w:t xml:space="preserve">and equal publication frequencies </w:t>
      </w:r>
      <w:r w:rsidRPr="00802908">
        <w:rPr>
          <w:rFonts w:ascii="Arial" w:eastAsia="Times New Roman" w:hAnsi="Arial" w:cs="Arial"/>
          <w:szCs w:val="22"/>
        </w:rPr>
        <w:t>as a trading venue. So both parties</w:t>
      </w:r>
      <w:r>
        <w:rPr>
          <w:rFonts w:ascii="Arial" w:eastAsia="Times New Roman" w:hAnsi="Arial" w:cs="Arial"/>
          <w:szCs w:val="22"/>
        </w:rPr>
        <w:t>, market makers and liquidity providers</w:t>
      </w:r>
      <w:r w:rsidRPr="00802908">
        <w:rPr>
          <w:rFonts w:ascii="Arial" w:eastAsia="Times New Roman" w:hAnsi="Arial" w:cs="Arial"/>
          <w:szCs w:val="22"/>
        </w:rPr>
        <w:t xml:space="preserve"> should be deleted in the definition of an</w:t>
      </w:r>
      <w:r>
        <w:rPr>
          <w:rFonts w:ascii="Arial" w:eastAsia="Times New Roman" w:hAnsi="Arial" w:cs="Arial"/>
          <w:szCs w:val="22"/>
        </w:rPr>
        <w:t xml:space="preserve"> "execution venue" in Article 2</w:t>
      </w:r>
      <w:r w:rsidRPr="00802908">
        <w:rPr>
          <w:rFonts w:ascii="Arial" w:eastAsia="Times New Roman" w:hAnsi="Arial" w:cs="Arial"/>
          <w:szCs w:val="22"/>
        </w:rPr>
        <w:t>(3</w:t>
      </w:r>
      <w:r>
        <w:rPr>
          <w:rFonts w:ascii="Arial" w:eastAsia="Times New Roman" w:hAnsi="Arial" w:cs="Arial"/>
          <w:szCs w:val="22"/>
        </w:rPr>
        <w:t>)</w:t>
      </w:r>
      <w:r w:rsidRPr="00802908">
        <w:rPr>
          <w:rFonts w:ascii="Arial" w:eastAsia="Times New Roman" w:hAnsi="Arial" w:cs="Arial"/>
          <w:szCs w:val="22"/>
        </w:rPr>
        <w:t xml:space="preserve"> </w:t>
      </w:r>
      <w:r>
        <w:rPr>
          <w:rFonts w:ascii="Arial" w:eastAsia="Times New Roman" w:hAnsi="Arial" w:cs="Arial"/>
          <w:szCs w:val="22"/>
        </w:rPr>
        <w:t>draft RTS 6</w:t>
      </w:r>
      <w:r w:rsidRPr="00802908">
        <w:rPr>
          <w:rFonts w:ascii="Arial" w:eastAsia="Times New Roman" w:hAnsi="Arial" w:cs="Arial"/>
          <w:szCs w:val="22"/>
        </w:rPr>
        <w:t>. In addition, there has been no request for ESMA to define (and extend) the term execution venue.</w:t>
      </w:r>
    </w:p>
    <w:p w:rsidR="0059228C" w:rsidRDefault="0059228C" w:rsidP="0059228C">
      <w:pPr>
        <w:keepNext/>
        <w:rPr>
          <w:rFonts w:ascii="Arial" w:eastAsia="Times New Roman" w:hAnsi="Arial" w:cs="Arial"/>
          <w:szCs w:val="22"/>
        </w:rPr>
      </w:pPr>
    </w:p>
    <w:p w:rsidR="0059228C" w:rsidRDefault="0059228C" w:rsidP="0059228C">
      <w:pPr>
        <w:keepNext/>
        <w:rPr>
          <w:rFonts w:ascii="Arial" w:eastAsia="Times New Roman" w:hAnsi="Arial" w:cs="Arial"/>
          <w:szCs w:val="22"/>
        </w:rPr>
      </w:pPr>
      <w:r w:rsidRPr="006B0C27">
        <w:rPr>
          <w:rFonts w:ascii="Arial" w:eastAsia="Times New Roman" w:hAnsi="Arial" w:cs="Arial"/>
          <w:szCs w:val="22"/>
        </w:rPr>
        <w:t xml:space="preserve">We strongly believe that the introduction of the term „execution venue“ in the level 1 text was meant by the standard setter as a convenient way to cover trading venues and systematic internalisers with one term. </w:t>
      </w:r>
      <w:r>
        <w:rPr>
          <w:rFonts w:ascii="Arial" w:eastAsia="Times New Roman" w:hAnsi="Arial" w:cs="Arial"/>
          <w:szCs w:val="22"/>
        </w:rPr>
        <w:t>Concerning systematic internalisers, we repeat that t</w:t>
      </w:r>
      <w:r w:rsidRPr="0090479C">
        <w:rPr>
          <w:rFonts w:ascii="Arial" w:eastAsia="Times New Roman" w:hAnsi="Arial" w:cs="Arial"/>
          <w:szCs w:val="22"/>
        </w:rPr>
        <w:t xml:space="preserve">he extension in the definition of an "execution venue" in Article 2(3) </w:t>
      </w:r>
      <w:r>
        <w:rPr>
          <w:rFonts w:ascii="Arial" w:eastAsia="Times New Roman" w:hAnsi="Arial" w:cs="Arial"/>
          <w:szCs w:val="22"/>
        </w:rPr>
        <w:t xml:space="preserve">draft </w:t>
      </w:r>
      <w:r w:rsidRPr="0090479C">
        <w:rPr>
          <w:rFonts w:ascii="Arial" w:eastAsia="Times New Roman" w:hAnsi="Arial" w:cs="Arial"/>
          <w:szCs w:val="22"/>
        </w:rPr>
        <w:t>RTS 6 on systematic internalisers should be combined with the requirement of a significant market share and the execution of a substantial volume of shares</w:t>
      </w:r>
      <w:r>
        <w:rPr>
          <w:rFonts w:ascii="Arial" w:eastAsia="Times New Roman" w:hAnsi="Arial" w:cs="Arial"/>
          <w:szCs w:val="22"/>
        </w:rPr>
        <w:t xml:space="preserve"> (see Introduction above)</w:t>
      </w:r>
      <w:r w:rsidRPr="0090479C">
        <w:rPr>
          <w:rFonts w:ascii="Arial" w:eastAsia="Times New Roman" w:hAnsi="Arial" w:cs="Arial"/>
          <w:szCs w:val="22"/>
        </w:rPr>
        <w:t xml:space="preserve">. </w:t>
      </w:r>
    </w:p>
    <w:p w:rsidR="0092576F" w:rsidRDefault="0092576F" w:rsidP="0059228C">
      <w:pPr>
        <w:keepNext/>
        <w:rPr>
          <w:rFonts w:ascii="Arial" w:eastAsia="Times New Roman" w:hAnsi="Arial" w:cs="Arial"/>
          <w:szCs w:val="22"/>
        </w:rPr>
      </w:pPr>
    </w:p>
    <w:p w:rsidR="0059228C" w:rsidRDefault="0059228C" w:rsidP="0059228C">
      <w:pPr>
        <w:keepNext/>
        <w:rPr>
          <w:rFonts w:ascii="Arial" w:eastAsia="Times New Roman" w:hAnsi="Arial" w:cs="Arial"/>
          <w:szCs w:val="22"/>
        </w:rPr>
      </w:pPr>
      <w:r w:rsidRPr="006B0C27">
        <w:rPr>
          <w:rFonts w:ascii="Arial" w:eastAsia="Times New Roman" w:hAnsi="Arial" w:cs="Arial"/>
          <w:szCs w:val="22"/>
        </w:rPr>
        <w:t>An extension to market make</w:t>
      </w:r>
      <w:r>
        <w:rPr>
          <w:rFonts w:ascii="Arial" w:eastAsia="Times New Roman" w:hAnsi="Arial" w:cs="Arial"/>
          <w:szCs w:val="22"/>
        </w:rPr>
        <w:t>r</w:t>
      </w:r>
      <w:r w:rsidRPr="006B0C27">
        <w:rPr>
          <w:rFonts w:ascii="Arial" w:eastAsia="Times New Roman" w:hAnsi="Arial" w:cs="Arial"/>
          <w:szCs w:val="22"/>
        </w:rPr>
        <w:t>s, except in the very narrow context of the definition of execution policies, is not supported by level 1.</w:t>
      </w:r>
      <w:r w:rsidRPr="006B0C27">
        <w:t xml:space="preserve"> </w:t>
      </w:r>
      <w:r>
        <w:rPr>
          <w:rFonts w:ascii="Arial" w:eastAsia="Times New Roman" w:hAnsi="Arial" w:cs="Arial"/>
          <w:szCs w:val="22"/>
        </w:rPr>
        <w:t>While the existing MiFID</w:t>
      </w:r>
      <w:r w:rsidRPr="006B0C27">
        <w:rPr>
          <w:rFonts w:ascii="Arial" w:eastAsia="Times New Roman" w:hAnsi="Arial" w:cs="Arial"/>
          <w:szCs w:val="22"/>
        </w:rPr>
        <w:t xml:space="preserve"> Implementation Directive 2006/73/EC provides a definition of „execution venue“ which includes market-makers, this applies only to a very narrow scope of application (Articles 44 and 46) and does not address such „execution venues“ directly. It seems highly problematic to recycle this definition in a completely different context. </w:t>
      </w:r>
    </w:p>
    <w:p w:rsidR="0059228C" w:rsidRDefault="0059228C" w:rsidP="0059228C">
      <w:pPr>
        <w:keepNext/>
        <w:rPr>
          <w:rFonts w:ascii="Arial" w:eastAsia="Times New Roman" w:hAnsi="Arial" w:cs="Arial"/>
          <w:szCs w:val="22"/>
        </w:rPr>
      </w:pPr>
    </w:p>
    <w:p w:rsidR="0059228C" w:rsidRDefault="0059228C" w:rsidP="0059228C">
      <w:pPr>
        <w:keepNext/>
        <w:rPr>
          <w:rFonts w:ascii="Arial" w:eastAsia="Times New Roman" w:hAnsi="Arial" w:cs="Arial"/>
          <w:szCs w:val="22"/>
        </w:rPr>
      </w:pPr>
      <w:r w:rsidRPr="006B0C27">
        <w:rPr>
          <w:rFonts w:ascii="Arial" w:eastAsia="Times New Roman" w:hAnsi="Arial" w:cs="Arial"/>
          <w:szCs w:val="22"/>
        </w:rPr>
        <w:t>The extension to „market</w:t>
      </w:r>
      <w:r>
        <w:rPr>
          <w:rFonts w:ascii="Arial" w:eastAsia="Times New Roman" w:hAnsi="Arial" w:cs="Arial"/>
          <w:szCs w:val="22"/>
        </w:rPr>
        <w:t xml:space="preserve"> </w:t>
      </w:r>
      <w:r w:rsidRPr="006B0C27">
        <w:rPr>
          <w:rFonts w:ascii="Arial" w:eastAsia="Times New Roman" w:hAnsi="Arial" w:cs="Arial"/>
          <w:szCs w:val="22"/>
        </w:rPr>
        <w:t>makers</w:t>
      </w:r>
      <w:r>
        <w:rPr>
          <w:rFonts w:ascii="Arial" w:eastAsia="Times New Roman" w:hAnsi="Arial" w:cs="Arial"/>
          <w:szCs w:val="22"/>
        </w:rPr>
        <w:t>”</w:t>
      </w:r>
      <w:r w:rsidRPr="006B0C27">
        <w:rPr>
          <w:rFonts w:ascii="Arial" w:eastAsia="Times New Roman" w:hAnsi="Arial" w:cs="Arial"/>
          <w:szCs w:val="22"/>
        </w:rPr>
        <w:t xml:space="preserve"> and liqu</w:t>
      </w:r>
      <w:r>
        <w:rPr>
          <w:rFonts w:ascii="Arial" w:eastAsia="Times New Roman" w:hAnsi="Arial" w:cs="Arial"/>
          <w:szCs w:val="22"/>
        </w:rPr>
        <w:t>i</w:t>
      </w:r>
      <w:r w:rsidRPr="006B0C27">
        <w:rPr>
          <w:rFonts w:ascii="Arial" w:eastAsia="Times New Roman" w:hAnsi="Arial" w:cs="Arial"/>
          <w:szCs w:val="22"/>
        </w:rPr>
        <w:t>dity providers“</w:t>
      </w:r>
      <w:r>
        <w:rPr>
          <w:rFonts w:ascii="Arial" w:eastAsia="Times New Roman" w:hAnsi="Arial" w:cs="Arial"/>
          <w:szCs w:val="22"/>
        </w:rPr>
        <w:t xml:space="preserve"> </w:t>
      </w:r>
      <w:r w:rsidRPr="006B0C27">
        <w:rPr>
          <w:rFonts w:ascii="Arial" w:eastAsia="Times New Roman" w:hAnsi="Arial" w:cs="Arial"/>
          <w:szCs w:val="22"/>
        </w:rPr>
        <w:t>directly results in a number of highly negative consequences of the proposed reporting framework, which result in disproportionate costs for the suggested producers of reports and a drastic drop in the usability of any such reports provided.</w:t>
      </w:r>
      <w:r>
        <w:rPr>
          <w:rFonts w:ascii="Arial" w:eastAsia="Times New Roman" w:hAnsi="Arial" w:cs="Arial"/>
          <w:szCs w:val="22"/>
        </w:rPr>
        <w:t xml:space="preserve"> </w:t>
      </w:r>
      <w:r w:rsidRPr="006B0C27">
        <w:rPr>
          <w:rFonts w:ascii="Arial" w:eastAsia="Times New Roman" w:hAnsi="Arial" w:cs="Arial"/>
          <w:szCs w:val="22"/>
        </w:rPr>
        <w:t>Since the best execution report would apply to all instruments quoted by a liquidity provider, and investment firms would have to provide information on up to several hundred thousands of instruments, given the number of bonds available in the market, and the potentially infinite number of derivatives on which a quote could be given. We refer to the list of „liquid“ financial instruments published by ESMA in its consultation papers which already stretch over several hundred pages.</w:t>
      </w:r>
    </w:p>
    <w:p w:rsidR="0059228C" w:rsidRPr="006B0C27" w:rsidRDefault="0059228C" w:rsidP="0059228C">
      <w:pPr>
        <w:keepNext/>
        <w:rPr>
          <w:rFonts w:ascii="Arial" w:eastAsia="Times New Roman" w:hAnsi="Arial" w:cs="Arial"/>
          <w:szCs w:val="22"/>
        </w:rPr>
      </w:pPr>
    </w:p>
    <w:p w:rsidR="0059228C" w:rsidRDefault="0059228C" w:rsidP="0059228C">
      <w:pPr>
        <w:keepNext/>
        <w:rPr>
          <w:rFonts w:ascii="Arial" w:eastAsia="Times New Roman" w:hAnsi="Arial" w:cs="Arial"/>
          <w:szCs w:val="22"/>
        </w:rPr>
      </w:pPr>
      <w:r w:rsidRPr="006B0C27">
        <w:rPr>
          <w:rFonts w:ascii="Arial" w:eastAsia="Times New Roman" w:hAnsi="Arial" w:cs="Arial"/>
          <w:szCs w:val="22"/>
        </w:rPr>
        <w:t xml:space="preserve">In most of these instruments, most of the time no transactions take place, a fact that ESMA should be aware of from the analysis it carried out on liquidity of financial instruments. </w:t>
      </w:r>
      <w:r>
        <w:rPr>
          <w:rFonts w:ascii="Arial" w:eastAsia="Times New Roman" w:hAnsi="Arial" w:cs="Arial"/>
          <w:szCs w:val="22"/>
        </w:rPr>
        <w:t>F</w:t>
      </w:r>
      <w:r w:rsidRPr="006B0C27">
        <w:rPr>
          <w:rFonts w:ascii="Arial" w:eastAsia="Times New Roman" w:hAnsi="Arial" w:cs="Arial"/>
          <w:szCs w:val="22"/>
        </w:rPr>
        <w:t>irstly</w:t>
      </w:r>
      <w:r>
        <w:rPr>
          <w:rFonts w:ascii="Arial" w:eastAsia="Times New Roman" w:hAnsi="Arial" w:cs="Arial"/>
          <w:szCs w:val="22"/>
        </w:rPr>
        <w:t>,</w:t>
      </w:r>
      <w:r w:rsidRPr="006B0C27">
        <w:rPr>
          <w:rFonts w:ascii="Arial" w:eastAsia="Times New Roman" w:hAnsi="Arial" w:cs="Arial"/>
          <w:szCs w:val="22"/>
        </w:rPr>
        <w:t xml:space="preserve"> </w:t>
      </w:r>
      <w:r>
        <w:rPr>
          <w:rFonts w:ascii="Arial" w:eastAsia="Times New Roman" w:hAnsi="Arial" w:cs="Arial"/>
          <w:szCs w:val="22"/>
        </w:rPr>
        <w:t>t</w:t>
      </w:r>
      <w:r w:rsidRPr="006D7FB1">
        <w:rPr>
          <w:rFonts w:ascii="Arial" w:eastAsia="Times New Roman" w:hAnsi="Arial" w:cs="Arial"/>
          <w:szCs w:val="22"/>
        </w:rPr>
        <w:t xml:space="preserve">he result </w:t>
      </w:r>
      <w:r>
        <w:rPr>
          <w:rFonts w:ascii="Arial" w:eastAsia="Times New Roman" w:hAnsi="Arial" w:cs="Arial"/>
          <w:szCs w:val="22"/>
        </w:rPr>
        <w:t>is</w:t>
      </w:r>
      <w:r w:rsidRPr="006D7FB1">
        <w:rPr>
          <w:rFonts w:ascii="Arial" w:eastAsia="Times New Roman" w:hAnsi="Arial" w:cs="Arial"/>
          <w:szCs w:val="22"/>
        </w:rPr>
        <w:t xml:space="preserve">, </w:t>
      </w:r>
      <w:r w:rsidRPr="006B0C27">
        <w:rPr>
          <w:rFonts w:ascii="Arial" w:eastAsia="Times New Roman" w:hAnsi="Arial" w:cs="Arial"/>
          <w:szCs w:val="22"/>
        </w:rPr>
        <w:t>that reports with several hundred thousand records will be produced, but most numbers will actually be zero. While it already seems highly unlikely that any client of an investment firm would download reports from several dozens of investment firm’s webpages, having to process large data files like this actually exceeds the capability of many standard data access tools and will therefore make these reports even more difficult to use for any potentially interested user.</w:t>
      </w:r>
      <w:r>
        <w:rPr>
          <w:rFonts w:ascii="Arial" w:eastAsia="Times New Roman" w:hAnsi="Arial" w:cs="Arial"/>
          <w:szCs w:val="22"/>
        </w:rPr>
        <w:t xml:space="preserve"> </w:t>
      </w:r>
      <w:r w:rsidRPr="006B0C27">
        <w:rPr>
          <w:rFonts w:ascii="Arial" w:eastAsia="Times New Roman" w:hAnsi="Arial" w:cs="Arial"/>
          <w:szCs w:val="22"/>
        </w:rPr>
        <w:t>Secondly, due the low number of transactions in the majority of financial instruments, these execution reports would actually contain nearly 100% of transactions of a given financial institution in most asset classes. Also, there is no distinction in reporting requirements between orders / executions for which actually a best execution requirement applies, and those where this is not the case, including proprietary transactions undertaken for hedging. This creates serious concerns regarding disclosure of commercially sensitive information.</w:t>
      </w:r>
    </w:p>
    <w:p w:rsidR="0059228C" w:rsidRPr="006B0C27" w:rsidRDefault="0059228C" w:rsidP="0059228C">
      <w:pPr>
        <w:keepNext/>
        <w:rPr>
          <w:rFonts w:ascii="Arial" w:eastAsia="Times New Roman" w:hAnsi="Arial" w:cs="Arial"/>
          <w:szCs w:val="22"/>
        </w:rPr>
      </w:pPr>
    </w:p>
    <w:p w:rsidR="0059228C" w:rsidRDefault="0059228C" w:rsidP="0059228C">
      <w:pPr>
        <w:keepNext/>
        <w:rPr>
          <w:rFonts w:ascii="Arial" w:eastAsia="Times New Roman" w:hAnsi="Arial" w:cs="Arial"/>
          <w:szCs w:val="22"/>
        </w:rPr>
      </w:pPr>
      <w:r w:rsidRPr="006B0C27">
        <w:rPr>
          <w:rFonts w:ascii="Arial" w:eastAsia="Times New Roman" w:hAnsi="Arial" w:cs="Arial"/>
          <w:szCs w:val="22"/>
        </w:rPr>
        <w:t>The result of unmanageably large and largely meaningless reports could be very easily avoided by constraining the definition of „execution venues“ to the scope covered by level 1, i.e. trading venues and systematic internalisers</w:t>
      </w:r>
      <w:r>
        <w:rPr>
          <w:rFonts w:ascii="Arial" w:eastAsia="Times New Roman" w:hAnsi="Arial" w:cs="Arial"/>
          <w:szCs w:val="22"/>
        </w:rPr>
        <w:t xml:space="preserve"> under the above mentioned requirements</w:t>
      </w:r>
      <w:r w:rsidRPr="006B0C27">
        <w:rPr>
          <w:rFonts w:ascii="Arial" w:eastAsia="Times New Roman" w:hAnsi="Arial" w:cs="Arial"/>
          <w:szCs w:val="22"/>
        </w:rPr>
        <w:t>. This will result automatically in a reduction of the reports to a size manageable for both producers and users, with a known universe of instruments (for SIs: those instruments for which an SI status has been assumed).</w:t>
      </w:r>
    </w:p>
    <w:permEnd w:id="127271305"/>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9228C" w:rsidRDefault="0059228C" w:rsidP="0059228C">
      <w:pPr>
        <w:keepNext/>
        <w:rPr>
          <w:rFonts w:ascii="Arial" w:eastAsia="Times New Roman" w:hAnsi="Arial" w:cs="Arial"/>
          <w:szCs w:val="22"/>
        </w:rPr>
      </w:pPr>
      <w:permStart w:id="1082404161" w:edGrp="everyone"/>
      <w:r w:rsidRPr="00597F48">
        <w:rPr>
          <w:rFonts w:ascii="Arial" w:hAnsi="Arial" w:cs="Arial"/>
        </w:rPr>
        <w:t>The National Association of German Cooperative Banks</w:t>
      </w:r>
      <w:r w:rsidR="0092576F">
        <w:rPr>
          <w:rFonts w:ascii="Arial" w:hAnsi="Arial" w:cs="Arial"/>
        </w:rPr>
        <w:t xml:space="preserve"> </w:t>
      </w:r>
      <w:r>
        <w:rPr>
          <w:rFonts w:ascii="Arial" w:eastAsia="Times New Roman" w:hAnsi="Arial" w:cs="Arial"/>
          <w:szCs w:val="22"/>
        </w:rPr>
        <w:t xml:space="preserve">does not agree with ESMA’s approach. For market makers as well as liquidity providers </w:t>
      </w:r>
      <w:r w:rsidRPr="00802908">
        <w:rPr>
          <w:rFonts w:ascii="Arial" w:eastAsia="Times New Roman" w:hAnsi="Arial" w:cs="Arial"/>
          <w:szCs w:val="22"/>
        </w:rPr>
        <w:t xml:space="preserve">(in particular the latter, who lack a formal definition) </w:t>
      </w:r>
      <w:r>
        <w:rPr>
          <w:rFonts w:ascii="Arial" w:eastAsia="Times New Roman" w:hAnsi="Arial" w:cs="Arial"/>
          <w:szCs w:val="22"/>
        </w:rPr>
        <w:t>it is not</w:t>
      </w:r>
      <w:r w:rsidRPr="00802908">
        <w:rPr>
          <w:rFonts w:ascii="Arial" w:eastAsia="Times New Roman" w:hAnsi="Arial" w:cs="Arial"/>
          <w:szCs w:val="22"/>
        </w:rPr>
        <w:t xml:space="preserve"> </w:t>
      </w:r>
      <w:r>
        <w:rPr>
          <w:rFonts w:ascii="Arial" w:eastAsia="Times New Roman" w:hAnsi="Arial" w:cs="Arial"/>
          <w:szCs w:val="22"/>
        </w:rPr>
        <w:t xml:space="preserve">practicable </w:t>
      </w:r>
      <w:r w:rsidRPr="00802908">
        <w:rPr>
          <w:rFonts w:ascii="Arial" w:eastAsia="Times New Roman" w:hAnsi="Arial" w:cs="Arial"/>
          <w:szCs w:val="22"/>
        </w:rPr>
        <w:t>to have the same reporting requirement as a trading venue. So both parties</w:t>
      </w:r>
      <w:r>
        <w:rPr>
          <w:rFonts w:ascii="Arial" w:eastAsia="Times New Roman" w:hAnsi="Arial" w:cs="Arial"/>
          <w:szCs w:val="22"/>
        </w:rPr>
        <w:t>, market makers and liquidity providers</w:t>
      </w:r>
      <w:r w:rsidRPr="00802908">
        <w:rPr>
          <w:rFonts w:ascii="Arial" w:eastAsia="Times New Roman" w:hAnsi="Arial" w:cs="Arial"/>
          <w:szCs w:val="22"/>
        </w:rPr>
        <w:t xml:space="preserve"> should be deleted in the definition of an</w:t>
      </w:r>
      <w:r>
        <w:rPr>
          <w:rFonts w:ascii="Arial" w:eastAsia="Times New Roman" w:hAnsi="Arial" w:cs="Arial"/>
          <w:szCs w:val="22"/>
        </w:rPr>
        <w:t xml:space="preserve"> "execution venue" in Article 2</w:t>
      </w:r>
      <w:r w:rsidRPr="00802908">
        <w:rPr>
          <w:rFonts w:ascii="Arial" w:eastAsia="Times New Roman" w:hAnsi="Arial" w:cs="Arial"/>
          <w:szCs w:val="22"/>
        </w:rPr>
        <w:t>(3</w:t>
      </w:r>
      <w:r>
        <w:rPr>
          <w:rFonts w:ascii="Arial" w:eastAsia="Times New Roman" w:hAnsi="Arial" w:cs="Arial"/>
          <w:szCs w:val="22"/>
        </w:rPr>
        <w:t>)</w:t>
      </w:r>
      <w:r w:rsidRPr="00802908">
        <w:rPr>
          <w:rFonts w:ascii="Arial" w:eastAsia="Times New Roman" w:hAnsi="Arial" w:cs="Arial"/>
          <w:szCs w:val="22"/>
        </w:rPr>
        <w:t xml:space="preserve"> </w:t>
      </w:r>
      <w:r>
        <w:rPr>
          <w:rFonts w:ascii="Arial" w:eastAsia="Times New Roman" w:hAnsi="Arial" w:cs="Arial"/>
          <w:szCs w:val="22"/>
        </w:rPr>
        <w:t>draft RTS 6</w:t>
      </w:r>
      <w:r w:rsidRPr="00802908">
        <w:rPr>
          <w:rFonts w:ascii="Arial" w:eastAsia="Times New Roman" w:hAnsi="Arial" w:cs="Arial"/>
          <w:szCs w:val="22"/>
        </w:rPr>
        <w:t>. In addition, there has been no request for ESMA to define (and extend) the term execution venue.</w:t>
      </w:r>
    </w:p>
    <w:p w:rsidR="0059228C" w:rsidRDefault="0059228C" w:rsidP="0059228C">
      <w:pPr>
        <w:keepNext/>
        <w:rPr>
          <w:rFonts w:ascii="Arial" w:eastAsia="Times New Roman" w:hAnsi="Arial" w:cs="Arial"/>
          <w:szCs w:val="22"/>
        </w:rPr>
      </w:pPr>
    </w:p>
    <w:p w:rsidR="0059228C" w:rsidRDefault="0059228C" w:rsidP="0059228C">
      <w:pPr>
        <w:keepNext/>
        <w:rPr>
          <w:rFonts w:ascii="Arial" w:eastAsia="Times New Roman" w:hAnsi="Arial" w:cs="Arial"/>
          <w:szCs w:val="22"/>
        </w:rPr>
      </w:pPr>
      <w:r w:rsidRPr="000747FC">
        <w:rPr>
          <w:rFonts w:ascii="Arial" w:eastAsia="Times New Roman" w:hAnsi="Arial" w:cs="Arial"/>
          <w:szCs w:val="22"/>
        </w:rPr>
        <w:t xml:space="preserve">Where there is a requirement, it seems sensible it should apply to "liquid" (to be defined in more detail) instruments only. Providing data for illiquid instruments would be meaningless, in particular for most fixed-income instruments, and could be misused by participants instead of them making a proper determination of how to meet best execution requirements. </w:t>
      </w:r>
    </w:p>
    <w:p w:rsidR="0059228C" w:rsidRPr="000747FC" w:rsidRDefault="0059228C" w:rsidP="0059228C">
      <w:pPr>
        <w:keepNext/>
        <w:rPr>
          <w:rFonts w:ascii="Arial" w:eastAsia="Times New Roman" w:hAnsi="Arial" w:cs="Arial"/>
          <w:szCs w:val="22"/>
        </w:rPr>
      </w:pPr>
    </w:p>
    <w:p w:rsidR="0059228C" w:rsidRDefault="0059228C" w:rsidP="0059228C">
      <w:pPr>
        <w:keepNext/>
        <w:rPr>
          <w:rFonts w:ascii="Arial" w:eastAsia="Times New Roman" w:hAnsi="Arial" w:cs="Arial"/>
          <w:szCs w:val="22"/>
        </w:rPr>
      </w:pPr>
      <w:r w:rsidRPr="000747FC">
        <w:rPr>
          <w:rFonts w:ascii="Arial" w:eastAsia="Times New Roman" w:hAnsi="Arial" w:cs="Arial"/>
          <w:szCs w:val="22"/>
        </w:rPr>
        <w:t xml:space="preserve">Other asset classes: </w:t>
      </w:r>
      <w:r>
        <w:rPr>
          <w:rFonts w:ascii="Arial" w:eastAsia="Times New Roman" w:hAnsi="Arial" w:cs="Arial"/>
          <w:szCs w:val="22"/>
        </w:rPr>
        <w:t xml:space="preserve">While this maybe </w:t>
      </w:r>
      <w:r w:rsidRPr="000747FC">
        <w:rPr>
          <w:rFonts w:ascii="Arial" w:eastAsia="Times New Roman" w:hAnsi="Arial" w:cs="Arial"/>
          <w:szCs w:val="22"/>
        </w:rPr>
        <w:t xml:space="preserve">more feasible for equities, it is questionable, whether for other asset classes, that generating this data would seem at best irrelevant and at worst confusing. Many other asset classes are not easily comparable so it is not clear what this would achieve. </w:t>
      </w:r>
    </w:p>
    <w:p w:rsidR="0059228C" w:rsidRPr="000747FC" w:rsidRDefault="0059228C" w:rsidP="0059228C">
      <w:pPr>
        <w:keepNext/>
        <w:rPr>
          <w:rFonts w:ascii="Arial" w:eastAsia="Times New Roman" w:hAnsi="Arial" w:cs="Arial"/>
          <w:szCs w:val="22"/>
        </w:rPr>
      </w:pPr>
    </w:p>
    <w:p w:rsidR="0059228C" w:rsidRDefault="0059228C" w:rsidP="0059228C">
      <w:pPr>
        <w:keepNext/>
        <w:rPr>
          <w:rFonts w:ascii="Arial" w:eastAsia="Times New Roman" w:hAnsi="Arial" w:cs="Arial"/>
          <w:szCs w:val="22"/>
        </w:rPr>
      </w:pPr>
      <w:r w:rsidRPr="000747FC">
        <w:rPr>
          <w:rFonts w:ascii="Arial" w:eastAsia="Times New Roman" w:hAnsi="Arial" w:cs="Arial"/>
          <w:szCs w:val="22"/>
        </w:rPr>
        <w:t xml:space="preserve">While on the one hand standardization is good, clients have different needs and those needs are better provided for by customized TCA reports. </w:t>
      </w:r>
    </w:p>
    <w:p w:rsidR="0059228C" w:rsidRPr="000747FC" w:rsidRDefault="0059228C" w:rsidP="0059228C">
      <w:pPr>
        <w:keepNext/>
        <w:rPr>
          <w:rFonts w:ascii="Arial" w:eastAsia="Times New Roman" w:hAnsi="Arial" w:cs="Arial"/>
          <w:szCs w:val="22"/>
        </w:rPr>
      </w:pPr>
    </w:p>
    <w:p w:rsidR="0059228C" w:rsidRDefault="0059228C" w:rsidP="0059228C">
      <w:pPr>
        <w:keepNext/>
        <w:rPr>
          <w:rFonts w:ascii="Arial" w:eastAsia="Times New Roman" w:hAnsi="Arial" w:cs="Arial"/>
          <w:szCs w:val="22"/>
        </w:rPr>
      </w:pPr>
      <w:r w:rsidRPr="000747FC">
        <w:rPr>
          <w:rFonts w:ascii="Arial" w:eastAsia="Times New Roman" w:hAnsi="Arial" w:cs="Arial"/>
          <w:szCs w:val="22"/>
        </w:rPr>
        <w:t>Publication of requests for quotes is not a good indicator or basis for comparison on best execution</w:t>
      </w:r>
      <w:r w:rsidR="0092576F">
        <w:rPr>
          <w:rFonts w:ascii="Arial" w:eastAsia="Times New Roman" w:hAnsi="Arial" w:cs="Arial"/>
          <w:szCs w:val="22"/>
        </w:rPr>
        <w:t>.</w:t>
      </w:r>
      <w:r w:rsidRPr="000747FC">
        <w:rPr>
          <w:rFonts w:ascii="Arial" w:eastAsia="Times New Roman" w:hAnsi="Arial" w:cs="Arial"/>
          <w:szCs w:val="22"/>
        </w:rPr>
        <w:t xml:space="preserve"> </w:t>
      </w:r>
    </w:p>
    <w:p w:rsidR="0059228C" w:rsidRPr="000747FC" w:rsidRDefault="0059228C" w:rsidP="0059228C">
      <w:pPr>
        <w:keepNext/>
        <w:rPr>
          <w:rFonts w:ascii="Arial" w:eastAsia="Times New Roman" w:hAnsi="Arial" w:cs="Arial"/>
          <w:szCs w:val="22"/>
        </w:rPr>
      </w:pPr>
    </w:p>
    <w:p w:rsidR="0059228C" w:rsidRDefault="0059228C" w:rsidP="0059228C">
      <w:pPr>
        <w:keepNext/>
        <w:rPr>
          <w:rFonts w:ascii="Arial" w:eastAsia="Times New Roman" w:hAnsi="Arial" w:cs="Arial"/>
          <w:szCs w:val="22"/>
        </w:rPr>
      </w:pPr>
      <w:r w:rsidRPr="000747FC">
        <w:rPr>
          <w:rFonts w:ascii="Arial" w:eastAsia="Times New Roman" w:hAnsi="Arial" w:cs="Arial"/>
          <w:szCs w:val="22"/>
        </w:rPr>
        <w:t>Some investment firms serving not only retail clients but also professional clien</w:t>
      </w:r>
      <w:r>
        <w:rPr>
          <w:rFonts w:ascii="Arial" w:eastAsia="Times New Roman" w:hAnsi="Arial" w:cs="Arial"/>
          <w:szCs w:val="22"/>
        </w:rPr>
        <w:t xml:space="preserve">ts and eligible counterparties </w:t>
      </w:r>
      <w:r w:rsidRPr="000747FC">
        <w:rPr>
          <w:rFonts w:ascii="Arial" w:eastAsia="Times New Roman" w:hAnsi="Arial" w:cs="Arial"/>
          <w:szCs w:val="22"/>
        </w:rPr>
        <w:t>have different best execution policies for each client group. Therefore, it should be expressly permitted by ESMA to provide the required trade data/execution information for each execution policy in a segregated m</w:t>
      </w:r>
      <w:r>
        <w:rPr>
          <w:rFonts w:ascii="Arial" w:eastAsia="Times New Roman" w:hAnsi="Arial" w:cs="Arial"/>
          <w:szCs w:val="22"/>
        </w:rPr>
        <w:t>anner. Otherwise (in case of a c</w:t>
      </w:r>
      <w:r w:rsidRPr="000747FC">
        <w:rPr>
          <w:rFonts w:ascii="Arial" w:eastAsia="Times New Roman" w:hAnsi="Arial" w:cs="Arial"/>
          <w:szCs w:val="22"/>
        </w:rPr>
        <w:t>onsolidation of these data), the high volumes of institutional client's trades would lead to a distortion of the mingled data and would be rather misleading for either client group, in particular for retail clients. The same approach should expressly be applicable country-by-country as there may be local variations in the execution of orders.</w:t>
      </w:r>
    </w:p>
    <w:p w:rsidR="0059228C" w:rsidRDefault="0059228C" w:rsidP="0059228C">
      <w:pPr>
        <w:keepNext/>
        <w:rPr>
          <w:rFonts w:ascii="Arial" w:eastAsia="Times New Roman" w:hAnsi="Arial" w:cs="Arial"/>
          <w:szCs w:val="22"/>
        </w:rPr>
      </w:pPr>
    </w:p>
    <w:p w:rsidR="0059228C" w:rsidRPr="00597F48" w:rsidRDefault="0059228C" w:rsidP="0059228C">
      <w:pPr>
        <w:keepNext/>
        <w:rPr>
          <w:rFonts w:ascii="Arial" w:eastAsia="Times New Roman" w:hAnsi="Arial" w:cs="Arial"/>
          <w:szCs w:val="22"/>
          <w:lang w:val="en-US"/>
        </w:rPr>
      </w:pPr>
      <w:r w:rsidRPr="00F10249">
        <w:rPr>
          <w:rFonts w:ascii="Arial" w:eastAsia="Times New Roman" w:hAnsi="Arial" w:cs="Arial"/>
          <w:szCs w:val="22"/>
        </w:rPr>
        <w:t xml:space="preserve">It needs to be clarified by ESMA that self-directed, non-advised (execution only) trades shall not be included in the relevant trade data for the three client groups (retail, professional, eligible counterparties). As any self-directed orders encompassing client instructions as to </w:t>
      </w:r>
      <w:r w:rsidRPr="00F10249">
        <w:rPr>
          <w:rFonts w:ascii="Arial" w:eastAsia="Times New Roman" w:hAnsi="Arial" w:cs="Arial"/>
          <w:szCs w:val="22"/>
        </w:rPr>
        <w:lastRenderedPageBreak/>
        <w:t>the execution venues are not being executed by the investment firm according to its best execution principles it would be misleading to include them in the required trade data for the three client groups (retail, professional, eligible counterparties) to be published by the investment firm. Would execution data for such trades be included, this could influence who are the top five execution venues of the investment firm. As a result, the data where orders are executed in the best interest of the client would be distorted. Instead, the directed orders should exclusively be shown in the column "Percentage of orders at execution venue that are directed orders" and not in one of the three client columns.</w:t>
      </w:r>
      <w:r w:rsidRPr="006B0C27">
        <w:rPr>
          <w:rFonts w:ascii="Arial" w:eastAsia="Times New Roman" w:hAnsi="Arial" w:cs="Arial"/>
          <w:szCs w:val="22"/>
          <w:lang w:val="en-US"/>
        </w:rPr>
        <w:t xml:space="preserve"> </w:t>
      </w:r>
    </w:p>
    <w:p w:rsidR="0059228C" w:rsidRPr="00597F48" w:rsidRDefault="0059228C" w:rsidP="0059228C">
      <w:pPr>
        <w:keepNext/>
        <w:rPr>
          <w:rFonts w:ascii="Arial" w:eastAsia="Times New Roman" w:hAnsi="Arial" w:cs="Arial"/>
          <w:szCs w:val="22"/>
          <w:lang w:val="en-US"/>
        </w:rPr>
      </w:pPr>
    </w:p>
    <w:p w:rsidR="0059228C" w:rsidRDefault="0059228C" w:rsidP="0059228C">
      <w:pPr>
        <w:keepNext/>
        <w:rPr>
          <w:rFonts w:ascii="Arial" w:hAnsi="Arial"/>
        </w:rPr>
      </w:pPr>
      <w:r>
        <w:rPr>
          <w:rFonts w:ascii="Arial" w:hAnsi="Arial"/>
        </w:rPr>
        <w:t>Likewise, the designation of counterparty order flows seems redundant to us. An inappropriate differentiation does not result in any advantage on the part of the average retail client, and professional clients may retrieve the data in the form needed. We believe it would be excessive to designate eligible counterparties as proposed in Article 5 (6) of [draft] RTS 7. ESMA itself has determined in section 2.4, recital 29 iii of the Discussion Paper that the differentiation of customer orders shall only comprise retail clients and professional clients, but not eligible counterparties. In addition, such a differentiation would enlarge the requirements as out in the Directive. Disclosures of this kind would allow for conclusions on the structure of order flows of the respective institution, and could thus distort competition. The same applies to the whole of Article 5 of draft RTS 7, which clearly reaches too far from our perspective.</w:t>
      </w:r>
    </w:p>
    <w:p w:rsidR="0059228C" w:rsidRPr="00F03485" w:rsidRDefault="0059228C" w:rsidP="0059228C">
      <w:pPr>
        <w:keepNext/>
        <w:rPr>
          <w:rFonts w:ascii="Arial" w:eastAsia="Times New Roman" w:hAnsi="Arial" w:cs="Arial"/>
          <w:szCs w:val="22"/>
        </w:rPr>
      </w:pPr>
    </w:p>
    <w:p w:rsidR="0059228C" w:rsidRPr="006B0C27" w:rsidRDefault="0059228C" w:rsidP="0059228C">
      <w:pPr>
        <w:keepNext/>
      </w:pPr>
      <w:r>
        <w:rPr>
          <w:rFonts w:ascii="Arial" w:hAnsi="Arial"/>
        </w:rPr>
        <w:t>Furthermore, we would like to stress that the proposed reporting/disclosure of trade information might be disadvantageous for retail clients as institutional clients could use the information to direct their trades in a beneficial manner if the information is made public on a website. The detailed information duties seem to apply to those institutions with a clear focus on retail business, or even those with retail business only. Regarding the customer base, such detailed information does not only appear exaggerated, but could have a misinforming character for retail customers, unable to comprehend the information provided. This might not be in line with the rationale of the directive as being consumer-protective.</w:t>
      </w:r>
      <w:r>
        <w:t xml:space="preserve"> </w:t>
      </w:r>
    </w:p>
    <w:p w:rsidR="0059228C" w:rsidRPr="006B0C27" w:rsidRDefault="0059228C" w:rsidP="0059228C">
      <w:pPr>
        <w:keepNext/>
        <w:rPr>
          <w:rFonts w:ascii="Arial" w:eastAsia="Times New Roman" w:hAnsi="Arial" w:cs="Arial"/>
          <w:szCs w:val="22"/>
        </w:rPr>
      </w:pPr>
    </w:p>
    <w:p w:rsidR="0059228C" w:rsidRPr="0092576F" w:rsidRDefault="0059228C" w:rsidP="0059228C">
      <w:pPr>
        <w:keepNext/>
        <w:rPr>
          <w:rFonts w:ascii="Arial" w:eastAsiaTheme="minorHAnsi" w:hAnsi="Arial" w:cs="Arial"/>
          <w:szCs w:val="22"/>
        </w:rPr>
      </w:pPr>
      <w:r>
        <w:rPr>
          <w:rFonts w:ascii="Arial" w:eastAsiaTheme="minorHAnsi" w:hAnsi="Arial"/>
          <w:color w:val="000000"/>
        </w:rPr>
        <w:t xml:space="preserve">Referring to Article 4 in conjunction with recital 2 of draft RTS 7: the classification of shares into volume categories cannot be used to </w:t>
      </w:r>
      <w:r w:rsidRPr="0092576F">
        <w:rPr>
          <w:rFonts w:ascii="Arial" w:eastAsiaTheme="minorHAnsi" w:hAnsi="Arial"/>
        </w:rPr>
        <w:t>represent national</w:t>
      </w:r>
      <w:r w:rsidRPr="0092576F">
        <w:t xml:space="preserve"> </w:t>
      </w:r>
      <w:r w:rsidRPr="0092576F">
        <w:rPr>
          <w:rFonts w:ascii="Arial" w:eastAsiaTheme="minorHAnsi" w:hAnsi="Arial"/>
        </w:rPr>
        <w:t>markets, the inclusion of which is, however, in the explicit interest of the customer. A classification according to index categories or tradeability at different stock exchanges has been successfully proven since the implementation of MiFID I and should be allowed, besides the exclusive consideration of volume categories alone.</w:t>
      </w:r>
    </w:p>
    <w:p w:rsidR="0059228C" w:rsidRDefault="0059228C" w:rsidP="0059228C">
      <w:pPr>
        <w:keepNext/>
        <w:rPr>
          <w:rFonts w:ascii="Arial" w:eastAsia="Times New Roman" w:hAnsi="Arial" w:cs="Arial"/>
          <w:szCs w:val="22"/>
        </w:rPr>
      </w:pPr>
    </w:p>
    <w:p w:rsidR="0059228C" w:rsidRDefault="0059228C" w:rsidP="0059228C">
      <w:pPr>
        <w:keepNext/>
        <w:rPr>
          <w:rFonts w:ascii="Arial" w:eastAsia="Times New Roman" w:hAnsi="Arial" w:cs="Arial"/>
          <w:szCs w:val="22"/>
        </w:rPr>
      </w:pPr>
      <w:r>
        <w:rPr>
          <w:rFonts w:ascii="Arial" w:hAnsi="Arial"/>
        </w:rPr>
        <w:t>ESMA proposes that investment firms be required to disclose the absolute number of transactions as well as the percentage ratio regarding all transactions executed at the five main execution venues (No. 29 of CP; recital 3 as well as Article 5 (4) of draft RTS 7).We expressly disagree with this proposal. The absolute number of transactions must be kept confidential since a public disclosure of this information could be disadvantageous for the respective institution in terms of free competition. In addition, we believe that appropriate transparency for investors is achieved by disclosing the percentage ratios alone: additional disclosure of the absolute number of transactions would provide no additional transparency for investors.</w:t>
      </w:r>
    </w:p>
    <w:p w:rsidR="0059228C" w:rsidRDefault="0059228C" w:rsidP="0059228C">
      <w:pPr>
        <w:keepNext/>
        <w:rPr>
          <w:rFonts w:ascii="Arial" w:eastAsia="Times New Roman" w:hAnsi="Arial" w:cs="Arial"/>
          <w:szCs w:val="22"/>
        </w:rPr>
      </w:pPr>
    </w:p>
    <w:p w:rsidR="0059228C" w:rsidRPr="006B0C27" w:rsidRDefault="0059228C" w:rsidP="0059228C">
      <w:pPr>
        <w:keepNext/>
        <w:rPr>
          <w:rFonts w:ascii="Arial" w:eastAsia="Times New Roman" w:hAnsi="Arial" w:cs="Arial"/>
          <w:szCs w:val="22"/>
        </w:rPr>
      </w:pPr>
      <w:r>
        <w:rPr>
          <w:rFonts w:ascii="Arial" w:hAnsi="Arial"/>
        </w:rPr>
        <w:lastRenderedPageBreak/>
        <w:t>Moreover, the information demanded in Article 5 (6), (7), and (10) of draft RTS 7 would allow for unwanted conclusions on the structure of order flows of the respective institution and could thus distort competition. We therefore reject the obligation to disclose such information. The same applies to the information demanded under Article 6, No. 1 (b) (ii-iii and v) of [draft] RTS7.</w:t>
      </w:r>
    </w:p>
    <w:permEnd w:id="1082404161"/>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9228C" w:rsidRDefault="0059228C" w:rsidP="0059228C">
      <w:pPr>
        <w:keepNext/>
        <w:rPr>
          <w:rFonts w:ascii="Arial" w:eastAsia="Times New Roman" w:hAnsi="Arial" w:cs="Arial"/>
          <w:szCs w:val="22"/>
        </w:rPr>
      </w:pPr>
      <w:permStart w:id="1194022609" w:edGrp="everyone"/>
      <w:r w:rsidRPr="00597F48">
        <w:rPr>
          <w:rFonts w:ascii="Arial" w:hAnsi="Arial" w:cs="Arial"/>
        </w:rPr>
        <w:t xml:space="preserve">The National Association of German Cooperative Banks, which represents the 1.078 cooperative banks in Germany, </w:t>
      </w:r>
      <w:r>
        <w:rPr>
          <w:rFonts w:ascii="Arial" w:eastAsia="Times New Roman" w:hAnsi="Arial" w:cs="Arial"/>
          <w:szCs w:val="22"/>
        </w:rPr>
        <w:t>does not agree with the proposed approach. Please see our answer to Q35.</w:t>
      </w:r>
    </w:p>
    <w:p w:rsidR="0059228C" w:rsidRDefault="0059228C" w:rsidP="0059228C">
      <w:pPr>
        <w:keepNext/>
        <w:rPr>
          <w:rFonts w:ascii="Arial" w:hAnsi="Arial"/>
        </w:rPr>
      </w:pPr>
    </w:p>
    <w:p w:rsidR="0059228C" w:rsidRDefault="0059228C" w:rsidP="0059228C">
      <w:pPr>
        <w:keepNext/>
        <w:rPr>
          <w:rFonts w:ascii="Arial" w:eastAsia="Times New Roman" w:hAnsi="Arial" w:cs="Arial"/>
          <w:szCs w:val="22"/>
        </w:rPr>
      </w:pPr>
      <w:r>
        <w:rPr>
          <w:rFonts w:ascii="Arial" w:hAnsi="Arial"/>
        </w:rPr>
        <w:t>Moreover, it is not clear to us what is meant by “representive sample of client orders” in No. 35 sentence 1 of the Consultation Paper. We believe that every institution should be allowed to establish its own standards, which it considers adequate according to its order flow structure. Besides, in a number of EU authorities, compulsory backtesting was introduced some time ago (at least in Germany); the respective quality standards have been subject to numerous external audits.</w:t>
      </w:r>
    </w:p>
    <w:p w:rsidR="0059228C" w:rsidRDefault="0059228C" w:rsidP="0059228C">
      <w:pPr>
        <w:keepNext/>
        <w:rPr>
          <w:rFonts w:ascii="Arial" w:hAnsi="Arial"/>
        </w:rPr>
      </w:pPr>
    </w:p>
    <w:p w:rsidR="0059228C" w:rsidRPr="00E14A94" w:rsidRDefault="0059228C" w:rsidP="0059228C">
      <w:pPr>
        <w:keepNext/>
        <w:rPr>
          <w:rFonts w:ascii="Arial" w:eastAsia="Times New Roman" w:hAnsi="Arial" w:cs="Arial"/>
          <w:szCs w:val="22"/>
        </w:rPr>
      </w:pPr>
      <w:r>
        <w:rPr>
          <w:rFonts w:ascii="Arial" w:hAnsi="Arial"/>
        </w:rPr>
        <w:t xml:space="preserve">The information on the five main execution venues (on a single-institution level) is of little benefit to clients, due to the heterogeneous order flow structures. It is only through aggregation of the order flow data by the central securities services provider designated by an individual institution for a specific product cluster that the client receives meaningful information on the order flow structure and the routing behaviour of the respective financial services network regarding the five main execution venues. </w:t>
      </w:r>
    </w:p>
    <w:p w:rsidR="0059228C" w:rsidRPr="00E14A94" w:rsidRDefault="0059228C" w:rsidP="0059228C">
      <w:pPr>
        <w:keepNext/>
        <w:rPr>
          <w:rFonts w:ascii="Arial" w:eastAsia="Times New Roman" w:hAnsi="Arial" w:cs="Arial"/>
          <w:szCs w:val="22"/>
        </w:rPr>
      </w:pPr>
    </w:p>
    <w:p w:rsidR="0059228C" w:rsidRPr="00597F48" w:rsidRDefault="0059228C" w:rsidP="0059228C">
      <w:pPr>
        <w:keepNext/>
        <w:rPr>
          <w:rFonts w:ascii="Arial" w:eastAsia="Times New Roman" w:hAnsi="Arial" w:cs="Arial"/>
          <w:szCs w:val="22"/>
          <w:lang w:val="en-US"/>
        </w:rPr>
      </w:pPr>
      <w:r>
        <w:rPr>
          <w:rFonts w:ascii="Arial" w:hAnsi="Arial"/>
        </w:rPr>
        <w:t>Referring to the information on the Best-Execution-Policy's annual review, institutions which have reviewed, considered appropriate and adopted the policy of their central service provider, should be allowed to adopt, in standardised form, the central service provider's working result of his Policy review and to report on the the results of such reviews.</w:t>
      </w:r>
    </w:p>
    <w:permEnd w:id="1194022609"/>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996936125" w:edGrp="everyone"/>
      <w:r>
        <w:t>TYPE YOUR TEXT HERE</w:t>
      </w:r>
    </w:p>
    <w:permEnd w:id="996936125"/>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223629771" w:edGrp="everyone"/>
      <w:r>
        <w:t>TYPE YOUR TEXT HERE</w:t>
      </w:r>
    </w:p>
    <w:permEnd w:id="223629771"/>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647315456" w:edGrp="everyone"/>
      <w:r>
        <w:t>TYPE YOUR TEXT HERE</w:t>
      </w:r>
    </w:p>
    <w:permEnd w:id="1647315456"/>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396625763" w:edGrp="everyone"/>
      <w:r>
        <w:t>TYPE YOUR TEXT HERE</w:t>
      </w:r>
    </w:p>
    <w:permEnd w:id="396625763"/>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080305621" w:edGrp="everyone"/>
      <w:r>
        <w:t>TYPE YOUR TEXT HERE</w:t>
      </w:r>
    </w:p>
    <w:permEnd w:id="1080305621"/>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2074312555" w:edGrp="everyone"/>
      <w:r>
        <w:t>TYPE YOUR TEXT HERE</w:t>
      </w:r>
    </w:p>
    <w:permEnd w:id="2074312555"/>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2022399775" w:edGrp="everyone"/>
      <w:r>
        <w:t>TYPE YOUR TEXT HERE</w:t>
      </w:r>
    </w:p>
    <w:permEnd w:id="2022399775"/>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833127927" w:edGrp="everyone"/>
      <w:r>
        <w:t>TYPE YOUR TEXT HERE</w:t>
      </w:r>
    </w:p>
    <w:permEnd w:id="1833127927"/>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749367114" w:edGrp="everyone"/>
      <w:r>
        <w:t>TYPE YOUR TEXT HERE</w:t>
      </w:r>
    </w:p>
    <w:permEnd w:id="74936711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092690366" w:edGrp="everyone"/>
      <w:r>
        <w:t>TYPE YOUR TEXT HERE</w:t>
      </w:r>
    </w:p>
    <w:permEnd w:id="1092690366"/>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853B3E" w:rsidRPr="00716EEB" w:rsidRDefault="009F6F6F" w:rsidP="00853B3E">
      <w:pPr>
        <w:rPr>
          <w:rFonts w:ascii="Arial" w:hAnsi="Arial" w:cs="Arial"/>
          <w:lang w:val="en-US"/>
        </w:rPr>
      </w:pPr>
      <w:permStart w:id="712333929" w:edGrp="everyone"/>
      <w:r w:rsidRPr="009F6F6F">
        <w:rPr>
          <w:rFonts w:ascii="Arial" w:hAnsi="Arial" w:cs="Arial"/>
          <w:lang w:val="en-US"/>
        </w:rPr>
        <w:t>The National Association of German Cooperative Banks, which represents the 1.07</w:t>
      </w:r>
      <w:r>
        <w:rPr>
          <w:rFonts w:ascii="Arial" w:hAnsi="Arial" w:cs="Arial"/>
          <w:lang w:val="en-US"/>
        </w:rPr>
        <w:t>8</w:t>
      </w:r>
      <w:r w:rsidRPr="009F6F6F">
        <w:rPr>
          <w:rFonts w:ascii="Arial" w:hAnsi="Arial" w:cs="Arial"/>
          <w:lang w:val="en-US"/>
        </w:rPr>
        <w:t xml:space="preserve"> cooperative banks in Germany</w:t>
      </w:r>
      <w:r w:rsidR="008777DF">
        <w:rPr>
          <w:rFonts w:ascii="Arial" w:hAnsi="Arial" w:cs="Arial"/>
          <w:lang w:val="en-US"/>
        </w:rPr>
        <w:t>,</w:t>
      </w:r>
      <w:r w:rsidR="00853B3E" w:rsidRPr="00716EEB">
        <w:rPr>
          <w:rFonts w:ascii="Arial" w:hAnsi="Arial" w:cs="Arial"/>
          <w:lang w:val="en-US"/>
        </w:rPr>
        <w:t xml:space="preserve"> reject</w:t>
      </w:r>
      <w:r w:rsidR="00D41C72">
        <w:rPr>
          <w:rFonts w:ascii="Arial" w:hAnsi="Arial" w:cs="Arial"/>
          <w:lang w:val="en-US"/>
        </w:rPr>
        <w:t>s</w:t>
      </w:r>
      <w:r w:rsidR="00853B3E" w:rsidRPr="00716EEB">
        <w:rPr>
          <w:rFonts w:ascii="Arial" w:hAnsi="Arial" w:cs="Arial"/>
          <w:lang w:val="en-US"/>
        </w:rPr>
        <w:t xml:space="preserve"> Option 2 as inappropriate. We like to refer to table 14 on page 97 of the Discussion Paper which showed that around 95% of all trades have a volume of up to EUR 10,000. The introduction of a class with an AVT of up to EUR 20,000 and a Standard Market Size (SMS) of EUR 10,000 would have the result that almost every trade would fall within the SMS. This would indeed lead to increased transparency but, as ESMA rightly points out, the goal of increased transparency through the SI regime must be weighed against the protection of SIs against unreasonable risks. The right equilibrium cannot be achieved if nearly all trades are below the SMS. Therefore, either Option 1 or 3 is preferable.</w:t>
      </w:r>
    </w:p>
    <w:permEnd w:id="712333929"/>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E90494" w:rsidRPr="00A758B9" w:rsidRDefault="00E90494" w:rsidP="00E90494">
      <w:pPr>
        <w:keepNext/>
        <w:rPr>
          <w:rFonts w:ascii="Arial" w:hAnsi="Arial" w:cs="Arial"/>
          <w:lang w:val="en-US"/>
        </w:rPr>
      </w:pPr>
      <w:permStart w:id="12060361" w:edGrp="everyone"/>
      <w:r w:rsidRPr="00A758B9">
        <w:rPr>
          <w:rFonts w:ascii="Arial" w:hAnsi="Arial" w:cs="Arial"/>
          <w:lang w:val="en-US"/>
        </w:rPr>
        <w:t>The National Association of German Cooperative Banks, which represents the 1.078 cooperative banks in Germany, welcomes ESMA's intention to exempt so-called "significant distribution transactions" from the trading obligation. Having said that, we do not consider an abstract regulation to be sufficient, since this would fail to create the necessary reliability. ES</w:t>
      </w:r>
      <w:r w:rsidR="00CA7BF5">
        <w:rPr>
          <w:rFonts w:ascii="Arial" w:hAnsi="Arial" w:cs="Arial"/>
          <w:lang w:val="en-US"/>
        </w:rPr>
        <w:t>MA should rather publish a non-</w:t>
      </w:r>
      <w:r w:rsidRPr="00A758B9">
        <w:rPr>
          <w:rFonts w:ascii="Arial" w:hAnsi="Arial" w:cs="Arial"/>
          <w:lang w:val="en-US"/>
        </w:rPr>
        <w:t xml:space="preserve">exhaustive list of transactions that are excluded from the </w:t>
      </w:r>
      <w:r w:rsidRPr="00A758B9">
        <w:rPr>
          <w:rFonts w:ascii="Arial" w:hAnsi="Arial" w:cs="Arial"/>
          <w:lang w:val="en-US"/>
        </w:rPr>
        <w:lastRenderedPageBreak/>
        <w:t>trading obligation. Examples that should be included are: (primary market) transactions in connection with the issuance of shares, including the underwriting of an issue; large-scale acquisitions/sales by an investment firm on the secondary market on behalf of an investor for the purpose of acquiring/selling a large block of shares; transactions to implement other corporate actions, including share buybacks. These transactions are not covered by any of the exemptions as set out in Article 2 of the Draft RTS 8. Since these transactions do not contribute to the price discovery process, they should not be covered by the trading obligation.</w:t>
      </w:r>
    </w:p>
    <w:p w:rsidR="00E90494" w:rsidRPr="00A758B9" w:rsidRDefault="00E90494" w:rsidP="00E90494">
      <w:pPr>
        <w:keepNext/>
        <w:rPr>
          <w:rFonts w:ascii="Arial" w:hAnsi="Arial" w:cs="Arial"/>
          <w:lang w:val="en-US"/>
        </w:rPr>
      </w:pPr>
    </w:p>
    <w:p w:rsidR="004225CD" w:rsidRPr="00B57CBB" w:rsidRDefault="00E90494" w:rsidP="00E90494">
      <w:pPr>
        <w:keepNext/>
        <w:rPr>
          <w:rFonts w:ascii="Arial" w:hAnsi="Arial" w:cs="Arial"/>
        </w:rPr>
      </w:pPr>
      <w:r w:rsidRPr="00A758B9">
        <w:rPr>
          <w:rFonts w:ascii="Arial" w:hAnsi="Arial" w:cs="Arial"/>
          <w:lang w:val="en-US"/>
        </w:rPr>
        <w:t>Furthermore, transactions that are traded on a risk-free principal basis should be exempt. Risk-free principal transactions are transactions commissioned by asset managers on behalf of their clients to investment firms. These individual transactions will be executed by the investment firm in an aggregated way as a total order, on a trading venue. Following the execution of the aggregated order on a trading venue, the total order will be split and allocated to the asset manager's individual clients. Accordingly, these transactions will be concluded between the investment firm and clients on an over-the-counter basis. These OTC transactions entered into with clients should not be subject to the trading obligation, since the investment firm will have already satisfied this requirement by virtue of its activity at the trading venue</w:t>
      </w:r>
    </w:p>
    <w:permEnd w:id="12060361"/>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98980552" w:edGrp="everyone"/>
      <w:r>
        <w:t>TYPE YOUR TEXT HERE</w:t>
      </w:r>
    </w:p>
    <w:permEnd w:id="98980552"/>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1767536140" w:edGrp="everyone"/>
      <w:r>
        <w:t>TYPE YOUR TEXT HERE</w:t>
      </w:r>
    </w:p>
    <w:permEnd w:id="1767536140"/>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954364990" w:edGrp="everyone"/>
      <w:r>
        <w:t>TYPE YOUR TEXT HERE</w:t>
      </w:r>
    </w:p>
    <w:permEnd w:id="95436499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825861285" w:edGrp="everyone"/>
      <w:r>
        <w:t>TYPE YOUR TEXT HERE</w:t>
      </w:r>
    </w:p>
    <w:permEnd w:id="1825861285"/>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776626713" w:edGrp="everyone"/>
      <w:r>
        <w:t>TYPE YOUR TEXT HERE</w:t>
      </w:r>
    </w:p>
    <w:permEnd w:id="776626713"/>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72747171" w:edGrp="everyone"/>
      <w:r>
        <w:t>TYPE YOUR TEXT HERE</w:t>
      </w:r>
    </w:p>
    <w:permEnd w:id="72747171"/>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439137248" w:edGrp="everyone"/>
      <w:r>
        <w:t>TYPE YOUR TEXT HERE</w:t>
      </w:r>
    </w:p>
    <w:permEnd w:id="1439137248"/>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903809155" w:edGrp="everyone"/>
      <w:r>
        <w:t>TYPE YOUR TEXT HERE</w:t>
      </w:r>
    </w:p>
    <w:permEnd w:id="90380915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9F6F6F" w:rsidRPr="009F6F6F" w:rsidRDefault="009F6F6F" w:rsidP="009F6F6F">
      <w:pPr>
        <w:keepNext/>
        <w:rPr>
          <w:lang w:val="en-US"/>
        </w:rPr>
      </w:pPr>
      <w:permStart w:id="1034579713" w:edGrp="everyone"/>
      <w:r w:rsidRPr="009F6F6F">
        <w:rPr>
          <w:lang w:val="en-US"/>
        </w:rPr>
        <w:t>The National Association of German Cooperative Banks, which represents the 1.07</w:t>
      </w:r>
      <w:r>
        <w:rPr>
          <w:lang w:val="en-US"/>
        </w:rPr>
        <w:t>8 cooperative banks in Germany</w:t>
      </w:r>
      <w:r w:rsidR="008777DF">
        <w:rPr>
          <w:lang w:val="en-US"/>
        </w:rPr>
        <w:t>,</w:t>
      </w:r>
      <w:r w:rsidRPr="009F6F6F">
        <w:rPr>
          <w:lang w:val="en-US"/>
        </w:rPr>
        <w:t xml:space="preserve"> strongly disagree</w:t>
      </w:r>
      <w:r w:rsidR="00D41C72">
        <w:rPr>
          <w:lang w:val="en-US"/>
        </w:rPr>
        <w:t>s</w:t>
      </w:r>
      <w:r w:rsidRPr="009F6F6F">
        <w:rPr>
          <w:lang w:val="en-US"/>
        </w:rPr>
        <w:t xml:space="preserve"> with ESMA’s proposal. As a general remark, we urge ESMA to take adequate account of market realities when setting the thresholds. It would be wrong to set the thresholds at a level aiming at a certain coverage ratio (i.e. to set the threshold with the aim of having a certain percentage of bonds above the threshold). It is true that MiFIR aims at increasing market transparency in the non-equity market. However, it is equally true that MiFIR does not intend to create such transparency at the price of unreasonable risks, in particular for systematic internalisers. Defining a liquid market wrongly would result in the risks for systematic internalisers of such instruments becoming prohibitive. Liquidity would then dry up completely. This is not in the interest of issuers or clients.</w:t>
      </w:r>
    </w:p>
    <w:p w:rsidR="009F6F6F" w:rsidRPr="009F6F6F" w:rsidRDefault="009F6F6F" w:rsidP="009F6F6F">
      <w:pPr>
        <w:keepNext/>
        <w:rPr>
          <w:lang w:val="en-US"/>
        </w:rPr>
      </w:pPr>
      <w:r w:rsidRPr="009F6F6F">
        <w:rPr>
          <w:lang w:val="en-US"/>
        </w:rPr>
        <w:t xml:space="preserve">We understand that ESMA has decided to consider a bond or SFP as “liquid” if it trades at least on 200 days a year, it records at least 400 trades a year, and €100,000 of nominal traded per day. These thresholds are clearly too low. In particular, a bond that is not traded (at least almost) on a daily basis - on at least one venue in the EU - cannot be regarded as “liquid”. </w:t>
      </w:r>
    </w:p>
    <w:p w:rsidR="009F6F6F" w:rsidRPr="009F6F6F" w:rsidRDefault="009F6F6F" w:rsidP="009F6F6F">
      <w:pPr>
        <w:keepNext/>
        <w:rPr>
          <w:lang w:val="en-US"/>
        </w:rPr>
      </w:pPr>
      <w:r w:rsidRPr="009F6F6F">
        <w:rPr>
          <w:lang w:val="en-US"/>
        </w:rPr>
        <w:t>We urge ESMA to take into consideration that a key feature of the lifecycle of bonds is that trading takes place – if at all – in the first four weeks following issuance. To take this into account in the liquidity criteria, these first four weeks should be excluded when calculating the thresholds. The same goes with the “number of trading days” and the “average daily volume” criterion. This will ensure that only permanently liquid bonds are deemed “liquid”. We note that with respect to the liquidity criteria for derivatives, ESMA has also taken into account the lifecycle by referring to the time to maturity.</w:t>
      </w:r>
    </w:p>
    <w:p w:rsidR="009F6F6F" w:rsidRPr="009F6F6F" w:rsidRDefault="009F6F6F" w:rsidP="009F6F6F">
      <w:pPr>
        <w:keepNext/>
        <w:rPr>
          <w:lang w:val="en-US"/>
        </w:rPr>
      </w:pPr>
      <w:r w:rsidRPr="009F6F6F">
        <w:rPr>
          <w:lang w:val="en-US"/>
        </w:rPr>
        <w:t>However, the graphics on pages 105 et seq. of the Consultation Paper suffer from the fundamental flaw that they do not take into account the lifecycle. If the first four weeks following issuance had been disregarded, these graphics would show a completely different picture.</w:t>
      </w:r>
    </w:p>
    <w:p w:rsidR="00E70FF7" w:rsidRDefault="009F6F6F" w:rsidP="00EC2C93">
      <w:pPr>
        <w:keepNext/>
        <w:rPr>
          <w:lang w:val="en-US"/>
        </w:rPr>
      </w:pPr>
      <w:r w:rsidRPr="009F6F6F">
        <w:rPr>
          <w:lang w:val="en-US"/>
        </w:rPr>
        <w:t>Furthermore, there should be a more granular approach for non-EU sovereigns and corporate bonds. Under the current approach, US Treasuries and Argentina sovereigns would both fall under a non-EU sovereign definition, although their respective liquidity is completely different. Corporate bonds issued in FX show a different degree of liquidity from those issued in Euro, too.</w:t>
      </w:r>
    </w:p>
    <w:permEnd w:id="1034579713"/>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283419141" w:edGrp="everyone"/>
      <w:r>
        <w:t>TYPE YOUR TEXT HERE</w:t>
      </w:r>
    </w:p>
    <w:permEnd w:id="1283419141"/>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752132677" w:edGrp="everyone"/>
      <w:r>
        <w:t>TYPE YOUR TEXT HERE</w:t>
      </w:r>
    </w:p>
    <w:permEnd w:id="1752132677"/>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103574621" w:edGrp="everyone"/>
      <w:r>
        <w:t>TYPE YOUR TEXT HERE</w:t>
      </w:r>
    </w:p>
    <w:permEnd w:id="1103574621"/>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865752" w:rsidRPr="00A758B9" w:rsidRDefault="00865752" w:rsidP="00865752">
      <w:pPr>
        <w:autoSpaceDE w:val="0"/>
        <w:autoSpaceDN w:val="0"/>
        <w:adjustRightInd w:val="0"/>
        <w:spacing w:line="240" w:lineRule="auto"/>
        <w:jc w:val="left"/>
        <w:rPr>
          <w:rFonts w:ascii="Arial" w:eastAsiaTheme="minorHAnsi" w:hAnsi="Arial" w:cs="Arial"/>
          <w:color w:val="000000"/>
          <w:szCs w:val="22"/>
          <w:lang w:val="en-US"/>
        </w:rPr>
      </w:pPr>
      <w:permStart w:id="320355218" w:edGrp="everyone"/>
      <w:r w:rsidRPr="00A758B9">
        <w:rPr>
          <w:rFonts w:ascii="Arial" w:eastAsiaTheme="minorHAnsi" w:hAnsi="Arial" w:cs="Arial"/>
          <w:color w:val="000000"/>
          <w:szCs w:val="22"/>
          <w:lang w:val="en-US"/>
        </w:rPr>
        <w:t>The proposed methodology to determine which classes of interest rate derivatives are classified as liquid leads to the definition of 'liquid markets' being too wide. The methodology applied is based on the assumption that, for example, fixed-to-floating euro swaps are always plain-vanilla transactions. However, numerous trades have customised specifications, to client's individual needs, or are structured to optimise hedges: therefore, there is no liquidity at all. Further criteria to be taken into consideration in this context include (but are not limited to): diverging roll-over dates, broken tenors, amortising nominal, step-up/step-down coupons, fixed/variable interest rate periods, termination rights, floating-leg spreads, upfront payments).</w:t>
      </w:r>
    </w:p>
    <w:p w:rsidR="00865752" w:rsidRPr="00A758B9" w:rsidRDefault="00865752" w:rsidP="00865752">
      <w:pPr>
        <w:autoSpaceDE w:val="0"/>
        <w:autoSpaceDN w:val="0"/>
        <w:adjustRightInd w:val="0"/>
        <w:spacing w:line="240" w:lineRule="auto"/>
        <w:jc w:val="left"/>
        <w:rPr>
          <w:rFonts w:ascii="Arial" w:eastAsiaTheme="minorHAnsi" w:hAnsi="Arial" w:cs="Arial"/>
          <w:color w:val="000000"/>
          <w:szCs w:val="22"/>
          <w:lang w:val="en-US"/>
        </w:rPr>
      </w:pPr>
    </w:p>
    <w:p w:rsidR="00865752" w:rsidRPr="00A758B9" w:rsidRDefault="00865752" w:rsidP="00865752">
      <w:pPr>
        <w:autoSpaceDE w:val="0"/>
        <w:autoSpaceDN w:val="0"/>
        <w:adjustRightInd w:val="0"/>
        <w:spacing w:line="240" w:lineRule="auto"/>
        <w:jc w:val="left"/>
        <w:rPr>
          <w:rFonts w:ascii="Arial" w:eastAsiaTheme="minorHAnsi" w:hAnsi="Arial" w:cs="Arial"/>
          <w:color w:val="000000"/>
          <w:szCs w:val="22"/>
          <w:lang w:val="en-US"/>
        </w:rPr>
      </w:pPr>
      <w:r w:rsidRPr="00A758B9">
        <w:rPr>
          <w:rFonts w:ascii="Arial" w:eastAsiaTheme="minorHAnsi" w:hAnsi="Arial" w:cs="Arial"/>
          <w:color w:val="000000"/>
          <w:szCs w:val="22"/>
          <w:lang w:val="en-US"/>
        </w:rPr>
        <w:t xml:space="preserve">Re (2) </w:t>
      </w:r>
    </w:p>
    <w:p w:rsidR="00832D64" w:rsidRPr="00A758B9" w:rsidRDefault="00865752" w:rsidP="00865752">
      <w:pPr>
        <w:autoSpaceDE w:val="0"/>
        <w:autoSpaceDN w:val="0"/>
        <w:adjustRightInd w:val="0"/>
        <w:spacing w:line="240" w:lineRule="auto"/>
        <w:jc w:val="left"/>
        <w:rPr>
          <w:rFonts w:ascii="Arial" w:eastAsiaTheme="minorHAnsi" w:hAnsi="Arial" w:cs="Arial"/>
          <w:color w:val="000000"/>
          <w:szCs w:val="22"/>
          <w:lang w:val="en-US"/>
        </w:rPr>
      </w:pPr>
      <w:r w:rsidRPr="00A758B9">
        <w:rPr>
          <w:rFonts w:ascii="Arial" w:eastAsiaTheme="minorHAnsi" w:hAnsi="Arial" w:cs="Arial"/>
          <w:color w:val="000000"/>
          <w:szCs w:val="22"/>
          <w:lang w:val="en-US"/>
        </w:rPr>
        <w:t>Grouping classes by maturity is too granular. Considering the numerous different classes for the purposes of post-trading transparency and as would involve considerable efforts. In fact, it would be sufficient to create a few maturity bands only – for example, for fixed-to-floating ]currency swaps: 0-5 years, 5-10 years and 10-31 years.</w:t>
      </w:r>
      <w:r w:rsidR="00832D64" w:rsidRPr="00A758B9">
        <w:rPr>
          <w:rFonts w:ascii="Arial" w:eastAsiaTheme="minorHAnsi" w:hAnsi="Arial" w:cs="Arial"/>
          <w:color w:val="000000"/>
          <w:szCs w:val="22"/>
          <w:lang w:val="en-US"/>
        </w:rPr>
        <w:t xml:space="preserve">) </w:t>
      </w:r>
    </w:p>
    <w:permEnd w:id="320355218"/>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962216912" w:edGrp="everyone"/>
      <w:r>
        <w:t>TYPE YOUR TEXT HERE</w:t>
      </w:r>
    </w:p>
    <w:permEnd w:id="962216912"/>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E70FF7" w:rsidRPr="00A758B9" w:rsidRDefault="00865752" w:rsidP="00EC2C93">
      <w:pPr>
        <w:keepNext/>
        <w:rPr>
          <w:rFonts w:ascii="Arial" w:hAnsi="Arial" w:cs="Arial"/>
          <w:szCs w:val="22"/>
          <w:lang w:val="en-US"/>
        </w:rPr>
      </w:pPr>
      <w:permStart w:id="250838998" w:edGrp="everyone"/>
      <w:r w:rsidRPr="00A758B9">
        <w:rPr>
          <w:rFonts w:ascii="Arial" w:eastAsiaTheme="minorHAnsi" w:hAnsi="Arial" w:cs="Arial"/>
          <w:color w:val="000000"/>
          <w:szCs w:val="22"/>
          <w:lang w:val="en-US"/>
        </w:rPr>
        <w:t xml:space="preserve">Assuming that ESMA considers the urgently-required distinction between standardised/plain-vanilla trades and customised trades (as suggested in our answer to question no. 64), we would prefer </w:t>
      </w:r>
      <w:r w:rsidRPr="00CA7BF5">
        <w:rPr>
          <w:rFonts w:ascii="Arial" w:eastAsiaTheme="minorHAnsi" w:hAnsi="Arial" w:cs="Arial"/>
          <w:color w:val="000000"/>
          <w:szCs w:val="22"/>
          <w:lang w:val="en-US"/>
        </w:rPr>
        <w:t>option no.</w:t>
      </w:r>
      <w:r w:rsidR="00772FB6">
        <w:rPr>
          <w:rFonts w:ascii="Arial" w:eastAsiaTheme="minorHAnsi" w:hAnsi="Arial" w:cs="Arial"/>
          <w:color w:val="000000"/>
          <w:szCs w:val="22"/>
          <w:lang w:val="en-US"/>
        </w:rPr>
        <w:t xml:space="preserve"> 2.</w:t>
      </w:r>
      <w:r w:rsidR="007B08A9" w:rsidRPr="00CA7BF5" w:rsidDel="004957EE">
        <w:rPr>
          <w:rFonts w:ascii="Arial" w:hAnsi="Arial" w:cs="Arial"/>
          <w:szCs w:val="22"/>
          <w:lang w:val="en-US"/>
        </w:rPr>
        <w:t xml:space="preserve"> </w:t>
      </w:r>
    </w:p>
    <w:permEnd w:id="250838998"/>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E70FF7" w:rsidRPr="00A758B9" w:rsidRDefault="00865752" w:rsidP="00EC2C93">
      <w:pPr>
        <w:keepNext/>
        <w:rPr>
          <w:rFonts w:ascii="Arial" w:eastAsiaTheme="minorHAnsi" w:hAnsi="Arial" w:cs="Arial"/>
          <w:color w:val="000000"/>
          <w:szCs w:val="22"/>
          <w:lang w:val="en-US"/>
        </w:rPr>
      </w:pPr>
      <w:permStart w:id="151331865" w:edGrp="everyone"/>
      <w:r w:rsidRPr="00A758B9">
        <w:rPr>
          <w:rFonts w:ascii="Arial" w:eastAsiaTheme="minorHAnsi" w:hAnsi="Arial" w:cs="Arial"/>
          <w:color w:val="000000"/>
          <w:szCs w:val="22"/>
          <w:lang w:val="en-US"/>
        </w:rPr>
        <w:t>ESMA's analysis was based exclusively on data for exchange-traded derivatives (CP, page 127 (83)). Whilst this approach is understandable for standardised, exchange-traded equity derivatives, it is unclear why ESMA based its analysis on data for exchange-traded equity derivatives only, and extrapolated the results to all equity derivatives. For instance, hedging certificates requires tailor-made equity derivatives which are not traded on exchanges and are only available on the OTC markets. Therefore, ESMA needs to distinguish between standardised equity derivatives (having fixed contract dates – currently the third Friday of each month for equities, and every Friday for indices) and non-standardised equity derivatives (broken tenors, Asian options, barrier options, etc.). Due to the reasons set out above, non-standardised equity derivatives should be classified as illiquid, with lower LIS/SSTI limits/thresholds</w:t>
      </w:r>
      <w:r w:rsidR="00E70FF7" w:rsidRPr="00A758B9">
        <w:rPr>
          <w:rFonts w:ascii="Arial" w:eastAsiaTheme="minorHAnsi" w:hAnsi="Arial" w:cs="Arial"/>
          <w:color w:val="000000"/>
          <w:szCs w:val="22"/>
          <w:lang w:val="en-US"/>
        </w:rPr>
        <w:t>.</w:t>
      </w:r>
    </w:p>
    <w:permEnd w:id="151331865"/>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7B08A9" w:rsidRPr="009463B4" w:rsidRDefault="007B08A9" w:rsidP="007B08A9">
      <w:pPr>
        <w:keepNext/>
        <w:rPr>
          <w:rFonts w:ascii="Arial" w:hAnsi="Arial" w:cs="Arial"/>
          <w:szCs w:val="22"/>
        </w:rPr>
      </w:pPr>
      <w:permStart w:id="9258982" w:edGrp="everyone"/>
      <w:r w:rsidRPr="009463B4">
        <w:rPr>
          <w:rFonts w:ascii="Arial" w:hAnsi="Arial" w:cs="Arial"/>
          <w:szCs w:val="22"/>
        </w:rPr>
        <w:t>No, we do not agree. ESMA has to differentiate between standardized equity derivatives and individual equity derivatives. We also refer to our answer to question 64.</w:t>
      </w:r>
    </w:p>
    <w:permEnd w:id="9258982"/>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506480491" w:edGrp="everyone"/>
      <w:r>
        <w:t>TYPE YOUR TEXT HERE</w:t>
      </w:r>
    </w:p>
    <w:permEnd w:id="506480491"/>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184260440" w:edGrp="everyone"/>
      <w:r>
        <w:t>TYPE YOUR TEXT HERE</w:t>
      </w:r>
    </w:p>
    <w:permEnd w:id="1184260440"/>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604253717" w:edGrp="everyone"/>
      <w:r>
        <w:t>TYPE YOUR TEXT HERE</w:t>
      </w:r>
    </w:p>
    <w:permEnd w:id="60425371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686137204" w:edGrp="everyone"/>
      <w:r>
        <w:t>TYPE YOUR TEXT HERE</w:t>
      </w:r>
    </w:p>
    <w:permEnd w:id="1686137204"/>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690714955" w:edGrp="everyone"/>
      <w:r>
        <w:t>TYPE YOUR TEXT HERE</w:t>
      </w:r>
    </w:p>
    <w:permEnd w:id="1690714955"/>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070748952" w:edGrp="everyone"/>
      <w:r>
        <w:t>TYPE YOUR TEXT HERE</w:t>
      </w:r>
    </w:p>
    <w:permEnd w:id="1070748952"/>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E70FF7" w:rsidRDefault="00D73D1A" w:rsidP="00EC2C93">
      <w:pPr>
        <w:keepNext/>
      </w:pPr>
      <w:permStart w:id="2021920764" w:edGrp="everyone"/>
      <w:r w:rsidRPr="00D73D1A">
        <w:t>With regard to pre trade transparency of the SI, the National Association of German Cooperative Banks</w:t>
      </w:r>
      <w:r w:rsidR="008777DF">
        <w:t>,</w:t>
      </w:r>
      <w:r w:rsidR="008777DF" w:rsidRPr="008777DF">
        <w:t xml:space="preserve"> which represents the 1.078 cooperative banks in Germany</w:t>
      </w:r>
      <w:r w:rsidR="008777DF">
        <w:t>,</w:t>
      </w:r>
      <w:r w:rsidRPr="00D73D1A">
        <w:t xml:space="preserve"> underline</w:t>
      </w:r>
      <w:r>
        <w:t>s</w:t>
      </w:r>
      <w:r w:rsidRPr="00D73D1A">
        <w:t xml:space="preserve"> the need to have a specific SSTI and object to the 50 % LIS-solution because of being unspecific. For an explanation in detail, we refer to our answer to question 77 (2).</w:t>
      </w:r>
    </w:p>
    <w:permEnd w:id="2021920764"/>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841051" w:rsidRDefault="009F6F6F" w:rsidP="00841051">
      <w:pPr>
        <w:rPr>
          <w:lang w:val="en-US"/>
        </w:rPr>
      </w:pPr>
      <w:permStart w:id="1054614614" w:edGrp="everyone"/>
      <w:r w:rsidRPr="009F6F6F">
        <w:rPr>
          <w:lang w:val="en-US"/>
        </w:rPr>
        <w:t>The National Association of German Cooperative Banks</w:t>
      </w:r>
      <w:r w:rsidR="006E090B">
        <w:rPr>
          <w:lang w:val="en-US"/>
        </w:rPr>
        <w:t>, which represents the 1.078 cooperative banks in Germany,</w:t>
      </w:r>
      <w:r w:rsidR="00841051">
        <w:rPr>
          <w:lang w:val="en-US"/>
        </w:rPr>
        <w:t xml:space="preserve"> believe</w:t>
      </w:r>
      <w:r>
        <w:rPr>
          <w:lang w:val="en-US"/>
        </w:rPr>
        <w:t>s</w:t>
      </w:r>
      <w:r w:rsidR="00841051" w:rsidRPr="00312B4C">
        <w:rPr>
          <w:lang w:val="en-US"/>
        </w:rPr>
        <w:t xml:space="preserve"> that </w:t>
      </w:r>
      <w:r w:rsidR="00841051">
        <w:rPr>
          <w:lang w:val="en-US"/>
        </w:rPr>
        <w:t xml:space="preserve">it is not necessary to </w:t>
      </w:r>
      <w:r w:rsidR="00841051" w:rsidRPr="00312B4C">
        <w:rPr>
          <w:lang w:val="en-US"/>
        </w:rPr>
        <w:t>include the date</w:t>
      </w:r>
      <w:r w:rsidR="00841051">
        <w:rPr>
          <w:lang w:val="en-US"/>
        </w:rPr>
        <w:t xml:space="preserve"> and time of publication among </w:t>
      </w:r>
      <w:r w:rsidR="00841051" w:rsidRPr="00312B4C">
        <w:rPr>
          <w:lang w:val="en-US"/>
        </w:rPr>
        <w:t>the fields included in Annex II, Table 1 of RTS 9</w:t>
      </w:r>
      <w:r w:rsidR="00841051">
        <w:rPr>
          <w:lang w:val="en-US"/>
        </w:rPr>
        <w:t>. It is not clear what additional benefit market participants would have from this information. In fact, we note from ESMA’s summary of responses received on the Discussion Paper that the publication of time and date was not proposed by market participants.</w:t>
      </w:r>
    </w:p>
    <w:p w:rsidR="00841051" w:rsidRDefault="00841051" w:rsidP="00841051">
      <w:pPr>
        <w:rPr>
          <w:lang w:val="en-US"/>
        </w:rPr>
      </w:pPr>
      <w:r>
        <w:rPr>
          <w:lang w:val="en-US"/>
        </w:rPr>
        <w:t xml:space="preserve">All relevant information is included in Annex II table 1, no more fields should be added. </w:t>
      </w:r>
    </w:p>
    <w:p w:rsidR="00841051" w:rsidRPr="00312B4C" w:rsidRDefault="00841051" w:rsidP="00841051">
      <w:pPr>
        <w:rPr>
          <w:lang w:val="en-US"/>
        </w:rPr>
      </w:pPr>
      <w:r>
        <w:rPr>
          <w:lang w:val="en-US"/>
        </w:rPr>
        <w:t>In addition, we strongly welcome ESMA’s proposal not to require an SI to disclose its identity. Such disclosure would indeed, as ESMA concludes, expose the SI to unacceptable risks. In addition, such d</w:t>
      </w:r>
      <w:r w:rsidRPr="00312B4C">
        <w:rPr>
          <w:lang w:val="en-US"/>
        </w:rPr>
        <w:t xml:space="preserve">isclosure is not necessary </w:t>
      </w:r>
      <w:r>
        <w:rPr>
          <w:lang w:val="en-US"/>
        </w:rPr>
        <w:t>to achieve market transparency.</w:t>
      </w:r>
    </w:p>
    <w:p w:rsidR="00841051" w:rsidRPr="00312B4C" w:rsidRDefault="00841051" w:rsidP="00841051">
      <w:pPr>
        <w:rPr>
          <w:lang w:val="en-US"/>
        </w:rPr>
      </w:pPr>
    </w:p>
    <w:permEnd w:id="1054614614"/>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841051" w:rsidRPr="00826228" w:rsidRDefault="00841051" w:rsidP="00841051">
      <w:pPr>
        <w:rPr>
          <w:lang w:val="en-US"/>
        </w:rPr>
      </w:pPr>
      <w:permStart w:id="943603313" w:edGrp="everyone"/>
      <w:r w:rsidRPr="00826228">
        <w:rPr>
          <w:lang w:val="en-US"/>
        </w:rPr>
        <w:t>No, the proposed table is superfluous to a great extent</w:t>
      </w:r>
      <w:r>
        <w:rPr>
          <w:lang w:val="en-US"/>
        </w:rPr>
        <w:t xml:space="preserve"> and too detailed</w:t>
      </w:r>
      <w:r w:rsidRPr="00826228">
        <w:rPr>
          <w:lang w:val="en-US"/>
        </w:rPr>
        <w:t xml:space="preserve">. Identifiers should be restricted to the essential information, i.e. identifiers for transactions which were subject to waivers or which benefitted from the use of deferrals. </w:t>
      </w:r>
      <w:r>
        <w:rPr>
          <w:lang w:val="en-US"/>
        </w:rPr>
        <w:t>In our view, the flags for benchmark trades (“B”), agency cross trades (“X”) and technical trade (“T”) could be included in the category of non-price forming trades (“G”), because a distinction between those categories is not relevant for the market. Likewise, a single category of deferred publication could replace the flags for post-trade LIS (“L”), illiquid instrument trade (“I”) and post-trade size specific (“S”). In addition, we think that the flag for algorithmic trades is not necessary, as it is not relevant for other market participants whether or not a trade is based on an algorithm. The update flag (“U”) is also not necessary, because, as stated in our introductory remarks, a transaction should only be published when all detail</w:t>
      </w:r>
      <w:r w:rsidR="00D16D5D">
        <w:rPr>
          <w:lang w:val="en-US"/>
        </w:rPr>
        <w:t>s</w:t>
      </w:r>
      <w:r>
        <w:rPr>
          <w:lang w:val="en-US"/>
        </w:rPr>
        <w:t xml:space="preserve"> of the transaction have been determined. </w:t>
      </w:r>
      <w:r w:rsidRPr="00826228">
        <w:rPr>
          <w:lang w:val="en-US"/>
        </w:rPr>
        <w:t>ESMA’s more detailed table simply means more time and effort needed to assign identifiers correctly, although the market would not be interested in these additional identifiers.</w:t>
      </w:r>
    </w:p>
    <w:permEnd w:id="94360331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841051" w:rsidRDefault="009F6F6F" w:rsidP="00841051">
      <w:pPr>
        <w:rPr>
          <w:lang w:val="en-US"/>
        </w:rPr>
      </w:pPr>
      <w:permStart w:id="249714647" w:edGrp="everyone"/>
      <w:r w:rsidRPr="009F6F6F">
        <w:rPr>
          <w:lang w:val="en-US"/>
        </w:rPr>
        <w:t>The National Association of German Cooperative Banks</w:t>
      </w:r>
      <w:r w:rsidR="00841051">
        <w:rPr>
          <w:lang w:val="en-US"/>
        </w:rPr>
        <w:t xml:space="preserve"> welcome</w:t>
      </w:r>
      <w:r>
        <w:rPr>
          <w:lang w:val="en-US"/>
        </w:rPr>
        <w:t>s</w:t>
      </w:r>
      <w:r w:rsidR="00841051">
        <w:rPr>
          <w:lang w:val="en-US"/>
        </w:rPr>
        <w:t xml:space="preserve"> ESMA’s intention not to impose a maximum delay of only 5 minutes, at least for the first three years. </w:t>
      </w:r>
      <w:r w:rsidR="00841051" w:rsidRPr="00F61C71">
        <w:rPr>
          <w:lang w:val="en-US"/>
        </w:rPr>
        <w:t xml:space="preserve">It should be borne in mind that in the bond market fully electronic trading is less widespread than in the equity market. </w:t>
      </w:r>
      <w:r w:rsidR="00841051">
        <w:rPr>
          <w:lang w:val="en-US"/>
        </w:rPr>
        <w:t>For this reason many message fields</w:t>
      </w:r>
      <w:r w:rsidR="00841051" w:rsidRPr="00F61C71">
        <w:rPr>
          <w:lang w:val="en-US"/>
        </w:rPr>
        <w:t>, including the flags that may be necessary, ha</w:t>
      </w:r>
      <w:r w:rsidR="00841051">
        <w:rPr>
          <w:lang w:val="en-US"/>
        </w:rPr>
        <w:t>ve</w:t>
      </w:r>
      <w:r w:rsidR="00841051" w:rsidRPr="00F61C71">
        <w:rPr>
          <w:lang w:val="en-US"/>
        </w:rPr>
        <w:t xml:space="preserve"> to be </w:t>
      </w:r>
      <w:r w:rsidR="00841051">
        <w:rPr>
          <w:lang w:val="en-US"/>
        </w:rPr>
        <w:t xml:space="preserve">filled in </w:t>
      </w:r>
      <w:r w:rsidR="00841051" w:rsidRPr="00F61C71">
        <w:rPr>
          <w:lang w:val="en-US"/>
        </w:rPr>
        <w:t>and checked manually.</w:t>
      </w:r>
    </w:p>
    <w:p w:rsidR="00841051" w:rsidRDefault="00841051" w:rsidP="00841051">
      <w:pPr>
        <w:rPr>
          <w:lang w:val="en-US"/>
        </w:rPr>
      </w:pPr>
      <w:r>
        <w:rPr>
          <w:lang w:val="en-US"/>
        </w:rPr>
        <w:t>A maximum delay of 15 minutes would be in line with the requirements under the TRACE regime in the US.</w:t>
      </w:r>
    </w:p>
    <w:p w:rsidR="00841051" w:rsidRPr="00613312" w:rsidRDefault="00841051" w:rsidP="00841051">
      <w:pPr>
        <w:rPr>
          <w:lang w:val="en-US"/>
        </w:rPr>
      </w:pPr>
      <w:r>
        <w:rPr>
          <w:lang w:val="en-US"/>
        </w:rPr>
        <w:t xml:space="preserve">We appreciate ESMA’s intention to shorten the maximum period at a later point in time. However, we do not think that ESMA should as of today determine to shorten the maximum period of 15 min after 3 years. We propose a new consultation about this taking into account the changes of trading and technology in the meantime. However, we do not think that in the next 3-5 years there will be changes in trading practices that would allow </w:t>
      </w:r>
      <w:r w:rsidR="00617B5B">
        <w:rPr>
          <w:lang w:val="en-US"/>
        </w:rPr>
        <w:t>shortening</w:t>
      </w:r>
      <w:r>
        <w:rPr>
          <w:lang w:val="en-US"/>
        </w:rPr>
        <w:t xml:space="preserve"> the maximum delay to five minutes because the need for manual processing for complex trades and financial instrumen</w:t>
      </w:r>
      <w:r w:rsidR="00617B5B">
        <w:rPr>
          <w:lang w:val="en-US"/>
        </w:rPr>
        <w:t xml:space="preserve">ts will still exist in future. </w:t>
      </w:r>
      <w:r>
        <w:rPr>
          <w:lang w:val="en-US"/>
        </w:rPr>
        <w:t>Therefore, we suggest that ESMA should observe how the market will develop under the new transparency regime and, based on the information gained from such observance, take a decision after the above mentioned new consultation after 3 years.</w:t>
      </w:r>
    </w:p>
    <w:permEnd w:id="249714647"/>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841051" w:rsidRDefault="00841051" w:rsidP="00841051">
      <w:pPr>
        <w:rPr>
          <w:lang w:val="en-US"/>
        </w:rPr>
      </w:pPr>
      <w:permStart w:id="296497805" w:edGrp="everyone"/>
      <w:r w:rsidRPr="00C164DE">
        <w:rPr>
          <w:lang w:val="en-US"/>
        </w:rPr>
        <w:t>Yes</w:t>
      </w:r>
      <w:r w:rsidR="00B06974">
        <w:rPr>
          <w:lang w:val="en-US"/>
        </w:rPr>
        <w:t>,</w:t>
      </w:r>
      <w:r w:rsidR="009F6F6F" w:rsidRPr="009F6F6F">
        <w:t xml:space="preserve"> </w:t>
      </w:r>
      <w:r w:rsidR="009F6F6F">
        <w:t>t</w:t>
      </w:r>
      <w:r w:rsidR="009F6F6F" w:rsidRPr="009F6F6F">
        <w:rPr>
          <w:lang w:val="en-US"/>
        </w:rPr>
        <w:t>he National Association of German Cooperative Banks</w:t>
      </w:r>
      <w:r w:rsidR="009F6F6F">
        <w:rPr>
          <w:lang w:val="en-US"/>
        </w:rPr>
        <w:t xml:space="preserve"> </w:t>
      </w:r>
      <w:r w:rsidRPr="00C164DE">
        <w:rPr>
          <w:lang w:val="en-US"/>
        </w:rPr>
        <w:t>agree</w:t>
      </w:r>
      <w:r w:rsidR="00B06974">
        <w:rPr>
          <w:lang w:val="en-US"/>
        </w:rPr>
        <w:t>s</w:t>
      </w:r>
      <w:r w:rsidRPr="00C164DE">
        <w:rPr>
          <w:lang w:val="en-US"/>
        </w:rPr>
        <w:t xml:space="preserve"> that such transactions should be exempted. </w:t>
      </w:r>
      <w:r>
        <w:rPr>
          <w:lang w:val="en-US"/>
        </w:rPr>
        <w:t xml:space="preserve">SFT </w:t>
      </w:r>
      <w:r w:rsidRPr="00C164DE">
        <w:rPr>
          <w:lang w:val="en-US"/>
        </w:rPr>
        <w:t xml:space="preserve">are not </w:t>
      </w:r>
      <w:r>
        <w:rPr>
          <w:lang w:val="en-US"/>
        </w:rPr>
        <w:t>primarily b</w:t>
      </w:r>
      <w:r w:rsidRPr="00C164DE">
        <w:rPr>
          <w:lang w:val="en-US"/>
        </w:rPr>
        <w:t>ased on the market price of the respective instrument, but on the rates that apply in the respective repo or securities lending market. These are therefore transactions within the meaning of Article 21(5)(b) of MiFIR whose price is determined by factors other than the current market valuation of the instrument.</w:t>
      </w:r>
    </w:p>
    <w:p w:rsidR="00841051" w:rsidRDefault="00841051" w:rsidP="00841051">
      <w:pPr>
        <w:rPr>
          <w:lang w:val="en-US"/>
        </w:rPr>
      </w:pPr>
    </w:p>
    <w:p w:rsidR="00841051" w:rsidRDefault="00841051" w:rsidP="00841051">
      <w:pPr>
        <w:rPr>
          <w:lang w:val="en-US"/>
        </w:rPr>
      </w:pPr>
      <w:r>
        <w:rPr>
          <w:lang w:val="en-US"/>
        </w:rPr>
        <w:t>Furthermore, portfolio compression trades should also be included in the list of the exempted trades because their price is not determined by current market valuation either.</w:t>
      </w:r>
    </w:p>
    <w:p w:rsidR="00841051" w:rsidRPr="00C164DE" w:rsidRDefault="00841051" w:rsidP="00841051">
      <w:pPr>
        <w:rPr>
          <w:lang w:val="en-US"/>
        </w:rPr>
      </w:pPr>
    </w:p>
    <w:p w:rsidR="00841051" w:rsidRDefault="00841051" w:rsidP="00841051">
      <w:pPr>
        <w:rPr>
          <w:lang w:val="en-US"/>
        </w:rPr>
      </w:pPr>
      <w:r>
        <w:rPr>
          <w:lang w:val="en-US"/>
        </w:rPr>
        <w:t xml:space="preserve">In our view, the RTS should provide that competent authorities may grant a waiver with respect to any type of transaction, if the </w:t>
      </w:r>
      <w:r w:rsidRPr="00C164DE">
        <w:rPr>
          <w:lang w:val="en-US"/>
        </w:rPr>
        <w:t>price is determined by factors other than the current market valuation of the instrument</w:t>
      </w:r>
      <w:r>
        <w:rPr>
          <w:lang w:val="en-US"/>
        </w:rPr>
        <w:t xml:space="preserve">. In particular, the RTS should not provide for an exhaustive list of such types of transactions. Even if it were possible to include all relevant types of transactions where the price </w:t>
      </w:r>
      <w:r w:rsidRPr="00C164DE">
        <w:rPr>
          <w:lang w:val="en-US"/>
        </w:rPr>
        <w:t>is determined by factors other than the current market valuation</w:t>
      </w:r>
      <w:r>
        <w:rPr>
          <w:lang w:val="en-US"/>
        </w:rPr>
        <w:t xml:space="preserve"> and which are market practice today, an exhaustive list of transaction types would not take into account future market developments. Thus, transactions types which may be developed in the future would still be covered by the transparency requirement, even though their price would not be determined by market valuation.</w:t>
      </w:r>
    </w:p>
    <w:p w:rsidR="00E35B68" w:rsidRDefault="00E35B68" w:rsidP="00841051">
      <w:pPr>
        <w:rPr>
          <w:lang w:val="en-US"/>
        </w:rPr>
      </w:pPr>
    </w:p>
    <w:p w:rsidR="00E35B68" w:rsidRPr="00275F57" w:rsidRDefault="00E35B68" w:rsidP="00E35B68">
      <w:pPr>
        <w:rPr>
          <w:rFonts w:ascii="Arial" w:hAnsi="Arial" w:cs="Arial"/>
          <w:szCs w:val="22"/>
        </w:rPr>
      </w:pPr>
      <w:r>
        <w:rPr>
          <w:rFonts w:ascii="Arial" w:hAnsi="Arial" w:cs="Arial"/>
          <w:szCs w:val="22"/>
        </w:rPr>
        <w:t xml:space="preserve">There are always types of trades with all kinds of financial instruments where only the information volume is available within the timeframe of the publication, but not the price etc. A publication of these trades with incomplete message fields would invite to market abuse of other market participants. Only when all details to be published have been fixed, the trade should be published. A special regulation for this is needed in Art. 7 para 5 RTS.  </w:t>
      </w:r>
    </w:p>
    <w:p w:rsidR="00E35B68" w:rsidRPr="00E35B68" w:rsidRDefault="00E35B68" w:rsidP="00841051"/>
    <w:permEnd w:id="29649780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841051" w:rsidRDefault="00841051" w:rsidP="00841051">
      <w:pPr>
        <w:rPr>
          <w:lang w:val="en-US"/>
        </w:rPr>
      </w:pPr>
      <w:permStart w:id="730213843" w:edGrp="everyone"/>
      <w:r>
        <w:rPr>
          <w:lang w:val="en-US"/>
        </w:rPr>
        <w:t xml:space="preserve">(1) Regarding the </w:t>
      </w:r>
      <w:r w:rsidRPr="00E674E1">
        <w:rPr>
          <w:lang w:val="en-US"/>
        </w:rPr>
        <w:t>deferral period set to 48 hours</w:t>
      </w:r>
      <w:r>
        <w:rPr>
          <w:lang w:val="en-US"/>
        </w:rPr>
        <w:t xml:space="preserve">, </w:t>
      </w:r>
      <w:r w:rsidR="00B06974">
        <w:rPr>
          <w:lang w:val="en-US"/>
        </w:rPr>
        <w:t xml:space="preserve">the National Association of German Cooperative Banks </w:t>
      </w:r>
      <w:r>
        <w:rPr>
          <w:lang w:val="en-US"/>
        </w:rPr>
        <w:t>welcome</w:t>
      </w:r>
      <w:r w:rsidR="00B06974">
        <w:rPr>
          <w:lang w:val="en-US"/>
        </w:rPr>
        <w:t>s</w:t>
      </w:r>
      <w:r>
        <w:rPr>
          <w:lang w:val="en-US"/>
        </w:rPr>
        <w:t xml:space="preserve"> ESMA’s intention to provide for a longer deferral period compared to the proposal in the Discussion Paper. However, we still think that a 48 hours period is too short. </w:t>
      </w:r>
      <w:r w:rsidRPr="00E674E1">
        <w:rPr>
          <w:lang w:val="en-US"/>
        </w:rPr>
        <w:t>The SI often has to unwind large-volume transactions over a period of several days</w:t>
      </w:r>
      <w:r>
        <w:rPr>
          <w:lang w:val="en-US"/>
        </w:rPr>
        <w:t>, esp. in illiquid bonds</w:t>
      </w:r>
      <w:r w:rsidRPr="00E674E1">
        <w:rPr>
          <w:lang w:val="en-US"/>
        </w:rPr>
        <w:t xml:space="preserve">. If the market gains knowledge of the transaction </w:t>
      </w:r>
      <w:r>
        <w:rPr>
          <w:lang w:val="en-US"/>
        </w:rPr>
        <w:t>after two trading days</w:t>
      </w:r>
      <w:r w:rsidRPr="00E674E1">
        <w:rPr>
          <w:lang w:val="en-US"/>
        </w:rPr>
        <w:t xml:space="preserve"> </w:t>
      </w:r>
      <w:r>
        <w:rPr>
          <w:lang w:val="en-US"/>
        </w:rPr>
        <w:t>(or even less, if the 48 hours period covers a weekend or bank holiday)</w:t>
      </w:r>
      <w:r w:rsidRPr="00E674E1">
        <w:rPr>
          <w:lang w:val="en-US"/>
        </w:rPr>
        <w:t xml:space="preserve">, the SI would face unacceptable risks that it would not be able to hedge adequately. Other market participants could use the information against the SI. There would also be disadvantages for the client, as the SI would have to pass on the risks in the form of </w:t>
      </w:r>
      <w:r>
        <w:rPr>
          <w:lang w:val="en-US"/>
        </w:rPr>
        <w:t>less favorable</w:t>
      </w:r>
      <w:r w:rsidRPr="00E674E1">
        <w:rPr>
          <w:lang w:val="en-US"/>
        </w:rPr>
        <w:t xml:space="preserve"> prices. The less liquid an instrument is, the greater are these risks. More granular deferral periods are necessary</w:t>
      </w:r>
      <w:r>
        <w:rPr>
          <w:lang w:val="en-US"/>
        </w:rPr>
        <w:t>, in particular given that the post trade transparency regime also applies to illiquid instruments</w:t>
      </w:r>
      <w:r w:rsidRPr="00E674E1">
        <w:rPr>
          <w:lang w:val="en-US"/>
        </w:rPr>
        <w:t>. For some instruments, deferral periods of several weeks would be appropriate.</w:t>
      </w:r>
      <w:r>
        <w:rPr>
          <w:lang w:val="en-US"/>
        </w:rPr>
        <w:t xml:space="preserve"> In addition, the deferral period should refer to the normal trading hours on the most significant market. Otherwise, a 48 hours deferral period which would commence on Friday evening would expire on Sunday evening. This would obviously not provide sufficient time for the SI to unwind large-volume transactions, in particular in less liquid instruments. We suggest a minimum deferral period of t+2 (resp. more for illiquid instruments) in TARGET days to have a practicable solution. </w:t>
      </w:r>
    </w:p>
    <w:p w:rsidR="00841051" w:rsidRDefault="00841051" w:rsidP="00841051">
      <w:pPr>
        <w:rPr>
          <w:lang w:val="en-US"/>
        </w:rPr>
      </w:pPr>
      <w:r>
        <w:rPr>
          <w:lang w:val="en-US"/>
        </w:rPr>
        <w:t>(2) With regard to the determination of the SSTI threshold, we disagree with ESMA’s approach under which ESMA would determine the LIS threshold and subsequently set the SSTI at 50% of the LIS. This approach disregards the wording of the level 1 text. In particular, when determining the SSTI pursuant to Art. 9(1)(b) MiFIR, Art. 9 para 5 lit. d (ii) MiFIR requires ESMA to take into account, where “</w:t>
      </w:r>
      <w:r w:rsidRPr="00B23F24">
        <w:rPr>
          <w:lang w:val="en-US"/>
        </w:rPr>
        <w:t>a market in the financial instrument, or a class of financial instruments, consists in part of retail investors, the average value of transactions undertaken by those investors</w:t>
      </w:r>
      <w:r>
        <w:rPr>
          <w:lang w:val="en-US"/>
        </w:rPr>
        <w:t>” (a similar wording is contained in Art. 11(1)(c) MiFIR). We do not think that setting the SSTI at 50% of the LIS takes this into account. For example, in Table 1 of Annex 3 of RTS 9, ESMA suggests to set the SSTI for European Sovereign Bonds at 5 million. However, European Sovereign Bonds are a class of financial instrument, which “consists in part of retail investors”. ESMA is therefore required to take into account the average value of transactions undertaken by those investors. Even though under the level 1 text, ESMA may also take into account other criteria, an SSTI of EUR 5 million clearly disregards the level 1 requirement of taking into account the average size of transactions entered into by retail investors. Therefore we argue in favor of an independent regulation of the SSTI. In its deliberations on Art. 18 (2)</w:t>
      </w:r>
      <w:r w:rsidR="00617B5B">
        <w:rPr>
          <w:lang w:val="en-US"/>
        </w:rPr>
        <w:t xml:space="preserve"> MiFIR</w:t>
      </w:r>
      <w:r>
        <w:rPr>
          <w:lang w:val="en-US"/>
        </w:rPr>
        <w:t>, the European Parliament once took EUR 100,000 as a typical volume for this kind of trades (draft version of 27 September 2012). Additionally (and this also applies to the determination of the LIS), i</w:t>
      </w:r>
      <w:r w:rsidRPr="000F6314">
        <w:rPr>
          <w:lang w:val="en-US"/>
        </w:rPr>
        <w:t xml:space="preserve">t would be wrong to set the thresholds at a level aiming at a certain coverage ratio (i.e. to set the threshold with the aim of having a certain percentage of bonds </w:t>
      </w:r>
      <w:r>
        <w:rPr>
          <w:lang w:val="en-US"/>
        </w:rPr>
        <w:t xml:space="preserve">covered </w:t>
      </w:r>
      <w:r w:rsidRPr="000F6314">
        <w:rPr>
          <w:lang w:val="en-US"/>
        </w:rPr>
        <w:t>above the threshold).</w:t>
      </w:r>
      <w:r>
        <w:rPr>
          <w:lang w:val="en-US"/>
        </w:rPr>
        <w:t xml:space="preserve"> This approach would disregard the level 1 requirement that the aim of providing transparency in non-equities has to be balanced with the risks arising from such transparency for investment firms and does not reflect ESMA’s mandate to set the SSTI in accordance with Art. 9 para 5 lit. d </w:t>
      </w:r>
      <w:r w:rsidR="00617B5B">
        <w:rPr>
          <w:lang w:val="en-US"/>
        </w:rPr>
        <w:t>(</w:t>
      </w:r>
      <w:r>
        <w:rPr>
          <w:lang w:val="en-US"/>
        </w:rPr>
        <w:t>ii)</w:t>
      </w:r>
      <w:r w:rsidR="00617B5B">
        <w:rPr>
          <w:lang w:val="en-US"/>
        </w:rPr>
        <w:t xml:space="preserve"> MiFIR</w:t>
      </w:r>
      <w:r>
        <w:rPr>
          <w:lang w:val="en-US"/>
        </w:rPr>
        <w:t>.</w:t>
      </w:r>
    </w:p>
    <w:p w:rsidR="00841051" w:rsidRDefault="00841051" w:rsidP="00841051">
      <w:pPr>
        <w:rPr>
          <w:lang w:val="en-US"/>
        </w:rPr>
      </w:pPr>
      <w:r>
        <w:rPr>
          <w:lang w:val="en-US"/>
        </w:rPr>
        <w:t xml:space="preserve"> (3) We agree with the </w:t>
      </w:r>
      <w:r w:rsidRPr="00D464D3">
        <w:rPr>
          <w:lang w:val="en-US"/>
        </w:rPr>
        <w:t>volume measure used to set the large in scale threshold as specified in Annex II, Table 3 of draft RTS 9</w:t>
      </w:r>
      <w:r>
        <w:rPr>
          <w:lang w:val="en-US"/>
        </w:rPr>
        <w:t>.</w:t>
      </w:r>
    </w:p>
    <w:p w:rsidR="00841051" w:rsidRDefault="00841051" w:rsidP="00841051">
      <w:pPr>
        <w:rPr>
          <w:lang w:val="en-US"/>
        </w:rPr>
      </w:pPr>
      <w:r>
        <w:rPr>
          <w:lang w:val="en-US"/>
        </w:rPr>
        <w:t xml:space="preserve">(4) Regarding </w:t>
      </w:r>
      <w:r w:rsidRPr="005118A9">
        <w:rPr>
          <w:lang w:val="en-US"/>
        </w:rPr>
        <w:t>pre-trade and post-trade thresholds</w:t>
      </w:r>
      <w:r>
        <w:rPr>
          <w:lang w:val="en-US"/>
        </w:rPr>
        <w:t>, we agree that these thresholds should be</w:t>
      </w:r>
      <w:r w:rsidRPr="005118A9">
        <w:rPr>
          <w:lang w:val="en-US"/>
        </w:rPr>
        <w:t xml:space="preserve"> set at the same size</w:t>
      </w:r>
      <w:r>
        <w:rPr>
          <w:lang w:val="en-US"/>
        </w:rPr>
        <w:t>.</w:t>
      </w:r>
    </w:p>
    <w:p w:rsidR="00841051" w:rsidRDefault="00841051" w:rsidP="00841051">
      <w:pPr>
        <w:rPr>
          <w:lang w:val="en-US"/>
        </w:rPr>
      </w:pPr>
      <w:r>
        <w:rPr>
          <w:lang w:val="en-US"/>
        </w:rPr>
        <w:t xml:space="preserve">(5) Regarding the determination of the large in scale thresholds, we prefer option 2 proposed by ESMA as it would take into account market development without requiring amendments to the RTS. With respect to the thresholds proposed for 2017, we think that the EUR 5 million large in scale threshold for subordinated non-financial corporate bonds (i.e. the last row of table 1 in Annex III of RTS 9) is far too high. Such threshold should be set at no more than EUR 1 million. </w:t>
      </w:r>
    </w:p>
    <w:p w:rsidR="00841051" w:rsidRDefault="00841051" w:rsidP="00841051">
      <w:pPr>
        <w:rPr>
          <w:lang w:val="en-US"/>
        </w:rPr>
      </w:pPr>
      <w:r>
        <w:rPr>
          <w:lang w:val="en-US"/>
        </w:rPr>
        <w:t>In addition, the large in scale and size specific to the instrument should depend on the period of time which has expired since the date of issuance. The trading volume for bonds significantly decreases after a certain period of time following the issuance. While, subject to our comments above regarding for subordinated non-financial corporate bond, we agree with the thresholds proposed by ESMA for the period immediately following issuance, the thresholds should be set much lower after the initial trading period.</w:t>
      </w:r>
    </w:p>
    <w:p w:rsidR="00E35B68" w:rsidRDefault="00E35B68" w:rsidP="00841051">
      <w:pPr>
        <w:rPr>
          <w:lang w:val="en-US"/>
        </w:rPr>
      </w:pPr>
      <w:r w:rsidRPr="00833DBD">
        <w:rPr>
          <w:lang w:val="en-US"/>
        </w:rPr>
        <w:t xml:space="preserve">With respect to Art. </w:t>
      </w:r>
      <w:r>
        <w:rPr>
          <w:lang w:val="en-US"/>
        </w:rPr>
        <w:t>11 para 3</w:t>
      </w:r>
      <w:r w:rsidR="00981417">
        <w:rPr>
          <w:lang w:val="en-US"/>
        </w:rPr>
        <w:t xml:space="preserve"> RTS 9</w:t>
      </w:r>
      <w:r>
        <w:rPr>
          <w:lang w:val="en-US"/>
        </w:rPr>
        <w:t>, t</w:t>
      </w:r>
      <w:r w:rsidRPr="00833DBD">
        <w:rPr>
          <w:rFonts w:ascii="Arial" w:eastAsiaTheme="minorHAnsi" w:hAnsi="Arial" w:cs="Arial"/>
          <w:szCs w:val="22"/>
          <w:lang w:val="en-US"/>
        </w:rPr>
        <w:t>he threshold determined in accordance to paragraph (2) sh</w:t>
      </w:r>
      <w:r>
        <w:rPr>
          <w:rFonts w:ascii="Arial" w:eastAsiaTheme="minorHAnsi" w:hAnsi="Arial" w:cs="Arial"/>
          <w:szCs w:val="22"/>
          <w:lang w:val="en-US"/>
        </w:rPr>
        <w:t xml:space="preserve">ould </w:t>
      </w:r>
      <w:r w:rsidRPr="00833DBD">
        <w:rPr>
          <w:rFonts w:ascii="Arial" w:eastAsiaTheme="minorHAnsi" w:hAnsi="Arial" w:cs="Arial"/>
          <w:szCs w:val="22"/>
          <w:lang w:val="en-US"/>
        </w:rPr>
        <w:t xml:space="preserve">be rounded </w:t>
      </w:r>
      <w:r>
        <w:rPr>
          <w:rFonts w:ascii="Arial" w:eastAsiaTheme="minorHAnsi" w:hAnsi="Arial" w:cs="Arial"/>
          <w:szCs w:val="22"/>
          <w:lang w:val="en-US"/>
        </w:rPr>
        <w:t xml:space="preserve">down and not </w:t>
      </w:r>
      <w:r w:rsidRPr="00833DBD">
        <w:rPr>
          <w:rFonts w:ascii="Arial" w:eastAsiaTheme="minorHAnsi" w:hAnsi="Arial" w:cs="Arial"/>
          <w:szCs w:val="22"/>
          <w:lang w:val="en-US"/>
        </w:rPr>
        <w:t>up</w:t>
      </w:r>
      <w:r>
        <w:rPr>
          <w:rFonts w:ascii="Arial" w:eastAsiaTheme="minorHAnsi" w:hAnsi="Arial" w:cs="Arial"/>
          <w:szCs w:val="22"/>
          <w:lang w:val="en-US"/>
        </w:rPr>
        <w:t xml:space="preserve"> to avoid the unintended consequence of non-legitimized higher threshold values.</w:t>
      </w:r>
    </w:p>
    <w:p w:rsidR="00981417" w:rsidRDefault="00841051" w:rsidP="00EC2C93">
      <w:pPr>
        <w:keepNext/>
        <w:rPr>
          <w:lang w:val="en-US"/>
        </w:rPr>
      </w:pPr>
      <w:r>
        <w:rPr>
          <w:lang w:val="en-US"/>
        </w:rPr>
        <w:t>The same goes with all non-equities.</w:t>
      </w:r>
    </w:p>
    <w:permEnd w:id="730213843"/>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841051" w:rsidRDefault="00841051" w:rsidP="00841051">
      <w:pPr>
        <w:rPr>
          <w:lang w:val="en-US"/>
        </w:rPr>
      </w:pPr>
      <w:permStart w:id="1268546249" w:edGrp="everyone"/>
      <w:r>
        <w:rPr>
          <w:lang w:val="en-US"/>
        </w:rPr>
        <w:t xml:space="preserve">Our response to Q77, items (1) to (5) applies </w:t>
      </w:r>
      <w:r w:rsidRPr="002B5713">
        <w:rPr>
          <w:i/>
          <w:lang w:val="en-US"/>
        </w:rPr>
        <w:t>mutatis mutandis</w:t>
      </w:r>
      <w:r>
        <w:rPr>
          <w:lang w:val="en-US"/>
        </w:rPr>
        <w:t>. Regarding the LIS thresholds, we agree with ESMA’s proposal except that the thresholds for swaptions (Tables 13 and 14) should also take into account the time to maturity or tenor (as ESMA proposes with respect to the other interest derivative products).</w:t>
      </w:r>
    </w:p>
    <w:permEnd w:id="1268546249"/>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841051" w:rsidRDefault="00841051" w:rsidP="00841051">
      <w:pPr>
        <w:rPr>
          <w:lang w:val="en-US"/>
        </w:rPr>
      </w:pPr>
      <w:permStart w:id="1034441187" w:edGrp="everyone"/>
      <w:r>
        <w:rPr>
          <w:lang w:val="en-US"/>
        </w:rPr>
        <w:t xml:space="preserve">Our response to Q77 applies </w:t>
      </w:r>
      <w:r w:rsidRPr="002B5713">
        <w:rPr>
          <w:i/>
          <w:lang w:val="en-US"/>
        </w:rPr>
        <w:t>mutatis mutandis</w:t>
      </w:r>
      <w:r>
        <w:rPr>
          <w:lang w:val="en-US"/>
        </w:rPr>
        <w:t xml:space="preserve">. </w:t>
      </w:r>
    </w:p>
    <w:permEnd w:id="1034441187"/>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841051" w:rsidRDefault="00841051" w:rsidP="00841051">
      <w:pPr>
        <w:rPr>
          <w:lang w:val="en-US"/>
        </w:rPr>
      </w:pPr>
      <w:permStart w:id="1031472192" w:edGrp="everyone"/>
      <w:r>
        <w:rPr>
          <w:lang w:val="en-US"/>
        </w:rPr>
        <w:t xml:space="preserve">Our response to Q77 applies </w:t>
      </w:r>
      <w:r w:rsidRPr="002B5713">
        <w:rPr>
          <w:i/>
          <w:lang w:val="en-US"/>
        </w:rPr>
        <w:t>mutatis mutandis</w:t>
      </w:r>
      <w:r>
        <w:rPr>
          <w:lang w:val="en-US"/>
        </w:rPr>
        <w:t xml:space="preserve">. </w:t>
      </w:r>
    </w:p>
    <w:permEnd w:id="1031472192"/>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841051" w:rsidRDefault="00841051" w:rsidP="00841051">
      <w:pPr>
        <w:rPr>
          <w:lang w:val="en-US"/>
        </w:rPr>
      </w:pPr>
      <w:permStart w:id="1149656408" w:edGrp="everyone"/>
      <w:r>
        <w:rPr>
          <w:lang w:val="en-US"/>
        </w:rPr>
        <w:t xml:space="preserve">Our response to Q77 applies </w:t>
      </w:r>
      <w:r w:rsidRPr="002B5713">
        <w:rPr>
          <w:i/>
          <w:lang w:val="en-US"/>
        </w:rPr>
        <w:t>mutatis mutandis</w:t>
      </w:r>
      <w:r>
        <w:rPr>
          <w:lang w:val="en-US"/>
        </w:rPr>
        <w:t xml:space="preserve">. </w:t>
      </w:r>
    </w:p>
    <w:permEnd w:id="1149656408"/>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841051" w:rsidRDefault="00841051" w:rsidP="00841051">
      <w:pPr>
        <w:rPr>
          <w:lang w:val="en-US"/>
        </w:rPr>
      </w:pPr>
      <w:permStart w:id="139266815" w:edGrp="everyone"/>
      <w:r>
        <w:rPr>
          <w:lang w:val="en-US"/>
        </w:rPr>
        <w:t xml:space="preserve">Our response to Q77 applies </w:t>
      </w:r>
      <w:r w:rsidRPr="002B5713">
        <w:rPr>
          <w:i/>
          <w:lang w:val="en-US"/>
        </w:rPr>
        <w:t>mutatis mutandis</w:t>
      </w:r>
      <w:r>
        <w:rPr>
          <w:lang w:val="en-US"/>
        </w:rPr>
        <w:t xml:space="preserve">. </w:t>
      </w:r>
    </w:p>
    <w:permEnd w:id="139266815"/>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841051" w:rsidRPr="001B6700" w:rsidRDefault="009F6F6F" w:rsidP="00841051">
      <w:pPr>
        <w:rPr>
          <w:lang w:val="en-US"/>
        </w:rPr>
      </w:pPr>
      <w:permStart w:id="1611931508" w:edGrp="everyone"/>
      <w:r w:rsidRPr="009F6F6F">
        <w:rPr>
          <w:lang w:val="en-US"/>
        </w:rPr>
        <w:t>The National Association of German Cooperative Banks</w:t>
      </w:r>
      <w:r w:rsidR="00841051">
        <w:rPr>
          <w:lang w:val="en-US"/>
        </w:rPr>
        <w:t xml:space="preserve"> strongly disagree</w:t>
      </w:r>
      <w:r w:rsidR="006D4A40">
        <w:rPr>
          <w:lang w:val="en-US"/>
        </w:rPr>
        <w:t>s</w:t>
      </w:r>
      <w:r w:rsidR="00841051">
        <w:rPr>
          <w:lang w:val="en-US"/>
        </w:rPr>
        <w:t xml:space="preserve"> with ESMA’s proposal as set out in Art. 10(1)(a)(i) of the draft RTS, i.e. that i</w:t>
      </w:r>
      <w:r w:rsidR="00841051" w:rsidRPr="001B6700">
        <w:rPr>
          <w:lang w:val="en-US"/>
        </w:rPr>
        <w:t xml:space="preserve">f exercising the right pursuant to Article 11(3)(a) </w:t>
      </w:r>
      <w:r w:rsidR="00841051">
        <w:rPr>
          <w:lang w:val="en-US"/>
        </w:rPr>
        <w:t xml:space="preserve">MiFIR, </w:t>
      </w:r>
      <w:r w:rsidR="00841051" w:rsidRPr="001B6700">
        <w:rPr>
          <w:lang w:val="en-US"/>
        </w:rPr>
        <w:t>all the details of a transaction except for those relating to volume, namely quantity and quantity notation</w:t>
      </w:r>
      <w:r w:rsidR="00841051">
        <w:rPr>
          <w:lang w:val="en-US"/>
        </w:rPr>
        <w:t xml:space="preserve"> should be published. </w:t>
      </w:r>
      <w:r w:rsidR="00841051" w:rsidRPr="001B6700">
        <w:rPr>
          <w:lang w:val="en-US"/>
        </w:rPr>
        <w:t xml:space="preserve">In our view, not just the volume of a transaction but in principle the entire transaction should be subject to deferred publication. The point of deferred publication is to protect SIs and other investment firms against the risks associated with the market knowing that they have taken on a large position in financial instruments. For this reason, the deferral should cover all the transaction details. </w:t>
      </w:r>
    </w:p>
    <w:p w:rsidR="00841051" w:rsidRDefault="00841051" w:rsidP="00841051">
      <w:pPr>
        <w:rPr>
          <w:lang w:val="en-US"/>
        </w:rPr>
      </w:pPr>
      <w:r w:rsidRPr="001B6700">
        <w:rPr>
          <w:lang w:val="en-US"/>
        </w:rPr>
        <w:t xml:space="preserve">A requirement to immediately publish all the details of a transaction except its volume would not be </w:t>
      </w:r>
      <w:r>
        <w:rPr>
          <w:lang w:val="en-US"/>
        </w:rPr>
        <w:t xml:space="preserve">in line with the </w:t>
      </w:r>
      <w:r w:rsidRPr="001B6700">
        <w:rPr>
          <w:lang w:val="en-US"/>
        </w:rPr>
        <w:t xml:space="preserve">wording of Article 11(3) MiFIR, which merely stipulates that competent authorities may request deferred publication of “limited details of a transaction”. Only where an extended deferral period is granted </w:t>
      </w:r>
      <w:r w:rsidR="003F458B">
        <w:rPr>
          <w:lang w:val="en-US"/>
        </w:rPr>
        <w:t>A</w:t>
      </w:r>
      <w:r w:rsidRPr="001B6700">
        <w:rPr>
          <w:lang w:val="en-US"/>
        </w:rPr>
        <w:t>rticle 11(3)(b) MiFIR allow</w:t>
      </w:r>
      <w:r w:rsidR="003F458B">
        <w:rPr>
          <w:lang w:val="en-US"/>
        </w:rPr>
        <w:t>s</w:t>
      </w:r>
      <w:r w:rsidRPr="001B6700">
        <w:rPr>
          <w:lang w:val="en-US"/>
        </w:rPr>
        <w:t xml:space="preserve"> (</w:t>
      </w:r>
      <w:r>
        <w:rPr>
          <w:lang w:val="en-US"/>
        </w:rPr>
        <w:t>only</w:t>
      </w:r>
      <w:r w:rsidRPr="001B6700">
        <w:rPr>
          <w:lang w:val="en-US"/>
        </w:rPr>
        <w:t xml:space="preserve">) </w:t>
      </w:r>
      <w:r>
        <w:rPr>
          <w:lang w:val="en-US"/>
        </w:rPr>
        <w:t xml:space="preserve">the </w:t>
      </w:r>
      <w:r w:rsidRPr="001B6700">
        <w:rPr>
          <w:lang w:val="en-US"/>
        </w:rPr>
        <w:t>deferred publication of the volume of a transaction. ESMA’s proposal that in every case of deferred publication all the details of a transaction except its volume should be published thus not only contradicts the regulatory purpose but also the wording and systematic approach of Article 11(3) MiFIR. ESMA’s proposal would thus be generally incompatible with Article 11(3)  MiFIR.</w:t>
      </w:r>
    </w:p>
    <w:p w:rsidR="00E35B68" w:rsidRPr="001B6700" w:rsidRDefault="00E35B68" w:rsidP="00841051">
      <w:pPr>
        <w:rPr>
          <w:lang w:val="en-US"/>
        </w:rPr>
      </w:pPr>
      <w:r w:rsidRPr="00E35B68">
        <w:rPr>
          <w:rFonts w:eastAsia="Calibri" w:cstheme="minorHAnsi"/>
          <w:lang w:val="en-US"/>
        </w:rPr>
        <w:t xml:space="preserve">Moreover, it would be useful that ESMA provides some clarifications regarding the waivers from the transparency requirements. We understand that details on the procedure and scope of such waivers will not be provided for in any RTS. Nevertheless, due to the importance of such waivers, it would be very helpful to obtain ESMA’s views on how the waivers will be granted, who will benefit from such waivers and what the scope of such waivers will be. For example, under Art. 21(4) and Art. 11 MiFIR, competent authorities may grant waivers from post trade transparency for investment firms. However, the following questions arise: Does each investment firm which intends to rely on Art. 21(4) MiFIR has to apply separately for such waiver? If so, does a waiver only apply, for example, to a specific large in scale transaction (which would make the waiver useless, as there would be no time for investment firms to apply for separate waivers for each LIS-transaction)? Does the waiver only apply to the investment firm to which it was granted? Or may a competent authority grant a waiver to all investment firms under its supervision? Likewise, it is not clear whether the waiver applies for an indefinite period or whether it has to be extended </w:t>
      </w:r>
      <w:r>
        <w:rPr>
          <w:rFonts w:eastAsia="Calibri" w:cstheme="minorHAnsi"/>
          <w:lang w:val="en-US"/>
        </w:rPr>
        <w:t>resp.</w:t>
      </w:r>
      <w:r w:rsidRPr="00E35B68">
        <w:rPr>
          <w:rFonts w:eastAsia="Calibri" w:cstheme="minorHAnsi"/>
          <w:lang w:val="en-US"/>
        </w:rPr>
        <w:t xml:space="preserve"> renewed from time to time</w:t>
      </w:r>
      <w:r>
        <w:rPr>
          <w:rFonts w:eastAsia="Calibri" w:cstheme="minorHAnsi"/>
          <w:lang w:val="en-US"/>
        </w:rPr>
        <w:t>.</w:t>
      </w:r>
    </w:p>
    <w:permEnd w:id="1611931508"/>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E25327" w:rsidRDefault="00E25327" w:rsidP="00E25327">
      <w:pPr>
        <w:keepNext/>
      </w:pPr>
      <w:permStart w:id="1809131434" w:edGrp="everyone"/>
      <w:r>
        <w:t xml:space="preserve">(1) </w:t>
      </w:r>
      <w:r w:rsidR="00432167" w:rsidRPr="00432167">
        <w:t>The National Association of German Cooperative Banks, which represents the 1.078 cooperative banks in Germany</w:t>
      </w:r>
      <w:r w:rsidR="00432167">
        <w:t>,</w:t>
      </w:r>
      <w:r w:rsidR="00432167" w:rsidRPr="00432167">
        <w:t xml:space="preserve"> </w:t>
      </w:r>
      <w:r>
        <w:t>agrees with the proposed measur</w:t>
      </w:r>
      <w:r w:rsidR="00427703">
        <w:t xml:space="preserve">es of volume for bonds and SFP, </w:t>
      </w:r>
      <w:r>
        <w:t>securitised derivatives, interest rate derivatives and foreign exchange derivatives. Concerning equity derivatives, ESMA’s proposal encompasses only options and futures. For those underlyings, the proposed volume makes sense, for other underlyings the volume should be measured by the notional amount or reference value.</w:t>
      </w:r>
    </w:p>
    <w:p w:rsidR="00E25327" w:rsidRDefault="00E25327" w:rsidP="00E25327">
      <w:pPr>
        <w:keepNext/>
      </w:pPr>
      <w:r>
        <w:t xml:space="preserve">(2) </w:t>
      </w:r>
      <w:r w:rsidRPr="00E25327">
        <w:t>The National Association of German Cooperative Banks</w:t>
      </w:r>
      <w:r>
        <w:t xml:space="preserve"> agrees with using the reduction of the volume traded as the methodology to assess a drop in liquidity.</w:t>
      </w:r>
    </w:p>
    <w:p w:rsidR="00E25327" w:rsidRDefault="00E25327" w:rsidP="00E25327">
      <w:pPr>
        <w:keepNext/>
      </w:pPr>
      <w:r>
        <w:t xml:space="preserve">(3) </w:t>
      </w:r>
      <w:r w:rsidRPr="00E25327">
        <w:t xml:space="preserve">The National Association of German Cooperative Banks </w:t>
      </w:r>
      <w:r>
        <w:t>strongly disagree</w:t>
      </w:r>
      <w:r w:rsidR="00395D3E">
        <w:t>s</w:t>
      </w:r>
      <w:r>
        <w:t xml:space="preserve"> with the percentages determined for liquid and illiquid instruments to assess the drop in liquidity. We note that these percentages have been reduced as compared to the proposal in the Discussion Paper, while the observation period has been extended from 20 to 30 days. </w:t>
      </w:r>
    </w:p>
    <w:p w:rsidR="00E25327" w:rsidRDefault="00E25327" w:rsidP="00E25327">
      <w:pPr>
        <w:keepNext/>
      </w:pPr>
      <w:r>
        <w:t>A decline in liquidity, as measured by the daily turnover and amounting to 40% for liquid instruments and 20% for illiquid instruments would have a dramatic impact on the risks associated with the obligations of systematic internalisers.</w:t>
      </w:r>
    </w:p>
    <w:p w:rsidR="00E25327" w:rsidRDefault="00E25327" w:rsidP="00E25327">
      <w:pPr>
        <w:keepNext/>
      </w:pPr>
      <w:r>
        <w:t>In addition, the proposed period of 30 trading days, during which the decline in liquidity is measured, is too long. A suspension of pre-and post-trade transparency would only apply after the expiry of this period, as well as after obtaining the necessary opinion of ESMA (Art. 9 (4), Article 11 (2), Article 21 (4) MIFIR). This would mean that obligations applying to liquid instruments may still apply over a period of several weeks, even though these obligations may entail substantial risks for market participants due to the low liquidity.</w:t>
      </w:r>
    </w:p>
    <w:p w:rsidR="00E25327" w:rsidRDefault="00E25327" w:rsidP="00E25327">
      <w:pPr>
        <w:keepNext/>
      </w:pPr>
      <w:r w:rsidRPr="00E25327">
        <w:t>The National Association of German Cooperative Banks</w:t>
      </w:r>
      <w:r>
        <w:t xml:space="preserve"> welcomes ESMA’s proposal that the suspension of transparency requirements can also be based on qualitative criteria. We would like to ask ESMA for clarification that under such quantitative criteria, a temporary suspension of the transparency obligations should be possible immediately after the occurrence of an event that is expected to lead to a significant drop in liquidity. Only in this way it can be prevented that market participants will not have to abide for a longer period by obligations whose fulfilment is no longer reasonable in view of the sudden decline in liquidity.</w:t>
      </w:r>
    </w:p>
    <w:permEnd w:id="1809131434"/>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860837627" w:edGrp="everyone"/>
      <w:r>
        <w:t>TYPE YOUR TEXT HERE</w:t>
      </w:r>
    </w:p>
    <w:permEnd w:id="1860837627"/>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2107006281" w:edGrp="everyone"/>
      <w:r>
        <w:t>TYPE YOUR TEXT HERE</w:t>
      </w:r>
    </w:p>
    <w:permEnd w:id="2107006281"/>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738076875" w:edGrp="everyone"/>
      <w:r>
        <w:t>TYPE YOUR TEXT HERE</w:t>
      </w:r>
    </w:p>
    <w:permEnd w:id="738076875"/>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A04A9" w:rsidRDefault="005A04A9" w:rsidP="005A04A9">
      <w:pPr>
        <w:keepNext/>
        <w:rPr>
          <w:rFonts w:ascii="Arial" w:hAnsi="Arial" w:cs="Arial"/>
        </w:rPr>
      </w:pPr>
      <w:permStart w:id="1705598921" w:edGrp="everyone"/>
      <w:r>
        <w:rPr>
          <w:rFonts w:ascii="Arial" w:hAnsi="Arial" w:cs="Arial"/>
        </w:rPr>
        <w:t xml:space="preserve">In general, </w:t>
      </w:r>
      <w:r w:rsidR="007C46C9">
        <w:rPr>
          <w:rFonts w:ascii="Arial" w:hAnsi="Arial" w:cs="Arial"/>
        </w:rPr>
        <w:t>t</w:t>
      </w:r>
      <w:r w:rsidR="007C46C9" w:rsidRPr="00C76426">
        <w:rPr>
          <w:rFonts w:ascii="Arial" w:hAnsi="Arial" w:cs="Arial"/>
        </w:rPr>
        <w:t>he National Association of German Cooperative Banks</w:t>
      </w:r>
      <w:r w:rsidR="007C46C9">
        <w:rPr>
          <w:rFonts w:ascii="Arial" w:hAnsi="Arial" w:cs="Arial"/>
        </w:rPr>
        <w:t>, which</w:t>
      </w:r>
      <w:r w:rsidR="007C46C9" w:rsidRPr="00C76426">
        <w:rPr>
          <w:rFonts w:ascii="Arial" w:hAnsi="Arial" w:cs="Arial"/>
        </w:rPr>
        <w:t xml:space="preserve"> represents the 1.078 cooperative banks in Germany</w:t>
      </w:r>
      <w:r w:rsidR="007C46C9">
        <w:rPr>
          <w:rFonts w:ascii="Arial" w:hAnsi="Arial" w:cs="Arial"/>
        </w:rPr>
        <w:t>, w</w:t>
      </w:r>
      <w:r>
        <w:rPr>
          <w:rFonts w:ascii="Arial" w:hAnsi="Arial" w:cs="Arial"/>
        </w:rPr>
        <w:t>elcome</w:t>
      </w:r>
      <w:r w:rsidR="007C46C9">
        <w:rPr>
          <w:rFonts w:ascii="Arial" w:hAnsi="Arial" w:cs="Arial"/>
        </w:rPr>
        <w:t>s</w:t>
      </w:r>
      <w:r>
        <w:rPr>
          <w:rFonts w:ascii="Arial" w:hAnsi="Arial" w:cs="Arial"/>
        </w:rPr>
        <w:t xml:space="preserve"> ESMA’s approach to determine the trading obligation on a case-by-case basis. However, the open wording regarding liquidity criteria in the consultation paper and the RTS leaves room for and bears the risk that the trading obligation will extend to such instruments that are not traded on the most common trading venues or only on very few trading venues. </w:t>
      </w:r>
      <w:r w:rsidRPr="002B3B50">
        <w:rPr>
          <w:rFonts w:ascii="Arial" w:hAnsi="Arial" w:cs="Arial"/>
        </w:rPr>
        <w:t xml:space="preserve">This may result in the fact, that market participants will have to connect to a number of trading venues – which is time consuming and costly </w:t>
      </w:r>
      <w:r>
        <w:rPr>
          <w:rFonts w:ascii="Arial" w:hAnsi="Arial" w:cs="Arial"/>
        </w:rPr>
        <w:t>–</w:t>
      </w:r>
      <w:r w:rsidRPr="002B3B50">
        <w:rPr>
          <w:rFonts w:ascii="Arial" w:hAnsi="Arial" w:cs="Arial"/>
        </w:rPr>
        <w:t xml:space="preserve"> </w:t>
      </w:r>
      <w:r>
        <w:rPr>
          <w:rFonts w:ascii="Arial" w:hAnsi="Arial" w:cs="Arial"/>
        </w:rPr>
        <w:t xml:space="preserve">because the trading venue they are already connected with may not offer trading in all instruments subject to the trading obligation. </w:t>
      </w:r>
      <w:r w:rsidRPr="00217624">
        <w:rPr>
          <w:rFonts w:ascii="Arial" w:hAnsi="Arial" w:cs="Arial"/>
        </w:rPr>
        <w:t>In</w:t>
      </w:r>
      <w:r>
        <w:rPr>
          <w:rFonts w:ascii="Arial" w:hAnsi="Arial" w:cs="Arial"/>
        </w:rPr>
        <w:t xml:space="preserve"> such</w:t>
      </w:r>
      <w:r w:rsidRPr="00217624">
        <w:rPr>
          <w:rFonts w:ascii="Arial" w:hAnsi="Arial" w:cs="Arial"/>
        </w:rPr>
        <w:t xml:space="preserve"> </w:t>
      </w:r>
      <w:r>
        <w:rPr>
          <w:rFonts w:ascii="Arial" w:hAnsi="Arial" w:cs="Arial"/>
        </w:rPr>
        <w:t>cases where a trading obligation is imposed on products hitherto offered by only a</w:t>
      </w:r>
      <w:r w:rsidRPr="00217624">
        <w:rPr>
          <w:rFonts w:ascii="Arial" w:hAnsi="Arial" w:cs="Arial"/>
        </w:rPr>
        <w:t xml:space="preserve"> </w:t>
      </w:r>
      <w:r>
        <w:rPr>
          <w:rFonts w:ascii="Arial" w:hAnsi="Arial" w:cs="Arial"/>
        </w:rPr>
        <w:t>small number of</w:t>
      </w:r>
      <w:r w:rsidRPr="00217624">
        <w:rPr>
          <w:rFonts w:ascii="Arial" w:hAnsi="Arial" w:cs="Arial"/>
        </w:rPr>
        <w:t xml:space="preserve"> trading venue</w:t>
      </w:r>
      <w:r>
        <w:rPr>
          <w:rFonts w:ascii="Arial" w:hAnsi="Arial" w:cs="Arial"/>
        </w:rPr>
        <w:t>s</w:t>
      </w:r>
      <w:r w:rsidRPr="00217624">
        <w:rPr>
          <w:rFonts w:ascii="Arial" w:hAnsi="Arial" w:cs="Arial"/>
        </w:rPr>
        <w:t xml:space="preserve"> </w:t>
      </w:r>
      <w:r>
        <w:rPr>
          <w:rFonts w:ascii="Arial" w:hAnsi="Arial" w:cs="Arial"/>
        </w:rPr>
        <w:t>ESMA should provide for a sufficient phase-in period</w:t>
      </w:r>
      <w:r w:rsidRPr="00217624">
        <w:rPr>
          <w:rFonts w:ascii="Arial" w:hAnsi="Arial" w:cs="Arial"/>
        </w:rPr>
        <w:t>.</w:t>
      </w:r>
      <w:r>
        <w:rPr>
          <w:rFonts w:ascii="Arial" w:hAnsi="Arial" w:cs="Arial"/>
        </w:rPr>
        <w:t xml:space="preserve"> Otherwise, market participants might find themselves captured in a bottleneck where they are not permitted to trade a product OTC anymore and cannot yet abide </w:t>
      </w:r>
      <w:r w:rsidR="00A910E8">
        <w:rPr>
          <w:rFonts w:ascii="Arial" w:hAnsi="Arial" w:cs="Arial"/>
        </w:rPr>
        <w:t>by</w:t>
      </w:r>
      <w:r>
        <w:rPr>
          <w:rFonts w:ascii="Arial" w:hAnsi="Arial" w:cs="Arial"/>
        </w:rPr>
        <w:t xml:space="preserve"> the requirement of executing their orders on venue due to operational barriers.</w:t>
      </w:r>
    </w:p>
    <w:permEnd w:id="1705598921"/>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A04A9" w:rsidRDefault="005A04A9" w:rsidP="005A04A9">
      <w:pPr>
        <w:keepNext/>
        <w:rPr>
          <w:rFonts w:ascii="Arial" w:hAnsi="Arial" w:cs="Arial"/>
        </w:rPr>
      </w:pPr>
      <w:permStart w:id="1079464206" w:edGrp="everyone"/>
      <w:r>
        <w:rPr>
          <w:rFonts w:ascii="Arial" w:hAnsi="Arial" w:cs="Arial"/>
        </w:rPr>
        <w:t xml:space="preserve">Draft RTS 11 sets forth that ESMA shall take into account the number and type of markets participants (Art. 4) and provides that the total number of market participants should be “not lower than two”. </w:t>
      </w:r>
      <w:r w:rsidR="00811187" w:rsidRPr="00811187">
        <w:rPr>
          <w:rFonts w:ascii="Arial" w:hAnsi="Arial" w:cs="Arial"/>
        </w:rPr>
        <w:t>The National Associati</w:t>
      </w:r>
      <w:r w:rsidR="00FF3CB5">
        <w:rPr>
          <w:rFonts w:ascii="Arial" w:hAnsi="Arial" w:cs="Arial"/>
        </w:rPr>
        <w:t xml:space="preserve">on of German Cooperative Banks </w:t>
      </w:r>
      <w:r>
        <w:rPr>
          <w:rFonts w:ascii="Arial" w:hAnsi="Arial" w:cs="Arial"/>
        </w:rPr>
        <w:t>doubts that such a low number of market participants trading in an instrument can and should be an indication for the liquidity of a product. We believe that the minimum of market participants active in a market should be at least five. Additionally, in Art. 4 RTS it should be clarified which market participants are deemed as being “active” market participants.</w:t>
      </w:r>
    </w:p>
    <w:p w:rsidR="005A04A9" w:rsidRDefault="005A04A9" w:rsidP="005A04A9">
      <w:pPr>
        <w:keepNext/>
        <w:rPr>
          <w:rFonts w:ascii="Arial" w:hAnsi="Arial" w:cs="Arial"/>
        </w:rPr>
      </w:pPr>
    </w:p>
    <w:p w:rsidR="005A04A9" w:rsidRDefault="005A04A9" w:rsidP="005A04A9">
      <w:pPr>
        <w:keepNext/>
        <w:rPr>
          <w:rFonts w:ascii="Arial" w:hAnsi="Arial" w:cs="Arial"/>
        </w:rPr>
      </w:pPr>
      <w:r>
        <w:rPr>
          <w:rFonts w:ascii="Arial" w:hAnsi="Arial" w:cs="Arial"/>
        </w:rPr>
        <w:t xml:space="preserve">Besides, </w:t>
      </w:r>
      <w:r w:rsidRPr="00CE7DAE">
        <w:rPr>
          <w:rFonts w:ascii="Arial" w:hAnsi="Arial" w:cs="Arial"/>
        </w:rPr>
        <w:t>ESMA has not yet taken up the issue of bundled transactions (e.g. asset swaps, interest-rate swaps in connection with the issue of a jumbo pfandbrief, etc.). Such transactions play an important role when it comes to managing proprietary investment portfolio (in Germany, “Depot A”) risk and are concluded with virtually every bond issue. Should there be a trading obligation for their derivative components, these transactions can no longer be conducted on market terms. So either an exemption from the trading obligation has to be established or there must be the possibility to forwar</w:t>
      </w:r>
      <w:r>
        <w:rPr>
          <w:rFonts w:ascii="Arial" w:hAnsi="Arial" w:cs="Arial"/>
        </w:rPr>
        <w:t>d bilaterally negotiated deriva</w:t>
      </w:r>
      <w:r w:rsidRPr="00CE7DAE">
        <w:rPr>
          <w:rFonts w:ascii="Arial" w:hAnsi="Arial" w:cs="Arial"/>
        </w:rPr>
        <w:t>tives contracts intended by the parties as part of a bundled transaction to a trading venue, e.g. an OTF, by means of a give-up, for instance. In the US, this possibility exists (cf. SEF Registration Requirements and Core Principle Rulemaking, Interpretation &amp; Guidance, Final Rule 78 FR 36606 of 4 June 2013).</w:t>
      </w:r>
    </w:p>
    <w:p w:rsidR="005A04A9" w:rsidRDefault="005A04A9" w:rsidP="005A04A9">
      <w:pPr>
        <w:keepNext/>
        <w:rPr>
          <w:rFonts w:ascii="Arial" w:hAnsi="Arial" w:cs="Arial"/>
        </w:rPr>
      </w:pPr>
    </w:p>
    <w:p w:rsidR="005A04A9" w:rsidRDefault="005A04A9" w:rsidP="005A04A9">
      <w:pPr>
        <w:keepNext/>
        <w:rPr>
          <w:rFonts w:ascii="Arial" w:hAnsi="Arial" w:cs="Arial"/>
        </w:rPr>
      </w:pPr>
      <w:r>
        <w:rPr>
          <w:rFonts w:ascii="Arial" w:hAnsi="Arial" w:cs="Arial"/>
        </w:rPr>
        <w:t>In addition, f</w:t>
      </w:r>
      <w:r w:rsidRPr="00CE7DAE">
        <w:rPr>
          <w:rFonts w:ascii="Arial" w:hAnsi="Arial" w:cs="Arial"/>
        </w:rPr>
        <w:t xml:space="preserve">rom an operational perspective, a sufficiently long transition period should be allowed for introduction of the trading obligation, as both </w:t>
      </w:r>
      <w:r>
        <w:rPr>
          <w:rFonts w:ascii="Arial" w:hAnsi="Arial" w:cs="Arial"/>
        </w:rPr>
        <w:t>analysing</w:t>
      </w:r>
      <w:r w:rsidRPr="00CE7DAE">
        <w:rPr>
          <w:rFonts w:ascii="Arial" w:hAnsi="Arial" w:cs="Arial"/>
        </w:rPr>
        <w:t xml:space="preserve"> a trading platform’s general terms and conditions of business/rulebooks and connectivity will impose a considerable burden in terms of the time and manpower required. </w:t>
      </w:r>
      <w:r>
        <w:rPr>
          <w:rFonts w:ascii="Arial" w:hAnsi="Arial" w:cs="Arial"/>
        </w:rPr>
        <w:t>Furthermore</w:t>
      </w:r>
      <w:r w:rsidRPr="00CE7DAE">
        <w:rPr>
          <w:rFonts w:ascii="Arial" w:hAnsi="Arial" w:cs="Arial"/>
        </w:rPr>
        <w:t>, when setting the implementation periods, it should be remembered that any generally applicable connecti</w:t>
      </w:r>
      <w:r>
        <w:rPr>
          <w:rFonts w:ascii="Arial" w:hAnsi="Arial" w:cs="Arial"/>
        </w:rPr>
        <w:t>vity</w:t>
      </w:r>
      <w:r w:rsidRPr="00CE7DAE">
        <w:rPr>
          <w:rFonts w:ascii="Arial" w:hAnsi="Arial" w:cs="Arial"/>
        </w:rPr>
        <w:t xml:space="preserve"> requirement on a certain date may lead to bottlenecks at venues similar to the situation triggered by mandatory connection to trade repositories on 12 February 2014 </w:t>
      </w:r>
      <w:r>
        <w:rPr>
          <w:rFonts w:ascii="Arial" w:hAnsi="Arial" w:cs="Arial"/>
        </w:rPr>
        <w:t>on occasion of</w:t>
      </w:r>
      <w:r w:rsidRPr="00CE7DAE">
        <w:rPr>
          <w:rFonts w:ascii="Arial" w:hAnsi="Arial" w:cs="Arial"/>
        </w:rPr>
        <w:t xml:space="preserve"> the EMIR reporting requirement</w:t>
      </w:r>
      <w:r>
        <w:rPr>
          <w:rFonts w:ascii="Arial" w:hAnsi="Arial" w:cs="Arial"/>
        </w:rPr>
        <w:t xml:space="preserve"> coming into force</w:t>
      </w:r>
      <w:r w:rsidRPr="00CE7DAE">
        <w:rPr>
          <w:rFonts w:ascii="Arial" w:hAnsi="Arial" w:cs="Arial"/>
        </w:rPr>
        <w:t xml:space="preserve">. The transition period should therefore be at least twelve months and, </w:t>
      </w:r>
      <w:r>
        <w:rPr>
          <w:rFonts w:ascii="Arial" w:hAnsi="Arial" w:cs="Arial"/>
        </w:rPr>
        <w:t>as</w:t>
      </w:r>
      <w:r w:rsidRPr="00CE7DAE">
        <w:rPr>
          <w:rFonts w:ascii="Arial" w:hAnsi="Arial" w:cs="Arial"/>
        </w:rPr>
        <w:t xml:space="preserve"> with the clearing obligation under Article 4 of EMIR, should be staggered for different categories of market participants.</w:t>
      </w:r>
      <w:r>
        <w:rPr>
          <w:rFonts w:ascii="Arial" w:hAnsi="Arial" w:cs="Arial"/>
        </w:rPr>
        <w:t xml:space="preserve"> Additionally, i</w:t>
      </w:r>
      <w:r w:rsidRPr="008A4506">
        <w:rPr>
          <w:rFonts w:ascii="Arial" w:hAnsi="Arial" w:cs="Arial"/>
        </w:rPr>
        <w:t>f ESMA, after the first types of derivatives have become subject to the trading obligation in early 2017, decides to introduce a trading obligation for further classes of derivatives, there must also be a sufficiently long transition period.</w:t>
      </w:r>
    </w:p>
    <w:p w:rsidR="005A04A9" w:rsidRDefault="005A04A9" w:rsidP="005A04A9">
      <w:pPr>
        <w:keepNext/>
        <w:rPr>
          <w:rFonts w:ascii="Arial" w:hAnsi="Arial" w:cs="Arial"/>
        </w:rPr>
      </w:pPr>
    </w:p>
    <w:p w:rsidR="005A04A9" w:rsidRDefault="005A04A9" w:rsidP="005A04A9">
      <w:pPr>
        <w:keepNext/>
        <w:rPr>
          <w:rFonts w:ascii="Arial" w:hAnsi="Arial" w:cs="Arial"/>
        </w:rPr>
      </w:pPr>
      <w:r>
        <w:rPr>
          <w:rFonts w:ascii="Arial" w:hAnsi="Arial" w:cs="Arial"/>
        </w:rPr>
        <w:t xml:space="preserve">Direct access to trading venues requires considerable technical efforts (IT-Interfaces) and creates additional costs such as access fees and cost for technical equipment. </w:t>
      </w:r>
      <w:r w:rsidRPr="008A4506">
        <w:rPr>
          <w:rFonts w:ascii="Arial" w:hAnsi="Arial" w:cs="Arial"/>
        </w:rPr>
        <w:t>Therefore, smaller or medium sized market participants may decide not to directly connect to a trading venue, but to use a broker instead.</w:t>
      </w:r>
      <w:r>
        <w:rPr>
          <w:rFonts w:ascii="Arial" w:hAnsi="Arial" w:cs="Arial"/>
        </w:rPr>
        <w:t xml:space="preserve"> This may lead to a considerable price increase for certain products, with the result that smaller or medium size market participants will not be able to provide their commercial clients with such products at competitive prices and thus may have to withdraw from the markets. Currently it is not clear, whether commercial clients will be able to purchase such products from other market participants. Pursuant to Art. 32 No 3 MiFIR, the RTS must consider possible effects of the trading obligation on commercial activities of non-financials. We ask ESMA to take such effects into consideration and include them in the RTS.</w:t>
      </w:r>
    </w:p>
    <w:p w:rsidR="005A04A9" w:rsidRDefault="005A04A9" w:rsidP="005A04A9">
      <w:pPr>
        <w:keepNext/>
        <w:rPr>
          <w:rFonts w:ascii="Arial" w:hAnsi="Arial" w:cs="Arial"/>
        </w:rPr>
      </w:pPr>
    </w:p>
    <w:p w:rsidR="005A04A9" w:rsidRDefault="005A04A9" w:rsidP="005A04A9">
      <w:pPr>
        <w:keepNext/>
        <w:rPr>
          <w:rFonts w:ascii="Arial" w:hAnsi="Arial" w:cs="Arial"/>
        </w:rPr>
      </w:pPr>
      <w:r>
        <w:rPr>
          <w:rFonts w:ascii="Arial" w:hAnsi="Arial" w:cs="Arial"/>
        </w:rPr>
        <w:t>Finally,</w:t>
      </w:r>
      <w:r w:rsidRPr="00844449">
        <w:rPr>
          <w:rFonts w:ascii="Arial" w:hAnsi="Arial" w:cs="Arial"/>
        </w:rPr>
        <w:t xml:space="preserve"> it is necessary to establish processes which allow for a quick “de-listing” of no longer </w:t>
      </w:r>
      <w:r>
        <w:rPr>
          <w:rFonts w:ascii="Arial" w:hAnsi="Arial" w:cs="Arial"/>
        </w:rPr>
        <w:t>liquid</w:t>
      </w:r>
      <w:r w:rsidRPr="00844449">
        <w:rPr>
          <w:rFonts w:ascii="Arial" w:hAnsi="Arial" w:cs="Arial"/>
        </w:rPr>
        <w:t xml:space="preserve"> products. </w:t>
      </w:r>
      <w:r>
        <w:rPr>
          <w:rFonts w:ascii="Arial" w:hAnsi="Arial" w:cs="Arial"/>
        </w:rPr>
        <w:t xml:space="preserve">This issue could </w:t>
      </w:r>
      <w:r w:rsidRPr="00844449">
        <w:rPr>
          <w:rFonts w:ascii="Arial" w:hAnsi="Arial" w:cs="Arial"/>
        </w:rPr>
        <w:t xml:space="preserve">be addressed through a right to temporarily suspend the </w:t>
      </w:r>
      <w:r>
        <w:rPr>
          <w:rFonts w:ascii="Arial" w:hAnsi="Arial" w:cs="Arial"/>
        </w:rPr>
        <w:t>trading</w:t>
      </w:r>
      <w:r w:rsidRPr="00844449">
        <w:rPr>
          <w:rFonts w:ascii="Arial" w:hAnsi="Arial" w:cs="Arial"/>
        </w:rPr>
        <w:t xml:space="preserve">. It is of paramount importance that ESMA takes a clear position as to how to deal with this </w:t>
      </w:r>
      <w:r>
        <w:rPr>
          <w:rFonts w:ascii="Arial" w:hAnsi="Arial" w:cs="Arial"/>
        </w:rPr>
        <w:t>subject</w:t>
      </w:r>
      <w:r w:rsidRPr="00844449">
        <w:rPr>
          <w:rFonts w:ascii="Arial" w:hAnsi="Arial" w:cs="Arial"/>
        </w:rPr>
        <w:t xml:space="preserve"> and that whatever approach ESMA choses to follow, this decision should be made public in a way for market participants to rely on with legal certainty.</w:t>
      </w:r>
    </w:p>
    <w:permEnd w:id="1079464206"/>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A04A9" w:rsidRPr="00A51AC4" w:rsidRDefault="005A04A9" w:rsidP="005A04A9">
      <w:pPr>
        <w:keepNext/>
        <w:rPr>
          <w:rFonts w:ascii="Arial" w:hAnsi="Arial" w:cs="Arial"/>
          <w:highlight w:val="yellow"/>
        </w:rPr>
      </w:pPr>
      <w:permStart w:id="2108491992" w:edGrp="everyone"/>
      <w:r w:rsidRPr="00827568">
        <w:rPr>
          <w:rFonts w:ascii="Arial" w:hAnsi="Arial" w:cs="Arial"/>
        </w:rPr>
        <w:t xml:space="preserve">Yes, the wording of the Draft RTS 12 now exactly corresponds to the wording of the Delegated Regulation 285/2014 (supplementing EMIR). The scope of the trading obligation should not be extended beyond the scope of the clearing obligation. </w:t>
      </w:r>
      <w:r w:rsidRPr="009040D4">
        <w:rPr>
          <w:rFonts w:ascii="Arial" w:hAnsi="Arial" w:cs="Arial"/>
        </w:rPr>
        <w:t>However, it should be avoided that an equivalence decision under Art 13(4) EMIR is taken according to which the clearing obligation does not apply, whereas the equivalence decision under Art 33 (3) MiFIR is not made at the same time (or prior to the decision under EMIR). Even though these are different decisions to be taken, their result</w:t>
      </w:r>
      <w:r>
        <w:rPr>
          <w:rFonts w:ascii="Arial" w:hAnsi="Arial" w:cs="Arial"/>
        </w:rPr>
        <w:t>s</w:t>
      </w:r>
      <w:r w:rsidRPr="009040D4">
        <w:rPr>
          <w:rFonts w:ascii="Arial" w:hAnsi="Arial" w:cs="Arial"/>
        </w:rPr>
        <w:t xml:space="preserve"> will, in most cases, be aligned. Therefore, establishing a trading obligation only for an interim period does not seem reasonable. The RTS should therefore provid</w:t>
      </w:r>
      <w:r>
        <w:rPr>
          <w:rFonts w:ascii="Arial" w:hAnsi="Arial" w:cs="Arial"/>
        </w:rPr>
        <w:t>e</w:t>
      </w:r>
      <w:r w:rsidRPr="009040D4">
        <w:rPr>
          <w:rFonts w:ascii="Arial" w:hAnsi="Arial" w:cs="Arial"/>
        </w:rPr>
        <w:t xml:space="preserve"> that only if ESMA deliberately chooses to adopt diverging equivalence decisions  under EMIR and MiFIR, the trading obligation should apply, whereas the clearing obligation should not apply and vice versa.</w:t>
      </w:r>
    </w:p>
    <w:permEnd w:id="2108491992"/>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A04A9" w:rsidRPr="00A51AC4" w:rsidRDefault="005A04A9" w:rsidP="005A04A9">
      <w:pPr>
        <w:keepNext/>
        <w:rPr>
          <w:rFonts w:ascii="Arial" w:hAnsi="Arial" w:cs="Arial"/>
          <w:highlight w:val="yellow"/>
        </w:rPr>
      </w:pPr>
      <w:permStart w:id="72230066" w:edGrp="everyone"/>
      <w:r w:rsidRPr="00827568">
        <w:rPr>
          <w:rFonts w:ascii="Arial" w:hAnsi="Arial" w:cs="Arial"/>
        </w:rPr>
        <w:t>No, since these contracts were not identified or even discussed under EMIR as falling under the clearing obligation. Therefore, they should also not be covered by the trading obligation.</w:t>
      </w:r>
    </w:p>
    <w:permEnd w:id="72230066"/>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A04A9" w:rsidRPr="00660796" w:rsidRDefault="005A04A9" w:rsidP="005A04A9">
      <w:pPr>
        <w:keepNext/>
        <w:rPr>
          <w:rFonts w:ascii="Arial" w:hAnsi="Arial" w:cs="Arial"/>
        </w:rPr>
      </w:pPr>
      <w:permStart w:id="1499746604" w:edGrp="everyone"/>
      <w:r w:rsidRPr="00157A1B">
        <w:rPr>
          <w:rFonts w:ascii="Arial" w:hAnsi="Arial" w:cs="Arial"/>
          <w:lang w:val="en-US"/>
        </w:rPr>
        <w:t>Due to the new rules, market partic</w:t>
      </w:r>
      <w:r>
        <w:rPr>
          <w:rFonts w:ascii="Arial" w:hAnsi="Arial" w:cs="Arial"/>
          <w:lang w:val="en-US"/>
        </w:rPr>
        <w:t>i</w:t>
      </w:r>
      <w:r w:rsidRPr="00157A1B">
        <w:rPr>
          <w:rFonts w:ascii="Arial" w:hAnsi="Arial" w:cs="Arial"/>
          <w:lang w:val="en-US"/>
        </w:rPr>
        <w:t xml:space="preserve">pants will be required to set up the necessary infrastructure. </w:t>
      </w:r>
      <w:r w:rsidRPr="00660796">
        <w:rPr>
          <w:rFonts w:ascii="Arial" w:hAnsi="Arial" w:cs="Arial"/>
        </w:rPr>
        <w:t>Compared to the currently widely used telephone trading, extensive adaptions will be necessary with no noticeable upsides attached.</w:t>
      </w:r>
      <w:r>
        <w:rPr>
          <w:rFonts w:ascii="Arial" w:hAnsi="Arial" w:cs="Arial"/>
        </w:rPr>
        <w:t xml:space="preserve"> </w:t>
      </w:r>
      <w:r w:rsidRPr="0010766F">
        <w:rPr>
          <w:rFonts w:ascii="Arial" w:hAnsi="Arial" w:cs="Arial"/>
        </w:rPr>
        <w:t>We would estimate tha</w:t>
      </w:r>
      <w:r w:rsidRPr="00660796">
        <w:rPr>
          <w:rFonts w:ascii="Arial" w:hAnsi="Arial" w:cs="Arial"/>
        </w:rPr>
        <w:t>t</w:t>
      </w:r>
      <w:r w:rsidRPr="0010766F">
        <w:rPr>
          <w:rFonts w:ascii="Arial" w:hAnsi="Arial" w:cs="Arial"/>
        </w:rPr>
        <w:t xml:space="preserve"> EU-wide</w:t>
      </w:r>
      <w:r w:rsidRPr="00660796">
        <w:rPr>
          <w:rFonts w:ascii="Arial" w:hAnsi="Arial" w:cs="Arial"/>
        </w:rPr>
        <w:t>, 10,000 market partic</w:t>
      </w:r>
      <w:r>
        <w:rPr>
          <w:rFonts w:ascii="Arial" w:hAnsi="Arial" w:cs="Arial"/>
        </w:rPr>
        <w:t>i</w:t>
      </w:r>
      <w:r w:rsidRPr="00660796">
        <w:rPr>
          <w:rFonts w:ascii="Arial" w:hAnsi="Arial" w:cs="Arial"/>
        </w:rPr>
        <w:t xml:space="preserve">pants will be affected, having to spend approximately </w:t>
      </w:r>
      <w:r>
        <w:rPr>
          <w:rFonts w:ascii="Arial" w:hAnsi="Arial" w:cs="Arial"/>
        </w:rPr>
        <w:t xml:space="preserve">EUR </w:t>
      </w:r>
      <w:r w:rsidRPr="00660796">
        <w:rPr>
          <w:rFonts w:ascii="Arial" w:hAnsi="Arial" w:cs="Arial"/>
        </w:rPr>
        <w:t>0.</w:t>
      </w:r>
      <w:r w:rsidRPr="0010766F">
        <w:rPr>
          <w:rFonts w:ascii="Arial" w:hAnsi="Arial" w:cs="Arial"/>
        </w:rPr>
        <w:t xml:space="preserve">5 Mio </w:t>
      </w:r>
      <w:r w:rsidRPr="00660796">
        <w:rPr>
          <w:rFonts w:ascii="Arial" w:hAnsi="Arial" w:cs="Arial"/>
        </w:rPr>
        <w:t>each in order</w:t>
      </w:r>
      <w:r>
        <w:rPr>
          <w:rFonts w:ascii="Arial" w:hAnsi="Arial" w:cs="Arial"/>
        </w:rPr>
        <w:t xml:space="preserve"> </w:t>
      </w:r>
      <w:r w:rsidRPr="00660796">
        <w:rPr>
          <w:rFonts w:ascii="Arial" w:hAnsi="Arial" w:cs="Arial"/>
        </w:rPr>
        <w:t>to comply with the new requirements.</w:t>
      </w:r>
      <w:r>
        <w:rPr>
          <w:rFonts w:ascii="Arial" w:hAnsi="Arial" w:cs="Arial"/>
        </w:rPr>
        <w:t xml:space="preserve"> The estimated total investment value of EUR 5 Billion will probably result in a price increase of 10bp for each contract.</w:t>
      </w:r>
    </w:p>
    <w:p w:rsidR="005A04A9" w:rsidRPr="00827568" w:rsidRDefault="005A04A9" w:rsidP="005A04A9">
      <w:pPr>
        <w:keepNext/>
        <w:rPr>
          <w:rFonts w:ascii="Arial" w:hAnsi="Arial" w:cs="Arial"/>
        </w:rPr>
      </w:pPr>
      <w:r>
        <w:rPr>
          <w:rFonts w:ascii="Arial" w:hAnsi="Arial" w:cs="Arial"/>
        </w:rPr>
        <w:t>In addition, these costs will be borne by the individual market participants whereas the benefit is for the market as a whole.</w:t>
      </w:r>
    </w:p>
    <w:permEnd w:id="1499746604"/>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CE20C5" w:rsidRDefault="00CE20C5" w:rsidP="00CE20C5">
      <w:pPr>
        <w:keepNext/>
      </w:pPr>
      <w:permStart w:id="80938817" w:edGrp="everyone"/>
      <w:r>
        <w:t xml:space="preserve">Re Article 17 (1); Article 20 (2) (h) of draft RTS 13: </w:t>
      </w:r>
      <w:r w:rsidRPr="00CE20C5">
        <w:t>The National Association of German Cooperative Banks, which represents the 1.078 cooperative banks in Germany</w:t>
      </w:r>
      <w:r>
        <w:t>, welcomes the fact that ESMA has clarified in the proposed RTS 13 that 'kill switches' are to be used as an emergency measure, i.e. only when absolutely necessary. Nonetheless, we would like to point out that making a kill switch available may involve significant risks – especially in respect to unrelated trading desks – e.g. equity or fix</w:t>
      </w:r>
      <w:r w:rsidR="00D21136">
        <w:t xml:space="preserve">ed-income trading – that would </w:t>
      </w:r>
      <w:r>
        <w:t>be affected by the use of a kill switch as well. This would lead to new risks affecting market integrity and stability, as well as create exposures – none of which were intended. Moreover, the kill functionality provided for in Article 17 (1) draft RTS 13 is not compatible with the principle of proportionality. We believe that in line with the principle of proportionality, any emergency measure should only affect the route which has been identified as causing a problem. In fact, such a system already exists: the so-called 'routing closure' (Leitweg-Schließung) has proven itself in the market. This targeted emergency measure is just as suitable to achieve the desired objective – without having to cut routes that are not exposed to any risks. Therefore, we would welcome a deletion of Article 17(1) draft RTS 13 whilst preserving the route closure outlined in Article 17(2) draft RTS 13.</w:t>
      </w:r>
    </w:p>
    <w:p w:rsidR="00CE20C5" w:rsidRDefault="00CE20C5" w:rsidP="00CE20C5">
      <w:pPr>
        <w:keepNext/>
      </w:pPr>
    </w:p>
    <w:p w:rsidR="00E434D0" w:rsidRDefault="00CE20C5" w:rsidP="00EC2C93">
      <w:pPr>
        <w:keepNext/>
      </w:pPr>
      <w:r>
        <w:t>Re Article 20 (2) (i) of draft RTS 13: The requirement cannot be implemented in practice, since it is not always possible to trade all existing orders manually in an emergency. We therefore propose to replace the wording "trade all existing orders manually“ by "manage all existing orders manually“.</w:t>
      </w:r>
    </w:p>
    <w:permEnd w:id="80938817"/>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E434D0" w:rsidRDefault="00CE20C5" w:rsidP="00EC2C93">
      <w:pPr>
        <w:keepNext/>
      </w:pPr>
      <w:permStart w:id="112472930" w:edGrp="everyone"/>
      <w:r w:rsidRPr="00CE20C5">
        <w:t xml:space="preserve">No, </w:t>
      </w:r>
      <w:r>
        <w:t>we</w:t>
      </w:r>
      <w:r w:rsidRPr="00CE20C5">
        <w:t xml:space="preserve"> do not see a need for clarification </w:t>
      </w:r>
    </w:p>
    <w:permEnd w:id="112472930"/>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E434D0" w:rsidRDefault="00CE20C5" w:rsidP="00EC2C93">
      <w:pPr>
        <w:keepNext/>
      </w:pPr>
      <w:permStart w:id="583093293" w:edGrp="everyone"/>
      <w:r w:rsidRPr="00CE20C5">
        <w:t xml:space="preserve">Implementing general, real-time post-trade controls is considered to be excessive. Considering the principle of proportionality, timely controls of measures (beyond the required control of position limits) are deemed to be sufficient. </w:t>
      </w:r>
    </w:p>
    <w:permEnd w:id="583093293"/>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CE20C5" w:rsidRDefault="00CE20C5" w:rsidP="00CE20C5">
      <w:pPr>
        <w:keepNext/>
      </w:pPr>
      <w:permStart w:id="1058045588" w:edGrp="everyone"/>
      <w:r>
        <w:t>As we understand it, this question refers to sections 41-43 of the consultation paper, however, the draft RTS 13 does not include any concrete proposals.</w:t>
      </w:r>
    </w:p>
    <w:p w:rsidR="00E434D0" w:rsidRDefault="00CE20C5" w:rsidP="00EC2C93">
      <w:pPr>
        <w:keepNext/>
      </w:pPr>
      <w:r>
        <w:t>In para. 41 of the consultation paper, ESMA demands that all orders be subjected to a market impact assessment as part of pre-trade controls. Such an ex-ante check cannot be implemented from an operational perspective; in particular, it is rendered impossible due to the fact that a single investment firm does not know the entire order book – or in fact, the whole market. We therefore reject ESMA's consideration of introducing such a check, in addition to the requirement for determining "maximum order values" and "maximum order volumes". Determining these maximum values is sufficient for the purpose of pre-trade checks.</w:t>
      </w:r>
    </w:p>
    <w:permEnd w:id="1058045588"/>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CE20C5" w:rsidRDefault="00CE20C5" w:rsidP="00CE20C5">
      <w:pPr>
        <w:keepNext/>
      </w:pPr>
      <w:permStart w:id="136053609" w:edGrp="everyone"/>
      <w:r>
        <w:t>&lt; Yes, we agree.</w:t>
      </w:r>
    </w:p>
    <w:p w:rsidR="00CE20C5" w:rsidRDefault="00CE20C5" w:rsidP="00CE20C5">
      <w:pPr>
        <w:keepNext/>
      </w:pPr>
      <w:r>
        <w:t xml:space="preserve">We welcome ESMA's proposal in chapter 4.1, para. 34 of the consultation paper, which offers some leeway – given the principle of proportionality – for investment firms to refrain from implementing systematic alerts. This would only appear reasonable for market manipulative behaviour like insider dealing, unlawful disclosure of inside information, or market manipulation relating to the employment of a fictitious device or any other form of deception or contrivance. </w:t>
      </w:r>
    </w:p>
    <w:p w:rsidR="00E434D0" w:rsidRDefault="00CE20C5" w:rsidP="00EC2C93">
      <w:pPr>
        <w:keepNext/>
      </w:pPr>
      <w:r>
        <w:t xml:space="preserve">Besides, the requirements set out in Article 18 draft RTS 13 should be in line with the requirements laid down in the Market Abuse Regulation (EU) No 596/2014, to ensure a consistent </w:t>
      </w:r>
      <w:r w:rsidR="00D21136">
        <w:t>European</w:t>
      </w:r>
      <w:r>
        <w:t xml:space="preserve"> legislation.&gt;</w:t>
      </w:r>
    </w:p>
    <w:permEnd w:id="136053609"/>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CE20C5" w:rsidRDefault="00CE20C5" w:rsidP="00CE20C5">
      <w:pPr>
        <w:keepNext/>
      </w:pPr>
      <w:permStart w:id="1916820949" w:edGrp="everyone"/>
      <w:r>
        <w:t>Article 17 of MiFID governs algorithmic trading. The purpose of the regulation planned by draft RTS 13 is to set out detailed specifications. We thus welcome the clarifying definition in Article 1(1) draft RTS 13, which limits the concept of "investment firms" – for the purposes of this regulation – to investment firms engaged in algorithmic trading. We also believe such a clarification to be necessary for any facts involving DEA clients as well as trading venues which provide smart order routing algorithms for their customers. We therefore propose to extend the definition in Article 1 (1) draft RTS 13, as follows:</w:t>
      </w:r>
    </w:p>
    <w:p w:rsidR="00CE20C5" w:rsidRDefault="00CE20C5" w:rsidP="00CE20C5">
      <w:pPr>
        <w:keepNext/>
      </w:pPr>
    </w:p>
    <w:p w:rsidR="00CE20C5" w:rsidRDefault="00CE20C5" w:rsidP="00CE20C5">
      <w:pPr>
        <w:keepNext/>
      </w:pPr>
      <w:r>
        <w:t>“'investment firm' means an investment firm engaged in algorithmic trading. This engagement does not include the use of algorithms which are offered and operated by other investment firms or trading venues.”</w:t>
      </w:r>
    </w:p>
    <w:p w:rsidR="00CE20C5" w:rsidRDefault="00CE20C5" w:rsidP="00CE20C5">
      <w:pPr>
        <w:keepNext/>
      </w:pPr>
      <w:r>
        <w:t>Recital 9 of draft RTS 13 requires that prospective DEA clients be checked as to their disciplinary history. This requirement cannot be implemented in practice, since it involves data that is not publicly available. The requirement should therefore be deleted. The same applies to Article 24 (i)  draft RTS 13.</w:t>
      </w:r>
    </w:p>
    <w:p w:rsidR="00CE20C5" w:rsidRDefault="00CE20C5" w:rsidP="00CE20C5">
      <w:pPr>
        <w:keepNext/>
      </w:pPr>
      <w:r>
        <w:t>The scope of the last half-sentence in recital 13 draft RTS 13, is too wide. As we understand it, the five-second period set out for real-time monitoring can only be related to the monitoring of algorithmic order submission and execution, as defined in Article 1 (2) draft RTS 13. Therefore, recital 13 should be re-worded to provide more clarity, or the second sentence deleted in order to avoid misunderstandings.</w:t>
      </w:r>
    </w:p>
    <w:p w:rsidR="00CE20C5" w:rsidRDefault="00CE20C5" w:rsidP="00CE20C5">
      <w:pPr>
        <w:keepNext/>
      </w:pPr>
      <w:r>
        <w:t>Article 8 draft RTS 13 requires a separation of software, hardware and network infrastructure. However, since the network infrastructure forms part of software and/or hardware, the term "network infrastructure" should be deleted from Article 8 draft RTS 13.</w:t>
      </w:r>
    </w:p>
    <w:p w:rsidR="00CE20C5" w:rsidRDefault="00CE20C5" w:rsidP="00CE20C5">
      <w:pPr>
        <w:keepNext/>
      </w:pPr>
      <w:r>
        <w:t>The requirement in Article 13 RTS 13 to conduct testing with at least as many algorithms as the firm used on its most active day of trading during the preceding six-month period should be amended. What matters in a stress test is not the number of algorithms but the number of orders they generate. A stress test in which a small number of algorithms generates a large number of orders is more meaningful than a stress test in which a large number of algorithms generate a relatively small number of orders.</w:t>
      </w:r>
    </w:p>
    <w:p w:rsidR="00E434D0" w:rsidRDefault="00CE20C5" w:rsidP="00EC2C93">
      <w:pPr>
        <w:keepNext/>
      </w:pPr>
      <w:r>
        <w:t xml:space="preserve">Including </w:t>
      </w:r>
      <w:r w:rsidR="00D21136">
        <w:t>cyber-attacks</w:t>
      </w:r>
      <w:r>
        <w:t xml:space="preserve"> in the stress testing environment, as envisaged in Article 13(d) draft RTS 13 appears to be appropriate. Nonetheless, a clarification is required that only relevant, internationally recognised standards are to be taken as benchmarks. We therefore propose using the following wording: “…(d) performing penetration and vulnerability tests, which have to meet at least relevant, internationally recognised standards, to safeguard their systems against cyber-attacks.”</w:t>
      </w:r>
    </w:p>
    <w:permEnd w:id="1916820949"/>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732F58" w:rsidRDefault="00732F58" w:rsidP="00EC2C93">
      <w:pPr>
        <w:keepNext/>
      </w:pPr>
      <w:permStart w:id="2003715699" w:edGrp="everyone"/>
      <w:r w:rsidRPr="00732F58">
        <w:t>No, we do not have any additional comments.</w:t>
      </w:r>
    </w:p>
    <w:permEnd w:id="2003715699"/>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805D6A" w:rsidP="00EC2C93">
      <w:pPr>
        <w:keepNext/>
      </w:pPr>
      <w:permStart w:id="1022393366" w:edGrp="everyone"/>
      <w:r>
        <w:t>./.</w:t>
      </w:r>
    </w:p>
    <w:permEnd w:id="1022393366"/>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805D6A" w:rsidP="00EC2C93">
      <w:pPr>
        <w:keepNext/>
      </w:pPr>
      <w:permStart w:id="1936065371" w:edGrp="everyone"/>
      <w:r>
        <w:t>./.</w:t>
      </w:r>
    </w:p>
    <w:permEnd w:id="1936065371"/>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805D6A" w:rsidP="00EC2C93">
      <w:pPr>
        <w:keepNext/>
      </w:pPr>
      <w:permStart w:id="993030599" w:edGrp="everyone"/>
      <w:r>
        <w:t>./.</w:t>
      </w:r>
    </w:p>
    <w:permEnd w:id="993030599"/>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E434D0" w:rsidRDefault="00805D6A" w:rsidP="00EC2C93">
      <w:pPr>
        <w:keepNext/>
      </w:pPr>
      <w:permStart w:id="176576464" w:edGrp="everyone"/>
      <w:r w:rsidRPr="00805D6A">
        <w:t>The National Association of German Cooper</w:t>
      </w:r>
      <w:r>
        <w:t>ative Banks</w:t>
      </w:r>
      <w:r w:rsidRPr="00805D6A">
        <w:t xml:space="preserve"> represents the 1.0</w:t>
      </w:r>
      <w:r>
        <w:t>78 cooperative banks in Germany.</w:t>
      </w:r>
      <w:r w:rsidRPr="00805D6A">
        <w:t xml:space="preserve"> Regarding Article 23 of the draft RTS 14: these requirements apply to securities firms offering direct electronic access (DEA) to their customers. Therefore, these requirements should be moved to chapter IV of draft RTS 13. Otherwise, securities firms would need to impose specific requirements upon their DEA customers for every trading venue to which they provide access – leading to unreasonable efforts without corresponding benefits.</w:t>
      </w:r>
    </w:p>
    <w:permEnd w:id="176576464"/>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213933669" w:edGrp="everyone"/>
      <w:r>
        <w:t>TYPE YOUR TEXT HERE</w:t>
      </w:r>
    </w:p>
    <w:permEnd w:id="213933669"/>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818710904" w:edGrp="everyone"/>
      <w:r>
        <w:t>TYPE YOUR TEXT HERE</w:t>
      </w:r>
    </w:p>
    <w:permEnd w:id="181871090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221842389" w:edGrp="everyone"/>
      <w:r>
        <w:t>TYPE YOUR TEXT HERE</w:t>
      </w:r>
    </w:p>
    <w:permEnd w:id="221842389"/>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711883788" w:edGrp="everyone"/>
      <w:r>
        <w:t>TYPE YOUR TEXT HERE</w:t>
      </w:r>
    </w:p>
    <w:permEnd w:id="71188378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2019849667" w:edGrp="everyone"/>
      <w:r>
        <w:t>TYPE YOUR TEXT HERE</w:t>
      </w:r>
    </w:p>
    <w:permEnd w:id="201984966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873241757" w:edGrp="everyone"/>
      <w:r>
        <w:t>TYPE YOUR TEXT HERE</w:t>
      </w:r>
    </w:p>
    <w:permEnd w:id="1873241757"/>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830551331" w:edGrp="everyone"/>
      <w:r>
        <w:t>TYPE YOUR TEXT HERE</w:t>
      </w:r>
    </w:p>
    <w:permEnd w:id="830551331"/>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953127582" w:edGrp="everyone"/>
      <w:r>
        <w:t>TYPE YOUR TEXT HERE</w:t>
      </w:r>
    </w:p>
    <w:permEnd w:id="1953127582"/>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740516371" w:edGrp="everyone"/>
      <w:r>
        <w:t>TYPE YOUR TEXT HERE</w:t>
      </w:r>
    </w:p>
    <w:permEnd w:id="74051637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708158064" w:edGrp="everyone"/>
      <w:r>
        <w:t>TYPE YOUR TEXT HERE</w:t>
      </w:r>
    </w:p>
    <w:permEnd w:id="1708158064"/>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183067553" w:edGrp="everyone"/>
      <w:r>
        <w:t>TYPE YOUR TEXT HERE</w:t>
      </w:r>
    </w:p>
    <w:permEnd w:id="118306755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978871844" w:edGrp="everyone"/>
      <w:r>
        <w:t>TYPE YOUR TEXT HERE</w:t>
      </w:r>
    </w:p>
    <w:permEnd w:id="97887184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381947254" w:edGrp="everyone"/>
      <w:r>
        <w:t>TYPE YOUR TEXT HERE</w:t>
      </w:r>
    </w:p>
    <w:permEnd w:id="381947254"/>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2885548" w:edGrp="everyone"/>
      <w:r>
        <w:t>TYPE YOUR TEXT HERE</w:t>
      </w:r>
    </w:p>
    <w:permEnd w:id="2885548"/>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624250592" w:edGrp="everyone"/>
      <w:r>
        <w:t>TYPE YOUR TEXT HERE</w:t>
      </w:r>
    </w:p>
    <w:permEnd w:id="624250592"/>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703604896" w:edGrp="everyone"/>
      <w:r>
        <w:t>TYPE YOUR TEXT HERE</w:t>
      </w:r>
    </w:p>
    <w:permEnd w:id="703604896"/>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375723015" w:edGrp="everyone"/>
      <w:r>
        <w:t>TYPE YOUR TEXT HERE</w:t>
      </w:r>
    </w:p>
    <w:permEnd w:id="375723015"/>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634032745" w:edGrp="everyone"/>
      <w:r>
        <w:t>TYPE YOUR TEXT HERE</w:t>
      </w:r>
    </w:p>
    <w:permEnd w:id="1634032745"/>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712518372" w:edGrp="everyone"/>
      <w:r>
        <w:t>TYPE YOUR TEXT HERE</w:t>
      </w:r>
    </w:p>
    <w:permEnd w:id="712518372"/>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172140811" w:edGrp="everyone"/>
      <w:r>
        <w:t>TYPE YOUR TEXT HERE</w:t>
      </w:r>
    </w:p>
    <w:permEnd w:id="1172140811"/>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449142690" w:edGrp="everyone"/>
      <w:r>
        <w:t>TYPE YOUR TEXT HERE</w:t>
      </w:r>
    </w:p>
    <w:permEnd w:id="449142690"/>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527968308" w:edGrp="everyone"/>
      <w:r>
        <w:t>TYPE YOUR TEXT HERE</w:t>
      </w:r>
    </w:p>
    <w:permEnd w:id="527968308"/>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93492923" w:edGrp="everyone"/>
      <w:r>
        <w:t>TYPE YOUR TEXT HERE</w:t>
      </w:r>
    </w:p>
    <w:permEnd w:id="193492923"/>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239803483" w:edGrp="everyone"/>
      <w:r>
        <w:t>TYPE YOUR TEXT HERE</w:t>
      </w:r>
    </w:p>
    <w:permEnd w:id="239803483"/>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979596323" w:edGrp="everyone"/>
      <w:r>
        <w:t>TYPE YOUR TEXT HERE</w:t>
      </w:r>
    </w:p>
    <w:permEnd w:id="979596323"/>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94314661" w:edGrp="everyone"/>
      <w:r>
        <w:t>TYPE YOUR TEXT HERE</w:t>
      </w:r>
    </w:p>
    <w:permEnd w:id="94314661"/>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630015771" w:edGrp="everyone"/>
      <w:r>
        <w:t>TYPE YOUR TEXT HERE</w:t>
      </w:r>
    </w:p>
    <w:permEnd w:id="630015771"/>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945046640" w:edGrp="everyone"/>
      <w:r>
        <w:t>TYPE YOUR TEXT HERE</w:t>
      </w:r>
    </w:p>
    <w:permEnd w:id="9450466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618077319" w:edGrp="everyone"/>
      <w:r>
        <w:t>TYPE YOUR TEXT HERE</w:t>
      </w:r>
    </w:p>
    <w:permEnd w:id="618077319"/>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4354909" w:edGrp="everyone"/>
      <w:r>
        <w:t>TYPE YOUR TEXT HERE</w:t>
      </w:r>
    </w:p>
    <w:permEnd w:id="4354909"/>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084366153" w:edGrp="everyone"/>
      <w:r>
        <w:t>TYPE YOUR TEXT HERE</w:t>
      </w:r>
    </w:p>
    <w:permEnd w:id="108436615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404699083" w:edGrp="everyone"/>
      <w:r>
        <w:t>TYPE YOUR TEXT HERE</w:t>
      </w:r>
    </w:p>
    <w:permEnd w:id="404699083"/>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2004879082" w:edGrp="everyone"/>
      <w:r>
        <w:t>TYPE YOUR TEXT HERE</w:t>
      </w:r>
    </w:p>
    <w:permEnd w:id="2004879082"/>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513949380" w:edGrp="everyone"/>
      <w:r>
        <w:t>TYPE YOUR TEXT HERE</w:t>
      </w:r>
    </w:p>
    <w:permEnd w:id="513949380"/>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808620192" w:edGrp="everyone"/>
      <w:r>
        <w:t>TYPE YOUR TEXT HERE</w:t>
      </w:r>
    </w:p>
    <w:permEnd w:id="1808620192"/>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90537323" w:edGrp="everyone"/>
      <w:r>
        <w:t>TYPE YOUR TEXT HERE</w:t>
      </w:r>
    </w:p>
    <w:permEnd w:id="190537323"/>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563038219" w:edGrp="everyone"/>
      <w:r>
        <w:t>TYPE YOUR TEXT HERE</w:t>
      </w:r>
    </w:p>
    <w:permEnd w:id="56303821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760820099" w:edGrp="everyone"/>
      <w:r>
        <w:t>TYPE YOUR TEXT HERE</w:t>
      </w:r>
    </w:p>
    <w:permEnd w:id="760820099"/>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2009887100" w:edGrp="everyone"/>
      <w:r>
        <w:t>TYPE YOUR TEXT HERE</w:t>
      </w:r>
    </w:p>
    <w:permEnd w:id="2009887100"/>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496849725" w:edGrp="everyone"/>
      <w:r>
        <w:t>TYPE YOUR TEXT HERE</w:t>
      </w:r>
    </w:p>
    <w:permEnd w:id="1496849725"/>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675887935" w:edGrp="everyone"/>
      <w:r>
        <w:t>TYPE YOUR TEXT HERE</w:t>
      </w:r>
    </w:p>
    <w:permEnd w:id="1675887935"/>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286566327" w:edGrp="everyone"/>
      <w:r>
        <w:t>TYPE YOUR TEXT HERE</w:t>
      </w:r>
    </w:p>
    <w:permEnd w:id="1286566327"/>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F40B44" w:rsidRDefault="00F40B44" w:rsidP="00F40B44">
      <w:pPr>
        <w:keepNext/>
      </w:pPr>
      <w:permStart w:id="1030563399" w:edGrp="everyone"/>
      <w:r>
        <w:t>With regard to Article 1(2) RTS 23 last part of the sentence: “…informing the seller of the action taken” the National Association of German Cooperative Banks, which represents the 1.078 cooperative banks in Germany, objects to the obligation that the SI should inform the seller. This information is obsolete and should be therefore deleted.</w:t>
      </w:r>
    </w:p>
    <w:p w:rsidR="00F40B44" w:rsidRDefault="00F40B44" w:rsidP="00F40B44">
      <w:pPr>
        <w:keepNext/>
      </w:pPr>
      <w:r>
        <w:t>Article 1(2) RTS 23 demands that a systematic internaliser (SI) not only report</w:t>
      </w:r>
      <w:r w:rsidR="00535E5A">
        <w:t>s</w:t>
      </w:r>
      <w:r>
        <w:t xml:space="preserve"> the transactions but also inform</w:t>
      </w:r>
      <w:r w:rsidR="00535E5A">
        <w:t>s</w:t>
      </w:r>
      <w:r>
        <w:t xml:space="preserve"> the seller about the report. The wording of the rule suggests that this information must be provided after each individual transaction. This leads to additional expenditure and unnecessary costs without offering anything in return. We therefore suggest that the SI </w:t>
      </w:r>
      <w:r w:rsidR="00535E5A">
        <w:t xml:space="preserve">should </w:t>
      </w:r>
      <w:r>
        <w:t>be allowed to provide general information about their legal obligations. Article 2 RTS 23 could be worded as follows: “...that firm shall report the transaction. The systematic internaliser shall inform the seller about the reporting obligation and how the seller can identify that its counterparty acted as a systematic internaliser.”</w:t>
      </w:r>
    </w:p>
    <w:p w:rsidR="00F40B44" w:rsidRDefault="00F40B44" w:rsidP="00F40B44">
      <w:pPr>
        <w:keepNext/>
      </w:pPr>
    </w:p>
    <w:p w:rsidR="00E434D0" w:rsidRDefault="00F40B44" w:rsidP="00EC2C93">
      <w:pPr>
        <w:keepNext/>
      </w:pPr>
      <w:r>
        <w:t xml:space="preserve">Article 1 RTS 23 should </w:t>
      </w:r>
      <w:r w:rsidRPr="00535E5A">
        <w:rPr>
          <w:i/>
        </w:rPr>
        <w:t>expressis verbis</w:t>
      </w:r>
      <w:r>
        <w:t xml:space="preserve"> confirm the option to set up agreements with other firms to delegate their obligation to publish the information as indicated in recital 1of RTS 23 (“in the absence of any agreement to the contrary”).</w:t>
      </w:r>
      <w:r w:rsidR="004F14ED" w:rsidRPr="004F14ED">
        <w:t xml:space="preserve"> </w:t>
      </w:r>
    </w:p>
    <w:permEnd w:id="1030563399"/>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196831198" w:edGrp="everyone"/>
      <w:r>
        <w:t>TYPE YOUR TEXT HERE</w:t>
      </w:r>
    </w:p>
    <w:permEnd w:id="1196831198"/>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D23E56" w:rsidRDefault="00D23E56" w:rsidP="00D23E56">
      <w:pPr>
        <w:keepNext/>
      </w:pPr>
      <w:permStart w:id="1937663439" w:edGrp="everyone"/>
      <w:r>
        <w:t xml:space="preserve">The risks identified by ESMA based on which CCPs or trading venues may deny access are valid reasons for denying access. </w:t>
      </w:r>
      <w:r w:rsidR="00A1655A" w:rsidRPr="00A1655A">
        <w:t>The National Associat</w:t>
      </w:r>
      <w:r w:rsidR="00535E5A">
        <w:t>ion of German Cooperative Banks</w:t>
      </w:r>
      <w:r w:rsidR="004009CF">
        <w:t>,</w:t>
      </w:r>
      <w:r w:rsidR="004009CF" w:rsidRPr="004009CF">
        <w:t xml:space="preserve"> which represents the 1.078 cooperative banks in Germany,</w:t>
      </w:r>
      <w:r w:rsidR="00A1655A" w:rsidRPr="00A1655A">
        <w:t xml:space="preserve"> </w:t>
      </w:r>
      <w:r>
        <w:t>support</w:t>
      </w:r>
      <w:r w:rsidR="00A1655A">
        <w:t>s</w:t>
      </w:r>
      <w:r>
        <w:t xml:space="preserve"> such precautions in light of protection of markets and all market participants. However, as a permanent denial of access would constitute a discrimination of market participants, we suggest including terms into RTS 24 as to how and within which timeframe such risks must be mitigated in order to grant access to the CCP or trading venue. For the time of denial of access, RTS 24 should clearly set forth that the trading obligation does not apply to the market participant(s) concerned.</w:t>
      </w:r>
    </w:p>
    <w:p w:rsidR="00D23E56" w:rsidRDefault="00D23E56" w:rsidP="00D23E56">
      <w:pPr>
        <w:keepNext/>
      </w:pPr>
    </w:p>
    <w:p w:rsidR="00E434D0" w:rsidRDefault="00D23E56" w:rsidP="00EC2C93">
      <w:pPr>
        <w:keepNext/>
      </w:pPr>
      <w:r>
        <w:t>Following the lift of denial of access to a CCP or trading venue, market participants affected must be granted a transition period in order to provide for the technical requirements to ensure access to the CCP and/or trading venue</w:t>
      </w:r>
      <w:r w:rsidR="00E70FF7">
        <w:t>.</w:t>
      </w:r>
    </w:p>
    <w:permEnd w:id="1937663439"/>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855815557" w:edGrp="everyone"/>
      <w:r>
        <w:t>TYPE YOUR TEXT HERE</w:t>
      </w:r>
    </w:p>
    <w:permEnd w:id="1855815557"/>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477328224" w:edGrp="everyone"/>
      <w:r>
        <w:t>TYPE YOUR TEXT HERE</w:t>
      </w:r>
    </w:p>
    <w:permEnd w:id="1477328224"/>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739923063" w:edGrp="everyone"/>
      <w:r>
        <w:t>TYPE YOUR TEXT HERE</w:t>
      </w:r>
    </w:p>
    <w:permEnd w:id="739923063"/>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2107712717" w:edGrp="everyone"/>
      <w:r>
        <w:t>TYPE YOUR TEXT HERE</w:t>
      </w:r>
    </w:p>
    <w:permEnd w:id="2107712717"/>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662922427" w:edGrp="everyone"/>
      <w:r>
        <w:t>TYPE YOUR TEXT HERE</w:t>
      </w:r>
    </w:p>
    <w:permEnd w:id="662922427"/>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562968546" w:edGrp="everyone"/>
      <w:r>
        <w:t>TYPE YOUR TEXT HERE</w:t>
      </w:r>
    </w:p>
    <w:permEnd w:id="1562968546"/>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274019951" w:edGrp="everyone"/>
      <w:r>
        <w:t>TYPE YOUR TEXT HERE</w:t>
      </w:r>
    </w:p>
    <w:permEnd w:id="274019951"/>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403459457" w:edGrp="everyone"/>
      <w:r>
        <w:t>TYPE YOUR TEXT HERE</w:t>
      </w:r>
    </w:p>
    <w:permEnd w:id="403459457"/>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996622765" w:edGrp="everyone"/>
      <w:r>
        <w:t>TYPE YOUR TEXT HERE</w:t>
      </w:r>
    </w:p>
    <w:permEnd w:id="996622765"/>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949424933" w:edGrp="everyone"/>
      <w:r>
        <w:t>TYPE YOUR TEXT HERE</w:t>
      </w:r>
    </w:p>
    <w:permEnd w:id="949424933"/>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72693913" w:edGrp="everyone"/>
      <w:r>
        <w:t>TYPE YOUR TEXT HERE</w:t>
      </w:r>
    </w:p>
    <w:permEnd w:id="72693913"/>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077766152" w:edGrp="everyone"/>
      <w:r>
        <w:t>TYPE YOUR TEXT HERE</w:t>
      </w:r>
    </w:p>
    <w:permEnd w:id="1077766152"/>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170610215" w:edGrp="everyone"/>
      <w:r>
        <w:t>TYPE YOUR TEXT HERE</w:t>
      </w:r>
    </w:p>
    <w:permEnd w:id="1170610215"/>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892880163" w:edGrp="everyone"/>
      <w:r>
        <w:t>TYPE YOUR TEXT HERE</w:t>
      </w:r>
    </w:p>
    <w:permEnd w:id="1892880163"/>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2016745272" w:edGrp="everyone"/>
      <w:r>
        <w:t>TYPE YOUR TEXT HERE</w:t>
      </w:r>
    </w:p>
    <w:permEnd w:id="20167452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268664750" w:edGrp="everyone"/>
      <w:r>
        <w:t>TYPE YOUR TEXT HERE</w:t>
      </w:r>
    </w:p>
    <w:permEnd w:id="1268664750"/>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58743055" w:edGrp="everyone"/>
      <w:r>
        <w:t>TYPE YOUR TEXT HERE</w:t>
      </w:r>
    </w:p>
    <w:permEnd w:id="158743055"/>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70333172" w:edGrp="everyone"/>
      <w:r>
        <w:t>TYPE YOUR TEXT HERE</w:t>
      </w:r>
    </w:p>
    <w:permEnd w:id="70333172"/>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577C33" w:rsidP="00EC2C93">
      <w:pPr>
        <w:keepNext/>
      </w:pPr>
      <w:permStart w:id="329481584" w:edGrp="everyone"/>
      <w:r>
        <w:t>TYPE YOUR TEXT HERE</w:t>
      </w:r>
    </w:p>
    <w:permEnd w:id="329481584"/>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595674523" w:edGrp="everyone"/>
      <w:r>
        <w:t>TYPE YOUR TEXT HERE</w:t>
      </w:r>
    </w:p>
    <w:permEnd w:id="1595674523"/>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737781204" w:edGrp="everyone"/>
      <w:r>
        <w:t>TYPE YOUR TEXT HERE</w:t>
      </w:r>
    </w:p>
    <w:permEnd w:id="1737781204"/>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898135519" w:edGrp="everyone"/>
      <w:r>
        <w:t>TYPE YOUR TEXT HERE</w:t>
      </w:r>
    </w:p>
    <w:permEnd w:id="89813551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425877904" w:edGrp="everyone"/>
      <w:r>
        <w:t>TYPE YOUR TEXT HERE</w:t>
      </w:r>
    </w:p>
    <w:permEnd w:id="425877904"/>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724021500" w:edGrp="everyone"/>
      <w:r>
        <w:t>TYPE YOUR TEXT HERE</w:t>
      </w:r>
    </w:p>
    <w:permEnd w:id="1724021500"/>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07772495" w:edGrp="everyone"/>
      <w:r>
        <w:t>TYPE YOUR TEXT HERE</w:t>
      </w:r>
    </w:p>
    <w:permEnd w:id="107772495"/>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373688387" w:edGrp="everyone"/>
      <w:r>
        <w:t>TYPE YOUR TEXT HERE</w:t>
      </w:r>
    </w:p>
    <w:permEnd w:id="373688387"/>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931158919" w:edGrp="everyone"/>
      <w:r>
        <w:t>TYPE YOUR TEXT HERE</w:t>
      </w:r>
    </w:p>
    <w:permEnd w:id="1931158919"/>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837113752" w:edGrp="everyone"/>
      <w:r>
        <w:t>TYPE YOUR TEXT HERE</w:t>
      </w:r>
    </w:p>
    <w:permEnd w:id="1837113752"/>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710621881" w:edGrp="everyone"/>
      <w:r>
        <w:t>TYPE YOUR TEXT HERE</w:t>
      </w:r>
    </w:p>
    <w:permEnd w:id="1710621881"/>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634426604" w:edGrp="everyone"/>
      <w:r>
        <w:t>TYPE YOUR TEXT HERE</w:t>
      </w:r>
    </w:p>
    <w:permEnd w:id="1634426604"/>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254677529" w:edGrp="everyone"/>
      <w:r>
        <w:t>TYPE YOUR TEXT HERE</w:t>
      </w:r>
    </w:p>
    <w:permEnd w:id="254677529"/>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336673738" w:edGrp="everyone"/>
      <w:r>
        <w:t>TYPE YOUR TEXT HERE</w:t>
      </w:r>
    </w:p>
    <w:permEnd w:id="1336673738"/>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004485880" w:edGrp="everyone"/>
      <w:r>
        <w:t>TYPE YOUR TEXT HERE</w:t>
      </w:r>
    </w:p>
    <w:permEnd w:id="100448588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621744970" w:edGrp="everyone"/>
      <w:r>
        <w:t>TYPE YOUR TEXT HERE</w:t>
      </w:r>
    </w:p>
    <w:permEnd w:id="621744970"/>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627666835" w:edGrp="everyone"/>
      <w:r>
        <w:t>TYPE YOUR TEXT HERE</w:t>
      </w:r>
    </w:p>
    <w:permEnd w:id="627666835"/>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36206759" w:edGrp="everyone"/>
      <w:r>
        <w:t>TYPE YOUR TEXT HERE</w:t>
      </w:r>
    </w:p>
    <w:permEnd w:id="36206759"/>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674259514" w:edGrp="everyone"/>
      <w:r>
        <w:t>TYPE YOUR TEXT HERE</w:t>
      </w:r>
    </w:p>
    <w:permEnd w:id="67425951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00295479" w:edGrp="everyone"/>
      <w:r>
        <w:t>TYPE YOUR TEXT HERE</w:t>
      </w:r>
    </w:p>
    <w:permEnd w:id="100295479"/>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946300188" w:edGrp="everyone"/>
      <w:r>
        <w:t>TYPE YOUR TEXT HERE</w:t>
      </w:r>
    </w:p>
    <w:permEnd w:id="946300188"/>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744730736" w:edGrp="everyone"/>
      <w:r>
        <w:t>TYPE YOUR TEXT HERE</w:t>
      </w:r>
    </w:p>
    <w:permEnd w:id="1744730736"/>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90278510" w:edGrp="everyone"/>
      <w:r>
        <w:t>TYPE YOUR TEXT HERE</w:t>
      </w:r>
    </w:p>
    <w:permEnd w:id="1990278510"/>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912752178" w:edGrp="everyone"/>
      <w:r>
        <w:t>TYPE YOUR TEXT HERE</w:t>
      </w:r>
    </w:p>
    <w:permEnd w:id="1912752178"/>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373365218" w:edGrp="everyone"/>
      <w:r>
        <w:t>TYPE YOUR TEXT HERE</w:t>
      </w:r>
    </w:p>
    <w:permEnd w:id="37336521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207925783" w:edGrp="everyone"/>
      <w:r>
        <w:t>TYPE YOUR TEXT HERE</w:t>
      </w:r>
    </w:p>
    <w:permEnd w:id="1207925783"/>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129271716" w:edGrp="everyone"/>
      <w:r>
        <w:t>TYPE YOUR TEXT HERE</w:t>
      </w:r>
    </w:p>
    <w:permEnd w:id="1129271716"/>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856831927" w:edGrp="everyone"/>
      <w:r>
        <w:t>TYPE YOUR TEXT HERE</w:t>
      </w:r>
    </w:p>
    <w:permEnd w:id="1856831927"/>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408691450" w:edGrp="everyone"/>
      <w:r>
        <w:t>TYPE YOUR TEXT HERE</w:t>
      </w:r>
    </w:p>
    <w:permEnd w:id="408691450"/>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038231582" w:edGrp="everyone"/>
      <w:r>
        <w:t>TYPE YOUR TEXT HERE</w:t>
      </w:r>
    </w:p>
    <w:permEnd w:id="1038231582"/>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939357802" w:edGrp="everyone"/>
      <w:r>
        <w:t>TYPE YOUR TEXT HERE</w:t>
      </w:r>
    </w:p>
    <w:permEnd w:id="1939357802"/>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005017605" w:edGrp="everyone"/>
      <w:r>
        <w:t>TYPE YOUR TEXT HERE</w:t>
      </w:r>
    </w:p>
    <w:permEnd w:id="1005017605"/>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595692550" w:edGrp="everyone"/>
      <w:r>
        <w:t>TYPE YOUR TEXT HERE</w:t>
      </w:r>
    </w:p>
    <w:permEnd w:id="1595692550"/>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668022991" w:edGrp="everyone"/>
      <w:r>
        <w:t>TYPE YOUR TEXT HERE</w:t>
      </w:r>
    </w:p>
    <w:permEnd w:id="1668022991"/>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372087598" w:edGrp="everyone"/>
      <w:r>
        <w:t>TYPE YOUR TEXT HERE</w:t>
      </w:r>
    </w:p>
    <w:permEnd w:id="1372087598"/>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748957089" w:edGrp="everyone"/>
      <w:r>
        <w:t>TYPE YOUR TEXT HERE</w:t>
      </w:r>
    </w:p>
    <w:permEnd w:id="748957089"/>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2131837175" w:edGrp="everyone"/>
      <w:r>
        <w:t>TYPE YOUR TEXT HERE</w:t>
      </w:r>
    </w:p>
    <w:permEnd w:id="2131837175"/>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257310783" w:edGrp="everyone"/>
      <w:r>
        <w:t>TYPE YOUR TEXT HERE</w:t>
      </w:r>
    </w:p>
    <w:permEnd w:id="125731078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034769157" w:edGrp="everyone"/>
      <w:r>
        <w:t>TYPE YOUR TEXT HERE</w:t>
      </w:r>
    </w:p>
    <w:permEnd w:id="1034769157"/>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625760032" w:edGrp="everyone"/>
      <w:r>
        <w:t>TYPE YOUR TEXT HERE</w:t>
      </w:r>
    </w:p>
    <w:permEnd w:id="625760032"/>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048907304" w:edGrp="everyone"/>
      <w:r>
        <w:t>TYPE YOUR TEXT HERE</w:t>
      </w:r>
    </w:p>
    <w:permEnd w:id="1048907304"/>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954954797" w:edGrp="everyone"/>
      <w:r>
        <w:t>TYPE YOUR TEXT HERE</w:t>
      </w:r>
    </w:p>
    <w:permEnd w:id="195495479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086631324" w:edGrp="everyone"/>
      <w:r>
        <w:t>TYPE YOUR TEXT HERE</w:t>
      </w:r>
    </w:p>
    <w:permEnd w:id="2086631324"/>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764488207" w:edGrp="everyone"/>
      <w:r>
        <w:t>TYPE YOUR TEXT HERE</w:t>
      </w:r>
    </w:p>
    <w:permEnd w:id="764488207"/>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2056670646" w:edGrp="everyone"/>
      <w:r>
        <w:t>TYPE YOUR TEXT HERE</w:t>
      </w:r>
    </w:p>
    <w:permEnd w:id="2056670646"/>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512370727" w:edGrp="everyone"/>
      <w:r>
        <w:t>TYPE YOUR TEXT HERE</w:t>
      </w:r>
    </w:p>
    <w:permEnd w:id="512370727"/>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E434D0" w:rsidRPr="00A758B9" w:rsidRDefault="00432167" w:rsidP="00EC2C93">
      <w:pPr>
        <w:keepNext/>
        <w:rPr>
          <w:lang w:val="en-US"/>
        </w:rPr>
      </w:pPr>
      <w:permStart w:id="1875202839" w:edGrp="everyone"/>
      <w:r w:rsidRPr="00A758B9">
        <w:rPr>
          <w:lang w:val="en-US"/>
        </w:rPr>
        <w:t>The National Association of German Cooperative Banks, which represents the 1.078 cooperative banks in Germany,</w:t>
      </w:r>
      <w:r w:rsidR="00803936" w:rsidRPr="00A758B9">
        <w:rPr>
          <w:lang w:val="en-US"/>
        </w:rPr>
        <w:t xml:space="preserve"> supports the use of XML – including XML subgroups such as FpML – for the purpose of transaction reporting. From today's perspective, XML and the associated subgroups represent suitable formats for fulfilling the complex reporting obligations</w:t>
      </w:r>
      <w:r w:rsidR="00E70FF7" w:rsidRPr="00A758B9">
        <w:rPr>
          <w:lang w:val="en-US"/>
        </w:rPr>
        <w:t>.</w:t>
      </w:r>
      <w:r w:rsidR="001138F7" w:rsidRPr="00A758B9">
        <w:rPr>
          <w:lang w:val="en-US"/>
        </w:rPr>
        <w:t xml:space="preserve"> </w:t>
      </w:r>
    </w:p>
    <w:permEnd w:id="1875202839"/>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D81F0C" w:rsidRPr="00B912B8" w:rsidRDefault="00D81F0C" w:rsidP="00D81F0C">
      <w:pPr>
        <w:keepNext/>
        <w:rPr>
          <w:rFonts w:ascii="Arial" w:eastAsia="Calibri" w:hAnsi="Arial" w:cs="Arial"/>
          <w:szCs w:val="22"/>
          <w:lang w:val="en-US"/>
        </w:rPr>
      </w:pPr>
      <w:permStart w:id="176890455" w:edGrp="everyone"/>
      <w:r w:rsidRPr="00B912B8">
        <w:rPr>
          <w:rFonts w:ascii="Arial" w:eastAsia="Calibri" w:hAnsi="Arial" w:cs="Arial"/>
          <w:szCs w:val="22"/>
          <w:lang w:val="en-US"/>
        </w:rPr>
        <w:t>Yes. The National Association of German Cooperative Banks</w:t>
      </w:r>
      <w:r w:rsidR="00597A88" w:rsidRPr="00B912B8">
        <w:rPr>
          <w:rFonts w:ascii="Arial" w:eastAsia="Calibri" w:hAnsi="Arial" w:cs="Arial"/>
          <w:szCs w:val="22"/>
          <w:lang w:val="en-US"/>
        </w:rPr>
        <w:t>, which represents the 1.078 cooperative banks in Germany,</w:t>
      </w:r>
      <w:r w:rsidRPr="00B912B8">
        <w:rPr>
          <w:rFonts w:ascii="Arial" w:eastAsia="Calibri" w:hAnsi="Arial" w:cs="Arial"/>
          <w:szCs w:val="22"/>
          <w:lang w:val="en-US"/>
        </w:rPr>
        <w:t xml:space="preserve"> continues to reject the inclusion of positions, position changes or exercises o</w:t>
      </w:r>
      <w:r w:rsidR="00883A10" w:rsidRPr="00B912B8">
        <w:rPr>
          <w:rFonts w:ascii="Arial" w:eastAsia="Calibri" w:hAnsi="Arial" w:cs="Arial"/>
          <w:szCs w:val="22"/>
          <w:lang w:val="en-US"/>
        </w:rPr>
        <w:t>f</w:t>
      </w:r>
      <w:r w:rsidRPr="00B912B8">
        <w:rPr>
          <w:rFonts w:ascii="Arial" w:eastAsia="Calibri" w:hAnsi="Arial" w:cs="Arial"/>
          <w:szCs w:val="22"/>
          <w:lang w:val="en-US"/>
        </w:rPr>
        <w:t xml:space="preserve"> existing rights under the concept of "transaction" – and hence, any reporting obligation pursuant to Article 26 of MiFIR in these cases.This definition approach is not supported by Level 1 of MiFIR. In fact, Level 1 does not provide any indication of legislative intent, on the part of all three European legislators for such a fundamental extension and paradigm change compared to existing European law.</w:t>
      </w:r>
    </w:p>
    <w:p w:rsidR="00FC6BD5" w:rsidRPr="00B912B8" w:rsidRDefault="00FC6BD5" w:rsidP="00D81F0C">
      <w:pPr>
        <w:keepNext/>
        <w:rPr>
          <w:rFonts w:ascii="Arial" w:eastAsia="Calibri" w:hAnsi="Arial" w:cs="Arial"/>
          <w:szCs w:val="22"/>
          <w:lang w:val="en-US"/>
        </w:rPr>
      </w:pPr>
    </w:p>
    <w:p w:rsidR="00D81F0C" w:rsidRPr="00B912B8" w:rsidRDefault="00D81F0C" w:rsidP="00D81F0C">
      <w:pPr>
        <w:keepNext/>
        <w:rPr>
          <w:rFonts w:ascii="Arial" w:eastAsia="Calibri" w:hAnsi="Arial" w:cs="Arial"/>
          <w:szCs w:val="22"/>
          <w:lang w:val="en-US"/>
        </w:rPr>
      </w:pPr>
      <w:r w:rsidRPr="00B912B8">
        <w:rPr>
          <w:rFonts w:ascii="Arial" w:eastAsia="Calibri" w:hAnsi="Arial" w:cs="Arial"/>
          <w:szCs w:val="22"/>
          <w:lang w:val="en-US"/>
        </w:rPr>
        <w:t xml:space="preserve">Instead, Level 1 of MiFIR continues to rely on the (exclusive) understanding of "transaction“ as an executed decision/order (cf. recital 34 to MiFIR: "… Competent authorities need to have full access to records at all stages in the </w:t>
      </w:r>
      <w:r w:rsidRPr="00B912B8">
        <w:rPr>
          <w:rFonts w:ascii="Arial" w:eastAsia="Calibri" w:hAnsi="Arial" w:cs="Arial"/>
          <w:b/>
          <w:szCs w:val="22"/>
          <w:lang w:val="en-US"/>
        </w:rPr>
        <w:t>order execution</w:t>
      </w:r>
      <w:r w:rsidRPr="00B912B8">
        <w:rPr>
          <w:rFonts w:ascii="Arial" w:eastAsia="Calibri" w:hAnsi="Arial" w:cs="Arial"/>
          <w:szCs w:val="22"/>
          <w:lang w:val="en-US"/>
        </w:rPr>
        <w:t xml:space="preserve"> process, from the initial </w:t>
      </w:r>
      <w:r w:rsidRPr="00B912B8">
        <w:rPr>
          <w:rFonts w:ascii="Arial" w:eastAsia="Calibri" w:hAnsi="Arial" w:cs="Arial"/>
          <w:b/>
          <w:szCs w:val="22"/>
          <w:lang w:val="en-US"/>
        </w:rPr>
        <w:t>decision to trade, through to its execution</w:t>
      </w:r>
      <w:r w:rsidRPr="00B912B8">
        <w:rPr>
          <w:rFonts w:ascii="Arial" w:eastAsia="Calibri" w:hAnsi="Arial" w:cs="Arial"/>
          <w:szCs w:val="22"/>
          <w:lang w:val="en-US"/>
        </w:rPr>
        <w:t xml:space="preserve">. Therefore, investment firms should keep records of all their orders and all their </w:t>
      </w:r>
      <w:r w:rsidRPr="00B912B8">
        <w:rPr>
          <w:rFonts w:ascii="Arial" w:eastAsia="Calibri" w:hAnsi="Arial" w:cs="Arial"/>
          <w:b/>
          <w:szCs w:val="22"/>
          <w:lang w:val="en-US"/>
        </w:rPr>
        <w:t xml:space="preserve">transactions </w:t>
      </w:r>
      <w:r w:rsidRPr="00B912B8">
        <w:rPr>
          <w:rFonts w:ascii="Arial" w:eastAsia="Calibri" w:hAnsi="Arial" w:cs="Arial"/>
          <w:szCs w:val="22"/>
          <w:lang w:val="en-US"/>
        </w:rPr>
        <w:t xml:space="preserve">in financial instruments …“ (highlights made by the National Association of German Cooperative Banks). The planned extension of reporting obligations to include positions, position changes or exercises of existing rights therefore lacks a legal basis on Level 1 of MiFIR. This is also evident when comparing it to EMIR, where – in contrast to MiFIR – Level 1 provides that: "… the details of any derivative contract they have concluded </w:t>
      </w:r>
      <w:r w:rsidRPr="00B912B8">
        <w:rPr>
          <w:rFonts w:ascii="Arial" w:eastAsia="Calibri" w:hAnsi="Arial" w:cs="Arial"/>
          <w:b/>
          <w:szCs w:val="22"/>
          <w:lang w:val="en-US"/>
        </w:rPr>
        <w:t>and of any modifcation or termination of the contract</w:t>
      </w:r>
      <w:r w:rsidRPr="00B912B8">
        <w:rPr>
          <w:rFonts w:ascii="Arial" w:eastAsia="Calibri" w:hAnsi="Arial" w:cs="Arial"/>
          <w:szCs w:val="22"/>
          <w:lang w:val="en-US"/>
        </w:rPr>
        <w:t xml:space="preserve"> are reported to a trade repository …“ (cf. Article 9 (1) of Regulation 658/2012/EU; see the note above concerning highlights). </w:t>
      </w:r>
    </w:p>
    <w:p w:rsidR="00FC6BD5" w:rsidRPr="00B912B8" w:rsidRDefault="00FC6BD5" w:rsidP="00D81F0C">
      <w:pPr>
        <w:keepNext/>
        <w:rPr>
          <w:rFonts w:ascii="Arial" w:eastAsia="Calibri" w:hAnsi="Arial" w:cs="Arial"/>
          <w:szCs w:val="22"/>
          <w:lang w:val="en-US"/>
        </w:rPr>
      </w:pPr>
    </w:p>
    <w:p w:rsidR="00D81F0C" w:rsidRPr="00B912B8" w:rsidRDefault="00D81F0C" w:rsidP="00D81F0C">
      <w:pPr>
        <w:keepNext/>
        <w:rPr>
          <w:rFonts w:ascii="Arial" w:eastAsia="Calibri" w:hAnsi="Arial" w:cs="Arial"/>
          <w:szCs w:val="22"/>
          <w:lang w:val="en-US"/>
        </w:rPr>
      </w:pPr>
      <w:r w:rsidRPr="00B912B8">
        <w:rPr>
          <w:rFonts w:ascii="Arial" w:eastAsia="Calibri" w:hAnsi="Arial" w:cs="Arial"/>
          <w:szCs w:val="22"/>
          <w:lang w:val="en-US"/>
        </w:rPr>
        <w:t>The National Association of German Cooperative Banks also criticises that the definitions are not exhaustive (refer to Article 3 (2) and (4): "....but will not be limited to: …”). The definition as to which transactions are subject to a reporting obligation must be finalised on Levels 1 and 2 – providing for further scenarios in the context of Level 3 guidelines is not acceptable.</w:t>
      </w:r>
    </w:p>
    <w:p w:rsidR="00FC6BD5" w:rsidRPr="00B912B8" w:rsidRDefault="00FC6BD5" w:rsidP="00D81F0C">
      <w:pPr>
        <w:keepNext/>
        <w:rPr>
          <w:rFonts w:ascii="Arial" w:eastAsia="Calibri" w:hAnsi="Arial" w:cs="Arial"/>
          <w:szCs w:val="22"/>
          <w:lang w:val="en-US"/>
        </w:rPr>
      </w:pPr>
    </w:p>
    <w:p w:rsidR="00D81F0C" w:rsidRPr="00B912B8" w:rsidRDefault="00D81F0C" w:rsidP="00D81F0C">
      <w:pPr>
        <w:keepNext/>
        <w:rPr>
          <w:rFonts w:ascii="Arial" w:eastAsia="Calibri" w:hAnsi="Arial" w:cs="Arial"/>
          <w:b/>
          <w:szCs w:val="22"/>
          <w:lang w:val="en-US"/>
        </w:rPr>
      </w:pPr>
      <w:r w:rsidRPr="00B912B8">
        <w:rPr>
          <w:rFonts w:ascii="Arial" w:eastAsia="Calibri" w:hAnsi="Arial" w:cs="Arial"/>
          <w:b/>
          <w:szCs w:val="22"/>
          <w:lang w:val="en-US"/>
        </w:rPr>
        <w:t>No double reporting of derivatives trades</w:t>
      </w:r>
    </w:p>
    <w:p w:rsidR="00D81F0C" w:rsidRPr="00B912B8" w:rsidRDefault="00D81F0C" w:rsidP="00D81F0C">
      <w:pPr>
        <w:keepNext/>
        <w:rPr>
          <w:rFonts w:ascii="Arial" w:eastAsia="Calibri" w:hAnsi="Arial" w:cs="Arial"/>
          <w:szCs w:val="22"/>
          <w:lang w:val="en-US"/>
        </w:rPr>
      </w:pPr>
      <w:r w:rsidRPr="00B912B8">
        <w:rPr>
          <w:rFonts w:ascii="Arial" w:eastAsia="Calibri" w:hAnsi="Arial" w:cs="Arial"/>
          <w:szCs w:val="22"/>
          <w:lang w:val="en-US"/>
        </w:rPr>
        <w:t>At the same time, we believe that consistency will need to be created between EMIR and MiFIR concerning reporting obligations for derivatives contracts, in order to comply with the will of European legislators to prevent double reporting, as expressed in Article 26 (7) of MiFIR.</w:t>
      </w:r>
    </w:p>
    <w:p w:rsidR="00FC6BD5" w:rsidRPr="00B912B8" w:rsidRDefault="00FC6BD5" w:rsidP="00D81F0C">
      <w:pPr>
        <w:keepNext/>
        <w:rPr>
          <w:rFonts w:ascii="Arial" w:eastAsia="Calibri" w:hAnsi="Arial" w:cs="Arial"/>
          <w:szCs w:val="22"/>
          <w:lang w:val="en-US"/>
        </w:rPr>
      </w:pPr>
    </w:p>
    <w:p w:rsidR="00D81F0C" w:rsidRPr="00B912B8" w:rsidRDefault="00D81F0C" w:rsidP="00D81F0C">
      <w:pPr>
        <w:keepNext/>
        <w:rPr>
          <w:rFonts w:ascii="Arial" w:eastAsia="Calibri" w:hAnsi="Arial" w:cs="Arial"/>
          <w:b/>
          <w:szCs w:val="22"/>
          <w:lang w:val="en-US"/>
        </w:rPr>
      </w:pPr>
      <w:r w:rsidRPr="00B912B8">
        <w:rPr>
          <w:rFonts w:ascii="Arial" w:eastAsia="Calibri" w:hAnsi="Arial" w:cs="Arial"/>
          <w:b/>
          <w:szCs w:val="22"/>
          <w:lang w:val="en-US"/>
        </w:rPr>
        <w:t>Necessary specifications</w:t>
      </w:r>
    </w:p>
    <w:p w:rsidR="00D81F0C" w:rsidRPr="00B912B8" w:rsidRDefault="00D81F0C" w:rsidP="00EC2C93">
      <w:pPr>
        <w:keepNext/>
        <w:rPr>
          <w:rFonts w:ascii="Arial" w:eastAsia="Calibri" w:hAnsi="Arial" w:cs="Arial"/>
          <w:szCs w:val="22"/>
          <w:lang w:val="en-US"/>
        </w:rPr>
      </w:pPr>
      <w:r w:rsidRPr="00B912B8">
        <w:rPr>
          <w:rFonts w:ascii="Arial" w:eastAsia="Calibri" w:hAnsi="Arial" w:cs="Arial"/>
          <w:szCs w:val="22"/>
          <w:lang w:val="en-US"/>
        </w:rPr>
        <w:t>The necessary specifications are still missing. To complete the fields, reporting parties need unambiguous use cases as to how future trade scenarios will need to be reported. These specifications must be communicated at an early stage, including a binding determination as to which fields are mandatory. Reporting parties will only be able to complete implementation by the deadline on 3 January 2017 if all required specifications are provided. In any case, a situation must be avoided such as the one seen with the implementation of EMIR, when some of the final specifications were made available far too late. The National Association of German Cooperative Banks considers a consultation process concerning ESMA's planned specifications (which ESMA intends to communicate in the form of guidelines) as being indispensable – even more so since highly detailed technical provisions are involved here.</w:t>
      </w:r>
    </w:p>
    <w:permEnd w:id="176890455"/>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D81F0C" w:rsidRPr="00B912B8" w:rsidRDefault="00D81F0C" w:rsidP="00D81F0C">
      <w:pPr>
        <w:keepNext/>
        <w:rPr>
          <w:rFonts w:ascii="Arial" w:eastAsia="Calibri" w:hAnsi="Arial" w:cs="Arial"/>
          <w:szCs w:val="22"/>
          <w:lang w:val="en-US"/>
        </w:rPr>
      </w:pPr>
      <w:permStart w:id="2041655582" w:edGrp="everyone"/>
      <w:r w:rsidRPr="00B912B8">
        <w:rPr>
          <w:rFonts w:ascii="Arial" w:eastAsia="Calibri" w:hAnsi="Arial" w:cs="Arial"/>
          <w:szCs w:val="22"/>
          <w:lang w:val="en-US"/>
        </w:rPr>
        <w:t xml:space="preserve">Yes. In the opinion of the National Association of German Cooperative Banks, an explicit exemption from the reporting obligation should apply to the issue and redemption of units or shares in investment funds by or to the investment management company at issue or redemption prices determined by it. As we understand the exemption provided in Article 3 (3) (e) </w:t>
      </w:r>
      <w:r w:rsidR="00FC6BD5" w:rsidRPr="00B912B8">
        <w:rPr>
          <w:rFonts w:ascii="Arial" w:eastAsia="Calibri" w:hAnsi="Arial" w:cs="Arial"/>
          <w:szCs w:val="22"/>
          <w:lang w:val="en-US"/>
        </w:rPr>
        <w:t>D</w:t>
      </w:r>
      <w:r w:rsidRPr="00B912B8">
        <w:rPr>
          <w:rFonts w:ascii="Arial" w:eastAsia="Calibri" w:hAnsi="Arial" w:cs="Arial"/>
          <w:szCs w:val="22"/>
          <w:lang w:val="en-US"/>
        </w:rPr>
        <w:t>raft RTS 32, it is precisely these cases that should be exempt. In fact an exemption would appear sensible, since these types of transactions cannot give rise to market abuse. We would therefore consider clarification in the form of a recital to be sensible.</w:t>
      </w:r>
    </w:p>
    <w:p w:rsidR="00FC6BD5" w:rsidRPr="00B912B8" w:rsidRDefault="00FC6BD5" w:rsidP="00D81F0C">
      <w:pPr>
        <w:keepNext/>
        <w:rPr>
          <w:rFonts w:ascii="Arial" w:eastAsia="Calibri" w:hAnsi="Arial" w:cs="Arial"/>
          <w:szCs w:val="22"/>
          <w:lang w:val="en-US"/>
        </w:rPr>
      </w:pPr>
    </w:p>
    <w:p w:rsidR="00D81F0C" w:rsidRPr="00B912B8" w:rsidRDefault="00D81F0C" w:rsidP="00D81F0C">
      <w:pPr>
        <w:keepNext/>
        <w:rPr>
          <w:rFonts w:ascii="Arial" w:eastAsia="Calibri" w:hAnsi="Arial" w:cs="Arial"/>
          <w:szCs w:val="22"/>
          <w:lang w:val="en-US"/>
        </w:rPr>
      </w:pPr>
      <w:r w:rsidRPr="00B912B8">
        <w:rPr>
          <w:rFonts w:ascii="Arial" w:eastAsia="Calibri" w:hAnsi="Arial" w:cs="Arial"/>
          <w:szCs w:val="22"/>
          <w:lang w:val="en-US"/>
        </w:rPr>
        <w:t>With respect to the exception in Article 3 (3) (j)</w:t>
      </w:r>
      <w:r w:rsidR="00FC6BD5" w:rsidRPr="00B912B8">
        <w:rPr>
          <w:rFonts w:ascii="Arial" w:eastAsia="Calibri" w:hAnsi="Arial" w:cs="Arial"/>
          <w:szCs w:val="22"/>
          <w:lang w:val="en-US"/>
        </w:rPr>
        <w:t xml:space="preserve"> Draft RTS 32</w:t>
      </w:r>
      <w:r w:rsidRPr="00B912B8">
        <w:rPr>
          <w:rFonts w:ascii="Arial" w:eastAsia="Calibri" w:hAnsi="Arial" w:cs="Arial"/>
          <w:szCs w:val="22"/>
          <w:lang w:val="en-US"/>
        </w:rPr>
        <w:t xml:space="preserve">, the limiting condition (iv) should be deleted. The limitations set out in (i) to (iii) are sufficient to provide any potential market abuse. </w:t>
      </w:r>
    </w:p>
    <w:p w:rsidR="00FC6BD5" w:rsidRPr="00B912B8" w:rsidRDefault="00FC6BD5" w:rsidP="00D81F0C">
      <w:pPr>
        <w:keepNext/>
        <w:rPr>
          <w:rFonts w:ascii="Arial" w:eastAsia="Calibri" w:hAnsi="Arial" w:cs="Arial"/>
          <w:szCs w:val="22"/>
          <w:lang w:val="en-US"/>
        </w:rPr>
      </w:pPr>
    </w:p>
    <w:p w:rsidR="00D81F0C" w:rsidRPr="00B912B8" w:rsidRDefault="00D81F0C" w:rsidP="00D81F0C">
      <w:pPr>
        <w:keepNext/>
        <w:rPr>
          <w:rFonts w:ascii="Arial" w:eastAsia="Calibri" w:hAnsi="Arial" w:cs="Arial"/>
          <w:szCs w:val="22"/>
          <w:lang w:val="en-US"/>
        </w:rPr>
      </w:pPr>
      <w:r w:rsidRPr="00B912B8">
        <w:rPr>
          <w:rFonts w:ascii="Arial" w:eastAsia="Calibri" w:hAnsi="Arial" w:cs="Arial"/>
          <w:szCs w:val="22"/>
          <w:lang w:val="en-US"/>
        </w:rPr>
        <w:t xml:space="preserve">Please refer to our response to Q214 regarding our demand that reporting obligations for position changes be waived. In addition to this, the exception set out in Article 3 (3) (f) </w:t>
      </w:r>
      <w:r w:rsidR="00FC6BD5" w:rsidRPr="00B912B8">
        <w:rPr>
          <w:rFonts w:ascii="Arial" w:eastAsia="Calibri" w:hAnsi="Arial" w:cs="Arial"/>
          <w:szCs w:val="22"/>
          <w:lang w:val="en-US"/>
        </w:rPr>
        <w:t xml:space="preserve">Draft RTS 32 </w:t>
      </w:r>
      <w:r w:rsidRPr="00B912B8">
        <w:rPr>
          <w:rFonts w:ascii="Arial" w:eastAsia="Calibri" w:hAnsi="Arial" w:cs="Arial"/>
          <w:szCs w:val="22"/>
          <w:lang w:val="en-US"/>
        </w:rPr>
        <w:t xml:space="preserve">is worded too strictly, as far as internal transfers are required. Any position change should be exempt, especially such which do not lead to a change of ownership of the financial instrument.   </w:t>
      </w:r>
    </w:p>
    <w:p w:rsidR="00FC6BD5" w:rsidRPr="00B912B8" w:rsidRDefault="00FC6BD5" w:rsidP="00EC2C93">
      <w:pPr>
        <w:keepNext/>
        <w:rPr>
          <w:rFonts w:ascii="Arial" w:eastAsia="Calibri" w:hAnsi="Arial" w:cs="Arial"/>
          <w:szCs w:val="22"/>
          <w:lang w:val="en-US"/>
        </w:rPr>
      </w:pPr>
    </w:p>
    <w:p w:rsidR="00D81F0C" w:rsidRPr="00B912B8" w:rsidRDefault="00D81F0C" w:rsidP="00EC2C93">
      <w:pPr>
        <w:keepNext/>
        <w:rPr>
          <w:rFonts w:ascii="Arial" w:eastAsia="Calibri" w:hAnsi="Arial" w:cs="Arial"/>
          <w:szCs w:val="22"/>
          <w:lang w:val="en-US"/>
        </w:rPr>
      </w:pPr>
      <w:r w:rsidRPr="00B912B8">
        <w:rPr>
          <w:rFonts w:ascii="Arial" w:eastAsia="Calibri" w:hAnsi="Arial" w:cs="Arial"/>
          <w:szCs w:val="22"/>
          <w:lang w:val="en-US"/>
        </w:rPr>
        <w:t>The National Association of German Cooperative Banks strongly welcomes that securities financing transactions which are subject to a reporting obligation pursuant to Regulation 2014/0017 are exempt from reporting obligations under Article 26 MiFIR. This will prevent a duplication of reports. The National Association of German Cooperative Banks assumes that the reporting obligation set out in the SFTR has a discharging effect, meaning that no reporting obligation pursuant to Article 26 MiFIR will arise if the application dates were different.</w:t>
      </w:r>
    </w:p>
    <w:permEnd w:id="2041655582"/>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D81F0C" w:rsidRPr="00B912B8" w:rsidRDefault="00D81F0C" w:rsidP="00EC2C93">
      <w:pPr>
        <w:keepNext/>
        <w:rPr>
          <w:rFonts w:ascii="Arial" w:eastAsia="Calibri" w:hAnsi="Arial" w:cs="Arial"/>
          <w:szCs w:val="22"/>
          <w:lang w:val="en-US"/>
        </w:rPr>
      </w:pPr>
      <w:permStart w:id="1848986641" w:edGrp="everyone"/>
      <w:r w:rsidRPr="00B912B8">
        <w:rPr>
          <w:rFonts w:ascii="Arial" w:eastAsia="Calibri" w:hAnsi="Arial" w:cs="Arial"/>
          <w:szCs w:val="22"/>
          <w:lang w:val="en-US"/>
        </w:rPr>
        <w:t>No. We concur with ESMA's view that the receiving firm is subject to the usual duties of care and diligence. Specifically, this means that it must carry out a (technical) plausibility check for the data received. In our view, it would be helpful if a corr</w:t>
      </w:r>
      <w:r w:rsidR="00FC6BD5" w:rsidRPr="00B912B8">
        <w:rPr>
          <w:rFonts w:ascii="Arial" w:eastAsia="Calibri" w:hAnsi="Arial" w:cs="Arial"/>
          <w:szCs w:val="22"/>
          <w:lang w:val="en-US"/>
        </w:rPr>
        <w:t>esponding recital was added to D</w:t>
      </w:r>
      <w:r w:rsidRPr="00B912B8">
        <w:rPr>
          <w:rFonts w:ascii="Arial" w:eastAsia="Calibri" w:hAnsi="Arial" w:cs="Arial"/>
          <w:szCs w:val="22"/>
          <w:lang w:val="en-US"/>
        </w:rPr>
        <w:t>raft RTS 32.</w:t>
      </w:r>
    </w:p>
    <w:permEnd w:id="1848986641"/>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D81F0C" w:rsidP="00EC2C93">
      <w:pPr>
        <w:keepNext/>
      </w:pPr>
      <w:permStart w:id="739653559" w:edGrp="everyone"/>
      <w:r w:rsidRPr="00B912B8">
        <w:rPr>
          <w:rFonts w:ascii="Arial" w:eastAsia="Calibri" w:hAnsi="Arial" w:cs="Arial"/>
          <w:szCs w:val="22"/>
          <w:lang w:val="en-US"/>
        </w:rPr>
        <w:t xml:space="preserve">Yes. The National Association of German Cooperative Banks welcomes ESMA's proposal to create a unique link between the buy/sell indicator and the respective buyer and seller. This approach can be implemented technically, and would allow for unambiguous interpretation. Derivatives contracts should be treated according to EMIR requirements. </w:t>
      </w:r>
      <w:permEnd w:id="739653559"/>
      <w:r w:rsidR="00577C33">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D81F0C" w:rsidRPr="00D81F0C" w:rsidRDefault="00D81F0C" w:rsidP="00D81F0C">
      <w:pPr>
        <w:keepNext/>
        <w:spacing w:after="160" w:line="259" w:lineRule="auto"/>
        <w:jc w:val="left"/>
        <w:rPr>
          <w:rFonts w:ascii="Arial" w:eastAsia="Calibri" w:hAnsi="Arial" w:cs="Arial"/>
          <w:szCs w:val="22"/>
          <w:u w:val="single"/>
          <w:lang w:eastAsia="en-GB" w:bidi="en-GB"/>
        </w:rPr>
      </w:pPr>
      <w:permStart w:id="1387528977" w:edGrp="everyone"/>
      <w:r w:rsidRPr="00D81F0C">
        <w:rPr>
          <w:rFonts w:ascii="Arial" w:eastAsia="Calibri" w:hAnsi="Arial" w:cs="Arial"/>
          <w:szCs w:val="22"/>
          <w:u w:val="single"/>
          <w:lang w:eastAsia="en-GB" w:bidi="en-GB"/>
        </w:rPr>
        <w:t>Regarding client identification (Article 6, annex I, table 1, fields 5 to 34)</w:t>
      </w:r>
    </w:p>
    <w:p w:rsidR="00D81F0C" w:rsidRPr="00D81F0C" w:rsidRDefault="00D81F0C" w:rsidP="00D81F0C">
      <w:pPr>
        <w:keepNext/>
        <w:spacing w:after="160" w:line="259" w:lineRule="auto"/>
        <w:jc w:val="left"/>
        <w:rPr>
          <w:rFonts w:ascii="Arial" w:eastAsia="Calibri" w:hAnsi="Arial" w:cs="Arial"/>
          <w:szCs w:val="22"/>
          <w:lang w:eastAsia="en-GB" w:bidi="en-GB"/>
        </w:rPr>
      </w:pPr>
      <w:r w:rsidRPr="00D81F0C">
        <w:rPr>
          <w:rFonts w:ascii="Arial" w:eastAsia="Calibri" w:hAnsi="Arial" w:cs="Arial"/>
          <w:szCs w:val="22"/>
          <w:lang w:eastAsia="en-GB" w:bidi="en-GB"/>
        </w:rPr>
        <w:t xml:space="preserve">The National Association of German Cooperative Banks  criticise the planned client identification procedure. In our view, </w:t>
      </w:r>
    </w:p>
    <w:p w:rsidR="00FC6BD5" w:rsidRDefault="00D81F0C" w:rsidP="00FC6BD5">
      <w:pPr>
        <w:pStyle w:val="Listenabsatz"/>
        <w:rPr>
          <w:rFonts w:eastAsia="Times New Roman"/>
          <w:lang w:eastAsia="en-GB" w:bidi="en-GB"/>
        </w:rPr>
      </w:pPr>
      <w:r w:rsidRPr="00FC6BD5">
        <w:rPr>
          <w:rFonts w:eastAsia="Times New Roman"/>
          <w:lang w:eastAsia="en-GB" w:bidi="en-GB"/>
        </w:rPr>
        <w:t xml:space="preserve">the proposal of client identification of natural persons is not approriate, especially because it is not in line with requirements according to the Third Anti-Money Laundering Directive to identify a client and </w:t>
      </w:r>
      <w:r w:rsidR="00FC6BD5">
        <w:rPr>
          <w:rFonts w:eastAsia="Times New Roman"/>
          <w:lang w:eastAsia="en-GB" w:bidi="en-GB"/>
        </w:rPr>
        <w:t xml:space="preserve">at </w:t>
      </w:r>
      <w:r w:rsidRPr="00FC6BD5">
        <w:rPr>
          <w:rFonts w:eastAsia="Times New Roman"/>
          <w:lang w:eastAsia="en-GB" w:bidi="en-GB"/>
        </w:rPr>
        <w:t>the same time is not sufficient for a clear and accurate client identification. To ascertain the intended sychnchronisation of client identification of natural persons, we propsoe to exclusively provide “CONCAT” for this identification;</w:t>
      </w:r>
    </w:p>
    <w:p w:rsidR="00FC6BD5" w:rsidRPr="00FC6BD5" w:rsidRDefault="00D81F0C" w:rsidP="00FC6BD5">
      <w:pPr>
        <w:pStyle w:val="Listenabsatz"/>
        <w:rPr>
          <w:rFonts w:eastAsia="Times New Roman"/>
          <w:lang w:eastAsia="en-GB" w:bidi="en-GB"/>
        </w:rPr>
      </w:pPr>
      <w:r w:rsidRPr="00FC6BD5">
        <w:rPr>
          <w:rFonts w:eastAsia="Times New Roman"/>
          <w:lang w:eastAsia="en-GB" w:bidi="en-GB"/>
        </w:rPr>
        <w:t xml:space="preserve">additional information concerning the client’s identity are not in line with Level 1. Furthermore such a requirement additionally to the client identification wouldn’t be proportionate. But proportionality is necessary to justify such a requirement also with respect of data protection law; </w:t>
      </w:r>
    </w:p>
    <w:p w:rsidR="00FC6BD5" w:rsidRPr="00FC6BD5" w:rsidRDefault="00D81F0C" w:rsidP="00FC6BD5">
      <w:pPr>
        <w:pStyle w:val="Listenabsatz"/>
        <w:rPr>
          <w:rFonts w:eastAsia="Times New Roman"/>
          <w:lang w:eastAsia="en-GB" w:bidi="en-GB"/>
        </w:rPr>
      </w:pPr>
      <w:r w:rsidRPr="00FC6BD5">
        <w:rPr>
          <w:rFonts w:eastAsia="Times New Roman"/>
          <w:lang w:eastAsia="en-GB" w:bidi="en-GB"/>
        </w:rPr>
        <w:t>a designation with respect of decision makers is not provided at Level 1. The same applies with respect of additional information to the decision maker’s identity;</w:t>
      </w:r>
    </w:p>
    <w:p w:rsidR="00D81F0C" w:rsidRPr="00FC6BD5" w:rsidRDefault="00D81F0C" w:rsidP="00FC6BD5">
      <w:pPr>
        <w:pStyle w:val="Listenabsatz"/>
        <w:rPr>
          <w:rFonts w:eastAsia="Times New Roman"/>
          <w:lang w:eastAsia="en-GB" w:bidi="en-GB"/>
        </w:rPr>
      </w:pPr>
      <w:r w:rsidRPr="00FC6BD5">
        <w:rPr>
          <w:rFonts w:eastAsia="Times New Roman"/>
          <w:lang w:eastAsia="en-GB" w:bidi="en-GB"/>
        </w:rPr>
        <w:t xml:space="preserve">a fall back solution (like “CONCAT” for natural persons) is necessary with respect of many legal entities (especially in the scope of MiFIR) which ar not required to have a LEI. </w:t>
      </w:r>
    </w:p>
    <w:p w:rsidR="00D81F0C" w:rsidRPr="00D81F0C" w:rsidRDefault="00D81F0C" w:rsidP="00D81F0C">
      <w:pPr>
        <w:keepNext/>
        <w:spacing w:after="160" w:line="259" w:lineRule="auto"/>
        <w:jc w:val="left"/>
        <w:rPr>
          <w:rFonts w:ascii="Arial" w:eastAsia="Calibri" w:hAnsi="Arial" w:cs="Arial"/>
          <w:szCs w:val="22"/>
          <w:u w:val="single"/>
          <w:lang w:eastAsia="en-GB" w:bidi="en-GB"/>
        </w:rPr>
      </w:pPr>
      <w:r w:rsidRPr="00D81F0C">
        <w:rPr>
          <w:rFonts w:ascii="Arial" w:eastAsia="Calibri" w:hAnsi="Arial" w:cs="Arial"/>
          <w:szCs w:val="22"/>
          <w:u w:val="single"/>
          <w:lang w:eastAsia="en-GB" w:bidi="en-GB"/>
        </w:rPr>
        <w:t>In detail:</w:t>
      </w:r>
    </w:p>
    <w:p w:rsidR="00FC6BD5" w:rsidRDefault="00D81F0C" w:rsidP="00FC6BD5">
      <w:pPr>
        <w:pStyle w:val="Listenabsatz"/>
        <w:rPr>
          <w:rFonts w:eastAsia="Times New Roman"/>
          <w:lang w:eastAsia="en-GB" w:bidi="en-GB"/>
        </w:rPr>
      </w:pPr>
      <w:r w:rsidRPr="00FC6BD5">
        <w:rPr>
          <w:rFonts w:eastAsia="Times New Roman"/>
          <w:lang w:eastAsia="en-GB" w:bidi="en-GB"/>
        </w:rPr>
        <w:t xml:space="preserve">The proposed concept of client identification of natural persons is not appropriate. It would be a completely new procedure of client identification which is not in line with the identification duties in accordance with the Third Anti-Money Laundering Directive (2005/60/EC; AMLD). The national </w:t>
      </w:r>
      <w:r w:rsidR="00FC6BD5">
        <w:rPr>
          <w:rFonts w:eastAsia="Times New Roman"/>
          <w:lang w:eastAsia="en-GB" w:bidi="en-GB"/>
        </w:rPr>
        <w:t xml:space="preserve">implementing </w:t>
      </w:r>
      <w:r w:rsidRPr="00FC6BD5">
        <w:rPr>
          <w:rFonts w:eastAsia="Times New Roman"/>
          <w:lang w:eastAsia="en-GB" w:bidi="en-GB"/>
        </w:rPr>
        <w:t>requirements and guidelines by the NCAs contain detailed provisions how clients must be identified in accordance with Article 8 (1) a) AMLD. In Germany, this means that natural persons must be identified on the basis of a valid official photo ID that satisfies domestic passport/ID requirements. In practice, this requirement is satisfied, in particular, through an identity card or an international passport (which is also written in English). Provided that the prerequisites set out above are satisfied, the different identity documents are</w:t>
      </w:r>
      <w:r w:rsidRPr="00FC6BD5">
        <w:rPr>
          <w:rFonts w:eastAsia="Times New Roman"/>
          <w:b/>
          <w:lang w:eastAsia="en-GB" w:bidi="en-GB"/>
        </w:rPr>
        <w:t xml:space="preserve"> equal</w:t>
      </w:r>
      <w:r w:rsidR="00FC6BD5">
        <w:rPr>
          <w:rFonts w:eastAsia="Times New Roman"/>
          <w:b/>
          <w:lang w:eastAsia="en-GB" w:bidi="en-GB"/>
        </w:rPr>
        <w:t>ly</w:t>
      </w:r>
      <w:r w:rsidRPr="00FC6BD5">
        <w:rPr>
          <w:rFonts w:eastAsia="Times New Roman"/>
          <w:b/>
          <w:lang w:eastAsia="en-GB" w:bidi="en-GB"/>
        </w:rPr>
        <w:t xml:space="preserve"> suitable </w:t>
      </w:r>
      <w:r w:rsidRPr="00FC6BD5">
        <w:rPr>
          <w:rFonts w:eastAsia="Times New Roman"/>
          <w:lang w:eastAsia="en-GB" w:bidi="en-GB"/>
        </w:rPr>
        <w:t>with respect of the AML identification requirments. Since clients are under no obligation for a more extensive cooperation, they are free to present an identity card</w:t>
      </w:r>
      <w:r w:rsidRPr="00FC6BD5">
        <w:rPr>
          <w:rFonts w:eastAsia="Times New Roman"/>
          <w:b/>
          <w:lang w:eastAsia="en-GB" w:bidi="en-GB"/>
        </w:rPr>
        <w:t xml:space="preserve"> or </w:t>
      </w:r>
      <w:r w:rsidRPr="00FC6BD5">
        <w:rPr>
          <w:rFonts w:eastAsia="Times New Roman"/>
          <w:lang w:eastAsia="en-GB" w:bidi="en-GB"/>
        </w:rPr>
        <w:t xml:space="preserve">another identity document recognised for AML purposes to the investment firm. As far as Annex II, Table 1 provides for a priority among different identification documents (cf. CZ, DE, DK, FI, FR, LT, LU, NL, NO, RO, SE, SK), such prioritisation, therefore, will not work in practice. </w:t>
      </w:r>
    </w:p>
    <w:p w:rsidR="000147F2" w:rsidRDefault="00D81F0C" w:rsidP="000147F2">
      <w:pPr>
        <w:ind w:left="360"/>
        <w:rPr>
          <w:rFonts w:eastAsia="Times New Roman"/>
          <w:lang w:eastAsia="en-GB" w:bidi="en-GB"/>
        </w:rPr>
      </w:pPr>
      <w:r w:rsidRPr="00FC6BD5">
        <w:rPr>
          <w:rFonts w:eastAsia="Times New Roman"/>
          <w:lang w:eastAsia="en-GB" w:bidi="en-GB"/>
        </w:rPr>
        <w:t xml:space="preserve">Moreover – especially for "all other countries" – it is questionable whether the respective "national passport" would allow for a clear and accurate identification at all. For instance, it is questionable whether such documents always constitute an official photo ID. Furthermore, it is likely that they are issued only in the language of the respective country, i.e. not also in English. Such national passport wouldn’t be sufficient to identificate a client. Consequently, when a "national passport" is insufficient for identifying clients for AML purposes, "CONCAT" would have to apply as a fallback solution. </w:t>
      </w:r>
    </w:p>
    <w:p w:rsidR="000147F2" w:rsidRDefault="000147F2" w:rsidP="000147F2">
      <w:pPr>
        <w:ind w:left="360"/>
        <w:rPr>
          <w:rFonts w:eastAsia="Times New Roman"/>
          <w:lang w:eastAsia="en-GB" w:bidi="en-GB"/>
        </w:rPr>
      </w:pPr>
    </w:p>
    <w:p w:rsidR="000147F2" w:rsidRDefault="00D81F0C" w:rsidP="000147F2">
      <w:pPr>
        <w:ind w:left="360"/>
        <w:rPr>
          <w:rFonts w:eastAsia="Times New Roman"/>
          <w:lang w:eastAsia="en-GB" w:bidi="en-GB"/>
        </w:rPr>
      </w:pPr>
      <w:r w:rsidRPr="00FC6BD5">
        <w:rPr>
          <w:rFonts w:eastAsia="Calibri"/>
          <w:lang w:eastAsia="en-GB" w:bidi="en-GB"/>
        </w:rPr>
        <w:t xml:space="preserve">The same goes for the UK and GR: For these countries, Annex II, Table 1 provides for the national insurance number (UK) or a so called 10 DSS digit investor share (GR) to be used as first priority. However, to date there is no requirement (neither on European nor national level) to ask clients for such identification numbers. Furthermore, the clients are not obliged to cooperate. Additionally, also these numbers would not permit a clear and accurate identification. In any case, these are no documents which would be suitable to fulfil identification duties with respect of AML requirements in Germany. Since clients are not obliged to present national identity cards (prescribed as a second priority), as outlined above, again "CONCAT" would have to appy as a fallback solutions in these cases. </w:t>
      </w:r>
    </w:p>
    <w:p w:rsidR="000147F2" w:rsidRDefault="000147F2" w:rsidP="000147F2">
      <w:pPr>
        <w:ind w:left="360"/>
        <w:rPr>
          <w:rFonts w:eastAsia="Times New Roman"/>
          <w:lang w:eastAsia="en-GB" w:bidi="en-GB"/>
        </w:rPr>
      </w:pPr>
    </w:p>
    <w:p w:rsidR="000147F2" w:rsidRDefault="00D81F0C" w:rsidP="000147F2">
      <w:pPr>
        <w:ind w:left="360"/>
        <w:rPr>
          <w:rFonts w:eastAsia="Times New Roman"/>
          <w:lang w:eastAsia="en-GB" w:bidi="en-GB"/>
        </w:rPr>
      </w:pPr>
      <w:r w:rsidRPr="00FC6BD5">
        <w:rPr>
          <w:rFonts w:eastAsia="Calibri"/>
          <w:lang w:eastAsia="en-GB" w:bidi="en-GB"/>
        </w:rPr>
        <w:t xml:space="preserve">To the extent that Annex II, Table 1 </w:t>
      </w:r>
      <w:r w:rsidR="00FC6BD5" w:rsidRPr="00FC6BD5">
        <w:rPr>
          <w:rFonts w:eastAsia="Calibri"/>
          <w:lang w:eastAsia="en-GB" w:bidi="en-GB"/>
        </w:rPr>
        <w:t xml:space="preserve">Draft RTS 32 </w:t>
      </w:r>
      <w:r w:rsidRPr="00FC6BD5">
        <w:rPr>
          <w:rFonts w:eastAsia="Calibri"/>
          <w:lang w:eastAsia="en-GB" w:bidi="en-GB"/>
        </w:rPr>
        <w:t>requires (national) tax identification numbers (first priority for ES, IT and PT; second priority for PL), it is impossible to identify clients on the basis of these numbers alone. In any case other identification methods are necessary, in practice, this is carried out in line with AML identification requirements. Furthermore, the tax identification number must be requested from clients only for contractual relationships established after 1 January 2004. Therefore, for the vast majority of existing clients the national tax identification number is not available. Also in this regard, clients are under no obligation for a more extensive cooperation. But in all these cases, the client has been identified according AML identification requirements. Thus, it would be appropriate to refer to AML identification identification duties only. Furthermore, also in all these cases a fallback option ("CONCAT") is necessary; this is lac</w:t>
      </w:r>
      <w:r w:rsidR="00FC6BD5" w:rsidRPr="00FC6BD5">
        <w:rPr>
          <w:rFonts w:eastAsia="Calibri"/>
          <w:lang w:eastAsia="en-GB" w:bidi="en-GB"/>
        </w:rPr>
        <w:t xml:space="preserve">king for ES, IT and PL so far. </w:t>
      </w:r>
    </w:p>
    <w:p w:rsidR="000147F2" w:rsidRDefault="000147F2" w:rsidP="000147F2">
      <w:pPr>
        <w:ind w:left="360"/>
        <w:rPr>
          <w:rFonts w:eastAsia="Times New Roman"/>
          <w:lang w:eastAsia="en-GB" w:bidi="en-GB"/>
        </w:rPr>
      </w:pPr>
    </w:p>
    <w:p w:rsidR="00FC6BD5" w:rsidRPr="000147F2" w:rsidRDefault="00D81F0C" w:rsidP="000147F2">
      <w:pPr>
        <w:ind w:left="360"/>
        <w:rPr>
          <w:rFonts w:eastAsia="Times New Roman"/>
          <w:lang w:eastAsia="en-GB" w:bidi="en-GB"/>
        </w:rPr>
      </w:pPr>
      <w:r w:rsidRPr="00FC6BD5">
        <w:rPr>
          <w:rFonts w:eastAsia="Calibri"/>
          <w:lang w:eastAsia="en-GB" w:bidi="en-GB"/>
        </w:rPr>
        <w:t xml:space="preserve">Due to the reasons set out above, the planned procedure for identifying natural persons is not appropriate. Moreover, it would be disproportionate to introduce an additional complex and at the same time insufficient identification procedure – besides the already existing, very complex AML identification requirements. In order to obtain the intended synchronisation of client identification and having in mind that no priority between the passports in line with the AML requirements exists, the National Association of German Cooperative Banks proposes to exclusively use "CONCAT" for the client identification of natural persons.  </w:t>
      </w:r>
    </w:p>
    <w:p w:rsidR="00FC6BD5" w:rsidRDefault="00D81F0C" w:rsidP="004009CF">
      <w:pPr>
        <w:pStyle w:val="Listenabsatz"/>
        <w:rPr>
          <w:rFonts w:eastAsia="Times New Roman"/>
          <w:lang w:eastAsia="en-GB" w:bidi="en-GB"/>
        </w:rPr>
      </w:pPr>
      <w:r w:rsidRPr="00FC6BD5">
        <w:rPr>
          <w:rFonts w:eastAsia="Times New Roman"/>
          <w:lang w:eastAsia="en-GB" w:bidi="en-GB"/>
        </w:rPr>
        <w:t xml:space="preserve">To the extent that ESMA requires "additional information regarding the identity of the client" on top of the "client designation", there is no basis for this in Level 1. Article 26 (3) MiFIR only requires "a designation to identify the clients...", but does not require additional information concerning the client's identity. To the extent that the authorisation to specify Level 1 also requires “details of the the identity of the client”, this is likely to be an editoral mistake. In any case, the authorisation to specify Level 1 cannot </w:t>
      </w:r>
      <w:r w:rsidR="000147F2">
        <w:rPr>
          <w:rFonts w:eastAsia="Times New Roman"/>
          <w:lang w:eastAsia="en-GB" w:bidi="en-GB"/>
        </w:rPr>
        <w:t>exceed</w:t>
      </w:r>
      <w:r w:rsidRPr="00FC6BD5">
        <w:rPr>
          <w:rFonts w:eastAsia="Times New Roman"/>
          <w:lang w:eastAsia="en-GB" w:bidi="en-GB"/>
        </w:rPr>
        <w:t xml:space="preserve"> the </w:t>
      </w:r>
      <w:r w:rsidR="000147F2">
        <w:rPr>
          <w:rFonts w:eastAsia="Times New Roman"/>
          <w:lang w:eastAsia="en-GB" w:bidi="en-GB"/>
        </w:rPr>
        <w:t>very</w:t>
      </w:r>
      <w:r w:rsidRPr="00FC6BD5">
        <w:rPr>
          <w:rFonts w:eastAsia="Times New Roman"/>
          <w:lang w:eastAsia="en-GB" w:bidi="en-GB"/>
        </w:rPr>
        <w:t xml:space="preserve"> requirements </w:t>
      </w:r>
      <w:r w:rsidR="000147F2">
        <w:rPr>
          <w:rFonts w:eastAsia="Times New Roman"/>
          <w:lang w:eastAsia="en-GB" w:bidi="en-GB"/>
        </w:rPr>
        <w:t>set out in Level 1</w:t>
      </w:r>
      <w:r w:rsidRPr="00FC6BD5">
        <w:rPr>
          <w:rFonts w:eastAsia="Times New Roman"/>
          <w:lang w:eastAsia="en-GB" w:bidi="en-GB"/>
        </w:rPr>
        <w:t>. Furthermore, such additional information – on top of client identification – would be disproportional, since it would fail to provide any added value for the automated matching of transactions by the NCAs. These information would also be disproprtional, due to the fact that suspicious transactions are absolute exceptions. Consequently, as a less severe means, the NCA could request in these exceptional cases additional information about the client and/or the transaction, in line with the current practice. Because of the disproportionality, requiring additional information about the client, besides client identification, also lacks the necessary justification under data protection law. Therefore, the National Association of German Cooperative Banks insists that the requirement to obtain additional information about the client be deleted.</w:t>
      </w:r>
    </w:p>
    <w:p w:rsidR="00FC6BD5" w:rsidRDefault="00D81F0C" w:rsidP="00D81F0C">
      <w:pPr>
        <w:pStyle w:val="Listenabsatz"/>
        <w:rPr>
          <w:rFonts w:ascii="Arial" w:eastAsia="Times New Roman" w:hAnsi="Arial" w:cs="Arial"/>
          <w:szCs w:val="22"/>
          <w:lang w:eastAsia="en-GB" w:bidi="en-GB"/>
        </w:rPr>
      </w:pPr>
      <w:r w:rsidRPr="00FC6BD5">
        <w:rPr>
          <w:rFonts w:ascii="Arial" w:eastAsia="Times New Roman" w:hAnsi="Arial" w:cs="Arial"/>
          <w:szCs w:val="22"/>
          <w:lang w:eastAsia="en-GB" w:bidi="en-GB"/>
        </w:rPr>
        <w:t xml:space="preserve">Due to the reasons set out above, Level 1 of MiFIR does not provide the basis for fields 14 to 19 and 29 to 34 (decision-makers). Article 26 (3) MiFIR merely requires "a designation of the clients </w:t>
      </w:r>
      <w:r w:rsidRPr="00FC6BD5">
        <w:rPr>
          <w:rFonts w:ascii="Arial" w:eastAsia="Times New Roman" w:hAnsi="Arial" w:cs="Arial"/>
          <w:b/>
          <w:szCs w:val="22"/>
          <w:lang w:eastAsia="en-GB" w:bidi="en-GB"/>
        </w:rPr>
        <w:t>on whose behalf the investment firm executed that transaction</w:t>
      </w:r>
      <w:r w:rsidRPr="00FC6BD5">
        <w:rPr>
          <w:rFonts w:ascii="Arial" w:eastAsia="Times New Roman" w:hAnsi="Arial" w:cs="Arial"/>
          <w:szCs w:val="22"/>
          <w:lang w:eastAsia="en-GB" w:bidi="en-GB"/>
        </w:rPr>
        <w:t xml:space="preserve">“ (highlights made by the National Association of German Cooperative Banks) – i.e. not of the client who placed the order. The authorisation in Article 26 (9) (c) MiFIR also contains a corresponding restriction. Accordingly, fields 14 and 29, which require a designation of the client, are not covered by Level 1. Likewise, additional information concerning the decision maker’s identy (fields 15 to 19 and 20 to 34) have no legal basis, since "decision-makers" are not mentioned in Article 26 (3) nor in Article 26 (9) (c) MiFIR. Therefore, the National Association of German Cooperative Banks proposes to delete fields 14 to 19, and 29 to 34.   </w:t>
      </w:r>
    </w:p>
    <w:p w:rsidR="00D81F0C" w:rsidRPr="00FC6BD5" w:rsidRDefault="00D81F0C" w:rsidP="00D81F0C">
      <w:pPr>
        <w:pStyle w:val="Listenabsatz"/>
        <w:rPr>
          <w:rFonts w:ascii="Arial" w:eastAsia="Times New Roman" w:hAnsi="Arial" w:cs="Arial"/>
          <w:szCs w:val="22"/>
          <w:lang w:eastAsia="en-GB" w:bidi="en-GB"/>
        </w:rPr>
      </w:pPr>
      <w:r w:rsidRPr="00FC6BD5">
        <w:rPr>
          <w:rFonts w:ascii="Arial" w:eastAsia="Times New Roman" w:hAnsi="Arial" w:cs="Arial"/>
          <w:szCs w:val="22"/>
          <w:lang w:eastAsia="en-GB" w:bidi="en-GB"/>
        </w:rPr>
        <w:t>Regarding the issue of identification on the basis of an LEI, the National Association of German Cooperative Banks refers to its response to Q224.</w:t>
      </w:r>
    </w:p>
    <w:p w:rsidR="00D81F0C" w:rsidRPr="00D81F0C" w:rsidRDefault="00D81F0C" w:rsidP="00D81F0C">
      <w:pPr>
        <w:keepNext/>
        <w:spacing w:after="160" w:line="259" w:lineRule="auto"/>
        <w:rPr>
          <w:rFonts w:ascii="Arial" w:eastAsia="Times New Roman" w:hAnsi="Arial" w:cs="Arial"/>
          <w:szCs w:val="22"/>
          <w:u w:val="single"/>
          <w:lang w:eastAsia="en-GB" w:bidi="en-GB"/>
        </w:rPr>
      </w:pPr>
      <w:r w:rsidRPr="00D81F0C">
        <w:rPr>
          <w:rFonts w:ascii="Arial" w:eastAsia="Times New Roman" w:hAnsi="Arial" w:cs="Arial"/>
          <w:szCs w:val="22"/>
          <w:u w:val="single"/>
          <w:lang w:eastAsia="en-GB" w:bidi="en-GB"/>
        </w:rPr>
        <w:t>Regarding field 77:</w:t>
      </w:r>
      <w:r w:rsidRPr="00D81F0C">
        <w:rPr>
          <w:rFonts w:ascii="Arial" w:eastAsia="Times New Roman" w:hAnsi="Arial" w:cs="Arial"/>
          <w:szCs w:val="22"/>
          <w:lang w:eastAsia="en-GB" w:bidi="en-GB"/>
        </w:rPr>
        <w:t xml:space="preserve"> it would be extremely challenging – if not impossible – to be able to flag shorts at the legal entity level at time of execution, especially if all global branches of a firm are in scope under MiFIR. The question that arises is how to consolidate the firm as a whole – to be able to see if a sale was short at the time of execution, i.e. on an ongoing basis, across multiple trading desks/locations. We would also appreciate clarification as to whether hedges, locate agreements and securities borrowing/lending transactions should be included in the short selling view. </w:t>
      </w:r>
    </w:p>
    <w:p w:rsidR="00D81F0C" w:rsidRPr="00D81F0C" w:rsidRDefault="00D81F0C" w:rsidP="00D81F0C">
      <w:pPr>
        <w:keepNext/>
        <w:spacing w:after="160" w:line="259" w:lineRule="auto"/>
        <w:jc w:val="left"/>
        <w:rPr>
          <w:rFonts w:ascii="Arial" w:eastAsia="Calibri" w:hAnsi="Arial" w:cs="Arial"/>
          <w:szCs w:val="22"/>
          <w:lang w:eastAsia="en-GB" w:bidi="en-GB"/>
        </w:rPr>
      </w:pPr>
      <w:r w:rsidRPr="00D81F0C">
        <w:rPr>
          <w:rFonts w:ascii="Arial" w:eastAsia="Calibri" w:hAnsi="Arial" w:cs="Arial"/>
          <w:szCs w:val="22"/>
          <w:u w:val="single"/>
          <w:lang w:eastAsia="en-GB" w:bidi="en-GB"/>
        </w:rPr>
        <w:t>Regarding field 80:</w:t>
      </w:r>
      <w:r w:rsidRPr="00D81F0C">
        <w:rPr>
          <w:rFonts w:ascii="Arial" w:eastAsia="Calibri" w:hAnsi="Arial" w:cs="Arial"/>
          <w:szCs w:val="22"/>
          <w:lang w:eastAsia="en-GB" w:bidi="en-GB"/>
        </w:rPr>
        <w:t xml:space="preserve"> as transaction reference number ESMA propses for on-exchange transactions</w:t>
      </w:r>
      <w:r w:rsidR="000147F2">
        <w:rPr>
          <w:rFonts w:ascii="Arial" w:eastAsia="Calibri" w:hAnsi="Arial" w:cs="Arial"/>
          <w:szCs w:val="22"/>
          <w:lang w:eastAsia="en-GB" w:bidi="en-GB"/>
        </w:rPr>
        <w:t xml:space="preserve"> </w:t>
      </w:r>
      <w:r w:rsidRPr="00D81F0C">
        <w:rPr>
          <w:rFonts w:ascii="Arial" w:eastAsia="Calibri" w:hAnsi="Arial" w:cs="Arial"/>
          <w:szCs w:val="22"/>
          <w:lang w:eastAsia="en-GB" w:bidi="en-GB"/>
        </w:rPr>
        <w:t xml:space="preserve">a reference number provided by the exchange; for all other transactions, an internal reference number is required. We propose to introduce two fields: the institutions's internal reference number, which must always be filled, as well as an external transaction reference number, which must be filled for on-exchange transactions only. This would facilitate identifying transactions in the event of any queries or corrections. Moreover, the required uniqueness should be specified in more detail; we propose that the reference must be unique on the respective trade date. </w:t>
      </w:r>
    </w:p>
    <w:p w:rsidR="00D81F0C" w:rsidRPr="00D81F0C" w:rsidRDefault="00D81F0C" w:rsidP="00D81F0C">
      <w:pPr>
        <w:keepNext/>
        <w:spacing w:after="160" w:line="259" w:lineRule="auto"/>
        <w:jc w:val="left"/>
        <w:rPr>
          <w:rFonts w:ascii="Arial" w:eastAsia="Calibri" w:hAnsi="Arial" w:cs="Arial"/>
          <w:szCs w:val="22"/>
          <w:lang w:eastAsia="en-GB" w:bidi="en-GB"/>
        </w:rPr>
      </w:pPr>
      <w:r w:rsidRPr="00D81F0C">
        <w:rPr>
          <w:rFonts w:ascii="Arial" w:eastAsia="Calibri" w:hAnsi="Arial" w:cs="Arial"/>
          <w:szCs w:val="22"/>
          <w:u w:val="single"/>
          <w:lang w:eastAsia="en-GB" w:bidi="en-GB"/>
        </w:rPr>
        <w:t>Regarding field 81:</w:t>
      </w:r>
      <w:r w:rsidRPr="00D81F0C">
        <w:rPr>
          <w:rFonts w:ascii="Arial" w:eastAsia="Calibri" w:hAnsi="Arial" w:cs="Arial"/>
          <w:szCs w:val="22"/>
          <w:lang w:eastAsia="en-GB" w:bidi="en-GB"/>
        </w:rPr>
        <w:t xml:space="preserve"> the parameters proposed only cater for new reports and cancellation of reports. We suggest adding certain amendments. </w:t>
      </w:r>
    </w:p>
    <w:p w:rsidR="00D81F0C" w:rsidRPr="00D81F0C" w:rsidRDefault="00D81F0C" w:rsidP="00D81F0C">
      <w:pPr>
        <w:keepNext/>
        <w:spacing w:after="160" w:line="259" w:lineRule="auto"/>
        <w:jc w:val="left"/>
        <w:rPr>
          <w:rFonts w:ascii="Arial" w:eastAsia="Calibri" w:hAnsi="Arial" w:cs="Arial"/>
          <w:szCs w:val="22"/>
          <w:lang w:eastAsia="en-GB" w:bidi="en-GB"/>
        </w:rPr>
      </w:pPr>
      <w:r w:rsidRPr="00D81F0C">
        <w:rPr>
          <w:rFonts w:ascii="Arial" w:eastAsia="Calibri" w:hAnsi="Arial" w:cs="Arial"/>
          <w:szCs w:val="22"/>
          <w:lang w:eastAsia="en-GB" w:bidi="en-GB"/>
        </w:rPr>
        <w:t>We understand that firms are expected to correct reports retrospectively when a systematic error has been detected. While we agree with the general principle, we believe that the possibility to carry out retrospective corrections over a period of five years would place too massive a burden on firms, especially given the data volume that can be expected from MiFIR. We suggest setting the correction period to comprise the current year plus the year before detection. This timespan would still enable NCAs to exercise appropriate supervision and control.</w:t>
      </w:r>
    </w:p>
    <w:p w:rsidR="00D81F0C" w:rsidRPr="00D81F0C" w:rsidRDefault="00D81F0C" w:rsidP="00D81F0C">
      <w:pPr>
        <w:keepNext/>
        <w:spacing w:after="160" w:line="259" w:lineRule="auto"/>
        <w:jc w:val="left"/>
        <w:rPr>
          <w:rFonts w:ascii="Arial" w:eastAsia="Calibri" w:hAnsi="Arial" w:cs="Arial"/>
          <w:szCs w:val="22"/>
          <w:lang w:eastAsia="en-GB" w:bidi="en-GB"/>
        </w:rPr>
      </w:pPr>
      <w:r w:rsidRPr="00D81F0C">
        <w:rPr>
          <w:rFonts w:ascii="Arial" w:eastAsia="Calibri" w:hAnsi="Arial" w:cs="Arial"/>
          <w:szCs w:val="22"/>
          <w:lang w:eastAsia="en-GB" w:bidi="en-GB"/>
        </w:rPr>
        <w:t>Please refer to our response to Q214 concerning the necessity of having specifications in place regarding field definitions, and regarding a prior consultation of market participants.</w:t>
      </w:r>
    </w:p>
    <w:permEnd w:id="138752897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D81F0C" w:rsidRPr="00B912B8" w:rsidRDefault="00D81F0C" w:rsidP="00EC2C93">
      <w:pPr>
        <w:keepNext/>
        <w:rPr>
          <w:rFonts w:ascii="Arial" w:eastAsia="Calibri" w:hAnsi="Arial" w:cs="Arial"/>
          <w:szCs w:val="22"/>
          <w:lang w:val="en-US"/>
        </w:rPr>
      </w:pPr>
      <w:permStart w:id="736561383" w:edGrp="everyone"/>
      <w:r w:rsidRPr="00B912B8">
        <w:rPr>
          <w:rFonts w:ascii="Arial" w:eastAsia="Calibri" w:hAnsi="Arial" w:cs="Arial"/>
          <w:szCs w:val="22"/>
          <w:lang w:val="en-US"/>
        </w:rPr>
        <w:t>In the opinion of the National Association of German Cooperative Banks, a scenario with a "matched principal capacity" – which would require a corresponding flag – is likely to be a rare occurrence in Germany.</w:t>
      </w:r>
    </w:p>
    <w:permEnd w:id="736561383"/>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D81F0C" w:rsidRPr="00B912B8" w:rsidRDefault="00D81F0C" w:rsidP="00D81F0C">
      <w:pPr>
        <w:keepNext/>
        <w:spacing w:after="160" w:line="259" w:lineRule="auto"/>
        <w:jc w:val="left"/>
        <w:rPr>
          <w:rFonts w:ascii="Arial" w:eastAsia="Calibri" w:hAnsi="Arial" w:cs="Arial"/>
          <w:szCs w:val="22"/>
          <w:lang w:val="en-US"/>
        </w:rPr>
      </w:pPr>
      <w:permStart w:id="1247767497" w:edGrp="everyone"/>
      <w:r w:rsidRPr="00B912B8">
        <w:rPr>
          <w:rFonts w:ascii="Arial" w:eastAsia="Calibri" w:hAnsi="Arial" w:cs="Arial"/>
          <w:szCs w:val="22"/>
          <w:lang w:val="en-US"/>
        </w:rPr>
        <w:t xml:space="preserve">Yes. Even if the "specific waivers under which the trade took place" flag is already provided for under Level 1 of MiFIR, the National Association of German Cooperative Banks anticipates problems in integrating this flag into the report, given the multitude of information that would have to be fed from front-office or middle-office systems into the reporting systems. This would require additional interfaces and processes to be created – which would further increase the complexity of the reports as well as the time involved. </w:t>
      </w:r>
    </w:p>
    <w:p w:rsidR="001138F7" w:rsidRPr="00B912B8" w:rsidRDefault="00D81F0C" w:rsidP="00D81F0C">
      <w:pPr>
        <w:keepNext/>
        <w:spacing w:after="160" w:line="259" w:lineRule="auto"/>
        <w:jc w:val="left"/>
        <w:rPr>
          <w:rFonts w:ascii="Arial" w:eastAsia="Calibri" w:hAnsi="Arial" w:cs="Arial"/>
          <w:szCs w:val="22"/>
          <w:lang w:val="en-US"/>
        </w:rPr>
      </w:pPr>
      <w:r w:rsidRPr="00B912B8">
        <w:rPr>
          <w:rFonts w:ascii="Arial" w:eastAsia="Calibri" w:hAnsi="Arial" w:cs="Arial"/>
          <w:szCs w:val="22"/>
          <w:lang w:val="en-US"/>
        </w:rPr>
        <w:t>At the same time, we cannot see the practical value of such information, especially since no indications for possible market abuse are visible</w:t>
      </w:r>
      <w:r w:rsidR="000147F2" w:rsidRPr="00B912B8">
        <w:rPr>
          <w:rFonts w:ascii="Arial" w:eastAsia="Calibri" w:hAnsi="Arial" w:cs="Arial"/>
          <w:szCs w:val="22"/>
          <w:lang w:val="en-US"/>
        </w:rPr>
        <w:t xml:space="preserve"> </w:t>
      </w:r>
      <w:r w:rsidRPr="00B912B8">
        <w:rPr>
          <w:rFonts w:ascii="Arial" w:eastAsia="Calibri" w:hAnsi="Arial" w:cs="Arial"/>
          <w:szCs w:val="22"/>
          <w:lang w:val="en-US"/>
        </w:rPr>
        <w:t>here. Therefore, the National Association of German Cooperative Banks would like to see this requirement abolished altogether.</w:t>
      </w:r>
    </w:p>
    <w:permEnd w:id="1247767497"/>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D81F0C" w:rsidRPr="00B912B8" w:rsidRDefault="00452260" w:rsidP="00D81F0C">
      <w:pPr>
        <w:keepNext/>
        <w:rPr>
          <w:rFonts w:ascii="Arial" w:eastAsia="Calibri" w:hAnsi="Arial" w:cs="Arial"/>
          <w:szCs w:val="22"/>
          <w:lang w:val="en-US"/>
        </w:rPr>
      </w:pPr>
      <w:permStart w:id="1591436917" w:edGrp="everyone"/>
      <w:r w:rsidRPr="00B912B8">
        <w:rPr>
          <w:rFonts w:ascii="Arial" w:eastAsia="Calibri" w:hAnsi="Arial" w:cs="Arial"/>
          <w:szCs w:val="22"/>
          <w:lang w:val="en-US"/>
        </w:rPr>
        <w:t xml:space="preserve">No. </w:t>
      </w:r>
      <w:r w:rsidR="00D81F0C" w:rsidRPr="00B912B8">
        <w:rPr>
          <w:rFonts w:ascii="Arial" w:eastAsia="Calibri" w:hAnsi="Arial" w:cs="Arial"/>
          <w:szCs w:val="22"/>
          <w:lang w:val="en-US"/>
        </w:rPr>
        <w:t>The National Association of German Cooperative Banks anticipates significant problems in the implementation of the reporting obligation for basket or index-based financial instruments if the reporting obligation can be triggered by a single basket or index constituent. This applies in particular to financial instruments on markets where ISINs are not commonly used, but where other codes are used to identify the respective financial instruments.</w:t>
      </w:r>
    </w:p>
    <w:p w:rsidR="000147F2" w:rsidRPr="00B912B8" w:rsidRDefault="000147F2" w:rsidP="00D81F0C">
      <w:pPr>
        <w:keepNext/>
        <w:rPr>
          <w:rFonts w:ascii="Arial" w:eastAsia="Calibri" w:hAnsi="Arial" w:cs="Arial"/>
          <w:szCs w:val="22"/>
          <w:lang w:val="en-US"/>
        </w:rPr>
      </w:pPr>
    </w:p>
    <w:p w:rsidR="00D81F0C" w:rsidRPr="00B912B8" w:rsidRDefault="00D81F0C" w:rsidP="00EC2C93">
      <w:pPr>
        <w:keepNext/>
        <w:rPr>
          <w:rFonts w:ascii="Arial" w:eastAsia="Calibri" w:hAnsi="Arial" w:cs="Arial"/>
          <w:szCs w:val="22"/>
          <w:lang w:val="en-US"/>
        </w:rPr>
      </w:pPr>
      <w:r w:rsidRPr="00B912B8">
        <w:rPr>
          <w:rFonts w:ascii="Arial" w:eastAsia="Calibri" w:hAnsi="Arial" w:cs="Arial"/>
          <w:szCs w:val="22"/>
          <w:lang w:val="en-US"/>
        </w:rPr>
        <w:t>Please refer to our response to Q225 below regarding the overriding question as to how financial instruments subject to reporting obligations can be identified.</w:t>
      </w:r>
    </w:p>
    <w:permEnd w:id="1591436917"/>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D81F0C" w:rsidRDefault="00D81F0C" w:rsidP="00EC2C93">
      <w:pPr>
        <w:keepNext/>
        <w:rPr>
          <w:rFonts w:ascii="Arial" w:eastAsia="Calibri" w:hAnsi="Arial" w:cs="Arial"/>
          <w:szCs w:val="22"/>
          <w:lang w:val="en-US"/>
        </w:rPr>
      </w:pPr>
      <w:permStart w:id="1758675210" w:edGrp="everyone"/>
      <w:r w:rsidRPr="00D81F0C">
        <w:rPr>
          <w:rFonts w:ascii="Arial" w:eastAsia="Calibri" w:hAnsi="Arial" w:cs="Arial"/>
          <w:szCs w:val="22"/>
          <w:lang w:val="en-US"/>
        </w:rPr>
        <w:t>Yes.</w:t>
      </w:r>
    </w:p>
    <w:permEnd w:id="1758675210"/>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D81F0C" w:rsidRPr="00B912B8" w:rsidRDefault="00D81F0C" w:rsidP="00EC2C93">
      <w:pPr>
        <w:keepNext/>
        <w:rPr>
          <w:rFonts w:ascii="Arial" w:eastAsia="Calibri" w:hAnsi="Arial" w:cs="Arial"/>
          <w:szCs w:val="22"/>
          <w:lang w:val="en-US"/>
        </w:rPr>
      </w:pPr>
      <w:permStart w:id="40647206" w:edGrp="everyone"/>
      <w:r w:rsidRPr="00B912B8">
        <w:rPr>
          <w:rFonts w:ascii="Arial" w:eastAsia="Calibri" w:hAnsi="Arial" w:cs="Arial"/>
          <w:szCs w:val="22"/>
          <w:lang w:val="en-US"/>
        </w:rPr>
        <w:t>Yes. The National Association of German Cooperative Banks believes that the proposed reference point ("the primary relationship with the client") – as defined in Article 13 (2) (a)</w:t>
      </w:r>
      <w:r w:rsidR="000147F2" w:rsidRPr="00B912B8">
        <w:rPr>
          <w:rFonts w:ascii="Arial" w:eastAsia="Calibri" w:hAnsi="Arial" w:cs="Arial"/>
          <w:szCs w:val="22"/>
          <w:lang w:val="en-US"/>
        </w:rPr>
        <w:t xml:space="preserve"> Draft RTS 32</w:t>
      </w:r>
      <w:r w:rsidRPr="00B912B8">
        <w:rPr>
          <w:rFonts w:ascii="Arial" w:eastAsia="Calibri" w:hAnsi="Arial" w:cs="Arial"/>
          <w:szCs w:val="22"/>
          <w:lang w:val="en-US"/>
        </w:rPr>
        <w:t xml:space="preserve"> – to be unworkable. Where institutional clients are concerned, several branch offices are regularly involved; this criterion therefore fails to provide a clear-cut distinction. The National Association of German Cooperative Banks suggests use of the [trading] book where the client order is executed as a reference point. </w:t>
      </w:r>
    </w:p>
    <w:permEnd w:id="40647206"/>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D81F0C" w:rsidRPr="00B912B8" w:rsidRDefault="00D81F0C" w:rsidP="00EC2C93">
      <w:pPr>
        <w:keepNext/>
        <w:rPr>
          <w:rFonts w:ascii="Arial" w:eastAsia="Calibri" w:hAnsi="Arial" w:cs="Arial"/>
          <w:szCs w:val="22"/>
          <w:lang w:val="en-US"/>
        </w:rPr>
      </w:pPr>
      <w:permStart w:id="1166676704" w:edGrp="everyone"/>
      <w:r w:rsidRPr="00B912B8">
        <w:rPr>
          <w:rFonts w:ascii="Arial" w:eastAsia="Calibri" w:hAnsi="Arial" w:cs="Arial"/>
          <w:szCs w:val="22"/>
          <w:lang w:val="en-US"/>
        </w:rPr>
        <w:t xml:space="preserve">Yes. The National Association of German Cooperative Banks anticipates extensive problems in obtaining an LEI from all 'LEI-eligible' clients (refer to Article 12 (2) (a) </w:t>
      </w:r>
      <w:r w:rsidR="000147F2" w:rsidRPr="00B912B8">
        <w:rPr>
          <w:rFonts w:ascii="Arial" w:eastAsia="Calibri" w:hAnsi="Arial" w:cs="Arial"/>
          <w:szCs w:val="22"/>
          <w:lang w:val="en-US"/>
        </w:rPr>
        <w:t xml:space="preserve">Draft RTS 32 </w:t>
      </w:r>
      <w:r w:rsidRPr="00B912B8">
        <w:rPr>
          <w:rFonts w:ascii="Arial" w:eastAsia="Calibri" w:hAnsi="Arial" w:cs="Arial"/>
          <w:szCs w:val="22"/>
          <w:lang w:val="en-US"/>
        </w:rPr>
        <w:t>regarding these requirements). The Committee does not share ESMA's view that all clients will have an LEI by 3 January 2017. Clients that are not subject to reporting obligations themselves – the majority of corporate clients active in the securities business – are not obliged to apply for an LEI. This affects several millions of clients in Germany alone. Moreover, the National Association of German Cooperative Banks expects particular problems concerning clients domiciled outside the European Economic Area. In practice, cases where corporate clients are not obliged to apply for an LEI will be far more relevant compared to reporting obligations under EMIR. Therefore, the National Association of German Cooperative Banks considers creating a CONCAT code (as with natural persons) for such clients to be indispensable. For legal entities, the relevant data would include the date of establishment, and the company name.</w:t>
      </w:r>
    </w:p>
    <w:permEnd w:id="1166676704"/>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D81F0C" w:rsidRPr="00B912B8" w:rsidRDefault="00D81F0C" w:rsidP="00EC2C93">
      <w:pPr>
        <w:keepNext/>
        <w:rPr>
          <w:rFonts w:ascii="Arial" w:eastAsia="Calibri" w:hAnsi="Arial" w:cs="Arial"/>
          <w:szCs w:val="22"/>
          <w:lang w:val="en-US"/>
        </w:rPr>
      </w:pPr>
      <w:permStart w:id="1745748994" w:edGrp="everyone"/>
      <w:r w:rsidRPr="00B912B8">
        <w:rPr>
          <w:rFonts w:ascii="Arial" w:eastAsia="Calibri" w:hAnsi="Arial" w:cs="Arial"/>
          <w:szCs w:val="22"/>
          <w:lang w:val="en-US"/>
        </w:rPr>
        <w:t xml:space="preserve">Yes. The National Association of German Cooperative Banks continues to see the lack of information as to whether a given financial instrument gives rise to a reporting obligation as a serious problem – a grave issue, especially given the prohibition on over-reporting. The only way to prevent over- or under-reporting is to define 100% of the target sample – anything else will inevitably lead to divergence. Therefore, the National Association of German Cooperative Banks believes that ESMA will have to provide an up-to-date, machine-readable list of all financial instruments subject to reporting obligations. ESMA is in fact the only institution capable of compiling such a list ("golden source"). This would be based on the reports submitted by trading venues to their competent supervisory authority, in accordance with Article 27 of MiFIR. </w:t>
      </w:r>
    </w:p>
    <w:permEnd w:id="174574899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929570999" w:edGrp="everyone"/>
      <w:r>
        <w:t>TYPE YOUR TEXT HERE</w:t>
      </w:r>
    </w:p>
    <w:permEnd w:id="929570999"/>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637878543" w:edGrp="everyone"/>
      <w:r>
        <w:t>TYPE YOUR TEXT HERE</w:t>
      </w:r>
    </w:p>
    <w:permEnd w:id="637878543"/>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70734472" w:edGrp="everyone"/>
      <w:r>
        <w:t>TYPE YOUR TEXT HERE</w:t>
      </w:r>
    </w:p>
    <w:permEnd w:id="70734472"/>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44410762" w:edGrp="everyone"/>
      <w:r>
        <w:t>TYPE YOUR TEXT HERE</w:t>
      </w:r>
    </w:p>
    <w:permEnd w:id="244410762"/>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112426194" w:edGrp="everyone"/>
      <w:r>
        <w:t>TYPE YOUR TEXT HERE</w:t>
      </w:r>
    </w:p>
    <w:permEnd w:id="2112426194"/>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206787659" w:edGrp="everyone"/>
      <w:r>
        <w:t>TYPE YOUR TEXT HERE</w:t>
      </w:r>
    </w:p>
    <w:permEnd w:id="1206787659"/>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40790795" w:edGrp="everyone"/>
      <w:r>
        <w:t>TYPE YOUR TEXT HERE</w:t>
      </w:r>
    </w:p>
    <w:permEnd w:id="140790795"/>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803936" w:rsidRPr="00A758B9" w:rsidRDefault="00803936" w:rsidP="00803936">
      <w:pPr>
        <w:keepNext/>
        <w:rPr>
          <w:rFonts w:ascii="Arial" w:eastAsia="Times New Roman" w:hAnsi="Arial" w:cs="Arial"/>
          <w:szCs w:val="22"/>
          <w:lang w:val="en-US"/>
        </w:rPr>
      </w:pPr>
      <w:permStart w:id="1842157344" w:edGrp="everyone"/>
      <w:r w:rsidRPr="00A758B9">
        <w:rPr>
          <w:rFonts w:ascii="Arial" w:eastAsia="Times New Roman" w:hAnsi="Arial" w:cs="Arial"/>
          <w:szCs w:val="22"/>
          <w:lang w:val="en-US"/>
        </w:rPr>
        <w:t xml:space="preserve">No. </w:t>
      </w:r>
      <w:r w:rsidRPr="009F6F6F">
        <w:rPr>
          <w:rFonts w:ascii="Arial" w:hAnsi="Arial" w:cs="Arial"/>
          <w:lang w:val="en-US"/>
        </w:rPr>
        <w:t>The National Association of German Cooperative Banks, which represents the 1.07</w:t>
      </w:r>
      <w:r>
        <w:rPr>
          <w:rFonts w:ascii="Arial" w:hAnsi="Arial" w:cs="Arial"/>
          <w:lang w:val="en-US"/>
        </w:rPr>
        <w:t>8</w:t>
      </w:r>
      <w:r w:rsidRPr="009F6F6F">
        <w:rPr>
          <w:rFonts w:ascii="Arial" w:hAnsi="Arial" w:cs="Arial"/>
          <w:lang w:val="en-US"/>
        </w:rPr>
        <w:t xml:space="preserve"> cooperative banks in Germany</w:t>
      </w:r>
      <w:r>
        <w:rPr>
          <w:rFonts w:ascii="Arial" w:hAnsi="Arial" w:cs="Arial"/>
          <w:lang w:val="en-US"/>
        </w:rPr>
        <w:t>,</w:t>
      </w:r>
      <w:r w:rsidRPr="00A758B9">
        <w:rPr>
          <w:rFonts w:ascii="Arial" w:eastAsia="Times New Roman" w:hAnsi="Arial" w:cs="Arial"/>
          <w:szCs w:val="22"/>
          <w:lang w:val="en-US"/>
        </w:rPr>
        <w:t xml:space="preserve"> welcomes, in deed, that ESMA no longer proposes a general requirement to convert systems to a one-microsecond standard. However, the link chosen in Article 3 (4) Draft RTS 36 ("the same time acccuracy applied by the trading venue, one is member or participant of, or in the case of membership or participation of multiple trading venues, the same time accuracy to the most accurate trading venue of which one is a member or participant") is not appropriate, at least as far as the granularity of time is concerned. ESMA recognises that such requirement might be disproportionate for participants and members that do not engage in high-frequency algorithmic trading techniques or more broadly operate at a high l</w:t>
      </w:r>
      <w:r w:rsidR="004147BA">
        <w:rPr>
          <w:rFonts w:ascii="Arial" w:eastAsia="Times New Roman" w:hAnsi="Arial" w:cs="Arial"/>
          <w:szCs w:val="22"/>
          <w:lang w:val="en-US"/>
        </w:rPr>
        <w:t>atency (cf. No. 18 of the ESMA Consultation P</w:t>
      </w:r>
      <w:r w:rsidRPr="00A758B9">
        <w:rPr>
          <w:rFonts w:ascii="Arial" w:eastAsia="Times New Roman" w:hAnsi="Arial" w:cs="Arial"/>
          <w:szCs w:val="22"/>
          <w:lang w:val="en-US"/>
        </w:rPr>
        <w:t xml:space="preserve">aper). </w:t>
      </w:r>
    </w:p>
    <w:p w:rsidR="00803936" w:rsidRPr="00A758B9" w:rsidRDefault="00803936" w:rsidP="00803936">
      <w:pPr>
        <w:keepNext/>
        <w:rPr>
          <w:rFonts w:ascii="Arial" w:eastAsia="Times New Roman" w:hAnsi="Arial" w:cs="Arial"/>
          <w:szCs w:val="22"/>
          <w:lang w:val="en-US"/>
        </w:rPr>
      </w:pPr>
    </w:p>
    <w:p w:rsidR="00803936" w:rsidRPr="00A758B9" w:rsidRDefault="00803936" w:rsidP="00803936">
      <w:pPr>
        <w:keepNext/>
        <w:rPr>
          <w:rFonts w:ascii="Arial" w:eastAsia="Times New Roman" w:hAnsi="Arial" w:cs="Arial"/>
          <w:szCs w:val="22"/>
          <w:lang w:val="en-US"/>
        </w:rPr>
      </w:pPr>
      <w:r w:rsidRPr="00A758B9">
        <w:rPr>
          <w:rFonts w:ascii="Arial" w:eastAsia="Times New Roman" w:hAnsi="Arial" w:cs="Arial"/>
          <w:szCs w:val="22"/>
          <w:lang w:val="en-US"/>
        </w:rPr>
        <w:t xml:space="preserve">The National Association of German Cooperative Banks expressly supports this assessment by ESMA. Admission to a trading venue is not an appropriate criterion.The decision to seek admission is based on quite different aspects – such as the ability to act as a trading participant, to execute client orders, or to be able to offer own issued financial instruments via a trading venue. Also, trading venues have different trading systems, which members or participants of a trading venue do not necessarily use (all). </w:t>
      </w:r>
    </w:p>
    <w:p w:rsidR="00803936" w:rsidRPr="00A758B9" w:rsidRDefault="00803936" w:rsidP="00803936">
      <w:pPr>
        <w:keepNext/>
        <w:rPr>
          <w:rFonts w:ascii="Arial" w:eastAsia="Times New Roman" w:hAnsi="Arial" w:cs="Arial"/>
          <w:szCs w:val="22"/>
          <w:lang w:val="en-US"/>
        </w:rPr>
      </w:pPr>
    </w:p>
    <w:p w:rsidR="00803936" w:rsidRPr="00A758B9" w:rsidRDefault="00803936" w:rsidP="00803936">
      <w:pPr>
        <w:keepNext/>
        <w:rPr>
          <w:rFonts w:ascii="Arial" w:eastAsia="Times New Roman" w:hAnsi="Arial" w:cs="Arial"/>
          <w:szCs w:val="22"/>
          <w:lang w:val="en-US"/>
        </w:rPr>
      </w:pPr>
      <w:r w:rsidRPr="00A758B9">
        <w:rPr>
          <w:rFonts w:ascii="Arial" w:eastAsia="Times New Roman" w:hAnsi="Arial" w:cs="Arial"/>
          <w:szCs w:val="22"/>
          <w:lang w:val="en-US"/>
        </w:rPr>
        <w:t>Therefore, the only suitable criterion for defining the degree of timing precision is whether the member or participant is engaged in high-frequency algorithmic trading ("HFAT"). Pursuant to Article 17 (2) No. 2 of MiFID II, NCAs must be notified of such activities. Only in this case, it is appropriate to require synchronisation of the member's/participant's clock time with the clock time set by the respective trading venue. If Article 3 (4) Draft RTS 36 were to be maintained, this would rise the risk that numerous members/participants will withdraw their admission to a trading venue, since the 'price' for admission would be too high, given the clock synchronisation requirements. As a consequence, such withdrawals might make client order business more expensive since it would then be executed via brokers – i.e.</w:t>
      </w:r>
      <w:r w:rsidR="000147F2">
        <w:rPr>
          <w:rFonts w:ascii="Arial" w:eastAsia="Times New Roman" w:hAnsi="Arial" w:cs="Arial"/>
          <w:szCs w:val="22"/>
          <w:lang w:val="en-US"/>
        </w:rPr>
        <w:t xml:space="preserve"> </w:t>
      </w:r>
      <w:r w:rsidRPr="00A758B9">
        <w:rPr>
          <w:rFonts w:ascii="Arial" w:eastAsia="Times New Roman" w:hAnsi="Arial" w:cs="Arial"/>
          <w:szCs w:val="22"/>
          <w:lang w:val="en-US"/>
        </w:rPr>
        <w:t xml:space="preserve">the intermediary chain would be extended.  </w:t>
      </w:r>
    </w:p>
    <w:p w:rsidR="00803936" w:rsidRPr="00A758B9" w:rsidRDefault="00803936" w:rsidP="00803936">
      <w:pPr>
        <w:keepNext/>
        <w:rPr>
          <w:rFonts w:ascii="Arial" w:eastAsia="Times New Roman" w:hAnsi="Arial" w:cs="Arial"/>
          <w:szCs w:val="22"/>
          <w:lang w:val="en-US"/>
        </w:rPr>
      </w:pPr>
    </w:p>
    <w:p w:rsidR="00803936" w:rsidRPr="00A758B9" w:rsidRDefault="00803936" w:rsidP="00803936">
      <w:pPr>
        <w:keepNext/>
        <w:rPr>
          <w:rFonts w:ascii="Arial" w:eastAsia="Times New Roman" w:hAnsi="Arial" w:cs="Arial"/>
          <w:szCs w:val="22"/>
          <w:lang w:val="en-US"/>
        </w:rPr>
      </w:pPr>
      <w:r w:rsidRPr="00A758B9">
        <w:rPr>
          <w:rFonts w:ascii="Arial" w:eastAsia="Times New Roman" w:hAnsi="Arial" w:cs="Arial"/>
          <w:szCs w:val="22"/>
          <w:lang w:val="en-US"/>
        </w:rPr>
        <w:t>In the opinion of the National Association of German Cooperative Banks, there is no need to harmonise business clocks of Non-HFATs. Systems that are able to react within a fraction of a second of order entry and lifetime of the orders within that timeframe do not exist outside HFAT. With respect of voice trading, even a synchronisation down to one second is not necessary. For reasons of proportionality, the maximum degree of synchronisation for Non-HFATs should be limited to 1/100th of a second at least.</w:t>
      </w:r>
    </w:p>
    <w:p w:rsidR="00803936" w:rsidRPr="00A758B9" w:rsidRDefault="00803936" w:rsidP="00803936">
      <w:pPr>
        <w:keepNext/>
        <w:rPr>
          <w:rFonts w:ascii="Arial" w:eastAsia="Times New Roman" w:hAnsi="Arial" w:cs="Arial"/>
          <w:szCs w:val="22"/>
          <w:lang w:val="en-US"/>
        </w:rPr>
      </w:pPr>
    </w:p>
    <w:p w:rsidR="00DA158D" w:rsidRPr="00A758B9" w:rsidRDefault="00803936" w:rsidP="00EC2C93">
      <w:pPr>
        <w:keepNext/>
        <w:rPr>
          <w:rFonts w:ascii="Arial" w:eastAsia="Times New Roman" w:hAnsi="Arial" w:cs="Arial"/>
          <w:szCs w:val="22"/>
          <w:lang w:val="en-US"/>
        </w:rPr>
      </w:pPr>
      <w:r w:rsidRPr="00A758B9">
        <w:rPr>
          <w:rFonts w:ascii="Arial" w:eastAsia="Times New Roman" w:hAnsi="Arial" w:cs="Arial"/>
          <w:szCs w:val="22"/>
          <w:lang w:val="en-US"/>
        </w:rPr>
        <w:t>The National Association of German Cooperative Banks criticises the fact that the scope of application is not set to be exhaustive (refer to Article 2 (2) Draft RTS 36: "....shall include but shall not be limited to the following: …”). The scope of application must be finalised on Levels 1 and 2 – a mandate to provide for further scenarios on Level 3, i. e. via guidelines, would not be appropriate.</w:t>
      </w:r>
    </w:p>
    <w:permEnd w:id="1842157344"/>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452260" w:rsidRDefault="00374637" w:rsidP="00EC2C93">
      <w:pPr>
        <w:keepNext/>
        <w:rPr>
          <w:rFonts w:ascii="Arial" w:eastAsia="Times New Roman" w:hAnsi="Arial" w:cs="Arial"/>
          <w:szCs w:val="22"/>
          <w:lang w:val="en-US"/>
        </w:rPr>
      </w:pPr>
      <w:permStart w:id="316414380" w:edGrp="everyone"/>
      <w:r w:rsidRPr="00A758B9">
        <w:rPr>
          <w:rFonts w:ascii="Arial" w:eastAsia="Times New Roman" w:hAnsi="Arial" w:cs="Arial"/>
          <w:szCs w:val="22"/>
          <w:lang w:val="en-US"/>
        </w:rPr>
        <w:t>Our comments to Q 233 apply accordingly, i.e. this requirement should only apply if the member/participant of a trading venue is engaged in HFAT</w:t>
      </w:r>
      <w:r w:rsidR="00452260">
        <w:rPr>
          <w:rFonts w:ascii="Arial" w:eastAsia="Times New Roman" w:hAnsi="Arial" w:cs="Arial"/>
          <w:szCs w:val="22"/>
          <w:lang w:val="en-US"/>
        </w:rPr>
        <w:t>.</w:t>
      </w:r>
    </w:p>
    <w:p w:rsidR="00577C33" w:rsidRDefault="00374637" w:rsidP="00EC2C93">
      <w:pPr>
        <w:keepNext/>
      </w:pPr>
      <w:r w:rsidRPr="00A758B9">
        <w:rPr>
          <w:rFonts w:ascii="Arial" w:eastAsia="Times New Roman" w:hAnsi="Arial" w:cs="Arial"/>
          <w:szCs w:val="22"/>
          <w:lang w:val="en-US"/>
        </w:rPr>
        <w:t xml:space="preserve"> </w:t>
      </w:r>
      <w:permEnd w:id="316414380"/>
      <w:r w:rsidR="00577C33">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267468770" w:edGrp="everyone"/>
      <w:r>
        <w:t>TYPE YOUR TEXT HERE</w:t>
      </w:r>
    </w:p>
    <w:permEnd w:id="267468770"/>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47010252" w:edGrp="everyone"/>
      <w:r>
        <w:t>TYPE YOUR TEXT HERE</w:t>
      </w:r>
    </w:p>
    <w:permEnd w:id="147010252"/>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387749684" w:edGrp="everyone"/>
      <w:r>
        <w:t>TYPE YOUR TEXT HERE</w:t>
      </w:r>
    </w:p>
    <w:permEnd w:id="1387749684"/>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825441411" w:edGrp="everyone"/>
      <w:r>
        <w:t>TYPE YOUR TEXT HERE</w:t>
      </w:r>
    </w:p>
    <w:permEnd w:id="1825441411"/>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6D1442" w:rsidRDefault="00C76426" w:rsidP="006D1442">
      <w:pPr>
        <w:keepNext/>
      </w:pPr>
      <w:permStart w:id="1229415559" w:edGrp="everyone"/>
      <w:r w:rsidRPr="00C76426">
        <w:t>The National Associati</w:t>
      </w:r>
      <w:r>
        <w:t xml:space="preserve">on of German Cooperative Banks </w:t>
      </w:r>
      <w:r w:rsidRPr="00C76426">
        <w:t>represents the 1.07</w:t>
      </w:r>
      <w:r>
        <w:t>8</w:t>
      </w:r>
      <w:r w:rsidRPr="00C76426">
        <w:t xml:space="preserve"> cooperative banks in Germany</w:t>
      </w:r>
      <w:r>
        <w:t>.</w:t>
      </w:r>
      <w:r w:rsidRPr="00C76426">
        <w:t xml:space="preserve"> </w:t>
      </w:r>
      <w:r w:rsidR="006D1442">
        <w:t>CCPs do not provide for limits for their clients, however, clients may deposit additional collateral with a CCP on a voluntary basis (recommended in case of segregate accounts). Under current practices, CCPs would inform their clients if additional collateral would be required for a specific transaction; the client would then post such additional collateral on an intraday basis. It is common practice of CCPs to perform several intraday checks as to which clients are required to post additional collateral.</w:t>
      </w:r>
    </w:p>
    <w:p w:rsidR="006D1442" w:rsidRDefault="006D1442" w:rsidP="006D1442">
      <w:pPr>
        <w:keepNext/>
      </w:pPr>
    </w:p>
    <w:p w:rsidR="006D1442" w:rsidRDefault="006D1442" w:rsidP="006D1442">
      <w:pPr>
        <w:keepNext/>
      </w:pPr>
      <w:r>
        <w:t>In cases of intermediated clearing using a clearing broker, it is not clear how a pre-trade check could be performed. It is current practice that clients of clearing brokers will post a collateral buffer with the broker, but not with the CCP. Nevertheless, we think that certain pre-checks may be useful. Not only the credit limits of the clients should be checked by the trading venue ,but the limit of the clearing broker itself as well. Furthermore, it would be advisable to check the counterparty (including counterparty limit and contractual agreements like execution agreement). Finally, as long as there is no interoperability between CCPs, the trading venue should check, which CCP should clear the transaction.</w:t>
      </w:r>
    </w:p>
    <w:permEnd w:id="1229415559"/>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404790869" w:edGrp="everyone"/>
      <w:r>
        <w:t>TYPE YOUR TEXT HERE</w:t>
      </w:r>
    </w:p>
    <w:permEnd w:id="140479086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262845211" w:edGrp="everyone"/>
      <w:r>
        <w:t>TYPE YOUR TEXT HERE</w:t>
      </w:r>
    </w:p>
    <w:permEnd w:id="1262845211"/>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47344340" w:edGrp="everyone"/>
      <w:r>
        <w:t>TYPE YOUR TEXT HERE</w:t>
      </w:r>
    </w:p>
    <w:permEnd w:id="47344340"/>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887838783" w:edGrp="everyone"/>
      <w:r>
        <w:t>TYPE YOUR TEXT HERE</w:t>
      </w:r>
    </w:p>
    <w:permEnd w:id="887838783"/>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10210C" w:rsidRPr="00B006A8" w:rsidRDefault="0010210C" w:rsidP="0010210C">
      <w:pPr>
        <w:keepNext/>
        <w:rPr>
          <w:rFonts w:ascii="Arial" w:hAnsi="Arial" w:cs="Arial"/>
          <w:szCs w:val="22"/>
        </w:rPr>
      </w:pPr>
      <w:permStart w:id="1469536794" w:edGrp="everyone"/>
      <w:r>
        <w:rPr>
          <w:rFonts w:ascii="Arial" w:hAnsi="Arial" w:cs="Arial"/>
          <w:szCs w:val="22"/>
        </w:rPr>
        <w:t xml:space="preserve">No. </w:t>
      </w:r>
      <w:r w:rsidRPr="00593E1F">
        <w:rPr>
          <w:rFonts w:ascii="Arial" w:hAnsi="Arial" w:cs="Arial"/>
          <w:szCs w:val="22"/>
        </w:rPr>
        <w:t>The National Association of German Cooperative Banks, which represents the 1.078 cooperative banks in Germany</w:t>
      </w:r>
      <w:r w:rsidRPr="00F624E6">
        <w:rPr>
          <w:rFonts w:ascii="Arial" w:hAnsi="Arial" w:cs="Arial"/>
          <w:szCs w:val="22"/>
        </w:rPr>
        <w:t xml:space="preserve">, </w:t>
      </w:r>
      <w:r>
        <w:rPr>
          <w:rFonts w:ascii="Arial" w:hAnsi="Arial" w:cs="Arial"/>
          <w:szCs w:val="22"/>
        </w:rPr>
        <w:t>is deeply concerned that ESMA’s proposed Draft RTS will severely impede ETD trading, especially in Germany.</w:t>
      </w:r>
    </w:p>
    <w:p w:rsidR="0010210C" w:rsidRPr="00B006A8" w:rsidRDefault="0010210C" w:rsidP="0010210C">
      <w:pPr>
        <w:keepNext/>
        <w:rPr>
          <w:rFonts w:ascii="Arial" w:hAnsi="Arial" w:cs="Arial"/>
          <w:szCs w:val="22"/>
        </w:rPr>
      </w:pPr>
    </w:p>
    <w:p w:rsidR="0010210C" w:rsidRPr="00B006A8" w:rsidRDefault="0010210C" w:rsidP="0010210C">
      <w:pPr>
        <w:keepNext/>
        <w:rPr>
          <w:rFonts w:ascii="Arial" w:hAnsi="Arial" w:cs="Arial"/>
          <w:szCs w:val="22"/>
        </w:rPr>
      </w:pPr>
      <w:r w:rsidRPr="00B006A8">
        <w:rPr>
          <w:rFonts w:ascii="Arial" w:hAnsi="Arial" w:cs="Arial"/>
          <w:szCs w:val="22"/>
        </w:rPr>
        <w:t>ETD</w:t>
      </w:r>
      <w:r>
        <w:rPr>
          <w:rFonts w:ascii="Arial" w:hAnsi="Arial" w:cs="Arial"/>
          <w:szCs w:val="22"/>
        </w:rPr>
        <w:t>s</w:t>
      </w:r>
      <w:r w:rsidRPr="00B006A8">
        <w:rPr>
          <w:rFonts w:ascii="Arial" w:hAnsi="Arial" w:cs="Arial"/>
          <w:szCs w:val="22"/>
        </w:rPr>
        <w:t xml:space="preserve"> are usually cleared by a Central Counterparty (</w:t>
      </w:r>
      <w:r>
        <w:rPr>
          <w:rFonts w:ascii="Arial" w:hAnsi="Arial" w:cs="Arial"/>
          <w:szCs w:val="22"/>
        </w:rPr>
        <w:t>“</w:t>
      </w:r>
      <w:r w:rsidRPr="00B006A8">
        <w:rPr>
          <w:rFonts w:ascii="Arial" w:hAnsi="Arial" w:cs="Arial"/>
          <w:szCs w:val="22"/>
        </w:rPr>
        <w:t>CCP</w:t>
      </w:r>
      <w:r>
        <w:rPr>
          <w:rFonts w:ascii="Arial" w:hAnsi="Arial" w:cs="Arial"/>
          <w:szCs w:val="22"/>
        </w:rPr>
        <w:t>”</w:t>
      </w:r>
      <w:r w:rsidRPr="00B006A8">
        <w:rPr>
          <w:rFonts w:ascii="Arial" w:hAnsi="Arial" w:cs="Arial"/>
          <w:szCs w:val="22"/>
        </w:rPr>
        <w:t xml:space="preserve">). However, only a minority of market participants maintains a clearing membership with the CCP or is a client registered at </w:t>
      </w:r>
      <w:r>
        <w:rPr>
          <w:rFonts w:ascii="Arial" w:hAnsi="Arial" w:cs="Arial"/>
          <w:szCs w:val="22"/>
        </w:rPr>
        <w:t>a particular regulated market (“</w:t>
      </w:r>
      <w:r w:rsidRPr="00B006A8">
        <w:rPr>
          <w:rFonts w:ascii="Arial" w:hAnsi="Arial" w:cs="Arial"/>
          <w:szCs w:val="22"/>
        </w:rPr>
        <w:t>RM</w:t>
      </w:r>
      <w:r>
        <w:rPr>
          <w:rFonts w:ascii="Arial" w:hAnsi="Arial" w:cs="Arial"/>
          <w:szCs w:val="22"/>
        </w:rPr>
        <w:t>”</w:t>
      </w:r>
      <w:r w:rsidRPr="00B006A8">
        <w:rPr>
          <w:rFonts w:ascii="Arial" w:hAnsi="Arial" w:cs="Arial"/>
          <w:szCs w:val="22"/>
        </w:rPr>
        <w:t xml:space="preserve">). </w:t>
      </w:r>
    </w:p>
    <w:p w:rsidR="0010210C" w:rsidRPr="00B006A8" w:rsidRDefault="0010210C" w:rsidP="0010210C">
      <w:pPr>
        <w:keepNext/>
        <w:rPr>
          <w:rFonts w:ascii="Arial" w:hAnsi="Arial" w:cs="Arial"/>
          <w:szCs w:val="22"/>
        </w:rPr>
      </w:pPr>
    </w:p>
    <w:p w:rsidR="0010210C" w:rsidRDefault="0010210C" w:rsidP="0010210C">
      <w:pPr>
        <w:keepNext/>
        <w:rPr>
          <w:rFonts w:ascii="Arial" w:hAnsi="Arial" w:cs="Arial"/>
          <w:szCs w:val="22"/>
        </w:rPr>
      </w:pPr>
      <w:r w:rsidRPr="00B006A8">
        <w:rPr>
          <w:rFonts w:ascii="Arial" w:hAnsi="Arial" w:cs="Arial"/>
          <w:szCs w:val="22"/>
        </w:rPr>
        <w:t xml:space="preserve">Most market participants </w:t>
      </w:r>
      <w:r>
        <w:rPr>
          <w:rFonts w:ascii="Arial" w:hAnsi="Arial" w:cs="Arial"/>
          <w:szCs w:val="22"/>
        </w:rPr>
        <w:t>request</w:t>
      </w:r>
      <w:r w:rsidRPr="00B006A8">
        <w:rPr>
          <w:rFonts w:ascii="Arial" w:hAnsi="Arial" w:cs="Arial"/>
          <w:szCs w:val="22"/>
        </w:rPr>
        <w:t xml:space="preserve"> a Clearing Member ("CM") to execute ETD</w:t>
      </w:r>
      <w:r>
        <w:rPr>
          <w:rFonts w:ascii="Arial" w:hAnsi="Arial" w:cs="Arial"/>
          <w:szCs w:val="22"/>
        </w:rPr>
        <w:t>s</w:t>
      </w:r>
      <w:r w:rsidRPr="00B006A8">
        <w:rPr>
          <w:rFonts w:ascii="Arial" w:hAnsi="Arial" w:cs="Arial"/>
          <w:szCs w:val="22"/>
        </w:rPr>
        <w:t xml:space="preserve"> on a particular RM. </w:t>
      </w:r>
      <w:r>
        <w:rPr>
          <w:rFonts w:ascii="Arial" w:hAnsi="Arial" w:cs="Arial"/>
          <w:szCs w:val="22"/>
        </w:rPr>
        <w:t>In return, t</w:t>
      </w:r>
      <w:r w:rsidRPr="00B006A8">
        <w:rPr>
          <w:rFonts w:ascii="Arial" w:hAnsi="Arial" w:cs="Arial"/>
          <w:szCs w:val="22"/>
        </w:rPr>
        <w:t xml:space="preserve">he CM receives </w:t>
      </w:r>
      <w:r>
        <w:rPr>
          <w:rFonts w:ascii="Arial" w:hAnsi="Arial" w:cs="Arial"/>
          <w:szCs w:val="22"/>
        </w:rPr>
        <w:t>an execution fee (“</w:t>
      </w:r>
      <w:r w:rsidRPr="00B006A8">
        <w:rPr>
          <w:rFonts w:ascii="Arial" w:hAnsi="Arial" w:cs="Arial"/>
          <w:szCs w:val="22"/>
        </w:rPr>
        <w:t>commission</w:t>
      </w:r>
      <w:r>
        <w:rPr>
          <w:rFonts w:ascii="Arial" w:hAnsi="Arial" w:cs="Arial"/>
          <w:szCs w:val="22"/>
        </w:rPr>
        <w:t>”</w:t>
      </w:r>
      <w:r w:rsidRPr="00B006A8">
        <w:rPr>
          <w:rFonts w:ascii="Arial" w:hAnsi="Arial" w:cs="Arial"/>
          <w:szCs w:val="22"/>
        </w:rPr>
        <w:t xml:space="preserve">) for </w:t>
      </w:r>
      <w:r>
        <w:rPr>
          <w:rFonts w:ascii="Arial" w:hAnsi="Arial" w:cs="Arial"/>
          <w:szCs w:val="22"/>
        </w:rPr>
        <w:t xml:space="preserve">its service </w:t>
      </w:r>
      <w:r w:rsidRPr="00B006A8">
        <w:rPr>
          <w:rFonts w:ascii="Arial" w:hAnsi="Arial" w:cs="Arial"/>
          <w:szCs w:val="22"/>
        </w:rPr>
        <w:t xml:space="preserve">from the market participant who has ordered the ETD. </w:t>
      </w:r>
      <w:r w:rsidRPr="00485286">
        <w:rPr>
          <w:rFonts w:ascii="Arial" w:hAnsi="Arial" w:cs="Arial"/>
          <w:szCs w:val="22"/>
        </w:rPr>
        <w:t>It is already question</w:t>
      </w:r>
      <w:r>
        <w:rPr>
          <w:rFonts w:ascii="Arial" w:hAnsi="Arial" w:cs="Arial"/>
          <w:szCs w:val="22"/>
        </w:rPr>
        <w:t>able</w:t>
      </w:r>
      <w:r w:rsidRPr="00485286">
        <w:rPr>
          <w:rFonts w:ascii="Arial" w:hAnsi="Arial" w:cs="Arial"/>
          <w:szCs w:val="22"/>
        </w:rPr>
        <w:t xml:space="preserve"> whether the relationship between </w:t>
      </w:r>
      <w:r>
        <w:rPr>
          <w:rFonts w:ascii="Arial" w:hAnsi="Arial" w:cs="Arial"/>
          <w:szCs w:val="22"/>
        </w:rPr>
        <w:t xml:space="preserve">the </w:t>
      </w:r>
      <w:r w:rsidRPr="00485286">
        <w:rPr>
          <w:rFonts w:ascii="Arial" w:hAnsi="Arial" w:cs="Arial"/>
          <w:szCs w:val="22"/>
        </w:rPr>
        <w:t xml:space="preserve">CM and the market participant qualifies as derivative. However, the described </w:t>
      </w:r>
      <w:r>
        <w:rPr>
          <w:rFonts w:ascii="Arial" w:hAnsi="Arial" w:cs="Arial"/>
          <w:szCs w:val="22"/>
        </w:rPr>
        <w:t>tripartite chain of contracts is usually extended by a forth counterparty in cases where a retail client places his order at his local bank which holds no clearing membership with the respective CCP and must therefore rely on the services of a CM. A fifth party enters the set-up when the CCP is domiciled in a foreign jurisdiction and a domestic broker has to approach a local CM.</w:t>
      </w:r>
    </w:p>
    <w:p w:rsidR="0010210C" w:rsidRDefault="0010210C" w:rsidP="0010210C">
      <w:pPr>
        <w:keepNext/>
        <w:rPr>
          <w:rFonts w:ascii="Arial" w:hAnsi="Arial" w:cs="Arial"/>
          <w:szCs w:val="22"/>
        </w:rPr>
      </w:pPr>
    </w:p>
    <w:p w:rsidR="0010210C" w:rsidRDefault="0010210C" w:rsidP="0010210C">
      <w:pPr>
        <w:keepNext/>
        <w:rPr>
          <w:rFonts w:ascii="Arial" w:hAnsi="Arial" w:cs="Arial"/>
          <w:szCs w:val="22"/>
        </w:rPr>
      </w:pPr>
      <w:r>
        <w:rPr>
          <w:rFonts w:ascii="Arial" w:hAnsi="Arial" w:cs="Arial"/>
          <w:szCs w:val="22"/>
        </w:rPr>
        <w:t>In all these scenarios t</w:t>
      </w:r>
      <w:r w:rsidRPr="00B006A8">
        <w:rPr>
          <w:rFonts w:ascii="Arial" w:hAnsi="Arial" w:cs="Arial"/>
          <w:szCs w:val="22"/>
        </w:rPr>
        <w:t xml:space="preserve">he CCP </w:t>
      </w:r>
      <w:r>
        <w:rPr>
          <w:rFonts w:ascii="Arial" w:hAnsi="Arial" w:cs="Arial"/>
          <w:szCs w:val="22"/>
        </w:rPr>
        <w:t>only</w:t>
      </w:r>
      <w:r w:rsidRPr="00B006A8">
        <w:rPr>
          <w:rFonts w:ascii="Arial" w:hAnsi="Arial" w:cs="Arial"/>
          <w:szCs w:val="22"/>
        </w:rPr>
        <w:t xml:space="preserve"> distinguishes between those ETD</w:t>
      </w:r>
      <w:r>
        <w:rPr>
          <w:rFonts w:ascii="Arial" w:hAnsi="Arial" w:cs="Arial"/>
          <w:szCs w:val="22"/>
        </w:rPr>
        <w:t>s</w:t>
      </w:r>
      <w:r w:rsidRPr="00B006A8">
        <w:rPr>
          <w:rFonts w:ascii="Arial" w:hAnsi="Arial" w:cs="Arial"/>
          <w:szCs w:val="22"/>
        </w:rPr>
        <w:t xml:space="preserve"> a CM maintains for its own </w:t>
      </w:r>
      <w:r>
        <w:rPr>
          <w:rFonts w:ascii="Arial" w:hAnsi="Arial" w:cs="Arial"/>
          <w:szCs w:val="22"/>
        </w:rPr>
        <w:t>account</w:t>
      </w:r>
      <w:r w:rsidRPr="00B006A8">
        <w:rPr>
          <w:rFonts w:ascii="Arial" w:hAnsi="Arial" w:cs="Arial"/>
          <w:szCs w:val="22"/>
        </w:rPr>
        <w:t xml:space="preserve"> and those </w:t>
      </w:r>
      <w:r>
        <w:rPr>
          <w:rFonts w:ascii="Arial" w:hAnsi="Arial" w:cs="Arial"/>
          <w:szCs w:val="22"/>
        </w:rPr>
        <w:t>held by a CM</w:t>
      </w:r>
      <w:r w:rsidRPr="00B006A8">
        <w:rPr>
          <w:rFonts w:ascii="Arial" w:hAnsi="Arial" w:cs="Arial"/>
          <w:szCs w:val="22"/>
        </w:rPr>
        <w:t xml:space="preserve"> for its c</w:t>
      </w:r>
      <w:r>
        <w:rPr>
          <w:rFonts w:ascii="Arial" w:hAnsi="Arial" w:cs="Arial"/>
          <w:szCs w:val="22"/>
        </w:rPr>
        <w:t>lients</w:t>
      </w:r>
      <w:r w:rsidRPr="00B006A8">
        <w:rPr>
          <w:rFonts w:ascii="Arial" w:hAnsi="Arial" w:cs="Arial"/>
          <w:szCs w:val="22"/>
        </w:rPr>
        <w:t xml:space="preserve"> (</w:t>
      </w:r>
      <w:r>
        <w:rPr>
          <w:rFonts w:ascii="Arial" w:hAnsi="Arial" w:cs="Arial"/>
          <w:szCs w:val="22"/>
        </w:rPr>
        <w:t xml:space="preserve">i. e. </w:t>
      </w:r>
      <w:r w:rsidRPr="00B006A8">
        <w:rPr>
          <w:rFonts w:ascii="Arial" w:hAnsi="Arial" w:cs="Arial"/>
          <w:szCs w:val="22"/>
        </w:rPr>
        <w:t xml:space="preserve">the market participants who have ordered the ETDs). If the CCP makes a payment to the CM with respect to </w:t>
      </w:r>
      <w:r>
        <w:rPr>
          <w:rFonts w:ascii="Arial" w:hAnsi="Arial" w:cs="Arial"/>
          <w:szCs w:val="22"/>
        </w:rPr>
        <w:t>an</w:t>
      </w:r>
      <w:r w:rsidRPr="00B006A8">
        <w:rPr>
          <w:rFonts w:ascii="Arial" w:hAnsi="Arial" w:cs="Arial"/>
          <w:szCs w:val="22"/>
        </w:rPr>
        <w:t xml:space="preserve"> ETD which </w:t>
      </w:r>
      <w:r w:rsidRPr="00D90D30">
        <w:rPr>
          <w:rFonts w:ascii="Arial" w:hAnsi="Arial" w:cs="Arial"/>
          <w:szCs w:val="22"/>
        </w:rPr>
        <w:t xml:space="preserve">the CM has entered into on </w:t>
      </w:r>
      <w:r>
        <w:rPr>
          <w:rFonts w:ascii="Arial" w:hAnsi="Arial" w:cs="Arial"/>
          <w:szCs w:val="22"/>
        </w:rPr>
        <w:t>account</w:t>
      </w:r>
      <w:r w:rsidRPr="00D90D30">
        <w:rPr>
          <w:rFonts w:ascii="Arial" w:hAnsi="Arial" w:cs="Arial"/>
          <w:szCs w:val="22"/>
        </w:rPr>
        <w:t xml:space="preserve"> of a client</w:t>
      </w:r>
      <w:r w:rsidRPr="00B006A8">
        <w:rPr>
          <w:rFonts w:ascii="Arial" w:hAnsi="Arial" w:cs="Arial"/>
          <w:szCs w:val="22"/>
        </w:rPr>
        <w:t xml:space="preserve">, </w:t>
      </w:r>
      <w:r>
        <w:rPr>
          <w:rFonts w:ascii="Arial" w:hAnsi="Arial" w:cs="Arial"/>
          <w:szCs w:val="22"/>
        </w:rPr>
        <w:t xml:space="preserve">the CM </w:t>
      </w:r>
      <w:r w:rsidRPr="00B006A8">
        <w:rPr>
          <w:rFonts w:ascii="Arial" w:hAnsi="Arial" w:cs="Arial"/>
          <w:szCs w:val="22"/>
        </w:rPr>
        <w:t>is</w:t>
      </w:r>
      <w:r>
        <w:rPr>
          <w:rFonts w:ascii="Arial" w:hAnsi="Arial" w:cs="Arial"/>
          <w:szCs w:val="22"/>
        </w:rPr>
        <w:t>, under the agreement between the client and the CM,</w:t>
      </w:r>
      <w:r w:rsidRPr="00B006A8">
        <w:rPr>
          <w:rFonts w:ascii="Arial" w:hAnsi="Arial" w:cs="Arial"/>
          <w:szCs w:val="22"/>
        </w:rPr>
        <w:t xml:space="preserve"> obliged to forward </w:t>
      </w:r>
      <w:r>
        <w:rPr>
          <w:rFonts w:ascii="Arial" w:hAnsi="Arial" w:cs="Arial"/>
          <w:szCs w:val="22"/>
        </w:rPr>
        <w:t>this payment</w:t>
      </w:r>
      <w:r w:rsidRPr="00B006A8">
        <w:rPr>
          <w:rFonts w:ascii="Arial" w:hAnsi="Arial" w:cs="Arial"/>
          <w:szCs w:val="22"/>
        </w:rPr>
        <w:t xml:space="preserve"> to the relevant c</w:t>
      </w:r>
      <w:r>
        <w:rPr>
          <w:rFonts w:ascii="Arial" w:hAnsi="Arial" w:cs="Arial"/>
          <w:szCs w:val="22"/>
        </w:rPr>
        <w:t>lient</w:t>
      </w:r>
      <w:r w:rsidRPr="00B006A8">
        <w:rPr>
          <w:rFonts w:ascii="Arial" w:hAnsi="Arial" w:cs="Arial"/>
          <w:szCs w:val="22"/>
        </w:rPr>
        <w:t xml:space="preserve">. If the CCP has a claim against the CM with respect to </w:t>
      </w:r>
      <w:r>
        <w:rPr>
          <w:rFonts w:ascii="Arial" w:hAnsi="Arial" w:cs="Arial"/>
          <w:szCs w:val="22"/>
        </w:rPr>
        <w:t>an</w:t>
      </w:r>
      <w:r w:rsidRPr="00B006A8">
        <w:rPr>
          <w:rFonts w:ascii="Arial" w:hAnsi="Arial" w:cs="Arial"/>
          <w:szCs w:val="22"/>
        </w:rPr>
        <w:t xml:space="preserve"> ETD which </w:t>
      </w:r>
      <w:r w:rsidRPr="00D90D30">
        <w:rPr>
          <w:rFonts w:ascii="Arial" w:hAnsi="Arial" w:cs="Arial"/>
          <w:szCs w:val="22"/>
        </w:rPr>
        <w:t xml:space="preserve">the CM has entered into on </w:t>
      </w:r>
      <w:r>
        <w:rPr>
          <w:rFonts w:ascii="Arial" w:hAnsi="Arial" w:cs="Arial"/>
          <w:szCs w:val="22"/>
        </w:rPr>
        <w:t>account</w:t>
      </w:r>
      <w:r w:rsidRPr="00D90D30">
        <w:rPr>
          <w:rFonts w:ascii="Arial" w:hAnsi="Arial" w:cs="Arial"/>
          <w:szCs w:val="22"/>
        </w:rPr>
        <w:t xml:space="preserve"> of a client</w:t>
      </w:r>
      <w:r w:rsidRPr="00B006A8">
        <w:rPr>
          <w:rFonts w:ascii="Arial" w:hAnsi="Arial" w:cs="Arial"/>
          <w:szCs w:val="22"/>
        </w:rPr>
        <w:t xml:space="preserve">, the relevant </w:t>
      </w:r>
      <w:r>
        <w:rPr>
          <w:rFonts w:ascii="Arial" w:hAnsi="Arial" w:cs="Arial"/>
          <w:szCs w:val="22"/>
        </w:rPr>
        <w:t>client</w:t>
      </w:r>
      <w:r w:rsidRPr="00B006A8">
        <w:rPr>
          <w:rFonts w:ascii="Arial" w:hAnsi="Arial" w:cs="Arial"/>
          <w:szCs w:val="22"/>
        </w:rPr>
        <w:t xml:space="preserve"> is</w:t>
      </w:r>
      <w:r>
        <w:rPr>
          <w:rFonts w:ascii="Arial" w:hAnsi="Arial" w:cs="Arial"/>
          <w:szCs w:val="22"/>
        </w:rPr>
        <w:t>, under its agreement with the CM,</w:t>
      </w:r>
      <w:r w:rsidRPr="00B006A8">
        <w:rPr>
          <w:rFonts w:ascii="Arial" w:hAnsi="Arial" w:cs="Arial"/>
          <w:szCs w:val="22"/>
        </w:rPr>
        <w:t xml:space="preserve"> obliged to </w:t>
      </w:r>
      <w:r w:rsidRPr="00D90D30">
        <w:rPr>
          <w:rFonts w:ascii="Arial" w:hAnsi="Arial" w:cs="Arial"/>
          <w:szCs w:val="22"/>
        </w:rPr>
        <w:t>reimburse the CM by making a corresponding payment to the CM</w:t>
      </w:r>
      <w:r>
        <w:rPr>
          <w:rFonts w:ascii="Arial" w:hAnsi="Arial" w:cs="Arial"/>
          <w:szCs w:val="22"/>
        </w:rPr>
        <w:t>. This is not an obligation arising from any derivatives contract between the CM and the client. .</w:t>
      </w:r>
    </w:p>
    <w:p w:rsidR="0010210C" w:rsidRDefault="0010210C" w:rsidP="0010210C">
      <w:pPr>
        <w:keepNext/>
        <w:rPr>
          <w:rFonts w:ascii="Arial" w:hAnsi="Arial" w:cs="Arial"/>
          <w:szCs w:val="22"/>
        </w:rPr>
      </w:pPr>
    </w:p>
    <w:p w:rsidR="0010210C" w:rsidRDefault="0010210C" w:rsidP="0010210C">
      <w:pPr>
        <w:keepNext/>
        <w:rPr>
          <w:rFonts w:ascii="Arial" w:hAnsi="Arial" w:cs="Arial"/>
          <w:szCs w:val="22"/>
        </w:rPr>
      </w:pPr>
      <w:r>
        <w:rPr>
          <w:rFonts w:ascii="Arial" w:hAnsi="Arial" w:cs="Arial"/>
          <w:szCs w:val="22"/>
        </w:rPr>
        <w:t xml:space="preserve">This concept has been working for decades now and is widely appreciated and accepted by all market participants. It has </w:t>
      </w:r>
      <w:r w:rsidRPr="00485286">
        <w:rPr>
          <w:rFonts w:ascii="Arial" w:hAnsi="Arial" w:cs="Arial"/>
          <w:szCs w:val="22"/>
        </w:rPr>
        <w:t>become an industrial standard throughout the years</w:t>
      </w:r>
      <w:r>
        <w:rPr>
          <w:rFonts w:ascii="Arial" w:hAnsi="Arial" w:cs="Arial"/>
          <w:szCs w:val="22"/>
        </w:rPr>
        <w:t xml:space="preserve">. Thus, neither a </w:t>
      </w:r>
      <w:r w:rsidRPr="00485286">
        <w:rPr>
          <w:rFonts w:ascii="Arial" w:hAnsi="Arial" w:cs="Arial"/>
          <w:szCs w:val="22"/>
        </w:rPr>
        <w:t xml:space="preserve">lack of indirect clearing services offering </w:t>
      </w:r>
      <w:r>
        <w:rPr>
          <w:rFonts w:ascii="Arial" w:hAnsi="Arial" w:cs="Arial"/>
          <w:szCs w:val="22"/>
        </w:rPr>
        <w:t xml:space="preserve">nor any systemic risk </w:t>
      </w:r>
      <w:r w:rsidRPr="00D90D30">
        <w:rPr>
          <w:rFonts w:ascii="Arial" w:hAnsi="Arial" w:cs="Arial"/>
          <w:szCs w:val="22"/>
        </w:rPr>
        <w:t>can</w:t>
      </w:r>
      <w:r w:rsidRPr="00485286">
        <w:rPr>
          <w:rFonts w:ascii="Arial" w:hAnsi="Arial" w:cs="Arial"/>
          <w:szCs w:val="22"/>
        </w:rPr>
        <w:t xml:space="preserve"> be asserted for the German market.</w:t>
      </w:r>
    </w:p>
    <w:p w:rsidR="0010210C" w:rsidRDefault="0010210C" w:rsidP="0010210C">
      <w:pPr>
        <w:keepNext/>
        <w:rPr>
          <w:rFonts w:ascii="Arial" w:hAnsi="Arial" w:cs="Arial"/>
          <w:szCs w:val="22"/>
        </w:rPr>
      </w:pPr>
    </w:p>
    <w:p w:rsidR="0010210C" w:rsidRDefault="0010210C" w:rsidP="0010210C">
      <w:pPr>
        <w:keepNext/>
        <w:rPr>
          <w:rFonts w:ascii="Arial" w:hAnsi="Arial" w:cs="Arial"/>
          <w:szCs w:val="22"/>
        </w:rPr>
      </w:pPr>
      <w:r>
        <w:rPr>
          <w:rFonts w:ascii="Arial" w:hAnsi="Arial" w:cs="Arial"/>
          <w:szCs w:val="22"/>
        </w:rPr>
        <w:t>If these above-mentioned four-and-five-party arrangements would fall under the scope of indirect ETD clearing we believe that German banks acting as clients or CM would find it extremely difficult to abide to the rules set forth in ESMA’s Draft RTS 38 as EMIR already demonstrates that market participants did not come up with a solution to create arrangements that fulfil the requirements on indirect clearing arrangements. In consequence smaller and medium sized banks will refrain from offering indirect ETD clearing with the – from a systemic-risk-perspective – unintended effect of further market concentration. Additionally, such a development might undermine the goal agreed by the G20 to promote ETD to the disadvantage of OTC business.</w:t>
      </w:r>
    </w:p>
    <w:p w:rsidR="0010210C" w:rsidRDefault="0010210C" w:rsidP="0010210C">
      <w:pPr>
        <w:keepNext/>
        <w:rPr>
          <w:rFonts w:ascii="Arial" w:hAnsi="Arial" w:cs="Arial"/>
          <w:szCs w:val="22"/>
        </w:rPr>
      </w:pPr>
    </w:p>
    <w:p w:rsidR="0010210C" w:rsidRPr="00B006A8" w:rsidRDefault="0010210C" w:rsidP="0010210C">
      <w:pPr>
        <w:keepNext/>
        <w:rPr>
          <w:rFonts w:ascii="Arial" w:hAnsi="Arial" w:cs="Arial"/>
          <w:szCs w:val="22"/>
        </w:rPr>
      </w:pPr>
      <w:r>
        <w:rPr>
          <w:rFonts w:ascii="Arial" w:hAnsi="Arial" w:cs="Arial"/>
          <w:szCs w:val="22"/>
        </w:rPr>
        <w:t>Apart from the requirements as regards how to deploy indirect clearing, w</w:t>
      </w:r>
      <w:r w:rsidRPr="00B006A8">
        <w:rPr>
          <w:rFonts w:ascii="Arial" w:hAnsi="Arial" w:cs="Arial"/>
          <w:szCs w:val="22"/>
        </w:rPr>
        <w:t>e believe that the proposed RTS leave uncertainty on a particular question which</w:t>
      </w:r>
      <w:r>
        <w:rPr>
          <w:rFonts w:ascii="Arial" w:hAnsi="Arial" w:cs="Arial"/>
          <w:szCs w:val="22"/>
        </w:rPr>
        <w:t xml:space="preserve"> </w:t>
      </w:r>
      <w:r w:rsidRPr="00B006A8">
        <w:rPr>
          <w:rFonts w:ascii="Arial" w:hAnsi="Arial" w:cs="Arial"/>
          <w:szCs w:val="22"/>
        </w:rPr>
        <w:t xml:space="preserve">is of </w:t>
      </w:r>
      <w:r>
        <w:rPr>
          <w:rFonts w:ascii="Arial" w:hAnsi="Arial" w:cs="Arial"/>
          <w:szCs w:val="22"/>
        </w:rPr>
        <w:t xml:space="preserve">major </w:t>
      </w:r>
      <w:r w:rsidRPr="00B006A8">
        <w:rPr>
          <w:rFonts w:ascii="Arial" w:hAnsi="Arial" w:cs="Arial"/>
          <w:szCs w:val="22"/>
        </w:rPr>
        <w:t>importance f</w:t>
      </w:r>
      <w:r>
        <w:rPr>
          <w:rFonts w:ascii="Arial" w:hAnsi="Arial" w:cs="Arial"/>
          <w:szCs w:val="22"/>
        </w:rPr>
        <w:t>or market participants, namely as to whether the offering of indirect clearing services is compulsory under Art. 29 and 30 of MiFIR:</w:t>
      </w:r>
    </w:p>
    <w:p w:rsidR="0010210C" w:rsidRPr="00B006A8" w:rsidRDefault="0010210C" w:rsidP="0010210C">
      <w:pPr>
        <w:keepNext/>
        <w:rPr>
          <w:rFonts w:ascii="Arial" w:hAnsi="Arial" w:cs="Arial"/>
          <w:szCs w:val="22"/>
        </w:rPr>
      </w:pPr>
    </w:p>
    <w:p w:rsidR="0010210C" w:rsidRDefault="0010210C" w:rsidP="0010210C">
      <w:pPr>
        <w:keepNext/>
        <w:rPr>
          <w:rFonts w:ascii="Arial" w:hAnsi="Arial" w:cs="Arial"/>
          <w:szCs w:val="22"/>
        </w:rPr>
      </w:pPr>
      <w:r w:rsidRPr="00B006A8">
        <w:rPr>
          <w:rFonts w:ascii="Arial" w:hAnsi="Arial" w:cs="Arial"/>
          <w:szCs w:val="22"/>
        </w:rPr>
        <w:t>Art. 29</w:t>
      </w:r>
      <w:r>
        <w:rPr>
          <w:rFonts w:ascii="Arial" w:hAnsi="Arial" w:cs="Arial"/>
          <w:szCs w:val="22"/>
        </w:rPr>
        <w:t xml:space="preserve"> (</w:t>
      </w:r>
      <w:r w:rsidRPr="00B006A8">
        <w:rPr>
          <w:rFonts w:ascii="Arial" w:hAnsi="Arial" w:cs="Arial"/>
          <w:szCs w:val="22"/>
        </w:rPr>
        <w:t>1</w:t>
      </w:r>
      <w:r>
        <w:rPr>
          <w:rFonts w:ascii="Arial" w:hAnsi="Arial" w:cs="Arial"/>
          <w:szCs w:val="22"/>
        </w:rPr>
        <w:t>)</w:t>
      </w:r>
      <w:r w:rsidRPr="00B006A8">
        <w:rPr>
          <w:rFonts w:ascii="Arial" w:hAnsi="Arial" w:cs="Arial"/>
          <w:szCs w:val="22"/>
        </w:rPr>
        <w:t xml:space="preserve"> </w:t>
      </w:r>
      <w:r>
        <w:rPr>
          <w:rFonts w:ascii="Arial" w:hAnsi="Arial" w:cs="Arial"/>
          <w:szCs w:val="22"/>
        </w:rPr>
        <w:t xml:space="preserve">of </w:t>
      </w:r>
      <w:r w:rsidRPr="00B006A8">
        <w:rPr>
          <w:rFonts w:ascii="Arial" w:hAnsi="Arial" w:cs="Arial"/>
          <w:szCs w:val="22"/>
        </w:rPr>
        <w:t>MiFIR creates a clearing obligation for ETD</w:t>
      </w:r>
      <w:r>
        <w:rPr>
          <w:rFonts w:ascii="Arial" w:hAnsi="Arial" w:cs="Arial"/>
          <w:szCs w:val="22"/>
        </w:rPr>
        <w:t>s</w:t>
      </w:r>
      <w:r w:rsidRPr="00B006A8">
        <w:rPr>
          <w:rFonts w:ascii="Arial" w:hAnsi="Arial" w:cs="Arial"/>
          <w:szCs w:val="22"/>
        </w:rPr>
        <w:t xml:space="preserve">. Since it refers to the “operator” of a RM rather than </w:t>
      </w:r>
      <w:r>
        <w:rPr>
          <w:rFonts w:ascii="Arial" w:hAnsi="Arial" w:cs="Arial"/>
          <w:szCs w:val="22"/>
        </w:rPr>
        <w:t xml:space="preserve">to </w:t>
      </w:r>
      <w:r w:rsidRPr="00B006A8">
        <w:rPr>
          <w:rFonts w:ascii="Arial" w:hAnsi="Arial" w:cs="Arial"/>
          <w:szCs w:val="22"/>
        </w:rPr>
        <w:t>Financial Counterparties and Non-Financial Counterparties above the clearing threshold, one could get the impression that Art. 29</w:t>
      </w:r>
      <w:r>
        <w:rPr>
          <w:rFonts w:ascii="Arial" w:hAnsi="Arial" w:cs="Arial"/>
          <w:szCs w:val="22"/>
        </w:rPr>
        <w:t xml:space="preserve"> (</w:t>
      </w:r>
      <w:r w:rsidRPr="00B006A8">
        <w:rPr>
          <w:rFonts w:ascii="Arial" w:hAnsi="Arial" w:cs="Arial"/>
          <w:szCs w:val="22"/>
        </w:rPr>
        <w:t>1</w:t>
      </w:r>
      <w:r>
        <w:rPr>
          <w:rFonts w:ascii="Arial" w:hAnsi="Arial" w:cs="Arial"/>
          <w:szCs w:val="22"/>
        </w:rPr>
        <w:t>)</w:t>
      </w:r>
      <w:r w:rsidRPr="00B006A8">
        <w:rPr>
          <w:rFonts w:ascii="Arial" w:hAnsi="Arial" w:cs="Arial"/>
          <w:szCs w:val="22"/>
        </w:rPr>
        <w:t xml:space="preserve"> MiFIR does only have impact on operators of a RM.</w:t>
      </w:r>
    </w:p>
    <w:p w:rsidR="0010210C" w:rsidRPr="00B006A8" w:rsidRDefault="0010210C" w:rsidP="0010210C">
      <w:pPr>
        <w:keepNext/>
        <w:rPr>
          <w:rFonts w:ascii="Arial" w:hAnsi="Arial" w:cs="Arial"/>
          <w:szCs w:val="22"/>
        </w:rPr>
      </w:pPr>
    </w:p>
    <w:p w:rsidR="0010210C" w:rsidRPr="00B006A8" w:rsidRDefault="0010210C" w:rsidP="0010210C">
      <w:pPr>
        <w:keepNext/>
        <w:rPr>
          <w:rFonts w:ascii="Arial" w:hAnsi="Arial" w:cs="Arial"/>
          <w:szCs w:val="22"/>
        </w:rPr>
      </w:pPr>
      <w:r w:rsidRPr="00B006A8">
        <w:rPr>
          <w:rFonts w:ascii="Arial" w:hAnsi="Arial" w:cs="Arial"/>
          <w:szCs w:val="22"/>
        </w:rPr>
        <w:t>Unfortunately</w:t>
      </w:r>
      <w:r>
        <w:rPr>
          <w:rFonts w:ascii="Arial" w:hAnsi="Arial" w:cs="Arial"/>
          <w:szCs w:val="22"/>
        </w:rPr>
        <w:t>,</w:t>
      </w:r>
      <w:r w:rsidRPr="00B006A8">
        <w:rPr>
          <w:rFonts w:ascii="Arial" w:hAnsi="Arial" w:cs="Arial"/>
          <w:szCs w:val="22"/>
        </w:rPr>
        <w:t xml:space="preserve"> the said provision is flanked by a provision about “indirect clearing arrangements” which seem</w:t>
      </w:r>
      <w:r>
        <w:rPr>
          <w:rFonts w:ascii="Arial" w:hAnsi="Arial" w:cs="Arial"/>
          <w:szCs w:val="22"/>
        </w:rPr>
        <w:t>s</w:t>
      </w:r>
      <w:r w:rsidRPr="00B006A8">
        <w:rPr>
          <w:rFonts w:ascii="Arial" w:hAnsi="Arial" w:cs="Arial"/>
          <w:szCs w:val="22"/>
        </w:rPr>
        <w:t xml:space="preserve"> to be superfluous if Art. 29</w:t>
      </w:r>
      <w:r>
        <w:rPr>
          <w:rFonts w:ascii="Arial" w:hAnsi="Arial" w:cs="Arial"/>
          <w:szCs w:val="22"/>
        </w:rPr>
        <w:t xml:space="preserve"> (</w:t>
      </w:r>
      <w:r w:rsidRPr="00B006A8">
        <w:rPr>
          <w:rFonts w:ascii="Arial" w:hAnsi="Arial" w:cs="Arial"/>
          <w:szCs w:val="22"/>
        </w:rPr>
        <w:t>1</w:t>
      </w:r>
      <w:r>
        <w:rPr>
          <w:rFonts w:ascii="Arial" w:hAnsi="Arial" w:cs="Arial"/>
          <w:szCs w:val="22"/>
        </w:rPr>
        <w:t>)</w:t>
      </w:r>
      <w:r w:rsidRPr="00B006A8">
        <w:rPr>
          <w:rFonts w:ascii="Arial" w:hAnsi="Arial" w:cs="Arial"/>
          <w:szCs w:val="22"/>
        </w:rPr>
        <w:t xml:space="preserve"> MiFIR </w:t>
      </w:r>
      <w:r>
        <w:rPr>
          <w:rFonts w:ascii="Arial" w:hAnsi="Arial" w:cs="Arial"/>
          <w:szCs w:val="22"/>
        </w:rPr>
        <w:t>had</w:t>
      </w:r>
      <w:r w:rsidRPr="00B006A8">
        <w:rPr>
          <w:rFonts w:ascii="Arial" w:hAnsi="Arial" w:cs="Arial"/>
          <w:szCs w:val="22"/>
        </w:rPr>
        <w:t xml:space="preserve"> impact</w:t>
      </w:r>
      <w:r>
        <w:rPr>
          <w:rFonts w:ascii="Arial" w:hAnsi="Arial" w:cs="Arial"/>
          <w:szCs w:val="22"/>
        </w:rPr>
        <w:t xml:space="preserve"> only</w:t>
      </w:r>
      <w:r w:rsidRPr="00B006A8">
        <w:rPr>
          <w:rFonts w:ascii="Arial" w:hAnsi="Arial" w:cs="Arial"/>
          <w:szCs w:val="22"/>
        </w:rPr>
        <w:t xml:space="preserve"> on the operators of a RM. For that reason, it would really be appreciated if ESMA could clarify that Art. 30 MiFIR does not require indirect clearing arrangements to be put in place but leaves it up to the parties to access </w:t>
      </w:r>
      <w:r>
        <w:rPr>
          <w:rFonts w:ascii="Arial" w:hAnsi="Arial" w:cs="Arial"/>
          <w:szCs w:val="22"/>
        </w:rPr>
        <w:t xml:space="preserve">the </w:t>
      </w:r>
      <w:r w:rsidRPr="00B006A8">
        <w:rPr>
          <w:rFonts w:ascii="Arial" w:hAnsi="Arial" w:cs="Arial"/>
          <w:szCs w:val="22"/>
        </w:rPr>
        <w:t xml:space="preserve">ETD </w:t>
      </w:r>
      <w:r>
        <w:rPr>
          <w:rFonts w:ascii="Arial" w:hAnsi="Arial" w:cs="Arial"/>
          <w:szCs w:val="22"/>
        </w:rPr>
        <w:t xml:space="preserve">market </w:t>
      </w:r>
      <w:r w:rsidRPr="00B006A8">
        <w:rPr>
          <w:rFonts w:ascii="Arial" w:hAnsi="Arial" w:cs="Arial"/>
          <w:szCs w:val="22"/>
        </w:rPr>
        <w:t xml:space="preserve">via the existing market practice </w:t>
      </w:r>
      <w:r>
        <w:rPr>
          <w:rFonts w:ascii="Arial" w:hAnsi="Arial" w:cs="Arial"/>
          <w:szCs w:val="22"/>
        </w:rPr>
        <w:t xml:space="preserve">described above (i.e. </w:t>
      </w:r>
      <w:r w:rsidRPr="00B006A8">
        <w:rPr>
          <w:rFonts w:ascii="Arial" w:hAnsi="Arial" w:cs="Arial"/>
          <w:szCs w:val="22"/>
        </w:rPr>
        <w:t>brokerage agreements and undisclosed agencies</w:t>
      </w:r>
      <w:r>
        <w:rPr>
          <w:rFonts w:ascii="Arial" w:hAnsi="Arial" w:cs="Arial"/>
          <w:szCs w:val="22"/>
        </w:rPr>
        <w:t>)</w:t>
      </w:r>
      <w:r w:rsidRPr="00B006A8">
        <w:rPr>
          <w:rFonts w:ascii="Arial" w:hAnsi="Arial" w:cs="Arial"/>
          <w:szCs w:val="22"/>
        </w:rPr>
        <w:t xml:space="preserve">. </w:t>
      </w:r>
    </w:p>
    <w:p w:rsidR="0010210C" w:rsidRPr="00B006A8" w:rsidRDefault="0010210C" w:rsidP="0010210C">
      <w:pPr>
        <w:keepNext/>
        <w:rPr>
          <w:rFonts w:ascii="Arial" w:hAnsi="Arial" w:cs="Arial"/>
          <w:szCs w:val="22"/>
        </w:rPr>
      </w:pPr>
    </w:p>
    <w:p w:rsidR="0010210C" w:rsidRDefault="0010210C" w:rsidP="0010210C">
      <w:pPr>
        <w:keepNext/>
        <w:rPr>
          <w:rFonts w:ascii="Arial" w:hAnsi="Arial" w:cs="Arial"/>
          <w:szCs w:val="22"/>
        </w:rPr>
      </w:pPr>
      <w:r w:rsidRPr="00B006A8">
        <w:rPr>
          <w:rFonts w:ascii="Arial" w:hAnsi="Arial" w:cs="Arial"/>
          <w:szCs w:val="22"/>
        </w:rPr>
        <w:t xml:space="preserve">In case EMSA does not follow this </w:t>
      </w:r>
      <w:r>
        <w:rPr>
          <w:rFonts w:ascii="Arial" w:hAnsi="Arial" w:cs="Arial"/>
          <w:szCs w:val="22"/>
        </w:rPr>
        <w:t>view,</w:t>
      </w:r>
      <w:r w:rsidRPr="00B006A8">
        <w:rPr>
          <w:rFonts w:ascii="Arial" w:hAnsi="Arial" w:cs="Arial"/>
          <w:szCs w:val="22"/>
        </w:rPr>
        <w:t xml:space="preserve"> we would propose to at least introduce clearing thresholds </w:t>
      </w:r>
      <w:r>
        <w:rPr>
          <w:rFonts w:ascii="Arial" w:hAnsi="Arial" w:cs="Arial"/>
          <w:szCs w:val="22"/>
        </w:rPr>
        <w:t>–</w:t>
      </w:r>
      <w:r w:rsidRPr="00B006A8">
        <w:rPr>
          <w:rFonts w:ascii="Arial" w:hAnsi="Arial" w:cs="Arial"/>
          <w:szCs w:val="22"/>
        </w:rPr>
        <w:t xml:space="preserve"> corresponding to the relevant EMIR provisions, in particular Art. 11</w:t>
      </w:r>
      <w:r>
        <w:rPr>
          <w:rFonts w:ascii="Arial" w:hAnsi="Arial" w:cs="Arial"/>
          <w:szCs w:val="22"/>
        </w:rPr>
        <w:t xml:space="preserve"> of Delegated </w:t>
      </w:r>
      <w:r w:rsidRPr="00B006A8">
        <w:rPr>
          <w:rFonts w:ascii="Arial" w:hAnsi="Arial" w:cs="Arial"/>
          <w:szCs w:val="22"/>
        </w:rPr>
        <w:t xml:space="preserve">Regulation 149/2013. The thresholds could even be set higher than in </w:t>
      </w:r>
      <w:r>
        <w:rPr>
          <w:rFonts w:ascii="Arial" w:hAnsi="Arial" w:cs="Arial"/>
          <w:szCs w:val="22"/>
        </w:rPr>
        <w:t xml:space="preserve">the </w:t>
      </w:r>
      <w:r w:rsidRPr="00B006A8">
        <w:rPr>
          <w:rFonts w:ascii="Arial" w:hAnsi="Arial" w:cs="Arial"/>
          <w:szCs w:val="22"/>
        </w:rPr>
        <w:t>Delegated Regulation 149/2013, since the risk related to ETD is lower than</w:t>
      </w:r>
      <w:r>
        <w:rPr>
          <w:rFonts w:ascii="Arial" w:hAnsi="Arial" w:cs="Arial"/>
          <w:szCs w:val="22"/>
        </w:rPr>
        <w:t xml:space="preserve"> that</w:t>
      </w:r>
      <w:r w:rsidRPr="00B006A8">
        <w:rPr>
          <w:rFonts w:ascii="Arial" w:hAnsi="Arial" w:cs="Arial"/>
          <w:szCs w:val="22"/>
        </w:rPr>
        <w:t xml:space="preserve"> with regard to OTC trades.</w:t>
      </w:r>
      <w:r>
        <w:rPr>
          <w:rFonts w:ascii="Arial" w:hAnsi="Arial" w:cs="Arial"/>
          <w:szCs w:val="22"/>
        </w:rPr>
        <w:t xml:space="preserve"> Furthermore, in order to establish a level playing field between OTC trades and ETDs, transactions entered into for hedging purposes should be exempt from the obligation to establish (indirect) clearing relationships (Art. 10(3) EMIR).</w:t>
      </w:r>
    </w:p>
    <w:p w:rsidR="0010210C" w:rsidRDefault="0010210C" w:rsidP="0010210C">
      <w:pPr>
        <w:keepNext/>
        <w:rPr>
          <w:rFonts w:ascii="Arial" w:hAnsi="Arial" w:cs="Arial"/>
          <w:szCs w:val="22"/>
        </w:rPr>
      </w:pPr>
    </w:p>
    <w:p w:rsidR="0010210C" w:rsidRDefault="0010210C" w:rsidP="0010210C">
      <w:pPr>
        <w:keepNext/>
        <w:rPr>
          <w:rFonts w:ascii="Arial" w:hAnsi="Arial" w:cs="Arial"/>
          <w:szCs w:val="22"/>
        </w:rPr>
      </w:pPr>
      <w:r>
        <w:rPr>
          <w:rFonts w:ascii="Arial" w:hAnsi="Arial" w:cs="Arial"/>
          <w:szCs w:val="22"/>
        </w:rPr>
        <w:t xml:space="preserve">As regards individual provisions of the Draft </w:t>
      </w:r>
      <w:r w:rsidRPr="004E6F35">
        <w:rPr>
          <w:rFonts w:ascii="Arial" w:hAnsi="Arial" w:cs="Arial"/>
          <w:szCs w:val="22"/>
        </w:rPr>
        <w:t xml:space="preserve">RTS </w:t>
      </w:r>
      <w:r>
        <w:rPr>
          <w:rFonts w:ascii="Arial" w:hAnsi="Arial" w:cs="Arial"/>
          <w:szCs w:val="22"/>
        </w:rPr>
        <w:t>we would like to focus on the issues of</w:t>
      </w:r>
      <w:r w:rsidRPr="004E6F35">
        <w:rPr>
          <w:rFonts w:ascii="Arial" w:hAnsi="Arial" w:cs="Arial"/>
          <w:szCs w:val="22"/>
        </w:rPr>
        <w:t xml:space="preserve"> </w:t>
      </w:r>
      <w:r>
        <w:rPr>
          <w:rFonts w:ascii="Arial" w:hAnsi="Arial" w:cs="Arial"/>
          <w:szCs w:val="22"/>
        </w:rPr>
        <w:t>account segregation, default management procedures and return of liquidation proceeds.</w:t>
      </w:r>
    </w:p>
    <w:p w:rsidR="0010210C" w:rsidRDefault="0010210C" w:rsidP="0010210C">
      <w:pPr>
        <w:keepNext/>
        <w:rPr>
          <w:rFonts w:ascii="Arial" w:hAnsi="Arial" w:cs="Arial"/>
          <w:szCs w:val="22"/>
        </w:rPr>
      </w:pPr>
    </w:p>
    <w:p w:rsidR="0010210C" w:rsidRDefault="0010210C" w:rsidP="0010210C">
      <w:pPr>
        <w:keepNext/>
        <w:rPr>
          <w:rFonts w:ascii="Arial" w:hAnsi="Arial" w:cs="Arial"/>
          <w:szCs w:val="22"/>
        </w:rPr>
      </w:pPr>
      <w:r>
        <w:rPr>
          <w:rFonts w:ascii="Arial" w:hAnsi="Arial" w:cs="Arial"/>
          <w:szCs w:val="22"/>
        </w:rPr>
        <w:t>Obliging</w:t>
      </w:r>
      <w:r w:rsidRPr="004E6F35">
        <w:rPr>
          <w:rFonts w:ascii="Arial" w:hAnsi="Arial" w:cs="Arial"/>
          <w:szCs w:val="22"/>
        </w:rPr>
        <w:t xml:space="preserve"> clearing member</w:t>
      </w:r>
      <w:r>
        <w:rPr>
          <w:rFonts w:ascii="Arial" w:hAnsi="Arial" w:cs="Arial"/>
          <w:szCs w:val="22"/>
        </w:rPr>
        <w:t>s</w:t>
      </w:r>
      <w:r w:rsidRPr="004E6F35">
        <w:rPr>
          <w:rFonts w:ascii="Arial" w:hAnsi="Arial" w:cs="Arial"/>
          <w:szCs w:val="22"/>
        </w:rPr>
        <w:t xml:space="preserve"> to manage the </w:t>
      </w:r>
      <w:r>
        <w:rPr>
          <w:rFonts w:ascii="Arial" w:hAnsi="Arial" w:cs="Arial"/>
          <w:szCs w:val="22"/>
        </w:rPr>
        <w:t xml:space="preserve">client’s </w:t>
      </w:r>
      <w:r w:rsidRPr="004E6F35">
        <w:rPr>
          <w:rFonts w:ascii="Arial" w:hAnsi="Arial" w:cs="Arial"/>
          <w:szCs w:val="22"/>
        </w:rPr>
        <w:t>default</w:t>
      </w:r>
      <w:r>
        <w:rPr>
          <w:rFonts w:ascii="Arial" w:hAnsi="Arial" w:cs="Arial"/>
          <w:szCs w:val="22"/>
        </w:rPr>
        <w:t xml:space="preserve"> as set forth in Art. 4(4) of the Draft RTS amounts to CM</w:t>
      </w:r>
      <w:r w:rsidRPr="004E6F35">
        <w:rPr>
          <w:rFonts w:ascii="Arial" w:hAnsi="Arial" w:cs="Arial"/>
          <w:szCs w:val="22"/>
        </w:rPr>
        <w:t xml:space="preserve"> act</w:t>
      </w:r>
      <w:r>
        <w:rPr>
          <w:rFonts w:ascii="Arial" w:hAnsi="Arial" w:cs="Arial"/>
          <w:szCs w:val="22"/>
        </w:rPr>
        <w:t>ing</w:t>
      </w:r>
      <w:r w:rsidRPr="004E6F35">
        <w:rPr>
          <w:rFonts w:ascii="Arial" w:hAnsi="Arial" w:cs="Arial"/>
          <w:szCs w:val="22"/>
        </w:rPr>
        <w:t xml:space="preserve"> as </w:t>
      </w:r>
      <w:r>
        <w:rPr>
          <w:rFonts w:ascii="Arial" w:hAnsi="Arial" w:cs="Arial"/>
          <w:szCs w:val="22"/>
        </w:rPr>
        <w:t xml:space="preserve">a </w:t>
      </w:r>
      <w:r w:rsidRPr="004E6F35">
        <w:rPr>
          <w:rFonts w:ascii="Arial" w:hAnsi="Arial" w:cs="Arial"/>
          <w:szCs w:val="22"/>
        </w:rPr>
        <w:t xml:space="preserve">quasi-CCP </w:t>
      </w:r>
      <w:r>
        <w:rPr>
          <w:rFonts w:ascii="Arial" w:hAnsi="Arial" w:cs="Arial"/>
          <w:szCs w:val="22"/>
        </w:rPr>
        <w:t xml:space="preserve">albeit </w:t>
      </w:r>
      <w:r w:rsidRPr="004E6F35">
        <w:rPr>
          <w:rFonts w:ascii="Arial" w:hAnsi="Arial" w:cs="Arial"/>
          <w:szCs w:val="22"/>
        </w:rPr>
        <w:t xml:space="preserve">without the insolvency protections </w:t>
      </w:r>
      <w:r>
        <w:rPr>
          <w:rFonts w:ascii="Arial" w:hAnsi="Arial" w:cs="Arial"/>
          <w:szCs w:val="22"/>
        </w:rPr>
        <w:t xml:space="preserve">granted to </w:t>
      </w:r>
      <w:r w:rsidRPr="004E6F35">
        <w:rPr>
          <w:rFonts w:ascii="Arial" w:hAnsi="Arial" w:cs="Arial"/>
          <w:szCs w:val="22"/>
        </w:rPr>
        <w:t>actions taken by CCPs (for example</w:t>
      </w:r>
      <w:r>
        <w:rPr>
          <w:rFonts w:ascii="Arial" w:hAnsi="Arial" w:cs="Arial"/>
          <w:szCs w:val="22"/>
        </w:rPr>
        <w:t xml:space="preserve"> under the</w:t>
      </w:r>
      <w:r w:rsidRPr="004E6F35">
        <w:rPr>
          <w:rFonts w:ascii="Arial" w:hAnsi="Arial" w:cs="Arial"/>
          <w:szCs w:val="22"/>
        </w:rPr>
        <w:t xml:space="preserve"> Settlement Finality Directive).</w:t>
      </w:r>
      <w:r>
        <w:rPr>
          <w:rFonts w:ascii="Arial" w:hAnsi="Arial" w:cs="Arial"/>
          <w:szCs w:val="22"/>
        </w:rPr>
        <w:t xml:space="preserve"> </w:t>
      </w:r>
      <w:r w:rsidRPr="00D90D30">
        <w:rPr>
          <w:rFonts w:ascii="Arial" w:hAnsi="Arial" w:cs="Arial"/>
          <w:szCs w:val="22"/>
        </w:rPr>
        <w:t>This would expose CMs to severe legal risks, in particular with respect to claims for damages by the insolvency administrator of its client.</w:t>
      </w:r>
    </w:p>
    <w:p w:rsidR="0010210C" w:rsidRDefault="0010210C" w:rsidP="0010210C">
      <w:pPr>
        <w:keepNext/>
        <w:rPr>
          <w:rFonts w:ascii="Arial" w:hAnsi="Arial" w:cs="Arial"/>
          <w:szCs w:val="22"/>
        </w:rPr>
      </w:pPr>
    </w:p>
    <w:p w:rsidR="0010210C" w:rsidRDefault="0010210C" w:rsidP="0010210C">
      <w:pPr>
        <w:keepNext/>
        <w:rPr>
          <w:rFonts w:ascii="Arial" w:hAnsi="Arial" w:cs="Arial"/>
          <w:szCs w:val="22"/>
        </w:rPr>
      </w:pPr>
      <w:r>
        <w:rPr>
          <w:rFonts w:ascii="Arial" w:hAnsi="Arial" w:cs="Arial"/>
          <w:szCs w:val="22"/>
        </w:rPr>
        <w:t>Furthermore, we would recommend t</w:t>
      </w:r>
      <w:r w:rsidRPr="002A30D9">
        <w:rPr>
          <w:rFonts w:ascii="Arial" w:hAnsi="Arial" w:cs="Arial"/>
          <w:szCs w:val="22"/>
        </w:rPr>
        <w:t xml:space="preserve">he </w:t>
      </w:r>
      <w:r>
        <w:rPr>
          <w:rFonts w:ascii="Arial" w:hAnsi="Arial" w:cs="Arial"/>
          <w:szCs w:val="22"/>
        </w:rPr>
        <w:t>r</w:t>
      </w:r>
      <w:r w:rsidRPr="002A30D9">
        <w:rPr>
          <w:rFonts w:ascii="Arial" w:hAnsi="Arial" w:cs="Arial"/>
          <w:szCs w:val="22"/>
        </w:rPr>
        <w:t xml:space="preserve">emoval of the word “individually” </w:t>
      </w:r>
      <w:r>
        <w:rPr>
          <w:rFonts w:ascii="Arial" w:hAnsi="Arial" w:cs="Arial"/>
          <w:szCs w:val="22"/>
        </w:rPr>
        <w:t xml:space="preserve">in Art. 4(5) of the Draft RTS. Hereby, it would be made clear </w:t>
      </w:r>
      <w:r w:rsidRPr="002A30D9">
        <w:rPr>
          <w:rFonts w:ascii="Arial" w:hAnsi="Arial" w:cs="Arial"/>
          <w:szCs w:val="22"/>
        </w:rPr>
        <w:t xml:space="preserve">that the CCP, on request of the clearing member, </w:t>
      </w:r>
      <w:r>
        <w:rPr>
          <w:rFonts w:ascii="Arial" w:hAnsi="Arial" w:cs="Arial"/>
          <w:szCs w:val="22"/>
        </w:rPr>
        <w:t xml:space="preserve">is only required to open an </w:t>
      </w:r>
      <w:r w:rsidRPr="002A30D9">
        <w:rPr>
          <w:rFonts w:ascii="Arial" w:hAnsi="Arial" w:cs="Arial"/>
          <w:szCs w:val="22"/>
        </w:rPr>
        <w:t xml:space="preserve">omnibus segregated account for the exclusive purpose of holding the assets and positions of the client’s indirect clients. </w:t>
      </w:r>
      <w:r>
        <w:rPr>
          <w:rFonts w:ascii="Arial" w:hAnsi="Arial" w:cs="Arial"/>
          <w:szCs w:val="22"/>
        </w:rPr>
        <w:t>Otherwise, the Draft RTS 38 would exceed the protection level granted by</w:t>
      </w:r>
      <w:r w:rsidRPr="002A30D9">
        <w:rPr>
          <w:rFonts w:ascii="Arial" w:hAnsi="Arial" w:cs="Arial"/>
          <w:szCs w:val="22"/>
        </w:rPr>
        <w:t xml:space="preserve"> Art</w:t>
      </w:r>
      <w:r>
        <w:rPr>
          <w:rFonts w:ascii="Arial" w:hAnsi="Arial" w:cs="Arial"/>
          <w:szCs w:val="22"/>
        </w:rPr>
        <w:t xml:space="preserve">. </w:t>
      </w:r>
      <w:r w:rsidRPr="002A30D9">
        <w:rPr>
          <w:rFonts w:ascii="Arial" w:hAnsi="Arial" w:cs="Arial"/>
          <w:szCs w:val="22"/>
        </w:rPr>
        <w:t xml:space="preserve">5(2) of the EMIR </w:t>
      </w:r>
      <w:r>
        <w:rPr>
          <w:rFonts w:ascii="Arial" w:hAnsi="Arial" w:cs="Arial"/>
          <w:szCs w:val="22"/>
        </w:rPr>
        <w:t xml:space="preserve">Delegated </w:t>
      </w:r>
      <w:r w:rsidRPr="00B006A8">
        <w:rPr>
          <w:rFonts w:ascii="Arial" w:hAnsi="Arial" w:cs="Arial"/>
          <w:szCs w:val="22"/>
        </w:rPr>
        <w:t>Regulation 149/2013</w:t>
      </w:r>
      <w:r>
        <w:rPr>
          <w:rFonts w:ascii="Arial" w:hAnsi="Arial" w:cs="Arial"/>
          <w:szCs w:val="22"/>
        </w:rPr>
        <w:t xml:space="preserve"> and contradict the legal mandate set out in Art. 30(2) of MiFIR</w:t>
      </w:r>
      <w:r w:rsidRPr="00B006A8">
        <w:rPr>
          <w:rFonts w:ascii="Arial" w:hAnsi="Arial" w:cs="Arial"/>
          <w:szCs w:val="22"/>
        </w:rPr>
        <w:t>.</w:t>
      </w:r>
    </w:p>
    <w:p w:rsidR="0010210C" w:rsidRDefault="0010210C" w:rsidP="0010210C">
      <w:pPr>
        <w:keepNext/>
        <w:rPr>
          <w:rFonts w:ascii="Arial" w:hAnsi="Arial" w:cs="Arial"/>
          <w:szCs w:val="22"/>
        </w:rPr>
      </w:pPr>
    </w:p>
    <w:p w:rsidR="0010210C" w:rsidRDefault="0010210C" w:rsidP="0010210C">
      <w:pPr>
        <w:keepNext/>
        <w:rPr>
          <w:rFonts w:ascii="Arial" w:hAnsi="Arial" w:cs="Arial"/>
          <w:szCs w:val="22"/>
        </w:rPr>
      </w:pPr>
      <w:r>
        <w:rPr>
          <w:rFonts w:ascii="Arial" w:hAnsi="Arial" w:cs="Arial"/>
          <w:szCs w:val="22"/>
        </w:rPr>
        <w:t>A similar reasoning applies for t</w:t>
      </w:r>
      <w:r w:rsidRPr="004E6F35">
        <w:rPr>
          <w:rFonts w:ascii="Arial" w:hAnsi="Arial" w:cs="Arial"/>
          <w:szCs w:val="22"/>
        </w:rPr>
        <w:t>he obligation imposed</w:t>
      </w:r>
      <w:r>
        <w:rPr>
          <w:rFonts w:ascii="Arial" w:hAnsi="Arial" w:cs="Arial"/>
          <w:szCs w:val="22"/>
        </w:rPr>
        <w:t xml:space="preserve"> </w:t>
      </w:r>
      <w:r w:rsidRPr="004E6F35">
        <w:rPr>
          <w:rFonts w:ascii="Arial" w:hAnsi="Arial" w:cs="Arial"/>
          <w:szCs w:val="22"/>
        </w:rPr>
        <w:t xml:space="preserve">by the </w:t>
      </w:r>
      <w:r>
        <w:rPr>
          <w:rFonts w:ascii="Arial" w:hAnsi="Arial" w:cs="Arial"/>
          <w:szCs w:val="22"/>
        </w:rPr>
        <w:t xml:space="preserve">Draft </w:t>
      </w:r>
      <w:r w:rsidRPr="004E6F35">
        <w:rPr>
          <w:rFonts w:ascii="Arial" w:hAnsi="Arial" w:cs="Arial"/>
          <w:szCs w:val="22"/>
        </w:rPr>
        <w:t xml:space="preserve">RTS </w:t>
      </w:r>
      <w:r>
        <w:rPr>
          <w:rFonts w:ascii="Arial" w:hAnsi="Arial" w:cs="Arial"/>
          <w:szCs w:val="22"/>
        </w:rPr>
        <w:t>on the CM</w:t>
      </w:r>
      <w:r w:rsidRPr="004E6F35">
        <w:rPr>
          <w:rFonts w:ascii="Arial" w:hAnsi="Arial" w:cs="Arial"/>
          <w:szCs w:val="22"/>
        </w:rPr>
        <w:t xml:space="preserve"> </w:t>
      </w:r>
      <w:r>
        <w:rPr>
          <w:rFonts w:ascii="Arial" w:hAnsi="Arial" w:cs="Arial"/>
          <w:szCs w:val="22"/>
        </w:rPr>
        <w:t>in the case of a client’s default</w:t>
      </w:r>
      <w:r w:rsidRPr="004E6F35">
        <w:rPr>
          <w:rFonts w:ascii="Arial" w:hAnsi="Arial" w:cs="Arial"/>
          <w:szCs w:val="22"/>
        </w:rPr>
        <w:t xml:space="preserve"> </w:t>
      </w:r>
      <w:r>
        <w:rPr>
          <w:rFonts w:ascii="Arial" w:hAnsi="Arial" w:cs="Arial"/>
          <w:szCs w:val="22"/>
        </w:rPr>
        <w:t>to</w:t>
      </w:r>
      <w:r w:rsidRPr="004E6F35">
        <w:rPr>
          <w:rFonts w:ascii="Arial" w:hAnsi="Arial" w:cs="Arial"/>
          <w:szCs w:val="22"/>
        </w:rPr>
        <w:t xml:space="preserve"> </w:t>
      </w:r>
      <w:r>
        <w:rPr>
          <w:rFonts w:ascii="Arial" w:hAnsi="Arial" w:cs="Arial"/>
          <w:szCs w:val="22"/>
        </w:rPr>
        <w:t>pay out</w:t>
      </w:r>
      <w:r w:rsidRPr="004E6F35">
        <w:rPr>
          <w:rFonts w:ascii="Arial" w:hAnsi="Arial" w:cs="Arial"/>
          <w:szCs w:val="22"/>
        </w:rPr>
        <w:t xml:space="preserve"> liquidation proceeds</w:t>
      </w:r>
      <w:r>
        <w:rPr>
          <w:rFonts w:ascii="Arial" w:hAnsi="Arial" w:cs="Arial"/>
          <w:szCs w:val="22"/>
        </w:rPr>
        <w:t xml:space="preserve"> </w:t>
      </w:r>
      <w:r w:rsidRPr="004E6F35">
        <w:rPr>
          <w:rFonts w:ascii="Arial" w:hAnsi="Arial" w:cs="Arial"/>
          <w:szCs w:val="22"/>
        </w:rPr>
        <w:t>direct</w:t>
      </w:r>
      <w:r>
        <w:rPr>
          <w:rFonts w:ascii="Arial" w:hAnsi="Arial" w:cs="Arial"/>
          <w:szCs w:val="22"/>
        </w:rPr>
        <w:t>ly</w:t>
      </w:r>
      <w:r w:rsidRPr="004E6F35">
        <w:rPr>
          <w:rFonts w:ascii="Arial" w:hAnsi="Arial" w:cs="Arial"/>
          <w:szCs w:val="22"/>
        </w:rPr>
        <w:t xml:space="preserve"> to the indirect client</w:t>
      </w:r>
      <w:r>
        <w:rPr>
          <w:rFonts w:ascii="Arial" w:hAnsi="Arial" w:cs="Arial"/>
          <w:szCs w:val="22"/>
        </w:rPr>
        <w:t>.</w:t>
      </w:r>
      <w:r w:rsidRPr="004E6F35">
        <w:rPr>
          <w:rFonts w:ascii="Arial" w:hAnsi="Arial" w:cs="Arial"/>
          <w:szCs w:val="22"/>
        </w:rPr>
        <w:t xml:space="preserve"> </w:t>
      </w:r>
      <w:r>
        <w:rPr>
          <w:rFonts w:ascii="Arial" w:hAnsi="Arial" w:cs="Arial"/>
          <w:szCs w:val="22"/>
        </w:rPr>
        <w:t>Such a provision must be regarded as “gold-plating”</w:t>
      </w:r>
      <w:r w:rsidRPr="004E6F35">
        <w:rPr>
          <w:rFonts w:ascii="Arial" w:hAnsi="Arial" w:cs="Arial"/>
          <w:szCs w:val="22"/>
        </w:rPr>
        <w:t xml:space="preserve"> the protection </w:t>
      </w:r>
      <w:r>
        <w:rPr>
          <w:rFonts w:ascii="Arial" w:hAnsi="Arial" w:cs="Arial"/>
          <w:szCs w:val="22"/>
        </w:rPr>
        <w:t xml:space="preserve">level </w:t>
      </w:r>
      <w:r w:rsidRPr="004E6F35">
        <w:rPr>
          <w:rFonts w:ascii="Arial" w:hAnsi="Arial" w:cs="Arial"/>
          <w:szCs w:val="22"/>
        </w:rPr>
        <w:t xml:space="preserve">provided </w:t>
      </w:r>
      <w:r>
        <w:rPr>
          <w:rFonts w:ascii="Arial" w:hAnsi="Arial" w:cs="Arial"/>
          <w:szCs w:val="22"/>
        </w:rPr>
        <w:t>by</w:t>
      </w:r>
      <w:r w:rsidRPr="004E6F35">
        <w:rPr>
          <w:rFonts w:ascii="Arial" w:hAnsi="Arial" w:cs="Arial"/>
          <w:szCs w:val="22"/>
        </w:rPr>
        <w:t xml:space="preserve"> Ar</w:t>
      </w:r>
      <w:r>
        <w:rPr>
          <w:rFonts w:ascii="Arial" w:hAnsi="Arial" w:cs="Arial"/>
          <w:szCs w:val="22"/>
        </w:rPr>
        <w:t>t.</w:t>
      </w:r>
      <w:r w:rsidRPr="004E6F35">
        <w:rPr>
          <w:rFonts w:ascii="Arial" w:hAnsi="Arial" w:cs="Arial"/>
          <w:szCs w:val="22"/>
        </w:rPr>
        <w:t xml:space="preserve"> 48(7) of EMIR which</w:t>
      </w:r>
      <w:r>
        <w:rPr>
          <w:rFonts w:ascii="Arial" w:hAnsi="Arial" w:cs="Arial"/>
          <w:szCs w:val="22"/>
        </w:rPr>
        <w:t xml:space="preserve"> permits</w:t>
      </w:r>
      <w:r w:rsidRPr="004E6F35">
        <w:rPr>
          <w:rFonts w:ascii="Arial" w:hAnsi="Arial" w:cs="Arial"/>
          <w:szCs w:val="22"/>
        </w:rPr>
        <w:t xml:space="preserve"> a CCP to return liquidation proceeds to the clients of the </w:t>
      </w:r>
      <w:r>
        <w:rPr>
          <w:rFonts w:ascii="Arial" w:hAnsi="Arial" w:cs="Arial"/>
          <w:szCs w:val="22"/>
        </w:rPr>
        <w:t xml:space="preserve">CM </w:t>
      </w:r>
      <w:r w:rsidRPr="004E6F35">
        <w:rPr>
          <w:rFonts w:ascii="Arial" w:hAnsi="Arial" w:cs="Arial"/>
          <w:szCs w:val="22"/>
        </w:rPr>
        <w:t xml:space="preserve">for </w:t>
      </w:r>
      <w:r>
        <w:rPr>
          <w:rFonts w:ascii="Arial" w:hAnsi="Arial" w:cs="Arial"/>
          <w:szCs w:val="22"/>
        </w:rPr>
        <w:t xml:space="preserve">the </w:t>
      </w:r>
      <w:r w:rsidRPr="004E6F35">
        <w:rPr>
          <w:rFonts w:ascii="Arial" w:hAnsi="Arial" w:cs="Arial"/>
          <w:szCs w:val="22"/>
        </w:rPr>
        <w:t xml:space="preserve">account of its clients. The procedures for the return of liquidation proceeds to the indirect clients should </w:t>
      </w:r>
      <w:r>
        <w:rPr>
          <w:rFonts w:ascii="Arial" w:hAnsi="Arial" w:cs="Arial"/>
          <w:szCs w:val="22"/>
        </w:rPr>
        <w:t xml:space="preserve">therefore </w:t>
      </w:r>
      <w:r w:rsidRPr="004E6F35">
        <w:rPr>
          <w:rFonts w:ascii="Arial" w:hAnsi="Arial" w:cs="Arial"/>
          <w:szCs w:val="22"/>
        </w:rPr>
        <w:t xml:space="preserve">only apply when the indirect clients have </w:t>
      </w:r>
      <w:r>
        <w:rPr>
          <w:rFonts w:ascii="Arial" w:hAnsi="Arial" w:cs="Arial"/>
          <w:szCs w:val="22"/>
        </w:rPr>
        <w:t>chosen</w:t>
      </w:r>
      <w:r w:rsidRPr="004E6F35">
        <w:rPr>
          <w:rFonts w:ascii="Arial" w:hAnsi="Arial" w:cs="Arial"/>
          <w:szCs w:val="22"/>
        </w:rPr>
        <w:t xml:space="preserve"> a gross omnibus account.</w:t>
      </w:r>
    </w:p>
    <w:p w:rsidR="0010210C" w:rsidRPr="00B006A8" w:rsidRDefault="0010210C" w:rsidP="0010210C">
      <w:pPr>
        <w:keepNext/>
        <w:rPr>
          <w:rFonts w:ascii="Arial" w:hAnsi="Arial" w:cs="Arial"/>
          <w:szCs w:val="22"/>
        </w:rPr>
      </w:pPr>
    </w:p>
    <w:p w:rsidR="0010210C" w:rsidRDefault="0010210C" w:rsidP="0010210C">
      <w:pPr>
        <w:keepNext/>
        <w:rPr>
          <w:rFonts w:ascii="Arial" w:hAnsi="Arial" w:cs="Arial"/>
          <w:szCs w:val="22"/>
        </w:rPr>
      </w:pPr>
      <w:r>
        <w:rPr>
          <w:rFonts w:ascii="Arial" w:hAnsi="Arial" w:cs="Arial"/>
          <w:szCs w:val="22"/>
        </w:rPr>
        <w:t xml:space="preserve">However, we </w:t>
      </w:r>
      <w:r w:rsidRPr="00300C7F">
        <w:rPr>
          <w:rFonts w:ascii="Arial" w:hAnsi="Arial" w:cs="Arial"/>
          <w:szCs w:val="22"/>
        </w:rPr>
        <w:t>agree</w:t>
      </w:r>
      <w:r>
        <w:rPr>
          <w:rFonts w:ascii="Arial" w:hAnsi="Arial" w:cs="Arial"/>
          <w:szCs w:val="22"/>
        </w:rPr>
        <w:t xml:space="preserve"> with ESMA</w:t>
      </w:r>
      <w:r w:rsidRPr="00300C7F">
        <w:rPr>
          <w:rFonts w:ascii="Arial" w:hAnsi="Arial" w:cs="Arial"/>
          <w:szCs w:val="22"/>
        </w:rPr>
        <w:t xml:space="preserve"> that deleting the requirement of portability </w:t>
      </w:r>
      <w:r>
        <w:rPr>
          <w:rFonts w:ascii="Arial" w:hAnsi="Arial" w:cs="Arial"/>
          <w:szCs w:val="22"/>
        </w:rPr>
        <w:t xml:space="preserve">as proposed </w:t>
      </w:r>
      <w:r w:rsidRPr="00300C7F">
        <w:rPr>
          <w:rFonts w:ascii="Arial" w:hAnsi="Arial" w:cs="Arial"/>
          <w:szCs w:val="22"/>
        </w:rPr>
        <w:t xml:space="preserve">addresses </w:t>
      </w:r>
      <w:r>
        <w:rPr>
          <w:rFonts w:ascii="Arial" w:hAnsi="Arial" w:cs="Arial"/>
          <w:szCs w:val="22"/>
        </w:rPr>
        <w:t>at least</w:t>
      </w:r>
      <w:r w:rsidRPr="00300C7F">
        <w:rPr>
          <w:rFonts w:ascii="Arial" w:hAnsi="Arial" w:cs="Arial"/>
          <w:szCs w:val="22"/>
        </w:rPr>
        <w:t xml:space="preserve"> one major concern of market participants with regard to indirect clearing. </w:t>
      </w:r>
    </w:p>
    <w:p w:rsidR="0010210C" w:rsidRDefault="0010210C" w:rsidP="0010210C">
      <w:pPr>
        <w:keepNext/>
        <w:rPr>
          <w:rFonts w:ascii="Arial" w:hAnsi="Arial" w:cs="Arial"/>
          <w:szCs w:val="22"/>
        </w:rPr>
      </w:pPr>
    </w:p>
    <w:p w:rsidR="0010210C" w:rsidRPr="00300C7F" w:rsidRDefault="0010210C" w:rsidP="0010210C">
      <w:pPr>
        <w:keepNext/>
        <w:rPr>
          <w:rFonts w:ascii="Arial" w:hAnsi="Arial" w:cs="Arial"/>
          <w:szCs w:val="22"/>
        </w:rPr>
      </w:pPr>
      <w:r>
        <w:rPr>
          <w:rFonts w:ascii="Arial" w:hAnsi="Arial" w:cs="Arial"/>
          <w:szCs w:val="22"/>
        </w:rPr>
        <w:t xml:space="preserve">For a more detailed analysis, the </w:t>
      </w:r>
      <w:r w:rsidRPr="00593E1F">
        <w:rPr>
          <w:rFonts w:ascii="Arial" w:hAnsi="Arial" w:cs="Arial"/>
          <w:szCs w:val="22"/>
        </w:rPr>
        <w:t>National Association of German Cooperative Banks</w:t>
      </w:r>
      <w:r>
        <w:rPr>
          <w:rFonts w:ascii="Arial" w:hAnsi="Arial" w:cs="Arial"/>
          <w:szCs w:val="22"/>
        </w:rPr>
        <w:t xml:space="preserve"> would like to make reference to the Futures Industry Association’s (FIA) comments on this section of the consultation paper, which we fully support. The same applies for the amendments provided by FIA to ESMA’s Draft RTS 38.</w:t>
      </w:r>
    </w:p>
    <w:p w:rsidR="0010210C" w:rsidRDefault="0010210C" w:rsidP="0010210C">
      <w:pPr>
        <w:keepNext/>
        <w:rPr>
          <w:rFonts w:ascii="Arial" w:hAnsi="Arial" w:cs="Arial"/>
          <w:szCs w:val="22"/>
        </w:rPr>
      </w:pPr>
    </w:p>
    <w:p w:rsidR="0010210C" w:rsidRDefault="0010210C" w:rsidP="0010210C">
      <w:pPr>
        <w:keepNext/>
        <w:rPr>
          <w:rFonts w:ascii="Arial" w:hAnsi="Arial" w:cs="Arial"/>
          <w:szCs w:val="22"/>
        </w:rPr>
      </w:pPr>
      <w:r w:rsidRPr="004E6F35">
        <w:rPr>
          <w:rFonts w:ascii="Arial" w:hAnsi="Arial" w:cs="Arial"/>
          <w:szCs w:val="22"/>
        </w:rPr>
        <w:t xml:space="preserve">Finally, we </w:t>
      </w:r>
      <w:r>
        <w:rPr>
          <w:rFonts w:ascii="Arial" w:hAnsi="Arial" w:cs="Arial"/>
          <w:szCs w:val="22"/>
        </w:rPr>
        <w:t>would like to point out</w:t>
      </w:r>
      <w:r w:rsidRPr="004E6F35">
        <w:rPr>
          <w:rFonts w:ascii="Arial" w:hAnsi="Arial" w:cs="Arial"/>
          <w:szCs w:val="22"/>
        </w:rPr>
        <w:t xml:space="preserve"> that </w:t>
      </w:r>
      <w:r w:rsidRPr="00172616">
        <w:rPr>
          <w:rFonts w:ascii="Arial" w:hAnsi="Arial" w:cs="Arial"/>
          <w:szCs w:val="22"/>
        </w:rPr>
        <w:t xml:space="preserve">a cost benefit-analysis with respect to ESMA’s proposals has not been made yet </w:t>
      </w:r>
      <w:r>
        <w:rPr>
          <w:rFonts w:ascii="Arial" w:hAnsi="Arial" w:cs="Arial"/>
          <w:szCs w:val="22"/>
        </w:rPr>
        <w:t xml:space="preserve">and </w:t>
      </w:r>
      <w:r w:rsidRPr="004E6F35">
        <w:rPr>
          <w:rFonts w:ascii="Arial" w:hAnsi="Arial" w:cs="Arial"/>
          <w:szCs w:val="22"/>
        </w:rPr>
        <w:t>Annex A of the C</w:t>
      </w:r>
      <w:r>
        <w:rPr>
          <w:rFonts w:ascii="Arial" w:hAnsi="Arial" w:cs="Arial"/>
          <w:szCs w:val="22"/>
        </w:rPr>
        <w:t xml:space="preserve">onsultation </w:t>
      </w:r>
      <w:r w:rsidRPr="004E6F35">
        <w:rPr>
          <w:rFonts w:ascii="Arial" w:hAnsi="Arial" w:cs="Arial"/>
          <w:szCs w:val="22"/>
        </w:rPr>
        <w:t>P</w:t>
      </w:r>
      <w:r>
        <w:rPr>
          <w:rFonts w:ascii="Arial" w:hAnsi="Arial" w:cs="Arial"/>
          <w:szCs w:val="22"/>
        </w:rPr>
        <w:t>aper is devoid</w:t>
      </w:r>
      <w:r w:rsidRPr="004E6F35">
        <w:rPr>
          <w:rFonts w:ascii="Arial" w:hAnsi="Arial" w:cs="Arial"/>
          <w:szCs w:val="22"/>
        </w:rPr>
        <w:t xml:space="preserve"> </w:t>
      </w:r>
      <w:r>
        <w:rPr>
          <w:rFonts w:ascii="Arial" w:hAnsi="Arial" w:cs="Arial"/>
          <w:szCs w:val="22"/>
        </w:rPr>
        <w:t>of</w:t>
      </w:r>
      <w:r w:rsidRPr="004E6F35">
        <w:rPr>
          <w:rFonts w:ascii="Arial" w:hAnsi="Arial" w:cs="Arial"/>
          <w:szCs w:val="22"/>
        </w:rPr>
        <w:t xml:space="preserve"> a cost-benefit analysis </w:t>
      </w:r>
      <w:r>
        <w:rPr>
          <w:rFonts w:ascii="Arial" w:hAnsi="Arial" w:cs="Arial"/>
          <w:szCs w:val="22"/>
        </w:rPr>
        <w:t>as regards</w:t>
      </w:r>
      <w:r w:rsidRPr="004E6F35">
        <w:rPr>
          <w:rFonts w:ascii="Arial" w:hAnsi="Arial" w:cs="Arial"/>
          <w:szCs w:val="22"/>
        </w:rPr>
        <w:t xml:space="preserve"> the requirements of the </w:t>
      </w:r>
      <w:r>
        <w:rPr>
          <w:rFonts w:ascii="Arial" w:hAnsi="Arial" w:cs="Arial"/>
          <w:szCs w:val="22"/>
        </w:rPr>
        <w:t xml:space="preserve">Draft </w:t>
      </w:r>
      <w:r w:rsidRPr="004E6F35">
        <w:rPr>
          <w:rFonts w:ascii="Arial" w:hAnsi="Arial" w:cs="Arial"/>
          <w:szCs w:val="22"/>
        </w:rPr>
        <w:t>RTS</w:t>
      </w:r>
      <w:r>
        <w:rPr>
          <w:rFonts w:ascii="Arial" w:hAnsi="Arial" w:cs="Arial"/>
          <w:szCs w:val="22"/>
        </w:rPr>
        <w:t xml:space="preserve"> 38</w:t>
      </w:r>
      <w:r w:rsidRPr="004E6F35">
        <w:rPr>
          <w:rFonts w:ascii="Arial" w:hAnsi="Arial" w:cs="Arial"/>
          <w:szCs w:val="22"/>
        </w:rPr>
        <w:t xml:space="preserve">. </w:t>
      </w:r>
      <w:r>
        <w:rPr>
          <w:rFonts w:ascii="Arial" w:hAnsi="Arial" w:cs="Arial"/>
          <w:szCs w:val="22"/>
        </w:rPr>
        <w:t xml:space="preserve">The </w:t>
      </w:r>
      <w:r w:rsidRPr="004E6F35">
        <w:rPr>
          <w:rFonts w:ascii="Arial" w:hAnsi="Arial" w:cs="Arial"/>
          <w:szCs w:val="22"/>
        </w:rPr>
        <w:t>obligations</w:t>
      </w:r>
      <w:r>
        <w:rPr>
          <w:rFonts w:ascii="Arial" w:hAnsi="Arial" w:cs="Arial"/>
          <w:szCs w:val="22"/>
        </w:rPr>
        <w:t xml:space="preserve"> proposed in the Draft RTS 38</w:t>
      </w:r>
      <w:r w:rsidRPr="004E6F35">
        <w:rPr>
          <w:rFonts w:ascii="Arial" w:hAnsi="Arial" w:cs="Arial"/>
          <w:szCs w:val="22"/>
        </w:rPr>
        <w:t xml:space="preserve"> on CCPs, clearing members, clients and</w:t>
      </w:r>
      <w:r>
        <w:rPr>
          <w:rFonts w:ascii="Arial" w:hAnsi="Arial" w:cs="Arial"/>
          <w:szCs w:val="22"/>
        </w:rPr>
        <w:t xml:space="preserve"> indirect clients</w:t>
      </w:r>
      <w:r w:rsidRPr="004E6F35">
        <w:rPr>
          <w:rFonts w:ascii="Arial" w:hAnsi="Arial" w:cs="Arial"/>
          <w:szCs w:val="22"/>
        </w:rPr>
        <w:t xml:space="preserve"> are likely to </w:t>
      </w:r>
      <w:r>
        <w:rPr>
          <w:rFonts w:ascii="Arial" w:hAnsi="Arial" w:cs="Arial"/>
          <w:szCs w:val="22"/>
        </w:rPr>
        <w:t>necessitate</w:t>
      </w:r>
      <w:r w:rsidRPr="004E6F35">
        <w:rPr>
          <w:rFonts w:ascii="Arial" w:hAnsi="Arial" w:cs="Arial"/>
          <w:szCs w:val="22"/>
        </w:rPr>
        <w:t xml:space="preserve"> a number of </w:t>
      </w:r>
      <w:r>
        <w:rPr>
          <w:rFonts w:ascii="Arial" w:hAnsi="Arial" w:cs="Arial"/>
          <w:szCs w:val="22"/>
        </w:rPr>
        <w:t xml:space="preserve">operational </w:t>
      </w:r>
      <w:r w:rsidRPr="004E6F35">
        <w:rPr>
          <w:rFonts w:ascii="Arial" w:hAnsi="Arial" w:cs="Arial"/>
          <w:szCs w:val="22"/>
        </w:rPr>
        <w:t>changes to established ETD market</w:t>
      </w:r>
      <w:r>
        <w:rPr>
          <w:rFonts w:ascii="Arial" w:hAnsi="Arial" w:cs="Arial"/>
          <w:szCs w:val="22"/>
        </w:rPr>
        <w:t xml:space="preserve"> practice</w:t>
      </w:r>
      <w:r w:rsidRPr="004E6F35">
        <w:rPr>
          <w:rFonts w:ascii="Arial" w:hAnsi="Arial" w:cs="Arial"/>
          <w:szCs w:val="22"/>
        </w:rPr>
        <w:t xml:space="preserve">s. </w:t>
      </w:r>
      <w:r w:rsidRPr="00172616">
        <w:rPr>
          <w:rFonts w:ascii="Arial" w:hAnsi="Arial" w:cs="Arial"/>
          <w:szCs w:val="22"/>
        </w:rPr>
        <w:t>We estimate that the costs associated with such changes are not justified, in particular given that the existing market structure, as mentioned above, has worked for decades and does not create any systemic risks</w:t>
      </w:r>
      <w:r>
        <w:rPr>
          <w:rFonts w:ascii="Arial" w:hAnsi="Arial" w:cs="Arial"/>
          <w:szCs w:val="22"/>
        </w:rPr>
        <w:t xml:space="preserve">. </w:t>
      </w:r>
    </w:p>
    <w:permEnd w:id="1469536794"/>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8D24BA" w:rsidRPr="00BC6EE7" w:rsidRDefault="008D24BA" w:rsidP="008D24BA">
      <w:pPr>
        <w:keepNext/>
        <w:rPr>
          <w:rFonts w:ascii="Arial" w:hAnsi="Arial" w:cs="Arial"/>
          <w:szCs w:val="22"/>
        </w:rPr>
      </w:pPr>
      <w:permStart w:id="1366561644" w:edGrp="everyone"/>
      <w:r w:rsidRPr="00300C7F">
        <w:rPr>
          <w:rFonts w:ascii="Arial" w:hAnsi="Arial" w:cs="Arial"/>
          <w:szCs w:val="22"/>
        </w:rPr>
        <w:t xml:space="preserve">No. </w:t>
      </w:r>
      <w:r>
        <w:rPr>
          <w:rFonts w:ascii="Arial" w:hAnsi="Arial" w:cs="Arial"/>
          <w:szCs w:val="22"/>
        </w:rPr>
        <w:t>The</w:t>
      </w:r>
      <w:r w:rsidRPr="00F624E6">
        <w:t xml:space="preserve"> </w:t>
      </w:r>
      <w:r w:rsidRPr="00593E1F">
        <w:rPr>
          <w:rFonts w:ascii="Arial" w:hAnsi="Arial" w:cs="Arial"/>
          <w:szCs w:val="22"/>
        </w:rPr>
        <w:t>National Association of German Cooperative Banks</w:t>
      </w:r>
      <w:r w:rsidRPr="00300C7F">
        <w:rPr>
          <w:rFonts w:ascii="Arial" w:hAnsi="Arial" w:cs="Arial"/>
          <w:szCs w:val="22"/>
        </w:rPr>
        <w:t xml:space="preserve"> doubt</w:t>
      </w:r>
      <w:r>
        <w:rPr>
          <w:rFonts w:ascii="Arial" w:hAnsi="Arial" w:cs="Arial"/>
          <w:szCs w:val="22"/>
        </w:rPr>
        <w:t>s</w:t>
      </w:r>
      <w:r w:rsidRPr="00300C7F">
        <w:rPr>
          <w:rFonts w:ascii="Arial" w:hAnsi="Arial" w:cs="Arial"/>
          <w:szCs w:val="22"/>
        </w:rPr>
        <w:t xml:space="preserve"> that the segregation of positions within one gross account as provided for in Art. 3 of Draft RTS 38 </w:t>
      </w:r>
      <w:r>
        <w:rPr>
          <w:rFonts w:ascii="Arial" w:hAnsi="Arial" w:cs="Arial"/>
          <w:szCs w:val="22"/>
        </w:rPr>
        <w:t xml:space="preserve">will </w:t>
      </w:r>
      <w:r w:rsidRPr="00300C7F">
        <w:rPr>
          <w:rFonts w:ascii="Arial" w:hAnsi="Arial" w:cs="Arial"/>
          <w:szCs w:val="22"/>
        </w:rPr>
        <w:t xml:space="preserve">achieve the same </w:t>
      </w:r>
      <w:r>
        <w:rPr>
          <w:rFonts w:ascii="Arial" w:hAnsi="Arial" w:cs="Arial"/>
          <w:szCs w:val="22"/>
        </w:rPr>
        <w:t xml:space="preserve">level of </w:t>
      </w:r>
      <w:r w:rsidRPr="00300C7F">
        <w:rPr>
          <w:rFonts w:ascii="Arial" w:hAnsi="Arial" w:cs="Arial"/>
          <w:szCs w:val="22"/>
        </w:rPr>
        <w:t>protection as the full segregation of accounts as provided for under EMIR. In case an indirect client fails to provide sufficient collateral</w:t>
      </w:r>
      <w:r>
        <w:rPr>
          <w:rFonts w:ascii="Arial" w:hAnsi="Arial" w:cs="Arial"/>
          <w:szCs w:val="22"/>
        </w:rPr>
        <w:t xml:space="preserve">, </w:t>
      </w:r>
      <w:r w:rsidRPr="00300C7F">
        <w:rPr>
          <w:rFonts w:ascii="Arial" w:hAnsi="Arial" w:cs="Arial"/>
          <w:szCs w:val="22"/>
        </w:rPr>
        <w:t xml:space="preserve">the CCP will use any </w:t>
      </w:r>
      <w:r>
        <w:rPr>
          <w:rFonts w:ascii="Arial" w:hAnsi="Arial" w:cs="Arial"/>
          <w:szCs w:val="22"/>
        </w:rPr>
        <w:t>charged assets</w:t>
      </w:r>
      <w:r w:rsidRPr="00300C7F">
        <w:rPr>
          <w:rFonts w:ascii="Arial" w:hAnsi="Arial" w:cs="Arial"/>
          <w:szCs w:val="22"/>
        </w:rPr>
        <w:t xml:space="preserve"> contained in the gross account in order to </w:t>
      </w:r>
      <w:r>
        <w:rPr>
          <w:rFonts w:ascii="Arial" w:hAnsi="Arial" w:cs="Arial"/>
          <w:szCs w:val="22"/>
        </w:rPr>
        <w:t>collateralise</w:t>
      </w:r>
      <w:r w:rsidRPr="00300C7F">
        <w:rPr>
          <w:rFonts w:ascii="Arial" w:hAnsi="Arial" w:cs="Arial"/>
          <w:szCs w:val="22"/>
        </w:rPr>
        <w:t xml:space="preserve"> its positions, irrespective of which indirect client actually provided the collateral.</w:t>
      </w:r>
    </w:p>
    <w:permEnd w:id="1366561644"/>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7BA" w:rsidRDefault="004147BA" w:rsidP="007E7997">
      <w:pPr>
        <w:spacing w:line="240" w:lineRule="auto"/>
      </w:pPr>
      <w:r>
        <w:separator/>
      </w:r>
    </w:p>
  </w:endnote>
  <w:endnote w:type="continuationSeparator" w:id="0">
    <w:p w:rsidR="004147BA" w:rsidRDefault="004147BA"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BA" w:rsidRDefault="004147BA">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4147BA" w:rsidRDefault="004147BA" w:rsidP="00375BA2">
        <w:pPr>
          <w:pStyle w:val="Fuzeile"/>
          <w:jc w:val="right"/>
        </w:pPr>
        <w:r>
          <w:fldChar w:fldCharType="begin"/>
        </w:r>
        <w:r>
          <w:instrText xml:space="preserve"> PAGE   \* MERGEFORMAT </w:instrText>
        </w:r>
        <w:r>
          <w:fldChar w:fldCharType="separate"/>
        </w:r>
        <w:r w:rsidR="008F4320">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7BA" w:rsidRDefault="004147BA" w:rsidP="007E7997">
      <w:pPr>
        <w:spacing w:line="240" w:lineRule="auto"/>
      </w:pPr>
      <w:r>
        <w:separator/>
      </w:r>
    </w:p>
  </w:footnote>
  <w:footnote w:type="continuationSeparator" w:id="0">
    <w:p w:rsidR="004147BA" w:rsidRDefault="004147BA" w:rsidP="007E7997">
      <w:pPr>
        <w:spacing w:line="240" w:lineRule="auto"/>
      </w:pPr>
      <w:r>
        <w:continuationSeparator/>
      </w:r>
    </w:p>
  </w:footnote>
  <w:footnote w:id="1">
    <w:p w:rsidR="004147BA" w:rsidRPr="00AA7A30" w:rsidRDefault="004147BA"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BA" w:rsidRDefault="004147BA">
    <w:pPr>
      <w:pStyle w:val="Kopfzeile"/>
    </w:pPr>
    <w:r>
      <w:rPr>
        <w:noProof/>
        <w:lang w:val="de-DE" w:eastAsia="de-DE"/>
      </w:rPr>
      <w:drawing>
        <wp:anchor distT="0" distB="0" distL="114300" distR="114300" simplePos="0" relativeHeight="251661312" behindDoc="0" locked="0" layoutInCell="1" allowOverlap="1" wp14:anchorId="790CF50B" wp14:editId="012199CA">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0115985A" wp14:editId="3482707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BA" w:rsidRDefault="004147BA" w:rsidP="00B50534">
    <w:pPr>
      <w:pStyle w:val="Kopfzeile"/>
      <w:jc w:val="right"/>
      <w:rPr>
        <w:b/>
        <w:color w:val="FF0000"/>
      </w:rPr>
    </w:pPr>
  </w:p>
  <w:p w:rsidR="004147BA" w:rsidRDefault="004147BA"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72576" behindDoc="0" locked="0" layoutInCell="1" allowOverlap="1" wp14:anchorId="0B224ECE" wp14:editId="3E35E26E">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F6B3FB"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4147BA" w:rsidRPr="00B50534" w:rsidRDefault="004147BA"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14:anchorId="343C70E3" wp14:editId="0DC38B3C">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CF1221B"/>
    <w:multiLevelType w:val="hybridMultilevel"/>
    <w:tmpl w:val="CEC01FD0"/>
    <w:lvl w:ilvl="0" w:tplc="D38AF2E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DC96314"/>
    <w:multiLevelType w:val="hybridMultilevel"/>
    <w:tmpl w:val="80246D1E"/>
    <w:lvl w:ilvl="0" w:tplc="6EC88F1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61471AC2"/>
    <w:multiLevelType w:val="hybridMultilevel"/>
    <w:tmpl w:val="BC081F6E"/>
    <w:lvl w:ilvl="0" w:tplc="21063EEC">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62FA5A6D"/>
    <w:multiLevelType w:val="hybridMultilevel"/>
    <w:tmpl w:val="8C784834"/>
    <w:lvl w:ilvl="0" w:tplc="79F04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8"/>
  </w:num>
  <w:num w:numId="4">
    <w:abstractNumId w:val="6"/>
  </w:num>
  <w:num w:numId="5">
    <w:abstractNumId w:val="16"/>
  </w:num>
  <w:num w:numId="6">
    <w:abstractNumId w:val="10"/>
  </w:num>
  <w:num w:numId="7">
    <w:abstractNumId w:val="0"/>
  </w:num>
  <w:num w:numId="8">
    <w:abstractNumId w:val="7"/>
  </w:num>
  <w:num w:numId="9">
    <w:abstractNumId w:val="4"/>
  </w:num>
  <w:num w:numId="10">
    <w:abstractNumId w:val="2"/>
  </w:num>
  <w:num w:numId="11">
    <w:abstractNumId w:val="17"/>
  </w:num>
  <w:num w:numId="12">
    <w:abstractNumId w:val="8"/>
  </w:num>
  <w:num w:numId="13">
    <w:abstractNumId w:val="19"/>
  </w:num>
  <w:num w:numId="14">
    <w:abstractNumId w:val="11"/>
  </w:num>
  <w:num w:numId="15">
    <w:abstractNumId w:val="13"/>
  </w:num>
  <w:num w:numId="16">
    <w:abstractNumId w:val="1"/>
  </w:num>
  <w:num w:numId="17">
    <w:abstractNumId w:val="22"/>
  </w:num>
  <w:num w:numId="18">
    <w:abstractNumId w:val="3"/>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147F2"/>
    <w:rsid w:val="00020300"/>
    <w:rsid w:val="000372BF"/>
    <w:rsid w:val="00044C5A"/>
    <w:rsid w:val="00047A15"/>
    <w:rsid w:val="0005509E"/>
    <w:rsid w:val="000632C2"/>
    <w:rsid w:val="0006528D"/>
    <w:rsid w:val="000801C5"/>
    <w:rsid w:val="00090FEF"/>
    <w:rsid w:val="000932BC"/>
    <w:rsid w:val="00097C9A"/>
    <w:rsid w:val="000A3D10"/>
    <w:rsid w:val="000B5D3D"/>
    <w:rsid w:val="000C0CE0"/>
    <w:rsid w:val="000D1038"/>
    <w:rsid w:val="000D72CB"/>
    <w:rsid w:val="000D79C7"/>
    <w:rsid w:val="0010210C"/>
    <w:rsid w:val="0010299D"/>
    <w:rsid w:val="00102E22"/>
    <w:rsid w:val="001138F7"/>
    <w:rsid w:val="00127F6F"/>
    <w:rsid w:val="00130EF9"/>
    <w:rsid w:val="001319C7"/>
    <w:rsid w:val="00136584"/>
    <w:rsid w:val="00144AAD"/>
    <w:rsid w:val="00157134"/>
    <w:rsid w:val="0017613C"/>
    <w:rsid w:val="00182E6D"/>
    <w:rsid w:val="00192A12"/>
    <w:rsid w:val="001B02E1"/>
    <w:rsid w:val="001B2151"/>
    <w:rsid w:val="001B3CFF"/>
    <w:rsid w:val="001B4996"/>
    <w:rsid w:val="001C0796"/>
    <w:rsid w:val="001D47A5"/>
    <w:rsid w:val="001F3D9D"/>
    <w:rsid w:val="002369BF"/>
    <w:rsid w:val="002574D1"/>
    <w:rsid w:val="00287C8F"/>
    <w:rsid w:val="00296EA1"/>
    <w:rsid w:val="002E1C11"/>
    <w:rsid w:val="00314117"/>
    <w:rsid w:val="00317EDF"/>
    <w:rsid w:val="003279E7"/>
    <w:rsid w:val="0033324D"/>
    <w:rsid w:val="003454ED"/>
    <w:rsid w:val="003559A5"/>
    <w:rsid w:val="00362826"/>
    <w:rsid w:val="003646DC"/>
    <w:rsid w:val="00366D42"/>
    <w:rsid w:val="00374637"/>
    <w:rsid w:val="00375BA2"/>
    <w:rsid w:val="0038331A"/>
    <w:rsid w:val="00395D3E"/>
    <w:rsid w:val="003C4EB5"/>
    <w:rsid w:val="003E52B4"/>
    <w:rsid w:val="003E72AF"/>
    <w:rsid w:val="003F39B1"/>
    <w:rsid w:val="003F458B"/>
    <w:rsid w:val="004009CF"/>
    <w:rsid w:val="00404C19"/>
    <w:rsid w:val="004147BA"/>
    <w:rsid w:val="00414FB5"/>
    <w:rsid w:val="004225CD"/>
    <w:rsid w:val="00427703"/>
    <w:rsid w:val="00432167"/>
    <w:rsid w:val="00435FE9"/>
    <w:rsid w:val="00445696"/>
    <w:rsid w:val="00452260"/>
    <w:rsid w:val="00455213"/>
    <w:rsid w:val="0048406D"/>
    <w:rsid w:val="00484BC5"/>
    <w:rsid w:val="00486D05"/>
    <w:rsid w:val="00487944"/>
    <w:rsid w:val="004F14ED"/>
    <w:rsid w:val="004F5048"/>
    <w:rsid w:val="00526E5D"/>
    <w:rsid w:val="005314DD"/>
    <w:rsid w:val="00535E5A"/>
    <w:rsid w:val="005554C1"/>
    <w:rsid w:val="005636AA"/>
    <w:rsid w:val="00565193"/>
    <w:rsid w:val="005778E5"/>
    <w:rsid w:val="0057799E"/>
    <w:rsid w:val="00577C33"/>
    <w:rsid w:val="0059228C"/>
    <w:rsid w:val="0059703C"/>
    <w:rsid w:val="00597A88"/>
    <w:rsid w:val="005A04A9"/>
    <w:rsid w:val="005B59DD"/>
    <w:rsid w:val="005B6B12"/>
    <w:rsid w:val="005D2DE7"/>
    <w:rsid w:val="005E39D9"/>
    <w:rsid w:val="005E7969"/>
    <w:rsid w:val="006125A6"/>
    <w:rsid w:val="00617B5B"/>
    <w:rsid w:val="0063565E"/>
    <w:rsid w:val="00636E02"/>
    <w:rsid w:val="00642297"/>
    <w:rsid w:val="00644A34"/>
    <w:rsid w:val="00662882"/>
    <w:rsid w:val="00665A7C"/>
    <w:rsid w:val="00671363"/>
    <w:rsid w:val="00671E3F"/>
    <w:rsid w:val="006911B1"/>
    <w:rsid w:val="006953B7"/>
    <w:rsid w:val="006A58C8"/>
    <w:rsid w:val="006A7A10"/>
    <w:rsid w:val="006B0DA4"/>
    <w:rsid w:val="006B1B6B"/>
    <w:rsid w:val="006B3E82"/>
    <w:rsid w:val="006D1442"/>
    <w:rsid w:val="006D48A6"/>
    <w:rsid w:val="006D4A40"/>
    <w:rsid w:val="006E090B"/>
    <w:rsid w:val="006F4FF4"/>
    <w:rsid w:val="006F53E8"/>
    <w:rsid w:val="00706072"/>
    <w:rsid w:val="00732F58"/>
    <w:rsid w:val="00754B57"/>
    <w:rsid w:val="00770A1A"/>
    <w:rsid w:val="00772FB6"/>
    <w:rsid w:val="00780468"/>
    <w:rsid w:val="00797E0C"/>
    <w:rsid w:val="007A0CCB"/>
    <w:rsid w:val="007A101D"/>
    <w:rsid w:val="007B08A9"/>
    <w:rsid w:val="007B4BB8"/>
    <w:rsid w:val="007C46C9"/>
    <w:rsid w:val="007D60C5"/>
    <w:rsid w:val="007E7997"/>
    <w:rsid w:val="007F56DD"/>
    <w:rsid w:val="00803936"/>
    <w:rsid w:val="00805D6A"/>
    <w:rsid w:val="00811187"/>
    <w:rsid w:val="00820BE2"/>
    <w:rsid w:val="00830D00"/>
    <w:rsid w:val="00832D64"/>
    <w:rsid w:val="00841051"/>
    <w:rsid w:val="00846692"/>
    <w:rsid w:val="00853B3E"/>
    <w:rsid w:val="00865752"/>
    <w:rsid w:val="00867DB2"/>
    <w:rsid w:val="008777DF"/>
    <w:rsid w:val="00883A10"/>
    <w:rsid w:val="00885B0D"/>
    <w:rsid w:val="0089075A"/>
    <w:rsid w:val="008B58FD"/>
    <w:rsid w:val="008C11C8"/>
    <w:rsid w:val="008C767A"/>
    <w:rsid w:val="008D24BA"/>
    <w:rsid w:val="008D5C28"/>
    <w:rsid w:val="008E6039"/>
    <w:rsid w:val="008F4320"/>
    <w:rsid w:val="0091165B"/>
    <w:rsid w:val="009243C8"/>
    <w:rsid w:val="0092491B"/>
    <w:rsid w:val="0092576F"/>
    <w:rsid w:val="00940EFD"/>
    <w:rsid w:val="009663D9"/>
    <w:rsid w:val="00981417"/>
    <w:rsid w:val="0099526D"/>
    <w:rsid w:val="009C7694"/>
    <w:rsid w:val="009D7294"/>
    <w:rsid w:val="009E5107"/>
    <w:rsid w:val="009F6F6F"/>
    <w:rsid w:val="00A026A4"/>
    <w:rsid w:val="00A14DF0"/>
    <w:rsid w:val="00A1655A"/>
    <w:rsid w:val="00A410CC"/>
    <w:rsid w:val="00A42B43"/>
    <w:rsid w:val="00A501F5"/>
    <w:rsid w:val="00A53AF0"/>
    <w:rsid w:val="00A71B79"/>
    <w:rsid w:val="00A758B9"/>
    <w:rsid w:val="00A800EF"/>
    <w:rsid w:val="00A910E8"/>
    <w:rsid w:val="00A91D91"/>
    <w:rsid w:val="00AA054E"/>
    <w:rsid w:val="00AA206E"/>
    <w:rsid w:val="00AB7542"/>
    <w:rsid w:val="00AC79E0"/>
    <w:rsid w:val="00AE4FC7"/>
    <w:rsid w:val="00AE6C93"/>
    <w:rsid w:val="00AF3B7F"/>
    <w:rsid w:val="00B04283"/>
    <w:rsid w:val="00B06974"/>
    <w:rsid w:val="00B10656"/>
    <w:rsid w:val="00B11730"/>
    <w:rsid w:val="00B11CA9"/>
    <w:rsid w:val="00B15C0B"/>
    <w:rsid w:val="00B17AF3"/>
    <w:rsid w:val="00B237CE"/>
    <w:rsid w:val="00B27499"/>
    <w:rsid w:val="00B3629E"/>
    <w:rsid w:val="00B40D81"/>
    <w:rsid w:val="00B50534"/>
    <w:rsid w:val="00B52E10"/>
    <w:rsid w:val="00B655D1"/>
    <w:rsid w:val="00B912B8"/>
    <w:rsid w:val="00B91B6E"/>
    <w:rsid w:val="00B944A7"/>
    <w:rsid w:val="00BB449C"/>
    <w:rsid w:val="00BC2561"/>
    <w:rsid w:val="00BC3FD9"/>
    <w:rsid w:val="00BC422A"/>
    <w:rsid w:val="00BE225E"/>
    <w:rsid w:val="00BE5910"/>
    <w:rsid w:val="00BF25CD"/>
    <w:rsid w:val="00C0358F"/>
    <w:rsid w:val="00C035F1"/>
    <w:rsid w:val="00C0696A"/>
    <w:rsid w:val="00C212A5"/>
    <w:rsid w:val="00C76426"/>
    <w:rsid w:val="00C95E79"/>
    <w:rsid w:val="00C978C6"/>
    <w:rsid w:val="00CA7BF5"/>
    <w:rsid w:val="00CB50EF"/>
    <w:rsid w:val="00CB791A"/>
    <w:rsid w:val="00CD47B2"/>
    <w:rsid w:val="00CE20C5"/>
    <w:rsid w:val="00CE49F8"/>
    <w:rsid w:val="00D14F6A"/>
    <w:rsid w:val="00D16D5D"/>
    <w:rsid w:val="00D21136"/>
    <w:rsid w:val="00D22F2F"/>
    <w:rsid w:val="00D23E56"/>
    <w:rsid w:val="00D41C72"/>
    <w:rsid w:val="00D46275"/>
    <w:rsid w:val="00D73338"/>
    <w:rsid w:val="00D73D1A"/>
    <w:rsid w:val="00D74445"/>
    <w:rsid w:val="00D81F0C"/>
    <w:rsid w:val="00D978C6"/>
    <w:rsid w:val="00DA158D"/>
    <w:rsid w:val="00DC647C"/>
    <w:rsid w:val="00DD3288"/>
    <w:rsid w:val="00DD670A"/>
    <w:rsid w:val="00DE776E"/>
    <w:rsid w:val="00DF1ED8"/>
    <w:rsid w:val="00DF3785"/>
    <w:rsid w:val="00E001F8"/>
    <w:rsid w:val="00E1232B"/>
    <w:rsid w:val="00E24D42"/>
    <w:rsid w:val="00E25327"/>
    <w:rsid w:val="00E3456B"/>
    <w:rsid w:val="00E35B68"/>
    <w:rsid w:val="00E434D0"/>
    <w:rsid w:val="00E640E2"/>
    <w:rsid w:val="00E70FF7"/>
    <w:rsid w:val="00E72FC3"/>
    <w:rsid w:val="00E90494"/>
    <w:rsid w:val="00EA2103"/>
    <w:rsid w:val="00EC2C93"/>
    <w:rsid w:val="00EC6BD8"/>
    <w:rsid w:val="00ED74D7"/>
    <w:rsid w:val="00EF667D"/>
    <w:rsid w:val="00F1219C"/>
    <w:rsid w:val="00F226E0"/>
    <w:rsid w:val="00F26174"/>
    <w:rsid w:val="00F401BC"/>
    <w:rsid w:val="00F40B44"/>
    <w:rsid w:val="00F462BB"/>
    <w:rsid w:val="00F53CBE"/>
    <w:rsid w:val="00F5412D"/>
    <w:rsid w:val="00F67EBD"/>
    <w:rsid w:val="00F67FBA"/>
    <w:rsid w:val="00F80FAB"/>
    <w:rsid w:val="00F9581B"/>
    <w:rsid w:val="00FB24ED"/>
    <w:rsid w:val="00FC6BD5"/>
    <w:rsid w:val="00FE0BD8"/>
    <w:rsid w:val="00FF3C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FC6BD5"/>
    <w:pPr>
      <w:keepNext/>
      <w:numPr>
        <w:numId w:val="32"/>
      </w:numPr>
      <w:spacing w:after="160" w:line="259" w:lineRule="auto"/>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itternetztabelle4Akzent11">
    <w:name w:val="Gitternetztabelle 4 – Akz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Kommentarzeichen">
    <w:name w:val="annotation reference"/>
    <w:basedOn w:val="Absatz-Standardschriftart"/>
    <w:uiPriority w:val="99"/>
    <w:semiHidden/>
    <w:unhideWhenUsed/>
    <w:rsid w:val="005A04A9"/>
    <w:rPr>
      <w:sz w:val="16"/>
      <w:szCs w:val="16"/>
    </w:rPr>
  </w:style>
  <w:style w:type="paragraph" w:styleId="Kommentartext">
    <w:name w:val="annotation text"/>
    <w:basedOn w:val="Standard"/>
    <w:link w:val="KommentartextZchn"/>
    <w:uiPriority w:val="99"/>
    <w:semiHidden/>
    <w:unhideWhenUsed/>
    <w:rsid w:val="005A04A9"/>
    <w:pPr>
      <w:spacing w:line="240" w:lineRule="auto"/>
    </w:pPr>
    <w:rPr>
      <w:sz w:val="20"/>
    </w:rPr>
  </w:style>
  <w:style w:type="character" w:customStyle="1" w:styleId="KommentartextZchn">
    <w:name w:val="Kommentartext Zchn"/>
    <w:basedOn w:val="Absatz-Standardschriftart"/>
    <w:link w:val="Kommentartext"/>
    <w:uiPriority w:val="99"/>
    <w:semiHidden/>
    <w:rsid w:val="005A04A9"/>
    <w:rPr>
      <w:lang w:val="en-GB"/>
    </w:rPr>
  </w:style>
  <w:style w:type="paragraph" w:customStyle="1" w:styleId="Flietext">
    <w:name w:val="Fließtext"/>
    <w:basedOn w:val="Standard"/>
    <w:rsid w:val="00BC3FD9"/>
    <w:pPr>
      <w:spacing w:line="280" w:lineRule="exact"/>
      <w:jc w:val="left"/>
    </w:pPr>
    <w:rPr>
      <w:rFonts w:ascii="Verdana" w:eastAsia="Times New Roman" w:hAnsi="Verdana" w:cs="Times New Roman"/>
      <w:color w:val="000000"/>
      <w:sz w:val="18"/>
      <w:szCs w:val="24"/>
      <w:lang w:val="de-DE" w:eastAsia="de-DE"/>
    </w:rPr>
  </w:style>
  <w:style w:type="paragraph" w:styleId="Kommentarthema">
    <w:name w:val="annotation subject"/>
    <w:basedOn w:val="Kommentartext"/>
    <w:next w:val="Kommentartext"/>
    <w:link w:val="KommentarthemaZchn"/>
    <w:uiPriority w:val="99"/>
    <w:semiHidden/>
    <w:unhideWhenUsed/>
    <w:rsid w:val="00BC3FD9"/>
    <w:rPr>
      <w:b/>
      <w:bCs/>
    </w:rPr>
  </w:style>
  <w:style w:type="character" w:customStyle="1" w:styleId="KommentarthemaZchn">
    <w:name w:val="Kommentarthema Zchn"/>
    <w:basedOn w:val="KommentartextZchn"/>
    <w:link w:val="Kommentarthema"/>
    <w:uiPriority w:val="99"/>
    <w:semiHidden/>
    <w:rsid w:val="00BC3FD9"/>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FC6BD5"/>
    <w:pPr>
      <w:keepNext/>
      <w:numPr>
        <w:numId w:val="32"/>
      </w:numPr>
      <w:spacing w:after="160" w:line="259" w:lineRule="auto"/>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itternetztabelle4Akzent11">
    <w:name w:val="Gitternetztabelle 4 – Akz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Kommentarzeichen">
    <w:name w:val="annotation reference"/>
    <w:basedOn w:val="Absatz-Standardschriftart"/>
    <w:uiPriority w:val="99"/>
    <w:semiHidden/>
    <w:unhideWhenUsed/>
    <w:rsid w:val="005A04A9"/>
    <w:rPr>
      <w:sz w:val="16"/>
      <w:szCs w:val="16"/>
    </w:rPr>
  </w:style>
  <w:style w:type="paragraph" w:styleId="Kommentartext">
    <w:name w:val="annotation text"/>
    <w:basedOn w:val="Standard"/>
    <w:link w:val="KommentartextZchn"/>
    <w:uiPriority w:val="99"/>
    <w:semiHidden/>
    <w:unhideWhenUsed/>
    <w:rsid w:val="005A04A9"/>
    <w:pPr>
      <w:spacing w:line="240" w:lineRule="auto"/>
    </w:pPr>
    <w:rPr>
      <w:sz w:val="20"/>
    </w:rPr>
  </w:style>
  <w:style w:type="character" w:customStyle="1" w:styleId="KommentartextZchn">
    <w:name w:val="Kommentartext Zchn"/>
    <w:basedOn w:val="Absatz-Standardschriftart"/>
    <w:link w:val="Kommentartext"/>
    <w:uiPriority w:val="99"/>
    <w:semiHidden/>
    <w:rsid w:val="005A04A9"/>
    <w:rPr>
      <w:lang w:val="en-GB"/>
    </w:rPr>
  </w:style>
  <w:style w:type="paragraph" w:customStyle="1" w:styleId="Flietext">
    <w:name w:val="Fließtext"/>
    <w:basedOn w:val="Standard"/>
    <w:rsid w:val="00BC3FD9"/>
    <w:pPr>
      <w:spacing w:line="280" w:lineRule="exact"/>
      <w:jc w:val="left"/>
    </w:pPr>
    <w:rPr>
      <w:rFonts w:ascii="Verdana" w:eastAsia="Times New Roman" w:hAnsi="Verdana" w:cs="Times New Roman"/>
      <w:color w:val="000000"/>
      <w:sz w:val="18"/>
      <w:szCs w:val="24"/>
      <w:lang w:val="de-DE" w:eastAsia="de-DE"/>
    </w:rPr>
  </w:style>
  <w:style w:type="paragraph" w:styleId="Kommentarthema">
    <w:name w:val="annotation subject"/>
    <w:basedOn w:val="Kommentartext"/>
    <w:next w:val="Kommentartext"/>
    <w:link w:val="KommentarthemaZchn"/>
    <w:uiPriority w:val="99"/>
    <w:semiHidden/>
    <w:unhideWhenUsed/>
    <w:rsid w:val="00BC3FD9"/>
    <w:rPr>
      <w:b/>
      <w:bCs/>
    </w:rPr>
  </w:style>
  <w:style w:type="character" w:customStyle="1" w:styleId="KommentarthemaZchn">
    <w:name w:val="Kommentarthema Zchn"/>
    <w:basedOn w:val="KommentartextZchn"/>
    <w:link w:val="Kommentarthema"/>
    <w:uiPriority w:val="99"/>
    <w:semiHidden/>
    <w:rsid w:val="00BC3FD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BE9B2-C846-4634-9963-27A245F6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18</Pages>
  <Words>23147</Words>
  <Characters>145828</Characters>
  <Application>Microsoft Office Word</Application>
  <DocSecurity>8</DocSecurity>
  <Lines>1215</Lines>
  <Paragraphs>337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NN</Company>
  <LinksUpToDate>false</LinksUpToDate>
  <CharactersWithSpaces>168638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Sta</cp:lastModifiedBy>
  <cp:revision>2</cp:revision>
  <cp:lastPrinted>2015-03-02T15:17:00Z</cp:lastPrinted>
  <dcterms:created xsi:type="dcterms:W3CDTF">2015-03-02T15:31:00Z</dcterms:created>
  <dcterms:modified xsi:type="dcterms:W3CDTF">2015-03-02T15:31:00Z</dcterms:modified>
</cp:coreProperties>
</file>