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4F15C0"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tc>
          <w:tcPr>
            <w:tcW w:w="5595" w:type="dxa"/>
            <w:shd w:val="clear" w:color="auto" w:fill="auto"/>
          </w:tcPr>
          <w:p w:rsidR="000632C2" w:rsidRPr="00AB6D88" w:rsidRDefault="00E82D56" w:rsidP="00E82D56">
            <w:pPr>
              <w:rPr>
                <w:rStyle w:val="Platzhaltertext"/>
                <w:rFonts w:ascii="Arial" w:hAnsi="Arial" w:cs="Arial"/>
              </w:rPr>
            </w:pPr>
            <w:permStart w:id="1" w:edGrp="everyone"/>
            <w:r>
              <w:rPr>
                <w:lang w:val="de-DE"/>
              </w:rPr>
              <w:t>Bayerngas GmbH</w:t>
            </w:r>
            <w:permEnd w:id="1"/>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sdt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4F15C0"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E759A5">
                  <w:rPr>
                    <w:rFonts w:ascii="Arial" w:hAnsi="Arial" w:cs="Arial"/>
                  </w:rPr>
                  <w:t>Non-financial counterparty</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E759A5" w:rsidP="009E5107">
                <w:pPr>
                  <w:rPr>
                    <w:rFonts w:ascii="Arial" w:hAnsi="Arial" w:cs="Arial"/>
                  </w:rPr>
                </w:pPr>
                <w:r>
                  <w:rPr>
                    <w:rFonts w:ascii="Arial" w:hAnsi="Arial" w:cs="Arial"/>
                  </w:rPr>
                  <w:t>Germany</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E759A5" w:rsidRPr="006648D3" w:rsidRDefault="00E82D56" w:rsidP="00E759A5">
      <w:pPr>
        <w:spacing w:after="200"/>
        <w:rPr>
          <w:color w:val="000000"/>
          <w:lang w:val="en-US"/>
        </w:rPr>
      </w:pPr>
      <w:permStart w:id="9" w:edGrp="everyone"/>
      <w:r>
        <w:rPr>
          <w:color w:val="000000"/>
          <w:lang w:val="en-US"/>
        </w:rPr>
        <w:t>Bayerngas</w:t>
      </w:r>
      <w:r w:rsidR="00E759A5" w:rsidRPr="00D2493A">
        <w:rPr>
          <w:color w:val="000000"/>
          <w:lang w:val="en-US"/>
        </w:rPr>
        <w:t xml:space="preserve"> GmbH </w:t>
      </w:r>
      <w:r w:rsidR="00E759A5">
        <w:rPr>
          <w:b/>
          <w:color w:val="000000"/>
          <w:lang w:val="en-US"/>
        </w:rPr>
        <w:t>is</w:t>
      </w:r>
      <w:r w:rsidR="00E759A5" w:rsidRPr="00D2493A">
        <w:rPr>
          <w:color w:val="000000"/>
          <w:lang w:val="en-US"/>
        </w:rPr>
        <w:t xml:space="preserve"> taking part in this consultation </w:t>
      </w:r>
      <w:r w:rsidR="00E759A5">
        <w:rPr>
          <w:b/>
          <w:color w:val="000000"/>
          <w:lang w:val="en-US"/>
        </w:rPr>
        <w:t>as a local energy company,</w:t>
      </w:r>
      <w:r w:rsidR="00E759A5" w:rsidRPr="00D2493A">
        <w:rPr>
          <w:color w:val="000000"/>
          <w:lang w:val="en-US"/>
        </w:rPr>
        <w:t xml:space="preserve"> which </w:t>
      </w:r>
      <w:r w:rsidR="00E759A5">
        <w:rPr>
          <w:b/>
          <w:color w:val="000000"/>
          <w:lang w:val="en-US"/>
        </w:rPr>
        <w:t>is</w:t>
      </w:r>
      <w:r w:rsidR="00E759A5" w:rsidRPr="00D2493A">
        <w:rPr>
          <w:color w:val="000000"/>
          <w:lang w:val="en-US"/>
        </w:rPr>
        <w:t xml:space="preserve"> affected by the considerable </w:t>
      </w:r>
      <w:r w:rsidR="00E759A5">
        <w:rPr>
          <w:color w:val="000000"/>
          <w:lang w:val="en-US"/>
        </w:rPr>
        <w:t xml:space="preserve">changes of </w:t>
      </w:r>
      <w:proofErr w:type="spellStart"/>
      <w:r w:rsidR="00E759A5">
        <w:rPr>
          <w:color w:val="000000"/>
          <w:lang w:val="en-US"/>
        </w:rPr>
        <w:t>MiFID</w:t>
      </w:r>
      <w:proofErr w:type="spellEnd"/>
      <w:r w:rsidR="00E759A5">
        <w:rPr>
          <w:color w:val="000000"/>
          <w:lang w:val="en-US"/>
        </w:rPr>
        <w:t xml:space="preserve"> II and the associated regulatory framework.</w:t>
      </w:r>
    </w:p>
    <w:p w:rsidR="00E759A5" w:rsidRDefault="00E759A5" w:rsidP="00E759A5">
      <w:pPr>
        <w:pStyle w:val="Default"/>
        <w:spacing w:before="120"/>
        <w:rPr>
          <w:sz w:val="22"/>
          <w:szCs w:val="22"/>
          <w:lang w:val="en-US"/>
        </w:rPr>
      </w:pPr>
      <w:r w:rsidRPr="00AB5A47">
        <w:rPr>
          <w:sz w:val="22"/>
          <w:szCs w:val="22"/>
          <w:lang w:val="en-US"/>
        </w:rPr>
        <w:t>First o</w:t>
      </w:r>
      <w:r>
        <w:rPr>
          <w:sz w:val="22"/>
          <w:szCs w:val="22"/>
          <w:lang w:val="en-US"/>
        </w:rPr>
        <w:t xml:space="preserve">f all, we </w:t>
      </w:r>
      <w:r w:rsidRPr="00AB5A47">
        <w:rPr>
          <w:sz w:val="22"/>
          <w:szCs w:val="22"/>
          <w:lang w:val="en-US"/>
        </w:rPr>
        <w:t xml:space="preserve">would like to welcome the opportunity ESMA offers to market participants to express their opinion on the </w:t>
      </w:r>
      <w:r>
        <w:rPr>
          <w:sz w:val="22"/>
          <w:szCs w:val="22"/>
          <w:lang w:val="en-US"/>
        </w:rPr>
        <w:t>draft regulatory technical standards on commodities and especially on the criteria for establishing when an activity is to be considered to be ancillary to the main business</w:t>
      </w:r>
      <w:r w:rsidRPr="00AB5A47">
        <w:rPr>
          <w:sz w:val="22"/>
          <w:szCs w:val="22"/>
          <w:lang w:val="en-US"/>
        </w:rPr>
        <w:t>.</w:t>
      </w:r>
    </w:p>
    <w:p w:rsidR="00E759A5" w:rsidRPr="00224691" w:rsidRDefault="00E759A5" w:rsidP="00E759A5">
      <w:pPr>
        <w:pStyle w:val="Default"/>
        <w:spacing w:before="120"/>
        <w:rPr>
          <w:b/>
          <w:u w:val="single"/>
          <w:lang w:val="en-US"/>
        </w:rPr>
      </w:pPr>
      <w:proofErr w:type="gramStart"/>
      <w:r>
        <w:rPr>
          <w:b/>
          <w:u w:val="single"/>
          <w:lang w:val="en-US"/>
        </w:rPr>
        <w:t>Combination of exemption Art.</w:t>
      </w:r>
      <w:proofErr w:type="gramEnd"/>
      <w:r>
        <w:rPr>
          <w:b/>
          <w:u w:val="single"/>
          <w:lang w:val="en-US"/>
        </w:rPr>
        <w:t xml:space="preserve"> 2 (1</w:t>
      </w:r>
      <w:proofErr w:type="gramStart"/>
      <w:r>
        <w:rPr>
          <w:b/>
          <w:u w:val="single"/>
          <w:lang w:val="en-US"/>
        </w:rPr>
        <w:t>)d</w:t>
      </w:r>
      <w:proofErr w:type="gramEnd"/>
      <w:r>
        <w:rPr>
          <w:b/>
          <w:u w:val="single"/>
          <w:lang w:val="en-US"/>
        </w:rPr>
        <w:t xml:space="preserve"> and j </w:t>
      </w:r>
    </w:p>
    <w:p w:rsidR="00E759A5" w:rsidRDefault="00E759A5" w:rsidP="00E759A5">
      <w:pPr>
        <w:pStyle w:val="Default"/>
        <w:spacing w:before="120"/>
        <w:rPr>
          <w:sz w:val="22"/>
          <w:szCs w:val="22"/>
          <w:lang w:val="en-US"/>
        </w:rPr>
      </w:pPr>
      <w:r>
        <w:rPr>
          <w:sz w:val="22"/>
          <w:szCs w:val="22"/>
          <w:lang w:val="en-US"/>
        </w:rPr>
        <w:t>At this point and before we continue with the specific questions of the Consultation Paper we would like to draw your attention to a subject, which is of utmost importance for almost all energy companies, especially for the small and medium sized ones.</w:t>
      </w:r>
    </w:p>
    <w:p w:rsidR="00E759A5" w:rsidRDefault="00E759A5" w:rsidP="00E759A5">
      <w:pPr>
        <w:pStyle w:val="Default"/>
        <w:spacing w:before="120"/>
        <w:rPr>
          <w:sz w:val="22"/>
          <w:szCs w:val="22"/>
          <w:lang w:val="en-US"/>
        </w:rPr>
      </w:pPr>
      <w:r>
        <w:rPr>
          <w:sz w:val="22"/>
          <w:szCs w:val="22"/>
          <w:lang w:val="en-US"/>
        </w:rPr>
        <w:t xml:space="preserve">In the energy branch it is common practice that energy companies use regulated markets (i.e. EPEX, </w:t>
      </w:r>
      <w:proofErr w:type="spellStart"/>
      <w:r>
        <w:rPr>
          <w:sz w:val="22"/>
          <w:szCs w:val="22"/>
          <w:lang w:val="en-US"/>
        </w:rPr>
        <w:t>Powernext</w:t>
      </w:r>
      <w:proofErr w:type="spellEnd"/>
      <w:r>
        <w:rPr>
          <w:sz w:val="22"/>
          <w:szCs w:val="22"/>
          <w:lang w:val="en-US"/>
        </w:rPr>
        <w:t xml:space="preserve">, </w:t>
      </w:r>
      <w:proofErr w:type="spellStart"/>
      <w:r>
        <w:rPr>
          <w:sz w:val="22"/>
          <w:szCs w:val="22"/>
          <w:lang w:val="en-US"/>
        </w:rPr>
        <w:t>NordPool</w:t>
      </w:r>
      <w:proofErr w:type="spellEnd"/>
      <w:r>
        <w:rPr>
          <w:sz w:val="22"/>
          <w:szCs w:val="22"/>
          <w:lang w:val="en-US"/>
        </w:rPr>
        <w:t>, etc.) as well as MTFs and other trading venues in order to handle their physical positions and the price risks related to them. Especially for small and medium sized companies, the participation in such markets is of utmost importance, as it guarantees their independence from large players in the energy markets.</w:t>
      </w:r>
    </w:p>
    <w:p w:rsidR="00E759A5" w:rsidRDefault="00E759A5" w:rsidP="00E759A5">
      <w:pPr>
        <w:pStyle w:val="Default"/>
        <w:spacing w:before="120"/>
        <w:rPr>
          <w:sz w:val="22"/>
          <w:szCs w:val="22"/>
          <w:lang w:val="en-US"/>
        </w:rPr>
      </w:pPr>
      <w:r>
        <w:rPr>
          <w:sz w:val="22"/>
          <w:szCs w:val="22"/>
          <w:lang w:val="en-US"/>
        </w:rPr>
        <w:t xml:space="preserve">In regard to the combination of the </w:t>
      </w:r>
      <w:proofErr w:type="spellStart"/>
      <w:r>
        <w:rPr>
          <w:sz w:val="22"/>
          <w:szCs w:val="22"/>
          <w:lang w:val="en-US"/>
        </w:rPr>
        <w:t>MiFID</w:t>
      </w:r>
      <w:proofErr w:type="spellEnd"/>
      <w:r>
        <w:rPr>
          <w:sz w:val="22"/>
          <w:szCs w:val="22"/>
          <w:lang w:val="en-US"/>
        </w:rPr>
        <w:t xml:space="preserve"> II exemptions under Article 2(1</w:t>
      </w:r>
      <w:proofErr w:type="gramStart"/>
      <w:r>
        <w:rPr>
          <w:sz w:val="22"/>
          <w:szCs w:val="22"/>
          <w:lang w:val="en-US"/>
        </w:rPr>
        <w:t>)(</w:t>
      </w:r>
      <w:proofErr w:type="gramEnd"/>
      <w:r>
        <w:rPr>
          <w:sz w:val="22"/>
          <w:szCs w:val="22"/>
          <w:lang w:val="en-US"/>
        </w:rPr>
        <w:t xml:space="preserve">d) and Article 2(1)(j), ESMA expresses the opinion that: </w:t>
      </w:r>
      <w:r w:rsidRPr="00CC24BC">
        <w:rPr>
          <w:i/>
          <w:sz w:val="22"/>
          <w:szCs w:val="22"/>
          <w:lang w:val="en-US"/>
        </w:rPr>
        <w:t>“The differentiation between Article 2(1)(d) and (j) reflects different criteria being applicable to different asset classes.”</w:t>
      </w:r>
    </w:p>
    <w:p w:rsidR="00E759A5" w:rsidRDefault="00E759A5" w:rsidP="00E759A5">
      <w:pPr>
        <w:spacing w:before="120"/>
        <w:rPr>
          <w:rFonts w:eastAsia="Times New Roman"/>
          <w:lang w:val="en-US" w:eastAsia="de-DE"/>
        </w:rPr>
      </w:pPr>
      <w:r>
        <w:rPr>
          <w:lang w:val="en-US"/>
        </w:rPr>
        <w:t>We understand this statement in such a way that energy companies can use the exemption under Article 2(1</w:t>
      </w:r>
      <w:proofErr w:type="gramStart"/>
      <w:r>
        <w:rPr>
          <w:lang w:val="en-US"/>
        </w:rPr>
        <w:t>)(</w:t>
      </w:r>
      <w:proofErr w:type="gramEnd"/>
      <w:r>
        <w:rPr>
          <w:lang w:val="en-US"/>
        </w:rPr>
        <w:t>d) dealing on own account in financial instruments other than comm</w:t>
      </w:r>
      <w:r w:rsidRPr="00ED03D5">
        <w:rPr>
          <w:rFonts w:ascii="Times New Roman" w:eastAsia="Times New Roman" w:hAnsi="Times New Roman" w:cs="Times New Roman"/>
          <w:sz w:val="25"/>
          <w:szCs w:val="25"/>
          <w:lang w:val="en-US" w:eastAsia="de-DE"/>
        </w:rPr>
        <w:t>o</w:t>
      </w:r>
      <w:r w:rsidRPr="00ED03D5">
        <w:rPr>
          <w:rFonts w:eastAsia="Times New Roman"/>
          <w:lang w:val="en-US" w:eastAsia="de-DE"/>
        </w:rPr>
        <w:t xml:space="preserve">dity derivatives or emission allowances or derivatives thereof, as long as they are not members of or participants </w:t>
      </w:r>
      <w:r w:rsidRPr="00656403">
        <w:rPr>
          <w:rFonts w:eastAsia="Times New Roman"/>
          <w:b/>
          <w:lang w:val="en-US" w:eastAsia="de-DE"/>
        </w:rPr>
        <w:t>in a regulated market or an MTF or have direct electronic access to a trading venue for financial instruments other than commodity derivatives or emission allowances or derivatives thereof</w:t>
      </w:r>
      <w:r>
        <w:rPr>
          <w:rFonts w:eastAsia="Times New Roman"/>
          <w:lang w:val="en-US" w:eastAsia="de-DE"/>
        </w:rPr>
        <w:t xml:space="preserve">. The fact that almost all energy companies are members of an energy exchange and/or an MTF or have electronic access to trading venues for trading </w:t>
      </w:r>
      <w:r w:rsidRPr="006A496B">
        <w:rPr>
          <w:rFonts w:eastAsia="Times New Roman"/>
          <w:b/>
          <w:lang w:val="en-US" w:eastAsia="de-DE"/>
        </w:rPr>
        <w:t>ONLY</w:t>
      </w:r>
      <w:r>
        <w:rPr>
          <w:rFonts w:eastAsia="Times New Roman"/>
          <w:lang w:val="en-US" w:eastAsia="de-DE"/>
        </w:rPr>
        <w:t xml:space="preserve"> with commodity derivatives or emission allowances or derivatives thereof does not hinder them to make use of the exemption under Article 2(1)(d).</w:t>
      </w:r>
    </w:p>
    <w:p w:rsidR="00E759A5" w:rsidRDefault="00E759A5" w:rsidP="00E759A5">
      <w:pPr>
        <w:spacing w:before="120"/>
        <w:rPr>
          <w:rFonts w:eastAsia="Times New Roman"/>
          <w:lang w:val="en-US" w:eastAsia="de-DE"/>
        </w:rPr>
      </w:pPr>
      <w:r>
        <w:rPr>
          <w:rFonts w:eastAsia="Times New Roman"/>
          <w:lang w:val="en-US" w:eastAsia="de-DE"/>
        </w:rPr>
        <w:t>This understanding enables energy companies to make use of both the exemption under Article 2(1</w:t>
      </w:r>
      <w:proofErr w:type="gramStart"/>
      <w:r>
        <w:rPr>
          <w:rFonts w:eastAsia="Times New Roman"/>
          <w:lang w:val="en-US" w:eastAsia="de-DE"/>
        </w:rPr>
        <w:t>)(</w:t>
      </w:r>
      <w:proofErr w:type="gramEnd"/>
      <w:r>
        <w:rPr>
          <w:rFonts w:eastAsia="Times New Roman"/>
          <w:lang w:val="en-US" w:eastAsia="de-DE"/>
        </w:rPr>
        <w:t xml:space="preserve">d) to deal on own account </w:t>
      </w:r>
      <w:r>
        <w:rPr>
          <w:lang w:val="en-US"/>
        </w:rPr>
        <w:t>in financial instruments other than comm</w:t>
      </w:r>
      <w:r w:rsidRPr="00ED03D5">
        <w:rPr>
          <w:rFonts w:ascii="Times New Roman" w:eastAsia="Times New Roman" w:hAnsi="Times New Roman" w:cs="Times New Roman"/>
          <w:sz w:val="25"/>
          <w:szCs w:val="25"/>
          <w:lang w:val="en-US" w:eastAsia="de-DE"/>
        </w:rPr>
        <w:t>o</w:t>
      </w:r>
      <w:r w:rsidRPr="00ED03D5">
        <w:rPr>
          <w:rFonts w:eastAsia="Times New Roman"/>
          <w:lang w:val="en-US" w:eastAsia="de-DE"/>
        </w:rPr>
        <w:t xml:space="preserve">dity </w:t>
      </w:r>
      <w:r w:rsidRPr="00ED03D5">
        <w:rPr>
          <w:rFonts w:eastAsia="Times New Roman"/>
          <w:lang w:val="en-US" w:eastAsia="de-DE"/>
        </w:rPr>
        <w:lastRenderedPageBreak/>
        <w:t>derivatives or emission allowances or derivatives thereof</w:t>
      </w:r>
      <w:r>
        <w:rPr>
          <w:rFonts w:eastAsia="Times New Roman"/>
          <w:lang w:val="en-US" w:eastAsia="de-DE"/>
        </w:rPr>
        <w:t xml:space="preserve"> and the exemption under Article 2(1)(j) for the relevant activities in commodity derivatives or emission allowances or derivatives thereof, as long as they fulfill the relevant criteria for this last exemption.</w:t>
      </w:r>
    </w:p>
    <w:p w:rsidR="001D47A5" w:rsidRPr="00E759A5" w:rsidRDefault="00E759A5" w:rsidP="00E759A5">
      <w:pPr>
        <w:spacing w:before="120"/>
        <w:rPr>
          <w:rFonts w:eastAsia="Times New Roman"/>
          <w:lang w:val="en-US" w:eastAsia="de-DE"/>
        </w:rPr>
      </w:pPr>
      <w:r>
        <w:rPr>
          <w:rFonts w:eastAsia="Times New Roman"/>
          <w:lang w:val="en-US" w:eastAsia="de-DE"/>
        </w:rPr>
        <w:t>At this point we would like to point out that it would be helpful for all concerned energy companies, if ESMA would confirm our view on this matter.</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E759A5" w:rsidRDefault="00E759A5" w:rsidP="00E759A5">
      <w:pPr>
        <w:spacing w:before="120"/>
        <w:rPr>
          <w:lang w:val="en-US"/>
        </w:rPr>
      </w:pPr>
      <w:permStart w:id="177" w:edGrp="everyone"/>
      <w:r>
        <w:rPr>
          <w:lang w:val="en-US"/>
        </w:rPr>
        <w:t xml:space="preserve">No, we disagree. Our main point of disagreement refers to ESMA´s view that the breach of just one of the tests (ancillary activity test or trading activity test) would lead companies to fall under the scope of </w:t>
      </w:r>
      <w:proofErr w:type="spellStart"/>
      <w:r>
        <w:rPr>
          <w:lang w:val="en-US"/>
        </w:rPr>
        <w:t>MiFID</w:t>
      </w:r>
      <w:proofErr w:type="spellEnd"/>
      <w:r>
        <w:rPr>
          <w:lang w:val="en-US"/>
        </w:rPr>
        <w:t xml:space="preserve"> II.</w:t>
      </w:r>
    </w:p>
    <w:p w:rsidR="00577C33" w:rsidRDefault="00E759A5" w:rsidP="00E759A5">
      <w:pPr>
        <w:keepNext/>
      </w:pPr>
      <w:r>
        <w:rPr>
          <w:lang w:val="en-US"/>
        </w:rPr>
        <w:t xml:space="preserve">We believe that ESMA´s interpretation is in breach with Article 2.4 of </w:t>
      </w:r>
      <w:proofErr w:type="spellStart"/>
      <w:r>
        <w:rPr>
          <w:lang w:val="en-US"/>
        </w:rPr>
        <w:t>MiFID</w:t>
      </w:r>
      <w:proofErr w:type="spellEnd"/>
      <w:r>
        <w:rPr>
          <w:lang w:val="en-US"/>
        </w:rPr>
        <w:t xml:space="preserve">, which requires to take into account </w:t>
      </w:r>
      <w:r w:rsidRPr="00CC24BC">
        <w:rPr>
          <w:i/>
          <w:lang w:val="en-US"/>
        </w:rPr>
        <w:t>at least</w:t>
      </w:r>
      <w:r>
        <w:rPr>
          <w:lang w:val="en-US"/>
        </w:rPr>
        <w:t xml:space="preserve"> the elements mentioned thereof. Our understanding of this clause is that both the ancillary activity test AND the trading activity test must be breached before a company falls under the scope of </w:t>
      </w:r>
      <w:proofErr w:type="spellStart"/>
      <w:r>
        <w:rPr>
          <w:lang w:val="en-US"/>
        </w:rPr>
        <w:t>MiFID</w:t>
      </w:r>
      <w:proofErr w:type="spellEnd"/>
      <w:r>
        <w:rPr>
          <w:lang w:val="en-US"/>
        </w:rPr>
        <w:t xml:space="preserve"> II.</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E759A5" w:rsidP="00EC2C93">
      <w:pPr>
        <w:keepNext/>
      </w:pPr>
      <w:permStart w:id="178" w:edGrp="everyone"/>
      <w:r>
        <w:rPr>
          <w:bCs/>
          <w:lang w:val="en-US"/>
        </w:rPr>
        <w:t>Yes, we agree.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E759A5" w:rsidP="00EC2C93">
      <w:pPr>
        <w:keepNext/>
      </w:pPr>
      <w:permStart w:id="179" w:edGrp="everyone"/>
      <w:r>
        <w:rPr>
          <w:lang w:val="en-US"/>
        </w:rPr>
        <w:t>Yes, we consider the revised method of calculation for the first test as being appropriate. In particular we welcome that ESMA in this second consultation follows the view of many stakeholders and also of our companies tha</w:t>
      </w:r>
      <w:r w:rsidR="00E82D56">
        <w:rPr>
          <w:lang w:val="en-US"/>
        </w:rPr>
        <w:t>t capital employed for privile</w:t>
      </w:r>
      <w:r>
        <w:rPr>
          <w:lang w:val="en-US"/>
        </w:rPr>
        <w:t>ged activities counts as part of the capital employed for the main activity of the company.</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E759A5" w:rsidRDefault="00E759A5" w:rsidP="00E759A5">
      <w:pPr>
        <w:autoSpaceDE w:val="0"/>
        <w:autoSpaceDN w:val="0"/>
        <w:adjustRightInd w:val="0"/>
        <w:spacing w:before="120"/>
        <w:rPr>
          <w:bCs/>
          <w:lang w:val="en-US"/>
        </w:rPr>
      </w:pPr>
      <w:permStart w:id="180" w:edGrp="everyone"/>
      <w:r>
        <w:rPr>
          <w:bCs/>
          <w:lang w:val="en-US"/>
        </w:rPr>
        <w:t xml:space="preserve">Yes, the trading activity undertaken by a </w:t>
      </w:r>
      <w:proofErr w:type="spellStart"/>
      <w:r>
        <w:rPr>
          <w:bCs/>
          <w:lang w:val="en-US"/>
        </w:rPr>
        <w:t>MiFID</w:t>
      </w:r>
      <w:proofErr w:type="spellEnd"/>
      <w:r>
        <w:rPr>
          <w:bCs/>
          <w:lang w:val="en-US"/>
        </w:rPr>
        <w:t xml:space="preserve"> licensed subsidiary of the group should be deducted for the ancillary activity.</w:t>
      </w:r>
    </w:p>
    <w:p w:rsidR="00577C33" w:rsidRDefault="00E759A5" w:rsidP="00E759A5">
      <w:pPr>
        <w:keepNext/>
      </w:pPr>
      <w:r>
        <w:rPr>
          <w:bCs/>
          <w:lang w:val="en-US"/>
        </w:rPr>
        <w:t xml:space="preserve">Additionally we believe any subsidiary of the group that can make use of any other </w:t>
      </w:r>
      <w:proofErr w:type="spellStart"/>
      <w:r>
        <w:rPr>
          <w:bCs/>
          <w:lang w:val="en-US"/>
        </w:rPr>
        <w:t>MiFID</w:t>
      </w:r>
      <w:proofErr w:type="spellEnd"/>
      <w:r>
        <w:rPr>
          <w:bCs/>
          <w:lang w:val="en-US"/>
        </w:rPr>
        <w:t xml:space="preserve"> II Article 2 exemption in its own right should also be deducted from the numerator. This is valid especially for compliance-buyers of emission allowances which could be exempted under </w:t>
      </w:r>
      <w:r>
        <w:rPr>
          <w:bCs/>
          <w:lang w:val="en-US"/>
        </w:rPr>
        <w:br/>
        <w:t>Article 2(1</w:t>
      </w:r>
      <w:proofErr w:type="gramStart"/>
      <w:r>
        <w:rPr>
          <w:bCs/>
          <w:lang w:val="en-US"/>
        </w:rPr>
        <w:t>)(</w:t>
      </w:r>
      <w:proofErr w:type="gramEnd"/>
      <w:r>
        <w:rPr>
          <w:bCs/>
          <w:lang w:val="en-US"/>
        </w:rPr>
        <w:t>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w:t>
      </w:r>
      <w:r>
        <w:lastRenderedPageBreak/>
        <w:t xml:space="preserve">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759A5">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E759A5" w:rsidRDefault="00E759A5" w:rsidP="00E759A5">
      <w:pPr>
        <w:autoSpaceDE w:val="0"/>
        <w:autoSpaceDN w:val="0"/>
        <w:adjustRightInd w:val="0"/>
        <w:spacing w:before="120"/>
        <w:rPr>
          <w:lang w:val="en-US"/>
        </w:rPr>
      </w:pPr>
      <w:permStart w:id="182" w:edGrp="everyone"/>
      <w:r w:rsidRPr="00E95090">
        <w:rPr>
          <w:lang w:val="en-US"/>
        </w:rPr>
        <w:t>No, we do not consider that a threshold of 5% in relation to</w:t>
      </w:r>
      <w:r>
        <w:rPr>
          <w:lang w:val="en-US"/>
        </w:rPr>
        <w:t xml:space="preserve"> </w:t>
      </w:r>
      <w:r w:rsidRPr="00E95090">
        <w:rPr>
          <w:lang w:val="en-US"/>
        </w:rPr>
        <w:t xml:space="preserve">the first test is appropriate. </w:t>
      </w:r>
      <w:r>
        <w:rPr>
          <w:lang w:val="en-US"/>
        </w:rPr>
        <w:t>We consider this figure as much too low and we believe that ESMA should propose a threshold around 20-25% with the option to reduce this later, if the calculation results of the companies making use of the exemption under Article 2(1</w:t>
      </w:r>
      <w:proofErr w:type="gramStart"/>
      <w:r>
        <w:rPr>
          <w:lang w:val="en-US"/>
        </w:rPr>
        <w:t>)(</w:t>
      </w:r>
      <w:proofErr w:type="gramEnd"/>
      <w:r>
        <w:rPr>
          <w:lang w:val="en-US"/>
        </w:rPr>
        <w:t xml:space="preserve">j) after the implementation of the regulatory standards are a lot lower than this initial figure. </w:t>
      </w:r>
    </w:p>
    <w:p w:rsidR="00E759A5" w:rsidRDefault="00E759A5" w:rsidP="00E759A5">
      <w:pPr>
        <w:autoSpaceDE w:val="0"/>
        <w:autoSpaceDN w:val="0"/>
        <w:adjustRightInd w:val="0"/>
        <w:spacing w:before="120"/>
        <w:rPr>
          <w:lang w:val="en-US"/>
        </w:rPr>
      </w:pPr>
      <w:r w:rsidRPr="00E95090">
        <w:rPr>
          <w:lang w:val="en-US"/>
        </w:rPr>
        <w:t xml:space="preserve">If ESMA insists on such a low figure, there is a substantial risk that a lot of energy companies </w:t>
      </w:r>
      <w:r>
        <w:rPr>
          <w:lang w:val="en-US"/>
        </w:rPr>
        <w:t xml:space="preserve">might fall unintentionally under the scope of </w:t>
      </w:r>
      <w:proofErr w:type="spellStart"/>
      <w:r>
        <w:rPr>
          <w:lang w:val="en-US"/>
        </w:rPr>
        <w:t>MiFID</w:t>
      </w:r>
      <w:proofErr w:type="spellEnd"/>
      <w:r>
        <w:rPr>
          <w:lang w:val="en-US"/>
        </w:rPr>
        <w:t xml:space="preserve"> II. We believe that the initial term justifying commercial firms to be under the scope of license obligation is “</w:t>
      </w:r>
      <w:proofErr w:type="spellStart"/>
      <w:r>
        <w:rPr>
          <w:lang w:val="en-US"/>
        </w:rPr>
        <w:t>stystemic</w:t>
      </w:r>
      <w:proofErr w:type="spellEnd"/>
      <w:r>
        <w:rPr>
          <w:lang w:val="en-US"/>
        </w:rPr>
        <w:t xml:space="preserve"> risk” and therefore ESMA cannot be in favor of an interpretation which leads to supervising a large number of small or medium sized energy companies, just because they breach a figure, which was never tested according to the reality and which at this stage cannot really be tested, as there are large uncertainties about the elements, which should be used in the calculation and especially about the elements, which should be included in the numerator (Capital employed for </w:t>
      </w:r>
      <w:proofErr w:type="spellStart"/>
      <w:r>
        <w:rPr>
          <w:lang w:val="en-US"/>
        </w:rPr>
        <w:t>MiFID</w:t>
      </w:r>
      <w:proofErr w:type="spellEnd"/>
      <w:r>
        <w:rPr>
          <w:lang w:val="en-US"/>
        </w:rPr>
        <w:t xml:space="preserve"> II activity at a group level in the EU).</w:t>
      </w:r>
    </w:p>
    <w:p w:rsidR="00E759A5" w:rsidRDefault="00E759A5" w:rsidP="00E759A5">
      <w:pPr>
        <w:autoSpaceDE w:val="0"/>
        <w:autoSpaceDN w:val="0"/>
        <w:adjustRightInd w:val="0"/>
        <w:spacing w:before="120"/>
        <w:rPr>
          <w:lang w:val="en-US"/>
        </w:rPr>
      </w:pPr>
      <w:r>
        <w:rPr>
          <w:lang w:val="en-US"/>
        </w:rPr>
        <w:t>In several working groups companies</w:t>
      </w:r>
      <w:r w:rsidR="00E82D56">
        <w:rPr>
          <w:lang w:val="en-US"/>
        </w:rPr>
        <w:t xml:space="preserve"> </w:t>
      </w:r>
      <w:r>
        <w:rPr>
          <w:lang w:val="en-US"/>
        </w:rPr>
        <w:t>tried to calculate the proposed figure independently from each other and according to their understanding and came to completely different calculation methods and results, which are of course not comparable.</w:t>
      </w:r>
    </w:p>
    <w:p w:rsidR="00E759A5" w:rsidRDefault="00E759A5" w:rsidP="00E759A5">
      <w:pPr>
        <w:autoSpaceDE w:val="0"/>
        <w:autoSpaceDN w:val="0"/>
        <w:adjustRightInd w:val="0"/>
        <w:spacing w:before="120"/>
        <w:rPr>
          <w:lang w:val="en-US"/>
        </w:rPr>
      </w:pPr>
      <w:r>
        <w:rPr>
          <w:lang w:val="en-US"/>
        </w:rPr>
        <w:t>Whereby for the denominator there was a common understanding about the elements included, following calculation methods were used for the numerator by different companies:</w:t>
      </w:r>
    </w:p>
    <w:p w:rsidR="00E759A5"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 xml:space="preserve">“pure” mark-to-market (Profit &amp; Loss) of </w:t>
      </w:r>
      <w:proofErr w:type="spellStart"/>
      <w:r>
        <w:rPr>
          <w:lang w:val="en-US"/>
        </w:rPr>
        <w:t>MiFID</w:t>
      </w:r>
      <w:proofErr w:type="spellEnd"/>
      <w:r>
        <w:rPr>
          <w:lang w:val="en-US"/>
        </w:rPr>
        <w:t xml:space="preserve"> II activity at a group level at the end of the year (data of balance sheet)</w:t>
      </w:r>
    </w:p>
    <w:p w:rsidR="00E759A5"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 xml:space="preserve">Notional value of </w:t>
      </w:r>
      <w:proofErr w:type="spellStart"/>
      <w:r>
        <w:rPr>
          <w:lang w:val="en-US"/>
        </w:rPr>
        <w:t>MiFID</w:t>
      </w:r>
      <w:proofErr w:type="spellEnd"/>
      <w:r>
        <w:rPr>
          <w:lang w:val="en-US"/>
        </w:rPr>
        <w:t xml:space="preserve"> II activity during one year (excluding privileged transactions)</w:t>
      </w:r>
    </w:p>
    <w:p w:rsidR="00E759A5"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Notional value of all activities during one year activities (including privileged)</w:t>
      </w:r>
    </w:p>
    <w:p w:rsidR="00E759A5"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 xml:space="preserve">Value at risk-data according to the risk strategy valid in the respective company, e.g. Stop-Loss limits plus cash amount available for covering initial &amp; variation margins and other liquidity needs for the </w:t>
      </w:r>
      <w:proofErr w:type="spellStart"/>
      <w:r>
        <w:rPr>
          <w:lang w:val="en-US"/>
        </w:rPr>
        <w:t>MiFID</w:t>
      </w:r>
      <w:proofErr w:type="spellEnd"/>
      <w:r>
        <w:rPr>
          <w:lang w:val="en-US"/>
        </w:rPr>
        <w:t xml:space="preserve"> II activities (excluding privileged transactions)</w:t>
      </w:r>
    </w:p>
    <w:p w:rsidR="00E759A5" w:rsidRPr="00490C06"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Stop-Loss limits plus cash amount available for covering initial &amp; variation margins and other liquidity needs for all activities (including privileged transactions)</w:t>
      </w:r>
    </w:p>
    <w:p w:rsidR="00E759A5" w:rsidRDefault="00E759A5" w:rsidP="00E759A5">
      <w:pPr>
        <w:autoSpaceDE w:val="0"/>
        <w:autoSpaceDN w:val="0"/>
        <w:adjustRightInd w:val="0"/>
        <w:spacing w:before="120"/>
        <w:rPr>
          <w:lang w:val="en-US"/>
        </w:rPr>
      </w:pPr>
      <w:r w:rsidRPr="00EB2E4B">
        <w:rPr>
          <w:lang w:val="en-US"/>
        </w:rPr>
        <w:t xml:space="preserve">As you can see there is a large room for interpretation of </w:t>
      </w:r>
      <w:r>
        <w:rPr>
          <w:lang w:val="en-US"/>
        </w:rPr>
        <w:t xml:space="preserve">the term “capital employed for </w:t>
      </w:r>
      <w:proofErr w:type="spellStart"/>
      <w:r>
        <w:rPr>
          <w:lang w:val="en-US"/>
        </w:rPr>
        <w:t>MiFID</w:t>
      </w:r>
      <w:proofErr w:type="spellEnd"/>
      <w:r>
        <w:rPr>
          <w:lang w:val="en-US"/>
        </w:rPr>
        <w:t xml:space="preserve"> II activity”. As one could expect, the results of these calculation methods vary a lot (somewhere between 0.60 % and 12.00%). Additionally these figures are not comparable and in many cases extreme volatile depending on the date of their calculation.</w:t>
      </w:r>
    </w:p>
    <w:p w:rsidR="00577C33" w:rsidRDefault="00E759A5" w:rsidP="00E759A5">
      <w:pPr>
        <w:keepNext/>
      </w:pPr>
      <w:r>
        <w:rPr>
          <w:lang w:val="en-US"/>
        </w:rPr>
        <w:t xml:space="preserve">Because of this uncertainty, the companies are not able at this stage to make a reliable statement on the size of their ancillary activity according to the proposed formula. But in any case considering the high volatility of the figures depending on the date of evaluation the capital employed test bears uncertainties on the usage of the ancillary activity exemption, </w:t>
      </w:r>
      <w:r>
        <w:rPr>
          <w:lang w:val="en-US"/>
        </w:rPr>
        <w:lastRenderedPageBreak/>
        <w:t>unless the threshold would be substantially higher. For this reason we strongly plaid for a threshold between 20-25%.</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E759A5" w:rsidRDefault="00E759A5" w:rsidP="00E759A5">
      <w:pPr>
        <w:autoSpaceDE w:val="0"/>
        <w:autoSpaceDN w:val="0"/>
        <w:adjustRightInd w:val="0"/>
        <w:spacing w:before="120"/>
        <w:rPr>
          <w:lang w:val="en-US"/>
        </w:rPr>
      </w:pPr>
      <w:permStart w:id="183" w:edGrp="everyone"/>
      <w:r w:rsidRPr="00AA7074">
        <w:rPr>
          <w:lang w:val="en-US"/>
        </w:rPr>
        <w:t xml:space="preserve">As already mentioned under Q173 there is a lot of uncertainty regarding the definition </w:t>
      </w:r>
      <w:r>
        <w:rPr>
          <w:lang w:val="en-US"/>
        </w:rPr>
        <w:t>of t</w:t>
      </w:r>
      <w:r w:rsidRPr="00AA7074">
        <w:rPr>
          <w:lang w:val="en-US"/>
        </w:rPr>
        <w:t xml:space="preserve">he term </w:t>
      </w:r>
      <w:r>
        <w:rPr>
          <w:lang w:val="en-US"/>
        </w:rPr>
        <w:t>“</w:t>
      </w:r>
      <w:r w:rsidRPr="00AA7074">
        <w:rPr>
          <w:lang w:val="en-US"/>
        </w:rPr>
        <w:t>capital</w:t>
      </w:r>
      <w:r>
        <w:rPr>
          <w:lang w:val="en-US"/>
        </w:rPr>
        <w:t>”</w:t>
      </w:r>
      <w:r w:rsidRPr="00AA7074">
        <w:rPr>
          <w:lang w:val="en-US"/>
        </w:rPr>
        <w:t>, especially in regard to the elements, which should be included in the numerator.</w:t>
      </w:r>
    </w:p>
    <w:p w:rsidR="00E759A5" w:rsidRDefault="00E759A5" w:rsidP="00E759A5">
      <w:pPr>
        <w:autoSpaceDE w:val="0"/>
        <w:autoSpaceDN w:val="0"/>
        <w:adjustRightInd w:val="0"/>
        <w:spacing w:before="120"/>
        <w:rPr>
          <w:lang w:val="en-US"/>
        </w:rPr>
      </w:pPr>
      <w:r>
        <w:rPr>
          <w:lang w:val="en-US"/>
        </w:rPr>
        <w:t xml:space="preserve">In general we agree with ESMA´s intention to use an accounting capital measure, whereby our understanding and preferred definition of this term is reflected by the calculation method </w:t>
      </w:r>
      <w:proofErr w:type="gramStart"/>
      <w:r>
        <w:rPr>
          <w:lang w:val="en-US"/>
        </w:rPr>
        <w:t>No</w:t>
      </w:r>
      <w:proofErr w:type="gramEnd"/>
      <w:r>
        <w:rPr>
          <w:lang w:val="en-US"/>
        </w:rPr>
        <w:t xml:space="preserve">. (4) (Value at risk-data according to the risk strategy valid in the respective company, e.g. Stop-Loss limits plus cash amount available for covering initial &amp; variation margins and other liquidity needs for the </w:t>
      </w:r>
      <w:proofErr w:type="spellStart"/>
      <w:r>
        <w:rPr>
          <w:lang w:val="en-US"/>
        </w:rPr>
        <w:t>MiFID</w:t>
      </w:r>
      <w:proofErr w:type="spellEnd"/>
      <w:r>
        <w:rPr>
          <w:lang w:val="en-US"/>
        </w:rPr>
        <w:t xml:space="preserve"> II activities) presented under Q173.We believe that this calculation method has a number of advantages when compared to the others:</w:t>
      </w:r>
    </w:p>
    <w:p w:rsidR="00E759A5" w:rsidRDefault="00E759A5" w:rsidP="00E759A5">
      <w:pPr>
        <w:pStyle w:val="Listenabsatz"/>
        <w:numPr>
          <w:ilvl w:val="0"/>
          <w:numId w:val="32"/>
        </w:numPr>
        <w:autoSpaceDE w:val="0"/>
        <w:autoSpaceDN w:val="0"/>
        <w:adjustRightInd w:val="0"/>
        <w:spacing w:before="120" w:line="240" w:lineRule="auto"/>
        <w:contextualSpacing/>
        <w:jc w:val="left"/>
        <w:rPr>
          <w:lang w:val="en-US"/>
        </w:rPr>
      </w:pPr>
      <w:r>
        <w:rPr>
          <w:lang w:val="en-US"/>
        </w:rPr>
        <w:t>It is stable during the time and thus, it protects companies from the consequences of random events, like price movements:</w:t>
      </w:r>
    </w:p>
    <w:p w:rsidR="00E759A5" w:rsidRDefault="00E759A5" w:rsidP="00E759A5">
      <w:pPr>
        <w:pStyle w:val="Listenabsatz"/>
        <w:autoSpaceDE w:val="0"/>
        <w:autoSpaceDN w:val="0"/>
        <w:adjustRightInd w:val="0"/>
        <w:spacing w:before="120"/>
        <w:rPr>
          <w:lang w:val="en-US"/>
        </w:rPr>
      </w:pPr>
      <w:r>
        <w:rPr>
          <w:lang w:val="en-US"/>
        </w:rPr>
        <w:t xml:space="preserve">Calculation method No. (1) under Q173 (“pure” mark-to-market) is much too random and can </w:t>
      </w:r>
      <w:r w:rsidR="00E82D56">
        <w:rPr>
          <w:lang w:val="en-US"/>
        </w:rPr>
        <w:t xml:space="preserve">vary </w:t>
      </w:r>
      <w:r>
        <w:rPr>
          <w:lang w:val="en-US"/>
        </w:rPr>
        <w:t>extremely from time to time depending on the price levels, the open positions etc.. The use of such a figure introduces high uncertainty in the calculation of the size of the ancillary activity and makes the use of the exemption under Article 2(1</w:t>
      </w:r>
      <w:proofErr w:type="gramStart"/>
      <w:r>
        <w:rPr>
          <w:lang w:val="en-US"/>
        </w:rPr>
        <w:t>)(</w:t>
      </w:r>
      <w:proofErr w:type="gramEnd"/>
      <w:r>
        <w:rPr>
          <w:lang w:val="en-US"/>
        </w:rPr>
        <w:t>j) almost impossible.</w:t>
      </w:r>
    </w:p>
    <w:p w:rsidR="00E759A5" w:rsidRDefault="00E759A5" w:rsidP="00E759A5">
      <w:pPr>
        <w:pStyle w:val="Listenabsatz"/>
        <w:numPr>
          <w:ilvl w:val="0"/>
          <w:numId w:val="32"/>
        </w:numPr>
        <w:autoSpaceDE w:val="0"/>
        <w:autoSpaceDN w:val="0"/>
        <w:adjustRightInd w:val="0"/>
        <w:spacing w:before="60" w:line="240" w:lineRule="auto"/>
        <w:ind w:left="714" w:hanging="357"/>
        <w:jc w:val="left"/>
        <w:rPr>
          <w:lang w:val="en-US"/>
        </w:rPr>
      </w:pPr>
      <w:r>
        <w:rPr>
          <w:lang w:val="en-US"/>
        </w:rPr>
        <w:t xml:space="preserve">It reflects the “real” structure of the </w:t>
      </w:r>
      <w:proofErr w:type="spellStart"/>
      <w:r>
        <w:rPr>
          <w:lang w:val="en-US"/>
        </w:rPr>
        <w:t>MiFID</w:t>
      </w:r>
      <w:proofErr w:type="spellEnd"/>
      <w:r>
        <w:rPr>
          <w:lang w:val="en-US"/>
        </w:rPr>
        <w:t xml:space="preserve"> II activities in the context of the main business: only this amount of money is made each year available for these activities. If this amount of money is exhausted, all further </w:t>
      </w:r>
      <w:proofErr w:type="spellStart"/>
      <w:r>
        <w:rPr>
          <w:lang w:val="en-US"/>
        </w:rPr>
        <w:t>MiFID</w:t>
      </w:r>
      <w:proofErr w:type="spellEnd"/>
      <w:r>
        <w:rPr>
          <w:lang w:val="en-US"/>
        </w:rPr>
        <w:t xml:space="preserve"> II activities are stopped.</w:t>
      </w:r>
    </w:p>
    <w:p w:rsidR="00E759A5" w:rsidRDefault="00E759A5" w:rsidP="00E759A5">
      <w:pPr>
        <w:pStyle w:val="Listenabsatz"/>
        <w:autoSpaceDE w:val="0"/>
        <w:autoSpaceDN w:val="0"/>
        <w:adjustRightInd w:val="0"/>
        <w:spacing w:before="60"/>
        <w:ind w:left="714"/>
        <w:rPr>
          <w:lang w:val="en-US"/>
        </w:rPr>
      </w:pPr>
      <w:r>
        <w:rPr>
          <w:lang w:val="en-US"/>
        </w:rPr>
        <w:t xml:space="preserve">Calculation methods No. (2) &amp; (3) on the contrary do not reflect the reality. These figures are low at the beginning of the year and grow systematically, so that their size depends on the time of their calculation. Additionally they do not reflect </w:t>
      </w:r>
      <w:r w:rsidR="00E82D56">
        <w:rPr>
          <w:lang w:val="en-US"/>
        </w:rPr>
        <w:t>the</w:t>
      </w:r>
      <w:r>
        <w:rPr>
          <w:lang w:val="en-US"/>
        </w:rPr>
        <w:t xml:space="preserve"> amount of money (capital)</w:t>
      </w:r>
      <w:r w:rsidR="00E82D56">
        <w:rPr>
          <w:lang w:val="en-US"/>
        </w:rPr>
        <w:t xml:space="preserve"> which</w:t>
      </w:r>
      <w:r>
        <w:rPr>
          <w:lang w:val="en-US"/>
        </w:rPr>
        <w:t xml:space="preserve"> is really dedicated / invested to the </w:t>
      </w:r>
      <w:proofErr w:type="spellStart"/>
      <w:r>
        <w:rPr>
          <w:lang w:val="en-US"/>
        </w:rPr>
        <w:t>MiFID</w:t>
      </w:r>
      <w:proofErr w:type="spellEnd"/>
      <w:r>
        <w:rPr>
          <w:lang w:val="en-US"/>
        </w:rPr>
        <w:t xml:space="preserve"> II activities. This capital is reflected the best by the calculation method </w:t>
      </w:r>
      <w:proofErr w:type="gramStart"/>
      <w:r>
        <w:rPr>
          <w:lang w:val="en-US"/>
        </w:rPr>
        <w:t>No</w:t>
      </w:r>
      <w:proofErr w:type="gramEnd"/>
      <w:r>
        <w:rPr>
          <w:lang w:val="en-US"/>
        </w:rPr>
        <w:t>. (3).</w:t>
      </w:r>
    </w:p>
    <w:p w:rsidR="00E759A5" w:rsidRPr="00CB58DB" w:rsidRDefault="00E759A5" w:rsidP="00E759A5">
      <w:pPr>
        <w:pStyle w:val="Listenabsatz"/>
        <w:numPr>
          <w:ilvl w:val="0"/>
          <w:numId w:val="32"/>
        </w:numPr>
        <w:autoSpaceDE w:val="0"/>
        <w:autoSpaceDN w:val="0"/>
        <w:adjustRightInd w:val="0"/>
        <w:spacing w:before="60" w:line="240" w:lineRule="auto"/>
        <w:ind w:left="714" w:hanging="357"/>
        <w:jc w:val="left"/>
        <w:rPr>
          <w:lang w:val="en-US"/>
        </w:rPr>
      </w:pPr>
      <w:r w:rsidRPr="00CB58DB">
        <w:rPr>
          <w:lang w:val="en-US"/>
        </w:rPr>
        <w:t>It is simple to calculate:</w:t>
      </w:r>
      <w:r>
        <w:rPr>
          <w:lang w:val="en-US"/>
        </w:rPr>
        <w:t xml:space="preserve"> </w:t>
      </w:r>
      <w:r w:rsidRPr="00CB58DB">
        <w:rPr>
          <w:lang w:val="en-US"/>
        </w:rPr>
        <w:t>There is no need to calculate any average figures, as the proposed figures do not change during the time. Additionally they are available to all companies involved in trading activities, which means that companies do not need to introduce any new p</w:t>
      </w:r>
      <w:r>
        <w:rPr>
          <w:lang w:val="en-US"/>
        </w:rPr>
        <w:t>rocedures in order to make this</w:t>
      </w:r>
      <w:r w:rsidRPr="00CB58DB">
        <w:rPr>
          <w:lang w:val="en-US"/>
        </w:rPr>
        <w:t xml:space="preserve"> calculation.</w:t>
      </w:r>
    </w:p>
    <w:p w:rsidR="00E759A5" w:rsidRDefault="00E759A5" w:rsidP="00E759A5">
      <w:pPr>
        <w:pStyle w:val="Listenabsatz"/>
        <w:numPr>
          <w:ilvl w:val="0"/>
          <w:numId w:val="32"/>
        </w:numPr>
        <w:autoSpaceDE w:val="0"/>
        <w:autoSpaceDN w:val="0"/>
        <w:adjustRightInd w:val="0"/>
        <w:spacing w:before="60" w:line="240" w:lineRule="auto"/>
        <w:ind w:left="714" w:hanging="357"/>
        <w:jc w:val="left"/>
        <w:rPr>
          <w:lang w:val="en-US"/>
        </w:rPr>
      </w:pPr>
      <w:r>
        <w:rPr>
          <w:lang w:val="en-US"/>
        </w:rPr>
        <w:t>It can be easily supervised: in the energy markets there are appropriate arrangements in order for these figures to be supervised.</w:t>
      </w:r>
    </w:p>
    <w:p w:rsidR="00577C33" w:rsidRDefault="00E759A5" w:rsidP="00E759A5">
      <w:pPr>
        <w:keepNext/>
      </w:pPr>
      <w:r>
        <w:rPr>
          <w:lang w:val="en-US"/>
        </w:rPr>
        <w:t xml:space="preserve">For these reasons we propose the definition of the term “capital” as the sum of the stop-loss-limits and cash amounts dedicated to the </w:t>
      </w:r>
      <w:proofErr w:type="spellStart"/>
      <w:r>
        <w:rPr>
          <w:lang w:val="en-US"/>
        </w:rPr>
        <w:t>MiFID</w:t>
      </w:r>
      <w:proofErr w:type="spellEnd"/>
      <w:r>
        <w:rPr>
          <w:lang w:val="en-US"/>
        </w:rPr>
        <w:t xml:space="preserve"> II activities of each company.</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lastRenderedPageBreak/>
        <w:t>&lt;ESMA_QUESTION_CP_MIFID_175&gt;</w:t>
      </w:r>
    </w:p>
    <w:p w:rsidR="00577C33" w:rsidRDefault="00E759A5" w:rsidP="00EC2C93">
      <w:pPr>
        <w:keepNext/>
      </w:pPr>
      <w:permStart w:id="184" w:edGrp="everyone"/>
      <w:r>
        <w:rPr>
          <w:bCs/>
          <w:lang w:val="en-US"/>
        </w:rPr>
        <w:t>We think this definition is appropriate.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E759A5" w:rsidP="00EC2C93">
      <w:pPr>
        <w:keepNext/>
      </w:pPr>
      <w:permStart w:id="185" w:edGrp="everyone"/>
      <w:r>
        <w:rPr>
          <w:lang w:val="en-US"/>
        </w:rPr>
        <w:t>Yes, we agree.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 w:edGrp="everyone"/>
      <w:r>
        <w:t>TYPE YOUR TEXT HERE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E759A5" w:rsidRPr="0006557B" w:rsidRDefault="00E759A5" w:rsidP="00E759A5">
      <w:pPr>
        <w:spacing w:before="120"/>
        <w:rPr>
          <w:lang w:val="en-US"/>
        </w:rPr>
      </w:pPr>
      <w:permStart w:id="188" w:edGrp="everyone"/>
      <w:r w:rsidRPr="0006557B">
        <w:rPr>
          <w:lang w:val="en-US"/>
        </w:rPr>
        <w:t>No, we do no</w:t>
      </w:r>
      <w:r>
        <w:rPr>
          <w:lang w:val="en-US"/>
        </w:rPr>
        <w:t>t agree with the threshold of 0.</w:t>
      </w:r>
      <w:r w:rsidRPr="0006557B">
        <w:rPr>
          <w:lang w:val="en-US"/>
        </w:rPr>
        <w:t>5% proposed by ESMA. We consider this figure as far too low, especially for some energy markets, which are not developed and liquid enough. The figure of 0</w:t>
      </w:r>
      <w:r>
        <w:rPr>
          <w:lang w:val="en-US"/>
        </w:rPr>
        <w:t>.</w:t>
      </w:r>
      <w:r w:rsidRPr="0006557B">
        <w:rPr>
          <w:lang w:val="en-US"/>
        </w:rPr>
        <w:t xml:space="preserve">5% implies that the whole market is divided to </w:t>
      </w:r>
      <w:r>
        <w:rPr>
          <w:lang w:val="en-US"/>
        </w:rPr>
        <w:t xml:space="preserve">at least </w:t>
      </w:r>
      <w:r w:rsidRPr="0006557B">
        <w:rPr>
          <w:lang w:val="en-US"/>
        </w:rPr>
        <w:t xml:space="preserve">200 equal market participants. This might be valid for some energy </w:t>
      </w:r>
      <w:r>
        <w:rPr>
          <w:lang w:val="en-US"/>
        </w:rPr>
        <w:t>commodity markets</w:t>
      </w:r>
      <w:r w:rsidRPr="0006557B">
        <w:rPr>
          <w:lang w:val="en-US"/>
        </w:rPr>
        <w:t xml:space="preserve"> during some phases but it does not reflect the dynamic environment and development of these markets</w:t>
      </w:r>
      <w:r>
        <w:rPr>
          <w:lang w:val="en-US"/>
        </w:rPr>
        <w:t xml:space="preserve"> during the year</w:t>
      </w:r>
      <w:r w:rsidRPr="0006557B">
        <w:rPr>
          <w:lang w:val="en-US"/>
        </w:rPr>
        <w:t xml:space="preserve">, which is reflected to varying overall liquidity and varying trading activities of each energy </w:t>
      </w:r>
      <w:r>
        <w:rPr>
          <w:lang w:val="en-US"/>
        </w:rPr>
        <w:t>company</w:t>
      </w:r>
      <w:r w:rsidRPr="0006557B">
        <w:rPr>
          <w:lang w:val="en-US"/>
        </w:rPr>
        <w:t>. Such a low figure makes it impossible for energy companies to steer the size of their trading activities in relation to the market and makes a possible breach of this threshold a random event. The overall market size is anyway a figure, which is very difficult to monitor and to react on. So it is possible that one company ´s trad</w:t>
      </w:r>
      <w:r>
        <w:rPr>
          <w:lang w:val="en-US"/>
        </w:rPr>
        <w:t>ing activities are well under 0.</w:t>
      </w:r>
      <w:r w:rsidRPr="0006557B">
        <w:rPr>
          <w:lang w:val="en-US"/>
        </w:rPr>
        <w:t>5% during the first 3 quarters of a year and breaches the 0</w:t>
      </w:r>
      <w:r>
        <w:rPr>
          <w:lang w:val="en-US"/>
        </w:rPr>
        <w:t>.</w:t>
      </w:r>
      <w:r w:rsidRPr="0006557B">
        <w:rPr>
          <w:lang w:val="en-US"/>
        </w:rPr>
        <w:t>5% in the 4</w:t>
      </w:r>
      <w:r w:rsidRPr="0006557B">
        <w:rPr>
          <w:vertAlign w:val="superscript"/>
          <w:lang w:val="en-US"/>
        </w:rPr>
        <w:t>th</w:t>
      </w:r>
      <w:r w:rsidRPr="0006557B">
        <w:rPr>
          <w:lang w:val="en-US"/>
        </w:rPr>
        <w:t xml:space="preserve"> quarter just because the overall liquidity in the market is reduced. </w:t>
      </w:r>
      <w:r>
        <w:rPr>
          <w:lang w:val="en-US"/>
        </w:rPr>
        <w:t>Such a low threshold makes the steering even riskier and more difficult.</w:t>
      </w:r>
    </w:p>
    <w:p w:rsidR="00E759A5" w:rsidRPr="0006557B" w:rsidRDefault="00E759A5" w:rsidP="00E759A5">
      <w:pPr>
        <w:spacing w:before="120"/>
        <w:rPr>
          <w:lang w:val="en-US"/>
        </w:rPr>
      </w:pPr>
      <w:r w:rsidRPr="0006557B">
        <w:rPr>
          <w:lang w:val="en-US"/>
        </w:rPr>
        <w:t xml:space="preserve">For these reasons we propose a threshold between 5-10%, whereby even this figure might approve to be too low, as companies at the time of the consultation </w:t>
      </w:r>
      <w:r>
        <w:rPr>
          <w:lang w:val="en-US"/>
        </w:rPr>
        <w:t>were</w:t>
      </w:r>
      <w:r w:rsidRPr="0006557B">
        <w:rPr>
          <w:lang w:val="en-US"/>
        </w:rPr>
        <w:t xml:space="preserve"> not able to estimate their market size, mainly because of lack of reliable figures of the overall market trading activity. Before a realistic figure for this threshold is decided, ESMA should communicate reliable figures for the overall market trading activity</w:t>
      </w:r>
      <w:r>
        <w:rPr>
          <w:lang w:val="en-US"/>
        </w:rPr>
        <w:t xml:space="preserve"> in each class</w:t>
      </w:r>
      <w:r w:rsidRPr="0006557B">
        <w:rPr>
          <w:lang w:val="en-US"/>
        </w:rPr>
        <w:t xml:space="preserve">, so that companies can calculate their own market size in relation to the overall market trading activity. </w:t>
      </w:r>
    </w:p>
    <w:p w:rsidR="00E759A5" w:rsidRPr="0006557B" w:rsidRDefault="00E759A5" w:rsidP="00E759A5">
      <w:pPr>
        <w:spacing w:before="120"/>
        <w:rPr>
          <w:lang w:val="en-US"/>
        </w:rPr>
      </w:pPr>
      <w:r w:rsidRPr="0006557B">
        <w:rPr>
          <w:lang w:val="en-US"/>
        </w:rPr>
        <w:lastRenderedPageBreak/>
        <w:t xml:space="preserve">In general we strongly believe that it is ESMA´s responsibility to </w:t>
      </w:r>
      <w:r>
        <w:rPr>
          <w:lang w:val="en-US"/>
        </w:rPr>
        <w:t xml:space="preserve">communicate </w:t>
      </w:r>
      <w:r w:rsidRPr="0006557B">
        <w:rPr>
          <w:lang w:val="en-US"/>
        </w:rPr>
        <w:t xml:space="preserve">reliable figures for the </w:t>
      </w:r>
      <w:r>
        <w:rPr>
          <w:lang w:val="en-US"/>
        </w:rPr>
        <w:t>overall market trading activity</w:t>
      </w:r>
      <w:r w:rsidRPr="0006557B">
        <w:rPr>
          <w:lang w:val="en-US"/>
        </w:rPr>
        <w:t xml:space="preserve"> to the concerned companies. For this purpose ESMA could use the know-how and the data of the Trade Repositories </w:t>
      </w:r>
      <w:r>
        <w:rPr>
          <w:lang w:val="en-US"/>
        </w:rPr>
        <w:t xml:space="preserve">and other sources </w:t>
      </w:r>
      <w:r w:rsidRPr="0006557B">
        <w:rPr>
          <w:lang w:val="en-US"/>
        </w:rPr>
        <w:t>rather than oblige companies to calculate this figure individually</w:t>
      </w:r>
      <w:r>
        <w:rPr>
          <w:lang w:val="en-US"/>
        </w:rPr>
        <w:t>.</w:t>
      </w:r>
      <w:r w:rsidRPr="0006557B">
        <w:rPr>
          <w:lang w:val="en-US"/>
        </w:rPr>
        <w:t xml:space="preserve"> </w:t>
      </w:r>
    </w:p>
    <w:p w:rsidR="00E759A5" w:rsidRPr="00660862" w:rsidRDefault="00E759A5" w:rsidP="00E759A5">
      <w:pPr>
        <w:spacing w:before="120"/>
        <w:rPr>
          <w:lang w:val="en-US"/>
        </w:rPr>
      </w:pPr>
      <w:r w:rsidRPr="0006557B">
        <w:rPr>
          <w:lang w:val="en-US"/>
        </w:rPr>
        <w:t xml:space="preserve">We strongly believe that companies should at the most be only obliged to define the size of </w:t>
      </w:r>
      <w:r w:rsidRPr="00660862">
        <w:rPr>
          <w:lang w:val="en-US"/>
        </w:rPr>
        <w:t>their own trading activity. Entities do not have either the resources or the know-how in order to define the size of the overall market trading activity, not even if they use the TR data.</w:t>
      </w:r>
    </w:p>
    <w:p w:rsidR="00E759A5" w:rsidRPr="00660862" w:rsidRDefault="00E759A5" w:rsidP="00E759A5">
      <w:pPr>
        <w:rPr>
          <w:lang w:val="en-US"/>
        </w:rPr>
      </w:pPr>
      <w:r>
        <w:rPr>
          <w:lang w:val="en-US"/>
        </w:rPr>
        <w:t>The usage of external</w:t>
      </w:r>
      <w:r w:rsidRPr="00660862">
        <w:rPr>
          <w:lang w:val="en-US"/>
        </w:rPr>
        <w:t xml:space="preserve"> data would mean that entities should at least once a year request data from each available </w:t>
      </w:r>
      <w:r>
        <w:rPr>
          <w:lang w:val="en-US"/>
        </w:rPr>
        <w:t xml:space="preserve">source including </w:t>
      </w:r>
      <w:r w:rsidRPr="00660862">
        <w:rPr>
          <w:lang w:val="en-US"/>
        </w:rPr>
        <w:t>TR</w:t>
      </w:r>
      <w:r>
        <w:rPr>
          <w:lang w:val="en-US"/>
        </w:rPr>
        <w:t>s</w:t>
      </w:r>
      <w:r w:rsidRPr="00660862">
        <w:rPr>
          <w:lang w:val="en-US"/>
        </w:rPr>
        <w:t xml:space="preserve">, which means that entities should communicate not only with their own TR but with ALL TRs </w:t>
      </w:r>
      <w:r>
        <w:rPr>
          <w:lang w:val="en-US"/>
        </w:rPr>
        <w:t xml:space="preserve">plus any other necessary sources </w:t>
      </w:r>
      <w:r w:rsidRPr="00660862">
        <w:rPr>
          <w:lang w:val="en-US"/>
        </w:rPr>
        <w:t>available in the market.</w:t>
      </w:r>
    </w:p>
    <w:p w:rsidR="00577C33" w:rsidRDefault="00E759A5" w:rsidP="00E759A5">
      <w:pPr>
        <w:keepNext/>
      </w:pPr>
      <w:r w:rsidRPr="00760947">
        <w:rPr>
          <w:lang w:val="en-US"/>
        </w:rPr>
        <w:t xml:space="preserve">At the same time, entities would have to take care individually that data received from </w:t>
      </w:r>
      <w:r>
        <w:rPr>
          <w:lang w:val="en-US"/>
        </w:rPr>
        <w:t>different sources</w:t>
      </w:r>
      <w:r w:rsidRPr="00660862">
        <w:rPr>
          <w:lang w:val="en-US"/>
        </w:rPr>
        <w:t xml:space="preserve"> get consolidated in such a way that they are comparable and can be added. Duplication of data should be avoided, as well. All in all we do not understand, what could be the advantage, if each individual company makes the effort to define the size of the overall market trading activity, when ESMA is in the position to do the same just once a year for all relevant companies. This figure calculated </w:t>
      </w:r>
      <w:proofErr w:type="gramStart"/>
      <w:r w:rsidRPr="00660862">
        <w:rPr>
          <w:lang w:val="en-US"/>
        </w:rPr>
        <w:t>by  ESMA</w:t>
      </w:r>
      <w:proofErr w:type="gramEnd"/>
      <w:r w:rsidRPr="00660862">
        <w:rPr>
          <w:lang w:val="en-US"/>
        </w:rPr>
        <w:t xml:space="preserve"> would be a lot more trustful than any individually calculated number. ESMA should also consider that the figures calculated by different entities may vary significantly, even if the entities claim to calculate the figure of the same market.</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E759A5" w:rsidP="00EC2C93">
      <w:pPr>
        <w:keepNext/>
      </w:pPr>
      <w:permStart w:id="189" w:edGrp="everyone"/>
      <w:r>
        <w:rPr>
          <w:bCs/>
          <w:lang w:val="en-US"/>
        </w:rPr>
        <w:t>Yes, we agree.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E759A5" w:rsidP="00EC2C93">
      <w:pPr>
        <w:keepNext/>
      </w:pPr>
      <w:permStart w:id="191" w:edGrp="everyone"/>
      <w:r>
        <w:rPr>
          <w:bCs/>
          <w:szCs w:val="22"/>
          <w:lang w:val="en-US"/>
        </w:rPr>
        <w:t>No, we don´t agree with ESMA´s proposals. Energy companies can calculate the thresholds the earliest, when all year-end closing works are done and the annual financial statements are approved. This might take time until the middle of each year. ESMA should consider that energy companies might only be able to calculate their thresholds for the first time in the middle of 2017.</w:t>
      </w:r>
      <w:bookmarkStart w:id="19" w:name="_GoBack"/>
      <w:bookmarkEnd w:id="19"/>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lastRenderedPageBreak/>
        <w:t>&lt;ESMA_QUESTION_CP_MIFID_183&gt;</w:t>
      </w:r>
    </w:p>
    <w:p w:rsidR="00577C33" w:rsidRDefault="00577C33" w:rsidP="00EC2C93">
      <w:pPr>
        <w:keepNext/>
      </w:pPr>
      <w:permStart w:id="192" w:edGrp="everyone"/>
      <w:r>
        <w:t>TYPE YOUR TEXT HERE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lastRenderedPageBreak/>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lastRenderedPageBreak/>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7" w:edGrp="everyone"/>
      <w:r>
        <w:t>TYPE YOUR TEXT HERE</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F5" w:rsidRDefault="00A501F5" w:rsidP="007E7997">
      <w:pPr>
        <w:spacing w:line="240" w:lineRule="auto"/>
      </w:pPr>
      <w:r>
        <w:separator/>
      </w:r>
    </w:p>
  </w:endnote>
  <w:endnote w:type="continuationSeparator" w:id="0">
    <w:p w:rsidR="00A501F5" w:rsidRDefault="00A501F5"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93" w:rsidRDefault="00EC2C93">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EC2C93" w:rsidRDefault="004F15C0" w:rsidP="00375BA2">
        <w:pPr>
          <w:pStyle w:val="Fuzeile"/>
          <w:jc w:val="right"/>
        </w:pPr>
        <w:r>
          <w:fldChar w:fldCharType="begin"/>
        </w:r>
        <w:r w:rsidR="00EC2C93">
          <w:instrText xml:space="preserve"> PAGE   \* MERGEFORMAT </w:instrText>
        </w:r>
        <w:r>
          <w:fldChar w:fldCharType="separate"/>
        </w:r>
        <w:r w:rsidR="00E82D56">
          <w:rPr>
            <w:noProof/>
          </w:rPr>
          <w:t>41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F5" w:rsidRDefault="00A501F5" w:rsidP="007E7997">
      <w:pPr>
        <w:spacing w:line="240" w:lineRule="auto"/>
      </w:pPr>
      <w:r>
        <w:separator/>
      </w:r>
    </w:p>
  </w:footnote>
  <w:footnote w:type="continuationSeparator" w:id="0">
    <w:p w:rsidR="00A501F5" w:rsidRDefault="00A501F5" w:rsidP="007E7997">
      <w:pPr>
        <w:spacing w:line="240" w:lineRule="auto"/>
      </w:pPr>
      <w:r>
        <w:continuationSeparator/>
      </w:r>
    </w:p>
  </w:footnote>
  <w:footnote w:id="1">
    <w:p w:rsidR="00EC2C93" w:rsidRPr="00AA7A30" w:rsidRDefault="00EC2C93"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93" w:rsidRDefault="00EC2C93">
    <w:pPr>
      <w:pStyle w:val="Kopfzeile"/>
    </w:pPr>
    <w:r>
      <w:rPr>
        <w:noProof/>
        <w:lang w:val="de-DE" w:eastAsia="de-DE"/>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r>
      <w:rPr>
        <w:noProof/>
        <w:lang w:val="de-DE" w:eastAsia="de-DE"/>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93" w:rsidRDefault="00EC2C93" w:rsidP="00B50534">
    <w:pPr>
      <w:pStyle w:val="Kopfzeile"/>
      <w:jc w:val="right"/>
      <w:rPr>
        <w:b/>
        <w:color w:val="FF0000"/>
      </w:rPr>
    </w:pPr>
  </w:p>
  <w:p w:rsidR="00EC2C93" w:rsidRDefault="004F15C0" w:rsidP="00B50534">
    <w:pPr>
      <w:pStyle w:val="Kopfzeile"/>
      <w:jc w:val="right"/>
      <w:rPr>
        <w:b/>
        <w:color w:val="FF0000"/>
      </w:rPr>
    </w:pPr>
    <w:r w:rsidRPr="004F15C0">
      <w:rPr>
        <w:rFonts w:ascii="Arial" w:hAnsi="Arial" w:cs="Arial"/>
        <w:noProof/>
        <w:lang w:val="de-DE" w:eastAsia="de-DE"/>
      </w:rPr>
      <w:pict>
        <v:line id="Line 16" o:spid="_x0000_s6145"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EC2C93" w:rsidRPr="00B50534" w:rsidRDefault="00EC2C93"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67A0701"/>
    <w:multiLevelType w:val="hybridMultilevel"/>
    <w:tmpl w:val="AD9CE1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9B95226"/>
    <w:multiLevelType w:val="hybridMultilevel"/>
    <w:tmpl w:val="71A422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124670D"/>
    <w:multiLevelType w:val="hybridMultilevel"/>
    <w:tmpl w:val="69184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8"/>
  </w:num>
  <w:num w:numId="4">
    <w:abstractNumId w:val="6"/>
  </w:num>
  <w:num w:numId="5">
    <w:abstractNumId w:val="16"/>
  </w:num>
  <w:num w:numId="6">
    <w:abstractNumId w:val="9"/>
  </w:num>
  <w:num w:numId="7">
    <w:abstractNumId w:val="0"/>
  </w:num>
  <w:num w:numId="8">
    <w:abstractNumId w:val="7"/>
  </w:num>
  <w:num w:numId="9">
    <w:abstractNumId w:val="4"/>
  </w:num>
  <w:num w:numId="10">
    <w:abstractNumId w:val="2"/>
  </w:num>
  <w:num w:numId="11">
    <w:abstractNumId w:val="17"/>
  </w:num>
  <w:num w:numId="12">
    <w:abstractNumId w:val="8"/>
  </w:num>
  <w:num w:numId="13">
    <w:abstractNumId w:val="19"/>
  </w:num>
  <w:num w:numId="14">
    <w:abstractNumId w:val="10"/>
  </w:num>
  <w:num w:numId="15">
    <w:abstractNumId w:val="13"/>
  </w:num>
  <w:num w:numId="16">
    <w:abstractNumId w:val="1"/>
  </w:num>
  <w:num w:numId="17">
    <w:abstractNumId w:val="22"/>
  </w:num>
  <w:num w:numId="18">
    <w:abstractNumId w:val="3"/>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num>
  <w:num w:numId="32">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seFELayout/>
  </w:compat>
  <w:docVars>
    <w:docVar w:name="AutoTextsAlreadyFilled" w:val="True"/>
  </w:docVars>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4F15C0"/>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A793A"/>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759A5"/>
    <w:rsid w:val="00E82D56"/>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Anfhrungszeichen">
    <w:name w:val="Quote"/>
    <w:basedOn w:val="Standard"/>
    <w:next w:val="Standard"/>
    <w:link w:val="AnfhrungszeichenZchn"/>
    <w:uiPriority w:val="29"/>
    <w:qFormat/>
    <w:rsid w:val="00AA054E"/>
    <w:pPr>
      <w:spacing w:before="160"/>
      <w:ind w:left="720" w:right="720"/>
    </w:pPr>
    <w:rPr>
      <w:i/>
      <w:iCs/>
      <w:color w:val="404040" w:themeColor="text1" w:themeTint="BF"/>
    </w:rPr>
  </w:style>
  <w:style w:type="character" w:customStyle="1" w:styleId="AnfhrungszeichenZchn">
    <w:name w:val="Anführungszeichen Zchn"/>
    <w:basedOn w:val="Absatz-Standardschriftart"/>
    <w:link w:val="Anfhrungszeichen"/>
    <w:uiPriority w:val="29"/>
    <w:rsid w:val="00AA054E"/>
    <w:rPr>
      <w:i/>
      <w:iCs/>
      <w:color w:val="404040" w:themeColor="text1" w:themeTint="BF"/>
    </w:rPr>
  </w:style>
  <w:style w:type="paragraph" w:styleId="IntensivesAnfhrungszeichen">
    <w:name w:val="Intense Quote"/>
    <w:basedOn w:val="Standard"/>
    <w:next w:val="Standard"/>
    <w:link w:val="IntensivesAnfhrungszeichen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AnfhrungszeichenZchn">
    <w:name w:val="Intensives Anführungszeichen Zchn"/>
    <w:basedOn w:val="Absatz-Standardschriftart"/>
    <w:link w:val="IntensivesAnfhrungszeichen"/>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gitternetz">
    <w:name w:val="Table Grid"/>
    <w:basedOn w:val="NormaleTabel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E759A5"/>
    <w:pPr>
      <w:autoSpaceDE w:val="0"/>
      <w:autoSpaceDN w:val="0"/>
      <w:adjustRightInd w:val="0"/>
      <w:spacing w:after="0" w:line="240" w:lineRule="auto"/>
    </w:pPr>
    <w:rPr>
      <w:rFonts w:ascii="Arial" w:eastAsiaTheme="minorHAnsi"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E759A5"/>
    <w:pPr>
      <w:autoSpaceDE w:val="0"/>
      <w:autoSpaceDN w:val="0"/>
      <w:adjustRightInd w:val="0"/>
      <w:spacing w:after="0" w:line="240" w:lineRule="auto"/>
    </w:pPr>
    <w:rPr>
      <w:rFonts w:ascii="Arial" w:eastAsiaTheme="minorHAnsi" w:hAnsi="Arial" w:cs="Arial"/>
      <w:color w:val="000000"/>
      <w:sz w:val="24"/>
      <w:szCs w:val="24"/>
      <w:lang w:val="de-DE"/>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503D8-82E4-41E0-9169-D70B9C6F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12357</Words>
  <Characters>77855</Characters>
  <Application>Microsoft Office Word</Application>
  <DocSecurity>8</DocSecurity>
  <Lines>648</Lines>
  <Paragraphs>180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Stadtwerke München GmbH</Company>
  <LinksUpToDate>false</LinksUpToDate>
  <CharactersWithSpaces>90032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bergfeld</cp:lastModifiedBy>
  <cp:revision>2</cp:revision>
  <dcterms:created xsi:type="dcterms:W3CDTF">2015-02-27T13:08:00Z</dcterms:created>
  <dcterms:modified xsi:type="dcterms:W3CDTF">2015-02-27T13:08:00Z</dcterms:modified>
</cp:coreProperties>
</file>