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973058580"/>
        <w:docPartObj>
          <w:docPartGallery w:val="Cover Pages"/>
          <w:docPartUnique/>
        </w:docPartObj>
      </w:sdt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le"/>
                  <w:jc w:val="right"/>
                  <w:rPr>
                    <w:sz w:val="48"/>
                    <w:szCs w:val="48"/>
                  </w:rPr>
                </w:pPr>
                <w:r w:rsidRPr="00EA2103">
                  <w:rPr>
                    <w:sz w:val="48"/>
                    <w:szCs w:val="48"/>
                  </w:rPr>
                  <w:t xml:space="preserve">Reply form for the </w:t>
                </w:r>
              </w:p>
              <w:p w:rsidR="007E7997" w:rsidRPr="005B6B12" w:rsidRDefault="00EA2103" w:rsidP="00EA2103">
                <w:pPr>
                  <w:pStyle w:val="Title"/>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8"/>
              <w:footerReference w:type="first" r:id="rId9"/>
              <w:pgSz w:w="11906" w:h="16838"/>
              <w:pgMar w:top="1417" w:right="1417" w:bottom="1417" w:left="1417" w:header="708" w:footer="708" w:gutter="0"/>
              <w:pgNumType w:start="0"/>
              <w:cols w:space="708"/>
              <w:titlePg/>
              <w:docGrid w:linePitch="360"/>
            </w:sectPr>
          </w:pPr>
        </w:p>
        <w:p w:rsidR="009663D9" w:rsidRDefault="00827E04" w:rsidP="009663D9">
          <w:pPr>
            <w:spacing w:after="120" w:line="264" w:lineRule="auto"/>
          </w:pPr>
        </w:p>
      </w:sdtContent>
    </w:sdt>
    <w:p w:rsidR="000632C2" w:rsidRDefault="000632C2" w:rsidP="009663D9">
      <w:pPr>
        <w:pStyle w:val="Subtitle"/>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Paragraph"/>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Paragraph"/>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Paragraph"/>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Paragraph"/>
        <w:numPr>
          <w:ilvl w:val="0"/>
          <w:numId w:val="18"/>
        </w:numPr>
        <w:spacing w:after="120" w:line="264" w:lineRule="auto"/>
      </w:pPr>
      <w:r>
        <w:t>if they respond to the question stated;</w:t>
      </w:r>
    </w:p>
    <w:p w:rsidR="000632C2" w:rsidRDefault="000632C2" w:rsidP="000632C2">
      <w:pPr>
        <w:pStyle w:val="ListParagraph"/>
        <w:numPr>
          <w:ilvl w:val="0"/>
          <w:numId w:val="18"/>
        </w:numPr>
        <w:spacing w:after="120" w:line="264" w:lineRule="auto"/>
      </w:pPr>
      <w:r>
        <w:t>contain a clear rationale, and</w:t>
      </w:r>
    </w:p>
    <w:p w:rsidR="000632C2" w:rsidRDefault="000632C2" w:rsidP="000632C2">
      <w:pPr>
        <w:pStyle w:val="ListParagraph"/>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eEmphasis"/>
        </w:rPr>
      </w:pPr>
      <w:r w:rsidRPr="000632C2">
        <w:rPr>
          <w:rStyle w:val="IntenseEmphasis"/>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eEmphasis"/>
        </w:rPr>
      </w:pPr>
      <w:r w:rsidRPr="00EA2103">
        <w:rPr>
          <w:rStyle w:val="IntenseEmphasis"/>
        </w:rPr>
        <w:t>Deadline</w:t>
      </w:r>
    </w:p>
    <w:p w:rsidR="000632C2" w:rsidRDefault="000632C2" w:rsidP="000632C2">
      <w:pPr>
        <w:spacing w:after="120" w:line="264" w:lineRule="auto"/>
      </w:pPr>
      <w:r>
        <w:t xml:space="preserve">Responses must reach us by </w:t>
      </w:r>
      <w:r w:rsidR="00EA2103">
        <w:rPr>
          <w:rStyle w:val="Strong"/>
        </w:rPr>
        <w:t>2</w:t>
      </w:r>
      <w:r w:rsidRPr="000632C2">
        <w:rPr>
          <w:rStyle w:val="Strong"/>
        </w:rPr>
        <w:t xml:space="preserve"> </w:t>
      </w:r>
      <w:r w:rsidR="00EA2103">
        <w:rPr>
          <w:rStyle w:val="Strong"/>
        </w:rPr>
        <w:t>March</w:t>
      </w:r>
      <w:r w:rsidRPr="000632C2">
        <w:rPr>
          <w:rStyle w:val="Strong"/>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Strong"/>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Heading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0" w:edGrp="everyone" w:colFirst="1" w:colLast="1"/>
            <w:r w:rsidRPr="00AB6D88">
              <w:rPr>
                <w:rFonts w:ascii="Arial" w:hAnsi="Arial" w:cs="Arial"/>
              </w:rPr>
              <w:t>Name of the company / organisation</w:t>
            </w:r>
          </w:p>
        </w:tc>
        <w:tc>
          <w:tcPr>
            <w:tcW w:w="5595" w:type="dxa"/>
            <w:shd w:val="clear" w:color="auto" w:fill="auto"/>
          </w:tcPr>
          <w:p w:rsidR="000632C2" w:rsidRPr="00AB6D88" w:rsidRDefault="000A4016" w:rsidP="003764C0">
            <w:pPr>
              <w:rPr>
                <w:rStyle w:val="PlaceholderText"/>
                <w:rFonts w:ascii="Arial" w:hAnsi="Arial" w:cs="Arial"/>
              </w:rPr>
            </w:pPr>
            <w:permStart w:id="1" w:edGrp="everyone"/>
            <w:r>
              <w:rPr>
                <w:rStyle w:val="PlaceholderText"/>
                <w:rFonts w:ascii="Arial" w:hAnsi="Arial" w:cs="Arial"/>
              </w:rPr>
              <w:t>Barclays Bank PLC</w:t>
            </w:r>
            <w:permEnd w:id="1"/>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2" w:edGrp="everyone" w:colFirst="1" w:colLast="1"/>
            <w:permEnd w:id="0"/>
            <w:r w:rsidRPr="00AB6D88">
              <w:rPr>
                <w:rFonts w:ascii="Arial" w:hAnsi="Arial" w:cs="Arial"/>
              </w:rPr>
              <w:t>Confidential</w:t>
            </w:r>
            <w:r w:rsidRPr="00AB6D88">
              <w:rPr>
                <w:rStyle w:val="FootnoteReference"/>
                <w:rFonts w:ascii="Arial" w:hAnsi="Arial" w:cs="Arial"/>
              </w:rPr>
              <w:footnoteReference w:id="1"/>
            </w:r>
          </w:p>
        </w:tc>
        <w:sdt>
          <w:sdtPr>
            <w:rPr>
              <w:rStyle w:val="PlaceholderText"/>
              <w:rFonts w:ascii="Arial" w:hAnsi="Arial" w:cs="Arial"/>
            </w:rPr>
            <w:id w:val="-2035031634"/>
          </w:sdtPr>
          <w:sdtContent>
            <w:tc>
              <w:tcPr>
                <w:tcW w:w="5595" w:type="dxa"/>
                <w:shd w:val="clear" w:color="auto" w:fill="auto"/>
              </w:tcPr>
              <w:p w:rsidR="000632C2" w:rsidRPr="00AB6D88" w:rsidRDefault="000932BC" w:rsidP="009E5107">
                <w:pPr>
                  <w:rPr>
                    <w:rStyle w:val="PlaceholderText"/>
                    <w:rFonts w:ascii="Arial" w:hAnsi="Arial" w:cs="Arial"/>
                  </w:rPr>
                </w:pPr>
                <w:r>
                  <w:rPr>
                    <w:rStyle w:val="Placehold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3" w:edGrp="everyone" w:colFirst="1" w:colLast="1"/>
            <w:permEnd w:id="2"/>
            <w:r w:rsidRPr="00AB6D88">
              <w:rPr>
                <w:rFonts w:ascii="Arial" w:hAnsi="Arial" w:cs="Arial"/>
              </w:rPr>
              <w:t>Activity:</w:t>
            </w:r>
          </w:p>
        </w:tc>
        <w:tc>
          <w:tcPr>
            <w:tcW w:w="5595" w:type="dxa"/>
            <w:shd w:val="clear" w:color="auto" w:fill="auto"/>
          </w:tcPr>
          <w:p w:rsidR="000632C2" w:rsidRPr="00AB6D88" w:rsidRDefault="00827E04" w:rsidP="00FF5D0C">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4" w:edGrp="everyone"/>
                <w:r w:rsidR="00FF5D0C">
                  <w:rPr>
                    <w:rFonts w:ascii="Arial" w:hAnsi="Arial" w:cs="Arial"/>
                  </w:rPr>
                  <w:t>Banking</w:t>
                </w:r>
                <w:permEnd w:id="4"/>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5" w:edGrp="everyone" w:colFirst="1" w:colLast="1"/>
            <w:permEnd w:id="3"/>
            <w:r w:rsidRPr="00AB6D88">
              <w:rPr>
                <w:rFonts w:ascii="Arial" w:hAnsi="Arial" w:cs="Arial"/>
              </w:rPr>
              <w:t>Are you representing an association?</w:t>
            </w:r>
          </w:p>
        </w:tc>
        <w:sdt>
          <w:sdtPr>
            <w:rPr>
              <w:rFonts w:ascii="Arial" w:hAnsi="Arial" w:cs="Arial"/>
            </w:rPr>
            <w:id w:val="-242871467"/>
          </w:sdtPr>
          <w:sdtContent>
            <w:tc>
              <w:tcPr>
                <w:tcW w:w="5595" w:type="dxa"/>
                <w:shd w:val="clear" w:color="auto" w:fill="auto"/>
              </w:tcPr>
              <w:p w:rsidR="000632C2" w:rsidRPr="00AB6D88" w:rsidRDefault="000632C2" w:rsidP="009E5107">
                <w:pPr>
                  <w:rPr>
                    <w:rFonts w:ascii="Arial" w:hAnsi="Arial" w:cs="Arial"/>
                  </w:rPr>
                </w:pPr>
                <w:r w:rsidRPr="00AB6D88">
                  <w:rPr>
                    <w:rFonts w:ascii="MS Gothic" w:eastAsia="MS Gothic" w:hAnsi="MS Gothic" w:cs="MS Gothic"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6" w:edGrp="everyone" w:colFirst="1" w:colLast="1"/>
            <w:permEnd w:id="5"/>
            <w:r w:rsidRPr="00AB6D88">
              <w:rPr>
                <w:rFonts w:ascii="Arial" w:hAnsi="Arial" w:cs="Arial"/>
              </w:rPr>
              <w:t>Country/Region</w:t>
            </w:r>
          </w:p>
        </w:tc>
        <w:permStart w:id="7"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 w:edGrp="everyone" w:displacedByCustomXml="prev"/>
            <w:tc>
              <w:tcPr>
                <w:tcW w:w="5595" w:type="dxa"/>
                <w:shd w:val="clear" w:color="auto" w:fill="auto"/>
              </w:tcPr>
              <w:p w:rsidR="000632C2" w:rsidRPr="00AB6D88" w:rsidRDefault="00FF5D0C" w:rsidP="00FF5D0C">
                <w:pPr>
                  <w:rPr>
                    <w:rFonts w:ascii="Arial" w:hAnsi="Arial" w:cs="Arial"/>
                  </w:rPr>
                </w:pPr>
                <w:r>
                  <w:rPr>
                    <w:rFonts w:ascii="Arial" w:hAnsi="Arial" w:cs="Arial"/>
                  </w:rPr>
                  <w:t>United Kingdom</w:t>
                </w:r>
              </w:p>
            </w:tc>
            <w:permEnd w:id="8" w:displacedByCustomXml="next"/>
          </w:sdtContent>
        </w:sdt>
        <w:permEnd w:id="7" w:displacedByCustomXml="prev"/>
      </w:tr>
      <w:permEnd w:id="6"/>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Heading1"/>
        <w:numPr>
          <w:ilvl w:val="0"/>
          <w:numId w:val="0"/>
        </w:numPr>
        <w:ind w:left="431" w:hanging="431"/>
      </w:pPr>
      <w:r>
        <w:t>Introduction</w:t>
      </w:r>
    </w:p>
    <w:p w:rsidR="001D47A5" w:rsidRPr="001D47A5" w:rsidRDefault="001D47A5" w:rsidP="001D47A5">
      <w:pPr>
        <w:rPr>
          <w:rStyle w:val="IntenseEmphasis"/>
        </w:rPr>
      </w:pPr>
      <w:r w:rsidRPr="001D47A5">
        <w:rPr>
          <w:rStyle w:val="IntenseEmphasis"/>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E91E95" w:rsidRPr="00AE7975" w:rsidRDefault="00E91E95" w:rsidP="00E24D42">
      <w:permStart w:id="9" w:edGrp="everyone"/>
      <w:r w:rsidRPr="00AE7975">
        <w:t>Barclays Bank PLC has contributed significantly to the Trade Associations responses, therefore in weighing responses to this consultation, where Barclays Bank PLC has stated that it agrees with a Trade Association response, ESMA should treat the response as if it included the full text of that response.</w:t>
      </w:r>
    </w:p>
    <w:permEnd w:id="9"/>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1" w:name="_Toc406692468"/>
      <w:bookmarkStart w:id="2" w:name="_Toc406692311"/>
      <w:bookmarkStart w:id="3" w:name="_Toc406691701"/>
      <w:bookmarkStart w:id="4" w:name="_Toc405371754"/>
      <w:r>
        <w:t>Investor protection</w:t>
      </w:r>
      <w:bookmarkEnd w:id="1"/>
      <w:bookmarkEnd w:id="2"/>
      <w:bookmarkEnd w:id="3"/>
      <w:bookmarkEnd w:id="4"/>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EC60B7" w:rsidRPr="00AE7975" w:rsidRDefault="00EC60B7" w:rsidP="00EC60B7">
      <w:pPr>
        <w:keepNext/>
      </w:pPr>
      <w:permStart w:id="10" w:edGrp="everyone"/>
      <w:r w:rsidRPr="00AE7975">
        <w:t>We agree with ESMA's overall approach. However, we find that the current wording under the draft RTS 1, Article 4(1</w:t>
      </w:r>
      <w:proofErr w:type="gramStart"/>
      <w:r w:rsidRPr="00AE7975">
        <w:t>)(</w:t>
      </w:r>
      <w:proofErr w:type="gramEnd"/>
      <w:r w:rsidRPr="00AE7975">
        <w:t>v) should be refined to clarify the scope and meaning of “non-financial interests” and “relationships”, so as to avoid compelling individuals to report privately sensitive information without proper regulatory justification. With that in mind, we believe that:</w:t>
      </w:r>
    </w:p>
    <w:p w:rsidR="00EC60B7" w:rsidRPr="00AE7975" w:rsidRDefault="00EC60B7" w:rsidP="00EC60B7">
      <w:pPr>
        <w:keepNext/>
      </w:pPr>
      <w:r w:rsidRPr="00AE7975">
        <w:t>a) the disclosure obligation should be qualified, such that only interests of a type, extent or kind, which have the potential to result in the independence of a member of the management body being compromised or conflicted, or that member acting in concert with another, are required to be disclosed;</w:t>
      </w:r>
    </w:p>
    <w:p w:rsidR="00EC60B7" w:rsidRPr="00AE7975" w:rsidRDefault="00EC60B7" w:rsidP="00EC60B7">
      <w:pPr>
        <w:keepNext/>
      </w:pPr>
      <w:r w:rsidRPr="00AE7975">
        <w:t xml:space="preserve">b) </w:t>
      </w:r>
      <w:proofErr w:type="gramStart"/>
      <w:r w:rsidR="00830C1E" w:rsidRPr="00AE7975">
        <w:t>examples</w:t>
      </w:r>
      <w:proofErr w:type="gramEnd"/>
      <w:r w:rsidRPr="00AE7975">
        <w:t xml:space="preserve"> of “non-financial interests” should be given (in the same way as has been done for financial interests and relationships) so that firms have some guidance as to the types of non-financial interest that are intended to be caught by the disclosure requirement;</w:t>
      </w:r>
    </w:p>
    <w:p w:rsidR="00EC60B7" w:rsidRPr="00AE7975" w:rsidRDefault="00EC60B7" w:rsidP="00EC60B7">
      <w:pPr>
        <w:keepNext/>
      </w:pPr>
      <w:r w:rsidRPr="00AE7975">
        <w:t>c) it would be helpful to confirm (or revise the wording to make clear that) the reference to “close relatives”/”close relatives” are interpreted in the same way as “relationships”, i.e. a spouse, registered partner, cohabitant, child, parent or other relation with whom the person shares living accommodation.</w:t>
      </w:r>
    </w:p>
    <w:permEnd w:id="10"/>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Pr="00AE7975" w:rsidRDefault="00E009EA" w:rsidP="00EC2C93">
      <w:pPr>
        <w:keepNext/>
      </w:pPr>
      <w:permStart w:id="11" w:edGrp="everyone"/>
      <w:r w:rsidRPr="00E009EA">
        <w:t>TYPE YOUR TEXT HERE</w:t>
      </w:r>
    </w:p>
    <w:permEnd w:id="11"/>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EC60B7" w:rsidRPr="00AE7975" w:rsidRDefault="00D87C08" w:rsidP="00EC2C93">
      <w:pPr>
        <w:keepNext/>
      </w:pPr>
      <w:permStart w:id="12" w:edGrp="everyone"/>
      <w:r>
        <w:t>We agre</w:t>
      </w:r>
      <w:r w:rsidR="00145155">
        <w:t>e with AFME on this point.</w:t>
      </w:r>
    </w:p>
    <w:permEnd w:id="12"/>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lastRenderedPageBreak/>
        <w:t>&lt;ESMA_QUESTION_CP_MIFID_4&gt;</w:t>
      </w:r>
    </w:p>
    <w:p w:rsidR="00EC60B7" w:rsidRPr="00AE7975" w:rsidRDefault="00D87C08" w:rsidP="00EC2C93">
      <w:pPr>
        <w:keepNext/>
      </w:pPr>
      <w:permStart w:id="13" w:edGrp="everyone"/>
      <w:r>
        <w:t>We agr</w:t>
      </w:r>
      <w:r w:rsidR="00145155">
        <w:t>ee with AFME on this point.</w:t>
      </w:r>
    </w:p>
    <w:permEnd w:id="13"/>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Pr="00AE7975" w:rsidRDefault="00E009EA" w:rsidP="00EC2C93">
      <w:pPr>
        <w:keepNext/>
      </w:pPr>
      <w:permStart w:id="14" w:edGrp="everyone"/>
      <w:r w:rsidRPr="00E009EA">
        <w:t>TYPE YOUR TEXT HERE</w:t>
      </w:r>
    </w:p>
    <w:permEnd w:id="14"/>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EC60B7" w:rsidRPr="00AE7975" w:rsidRDefault="00D87C08" w:rsidP="00EC60B7">
      <w:pPr>
        <w:keepNext/>
      </w:pPr>
      <w:permStart w:id="15" w:edGrp="everyone"/>
      <w:r>
        <w:t>We agree with AFME on this point.</w:t>
      </w:r>
    </w:p>
    <w:permEnd w:id="15"/>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t>&lt;ESMA_QUESTION_CP_MIFID_7&gt;</w:t>
      </w:r>
    </w:p>
    <w:p w:rsidR="00EC60B7" w:rsidRPr="00AE7975" w:rsidRDefault="00D87C08" w:rsidP="00EC60B7">
      <w:pPr>
        <w:keepNext/>
      </w:pPr>
      <w:permStart w:id="16" w:edGrp="everyone"/>
      <w:r>
        <w:t>We agree with AFME on this point.</w:t>
      </w:r>
    </w:p>
    <w:permEnd w:id="16"/>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EC60B7" w:rsidRPr="00AE7975" w:rsidRDefault="00D87C08" w:rsidP="00EC60B7">
      <w:pPr>
        <w:keepNext/>
      </w:pPr>
      <w:permStart w:id="17" w:edGrp="everyone"/>
      <w:r>
        <w:t>We agree with AFME on this point.</w:t>
      </w:r>
    </w:p>
    <w:permEnd w:id="17"/>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Pr="00AE7975" w:rsidRDefault="00E009EA" w:rsidP="00EC2C93">
      <w:pPr>
        <w:keepNext/>
      </w:pPr>
      <w:permStart w:id="18" w:edGrp="everyone"/>
      <w:r w:rsidRPr="00E009EA">
        <w:t>TYPE YOUR TEXT HERE</w:t>
      </w:r>
    </w:p>
    <w:permEnd w:id="18"/>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EC60B7" w:rsidRPr="00AE7975" w:rsidRDefault="00D87C08" w:rsidP="00EC60B7">
      <w:pPr>
        <w:keepNext/>
      </w:pPr>
      <w:permStart w:id="19" w:edGrp="everyone"/>
      <w:r>
        <w:t>We agree with AFME on this point.</w:t>
      </w:r>
    </w:p>
    <w:permEnd w:id="19"/>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lastRenderedPageBreak/>
        <w:t>&lt;ESMA_QUESTION_CP_MIFID_11&gt;</w:t>
      </w:r>
    </w:p>
    <w:p w:rsidR="00EC60B7" w:rsidRPr="00AE7975" w:rsidRDefault="00D87C08" w:rsidP="00EC60B7">
      <w:pPr>
        <w:keepNext/>
      </w:pPr>
      <w:permStart w:id="20" w:edGrp="everyone"/>
      <w:r>
        <w:t>We agree with AFME on this point.</w:t>
      </w:r>
    </w:p>
    <w:permEnd w:id="20"/>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Pr="00AE7975" w:rsidRDefault="00E009EA" w:rsidP="00EC2C93">
      <w:pPr>
        <w:keepNext/>
      </w:pPr>
      <w:permStart w:id="21" w:edGrp="everyone"/>
      <w:r w:rsidRPr="00E009EA">
        <w:t>TYPE YOUR TEXT HERE</w:t>
      </w:r>
    </w:p>
    <w:permEnd w:id="21"/>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Pr="00AE7975" w:rsidRDefault="00E009EA" w:rsidP="00EC2C93">
      <w:pPr>
        <w:keepNext/>
      </w:pPr>
      <w:permStart w:id="22" w:edGrp="everyone"/>
      <w:r w:rsidRPr="00E009EA">
        <w:t>TYPE YOUR TEXT HERE</w:t>
      </w:r>
    </w:p>
    <w:permEnd w:id="22"/>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t>&lt;ESMA_QUESTION_CP_MIFID_14&gt;</w:t>
      </w:r>
    </w:p>
    <w:p w:rsidR="00EC60B7" w:rsidRPr="00AE7975" w:rsidRDefault="00D87C08" w:rsidP="00EC60B7">
      <w:pPr>
        <w:keepNext/>
      </w:pPr>
      <w:permStart w:id="23" w:edGrp="everyone"/>
      <w:r>
        <w:t>We agree with AFME on this point.</w:t>
      </w:r>
    </w:p>
    <w:permEnd w:id="23"/>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EC60B7" w:rsidRPr="00AE7975" w:rsidRDefault="00D87C08" w:rsidP="00EC60B7">
      <w:pPr>
        <w:keepNext/>
      </w:pPr>
      <w:permStart w:id="24" w:edGrp="everyone"/>
      <w:r>
        <w:t>We agree with AFME on this point.</w:t>
      </w:r>
    </w:p>
    <w:permEnd w:id="24"/>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EC60B7" w:rsidRPr="00AE7975" w:rsidRDefault="00D87C08" w:rsidP="00EC60B7">
      <w:pPr>
        <w:keepNext/>
      </w:pPr>
      <w:permStart w:id="25" w:edGrp="everyone"/>
      <w:r>
        <w:t>We agree with AFME on this point.</w:t>
      </w:r>
    </w:p>
    <w:permEnd w:id="25"/>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EC60B7" w:rsidRPr="00AE7975" w:rsidRDefault="00D87C08" w:rsidP="00EC60B7">
      <w:pPr>
        <w:keepNext/>
      </w:pPr>
      <w:permStart w:id="26" w:edGrp="everyone"/>
      <w:r>
        <w:t>We agree with AFME on this point.</w:t>
      </w:r>
    </w:p>
    <w:permEnd w:id="26"/>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lastRenderedPageBreak/>
        <w:t>&lt;ESMA_QUESTION_CP_MIFID_18&gt;</w:t>
      </w:r>
    </w:p>
    <w:p w:rsidR="00EC60B7" w:rsidRPr="00AE7975" w:rsidRDefault="00D87C08" w:rsidP="00EC60B7">
      <w:pPr>
        <w:keepNext/>
      </w:pPr>
      <w:permStart w:id="27" w:edGrp="everyone"/>
      <w:r>
        <w:t>We agree with AFME on this point.</w:t>
      </w:r>
    </w:p>
    <w:permEnd w:id="27"/>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EC60B7" w:rsidRPr="00AE7975" w:rsidRDefault="00D87C08" w:rsidP="00EC60B7">
      <w:pPr>
        <w:keepNext/>
      </w:pPr>
      <w:permStart w:id="28" w:edGrp="everyone"/>
      <w:r>
        <w:t>We agree with AFME on this point.</w:t>
      </w:r>
    </w:p>
    <w:permEnd w:id="28"/>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EC60B7" w:rsidRPr="00AE7975" w:rsidRDefault="00D87C08" w:rsidP="00EC60B7">
      <w:pPr>
        <w:keepNext/>
      </w:pPr>
      <w:permStart w:id="29" w:edGrp="everyone"/>
      <w:r>
        <w:t>We agree with AFME on this point.</w:t>
      </w:r>
    </w:p>
    <w:permEnd w:id="29"/>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t>&lt;ESMA_QUESTION_CP_MIFID_21&gt;</w:t>
      </w:r>
    </w:p>
    <w:p w:rsidR="00EC60B7" w:rsidRPr="00AE7975" w:rsidRDefault="00D87C08" w:rsidP="00EC60B7">
      <w:pPr>
        <w:keepNext/>
      </w:pPr>
      <w:permStart w:id="30" w:edGrp="everyone"/>
      <w:r>
        <w:t>We agree with AFME on this point.</w:t>
      </w:r>
    </w:p>
    <w:permEnd w:id="30"/>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Pr="00AE7975" w:rsidRDefault="00E009EA" w:rsidP="00EC2C93">
      <w:pPr>
        <w:keepNext/>
      </w:pPr>
      <w:permStart w:id="31" w:edGrp="everyone"/>
      <w:r w:rsidRPr="00E009EA">
        <w:t>TYPE YOUR TEXT HERE</w:t>
      </w:r>
    </w:p>
    <w:permEnd w:id="31"/>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Pr="00AE7975" w:rsidRDefault="00E009EA" w:rsidP="00EC2C93">
      <w:pPr>
        <w:keepNext/>
      </w:pPr>
      <w:permStart w:id="32" w:edGrp="everyone"/>
      <w:r w:rsidRPr="00E009EA">
        <w:t>TYPE YOUR TEXT HERE</w:t>
      </w:r>
    </w:p>
    <w:permEnd w:id="32"/>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EC60B7" w:rsidRPr="00AE7975" w:rsidRDefault="00D87C08" w:rsidP="00EC60B7">
      <w:pPr>
        <w:keepNext/>
      </w:pPr>
      <w:permStart w:id="33" w:edGrp="everyone"/>
      <w:r>
        <w:t>We agree with AFME on this point.</w:t>
      </w:r>
    </w:p>
    <w:permEnd w:id="33"/>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lastRenderedPageBreak/>
        <w:t>&lt;ESMA_QUESTION_CP_MIFID_25&gt;</w:t>
      </w:r>
    </w:p>
    <w:p w:rsidR="00EC60B7" w:rsidRPr="00AE7975" w:rsidRDefault="00D87C08" w:rsidP="00EC60B7">
      <w:pPr>
        <w:keepNext/>
      </w:pPr>
      <w:permStart w:id="34" w:edGrp="everyone"/>
      <w:r>
        <w:t>We agree with AFME on this point.</w:t>
      </w:r>
    </w:p>
    <w:permEnd w:id="34"/>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EC60B7" w:rsidRPr="00AE7975" w:rsidRDefault="00D87C08" w:rsidP="00EC60B7">
      <w:pPr>
        <w:keepNext/>
      </w:pPr>
      <w:permStart w:id="35" w:edGrp="everyone"/>
      <w:r>
        <w:t>We agree with AFME on this point.</w:t>
      </w:r>
    </w:p>
    <w:permEnd w:id="35"/>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Pr="00AE7975" w:rsidRDefault="00E009EA" w:rsidP="00EC2C93">
      <w:pPr>
        <w:keepNext/>
      </w:pPr>
      <w:permStart w:id="36" w:edGrp="everyone"/>
      <w:r w:rsidRPr="00E009EA">
        <w:t>TYPE YOUR TEXT HERE</w:t>
      </w:r>
    </w:p>
    <w:permEnd w:id="36"/>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t>&lt;ESMA_QUESTION_CP_MIFID_28&gt;</w:t>
      </w:r>
    </w:p>
    <w:p w:rsidR="00881957" w:rsidRPr="00AE7975" w:rsidRDefault="00881957" w:rsidP="00881957">
      <w:pPr>
        <w:keepNext/>
      </w:pPr>
      <w:permStart w:id="37" w:edGrp="everyone"/>
      <w:r w:rsidRPr="00AE7975">
        <w:t xml:space="preserve">We agree with AFME and </w:t>
      </w:r>
      <w:r w:rsidR="005D0F0F">
        <w:t>the BBA</w:t>
      </w:r>
      <w:r w:rsidRPr="00AE7975">
        <w:t xml:space="preserve"> on this point</w:t>
      </w:r>
    </w:p>
    <w:permEnd w:id="37"/>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881957" w:rsidRPr="00AE7975" w:rsidRDefault="00D87C08" w:rsidP="00881957">
      <w:pPr>
        <w:keepNext/>
      </w:pPr>
      <w:permStart w:id="38" w:edGrp="everyone"/>
      <w:r>
        <w:t>We agree with AFME on this point.</w:t>
      </w:r>
    </w:p>
    <w:permEnd w:id="38"/>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C0565B" w:rsidRPr="00AE7975" w:rsidRDefault="00C0565B" w:rsidP="00C0565B">
      <w:permStart w:id="39" w:edGrp="everyone"/>
      <w:r w:rsidRPr="00AE7975">
        <w:t xml:space="preserve">We do not support this approach and agree with AFME’s response to this question. </w:t>
      </w:r>
    </w:p>
    <w:p w:rsidR="00C0565B" w:rsidRPr="00AE7975" w:rsidRDefault="00C0565B" w:rsidP="00C0565B">
      <w:r w:rsidRPr="00AE7975">
        <w:t xml:space="preserve">Specifically, we are concerned that these requirements are overly burdensome and disproportionate to the policy objectives.  We believe that this approach should be significantly </w:t>
      </w:r>
      <w:r w:rsidR="00AE7975" w:rsidRPr="00AE7975">
        <w:t>revised in</w:t>
      </w:r>
      <w:r w:rsidRPr="00AE7975">
        <w:t xml:space="preserve"> order to:</w:t>
      </w:r>
    </w:p>
    <w:p w:rsidR="00C0565B" w:rsidRPr="00AE7975" w:rsidRDefault="00C0565B" w:rsidP="00751D97">
      <w:pPr>
        <w:pStyle w:val="ListParagraph"/>
      </w:pPr>
      <w:proofErr w:type="gramStart"/>
      <w:r w:rsidRPr="00AE7975">
        <w:t>take</w:t>
      </w:r>
      <w:proofErr w:type="gramEnd"/>
      <w:r w:rsidRPr="00AE7975">
        <w:t xml:space="preserve"> into account the structural differences between regulated trading venues on the one hand and SIs on the other, by recalibrating the disclosure requirements for SIs. </w:t>
      </w:r>
    </w:p>
    <w:p w:rsidR="00C0565B" w:rsidRPr="00AE7975" w:rsidRDefault="00C0565B" w:rsidP="00751D97">
      <w:pPr>
        <w:pStyle w:val="ListParagraph"/>
      </w:pPr>
      <w:proofErr w:type="gramStart"/>
      <w:r w:rsidRPr="00AE7975">
        <w:t>remove</w:t>
      </w:r>
      <w:proofErr w:type="gramEnd"/>
      <w:r w:rsidRPr="00AE7975">
        <w:t xml:space="preserve"> “market-makers” and “other liquidity providers”  from the definition of “execution venue” given their imprecise definition and the fact that this will impose an unnecessary burden on firms that do not meet the SI threshold in a particular instrument. </w:t>
      </w:r>
    </w:p>
    <w:p w:rsidR="00C0565B" w:rsidRPr="00C0565B" w:rsidRDefault="00C0565B" w:rsidP="00C0565B">
      <w:pPr>
        <w:rPr>
          <w:color w:val="FF0000"/>
        </w:rPr>
      </w:pPr>
      <w:r w:rsidRPr="00AE7975">
        <w:t>We support AFME’s alternative proposal.</w:t>
      </w:r>
      <w:r w:rsidRPr="00C0565B">
        <w:rPr>
          <w:color w:val="FF0000"/>
        </w:rPr>
        <w:t xml:space="preserve"> </w:t>
      </w:r>
    </w:p>
    <w:permEnd w:id="39"/>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lastRenderedPageBreak/>
        <w:t>&lt;ESMA_QUESTION_CP_MIFID_31&gt;</w:t>
      </w:r>
    </w:p>
    <w:p w:rsidR="00C95367" w:rsidRPr="00AE7975" w:rsidRDefault="00D87C08" w:rsidP="00C95367">
      <w:pPr>
        <w:keepNext/>
      </w:pPr>
      <w:permStart w:id="40" w:edGrp="everyone"/>
      <w:r>
        <w:t>We agree with AFME on this point.</w:t>
      </w:r>
    </w:p>
    <w:permEnd w:id="40"/>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C95367" w:rsidRPr="00AE7975" w:rsidRDefault="00D87C08" w:rsidP="00C95367">
      <w:pPr>
        <w:keepNext/>
      </w:pPr>
      <w:permStart w:id="41" w:edGrp="everyone"/>
      <w:r>
        <w:t>We agree with AFME on this point.</w:t>
      </w:r>
    </w:p>
    <w:permEnd w:id="41"/>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C95367" w:rsidRPr="00AE7975" w:rsidRDefault="00D87C08" w:rsidP="00C95367">
      <w:pPr>
        <w:keepNext/>
      </w:pPr>
      <w:permStart w:id="42" w:edGrp="everyone"/>
      <w:r>
        <w:t>We agree with AFME on this point.</w:t>
      </w:r>
    </w:p>
    <w:permEnd w:id="42"/>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C95367" w:rsidRPr="00AE7975" w:rsidRDefault="00D87C08" w:rsidP="00C95367">
      <w:pPr>
        <w:keepNext/>
      </w:pPr>
      <w:permStart w:id="43" w:edGrp="everyone"/>
      <w:r>
        <w:t>We agree with AFME on this point.</w:t>
      </w:r>
    </w:p>
    <w:permEnd w:id="43"/>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C95367" w:rsidRPr="00AE7975" w:rsidRDefault="00D87C08" w:rsidP="00C95367">
      <w:pPr>
        <w:keepNext/>
      </w:pPr>
      <w:permStart w:id="44" w:edGrp="everyone"/>
      <w:r>
        <w:t>We agree with AFME on this point.</w:t>
      </w:r>
    </w:p>
    <w:permEnd w:id="44"/>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&lt;ESMA_QUESTION_CP_MIFID_36&gt;</w:t>
      </w:r>
    </w:p>
    <w:p w:rsidR="00C95367" w:rsidRPr="00AE7975" w:rsidRDefault="00D87C08" w:rsidP="00C95367">
      <w:pPr>
        <w:keepNext/>
      </w:pPr>
      <w:permStart w:id="45" w:edGrp="everyone"/>
      <w:r>
        <w:t>We agree with AFME on this point.</w:t>
      </w:r>
    </w:p>
    <w:permEnd w:id="45"/>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5" w:name="_Toc406692477"/>
      <w:bookmarkStart w:id="6" w:name="_Toc406692320"/>
      <w:bookmarkStart w:id="7" w:name="_Toc406691710"/>
      <w:r>
        <w:lastRenderedPageBreak/>
        <w:t>Transparency</w:t>
      </w:r>
      <w:bookmarkEnd w:id="5"/>
      <w:bookmarkEnd w:id="6"/>
      <w:bookmarkEnd w:id="7"/>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C95367" w:rsidRPr="00AE7975" w:rsidRDefault="00D87C08" w:rsidP="00C95367">
      <w:pPr>
        <w:keepNext/>
      </w:pPr>
      <w:permStart w:id="46" w:edGrp="everyone"/>
      <w:r>
        <w:t>We agree with AFME on this point.</w:t>
      </w:r>
    </w:p>
    <w:permEnd w:id="46"/>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C95367" w:rsidRPr="00AE7975" w:rsidRDefault="00D87C08" w:rsidP="00C95367">
      <w:pPr>
        <w:keepNext/>
      </w:pPr>
      <w:permStart w:id="47" w:edGrp="everyone"/>
      <w:r>
        <w:t>We agree with AFME on this point.</w:t>
      </w:r>
    </w:p>
    <w:permEnd w:id="47"/>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C95367" w:rsidRPr="00AE7975" w:rsidRDefault="00D87C08" w:rsidP="00C95367">
      <w:pPr>
        <w:keepNext/>
      </w:pPr>
      <w:permStart w:id="48" w:edGrp="everyone"/>
      <w:r>
        <w:t>We agree with AFME on this point.</w:t>
      </w:r>
    </w:p>
    <w:permEnd w:id="48"/>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C95367" w:rsidRPr="00AE7975" w:rsidRDefault="00D87C08" w:rsidP="00C95367">
      <w:pPr>
        <w:keepNext/>
      </w:pPr>
      <w:permStart w:id="49" w:edGrp="everyone"/>
      <w:r>
        <w:t>We agree with AFME on this point.</w:t>
      </w:r>
    </w:p>
    <w:permEnd w:id="49"/>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C95367" w:rsidRPr="00AE7975" w:rsidRDefault="00D87C08" w:rsidP="00C95367">
      <w:pPr>
        <w:keepNext/>
      </w:pPr>
      <w:permStart w:id="50" w:edGrp="everyone"/>
      <w:r>
        <w:t>We agree with AFME on this point.</w:t>
      </w:r>
    </w:p>
    <w:permEnd w:id="50"/>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C95367" w:rsidRPr="00AE7975" w:rsidRDefault="00D87C08" w:rsidP="00C95367">
      <w:pPr>
        <w:keepNext/>
      </w:pPr>
      <w:permStart w:id="51" w:edGrp="everyone"/>
      <w:r>
        <w:t>We agree with AFME on this point.</w:t>
      </w:r>
    </w:p>
    <w:permEnd w:id="51"/>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lastRenderedPageBreak/>
        <w:t>&lt;ESMA_QUESTION_CP_MIFID_43&gt;</w:t>
      </w:r>
    </w:p>
    <w:p w:rsidR="005525D2" w:rsidRDefault="00E009EA" w:rsidP="005525D2">
      <w:pPr>
        <w:keepNext/>
      </w:pPr>
      <w:permStart w:id="52" w:edGrp="everyone"/>
      <w:r w:rsidRPr="00E009EA">
        <w:t>TYPE YOUR TEXT HERE</w:t>
      </w:r>
    </w:p>
    <w:permEnd w:id="52"/>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C95367" w:rsidRPr="00AE7975" w:rsidRDefault="00D87C08" w:rsidP="00C95367">
      <w:pPr>
        <w:keepNext/>
      </w:pPr>
      <w:permStart w:id="53" w:edGrp="everyone"/>
      <w:r>
        <w:t>We agree with AFME on this point.</w:t>
      </w:r>
    </w:p>
    <w:permEnd w:id="53"/>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C95367" w:rsidRPr="00AE7975" w:rsidRDefault="00D87C08" w:rsidP="00C95367">
      <w:pPr>
        <w:keepNext/>
      </w:pPr>
      <w:permStart w:id="54" w:edGrp="everyone"/>
      <w:r>
        <w:t>We agree with AFME on this point.</w:t>
      </w:r>
    </w:p>
    <w:permEnd w:id="54"/>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C95367" w:rsidRPr="00AE7975" w:rsidRDefault="00D87C08" w:rsidP="00C95367">
      <w:pPr>
        <w:keepNext/>
      </w:pPr>
      <w:permStart w:id="55" w:edGrp="everyone"/>
      <w:r>
        <w:t>We agree with AFME on this point.</w:t>
      </w:r>
    </w:p>
    <w:permEnd w:id="55"/>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C95367" w:rsidRPr="00AE7975" w:rsidRDefault="00D87C08" w:rsidP="00C95367">
      <w:pPr>
        <w:keepNext/>
      </w:pPr>
      <w:permStart w:id="56" w:edGrp="everyone"/>
      <w:r>
        <w:t>We agree with AFME on this point.</w:t>
      </w:r>
    </w:p>
    <w:permEnd w:id="56"/>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C95367" w:rsidRPr="00AE7975" w:rsidRDefault="00D87C08" w:rsidP="00C95367">
      <w:pPr>
        <w:keepNext/>
      </w:pPr>
      <w:permStart w:id="57" w:edGrp="everyone"/>
      <w:r>
        <w:t>We agree with AFME on this point.</w:t>
      </w:r>
    </w:p>
    <w:permEnd w:id="57"/>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C95367" w:rsidRPr="00AE7975" w:rsidRDefault="00D87C08" w:rsidP="00C95367">
      <w:pPr>
        <w:keepNext/>
      </w:pPr>
      <w:permStart w:id="58" w:edGrp="everyone"/>
      <w:r>
        <w:t>We agree with AFME on this point.</w:t>
      </w:r>
    </w:p>
    <w:permEnd w:id="58"/>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lastRenderedPageBreak/>
        <w:t>&lt;ESMA_QUESTION_CP_MIFID_50&gt;</w:t>
      </w:r>
    </w:p>
    <w:p w:rsidR="00C95367" w:rsidRPr="00AE7975" w:rsidRDefault="00D87C08" w:rsidP="00C95367">
      <w:pPr>
        <w:keepNext/>
      </w:pPr>
      <w:permStart w:id="59" w:edGrp="everyone"/>
      <w:r>
        <w:t>We agree with AFME on this point.</w:t>
      </w:r>
    </w:p>
    <w:permEnd w:id="59"/>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C95367" w:rsidRPr="00AE7975" w:rsidRDefault="00D87C08" w:rsidP="00C95367">
      <w:pPr>
        <w:keepNext/>
      </w:pPr>
      <w:permStart w:id="60" w:edGrp="everyone"/>
      <w:r>
        <w:t>We agree with AFME on this point.</w:t>
      </w:r>
    </w:p>
    <w:permEnd w:id="60"/>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C95367" w:rsidRPr="00AE7975" w:rsidRDefault="00D87C08" w:rsidP="00C95367">
      <w:pPr>
        <w:keepNext/>
      </w:pPr>
      <w:permStart w:id="61" w:edGrp="everyone"/>
      <w:r>
        <w:t>We agree with AFME on this point.</w:t>
      </w:r>
    </w:p>
    <w:permEnd w:id="61"/>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C95367" w:rsidRPr="00AE7975" w:rsidRDefault="00D87C08" w:rsidP="00C95367">
      <w:pPr>
        <w:keepNext/>
      </w:pPr>
      <w:permStart w:id="62" w:edGrp="everyone"/>
      <w:r>
        <w:t>We agree with AFME on this point.</w:t>
      </w:r>
    </w:p>
    <w:permEnd w:id="62"/>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C95367" w:rsidRPr="00AE7975" w:rsidRDefault="00D87C08" w:rsidP="00C95367">
      <w:pPr>
        <w:keepNext/>
      </w:pPr>
      <w:permStart w:id="63" w:edGrp="everyone"/>
      <w:r>
        <w:t>We agree with AFME on this point.</w:t>
      </w:r>
    </w:p>
    <w:permEnd w:id="63"/>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C95367" w:rsidRPr="00AE7975" w:rsidRDefault="00D87C08" w:rsidP="00C95367">
      <w:pPr>
        <w:keepNext/>
      </w:pPr>
      <w:permStart w:id="64" w:edGrp="everyone"/>
      <w:r>
        <w:t>We agree with AFME on this point.</w:t>
      </w:r>
    </w:p>
    <w:permEnd w:id="64"/>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C95367" w:rsidRPr="00AE7975" w:rsidRDefault="00D87C08" w:rsidP="00C95367">
      <w:pPr>
        <w:keepNext/>
      </w:pPr>
      <w:permStart w:id="65" w:edGrp="everyone"/>
      <w:r>
        <w:t>We agree with AFME on this point.</w:t>
      </w:r>
    </w:p>
    <w:permEnd w:id="65"/>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w:t>
      </w:r>
      <w:r>
        <w:rPr>
          <w:rFonts w:eastAsia="Calibri"/>
        </w:rPr>
        <w:lastRenderedPageBreak/>
        <w:t>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7F560E" w:rsidRPr="00AE7975" w:rsidRDefault="007F560E" w:rsidP="007F560E">
      <w:pPr>
        <w:spacing w:after="200"/>
        <w:rPr>
          <w:rFonts w:eastAsia="Calibri" w:cstheme="minorHAnsi"/>
          <w:szCs w:val="22"/>
        </w:rPr>
      </w:pPr>
      <w:permStart w:id="66" w:edGrp="everyone"/>
      <w:r w:rsidRPr="00AE7975">
        <w:rPr>
          <w:rFonts w:eastAsia="Calibri" w:cstheme="minorHAnsi"/>
          <w:szCs w:val="22"/>
        </w:rPr>
        <w:t>We support AFMEs response to this question.</w:t>
      </w:r>
    </w:p>
    <w:p w:rsidR="007F560E" w:rsidRPr="00AE7975" w:rsidRDefault="007F560E" w:rsidP="007F560E">
      <w:pPr>
        <w:spacing w:after="200"/>
        <w:rPr>
          <w:rFonts w:eastAsia="Calibri" w:cstheme="minorHAnsi"/>
          <w:szCs w:val="22"/>
        </w:rPr>
      </w:pPr>
      <w:r w:rsidRPr="00AE7975">
        <w:rPr>
          <w:rFonts w:eastAsia="Calibri" w:cstheme="minorHAnsi"/>
          <w:szCs w:val="22"/>
        </w:rPr>
        <w:t xml:space="preserve">We urge ESMA to clarify the territorial application of the transparency regime – in particular what transactions are to be included in the assessment of whether an investment firm qualifies as a Systematic </w:t>
      </w:r>
      <w:proofErr w:type="spellStart"/>
      <w:r w:rsidRPr="00AE7975">
        <w:rPr>
          <w:rFonts w:eastAsia="Calibri" w:cstheme="minorHAnsi"/>
          <w:szCs w:val="22"/>
        </w:rPr>
        <w:t>Internaliser</w:t>
      </w:r>
      <w:proofErr w:type="spellEnd"/>
      <w:r w:rsidRPr="00AE7975">
        <w:rPr>
          <w:rFonts w:eastAsia="Calibri" w:cstheme="minorHAnsi"/>
          <w:szCs w:val="22"/>
        </w:rPr>
        <w:t xml:space="preserve"> and the territorial application of Articles 18(1) and 18 (5).  In doing so, we urge ESMA to be mindful that the increased transparency requirements are applied in such a way so as not to put EU Investment Firms at a material competitive disadvantage in relation to their non-EU peers.  We would welcome the opportunity to discuss with ESMA our thoughts on this issue.  </w:t>
      </w:r>
    </w:p>
    <w:p w:rsidR="007F560E" w:rsidRPr="00AE7975" w:rsidRDefault="007F560E" w:rsidP="007F560E">
      <w:pPr>
        <w:spacing w:after="200"/>
        <w:rPr>
          <w:rFonts w:eastAsia="Calibri" w:cstheme="minorHAnsi"/>
          <w:szCs w:val="22"/>
        </w:rPr>
      </w:pPr>
      <w:r w:rsidRPr="00AE7975">
        <w:rPr>
          <w:rFonts w:eastAsia="Calibri" w:cstheme="minorHAnsi"/>
          <w:b/>
          <w:szCs w:val="22"/>
        </w:rPr>
        <w:t>Issues with ESMA’s proposed approach</w:t>
      </w:r>
      <w:r w:rsidRPr="00AE7975">
        <w:rPr>
          <w:rFonts w:eastAsia="Calibri" w:cstheme="minorHAnsi"/>
          <w:szCs w:val="22"/>
        </w:rPr>
        <w:t>:</w:t>
      </w:r>
    </w:p>
    <w:p w:rsidR="007F560E" w:rsidRPr="00AE7975" w:rsidRDefault="007F560E" w:rsidP="007F560E">
      <w:pPr>
        <w:spacing w:after="200"/>
        <w:rPr>
          <w:rFonts w:eastAsia="Calibri" w:cstheme="minorHAnsi"/>
          <w:szCs w:val="22"/>
        </w:rPr>
      </w:pPr>
      <w:r w:rsidRPr="00AE7975">
        <w:rPr>
          <w:rFonts w:eastAsia="Calibri" w:cstheme="minorHAnsi"/>
          <w:szCs w:val="22"/>
        </w:rPr>
        <w:t xml:space="preserve">The definition of Liquid Market can only properly be established by reference to the consequence of an instrument or class of instruments being assessed as liquid, which also depends on other relevant criteria, in particular, the calibration of waivers and deferrals from the pre- and post-trade transparency regime, the level of activity necessary to qualify as an SI (as to which, please see below), and the time deferral permitted at the discretion of national competent authorities for the purposes of the post-trade transparency regime.  </w:t>
      </w:r>
    </w:p>
    <w:p w:rsidR="007F560E" w:rsidRPr="00AE7975" w:rsidRDefault="007F560E" w:rsidP="007F560E">
      <w:pPr>
        <w:spacing w:after="200"/>
        <w:rPr>
          <w:rFonts w:eastAsia="Calibri" w:cstheme="minorHAnsi"/>
          <w:szCs w:val="22"/>
        </w:rPr>
      </w:pPr>
      <w:r w:rsidRPr="00AE7975">
        <w:rPr>
          <w:rFonts w:eastAsia="Calibri" w:cstheme="minorHAnsi"/>
          <w:szCs w:val="22"/>
        </w:rPr>
        <w:t>In practice, in seeking to establish the line between a liquid market and a non liquid market, we understand the objective to be as follows. If a market maker, knowing that there is a pre-trade obligation to make its firm price public, would</w:t>
      </w:r>
      <w:r w:rsidRPr="00AE7975">
        <w:rPr>
          <w:rFonts w:eastAsia="Calibri" w:cstheme="minorHAnsi"/>
          <w:i/>
          <w:szCs w:val="22"/>
        </w:rPr>
        <w:t xml:space="preserve"> always</w:t>
      </w:r>
      <w:r w:rsidRPr="00AE7975">
        <w:rPr>
          <w:rFonts w:eastAsia="Calibri" w:cstheme="minorHAnsi"/>
          <w:b/>
          <w:szCs w:val="22"/>
        </w:rPr>
        <w:t xml:space="preserve"> </w:t>
      </w:r>
      <w:r w:rsidRPr="00AE7975">
        <w:rPr>
          <w:rFonts w:eastAsia="Calibri" w:cstheme="minorHAnsi"/>
          <w:szCs w:val="22"/>
        </w:rPr>
        <w:t xml:space="preserve">worsen its price to the client by virtue of that obligation, regardless of the size of the transaction, then, we submit, that instrument should fall into a non liquid market category.  By contrast, if the market maker would worsen its firm price to its client as a consequence of that obligation only if the trade were above a certain size, then that instrument should fall into the liquid market category and the issue of size be addressed through the LIS and SSTI waivers.  This distinction results from the different degree of risk assumed in each case. The difficulty is differentiating these cases by use of a purely metrics test. </w:t>
      </w:r>
    </w:p>
    <w:p w:rsidR="007F560E" w:rsidRPr="00AE7975" w:rsidRDefault="007F560E" w:rsidP="007F560E">
      <w:pPr>
        <w:spacing w:after="200"/>
        <w:rPr>
          <w:rFonts w:eastAsia="Calibri" w:cstheme="minorHAnsi"/>
          <w:szCs w:val="22"/>
        </w:rPr>
      </w:pPr>
      <w:r w:rsidRPr="00AE7975">
        <w:rPr>
          <w:rFonts w:eastAsia="Calibri" w:cstheme="minorHAnsi"/>
          <w:szCs w:val="22"/>
        </w:rPr>
        <w:t xml:space="preserve">In our view, ESMA’s proposed approach fails to do this appropriately and would mean that a significant number of instruments which should benefit from waivers from the transparency regime will not. The COFIA classes proposed by ESMA are so broad that they result in a significant number of false positives; illiquid bonds being incorrectly classified as liquid. Even </w:t>
      </w:r>
      <w:r w:rsidRPr="00AE7975">
        <w:rPr>
          <w:rFonts w:eastAsia="Calibri" w:cstheme="minorHAnsi"/>
          <w:szCs w:val="22"/>
        </w:rPr>
        <w:lastRenderedPageBreak/>
        <w:t>the initial issue size that generated the best “fit” to the liquidity criteria used by ESMA resulted in about half the bonds classified as liquid not meeting those criteria. ESMA has justified its framework because on its calculation a high proportion of bonds are correctly classified. Whilst we agree that the majority of bonds classified as illiquid are indeed correctly classified, in our view, the key assessment of the Liquid Market definition should not be the overall “fit” level across liquid and illiquid instruments but the degree of “fit” within the bonds that are classified as liquid. We note ESMA’s comment that the Liquid Market definition and the large-in-scale/size specific to the instrument thresholds are closely linked, but we are concerned by the suggestion that the misclassification of illiquid instruments as liquid can be addressed by those waivers. Having a broad Liquid Market definition and generous LIS/SSTI waivers will never achieve the result of excluding illiquid instruments from the scope of the transparency requirements under MiFIR.   Such an approach also reduces the flexibility of NCAs in exercising their discretion as to whether to grant waivers or deferrals. Under ESMA’s proposed approach transactions in many illiquid instruments will be subject to the transparency requirements on the basis that they trade in sizes below LIS/SSTI. As such, the proposed approach is inconsistent both with ESMA’s mandate of determining the financial instruments or classes of financial instrument for which there is not a Liquid Market (if it fails to do so correctly) and with the clear intention of the legislation to exclude illiquid instruments from the scope of the transparency regime.</w:t>
      </w:r>
    </w:p>
    <w:p w:rsidR="007F560E" w:rsidRPr="00AE7975" w:rsidRDefault="007F560E" w:rsidP="007F560E">
      <w:pPr>
        <w:spacing w:after="200"/>
        <w:rPr>
          <w:rFonts w:eastAsia="Calibri" w:cstheme="minorHAnsi"/>
          <w:szCs w:val="22"/>
        </w:rPr>
      </w:pPr>
      <w:r w:rsidRPr="00AE7975">
        <w:rPr>
          <w:rFonts w:eastAsia="Calibri" w:cstheme="minorHAnsi"/>
          <w:szCs w:val="22"/>
        </w:rPr>
        <w:t>Furthermore, notwithstanding the statement in paragraph 35 on page 100 of the Consultation Paper, ESMA’s current proposals for the LIS and SSTI thresholds do not appear to be responsive to the significant misclassification issue discussed above. No express concession or adjustment appears to have been taken into account in the determination of the LIS or SSTI thresholds to acknowledge the fact that many illiquid bonds have been classified as liquid. In addition, the contribution of a bond that trades relatively rarely (but is misclassified as liquid) to the determination of the LIS level for a liquid class is surely less than a bond that trades more frequently. As such, within the liquid classification, the more liquid bonds have a greater influence on the calibration of the LIS and SSTI thresholds than do less liquid bonds, which biases the calibration of those thresholds toward levels appropriate for the most liquid bonds in a class (which by definition trade more frequently</w:t>
      </w:r>
      <w:r w:rsidR="001E79E5">
        <w:rPr>
          <w:rFonts w:eastAsia="Calibri" w:cstheme="minorHAnsi"/>
          <w:szCs w:val="22"/>
        </w:rPr>
        <w:t>.</w:t>
      </w:r>
      <w:r w:rsidRPr="00AE7975">
        <w:rPr>
          <w:rFonts w:eastAsia="Calibri" w:cstheme="minorHAnsi"/>
          <w:szCs w:val="22"/>
        </w:rPr>
        <w:t xml:space="preserve">) </w:t>
      </w:r>
    </w:p>
    <w:p w:rsidR="007F560E" w:rsidRPr="00AE7975" w:rsidRDefault="007F560E" w:rsidP="007F560E">
      <w:pPr>
        <w:spacing w:after="200"/>
        <w:rPr>
          <w:rFonts w:eastAsia="Calibri" w:cstheme="minorHAnsi"/>
          <w:szCs w:val="22"/>
        </w:rPr>
      </w:pPr>
      <w:r w:rsidRPr="00AE7975">
        <w:rPr>
          <w:rFonts w:eastAsia="Calibri" w:cstheme="minorHAnsi"/>
          <w:szCs w:val="22"/>
        </w:rPr>
        <w:t>An additional drawback of the COFIA approach taken by ESMA is that it does not provide for a dynamic assessment of the Liquid Market definition (i.e. for regular recalibration of the Liquid Market definition). Our view is that an annual review is preferred and ESMA should consider building a requirement for such a review into the RTS. However, if ESMA considers that it is not empowered to provide for this, it is even more important that ESMA calibrates the COFIA classes at a granular enough level to ensure that Liquid Market is defined correctly at the outset.</w:t>
      </w:r>
    </w:p>
    <w:p w:rsidR="007F560E" w:rsidRPr="00AE7975" w:rsidRDefault="007F560E" w:rsidP="007F560E">
      <w:pPr>
        <w:spacing w:after="200"/>
        <w:rPr>
          <w:rFonts w:eastAsia="Calibri" w:cstheme="minorHAnsi"/>
          <w:szCs w:val="22"/>
        </w:rPr>
      </w:pPr>
      <w:r w:rsidRPr="00AE7975">
        <w:rPr>
          <w:rFonts w:eastAsia="Calibri" w:cstheme="minorHAnsi"/>
          <w:b/>
          <w:szCs w:val="22"/>
        </w:rPr>
        <w:t>Proposed solutions</w:t>
      </w:r>
      <w:r w:rsidRPr="00AE7975">
        <w:rPr>
          <w:rFonts w:eastAsia="Calibri" w:cstheme="minorHAnsi"/>
          <w:szCs w:val="22"/>
        </w:rPr>
        <w:t>:</w:t>
      </w:r>
    </w:p>
    <w:p w:rsidR="007F560E" w:rsidRPr="00AE7975" w:rsidRDefault="007F560E" w:rsidP="007F560E">
      <w:pPr>
        <w:spacing w:after="200"/>
        <w:rPr>
          <w:rFonts w:eastAsia="Calibri" w:cstheme="minorHAnsi"/>
          <w:szCs w:val="22"/>
        </w:rPr>
      </w:pPr>
      <w:r w:rsidRPr="00AE7975">
        <w:rPr>
          <w:rFonts w:eastAsia="Calibri" w:cstheme="minorHAnsi"/>
          <w:szCs w:val="22"/>
        </w:rPr>
        <w:t>Given the significant number of bonds misclassified as liquid under ESMA’s proposed approach and the limitations associated with utilising the LIS and SSTI waivers to address this, we recommend ESMA adopt one of the following approaches:</w:t>
      </w:r>
    </w:p>
    <w:p w:rsidR="007F560E" w:rsidRPr="00AE7975" w:rsidRDefault="007F560E" w:rsidP="007F560E">
      <w:pPr>
        <w:numPr>
          <w:ilvl w:val="0"/>
          <w:numId w:val="34"/>
        </w:numPr>
        <w:spacing w:after="200"/>
        <w:contextualSpacing/>
        <w:jc w:val="left"/>
        <w:rPr>
          <w:rFonts w:eastAsia="Calibri" w:cstheme="minorHAnsi"/>
          <w:b/>
          <w:szCs w:val="22"/>
        </w:rPr>
      </w:pPr>
      <w:r w:rsidRPr="00AE7975">
        <w:rPr>
          <w:rFonts w:eastAsia="Calibri" w:cstheme="minorHAnsi"/>
          <w:b/>
          <w:szCs w:val="22"/>
        </w:rPr>
        <w:t>Reconsider its approach and adopt an IBIA approach rather than COFIA</w:t>
      </w:r>
    </w:p>
    <w:p w:rsidR="007F560E" w:rsidRPr="00AE7975" w:rsidRDefault="007F560E" w:rsidP="007F560E">
      <w:pPr>
        <w:spacing w:after="200"/>
        <w:ind w:left="360"/>
        <w:contextualSpacing/>
        <w:rPr>
          <w:rFonts w:eastAsia="Calibri" w:cstheme="minorHAnsi"/>
          <w:szCs w:val="22"/>
        </w:rPr>
      </w:pPr>
      <w:r w:rsidRPr="00AE7975">
        <w:rPr>
          <w:rFonts w:eastAsia="Calibri" w:cstheme="minorHAnsi"/>
          <w:szCs w:val="22"/>
        </w:rPr>
        <w:lastRenderedPageBreak/>
        <w:t>In our view, the issues identified above highlight the inherent deficiency of a COFIA approach. In response to ESMA’s Discussion Paper of May 2014 Barclays, among many others</w:t>
      </w:r>
      <w:r w:rsidR="007C7AAC" w:rsidRPr="00AE7975">
        <w:rPr>
          <w:rFonts w:eastAsia="Calibri" w:cstheme="minorHAnsi"/>
          <w:szCs w:val="22"/>
        </w:rPr>
        <w:t>, advocated</w:t>
      </w:r>
      <w:r w:rsidRPr="00AE7975">
        <w:rPr>
          <w:rFonts w:eastAsia="Calibri" w:cstheme="minorHAnsi"/>
          <w:szCs w:val="22"/>
        </w:rPr>
        <w:t xml:space="preserve"> for an IBIA rather than COFIA approach as more appropriate for liquidity calibration for bonds. ESMA’s proposals have reinforced our adherence to this view and how difficult it is to craft parameters for an effective COFIA approach. In this regard we note and reiterate the detailed points made by AFME in its response dated August 1, 2014 in support of the IBIA approach.</w:t>
      </w:r>
    </w:p>
    <w:p w:rsidR="007F560E" w:rsidRPr="00AE7975" w:rsidRDefault="007F560E" w:rsidP="007F560E">
      <w:pPr>
        <w:spacing w:after="200"/>
        <w:ind w:left="360"/>
        <w:contextualSpacing/>
        <w:rPr>
          <w:rFonts w:eastAsia="Calibri" w:cstheme="minorHAnsi"/>
          <w:szCs w:val="22"/>
        </w:rPr>
      </w:pPr>
    </w:p>
    <w:p w:rsidR="007F560E" w:rsidRPr="00AE7975" w:rsidRDefault="007F560E" w:rsidP="007F560E">
      <w:pPr>
        <w:numPr>
          <w:ilvl w:val="0"/>
          <w:numId w:val="34"/>
        </w:numPr>
        <w:spacing w:after="200"/>
        <w:contextualSpacing/>
        <w:jc w:val="left"/>
        <w:rPr>
          <w:rFonts w:eastAsia="Calibri" w:cstheme="minorHAnsi"/>
          <w:b/>
          <w:szCs w:val="22"/>
        </w:rPr>
      </w:pPr>
      <w:r w:rsidRPr="00AE7975">
        <w:rPr>
          <w:rFonts w:eastAsia="Calibri" w:cstheme="minorHAnsi"/>
          <w:b/>
          <w:szCs w:val="22"/>
        </w:rPr>
        <w:t xml:space="preserve">More granular categories within the COFIA, higher initial issue size thresholds and appropriate calibration of the LIS and SSTI thresholds taking into account the degree of false positives in a class assessed to have a Liquid Market. </w:t>
      </w:r>
    </w:p>
    <w:p w:rsidR="007F560E" w:rsidRPr="00AE7975" w:rsidRDefault="007F560E" w:rsidP="007F560E">
      <w:pPr>
        <w:spacing w:after="200"/>
        <w:ind w:left="360"/>
        <w:contextualSpacing/>
        <w:rPr>
          <w:rFonts w:eastAsia="Calibri" w:cstheme="minorHAnsi"/>
          <w:b/>
          <w:szCs w:val="22"/>
        </w:rPr>
      </w:pPr>
    </w:p>
    <w:p w:rsidR="007F560E" w:rsidRPr="00AE7975" w:rsidRDefault="007F560E" w:rsidP="007F560E">
      <w:pPr>
        <w:spacing w:after="200"/>
        <w:ind w:left="360"/>
        <w:contextualSpacing/>
        <w:rPr>
          <w:rFonts w:eastAsia="Calibri" w:cstheme="minorHAnsi"/>
          <w:szCs w:val="22"/>
        </w:rPr>
      </w:pPr>
      <w:r w:rsidRPr="00AE7975">
        <w:rPr>
          <w:rFonts w:eastAsia="Calibri" w:cstheme="minorHAnsi"/>
          <w:szCs w:val="22"/>
        </w:rPr>
        <w:t>If ESMA is wedded to the COFIA approach it should address the issues identified above through a combination of the approaches discussed below.</w:t>
      </w:r>
    </w:p>
    <w:p w:rsidR="007F560E" w:rsidRPr="00AE7975" w:rsidRDefault="007F560E" w:rsidP="007F560E">
      <w:pPr>
        <w:spacing w:after="200"/>
        <w:ind w:left="360"/>
        <w:contextualSpacing/>
        <w:rPr>
          <w:rFonts w:eastAsia="Calibri" w:cstheme="minorHAnsi"/>
          <w:szCs w:val="22"/>
        </w:rPr>
      </w:pPr>
    </w:p>
    <w:p w:rsidR="007F560E" w:rsidRPr="00AE7975" w:rsidRDefault="007F560E" w:rsidP="007F560E">
      <w:pPr>
        <w:spacing w:after="200"/>
        <w:rPr>
          <w:rFonts w:eastAsia="Calibri" w:cstheme="minorHAnsi"/>
          <w:szCs w:val="22"/>
        </w:rPr>
      </w:pPr>
      <w:r w:rsidRPr="00AE7975">
        <w:rPr>
          <w:rFonts w:eastAsia="Calibri" w:cstheme="minorHAnsi"/>
          <w:szCs w:val="22"/>
        </w:rPr>
        <w:t xml:space="preserve">ESMA should adopt more granular COFIA categories that allow for more accurate classification of liquid bonds and better alignment with the liquidity criteria. This will reduce the number of false positives as a result of some of the bonds currently misclassified as liquid falling outside the liquid classes. The challenge with this approach is appropriately defining narrower categories that achieve this result (which is why we would generally favour an IBIA approach). </w:t>
      </w:r>
    </w:p>
    <w:p w:rsidR="007F560E" w:rsidRPr="00AE7975" w:rsidRDefault="007F560E" w:rsidP="007F560E">
      <w:pPr>
        <w:spacing w:after="200"/>
        <w:rPr>
          <w:rFonts w:eastAsia="Calibri" w:cstheme="minorHAnsi"/>
          <w:szCs w:val="22"/>
        </w:rPr>
      </w:pPr>
      <w:r w:rsidRPr="00AE7975">
        <w:rPr>
          <w:rFonts w:eastAsia="Calibri" w:cstheme="minorHAnsi"/>
          <w:szCs w:val="22"/>
        </w:rPr>
        <w:t>Whilst adopting a more granular approach will likely result in fewer bonds being classified as liquid, it may also result in a liquid class being created that at present does not exist.  By way of example, ESMA has designated all structured finance instruments to fall into one single class. As a result, the whole class is classified as illiquid. We believe that some Residential Mortgage Bonds, especially those pertaining to UK or Dutch real estate, may perhaps be sufficiently liquid to merit being subject to the pre-trade transparency regime. If defined as a separate category those instruments accordingly might be classified as liquid.</w:t>
      </w:r>
    </w:p>
    <w:p w:rsidR="007F560E" w:rsidRPr="00AE7975" w:rsidRDefault="007F560E" w:rsidP="007F560E">
      <w:pPr>
        <w:spacing w:after="200"/>
        <w:rPr>
          <w:rFonts w:eastAsia="Calibri" w:cstheme="minorHAnsi"/>
          <w:szCs w:val="22"/>
        </w:rPr>
      </w:pPr>
      <w:r w:rsidRPr="00AE7975">
        <w:rPr>
          <w:rFonts w:eastAsia="Calibri" w:cstheme="minorHAnsi"/>
          <w:szCs w:val="22"/>
        </w:rPr>
        <w:t>We refer to AFME’s response (with which we agree) as to how the COFIA classes should be made more granular.</w:t>
      </w:r>
      <w:r w:rsidRPr="00AE7975" w:rsidDel="002E274A">
        <w:rPr>
          <w:rFonts w:eastAsia="Calibri" w:cstheme="minorHAnsi"/>
          <w:szCs w:val="22"/>
        </w:rPr>
        <w:t xml:space="preserve">  </w:t>
      </w:r>
    </w:p>
    <w:p w:rsidR="007F560E" w:rsidRPr="00AE7975" w:rsidRDefault="007F560E" w:rsidP="007F560E">
      <w:pPr>
        <w:spacing w:after="200"/>
        <w:rPr>
          <w:rFonts w:eastAsia="Calibri" w:cstheme="minorHAnsi"/>
          <w:szCs w:val="22"/>
        </w:rPr>
      </w:pPr>
      <w:r w:rsidRPr="00AE7975">
        <w:rPr>
          <w:rFonts w:eastAsia="Calibri" w:cstheme="minorHAnsi"/>
          <w:szCs w:val="22"/>
        </w:rPr>
        <w:t xml:space="preserve">Neither a more granular COFIA nor lower issuance size thresholds (or combination of both) will fully address the issues with the use of the COFIA approach. To mitigate these inherent shortcomings,  ESMA should also set lower LIS and SSTI thresholds for liquidity classes that are a poorer “fit” to the liquidity criteria than for classes with a materially higher “fit” to the those criteria. The effect of this would be to reduce the adverse impact of the poor “fit” (and misclassification) by setting the LIS and SSTI thresholds closer to what would be appropriate for the less liquid bonds in the relevant class (given that these make up a meaningful proportion of that overall class). Whilst this is still an imperfect result, the benefit is that if, conversely, the class is truly only made up of the most liquid bonds (which meet the liquidity criteria) the LIS and SSTI thresholds could be set at an appropriately high level ESMA endorses this as an approach (in paragraph 35 on page 100 of the Consultation Paper) to mitigate the misallocation of bonds into liquid classes.  We agree with this approach and urge ESMA to apply these principles.  </w:t>
      </w:r>
    </w:p>
    <w:p w:rsidR="007F560E" w:rsidRPr="00AE7975" w:rsidRDefault="007F560E" w:rsidP="007F560E">
      <w:pPr>
        <w:spacing w:after="200"/>
        <w:rPr>
          <w:rFonts w:eastAsia="Calibri" w:cstheme="minorHAnsi"/>
          <w:b/>
          <w:szCs w:val="22"/>
        </w:rPr>
      </w:pPr>
      <w:r w:rsidRPr="00AE7975">
        <w:rPr>
          <w:rFonts w:eastAsia="Calibri" w:cstheme="minorHAnsi"/>
          <w:b/>
          <w:szCs w:val="22"/>
        </w:rPr>
        <w:t xml:space="preserve">Link with Systematic </w:t>
      </w:r>
      <w:proofErr w:type="spellStart"/>
      <w:r w:rsidRPr="00AE7975">
        <w:rPr>
          <w:rFonts w:eastAsia="Calibri" w:cstheme="minorHAnsi"/>
          <w:b/>
          <w:szCs w:val="22"/>
        </w:rPr>
        <w:t>Internaliser</w:t>
      </w:r>
      <w:proofErr w:type="spellEnd"/>
      <w:r w:rsidRPr="00AE7975">
        <w:rPr>
          <w:rFonts w:eastAsia="Calibri" w:cstheme="minorHAnsi"/>
          <w:b/>
          <w:szCs w:val="22"/>
        </w:rPr>
        <w:t xml:space="preserve"> Thresholds </w:t>
      </w:r>
    </w:p>
    <w:p w:rsidR="007F560E" w:rsidRPr="00AE7975" w:rsidRDefault="007F560E" w:rsidP="007F560E">
      <w:pPr>
        <w:spacing w:after="200"/>
        <w:rPr>
          <w:rFonts w:eastAsia="Calibri" w:cstheme="minorHAnsi"/>
          <w:szCs w:val="22"/>
        </w:rPr>
      </w:pPr>
      <w:r w:rsidRPr="00AE7975">
        <w:rPr>
          <w:rFonts w:eastAsia="Calibri" w:cstheme="minorHAnsi"/>
          <w:szCs w:val="22"/>
        </w:rPr>
        <w:lastRenderedPageBreak/>
        <w:t xml:space="preserve">As mentioned above, the relationship between the liquidity definition and the thresholds that determine whether an Investment Firm is an SI are central to the overall application of the transparency regime.  We recognise that the quantitative elements of the SI definition thresholds are set out in ESMA’s Technical Advice to the Commission on MiFIR and MiFID II, for which comment is not sought under this Consultation Paper. However, because the pre- trade transparency obligations, which are driven by the liquidity calibration, only apply to an Investment Firm that qualifies as an SI and given the wide definition of Liquid Market, we wish to provide comments on the further definition of SI proposed by ESMA.   </w:t>
      </w:r>
    </w:p>
    <w:p w:rsidR="007F560E" w:rsidRPr="00AE7975" w:rsidRDefault="007F560E" w:rsidP="007F560E">
      <w:pPr>
        <w:spacing w:after="200"/>
        <w:rPr>
          <w:rFonts w:eastAsia="Calibri" w:cstheme="minorHAnsi"/>
          <w:szCs w:val="22"/>
        </w:rPr>
      </w:pPr>
      <w:r w:rsidRPr="00AE7975">
        <w:rPr>
          <w:rFonts w:eastAsia="Calibri" w:cstheme="minorHAnsi"/>
          <w:szCs w:val="22"/>
        </w:rPr>
        <w:t>Recital 18 of MiFIR enshrines the importance of creating a transparent level playing field between trading on and off venue. Consistent with our August 1 response to ESMA’s May 2014 Consultation Paper, we are also concerned that all dealers that are truly considered active market makers in a liquid instrument be classified as SI in relation to that instrument.   An outcome that has only one or two SIs among a wider set of acknowledged market makers in the instrument would lead to competitive asymmetries.</w:t>
      </w:r>
    </w:p>
    <w:p w:rsidR="007F560E" w:rsidRPr="00AE7975" w:rsidRDefault="007F560E" w:rsidP="007F560E">
      <w:pPr>
        <w:spacing w:after="200"/>
        <w:rPr>
          <w:rFonts w:eastAsia="Calibri" w:cstheme="minorHAnsi"/>
          <w:szCs w:val="22"/>
        </w:rPr>
      </w:pPr>
    </w:p>
    <w:p w:rsidR="007F560E" w:rsidRPr="00AE7975" w:rsidRDefault="007F560E" w:rsidP="007F560E">
      <w:pPr>
        <w:spacing w:after="200"/>
        <w:rPr>
          <w:rFonts w:eastAsia="Calibri" w:cstheme="minorHAnsi"/>
          <w:szCs w:val="22"/>
        </w:rPr>
      </w:pPr>
      <w:r w:rsidRPr="00AE7975">
        <w:rPr>
          <w:rFonts w:eastAsia="Calibri" w:cstheme="minorHAnsi"/>
          <w:szCs w:val="22"/>
        </w:rPr>
        <w:t xml:space="preserve">We note that by introducing the additional requirement in the Consultation Paper that an Investment Firm must engage in a transaction in the instrument on average at least once per week in order to meet the frequency test, ESMA has reduced the number of Investment Firms that will qualify as SIs in relation to some bonds in the liquid class, especially corporate bonds.   We do not of course have access to data to evidence the impact of this particular criterion on the number of prospective SIs. However, our own data suggests it may not be immaterial since the population of financial issuer corporate bonds that </w:t>
      </w:r>
      <w:proofErr w:type="gramStart"/>
      <w:r w:rsidRPr="00AE7975">
        <w:rPr>
          <w:rFonts w:eastAsia="Calibri" w:cstheme="minorHAnsi"/>
          <w:szCs w:val="22"/>
        </w:rPr>
        <w:t>Barclays</w:t>
      </w:r>
      <w:proofErr w:type="gramEnd"/>
      <w:r w:rsidRPr="00AE7975">
        <w:rPr>
          <w:rFonts w:eastAsia="Calibri" w:cstheme="minorHAnsi"/>
          <w:szCs w:val="22"/>
        </w:rPr>
        <w:t xml:space="preserve"> trades 30-70 times per year (i.e. either side of 52 times) is meaningful. As such, it may be expected that some dealers will fall above and some below the 52 times per year in relation to a sizeable set of bonds. </w:t>
      </w:r>
    </w:p>
    <w:p w:rsidR="007F560E" w:rsidRPr="007F560E" w:rsidRDefault="007F560E" w:rsidP="007F560E">
      <w:pPr>
        <w:spacing w:after="200"/>
        <w:rPr>
          <w:rFonts w:eastAsia="Calibri" w:cstheme="minorHAnsi"/>
          <w:color w:val="FF0000"/>
          <w:szCs w:val="22"/>
        </w:rPr>
      </w:pPr>
      <w:r w:rsidRPr="00AE7975">
        <w:rPr>
          <w:rFonts w:eastAsia="Calibri" w:cstheme="minorHAnsi"/>
          <w:szCs w:val="22"/>
        </w:rPr>
        <w:t>More broadly, we refer to the Table produced by ESMA on page 237 of the Advice, which sets out sample data sourced by ESMA from dealers. This table suggests, for example, that even for the sovereign bond category that trades more than 5 times per day, in the sample bond set chosen by ESMA, of the ten respondent dealers no bond has more than three SIs. Further, of the 1000 dealer/bond combinations in this category, only 88 such combinations result in an SI which suggests that a significant majority of the 100 bonds even in this most liquid class would have 1 or fewer SIs.  This demonstrates that ESMA’s proposed thresholds will lead to an unlevel playing</w:t>
      </w:r>
      <w:r w:rsidR="001E79E5">
        <w:rPr>
          <w:rFonts w:eastAsia="Calibri" w:cstheme="minorHAnsi"/>
          <w:szCs w:val="22"/>
        </w:rPr>
        <w:t xml:space="preserve"> field</w:t>
      </w:r>
      <w:r w:rsidRPr="00AE7975">
        <w:rPr>
          <w:rFonts w:eastAsia="Calibri" w:cstheme="minorHAnsi"/>
          <w:szCs w:val="22"/>
        </w:rPr>
        <w:t xml:space="preserve"> among recognised dealers in the same financial instrument.  Peer group dealer firms will be divided between those above and below the SI threshold, which will result in OTC liquidity migrating to non-SI firms. This is contrary to ESMA’s mandate to establish uniform requirements for the transparency of transactions in markets for financial instruments. Whilst we recognise that the migration of OTC liquidity to non-SI firms may be self correcting and might result, at some point, in those firms becoming SIs in relevant instruments (and may also result in existing SIs n</w:t>
      </w:r>
      <w:r w:rsidR="007D4246">
        <w:rPr>
          <w:rFonts w:eastAsia="Calibri" w:cstheme="minorHAnsi"/>
          <w:szCs w:val="22"/>
        </w:rPr>
        <w:t>-</w:t>
      </w:r>
      <w:r w:rsidRPr="00AE7975">
        <w:rPr>
          <w:rFonts w:eastAsia="Calibri" w:cstheme="minorHAnsi"/>
          <w:szCs w:val="22"/>
        </w:rPr>
        <w:t xml:space="preserve">o longer meeting the thresholds) we do not think continuous fluctuation in the firms that are SIs is conducive to the orderly functioning of the market (a stated aim of MiFID2). We would therefore urge ESMA to revise the thresholds in the SI further definition, so as to ensure that peer group firms are all captured by the definition. </w:t>
      </w:r>
    </w:p>
    <w:permEnd w:id="66"/>
    <w:p w:rsidR="00577C33" w:rsidRDefault="00577C33" w:rsidP="00EC2C93">
      <w:pPr>
        <w:keepNext/>
      </w:pPr>
      <w:r>
        <w:lastRenderedPageBreak/>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Pr="00AE7975" w:rsidRDefault="00D87C08" w:rsidP="00EC2C93">
      <w:pPr>
        <w:keepNext/>
      </w:pPr>
      <w:permStart w:id="67" w:edGrp="everyone"/>
      <w:r>
        <w:t>We agree with AFME on this point.</w:t>
      </w:r>
    </w:p>
    <w:permEnd w:id="67"/>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0A1C08" w:rsidRPr="00AE7975" w:rsidRDefault="00D87C08" w:rsidP="000A1C08">
      <w:pPr>
        <w:keepNext/>
      </w:pPr>
      <w:permStart w:id="68" w:edGrp="everyone"/>
      <w:r>
        <w:t>We agree with ISDA on this point.</w:t>
      </w:r>
    </w:p>
    <w:permEnd w:id="68"/>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0A1C08" w:rsidRPr="00AE7975" w:rsidRDefault="00D87C08" w:rsidP="000A1C08">
      <w:pPr>
        <w:keepNext/>
      </w:pPr>
      <w:permStart w:id="69" w:edGrp="everyone"/>
      <w:r>
        <w:t>We agree with ISDA on this point.</w:t>
      </w:r>
    </w:p>
    <w:permEnd w:id="69"/>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lastRenderedPageBreak/>
        <w:t>&lt;ESMA_QUESTION_CP_MIFID_61&gt;</w:t>
      </w:r>
    </w:p>
    <w:p w:rsidR="00C805F2" w:rsidRPr="00AE7975" w:rsidRDefault="00C805F2" w:rsidP="00C805F2">
      <w:pPr>
        <w:spacing w:after="200"/>
        <w:rPr>
          <w:rFonts w:eastAsia="Calibri" w:cstheme="minorHAnsi"/>
          <w:szCs w:val="22"/>
          <w:lang w:val="en-US"/>
        </w:rPr>
      </w:pPr>
      <w:permStart w:id="70" w:edGrp="everyone"/>
      <w:r w:rsidRPr="00AE7975">
        <w:rPr>
          <w:rFonts w:eastAsia="Calibri" w:cstheme="minorHAnsi"/>
          <w:szCs w:val="22"/>
          <w:lang w:val="en-US"/>
        </w:rPr>
        <w:t>No, we do not agree with ESMA’s proposal for the definition of Liquid Market in relation to interest rate derivatives.</w:t>
      </w:r>
    </w:p>
    <w:p w:rsidR="00C805F2" w:rsidRPr="00AE7975" w:rsidRDefault="00C805F2" w:rsidP="00C805F2">
      <w:pPr>
        <w:spacing w:after="200"/>
        <w:rPr>
          <w:rFonts w:eastAsia="Calibri" w:cstheme="minorHAnsi"/>
          <w:szCs w:val="22"/>
          <w:lang w:val="en-US"/>
        </w:rPr>
      </w:pPr>
      <w:r w:rsidRPr="00AE7975">
        <w:rPr>
          <w:rFonts w:eastAsia="Calibri" w:cstheme="minorHAnsi"/>
          <w:szCs w:val="22"/>
          <w:lang w:val="en-US"/>
        </w:rPr>
        <w:t xml:space="preserve">We refer ESMA to ISDA’s response in relation to OTC traded interest rated derivatives, with which we agree. We also support FIA Europe’s response in relation to venue-traded interest rate derivatives. </w:t>
      </w:r>
    </w:p>
    <w:p w:rsidR="00C805F2" w:rsidRPr="00AE7975" w:rsidRDefault="00C805F2" w:rsidP="00C805F2">
      <w:pPr>
        <w:spacing w:after="200"/>
        <w:rPr>
          <w:rFonts w:eastAsia="Calibri" w:cstheme="minorHAnsi"/>
          <w:szCs w:val="22"/>
          <w:lang w:val="en-US"/>
        </w:rPr>
      </w:pPr>
      <w:r w:rsidRPr="00AE7975">
        <w:rPr>
          <w:rFonts w:eastAsia="Calibri" w:cstheme="minorHAnsi"/>
          <w:szCs w:val="22"/>
          <w:lang w:val="en-US"/>
        </w:rPr>
        <w:t xml:space="preserve">In relation to ISDA’s recommendation to adopt higher thresholds than those proposed by ESMA (i.e. 15 trades per day and Euro 500mm notional in preference to 2 trades per day and Euro 100mm notional) we draw ESMA’s attention to the data referenced in the ISDA response.  </w:t>
      </w:r>
    </w:p>
    <w:p w:rsidR="00C805F2" w:rsidRPr="00AE7975" w:rsidRDefault="00C805F2" w:rsidP="00C805F2">
      <w:pPr>
        <w:spacing w:after="200"/>
        <w:rPr>
          <w:rFonts w:eastAsia="Calibri" w:cstheme="minorHAnsi"/>
          <w:szCs w:val="22"/>
          <w:lang w:val="en-US"/>
        </w:rPr>
      </w:pPr>
      <w:r w:rsidRPr="00AE7975">
        <w:rPr>
          <w:rFonts w:eastAsia="Calibri" w:cstheme="minorHAnsi"/>
          <w:szCs w:val="22"/>
          <w:lang w:val="en-US"/>
        </w:rPr>
        <w:t xml:space="preserve">Taking data reported in the US under the CFTC’s regime and applying ESMA’s criteria (with the day count errors addressed), the results indicate that moving to these higher criteria has the effect of materially reducing the </w:t>
      </w:r>
      <w:r w:rsidRPr="00AE7975">
        <w:rPr>
          <w:rFonts w:eastAsia="Calibri" w:cstheme="minorHAnsi"/>
          <w:i/>
          <w:szCs w:val="22"/>
          <w:lang w:val="en-US"/>
        </w:rPr>
        <w:t>number</w:t>
      </w:r>
      <w:r w:rsidRPr="00AE7975">
        <w:rPr>
          <w:rFonts w:eastAsia="Calibri" w:cstheme="minorHAnsi"/>
          <w:szCs w:val="22"/>
          <w:lang w:val="en-US"/>
        </w:rPr>
        <w:t xml:space="preserve"> </w:t>
      </w:r>
      <w:r w:rsidRPr="00AE7975">
        <w:rPr>
          <w:rFonts w:eastAsia="Calibri" w:cstheme="minorHAnsi"/>
          <w:i/>
          <w:szCs w:val="22"/>
          <w:lang w:val="en-US"/>
        </w:rPr>
        <w:t>of sub classes</w:t>
      </w:r>
      <w:r w:rsidRPr="00AE7975">
        <w:rPr>
          <w:rFonts w:eastAsia="Calibri" w:cstheme="minorHAnsi"/>
          <w:szCs w:val="22"/>
          <w:lang w:val="en-US"/>
        </w:rPr>
        <w:t xml:space="preserve"> of single currency interest rate swaps classified as having a Liquid Market, but this results in only a modest reduction in the actual number of </w:t>
      </w:r>
      <w:r w:rsidRPr="00AE7975">
        <w:rPr>
          <w:rFonts w:eastAsia="Calibri" w:cstheme="minorHAnsi"/>
          <w:i/>
          <w:szCs w:val="22"/>
          <w:lang w:val="en-US"/>
        </w:rPr>
        <w:t>transactions</w:t>
      </w:r>
      <w:r w:rsidRPr="00AE7975">
        <w:rPr>
          <w:rFonts w:eastAsia="Calibri" w:cstheme="minorHAnsi"/>
          <w:szCs w:val="22"/>
          <w:lang w:val="en-US"/>
        </w:rPr>
        <w:t xml:space="preserve"> which would be regarded as liquid.  When using the higher thresholds, the fact that such a high proportion of the sub-classes fall out of the Liquid Market classification with so relatively small a reduction in overall trade population excluded, indicates to us that there are many sub-classes that fall between ESMA’s and ISDA’s threshold proposals that contain relatively few trades. This distribution means that if ESMA wishes to maintain its 2 trades a day/Euro 100m volume threshold for a sub-class to be assessed as liquid, it needs to be confident that these parameters are the better calibration because the overwhelming majority of sub-classes assessed as having a Liquid Market under ESMA’s formulation (in the single currency fixed float set) will only just meet that lower threshold.  We urge ESMA to adopt the higher thresholds proposed by ISDA. </w:t>
      </w:r>
    </w:p>
    <w:p w:rsidR="00C805F2" w:rsidRPr="00C805F2" w:rsidRDefault="00C805F2" w:rsidP="00C805F2">
      <w:pPr>
        <w:spacing w:after="200"/>
        <w:rPr>
          <w:rFonts w:eastAsia="Calibri" w:cstheme="minorHAnsi"/>
          <w:color w:val="FF0000"/>
          <w:szCs w:val="22"/>
          <w:lang w:val="en-US"/>
        </w:rPr>
      </w:pPr>
      <w:r w:rsidRPr="00AE7975">
        <w:rPr>
          <w:rFonts w:eastAsia="Calibri" w:cstheme="minorHAnsi"/>
          <w:szCs w:val="22"/>
          <w:lang w:val="en-US"/>
        </w:rPr>
        <w:t>We also urge ESMA to pay particular attention to the treatment of packaged transactions, which represent a considerable proportion of swaps traded. Some of the most liquid and standardized combinations of these could form a discrete sub-class, with each product set having its own product identifier, applicable liquidity assessment and LIS and SSTI levels.  However, this approach will not be suitable for less frequently traded and more bespoke combinations.  Swaps to be executed against primary debt issuance will also need special consideration.</w:t>
      </w:r>
    </w:p>
    <w:permEnd w:id="70"/>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Pr="00AE7975" w:rsidRDefault="00D87C08" w:rsidP="00EC2C93">
      <w:pPr>
        <w:keepNext/>
      </w:pPr>
      <w:permStart w:id="71" w:edGrp="everyone"/>
      <w:r>
        <w:t>We agree with ISDA on this point.</w:t>
      </w:r>
    </w:p>
    <w:permEnd w:id="71"/>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lastRenderedPageBreak/>
        <w:t>&lt;ESMA_QUESTION_CP_MIFID_63&gt;</w:t>
      </w:r>
    </w:p>
    <w:p w:rsidR="000A1C08" w:rsidRPr="00AE7975" w:rsidRDefault="00D87C08" w:rsidP="000A1C08">
      <w:pPr>
        <w:keepNext/>
      </w:pPr>
      <w:permStart w:id="72" w:edGrp="everyone"/>
      <w:r>
        <w:t>We agree with ISDA on this point.</w:t>
      </w:r>
    </w:p>
    <w:permEnd w:id="72"/>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t>&lt;ESMA_QUESTION_CP_MIFID_64&gt;</w:t>
      </w:r>
    </w:p>
    <w:p w:rsidR="000A1C08" w:rsidRPr="00AE7975" w:rsidRDefault="00D87C08" w:rsidP="000A1C08">
      <w:pPr>
        <w:keepNext/>
      </w:pPr>
      <w:permStart w:id="73" w:edGrp="everyone"/>
      <w:r>
        <w:t>We agree with ISDA on this point.</w:t>
      </w:r>
    </w:p>
    <w:permEnd w:id="73"/>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0A1C08" w:rsidRPr="00AE7975" w:rsidRDefault="00D87C08" w:rsidP="000A1C08">
      <w:pPr>
        <w:keepNext/>
      </w:pPr>
      <w:permStart w:id="74" w:edGrp="everyone"/>
      <w:r>
        <w:t>We agree with ISDA on this point.</w:t>
      </w:r>
    </w:p>
    <w:permEnd w:id="74"/>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107E23" w:rsidRDefault="00107E23" w:rsidP="00EC2C93">
      <w:pPr>
        <w:keepNext/>
      </w:pPr>
      <w:permStart w:id="75" w:edGrp="everyone"/>
      <w:r w:rsidRPr="00107E23">
        <w:t>We agree with ISDA, AFME and GFMA on this point</w:t>
      </w:r>
      <w:r>
        <w:t>.</w:t>
      </w:r>
    </w:p>
    <w:permEnd w:id="75"/>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lastRenderedPageBreak/>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C95367" w:rsidRPr="00AE7975" w:rsidRDefault="00D87C08" w:rsidP="00C95367">
      <w:pPr>
        <w:keepNext/>
      </w:pPr>
      <w:permStart w:id="76" w:edGrp="everyone"/>
      <w:r>
        <w:t>We agree with ISDA, AFME and GFMA on this point</w:t>
      </w:r>
      <w:r w:rsidR="00145155">
        <w:t>.</w:t>
      </w:r>
    </w:p>
    <w:permEnd w:id="76"/>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C95367" w:rsidRPr="00AE7975" w:rsidRDefault="00D87C08" w:rsidP="00C95367">
      <w:pPr>
        <w:keepNext/>
      </w:pPr>
      <w:permStart w:id="77" w:edGrp="everyone"/>
      <w:r>
        <w:t>We agree with ISDA, AFME and GFMA on this point</w:t>
      </w:r>
      <w:r w:rsidR="00145155">
        <w:t>.</w:t>
      </w:r>
    </w:p>
    <w:permEnd w:id="77"/>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C95367" w:rsidRPr="00AE7975" w:rsidRDefault="00D87C08" w:rsidP="00C95367">
      <w:pPr>
        <w:keepNext/>
      </w:pPr>
      <w:permStart w:id="78" w:edGrp="everyone"/>
      <w:r>
        <w:t>We agree with ISDA, AFME and GFMA on this point</w:t>
      </w:r>
      <w:r w:rsidR="00145155">
        <w:t>.</w:t>
      </w:r>
    </w:p>
    <w:permEnd w:id="78"/>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DE430F" w:rsidRPr="00AE7975" w:rsidRDefault="00DE430F" w:rsidP="00DE430F">
      <w:pPr>
        <w:spacing w:after="200"/>
        <w:rPr>
          <w:rFonts w:eastAsia="Calibri" w:cstheme="minorHAnsi"/>
          <w:szCs w:val="22"/>
        </w:rPr>
      </w:pPr>
      <w:permStart w:id="79" w:edGrp="everyone"/>
      <w:r w:rsidRPr="00AE7975">
        <w:rPr>
          <w:rFonts w:eastAsia="Calibri" w:cstheme="minorHAnsi"/>
          <w:szCs w:val="22"/>
        </w:rPr>
        <w:t>We substantially agree with the proposals with regard to the content of the pre-trade transparency requirements. However, we have concerns regarding how in some instances those requirements apply in practice. We have set out below a number of key areas where further clarity is required.</w:t>
      </w:r>
    </w:p>
    <w:p w:rsidR="00DE430F" w:rsidRPr="00AE7975" w:rsidRDefault="00DE430F" w:rsidP="00DE430F">
      <w:pPr>
        <w:spacing w:after="200"/>
        <w:rPr>
          <w:rFonts w:eastAsia="Calibri" w:cstheme="minorHAnsi"/>
          <w:szCs w:val="22"/>
        </w:rPr>
      </w:pPr>
      <w:r w:rsidRPr="00AE7975">
        <w:rPr>
          <w:rFonts w:eastAsia="Calibri" w:cstheme="minorHAnsi"/>
          <w:b/>
          <w:szCs w:val="22"/>
        </w:rPr>
        <w:t>Request-for-quote (</w:t>
      </w:r>
      <w:r w:rsidRPr="00AE7975">
        <w:rPr>
          <w:rFonts w:eastAsia="Calibri" w:cstheme="minorHAnsi"/>
          <w:szCs w:val="22"/>
        </w:rPr>
        <w:t>“</w:t>
      </w:r>
      <w:r w:rsidRPr="00AE7975">
        <w:rPr>
          <w:rFonts w:eastAsia="Calibri" w:cstheme="minorHAnsi"/>
          <w:b/>
          <w:szCs w:val="22"/>
        </w:rPr>
        <w:t>RFQ</w:t>
      </w:r>
      <w:r w:rsidRPr="00AE7975">
        <w:rPr>
          <w:rFonts w:eastAsia="Calibri" w:cstheme="minorHAnsi"/>
          <w:szCs w:val="22"/>
        </w:rPr>
        <w:t>”</w:t>
      </w:r>
      <w:r w:rsidRPr="00AE7975">
        <w:rPr>
          <w:rFonts w:eastAsia="Calibri" w:cstheme="minorHAnsi"/>
          <w:b/>
          <w:szCs w:val="22"/>
        </w:rPr>
        <w:t>) systems</w:t>
      </w:r>
      <w:r w:rsidRPr="00AE7975">
        <w:rPr>
          <w:rFonts w:eastAsia="Calibri" w:cstheme="minorHAnsi"/>
          <w:szCs w:val="22"/>
        </w:rPr>
        <w:t>:</w:t>
      </w:r>
    </w:p>
    <w:p w:rsidR="00DE430F" w:rsidRPr="00AE7975" w:rsidRDefault="00DE430F" w:rsidP="00DE430F">
      <w:pPr>
        <w:spacing w:after="200"/>
        <w:rPr>
          <w:rFonts w:eastAsia="Calibri" w:cstheme="minorHAnsi"/>
          <w:i/>
          <w:szCs w:val="22"/>
        </w:rPr>
      </w:pPr>
      <w:r w:rsidRPr="00AE7975">
        <w:rPr>
          <w:rFonts w:eastAsia="Calibri" w:cstheme="minorHAnsi"/>
          <w:i/>
          <w:szCs w:val="22"/>
        </w:rPr>
        <w:t>RFQ Definition</w:t>
      </w:r>
    </w:p>
    <w:p w:rsidR="00DE430F" w:rsidRPr="00AE7975" w:rsidRDefault="00DE430F" w:rsidP="00DE430F">
      <w:pPr>
        <w:numPr>
          <w:ilvl w:val="0"/>
          <w:numId w:val="35"/>
        </w:numPr>
        <w:spacing w:after="200"/>
        <w:ind w:left="360"/>
        <w:contextualSpacing/>
        <w:jc w:val="left"/>
        <w:rPr>
          <w:rFonts w:eastAsia="Calibri" w:cstheme="minorHAnsi"/>
          <w:i/>
          <w:szCs w:val="22"/>
        </w:rPr>
      </w:pPr>
      <w:r w:rsidRPr="00AE7975">
        <w:rPr>
          <w:rFonts w:eastAsia="Calibri" w:cstheme="minorHAnsi"/>
          <w:i/>
          <w:szCs w:val="22"/>
        </w:rPr>
        <w:t>Actionable indication of interest</w:t>
      </w:r>
    </w:p>
    <w:p w:rsidR="00DE430F" w:rsidRPr="00AE7975" w:rsidRDefault="00DE430F" w:rsidP="00DE430F">
      <w:pPr>
        <w:spacing w:after="200"/>
        <w:rPr>
          <w:rFonts w:eastAsia="Calibri" w:cstheme="minorHAnsi"/>
          <w:szCs w:val="22"/>
        </w:rPr>
      </w:pPr>
      <w:r w:rsidRPr="00AE7975">
        <w:rPr>
          <w:rFonts w:eastAsia="Calibri" w:cstheme="minorHAnsi"/>
          <w:szCs w:val="22"/>
        </w:rPr>
        <w:lastRenderedPageBreak/>
        <w:t>Various terms are used in relation to RFQ systems, in the context of the requirement to make public (in Article 8(1), MiFID), the detail around the specific requirements for RFQ systems (set out in Annex I to the proposed RTS 9) and in the waiver from pre-trade transparency requirements relating to RFQ systems (in Article 9(1</w:t>
      </w:r>
      <w:proofErr w:type="gramStart"/>
      <w:r w:rsidRPr="00AE7975">
        <w:rPr>
          <w:rFonts w:eastAsia="Calibri" w:cstheme="minorHAnsi"/>
          <w:szCs w:val="22"/>
        </w:rPr>
        <w:t>)(</w:t>
      </w:r>
      <w:proofErr w:type="gramEnd"/>
      <w:r w:rsidRPr="00AE7975">
        <w:rPr>
          <w:rFonts w:eastAsia="Calibri" w:cstheme="minorHAnsi"/>
          <w:szCs w:val="22"/>
        </w:rPr>
        <w:t>b), MiFID). The terms used include “bids and offers”</w:t>
      </w:r>
      <w:proofErr w:type="gramStart"/>
      <w:r w:rsidRPr="00AE7975">
        <w:rPr>
          <w:rFonts w:eastAsia="Calibri" w:cstheme="minorHAnsi"/>
          <w:szCs w:val="22"/>
        </w:rPr>
        <w:t>, ”</w:t>
      </w:r>
      <w:proofErr w:type="gramEnd"/>
      <w:r w:rsidRPr="00AE7975">
        <w:rPr>
          <w:rFonts w:eastAsia="Calibri" w:cstheme="minorHAnsi"/>
          <w:szCs w:val="22"/>
        </w:rPr>
        <w:t xml:space="preserve">actionable indication of interests” and “quotes”. Given the inconsistent use of terminology we would ask ESMA to clarify that only when an investment firm provides an unconditionally firm executable response to a request for a price (by contrast to a non-binding streamed price), this would be characterised as an ‘actionable indication of interest’ (as defined in Article 2(1)(33) MiFIR) needing to be made public pursuant to Article 8(1) and able to benefit from the waiver in Article 9(1)(b) (if the trade is in a size above SSTI). We note that ESMA has itself recognised (in its May 2014 Discussion Paper at page 48) that an ‘actionable indication of </w:t>
      </w:r>
      <w:proofErr w:type="gramStart"/>
      <w:r w:rsidRPr="00AE7975">
        <w:rPr>
          <w:rFonts w:eastAsia="Calibri" w:cstheme="minorHAnsi"/>
          <w:szCs w:val="22"/>
        </w:rPr>
        <w:t>interest‘ must</w:t>
      </w:r>
      <w:proofErr w:type="gramEnd"/>
      <w:r w:rsidRPr="00AE7975">
        <w:rPr>
          <w:rFonts w:eastAsia="Calibri" w:cstheme="minorHAnsi"/>
          <w:szCs w:val="22"/>
        </w:rPr>
        <w:t xml:space="preserve"> be binding.  We agree with this view. </w:t>
      </w:r>
    </w:p>
    <w:p w:rsidR="00DE430F" w:rsidRPr="00AE7975" w:rsidRDefault="00DE430F" w:rsidP="00DE430F">
      <w:pPr>
        <w:spacing w:after="200"/>
        <w:rPr>
          <w:rFonts w:eastAsia="Calibri" w:cstheme="minorHAnsi"/>
          <w:szCs w:val="22"/>
        </w:rPr>
      </w:pPr>
      <w:r w:rsidRPr="00AE7975">
        <w:rPr>
          <w:rFonts w:eastAsia="Calibri" w:cstheme="minorHAnsi"/>
          <w:szCs w:val="22"/>
        </w:rPr>
        <w:t>ESMA’s proposed description of RFQ in RTS 9 currently refers generically to “quotes”. In order to ensure consistency with the Level 1 MiFIR text and provide the clarity required, ESMA should replace “quotes” in RTS 8 and 9 with a description which includes “actionable indication of interests” (“</w:t>
      </w:r>
      <w:r w:rsidRPr="00AE7975">
        <w:rPr>
          <w:rFonts w:eastAsia="Calibri" w:cstheme="minorHAnsi"/>
          <w:b/>
          <w:szCs w:val="22"/>
        </w:rPr>
        <w:t>AIOIs</w:t>
      </w:r>
      <w:r w:rsidRPr="00AE7975">
        <w:rPr>
          <w:rFonts w:eastAsia="Calibri" w:cstheme="minorHAnsi"/>
          <w:szCs w:val="22"/>
        </w:rPr>
        <w:t xml:space="preserve">”) or, at the least clarify in the definition (or otherwise) that the reference to a quote means an executable firm quote that, within an RFQ system, is an AIOI and would be subject to the pre-trade transparency requirements. </w:t>
      </w:r>
    </w:p>
    <w:p w:rsidR="00DE430F" w:rsidRPr="00AE7975" w:rsidRDefault="00DE430F" w:rsidP="00DE430F">
      <w:pPr>
        <w:numPr>
          <w:ilvl w:val="0"/>
          <w:numId w:val="35"/>
        </w:numPr>
        <w:spacing w:after="200"/>
        <w:ind w:left="360"/>
        <w:contextualSpacing/>
        <w:jc w:val="left"/>
        <w:rPr>
          <w:rFonts w:eastAsia="Calibri" w:cstheme="minorHAnsi"/>
          <w:szCs w:val="22"/>
        </w:rPr>
      </w:pPr>
      <w:r w:rsidRPr="00AE7975">
        <w:rPr>
          <w:rFonts w:eastAsia="Calibri" w:cstheme="minorHAnsi"/>
          <w:szCs w:val="22"/>
        </w:rPr>
        <w:t xml:space="preserve"> ‘</w:t>
      </w:r>
      <w:r w:rsidRPr="00AE7975">
        <w:rPr>
          <w:rFonts w:eastAsia="Calibri" w:cstheme="minorHAnsi"/>
          <w:i/>
          <w:szCs w:val="22"/>
        </w:rPr>
        <w:t>Making public” competing RFQ responses</w:t>
      </w:r>
    </w:p>
    <w:p w:rsidR="00DE430F" w:rsidRPr="00AE7975" w:rsidRDefault="00DE430F" w:rsidP="00DE430F">
      <w:pPr>
        <w:spacing w:after="200"/>
        <w:rPr>
          <w:rFonts w:eastAsia="Calibri" w:cstheme="minorHAnsi"/>
          <w:szCs w:val="22"/>
        </w:rPr>
      </w:pPr>
      <w:r w:rsidRPr="00AE7975">
        <w:rPr>
          <w:rFonts w:eastAsia="Calibri" w:cstheme="minorHAnsi"/>
          <w:szCs w:val="22"/>
        </w:rPr>
        <w:t xml:space="preserve">Furthermore, we share ISDA’s and AFME’s concerns that ESMA’s updated proposed definition of an RFQ Trading System for the purposes of the pre-trade transparency regime may require materially changing how RFQ systems function in the market in order to avoid prospective motivational misalignment that would result from a need for the venue to make public prices immediately on receipt from respondents.  We urge ESMA to provide clarity on this point. </w:t>
      </w:r>
    </w:p>
    <w:p w:rsidR="00DE430F" w:rsidRPr="00AE7975" w:rsidRDefault="00DE430F" w:rsidP="00DE430F">
      <w:pPr>
        <w:spacing w:after="200"/>
        <w:rPr>
          <w:rFonts w:eastAsia="Calibri" w:cstheme="minorHAnsi"/>
          <w:szCs w:val="22"/>
        </w:rPr>
      </w:pPr>
      <w:r w:rsidRPr="00AE7975">
        <w:rPr>
          <w:rFonts w:eastAsia="Calibri" w:cstheme="minorHAnsi"/>
          <w:szCs w:val="22"/>
        </w:rPr>
        <w:t xml:space="preserve">ESMA has proposed to define an RFQ system as a “trading system where a quote or quotes are </w:t>
      </w:r>
      <w:r w:rsidRPr="00AE7975">
        <w:rPr>
          <w:rFonts w:eastAsia="Calibri" w:cstheme="minorHAnsi"/>
          <w:i/>
          <w:szCs w:val="22"/>
          <w:u w:val="single"/>
        </w:rPr>
        <w:t>published</w:t>
      </w:r>
      <w:r w:rsidRPr="00AE7975">
        <w:rPr>
          <w:rFonts w:eastAsia="Calibri" w:cstheme="minorHAnsi"/>
          <w:szCs w:val="22"/>
        </w:rPr>
        <w:t xml:space="preserve"> in response to a request for quote submitted by one or more other members or participants. The quote is executable exclusively by the requesting member or market participant. The requesting member or participant may conclude a transaction by accepting the quote or quotes provided to it on request.” This definition is different from that proposed in ESMA’s May consultation paper which referred to quotes being “provided” rather than “published”. Whilst we, are supportive of stating expressly that the quote is executable exclusively by the requesting member/participant, we are concerned by the requirement for quotes to be “published”. This change is particularly concerning given that Table 1, Annex 1 of RTS 9 specifies that the information to be made public is “the bids and offers and attaching volumes by each responding party”. The publication of individual responses immediately, in an RFQ system, is not conducive to good market practice. This would give rise to a situation where one dealer may have sight of another dealer’s response before providing its own. We refer to </w:t>
      </w:r>
      <w:proofErr w:type="spellStart"/>
      <w:r w:rsidRPr="00AE7975">
        <w:rPr>
          <w:rFonts w:eastAsia="Calibri" w:cstheme="minorHAnsi"/>
          <w:szCs w:val="22"/>
        </w:rPr>
        <w:t>Tradeweb’s</w:t>
      </w:r>
      <w:proofErr w:type="spellEnd"/>
      <w:r w:rsidRPr="00AE7975">
        <w:rPr>
          <w:rFonts w:eastAsia="Calibri" w:cstheme="minorHAnsi"/>
          <w:szCs w:val="22"/>
        </w:rPr>
        <w:t xml:space="preserve"> White Paper dated November 2014 which highlights the adverse impact on the market that would result from an interpretation which establishes an immediate publication standard as a requirement, in particular the impact on liquidity, which may result in difficulties for issuers and end investors.  We agree with the concerns raised by this White Paper. </w:t>
      </w:r>
    </w:p>
    <w:p w:rsidR="00DE430F" w:rsidRPr="00AE7975" w:rsidRDefault="00DE430F" w:rsidP="00DE430F">
      <w:pPr>
        <w:spacing w:after="200"/>
        <w:rPr>
          <w:rFonts w:eastAsia="Calibri" w:cstheme="minorHAnsi"/>
          <w:szCs w:val="22"/>
        </w:rPr>
      </w:pPr>
      <w:r w:rsidRPr="00AE7975">
        <w:rPr>
          <w:rFonts w:eastAsia="Calibri" w:cstheme="minorHAnsi"/>
          <w:szCs w:val="22"/>
        </w:rPr>
        <w:lastRenderedPageBreak/>
        <w:t xml:space="preserve">Should ESMA be of the view that it is unable to interpret the Level 1 text to allow the continuation of the long established RFQ process as it is currently conducted, we believe ESMA has authority under Level 1 (possibly under the Order Management Waiver) to provide for the delay of publication until all responses to an RFQ have been received by the venue or the maximum time has elapsed for quotes to be provided. This is the equivalent of option 3 in </w:t>
      </w:r>
      <w:proofErr w:type="spellStart"/>
      <w:r w:rsidRPr="00AE7975">
        <w:rPr>
          <w:rFonts w:eastAsia="Calibri" w:cstheme="minorHAnsi"/>
          <w:szCs w:val="22"/>
        </w:rPr>
        <w:t>Tradeweb’s</w:t>
      </w:r>
      <w:proofErr w:type="spellEnd"/>
      <w:r w:rsidRPr="00AE7975">
        <w:rPr>
          <w:rFonts w:eastAsia="Calibri" w:cstheme="minorHAnsi"/>
          <w:szCs w:val="22"/>
        </w:rPr>
        <w:t xml:space="preserve"> White Paper. Under this option the responsive prices would not be actionable until the ‘curtain” is raised at which point the pre-trade transparency publication requirement arises.  </w:t>
      </w:r>
    </w:p>
    <w:p w:rsidR="00DE430F" w:rsidRPr="00AE7975" w:rsidRDefault="00DE430F" w:rsidP="00DE430F">
      <w:pPr>
        <w:spacing w:after="200"/>
        <w:rPr>
          <w:rFonts w:eastAsia="Calibri" w:cstheme="minorHAnsi"/>
          <w:szCs w:val="22"/>
        </w:rPr>
      </w:pPr>
      <w:r w:rsidRPr="00AE7975">
        <w:rPr>
          <w:rFonts w:eastAsia="Calibri" w:cstheme="minorHAnsi"/>
          <w:szCs w:val="22"/>
        </w:rPr>
        <w:t>ESMA’s change in the definition of RFQ to refer to quotes “published” rather than “provided” is also unworkable in the context of the RFQ waiver in Article 9(1</w:t>
      </w:r>
      <w:proofErr w:type="gramStart"/>
      <w:r w:rsidRPr="00AE7975">
        <w:rPr>
          <w:rFonts w:eastAsia="Calibri" w:cstheme="minorHAnsi"/>
          <w:szCs w:val="22"/>
        </w:rPr>
        <w:t>)(</w:t>
      </w:r>
      <w:proofErr w:type="gramEnd"/>
      <w:r w:rsidRPr="00AE7975">
        <w:rPr>
          <w:rFonts w:eastAsia="Calibri" w:cstheme="minorHAnsi"/>
          <w:szCs w:val="22"/>
        </w:rPr>
        <w:t xml:space="preserve">b) discussed above. If a price has to be “published” to fall within the definition of an RFQ system (for which the waiver is available) the functional purpose of the waiver (i.e. to ensure responses do not have to be published, above SSTI) would in practice, be redundant. </w:t>
      </w:r>
    </w:p>
    <w:p w:rsidR="00DE430F" w:rsidRPr="00AE7975" w:rsidRDefault="00DE430F" w:rsidP="00DE430F">
      <w:pPr>
        <w:spacing w:after="200"/>
        <w:rPr>
          <w:rFonts w:eastAsia="Calibri" w:cstheme="minorHAnsi"/>
          <w:szCs w:val="22"/>
        </w:rPr>
      </w:pPr>
      <w:r w:rsidRPr="00AE7975">
        <w:rPr>
          <w:rFonts w:eastAsia="Calibri" w:cstheme="minorHAnsi"/>
          <w:szCs w:val="22"/>
        </w:rPr>
        <w:t xml:space="preserve">In addition, we note that ESMA has provided no explanation as to the reasoning for this change. We would therefore encourage ESMA to revert to the concept of “provided” to rather than “published” in the description of </w:t>
      </w:r>
      <w:proofErr w:type="gramStart"/>
      <w:r w:rsidRPr="00AE7975">
        <w:rPr>
          <w:rFonts w:eastAsia="Calibri" w:cstheme="minorHAnsi"/>
          <w:szCs w:val="22"/>
        </w:rPr>
        <w:t>RFQ .</w:t>
      </w:r>
      <w:proofErr w:type="gramEnd"/>
    </w:p>
    <w:p w:rsidR="00DE430F" w:rsidRPr="00AE7975" w:rsidRDefault="00DE430F" w:rsidP="00DE430F">
      <w:pPr>
        <w:spacing w:after="200"/>
        <w:rPr>
          <w:rFonts w:eastAsia="Calibri" w:cstheme="minorHAnsi"/>
          <w:i/>
          <w:szCs w:val="22"/>
        </w:rPr>
      </w:pPr>
      <w:r w:rsidRPr="00AE7975">
        <w:rPr>
          <w:rFonts w:eastAsia="Calibri" w:cstheme="minorHAnsi"/>
          <w:i/>
          <w:szCs w:val="22"/>
        </w:rPr>
        <w:t>Packaged transactions:</w:t>
      </w:r>
    </w:p>
    <w:p w:rsidR="00DE430F" w:rsidRPr="00AE7975" w:rsidRDefault="00DE430F" w:rsidP="00DE430F">
      <w:pPr>
        <w:spacing w:after="200"/>
        <w:rPr>
          <w:rFonts w:eastAsia="Calibri" w:cstheme="minorHAnsi"/>
          <w:szCs w:val="22"/>
        </w:rPr>
      </w:pPr>
      <w:r w:rsidRPr="00AE7975">
        <w:rPr>
          <w:rFonts w:eastAsia="Calibri" w:cstheme="minorHAnsi"/>
          <w:szCs w:val="22"/>
        </w:rPr>
        <w:t>We refer ESMA to ISDA’s and AFME’s response to this question as relates to pre-trade transparency in relation to packaged transactions, with which we agree.</w:t>
      </w:r>
    </w:p>
    <w:p w:rsidR="00DE430F" w:rsidRPr="00AE7975" w:rsidRDefault="00DE430F" w:rsidP="00DE430F">
      <w:pPr>
        <w:spacing w:after="200"/>
        <w:rPr>
          <w:rFonts w:eastAsia="Calibri" w:cstheme="minorHAnsi"/>
          <w:szCs w:val="22"/>
        </w:rPr>
      </w:pPr>
      <w:r w:rsidRPr="00AE7975">
        <w:rPr>
          <w:rFonts w:eastAsia="Calibri" w:cstheme="minorHAnsi"/>
          <w:szCs w:val="22"/>
        </w:rPr>
        <w:t xml:space="preserve">In addition to the challenges identified by ISDA and AFME in terms of when a package might be considered ‘liquid” (see responses to questions 57 and 61) we note that it is not clear to us what information would be made public in relation to a packaged transaction. A packaged transaction is made up of a number of different financial instruments and the price provided to a client is unlikely to be the aggregate price a firm would provide if each of those financial instruments were traded individually. This is so because the net risk for the package of transactions as a whole is likely to be materially less than had each component been traded individually on risk. Disclosing AIOIs in respect of individual components of the package would therefore be misleading and would not contribute to the price discovery process. The most frequently traded packages could have a unique trade identifier defining the entire set of combined transactions and the associated price, making these a defined sub-class. However, this approach cannot be applied to less commonly traded combinations.  </w:t>
      </w:r>
    </w:p>
    <w:p w:rsidR="00DE430F" w:rsidRPr="00AE7975" w:rsidRDefault="00DE430F" w:rsidP="00DE430F">
      <w:pPr>
        <w:spacing w:after="200"/>
        <w:rPr>
          <w:rFonts w:eastAsia="Calibri" w:cstheme="minorHAnsi"/>
          <w:szCs w:val="22"/>
        </w:rPr>
      </w:pPr>
      <w:r w:rsidRPr="00AE7975">
        <w:rPr>
          <w:rFonts w:eastAsia="Calibri" w:cstheme="minorHAnsi"/>
          <w:szCs w:val="22"/>
        </w:rPr>
        <w:t>Though a swap may be subject to the execution mandate to trade exclusively on a venue, the challenges identified by ISDA extend to packages that relate to primary issued bonds where the issuer achieves its target floating rate cost of funds as a result of the combined rate swap and cost of issuance. Dealers may need to commit to prices on swaps against as yet unissued bonds.  This area requires particular attention.  We note also that bonds alone may be traded as pairs or switches.  We refer to AFME’s comments in this respect, with which we agree.</w:t>
      </w:r>
    </w:p>
    <w:p w:rsidR="00DE430F" w:rsidRPr="00AE7975" w:rsidRDefault="00DE430F" w:rsidP="00DE430F">
      <w:pPr>
        <w:spacing w:after="200"/>
        <w:rPr>
          <w:rFonts w:eastAsia="Calibri" w:cstheme="minorHAnsi"/>
          <w:szCs w:val="22"/>
        </w:rPr>
      </w:pPr>
      <w:r w:rsidRPr="00AE7975">
        <w:rPr>
          <w:rFonts w:eastAsia="Calibri" w:cstheme="minorHAnsi"/>
          <w:szCs w:val="22"/>
        </w:rPr>
        <w:t xml:space="preserve">We would therefore encourage ESMA to consider packaged transactions as a distinct class of financial instrument and provide clarity around what is required to be made public in this context. Our view is that ESMA has the authority to do so within its broader mandate to set </w:t>
      </w:r>
      <w:r w:rsidRPr="00AE7975">
        <w:rPr>
          <w:rFonts w:eastAsia="Calibri" w:cstheme="minorHAnsi"/>
          <w:szCs w:val="22"/>
        </w:rPr>
        <w:lastRenderedPageBreak/>
        <w:t>out the information to be made public in the context of the pre-trade transparency requirements.</w:t>
      </w:r>
    </w:p>
    <w:p w:rsidR="00DE430F" w:rsidRPr="00AE7975" w:rsidRDefault="00DE430F" w:rsidP="00DE430F">
      <w:pPr>
        <w:spacing w:after="200"/>
        <w:rPr>
          <w:rFonts w:eastAsia="Calibri" w:cstheme="minorHAnsi"/>
          <w:i/>
          <w:szCs w:val="22"/>
        </w:rPr>
      </w:pPr>
      <w:r w:rsidRPr="00AE7975">
        <w:rPr>
          <w:rFonts w:eastAsia="Calibri" w:cstheme="minorHAnsi"/>
          <w:i/>
          <w:szCs w:val="22"/>
        </w:rPr>
        <w:t>Voice Trading Systems:</w:t>
      </w:r>
    </w:p>
    <w:p w:rsidR="00DE430F" w:rsidRPr="00AE7975" w:rsidRDefault="00DE430F" w:rsidP="00DE430F">
      <w:pPr>
        <w:spacing w:after="200"/>
        <w:rPr>
          <w:rFonts w:eastAsia="Calibri" w:cstheme="minorHAnsi"/>
          <w:szCs w:val="22"/>
        </w:rPr>
      </w:pPr>
      <w:r w:rsidRPr="00AE7975">
        <w:rPr>
          <w:rFonts w:eastAsia="Calibri" w:cstheme="minorHAnsi"/>
          <w:szCs w:val="22"/>
        </w:rPr>
        <w:t>The above comments in relation to AIOIs are relevant also in the context of Voice Trading Systems.  Given the inconsistent use of terminology we would ask ESMA to clarify that only when an investment firm provides an unconditionally firm executable price on a Voice Trading System, this would be characterised as an ‘actionable indication of interest’ needing to be made public pursuant to Article 8(1) and able to benefit from the waiver in Article 9(1</w:t>
      </w:r>
      <w:proofErr w:type="gramStart"/>
      <w:r w:rsidRPr="00AE7975">
        <w:rPr>
          <w:rFonts w:eastAsia="Calibri" w:cstheme="minorHAnsi"/>
          <w:szCs w:val="22"/>
        </w:rPr>
        <w:t>)(</w:t>
      </w:r>
      <w:proofErr w:type="gramEnd"/>
      <w:r w:rsidRPr="00AE7975">
        <w:rPr>
          <w:rFonts w:eastAsia="Calibri" w:cstheme="minorHAnsi"/>
          <w:szCs w:val="22"/>
        </w:rPr>
        <w:t>b), if the trade is in a size above SSTI.</w:t>
      </w:r>
    </w:p>
    <w:p w:rsidR="00DE430F" w:rsidRPr="00DE430F" w:rsidRDefault="00DE430F" w:rsidP="00DE430F">
      <w:pPr>
        <w:spacing w:after="200"/>
        <w:rPr>
          <w:rFonts w:eastAsia="Calibri" w:cstheme="minorHAnsi"/>
          <w:color w:val="FF0000"/>
          <w:szCs w:val="22"/>
        </w:rPr>
      </w:pPr>
      <w:r w:rsidRPr="00AE7975">
        <w:rPr>
          <w:rFonts w:eastAsia="Calibri" w:cstheme="minorHAnsi"/>
          <w:szCs w:val="22"/>
        </w:rPr>
        <w:t>In order to ensure consistency with the Level 1 MiFIR text and provide the clarity required, ESMA should clarify that AIOIs are the means used to provide firm prices in a Voice Trading System and that these AIOIs would be subject to the pre-transparency requirements (and able to benefit from the waiver in Article 9(1)(b).</w:t>
      </w:r>
    </w:p>
    <w:permEnd w:id="79"/>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4F03A5" w:rsidRPr="00E009EA" w:rsidRDefault="004F03A5" w:rsidP="004F03A5">
      <w:pPr>
        <w:keepNext/>
      </w:pPr>
      <w:permStart w:id="80" w:edGrp="everyone"/>
      <w:r>
        <w:t>We agree with AFME on this point.</w:t>
      </w:r>
    </w:p>
    <w:permEnd w:id="80"/>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9F2012" w:rsidRPr="00AE7975" w:rsidRDefault="009F2012" w:rsidP="009F2012">
      <w:pPr>
        <w:keepNext/>
      </w:pPr>
      <w:permStart w:id="81" w:edGrp="everyone"/>
      <w:r>
        <w:t>We agree with AFME on this point.</w:t>
      </w:r>
    </w:p>
    <w:permEnd w:id="81"/>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t>&lt;ESMA_QUESTION_CP_MIFID_73&gt;</w:t>
      </w:r>
    </w:p>
    <w:p w:rsidR="00577C33" w:rsidRPr="00AE7975" w:rsidRDefault="00D87C08" w:rsidP="00EC2C93">
      <w:pPr>
        <w:keepNext/>
      </w:pPr>
      <w:permStart w:id="82" w:edGrp="everyone"/>
      <w:r>
        <w:t>We agree with AFME on this point.</w:t>
      </w:r>
    </w:p>
    <w:permEnd w:id="82"/>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t>&lt;ESMA_QUESTION_CP_MIFID_74&gt;</w:t>
      </w:r>
    </w:p>
    <w:p w:rsidR="00543216" w:rsidRPr="00AE7975" w:rsidRDefault="00D87C08" w:rsidP="00543216">
      <w:pPr>
        <w:keepNext/>
      </w:pPr>
      <w:permStart w:id="83" w:edGrp="everyone"/>
      <w:r>
        <w:t>We agree with AFME on this point.</w:t>
      </w:r>
    </w:p>
    <w:permEnd w:id="83"/>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lastRenderedPageBreak/>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7F560E" w:rsidRPr="00AE7975" w:rsidRDefault="007F560E" w:rsidP="007F560E">
      <w:pPr>
        <w:spacing w:after="200"/>
        <w:rPr>
          <w:rFonts w:eastAsia="Calibri" w:cstheme="minorHAnsi"/>
          <w:szCs w:val="22"/>
        </w:rPr>
      </w:pPr>
      <w:permStart w:id="84" w:edGrp="everyone"/>
      <w:r w:rsidRPr="00AE7975">
        <w:rPr>
          <w:rFonts w:eastAsia="Calibri" w:cstheme="minorHAnsi"/>
          <w:szCs w:val="22"/>
        </w:rPr>
        <w:t xml:space="preserve">For the reasons stated in our response to ESMA’s May 2014 Discussion Paper, we agree that 15 minutes is an appropriate maximum period for real-time post-trade reporting of trades that do not benefit from a deferral, particularly given that the post-trade transparency regime is being applied to non-equity instruments for the first time. </w:t>
      </w:r>
    </w:p>
    <w:p w:rsidR="007F560E" w:rsidRPr="00AE7975" w:rsidRDefault="007F560E" w:rsidP="007F560E">
      <w:pPr>
        <w:spacing w:after="200"/>
        <w:rPr>
          <w:rFonts w:eastAsia="Calibri" w:cstheme="minorHAnsi"/>
          <w:szCs w:val="22"/>
        </w:rPr>
      </w:pPr>
      <w:r w:rsidRPr="00AE7975">
        <w:rPr>
          <w:rFonts w:eastAsia="Calibri" w:cstheme="minorHAnsi"/>
          <w:szCs w:val="22"/>
        </w:rPr>
        <w:t>However, we do not agree that a reduction of the maximum time period for real-time post-trade reporting, from 15 to 5 minutes following a period of 3 years, should be hard-wired into the text. We recognise ESMA’s desire to reduce the time period for real-time post-trade reporting to as short a period as possible and also acknowledge that a 5 minute period may be workable for the industry following a three year phase-in. However, at this stage there is no certainty that this will be the case for all modes of execution. We recommend that ESMA provide for a mandatory review of the time period for real-time post-trade reporting to allow for the implementation of a change at the three year mark, rather than committing itself and the industry to a time period which may or may not be appropriate at that point in time.</w:t>
      </w:r>
    </w:p>
    <w:permEnd w:id="84"/>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43216" w:rsidRPr="00E009EA" w:rsidRDefault="00D87C08" w:rsidP="00EC2C93">
      <w:pPr>
        <w:keepNext/>
      </w:pPr>
      <w:permStart w:id="85" w:edGrp="everyone"/>
      <w:r>
        <w:t>We agree with AFME on this point.</w:t>
      </w:r>
    </w:p>
    <w:permEnd w:id="85"/>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&lt;ESMA_QUESTION_CP_MIFID_77&gt;</w:t>
      </w:r>
    </w:p>
    <w:p w:rsidR="00E43261" w:rsidRPr="00E43261" w:rsidRDefault="00E43261" w:rsidP="00E43261">
      <w:pPr>
        <w:spacing w:after="200"/>
        <w:jc w:val="left"/>
        <w:rPr>
          <w:rFonts w:eastAsia="Calibri" w:cstheme="minorHAnsi"/>
          <w:szCs w:val="22"/>
        </w:rPr>
      </w:pPr>
      <w:permStart w:id="86" w:edGrp="everyone"/>
      <w:r w:rsidRPr="00E43261">
        <w:rPr>
          <w:rFonts w:eastAsia="Calibri" w:cstheme="minorHAnsi"/>
          <w:szCs w:val="22"/>
        </w:rPr>
        <w:t>No, we do not agree.</w:t>
      </w:r>
    </w:p>
    <w:p w:rsidR="00E43261" w:rsidRPr="00E43261" w:rsidRDefault="00E43261" w:rsidP="00E43261">
      <w:pPr>
        <w:spacing w:after="200"/>
        <w:jc w:val="left"/>
        <w:rPr>
          <w:rFonts w:eastAsia="Calibri" w:cstheme="minorHAnsi"/>
          <w:szCs w:val="22"/>
        </w:rPr>
      </w:pPr>
      <w:r w:rsidRPr="00E43261">
        <w:rPr>
          <w:rFonts w:eastAsia="Calibri" w:cstheme="minorHAnsi"/>
          <w:szCs w:val="22"/>
        </w:rPr>
        <w:t xml:space="preserve">We refer to AFME’s response to this question, with which we substantially agree.  </w:t>
      </w:r>
    </w:p>
    <w:p w:rsidR="00E43261" w:rsidRPr="00E43261" w:rsidRDefault="00E43261" w:rsidP="00E43261">
      <w:pPr>
        <w:numPr>
          <w:ilvl w:val="0"/>
          <w:numId w:val="36"/>
        </w:numPr>
        <w:spacing w:after="200"/>
        <w:ind w:left="360"/>
        <w:contextualSpacing/>
        <w:jc w:val="left"/>
        <w:rPr>
          <w:rFonts w:eastAsia="Calibri" w:cstheme="minorHAnsi"/>
          <w:b/>
          <w:szCs w:val="22"/>
        </w:rPr>
      </w:pPr>
      <w:r w:rsidRPr="00E43261">
        <w:rPr>
          <w:rFonts w:eastAsia="Calibri" w:cstheme="minorHAnsi"/>
          <w:b/>
          <w:szCs w:val="22"/>
        </w:rPr>
        <w:t xml:space="preserve">Comments on the 48 hour deferral </w:t>
      </w:r>
    </w:p>
    <w:p w:rsidR="004B70EF" w:rsidRDefault="004B70EF" w:rsidP="00E43261">
      <w:pPr>
        <w:spacing w:after="200"/>
        <w:ind w:left="360"/>
        <w:jc w:val="left"/>
        <w:rPr>
          <w:rFonts w:eastAsia="Calibri" w:cstheme="minorHAnsi"/>
          <w:b/>
          <w:i/>
          <w:szCs w:val="22"/>
        </w:rPr>
      </w:pPr>
    </w:p>
    <w:p w:rsidR="00E43261" w:rsidRPr="00E43261" w:rsidRDefault="00E43261" w:rsidP="00E43261">
      <w:pPr>
        <w:spacing w:after="200"/>
        <w:ind w:left="360"/>
        <w:jc w:val="left"/>
        <w:rPr>
          <w:rFonts w:eastAsia="Calibri" w:cstheme="minorHAnsi"/>
          <w:szCs w:val="22"/>
        </w:rPr>
      </w:pPr>
      <w:r w:rsidRPr="00E43261">
        <w:rPr>
          <w:rFonts w:eastAsia="Calibri" w:cstheme="minorHAnsi"/>
          <w:b/>
          <w:i/>
          <w:szCs w:val="22"/>
        </w:rPr>
        <w:t>Liquid classes</w:t>
      </w:r>
    </w:p>
    <w:p w:rsidR="00E43261" w:rsidRPr="00E43261" w:rsidRDefault="00E43261" w:rsidP="00E43261">
      <w:pPr>
        <w:spacing w:after="200"/>
        <w:ind w:left="360"/>
        <w:contextualSpacing/>
        <w:rPr>
          <w:rFonts w:eastAsia="Calibri" w:cstheme="minorHAnsi"/>
          <w:szCs w:val="22"/>
        </w:rPr>
      </w:pPr>
      <w:r w:rsidRPr="00E43261">
        <w:rPr>
          <w:rFonts w:eastAsia="Calibri" w:cstheme="minorHAnsi"/>
          <w:szCs w:val="22"/>
        </w:rPr>
        <w:t>Given that ESMA’s proposal allows for NCAs to permit deferred publication post-trade of less than 48 hours if the NCA sees fit to do so for a class of instruments, the question is, given the categorisation of the COFIA classes proposed by ESMA</w:t>
      </w:r>
      <w:proofErr w:type="gramStart"/>
      <w:r w:rsidRPr="00E43261">
        <w:rPr>
          <w:rFonts w:eastAsia="Calibri" w:cstheme="minorHAnsi"/>
          <w:szCs w:val="22"/>
        </w:rPr>
        <w:t>,  whether</w:t>
      </w:r>
      <w:proofErr w:type="gramEnd"/>
      <w:r w:rsidRPr="00E43261">
        <w:rPr>
          <w:rFonts w:eastAsia="Calibri" w:cstheme="minorHAnsi"/>
          <w:szCs w:val="22"/>
        </w:rPr>
        <w:t xml:space="preserve"> the 48 hour outer limit is too short a period to adopt as the longest possible permitted deferral.    </w:t>
      </w:r>
    </w:p>
    <w:p w:rsidR="00E43261" w:rsidRPr="00E43261" w:rsidRDefault="00E43261" w:rsidP="00E43261">
      <w:pPr>
        <w:spacing w:after="200"/>
        <w:ind w:left="720"/>
        <w:contextualSpacing/>
        <w:jc w:val="left"/>
        <w:rPr>
          <w:rFonts w:eastAsia="Calibri" w:cstheme="minorHAnsi"/>
          <w:szCs w:val="22"/>
        </w:rPr>
      </w:pPr>
    </w:p>
    <w:p w:rsidR="00E43261" w:rsidRPr="00E43261" w:rsidRDefault="00E43261" w:rsidP="00E43261">
      <w:pPr>
        <w:spacing w:after="200"/>
        <w:ind w:left="360"/>
        <w:contextualSpacing/>
        <w:rPr>
          <w:rFonts w:eastAsia="Calibri" w:cstheme="minorHAnsi"/>
          <w:szCs w:val="22"/>
        </w:rPr>
      </w:pPr>
      <w:r w:rsidRPr="00E43261">
        <w:rPr>
          <w:rFonts w:eastAsia="Calibri" w:cstheme="minorHAnsi"/>
          <w:szCs w:val="22"/>
        </w:rPr>
        <w:t xml:space="preserve">The answer depends on the composition of the class and the number of ‘false positives” in a liquid class.  However, if a class is properly classified to contain only truly liquid instruments and the LIS waivers are appropriately calibrated, we see no reason why 48 hours (by which we mean 48 hours including only business days) would not be sufficient as an outer boundary for deferral.  We are of the view that only very large trades in an instrument in an illiquid class may appropriately require more than 48 hours of deferral and so believe that 48 hours, as an outer limit, ought to be sufficient in almost all other cases.  </w:t>
      </w:r>
    </w:p>
    <w:p w:rsidR="00E43261" w:rsidRPr="00E43261" w:rsidRDefault="00E43261" w:rsidP="00E43261">
      <w:pPr>
        <w:spacing w:after="200"/>
        <w:ind w:left="720"/>
        <w:contextualSpacing/>
        <w:jc w:val="left"/>
        <w:rPr>
          <w:rFonts w:eastAsia="Calibri" w:cstheme="minorHAnsi"/>
          <w:szCs w:val="22"/>
        </w:rPr>
      </w:pPr>
    </w:p>
    <w:p w:rsidR="00E43261" w:rsidRPr="00E43261" w:rsidRDefault="00E43261" w:rsidP="00E43261">
      <w:pPr>
        <w:spacing w:after="200"/>
        <w:ind w:left="360"/>
        <w:contextualSpacing/>
        <w:rPr>
          <w:rFonts w:eastAsia="Calibri" w:cstheme="minorHAnsi"/>
          <w:szCs w:val="22"/>
        </w:rPr>
      </w:pPr>
      <w:r w:rsidRPr="00E43261">
        <w:rPr>
          <w:rFonts w:eastAsia="Calibri" w:cstheme="minorHAnsi"/>
          <w:szCs w:val="22"/>
        </w:rPr>
        <w:t xml:space="preserve">We note in this context that the degree of ‘false positives” in a liquid class may be relevant in an NCA’s decision as to how long a deferral (up to 48 hours) to allow for trades above SSTI in a class, since this decision must be applied uniformly to all instruments in the class (or sub-class). So narrower classes, comprised of instruments that are almost all truly liquid, would allow an NCA the fullest discretion. By making the COFIA classes so wide, ESMA is in effect limiting the discretion of NCAs and obliging them to give deferrals more frequently or for longer periods than they might wish because of the large number of ‘false positives’ within certain classes.  Giving NCAs more flexibility in exercising their discretion allows them to achieve the best policy result.  This is another reason (in addition to those set out in our response to question 57) to adopt narrower classes. </w:t>
      </w:r>
    </w:p>
    <w:p w:rsidR="004B70EF" w:rsidRDefault="004B70EF" w:rsidP="00E43261">
      <w:pPr>
        <w:spacing w:after="200"/>
        <w:ind w:firstLine="360"/>
        <w:jc w:val="left"/>
        <w:rPr>
          <w:rFonts w:eastAsia="Calibri" w:cstheme="minorHAnsi"/>
          <w:b/>
          <w:i/>
          <w:szCs w:val="22"/>
        </w:rPr>
      </w:pPr>
    </w:p>
    <w:p w:rsidR="00E43261" w:rsidRPr="00E43261" w:rsidRDefault="00E43261" w:rsidP="00E43261">
      <w:pPr>
        <w:spacing w:after="200"/>
        <w:ind w:firstLine="360"/>
        <w:jc w:val="left"/>
        <w:rPr>
          <w:rFonts w:eastAsia="Calibri" w:cstheme="minorHAnsi"/>
          <w:b/>
          <w:i/>
          <w:szCs w:val="22"/>
        </w:rPr>
      </w:pPr>
      <w:r w:rsidRPr="00E43261">
        <w:rPr>
          <w:rFonts w:eastAsia="Calibri" w:cstheme="minorHAnsi"/>
          <w:b/>
          <w:i/>
          <w:szCs w:val="22"/>
        </w:rPr>
        <w:t xml:space="preserve">Illiquid classes </w:t>
      </w:r>
    </w:p>
    <w:p w:rsidR="00E43261" w:rsidRPr="00E43261" w:rsidRDefault="00E43261" w:rsidP="00E43261">
      <w:pPr>
        <w:spacing w:after="200"/>
        <w:ind w:left="360"/>
        <w:rPr>
          <w:rFonts w:eastAsia="Calibri" w:cstheme="minorHAnsi"/>
          <w:i/>
          <w:szCs w:val="22"/>
        </w:rPr>
      </w:pPr>
      <w:r w:rsidRPr="00E43261">
        <w:rPr>
          <w:rFonts w:eastAsia="Calibri" w:cstheme="minorHAnsi"/>
          <w:szCs w:val="22"/>
        </w:rPr>
        <w:t>We hold the view that if at the 48 hour point the price of a transaction needs to be disclosed, albeit with the actual principal masked</w:t>
      </w:r>
      <w:proofErr w:type="gramStart"/>
      <w:r w:rsidRPr="00E43261">
        <w:rPr>
          <w:rFonts w:eastAsia="Calibri" w:cstheme="minorHAnsi"/>
          <w:szCs w:val="22"/>
        </w:rPr>
        <w:t>,  this</w:t>
      </w:r>
      <w:proofErr w:type="gramEnd"/>
      <w:r w:rsidRPr="00E43261">
        <w:rPr>
          <w:rFonts w:eastAsia="Calibri" w:cstheme="minorHAnsi"/>
          <w:szCs w:val="22"/>
        </w:rPr>
        <w:t xml:space="preserve"> may result in adverse pricing to clients where the trade is very large and involves an illiquid instrument. This is so because the price will evidently inform the direction of the trade and give clear indication that it is indeed very large.  Accordingly we invite ESMA to consider allowing more than 48 hours as an outer limit for very large trades (meaning multiples of LIS) and </w:t>
      </w:r>
      <w:proofErr w:type="gramStart"/>
      <w:r w:rsidRPr="00E43261">
        <w:rPr>
          <w:rFonts w:eastAsia="Calibri" w:cstheme="minorHAnsi"/>
          <w:szCs w:val="22"/>
        </w:rPr>
        <w:t>also ,</w:t>
      </w:r>
      <w:proofErr w:type="gramEnd"/>
      <w:r w:rsidRPr="00E43261">
        <w:rPr>
          <w:rFonts w:eastAsia="Calibri" w:cstheme="minorHAnsi"/>
          <w:szCs w:val="22"/>
        </w:rPr>
        <w:t xml:space="preserve"> in such cases, more than 4 weeks before the volume must be disclosed.</w:t>
      </w:r>
      <w:r w:rsidRPr="00E43261">
        <w:rPr>
          <w:rFonts w:eastAsia="Calibri" w:cstheme="minorHAnsi"/>
          <w:i/>
          <w:szCs w:val="22"/>
        </w:rPr>
        <w:t xml:space="preserve">   </w:t>
      </w:r>
    </w:p>
    <w:p w:rsidR="00E43261" w:rsidRPr="00E43261" w:rsidRDefault="00E43261" w:rsidP="00E43261">
      <w:pPr>
        <w:numPr>
          <w:ilvl w:val="0"/>
          <w:numId w:val="36"/>
        </w:numPr>
        <w:spacing w:after="200"/>
        <w:ind w:left="360"/>
        <w:contextualSpacing/>
        <w:jc w:val="left"/>
        <w:rPr>
          <w:rFonts w:eastAsia="Calibri" w:cstheme="minorHAnsi"/>
          <w:b/>
          <w:szCs w:val="22"/>
        </w:rPr>
      </w:pPr>
      <w:r w:rsidRPr="00E43261">
        <w:rPr>
          <w:rFonts w:eastAsia="Calibri" w:cstheme="minorHAnsi"/>
          <w:b/>
          <w:szCs w:val="22"/>
        </w:rPr>
        <w:t>Comments on the 50 % relationship between LIS and SSTI</w:t>
      </w:r>
    </w:p>
    <w:p w:rsidR="00E43261" w:rsidRPr="00E43261" w:rsidRDefault="00E43261" w:rsidP="00E43261">
      <w:pPr>
        <w:spacing w:after="200"/>
        <w:ind w:firstLine="360"/>
        <w:rPr>
          <w:rFonts w:eastAsia="Calibri" w:cstheme="minorHAnsi"/>
          <w:szCs w:val="22"/>
        </w:rPr>
      </w:pPr>
      <w:r w:rsidRPr="00E43261">
        <w:rPr>
          <w:rFonts w:eastAsia="Calibri" w:cstheme="minorHAnsi"/>
          <w:szCs w:val="22"/>
        </w:rPr>
        <w:t xml:space="preserve">We do not agree. </w:t>
      </w:r>
    </w:p>
    <w:p w:rsidR="00E43261" w:rsidRPr="00E43261" w:rsidRDefault="00E43261" w:rsidP="00E43261">
      <w:pPr>
        <w:spacing w:after="200"/>
        <w:ind w:firstLine="360"/>
        <w:rPr>
          <w:rFonts w:eastAsia="Calibri" w:cstheme="minorHAnsi"/>
          <w:szCs w:val="22"/>
        </w:rPr>
      </w:pPr>
      <w:r w:rsidRPr="00E43261">
        <w:rPr>
          <w:rFonts w:eastAsia="Calibri" w:cstheme="minorHAnsi"/>
          <w:szCs w:val="22"/>
        </w:rPr>
        <w:lastRenderedPageBreak/>
        <w:t xml:space="preserve">We hold the view both that: </w:t>
      </w:r>
    </w:p>
    <w:p w:rsidR="00E43261" w:rsidRPr="00E43261" w:rsidRDefault="00E43261" w:rsidP="00E43261">
      <w:pPr>
        <w:numPr>
          <w:ilvl w:val="0"/>
          <w:numId w:val="38"/>
        </w:numPr>
        <w:spacing w:after="200"/>
        <w:contextualSpacing/>
        <w:jc w:val="left"/>
        <w:rPr>
          <w:rFonts w:eastAsia="Calibri" w:cstheme="minorHAnsi"/>
          <w:szCs w:val="22"/>
        </w:rPr>
      </w:pPr>
      <w:r w:rsidRPr="00E43261">
        <w:rPr>
          <w:rFonts w:eastAsia="Calibri" w:cstheme="minorHAnsi"/>
          <w:szCs w:val="22"/>
        </w:rPr>
        <w:t xml:space="preserve">It is inappropriate to prescribe SSTI as 50% of LIS for either pre- or post-trade purposes; and </w:t>
      </w:r>
    </w:p>
    <w:p w:rsidR="00E43261" w:rsidRPr="00E43261" w:rsidRDefault="00E43261" w:rsidP="00E43261">
      <w:pPr>
        <w:numPr>
          <w:ilvl w:val="0"/>
          <w:numId w:val="38"/>
        </w:numPr>
        <w:spacing w:after="200"/>
        <w:contextualSpacing/>
        <w:jc w:val="left"/>
        <w:rPr>
          <w:rFonts w:eastAsia="Calibri" w:cstheme="minorHAnsi"/>
          <w:szCs w:val="22"/>
        </w:rPr>
      </w:pPr>
      <w:r w:rsidRPr="00E43261">
        <w:rPr>
          <w:rFonts w:eastAsia="Calibri" w:cstheme="minorHAnsi"/>
          <w:szCs w:val="22"/>
        </w:rPr>
        <w:t>It is inappropriate to require that LIS and/or SSTI be the same for both pre- and post- trade purposes. This second aspect we address under paragraph (4) below.</w:t>
      </w:r>
    </w:p>
    <w:p w:rsidR="004B70EF" w:rsidRDefault="004B70EF" w:rsidP="00E43261">
      <w:pPr>
        <w:spacing w:after="200"/>
        <w:rPr>
          <w:rFonts w:eastAsia="Calibri" w:cstheme="minorHAnsi"/>
          <w:b/>
          <w:szCs w:val="22"/>
        </w:rPr>
      </w:pPr>
    </w:p>
    <w:p w:rsidR="00E43261" w:rsidRPr="00E43261" w:rsidRDefault="00E43261" w:rsidP="00E43261">
      <w:pPr>
        <w:spacing w:after="200"/>
        <w:rPr>
          <w:rFonts w:eastAsia="Calibri" w:cstheme="minorHAnsi"/>
          <w:b/>
          <w:szCs w:val="22"/>
        </w:rPr>
      </w:pPr>
      <w:r w:rsidRPr="00E43261">
        <w:rPr>
          <w:rFonts w:eastAsia="Calibri" w:cstheme="minorHAnsi"/>
          <w:b/>
          <w:szCs w:val="22"/>
        </w:rPr>
        <w:t xml:space="preserve">SSTI at 50% of LIS: </w:t>
      </w:r>
    </w:p>
    <w:p w:rsidR="00E43261" w:rsidRPr="00E43261" w:rsidRDefault="00E43261" w:rsidP="00E43261">
      <w:pPr>
        <w:spacing w:after="200"/>
        <w:rPr>
          <w:rFonts w:eastAsia="Calibri" w:cstheme="minorHAnsi"/>
          <w:b/>
          <w:szCs w:val="22"/>
        </w:rPr>
      </w:pPr>
      <w:r w:rsidRPr="00E43261">
        <w:rPr>
          <w:rFonts w:eastAsia="Calibri" w:cstheme="minorHAnsi"/>
          <w:b/>
          <w:szCs w:val="22"/>
        </w:rPr>
        <w:t>Post-trade:</w:t>
      </w:r>
    </w:p>
    <w:p w:rsidR="00E43261" w:rsidRPr="00E43261" w:rsidRDefault="00E43261" w:rsidP="00E43261">
      <w:pPr>
        <w:spacing w:after="200"/>
        <w:rPr>
          <w:rFonts w:eastAsia="Calibri" w:cstheme="minorHAnsi"/>
          <w:szCs w:val="22"/>
        </w:rPr>
      </w:pPr>
      <w:r w:rsidRPr="00E43261">
        <w:rPr>
          <w:rFonts w:eastAsia="Calibri" w:cstheme="minorHAnsi"/>
          <w:szCs w:val="22"/>
        </w:rPr>
        <w:t>Post-trade deferrals are intended to provide additional time for a dealer to position a hedge where a trade is of sufficient size that to not allow this presents the dealer with undue risk. We interpret this to mean in practice, that absent the waiver being available, the dealer would alter his price adversely to his client.  The SSTI level should therefore be set at a level such that it is:</w:t>
      </w:r>
    </w:p>
    <w:p w:rsidR="00E43261" w:rsidRPr="00E43261" w:rsidRDefault="00E43261" w:rsidP="00E43261">
      <w:pPr>
        <w:numPr>
          <w:ilvl w:val="0"/>
          <w:numId w:val="39"/>
        </w:numPr>
        <w:spacing w:after="200"/>
        <w:ind w:left="945"/>
        <w:contextualSpacing/>
        <w:jc w:val="left"/>
        <w:rPr>
          <w:rFonts w:eastAsia="Calibri" w:cstheme="minorHAnsi"/>
          <w:szCs w:val="22"/>
        </w:rPr>
      </w:pPr>
      <w:r w:rsidRPr="00E43261">
        <w:rPr>
          <w:rFonts w:eastAsia="Calibri" w:cstheme="minorHAnsi"/>
          <w:szCs w:val="22"/>
        </w:rPr>
        <w:t xml:space="preserve">low enough that the overwhelming majority of trades in the class below this size can readily be hedged almost immediately without moving the market, so pricing to the client is not adversely affected for trades below the size; and </w:t>
      </w:r>
    </w:p>
    <w:p w:rsidR="00E43261" w:rsidRPr="00E43261" w:rsidRDefault="00E43261" w:rsidP="00E43261">
      <w:pPr>
        <w:numPr>
          <w:ilvl w:val="0"/>
          <w:numId w:val="39"/>
        </w:numPr>
        <w:spacing w:after="200"/>
        <w:ind w:left="945"/>
        <w:contextualSpacing/>
        <w:jc w:val="left"/>
        <w:rPr>
          <w:rFonts w:eastAsia="Calibri" w:cstheme="minorHAnsi"/>
          <w:szCs w:val="22"/>
        </w:rPr>
      </w:pPr>
      <w:proofErr w:type="gramStart"/>
      <w:r w:rsidRPr="00E43261">
        <w:rPr>
          <w:rFonts w:eastAsia="Calibri" w:cstheme="minorHAnsi"/>
          <w:szCs w:val="22"/>
        </w:rPr>
        <w:t>not</w:t>
      </w:r>
      <w:proofErr w:type="gramEnd"/>
      <w:r w:rsidRPr="00E43261">
        <w:rPr>
          <w:rFonts w:eastAsia="Calibri" w:cstheme="minorHAnsi"/>
          <w:szCs w:val="22"/>
        </w:rPr>
        <w:t xml:space="preserve"> so low that many trades that exceed the threshold, present the dealer with no undue risk.</w:t>
      </w:r>
    </w:p>
    <w:p w:rsidR="00E43261" w:rsidRPr="00E43261" w:rsidRDefault="00E43261" w:rsidP="00E43261">
      <w:pPr>
        <w:spacing w:after="200"/>
        <w:rPr>
          <w:rFonts w:eastAsia="Calibri" w:cstheme="minorHAnsi"/>
          <w:szCs w:val="22"/>
        </w:rPr>
      </w:pPr>
      <w:r w:rsidRPr="00E43261">
        <w:rPr>
          <w:rFonts w:eastAsia="Calibri" w:cstheme="minorHAnsi"/>
          <w:szCs w:val="22"/>
        </w:rPr>
        <w:t>It is evident, as ESMA acknowledge that defining the COFIA classes appropriately has a bearing on this. We recommend more narrowly defined COFIA classes in some cases and refer to AFME’s response as to recommendations for the re- categorisation of classes for bonds, with which we agree.  In the event that ESMA decides not to introduce more narrowly defined COFIA classes, we recommend compensating for the high number of false positives by adopting a lower level of SSTI, consistently with the principle set out in paragraph 35 on page 100 of the Consultation Paper.</w:t>
      </w:r>
    </w:p>
    <w:p w:rsidR="00E43261" w:rsidRPr="00E43261" w:rsidRDefault="00E43261" w:rsidP="00E43261">
      <w:pPr>
        <w:spacing w:after="200"/>
        <w:rPr>
          <w:rFonts w:eastAsia="Calibri" w:cstheme="minorHAnsi"/>
          <w:szCs w:val="22"/>
        </w:rPr>
      </w:pPr>
      <w:r w:rsidRPr="00E43261">
        <w:rPr>
          <w:rFonts w:eastAsia="Calibri" w:cstheme="minorHAnsi"/>
          <w:szCs w:val="22"/>
        </w:rPr>
        <w:t xml:space="preserve">We believe that in some cases, the SSTI threshold levels for post-trade transparency could be higher than those proposed by ESMA as a result of its analysis under its option 1 method and the application of the 50% LIS level to establish SSTI.  As an example, we see no reason why a trade only marginally above EUR 5million in a truly liquid ten year sovereign bond would require any additional deferral. </w:t>
      </w:r>
    </w:p>
    <w:p w:rsidR="00E43261" w:rsidRPr="00E43261" w:rsidRDefault="00E43261" w:rsidP="00E43261">
      <w:pPr>
        <w:spacing w:after="200"/>
        <w:rPr>
          <w:rFonts w:eastAsia="Calibri" w:cstheme="minorHAnsi"/>
          <w:szCs w:val="22"/>
        </w:rPr>
      </w:pPr>
      <w:r w:rsidRPr="00E43261">
        <w:rPr>
          <w:rFonts w:eastAsia="Calibri" w:cstheme="minorHAnsi"/>
          <w:szCs w:val="22"/>
        </w:rPr>
        <w:t xml:space="preserve">We also draw ESMA’s attention to some apparent inconsistencies in the levels adopted. For example, the SSTI level for Euro denominated liquid sovereign bonds (Euro 5mm) seems completely misaligned with the SSTI level for an interest rate swap denominated in Euro, for which, in the 10 year maturity bucket by way of example, ESMA is proposing a Euro 82.5 mm threshold under option 1. These are surely almost equivalent risks. We urge ESMA to examine the internal consistencies within its categories or the data used to generate them to ensure that risk levels across classes of financial instruments are consistently applied.  See ISDA’s response for additional examples.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Since we do not see a linear relationship between the size established at the 90% ticket level and 50% of that level, we urge ESMA to establish the SSTI level for post-trade at a size below which a percentage of tickets fall, in the same way as the 90% </w:t>
      </w:r>
      <w:r w:rsidRPr="00E43261">
        <w:rPr>
          <w:rFonts w:eastAsia="Calibri" w:cstheme="minorHAnsi"/>
          <w:szCs w:val="22"/>
        </w:rPr>
        <w:lastRenderedPageBreak/>
        <w:t xml:space="preserve">figure is utilised for LIS.  Absent more narrowly defined classes which include only truly liquid instruments, this figure would be lower than that used to establish LIS and could vary depending on the number of ‘false positives’ in the class. If liquid classes could be established that truly include only liquid instruments we see no reason why </w:t>
      </w:r>
      <w:r w:rsidRPr="00E43261">
        <w:rPr>
          <w:rFonts w:eastAsia="Calibri" w:cstheme="minorHAnsi"/>
          <w:i/>
          <w:szCs w:val="22"/>
        </w:rPr>
        <w:t>for post-trade purposes</w:t>
      </w:r>
      <w:r w:rsidRPr="00E43261">
        <w:rPr>
          <w:rFonts w:eastAsia="Calibri" w:cstheme="minorHAnsi"/>
          <w:szCs w:val="22"/>
        </w:rPr>
        <w:t xml:space="preserve"> SSTI could not be the same level as a properly calibrated LIS.  It is not evident to us from a policy point of view why MIFIR introduces a two tiered approach to post-trade waiver levels.     </w:t>
      </w:r>
    </w:p>
    <w:p w:rsidR="00E43261" w:rsidRPr="00E43261" w:rsidRDefault="00E43261" w:rsidP="00E43261">
      <w:pPr>
        <w:spacing w:after="200"/>
        <w:ind w:left="720"/>
        <w:rPr>
          <w:rFonts w:eastAsia="Calibri" w:cstheme="minorHAnsi"/>
          <w:b/>
          <w:szCs w:val="22"/>
        </w:rPr>
      </w:pPr>
      <w:r w:rsidRPr="00E43261">
        <w:rPr>
          <w:rFonts w:eastAsia="Calibri" w:cstheme="minorHAnsi"/>
          <w:b/>
          <w:szCs w:val="22"/>
        </w:rPr>
        <w:t>Pre-trade transparency:</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By contrast, for pre-trade purposes we believe establishing SSTI must be viewed in relation to the LIS level established for pre-trade purposes</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One evident concern regarding the 50% determination of SSTI is in the context of the obligations of an SI to make prices available to other clients under the conditions set out in MIFIR Article 18(5).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For an SI there are significant implications (at least in relation to liquid instruments) associated with making firm quotes to clients in sizes below SSTI, in particular that the SI must also make such quotes </w:t>
      </w:r>
      <w:r w:rsidRPr="00E43261">
        <w:rPr>
          <w:rFonts w:eastAsia="Calibri" w:cstheme="minorHAnsi"/>
          <w:i/>
          <w:szCs w:val="22"/>
        </w:rPr>
        <w:t>available</w:t>
      </w:r>
      <w:r w:rsidRPr="00E43261">
        <w:rPr>
          <w:rFonts w:eastAsia="Calibri" w:cstheme="minorHAnsi"/>
          <w:szCs w:val="22"/>
        </w:rPr>
        <w:t xml:space="preserve"> to other clients. If it is intended that this requires firms to offer more than one or two executions at the quoted price, SSTI cannot be set at 50% of LIS. If an SI provides a quote at a level that is almost 50% of LIS, that SI would be unwilling to execute that trade more than twice, since doing so would give it risk that exceeds the LIS level, without the benefit of a post-trade transparency deferral.  In addition, we note that ESMA has provided no reasoning in the Paper as to why the ‘50% of LIS’ level was chosen. Accordingly we urge that ESMA adopt a threshold for SSTI for pre trade that is independently determined by ticket volumes (rather than </w:t>
      </w:r>
      <w:proofErr w:type="gramStart"/>
      <w:r w:rsidRPr="00E43261">
        <w:rPr>
          <w:rFonts w:eastAsia="Calibri" w:cstheme="minorHAnsi"/>
          <w:szCs w:val="22"/>
        </w:rPr>
        <w:t>an</w:t>
      </w:r>
      <w:proofErr w:type="gramEnd"/>
      <w:r w:rsidRPr="00E43261">
        <w:rPr>
          <w:rFonts w:eastAsia="Calibri" w:cstheme="minorHAnsi"/>
          <w:szCs w:val="22"/>
        </w:rPr>
        <w:t xml:space="preserve"> percentage of LIS) and is set at a level that is far lower than 50% of LIS.</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In the absence of an NCA allowing an SI to adopt a policy allowing it to limit the number of executions to either a single or pair of transactions, the theoretical relationship between  the prices returned to clients on request when engaging with an SI in a liquid instrument would be as follows - </w:t>
      </w:r>
    </w:p>
    <w:p w:rsidR="00E43261" w:rsidRPr="00E43261" w:rsidRDefault="00E43261" w:rsidP="00E43261">
      <w:pPr>
        <w:numPr>
          <w:ilvl w:val="0"/>
          <w:numId w:val="40"/>
        </w:numPr>
        <w:spacing w:after="200"/>
        <w:ind w:left="1080"/>
        <w:contextualSpacing/>
        <w:jc w:val="left"/>
        <w:rPr>
          <w:rFonts w:eastAsia="Calibri" w:cstheme="minorHAnsi"/>
          <w:szCs w:val="22"/>
        </w:rPr>
      </w:pPr>
      <w:r w:rsidRPr="00E43261">
        <w:rPr>
          <w:rFonts w:eastAsia="Calibri" w:cstheme="minorHAnsi"/>
          <w:szCs w:val="22"/>
        </w:rPr>
        <w:t xml:space="preserve">Trades above LIS – these would be priced knowing there is an appropriate pre- and post- trade waiver (assuming this is granted). </w:t>
      </w:r>
    </w:p>
    <w:p w:rsidR="00E43261" w:rsidRPr="00E43261" w:rsidRDefault="00E43261" w:rsidP="00E43261">
      <w:pPr>
        <w:numPr>
          <w:ilvl w:val="0"/>
          <w:numId w:val="40"/>
        </w:numPr>
        <w:spacing w:after="200"/>
        <w:ind w:left="1080"/>
        <w:contextualSpacing/>
        <w:jc w:val="left"/>
        <w:rPr>
          <w:rFonts w:eastAsia="Calibri" w:cstheme="minorHAnsi"/>
          <w:szCs w:val="22"/>
        </w:rPr>
      </w:pPr>
      <w:r w:rsidRPr="00E43261">
        <w:rPr>
          <w:rFonts w:eastAsia="Calibri" w:cstheme="minorHAnsi"/>
          <w:szCs w:val="22"/>
        </w:rPr>
        <w:t>Trades between SSTI and LIS – these would be priced at the appropriate level given there is no pre-trade transparency but (if granted) a stricter post-trade deferral regime than when trading above LIS.</w:t>
      </w:r>
    </w:p>
    <w:p w:rsidR="00E43261" w:rsidRPr="00E43261" w:rsidRDefault="00E43261" w:rsidP="00E43261">
      <w:pPr>
        <w:numPr>
          <w:ilvl w:val="0"/>
          <w:numId w:val="40"/>
        </w:numPr>
        <w:spacing w:after="200"/>
        <w:ind w:left="1080"/>
        <w:contextualSpacing/>
        <w:jc w:val="left"/>
        <w:rPr>
          <w:rFonts w:eastAsia="Calibri" w:cstheme="minorHAnsi"/>
          <w:szCs w:val="22"/>
        </w:rPr>
      </w:pPr>
      <w:r w:rsidRPr="00E43261">
        <w:rPr>
          <w:rFonts w:eastAsia="Calibri" w:cstheme="minorHAnsi"/>
          <w:szCs w:val="22"/>
        </w:rPr>
        <w:t xml:space="preserve">Trades below SSTI - these would be priced more widely than LIS, to compensate for the possibility of having to absorb more risk than a single LIS trade by virtue of multiple executions, and having to do so without the benefit of any waivers.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We understand that in practice, experience will inform an SI how frequently its other clients generally execute against a price made available pursuant to Article 18(5).  However, we believe there is a theoretical relationship between the frequency of execution and the relationship that SSTI must bear as a percentage of LIS.  For example if that is normally 5, looking at the Article 18(5) issue in isolation, SSTI ought to be 20% of LIS so as to avoid the theoretical outcome set out in (c) above.  This </w:t>
      </w:r>
      <w:r w:rsidRPr="00E43261">
        <w:rPr>
          <w:rFonts w:eastAsia="Calibri" w:cstheme="minorHAnsi"/>
          <w:szCs w:val="22"/>
        </w:rPr>
        <w:lastRenderedPageBreak/>
        <w:t xml:space="preserve">relationship would also need to take account of the other factors that inform the correct relationship.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We note also the relevance of MIFIR Article 18(2) in relation to the SSTI level for illiquid instruments.  We understand ESMA to interpret this Article as meaning that an SI in relation to an illiquid instrument, when providing a firm quote to a client below SSTI, is required to disclose that price to other clients who ask to be made aware of that price.  We have no available means to assess at what level this requirement might cause a dealer to alter its price to its client. If one accepts that firm prices are only provided with a high probability of a resulting execution (particularly so in the case of illiquid instruments) we are concerned that this effectively removes the intended benefit of the post trade transparency waiver, since clients to whom such information is disclosed on request might assume that in all likelihood a trade was indeed executed.  The SSTI level for illiquid instruments should be calibrated with these risks in mind. </w:t>
      </w:r>
    </w:p>
    <w:p w:rsidR="00E43261" w:rsidRPr="00E43261" w:rsidRDefault="00E43261" w:rsidP="00E43261">
      <w:pPr>
        <w:spacing w:after="200"/>
        <w:ind w:left="720"/>
        <w:jc w:val="left"/>
        <w:rPr>
          <w:rFonts w:eastAsia="Calibri" w:cstheme="minorHAnsi"/>
          <w:b/>
          <w:szCs w:val="22"/>
        </w:rPr>
      </w:pPr>
      <w:r w:rsidRPr="00E43261">
        <w:rPr>
          <w:rFonts w:eastAsia="Calibri" w:cstheme="minorHAnsi"/>
          <w:szCs w:val="22"/>
        </w:rPr>
        <w:t>We refer ESMA to AFME’s response, with which we agree.</w:t>
      </w:r>
    </w:p>
    <w:p w:rsidR="00E43261" w:rsidRPr="00E43261" w:rsidRDefault="00E43261" w:rsidP="00E43261">
      <w:pPr>
        <w:numPr>
          <w:ilvl w:val="0"/>
          <w:numId w:val="37"/>
        </w:numPr>
        <w:spacing w:after="200"/>
        <w:contextualSpacing/>
        <w:jc w:val="left"/>
        <w:rPr>
          <w:rFonts w:eastAsia="Calibri" w:cstheme="minorHAnsi"/>
          <w:b/>
          <w:szCs w:val="22"/>
        </w:rPr>
      </w:pPr>
      <w:r w:rsidRPr="00E43261">
        <w:rPr>
          <w:rFonts w:eastAsia="Calibri" w:cstheme="minorHAnsi"/>
          <w:b/>
          <w:szCs w:val="22"/>
        </w:rPr>
        <w:t>Volume measure used to set LIS threshold</w:t>
      </w:r>
    </w:p>
    <w:p w:rsidR="00E43261" w:rsidRPr="00E43261" w:rsidRDefault="00E43261" w:rsidP="00E43261">
      <w:pPr>
        <w:spacing w:after="200"/>
        <w:ind w:left="720"/>
        <w:contextualSpacing/>
        <w:rPr>
          <w:rFonts w:eastAsia="Calibri" w:cstheme="minorHAnsi"/>
          <w:szCs w:val="22"/>
        </w:rPr>
      </w:pPr>
      <w:r w:rsidRPr="00E43261">
        <w:rPr>
          <w:rFonts w:eastAsia="Calibri" w:cstheme="minorHAnsi"/>
          <w:szCs w:val="22"/>
        </w:rPr>
        <w:t>[Intentionally left blank]</w:t>
      </w:r>
    </w:p>
    <w:p w:rsidR="00E43261" w:rsidRPr="00E43261" w:rsidRDefault="00E43261" w:rsidP="00E43261">
      <w:pPr>
        <w:spacing w:after="200"/>
        <w:ind w:left="720"/>
        <w:contextualSpacing/>
        <w:rPr>
          <w:rFonts w:eastAsia="Calibri" w:cstheme="minorHAnsi"/>
          <w:b/>
          <w:szCs w:val="22"/>
        </w:rPr>
      </w:pPr>
    </w:p>
    <w:p w:rsidR="00E43261" w:rsidRPr="00E43261" w:rsidRDefault="00E43261" w:rsidP="00E43261">
      <w:pPr>
        <w:spacing w:after="200"/>
        <w:ind w:left="720"/>
        <w:contextualSpacing/>
        <w:rPr>
          <w:rFonts w:eastAsia="Calibri" w:cstheme="minorHAnsi"/>
          <w:b/>
          <w:szCs w:val="22"/>
        </w:rPr>
      </w:pPr>
    </w:p>
    <w:p w:rsidR="00E43261" w:rsidRPr="00E43261" w:rsidRDefault="00E43261" w:rsidP="00E43261">
      <w:pPr>
        <w:numPr>
          <w:ilvl w:val="0"/>
          <w:numId w:val="37"/>
        </w:numPr>
        <w:spacing w:after="200"/>
        <w:contextualSpacing/>
        <w:jc w:val="left"/>
        <w:rPr>
          <w:rFonts w:eastAsia="Calibri" w:cstheme="minorHAnsi"/>
          <w:b/>
          <w:szCs w:val="22"/>
        </w:rPr>
      </w:pPr>
      <w:r w:rsidRPr="00E43261">
        <w:rPr>
          <w:rFonts w:eastAsia="Calibri" w:cstheme="minorHAnsi"/>
          <w:b/>
          <w:szCs w:val="22"/>
        </w:rPr>
        <w:t xml:space="preserve">Pre and post trade levels being the same size. </w:t>
      </w:r>
    </w:p>
    <w:p w:rsidR="00E43261" w:rsidRPr="00E43261" w:rsidRDefault="00E43261" w:rsidP="00E43261">
      <w:pPr>
        <w:spacing w:after="200"/>
        <w:ind w:left="720"/>
        <w:contextualSpacing/>
        <w:jc w:val="left"/>
        <w:rPr>
          <w:rFonts w:eastAsia="Calibri" w:cstheme="minorHAnsi"/>
          <w:b/>
          <w:szCs w:val="22"/>
        </w:rPr>
      </w:pPr>
    </w:p>
    <w:p w:rsidR="00E43261" w:rsidRPr="00E43261" w:rsidRDefault="00E43261" w:rsidP="00E43261">
      <w:pPr>
        <w:spacing w:after="200"/>
        <w:ind w:left="720"/>
        <w:contextualSpacing/>
        <w:rPr>
          <w:rFonts w:eastAsia="Calibri" w:cstheme="minorHAnsi"/>
          <w:b/>
          <w:szCs w:val="22"/>
        </w:rPr>
      </w:pPr>
      <w:r w:rsidRPr="00E43261">
        <w:rPr>
          <w:rFonts w:eastAsia="Calibri" w:cstheme="minorHAnsi"/>
          <w:b/>
          <w:szCs w:val="22"/>
        </w:rPr>
        <w:t xml:space="preserve">Dual Application of the same levels to both pre and post trade: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We urge ESMA to consider the proposal that LIS and SSTI be the same for pre- and post-trade purposes.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It is our view that </w:t>
      </w:r>
    </w:p>
    <w:p w:rsidR="00E43261" w:rsidRPr="00E43261" w:rsidRDefault="00E43261" w:rsidP="00E43261">
      <w:pPr>
        <w:numPr>
          <w:ilvl w:val="0"/>
          <w:numId w:val="41"/>
        </w:numPr>
        <w:spacing w:after="200"/>
        <w:ind w:left="1080"/>
        <w:contextualSpacing/>
        <w:jc w:val="left"/>
        <w:rPr>
          <w:rFonts w:eastAsia="Calibri" w:cstheme="minorHAnsi"/>
          <w:szCs w:val="22"/>
        </w:rPr>
      </w:pPr>
      <w:r w:rsidRPr="00E43261">
        <w:rPr>
          <w:rFonts w:eastAsia="Calibri" w:cstheme="minorHAnsi"/>
          <w:szCs w:val="22"/>
        </w:rPr>
        <w:t>MIFIR not only does not require that LIS and SSTI be the same pre- and post- trade but requires ESMA to consider the calibrations separately in light of the obligations to which they relate;</w:t>
      </w:r>
    </w:p>
    <w:p w:rsidR="00E43261" w:rsidRPr="00E43261" w:rsidRDefault="00E43261" w:rsidP="00E43261">
      <w:pPr>
        <w:numPr>
          <w:ilvl w:val="0"/>
          <w:numId w:val="41"/>
        </w:numPr>
        <w:spacing w:after="200"/>
        <w:ind w:left="1080"/>
        <w:contextualSpacing/>
        <w:jc w:val="left"/>
        <w:rPr>
          <w:rFonts w:eastAsia="Calibri" w:cstheme="minorHAnsi"/>
          <w:szCs w:val="22"/>
        </w:rPr>
      </w:pPr>
      <w:r w:rsidRPr="00E43261">
        <w:rPr>
          <w:rFonts w:eastAsia="Calibri" w:cstheme="minorHAnsi"/>
          <w:szCs w:val="22"/>
        </w:rPr>
        <w:t>As a matter of risk, pre-trade transparency represents more risk than post trade for the same size transaction; and</w:t>
      </w:r>
    </w:p>
    <w:p w:rsidR="00E43261" w:rsidRPr="00E43261" w:rsidRDefault="00E43261" w:rsidP="00E43261">
      <w:pPr>
        <w:numPr>
          <w:ilvl w:val="0"/>
          <w:numId w:val="41"/>
        </w:numPr>
        <w:spacing w:after="200"/>
        <w:ind w:left="1080"/>
        <w:contextualSpacing/>
        <w:jc w:val="left"/>
        <w:rPr>
          <w:rFonts w:eastAsia="Calibri" w:cstheme="minorHAnsi"/>
          <w:szCs w:val="22"/>
        </w:rPr>
      </w:pPr>
      <w:r w:rsidRPr="00E43261">
        <w:rPr>
          <w:rFonts w:eastAsia="Calibri" w:cstheme="minorHAnsi"/>
          <w:szCs w:val="22"/>
        </w:rPr>
        <w:t>ESMA, in seeking to establish uniform levels pre- and post-trade, risks not achieving the policy objective of either regime.</w:t>
      </w:r>
    </w:p>
    <w:p w:rsidR="00E43261" w:rsidRPr="00E43261" w:rsidRDefault="00E43261" w:rsidP="00E43261">
      <w:pPr>
        <w:spacing w:after="200"/>
        <w:ind w:left="720"/>
        <w:contextualSpacing/>
        <w:rPr>
          <w:rFonts w:eastAsia="Calibri" w:cstheme="minorHAnsi"/>
          <w:szCs w:val="22"/>
        </w:rPr>
      </w:pPr>
    </w:p>
    <w:p w:rsidR="00E43261" w:rsidRPr="00E43261" w:rsidRDefault="00E43261" w:rsidP="00E43261">
      <w:pPr>
        <w:spacing w:after="200"/>
        <w:ind w:left="720"/>
        <w:contextualSpacing/>
        <w:rPr>
          <w:rFonts w:eastAsia="Calibri" w:cstheme="minorHAnsi"/>
          <w:szCs w:val="22"/>
        </w:rPr>
      </w:pPr>
      <w:r w:rsidRPr="00E43261">
        <w:rPr>
          <w:rFonts w:eastAsia="Calibri" w:cstheme="minorHAnsi"/>
          <w:szCs w:val="22"/>
        </w:rPr>
        <w:t xml:space="preserve">First, the LIS and SSTI levels pre-trade should be considered separately from those applying post-trade. MiFIR itself recognises this. ESMA’s mandate in relation to pre-trade transparency (Articles 9(5) and 18(10)) requires ESMA to set LIS and SSTI thresholds </w:t>
      </w:r>
      <w:r w:rsidRPr="00E43261">
        <w:rPr>
          <w:rFonts w:eastAsia="Calibri" w:cstheme="minorHAnsi"/>
          <w:b/>
          <w:szCs w:val="22"/>
          <w:u w:val="single"/>
        </w:rPr>
        <w:t>for the purposes of the pre-trade transparency regime</w:t>
      </w:r>
      <w:r w:rsidRPr="00E43261">
        <w:rPr>
          <w:rFonts w:eastAsia="Calibri" w:cstheme="minorHAnsi"/>
          <w:szCs w:val="22"/>
        </w:rPr>
        <w:t xml:space="preserve"> (referring directly to those requirements). ESMA’s mandate to set LIS and SSTI in relation to post-trade is separate (Article 11(4</w:t>
      </w:r>
      <w:proofErr w:type="gramStart"/>
      <w:r w:rsidRPr="00E43261">
        <w:rPr>
          <w:rFonts w:eastAsia="Calibri" w:cstheme="minorHAnsi"/>
          <w:szCs w:val="22"/>
        </w:rPr>
        <w:t>)(</w:t>
      </w:r>
      <w:proofErr w:type="spellStart"/>
      <w:proofErr w:type="gramEnd"/>
      <w:r w:rsidRPr="00E43261">
        <w:rPr>
          <w:rFonts w:eastAsia="Calibri" w:cstheme="minorHAnsi"/>
          <w:szCs w:val="22"/>
        </w:rPr>
        <w:t>c&amp;d</w:t>
      </w:r>
      <w:proofErr w:type="spellEnd"/>
      <w:r w:rsidRPr="00E43261">
        <w:rPr>
          <w:rFonts w:eastAsia="Calibri" w:cstheme="minorHAnsi"/>
          <w:szCs w:val="22"/>
        </w:rPr>
        <w:t xml:space="preserve">) and 21(4)) and again requires the setting of those thresholds </w:t>
      </w:r>
      <w:r w:rsidRPr="00E43261">
        <w:rPr>
          <w:rFonts w:eastAsia="Calibri" w:cstheme="minorHAnsi"/>
          <w:b/>
          <w:szCs w:val="22"/>
          <w:u w:val="single"/>
        </w:rPr>
        <w:t>for the purposes of the post-trade deferrals</w:t>
      </w:r>
      <w:r w:rsidRPr="00E43261">
        <w:rPr>
          <w:rFonts w:eastAsia="Calibri" w:cstheme="minorHAnsi"/>
          <w:szCs w:val="22"/>
        </w:rPr>
        <w:t>.</w:t>
      </w:r>
    </w:p>
    <w:p w:rsidR="00E43261" w:rsidRPr="00E43261" w:rsidRDefault="00E43261" w:rsidP="00E43261">
      <w:pPr>
        <w:spacing w:after="200"/>
        <w:ind w:left="720"/>
        <w:contextualSpacing/>
        <w:rPr>
          <w:rFonts w:eastAsia="Calibri" w:cstheme="minorHAnsi"/>
          <w:szCs w:val="22"/>
        </w:rPr>
      </w:pPr>
    </w:p>
    <w:p w:rsidR="00E43261" w:rsidRPr="00E43261" w:rsidRDefault="00E43261" w:rsidP="00E43261">
      <w:pPr>
        <w:spacing w:after="200"/>
        <w:ind w:left="720"/>
        <w:contextualSpacing/>
        <w:rPr>
          <w:rFonts w:eastAsia="Calibri" w:cstheme="minorHAnsi"/>
          <w:szCs w:val="22"/>
        </w:rPr>
      </w:pPr>
      <w:r w:rsidRPr="00E43261">
        <w:rPr>
          <w:rFonts w:eastAsia="Calibri" w:cstheme="minorHAnsi"/>
          <w:szCs w:val="22"/>
        </w:rPr>
        <w:t>MiFIR Level 1 therefore clearly requires that ESMA set consistent LIS and SSTI for (</w:t>
      </w:r>
      <w:proofErr w:type="spellStart"/>
      <w:r w:rsidRPr="00E43261">
        <w:rPr>
          <w:rFonts w:eastAsia="Calibri" w:cstheme="minorHAnsi"/>
          <w:szCs w:val="22"/>
        </w:rPr>
        <w:t>i</w:t>
      </w:r>
      <w:proofErr w:type="spellEnd"/>
      <w:r w:rsidRPr="00E43261">
        <w:rPr>
          <w:rFonts w:eastAsia="Calibri" w:cstheme="minorHAnsi"/>
          <w:szCs w:val="22"/>
        </w:rPr>
        <w:t xml:space="preserve">) pre-trade on and off venue and (ii) post-trade on and off venue. However, the Level 1 </w:t>
      </w:r>
      <w:r w:rsidRPr="00E43261">
        <w:rPr>
          <w:rFonts w:eastAsia="Calibri" w:cstheme="minorHAnsi"/>
          <w:szCs w:val="22"/>
        </w:rPr>
        <w:lastRenderedPageBreak/>
        <w:t>MiFIR text not only permits, but requires ESMA to consider the LIS and SSTI thresholds separately for pre- and post- trade transparency purposes, and in the context of the obligations to which they are relevant.</w:t>
      </w:r>
    </w:p>
    <w:p w:rsidR="00E43261" w:rsidRPr="00E43261" w:rsidRDefault="00E43261" w:rsidP="00E43261">
      <w:pPr>
        <w:spacing w:after="200"/>
        <w:ind w:left="720"/>
        <w:contextualSpacing/>
        <w:rPr>
          <w:rFonts w:eastAsia="Calibri" w:cstheme="minorHAnsi"/>
          <w:szCs w:val="22"/>
        </w:rPr>
      </w:pPr>
    </w:p>
    <w:p w:rsidR="00E43261" w:rsidRPr="00E43261" w:rsidRDefault="00E43261" w:rsidP="00E43261">
      <w:pPr>
        <w:spacing w:after="200"/>
        <w:ind w:left="720"/>
        <w:contextualSpacing/>
        <w:rPr>
          <w:rFonts w:eastAsia="Calibri" w:cstheme="minorHAnsi"/>
          <w:szCs w:val="22"/>
        </w:rPr>
      </w:pPr>
      <w:r w:rsidRPr="00E43261">
        <w:rPr>
          <w:rFonts w:eastAsia="Calibri" w:cstheme="minorHAnsi"/>
          <w:szCs w:val="22"/>
        </w:rPr>
        <w:t>Further, the SSTI “waiver” (in Article 18(10)) from the SI pre-trade transparency requirements is only available for trades being above SSTI. By contrast, the deferral from the post-trade regime (Article 11(1</w:t>
      </w:r>
      <w:proofErr w:type="gramStart"/>
      <w:r w:rsidRPr="00E43261">
        <w:rPr>
          <w:rFonts w:eastAsia="Calibri" w:cstheme="minorHAnsi"/>
          <w:szCs w:val="22"/>
        </w:rPr>
        <w:t>)(</w:t>
      </w:r>
      <w:proofErr w:type="gramEnd"/>
      <w:r w:rsidRPr="00E43261">
        <w:rPr>
          <w:rFonts w:eastAsia="Calibri" w:cstheme="minorHAnsi"/>
          <w:szCs w:val="22"/>
        </w:rPr>
        <w:t xml:space="preserve">c)) requires trades to be in a size above SSTI </w:t>
      </w:r>
      <w:r w:rsidRPr="00E43261">
        <w:rPr>
          <w:rFonts w:eastAsia="Calibri" w:cstheme="minorHAnsi"/>
          <w:b/>
          <w:szCs w:val="22"/>
          <w:u w:val="single"/>
        </w:rPr>
        <w:t>and</w:t>
      </w:r>
      <w:r w:rsidRPr="00E43261">
        <w:rPr>
          <w:rFonts w:eastAsia="Calibri" w:cstheme="minorHAnsi"/>
          <w:szCs w:val="22"/>
        </w:rPr>
        <w:t xml:space="preserve"> which would expose liquidity providers to undue risk. These concepts, whilst similar are clearly slightly different and the threshold to be reached to benefit from the post-trade deferral appears higher. It therefore follows that SSTI should not be the same pre- and post-trade and that the pre-trade threshold should be the lower of the two.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 xml:space="preserve">Since the </w:t>
      </w:r>
      <w:proofErr w:type="gramStart"/>
      <w:r w:rsidRPr="00E43261">
        <w:rPr>
          <w:rFonts w:eastAsia="Calibri" w:cstheme="minorHAnsi"/>
          <w:szCs w:val="22"/>
        </w:rPr>
        <w:t>nature of these obligations are</w:t>
      </w:r>
      <w:proofErr w:type="gramEnd"/>
      <w:r w:rsidRPr="00E43261">
        <w:rPr>
          <w:rFonts w:eastAsia="Calibri" w:cstheme="minorHAnsi"/>
          <w:szCs w:val="22"/>
        </w:rPr>
        <w:t xml:space="preserve"> completely different pre- and post- trade, there is no reason to apply the same levels to both.  </w:t>
      </w:r>
      <w:proofErr w:type="gramStart"/>
      <w:r w:rsidRPr="00E43261">
        <w:rPr>
          <w:rFonts w:eastAsia="Calibri" w:cstheme="minorHAnsi"/>
          <w:szCs w:val="22"/>
        </w:rPr>
        <w:t>In fact to do so ‘forces’ an inappropriate level to be applied in one case or the other.</w:t>
      </w:r>
      <w:proofErr w:type="gramEnd"/>
      <w:r w:rsidRPr="00E43261">
        <w:rPr>
          <w:rFonts w:eastAsia="Calibri" w:cstheme="minorHAnsi"/>
          <w:szCs w:val="22"/>
        </w:rPr>
        <w:t xml:space="preserve"> </w:t>
      </w:r>
    </w:p>
    <w:p w:rsidR="00E43261" w:rsidRPr="00E43261" w:rsidRDefault="00E43261" w:rsidP="00E43261">
      <w:pPr>
        <w:spacing w:after="200"/>
        <w:ind w:left="720"/>
        <w:contextualSpacing/>
        <w:rPr>
          <w:rFonts w:eastAsia="Calibri" w:cstheme="minorHAnsi"/>
          <w:szCs w:val="22"/>
        </w:rPr>
      </w:pPr>
      <w:r w:rsidRPr="00E43261">
        <w:rPr>
          <w:rFonts w:eastAsia="Calibri" w:cstheme="minorHAnsi"/>
          <w:szCs w:val="22"/>
        </w:rPr>
        <w:t xml:space="preserve">Second, the pre- and post-trade transparency obligations represent significantly different impacts and risks to market participants. In the case of pre-trade transparency, the risk to a dealer is much higher than that post-trade. Pre-trade a dealer must make an assessment regarding the price at which to commit its capital. Too stringent a pre-trade transparency regime (i.e. where LIS and SSTI levels are set too high such that a dealer cannot benefit from a waiver from the regime) informs the market of the size and direction of imminent trades.  This will result directly in a less favourable price being made available to clients. The scale of this price adjustment reflects that the market is aware of the </w:t>
      </w:r>
      <w:r w:rsidRPr="00E43261">
        <w:rPr>
          <w:rFonts w:eastAsia="Calibri" w:cstheme="minorHAnsi"/>
          <w:i/>
          <w:szCs w:val="22"/>
        </w:rPr>
        <w:t xml:space="preserve">direction </w:t>
      </w:r>
      <w:r w:rsidRPr="00E43261">
        <w:rPr>
          <w:rFonts w:eastAsia="Calibri" w:cstheme="minorHAnsi"/>
          <w:szCs w:val="22"/>
        </w:rPr>
        <w:t xml:space="preserve">and </w:t>
      </w:r>
      <w:r w:rsidRPr="00E43261">
        <w:rPr>
          <w:rFonts w:eastAsia="Calibri" w:cstheme="minorHAnsi"/>
          <w:i/>
          <w:szCs w:val="22"/>
        </w:rPr>
        <w:t xml:space="preserve">imminence </w:t>
      </w:r>
      <w:r w:rsidRPr="00E43261">
        <w:rPr>
          <w:rFonts w:eastAsia="Calibri" w:cstheme="minorHAnsi"/>
          <w:szCs w:val="22"/>
        </w:rPr>
        <w:t xml:space="preserve">of the trade.  The prospective hedges on which the dealer was expecting to be able to rely cease to be available at the expected prices. </w:t>
      </w:r>
    </w:p>
    <w:p w:rsidR="00E43261" w:rsidRPr="00E43261" w:rsidRDefault="00E43261" w:rsidP="00E43261">
      <w:pPr>
        <w:spacing w:after="200"/>
        <w:ind w:left="720"/>
        <w:contextualSpacing/>
        <w:rPr>
          <w:rFonts w:eastAsia="Calibri" w:cstheme="minorHAnsi"/>
          <w:szCs w:val="22"/>
        </w:rPr>
      </w:pPr>
    </w:p>
    <w:p w:rsidR="00E43261" w:rsidRPr="00E43261" w:rsidRDefault="00E43261" w:rsidP="00E43261">
      <w:pPr>
        <w:spacing w:after="200"/>
        <w:ind w:left="720"/>
        <w:contextualSpacing/>
        <w:rPr>
          <w:rFonts w:eastAsia="Calibri" w:cstheme="minorHAnsi"/>
          <w:b/>
          <w:szCs w:val="22"/>
        </w:rPr>
      </w:pPr>
      <w:r w:rsidRPr="00E43261">
        <w:rPr>
          <w:rFonts w:eastAsia="Calibri" w:cstheme="minorHAnsi"/>
          <w:szCs w:val="22"/>
        </w:rPr>
        <w:t xml:space="preserve">By contrast in the post trade regime, presuming a waiver is granted, a dealer is given adequate time substantially to eliminate the risk absorbed from his client.  Provided the dealer has benefitted from a pre-trade waiver, during the deferral period the market is not aware of the trade having taken place. That market risk may go in the dealer’s favour or against it.  Outcomes are much more varied.  The dealer has more time and more control to mitigate the risk than in the case of pre-trade. </w:t>
      </w:r>
      <w:r w:rsidRPr="00E43261">
        <w:rPr>
          <w:rFonts w:eastAsia="Calibri" w:cstheme="minorHAnsi"/>
          <w:b/>
          <w:szCs w:val="22"/>
        </w:rPr>
        <w:t xml:space="preserve"> </w:t>
      </w:r>
      <w:r w:rsidRPr="00E43261">
        <w:rPr>
          <w:rFonts w:eastAsia="Calibri" w:cstheme="minorHAnsi"/>
          <w:szCs w:val="22"/>
        </w:rPr>
        <w:t xml:space="preserve">Accordingly, the post-trade regime can have higher levels before allowing the waiver prospectively to apply. </w:t>
      </w:r>
    </w:p>
    <w:p w:rsidR="00E43261" w:rsidRPr="00E43261" w:rsidRDefault="00E43261" w:rsidP="00E43261">
      <w:pPr>
        <w:spacing w:after="200"/>
        <w:ind w:left="720"/>
        <w:rPr>
          <w:rFonts w:eastAsia="Calibri" w:cstheme="minorHAnsi"/>
          <w:szCs w:val="22"/>
        </w:rPr>
      </w:pPr>
      <w:r w:rsidRPr="00E43261">
        <w:rPr>
          <w:rFonts w:eastAsia="Calibri" w:cstheme="minorHAnsi"/>
          <w:szCs w:val="22"/>
        </w:rPr>
        <w:t>Preserving uniform levels pre- and post-trade may result in the SSTI level being in many cases either too high for pre-trade purposes (if it is to be set appropriately for post-trade) or too low for post-trade (if it is to be set appropriately for pre-trade). We think ESMA has in fact calibrated SSTI to serve neither purpose optimally.</w:t>
      </w:r>
    </w:p>
    <w:p w:rsidR="00E43261" w:rsidRPr="00E43261" w:rsidRDefault="00E43261" w:rsidP="00E43261">
      <w:pPr>
        <w:numPr>
          <w:ilvl w:val="0"/>
          <w:numId w:val="37"/>
        </w:numPr>
        <w:spacing w:after="200"/>
        <w:contextualSpacing/>
        <w:jc w:val="left"/>
        <w:rPr>
          <w:rFonts w:eastAsia="Calibri" w:cstheme="minorHAnsi"/>
          <w:b/>
          <w:szCs w:val="22"/>
        </w:rPr>
      </w:pPr>
      <w:r w:rsidRPr="00E43261">
        <w:rPr>
          <w:rFonts w:eastAsia="Calibri" w:cstheme="minorHAnsi"/>
          <w:b/>
          <w:szCs w:val="22"/>
        </w:rPr>
        <w:t>Determination methods for LIS  - which method do we prefer</w:t>
      </w:r>
    </w:p>
    <w:p w:rsidR="00E43261" w:rsidRPr="00E43261" w:rsidRDefault="00E43261" w:rsidP="00E43261">
      <w:pPr>
        <w:spacing w:after="200"/>
        <w:ind w:left="720"/>
        <w:contextualSpacing/>
        <w:rPr>
          <w:rFonts w:eastAsia="Calibri" w:cstheme="minorHAnsi"/>
          <w:b/>
          <w:szCs w:val="22"/>
        </w:rPr>
      </w:pPr>
    </w:p>
    <w:p w:rsidR="00E43261" w:rsidRPr="00E43261" w:rsidRDefault="004B70EF" w:rsidP="00E43261">
      <w:pPr>
        <w:spacing w:after="200"/>
        <w:ind w:left="720"/>
        <w:contextualSpacing/>
        <w:rPr>
          <w:rFonts w:eastAsia="Calibri" w:cstheme="minorHAnsi"/>
          <w:szCs w:val="22"/>
        </w:rPr>
      </w:pPr>
      <w:r>
        <w:rPr>
          <w:rFonts w:eastAsia="Calibri" w:cstheme="minorHAnsi"/>
          <w:szCs w:val="22"/>
        </w:rPr>
        <w:t>We agree with ISDA and AFME on this point.</w:t>
      </w:r>
    </w:p>
    <w:permEnd w:id="86"/>
    <w:p w:rsidR="00577C33" w:rsidRDefault="00577C33" w:rsidP="00EC2C93">
      <w:pPr>
        <w:keepNext/>
      </w:pPr>
      <w:r>
        <w:t>&lt;ESMA_QUESTION_CP_MIFID_77&gt;</w:t>
      </w:r>
    </w:p>
    <w:p w:rsidR="00577C33" w:rsidRDefault="00577C33" w:rsidP="0006528D">
      <w:pPr>
        <w:pStyle w:val="CPQuestions"/>
      </w:pPr>
      <w:r>
        <w:t>Do you agree with ESMA’s proposal for interest rate derivatives? Please specify, for each sub-class (FRA, Swaptions, Fixed-to-Fixed single currency swaps, Fixed-to-</w:t>
      </w:r>
      <w:r>
        <w:lastRenderedPageBreak/>
        <w:t xml:space="preserve">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6E51EC" w:rsidRPr="00E009EA" w:rsidRDefault="006E51EC" w:rsidP="006E51EC">
      <w:pPr>
        <w:numPr>
          <w:ilvl w:val="0"/>
          <w:numId w:val="43"/>
        </w:numPr>
        <w:spacing w:after="200"/>
        <w:ind w:left="1080"/>
        <w:contextualSpacing/>
        <w:jc w:val="left"/>
        <w:rPr>
          <w:rFonts w:eastAsia="Calibri" w:cstheme="minorHAnsi"/>
          <w:b/>
          <w:szCs w:val="22"/>
        </w:rPr>
      </w:pPr>
      <w:permStart w:id="87" w:edGrp="everyone"/>
      <w:r w:rsidRPr="00E009EA">
        <w:rPr>
          <w:rFonts w:eastAsia="Calibri" w:cstheme="minorHAnsi"/>
          <w:b/>
          <w:szCs w:val="22"/>
        </w:rPr>
        <w:t xml:space="preserve">Deferral period of 48 hours </w:t>
      </w:r>
    </w:p>
    <w:p w:rsidR="006E51EC" w:rsidRPr="00E009EA" w:rsidRDefault="006E51EC" w:rsidP="006E51EC">
      <w:pPr>
        <w:spacing w:after="200"/>
        <w:ind w:left="1080"/>
        <w:contextualSpacing/>
        <w:rPr>
          <w:rFonts w:eastAsia="Calibri" w:cstheme="minorHAnsi"/>
          <w:szCs w:val="22"/>
        </w:rPr>
      </w:pPr>
      <w:r w:rsidRPr="00E009EA">
        <w:rPr>
          <w:rFonts w:eastAsia="Calibri" w:cstheme="minorHAnsi"/>
          <w:szCs w:val="22"/>
        </w:rPr>
        <w:t>We agree with ISDA’s comments in relation to this question. We also reiterate our response to Question 77 above, which applies equally to the deferral period applicable in relation to derivative classes of financial instrument.</w:t>
      </w:r>
    </w:p>
    <w:p w:rsidR="006E51EC" w:rsidRPr="00E009EA" w:rsidRDefault="006E51EC" w:rsidP="006E51EC">
      <w:pPr>
        <w:spacing w:after="200"/>
        <w:ind w:left="1080"/>
        <w:contextualSpacing/>
        <w:rPr>
          <w:rFonts w:eastAsia="Calibri" w:cstheme="minorHAnsi"/>
          <w:szCs w:val="22"/>
        </w:rPr>
      </w:pPr>
    </w:p>
    <w:p w:rsidR="006E51EC" w:rsidRPr="00E009EA" w:rsidRDefault="006E51EC" w:rsidP="006E51EC">
      <w:pPr>
        <w:numPr>
          <w:ilvl w:val="0"/>
          <w:numId w:val="43"/>
        </w:numPr>
        <w:spacing w:after="200"/>
        <w:ind w:left="1080"/>
        <w:contextualSpacing/>
        <w:jc w:val="left"/>
        <w:rPr>
          <w:rFonts w:eastAsia="Calibri" w:cstheme="minorHAnsi"/>
          <w:b/>
          <w:szCs w:val="22"/>
        </w:rPr>
      </w:pPr>
      <w:r w:rsidRPr="00E009EA">
        <w:rPr>
          <w:rFonts w:eastAsia="Calibri" w:cstheme="minorHAnsi"/>
          <w:b/>
          <w:szCs w:val="22"/>
        </w:rPr>
        <w:t xml:space="preserve">The size specific thresholds are set at 50% of LIS </w:t>
      </w:r>
    </w:p>
    <w:p w:rsidR="006E51EC" w:rsidRPr="00E009EA" w:rsidRDefault="006E51EC" w:rsidP="006E51EC">
      <w:pPr>
        <w:spacing w:after="200"/>
        <w:ind w:left="1080"/>
        <w:contextualSpacing/>
        <w:jc w:val="left"/>
        <w:rPr>
          <w:rFonts w:eastAsia="Calibri" w:cstheme="minorHAnsi"/>
          <w:szCs w:val="22"/>
        </w:rPr>
      </w:pPr>
      <w:r w:rsidRPr="00E009EA">
        <w:rPr>
          <w:rFonts w:eastAsia="Calibri" w:cstheme="minorHAnsi"/>
          <w:szCs w:val="22"/>
        </w:rPr>
        <w:t>We do not agree.</w:t>
      </w:r>
    </w:p>
    <w:p w:rsidR="006E51EC" w:rsidRPr="00E009EA" w:rsidRDefault="006E51EC" w:rsidP="006E51EC">
      <w:pPr>
        <w:spacing w:after="200"/>
        <w:ind w:left="1080"/>
        <w:contextualSpacing/>
        <w:jc w:val="left"/>
        <w:rPr>
          <w:rFonts w:eastAsia="Calibri" w:cstheme="minorHAnsi"/>
          <w:szCs w:val="22"/>
        </w:rPr>
      </w:pPr>
    </w:p>
    <w:p w:rsidR="006E51EC" w:rsidRPr="00E009EA" w:rsidRDefault="006E51EC" w:rsidP="006E51EC">
      <w:pPr>
        <w:spacing w:after="200"/>
        <w:ind w:left="1080"/>
        <w:contextualSpacing/>
        <w:jc w:val="left"/>
        <w:rPr>
          <w:rFonts w:eastAsia="Calibri" w:cstheme="minorHAnsi"/>
          <w:b/>
          <w:szCs w:val="22"/>
        </w:rPr>
      </w:pPr>
      <w:r w:rsidRPr="00E009EA">
        <w:rPr>
          <w:rFonts w:eastAsia="Calibri" w:cstheme="minorHAnsi"/>
          <w:szCs w:val="22"/>
        </w:rPr>
        <w:t>We agree with ISDA’s comments in relation to this question. We also reiterate our response to Question 77 above, which applies equally to the LIS and SSTI thresholds applicable in relation to derivative classes of financial instrument.</w:t>
      </w:r>
    </w:p>
    <w:p w:rsidR="006E51EC" w:rsidRPr="00E009EA" w:rsidRDefault="006E51EC" w:rsidP="006E51EC">
      <w:pPr>
        <w:spacing w:after="200"/>
        <w:ind w:left="720"/>
        <w:contextualSpacing/>
        <w:rPr>
          <w:rFonts w:eastAsia="Calibri" w:cstheme="minorHAnsi"/>
          <w:szCs w:val="22"/>
        </w:rPr>
      </w:pPr>
    </w:p>
    <w:p w:rsidR="006E51EC" w:rsidRPr="00E009EA" w:rsidRDefault="006E51EC" w:rsidP="006E51EC">
      <w:pPr>
        <w:numPr>
          <w:ilvl w:val="0"/>
          <w:numId w:val="43"/>
        </w:numPr>
        <w:spacing w:after="200"/>
        <w:ind w:left="1080"/>
        <w:contextualSpacing/>
        <w:jc w:val="left"/>
        <w:rPr>
          <w:rFonts w:eastAsia="Calibri" w:cstheme="minorHAnsi"/>
          <w:b/>
          <w:szCs w:val="22"/>
        </w:rPr>
      </w:pPr>
      <w:r w:rsidRPr="00E009EA">
        <w:rPr>
          <w:rFonts w:eastAsia="Calibri" w:cstheme="minorHAnsi"/>
          <w:b/>
          <w:szCs w:val="22"/>
        </w:rPr>
        <w:t>The measure of volume level set out in Annex II Table 3 of RTS 9</w:t>
      </w:r>
    </w:p>
    <w:p w:rsidR="006E51EC" w:rsidRPr="00E009EA" w:rsidRDefault="006E51EC" w:rsidP="006E51EC">
      <w:pPr>
        <w:spacing w:after="200"/>
        <w:ind w:left="1080"/>
        <w:contextualSpacing/>
        <w:jc w:val="left"/>
        <w:rPr>
          <w:rFonts w:eastAsia="Calibri" w:cstheme="minorHAnsi"/>
          <w:szCs w:val="22"/>
        </w:rPr>
      </w:pPr>
      <w:r w:rsidRPr="00E009EA">
        <w:rPr>
          <w:rFonts w:eastAsia="Calibri" w:cstheme="minorHAnsi"/>
          <w:szCs w:val="22"/>
        </w:rPr>
        <w:t>[I</w:t>
      </w:r>
      <w:r w:rsidRPr="00E009EA">
        <w:rPr>
          <w:rFonts w:eastAsia="Calibri" w:cstheme="minorHAnsi"/>
          <w:i/>
          <w:szCs w:val="22"/>
        </w:rPr>
        <w:t>ntentionally left blank</w:t>
      </w:r>
      <w:r w:rsidRPr="00E009EA">
        <w:rPr>
          <w:rFonts w:eastAsia="Calibri" w:cstheme="minorHAnsi"/>
          <w:szCs w:val="22"/>
        </w:rPr>
        <w:t>]</w:t>
      </w:r>
    </w:p>
    <w:p w:rsidR="006E51EC" w:rsidRPr="00E009EA" w:rsidRDefault="006E51EC" w:rsidP="006E51EC">
      <w:pPr>
        <w:spacing w:after="200"/>
        <w:ind w:left="1080"/>
        <w:contextualSpacing/>
        <w:jc w:val="left"/>
        <w:rPr>
          <w:rFonts w:eastAsia="Calibri" w:cstheme="minorHAnsi"/>
          <w:szCs w:val="22"/>
        </w:rPr>
      </w:pPr>
    </w:p>
    <w:p w:rsidR="006E51EC" w:rsidRPr="00E009EA" w:rsidRDefault="006E51EC" w:rsidP="006E51EC">
      <w:pPr>
        <w:numPr>
          <w:ilvl w:val="0"/>
          <w:numId w:val="43"/>
        </w:numPr>
        <w:spacing w:after="200"/>
        <w:ind w:left="1080"/>
        <w:contextualSpacing/>
        <w:jc w:val="left"/>
        <w:rPr>
          <w:rFonts w:eastAsia="Calibri" w:cstheme="minorHAnsi"/>
          <w:b/>
          <w:szCs w:val="22"/>
        </w:rPr>
      </w:pPr>
      <w:r w:rsidRPr="00E009EA">
        <w:rPr>
          <w:rFonts w:eastAsia="Calibri" w:cstheme="minorHAnsi"/>
          <w:b/>
          <w:szCs w:val="22"/>
        </w:rPr>
        <w:t xml:space="preserve"> Pre trade and post trade at the same levels</w:t>
      </w:r>
    </w:p>
    <w:p w:rsidR="006E51EC" w:rsidRPr="00E009EA" w:rsidRDefault="006E51EC" w:rsidP="006E51EC">
      <w:pPr>
        <w:spacing w:after="200"/>
        <w:ind w:left="720"/>
        <w:contextualSpacing/>
        <w:jc w:val="left"/>
        <w:rPr>
          <w:rFonts w:eastAsia="Calibri" w:cstheme="minorHAnsi"/>
          <w:b/>
          <w:szCs w:val="22"/>
        </w:rPr>
      </w:pPr>
    </w:p>
    <w:p w:rsidR="006E51EC" w:rsidRPr="00E009EA" w:rsidRDefault="006E51EC" w:rsidP="006E51EC">
      <w:pPr>
        <w:spacing w:after="200"/>
        <w:ind w:left="1080"/>
        <w:contextualSpacing/>
        <w:rPr>
          <w:rFonts w:eastAsia="Calibri" w:cstheme="minorHAnsi"/>
          <w:szCs w:val="22"/>
        </w:rPr>
      </w:pPr>
      <w:r w:rsidRPr="00E009EA">
        <w:rPr>
          <w:rFonts w:eastAsia="Calibri" w:cstheme="minorHAnsi"/>
          <w:szCs w:val="22"/>
        </w:rPr>
        <w:t>We agree with ISDA’s comments in relation to this question. We also reiterate our response to Question 77 above, which applies equally to the LIS and SSTI thresholds applicable in relation to derivative classes of financial instrument.</w:t>
      </w:r>
    </w:p>
    <w:p w:rsidR="006E51EC" w:rsidRPr="00E009EA" w:rsidRDefault="006E51EC" w:rsidP="006E51EC">
      <w:pPr>
        <w:spacing w:after="200"/>
        <w:ind w:left="720"/>
        <w:contextualSpacing/>
        <w:jc w:val="left"/>
        <w:rPr>
          <w:rFonts w:eastAsia="Calibri" w:cstheme="minorHAnsi"/>
          <w:szCs w:val="22"/>
        </w:rPr>
      </w:pPr>
    </w:p>
    <w:p w:rsidR="006E51EC" w:rsidRPr="004B70EF" w:rsidRDefault="006E51EC" w:rsidP="006E51EC">
      <w:pPr>
        <w:numPr>
          <w:ilvl w:val="0"/>
          <w:numId w:val="43"/>
        </w:numPr>
        <w:spacing w:after="200"/>
        <w:ind w:left="1080"/>
        <w:contextualSpacing/>
        <w:jc w:val="left"/>
        <w:rPr>
          <w:rFonts w:eastAsia="Calibri" w:cstheme="minorHAnsi"/>
          <w:b/>
          <w:szCs w:val="22"/>
        </w:rPr>
      </w:pPr>
      <w:r w:rsidRPr="00E009EA">
        <w:rPr>
          <w:rFonts w:eastAsia="Calibri" w:cstheme="minorHAnsi"/>
          <w:b/>
          <w:szCs w:val="22"/>
        </w:rPr>
        <w:t>LIS thresholds</w:t>
      </w:r>
      <w:r w:rsidRPr="004B70EF">
        <w:rPr>
          <w:rFonts w:eastAsia="Calibri" w:cstheme="minorHAnsi"/>
          <w:b/>
          <w:szCs w:val="22"/>
        </w:rPr>
        <w:t xml:space="preserve"> </w:t>
      </w:r>
    </w:p>
    <w:p w:rsidR="006E51EC" w:rsidRPr="00E009EA" w:rsidRDefault="006E51EC" w:rsidP="006E51EC">
      <w:pPr>
        <w:spacing w:after="200"/>
        <w:ind w:left="720"/>
        <w:contextualSpacing/>
        <w:jc w:val="left"/>
        <w:rPr>
          <w:rFonts w:eastAsia="Calibri" w:cstheme="minorHAnsi"/>
          <w:szCs w:val="22"/>
        </w:rPr>
      </w:pPr>
    </w:p>
    <w:p w:rsidR="006E51EC" w:rsidRPr="006E51EC" w:rsidRDefault="006E51EC" w:rsidP="006E51EC">
      <w:pPr>
        <w:spacing w:after="200"/>
        <w:ind w:left="1080"/>
        <w:contextualSpacing/>
        <w:rPr>
          <w:rFonts w:eastAsia="Calibri" w:cstheme="minorHAnsi"/>
          <w:color w:val="FF0000"/>
          <w:szCs w:val="22"/>
        </w:rPr>
      </w:pPr>
      <w:r w:rsidRPr="00E009EA">
        <w:rPr>
          <w:rFonts w:eastAsia="Calibri" w:cstheme="minorHAnsi"/>
          <w:szCs w:val="22"/>
        </w:rPr>
        <w:t>We agree with ISDA’s comments in relation to this question. We also reiterate our response to Question 77 above, which applies equally to the LIS and SSTI thresholds applicable in relation to derivative classes of financial instrument.</w:t>
      </w:r>
    </w:p>
    <w:permEnd w:id="87"/>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4F03A5" w:rsidRPr="00E009EA" w:rsidRDefault="004F03A5" w:rsidP="004F03A5">
      <w:pPr>
        <w:keepNext/>
      </w:pPr>
      <w:permStart w:id="88" w:edGrp="everyone"/>
      <w:r w:rsidRPr="00E009EA">
        <w:t>TYPE YOUR TEXT HERE</w:t>
      </w:r>
    </w:p>
    <w:permEnd w:id="88"/>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w:t>
      </w:r>
      <w:r>
        <w:lastRenderedPageBreak/>
        <w:t>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Pr="00E009EA" w:rsidRDefault="00D87C08" w:rsidP="00EC2C93">
      <w:pPr>
        <w:keepNext/>
      </w:pPr>
      <w:permStart w:id="89" w:edGrp="everyone"/>
      <w:r>
        <w:t>We agree with ISDA on this point.</w:t>
      </w:r>
    </w:p>
    <w:permEnd w:id="89"/>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1D1B92" w:rsidRPr="00E009EA" w:rsidRDefault="00D87C08" w:rsidP="001D1B92">
      <w:pPr>
        <w:keepNext/>
      </w:pPr>
      <w:permStart w:id="90" w:edGrp="everyone"/>
      <w:r>
        <w:t>We agree with ISDA on this point.</w:t>
      </w:r>
    </w:p>
    <w:permEnd w:id="90"/>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&lt;ESMA_QUESTION_CP_MIFID_82&gt;</w:t>
      </w:r>
    </w:p>
    <w:p w:rsidR="003319D4" w:rsidRPr="00E009EA" w:rsidRDefault="00E009EA" w:rsidP="003319D4">
      <w:pPr>
        <w:keepNext/>
      </w:pPr>
      <w:permStart w:id="91" w:edGrp="everyone"/>
      <w:r w:rsidRPr="00E009EA">
        <w:t>TYPE YOUR TEXT HERE</w:t>
      </w:r>
    </w:p>
    <w:permEnd w:id="91"/>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3319D4" w:rsidRPr="00E009EA" w:rsidRDefault="00E009EA" w:rsidP="003319D4">
      <w:pPr>
        <w:keepNext/>
      </w:pPr>
      <w:permStart w:id="92" w:edGrp="everyone"/>
      <w:r w:rsidRPr="00E009EA">
        <w:t>TYPE YOUR TEXT HERE</w:t>
      </w:r>
    </w:p>
    <w:permEnd w:id="92"/>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t>&lt;ESMA_QUESTION_CP_MIFID_84&gt;</w:t>
      </w:r>
    </w:p>
    <w:p w:rsidR="003319D4" w:rsidRPr="00E009EA" w:rsidRDefault="00E009EA" w:rsidP="003319D4">
      <w:pPr>
        <w:keepNext/>
      </w:pPr>
      <w:permStart w:id="93" w:edGrp="everyone"/>
      <w:r w:rsidRPr="00E009EA">
        <w:t>TYPE YOUR TEXT HERE</w:t>
      </w:r>
    </w:p>
    <w:permEnd w:id="93"/>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3319D4" w:rsidRPr="00E009EA" w:rsidRDefault="00E009EA" w:rsidP="003319D4">
      <w:pPr>
        <w:keepNext/>
      </w:pPr>
      <w:permStart w:id="94" w:edGrp="everyone"/>
      <w:r w:rsidRPr="00E009EA">
        <w:t>TYPE YOUR TEXT HERE</w:t>
      </w:r>
    </w:p>
    <w:permEnd w:id="94"/>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F3633E" w:rsidRPr="00E009EA" w:rsidRDefault="00D87C08" w:rsidP="00F3633E">
      <w:pPr>
        <w:keepNext/>
      </w:pPr>
      <w:permStart w:id="95" w:edGrp="everyone"/>
      <w:r>
        <w:t>We agree with AFME on this point.</w:t>
      </w:r>
    </w:p>
    <w:permEnd w:id="95"/>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F3633E" w:rsidRPr="00E009EA" w:rsidRDefault="00D87C08" w:rsidP="00F3633E">
      <w:pPr>
        <w:keepNext/>
      </w:pPr>
      <w:permStart w:id="96" w:edGrp="everyone"/>
      <w:r>
        <w:t>We agree with AFME on this point.</w:t>
      </w:r>
    </w:p>
    <w:permEnd w:id="96"/>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B41AB9" w:rsidRPr="00E009EA" w:rsidRDefault="00B41AB9" w:rsidP="00B41AB9">
      <w:pPr>
        <w:spacing w:after="200"/>
        <w:rPr>
          <w:rFonts w:eastAsia="Calibri" w:cstheme="minorHAnsi"/>
          <w:szCs w:val="22"/>
        </w:rPr>
      </w:pPr>
      <w:permStart w:id="97" w:edGrp="everyone"/>
      <w:r w:rsidRPr="00E009EA">
        <w:rPr>
          <w:rFonts w:eastAsia="Calibri" w:cstheme="minorHAnsi"/>
          <w:szCs w:val="22"/>
        </w:rPr>
        <w:t xml:space="preserve">We agree with ISDA’s response. </w:t>
      </w:r>
    </w:p>
    <w:p w:rsidR="00B41AB9" w:rsidRPr="00E009EA" w:rsidRDefault="00B41AB9" w:rsidP="00B41AB9">
      <w:pPr>
        <w:spacing w:after="200"/>
        <w:rPr>
          <w:rFonts w:eastAsia="Calibri" w:cstheme="minorHAnsi"/>
          <w:szCs w:val="22"/>
        </w:rPr>
      </w:pPr>
      <w:r w:rsidRPr="00E009EA">
        <w:rPr>
          <w:rFonts w:eastAsia="Calibri" w:cstheme="minorHAnsi"/>
          <w:szCs w:val="22"/>
        </w:rPr>
        <w:t xml:space="preserve">However, we note that direct comparisons with the CFTC approach, including which swaps are within the CFTC’s trading mandate, may not be relevant for comparative purposes, since the CFTC’s SEF regime is, as a whole, based on a very different set of overarching </w:t>
      </w:r>
      <w:r w:rsidRPr="00E009EA">
        <w:rPr>
          <w:rFonts w:eastAsia="Calibri" w:cstheme="minorHAnsi"/>
          <w:szCs w:val="22"/>
        </w:rPr>
        <w:lastRenderedPageBreak/>
        <w:t xml:space="preserve">principles and theoretically it may be feasible for a larger range of products to be subject to the trading obligation under MiFIR. However, as we highlight in our response to Question 89, international harmonisation of those products subject to an on venue mandate is of overriding importance, given the need for a level playing field globally. </w:t>
      </w:r>
    </w:p>
    <w:permEnd w:id="97"/>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B41AB9" w:rsidRPr="00E009EA" w:rsidRDefault="00B41AB9" w:rsidP="00B41AB9">
      <w:pPr>
        <w:spacing w:after="200"/>
        <w:rPr>
          <w:rFonts w:eastAsia="Calibri" w:cstheme="minorHAnsi"/>
          <w:szCs w:val="22"/>
        </w:rPr>
      </w:pPr>
      <w:permStart w:id="98" w:edGrp="everyone"/>
      <w:r w:rsidRPr="00E009EA">
        <w:rPr>
          <w:rFonts w:eastAsia="Calibri" w:cstheme="minorHAnsi"/>
          <w:szCs w:val="22"/>
        </w:rPr>
        <w:t xml:space="preserve">We agree with ISDA’s response, in particular as it relates to package transactions. Given the global nature of derivatives markets, we would further highlight the importance of international harmonisation of on venue trading mandates in these markets. Consistency of approach across the taxonomy of derivatives subject to the mandate will ensure a level playing field between EU and non-EU dealers.  In this regard, we urge ESMA to ensure that international equivalence decisions for all major jurisdictions are delivered ahead of any on venue mandate taking effect, in order to promote legal certainty and avoid unnecessary market disruption. </w:t>
      </w:r>
    </w:p>
    <w:permEnd w:id="98"/>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Pr="00E009EA" w:rsidRDefault="00D87C08" w:rsidP="00EC2C93">
      <w:pPr>
        <w:keepNext/>
      </w:pPr>
      <w:permStart w:id="99" w:edGrp="everyone"/>
      <w:r>
        <w:t>We agree with ISDA on this point.</w:t>
      </w:r>
    </w:p>
    <w:permEnd w:id="99"/>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AF7819" w:rsidRPr="00E009EA" w:rsidRDefault="00D87C08" w:rsidP="00AF7819">
      <w:pPr>
        <w:keepNext/>
      </w:pPr>
      <w:permStart w:id="100" w:edGrp="everyone"/>
      <w:r>
        <w:t>We agree with ISDA on this point.</w:t>
      </w:r>
    </w:p>
    <w:permEnd w:id="100"/>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t>&lt;ESMA_QUESTION_CP_MIFID_92&gt;</w:t>
      </w:r>
    </w:p>
    <w:p w:rsidR="00AF7819" w:rsidRPr="00E009EA" w:rsidRDefault="00E009EA" w:rsidP="00EC2C93">
      <w:pPr>
        <w:keepNext/>
      </w:pPr>
      <w:permStart w:id="101" w:edGrp="everyone"/>
      <w:r w:rsidRPr="00E009EA">
        <w:t>TYPE YOUR TEXT HERE</w:t>
      </w:r>
    </w:p>
    <w:permEnd w:id="101"/>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lastRenderedPageBreak/>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F3633E" w:rsidRPr="00E009EA" w:rsidRDefault="00D87C08" w:rsidP="00F3633E">
      <w:pPr>
        <w:keepNext/>
      </w:pPr>
      <w:permStart w:id="102" w:edGrp="everyone"/>
      <w:r>
        <w:t>We agree with AFME and FIA on this point.</w:t>
      </w:r>
    </w:p>
    <w:permEnd w:id="102"/>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097529" w:rsidRPr="00E009EA" w:rsidRDefault="00D87C08" w:rsidP="00097529">
      <w:pPr>
        <w:keepNext/>
      </w:pPr>
      <w:permStart w:id="103" w:edGrp="everyone"/>
      <w:r>
        <w:t>We agree with AFME and FIA on this point.</w:t>
      </w:r>
    </w:p>
    <w:permEnd w:id="103"/>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097529" w:rsidRPr="00E009EA" w:rsidRDefault="00D87C08" w:rsidP="00097529">
      <w:pPr>
        <w:keepNext/>
      </w:pPr>
      <w:permStart w:id="104" w:edGrp="everyone"/>
      <w:r>
        <w:t>We agree with AFME and FIA on this point.</w:t>
      </w:r>
    </w:p>
    <w:permEnd w:id="104"/>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F3633E" w:rsidRPr="00E009EA" w:rsidRDefault="00D87C08" w:rsidP="00F3633E">
      <w:pPr>
        <w:keepNext/>
      </w:pPr>
      <w:permStart w:id="105" w:edGrp="everyone"/>
      <w:r>
        <w:t>We agree with AFME</w:t>
      </w:r>
      <w:r w:rsidR="009F2012">
        <w:t xml:space="preserve"> </w:t>
      </w:r>
      <w:r>
        <w:t>on this point.</w:t>
      </w:r>
    </w:p>
    <w:permEnd w:id="105"/>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F3633E" w:rsidRPr="00E009EA" w:rsidRDefault="00D87C08" w:rsidP="00F3633E">
      <w:pPr>
        <w:keepNext/>
      </w:pPr>
      <w:permStart w:id="106" w:edGrp="everyone"/>
      <w:r>
        <w:t>We agree with AFME on this point.</w:t>
      </w:r>
    </w:p>
    <w:permEnd w:id="106"/>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F3633E" w:rsidRPr="00E009EA" w:rsidRDefault="00D87C08" w:rsidP="00F3633E">
      <w:pPr>
        <w:keepNext/>
      </w:pPr>
      <w:permStart w:id="107" w:edGrp="everyone"/>
      <w:r>
        <w:t>We agree with FIA on this point.</w:t>
      </w:r>
    </w:p>
    <w:permEnd w:id="107"/>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F3633E" w:rsidRPr="00E009EA" w:rsidRDefault="00D87C08" w:rsidP="00F3633E">
      <w:pPr>
        <w:keepNext/>
      </w:pPr>
      <w:permStart w:id="108" w:edGrp="everyone"/>
      <w:r>
        <w:t>We agree with FIA on this point.</w:t>
      </w:r>
    </w:p>
    <w:permEnd w:id="108"/>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lastRenderedPageBreak/>
        <w:t>&lt;ESMA_QUESTION_CP_MIFID_100&gt;</w:t>
      </w:r>
    </w:p>
    <w:p w:rsidR="00097529" w:rsidRPr="00E009EA" w:rsidRDefault="00D87C08" w:rsidP="00097529">
      <w:pPr>
        <w:keepNext/>
      </w:pPr>
      <w:permStart w:id="109" w:edGrp="everyone"/>
      <w:r>
        <w:t>We agree with AFME and FIA on this point.</w:t>
      </w:r>
    </w:p>
    <w:permEnd w:id="109"/>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C06A23" w:rsidRPr="00E009EA" w:rsidRDefault="00C06A23" w:rsidP="00C06A23">
      <w:pPr>
        <w:keepNext/>
      </w:pPr>
      <w:permStart w:id="110" w:edGrp="everyone"/>
      <w:r w:rsidRPr="00E009EA">
        <w:t>TYPE YOUR TEXT HERE</w:t>
      </w:r>
    </w:p>
    <w:permEnd w:id="110"/>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Pr="00E009EA" w:rsidRDefault="00C0565B" w:rsidP="00EC2C93">
      <w:pPr>
        <w:keepNext/>
      </w:pPr>
      <w:permStart w:id="111" w:edGrp="everyone"/>
      <w:r w:rsidRPr="00E009EA">
        <w:t>We support AFME and FIA on this point</w:t>
      </w:r>
    </w:p>
    <w:permEnd w:id="111"/>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Pr="00E009EA" w:rsidRDefault="00D87C08" w:rsidP="00EC2C93">
      <w:pPr>
        <w:keepNext/>
      </w:pPr>
      <w:permStart w:id="112" w:edGrp="everyone"/>
      <w:r>
        <w:t>We agree with FIA on this point.</w:t>
      </w:r>
    </w:p>
    <w:permEnd w:id="112"/>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F3633E" w:rsidRPr="00E009EA" w:rsidRDefault="00D87C08" w:rsidP="00F3633E">
      <w:pPr>
        <w:keepNext/>
      </w:pPr>
      <w:permStart w:id="113" w:edGrp="everyone"/>
      <w:r>
        <w:t>We agree with AFME on this point.</w:t>
      </w:r>
    </w:p>
    <w:permEnd w:id="113"/>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F3633E" w:rsidRPr="00E009EA" w:rsidRDefault="00D87C08" w:rsidP="00F3633E">
      <w:pPr>
        <w:keepNext/>
      </w:pPr>
      <w:permStart w:id="114" w:edGrp="everyone"/>
      <w:r>
        <w:t>We agree with AFME on this point.</w:t>
      </w:r>
    </w:p>
    <w:permEnd w:id="114"/>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F3633E" w:rsidRPr="00E009EA" w:rsidRDefault="00D87C08" w:rsidP="00F3633E">
      <w:pPr>
        <w:keepNext/>
      </w:pPr>
      <w:permStart w:id="115" w:edGrp="everyone"/>
      <w:r>
        <w:t>We agree with AFME on this point.</w:t>
      </w:r>
    </w:p>
    <w:permEnd w:id="115"/>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F3633E" w:rsidRPr="00E009EA" w:rsidRDefault="00D87C08" w:rsidP="00F3633E">
      <w:pPr>
        <w:keepNext/>
      </w:pPr>
      <w:permStart w:id="116" w:edGrp="everyone"/>
      <w:r>
        <w:t>We agree with AFME on this point.</w:t>
      </w:r>
    </w:p>
    <w:permEnd w:id="116"/>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lastRenderedPageBreak/>
        <w:t>&lt;ESMA_QUESTION_CP_MIFID_108&gt;</w:t>
      </w:r>
    </w:p>
    <w:p w:rsidR="00F3633E" w:rsidRPr="00E009EA" w:rsidRDefault="00D87C08" w:rsidP="00F3633E">
      <w:pPr>
        <w:keepNext/>
      </w:pPr>
      <w:permStart w:id="117" w:edGrp="everyone"/>
      <w:r>
        <w:t>We agree with AFME on this point.</w:t>
      </w:r>
    </w:p>
    <w:permEnd w:id="117"/>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F3633E" w:rsidRPr="00E009EA" w:rsidRDefault="00D87C08" w:rsidP="00EC2C93">
      <w:pPr>
        <w:keepNext/>
      </w:pPr>
      <w:permStart w:id="118" w:edGrp="everyone"/>
      <w:r>
        <w:t>We agree with AFME on this point.</w:t>
      </w:r>
    </w:p>
    <w:permEnd w:id="118"/>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AF3093" w:rsidRPr="00E009EA" w:rsidRDefault="00D87C08" w:rsidP="00AF3093">
      <w:pPr>
        <w:keepNext/>
      </w:pPr>
      <w:permStart w:id="119" w:edGrp="everyone"/>
      <w:r>
        <w:t>We agree with AFME on this point.</w:t>
      </w:r>
    </w:p>
    <w:permEnd w:id="119"/>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E009EA" w:rsidRPr="00E009EA" w:rsidRDefault="00D87C08" w:rsidP="00EC2C93">
      <w:pPr>
        <w:keepNext/>
      </w:pPr>
      <w:permStart w:id="120" w:edGrp="everyone"/>
      <w:r>
        <w:t>We agree with AFME on this point.</w:t>
      </w:r>
    </w:p>
    <w:permEnd w:id="120"/>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AF3093" w:rsidRPr="00E009EA" w:rsidRDefault="00D87C08" w:rsidP="00AF3093">
      <w:pPr>
        <w:keepNext/>
      </w:pPr>
      <w:permStart w:id="121" w:edGrp="everyone"/>
      <w:r>
        <w:t>We agree with AFME on this point.</w:t>
      </w:r>
    </w:p>
    <w:permEnd w:id="121"/>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AF3093" w:rsidRPr="00E009EA" w:rsidRDefault="00D87C08" w:rsidP="00AF3093">
      <w:pPr>
        <w:keepNext/>
      </w:pPr>
      <w:permStart w:id="122" w:edGrp="everyone"/>
      <w:r>
        <w:t>We agree with AFME on this point.</w:t>
      </w:r>
    </w:p>
    <w:permEnd w:id="122"/>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AF3093" w:rsidRPr="00E009EA" w:rsidRDefault="00D87C08" w:rsidP="00AF3093">
      <w:pPr>
        <w:keepNext/>
      </w:pPr>
      <w:permStart w:id="123" w:edGrp="everyone"/>
      <w:r>
        <w:t>We agree with AFME on this point.</w:t>
      </w:r>
    </w:p>
    <w:permEnd w:id="123"/>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D66994" w:rsidRPr="00E009EA" w:rsidRDefault="00D87C08" w:rsidP="00EC2C93">
      <w:pPr>
        <w:keepNext/>
      </w:pPr>
      <w:permStart w:id="124" w:edGrp="everyone"/>
      <w:r>
        <w:t>We agree with AFME on this point.</w:t>
      </w:r>
    </w:p>
    <w:permEnd w:id="124"/>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lastRenderedPageBreak/>
        <w:t>&lt;ESMA_QUESTION_CP_MIFID_116&gt;</w:t>
      </w:r>
    </w:p>
    <w:p w:rsidR="00C0565B" w:rsidRPr="00E009EA" w:rsidRDefault="00D87C08" w:rsidP="00C0565B">
      <w:pPr>
        <w:keepNext/>
      </w:pPr>
      <w:permStart w:id="125" w:edGrp="everyone"/>
      <w:r>
        <w:t>We agree with FIA on this point.</w:t>
      </w:r>
    </w:p>
    <w:permEnd w:id="125"/>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Pr="00E009EA" w:rsidRDefault="00D87C08" w:rsidP="00EC2C93">
      <w:pPr>
        <w:keepNext/>
      </w:pPr>
      <w:permStart w:id="126" w:edGrp="everyone"/>
      <w:r>
        <w:t>We agree with FIA on this point.</w:t>
      </w:r>
    </w:p>
    <w:permEnd w:id="126"/>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Pr="00E009EA" w:rsidRDefault="00E009EA" w:rsidP="00EC2C93">
      <w:pPr>
        <w:keepNext/>
      </w:pPr>
      <w:permStart w:id="127" w:edGrp="everyone"/>
      <w:r w:rsidRPr="00E009EA">
        <w:t>TYPE YOUR TEXT HERE</w:t>
      </w:r>
    </w:p>
    <w:permEnd w:id="127"/>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Pr="00E009EA" w:rsidRDefault="00E009EA" w:rsidP="00EC2C93">
      <w:pPr>
        <w:keepNext/>
      </w:pPr>
      <w:permStart w:id="128" w:edGrp="everyone"/>
      <w:r w:rsidRPr="00E009EA">
        <w:t>TYPE YOUR TEXT HERE</w:t>
      </w:r>
    </w:p>
    <w:permEnd w:id="128"/>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042644" w:rsidRPr="00E009EA" w:rsidRDefault="00D87C08" w:rsidP="00042644">
      <w:pPr>
        <w:keepNext/>
      </w:pPr>
      <w:permStart w:id="129" w:edGrp="everyone"/>
      <w:r>
        <w:t>We agree with FIA on this point.</w:t>
      </w:r>
    </w:p>
    <w:permEnd w:id="129"/>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042644" w:rsidRPr="00E009EA" w:rsidRDefault="00E009EA" w:rsidP="00042644">
      <w:pPr>
        <w:keepNext/>
      </w:pPr>
      <w:permStart w:id="130" w:edGrp="everyone"/>
      <w:r w:rsidRPr="00E009EA">
        <w:t>TYPE YOUR TEXT HERE</w:t>
      </w:r>
    </w:p>
    <w:permEnd w:id="130"/>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042644" w:rsidRPr="00E009EA" w:rsidRDefault="00E009EA" w:rsidP="00042644">
      <w:pPr>
        <w:keepNext/>
      </w:pPr>
      <w:permStart w:id="131" w:edGrp="everyone"/>
      <w:r w:rsidRPr="00E009EA">
        <w:t>TYPE YOUR TEXT HERE</w:t>
      </w:r>
    </w:p>
    <w:permEnd w:id="131"/>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lastRenderedPageBreak/>
        <w:t>&lt;ESMA_QUESTION_CP_MIFID_123&gt;</w:t>
      </w:r>
    </w:p>
    <w:p w:rsidR="00042644" w:rsidRPr="00E009EA" w:rsidRDefault="00E009EA" w:rsidP="00042644">
      <w:pPr>
        <w:keepNext/>
      </w:pPr>
      <w:permStart w:id="132" w:edGrp="everyone"/>
      <w:r w:rsidRPr="00E009EA">
        <w:t>TYPE YOUR TEXT HERE</w:t>
      </w:r>
    </w:p>
    <w:permEnd w:id="132"/>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042644" w:rsidRPr="00E009EA" w:rsidRDefault="00E009EA" w:rsidP="00042644">
      <w:pPr>
        <w:keepNext/>
      </w:pPr>
      <w:permStart w:id="133" w:edGrp="everyone"/>
      <w:r w:rsidRPr="00E009EA">
        <w:t>TYPE YOUR TEXT HERE</w:t>
      </w:r>
    </w:p>
    <w:permEnd w:id="133"/>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042644" w:rsidRPr="00E009EA" w:rsidRDefault="00E009EA" w:rsidP="00042644">
      <w:pPr>
        <w:keepNext/>
      </w:pPr>
      <w:permStart w:id="134" w:edGrp="everyone"/>
      <w:r w:rsidRPr="00E009EA">
        <w:t>TYPE YOUR TEXT HERE</w:t>
      </w:r>
    </w:p>
    <w:permEnd w:id="134"/>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042644" w:rsidRPr="00E009EA" w:rsidRDefault="00E009EA" w:rsidP="00042644">
      <w:pPr>
        <w:keepNext/>
      </w:pPr>
      <w:permStart w:id="135" w:edGrp="everyone"/>
      <w:r w:rsidRPr="00E009EA">
        <w:t>TYPE YOUR TEXT HERE</w:t>
      </w:r>
    </w:p>
    <w:permEnd w:id="135"/>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042644" w:rsidRPr="00E009EA" w:rsidRDefault="00E009EA" w:rsidP="00042644">
      <w:pPr>
        <w:keepNext/>
      </w:pPr>
      <w:permStart w:id="136" w:edGrp="everyone"/>
      <w:r w:rsidRPr="00E009EA">
        <w:t>TYPE YOUR TEXT HERE</w:t>
      </w:r>
    </w:p>
    <w:permEnd w:id="136"/>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042644" w:rsidRPr="00E009EA" w:rsidRDefault="00E009EA" w:rsidP="00042644">
      <w:pPr>
        <w:keepNext/>
      </w:pPr>
      <w:permStart w:id="137" w:edGrp="everyone"/>
      <w:r w:rsidRPr="00E009EA">
        <w:t>TYPE YOUR TEXT HERE</w:t>
      </w:r>
    </w:p>
    <w:permEnd w:id="137"/>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042644" w:rsidRPr="00E009EA" w:rsidRDefault="00E009EA" w:rsidP="00042644">
      <w:pPr>
        <w:keepNext/>
      </w:pPr>
      <w:permStart w:id="138" w:edGrp="everyone"/>
      <w:r w:rsidRPr="00E009EA">
        <w:t>TYPE YOUR TEXT HERE</w:t>
      </w:r>
    </w:p>
    <w:permEnd w:id="138"/>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lastRenderedPageBreak/>
        <w:t>&lt;ESMA_QUESTION_CP_MIFID_130&gt;</w:t>
      </w:r>
    </w:p>
    <w:p w:rsidR="00042644" w:rsidRPr="00E009EA" w:rsidRDefault="00E009EA" w:rsidP="00042644">
      <w:pPr>
        <w:keepNext/>
      </w:pPr>
      <w:permStart w:id="139" w:edGrp="everyone"/>
      <w:r w:rsidRPr="00E009EA">
        <w:t>TYPE YOUR TEXT HERE</w:t>
      </w:r>
    </w:p>
    <w:permEnd w:id="139"/>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042644" w:rsidRPr="00042644" w:rsidRDefault="00E009EA" w:rsidP="00042644">
      <w:pPr>
        <w:keepNext/>
        <w:rPr>
          <w:color w:val="FF0000"/>
        </w:rPr>
      </w:pPr>
      <w:permStart w:id="140" w:edGrp="everyone"/>
      <w:r w:rsidRPr="00E009EA">
        <w:t>TYPE YOUR TEXT HERE</w:t>
      </w:r>
    </w:p>
    <w:permEnd w:id="140"/>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042644" w:rsidRPr="00042644" w:rsidRDefault="00E009EA" w:rsidP="00042644">
      <w:pPr>
        <w:keepNext/>
        <w:rPr>
          <w:color w:val="FF0000"/>
        </w:rPr>
      </w:pPr>
      <w:permStart w:id="141" w:edGrp="everyone"/>
      <w:r w:rsidRPr="00E009EA">
        <w:t>TYPE YOUR TEXT HERE</w:t>
      </w:r>
    </w:p>
    <w:permEnd w:id="141"/>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042644" w:rsidRPr="00042644" w:rsidRDefault="00E009EA" w:rsidP="00042644">
      <w:pPr>
        <w:keepNext/>
        <w:rPr>
          <w:color w:val="FF0000"/>
        </w:rPr>
      </w:pPr>
      <w:permStart w:id="142" w:edGrp="everyone"/>
      <w:r w:rsidRPr="00E009EA">
        <w:t>TYPE YOUR TEXT HERE</w:t>
      </w:r>
    </w:p>
    <w:permEnd w:id="142"/>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lastRenderedPageBreak/>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1D1B92" w:rsidRPr="00042644" w:rsidRDefault="00E009EA" w:rsidP="001D1B92">
      <w:pPr>
        <w:keepNext/>
        <w:rPr>
          <w:color w:val="FF0000"/>
        </w:rPr>
      </w:pPr>
      <w:permStart w:id="143" w:edGrp="everyone"/>
      <w:r w:rsidRPr="00E009EA">
        <w:t>TYPE YOUR TEXT HERE</w:t>
      </w:r>
    </w:p>
    <w:permEnd w:id="143"/>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1D1B92" w:rsidRPr="00042644" w:rsidRDefault="00E009EA" w:rsidP="001D1B92">
      <w:pPr>
        <w:keepNext/>
        <w:rPr>
          <w:color w:val="FF0000"/>
        </w:rPr>
      </w:pPr>
      <w:permStart w:id="144" w:edGrp="everyone"/>
      <w:r w:rsidRPr="00E009EA">
        <w:t>TYPE YOUR TEXT HERE</w:t>
      </w:r>
    </w:p>
    <w:permEnd w:id="144"/>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1D1B92" w:rsidRPr="00042644" w:rsidRDefault="00E009EA" w:rsidP="001D1B92">
      <w:pPr>
        <w:keepNext/>
        <w:rPr>
          <w:color w:val="FF0000"/>
        </w:rPr>
      </w:pPr>
      <w:permStart w:id="145" w:edGrp="everyone"/>
      <w:r w:rsidRPr="00E009EA">
        <w:t>TYPE YOUR TEXT HERE</w:t>
      </w:r>
    </w:p>
    <w:permEnd w:id="145"/>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1D1B92" w:rsidRPr="00042644" w:rsidRDefault="00E009EA" w:rsidP="001D1B92">
      <w:pPr>
        <w:keepNext/>
        <w:rPr>
          <w:color w:val="FF0000"/>
        </w:rPr>
      </w:pPr>
      <w:permStart w:id="146" w:edGrp="everyone"/>
      <w:r w:rsidRPr="00E009EA">
        <w:t>TYPE YOUR TEXT HERE</w:t>
      </w:r>
    </w:p>
    <w:permEnd w:id="146"/>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E009EA" w:rsidP="00EC2C93">
      <w:pPr>
        <w:keepNext/>
      </w:pPr>
      <w:permStart w:id="147" w:edGrp="everyone"/>
      <w:r w:rsidRPr="00E009EA">
        <w:t>TYPE YOUR TEXT HERE</w:t>
      </w:r>
    </w:p>
    <w:permEnd w:id="147"/>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E009EA" w:rsidP="00EC2C93">
      <w:pPr>
        <w:keepNext/>
      </w:pPr>
      <w:permStart w:id="148" w:edGrp="everyone"/>
      <w:r w:rsidRPr="00E009EA">
        <w:t>TYPE YOUR TEXT HERE</w:t>
      </w:r>
    </w:p>
    <w:permEnd w:id="148"/>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E009EA" w:rsidP="00EC2C93">
      <w:pPr>
        <w:keepNext/>
      </w:pPr>
      <w:permStart w:id="149" w:edGrp="everyone"/>
      <w:r w:rsidRPr="00E009EA">
        <w:t>TYPE YOUR TEXT HERE</w:t>
      </w:r>
    </w:p>
    <w:permEnd w:id="149"/>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E009EA" w:rsidP="00EC2C93">
      <w:pPr>
        <w:keepNext/>
      </w:pPr>
      <w:permStart w:id="150" w:edGrp="everyone"/>
      <w:r w:rsidRPr="00E009EA">
        <w:t>TYPE YOUR TEXT HERE</w:t>
      </w:r>
    </w:p>
    <w:permEnd w:id="150"/>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E009EA" w:rsidP="00EC2C93">
      <w:pPr>
        <w:keepNext/>
      </w:pPr>
      <w:permStart w:id="151" w:edGrp="everyone"/>
      <w:r w:rsidRPr="00E009EA">
        <w:t>TYPE YOUR TEXT HERE</w:t>
      </w:r>
    </w:p>
    <w:permEnd w:id="151"/>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E009EA" w:rsidP="00EC2C93">
      <w:pPr>
        <w:keepNext/>
      </w:pPr>
      <w:permStart w:id="152" w:edGrp="everyone"/>
      <w:r w:rsidRPr="00E009EA">
        <w:t>TYPE YOUR TEXT HERE</w:t>
      </w:r>
    </w:p>
    <w:permEnd w:id="152"/>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E009EA" w:rsidP="00EC2C93">
      <w:pPr>
        <w:keepNext/>
      </w:pPr>
      <w:permStart w:id="153" w:edGrp="everyone"/>
      <w:r w:rsidRPr="00E009EA">
        <w:t>TYPE YOUR TEXT HERE</w:t>
      </w:r>
    </w:p>
    <w:permEnd w:id="153"/>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E009EA" w:rsidP="00EC2C93">
      <w:pPr>
        <w:keepNext/>
      </w:pPr>
      <w:permStart w:id="154" w:edGrp="everyone"/>
      <w:r w:rsidRPr="00E009EA">
        <w:t>TYPE YOUR TEXT HERE</w:t>
      </w:r>
    </w:p>
    <w:permEnd w:id="154"/>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E009EA" w:rsidP="00EC2C93">
      <w:pPr>
        <w:keepNext/>
      </w:pPr>
      <w:permStart w:id="155" w:edGrp="everyone"/>
      <w:r w:rsidRPr="00E009EA">
        <w:t>TYPE YOUR TEXT HERE</w:t>
      </w:r>
    </w:p>
    <w:permEnd w:id="155"/>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E009EA" w:rsidP="00EC2C93">
      <w:pPr>
        <w:keepNext/>
      </w:pPr>
      <w:permStart w:id="156" w:edGrp="everyone"/>
      <w:r w:rsidRPr="00E009EA">
        <w:t>TYPE YOUR TEXT HERE</w:t>
      </w:r>
    </w:p>
    <w:permEnd w:id="156"/>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60035F" w:rsidRPr="0060035F" w:rsidRDefault="00D87C08" w:rsidP="00EC2C93">
      <w:pPr>
        <w:keepNext/>
        <w:rPr>
          <w:color w:val="FF0000"/>
        </w:rPr>
      </w:pPr>
      <w:permStart w:id="157" w:edGrp="everyone"/>
      <w:r>
        <w:t>We agree with FIA Europe on this point.</w:t>
      </w:r>
    </w:p>
    <w:permEnd w:id="157"/>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60035F" w:rsidRPr="0060035F" w:rsidRDefault="00D87C08" w:rsidP="0060035F">
      <w:pPr>
        <w:keepNext/>
        <w:rPr>
          <w:color w:val="FF0000"/>
        </w:rPr>
      </w:pPr>
      <w:permStart w:id="158" w:edGrp="everyone"/>
      <w:r>
        <w:t>We agree with FIA Europe on this point.</w:t>
      </w:r>
    </w:p>
    <w:permEnd w:id="158"/>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60035F" w:rsidRPr="0060035F" w:rsidRDefault="00D87C08" w:rsidP="0060035F">
      <w:pPr>
        <w:keepNext/>
        <w:rPr>
          <w:color w:val="FF0000"/>
        </w:rPr>
      </w:pPr>
      <w:permStart w:id="159" w:edGrp="everyone"/>
      <w:r>
        <w:t>We agree with FIA Europe on this point.</w:t>
      </w:r>
    </w:p>
    <w:permEnd w:id="159"/>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60035F" w:rsidRPr="0060035F" w:rsidRDefault="00D87C08" w:rsidP="0060035F">
      <w:pPr>
        <w:keepNext/>
        <w:rPr>
          <w:color w:val="FF0000"/>
        </w:rPr>
      </w:pPr>
      <w:permStart w:id="160" w:edGrp="everyone"/>
      <w:r>
        <w:t>We agree with FIA Europe on this point.</w:t>
      </w:r>
    </w:p>
    <w:permEnd w:id="160"/>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60035F" w:rsidRPr="0060035F" w:rsidRDefault="00D87C08" w:rsidP="0060035F">
      <w:pPr>
        <w:keepNext/>
        <w:rPr>
          <w:color w:val="FF0000"/>
        </w:rPr>
      </w:pPr>
      <w:permStart w:id="161" w:edGrp="everyone"/>
      <w:r>
        <w:t>We agree with FIA Europe on this point.</w:t>
      </w:r>
    </w:p>
    <w:permEnd w:id="161"/>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60035F" w:rsidRPr="0060035F" w:rsidRDefault="00D87C08" w:rsidP="0060035F">
      <w:pPr>
        <w:keepNext/>
        <w:rPr>
          <w:color w:val="FF0000"/>
        </w:rPr>
      </w:pPr>
      <w:permStart w:id="162" w:edGrp="everyone"/>
      <w:r>
        <w:t>We agree with FIA Europe on this point.</w:t>
      </w:r>
    </w:p>
    <w:permEnd w:id="162"/>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60035F" w:rsidRPr="0060035F" w:rsidRDefault="00D87C08" w:rsidP="0060035F">
      <w:pPr>
        <w:keepNext/>
        <w:rPr>
          <w:color w:val="FF0000"/>
        </w:rPr>
      </w:pPr>
      <w:permStart w:id="163" w:edGrp="everyone"/>
      <w:r>
        <w:t>We agree with FIA Europe on this point.</w:t>
      </w:r>
    </w:p>
    <w:permEnd w:id="163"/>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60035F" w:rsidRPr="0060035F" w:rsidRDefault="00D87C08" w:rsidP="0060035F">
      <w:pPr>
        <w:keepNext/>
        <w:rPr>
          <w:color w:val="FF0000"/>
        </w:rPr>
      </w:pPr>
      <w:permStart w:id="164" w:edGrp="everyone"/>
      <w:r>
        <w:t>We agree with FIA Europe on this point.</w:t>
      </w:r>
    </w:p>
    <w:permEnd w:id="164"/>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60035F" w:rsidRPr="0060035F" w:rsidRDefault="00D87C08" w:rsidP="0060035F">
      <w:pPr>
        <w:keepNext/>
        <w:rPr>
          <w:color w:val="FF0000"/>
        </w:rPr>
      </w:pPr>
      <w:permStart w:id="165" w:edGrp="everyone"/>
      <w:r>
        <w:t>We agree with FIA Europe on this point.</w:t>
      </w:r>
    </w:p>
    <w:permEnd w:id="165"/>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60035F" w:rsidRPr="0060035F" w:rsidRDefault="00D87C08" w:rsidP="0060035F">
      <w:pPr>
        <w:keepNext/>
        <w:rPr>
          <w:color w:val="FF0000"/>
        </w:rPr>
      </w:pPr>
      <w:permStart w:id="166" w:edGrp="everyone"/>
      <w:r>
        <w:t>We agree with FIA Europe on this point.</w:t>
      </w:r>
    </w:p>
    <w:permEnd w:id="166"/>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60035F" w:rsidRPr="0060035F" w:rsidRDefault="00D87C08" w:rsidP="0060035F">
      <w:pPr>
        <w:keepNext/>
        <w:rPr>
          <w:color w:val="FF0000"/>
        </w:rPr>
      </w:pPr>
      <w:permStart w:id="167" w:edGrp="everyone"/>
      <w:r>
        <w:t>We agree with FIA Europe on this point.</w:t>
      </w:r>
    </w:p>
    <w:permEnd w:id="167"/>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60035F" w:rsidRPr="0060035F" w:rsidRDefault="00D87C08" w:rsidP="0060035F">
      <w:pPr>
        <w:keepNext/>
        <w:rPr>
          <w:color w:val="FF0000"/>
        </w:rPr>
      </w:pPr>
      <w:permStart w:id="168" w:edGrp="everyone"/>
      <w:r>
        <w:t>We agree with FIA Europe on this point.</w:t>
      </w:r>
    </w:p>
    <w:permEnd w:id="168"/>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lastRenderedPageBreak/>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60035F" w:rsidRPr="00EC60B7" w:rsidRDefault="00E009EA" w:rsidP="0060035F">
      <w:pPr>
        <w:keepNext/>
        <w:rPr>
          <w:color w:val="FF0000"/>
        </w:rPr>
      </w:pPr>
      <w:permStart w:id="169" w:edGrp="everyone"/>
      <w:r w:rsidRPr="00E009EA">
        <w:t>TYPE YOUR TEXT HERE</w:t>
      </w:r>
    </w:p>
    <w:permEnd w:id="169"/>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60035F" w:rsidRPr="00EC60B7" w:rsidRDefault="00E009EA" w:rsidP="0060035F">
      <w:pPr>
        <w:keepNext/>
        <w:rPr>
          <w:color w:val="FF0000"/>
        </w:rPr>
      </w:pPr>
      <w:permStart w:id="170" w:edGrp="everyone"/>
      <w:r w:rsidRPr="00E009EA">
        <w:t>TYPE YOUR TEXT HERE</w:t>
      </w:r>
    </w:p>
    <w:permEnd w:id="170"/>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60035F" w:rsidRPr="00EC60B7" w:rsidRDefault="00E009EA" w:rsidP="0060035F">
      <w:pPr>
        <w:keepNext/>
        <w:rPr>
          <w:color w:val="FF0000"/>
        </w:rPr>
      </w:pPr>
      <w:permStart w:id="171" w:edGrp="everyone"/>
      <w:r w:rsidRPr="00E009EA">
        <w:t>TYPE YOUR TEXT HERE</w:t>
      </w:r>
    </w:p>
    <w:permEnd w:id="171"/>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042644" w:rsidRPr="00042644" w:rsidRDefault="00E009EA" w:rsidP="00042644">
      <w:pPr>
        <w:keepNext/>
        <w:rPr>
          <w:color w:val="FF0000"/>
        </w:rPr>
      </w:pPr>
      <w:permStart w:id="172" w:edGrp="everyone"/>
      <w:r w:rsidRPr="00E009EA">
        <w:t>TYPE YOUR TEXT HERE</w:t>
      </w:r>
    </w:p>
    <w:permEnd w:id="172"/>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042644" w:rsidRPr="00042644" w:rsidRDefault="00E009EA" w:rsidP="00042644">
      <w:pPr>
        <w:keepNext/>
        <w:rPr>
          <w:color w:val="FF0000"/>
        </w:rPr>
      </w:pPr>
      <w:permStart w:id="173" w:edGrp="everyone"/>
      <w:r w:rsidRPr="00E009EA">
        <w:t>TYPE YOUR TEXT HERE</w:t>
      </w:r>
    </w:p>
    <w:permEnd w:id="173"/>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042644" w:rsidRPr="00042644" w:rsidRDefault="00E009EA" w:rsidP="00042644">
      <w:pPr>
        <w:keepNext/>
        <w:rPr>
          <w:color w:val="FF0000"/>
        </w:rPr>
      </w:pPr>
      <w:permStart w:id="174" w:edGrp="everyone"/>
      <w:r w:rsidRPr="00E009EA">
        <w:t>TYPE YOUR TEXT HERE</w:t>
      </w:r>
    </w:p>
    <w:permEnd w:id="174"/>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042644" w:rsidRPr="00042644" w:rsidRDefault="00E009EA" w:rsidP="00042644">
      <w:pPr>
        <w:keepNext/>
        <w:rPr>
          <w:color w:val="FF0000"/>
        </w:rPr>
      </w:pPr>
      <w:permStart w:id="175" w:edGrp="everyone"/>
      <w:r w:rsidRPr="00E009EA">
        <w:t>TYPE YOUR TEXT HERE</w:t>
      </w:r>
    </w:p>
    <w:permEnd w:id="175"/>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042644" w:rsidRPr="00042644" w:rsidRDefault="00E009EA" w:rsidP="00042644">
      <w:pPr>
        <w:keepNext/>
        <w:rPr>
          <w:color w:val="FF0000"/>
        </w:rPr>
      </w:pPr>
      <w:permStart w:id="176" w:edGrp="everyone"/>
      <w:r w:rsidRPr="00E009EA">
        <w:t>TYPE YOUR TEXT HERE</w:t>
      </w:r>
    </w:p>
    <w:permEnd w:id="176"/>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lastRenderedPageBreak/>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D66994" w:rsidRPr="00D66994" w:rsidRDefault="00D87C08" w:rsidP="00EC2C93">
      <w:pPr>
        <w:keepNext/>
        <w:rPr>
          <w:color w:val="FF0000"/>
        </w:rPr>
      </w:pPr>
      <w:permStart w:id="177" w:edGrp="everyone"/>
      <w:r>
        <w:t>We agree with FIA Europe, AFME and GFMA on this point.</w:t>
      </w:r>
    </w:p>
    <w:permEnd w:id="177"/>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D66994" w:rsidRPr="00D66994" w:rsidRDefault="00D87C08" w:rsidP="00D66994">
      <w:pPr>
        <w:keepNext/>
        <w:rPr>
          <w:color w:val="FF0000"/>
        </w:rPr>
      </w:pPr>
      <w:permStart w:id="178" w:edGrp="everyone"/>
      <w:r>
        <w:t>We agree with FIA Europe, AFME and GFMA on this point.</w:t>
      </w:r>
    </w:p>
    <w:permEnd w:id="178"/>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D66994" w:rsidRPr="00D66994" w:rsidRDefault="00D87C08" w:rsidP="00D66994">
      <w:pPr>
        <w:keepNext/>
        <w:rPr>
          <w:color w:val="FF0000"/>
        </w:rPr>
      </w:pPr>
      <w:permStart w:id="179" w:edGrp="everyone"/>
      <w:r>
        <w:t>We agree with FIA Europe, AFME and GFMA on this point.</w:t>
      </w:r>
    </w:p>
    <w:permEnd w:id="179"/>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D66994" w:rsidRPr="00D66994" w:rsidRDefault="00D87C08" w:rsidP="00D66994">
      <w:pPr>
        <w:keepNext/>
        <w:rPr>
          <w:color w:val="FF0000"/>
        </w:rPr>
      </w:pPr>
      <w:permStart w:id="180" w:edGrp="everyone"/>
      <w:r>
        <w:t>We agree with FIA Europe, AFME and GFMA on this point.</w:t>
      </w:r>
    </w:p>
    <w:permEnd w:id="180"/>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D66994" w:rsidRPr="00D66994" w:rsidRDefault="00D87C08" w:rsidP="00D66994">
      <w:pPr>
        <w:keepNext/>
        <w:rPr>
          <w:color w:val="FF0000"/>
        </w:rPr>
      </w:pPr>
      <w:permStart w:id="181" w:edGrp="everyone"/>
      <w:r>
        <w:t>We agree with FIA Europe, AFME and GFMA on this point.</w:t>
      </w:r>
    </w:p>
    <w:permEnd w:id="181"/>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D66994" w:rsidRPr="00D66994" w:rsidRDefault="00D87C08" w:rsidP="00D66994">
      <w:pPr>
        <w:keepNext/>
        <w:rPr>
          <w:color w:val="FF0000"/>
        </w:rPr>
      </w:pPr>
      <w:permStart w:id="182" w:edGrp="everyone"/>
      <w:r>
        <w:t>We agree with FIA Europe, AFME and GFMA on this point.</w:t>
      </w:r>
    </w:p>
    <w:permEnd w:id="182"/>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lastRenderedPageBreak/>
        <w:t>&lt;ESMA_QUESTION_CP_MIFID_174&gt;</w:t>
      </w:r>
    </w:p>
    <w:p w:rsidR="00D66994" w:rsidRPr="00D66994" w:rsidRDefault="00D87C08" w:rsidP="00D66994">
      <w:pPr>
        <w:keepNext/>
        <w:rPr>
          <w:color w:val="FF0000"/>
        </w:rPr>
      </w:pPr>
      <w:permStart w:id="183" w:edGrp="everyone"/>
      <w:r>
        <w:t>We agree with FIA Europe, AFME and GFMA on this point.</w:t>
      </w:r>
    </w:p>
    <w:permEnd w:id="183"/>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D66994" w:rsidRPr="00D66994" w:rsidRDefault="00D87C08" w:rsidP="00D66994">
      <w:pPr>
        <w:keepNext/>
        <w:rPr>
          <w:color w:val="FF0000"/>
        </w:rPr>
      </w:pPr>
      <w:permStart w:id="184" w:edGrp="everyone"/>
      <w:r>
        <w:t>We agree with FIA Europe, AFME and GFMA on this point.</w:t>
      </w:r>
    </w:p>
    <w:permEnd w:id="184"/>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D66994" w:rsidRPr="00D66994" w:rsidRDefault="00D87C08" w:rsidP="00D66994">
      <w:pPr>
        <w:keepNext/>
        <w:rPr>
          <w:color w:val="FF0000"/>
        </w:rPr>
      </w:pPr>
      <w:permStart w:id="185" w:edGrp="everyone"/>
      <w:r>
        <w:t>We agree with FIA Europe, AFME and GFMA on this point.</w:t>
      </w:r>
    </w:p>
    <w:permEnd w:id="185"/>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D66994" w:rsidRPr="00D66994" w:rsidRDefault="00D87C08" w:rsidP="00D66994">
      <w:pPr>
        <w:keepNext/>
        <w:rPr>
          <w:color w:val="FF0000"/>
        </w:rPr>
      </w:pPr>
      <w:permStart w:id="186" w:edGrp="everyone"/>
      <w:r>
        <w:t>We agree with FIA Europe, AFME and GFMA on this point.</w:t>
      </w:r>
    </w:p>
    <w:permEnd w:id="186"/>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D66994" w:rsidRPr="00D66994" w:rsidRDefault="00D87C08" w:rsidP="00D66994">
      <w:pPr>
        <w:keepNext/>
        <w:rPr>
          <w:color w:val="FF0000"/>
        </w:rPr>
      </w:pPr>
      <w:permStart w:id="187" w:edGrp="everyone"/>
      <w:r>
        <w:t>We agree with FIA Europe, AFME and GFMA on this point.</w:t>
      </w:r>
    </w:p>
    <w:permEnd w:id="187"/>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D66994" w:rsidRPr="00D66994" w:rsidRDefault="00D87C08" w:rsidP="00D66994">
      <w:pPr>
        <w:keepNext/>
        <w:rPr>
          <w:color w:val="FF0000"/>
        </w:rPr>
      </w:pPr>
      <w:permStart w:id="188" w:edGrp="everyone"/>
      <w:r>
        <w:t>We agree with FIA Europe, AFME and GFMA on this point.</w:t>
      </w:r>
    </w:p>
    <w:permEnd w:id="188"/>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D66994" w:rsidRPr="00D66994" w:rsidRDefault="00D87C08" w:rsidP="00D66994">
      <w:pPr>
        <w:keepNext/>
        <w:rPr>
          <w:color w:val="FF0000"/>
        </w:rPr>
      </w:pPr>
      <w:permStart w:id="189" w:edGrp="everyone"/>
      <w:r>
        <w:t>We agree with FIA Europe, AFME and GFMA on this point.</w:t>
      </w:r>
    </w:p>
    <w:permEnd w:id="189"/>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lastRenderedPageBreak/>
        <w:t>&lt;ESMA_QUESTION_CP_MIFID_181&gt;</w:t>
      </w:r>
    </w:p>
    <w:p w:rsidR="00D66994" w:rsidRPr="00D66994" w:rsidRDefault="00D87C08" w:rsidP="00D66994">
      <w:pPr>
        <w:keepNext/>
        <w:rPr>
          <w:color w:val="FF0000"/>
        </w:rPr>
      </w:pPr>
      <w:permStart w:id="190" w:edGrp="everyone"/>
      <w:r>
        <w:t>We agree with FIA Europe, AFME and GFMA on this point.</w:t>
      </w:r>
    </w:p>
    <w:permEnd w:id="190"/>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D66994" w:rsidRPr="00D66994" w:rsidRDefault="00D87C08" w:rsidP="00D66994">
      <w:pPr>
        <w:keepNext/>
        <w:rPr>
          <w:color w:val="FF0000"/>
        </w:rPr>
      </w:pPr>
      <w:permStart w:id="191" w:edGrp="everyone"/>
      <w:r>
        <w:t>We agree with FIA Europe, AFME and GFMA on this point.</w:t>
      </w:r>
    </w:p>
    <w:permEnd w:id="191"/>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8D29B8" w:rsidRPr="008D29B8" w:rsidRDefault="00D87C08" w:rsidP="00EC2C93">
      <w:pPr>
        <w:keepNext/>
        <w:rPr>
          <w:color w:val="FF0000"/>
        </w:rPr>
      </w:pPr>
      <w:permStart w:id="192" w:edGrp="everyone"/>
      <w:r>
        <w:t>We agree with ISDA, AFME and GFMA on this point.</w:t>
      </w:r>
    </w:p>
    <w:permEnd w:id="192"/>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8D29B8" w:rsidRPr="008D29B8" w:rsidRDefault="00D87C08" w:rsidP="008D29B8">
      <w:pPr>
        <w:keepNext/>
        <w:rPr>
          <w:color w:val="FF0000"/>
        </w:rPr>
      </w:pPr>
      <w:permStart w:id="193" w:edGrp="everyone"/>
      <w:r>
        <w:t>We agree with ISDA, AFME and GFMA on this point.</w:t>
      </w:r>
    </w:p>
    <w:permEnd w:id="193"/>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t>&lt;ESMA_QUESTION_CP_MIFID_185&gt;</w:t>
      </w:r>
    </w:p>
    <w:p w:rsidR="008D29B8" w:rsidRPr="008D29B8" w:rsidRDefault="00D87C08" w:rsidP="008D29B8">
      <w:pPr>
        <w:keepNext/>
        <w:rPr>
          <w:color w:val="FF0000"/>
        </w:rPr>
      </w:pPr>
      <w:permStart w:id="194" w:edGrp="everyone"/>
      <w:r>
        <w:t>We agree with ISDA, AFME and GFMA on this point.</w:t>
      </w:r>
    </w:p>
    <w:permEnd w:id="194"/>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8D29B8" w:rsidRPr="008D29B8" w:rsidRDefault="00D87C08" w:rsidP="008D29B8">
      <w:pPr>
        <w:keepNext/>
        <w:rPr>
          <w:color w:val="FF0000"/>
        </w:rPr>
      </w:pPr>
      <w:permStart w:id="195" w:edGrp="everyone"/>
      <w:r>
        <w:t>We agree with ISDA, AFME and GFMA on this point.</w:t>
      </w:r>
    </w:p>
    <w:permEnd w:id="195"/>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8D29B8" w:rsidRPr="008D29B8" w:rsidRDefault="00D87C08" w:rsidP="008D29B8">
      <w:pPr>
        <w:keepNext/>
        <w:rPr>
          <w:color w:val="FF0000"/>
        </w:rPr>
      </w:pPr>
      <w:permStart w:id="196" w:edGrp="everyone"/>
      <w:r>
        <w:t>We agree with ISDA, AFME and GFMA on this point.</w:t>
      </w:r>
    </w:p>
    <w:permEnd w:id="196"/>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lastRenderedPageBreak/>
        <w:t>&lt;ESMA_QUESTION_CP_MIFID_188&gt;</w:t>
      </w:r>
    </w:p>
    <w:p w:rsidR="008D29B8" w:rsidRPr="008D29B8" w:rsidRDefault="00D87C08" w:rsidP="008D29B8">
      <w:pPr>
        <w:keepNext/>
        <w:rPr>
          <w:color w:val="FF0000"/>
        </w:rPr>
      </w:pPr>
      <w:permStart w:id="197" w:edGrp="everyone"/>
      <w:r>
        <w:t>We agree with ISDA, AFME and GFMA on this point.</w:t>
      </w:r>
    </w:p>
    <w:permEnd w:id="197"/>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8D29B8" w:rsidRPr="008D29B8" w:rsidRDefault="00D87C08" w:rsidP="008D29B8">
      <w:pPr>
        <w:keepNext/>
        <w:rPr>
          <w:color w:val="FF0000"/>
        </w:rPr>
      </w:pPr>
      <w:permStart w:id="198" w:edGrp="everyone"/>
      <w:r>
        <w:t>We agree with ISDA, AFME and GFMA on this point.</w:t>
      </w:r>
    </w:p>
    <w:permEnd w:id="198"/>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8D29B8" w:rsidRPr="008D29B8" w:rsidRDefault="00D87C08" w:rsidP="008D29B8">
      <w:pPr>
        <w:keepNext/>
        <w:rPr>
          <w:color w:val="FF0000"/>
        </w:rPr>
      </w:pPr>
      <w:permStart w:id="199" w:edGrp="everyone"/>
      <w:r>
        <w:t>We agree with ISDA, AFME and GFMA on this point.</w:t>
      </w:r>
    </w:p>
    <w:permEnd w:id="199"/>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8D29B8" w:rsidRPr="008D29B8" w:rsidRDefault="00D87C08" w:rsidP="008D29B8">
      <w:pPr>
        <w:keepNext/>
        <w:rPr>
          <w:color w:val="FF0000"/>
        </w:rPr>
      </w:pPr>
      <w:permStart w:id="200" w:edGrp="everyone"/>
      <w:r>
        <w:t>We agree with ISDA, AFME and GFMA on this point.</w:t>
      </w:r>
    </w:p>
    <w:permEnd w:id="200"/>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8D29B8" w:rsidRPr="008D29B8" w:rsidRDefault="00D87C08" w:rsidP="008D29B8">
      <w:pPr>
        <w:keepNext/>
        <w:rPr>
          <w:color w:val="FF0000"/>
        </w:rPr>
      </w:pPr>
      <w:permStart w:id="201" w:edGrp="everyone"/>
      <w:r>
        <w:t>We agree with ISDA, AFME and GFMA on this point.</w:t>
      </w:r>
    </w:p>
    <w:permEnd w:id="201"/>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8D29B8" w:rsidRPr="008D29B8" w:rsidRDefault="00D87C08" w:rsidP="008D29B8">
      <w:pPr>
        <w:keepNext/>
        <w:rPr>
          <w:color w:val="FF0000"/>
        </w:rPr>
      </w:pPr>
      <w:permStart w:id="202" w:edGrp="everyone"/>
      <w:r>
        <w:t>We agree with ISDA, AFME and GFMA on this point.</w:t>
      </w:r>
    </w:p>
    <w:permEnd w:id="202"/>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8D29B8" w:rsidRPr="008D29B8" w:rsidRDefault="00D87C08" w:rsidP="008D29B8">
      <w:pPr>
        <w:keepNext/>
        <w:rPr>
          <w:color w:val="FF0000"/>
        </w:rPr>
      </w:pPr>
      <w:permStart w:id="203" w:edGrp="everyone"/>
      <w:r>
        <w:t>We agree with ISDA, AFME and GFMA on this point.</w:t>
      </w:r>
    </w:p>
    <w:permEnd w:id="203"/>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lastRenderedPageBreak/>
        <w:t>&lt;ESMA_QUESTION_CP_MIFID_195&gt;</w:t>
      </w:r>
    </w:p>
    <w:p w:rsidR="008D29B8" w:rsidRPr="008D29B8" w:rsidRDefault="00D87C08" w:rsidP="008D29B8">
      <w:pPr>
        <w:keepNext/>
        <w:rPr>
          <w:color w:val="FF0000"/>
        </w:rPr>
      </w:pPr>
      <w:permStart w:id="204" w:edGrp="everyone"/>
      <w:r>
        <w:t>We agree with ISDA, AFME and GFMA on this point.</w:t>
      </w:r>
    </w:p>
    <w:permEnd w:id="204"/>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8D29B8" w:rsidRPr="008D29B8" w:rsidRDefault="00D87C08" w:rsidP="008D29B8">
      <w:pPr>
        <w:keepNext/>
        <w:rPr>
          <w:color w:val="FF0000"/>
        </w:rPr>
      </w:pPr>
      <w:permStart w:id="205" w:edGrp="everyone"/>
      <w:r>
        <w:t>We agree with ISDA, AFME and GFMA on this point.</w:t>
      </w:r>
    </w:p>
    <w:permEnd w:id="205"/>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8D29B8" w:rsidRPr="008D29B8" w:rsidRDefault="00D87C08" w:rsidP="008D29B8">
      <w:pPr>
        <w:keepNext/>
        <w:rPr>
          <w:color w:val="FF0000"/>
        </w:rPr>
      </w:pPr>
      <w:permStart w:id="206" w:edGrp="everyone"/>
      <w:r>
        <w:t>We agree with ISDA, AFME and GFMA on this point.</w:t>
      </w:r>
    </w:p>
    <w:permEnd w:id="206"/>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8D29B8" w:rsidRPr="008D29B8" w:rsidRDefault="00D87C08" w:rsidP="008D29B8">
      <w:pPr>
        <w:keepNext/>
        <w:rPr>
          <w:color w:val="FF0000"/>
        </w:rPr>
      </w:pPr>
      <w:permStart w:id="207" w:edGrp="everyone"/>
      <w:r>
        <w:t>We agree with ISDA, AFME and GFMA on this point.</w:t>
      </w:r>
    </w:p>
    <w:permEnd w:id="207"/>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8D29B8" w:rsidRPr="008D29B8" w:rsidRDefault="00D87C08" w:rsidP="008D29B8">
      <w:pPr>
        <w:keepNext/>
        <w:rPr>
          <w:color w:val="FF0000"/>
        </w:rPr>
      </w:pPr>
      <w:permStart w:id="208" w:edGrp="everyone"/>
      <w:r>
        <w:t>We agree with ISDA, AFME and GFMA on this point.</w:t>
      </w:r>
    </w:p>
    <w:permEnd w:id="208"/>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8D29B8" w:rsidRPr="008D29B8" w:rsidRDefault="00D87C08" w:rsidP="008D29B8">
      <w:pPr>
        <w:keepNext/>
        <w:rPr>
          <w:color w:val="FF0000"/>
        </w:rPr>
      </w:pPr>
      <w:permStart w:id="209" w:edGrp="everyone"/>
      <w:r>
        <w:t>We agree with ISDA, AFME and GFMA on this point.</w:t>
      </w:r>
    </w:p>
    <w:permEnd w:id="209"/>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8D29B8" w:rsidRPr="008D29B8" w:rsidRDefault="00D87C08" w:rsidP="008D29B8">
      <w:pPr>
        <w:keepNext/>
        <w:rPr>
          <w:color w:val="FF0000"/>
        </w:rPr>
      </w:pPr>
      <w:permStart w:id="210" w:edGrp="everyone"/>
      <w:r>
        <w:t>We agree with ISDA, AFME and GFMA on this point.</w:t>
      </w:r>
    </w:p>
    <w:permEnd w:id="210"/>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8D29B8" w:rsidRPr="008D29B8" w:rsidRDefault="00D87C08" w:rsidP="008D29B8">
      <w:pPr>
        <w:keepNext/>
        <w:rPr>
          <w:color w:val="FF0000"/>
        </w:rPr>
      </w:pPr>
      <w:permStart w:id="211" w:edGrp="everyone"/>
      <w:r>
        <w:t>We agree with ISDA, AFME and GFMA on this point.</w:t>
      </w:r>
    </w:p>
    <w:permEnd w:id="211"/>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lastRenderedPageBreak/>
        <w:t>&lt;ESMA_QUESTION_CP_MIFID_203&gt;</w:t>
      </w:r>
    </w:p>
    <w:p w:rsidR="008D29B8" w:rsidRPr="008D29B8" w:rsidRDefault="00D87C08" w:rsidP="008D29B8">
      <w:pPr>
        <w:keepNext/>
        <w:rPr>
          <w:color w:val="FF0000"/>
        </w:rPr>
      </w:pPr>
      <w:permStart w:id="212" w:edGrp="everyone"/>
      <w:r>
        <w:t>We agree with ISDA, AFME and GFMA on this point.</w:t>
      </w:r>
    </w:p>
    <w:permEnd w:id="212"/>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8D29B8" w:rsidRPr="008D29B8" w:rsidRDefault="00D87C08" w:rsidP="008D29B8">
      <w:pPr>
        <w:keepNext/>
        <w:rPr>
          <w:color w:val="FF0000"/>
        </w:rPr>
      </w:pPr>
      <w:permStart w:id="213" w:edGrp="everyone"/>
      <w:r>
        <w:t>We agree with ISDA, AFME and GFMA on this point.</w:t>
      </w:r>
    </w:p>
    <w:permEnd w:id="213"/>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8D29B8" w:rsidRPr="008D29B8" w:rsidRDefault="00D87C08" w:rsidP="008D29B8">
      <w:pPr>
        <w:keepNext/>
        <w:rPr>
          <w:color w:val="FF0000"/>
        </w:rPr>
      </w:pPr>
      <w:permStart w:id="214" w:edGrp="everyone"/>
      <w:r>
        <w:t>We agree with ISDA, AFME and GFMA on this point.</w:t>
      </w:r>
    </w:p>
    <w:permEnd w:id="214"/>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8D29B8" w:rsidRPr="008D29B8" w:rsidRDefault="00D87C08" w:rsidP="008D29B8">
      <w:pPr>
        <w:keepNext/>
        <w:rPr>
          <w:color w:val="FF0000"/>
        </w:rPr>
      </w:pPr>
      <w:permStart w:id="215" w:edGrp="everyone"/>
      <w:r>
        <w:t>We agree with ISDA, AFME and GFMA on this point.</w:t>
      </w:r>
    </w:p>
    <w:permEnd w:id="215"/>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8D29B8" w:rsidRPr="008D29B8" w:rsidRDefault="00D87C08" w:rsidP="008D29B8">
      <w:pPr>
        <w:keepNext/>
        <w:rPr>
          <w:color w:val="FF0000"/>
        </w:rPr>
      </w:pPr>
      <w:permStart w:id="216" w:edGrp="everyone"/>
      <w:r>
        <w:t>We agree with ISDA, AFME and GFMA on this point.</w:t>
      </w:r>
    </w:p>
    <w:permEnd w:id="216"/>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8D29B8" w:rsidRPr="008D29B8" w:rsidRDefault="00D87C08" w:rsidP="008D29B8">
      <w:pPr>
        <w:keepNext/>
        <w:rPr>
          <w:color w:val="FF0000"/>
        </w:rPr>
      </w:pPr>
      <w:permStart w:id="217" w:edGrp="everyone"/>
      <w:r>
        <w:t>We agree with ISDA, AFME and GFMA on this point.</w:t>
      </w:r>
    </w:p>
    <w:permEnd w:id="217"/>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8D29B8" w:rsidRPr="008D29B8" w:rsidRDefault="00D87C08" w:rsidP="008D29B8">
      <w:pPr>
        <w:keepNext/>
        <w:rPr>
          <w:color w:val="FF0000"/>
        </w:rPr>
      </w:pPr>
      <w:permStart w:id="218" w:edGrp="everyone"/>
      <w:r>
        <w:t>We agree with ISDA, AFME and GFMA on this point.</w:t>
      </w:r>
    </w:p>
    <w:permEnd w:id="218"/>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8D29B8" w:rsidRPr="008D29B8" w:rsidRDefault="00D87C08" w:rsidP="008D29B8">
      <w:pPr>
        <w:keepNext/>
        <w:rPr>
          <w:color w:val="FF0000"/>
        </w:rPr>
      </w:pPr>
      <w:permStart w:id="219" w:edGrp="everyone"/>
      <w:r>
        <w:t>We agree with ISDA, AFME and GFMA on this point.</w:t>
      </w:r>
    </w:p>
    <w:permEnd w:id="219"/>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lastRenderedPageBreak/>
        <w:t>&lt;ESMA_QUESTION_CP_MIFID_211&gt;</w:t>
      </w:r>
    </w:p>
    <w:p w:rsidR="008D29B8" w:rsidRPr="008D29B8" w:rsidRDefault="00D87C08" w:rsidP="008D29B8">
      <w:pPr>
        <w:keepNext/>
        <w:rPr>
          <w:color w:val="FF0000"/>
        </w:rPr>
      </w:pPr>
      <w:permStart w:id="220" w:edGrp="everyone"/>
      <w:r>
        <w:t>We agree with ISDA, AFME and GFMA on this point.</w:t>
      </w:r>
    </w:p>
    <w:permEnd w:id="220"/>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8D29B8" w:rsidRPr="008D29B8" w:rsidRDefault="00D87C08" w:rsidP="008D29B8">
      <w:pPr>
        <w:keepNext/>
        <w:rPr>
          <w:color w:val="FF0000"/>
        </w:rPr>
      </w:pPr>
      <w:permStart w:id="221" w:edGrp="everyone"/>
      <w:r>
        <w:t>We agree with ISDA, AFME and GFMA on this point.</w:t>
      </w:r>
    </w:p>
    <w:permEnd w:id="221"/>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9B2093" w:rsidRPr="009B2093" w:rsidRDefault="00D87C08" w:rsidP="00EC2C93">
      <w:pPr>
        <w:keepNext/>
        <w:rPr>
          <w:color w:val="FF0000"/>
        </w:rPr>
      </w:pPr>
      <w:permStart w:id="222" w:edGrp="everyone"/>
      <w:r>
        <w:t>We agree with the BBA on this point.</w:t>
      </w:r>
    </w:p>
    <w:permEnd w:id="222"/>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9B2093" w:rsidRDefault="009B2093" w:rsidP="00751D97">
      <w:permStart w:id="223" w:edGrp="everyone"/>
      <w:r w:rsidRPr="00E009EA">
        <w:t xml:space="preserve">We agree with </w:t>
      </w:r>
      <w:r w:rsidR="005D0F0F">
        <w:t>the BBA</w:t>
      </w:r>
      <w:r w:rsidRPr="00E009EA">
        <w:t xml:space="preserve">'s response, and would like to make the following additional comments: </w:t>
      </w:r>
    </w:p>
    <w:p w:rsidR="00751D97" w:rsidRPr="00E009EA" w:rsidRDefault="00751D97" w:rsidP="00751D97"/>
    <w:p w:rsidR="009B2093" w:rsidRPr="00E009EA" w:rsidRDefault="009B2093" w:rsidP="00751D97">
      <w:pPr>
        <w:rPr>
          <w:b/>
        </w:rPr>
      </w:pPr>
      <w:r w:rsidRPr="00E009EA">
        <w:rPr>
          <w:b/>
        </w:rPr>
        <w:t>Corporate actions</w:t>
      </w:r>
    </w:p>
    <w:p w:rsidR="009B2093" w:rsidRDefault="009B2093" w:rsidP="00751D97">
      <w:r w:rsidRPr="00E009EA">
        <w:t xml:space="preserve">With further reference to RTS 32, Chapter II, Article 3.3(g), we support the exclusion of Mandatory Corporate Action events from the transaction reporting obligation. We seek clarity, however, on the correct treatment of Voluntary Corporate Actions on debt instruments, and Voluntary Equity Corporate Actions such as rights issues subscriptions and tender offers. </w:t>
      </w:r>
    </w:p>
    <w:p w:rsidR="00751D97" w:rsidRPr="00E009EA" w:rsidRDefault="00751D97" w:rsidP="00751D97"/>
    <w:p w:rsidR="009B2093" w:rsidRPr="00E009EA" w:rsidRDefault="009B2093" w:rsidP="00751D97">
      <w:pPr>
        <w:rPr>
          <w:b/>
        </w:rPr>
      </w:pPr>
      <w:r w:rsidRPr="00E009EA">
        <w:rPr>
          <w:b/>
        </w:rPr>
        <w:t>In-specie transfers</w:t>
      </w:r>
    </w:p>
    <w:p w:rsidR="009B2093" w:rsidRPr="00E009EA" w:rsidRDefault="009B2093" w:rsidP="00751D97">
      <w:r w:rsidRPr="00E009EA">
        <w:t>ESMA clarifies in CP section 8.2.22.vi that a ‘transaction’ includes “</w:t>
      </w:r>
      <w:r w:rsidRPr="00E009EA">
        <w:rPr>
          <w:i/>
        </w:rPr>
        <w:t>in specie transfers where there is a change in beneficial ownership, gifts and transfers of title</w:t>
      </w:r>
      <w:r w:rsidRPr="00E009EA">
        <w:t xml:space="preserve">”. We feel that this term is not sufficiently well-defined and may be interpreted to include a number of problematic scenarios, such as the settlement of wills. </w:t>
      </w:r>
    </w:p>
    <w:p w:rsidR="009B2093" w:rsidRPr="00E009EA" w:rsidRDefault="009B2093" w:rsidP="00751D97">
      <w:r w:rsidRPr="00E009EA">
        <w:t>The resolution of the wills is typically performed as a series of steps, before assets are transferred to any ultimate beneficiaries. This raises a number of potential issues for transaction reporting; for example, would the firm be required to report a transfer of stock into trust under the will, and would the firm then be required to report the transfer of the stock from trust to the beneficiary? Assuming the answer is yes to each of these questions, would the ‘decision maker’ be the deceased, the executor of the will, or the firm transferring the stock?</w:t>
      </w:r>
    </w:p>
    <w:p w:rsidR="009B2093" w:rsidRPr="00E009EA" w:rsidRDefault="009B2093" w:rsidP="00751D97">
      <w:r w:rsidRPr="00E009EA">
        <w:t xml:space="preserve">A further issue is that for in-specie transfers, the concept of ‘execution’ – which is a fundamental concept for the </w:t>
      </w:r>
      <w:r w:rsidR="003764C0" w:rsidRPr="00E009EA">
        <w:t>purposes of</w:t>
      </w:r>
      <w:r w:rsidRPr="00E009EA">
        <w:t xml:space="preserve"> transaction reporting – is less clear than for many other types of transaction. We illustrate this with a simple example: </w:t>
      </w:r>
    </w:p>
    <w:p w:rsidR="009B2093" w:rsidRPr="00E009EA" w:rsidRDefault="009B2093" w:rsidP="00751D97">
      <w:r w:rsidRPr="00E009EA">
        <w:t xml:space="preserve">The transfer of stock from ‘Client A’, with an account at ‘Broker A’, to the account of ‘Client B’, held at ‘Broker B’, is made up of various steps. ‘Client A’ instructs ‘Broker A’ to make the transfer of stock, whilst ‘Client B’ instructs ‘Broker B’ to take receipt of the transfer. The two brokers then engage to ensure the transfer of the stock. In this scenario, what would be considered the time of execution? This could be the date on which the Brokers receive the clients’ instructions, but this may be different for each client. Since this will be a period of time before the transfer occurs (often ~10 days), the transaction report would be required before either broker would have the necessary information to complete it. The only way this </w:t>
      </w:r>
      <w:r w:rsidRPr="00E009EA">
        <w:lastRenderedPageBreak/>
        <w:t>could function would be if brokers dramatically reduce the timescales of stock transfer procedures, which we do not believe is the intention, nor remit, of this regulation.</w:t>
      </w:r>
    </w:p>
    <w:p w:rsidR="009B2093" w:rsidRPr="00E009EA" w:rsidRDefault="009B2093" w:rsidP="00751D97">
      <w:r w:rsidRPr="00E009EA">
        <w:t>The examples outlined above highlight the differing characteristics of in-specie transfers when compared to the traditional purchase or sale of securities. We are not averse to in-specie transfers being brought into scope of transaction reporting, but believe that more detailed scenario analysis must be undertaken to ensure a consistent and practicable solution. We request that ESMA consider these issues when preparing specific templates and guidelines.</w:t>
      </w:r>
    </w:p>
    <w:permEnd w:id="223"/>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9B2093" w:rsidRDefault="009B2093" w:rsidP="00751D97">
      <w:permStart w:id="224" w:edGrp="everyone"/>
      <w:r w:rsidRPr="00E009EA">
        <w:t xml:space="preserve">We agree with </w:t>
      </w:r>
      <w:r w:rsidR="005D0F0F">
        <w:t>the BBA</w:t>
      </w:r>
      <w:r w:rsidRPr="00E009EA">
        <w:t xml:space="preserve">'s response, and would like to make the following additional comments: </w:t>
      </w:r>
    </w:p>
    <w:p w:rsidR="00751D97" w:rsidRPr="00E009EA" w:rsidRDefault="00751D97" w:rsidP="00751D97"/>
    <w:p w:rsidR="009B2093" w:rsidRPr="00E009EA" w:rsidRDefault="009B2093" w:rsidP="00751D97">
      <w:pPr>
        <w:rPr>
          <w:b/>
        </w:rPr>
      </w:pPr>
      <w:r w:rsidRPr="00E009EA">
        <w:rPr>
          <w:b/>
        </w:rPr>
        <w:t>Variable notional contracts</w:t>
      </w:r>
    </w:p>
    <w:p w:rsidR="009B2093" w:rsidRPr="00E009EA" w:rsidRDefault="009B2093" w:rsidP="00751D97">
      <w:r w:rsidRPr="00E009EA">
        <w:t>ESMA clarifies in CP section 8.2.22.i that a ‘transaction’ for the purposes of the reporting obligation includes “</w:t>
      </w:r>
      <w:r w:rsidRPr="00E009EA">
        <w:rPr>
          <w:i/>
        </w:rPr>
        <w:t>any decrease or increase in notional before the expiry date of a reportable financial instrument</w:t>
      </w:r>
      <w:r w:rsidRPr="00E009EA">
        <w:t xml:space="preserve">”. Whilst we support the requirement to report negotiated amendments to the notional value of an existing contract between two counterparties, we would like to draw ESMA’s attention to certain types of trade in which changes to the notional value are intrinsic to the terms of the contract. Such contracts would include, but not necessarily be limited to, amortising, accreting and rollercoaster swaps, in which the notional principal declines, increases or fluctuates, respectively, throughout the lifetime of the trade. Whilst such changes to notional value may either be predictable or unpredictable, dependent on the specific terms of the contract and to what factors or underlying rate the notional variation is tied, we do not view such changes as relevant to potential market abuse and propose that they should therefore be excluded. </w:t>
      </w:r>
    </w:p>
    <w:p w:rsidR="009B2093" w:rsidRPr="00E009EA" w:rsidRDefault="009B2093" w:rsidP="00751D97">
      <w:r w:rsidRPr="00E009EA">
        <w:t>We propose the addition of the below item under RTS 32, Chapter II, Article 3.3 (“</w:t>
      </w:r>
      <w:r w:rsidRPr="00E009EA">
        <w:rPr>
          <w:i/>
        </w:rPr>
        <w:t xml:space="preserve">For the purpose of Article 26 of Regulation (EU) 600/2014, the term ‘transaction’ shall not </w:t>
      </w:r>
      <w:proofErr w:type="gramStart"/>
      <w:r w:rsidRPr="00E009EA">
        <w:rPr>
          <w:i/>
        </w:rPr>
        <w:t>include:</w:t>
      </w:r>
      <w:proofErr w:type="gramEnd"/>
      <w:r w:rsidRPr="00E009EA">
        <w:t>”)</w:t>
      </w:r>
    </w:p>
    <w:p w:rsidR="009B2093" w:rsidRPr="00E009EA" w:rsidRDefault="009B2093" w:rsidP="00751D97">
      <w:r w:rsidRPr="00E009EA">
        <w:t>“</w:t>
      </w:r>
      <w:r w:rsidRPr="00E009EA">
        <w:rPr>
          <w:i/>
        </w:rPr>
        <w:t>Any decrease or increase in notional of a financial instrument as a result of pre-determined contractual terms or mandatory events where no investment decision takes place at that point in time, including but not limited to amortising, accreting and rollercoaster swaps.</w:t>
      </w:r>
      <w:r w:rsidRPr="00E009EA">
        <w:t>”</w:t>
      </w:r>
    </w:p>
    <w:p w:rsidR="009B2093" w:rsidRPr="00E009EA" w:rsidRDefault="009B2093" w:rsidP="00751D97">
      <w:r w:rsidRPr="00E009EA">
        <w:t xml:space="preserve">On the same grounds, we suggest the recognition of creation events in the lifecycle of certain option contracts, such as knock-ins and knock-outs, which are also neither the product of an investment decision at that point in time nor are relevant to potential market abuse. We therefore propose the text of RTS 32, Chapter II, </w:t>
      </w:r>
      <w:proofErr w:type="gramStart"/>
      <w:r w:rsidRPr="00E009EA">
        <w:t>Article</w:t>
      </w:r>
      <w:proofErr w:type="gramEnd"/>
      <w:r w:rsidRPr="00E009EA">
        <w:t xml:space="preserve"> 3.3(g) be amended to read:</w:t>
      </w:r>
    </w:p>
    <w:p w:rsidR="009B2093" w:rsidRDefault="009B2093" w:rsidP="00751D97">
      <w:r w:rsidRPr="00E009EA">
        <w:t>“</w:t>
      </w:r>
      <w:r w:rsidRPr="00E009EA">
        <w:rPr>
          <w:i/>
        </w:rPr>
        <w:t>(g) Creation, expiration or redemptions of financial instruments as a result of pre-determined contractual terms or mandatory events where no investment decision takes place at that point in time, including</w:t>
      </w:r>
      <w:r w:rsidRPr="00E009EA">
        <w:rPr>
          <w:i/>
          <w:u w:val="single"/>
        </w:rPr>
        <w:t>, but not limited to,</w:t>
      </w:r>
      <w:r w:rsidRPr="00E009EA">
        <w:rPr>
          <w:i/>
        </w:rPr>
        <w:t xml:space="preserve"> mergers, takeovers, bankruptcy, stock splits or reverse stock splits</w:t>
      </w:r>
      <w:r w:rsidRPr="00E009EA">
        <w:rPr>
          <w:i/>
          <w:u w:val="single"/>
        </w:rPr>
        <w:t>, or knock-in or knock-out options</w:t>
      </w:r>
      <w:r w:rsidRPr="00E009EA">
        <w:rPr>
          <w:i/>
        </w:rPr>
        <w:t>);</w:t>
      </w:r>
      <w:r w:rsidRPr="00E009EA">
        <w:t>”</w:t>
      </w:r>
    </w:p>
    <w:p w:rsidR="00751D97" w:rsidRPr="00E009EA" w:rsidRDefault="00751D97" w:rsidP="00751D97"/>
    <w:p w:rsidR="009B2093" w:rsidRPr="00E009EA" w:rsidRDefault="009B2093" w:rsidP="00751D97">
      <w:pPr>
        <w:rPr>
          <w:b/>
        </w:rPr>
      </w:pPr>
      <w:r w:rsidRPr="00E009EA">
        <w:rPr>
          <w:b/>
        </w:rPr>
        <w:t>Compressions</w:t>
      </w:r>
    </w:p>
    <w:p w:rsidR="009B2093" w:rsidRPr="00E009EA" w:rsidRDefault="009B2093" w:rsidP="00751D97">
      <w:r w:rsidRPr="00E009EA">
        <w:t xml:space="preserve">We understand that the definition of ‘compression’, as referred to in RTS 32, Chapter II, Article 3.3(d), and defined in MiFIR Article 2.1.47, includes similar netting processes, </w:t>
      </w:r>
      <w:r w:rsidRPr="00E009EA">
        <w:lastRenderedPageBreak/>
        <w:t xml:space="preserve">undertaken for equivalent purposes, but outside of automated compression cycles. We would welcome clarity on this point. </w:t>
      </w:r>
    </w:p>
    <w:permEnd w:id="224"/>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9B2093" w:rsidRDefault="009B2093" w:rsidP="00751D97">
      <w:permStart w:id="225" w:edGrp="everyone"/>
      <w:r w:rsidRPr="00E009EA">
        <w:t>We are generally supportive of the approach, whilst recognising the difficulties outlined by ESMA in the CP, and agree with the responses of the BBA and ISDA. Notwithstanding this, we would like to draw ESMA’s attention to the following two areas of concern:</w:t>
      </w:r>
    </w:p>
    <w:p w:rsidR="00751D97" w:rsidRPr="00E009EA" w:rsidRDefault="00751D97" w:rsidP="00751D97"/>
    <w:p w:rsidR="009B2093" w:rsidRPr="00E009EA" w:rsidRDefault="009B2093" w:rsidP="00751D97">
      <w:pPr>
        <w:rPr>
          <w:b/>
        </w:rPr>
      </w:pPr>
      <w:r w:rsidRPr="00E009EA">
        <w:rPr>
          <w:b/>
        </w:rPr>
        <w:t>Short selling flag</w:t>
      </w:r>
    </w:p>
    <w:p w:rsidR="009B2093" w:rsidRPr="00E009EA" w:rsidRDefault="009B2093" w:rsidP="00751D97">
      <w:r w:rsidRPr="00E009EA">
        <w:t>As outlined in RTS 32, Chapter II, Article 10, reporting firms are required to identify a short sale. Barclays welcome the clarity provided in Section 8.2, paragraph 42, of the Consultation Paper that receiving firms will rely on a transmitting firm’s provision of short sale flags from the order placer, with the obligation on the receiver limited to validating only obvious errors.</w:t>
      </w:r>
    </w:p>
    <w:p w:rsidR="009B2093" w:rsidRDefault="009B2093" w:rsidP="00751D97">
      <w:r w:rsidRPr="00E009EA">
        <w:t xml:space="preserve">We seek clarity on the treatment of ‘package trades’, whereby a firm may receive only a subset of the trades from a package that collectively results in a short position. </w:t>
      </w:r>
    </w:p>
    <w:p w:rsidR="00751D97" w:rsidRPr="00E009EA" w:rsidRDefault="00751D97" w:rsidP="00751D97"/>
    <w:p w:rsidR="009B2093" w:rsidRPr="00E009EA" w:rsidRDefault="009B2093" w:rsidP="00751D97">
      <w:pPr>
        <w:pStyle w:val="ListParagraph"/>
      </w:pPr>
      <w:r w:rsidRPr="00E009EA">
        <w:t xml:space="preserve">Should any trade that is part of such a package or structure be reported as short (i.e. in respect of the net position of the package or structure); </w:t>
      </w:r>
    </w:p>
    <w:p w:rsidR="009B2093" w:rsidRPr="00E009EA" w:rsidRDefault="009B2093" w:rsidP="00751D97">
      <w:pPr>
        <w:pStyle w:val="ListParagraph"/>
      </w:pPr>
      <w:r w:rsidRPr="00E009EA">
        <w:t xml:space="preserve">Or should the short selling indication be only in respect of the individual trade (i.e. in respect of the gross position of the package or structure)?  </w:t>
      </w:r>
    </w:p>
    <w:p w:rsidR="009B2093" w:rsidRPr="00E009EA" w:rsidRDefault="009B2093" w:rsidP="00751D97">
      <w:pPr>
        <w:rPr>
          <w:b/>
        </w:rPr>
      </w:pPr>
      <w:r w:rsidRPr="00E009EA">
        <w:rPr>
          <w:b/>
        </w:rPr>
        <w:t xml:space="preserve">Data privacy </w:t>
      </w:r>
    </w:p>
    <w:p w:rsidR="009B2093" w:rsidRPr="00E009EA" w:rsidRDefault="009B2093" w:rsidP="00751D97">
      <w:r w:rsidRPr="00E009EA">
        <w:t xml:space="preserve">As outlined in RTS 32, Section III, Article 6 and Annex I, Table 1, ‘natural persons’, or ‘non-legal entities’, must be identified using personal data including address, passport number and date of birth. We anticipate that obtaining such information may present difficulties when dealing with non-EEA clients originating from jurisdictions with data privacy laws that conflict with these requirements, and seek ESMA’s guidance on how such circumstances should be addressed in transaction reports. </w:t>
      </w:r>
      <w:proofErr w:type="gramStart"/>
      <w:r w:rsidRPr="00E009EA">
        <w:t>Without such clarity, these requirements risk generating a barrier to entry to European markets for non-EEA persons.</w:t>
      </w:r>
      <w:proofErr w:type="gramEnd"/>
      <w:r w:rsidRPr="00E009EA">
        <w:t xml:space="preserve"> </w:t>
      </w:r>
    </w:p>
    <w:permEnd w:id="225"/>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9B2093" w:rsidRPr="009B2093" w:rsidRDefault="00E009EA" w:rsidP="00EC2C93">
      <w:pPr>
        <w:keepNext/>
        <w:rPr>
          <w:color w:val="FF0000"/>
        </w:rPr>
      </w:pPr>
      <w:permStart w:id="226" w:edGrp="everyone"/>
      <w:r w:rsidRPr="00E009EA">
        <w:t xml:space="preserve">We agree with the BBA and ISDA on this point </w:t>
      </w:r>
    </w:p>
    <w:permEnd w:id="226"/>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9B2093" w:rsidRPr="00E009EA" w:rsidRDefault="009B2093" w:rsidP="009B2093">
      <w:permStart w:id="227" w:edGrp="everyone"/>
      <w:r w:rsidRPr="00E009EA">
        <w:t xml:space="preserve">We agree with the BBA and ISDA responses, and would like to make the following additional comments:  </w:t>
      </w:r>
    </w:p>
    <w:p w:rsidR="009B2093" w:rsidRPr="00E009EA" w:rsidRDefault="009B2093" w:rsidP="00751D97">
      <w:pPr>
        <w:ind w:left="1418" w:hanging="1418"/>
      </w:pPr>
      <w:r w:rsidRPr="00E009EA">
        <w:rPr>
          <w:b/>
        </w:rPr>
        <w:t>Fields 53/54 –</w:t>
      </w:r>
      <w:r w:rsidRPr="00E009EA">
        <w:tab/>
        <w:t>We seek clarity on how these fields apply to OTC derivatives, for which ISIN/AII are not appropriate.</w:t>
      </w:r>
    </w:p>
    <w:p w:rsidR="009B2093" w:rsidRPr="00E009EA" w:rsidRDefault="009B2093" w:rsidP="00751D97">
      <w:pPr>
        <w:ind w:left="1418" w:hanging="1418"/>
      </w:pPr>
      <w:r w:rsidRPr="00E009EA">
        <w:lastRenderedPageBreak/>
        <w:t xml:space="preserve"> </w:t>
      </w:r>
      <w:r w:rsidRPr="00E009EA">
        <w:rPr>
          <w:b/>
        </w:rPr>
        <w:t>Field 55 –</w:t>
      </w:r>
      <w:r w:rsidRPr="00E009EA">
        <w:tab/>
        <w:t>We strongly advocate harmonization with the EMIR application of the Unique Product Identifier (UPI) taxonomy. We recognise large-scale implementation concerns for CFI codes, as these are not currently available for, nor relevant to, OTC contracts.</w:t>
      </w:r>
    </w:p>
    <w:p w:rsidR="009B2093" w:rsidRPr="00E009EA" w:rsidRDefault="009B2093" w:rsidP="00751D97">
      <w:pPr>
        <w:ind w:left="1418" w:hanging="1418"/>
      </w:pPr>
      <w:r w:rsidRPr="00E009EA">
        <w:rPr>
          <w:b/>
        </w:rPr>
        <w:t>Field 57 –</w:t>
      </w:r>
      <w:r w:rsidRPr="00E009EA">
        <w:rPr>
          <w:b/>
        </w:rPr>
        <w:tab/>
      </w:r>
      <w:r w:rsidRPr="00E009EA">
        <w:t xml:space="preserve">This field does not allow for multiple </w:t>
      </w:r>
      <w:proofErr w:type="spellStart"/>
      <w:r w:rsidRPr="00E009EA">
        <w:t>underlier</w:t>
      </w:r>
      <w:proofErr w:type="spellEnd"/>
      <w:r w:rsidRPr="00E009EA">
        <w:t xml:space="preserve"> types, which may be required when reporting certain baskets or indices. We request that this field be aligned to Field 58, which requests “</w:t>
      </w:r>
      <w:r w:rsidRPr="00E009EA">
        <w:rPr>
          <w:i/>
        </w:rPr>
        <w:t>all the identifying code [sic] for each constituent of the basket</w:t>
      </w:r>
      <w:r w:rsidRPr="00E009EA">
        <w:t>”</w:t>
      </w:r>
    </w:p>
    <w:p w:rsidR="00577C33" w:rsidRDefault="00577C33" w:rsidP="00EC2C93">
      <w:pPr>
        <w:keepNext/>
      </w:pPr>
    </w:p>
    <w:permEnd w:id="227"/>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9B2093" w:rsidRDefault="00E009EA" w:rsidP="00EC2C93">
      <w:pPr>
        <w:keepNext/>
        <w:rPr>
          <w:color w:val="002060"/>
        </w:rPr>
      </w:pPr>
      <w:permStart w:id="228" w:edGrp="everyone"/>
      <w:r w:rsidRPr="00E009EA">
        <w:t>We agree with the BBA and ISDA on this point.</w:t>
      </w:r>
    </w:p>
    <w:permEnd w:id="228"/>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t>&lt;ESMA_QUESTION_CP_MIFID_220&gt;</w:t>
      </w:r>
    </w:p>
    <w:p w:rsidR="009B2093" w:rsidRDefault="00E009EA" w:rsidP="009B2093">
      <w:pPr>
        <w:keepNext/>
        <w:rPr>
          <w:color w:val="002060"/>
        </w:rPr>
      </w:pPr>
      <w:permStart w:id="229" w:edGrp="everyone"/>
      <w:r w:rsidRPr="00E009EA">
        <w:t>We agree with the BBA and ISDA on this point.</w:t>
      </w:r>
    </w:p>
    <w:permEnd w:id="229"/>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E11E87" w:rsidP="00EC2C93">
      <w:pPr>
        <w:keepNext/>
      </w:pPr>
      <w:permStart w:id="230" w:edGrp="everyone"/>
      <w:r w:rsidRPr="00E009EA">
        <w:t>We agree with the BBA and ISDA responses. Whilst we recognise some variation in the approaches proposed by the two Associations, we have no objections to either</w:t>
      </w:r>
      <w:r>
        <w:t xml:space="preserve"> </w:t>
      </w:r>
      <w:permEnd w:id="230"/>
      <w:r w:rsidR="00577C33">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E11E87" w:rsidRDefault="00E009EA" w:rsidP="00E11E87">
      <w:pPr>
        <w:keepNext/>
        <w:rPr>
          <w:color w:val="002060"/>
        </w:rPr>
      </w:pPr>
      <w:permStart w:id="231" w:edGrp="everyone"/>
      <w:r w:rsidRPr="00E009EA">
        <w:t>We agree with the BBA and ISDA on this point.</w:t>
      </w:r>
    </w:p>
    <w:permEnd w:id="231"/>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E11E87" w:rsidRPr="00E009EA" w:rsidRDefault="00E11E87" w:rsidP="00EC2C93">
      <w:pPr>
        <w:keepNext/>
      </w:pPr>
      <w:permStart w:id="232" w:edGrp="everyone"/>
      <w:r w:rsidRPr="00E009EA">
        <w:t>We agree with the BBA’s response. Barclays would welcome clarity from ESMA on the correct population of trader ID fields in circumstances where a branch has no trader, but instead has a local sales person who manages the client relationship and records the order</w:t>
      </w:r>
    </w:p>
    <w:permEnd w:id="232"/>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E11E87" w:rsidRPr="00E009EA" w:rsidRDefault="00E11E87" w:rsidP="00F3633E">
      <w:permStart w:id="233" w:edGrp="everyone"/>
      <w:r w:rsidRPr="00E009EA">
        <w:t>We agree with BBA's response, and would like to make the following additional comments:</w:t>
      </w:r>
    </w:p>
    <w:p w:rsidR="00E11E87" w:rsidRPr="00E009EA" w:rsidRDefault="00E11E87" w:rsidP="00F3633E">
      <w:pPr>
        <w:ind w:left="709"/>
      </w:pPr>
      <w:r w:rsidRPr="00E009EA">
        <w:lastRenderedPageBreak/>
        <w:t xml:space="preserve">Barclays have concerns in respect to the hierarchy used for identification of Natural Persons. The proposed approach to identifying natural persons has various practical barriers: </w:t>
      </w:r>
    </w:p>
    <w:p w:rsidR="00E11E87" w:rsidRPr="00E009EA" w:rsidRDefault="00E11E87" w:rsidP="00F3633E">
      <w:pPr>
        <w:ind w:left="709"/>
      </w:pPr>
      <w:r w:rsidRPr="00E009EA">
        <w:t xml:space="preserve">Firstly, the propose Article 6 requires firms to identify clients using a variety of different identifiers “where obtainable”, including passport numbers, national insurance numbers, national ID numbers and so on. </w:t>
      </w:r>
    </w:p>
    <w:p w:rsidR="00E11E87" w:rsidRPr="00E009EA" w:rsidRDefault="00E11E87" w:rsidP="00F3633E">
      <w:pPr>
        <w:ind w:left="709"/>
      </w:pPr>
      <w:r w:rsidRPr="00E009EA">
        <w:t xml:space="preserve">Our concern with this requirement is that firms have no ability to validate whether a client has, or is entitled to have, a particular identifier. As such, it is important that ESMA make clear that firms are only required to provide these identifiers if the client has provided them to the firm in the normal course of business. If there are additional obligations in terms of firms requesting or requiring particular identifiers in order to be able to open accounts for clients, this should be made clear. </w:t>
      </w:r>
    </w:p>
    <w:p w:rsidR="00E11E87" w:rsidRPr="00E009EA" w:rsidRDefault="00E11E87" w:rsidP="00F3633E">
      <w:pPr>
        <w:ind w:left="709"/>
      </w:pPr>
      <w:r w:rsidRPr="00E009EA">
        <w:t>Secondly, Article 6 requires that firms adopt a hierarchical approach to selecting an identifier, with the first stage of the decision tree based on nationality. This is problematic because:</w:t>
      </w:r>
    </w:p>
    <w:p w:rsidR="00E11E87" w:rsidRPr="00E009EA" w:rsidRDefault="00E11E87" w:rsidP="00751D97">
      <w:pPr>
        <w:pStyle w:val="ListParagraph"/>
      </w:pPr>
      <w:r w:rsidRPr="00E009EA">
        <w:t xml:space="preserve">To the best of our knowledge, there is no single, consistent, EU-wide definition of </w:t>
      </w:r>
      <w:proofErr w:type="gramStart"/>
      <w:r w:rsidRPr="00E009EA">
        <w:t>‘nationality’(</w:t>
      </w:r>
      <w:proofErr w:type="gramEnd"/>
      <w:r w:rsidRPr="00E009EA">
        <w:t>for example, does it refer to: passport held; residency; country of birth; self-identified status; any of the above).</w:t>
      </w:r>
    </w:p>
    <w:p w:rsidR="00E11E87" w:rsidRPr="00E009EA" w:rsidRDefault="00E11E87" w:rsidP="00751D97">
      <w:pPr>
        <w:pStyle w:val="ListParagraph"/>
      </w:pPr>
      <w:r w:rsidRPr="00E009EA">
        <w:t xml:space="preserve">However nationality is defined, firms are under no current requirement to validate nationality, except perhaps where conflicting information is held. Firms can only rely on the information which clients provide, whether that </w:t>
      </w:r>
      <w:proofErr w:type="gramStart"/>
      <w:r w:rsidRPr="00E009EA">
        <w:t>be</w:t>
      </w:r>
      <w:proofErr w:type="gramEnd"/>
      <w:r w:rsidRPr="00E009EA">
        <w:t xml:space="preserve"> a passport copy; a mailing address; etc. In fact, firms are not currently obliged to capture clients’ nationalities at all, except where we are required to specifically identify certain nationalities for sanctions purposes (e.g. Cuban nationals). In fact, the Joint Money Laundering Steering Group (which provides practical assistance in interpreting UK Money Laundering Regulations) provides Guidance on Characteristics and evidence of identity (paragraph 5.3.26 of the Guidance), which makes no reference to nationality in reference to the aspects of an individual’s identity.</w:t>
      </w:r>
    </w:p>
    <w:p w:rsidR="00E11E87" w:rsidRPr="00E009EA" w:rsidRDefault="00E11E87" w:rsidP="00751D97">
      <w:pPr>
        <w:pStyle w:val="ListParagraph"/>
      </w:pPr>
      <w:r w:rsidRPr="00E009EA">
        <w:t>Identifiers used will potentially be less useful to regulators than if there was no dependency on nationality. For example if a firm reports a client trade who has identified his nationality as French-British, but who only provided the firm with a British passport, this would be reported using a concatenated identifier generated by the firm, rather than the British passport number. Common sense would indicate that the British passport would be a better identifier of that client, but the current hierarchy places French nationality above British.</w:t>
      </w:r>
    </w:p>
    <w:p w:rsidR="00E11E87" w:rsidRPr="00E009EA" w:rsidRDefault="00E11E87" w:rsidP="00F3633E">
      <w:pPr>
        <w:ind w:left="709"/>
      </w:pPr>
      <w:r w:rsidRPr="00E009EA">
        <w:t>So, in summary, we do not believe the proposed hierarchy approach is beneficial to regulators in identifying market abuse. However, we believe it will introduce significant unnecessary complexity and costs for firms, as well as disruption for clients.</w:t>
      </w:r>
    </w:p>
    <w:p w:rsidR="00E11E87" w:rsidRPr="00E009EA" w:rsidRDefault="00E11E87" w:rsidP="00F3633E">
      <w:pPr>
        <w:ind w:left="709"/>
      </w:pPr>
      <w:r w:rsidRPr="00E009EA">
        <w:t>Therefore, we would suggest the following alternative approach be adopted:</w:t>
      </w:r>
    </w:p>
    <w:p w:rsidR="00E11E87" w:rsidRPr="00E009EA" w:rsidRDefault="00E11E87" w:rsidP="00751D97">
      <w:pPr>
        <w:pStyle w:val="ListParagraph"/>
      </w:pPr>
      <w:r w:rsidRPr="00E009EA">
        <w:t>Firms should be required to ask natural person clients to provide an eligible identifier, from a list of NCA-determined identifiers.</w:t>
      </w:r>
    </w:p>
    <w:p w:rsidR="00E11E87" w:rsidRPr="00E009EA" w:rsidRDefault="00E11E87" w:rsidP="00751D97">
      <w:pPr>
        <w:pStyle w:val="ListParagraph"/>
      </w:pPr>
      <w:r w:rsidRPr="00E009EA">
        <w:t>If a client provides an eligible identifier, then this is the identifier that the firm should use to identify the client.</w:t>
      </w:r>
    </w:p>
    <w:p w:rsidR="00E11E87" w:rsidRPr="00E009EA" w:rsidRDefault="00E11E87" w:rsidP="00751D97">
      <w:pPr>
        <w:pStyle w:val="ListParagraph"/>
      </w:pPr>
      <w:r w:rsidRPr="00E009EA">
        <w:lastRenderedPageBreak/>
        <w:t>If a client does not provide an eligible identifier then affirms should be permitted to use a concatenated identifier.</w:t>
      </w:r>
    </w:p>
    <w:p w:rsidR="00E11E87" w:rsidRPr="00E009EA" w:rsidRDefault="00E11E87" w:rsidP="00751D97">
      <w:pPr>
        <w:pStyle w:val="ListParagraph"/>
      </w:pPr>
      <w:r w:rsidRPr="00E009EA">
        <w:t xml:space="preserve">If a client provides eligible identifiers from multiple member states, then firms should use the identifier of the NCA of the member state which is first when sorted alphabetically. </w:t>
      </w:r>
    </w:p>
    <w:p w:rsidR="00E11E87" w:rsidRPr="00E009EA" w:rsidRDefault="00E11E87" w:rsidP="00751D97">
      <w:pPr>
        <w:pStyle w:val="ListParagraph"/>
      </w:pPr>
      <w:r w:rsidRPr="00E009EA">
        <w:t>If a client provides multiple eligible identifiers from a single member state, then firms should use the identifier per the priority determined in the table.</w:t>
      </w:r>
    </w:p>
    <w:p w:rsidR="00E11E87" w:rsidRPr="00E009EA" w:rsidRDefault="00E11E87" w:rsidP="00F3633E">
      <w:pPr>
        <w:spacing w:line="240" w:lineRule="auto"/>
        <w:ind w:left="1080"/>
      </w:pPr>
    </w:p>
    <w:p w:rsidR="00577C33" w:rsidRDefault="00E11E87" w:rsidP="00EC2C93">
      <w:pPr>
        <w:keepNext/>
      </w:pPr>
      <w:r w:rsidRPr="00E009EA">
        <w:t>This solution retains the fundamental principles of the current proposals, but avoids the issues caused by the use of ‘nationality’ as a determining factor. It also confirms that firms are only obliged to ask for, not validate the existence of, identifiers. Finally, it ensures that, if a client has provided an identifier of some sort, then it will always be reported, rather than being superseded by a concatenated code as a result of having a different nationality which appears higher in the ISO table, but for which the client does not have an identifier.</w:t>
      </w:r>
      <w:r>
        <w:t xml:space="preserve"> </w:t>
      </w:r>
      <w:permEnd w:id="233"/>
      <w:r w:rsidR="00577C33">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0D5E7B" w:rsidRPr="00F94855" w:rsidRDefault="00D87C08" w:rsidP="00EC2C93">
      <w:pPr>
        <w:keepNext/>
        <w:rPr>
          <w:color w:val="FF0000"/>
        </w:rPr>
      </w:pPr>
      <w:permStart w:id="234" w:edGrp="everyone"/>
      <w:r>
        <w:t>We agree with ISDA on this point</w:t>
      </w:r>
      <w:r w:rsidR="00145155">
        <w:t>.</w:t>
      </w:r>
    </w:p>
    <w:permEnd w:id="234"/>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720BC4" w:rsidRPr="00E009EA" w:rsidRDefault="00720BC4" w:rsidP="00720BC4">
      <w:permStart w:id="235" w:edGrp="everyone"/>
      <w:r w:rsidRPr="00E009EA">
        <w:t>We agree with ISDA’s response, and wish to make the following additional comments:</w:t>
      </w:r>
    </w:p>
    <w:p w:rsidR="00720BC4" w:rsidRPr="00720BC4" w:rsidRDefault="00720BC4" w:rsidP="00720BC4">
      <w:pPr>
        <w:rPr>
          <w:color w:val="FF0000"/>
        </w:rPr>
      </w:pPr>
      <w:r w:rsidRPr="00E009EA">
        <w:t>Barclays seek clarity on how this requirement will apply to orders subject to specific privacy requirements, such as Central Bank trades. Will specific agreements or venue arrangements be in place to ensure the maintenance of required levels of discretion?</w:t>
      </w:r>
    </w:p>
    <w:permEnd w:id="235"/>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D67993" w:rsidRPr="00EC60B7" w:rsidRDefault="00E009EA" w:rsidP="00D67993">
      <w:pPr>
        <w:keepNext/>
        <w:rPr>
          <w:color w:val="FF0000"/>
        </w:rPr>
      </w:pPr>
      <w:permStart w:id="236" w:edGrp="everyone"/>
      <w:r w:rsidRPr="00E009EA">
        <w:t>TYPE YOUR TEXT HERE</w:t>
      </w:r>
    </w:p>
    <w:permEnd w:id="236"/>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t>&lt;ESMA_QUESTION_CP_MIFID_228&gt;</w:t>
      </w:r>
    </w:p>
    <w:p w:rsidR="00577C33" w:rsidRPr="00E009EA" w:rsidRDefault="00D87C08" w:rsidP="00EC2C93">
      <w:pPr>
        <w:keepNext/>
      </w:pPr>
      <w:permStart w:id="237" w:edGrp="everyone"/>
      <w:r>
        <w:t>We agree with ISDA on this point.</w:t>
      </w:r>
    </w:p>
    <w:permEnd w:id="237"/>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lastRenderedPageBreak/>
        <w:t>&lt;ESMA_QUESTION_CP_MIFID_229&gt;</w:t>
      </w:r>
    </w:p>
    <w:p w:rsidR="0097200C" w:rsidRPr="00D81EB0" w:rsidRDefault="00D87C08" w:rsidP="0097200C">
      <w:pPr>
        <w:keepNext/>
        <w:rPr>
          <w:color w:val="FF0000"/>
        </w:rPr>
      </w:pPr>
      <w:permStart w:id="238" w:edGrp="everyone"/>
      <w:r>
        <w:t>We agree with ISDA on this point.</w:t>
      </w:r>
    </w:p>
    <w:permEnd w:id="238"/>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Pr="0097200C" w:rsidRDefault="00D87C08" w:rsidP="00EC2C93">
      <w:pPr>
        <w:keepNext/>
        <w:rPr>
          <w:color w:val="FF0000"/>
        </w:rPr>
      </w:pPr>
      <w:permStart w:id="239" w:edGrp="everyone"/>
      <w:r>
        <w:t>We agree with AFME on this point.</w:t>
      </w:r>
    </w:p>
    <w:permEnd w:id="239"/>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97200C" w:rsidRPr="0097200C" w:rsidRDefault="00E009EA" w:rsidP="0097200C">
      <w:pPr>
        <w:keepNext/>
        <w:rPr>
          <w:color w:val="FF0000"/>
        </w:rPr>
      </w:pPr>
      <w:permStart w:id="240" w:edGrp="everyone"/>
      <w:r w:rsidRPr="00E009EA">
        <w:t>TYPE YOUR TEXT HERE</w:t>
      </w:r>
    </w:p>
    <w:permEnd w:id="240"/>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97200C" w:rsidRPr="0097200C" w:rsidRDefault="00E009EA" w:rsidP="0097200C">
      <w:pPr>
        <w:keepNext/>
        <w:rPr>
          <w:color w:val="FF0000"/>
        </w:rPr>
      </w:pPr>
      <w:permStart w:id="241" w:edGrp="everyone"/>
      <w:r w:rsidRPr="00E009EA">
        <w:t>TYPE YOUR TEXT HERE</w:t>
      </w:r>
    </w:p>
    <w:permEnd w:id="241"/>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Pr="00042644" w:rsidRDefault="00D87C08" w:rsidP="00EC2C93">
      <w:pPr>
        <w:keepNext/>
        <w:rPr>
          <w:color w:val="FF0000"/>
        </w:rPr>
      </w:pPr>
      <w:permStart w:id="242" w:edGrp="everyone"/>
      <w:r>
        <w:t>We agree with AFME on this point.</w:t>
      </w:r>
    </w:p>
    <w:permEnd w:id="242"/>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042644" w:rsidRPr="00042644" w:rsidRDefault="00D87C08" w:rsidP="00042644">
      <w:pPr>
        <w:keepNext/>
        <w:rPr>
          <w:color w:val="FF0000"/>
        </w:rPr>
      </w:pPr>
      <w:permStart w:id="243" w:edGrp="everyone"/>
      <w:r>
        <w:t>We agree with AFME on this point.</w:t>
      </w:r>
    </w:p>
    <w:permEnd w:id="243"/>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t>&lt;ESMA_QUESTION_CP_MIFID_235&gt;</w:t>
      </w:r>
    </w:p>
    <w:p w:rsidR="00587D1A" w:rsidRPr="000A1C08" w:rsidRDefault="00D87C08" w:rsidP="00587D1A">
      <w:pPr>
        <w:keepNext/>
        <w:rPr>
          <w:color w:val="FF0000"/>
        </w:rPr>
      </w:pPr>
      <w:permStart w:id="244" w:edGrp="everyone"/>
      <w:r>
        <w:t>We agree with ISDA on this point.</w:t>
      </w:r>
    </w:p>
    <w:permEnd w:id="244"/>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lastRenderedPageBreak/>
        <w:t>&lt;ESMA_QUESTION_CP_MIFID_236&gt;</w:t>
      </w:r>
    </w:p>
    <w:p w:rsidR="00587D1A" w:rsidRPr="000A1C08" w:rsidRDefault="00D87C08" w:rsidP="00587D1A">
      <w:pPr>
        <w:keepNext/>
        <w:rPr>
          <w:color w:val="FF0000"/>
        </w:rPr>
      </w:pPr>
      <w:permStart w:id="245" w:edGrp="everyone"/>
      <w:r>
        <w:t>We agree with ISDA on this point.</w:t>
      </w:r>
    </w:p>
    <w:permEnd w:id="245"/>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87D1A" w:rsidRPr="000A1C08" w:rsidRDefault="00D87C08" w:rsidP="00587D1A">
      <w:pPr>
        <w:keepNext/>
        <w:rPr>
          <w:color w:val="FF0000"/>
        </w:rPr>
      </w:pPr>
      <w:permStart w:id="246" w:edGrp="everyone"/>
      <w:r>
        <w:t>We agree with ISDA on this point.</w:t>
      </w:r>
    </w:p>
    <w:permEnd w:id="246"/>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87D1A" w:rsidRPr="000A1C08" w:rsidRDefault="00D87C08" w:rsidP="00587D1A">
      <w:pPr>
        <w:keepNext/>
        <w:rPr>
          <w:color w:val="FF0000"/>
        </w:rPr>
      </w:pPr>
      <w:permStart w:id="247" w:edGrp="everyone"/>
      <w:r>
        <w:t>We agree with ISDA on this point.</w:t>
      </w:r>
    </w:p>
    <w:permEnd w:id="247"/>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Pr="00F94855" w:rsidRDefault="00D87C08" w:rsidP="00EC2C93">
      <w:pPr>
        <w:keepNext/>
        <w:rPr>
          <w:color w:val="FF0000"/>
        </w:rPr>
      </w:pPr>
      <w:permStart w:id="248" w:edGrp="everyone"/>
      <w:r>
        <w:t>We agree with ISDA on this point.</w:t>
      </w:r>
    </w:p>
    <w:permEnd w:id="248"/>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F94855" w:rsidRPr="00F94855" w:rsidRDefault="00D87C08" w:rsidP="00F94855">
      <w:pPr>
        <w:keepNext/>
        <w:rPr>
          <w:color w:val="FF0000"/>
        </w:rPr>
      </w:pPr>
      <w:permStart w:id="249" w:edGrp="everyone"/>
      <w:r>
        <w:t>We agree with ISDA on this point.</w:t>
      </w:r>
    </w:p>
    <w:permEnd w:id="249"/>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F94855" w:rsidRPr="00F94855" w:rsidRDefault="00D87C08" w:rsidP="00F94855">
      <w:pPr>
        <w:keepNext/>
        <w:rPr>
          <w:color w:val="FF0000"/>
        </w:rPr>
      </w:pPr>
      <w:permStart w:id="250" w:edGrp="everyone"/>
      <w:r>
        <w:t>We agree with ISDA on this point.</w:t>
      </w:r>
    </w:p>
    <w:permEnd w:id="250"/>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F94855" w:rsidRPr="00F94855" w:rsidRDefault="00D87C08" w:rsidP="00F94855">
      <w:pPr>
        <w:keepNext/>
        <w:rPr>
          <w:color w:val="FF0000"/>
        </w:rPr>
      </w:pPr>
      <w:permStart w:id="251" w:edGrp="everyone"/>
      <w:r>
        <w:t>We agree with ISDA on this point.</w:t>
      </w:r>
    </w:p>
    <w:permEnd w:id="251"/>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F94855" w:rsidRPr="00F94855" w:rsidRDefault="00D87C08" w:rsidP="00F94855">
      <w:pPr>
        <w:keepNext/>
        <w:rPr>
          <w:color w:val="FF0000"/>
        </w:rPr>
      </w:pPr>
      <w:permStart w:id="252" w:edGrp="everyone"/>
      <w:r>
        <w:t>We agree with ISDA on this point.</w:t>
      </w:r>
    </w:p>
    <w:permEnd w:id="252"/>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F94855" w:rsidRPr="00F94855" w:rsidRDefault="00D87C08" w:rsidP="00F94855">
      <w:pPr>
        <w:keepNext/>
        <w:rPr>
          <w:color w:val="FF0000"/>
        </w:rPr>
      </w:pPr>
      <w:permStart w:id="253" w:edGrp="everyone"/>
      <w:r>
        <w:t>We agree with ISDA on this point.</w:t>
      </w:r>
    </w:p>
    <w:permEnd w:id="253"/>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lastRenderedPageBreak/>
        <w:t>&lt;ESMA_QUESTION_CP_MIFID_245&gt;</w:t>
      </w:r>
    </w:p>
    <w:p w:rsidR="00F94855" w:rsidRPr="00F94855" w:rsidRDefault="00D87C08" w:rsidP="00F94855">
      <w:pPr>
        <w:keepNext/>
        <w:rPr>
          <w:color w:val="FF0000"/>
        </w:rPr>
      </w:pPr>
      <w:permStart w:id="254" w:edGrp="everyone"/>
      <w:r>
        <w:t>We agree with ISDA on this point.</w:t>
      </w:r>
    </w:p>
    <w:permEnd w:id="254"/>
    <w:p w:rsidR="00577C33" w:rsidRDefault="00577C33" w:rsidP="00EC2C93">
      <w:pPr>
        <w:keepNext/>
      </w:pPr>
      <w:r>
        <w:t>&lt;ESMA_QUESTION_CP_MIFID_245&gt;</w:t>
      </w:r>
    </w:p>
    <w:p w:rsidR="00577C33" w:rsidRDefault="00577C33" w:rsidP="00EC2C93">
      <w:pPr>
        <w:keepNext/>
      </w:pPr>
    </w:p>
    <w:sectPr w:rsidR="00577C33" w:rsidSect="00192A12">
      <w:headerReference w:type="default" r:id="rId10"/>
      <w:footerReference w:type="default" r:id="rId11"/>
      <w:pgSz w:w="11906" w:h="16838"/>
      <w:pgMar w:top="1702"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7DB" w:rsidRDefault="009C67DB" w:rsidP="007E7997">
      <w:pPr>
        <w:spacing w:line="240" w:lineRule="auto"/>
      </w:pPr>
      <w:r>
        <w:separator/>
      </w:r>
    </w:p>
  </w:endnote>
  <w:endnote w:type="continuationSeparator" w:id="0">
    <w:p w:rsidR="009C67DB" w:rsidRDefault="009C67DB" w:rsidP="007E79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DB" w:rsidRDefault="009C67DB">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814451"/>
      <w:docPartObj>
        <w:docPartGallery w:val="Page Numbers (Bottom of Page)"/>
        <w:docPartUnique/>
      </w:docPartObj>
    </w:sdtPr>
    <w:sdtEndPr>
      <w:rPr>
        <w:noProof/>
      </w:rPr>
    </w:sdtEndPr>
    <w:sdtContent>
      <w:p w:rsidR="009C67DB" w:rsidRDefault="00827E04" w:rsidP="00375BA2">
        <w:pPr>
          <w:pStyle w:val="Footer"/>
          <w:jc w:val="right"/>
        </w:pPr>
        <w:fldSimple w:instr=" PAGE   \* MERGEFORMAT ">
          <w:r w:rsidR="00145155">
            <w:rPr>
              <w:noProof/>
            </w:rPr>
            <w:t>63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7DB" w:rsidRDefault="009C67DB" w:rsidP="007E7997">
      <w:pPr>
        <w:spacing w:line="240" w:lineRule="auto"/>
      </w:pPr>
      <w:r>
        <w:separator/>
      </w:r>
    </w:p>
  </w:footnote>
  <w:footnote w:type="continuationSeparator" w:id="0">
    <w:p w:rsidR="009C67DB" w:rsidRDefault="009C67DB" w:rsidP="007E7997">
      <w:pPr>
        <w:spacing w:line="240" w:lineRule="auto"/>
      </w:pPr>
      <w:r>
        <w:continuationSeparator/>
      </w:r>
    </w:p>
  </w:footnote>
  <w:footnote w:id="1">
    <w:p w:rsidR="009C67DB" w:rsidRPr="00AA7A30" w:rsidRDefault="009C67DB" w:rsidP="000632C2">
      <w:pPr>
        <w:pStyle w:val="FootnoteText"/>
        <w:rPr>
          <w:rFonts w:ascii="Arial" w:hAnsi="Arial" w:cs="Arial"/>
        </w:rPr>
      </w:pPr>
      <w:r w:rsidRPr="00AA7A30">
        <w:rPr>
          <w:rStyle w:val="FootnoteReference"/>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DB" w:rsidRDefault="009C67DB">
    <w:pPr>
      <w:pStyle w:val="Header"/>
    </w:pPr>
    <w:r>
      <w:rPr>
        <w:noProof/>
        <w:lang w:val="en-US"/>
      </w:rPr>
      <w:drawing>
        <wp:anchor distT="0" distB="0" distL="114300" distR="114300" simplePos="0" relativeHeight="251661312" behindDoc="0" locked="0" layoutInCell="1" allowOverlap="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pic:spPr>
              </pic:pic>
            </a:graphicData>
          </a:graphic>
        </wp:anchor>
      </w:drawing>
    </w:r>
    <w:r>
      <w:rPr>
        <w:noProof/>
        <w:lang w:val="en-US"/>
      </w:rPr>
      <w:drawing>
        <wp:anchor distT="0" distB="0" distL="114300" distR="114300" simplePos="0" relativeHeight="251659264" behindDoc="1" locked="0" layoutInCell="1" allowOverlap="1">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7DB" w:rsidRDefault="009C67DB" w:rsidP="00B50534">
    <w:pPr>
      <w:pStyle w:val="Header"/>
      <w:jc w:val="right"/>
      <w:rPr>
        <w:b/>
        <w:color w:val="FF0000"/>
      </w:rPr>
    </w:pPr>
  </w:p>
  <w:p w:rsidR="009C67DB" w:rsidRDefault="00827E04" w:rsidP="00B50534">
    <w:pPr>
      <w:pStyle w:val="Header"/>
      <w:jc w:val="right"/>
      <w:rPr>
        <w:b/>
        <w:color w:val="FF0000"/>
      </w:rPr>
    </w:pPr>
    <w:r w:rsidRPr="00827E04">
      <w:rPr>
        <w:rFonts w:ascii="Arial" w:hAnsi="Arial" w:cs="Arial"/>
        <w:noProof/>
        <w:lang w:eastAsia="en-GB"/>
      </w:rPr>
      <w:pict>
        <v:line id="Line 16" o:spid="_x0000_s4097"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w:r>
  </w:p>
  <w:p w:rsidR="009C67DB" w:rsidRPr="00B50534" w:rsidRDefault="009C67DB" w:rsidP="00B50534">
    <w:pPr>
      <w:pStyle w:val="Header"/>
      <w:jc w:val="right"/>
      <w:rPr>
        <w:b/>
        <w:color w:val="FF0000"/>
      </w:rPr>
    </w:pPr>
    <w:r w:rsidRPr="0038331A">
      <w:rPr>
        <w:b/>
        <w:noProof/>
        <w:color w:val="FF0000"/>
        <w:sz w:val="20"/>
        <w:lang w:val="en-US"/>
      </w:rPr>
      <w:drawing>
        <wp:anchor distT="0" distB="0" distL="114300" distR="114300" simplePos="0" relativeHeight="251668480" behindDoc="0" locked="0" layoutInCell="1" allowOverlap="1">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056C1EC2"/>
    <w:multiLevelType w:val="hybridMultilevel"/>
    <w:tmpl w:val="5AB2EE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650FF7"/>
    <w:multiLevelType w:val="hybridMultilevel"/>
    <w:tmpl w:val="4D3A0ADC"/>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3">
    <w:nsid w:val="0A911951"/>
    <w:multiLevelType w:val="hybridMultilevel"/>
    <w:tmpl w:val="836E8456"/>
    <w:lvl w:ilvl="0" w:tplc="A36E62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6305B2"/>
    <w:multiLevelType w:val="hybridMultilevel"/>
    <w:tmpl w:val="95E4D87C"/>
    <w:lvl w:ilvl="0" w:tplc="320C8068">
      <w:numFmt w:val="bullet"/>
      <w:lvlText w:val="•"/>
      <w:lvlJc w:val="left"/>
      <w:pPr>
        <w:ind w:left="1069" w:hanging="360"/>
      </w:pPr>
      <w:rPr>
        <w:rFonts w:ascii="Calibri" w:eastAsiaTheme="minorHAnsi" w:hAnsi="Calibri"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1F458B2"/>
    <w:multiLevelType w:val="hybridMultilevel"/>
    <w:tmpl w:val="7C88E978"/>
    <w:lvl w:ilvl="0" w:tplc="0E841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DD16DA"/>
    <w:multiLevelType w:val="hybridMultilevel"/>
    <w:tmpl w:val="C94A9942"/>
    <w:lvl w:ilvl="0" w:tplc="C0C60B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38263C55"/>
    <w:multiLevelType w:val="hybridMultilevel"/>
    <w:tmpl w:val="73A640AA"/>
    <w:lvl w:ilvl="0" w:tplc="289C3B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4E2C33E8"/>
    <w:multiLevelType w:val="hybridMultilevel"/>
    <w:tmpl w:val="D6565D70"/>
    <w:lvl w:ilvl="0" w:tplc="46E07A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20C5A23"/>
    <w:multiLevelType w:val="hybridMultilevel"/>
    <w:tmpl w:val="515CBFBC"/>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nsid w:val="537872D2"/>
    <w:multiLevelType w:val="hybridMultilevel"/>
    <w:tmpl w:val="44AAB67C"/>
    <w:lvl w:ilvl="0" w:tplc="2B888C46">
      <w:start w:val="1"/>
      <w:numFmt w:val="lowerRoman"/>
      <w:lvlText w:val="(%1)"/>
      <w:lvlJc w:val="left"/>
      <w:pPr>
        <w:ind w:left="2385" w:hanging="945"/>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FA5A6D"/>
    <w:multiLevelType w:val="hybridMultilevel"/>
    <w:tmpl w:val="8C784834"/>
    <w:lvl w:ilvl="0" w:tplc="79F04D7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nsid w:val="652E5D00"/>
    <w:multiLevelType w:val="hybridMultilevel"/>
    <w:tmpl w:val="8E8031C8"/>
    <w:lvl w:ilvl="0" w:tplc="6ED683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nsid w:val="6B5C77E1"/>
    <w:multiLevelType w:val="hybridMultilevel"/>
    <w:tmpl w:val="9CF27E08"/>
    <w:lvl w:ilvl="0" w:tplc="76D8BA3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AD1101"/>
    <w:multiLevelType w:val="multilevel"/>
    <w:tmpl w:val="073A8B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nsid w:val="6C7E7E60"/>
    <w:multiLevelType w:val="hybridMultilevel"/>
    <w:tmpl w:val="0086517A"/>
    <w:lvl w:ilvl="0" w:tplc="E50A65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1">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993601A"/>
    <w:multiLevelType w:val="hybridMultilevel"/>
    <w:tmpl w:val="7F1487D4"/>
    <w:lvl w:ilvl="0" w:tplc="10B2C79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AFC6141"/>
    <w:multiLevelType w:val="hybridMultilevel"/>
    <w:tmpl w:val="9148FE70"/>
    <w:lvl w:ilvl="0" w:tplc="5F9A3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27"/>
  </w:num>
  <w:num w:numId="4">
    <w:abstractNumId w:val="12"/>
  </w:num>
  <w:num w:numId="5">
    <w:abstractNumId w:val="23"/>
  </w:num>
  <w:num w:numId="6">
    <w:abstractNumId w:val="16"/>
  </w:num>
  <w:num w:numId="7">
    <w:abstractNumId w:val="0"/>
  </w:num>
  <w:num w:numId="8">
    <w:abstractNumId w:val="13"/>
  </w:num>
  <w:num w:numId="9">
    <w:abstractNumId w:val="9"/>
  </w:num>
  <w:num w:numId="10">
    <w:abstractNumId w:val="6"/>
  </w:num>
  <w:num w:numId="11">
    <w:abstractNumId w:val="25"/>
  </w:num>
  <w:num w:numId="12">
    <w:abstractNumId w:val="14"/>
  </w:num>
  <w:num w:numId="13">
    <w:abstractNumId w:val="28"/>
  </w:num>
  <w:num w:numId="14">
    <w:abstractNumId w:val="17"/>
  </w:num>
  <w:num w:numId="15">
    <w:abstractNumId w:val="19"/>
  </w:num>
  <w:num w:numId="16">
    <w:abstractNumId w:val="5"/>
  </w:num>
  <w:num w:numId="17">
    <w:abstractNumId w:val="32"/>
  </w:num>
  <w:num w:numId="18">
    <w:abstractNumId w:val="8"/>
  </w:num>
  <w:num w:numId="19">
    <w:abstractNumId w:val="30"/>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num>
  <w:num w:numId="2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1"/>
  </w:num>
  <w:num w:numId="35">
    <w:abstractNumId w:val="34"/>
  </w:num>
  <w:num w:numId="36">
    <w:abstractNumId w:val="7"/>
  </w:num>
  <w:num w:numId="37">
    <w:abstractNumId w:val="11"/>
  </w:num>
  <w:num w:numId="38">
    <w:abstractNumId w:val="3"/>
  </w:num>
  <w:num w:numId="39">
    <w:abstractNumId w:val="22"/>
  </w:num>
  <w:num w:numId="40">
    <w:abstractNumId w:val="20"/>
  </w:num>
  <w:num w:numId="41">
    <w:abstractNumId w:val="24"/>
  </w:num>
  <w:num w:numId="42">
    <w:abstractNumId w:val="33"/>
  </w:num>
  <w:num w:numId="43">
    <w:abstractNumId w:val="29"/>
  </w:num>
  <w:num w:numId="44">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
  <w:rsids>
    <w:rsidRoot w:val="00C212A5"/>
    <w:rsid w:val="00012D68"/>
    <w:rsid w:val="00015AD9"/>
    <w:rsid w:val="00020300"/>
    <w:rsid w:val="000372BF"/>
    <w:rsid w:val="00042644"/>
    <w:rsid w:val="00044C5A"/>
    <w:rsid w:val="0005509E"/>
    <w:rsid w:val="000632C2"/>
    <w:rsid w:val="0006528D"/>
    <w:rsid w:val="00087A09"/>
    <w:rsid w:val="000932BC"/>
    <w:rsid w:val="00097529"/>
    <w:rsid w:val="000A1C08"/>
    <w:rsid w:val="000A3D10"/>
    <w:rsid w:val="000A4016"/>
    <w:rsid w:val="000B5D3D"/>
    <w:rsid w:val="000C0CE0"/>
    <w:rsid w:val="000D1038"/>
    <w:rsid w:val="000D5E7B"/>
    <w:rsid w:val="000F0E4E"/>
    <w:rsid w:val="00107E23"/>
    <w:rsid w:val="00130EF9"/>
    <w:rsid w:val="001319C7"/>
    <w:rsid w:val="00136584"/>
    <w:rsid w:val="00144AAD"/>
    <w:rsid w:val="00145155"/>
    <w:rsid w:val="00171B1E"/>
    <w:rsid w:val="0017613C"/>
    <w:rsid w:val="00192A12"/>
    <w:rsid w:val="00193D82"/>
    <w:rsid w:val="001B2151"/>
    <w:rsid w:val="001B3CFF"/>
    <w:rsid w:val="001B4996"/>
    <w:rsid w:val="001D1B92"/>
    <w:rsid w:val="001D47A5"/>
    <w:rsid w:val="001E79E5"/>
    <w:rsid w:val="001F3D9D"/>
    <w:rsid w:val="002574D1"/>
    <w:rsid w:val="0027339D"/>
    <w:rsid w:val="00287C8F"/>
    <w:rsid w:val="00296EA1"/>
    <w:rsid w:val="002A735C"/>
    <w:rsid w:val="002E1C11"/>
    <w:rsid w:val="00314117"/>
    <w:rsid w:val="00317EDF"/>
    <w:rsid w:val="003279E7"/>
    <w:rsid w:val="003319D4"/>
    <w:rsid w:val="0033324D"/>
    <w:rsid w:val="003454ED"/>
    <w:rsid w:val="00366D42"/>
    <w:rsid w:val="00375BA2"/>
    <w:rsid w:val="003764C0"/>
    <w:rsid w:val="003800F6"/>
    <w:rsid w:val="0038331A"/>
    <w:rsid w:val="003C4EB5"/>
    <w:rsid w:val="003D3913"/>
    <w:rsid w:val="003E55AB"/>
    <w:rsid w:val="003F39B1"/>
    <w:rsid w:val="00435FE9"/>
    <w:rsid w:val="00445696"/>
    <w:rsid w:val="00455213"/>
    <w:rsid w:val="00484BC5"/>
    <w:rsid w:val="00486D05"/>
    <w:rsid w:val="00487944"/>
    <w:rsid w:val="004B70EF"/>
    <w:rsid w:val="004E6F0A"/>
    <w:rsid w:val="004F03A5"/>
    <w:rsid w:val="00510117"/>
    <w:rsid w:val="00526E5D"/>
    <w:rsid w:val="00543216"/>
    <w:rsid w:val="005525D2"/>
    <w:rsid w:val="00565193"/>
    <w:rsid w:val="0057799E"/>
    <w:rsid w:val="00577C33"/>
    <w:rsid w:val="0058157E"/>
    <w:rsid w:val="00587D1A"/>
    <w:rsid w:val="00594670"/>
    <w:rsid w:val="0059703C"/>
    <w:rsid w:val="005A2AA6"/>
    <w:rsid w:val="005B6B12"/>
    <w:rsid w:val="005B6C94"/>
    <w:rsid w:val="005D0F0F"/>
    <w:rsid w:val="005D2DE7"/>
    <w:rsid w:val="005E7969"/>
    <w:rsid w:val="005F6811"/>
    <w:rsid w:val="0060035F"/>
    <w:rsid w:val="00612E6C"/>
    <w:rsid w:val="0063565E"/>
    <w:rsid w:val="00636E02"/>
    <w:rsid w:val="00642297"/>
    <w:rsid w:val="00644A34"/>
    <w:rsid w:val="00662882"/>
    <w:rsid w:val="00665A7C"/>
    <w:rsid w:val="00671363"/>
    <w:rsid w:val="006A7A10"/>
    <w:rsid w:val="006B0DA4"/>
    <w:rsid w:val="006B1B6B"/>
    <w:rsid w:val="006D48A6"/>
    <w:rsid w:val="006E0797"/>
    <w:rsid w:val="006E51EC"/>
    <w:rsid w:val="006F53E8"/>
    <w:rsid w:val="00706072"/>
    <w:rsid w:val="00720BC4"/>
    <w:rsid w:val="00751D97"/>
    <w:rsid w:val="00754B57"/>
    <w:rsid w:val="0075564F"/>
    <w:rsid w:val="00797E0C"/>
    <w:rsid w:val="007C7AAC"/>
    <w:rsid w:val="007D4246"/>
    <w:rsid w:val="007E7997"/>
    <w:rsid w:val="007F560E"/>
    <w:rsid w:val="00827E04"/>
    <w:rsid w:val="00830C1E"/>
    <w:rsid w:val="00830D00"/>
    <w:rsid w:val="00846692"/>
    <w:rsid w:val="00867DB2"/>
    <w:rsid w:val="00881957"/>
    <w:rsid w:val="0089075A"/>
    <w:rsid w:val="008C767A"/>
    <w:rsid w:val="008D29B8"/>
    <w:rsid w:val="008D5C28"/>
    <w:rsid w:val="009243C8"/>
    <w:rsid w:val="00940EFD"/>
    <w:rsid w:val="009413E7"/>
    <w:rsid w:val="009663D9"/>
    <w:rsid w:val="0097200C"/>
    <w:rsid w:val="0099526D"/>
    <w:rsid w:val="009B2093"/>
    <w:rsid w:val="009C67DB"/>
    <w:rsid w:val="009C7694"/>
    <w:rsid w:val="009D7294"/>
    <w:rsid w:val="009E5107"/>
    <w:rsid w:val="009F2012"/>
    <w:rsid w:val="00A026A4"/>
    <w:rsid w:val="00A116EB"/>
    <w:rsid w:val="00A3457A"/>
    <w:rsid w:val="00A410CC"/>
    <w:rsid w:val="00A42B43"/>
    <w:rsid w:val="00A501F5"/>
    <w:rsid w:val="00A53AF0"/>
    <w:rsid w:val="00A800EF"/>
    <w:rsid w:val="00A91D91"/>
    <w:rsid w:val="00AA054E"/>
    <w:rsid w:val="00AB7542"/>
    <w:rsid w:val="00AC1924"/>
    <w:rsid w:val="00AC79E0"/>
    <w:rsid w:val="00AE4FC7"/>
    <w:rsid w:val="00AE6C93"/>
    <w:rsid w:val="00AE7975"/>
    <w:rsid w:val="00AF3093"/>
    <w:rsid w:val="00AF3B7F"/>
    <w:rsid w:val="00AF7819"/>
    <w:rsid w:val="00B04283"/>
    <w:rsid w:val="00B07CE4"/>
    <w:rsid w:val="00B11730"/>
    <w:rsid w:val="00B15C0B"/>
    <w:rsid w:val="00B17AF3"/>
    <w:rsid w:val="00B27499"/>
    <w:rsid w:val="00B40D81"/>
    <w:rsid w:val="00B41AB9"/>
    <w:rsid w:val="00B50534"/>
    <w:rsid w:val="00B52E10"/>
    <w:rsid w:val="00B655D1"/>
    <w:rsid w:val="00B91B6E"/>
    <w:rsid w:val="00B944A7"/>
    <w:rsid w:val="00BB449C"/>
    <w:rsid w:val="00BC2561"/>
    <w:rsid w:val="00BC422A"/>
    <w:rsid w:val="00BE225E"/>
    <w:rsid w:val="00BF25CD"/>
    <w:rsid w:val="00C0358F"/>
    <w:rsid w:val="00C035F1"/>
    <w:rsid w:val="00C0565B"/>
    <w:rsid w:val="00C0696A"/>
    <w:rsid w:val="00C06A23"/>
    <w:rsid w:val="00C212A5"/>
    <w:rsid w:val="00C276BD"/>
    <w:rsid w:val="00C805F2"/>
    <w:rsid w:val="00C82AAC"/>
    <w:rsid w:val="00C95367"/>
    <w:rsid w:val="00C978C6"/>
    <w:rsid w:val="00CB50EF"/>
    <w:rsid w:val="00CB791A"/>
    <w:rsid w:val="00CD47B2"/>
    <w:rsid w:val="00CE49F8"/>
    <w:rsid w:val="00D14F6A"/>
    <w:rsid w:val="00D22F2F"/>
    <w:rsid w:val="00D46275"/>
    <w:rsid w:val="00D66994"/>
    <w:rsid w:val="00D67993"/>
    <w:rsid w:val="00D73338"/>
    <w:rsid w:val="00D81EB0"/>
    <w:rsid w:val="00D87C08"/>
    <w:rsid w:val="00D978C6"/>
    <w:rsid w:val="00DA0D3B"/>
    <w:rsid w:val="00DE430F"/>
    <w:rsid w:val="00DF1ED8"/>
    <w:rsid w:val="00DF3785"/>
    <w:rsid w:val="00E009EA"/>
    <w:rsid w:val="00E11E87"/>
    <w:rsid w:val="00E24D42"/>
    <w:rsid w:val="00E3456B"/>
    <w:rsid w:val="00E43261"/>
    <w:rsid w:val="00E640E2"/>
    <w:rsid w:val="00E7098E"/>
    <w:rsid w:val="00E91E95"/>
    <w:rsid w:val="00EA2103"/>
    <w:rsid w:val="00EB2430"/>
    <w:rsid w:val="00EC2C93"/>
    <w:rsid w:val="00EC60B7"/>
    <w:rsid w:val="00EC6BD8"/>
    <w:rsid w:val="00ED74D7"/>
    <w:rsid w:val="00EF667D"/>
    <w:rsid w:val="00F226E0"/>
    <w:rsid w:val="00F3633E"/>
    <w:rsid w:val="00F401BC"/>
    <w:rsid w:val="00F53CBE"/>
    <w:rsid w:val="00F5412D"/>
    <w:rsid w:val="00F67EBD"/>
    <w:rsid w:val="00F80FAB"/>
    <w:rsid w:val="00F94855"/>
    <w:rsid w:val="00F96A92"/>
    <w:rsid w:val="00FB24ED"/>
    <w:rsid w:val="00FE0BD8"/>
    <w:rsid w:val="00FF0BD5"/>
    <w:rsid w:val="00FF5D0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751D97"/>
    <w:pPr>
      <w:numPr>
        <w:numId w:val="44"/>
      </w:numPr>
      <w:spacing w:after="200"/>
      <w:jc w:val="left"/>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287C8F"/>
    <w:pPr>
      <w:numPr>
        <w:numId w:val="5"/>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r="http://schemas.openxmlformats.org/officeDocument/2006/relationships" xmlns:w="http://schemas.openxmlformats.org/wordprocessingml/2006/main">
  <w:divs>
    <w:div w:id="171260480">
      <w:bodyDiv w:val="1"/>
      <w:marLeft w:val="0"/>
      <w:marRight w:val="0"/>
      <w:marTop w:val="0"/>
      <w:marBottom w:val="0"/>
      <w:divBdr>
        <w:top w:val="none" w:sz="0" w:space="0" w:color="auto"/>
        <w:left w:val="none" w:sz="0" w:space="0" w:color="auto"/>
        <w:bottom w:val="none" w:sz="0" w:space="0" w:color="auto"/>
        <w:right w:val="none" w:sz="0" w:space="0" w:color="auto"/>
      </w:divBdr>
    </w:div>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619648032">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40D4-AD6C-4D00-A86B-E4960758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Template>
  <TotalTime>15</TotalTime>
  <Pages>64</Pages>
  <Words>20519</Words>
  <Characters>116959</Characters>
  <Application>Microsoft Office Word</Application>
  <DocSecurity>8</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137204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Remi Adebonojo</cp:lastModifiedBy>
  <cp:revision>4</cp:revision>
  <cp:lastPrinted>2015-03-02T13:31:00Z</cp:lastPrinted>
  <dcterms:created xsi:type="dcterms:W3CDTF">2015-03-02T16:27:00Z</dcterms:created>
  <dcterms:modified xsi:type="dcterms:W3CDTF">2015-03-02T16:49:00Z</dcterms:modified>
</cp:coreProperties>
</file>