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8F6973"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lastRenderedPageBreak/>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32526457"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978290871" w:edGrp="everyone" w:displacedByCustomXml="prev"/>
            <w:tc>
              <w:tcPr>
                <w:tcW w:w="5595" w:type="dxa"/>
                <w:shd w:val="clear" w:color="auto" w:fill="auto"/>
              </w:tcPr>
              <w:p w:rsidR="000632C2" w:rsidRPr="00AB6D88" w:rsidRDefault="003B5CE7" w:rsidP="003B5CE7">
                <w:pPr>
                  <w:rPr>
                    <w:rStyle w:val="PlaceholderText"/>
                    <w:rFonts w:ascii="Arial" w:hAnsi="Arial" w:cs="Arial"/>
                  </w:rPr>
                </w:pPr>
                <w:r>
                  <w:rPr>
                    <w:rStyle w:val="PlaceholderText"/>
                    <w:rFonts w:ascii="Arial" w:hAnsi="Arial" w:cs="Arial"/>
                  </w:rPr>
                  <w:t>EFAMA</w:t>
                </w:r>
              </w:p>
            </w:tc>
            <w:permEnd w:id="197829087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56013788" w:edGrp="everyone" w:colFirst="1" w:colLast="1"/>
            <w:permEnd w:id="732526457"/>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05073628" w:edGrp="everyone" w:colFirst="1" w:colLast="1"/>
            <w:permEnd w:id="1356013788"/>
            <w:r w:rsidRPr="00AB6D88">
              <w:rPr>
                <w:rFonts w:ascii="Arial" w:hAnsi="Arial" w:cs="Arial"/>
              </w:rPr>
              <w:t>Activity:</w:t>
            </w:r>
          </w:p>
        </w:tc>
        <w:tc>
          <w:tcPr>
            <w:tcW w:w="5595" w:type="dxa"/>
            <w:shd w:val="clear" w:color="auto" w:fill="auto"/>
          </w:tcPr>
          <w:p w:rsidR="000632C2" w:rsidRPr="00AB6D88" w:rsidRDefault="008F6973"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184768240" w:edGrp="everyone"/>
                <w:r w:rsidR="00DA0D86">
                  <w:rPr>
                    <w:rFonts w:ascii="Arial" w:hAnsi="Arial" w:cs="Arial"/>
                  </w:rPr>
                  <w:t>Investment Services</w:t>
                </w:r>
                <w:permEnd w:id="1184768240"/>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35784507" w:edGrp="everyone" w:colFirst="1" w:colLast="1"/>
            <w:permEnd w:id="805073628"/>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3B5CE7"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29702883" w:edGrp="everyone" w:colFirst="1" w:colLast="1"/>
            <w:permEnd w:id="1635784507"/>
            <w:r w:rsidRPr="00AB6D88">
              <w:rPr>
                <w:rFonts w:ascii="Arial" w:hAnsi="Arial" w:cs="Arial"/>
              </w:rPr>
              <w:t>Country/Region</w:t>
            </w:r>
          </w:p>
        </w:tc>
        <w:permStart w:id="758936928"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665327264" w:edGrp="everyone" w:displacedByCustomXml="prev"/>
            <w:tc>
              <w:tcPr>
                <w:tcW w:w="5595" w:type="dxa"/>
                <w:shd w:val="clear" w:color="auto" w:fill="auto"/>
              </w:tcPr>
              <w:p w:rsidR="000632C2" w:rsidRPr="00AB6D88" w:rsidRDefault="003B5CE7" w:rsidP="009E5107">
                <w:pPr>
                  <w:rPr>
                    <w:rFonts w:ascii="Arial" w:hAnsi="Arial" w:cs="Arial"/>
                  </w:rPr>
                </w:pPr>
                <w:r>
                  <w:rPr>
                    <w:rFonts w:ascii="Arial" w:hAnsi="Arial" w:cs="Arial"/>
                  </w:rPr>
                  <w:t>Belgium</w:t>
                </w:r>
              </w:p>
            </w:tc>
            <w:permEnd w:id="665327264" w:displacedByCustomXml="next"/>
          </w:sdtContent>
        </w:sdt>
        <w:permEnd w:id="758936928" w:displacedByCustomXml="prev"/>
      </w:tr>
      <w:permEnd w:id="1729702883"/>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8F6973" w:rsidRDefault="008F6973" w:rsidP="008F6973">
      <w:pPr>
        <w:keepNext/>
      </w:pPr>
      <w:permStart w:id="1124952699" w:edGrp="everyone"/>
      <w:r>
        <w:t>TYPE YOUR TEXT HERE</w:t>
      </w:r>
    </w:p>
    <w:permEnd w:id="112495269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486096035" w:edGrp="everyone"/>
      <w:r>
        <w:t>TYPE YOUR TEXT HERE</w:t>
      </w:r>
    </w:p>
    <w:permEnd w:id="148609603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252669318" w:edGrp="everyone"/>
      <w:r>
        <w:t>TYPE YOUR TEXT HERE</w:t>
      </w:r>
    </w:p>
    <w:permEnd w:id="252669318"/>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044803906" w:edGrp="everyone"/>
      <w:r>
        <w:t>TYPE YOUR TEXT HERE</w:t>
      </w:r>
    </w:p>
    <w:permEnd w:id="1044803906"/>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52676647" w:edGrp="everyone"/>
      <w:r>
        <w:t>TYPE YOUR TEXT HERE</w:t>
      </w:r>
    </w:p>
    <w:permEnd w:id="1352676647"/>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523929495" w:edGrp="everyone"/>
      <w:r>
        <w:t>TYPE YOUR TEXT HERE</w:t>
      </w:r>
    </w:p>
    <w:permEnd w:id="1523929495"/>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779654834" w:edGrp="everyone"/>
      <w:r>
        <w:t>TYPE YOUR TEXT HERE</w:t>
      </w:r>
    </w:p>
    <w:permEnd w:id="1779654834"/>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639966950" w:edGrp="everyone"/>
      <w:r>
        <w:t>TYPE YOUR TEXT HERE</w:t>
      </w:r>
    </w:p>
    <w:permEnd w:id="639966950"/>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55722759" w:edGrp="everyone"/>
      <w:r>
        <w:t>TYPE YOUR TEXT HERE</w:t>
      </w:r>
    </w:p>
    <w:permEnd w:id="255722759"/>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028895546" w:edGrp="everyone"/>
      <w:r>
        <w:t>TYPE YOUR TEXT HERE</w:t>
      </w:r>
    </w:p>
    <w:permEnd w:id="2028895546"/>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565270650" w:edGrp="everyone"/>
      <w:r>
        <w:t>TYPE YOUR TEXT HERE</w:t>
      </w:r>
    </w:p>
    <w:permEnd w:id="156527065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820667299" w:edGrp="everyone"/>
      <w:r>
        <w:t>TYPE YOUR TEXT HERE</w:t>
      </w:r>
    </w:p>
    <w:permEnd w:id="820667299"/>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864763792" w:edGrp="everyone"/>
      <w:r>
        <w:t>TYPE YOUR TEXT HERE</w:t>
      </w:r>
    </w:p>
    <w:permEnd w:id="864763792"/>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707935436" w:edGrp="everyone"/>
      <w:r>
        <w:t>TYPE YOUR TEXT HERE</w:t>
      </w:r>
    </w:p>
    <w:permEnd w:id="1707935436"/>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948205723" w:edGrp="everyone"/>
      <w:r>
        <w:t>TYPE YOUR TEXT HERE</w:t>
      </w:r>
    </w:p>
    <w:permEnd w:id="19482057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803750946" w:edGrp="everyone"/>
      <w:r>
        <w:t>TYPE YOUR TEXT HERE</w:t>
      </w:r>
    </w:p>
    <w:permEnd w:id="1803750946"/>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399334596" w:edGrp="everyone"/>
      <w:r>
        <w:t>TYPE YOUR TEXT HERE</w:t>
      </w:r>
    </w:p>
    <w:permEnd w:id="399334596"/>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616918216" w:edGrp="everyone"/>
      <w:r>
        <w:t>TYPE YOUR TEXT HERE</w:t>
      </w:r>
    </w:p>
    <w:permEnd w:id="161691821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899266005" w:edGrp="everyone"/>
      <w:r>
        <w:t>TYPE YOUR TEXT HERE</w:t>
      </w:r>
    </w:p>
    <w:permEnd w:id="1899266005"/>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64057101" w:edGrp="everyone"/>
      <w:r>
        <w:t>TYPE YOUR TEXT HERE</w:t>
      </w:r>
    </w:p>
    <w:permEnd w:id="264057101"/>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314811963" w:edGrp="everyone"/>
      <w:r>
        <w:t>TYPE YOUR TEXT HERE</w:t>
      </w:r>
    </w:p>
    <w:permEnd w:id="1314811963"/>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490037020" w:edGrp="everyone"/>
      <w:r>
        <w:t>TYPE YOUR TEXT HERE</w:t>
      </w:r>
    </w:p>
    <w:permEnd w:id="149003702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2122537936" w:edGrp="everyone"/>
      <w:r>
        <w:t>TYPE YOUR TEXT HERE</w:t>
      </w:r>
    </w:p>
    <w:permEnd w:id="2122537936"/>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522486716" w:edGrp="everyone"/>
      <w:r>
        <w:t>TYPE YOUR TEXT HERE</w:t>
      </w:r>
    </w:p>
    <w:permEnd w:id="152248671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537209702" w:edGrp="everyone"/>
      <w:r>
        <w:t>TYPE YOUR TEXT HERE</w:t>
      </w:r>
    </w:p>
    <w:permEnd w:id="53720970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95556011" w:edGrp="everyone"/>
      <w:r>
        <w:t>TYPE YOUR TEXT HERE</w:t>
      </w:r>
    </w:p>
    <w:permEnd w:id="95556011"/>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431446338" w:edGrp="everyone"/>
      <w:r>
        <w:t>TYPE YOUR TEXT HERE</w:t>
      </w:r>
    </w:p>
    <w:permEnd w:id="1431446338"/>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936289982" w:edGrp="everyone"/>
      <w:r>
        <w:t>TYPE YOUR TEXT HERE</w:t>
      </w:r>
    </w:p>
    <w:permEnd w:id="1936289982"/>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8F6973" w:rsidRPr="000D2999" w:rsidRDefault="008F6973" w:rsidP="008F6973">
      <w:pPr>
        <w:spacing w:line="240" w:lineRule="auto"/>
        <w:contextualSpacing/>
        <w:rPr>
          <w:rFonts w:cs="Tahoma"/>
          <w:lang w:eastAsia="en-GB"/>
        </w:rPr>
      </w:pPr>
      <w:permStart w:id="1781089436" w:edGrp="everyone"/>
      <w:r w:rsidRPr="000D2999">
        <w:rPr>
          <w:rFonts w:cs="Tahoma"/>
          <w:lang w:eastAsia="en-GB"/>
        </w:rPr>
        <w:t>Yes. It would, however, be useful if Article 1(1</w:t>
      </w:r>
      <w:proofErr w:type="gramStart"/>
      <w:r w:rsidRPr="000D2999">
        <w:rPr>
          <w:rFonts w:cs="Tahoma"/>
          <w:lang w:eastAsia="en-GB"/>
        </w:rPr>
        <w:t>)(</w:t>
      </w:r>
      <w:proofErr w:type="gramEnd"/>
      <w:r w:rsidRPr="000D2999">
        <w:rPr>
          <w:rFonts w:cs="Tahoma"/>
          <w:lang w:eastAsia="en-GB"/>
        </w:rPr>
        <w:t>l) of RTS5 were extended to require the third country firm to state not just the investment services it intends to provide, but specifics of the member states in which it intends to operate.</w:t>
      </w:r>
    </w:p>
    <w:permEnd w:id="1781089436"/>
    <w:p w:rsidR="00577C33" w:rsidRDefault="00577C33" w:rsidP="00EC2C93">
      <w:pPr>
        <w:keepNext/>
      </w:pPr>
      <w:r>
        <w:lastRenderedPageBreak/>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726889383" w:edGrp="everyone"/>
      <w:r>
        <w:t>TYPE YOUR TEXT HERE</w:t>
      </w:r>
    </w:p>
    <w:permEnd w:id="726889383"/>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8F6973" w:rsidRPr="000D2999" w:rsidRDefault="008F6973" w:rsidP="008F6973">
      <w:pPr>
        <w:spacing w:line="240" w:lineRule="auto"/>
        <w:contextualSpacing/>
        <w:rPr>
          <w:rFonts w:cs="Tahoma"/>
          <w:lang w:eastAsia="en-GB"/>
        </w:rPr>
      </w:pPr>
      <w:permStart w:id="875845698" w:edGrp="everyone"/>
      <w:r w:rsidRPr="000D2999">
        <w:rPr>
          <w:rFonts w:cs="Tahoma"/>
          <w:lang w:eastAsia="en-GB"/>
        </w:rPr>
        <w:t xml:space="preserve">We agree with ESMA’s proposal that, where portfolio managers place deals with brokers (market makers or other liquidity providers) who may in turn fill the orders from a regulated market, MTF or OTF, then the portfolio manager should include the broker as their execution venue for inclusion as a venue in the list of top five venues, where relevant.  </w:t>
      </w:r>
    </w:p>
    <w:p w:rsidR="008F6973" w:rsidRPr="000D2999" w:rsidRDefault="008F6973" w:rsidP="008F6973">
      <w:pPr>
        <w:spacing w:line="240" w:lineRule="auto"/>
        <w:contextualSpacing/>
        <w:rPr>
          <w:rFonts w:cs="Tahoma"/>
          <w:lang w:eastAsia="en-GB"/>
        </w:rPr>
      </w:pPr>
    </w:p>
    <w:p w:rsidR="008F6973" w:rsidRPr="000D2999" w:rsidRDefault="008F6973" w:rsidP="008F6973">
      <w:pPr>
        <w:spacing w:line="240" w:lineRule="auto"/>
        <w:contextualSpacing/>
        <w:rPr>
          <w:rFonts w:cs="Tahoma"/>
          <w:lang w:eastAsia="en-GB"/>
        </w:rPr>
      </w:pPr>
      <w:r w:rsidRPr="000D2999">
        <w:rPr>
          <w:rFonts w:cs="Tahoma"/>
          <w:lang w:eastAsia="en-GB"/>
        </w:rPr>
        <w:t xml:space="preserve">Where portfolio managers are placing orders with brokers for them to execute, it is essential that they receive the information produced under RTS 6, in order that they are able to comply with RTS7. </w:t>
      </w:r>
    </w:p>
    <w:p w:rsidR="008F6973" w:rsidRPr="000D2999" w:rsidRDefault="008F6973" w:rsidP="008F6973">
      <w:pPr>
        <w:spacing w:line="240" w:lineRule="auto"/>
        <w:contextualSpacing/>
        <w:rPr>
          <w:rFonts w:cs="Tahoma"/>
          <w:lang w:eastAsia="en-GB"/>
        </w:rPr>
      </w:pPr>
    </w:p>
    <w:p w:rsidR="008F6973" w:rsidRPr="000D2999" w:rsidRDefault="008F6973" w:rsidP="008F6973">
      <w:pPr>
        <w:spacing w:line="240" w:lineRule="auto"/>
        <w:contextualSpacing/>
        <w:rPr>
          <w:rFonts w:cs="Tahoma"/>
          <w:lang w:eastAsia="en-GB"/>
        </w:rPr>
      </w:pPr>
      <w:r>
        <w:rPr>
          <w:rFonts w:cs="Tahoma"/>
          <w:lang w:eastAsia="en-GB"/>
        </w:rPr>
        <w:t>While one could envisage to restrict the reporting to liquid financial instrument, in order to make it more useful and less onerous, g</w:t>
      </w:r>
      <w:r w:rsidRPr="000D2999">
        <w:rPr>
          <w:rFonts w:cs="Tahoma"/>
          <w:lang w:eastAsia="en-GB"/>
        </w:rPr>
        <w:t>enerally speaking, EFAMA believe</w:t>
      </w:r>
      <w:r>
        <w:rPr>
          <w:rFonts w:cs="Tahoma"/>
          <w:lang w:eastAsia="en-GB"/>
        </w:rPr>
        <w:t>s</w:t>
      </w:r>
      <w:r w:rsidRPr="000D2999">
        <w:rPr>
          <w:rFonts w:cs="Tahoma"/>
          <w:lang w:eastAsia="en-GB"/>
        </w:rPr>
        <w:t xml:space="preserve"> that the granularity of the classification should be reduced. Even reporting on the higher level of type of financial instrument (e.g. equity, bond etc.) would still leave 15 different classes of instrument, and would be less overwhelming for investors than the current proposal. </w:t>
      </w:r>
    </w:p>
    <w:permEnd w:id="875845698"/>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800760199" w:edGrp="everyone"/>
      <w:r>
        <w:t>TYPE YOUR TEXT HERE</w:t>
      </w:r>
    </w:p>
    <w:permEnd w:id="1800760199"/>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300523356" w:edGrp="everyone"/>
      <w:r>
        <w:t>TYPE YOUR TEXT HERE</w:t>
      </w:r>
    </w:p>
    <w:permEnd w:id="1300523356"/>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70328200" w:edGrp="everyone"/>
      <w:r>
        <w:t>TYPE YOUR TEXT HERE</w:t>
      </w:r>
    </w:p>
    <w:permEnd w:id="170328200"/>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026236989" w:edGrp="everyone"/>
      <w:r>
        <w:t>TYPE YOUR TEXT HERE</w:t>
      </w:r>
    </w:p>
    <w:permEnd w:id="1026236989"/>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&lt;ESMA_QUESTION_CP_MIFID_35&gt;</w:t>
      </w:r>
    </w:p>
    <w:p w:rsidR="008F6973" w:rsidRPr="000D2999" w:rsidRDefault="008F6973" w:rsidP="008F6973">
      <w:pPr>
        <w:spacing w:line="240" w:lineRule="auto"/>
        <w:contextualSpacing/>
        <w:rPr>
          <w:rFonts w:cs="Tahoma"/>
          <w:lang w:eastAsia="en-GB"/>
        </w:rPr>
      </w:pPr>
      <w:permStart w:id="1075733158" w:edGrp="everyone"/>
      <w:r w:rsidRPr="000D2999">
        <w:rPr>
          <w:rFonts w:cs="Tahoma"/>
          <w:lang w:eastAsia="en-GB"/>
        </w:rPr>
        <w:t>We are generally concerned that ESMA’s current proposals, as set out in RTS 7, will create massive amounts of data that, due to the enormous amount of information provided, might not beneficial for an investor to assess the quality of an execution venue. EFAMA is therefore wondering whether it is feasible to narrow down the number of data fields per class of instrument while still keeping with the intention of the Level 1 text.</w:t>
      </w:r>
    </w:p>
    <w:p w:rsidR="008F6973" w:rsidRPr="000D2999" w:rsidRDefault="008F6973" w:rsidP="008F6973">
      <w:pPr>
        <w:spacing w:line="240" w:lineRule="auto"/>
        <w:contextualSpacing/>
        <w:rPr>
          <w:rFonts w:cs="Tahoma"/>
          <w:lang w:eastAsia="en-GB"/>
        </w:rPr>
      </w:pPr>
    </w:p>
    <w:p w:rsidR="008F6973" w:rsidRPr="000D2999" w:rsidRDefault="008F6973" w:rsidP="008F6973">
      <w:pPr>
        <w:spacing w:line="240" w:lineRule="auto"/>
        <w:contextualSpacing/>
        <w:rPr>
          <w:rFonts w:cs="Tahoma"/>
          <w:lang w:eastAsia="en-GB"/>
        </w:rPr>
      </w:pPr>
      <w:r w:rsidRPr="000D2999">
        <w:rPr>
          <w:rFonts w:cs="Tahoma"/>
          <w:lang w:eastAsia="en-GB"/>
        </w:rPr>
        <w:t xml:space="preserve">Furthermore, we see </w:t>
      </w:r>
      <w:proofErr w:type="spellStart"/>
      <w:r w:rsidRPr="000D2999">
        <w:rPr>
          <w:rFonts w:cs="Tahoma"/>
          <w:lang w:eastAsia="en-GB"/>
        </w:rPr>
        <w:t>alsoa</w:t>
      </w:r>
      <w:proofErr w:type="spellEnd"/>
      <w:r w:rsidRPr="000D2999">
        <w:rPr>
          <w:rFonts w:cs="Tahoma"/>
          <w:lang w:eastAsia="en-GB"/>
        </w:rPr>
        <w:t xml:space="preserve"> misalignment in the deadlines for publishing this information. The requirement that the data must be published within one month of the previous year end may prove problematic. Article 8 of RTS 6 states that each execution venue should publish its information within one month at each quarter end. Investment firms will, therefore, have to publish their information, which is based on that from the execution venues, on the same day that the execution venues publish these which gives them no additional time to conduct the analysis required by Article 6 of RTS 7. Given that firms need a reasonable time to make use of the execution venue information</w:t>
      </w:r>
      <w:r>
        <w:rPr>
          <w:rFonts w:cs="Tahoma"/>
          <w:lang w:eastAsia="en-GB"/>
        </w:rPr>
        <w:t>, EFAMA</w:t>
      </w:r>
      <w:r w:rsidRPr="000D2999">
        <w:rPr>
          <w:rFonts w:cs="Tahoma"/>
          <w:lang w:eastAsia="en-GB"/>
        </w:rPr>
        <w:t xml:space="preserve"> would suggest that the deadline for investment firms to publish their information be set to one month after that for the execution venues. </w:t>
      </w:r>
    </w:p>
    <w:p w:rsidR="008F6973" w:rsidRPr="000D2999" w:rsidRDefault="008F6973" w:rsidP="008F6973">
      <w:pPr>
        <w:spacing w:line="240" w:lineRule="auto"/>
        <w:contextualSpacing/>
        <w:rPr>
          <w:rFonts w:cs="Tahoma"/>
          <w:lang w:eastAsia="en-GB"/>
        </w:rPr>
      </w:pPr>
    </w:p>
    <w:p w:rsidR="00577C33" w:rsidRDefault="008F6973" w:rsidP="00EC2C93">
      <w:pPr>
        <w:keepNext/>
      </w:pPr>
      <w:r w:rsidRPr="000D2999">
        <w:rPr>
          <w:rFonts w:cs="Tahoma"/>
          <w:lang w:eastAsia="en-GB"/>
        </w:rPr>
        <w:t xml:space="preserve">An additional point relates to third country execution venues. Article 2(1) is clear that investment firms must include, within their definition of execution venues, entities performing functions similar to execution venues which are based in third countries. As such they are required to include any such third country execution venues in their top five execution venues as necessary, and include them in their analysis of execution quality under Article 6 of RTS 7. There is no requirement equivalent to RTS 6 applying to third country execution venues. As such, it may prove difficult to get some of the required information from these venues.  It is important, therefore, to include some level of proportionality, requiring investment firms to make reasonable efforts to get the relevant information, but to provide the best possible quality of information to customers where this proves impracticable. </w:t>
      </w:r>
      <w:permEnd w:id="1075733158"/>
      <w:r w:rsidR="00577C33">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780274308" w:edGrp="everyone"/>
      <w:r>
        <w:t>TYPE YOUR TEXT HERE</w:t>
      </w:r>
    </w:p>
    <w:permEnd w:id="780274308"/>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8F6973" w:rsidRPr="000D2999" w:rsidRDefault="008F6973" w:rsidP="008F6973">
      <w:pPr>
        <w:pStyle w:val="NoSpacing"/>
        <w:contextualSpacing/>
        <w:jc w:val="both"/>
        <w:rPr>
          <w:sz w:val="22"/>
          <w:szCs w:val="22"/>
        </w:rPr>
      </w:pPr>
      <w:permStart w:id="1129015030" w:edGrp="everyone"/>
      <w:r w:rsidRPr="000D2999">
        <w:rPr>
          <w:sz w:val="22"/>
          <w:szCs w:val="22"/>
        </w:rPr>
        <w:t>Yes, we agree with the proposed regime</w:t>
      </w:r>
    </w:p>
    <w:p w:rsidR="008F6973" w:rsidRPr="000D2999" w:rsidRDefault="008F6973" w:rsidP="008F6973">
      <w:pPr>
        <w:pStyle w:val="NoSpacing"/>
        <w:contextualSpacing/>
        <w:jc w:val="both"/>
        <w:rPr>
          <w:sz w:val="22"/>
          <w:szCs w:val="22"/>
        </w:rPr>
      </w:pPr>
    </w:p>
    <w:p w:rsidR="008F6973" w:rsidRPr="000D2999" w:rsidRDefault="008F6973" w:rsidP="008F6973">
      <w:pPr>
        <w:pStyle w:val="NoSpacing"/>
        <w:contextualSpacing/>
        <w:jc w:val="both"/>
        <w:rPr>
          <w:sz w:val="22"/>
          <w:szCs w:val="22"/>
        </w:rPr>
      </w:pPr>
      <w:r w:rsidRPr="000D2999">
        <w:rPr>
          <w:sz w:val="22"/>
          <w:szCs w:val="22"/>
        </w:rPr>
        <w:t>Even if the proposed regime of pre-trade transparency is not a particularly meaningful measure for ETFs (all ETFs are created to be liquid but the real liquidity of an ETF is based on the underlying liquidity of the ETF) and have a displayed price at which they are expected to trade, we support the proposal to develop precise pre-trade trade transparency requirements for trading venues providing RFQ for ETFs</w:t>
      </w:r>
      <w:r>
        <w:rPr>
          <w:sz w:val="22"/>
          <w:szCs w:val="22"/>
        </w:rPr>
        <w:t xml:space="preserve">. </w:t>
      </w:r>
    </w:p>
    <w:permEnd w:id="1129015030"/>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8F6973" w:rsidRPr="000D2999" w:rsidRDefault="008F6973" w:rsidP="008F6973">
      <w:pPr>
        <w:pStyle w:val="NoSpacing"/>
        <w:contextualSpacing/>
        <w:rPr>
          <w:sz w:val="22"/>
          <w:szCs w:val="22"/>
        </w:rPr>
      </w:pPr>
      <w:permStart w:id="290080335" w:edGrp="everyone"/>
      <w:r w:rsidRPr="000D2999">
        <w:rPr>
          <w:sz w:val="22"/>
          <w:szCs w:val="22"/>
        </w:rPr>
        <w:t>Yes, we agree. We believe that the trading venue with the highest turnover should be considered as the most relevant market in terms of liquidity for the application of the reference price waivers.</w:t>
      </w:r>
    </w:p>
    <w:p w:rsidR="008F6973" w:rsidRDefault="008F6973" w:rsidP="008F6973">
      <w:pPr>
        <w:pStyle w:val="NoSpacing"/>
        <w:contextualSpacing/>
        <w:rPr>
          <w:sz w:val="22"/>
          <w:szCs w:val="22"/>
        </w:rPr>
      </w:pPr>
      <w:r w:rsidRPr="000D2999">
        <w:rPr>
          <w:sz w:val="22"/>
          <w:szCs w:val="22"/>
        </w:rPr>
        <w:t>To improve the quality of the reporting, we believe that the transactions executed under the pre-trade transparency waivers should also be included in the calculation.</w:t>
      </w:r>
    </w:p>
    <w:p w:rsidR="008F6973" w:rsidRDefault="008F6973" w:rsidP="008F6973">
      <w:pPr>
        <w:pStyle w:val="NoSpacing"/>
        <w:contextualSpacing/>
        <w:rPr>
          <w:sz w:val="22"/>
          <w:szCs w:val="22"/>
        </w:rPr>
      </w:pPr>
    </w:p>
    <w:p w:rsidR="008F6973" w:rsidRPr="00672517" w:rsidRDefault="008F6973" w:rsidP="008F6973">
      <w:r w:rsidRPr="00672517">
        <w:t>However by making one venue the point at which that market will use for applying the Reference Price Waiver (RPW) then we would suggest there needs to be a check that the market does provide continuous quotes and does not have the highest turnover simply due to a large number of blocks being reported on it but no other material trading.</w:t>
      </w:r>
    </w:p>
    <w:permEnd w:id="290080335"/>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8F6973" w:rsidRPr="000D2999" w:rsidRDefault="008F6973" w:rsidP="008F6973">
      <w:pPr>
        <w:spacing w:before="40" w:after="40" w:line="240" w:lineRule="auto"/>
        <w:contextualSpacing/>
      </w:pPr>
      <w:permStart w:id="704932421" w:edGrp="everyone"/>
      <w:r w:rsidRPr="000D2999">
        <w:t>We agree with this proposal and with the proposed exhaustive list of transactions not contributing to the price discovery process.</w:t>
      </w:r>
    </w:p>
    <w:p w:rsidR="008F6973" w:rsidRPr="000D2999" w:rsidRDefault="008F6973" w:rsidP="008F6973">
      <w:pPr>
        <w:spacing w:before="40" w:after="40" w:line="240" w:lineRule="auto"/>
        <w:contextualSpacing/>
      </w:pPr>
    </w:p>
    <w:p w:rsidR="008F6973" w:rsidRPr="000D2999" w:rsidRDefault="008F6973" w:rsidP="008F6973">
      <w:pPr>
        <w:spacing w:before="40" w:after="40" w:line="240" w:lineRule="auto"/>
        <w:contextualSpacing/>
      </w:pPr>
      <w:r w:rsidRPr="000D2999">
        <w:t>We welcome the shortening of the list as it no longer explicitly includes a reference to “securities financing transactions” as they are by nature directly negotiated between counterparties</w:t>
      </w:r>
      <w:proofErr w:type="gramStart"/>
      <w:r w:rsidRPr="000D2999">
        <w:t>..</w:t>
      </w:r>
      <w:proofErr w:type="gramEnd"/>
    </w:p>
    <w:p w:rsidR="008F6973" w:rsidRPr="000D2999" w:rsidRDefault="008F6973" w:rsidP="008F6973">
      <w:pPr>
        <w:spacing w:before="40" w:after="40" w:line="240" w:lineRule="auto"/>
        <w:contextualSpacing/>
      </w:pPr>
    </w:p>
    <w:p w:rsidR="008F6973" w:rsidRPr="000D2999" w:rsidRDefault="008F6973" w:rsidP="008F6973">
      <w:pPr>
        <w:spacing w:before="40" w:after="40" w:line="240" w:lineRule="auto"/>
        <w:contextualSpacing/>
      </w:pPr>
      <w:r w:rsidRPr="000D2999">
        <w:t>We would however recommend ESMA to include some language in order to avoid some ambiguities (especially in the notion of agent or the differences between “acting for account of” or “on behalf of”).</w:t>
      </w:r>
    </w:p>
    <w:p w:rsidR="008F6973" w:rsidRPr="000D2999" w:rsidRDefault="008F6973" w:rsidP="008F6973">
      <w:pPr>
        <w:spacing w:before="40" w:after="40" w:line="240" w:lineRule="auto"/>
        <w:contextualSpacing/>
      </w:pPr>
      <w:r w:rsidRPr="000D2999">
        <w:t>Please below the following proposed amendments:</w:t>
      </w:r>
    </w:p>
    <w:p w:rsidR="008F6973" w:rsidRPr="000D2999" w:rsidRDefault="008F6973" w:rsidP="008F6973">
      <w:pPr>
        <w:pStyle w:val="NoSpacing"/>
        <w:numPr>
          <w:ilvl w:val="0"/>
          <w:numId w:val="31"/>
        </w:numPr>
        <w:contextualSpacing/>
        <w:jc w:val="both"/>
        <w:rPr>
          <w:i/>
          <w:sz w:val="22"/>
          <w:szCs w:val="22"/>
        </w:rPr>
      </w:pPr>
      <w:r w:rsidRPr="000D2999">
        <w:rPr>
          <w:i/>
          <w:sz w:val="22"/>
          <w:szCs w:val="22"/>
        </w:rPr>
        <w:t xml:space="preserve">dealing on own account with another member or participant who acts for the account of </w:t>
      </w:r>
      <w:r w:rsidRPr="000D2999">
        <w:rPr>
          <w:b/>
          <w:i/>
          <w:sz w:val="22"/>
          <w:szCs w:val="22"/>
        </w:rPr>
        <w:t xml:space="preserve">or as agent for or on behalf of </w:t>
      </w:r>
      <w:r w:rsidRPr="000D2999">
        <w:rPr>
          <w:i/>
          <w:sz w:val="22"/>
          <w:szCs w:val="22"/>
        </w:rPr>
        <w:t>a client;</w:t>
      </w:r>
    </w:p>
    <w:p w:rsidR="008F6973" w:rsidRPr="000D2999" w:rsidRDefault="008F6973" w:rsidP="008F6973">
      <w:pPr>
        <w:pStyle w:val="NoSpacing"/>
        <w:numPr>
          <w:ilvl w:val="0"/>
          <w:numId w:val="31"/>
        </w:numPr>
        <w:contextualSpacing/>
        <w:jc w:val="both"/>
        <w:rPr>
          <w:i/>
          <w:sz w:val="22"/>
          <w:szCs w:val="22"/>
        </w:rPr>
      </w:pPr>
      <w:r w:rsidRPr="000D2999">
        <w:rPr>
          <w:i/>
          <w:sz w:val="22"/>
          <w:szCs w:val="22"/>
        </w:rPr>
        <w:lastRenderedPageBreak/>
        <w:t>dealing with another member or participant where both are executing orders on own account;</w:t>
      </w:r>
    </w:p>
    <w:p w:rsidR="008F6973" w:rsidRPr="000D2999" w:rsidRDefault="008F6973" w:rsidP="008F6973">
      <w:pPr>
        <w:pStyle w:val="NoSpacing"/>
        <w:numPr>
          <w:ilvl w:val="0"/>
          <w:numId w:val="31"/>
        </w:numPr>
        <w:contextualSpacing/>
        <w:jc w:val="both"/>
        <w:rPr>
          <w:i/>
          <w:sz w:val="22"/>
          <w:szCs w:val="22"/>
        </w:rPr>
      </w:pPr>
      <w:r w:rsidRPr="000D2999">
        <w:rPr>
          <w:i/>
          <w:sz w:val="22"/>
          <w:szCs w:val="22"/>
        </w:rPr>
        <w:t xml:space="preserve">acting for the account of </w:t>
      </w:r>
      <w:r w:rsidRPr="000D2999">
        <w:rPr>
          <w:b/>
          <w:i/>
          <w:sz w:val="22"/>
          <w:szCs w:val="22"/>
        </w:rPr>
        <w:t>or as agent for or on behalf of</w:t>
      </w:r>
      <w:r w:rsidRPr="000D2999">
        <w:rPr>
          <w:i/>
          <w:sz w:val="22"/>
          <w:szCs w:val="22"/>
        </w:rPr>
        <w:t xml:space="preserve"> both buyer and seller;</w:t>
      </w:r>
    </w:p>
    <w:p w:rsidR="008F6973" w:rsidRPr="000D2999" w:rsidRDefault="008F6973" w:rsidP="008F6973">
      <w:pPr>
        <w:pStyle w:val="NoSpacing"/>
        <w:numPr>
          <w:ilvl w:val="0"/>
          <w:numId w:val="31"/>
        </w:numPr>
        <w:contextualSpacing/>
        <w:jc w:val="both"/>
        <w:rPr>
          <w:i/>
          <w:sz w:val="22"/>
          <w:szCs w:val="22"/>
        </w:rPr>
      </w:pPr>
      <w:r w:rsidRPr="000D2999">
        <w:rPr>
          <w:i/>
          <w:sz w:val="22"/>
          <w:szCs w:val="22"/>
        </w:rPr>
        <w:t xml:space="preserve">acting for the account of </w:t>
      </w:r>
      <w:r w:rsidRPr="000D2999">
        <w:rPr>
          <w:b/>
          <w:i/>
          <w:sz w:val="22"/>
          <w:szCs w:val="22"/>
        </w:rPr>
        <w:t>or as agent for or on behalf of</w:t>
      </w:r>
      <w:r w:rsidRPr="000D2999">
        <w:rPr>
          <w:i/>
          <w:sz w:val="22"/>
          <w:szCs w:val="22"/>
        </w:rPr>
        <w:t xml:space="preserve"> the buyer where another member or participant acts for the account of </w:t>
      </w:r>
      <w:r w:rsidRPr="000D2999">
        <w:rPr>
          <w:b/>
          <w:i/>
          <w:sz w:val="22"/>
          <w:szCs w:val="22"/>
        </w:rPr>
        <w:t>or as agent for or on behalf of</w:t>
      </w:r>
      <w:r w:rsidRPr="000D2999">
        <w:rPr>
          <w:i/>
          <w:sz w:val="22"/>
          <w:szCs w:val="22"/>
        </w:rPr>
        <w:t xml:space="preserve"> the seller; and</w:t>
      </w:r>
    </w:p>
    <w:p w:rsidR="008F6973" w:rsidRPr="000D2999" w:rsidRDefault="008F6973" w:rsidP="008F6973">
      <w:pPr>
        <w:pStyle w:val="NoSpacing"/>
        <w:numPr>
          <w:ilvl w:val="0"/>
          <w:numId w:val="31"/>
        </w:numPr>
        <w:contextualSpacing/>
        <w:jc w:val="both"/>
        <w:rPr>
          <w:i/>
          <w:sz w:val="22"/>
          <w:szCs w:val="22"/>
        </w:rPr>
      </w:pPr>
      <w:proofErr w:type="gramStart"/>
      <w:r w:rsidRPr="000D2999">
        <w:rPr>
          <w:i/>
          <w:sz w:val="22"/>
          <w:szCs w:val="22"/>
        </w:rPr>
        <w:t>trading</w:t>
      </w:r>
      <w:proofErr w:type="gramEnd"/>
      <w:r w:rsidRPr="000D2999">
        <w:rPr>
          <w:i/>
          <w:sz w:val="22"/>
          <w:szCs w:val="22"/>
        </w:rPr>
        <w:t xml:space="preserve"> for own account against a client order.</w:t>
      </w:r>
    </w:p>
    <w:permEnd w:id="704932421"/>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8F6973" w:rsidRPr="001D069C" w:rsidRDefault="008F6973" w:rsidP="008F6973">
      <w:pPr>
        <w:spacing w:line="240" w:lineRule="auto"/>
        <w:contextualSpacing/>
      </w:pPr>
      <w:permStart w:id="1744115478" w:edGrp="everyone"/>
      <w:r w:rsidRPr="001D069C">
        <w:t>We see no objection to set a 10 000€ minimum size for stop orders and iceberg orders to benefit from the pre-trade transparency waiver.</w:t>
      </w:r>
    </w:p>
    <w:permEnd w:id="174411547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8F6973" w:rsidRPr="000D2999" w:rsidRDefault="008F6973" w:rsidP="008F6973">
      <w:pPr>
        <w:spacing w:after="160" w:line="240" w:lineRule="auto"/>
        <w:contextualSpacing/>
      </w:pPr>
      <w:permStart w:id="612006804" w:edGrp="everyone"/>
      <w:r w:rsidRPr="000D2999">
        <w:t>We agree with ESMA’s definition and welcome the expansion of the waiver to all orders held in an order management facility</w:t>
      </w:r>
    </w:p>
    <w:p w:rsidR="008F6973" w:rsidRPr="000D2999" w:rsidRDefault="008F6973" w:rsidP="008F6973">
      <w:pPr>
        <w:spacing w:after="160" w:line="240" w:lineRule="auto"/>
        <w:contextualSpacing/>
      </w:pPr>
    </w:p>
    <w:p w:rsidR="008F6973" w:rsidRPr="000D2999" w:rsidRDefault="008F6973" w:rsidP="008F6973">
      <w:pPr>
        <w:spacing w:after="160" w:line="240" w:lineRule="auto"/>
        <w:contextualSpacing/>
      </w:pPr>
      <w:r w:rsidRPr="000D2999">
        <w:t>We welcome ESMA’s recognition that ADT may not provide the best metric on which to establish the large in scale threshold in all circumstances but we regret to notice ESMA did not take the opportunity to use more the alternative approaches proposed by market participants.</w:t>
      </w:r>
    </w:p>
    <w:permEnd w:id="612006804"/>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8F6973" w:rsidRPr="000D2999" w:rsidRDefault="008F6973" w:rsidP="008F6973">
      <w:pPr>
        <w:spacing w:line="240" w:lineRule="auto"/>
        <w:contextualSpacing/>
        <w:rPr>
          <w:rFonts w:eastAsia="Cambria" w:cs="Arial"/>
          <w:lang w:val="en-US"/>
        </w:rPr>
      </w:pPr>
      <w:permStart w:id="965477310" w:edGrp="everyone"/>
      <w:r w:rsidRPr="000D2999">
        <w:rPr>
          <w:rFonts w:eastAsia="Cambria" w:cs="Arial"/>
        </w:rPr>
        <w:t xml:space="preserve">As expressed above and in </w:t>
      </w:r>
      <w:r>
        <w:rPr>
          <w:rFonts w:eastAsia="Cambria" w:cs="Arial"/>
        </w:rPr>
        <w:t>our</w:t>
      </w:r>
      <w:r w:rsidRPr="000D2999">
        <w:rPr>
          <w:rFonts w:eastAsia="Cambria" w:cs="Arial"/>
        </w:rPr>
        <w:t xml:space="preserve"> reply to the DP, we believe that ADT is not sufficient to measure </w:t>
      </w:r>
      <w:r>
        <w:rPr>
          <w:rFonts w:eastAsia="Cambria" w:cs="Arial"/>
        </w:rPr>
        <w:t>the</w:t>
      </w:r>
      <w:r w:rsidRPr="000D2999">
        <w:rPr>
          <w:rFonts w:eastAsia="Cambria" w:cs="Arial"/>
        </w:rPr>
        <w:t xml:space="preserve"> ETF liquidity and market impact </w:t>
      </w:r>
      <w:r w:rsidRPr="000D2999">
        <w:rPr>
          <w:rFonts w:eastAsia="Cambria" w:cs="Arial"/>
          <w:lang w:val="en-US"/>
        </w:rPr>
        <w:t xml:space="preserve">due to the fact that the criteria do not take into consideration the liquidity of the underlying financial instruments (e.g. equities, bonds). The calibration of the liquidity threshold for the underlying financial instruments might be difficult to implement as some instruments are not liquid over the whole life cycle (e.g. bonds). The definition of ETF liquidity should also incorporate the liquidity provided by market makers as proposed by ESMA in the Consultation Paper related to the definition of securitized derivatives (p. 113). </w:t>
      </w:r>
    </w:p>
    <w:p w:rsidR="008F6973" w:rsidRPr="000D2999" w:rsidRDefault="008F6973" w:rsidP="008F6973">
      <w:pPr>
        <w:spacing w:line="240" w:lineRule="auto"/>
        <w:contextualSpacing/>
        <w:rPr>
          <w:rFonts w:eastAsia="Cambria" w:cs="Arial"/>
          <w:lang w:val="en-US"/>
        </w:rPr>
      </w:pPr>
    </w:p>
    <w:p w:rsidR="008F6973" w:rsidRPr="000D2999" w:rsidRDefault="008F6973" w:rsidP="008F6973">
      <w:pPr>
        <w:spacing w:line="240" w:lineRule="auto"/>
        <w:contextualSpacing/>
        <w:rPr>
          <w:rFonts w:eastAsia="Cambria" w:cs="Arial"/>
          <w:lang w:val="en-US"/>
        </w:rPr>
      </w:pPr>
      <w:r w:rsidRPr="000D2999">
        <w:rPr>
          <w:rFonts w:eastAsia="Cambria" w:cs="Arial"/>
          <w:lang w:val="en-US"/>
        </w:rPr>
        <w:t>The implementation at IT and accounting levels of the proposed large in scale thresholds by the market makers may be very complex and increases costs without benefits (as the different classes needs to be included in the IT/accounting systems).</w:t>
      </w:r>
    </w:p>
    <w:p w:rsidR="008F6973" w:rsidRPr="000D2999" w:rsidRDefault="008F6973" w:rsidP="008F6973">
      <w:pPr>
        <w:spacing w:line="240" w:lineRule="auto"/>
        <w:contextualSpacing/>
        <w:rPr>
          <w:rFonts w:eastAsia="Cambria" w:cs="Arial"/>
        </w:rPr>
      </w:pPr>
    </w:p>
    <w:p w:rsidR="008F6973" w:rsidRPr="000D2999" w:rsidRDefault="008F6973" w:rsidP="008F6973">
      <w:pPr>
        <w:spacing w:line="240" w:lineRule="auto"/>
        <w:contextualSpacing/>
        <w:rPr>
          <w:rFonts w:eastAsia="Cambria" w:cs="Arial"/>
        </w:rPr>
      </w:pPr>
      <w:r w:rsidRPr="000D2999">
        <w:rPr>
          <w:rFonts w:eastAsia="Cambria" w:cs="Arial"/>
        </w:rPr>
        <w:t>We therefore supports the alternative approach based on a single Large in Scale (LIS) threshold. This would result in a simpler market structure and a level playing field for all ETFs with little or no market impact.</w:t>
      </w:r>
    </w:p>
    <w:p w:rsidR="008F6973" w:rsidRPr="000D2999" w:rsidRDefault="008F6973" w:rsidP="008F6973">
      <w:pPr>
        <w:spacing w:line="240" w:lineRule="auto"/>
        <w:contextualSpacing/>
        <w:rPr>
          <w:rFonts w:eastAsia="Cambria" w:cs="Arial"/>
          <w:lang w:val="en-US"/>
        </w:rPr>
      </w:pPr>
    </w:p>
    <w:p w:rsidR="008F6973" w:rsidRPr="000D2999" w:rsidRDefault="008F6973" w:rsidP="008F6973">
      <w:pPr>
        <w:spacing w:line="240" w:lineRule="auto"/>
        <w:contextualSpacing/>
        <w:rPr>
          <w:rFonts w:eastAsia="Cambria" w:cs="Arial"/>
          <w:lang w:val="en-US"/>
        </w:rPr>
      </w:pPr>
      <w:r w:rsidRPr="000D2999">
        <w:rPr>
          <w:rFonts w:eastAsia="Cambria" w:cs="Arial"/>
          <w:lang w:val="en-US"/>
        </w:rPr>
        <w:t xml:space="preserve">As expressed in our reply to the question Q50 of the DP, </w:t>
      </w:r>
      <w:r>
        <w:rPr>
          <w:rFonts w:eastAsia="Cambria" w:cs="Arial"/>
          <w:lang w:val="en-US"/>
        </w:rPr>
        <w:t>most of EFAMA members</w:t>
      </w:r>
      <w:r w:rsidRPr="000D2999">
        <w:rPr>
          <w:rFonts w:eastAsia="Cambria" w:cs="Arial"/>
          <w:lang w:val="en-US"/>
        </w:rPr>
        <w:t xml:space="preserve"> believe that the most appropriate way to calculate ADT for ETFs could be: </w:t>
      </w:r>
    </w:p>
    <w:p w:rsidR="008F6973" w:rsidRPr="00D26DFD" w:rsidRDefault="008F6973" w:rsidP="008F6973">
      <w:pPr>
        <w:spacing w:line="240" w:lineRule="auto"/>
        <w:contextualSpacing/>
        <w:rPr>
          <w:rFonts w:eastAsia="Calibri" w:cs="Cordia New"/>
        </w:rPr>
      </w:pPr>
    </w:p>
    <w:tbl>
      <w:tblPr>
        <w:tblW w:w="9900" w:type="dxa"/>
        <w:tblCellMar>
          <w:left w:w="0" w:type="dxa"/>
          <w:right w:w="0" w:type="dxa"/>
        </w:tblCellMar>
        <w:tblLook w:val="04A0" w:firstRow="1" w:lastRow="0" w:firstColumn="1" w:lastColumn="0" w:noHBand="0" w:noVBand="1"/>
      </w:tblPr>
      <w:tblGrid>
        <w:gridCol w:w="2354"/>
        <w:gridCol w:w="2806"/>
        <w:gridCol w:w="2480"/>
        <w:gridCol w:w="2260"/>
      </w:tblGrid>
      <w:tr w:rsidR="008F6973" w:rsidRPr="00D26DFD" w:rsidTr="008F6973">
        <w:trPr>
          <w:trHeight w:val="600"/>
        </w:trPr>
        <w:tc>
          <w:tcPr>
            <w:tcW w:w="235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b/>
                <w:bCs/>
                <w:color w:val="000000"/>
                <w:lang w:val="en-US"/>
              </w:rPr>
            </w:pPr>
            <w:r w:rsidRPr="00D26DFD">
              <w:rPr>
                <w:rFonts w:eastAsia="Times New Roman" w:cs="Times New Roman"/>
                <w:b/>
                <w:bCs/>
                <w:color w:val="000000"/>
                <w:lang w:val="en-US"/>
              </w:rPr>
              <w:lastRenderedPageBreak/>
              <w:t>ETFs</w:t>
            </w:r>
          </w:p>
        </w:tc>
        <w:tc>
          <w:tcPr>
            <w:tcW w:w="2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b/>
                <w:bCs/>
                <w:color w:val="000000"/>
                <w:lang w:val="en-US"/>
              </w:rPr>
            </w:pPr>
            <w:r w:rsidRPr="00D26DFD">
              <w:rPr>
                <w:rFonts w:eastAsia="Times New Roman" w:cs="Times New Roman"/>
                <w:b/>
                <w:bCs/>
                <w:color w:val="000000"/>
                <w:lang w:val="en-US"/>
              </w:rPr>
              <w:t>Free Float (Number of units issued for trading)</w:t>
            </w:r>
          </w:p>
        </w:tc>
        <w:tc>
          <w:tcPr>
            <w:tcW w:w="2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b/>
                <w:bCs/>
                <w:color w:val="000000"/>
                <w:lang w:val="en-US"/>
              </w:rPr>
            </w:pPr>
            <w:r w:rsidRPr="00D26DFD">
              <w:rPr>
                <w:rFonts w:eastAsia="Times New Roman" w:cs="Times New Roman"/>
                <w:b/>
                <w:bCs/>
                <w:color w:val="000000"/>
                <w:lang w:val="en-US"/>
              </w:rPr>
              <w:t>Average daily number of transactions</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b/>
                <w:bCs/>
                <w:color w:val="000000"/>
                <w:lang w:val="en-US"/>
              </w:rPr>
            </w:pPr>
            <w:r w:rsidRPr="00D26DFD">
              <w:rPr>
                <w:rFonts w:eastAsia="Times New Roman" w:cs="Times New Roman"/>
                <w:b/>
                <w:bCs/>
                <w:color w:val="000000"/>
                <w:lang w:val="en-US"/>
              </w:rPr>
              <w:t>Average daily turnover</w:t>
            </w:r>
          </w:p>
        </w:tc>
      </w:tr>
      <w:tr w:rsidR="008F6973" w:rsidRPr="00D26DFD" w:rsidTr="008F697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F6973" w:rsidRPr="00D26DFD" w:rsidRDefault="008F6973" w:rsidP="008F6973">
            <w:pPr>
              <w:spacing w:line="240" w:lineRule="auto"/>
              <w:contextualSpacing/>
              <w:rPr>
                <w:rFonts w:eastAsia="Times New Roman" w:cs="Times New Roman"/>
                <w:b/>
                <w:bCs/>
                <w:color w:val="000000"/>
                <w:lang w:val="en-US"/>
              </w:rPr>
            </w:pPr>
          </w:p>
        </w:tc>
        <w:tc>
          <w:tcPr>
            <w:tcW w:w="28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color w:val="000000"/>
                <w:lang w:val="en-US"/>
              </w:rPr>
            </w:pPr>
            <w:r w:rsidRPr="00D26DFD">
              <w:rPr>
                <w:rFonts w:eastAsia="Times New Roman" w:cs="Times New Roman"/>
                <w:color w:val="000000"/>
                <w:lang w:val="en-US"/>
              </w:rPr>
              <w:t>100</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color w:val="000000"/>
                <w:lang w:val="en-US"/>
              </w:rPr>
            </w:pPr>
            <w:r w:rsidRPr="00D26DFD">
              <w:rPr>
                <w:rFonts w:eastAsia="Times New Roman" w:cs="Times New Roman"/>
                <w:color w:val="000000"/>
                <w:lang w:val="en-US"/>
              </w:rPr>
              <w:t>20</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color w:val="000000"/>
                <w:lang w:val="en-US"/>
              </w:rPr>
            </w:pPr>
            <w:r w:rsidRPr="00D26DFD">
              <w:rPr>
                <w:rFonts w:eastAsia="Times New Roman" w:cs="Times New Roman"/>
                <w:color w:val="000000"/>
                <w:lang w:val="en-US"/>
              </w:rPr>
              <w:t>500,000</w:t>
            </w:r>
          </w:p>
        </w:tc>
      </w:tr>
    </w:tbl>
    <w:p w:rsidR="008F6973" w:rsidRPr="00D26DFD" w:rsidRDefault="008F6973" w:rsidP="008F6973">
      <w:pPr>
        <w:spacing w:line="240" w:lineRule="auto"/>
        <w:contextualSpacing/>
        <w:rPr>
          <w:rFonts w:eastAsia="Times New Roman" w:cs="Times New Roman"/>
          <w:color w:val="1F497D"/>
          <w:lang w:val="en-US"/>
        </w:rPr>
      </w:pPr>
    </w:p>
    <w:p w:rsidR="008F6973" w:rsidRPr="00D26DFD" w:rsidRDefault="008F6973" w:rsidP="008F6973">
      <w:pPr>
        <w:spacing w:line="240" w:lineRule="auto"/>
        <w:contextualSpacing/>
        <w:rPr>
          <w:rFonts w:eastAsia="Times New Roman" w:cs="Times New Roman"/>
          <w:b/>
          <w:bCs/>
          <w:lang w:val="en-US"/>
        </w:rPr>
      </w:pPr>
      <w:r w:rsidRPr="00D26DFD">
        <w:rPr>
          <w:rFonts w:eastAsia="Times New Roman" w:cs="Times New Roman"/>
          <w:b/>
          <w:bCs/>
          <w:lang w:val="en-US"/>
        </w:rPr>
        <w:t>Or (for Equity ETFs)</w:t>
      </w:r>
    </w:p>
    <w:p w:rsidR="008F6973" w:rsidRPr="00D26DFD" w:rsidRDefault="008F6973" w:rsidP="008F6973">
      <w:pPr>
        <w:spacing w:line="240" w:lineRule="auto"/>
        <w:contextualSpacing/>
        <w:rPr>
          <w:rFonts w:eastAsia="Times New Roman" w:cs="Times New Roman"/>
          <w:color w:val="1F497D"/>
          <w:lang w:val="en-US"/>
        </w:rPr>
      </w:pPr>
    </w:p>
    <w:tbl>
      <w:tblPr>
        <w:tblW w:w="9900" w:type="dxa"/>
        <w:tblCellMar>
          <w:left w:w="0" w:type="dxa"/>
          <w:right w:w="0" w:type="dxa"/>
        </w:tblCellMar>
        <w:tblLook w:val="04A0" w:firstRow="1" w:lastRow="0" w:firstColumn="1" w:lastColumn="0" w:noHBand="0" w:noVBand="1"/>
      </w:tblPr>
      <w:tblGrid>
        <w:gridCol w:w="2380"/>
        <w:gridCol w:w="2780"/>
        <w:gridCol w:w="2480"/>
        <w:gridCol w:w="2260"/>
      </w:tblGrid>
      <w:tr w:rsidR="008F6973" w:rsidRPr="00D26DFD" w:rsidTr="008F6973">
        <w:trPr>
          <w:trHeight w:val="600"/>
        </w:trPr>
        <w:tc>
          <w:tcPr>
            <w:tcW w:w="2380"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b/>
                <w:bCs/>
                <w:color w:val="000000"/>
                <w:lang w:val="en-US"/>
              </w:rPr>
            </w:pPr>
            <w:r w:rsidRPr="00D26DFD">
              <w:rPr>
                <w:rFonts w:eastAsia="Times New Roman" w:cs="Times New Roman"/>
                <w:b/>
                <w:bCs/>
                <w:color w:val="000000"/>
                <w:lang w:val="en-US"/>
              </w:rPr>
              <w:t>Underlying basket of stocks for Equity ETFs</w:t>
            </w:r>
          </w:p>
        </w:tc>
        <w:tc>
          <w:tcPr>
            <w:tcW w:w="2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b/>
                <w:bCs/>
                <w:color w:val="000000"/>
                <w:lang w:val="en-US"/>
              </w:rPr>
            </w:pPr>
            <w:r w:rsidRPr="00D26DFD">
              <w:rPr>
                <w:rFonts w:eastAsia="Times New Roman" w:cs="Times New Roman"/>
                <w:b/>
                <w:bCs/>
                <w:color w:val="000000"/>
                <w:lang w:val="en-US"/>
              </w:rPr>
              <w:t>Free Float</w:t>
            </w:r>
          </w:p>
        </w:tc>
        <w:tc>
          <w:tcPr>
            <w:tcW w:w="2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b/>
                <w:bCs/>
                <w:color w:val="000000"/>
                <w:lang w:val="en-US"/>
              </w:rPr>
            </w:pPr>
            <w:r w:rsidRPr="00D26DFD">
              <w:rPr>
                <w:rFonts w:eastAsia="Times New Roman" w:cs="Times New Roman"/>
                <w:b/>
                <w:bCs/>
                <w:color w:val="000000"/>
                <w:lang w:val="en-US"/>
              </w:rPr>
              <w:t>Average daily number of transactions</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b/>
                <w:bCs/>
                <w:color w:val="000000"/>
                <w:lang w:val="en-US"/>
              </w:rPr>
            </w:pPr>
            <w:r w:rsidRPr="00D26DFD">
              <w:rPr>
                <w:rFonts w:eastAsia="Times New Roman" w:cs="Times New Roman"/>
                <w:b/>
                <w:bCs/>
                <w:color w:val="000000"/>
                <w:lang w:val="en-US"/>
              </w:rPr>
              <w:t>Average daily turnover</w:t>
            </w:r>
          </w:p>
        </w:tc>
      </w:tr>
      <w:tr w:rsidR="008F6973" w:rsidRPr="00D26DFD" w:rsidTr="008F6973">
        <w:trPr>
          <w:trHeight w:val="6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F6973" w:rsidRPr="00D26DFD" w:rsidRDefault="008F6973" w:rsidP="008F6973">
            <w:pPr>
              <w:spacing w:line="240" w:lineRule="auto"/>
              <w:contextualSpacing/>
              <w:rPr>
                <w:rFonts w:eastAsia="Times New Roman" w:cs="Times New Roman"/>
                <w:b/>
                <w:bCs/>
                <w:color w:val="000000"/>
                <w:lang w:val="en-US"/>
              </w:rPr>
            </w:pPr>
          </w:p>
        </w:tc>
        <w:tc>
          <w:tcPr>
            <w:tcW w:w="2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color w:val="000000"/>
                <w:lang w:val="en-US"/>
              </w:rPr>
            </w:pPr>
            <w:r w:rsidRPr="00D26DFD">
              <w:rPr>
                <w:rFonts w:eastAsia="Times New Roman" w:cs="Times New Roman"/>
                <w:color w:val="000000"/>
                <w:lang w:val="en-US"/>
              </w:rPr>
              <w:t xml:space="preserve">EUR 100,000,000 </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color w:val="000000"/>
                <w:lang w:val="en-US"/>
              </w:rPr>
            </w:pPr>
            <w:r w:rsidRPr="00D26DFD">
              <w:rPr>
                <w:rFonts w:eastAsia="Times New Roman" w:cs="Times New Roman"/>
                <w:color w:val="000000"/>
                <w:lang w:val="en-US"/>
              </w:rPr>
              <w:t>250</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6973" w:rsidRPr="00D26DFD" w:rsidRDefault="008F6973" w:rsidP="008F6973">
            <w:pPr>
              <w:spacing w:line="240" w:lineRule="auto"/>
              <w:contextualSpacing/>
              <w:jc w:val="center"/>
              <w:rPr>
                <w:rFonts w:eastAsia="Times New Roman" w:cs="Times New Roman"/>
                <w:color w:val="000000"/>
                <w:lang w:val="en-US"/>
              </w:rPr>
            </w:pPr>
            <w:r w:rsidRPr="00D26DFD">
              <w:rPr>
                <w:rFonts w:eastAsia="Times New Roman" w:cs="Times New Roman"/>
                <w:color w:val="000000"/>
                <w:lang w:val="en-US"/>
              </w:rPr>
              <w:t>EUR 1,000,000</w:t>
            </w:r>
          </w:p>
        </w:tc>
      </w:tr>
    </w:tbl>
    <w:p w:rsidR="008F6973" w:rsidRPr="00D26DFD" w:rsidRDefault="008F6973" w:rsidP="008F6973">
      <w:pPr>
        <w:spacing w:line="240" w:lineRule="auto"/>
        <w:ind w:left="720"/>
        <w:contextualSpacing/>
        <w:rPr>
          <w:rFonts w:eastAsia="Times New Roman" w:cs="Times New Roman"/>
          <w:color w:val="1F497D"/>
          <w:lang w:val="en-US"/>
        </w:rPr>
      </w:pPr>
    </w:p>
    <w:p w:rsidR="008F6973" w:rsidRPr="00D26DFD" w:rsidRDefault="008F6973" w:rsidP="008F6973">
      <w:pPr>
        <w:spacing w:line="240" w:lineRule="auto"/>
        <w:contextualSpacing/>
        <w:rPr>
          <w:rFonts w:eastAsia="Calibri" w:cs="Cordia New"/>
        </w:rPr>
      </w:pPr>
    </w:p>
    <w:p w:rsidR="008F6973" w:rsidRPr="00D26DFD" w:rsidRDefault="008F6973" w:rsidP="008F6973">
      <w:pPr>
        <w:spacing w:line="240" w:lineRule="auto"/>
        <w:contextualSpacing/>
        <w:rPr>
          <w:rFonts w:eastAsia="Calibri" w:cs="Cordia New"/>
        </w:rPr>
      </w:pPr>
      <w:r w:rsidRPr="00D26DFD">
        <w:rPr>
          <w:rFonts w:eastAsia="Calibri" w:cs="Cordia New"/>
        </w:rPr>
        <w:t xml:space="preserve">With </w:t>
      </w:r>
    </w:p>
    <w:p w:rsidR="008F6973" w:rsidRPr="00D26DFD" w:rsidRDefault="008F6973" w:rsidP="008F6973">
      <w:pPr>
        <w:spacing w:line="240" w:lineRule="auto"/>
        <w:contextualSpacing/>
        <w:rPr>
          <w:rFonts w:eastAsia="Calibri" w:cs="Cordia New"/>
        </w:rPr>
      </w:pPr>
      <w:r w:rsidRPr="00D26DFD">
        <w:rPr>
          <w:rFonts w:eastAsia="Calibri" w:cs="Cordia New"/>
        </w:rPr>
        <w:t>Free Float = ∑</w:t>
      </w:r>
      <w:proofErr w:type="gramStart"/>
      <w:r w:rsidRPr="00D26DFD">
        <w:rPr>
          <w:rFonts w:eastAsia="Calibri" w:cs="Cordia New"/>
        </w:rPr>
        <w:t>_(</w:t>
      </w:r>
      <w:proofErr w:type="spellStart"/>
      <w:proofErr w:type="gramEnd"/>
      <w:r w:rsidRPr="00D26DFD">
        <w:rPr>
          <w:rFonts w:eastAsia="Calibri" w:cs="Cordia New"/>
        </w:rPr>
        <w:t>i</w:t>
      </w:r>
      <w:proofErr w:type="spellEnd"/>
      <w:r w:rsidRPr="00D26DFD">
        <w:rPr>
          <w:rFonts w:eastAsia="Calibri" w:cs="Cordia New"/>
        </w:rPr>
        <w:t>=1)^n</w:t>
      </w:r>
      <w:r w:rsidRPr="00D26DFD">
        <w:rPr>
          <w:rFonts w:ascii="Arial" w:eastAsia="Calibri" w:hAnsi="Arial" w:cs="Arial"/>
        </w:rPr>
        <w:t>▒</w:t>
      </w:r>
      <w:r w:rsidRPr="00D26DFD">
        <w:rPr>
          <w:rFonts w:ascii="Cambria Math" w:eastAsia="Calibri" w:hAnsi="Cambria Math" w:cs="Cambria Math"/>
        </w:rPr>
        <w:t>〖</w:t>
      </w:r>
      <w:proofErr w:type="spellStart"/>
      <w:r w:rsidRPr="00D26DFD">
        <w:rPr>
          <w:rFonts w:eastAsia="Calibri" w:cs="Cordia New"/>
        </w:rPr>
        <w:t>w_i</w:t>
      </w:r>
      <w:proofErr w:type="spellEnd"/>
      <w:r w:rsidRPr="00D26DFD">
        <w:rPr>
          <w:rFonts w:eastAsia="Calibri" w:cs="Cordia New"/>
        </w:rPr>
        <w:t xml:space="preserve"> </w:t>
      </w:r>
      <w:r w:rsidRPr="00D26DFD">
        <w:rPr>
          <w:rFonts w:ascii="Cambria Math" w:eastAsia="Calibri" w:hAnsi="Cambria Math" w:cs="Cambria Math"/>
        </w:rPr>
        <w:t>〖</w:t>
      </w:r>
      <w:proofErr w:type="spellStart"/>
      <w:r w:rsidRPr="00D26DFD">
        <w:rPr>
          <w:rFonts w:eastAsia="Calibri" w:cs="Cordia New"/>
        </w:rPr>
        <w:t>ff</w:t>
      </w:r>
      <w:proofErr w:type="spellEnd"/>
      <w:r w:rsidRPr="00D26DFD">
        <w:rPr>
          <w:rFonts w:ascii="Cambria Math" w:eastAsia="Calibri" w:hAnsi="Cambria Math" w:cs="Cambria Math"/>
        </w:rPr>
        <w:t>〗</w:t>
      </w:r>
      <w:r w:rsidRPr="00D26DFD">
        <w:rPr>
          <w:rFonts w:eastAsia="Calibri" w:cs="Cordia New"/>
        </w:rPr>
        <w:t>_</w:t>
      </w:r>
      <w:proofErr w:type="spellStart"/>
      <w:r w:rsidRPr="00D26DFD">
        <w:rPr>
          <w:rFonts w:eastAsia="Calibri" w:cs="Cordia New"/>
        </w:rPr>
        <w:t>i</w:t>
      </w:r>
      <w:proofErr w:type="spellEnd"/>
      <w:r w:rsidRPr="00D26DFD">
        <w:rPr>
          <w:rFonts w:eastAsia="Calibri" w:cs="Cordia New"/>
        </w:rPr>
        <w:t xml:space="preserve"> </w:t>
      </w:r>
      <w:r w:rsidRPr="00D26DFD">
        <w:rPr>
          <w:rFonts w:ascii="Cambria Math" w:eastAsia="Calibri" w:hAnsi="Cambria Math" w:cs="Cambria Math"/>
        </w:rPr>
        <w:t>〗</w:t>
      </w:r>
      <w:r w:rsidRPr="00D26DFD">
        <w:rPr>
          <w:rFonts w:eastAsia="Calibri" w:cs="Cordia New"/>
        </w:rPr>
        <w:t xml:space="preserve"> where </w:t>
      </w:r>
      <w:proofErr w:type="spellStart"/>
      <w:r w:rsidRPr="00D26DFD">
        <w:rPr>
          <w:rFonts w:eastAsia="Calibri" w:cs="Cordia New"/>
        </w:rPr>
        <w:t>w_i</w:t>
      </w:r>
      <w:proofErr w:type="spellEnd"/>
      <w:r w:rsidRPr="00D26DFD">
        <w:rPr>
          <w:rFonts w:eastAsia="Calibri" w:cs="Cordia New"/>
        </w:rPr>
        <w:t xml:space="preserve"> is the weight of stock </w:t>
      </w:r>
      <w:proofErr w:type="spellStart"/>
      <w:r w:rsidRPr="00D26DFD">
        <w:rPr>
          <w:rFonts w:eastAsia="Calibri" w:cs="Cordia New"/>
        </w:rPr>
        <w:t>i</w:t>
      </w:r>
      <w:proofErr w:type="spellEnd"/>
      <w:r w:rsidRPr="00D26DFD">
        <w:rPr>
          <w:rFonts w:eastAsia="Calibri" w:cs="Cordia New"/>
        </w:rPr>
        <w:t xml:space="preserve"> in the underlying basket and </w:t>
      </w:r>
      <w:r w:rsidRPr="00D26DFD">
        <w:rPr>
          <w:rFonts w:ascii="Cambria Math" w:eastAsia="Calibri" w:hAnsi="Cambria Math" w:cs="Cambria Math"/>
        </w:rPr>
        <w:t>〖</w:t>
      </w:r>
      <w:proofErr w:type="spellStart"/>
      <w:r w:rsidRPr="00D26DFD">
        <w:rPr>
          <w:rFonts w:eastAsia="Calibri" w:cs="Cordia New"/>
        </w:rPr>
        <w:t>ff</w:t>
      </w:r>
      <w:proofErr w:type="spellEnd"/>
      <w:r w:rsidRPr="00D26DFD">
        <w:rPr>
          <w:rFonts w:ascii="Cambria Math" w:eastAsia="Calibri" w:hAnsi="Cambria Math" w:cs="Cambria Math"/>
        </w:rPr>
        <w:t>〗</w:t>
      </w:r>
      <w:r w:rsidRPr="00D26DFD">
        <w:rPr>
          <w:rFonts w:eastAsia="Calibri" w:cs="Cordia New"/>
        </w:rPr>
        <w:t>_</w:t>
      </w:r>
      <w:proofErr w:type="spellStart"/>
      <w:r w:rsidRPr="00D26DFD">
        <w:rPr>
          <w:rFonts w:eastAsia="Calibri" w:cs="Cordia New"/>
        </w:rPr>
        <w:t>i</w:t>
      </w:r>
      <w:proofErr w:type="spellEnd"/>
      <w:r w:rsidRPr="00D26DFD">
        <w:rPr>
          <w:rFonts w:eastAsia="Calibri" w:cs="Cordia New"/>
        </w:rPr>
        <w:t xml:space="preserve"> is the Free Float of stock </w:t>
      </w:r>
      <w:proofErr w:type="spellStart"/>
      <w:r w:rsidRPr="00D26DFD">
        <w:rPr>
          <w:rFonts w:eastAsia="Calibri" w:cs="Cordia New"/>
        </w:rPr>
        <w:t>i</w:t>
      </w:r>
      <w:proofErr w:type="spellEnd"/>
      <w:r w:rsidRPr="00D26DFD">
        <w:rPr>
          <w:rFonts w:eastAsia="Calibri" w:cs="Cordia New"/>
        </w:rPr>
        <w:t xml:space="preserve"> </w:t>
      </w:r>
    </w:p>
    <w:p w:rsidR="008F6973" w:rsidRPr="00D26DFD" w:rsidRDefault="008F6973" w:rsidP="008F6973">
      <w:pPr>
        <w:spacing w:line="240" w:lineRule="auto"/>
        <w:contextualSpacing/>
        <w:rPr>
          <w:rFonts w:eastAsia="Calibri" w:cs="Cordia New"/>
        </w:rPr>
      </w:pPr>
      <w:r w:rsidRPr="00D26DFD">
        <w:rPr>
          <w:rFonts w:eastAsia="Calibri" w:cs="Cordia New"/>
        </w:rPr>
        <w:t>ADNT = ∑</w:t>
      </w:r>
      <w:proofErr w:type="gramStart"/>
      <w:r w:rsidRPr="00D26DFD">
        <w:rPr>
          <w:rFonts w:eastAsia="Calibri" w:cs="Cordia New"/>
        </w:rPr>
        <w:t>_(</w:t>
      </w:r>
      <w:proofErr w:type="spellStart"/>
      <w:proofErr w:type="gramEnd"/>
      <w:r w:rsidRPr="00D26DFD">
        <w:rPr>
          <w:rFonts w:eastAsia="Calibri" w:cs="Cordia New"/>
        </w:rPr>
        <w:t>i</w:t>
      </w:r>
      <w:proofErr w:type="spellEnd"/>
      <w:r w:rsidRPr="00D26DFD">
        <w:rPr>
          <w:rFonts w:eastAsia="Calibri" w:cs="Cordia New"/>
        </w:rPr>
        <w:t>=1)^n</w:t>
      </w:r>
      <w:r w:rsidRPr="00D26DFD">
        <w:rPr>
          <w:rFonts w:ascii="Arial" w:eastAsia="Calibri" w:hAnsi="Arial" w:cs="Arial"/>
        </w:rPr>
        <w:t>▒</w:t>
      </w:r>
      <w:r w:rsidRPr="00D26DFD">
        <w:rPr>
          <w:rFonts w:ascii="Cambria Math" w:eastAsia="Calibri" w:hAnsi="Cambria Math" w:cs="Cambria Math"/>
        </w:rPr>
        <w:t>〖</w:t>
      </w:r>
      <w:proofErr w:type="spellStart"/>
      <w:r w:rsidRPr="00D26DFD">
        <w:rPr>
          <w:rFonts w:eastAsia="Calibri" w:cs="Cordia New"/>
        </w:rPr>
        <w:t>w_i</w:t>
      </w:r>
      <w:proofErr w:type="spellEnd"/>
      <w:r w:rsidRPr="00D26DFD">
        <w:rPr>
          <w:rFonts w:eastAsia="Calibri" w:cs="Cordia New"/>
        </w:rPr>
        <w:t xml:space="preserve"> </w:t>
      </w:r>
      <w:r w:rsidRPr="00D26DFD">
        <w:rPr>
          <w:rFonts w:ascii="Cambria Math" w:eastAsia="Calibri" w:hAnsi="Cambria Math" w:cs="Cambria Math"/>
        </w:rPr>
        <w:t>〖</w:t>
      </w:r>
      <w:r w:rsidRPr="00D26DFD">
        <w:rPr>
          <w:rFonts w:eastAsia="Calibri" w:cs="Cordia New"/>
        </w:rPr>
        <w:t>ADNT</w:t>
      </w:r>
      <w:r w:rsidRPr="00D26DFD">
        <w:rPr>
          <w:rFonts w:ascii="Cambria Math" w:eastAsia="Calibri" w:hAnsi="Cambria Math" w:cs="Cambria Math"/>
        </w:rPr>
        <w:t>〗</w:t>
      </w:r>
      <w:r w:rsidRPr="00D26DFD">
        <w:rPr>
          <w:rFonts w:eastAsia="Calibri" w:cs="Cordia New"/>
        </w:rPr>
        <w:t>_</w:t>
      </w:r>
      <w:proofErr w:type="spellStart"/>
      <w:r w:rsidRPr="00D26DFD">
        <w:rPr>
          <w:rFonts w:eastAsia="Calibri" w:cs="Cordia New"/>
        </w:rPr>
        <w:t>i</w:t>
      </w:r>
      <w:proofErr w:type="spellEnd"/>
      <w:r w:rsidRPr="00D26DFD">
        <w:rPr>
          <w:rFonts w:eastAsia="Calibri" w:cs="Cordia New"/>
        </w:rPr>
        <w:t xml:space="preserve"> </w:t>
      </w:r>
      <w:r w:rsidRPr="00D26DFD">
        <w:rPr>
          <w:rFonts w:ascii="Cambria Math" w:eastAsia="Calibri" w:hAnsi="Cambria Math" w:cs="Cambria Math"/>
        </w:rPr>
        <w:t>〗</w:t>
      </w:r>
      <w:r w:rsidRPr="00D26DFD">
        <w:rPr>
          <w:rFonts w:eastAsia="Calibri" w:cs="Cordia New"/>
        </w:rPr>
        <w:t xml:space="preserve"> where </w:t>
      </w:r>
      <w:proofErr w:type="spellStart"/>
      <w:r w:rsidRPr="00D26DFD">
        <w:rPr>
          <w:rFonts w:eastAsia="Calibri" w:cs="Cordia New"/>
        </w:rPr>
        <w:t>w_i</w:t>
      </w:r>
      <w:proofErr w:type="spellEnd"/>
      <w:r w:rsidRPr="00D26DFD">
        <w:rPr>
          <w:rFonts w:eastAsia="Calibri" w:cs="Cordia New"/>
        </w:rPr>
        <w:t xml:space="preserve"> is the weight of stock </w:t>
      </w:r>
      <w:proofErr w:type="spellStart"/>
      <w:r w:rsidRPr="00D26DFD">
        <w:rPr>
          <w:rFonts w:eastAsia="Calibri" w:cs="Cordia New"/>
        </w:rPr>
        <w:t>i</w:t>
      </w:r>
      <w:proofErr w:type="spellEnd"/>
      <w:r w:rsidRPr="00D26DFD">
        <w:rPr>
          <w:rFonts w:eastAsia="Calibri" w:cs="Cordia New"/>
        </w:rPr>
        <w:t xml:space="preserve"> in the underlying basket and </w:t>
      </w:r>
      <w:r w:rsidRPr="00D26DFD">
        <w:rPr>
          <w:rFonts w:ascii="Cambria Math" w:eastAsia="Calibri" w:hAnsi="Cambria Math" w:cs="Cambria Math"/>
        </w:rPr>
        <w:t>〖</w:t>
      </w:r>
      <w:r w:rsidRPr="00D26DFD">
        <w:rPr>
          <w:rFonts w:eastAsia="Calibri" w:cs="Cordia New"/>
        </w:rPr>
        <w:t>ADNT</w:t>
      </w:r>
      <w:r w:rsidRPr="00D26DFD">
        <w:rPr>
          <w:rFonts w:ascii="Cambria Math" w:eastAsia="Calibri" w:hAnsi="Cambria Math" w:cs="Cambria Math"/>
        </w:rPr>
        <w:t>〗</w:t>
      </w:r>
      <w:r w:rsidRPr="00D26DFD">
        <w:rPr>
          <w:rFonts w:eastAsia="Calibri" w:cs="Cordia New"/>
        </w:rPr>
        <w:t>_</w:t>
      </w:r>
      <w:proofErr w:type="spellStart"/>
      <w:r w:rsidRPr="00D26DFD">
        <w:rPr>
          <w:rFonts w:eastAsia="Calibri" w:cs="Cordia New"/>
        </w:rPr>
        <w:t>i</w:t>
      </w:r>
      <w:proofErr w:type="spellEnd"/>
      <w:r w:rsidRPr="00D26DFD">
        <w:rPr>
          <w:rFonts w:eastAsia="Calibri" w:cs="Cordia New"/>
        </w:rPr>
        <w:t xml:space="preserve"> is the Average daily number of transactions of stock </w:t>
      </w:r>
      <w:proofErr w:type="spellStart"/>
      <w:r w:rsidRPr="00D26DFD">
        <w:rPr>
          <w:rFonts w:eastAsia="Calibri" w:cs="Cordia New"/>
        </w:rPr>
        <w:t>i</w:t>
      </w:r>
      <w:proofErr w:type="spellEnd"/>
      <w:r w:rsidRPr="00D26DFD">
        <w:rPr>
          <w:rFonts w:eastAsia="Calibri" w:cs="Cordia New"/>
        </w:rPr>
        <w:t xml:space="preserve"> </w:t>
      </w:r>
    </w:p>
    <w:p w:rsidR="008F6973" w:rsidRPr="00D26DFD" w:rsidRDefault="008F6973" w:rsidP="008F6973">
      <w:pPr>
        <w:spacing w:line="240" w:lineRule="auto"/>
        <w:contextualSpacing/>
        <w:rPr>
          <w:rFonts w:eastAsia="Calibri" w:cs="Cordia New"/>
        </w:rPr>
      </w:pPr>
      <w:r w:rsidRPr="00D26DFD">
        <w:rPr>
          <w:rFonts w:eastAsia="Calibri" w:cs="Cordia New"/>
        </w:rPr>
        <w:t>ADV = ∑</w:t>
      </w:r>
      <w:proofErr w:type="gramStart"/>
      <w:r w:rsidRPr="00D26DFD">
        <w:rPr>
          <w:rFonts w:eastAsia="Calibri" w:cs="Cordia New"/>
        </w:rPr>
        <w:t>_(</w:t>
      </w:r>
      <w:proofErr w:type="spellStart"/>
      <w:proofErr w:type="gramEnd"/>
      <w:r w:rsidRPr="00D26DFD">
        <w:rPr>
          <w:rFonts w:eastAsia="Calibri" w:cs="Cordia New"/>
        </w:rPr>
        <w:t>i</w:t>
      </w:r>
      <w:proofErr w:type="spellEnd"/>
      <w:r w:rsidRPr="00D26DFD">
        <w:rPr>
          <w:rFonts w:eastAsia="Calibri" w:cs="Cordia New"/>
        </w:rPr>
        <w:t>=1)^n</w:t>
      </w:r>
      <w:r w:rsidRPr="00D26DFD">
        <w:rPr>
          <w:rFonts w:ascii="Arial" w:eastAsia="Calibri" w:hAnsi="Arial" w:cs="Arial"/>
        </w:rPr>
        <w:t>▒</w:t>
      </w:r>
      <w:r w:rsidRPr="00D26DFD">
        <w:rPr>
          <w:rFonts w:ascii="Cambria Math" w:eastAsia="Calibri" w:hAnsi="Cambria Math" w:cs="Cambria Math"/>
        </w:rPr>
        <w:t>〖</w:t>
      </w:r>
      <w:proofErr w:type="spellStart"/>
      <w:r w:rsidRPr="00D26DFD">
        <w:rPr>
          <w:rFonts w:eastAsia="Calibri" w:cs="Cordia New"/>
        </w:rPr>
        <w:t>w_i</w:t>
      </w:r>
      <w:proofErr w:type="spellEnd"/>
      <w:r w:rsidRPr="00D26DFD">
        <w:rPr>
          <w:rFonts w:eastAsia="Calibri" w:cs="Cordia New"/>
        </w:rPr>
        <w:t xml:space="preserve"> </w:t>
      </w:r>
      <w:r w:rsidRPr="00D26DFD">
        <w:rPr>
          <w:rFonts w:ascii="Cambria Math" w:eastAsia="Calibri" w:hAnsi="Cambria Math" w:cs="Cambria Math"/>
        </w:rPr>
        <w:t>〖</w:t>
      </w:r>
      <w:r w:rsidRPr="00D26DFD">
        <w:rPr>
          <w:rFonts w:eastAsia="Calibri" w:cs="Cordia New"/>
        </w:rPr>
        <w:t>ADV</w:t>
      </w:r>
      <w:r w:rsidRPr="00D26DFD">
        <w:rPr>
          <w:rFonts w:ascii="Cambria Math" w:eastAsia="Calibri" w:hAnsi="Cambria Math" w:cs="Cambria Math"/>
        </w:rPr>
        <w:t>〗</w:t>
      </w:r>
      <w:r w:rsidRPr="00D26DFD">
        <w:rPr>
          <w:rFonts w:eastAsia="Calibri" w:cs="Cordia New"/>
        </w:rPr>
        <w:t>_</w:t>
      </w:r>
      <w:proofErr w:type="spellStart"/>
      <w:r w:rsidRPr="00D26DFD">
        <w:rPr>
          <w:rFonts w:eastAsia="Calibri" w:cs="Cordia New"/>
        </w:rPr>
        <w:t>i</w:t>
      </w:r>
      <w:proofErr w:type="spellEnd"/>
      <w:r w:rsidRPr="00D26DFD">
        <w:rPr>
          <w:rFonts w:eastAsia="Calibri" w:cs="Cordia New"/>
        </w:rPr>
        <w:t xml:space="preserve"> </w:t>
      </w:r>
      <w:r w:rsidRPr="00D26DFD">
        <w:rPr>
          <w:rFonts w:ascii="Cambria Math" w:eastAsia="Calibri" w:hAnsi="Cambria Math" w:cs="Cambria Math"/>
        </w:rPr>
        <w:t>〗</w:t>
      </w:r>
      <w:r w:rsidRPr="00D26DFD">
        <w:rPr>
          <w:rFonts w:eastAsia="Calibri" w:cs="Cordia New"/>
        </w:rPr>
        <w:t xml:space="preserve"> where </w:t>
      </w:r>
      <w:proofErr w:type="spellStart"/>
      <w:r w:rsidRPr="00D26DFD">
        <w:rPr>
          <w:rFonts w:eastAsia="Calibri" w:cs="Cordia New"/>
        </w:rPr>
        <w:t>w_i</w:t>
      </w:r>
      <w:proofErr w:type="spellEnd"/>
      <w:r w:rsidRPr="00D26DFD">
        <w:rPr>
          <w:rFonts w:eastAsia="Calibri" w:cs="Cordia New"/>
        </w:rPr>
        <w:t xml:space="preserve"> is the weight of stock </w:t>
      </w:r>
      <w:proofErr w:type="spellStart"/>
      <w:r w:rsidRPr="00D26DFD">
        <w:rPr>
          <w:rFonts w:eastAsia="Calibri" w:cs="Cordia New"/>
        </w:rPr>
        <w:t>i</w:t>
      </w:r>
      <w:proofErr w:type="spellEnd"/>
      <w:r w:rsidRPr="00D26DFD">
        <w:rPr>
          <w:rFonts w:eastAsia="Calibri" w:cs="Cordia New"/>
        </w:rPr>
        <w:t xml:space="preserve"> in the underlying basket and </w:t>
      </w:r>
      <w:r w:rsidRPr="00D26DFD">
        <w:rPr>
          <w:rFonts w:ascii="Cambria Math" w:eastAsia="Calibri" w:hAnsi="Cambria Math" w:cs="Cambria Math"/>
        </w:rPr>
        <w:t>〖</w:t>
      </w:r>
      <w:r w:rsidRPr="00D26DFD">
        <w:rPr>
          <w:rFonts w:eastAsia="Calibri" w:cs="Cordia New"/>
        </w:rPr>
        <w:t>ADV</w:t>
      </w:r>
      <w:r w:rsidRPr="00D26DFD">
        <w:rPr>
          <w:rFonts w:ascii="Cambria Math" w:eastAsia="Calibri" w:hAnsi="Cambria Math" w:cs="Cambria Math"/>
        </w:rPr>
        <w:t>〗</w:t>
      </w:r>
      <w:r w:rsidRPr="00D26DFD">
        <w:rPr>
          <w:rFonts w:eastAsia="Calibri" w:cs="Cordia New"/>
        </w:rPr>
        <w:t>_</w:t>
      </w:r>
      <w:proofErr w:type="spellStart"/>
      <w:r w:rsidRPr="00D26DFD">
        <w:rPr>
          <w:rFonts w:eastAsia="Calibri" w:cs="Cordia New"/>
        </w:rPr>
        <w:t>i</w:t>
      </w:r>
      <w:proofErr w:type="spellEnd"/>
      <w:r w:rsidRPr="00D26DFD">
        <w:rPr>
          <w:rFonts w:eastAsia="Calibri" w:cs="Cordia New"/>
        </w:rPr>
        <w:t xml:space="preserve"> is the Average daily turnover of stock </w:t>
      </w:r>
      <w:proofErr w:type="spellStart"/>
      <w:r w:rsidRPr="00D26DFD">
        <w:rPr>
          <w:rFonts w:eastAsia="Calibri" w:cs="Cordia New"/>
        </w:rPr>
        <w:t>i</w:t>
      </w:r>
      <w:proofErr w:type="spellEnd"/>
      <w:r w:rsidRPr="00D26DFD">
        <w:rPr>
          <w:rFonts w:eastAsia="Calibri" w:cs="Cordia New"/>
        </w:rPr>
        <w:t xml:space="preserve"> </w:t>
      </w:r>
    </w:p>
    <w:p w:rsidR="008F6973" w:rsidRPr="000D2999" w:rsidRDefault="008F6973" w:rsidP="008F6973">
      <w:pPr>
        <w:spacing w:line="240" w:lineRule="auto"/>
        <w:contextualSpacing/>
        <w:rPr>
          <w:rFonts w:eastAsia="Cambria" w:cs="Arial"/>
          <w:lang w:val="en-US"/>
        </w:rPr>
      </w:pPr>
    </w:p>
    <w:p w:rsidR="008F6973" w:rsidRPr="000D2999" w:rsidRDefault="008F6973" w:rsidP="008F6973">
      <w:pPr>
        <w:spacing w:line="240" w:lineRule="auto"/>
        <w:contextualSpacing/>
        <w:rPr>
          <w:rFonts w:eastAsia="Cambria" w:cs="Arial"/>
          <w:lang w:val="en-US"/>
        </w:rPr>
      </w:pPr>
      <w:r w:rsidRPr="000D2999">
        <w:rPr>
          <w:rFonts w:eastAsia="Cambria" w:cs="Arial"/>
          <w:lang w:val="en-US"/>
        </w:rPr>
        <w:t xml:space="preserve">As a fallback solution, we support the alternative approach to implement a single threshold of EUR 1 million which should apply to all ETFs regardless of their liquidity. The introduction of the single large in scale threshold is much easier to implement than the large in scale thresholds based on different classes.  </w:t>
      </w:r>
    </w:p>
    <w:permEnd w:id="96547731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367032898" w:edGrp="everyone"/>
      <w:r>
        <w:t>TYPE YOUR TEXT HERE</w:t>
      </w:r>
    </w:p>
    <w:permEnd w:id="367032898"/>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8F6973" w:rsidRPr="000D2999" w:rsidRDefault="008F6973" w:rsidP="008F6973">
      <w:pPr>
        <w:keepNext/>
        <w:spacing w:line="240" w:lineRule="auto"/>
        <w:contextualSpacing/>
        <w:rPr>
          <w:rFonts w:eastAsia="Cambria" w:cs="Arial"/>
        </w:rPr>
      </w:pPr>
      <w:permStart w:id="1323922141" w:edGrp="everyone"/>
      <w:r w:rsidRPr="000D2999">
        <w:t xml:space="preserve">We agree with the proposed approach as it maintains the ability to execute large orders through order books without revealing sensitive information to the market. </w:t>
      </w:r>
    </w:p>
    <w:permEnd w:id="1323922141"/>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8F6973" w:rsidRPr="000D2999" w:rsidRDefault="008F6973" w:rsidP="008F6973">
      <w:pPr>
        <w:pStyle w:val="NoSpacing"/>
        <w:contextualSpacing/>
        <w:rPr>
          <w:sz w:val="22"/>
          <w:szCs w:val="22"/>
        </w:rPr>
      </w:pPr>
      <w:permStart w:id="58029837" w:edGrp="everyone"/>
      <w:r w:rsidRPr="000D2999">
        <w:rPr>
          <w:sz w:val="22"/>
          <w:szCs w:val="22"/>
        </w:rPr>
        <w:t>We support the proposal to publish with each quote the time the quote has been entered or updated.</w:t>
      </w:r>
    </w:p>
    <w:p w:rsidR="008F6973" w:rsidRPr="000D2999" w:rsidRDefault="008F6973" w:rsidP="008F6973">
      <w:pPr>
        <w:pStyle w:val="NoSpacing"/>
        <w:contextualSpacing/>
        <w:rPr>
          <w:sz w:val="22"/>
          <w:szCs w:val="22"/>
        </w:rPr>
      </w:pPr>
    </w:p>
    <w:p w:rsidR="008F6973" w:rsidRPr="000D2999" w:rsidRDefault="008F6973" w:rsidP="008F6973">
      <w:pPr>
        <w:keepNext/>
        <w:spacing w:line="240" w:lineRule="auto"/>
        <w:contextualSpacing/>
      </w:pPr>
      <w:r w:rsidRPr="000D2999">
        <w:lastRenderedPageBreak/>
        <w:t>In order to allow the buy side to better verify best execution and improve the quality and reliability of quotes being offered to the market,</w:t>
      </w:r>
      <w:r>
        <w:t xml:space="preserve"> </w:t>
      </w:r>
      <w:r w:rsidRPr="000D2999">
        <w:t xml:space="preserve">systematic </w:t>
      </w:r>
      <w:proofErr w:type="spellStart"/>
      <w:r w:rsidRPr="000D2999">
        <w:t>internalisers</w:t>
      </w:r>
      <w:proofErr w:type="spellEnd"/>
      <w:r w:rsidRPr="000D2999">
        <w:t xml:space="preserve"> should be required to publish of the time the quote is entered and updated.</w:t>
      </w:r>
    </w:p>
    <w:permEnd w:id="5802983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8F6973" w:rsidRPr="000D2999" w:rsidRDefault="008F6973" w:rsidP="008F6973">
      <w:pPr>
        <w:pStyle w:val="NoSpacing"/>
        <w:contextualSpacing/>
        <w:jc w:val="both"/>
        <w:rPr>
          <w:sz w:val="22"/>
          <w:szCs w:val="22"/>
        </w:rPr>
      </w:pPr>
      <w:permStart w:id="1401177884" w:edGrp="everyone"/>
      <w:r w:rsidRPr="000D2999">
        <w:rPr>
          <w:sz w:val="22"/>
          <w:szCs w:val="22"/>
        </w:rPr>
        <w:t>We agree that a price reflects the prevailing market conditions when close to comparable quotes for the same equity or equity-like instrument on other trading venues.</w:t>
      </w:r>
    </w:p>
    <w:permEnd w:id="1401177884"/>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8F6973" w:rsidRPr="000D2999" w:rsidRDefault="008F6973" w:rsidP="008F6973">
      <w:pPr>
        <w:keepNext/>
        <w:spacing w:line="240" w:lineRule="auto"/>
        <w:contextualSpacing/>
      </w:pPr>
      <w:permStart w:id="1417824059" w:edGrp="everyone"/>
      <w:r w:rsidRPr="000D2999">
        <w:t>We agree with the proposed classes by average value of transactions and applicable standard market size, including for ETFs.</w:t>
      </w:r>
    </w:p>
    <w:permEnd w:id="1417824059"/>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8F6973" w:rsidRPr="000D2999" w:rsidRDefault="008F6973" w:rsidP="008F6973">
      <w:pPr>
        <w:pStyle w:val="NoSpacing"/>
        <w:contextualSpacing/>
        <w:jc w:val="both"/>
        <w:rPr>
          <w:sz w:val="22"/>
          <w:szCs w:val="22"/>
        </w:rPr>
      </w:pPr>
      <w:permStart w:id="823608208" w:edGrp="everyone"/>
      <w:r w:rsidRPr="000D2999">
        <w:rPr>
          <w:sz w:val="22"/>
          <w:szCs w:val="22"/>
        </w:rPr>
        <w:t>We agree with the proposed list. We also agree with the proposal to have an exhaustive list as it allows for an appropriate balance between consistency across EU countries and proportionality.</w:t>
      </w:r>
    </w:p>
    <w:p w:rsidR="008F6973" w:rsidRDefault="008F6973" w:rsidP="008F6973">
      <w:pPr>
        <w:pStyle w:val="NoSpacing"/>
        <w:contextualSpacing/>
        <w:jc w:val="both"/>
        <w:rPr>
          <w:sz w:val="22"/>
          <w:szCs w:val="22"/>
        </w:rPr>
      </w:pPr>
    </w:p>
    <w:p w:rsidR="008F6973" w:rsidRPr="000D2999" w:rsidRDefault="008F6973" w:rsidP="008F6973">
      <w:pPr>
        <w:pStyle w:val="NoSpacing"/>
        <w:contextualSpacing/>
        <w:jc w:val="both"/>
        <w:rPr>
          <w:sz w:val="22"/>
          <w:szCs w:val="22"/>
        </w:rPr>
      </w:pPr>
      <w:r w:rsidRPr="00BF6259">
        <w:rPr>
          <w:sz w:val="22"/>
          <w:szCs w:val="22"/>
        </w:rPr>
        <w:t xml:space="preserve">We would suggest ESMA clarify that, ‘where no other investment firm is involved’, would include situations where the asset manager uses a broker </w:t>
      </w:r>
      <w:r>
        <w:rPr>
          <w:sz w:val="22"/>
          <w:szCs w:val="22"/>
        </w:rPr>
        <w:t xml:space="preserve">to </w:t>
      </w:r>
      <w:r w:rsidRPr="00BF6259">
        <w:rPr>
          <w:sz w:val="22"/>
          <w:szCs w:val="22"/>
        </w:rPr>
        <w:t>obtain the current mid-price and delegate transaction reporting obligations.</w:t>
      </w:r>
    </w:p>
    <w:permEnd w:id="823608208"/>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8F6973" w:rsidRPr="000D2999" w:rsidRDefault="008F6973" w:rsidP="008F6973">
      <w:pPr>
        <w:pStyle w:val="NoSpacing"/>
        <w:contextualSpacing/>
        <w:jc w:val="both"/>
        <w:rPr>
          <w:sz w:val="22"/>
          <w:szCs w:val="22"/>
        </w:rPr>
      </w:pPr>
      <w:permStart w:id="1483408989" w:edGrp="everyone"/>
      <w:r w:rsidRPr="000D2999">
        <w:rPr>
          <w:sz w:val="22"/>
          <w:szCs w:val="22"/>
        </w:rPr>
        <w:t>We agree with the proposed list of information</w:t>
      </w:r>
    </w:p>
    <w:p w:rsidR="008F6973" w:rsidRPr="000D2999" w:rsidRDefault="008F6973" w:rsidP="008F6973">
      <w:pPr>
        <w:pStyle w:val="NoSpacing"/>
        <w:contextualSpacing/>
        <w:jc w:val="both"/>
        <w:rPr>
          <w:sz w:val="22"/>
          <w:szCs w:val="22"/>
        </w:rPr>
      </w:pPr>
    </w:p>
    <w:p w:rsidR="008F6973" w:rsidRPr="000D2999" w:rsidRDefault="008F6973" w:rsidP="008F6973">
      <w:pPr>
        <w:pStyle w:val="NoSpacing"/>
        <w:contextualSpacing/>
        <w:jc w:val="both"/>
        <w:rPr>
          <w:sz w:val="22"/>
          <w:szCs w:val="22"/>
        </w:rPr>
      </w:pPr>
      <w:r w:rsidRPr="000D2999">
        <w:rPr>
          <w:sz w:val="22"/>
          <w:szCs w:val="22"/>
        </w:rPr>
        <w:t xml:space="preserve">We would however remind ESMA that the duplication of transaction data reported might be the consequence of a different interpretation of applicable regulation by NCA’s, as we expressed in our reply to the question Q376 of the DP. </w:t>
      </w:r>
    </w:p>
    <w:p w:rsidR="008F6973" w:rsidRPr="000D2999" w:rsidRDefault="008F6973" w:rsidP="008F6973">
      <w:pPr>
        <w:pStyle w:val="NoSpacing"/>
        <w:contextualSpacing/>
        <w:jc w:val="both"/>
        <w:rPr>
          <w:sz w:val="22"/>
          <w:szCs w:val="22"/>
        </w:rPr>
      </w:pPr>
    </w:p>
    <w:p w:rsidR="008F6973" w:rsidRPr="000D2999" w:rsidRDefault="008F6973" w:rsidP="008F6973">
      <w:pPr>
        <w:pStyle w:val="NoSpacing"/>
        <w:contextualSpacing/>
        <w:jc w:val="both"/>
        <w:rPr>
          <w:sz w:val="22"/>
          <w:szCs w:val="22"/>
        </w:rPr>
      </w:pPr>
      <w:r w:rsidRPr="000D2999">
        <w:rPr>
          <w:sz w:val="22"/>
          <w:szCs w:val="22"/>
        </w:rPr>
        <w:t xml:space="preserve">The extent to with Art. 9 EMIR is applied or not on contractual relationships by different NCA may lead to duplicative reports and to some additional reconciliation exercises. EFAMA supports the overall goal that duplicative reports should be avoided and therefore supports any endeavour of ESMA to achieve this goal.  </w:t>
      </w:r>
    </w:p>
    <w:permEnd w:id="1483408989"/>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76634686" w:edGrp="everyone"/>
      <w:r>
        <w:t>TYPE YOUR TEXT HERE</w:t>
      </w:r>
    </w:p>
    <w:permEnd w:id="176634686"/>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8F6973" w:rsidRPr="000D2999" w:rsidRDefault="008F6973" w:rsidP="008F6973">
      <w:pPr>
        <w:pStyle w:val="NoSpacing"/>
        <w:contextualSpacing/>
        <w:jc w:val="both"/>
        <w:rPr>
          <w:sz w:val="22"/>
          <w:szCs w:val="22"/>
        </w:rPr>
      </w:pPr>
      <w:permStart w:id="1958641161" w:edGrp="everyone"/>
      <w:r w:rsidRPr="000D2999">
        <w:rPr>
          <w:sz w:val="22"/>
          <w:szCs w:val="22"/>
        </w:rPr>
        <w:t xml:space="preserve">We agree with the proposed list of flags that trading venues and investment firms have to make public.  </w:t>
      </w:r>
    </w:p>
    <w:p w:rsidR="008F6973" w:rsidRPr="000D2999" w:rsidRDefault="008F6973" w:rsidP="008F6973">
      <w:pPr>
        <w:pStyle w:val="NoSpacing"/>
        <w:contextualSpacing/>
        <w:jc w:val="both"/>
        <w:rPr>
          <w:sz w:val="22"/>
          <w:szCs w:val="22"/>
        </w:rPr>
      </w:pPr>
    </w:p>
    <w:p w:rsidR="008F6973" w:rsidRPr="000D2999" w:rsidRDefault="008F6973" w:rsidP="008F6973">
      <w:pPr>
        <w:pStyle w:val="NoSpacing"/>
        <w:contextualSpacing/>
        <w:jc w:val="both"/>
        <w:rPr>
          <w:sz w:val="22"/>
          <w:szCs w:val="22"/>
        </w:rPr>
      </w:pPr>
      <w:r w:rsidRPr="000D2999">
        <w:rPr>
          <w:sz w:val="22"/>
          <w:szCs w:val="22"/>
        </w:rPr>
        <w:t xml:space="preserve">However, we encourage ESMA to align its requirements to the greatest extent possible with existing reporting such EMIR. </w:t>
      </w:r>
    </w:p>
    <w:permEnd w:id="195864116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8F6973" w:rsidRPr="00231576" w:rsidRDefault="008F6973" w:rsidP="008F6973">
      <w:pPr>
        <w:pStyle w:val="NoSpacing"/>
        <w:contextualSpacing/>
        <w:jc w:val="both"/>
        <w:rPr>
          <w:sz w:val="22"/>
          <w:szCs w:val="22"/>
        </w:rPr>
      </w:pPr>
      <w:permStart w:id="14971247" w:edGrp="everyone"/>
      <w:r w:rsidRPr="00231576">
        <w:rPr>
          <w:sz w:val="22"/>
          <w:szCs w:val="22"/>
        </w:rPr>
        <w:t>Yes, we agree with the proposed definition of normal trading hours for market operators and for OTC.</w:t>
      </w:r>
    </w:p>
    <w:p w:rsidR="008F6973" w:rsidRPr="00231576" w:rsidRDefault="008F6973" w:rsidP="008F6973">
      <w:pPr>
        <w:pStyle w:val="NoSpacing"/>
        <w:contextualSpacing/>
        <w:jc w:val="both"/>
        <w:rPr>
          <w:sz w:val="22"/>
          <w:szCs w:val="22"/>
        </w:rPr>
      </w:pPr>
    </w:p>
    <w:p w:rsidR="008F6973" w:rsidRPr="00231576" w:rsidRDefault="008F6973" w:rsidP="008F6973">
      <w:pPr>
        <w:pStyle w:val="NoSpacing"/>
        <w:contextualSpacing/>
        <w:jc w:val="both"/>
        <w:rPr>
          <w:sz w:val="22"/>
          <w:szCs w:val="22"/>
        </w:rPr>
      </w:pPr>
      <w:r w:rsidRPr="00131F99">
        <w:rPr>
          <w:sz w:val="22"/>
          <w:szCs w:val="22"/>
          <w:lang w:val="en-US"/>
        </w:rPr>
        <w:t xml:space="preserve">On the other hand, we do not agree on shortening the maximum delay to 1 minute compared to 3 minutes previously. This is already a very short period for traders to comply with this obligation. By experience we know that market operators may have to face several requests for prices at the very same time and that they need time to select the best transactions available according to the level of risk they can bear beside having to find hedging solutions to cover these risks. We think this is essential to report trades as fast as possible but, considering all those element, we would recommend to let traders report in the coming 3 minutes as is currently the case. </w:t>
      </w:r>
    </w:p>
    <w:permEnd w:id="14971247"/>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8F6973" w:rsidRPr="000D2999" w:rsidRDefault="008F6973" w:rsidP="008F6973">
      <w:pPr>
        <w:spacing w:line="240" w:lineRule="auto"/>
        <w:contextualSpacing/>
      </w:pPr>
      <w:permStart w:id="605506418" w:edGrp="everyone"/>
      <w:r w:rsidRPr="000D2999">
        <w:t>We agree with this proposal.</w:t>
      </w:r>
    </w:p>
    <w:permEnd w:id="605506418"/>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8F6973" w:rsidRPr="000D2999" w:rsidRDefault="008F6973" w:rsidP="008F6973">
      <w:pPr>
        <w:pStyle w:val="NoSpacing"/>
        <w:contextualSpacing/>
        <w:jc w:val="both"/>
        <w:rPr>
          <w:sz w:val="22"/>
          <w:szCs w:val="22"/>
        </w:rPr>
      </w:pPr>
      <w:permStart w:id="1293438849" w:edGrp="everyone"/>
      <w:r w:rsidRPr="000D2999">
        <w:rPr>
          <w:sz w:val="22"/>
          <w:szCs w:val="22"/>
        </w:rPr>
        <w:t>We generally agree with the proposed classes.</w:t>
      </w:r>
    </w:p>
    <w:p w:rsidR="008F6973" w:rsidRPr="000D2999" w:rsidRDefault="008F6973" w:rsidP="008F6973">
      <w:pPr>
        <w:pStyle w:val="NoSpacing"/>
        <w:contextualSpacing/>
        <w:jc w:val="both"/>
        <w:rPr>
          <w:sz w:val="22"/>
          <w:szCs w:val="22"/>
        </w:rPr>
      </w:pPr>
    </w:p>
    <w:p w:rsidR="008F6973" w:rsidRPr="000D2999" w:rsidRDefault="008F6973" w:rsidP="008F6973">
      <w:pPr>
        <w:pStyle w:val="NoSpacing"/>
        <w:contextualSpacing/>
        <w:jc w:val="both"/>
        <w:rPr>
          <w:sz w:val="22"/>
          <w:szCs w:val="22"/>
        </w:rPr>
      </w:pPr>
      <w:r w:rsidRPr="000D2999">
        <w:rPr>
          <w:sz w:val="22"/>
          <w:szCs w:val="22"/>
        </w:rPr>
        <w:t xml:space="preserve">However, the threshold for large in scale transactions should balance adequately between the needs to protect large institutional equity orders and the requirement to publish these orders in a delayed matter, especially in less liquid shares such as SMEs in order to preserve their liquidity and </w:t>
      </w:r>
      <w:r>
        <w:rPr>
          <w:sz w:val="22"/>
          <w:szCs w:val="22"/>
        </w:rPr>
        <w:t>“</w:t>
      </w:r>
      <w:r w:rsidRPr="000D2999">
        <w:rPr>
          <w:sz w:val="22"/>
          <w:szCs w:val="22"/>
        </w:rPr>
        <w:t>attract</w:t>
      </w:r>
      <w:r>
        <w:rPr>
          <w:sz w:val="22"/>
          <w:szCs w:val="22"/>
        </w:rPr>
        <w:t>iveness”</w:t>
      </w:r>
      <w:r w:rsidRPr="000D2999">
        <w:rPr>
          <w:sz w:val="22"/>
          <w:szCs w:val="22"/>
        </w:rPr>
        <w:t xml:space="preserve">. </w:t>
      </w:r>
    </w:p>
    <w:p w:rsidR="008F6973" w:rsidRPr="000D2999" w:rsidRDefault="008F6973" w:rsidP="008F6973">
      <w:pPr>
        <w:pStyle w:val="NoSpacing"/>
        <w:contextualSpacing/>
        <w:jc w:val="both"/>
        <w:rPr>
          <w:sz w:val="22"/>
          <w:szCs w:val="22"/>
        </w:rPr>
      </w:pPr>
    </w:p>
    <w:p w:rsidR="008F6973" w:rsidRPr="000D2999" w:rsidRDefault="008F6973" w:rsidP="008F6973">
      <w:pPr>
        <w:pStyle w:val="NoSpacing"/>
        <w:contextualSpacing/>
        <w:jc w:val="both"/>
        <w:rPr>
          <w:sz w:val="22"/>
          <w:szCs w:val="22"/>
        </w:rPr>
      </w:pPr>
      <w:r w:rsidRPr="000D2999">
        <w:rPr>
          <w:sz w:val="22"/>
          <w:szCs w:val="22"/>
        </w:rPr>
        <w:lastRenderedPageBreak/>
        <w:t>Additionally, we encourages ESMA to undertake a periodic review of the relationship between post trade transparency requirements and liquidity in less liquid shares, such as those of SMEs</w:t>
      </w:r>
    </w:p>
    <w:permEnd w:id="1293438849"/>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8F6973" w:rsidRPr="000D2999" w:rsidRDefault="008F6973" w:rsidP="008F6973">
      <w:pPr>
        <w:spacing w:line="240" w:lineRule="auto"/>
        <w:contextualSpacing/>
        <w:rPr>
          <w:rFonts w:eastAsia="Cambria" w:cs="Arial"/>
          <w:lang w:val="en-US"/>
        </w:rPr>
      </w:pPr>
      <w:permStart w:id="1131045195" w:edGrp="everyone"/>
      <w:r w:rsidRPr="000D2999">
        <w:rPr>
          <w:rFonts w:eastAsia="Cambria" w:cs="Arial"/>
          <w:lang w:val="en-US"/>
        </w:rPr>
        <w:t>We think that as much as possible ETF data should be made available to the public as ETFs are already subject to the highest level of standards in terms of investor protection and transparency obligations.</w:t>
      </w:r>
    </w:p>
    <w:p w:rsidR="008F6973" w:rsidRPr="000D2999" w:rsidRDefault="008F6973" w:rsidP="008F6973">
      <w:pPr>
        <w:spacing w:line="240" w:lineRule="auto"/>
        <w:contextualSpacing/>
        <w:rPr>
          <w:rFonts w:eastAsia="Cambria" w:cs="Arial"/>
          <w:lang w:val="en-US"/>
        </w:rPr>
      </w:pPr>
    </w:p>
    <w:p w:rsidR="008F6973" w:rsidRPr="000D2999" w:rsidRDefault="008F6973" w:rsidP="008F6973">
      <w:pPr>
        <w:spacing w:line="240" w:lineRule="auto"/>
        <w:contextualSpacing/>
        <w:rPr>
          <w:rFonts w:eastAsia="Cambria" w:cs="Arial"/>
          <w:lang w:val="en-US"/>
        </w:rPr>
      </w:pPr>
      <w:r w:rsidRPr="000D2999">
        <w:rPr>
          <w:rFonts w:eastAsia="Cambria" w:cs="Arial"/>
        </w:rPr>
        <w:t xml:space="preserve">As with pre-trade transparency, we are not in favour Average Daily Turnover (ADT) as a metric for ETFs given that it could lead to an </w:t>
      </w:r>
      <w:proofErr w:type="spellStart"/>
      <w:r w:rsidRPr="000D2999">
        <w:rPr>
          <w:rFonts w:eastAsia="Cambria" w:cs="Arial"/>
        </w:rPr>
        <w:t>unlevel</w:t>
      </w:r>
      <w:proofErr w:type="spellEnd"/>
      <w:r w:rsidRPr="000D2999">
        <w:rPr>
          <w:rFonts w:eastAsia="Cambria" w:cs="Arial"/>
        </w:rPr>
        <w:t xml:space="preserve"> playing field between funds with the same underlying exposure (and hence liquidity) and would result in unnecessary complexity without obvious benefit for market quality or the end-investor</w:t>
      </w:r>
    </w:p>
    <w:permEnd w:id="1131045195"/>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832466595" w:edGrp="everyone"/>
      <w:r>
        <w:t>TYPE YOUR TEXT HERE</w:t>
      </w:r>
    </w:p>
    <w:permEnd w:id="83246659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8F6973" w:rsidRPr="000D2999" w:rsidRDefault="008F6973" w:rsidP="008F6973">
      <w:pPr>
        <w:spacing w:line="240" w:lineRule="auto"/>
        <w:contextualSpacing/>
      </w:pPr>
      <w:permStart w:id="1977041616" w:edGrp="everyone"/>
      <w:r w:rsidRPr="000D2999">
        <w:t>We have several concerns regarding possible unintended consequences that would impact end-investors following the ESMA’s proposed definitions of fixed income liquidity.</w:t>
      </w:r>
    </w:p>
    <w:p w:rsidR="008F6973" w:rsidRPr="000D2999" w:rsidRDefault="008F6973" w:rsidP="008F6973">
      <w:pPr>
        <w:spacing w:line="240" w:lineRule="auto"/>
        <w:contextualSpacing/>
      </w:pPr>
    </w:p>
    <w:p w:rsidR="008F6973" w:rsidRPr="000D2999" w:rsidRDefault="008F6973" w:rsidP="008F6973">
      <w:pPr>
        <w:spacing w:line="240" w:lineRule="auto"/>
        <w:contextualSpacing/>
      </w:pPr>
      <w:r w:rsidRPr="000D2999">
        <w:t>Firstly, we believe that the propose</w:t>
      </w:r>
      <w:r>
        <w:t>d</w:t>
      </w:r>
      <w:r w:rsidRPr="000D2999">
        <w:t xml:space="preserve"> regime does not distinguish sufficiently primary and secondary market liquidity. The calibration of the definition of the liquidity for fixed income financial instruments is totally different compared to equities. The liquidity of fixed income products cannot be determined through a collection of reference data or other objective factors. Fixed income products are mainly liquid directly after the issuance, but should be considered illiquid during most of their life cycle. The trading activity of fixed income products cannot be </w:t>
      </w:r>
      <w:r w:rsidRPr="000D2999">
        <w:lastRenderedPageBreak/>
        <w:t>determined in advance as additional factors such as unpredictable market events play a significant role in the bond market.</w:t>
      </w:r>
    </w:p>
    <w:p w:rsidR="008F6973" w:rsidRPr="000D2999" w:rsidRDefault="008F6973" w:rsidP="008F6973">
      <w:pPr>
        <w:spacing w:line="240" w:lineRule="auto"/>
        <w:contextualSpacing/>
      </w:pPr>
    </w:p>
    <w:p w:rsidR="008F6973" w:rsidRPr="000D2999" w:rsidRDefault="008F6973" w:rsidP="008F6973">
      <w:pPr>
        <w:spacing w:line="240" w:lineRule="auto"/>
        <w:contextualSpacing/>
      </w:pPr>
      <w:r w:rsidRPr="000D2999">
        <w:t xml:space="preserve">Secondly, even if we recognise the benefits of COFIA (the simplicity of the regime), we believe that this would create misclassification of fixed income instruments by having: </w:t>
      </w:r>
    </w:p>
    <w:p w:rsidR="008F6973" w:rsidRPr="000D2999" w:rsidRDefault="008F6973" w:rsidP="008F6973">
      <w:pPr>
        <w:numPr>
          <w:ilvl w:val="0"/>
          <w:numId w:val="32"/>
        </w:numPr>
        <w:spacing w:line="240" w:lineRule="auto"/>
        <w:contextualSpacing/>
        <w:jc w:val="left"/>
      </w:pPr>
      <w:r w:rsidRPr="000D2999">
        <w:t>Fewer, if any, brokers would be willing to make prices that would have to be disclosed to the public.</w:t>
      </w:r>
    </w:p>
    <w:p w:rsidR="008F6973" w:rsidRPr="000D2999" w:rsidRDefault="008F6973" w:rsidP="008F6973">
      <w:pPr>
        <w:numPr>
          <w:ilvl w:val="0"/>
          <w:numId w:val="32"/>
        </w:numPr>
        <w:spacing w:line="240" w:lineRule="auto"/>
        <w:contextualSpacing/>
        <w:jc w:val="left"/>
      </w:pPr>
      <w:r w:rsidRPr="000D2999">
        <w:t>Where prices are made public, there is the very real possibility of firms running predatory strategies profiting at the expense of the end-investor.</w:t>
      </w:r>
    </w:p>
    <w:p w:rsidR="008F6973" w:rsidRPr="000D2999" w:rsidRDefault="008F6973" w:rsidP="008F6973">
      <w:pPr>
        <w:numPr>
          <w:ilvl w:val="0"/>
          <w:numId w:val="32"/>
        </w:numPr>
        <w:spacing w:line="240" w:lineRule="auto"/>
        <w:contextualSpacing/>
        <w:jc w:val="left"/>
      </w:pPr>
      <w:r w:rsidRPr="000D2999">
        <w:t>These scenarios translate into higher cost for the end-investor and increased market volatility.</w:t>
      </w:r>
    </w:p>
    <w:p w:rsidR="008F6973" w:rsidRPr="000D2999" w:rsidRDefault="008F6973" w:rsidP="008F6973">
      <w:pPr>
        <w:spacing w:line="240" w:lineRule="auto"/>
        <w:contextualSpacing/>
      </w:pPr>
    </w:p>
    <w:p w:rsidR="008F6973" w:rsidRPr="000D2999" w:rsidRDefault="008F6973" w:rsidP="008F6973">
      <w:pPr>
        <w:spacing w:line="240" w:lineRule="auto"/>
        <w:contextualSpacing/>
      </w:pPr>
      <w:r w:rsidRPr="000D2999">
        <w:t>As a consequence, institutional or retail investors have to bear higher transaction costs connected with increased market volatility. Therefore, neither the COFIA nor the IBIA approach will deliver a balanced approach by classifying fixed income products as liquid/illiquid financial instruments.</w:t>
      </w:r>
    </w:p>
    <w:p w:rsidR="008F6973" w:rsidRPr="000D2999" w:rsidRDefault="008F6973" w:rsidP="008F6973">
      <w:pPr>
        <w:spacing w:line="240" w:lineRule="auto"/>
        <w:contextualSpacing/>
      </w:pPr>
      <w:r w:rsidRPr="000D2999">
        <w:t xml:space="preserve"> </w:t>
      </w:r>
    </w:p>
    <w:p w:rsidR="008F6973" w:rsidRPr="000D2999" w:rsidRDefault="008F6973" w:rsidP="008F6973">
      <w:pPr>
        <w:spacing w:line="240" w:lineRule="auto"/>
        <w:contextualSpacing/>
      </w:pPr>
      <w:r w:rsidRPr="000D2999">
        <w:t xml:space="preserve">A first possible solution that would mitigate the negative impacts of publication of the individual bids and offers in response to RFQ is to publish an average of those responses. </w:t>
      </w:r>
    </w:p>
    <w:p w:rsidR="008F6973" w:rsidRPr="000D2999" w:rsidRDefault="008F6973" w:rsidP="008F6973">
      <w:pPr>
        <w:spacing w:line="240" w:lineRule="auto"/>
        <w:contextualSpacing/>
      </w:pPr>
    </w:p>
    <w:p w:rsidR="008F6973" w:rsidRPr="000D2999" w:rsidRDefault="008F6973" w:rsidP="008F6973">
      <w:pPr>
        <w:spacing w:line="240" w:lineRule="auto"/>
        <w:contextualSpacing/>
      </w:pPr>
      <w:r>
        <w:t xml:space="preserve">We also disagree with </w:t>
      </w:r>
      <w:r w:rsidRPr="000D2999">
        <w:t xml:space="preserve">the objection raised to this proposal </w:t>
      </w:r>
      <w:r>
        <w:t>that</w:t>
      </w:r>
      <w:r w:rsidRPr="000D2999">
        <w:t xml:space="preserve"> “</w:t>
      </w:r>
      <w:r w:rsidRPr="000D2999">
        <w:rPr>
          <w:i/>
        </w:rPr>
        <w:t>publish</w:t>
      </w:r>
      <w:r>
        <w:rPr>
          <w:i/>
        </w:rPr>
        <w:t>ing</w:t>
      </w:r>
      <w:r w:rsidRPr="000D2999">
        <w:rPr>
          <w:i/>
        </w:rPr>
        <w:t xml:space="preserve"> an average would be inconsistent with Level 1 text”</w:t>
      </w:r>
      <w:r w:rsidRPr="000D2999">
        <w:t>.</w:t>
      </w:r>
    </w:p>
    <w:p w:rsidR="008F6973" w:rsidRPr="000D2999" w:rsidRDefault="008F6973" w:rsidP="008F6973">
      <w:pPr>
        <w:spacing w:line="240" w:lineRule="auto"/>
        <w:contextualSpacing/>
      </w:pPr>
    </w:p>
    <w:p w:rsidR="008F6973" w:rsidRPr="000D2999" w:rsidRDefault="008F6973" w:rsidP="008F6973">
      <w:pPr>
        <w:spacing w:line="240" w:lineRule="auto"/>
        <w:contextualSpacing/>
      </w:pPr>
      <w:r w:rsidRPr="000D2999">
        <w:t xml:space="preserve">We consider that the information proposed to be made public for the other types of system contradicts this assertion.  </w:t>
      </w:r>
    </w:p>
    <w:p w:rsidR="008F6973" w:rsidRPr="000D2999" w:rsidRDefault="008F6973" w:rsidP="008F6973">
      <w:pPr>
        <w:spacing w:line="240" w:lineRule="auto"/>
        <w:contextualSpacing/>
      </w:pPr>
    </w:p>
    <w:p w:rsidR="008F6973" w:rsidRPr="000D2999" w:rsidRDefault="008F6973" w:rsidP="008F6973">
      <w:pPr>
        <w:spacing w:line="240" w:lineRule="auto"/>
        <w:contextualSpacing/>
      </w:pPr>
      <w:r w:rsidRPr="000D2999">
        <w:t xml:space="preserve">Liquidity in the bond markets is not determinable by a series of characteristics captured by reference data or by any other objective factors. Furthermore, activity is not predictable by looking back to the previous period. Factors such as market events which significantly drive liquidity in the bond markets are simply not possible to predict.  </w:t>
      </w:r>
    </w:p>
    <w:p w:rsidR="008F6973" w:rsidRPr="000D2999" w:rsidRDefault="008F6973" w:rsidP="008F6973">
      <w:pPr>
        <w:spacing w:line="240" w:lineRule="auto"/>
        <w:contextualSpacing/>
      </w:pPr>
    </w:p>
    <w:p w:rsidR="008F6973" w:rsidRPr="000D2999" w:rsidRDefault="008F6973" w:rsidP="008F6973">
      <w:pPr>
        <w:spacing w:line="240" w:lineRule="auto"/>
        <w:contextualSpacing/>
      </w:pPr>
      <w:r w:rsidRPr="000D2999">
        <w:t>A second possible solution would be for ESMA to develop a balanced approach for the classification of liquidity for fixed income products taking into consideration the requirements by the buy-side to execute large fixed income block orders with minimal market impact. For that reason, we propose a simpler COFIA approach with fewer classes and corresponding issuance sizes which will probably decrease the number of illiquid fixed income products to be classified as liquid. Furthermore, we suggest lowering the SSTI waivers enabling broker/dealers and liquidity providers to further provide prices which do not expose them to risks.</w:t>
      </w:r>
      <w:r>
        <w:t xml:space="preserve"> </w:t>
      </w:r>
    </w:p>
    <w:p w:rsidR="008F6973" w:rsidRPr="000D2999" w:rsidRDefault="008F6973" w:rsidP="008F6973">
      <w:pPr>
        <w:spacing w:line="240" w:lineRule="auto"/>
        <w:contextualSpacing/>
      </w:pPr>
    </w:p>
    <w:p w:rsidR="008F6973" w:rsidRPr="000D2999" w:rsidRDefault="008F6973" w:rsidP="008F6973">
      <w:pPr>
        <w:spacing w:line="240" w:lineRule="auto"/>
        <w:contextualSpacing/>
        <w:rPr>
          <w:b/>
        </w:rPr>
      </w:pPr>
      <w:r w:rsidRPr="000D2999">
        <w:rPr>
          <w:b/>
        </w:rPr>
        <w:t xml:space="preserve">Hybrid - Granular COFIA with IBIA Liquidity Gate: </w:t>
      </w:r>
    </w:p>
    <w:tbl>
      <w:tblPr>
        <w:tblStyle w:val="TableGrid"/>
        <w:tblW w:w="10092" w:type="dxa"/>
        <w:tblLayout w:type="fixed"/>
        <w:tblLook w:val="04A0" w:firstRow="1" w:lastRow="0" w:firstColumn="1" w:lastColumn="0" w:noHBand="0" w:noVBand="1"/>
      </w:tblPr>
      <w:tblGrid>
        <w:gridCol w:w="1417"/>
        <w:gridCol w:w="1134"/>
        <w:gridCol w:w="1134"/>
        <w:gridCol w:w="1134"/>
        <w:gridCol w:w="1474"/>
        <w:gridCol w:w="1191"/>
        <w:gridCol w:w="1474"/>
        <w:gridCol w:w="1134"/>
      </w:tblGrid>
      <w:tr w:rsidR="00801F31" w:rsidRPr="000D2999" w:rsidTr="00801F31">
        <w:tc>
          <w:tcPr>
            <w:tcW w:w="1417" w:type="dxa"/>
            <w:shd w:val="clear" w:color="auto" w:fill="E7E6E6" w:themeFill="background2"/>
          </w:tcPr>
          <w:p w:rsidR="00801F31" w:rsidRPr="000D2999" w:rsidRDefault="00801F31" w:rsidP="00801F31">
            <w:pPr>
              <w:spacing w:line="240" w:lineRule="auto"/>
              <w:contextualSpacing/>
              <w:rPr>
                <w:b/>
              </w:rPr>
            </w:pPr>
            <w:r w:rsidRPr="00045E42">
              <w:rPr>
                <w:rFonts w:ascii="Calibri" w:hAnsi="Calibri"/>
              </w:rPr>
              <w:t>The criteria proposed by ESMA to define liquidity are:</w:t>
            </w:r>
          </w:p>
        </w:tc>
        <w:tc>
          <w:tcPr>
            <w:tcW w:w="1134" w:type="dxa"/>
            <w:shd w:val="clear" w:color="auto" w:fill="E7E6E6" w:themeFill="background2"/>
          </w:tcPr>
          <w:p w:rsidR="00801F31" w:rsidRPr="000D2999" w:rsidRDefault="00801F31" w:rsidP="00801F31">
            <w:pPr>
              <w:spacing w:line="240" w:lineRule="auto"/>
              <w:contextualSpacing/>
              <w:rPr>
                <w:b/>
              </w:rPr>
            </w:pPr>
            <w:r w:rsidRPr="00045E42">
              <w:rPr>
                <w:rFonts w:ascii="Calibri" w:hAnsi="Calibri"/>
              </w:rPr>
              <w:t>(</w:t>
            </w:r>
            <w:proofErr w:type="spellStart"/>
            <w:r w:rsidRPr="00045E42">
              <w:rPr>
                <w:rFonts w:ascii="Calibri" w:hAnsi="Calibri"/>
              </w:rPr>
              <w:t>i</w:t>
            </w:r>
            <w:proofErr w:type="spellEnd"/>
            <w:r w:rsidRPr="00045E42">
              <w:rPr>
                <w:rFonts w:ascii="Calibri" w:hAnsi="Calibri"/>
              </w:rPr>
              <w:t xml:space="preserve">) the average frequency and size of transactions having regard to the life-cycle of products; </w:t>
            </w:r>
          </w:p>
        </w:tc>
        <w:tc>
          <w:tcPr>
            <w:tcW w:w="1134" w:type="dxa"/>
            <w:shd w:val="clear" w:color="auto" w:fill="E7E6E6" w:themeFill="background2"/>
          </w:tcPr>
          <w:p w:rsidR="00801F31" w:rsidRPr="00E00BC5" w:rsidRDefault="00801F31" w:rsidP="00801F31">
            <w:pPr>
              <w:spacing w:line="240" w:lineRule="auto"/>
              <w:contextualSpacing/>
              <w:rPr>
                <w:rFonts w:ascii="Calibri" w:hAnsi="Calibri"/>
              </w:rPr>
            </w:pPr>
            <w:r w:rsidRPr="00045E42">
              <w:rPr>
                <w:rFonts w:ascii="Calibri" w:hAnsi="Calibri"/>
              </w:rPr>
              <w:t xml:space="preserve">(ii) the number and type of market participants; and </w:t>
            </w:r>
          </w:p>
        </w:tc>
        <w:tc>
          <w:tcPr>
            <w:tcW w:w="1134" w:type="dxa"/>
            <w:shd w:val="clear" w:color="auto" w:fill="E7E6E6" w:themeFill="background2"/>
          </w:tcPr>
          <w:p w:rsidR="00801F31" w:rsidRPr="000D2999" w:rsidRDefault="00801F31" w:rsidP="00801F31">
            <w:pPr>
              <w:spacing w:line="240" w:lineRule="auto"/>
              <w:contextualSpacing/>
            </w:pPr>
            <w:r w:rsidRPr="00045E42">
              <w:rPr>
                <w:rFonts w:ascii="Calibri" w:hAnsi="Calibri"/>
              </w:rPr>
              <w:t xml:space="preserve">(iii) </w:t>
            </w:r>
            <w:proofErr w:type="gramStart"/>
            <w:r w:rsidRPr="00045E42">
              <w:rPr>
                <w:rFonts w:ascii="Calibri" w:hAnsi="Calibri"/>
              </w:rPr>
              <w:t>the</w:t>
            </w:r>
            <w:proofErr w:type="gramEnd"/>
            <w:r w:rsidRPr="00045E42">
              <w:rPr>
                <w:rFonts w:ascii="Calibri" w:hAnsi="Calibri"/>
              </w:rPr>
              <w:t xml:space="preserve"> average size of spreads, when available. </w:t>
            </w:r>
          </w:p>
        </w:tc>
        <w:tc>
          <w:tcPr>
            <w:tcW w:w="1474" w:type="dxa"/>
            <w:shd w:val="clear" w:color="auto" w:fill="E7E6E6" w:themeFill="background2"/>
          </w:tcPr>
          <w:p w:rsidR="00801F31" w:rsidRPr="000D2999" w:rsidRDefault="00801F31" w:rsidP="00801F31">
            <w:pPr>
              <w:spacing w:line="240" w:lineRule="auto"/>
              <w:contextualSpacing/>
            </w:pPr>
            <w:r w:rsidRPr="00045E42">
              <w:rPr>
                <w:rFonts w:ascii="Calibri" w:hAnsi="Calibri"/>
              </w:rPr>
              <w:t> </w:t>
            </w:r>
          </w:p>
        </w:tc>
        <w:tc>
          <w:tcPr>
            <w:tcW w:w="1191" w:type="dxa"/>
            <w:shd w:val="clear" w:color="auto" w:fill="E7E6E6" w:themeFill="background2"/>
          </w:tcPr>
          <w:p w:rsidR="00801F31" w:rsidRPr="000D2999" w:rsidRDefault="00801F31" w:rsidP="00801F31">
            <w:pPr>
              <w:spacing w:line="240" w:lineRule="auto"/>
              <w:contextualSpacing/>
            </w:pPr>
            <w:r w:rsidRPr="00045E42">
              <w:rPr>
                <w:rFonts w:ascii="Calibri" w:hAnsi="Calibri"/>
              </w:rPr>
              <w:t xml:space="preserve">Based on the ESMA statement, most of our members believe that the outstanding percentage is more </w:t>
            </w:r>
            <w:r w:rsidRPr="00045E42">
              <w:rPr>
                <w:rFonts w:ascii="Calibri" w:hAnsi="Calibri"/>
              </w:rPr>
              <w:lastRenderedPageBreak/>
              <w:t xml:space="preserve">relevant than the transaction size and we are proposing to define the liquidity of bonds as follows: </w:t>
            </w:r>
          </w:p>
        </w:tc>
        <w:tc>
          <w:tcPr>
            <w:tcW w:w="1474" w:type="dxa"/>
            <w:shd w:val="clear" w:color="auto" w:fill="E7E6E6" w:themeFill="background2"/>
          </w:tcPr>
          <w:p w:rsidR="00801F31" w:rsidRPr="000D2999" w:rsidRDefault="00801F31" w:rsidP="00801F31">
            <w:pPr>
              <w:spacing w:line="240" w:lineRule="auto"/>
              <w:contextualSpacing/>
            </w:pPr>
            <w:r w:rsidRPr="00045E42">
              <w:rPr>
                <w:rFonts w:ascii="Calibri" w:hAnsi="Calibri"/>
              </w:rPr>
              <w:lastRenderedPageBreak/>
              <w:t> (1)         Use the criteria proposed by ESMA</w:t>
            </w:r>
          </w:p>
        </w:tc>
        <w:tc>
          <w:tcPr>
            <w:tcW w:w="1134" w:type="dxa"/>
            <w:shd w:val="clear" w:color="auto" w:fill="E7E6E6" w:themeFill="background2"/>
          </w:tcPr>
          <w:p w:rsidR="00801F31" w:rsidRPr="000D2999" w:rsidRDefault="00801F31" w:rsidP="00801F31">
            <w:pPr>
              <w:spacing w:line="240" w:lineRule="auto"/>
              <w:contextualSpacing/>
            </w:pPr>
            <w:r w:rsidRPr="00045E42">
              <w:rPr>
                <w:rFonts w:ascii="Calibri" w:hAnsi="Calibri"/>
              </w:rPr>
              <w:t xml:space="preserve">(2)          Add the ratio between the size of the envisaged transaction and the total amount of </w:t>
            </w:r>
            <w:r w:rsidRPr="00045E42">
              <w:rPr>
                <w:rFonts w:ascii="Calibri" w:hAnsi="Calibri"/>
              </w:rPr>
              <w:lastRenderedPageBreak/>
              <w:t>issuance on that issue</w:t>
            </w:r>
          </w:p>
        </w:tc>
      </w:tr>
      <w:tr w:rsidR="00801F31" w:rsidRPr="000D2999" w:rsidTr="00801F31">
        <w:tc>
          <w:tcPr>
            <w:tcW w:w="1417" w:type="dxa"/>
          </w:tcPr>
          <w:p w:rsidR="00801F31" w:rsidRPr="000D2999" w:rsidRDefault="00801F31" w:rsidP="00801F31">
            <w:pPr>
              <w:spacing w:line="240" w:lineRule="auto"/>
              <w:contextualSpacing/>
            </w:pPr>
            <w:r w:rsidRPr="00045E42">
              <w:rPr>
                <w:rFonts w:ascii="Calibri" w:hAnsi="Calibri"/>
              </w:rPr>
              <w:lastRenderedPageBreak/>
              <w:t> </w:t>
            </w:r>
          </w:p>
        </w:tc>
        <w:tc>
          <w:tcPr>
            <w:tcW w:w="1134" w:type="dxa"/>
          </w:tcPr>
          <w:p w:rsidR="00801F31" w:rsidRPr="000D2999" w:rsidRDefault="00801F31" w:rsidP="00801F31">
            <w:pPr>
              <w:spacing w:line="240" w:lineRule="auto"/>
              <w:contextualSpacing/>
            </w:pPr>
            <w:r w:rsidRPr="00045E42">
              <w:rPr>
                <w:rFonts w:ascii="Calibri" w:hAnsi="Calibri"/>
              </w:rPr>
              <w:t>Their approach would be as follows:</w:t>
            </w:r>
          </w:p>
        </w:tc>
        <w:tc>
          <w:tcPr>
            <w:tcW w:w="1134" w:type="dxa"/>
          </w:tcPr>
          <w:p w:rsidR="00801F31" w:rsidRPr="000D2999" w:rsidRDefault="00801F31" w:rsidP="00801F31">
            <w:pPr>
              <w:spacing w:line="240" w:lineRule="auto"/>
              <w:contextualSpacing/>
            </w:pPr>
            <w:r w:rsidRPr="00045E42">
              <w:rPr>
                <w:rFonts w:ascii="Calibri" w:hAnsi="Calibri"/>
              </w:rPr>
              <w:t> </w:t>
            </w:r>
          </w:p>
        </w:tc>
        <w:tc>
          <w:tcPr>
            <w:tcW w:w="1134" w:type="dxa"/>
          </w:tcPr>
          <w:p w:rsidR="00801F31" w:rsidRPr="000D2999" w:rsidRDefault="00801F31" w:rsidP="00801F31">
            <w:pPr>
              <w:spacing w:line="240" w:lineRule="auto"/>
              <w:contextualSpacing/>
            </w:pPr>
            <w:r w:rsidRPr="00045E42">
              <w:rPr>
                <w:rFonts w:ascii="Calibri" w:hAnsi="Calibri"/>
              </w:rPr>
              <w:t>Sovereign Bonds</w:t>
            </w:r>
          </w:p>
        </w:tc>
        <w:tc>
          <w:tcPr>
            <w:tcW w:w="1474" w:type="dxa"/>
          </w:tcPr>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1780"/>
              <w:gridCol w:w="3460"/>
              <w:gridCol w:w="1660"/>
            </w:tblGrid>
            <w:tr w:rsidR="00801F31" w:rsidRPr="00045E42" w:rsidTr="00801F31">
              <w:trPr>
                <w:trHeight w:val="315"/>
              </w:trPr>
              <w:tc>
                <w:tcPr>
                  <w:tcW w:w="1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lang w:val="en-US"/>
                    </w:rPr>
                    <w:t>EUR (or EUR equivalent) </w:t>
                  </w:r>
                </w:p>
              </w:tc>
              <w:tc>
                <w:tcPr>
                  <w:tcW w:w="17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lang w:val="en-US"/>
                    </w:rPr>
                    <w:t> </w:t>
                  </w:r>
                </w:p>
              </w:tc>
              <w:tc>
                <w:tcPr>
                  <w:tcW w:w="34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Sovereign</w:t>
                  </w:r>
                </w:p>
              </w:tc>
              <w:tc>
                <w:tcPr>
                  <w:tcW w:w="16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Sovereign</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Issue Size</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transaction size</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disclosure requirement</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proofErr w:type="spellStart"/>
                  <w:r w:rsidRPr="00045E42">
                    <w:rPr>
                      <w:rFonts w:ascii="Calibri" w:hAnsi="Calibri"/>
                    </w:rPr>
                    <w:t>vol</w:t>
                  </w:r>
                  <w:proofErr w:type="spellEnd"/>
                  <w:r w:rsidRPr="00045E42">
                    <w:rPr>
                      <w:rFonts w:ascii="Calibri" w:hAnsi="Calibri"/>
                    </w:rPr>
                    <w:t>/trade</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20 mm above</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10bn/500trd</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10-20mm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10bn/500trd</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1-10mm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10bn/500trd</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1mm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10bn/500trd</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500mm - 5bn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10 mm up</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5-10 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 T+3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1-5 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lang w:val="en-US"/>
                    </w:rPr>
                    <w:t>EOD Depending on the bonds</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500k-1m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EOD</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Under 500 k</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500 mm</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time delay</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r>
          </w:tbl>
          <w:p w:rsidR="00801F31" w:rsidRPr="000D2999" w:rsidRDefault="00801F31" w:rsidP="00801F31">
            <w:pPr>
              <w:spacing w:line="240" w:lineRule="auto"/>
              <w:contextualSpacing/>
            </w:pPr>
            <w:r w:rsidRPr="00045E42">
              <w:rPr>
                <w:rFonts w:ascii="Calibri" w:hAnsi="Calibri"/>
              </w:rPr>
              <w:t> </w:t>
            </w:r>
          </w:p>
        </w:tc>
        <w:tc>
          <w:tcPr>
            <w:tcW w:w="1191" w:type="dxa"/>
          </w:tcPr>
          <w:p w:rsidR="00801F31" w:rsidRPr="000D2999" w:rsidRDefault="00801F31" w:rsidP="00801F31">
            <w:pPr>
              <w:spacing w:line="240" w:lineRule="auto"/>
              <w:contextualSpacing/>
            </w:pPr>
            <w:r w:rsidRPr="00045E42">
              <w:rPr>
                <w:rFonts w:ascii="Calibri" w:hAnsi="Calibri"/>
              </w:rPr>
              <w:t>Corporate bonds</w:t>
            </w:r>
          </w:p>
        </w:tc>
        <w:tc>
          <w:tcPr>
            <w:tcW w:w="1474" w:type="dxa"/>
          </w:tcPr>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1780"/>
              <w:gridCol w:w="2560"/>
              <w:gridCol w:w="1880"/>
            </w:tblGrid>
            <w:tr w:rsidR="00801F31" w:rsidRPr="00045E42" w:rsidTr="00801F31">
              <w:trPr>
                <w:trHeight w:val="315"/>
              </w:trPr>
              <w:tc>
                <w:tcPr>
                  <w:tcW w:w="1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EUR (or EUR equivalent)</w:t>
                  </w:r>
                </w:p>
              </w:tc>
              <w:tc>
                <w:tcPr>
                  <w:tcW w:w="17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corporate bonds</w:t>
                  </w:r>
                </w:p>
              </w:tc>
              <w:tc>
                <w:tcPr>
                  <w:tcW w:w="18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corporate bonds</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Issue Size</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transaction size</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disclosure requirement</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proofErr w:type="spellStart"/>
                  <w:r w:rsidRPr="00045E42">
                    <w:rPr>
                      <w:rFonts w:ascii="Calibri" w:hAnsi="Calibri"/>
                    </w:rPr>
                    <w:t>vo</w:t>
                  </w:r>
                  <w:proofErr w:type="spellEnd"/>
                  <w:r w:rsidRPr="00045E42">
                    <w:rPr>
                      <w:rFonts w:ascii="Calibri" w:hAnsi="Calibri"/>
                    </w:rPr>
                    <w:t xml:space="preserve"> (</w:t>
                  </w:r>
                  <w:proofErr w:type="spellStart"/>
                  <w:r w:rsidRPr="00045E42">
                    <w:rPr>
                      <w:rFonts w:ascii="Calibri" w:hAnsi="Calibri"/>
                    </w:rPr>
                    <w:t>eur</w:t>
                  </w:r>
                  <w:proofErr w:type="spellEnd"/>
                  <w:r w:rsidRPr="00045E42">
                    <w:rPr>
                      <w:rFonts w:ascii="Calibri" w:hAnsi="Calibri"/>
                    </w:rPr>
                    <w:t>)/trade no</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20 mm above</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5Bn / 200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10-20mm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5Bn / 200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1-10mm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5Bn / 200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1mm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5Bn / 200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500mm - 5bn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10 mm up</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5-10 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1-5 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500k-1m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Under 500 k</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500 mm</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time delay</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r>
          </w:tbl>
          <w:p w:rsidR="00801F31" w:rsidRPr="000D2999" w:rsidRDefault="00801F31" w:rsidP="00801F31">
            <w:pPr>
              <w:spacing w:line="240" w:lineRule="auto"/>
              <w:contextualSpacing/>
            </w:pPr>
            <w:r w:rsidRPr="00045E42">
              <w:rPr>
                <w:rFonts w:ascii="Calibri" w:hAnsi="Calibri"/>
              </w:rPr>
              <w:t> </w:t>
            </w:r>
          </w:p>
        </w:tc>
        <w:tc>
          <w:tcPr>
            <w:tcW w:w="1134" w:type="dxa"/>
          </w:tcPr>
          <w:p w:rsidR="00801F31" w:rsidRPr="000D2999" w:rsidRDefault="00801F31" w:rsidP="00801F31">
            <w:pPr>
              <w:spacing w:line="240" w:lineRule="auto"/>
              <w:contextualSpacing/>
            </w:pPr>
            <w:r w:rsidRPr="00045E42">
              <w:rPr>
                <w:rFonts w:ascii="Calibri" w:hAnsi="Calibri"/>
              </w:rPr>
              <w:t>Emerging bonds</w:t>
            </w:r>
          </w:p>
        </w:tc>
      </w:tr>
      <w:tr w:rsidR="00801F31" w:rsidRPr="000D2999" w:rsidTr="00801F31">
        <w:tc>
          <w:tcPr>
            <w:tcW w:w="1417" w:type="dxa"/>
          </w:tcPr>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1780"/>
              <w:gridCol w:w="2560"/>
              <w:gridCol w:w="1880"/>
            </w:tblGrid>
            <w:tr w:rsidR="00801F31" w:rsidRPr="00045E42" w:rsidTr="00801F31">
              <w:trPr>
                <w:trHeight w:val="315"/>
              </w:trPr>
              <w:tc>
                <w:tcPr>
                  <w:tcW w:w="1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EUR (or EUR equivalent) </w:t>
                  </w:r>
                </w:p>
              </w:tc>
              <w:tc>
                <w:tcPr>
                  <w:tcW w:w="17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emerging bonds</w:t>
                  </w:r>
                </w:p>
              </w:tc>
              <w:tc>
                <w:tcPr>
                  <w:tcW w:w="18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emerging bonds</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Issue Size</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transaction size</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disclosure requirement</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proofErr w:type="spellStart"/>
                  <w:r w:rsidRPr="00045E42">
                    <w:rPr>
                      <w:rFonts w:ascii="Calibri" w:hAnsi="Calibri"/>
                    </w:rPr>
                    <w:t>vo</w:t>
                  </w:r>
                  <w:proofErr w:type="spellEnd"/>
                  <w:r w:rsidRPr="00045E42">
                    <w:rPr>
                      <w:rFonts w:ascii="Calibri" w:hAnsi="Calibri"/>
                    </w:rPr>
                    <w:t xml:space="preserve"> (</w:t>
                  </w:r>
                  <w:proofErr w:type="spellStart"/>
                  <w:r w:rsidRPr="00045E42">
                    <w:rPr>
                      <w:rFonts w:ascii="Calibri" w:hAnsi="Calibri"/>
                    </w:rPr>
                    <w:t>eur</w:t>
                  </w:r>
                  <w:proofErr w:type="spellEnd"/>
                  <w:r w:rsidRPr="00045E42">
                    <w:rPr>
                      <w:rFonts w:ascii="Calibri" w:hAnsi="Calibri"/>
                    </w:rPr>
                    <w:t>)/trade no</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20 mm above</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0mm/0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10-20mm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0mm/0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1-10mm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0mm/0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1mm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0mm/0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500mm - 5bn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10 mm up</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t+7</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5-10 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t+7</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1-5 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t+7</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lastRenderedPageBreak/>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500k-1m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t+7</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Under 500 k</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 time/EOD</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500 mm</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time delay</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r>
          </w:tbl>
          <w:p w:rsidR="00801F31" w:rsidRPr="000D2999" w:rsidRDefault="00801F31" w:rsidP="00801F31">
            <w:pPr>
              <w:spacing w:line="240" w:lineRule="auto"/>
              <w:contextualSpacing/>
            </w:pPr>
            <w:r w:rsidRPr="00045E42">
              <w:rPr>
                <w:rFonts w:ascii="Calibri" w:hAnsi="Calibri"/>
              </w:rPr>
              <w:t> </w:t>
            </w:r>
          </w:p>
        </w:tc>
        <w:tc>
          <w:tcPr>
            <w:tcW w:w="1134" w:type="dxa"/>
          </w:tcPr>
          <w:p w:rsidR="00801F31" w:rsidRPr="000D2999" w:rsidRDefault="00801F31" w:rsidP="00801F31">
            <w:pPr>
              <w:spacing w:line="240" w:lineRule="auto"/>
              <w:contextualSpacing/>
            </w:pPr>
            <w:r w:rsidRPr="00045E42">
              <w:rPr>
                <w:rFonts w:ascii="Calibri" w:hAnsi="Calibri"/>
              </w:rPr>
              <w:lastRenderedPageBreak/>
              <w:t>Other criteria might be added and could bring some further information but with less importance.</w:t>
            </w:r>
          </w:p>
        </w:tc>
        <w:tc>
          <w:tcPr>
            <w:tcW w:w="1134" w:type="dxa"/>
          </w:tcPr>
          <w:p w:rsidR="00801F31" w:rsidRPr="000D2999" w:rsidRDefault="00801F31" w:rsidP="00801F31">
            <w:pPr>
              <w:spacing w:line="240" w:lineRule="auto"/>
              <w:contextualSpacing/>
            </w:pPr>
            <w:r w:rsidRPr="00045E42">
              <w:rPr>
                <w:rFonts w:ascii="Calibri" w:hAnsi="Calibri"/>
              </w:rPr>
              <w:t> </w:t>
            </w:r>
          </w:p>
        </w:tc>
        <w:tc>
          <w:tcPr>
            <w:tcW w:w="1134" w:type="dxa"/>
          </w:tcPr>
          <w:p w:rsidR="00801F31" w:rsidRPr="000D2999" w:rsidRDefault="00801F31" w:rsidP="00801F31">
            <w:pPr>
              <w:spacing w:line="240" w:lineRule="auto"/>
              <w:contextualSpacing/>
            </w:pPr>
            <w:r w:rsidRPr="00045E42">
              <w:rPr>
                <w:rFonts w:ascii="Calibri" w:hAnsi="Calibri"/>
              </w:rPr>
              <w:t>For instance, ESMA could use:</w:t>
            </w:r>
          </w:p>
        </w:tc>
        <w:tc>
          <w:tcPr>
            <w:tcW w:w="1474" w:type="dxa"/>
          </w:tcPr>
          <w:p w:rsidR="00801F31" w:rsidRPr="000D2999" w:rsidRDefault="00801F31" w:rsidP="00801F31">
            <w:pPr>
              <w:spacing w:line="240" w:lineRule="auto"/>
              <w:contextualSpacing/>
            </w:pPr>
            <w:r w:rsidRPr="00045E42">
              <w:t>-          Average frequency of trade in absolute numbers</w:t>
            </w:r>
          </w:p>
        </w:tc>
        <w:tc>
          <w:tcPr>
            <w:tcW w:w="1191" w:type="dxa"/>
          </w:tcPr>
          <w:p w:rsidR="00801F31" w:rsidRPr="000D2999" w:rsidRDefault="00801F31" w:rsidP="00801F31">
            <w:pPr>
              <w:spacing w:line="240" w:lineRule="auto"/>
              <w:contextualSpacing/>
            </w:pPr>
            <w:r w:rsidRPr="00045E42">
              <w:t xml:space="preserve">-          Time period for calculation with a monthly retrospective calibration;  </w:t>
            </w:r>
          </w:p>
        </w:tc>
        <w:tc>
          <w:tcPr>
            <w:tcW w:w="1474" w:type="dxa"/>
          </w:tcPr>
          <w:p w:rsidR="00801F31" w:rsidRPr="000D2999" w:rsidRDefault="00801F31" w:rsidP="00801F31">
            <w:pPr>
              <w:spacing w:line="240" w:lineRule="auto"/>
              <w:contextualSpacing/>
            </w:pPr>
            <w:r w:rsidRPr="00045E42">
              <w:t xml:space="preserve">-          Calculation of total turnover with the ADT calculated by dividing the notional volume turnover (rather than market value) by the number of days in the period on a </w:t>
            </w:r>
            <w:r w:rsidRPr="00045E42">
              <w:lastRenderedPageBreak/>
              <w:t>monthly period.</w:t>
            </w:r>
          </w:p>
        </w:tc>
        <w:tc>
          <w:tcPr>
            <w:tcW w:w="1134" w:type="dxa"/>
          </w:tcPr>
          <w:p w:rsidR="00801F31" w:rsidRPr="000D2999" w:rsidRDefault="00801F31" w:rsidP="00801F31">
            <w:pPr>
              <w:spacing w:line="240" w:lineRule="auto"/>
              <w:contextualSpacing/>
            </w:pPr>
            <w:r w:rsidRPr="00045E42">
              <w:lastRenderedPageBreak/>
              <w:t xml:space="preserve">-          The calculation of the total number of trades based on the use of block trades rather than allocations (due </w:t>
            </w:r>
            <w:r w:rsidRPr="00045E42">
              <w:lastRenderedPageBreak/>
              <w:t>to the matching process applied to bond trading).</w:t>
            </w:r>
          </w:p>
        </w:tc>
      </w:tr>
      <w:tr w:rsidR="00801F31" w:rsidRPr="000D2999" w:rsidTr="00801F31">
        <w:tc>
          <w:tcPr>
            <w:tcW w:w="1417" w:type="dxa"/>
          </w:tcPr>
          <w:p w:rsidR="00801F31" w:rsidRPr="000D2999" w:rsidRDefault="00801F31" w:rsidP="00801F31">
            <w:pPr>
              <w:spacing w:line="240" w:lineRule="auto"/>
              <w:contextualSpacing/>
            </w:pPr>
            <w:r w:rsidRPr="00045E42">
              <w:rPr>
                <w:rFonts w:ascii="Calibri" w:hAnsi="Calibri"/>
              </w:rPr>
              <w:lastRenderedPageBreak/>
              <w:t>The criteria proposed by ESMA to define liquidity are:</w:t>
            </w:r>
          </w:p>
        </w:tc>
        <w:tc>
          <w:tcPr>
            <w:tcW w:w="1134" w:type="dxa"/>
          </w:tcPr>
          <w:p w:rsidR="00801F31" w:rsidRPr="000D2999" w:rsidRDefault="00801F31" w:rsidP="00801F31">
            <w:pPr>
              <w:spacing w:line="240" w:lineRule="auto"/>
              <w:contextualSpacing/>
            </w:pPr>
            <w:r w:rsidRPr="00045E42">
              <w:rPr>
                <w:rFonts w:ascii="Calibri" w:hAnsi="Calibri"/>
              </w:rPr>
              <w:t>(</w:t>
            </w:r>
            <w:proofErr w:type="spellStart"/>
            <w:r w:rsidRPr="00045E42">
              <w:rPr>
                <w:rFonts w:ascii="Calibri" w:hAnsi="Calibri"/>
              </w:rPr>
              <w:t>i</w:t>
            </w:r>
            <w:proofErr w:type="spellEnd"/>
            <w:r w:rsidRPr="00045E42">
              <w:rPr>
                <w:rFonts w:ascii="Calibri" w:hAnsi="Calibri"/>
              </w:rPr>
              <w:t xml:space="preserve">) the average frequency and size of transactions having regard to the life-cycle of products; </w:t>
            </w:r>
          </w:p>
        </w:tc>
        <w:tc>
          <w:tcPr>
            <w:tcW w:w="1134" w:type="dxa"/>
          </w:tcPr>
          <w:p w:rsidR="00801F31" w:rsidRPr="000D2999" w:rsidRDefault="00801F31" w:rsidP="00801F31">
            <w:pPr>
              <w:spacing w:line="240" w:lineRule="auto"/>
              <w:contextualSpacing/>
            </w:pPr>
            <w:r w:rsidRPr="00045E42">
              <w:rPr>
                <w:rFonts w:ascii="Calibri" w:hAnsi="Calibri"/>
              </w:rPr>
              <w:t xml:space="preserve">(ii) the number and type of market participants; and </w:t>
            </w:r>
          </w:p>
        </w:tc>
        <w:tc>
          <w:tcPr>
            <w:tcW w:w="1134" w:type="dxa"/>
          </w:tcPr>
          <w:p w:rsidR="00801F31" w:rsidRPr="000D2999" w:rsidRDefault="00801F31" w:rsidP="00801F31">
            <w:pPr>
              <w:spacing w:line="240" w:lineRule="auto"/>
              <w:contextualSpacing/>
            </w:pPr>
            <w:r w:rsidRPr="00045E42">
              <w:rPr>
                <w:rFonts w:ascii="Calibri" w:hAnsi="Calibri"/>
              </w:rPr>
              <w:t xml:space="preserve">(iii) </w:t>
            </w:r>
            <w:proofErr w:type="gramStart"/>
            <w:r w:rsidRPr="00045E42">
              <w:rPr>
                <w:rFonts w:ascii="Calibri" w:hAnsi="Calibri"/>
              </w:rPr>
              <w:t>the</w:t>
            </w:r>
            <w:proofErr w:type="gramEnd"/>
            <w:r w:rsidRPr="00045E42">
              <w:rPr>
                <w:rFonts w:ascii="Calibri" w:hAnsi="Calibri"/>
              </w:rPr>
              <w:t xml:space="preserve"> average size of spreads, when available. </w:t>
            </w:r>
          </w:p>
        </w:tc>
        <w:tc>
          <w:tcPr>
            <w:tcW w:w="1474" w:type="dxa"/>
          </w:tcPr>
          <w:p w:rsidR="00801F31" w:rsidRPr="000D2999" w:rsidRDefault="00801F31" w:rsidP="00801F31">
            <w:pPr>
              <w:spacing w:line="240" w:lineRule="auto"/>
              <w:contextualSpacing/>
            </w:pPr>
            <w:r w:rsidRPr="00045E42">
              <w:rPr>
                <w:rFonts w:ascii="Calibri" w:hAnsi="Calibri"/>
              </w:rPr>
              <w:t> </w:t>
            </w:r>
          </w:p>
        </w:tc>
        <w:tc>
          <w:tcPr>
            <w:tcW w:w="1191" w:type="dxa"/>
          </w:tcPr>
          <w:p w:rsidR="00801F31" w:rsidRPr="000D2999" w:rsidRDefault="00801F31" w:rsidP="00801F31">
            <w:pPr>
              <w:spacing w:line="240" w:lineRule="auto"/>
              <w:contextualSpacing/>
            </w:pPr>
            <w:r w:rsidRPr="00045E42">
              <w:rPr>
                <w:rFonts w:ascii="Calibri" w:hAnsi="Calibri"/>
              </w:rPr>
              <w:t xml:space="preserve">Based on the ESMA statement, most of our members believe that the outstanding percentage is more relevant than the transaction size and we are proposing to define the liquidity of bonds as follows: </w:t>
            </w:r>
          </w:p>
        </w:tc>
        <w:tc>
          <w:tcPr>
            <w:tcW w:w="1474" w:type="dxa"/>
          </w:tcPr>
          <w:p w:rsidR="00801F31" w:rsidRPr="000D2999" w:rsidRDefault="00801F31" w:rsidP="00801F31">
            <w:pPr>
              <w:spacing w:line="240" w:lineRule="auto"/>
              <w:contextualSpacing/>
            </w:pPr>
            <w:r w:rsidRPr="00045E42">
              <w:rPr>
                <w:rFonts w:ascii="Calibri" w:hAnsi="Calibri"/>
              </w:rPr>
              <w:t> (1)         Use the criteria proposed by ESMA</w:t>
            </w:r>
          </w:p>
        </w:tc>
        <w:tc>
          <w:tcPr>
            <w:tcW w:w="1134" w:type="dxa"/>
          </w:tcPr>
          <w:p w:rsidR="00801F31" w:rsidRPr="000D2999" w:rsidRDefault="00801F31" w:rsidP="00801F31">
            <w:pPr>
              <w:spacing w:line="240" w:lineRule="auto"/>
              <w:contextualSpacing/>
            </w:pPr>
            <w:r w:rsidRPr="00045E42">
              <w:rPr>
                <w:rFonts w:ascii="Calibri" w:hAnsi="Calibri"/>
              </w:rPr>
              <w:t>(2)          Add the ratio between the size of the envisaged transaction and the total amount of issuance on that issue</w:t>
            </w:r>
          </w:p>
        </w:tc>
      </w:tr>
      <w:tr w:rsidR="00801F31" w:rsidRPr="000D2999" w:rsidTr="00801F31">
        <w:tc>
          <w:tcPr>
            <w:tcW w:w="1417" w:type="dxa"/>
          </w:tcPr>
          <w:p w:rsidR="00801F31" w:rsidRPr="000D2999" w:rsidRDefault="00801F31" w:rsidP="00801F31">
            <w:pPr>
              <w:spacing w:line="240" w:lineRule="auto"/>
              <w:contextualSpacing/>
            </w:pPr>
            <w:r w:rsidRPr="00045E42">
              <w:rPr>
                <w:rFonts w:ascii="Calibri" w:hAnsi="Calibri"/>
              </w:rPr>
              <w:t> </w:t>
            </w:r>
          </w:p>
        </w:tc>
        <w:tc>
          <w:tcPr>
            <w:tcW w:w="1134" w:type="dxa"/>
          </w:tcPr>
          <w:p w:rsidR="00801F31" w:rsidRPr="000D2999" w:rsidRDefault="00801F31" w:rsidP="00801F31">
            <w:pPr>
              <w:spacing w:line="240" w:lineRule="auto"/>
              <w:contextualSpacing/>
            </w:pPr>
            <w:r w:rsidRPr="00045E42">
              <w:rPr>
                <w:rFonts w:ascii="Calibri" w:hAnsi="Calibri"/>
              </w:rPr>
              <w:t>Their approach would be as follows:</w:t>
            </w:r>
          </w:p>
        </w:tc>
        <w:tc>
          <w:tcPr>
            <w:tcW w:w="1134" w:type="dxa"/>
          </w:tcPr>
          <w:p w:rsidR="00801F31" w:rsidRPr="000D2999" w:rsidRDefault="00801F31" w:rsidP="00801F31">
            <w:pPr>
              <w:spacing w:line="240" w:lineRule="auto"/>
              <w:contextualSpacing/>
            </w:pPr>
            <w:r w:rsidRPr="00045E42">
              <w:rPr>
                <w:rFonts w:ascii="Calibri" w:hAnsi="Calibri"/>
              </w:rPr>
              <w:t> </w:t>
            </w:r>
          </w:p>
        </w:tc>
        <w:tc>
          <w:tcPr>
            <w:tcW w:w="1134" w:type="dxa"/>
          </w:tcPr>
          <w:p w:rsidR="00801F31" w:rsidRPr="000D2999" w:rsidRDefault="00801F31" w:rsidP="00801F31">
            <w:pPr>
              <w:spacing w:line="240" w:lineRule="auto"/>
              <w:contextualSpacing/>
            </w:pPr>
            <w:r w:rsidRPr="00045E42">
              <w:rPr>
                <w:rFonts w:ascii="Calibri" w:hAnsi="Calibri"/>
              </w:rPr>
              <w:t>Sovereign Bonds</w:t>
            </w:r>
          </w:p>
        </w:tc>
        <w:tc>
          <w:tcPr>
            <w:tcW w:w="1474" w:type="dxa"/>
          </w:tcPr>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1780"/>
              <w:gridCol w:w="3460"/>
              <w:gridCol w:w="1660"/>
            </w:tblGrid>
            <w:tr w:rsidR="00801F31" w:rsidRPr="00045E42" w:rsidTr="00801F31">
              <w:trPr>
                <w:trHeight w:val="315"/>
              </w:trPr>
              <w:tc>
                <w:tcPr>
                  <w:tcW w:w="1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lang w:val="en-US"/>
                    </w:rPr>
                    <w:t>EUR (or EUR equivalent) </w:t>
                  </w:r>
                </w:p>
              </w:tc>
              <w:tc>
                <w:tcPr>
                  <w:tcW w:w="17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lang w:val="en-US"/>
                    </w:rPr>
                    <w:t> </w:t>
                  </w:r>
                </w:p>
              </w:tc>
              <w:tc>
                <w:tcPr>
                  <w:tcW w:w="34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Sovereign</w:t>
                  </w:r>
                </w:p>
              </w:tc>
              <w:tc>
                <w:tcPr>
                  <w:tcW w:w="16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Sovereign</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Issue Size</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transaction size</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disclosure requirement</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proofErr w:type="spellStart"/>
                  <w:r w:rsidRPr="00045E42">
                    <w:rPr>
                      <w:rFonts w:ascii="Calibri" w:hAnsi="Calibri"/>
                    </w:rPr>
                    <w:t>vol</w:t>
                  </w:r>
                  <w:proofErr w:type="spellEnd"/>
                  <w:r w:rsidRPr="00045E42">
                    <w:rPr>
                      <w:rFonts w:ascii="Calibri" w:hAnsi="Calibri"/>
                    </w:rPr>
                    <w:t>/trade</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20 mm above</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10bn/500trd</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10-20mm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10bn/500trd</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1-10mm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10bn/500trd</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1mm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10bn/500trd</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500mm - 5bn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10 mm up</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5-10 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 T+3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1-5 mm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lang w:val="en-US"/>
                    </w:rPr>
                    <w:t>EOD Depending on the bonds</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500k-1m</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EOD</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Under 500 k</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300 mm/100 </w:t>
                  </w:r>
                  <w:proofErr w:type="spellStart"/>
                  <w:r w:rsidRPr="00045E42">
                    <w:rPr>
                      <w:rFonts w:ascii="Calibri" w:hAnsi="Calibri"/>
                    </w:rPr>
                    <w:t>trd</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lastRenderedPageBreak/>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500 mm</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time delay</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r>
          </w:tbl>
          <w:p w:rsidR="00801F31" w:rsidRPr="000D2999" w:rsidRDefault="00801F31" w:rsidP="00801F31">
            <w:pPr>
              <w:spacing w:line="240" w:lineRule="auto"/>
              <w:contextualSpacing/>
            </w:pPr>
            <w:r w:rsidRPr="00045E42">
              <w:rPr>
                <w:rFonts w:ascii="Calibri" w:hAnsi="Calibri"/>
              </w:rPr>
              <w:t> </w:t>
            </w:r>
          </w:p>
        </w:tc>
        <w:tc>
          <w:tcPr>
            <w:tcW w:w="1191" w:type="dxa"/>
          </w:tcPr>
          <w:p w:rsidR="00801F31" w:rsidRPr="000D2999" w:rsidRDefault="00801F31" w:rsidP="00801F31">
            <w:pPr>
              <w:spacing w:line="240" w:lineRule="auto"/>
              <w:contextualSpacing/>
            </w:pPr>
            <w:r w:rsidRPr="00045E42">
              <w:rPr>
                <w:rFonts w:ascii="Calibri" w:hAnsi="Calibri"/>
              </w:rPr>
              <w:lastRenderedPageBreak/>
              <w:t>Corporate bonds</w:t>
            </w:r>
          </w:p>
        </w:tc>
        <w:tc>
          <w:tcPr>
            <w:tcW w:w="1474" w:type="dxa"/>
          </w:tcPr>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1780"/>
              <w:gridCol w:w="2560"/>
              <w:gridCol w:w="1880"/>
            </w:tblGrid>
            <w:tr w:rsidR="00801F31" w:rsidRPr="00045E42" w:rsidTr="00801F31">
              <w:trPr>
                <w:trHeight w:val="315"/>
              </w:trPr>
              <w:tc>
                <w:tcPr>
                  <w:tcW w:w="1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EUR (or EUR equivalent)</w:t>
                  </w:r>
                </w:p>
              </w:tc>
              <w:tc>
                <w:tcPr>
                  <w:tcW w:w="17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corporate bonds</w:t>
                  </w:r>
                </w:p>
              </w:tc>
              <w:tc>
                <w:tcPr>
                  <w:tcW w:w="18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corporate bonds</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Issue Size</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transaction size</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disclosure requirement</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proofErr w:type="spellStart"/>
                  <w:r w:rsidRPr="00045E42">
                    <w:rPr>
                      <w:rFonts w:ascii="Calibri" w:hAnsi="Calibri"/>
                    </w:rPr>
                    <w:t>vo</w:t>
                  </w:r>
                  <w:proofErr w:type="spellEnd"/>
                  <w:r w:rsidRPr="00045E42">
                    <w:rPr>
                      <w:rFonts w:ascii="Calibri" w:hAnsi="Calibri"/>
                    </w:rPr>
                    <w:t xml:space="preserve"> (</w:t>
                  </w:r>
                  <w:proofErr w:type="spellStart"/>
                  <w:r w:rsidRPr="00045E42">
                    <w:rPr>
                      <w:rFonts w:ascii="Calibri" w:hAnsi="Calibri"/>
                    </w:rPr>
                    <w:t>eur</w:t>
                  </w:r>
                  <w:proofErr w:type="spellEnd"/>
                  <w:r w:rsidRPr="00045E42">
                    <w:rPr>
                      <w:rFonts w:ascii="Calibri" w:hAnsi="Calibri"/>
                    </w:rPr>
                    <w:t>)/trade no</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20 mm above</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5Bn / 200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10-20mm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5Bn / 200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1-10mm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5Bn / 200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1mm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5Bn / 200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500mm - 5bn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10 mm up</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EOD</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5-10 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1-5 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500k-1m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Under 500 k</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20mm/20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500 mm</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time delay</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r>
          </w:tbl>
          <w:p w:rsidR="00801F31" w:rsidRPr="000D2999" w:rsidRDefault="00801F31" w:rsidP="00801F31">
            <w:pPr>
              <w:spacing w:line="240" w:lineRule="auto"/>
              <w:contextualSpacing/>
            </w:pPr>
            <w:r w:rsidRPr="00045E42">
              <w:rPr>
                <w:rFonts w:ascii="Calibri" w:hAnsi="Calibri"/>
              </w:rPr>
              <w:t> </w:t>
            </w:r>
          </w:p>
        </w:tc>
        <w:tc>
          <w:tcPr>
            <w:tcW w:w="1134" w:type="dxa"/>
          </w:tcPr>
          <w:p w:rsidR="00801F31" w:rsidRPr="000D2999" w:rsidRDefault="00801F31" w:rsidP="00801F31">
            <w:pPr>
              <w:spacing w:line="240" w:lineRule="auto"/>
              <w:contextualSpacing/>
            </w:pPr>
            <w:r w:rsidRPr="00045E42">
              <w:rPr>
                <w:rFonts w:ascii="Calibri" w:hAnsi="Calibri"/>
              </w:rPr>
              <w:t>Emerging bonds</w:t>
            </w:r>
          </w:p>
        </w:tc>
      </w:tr>
      <w:tr w:rsidR="00801F31" w:rsidRPr="000D2999" w:rsidTr="00801F31">
        <w:tc>
          <w:tcPr>
            <w:tcW w:w="1417" w:type="dxa"/>
          </w:tcPr>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1780"/>
              <w:gridCol w:w="2560"/>
              <w:gridCol w:w="1880"/>
            </w:tblGrid>
            <w:tr w:rsidR="00801F31" w:rsidRPr="00045E42" w:rsidTr="00801F31">
              <w:trPr>
                <w:trHeight w:val="315"/>
              </w:trPr>
              <w:tc>
                <w:tcPr>
                  <w:tcW w:w="1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lastRenderedPageBreak/>
                    <w:t>EUR (or EUR equivalent) </w:t>
                  </w:r>
                </w:p>
              </w:tc>
              <w:tc>
                <w:tcPr>
                  <w:tcW w:w="17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emerging bonds</w:t>
                  </w:r>
                </w:p>
              </w:tc>
              <w:tc>
                <w:tcPr>
                  <w:tcW w:w="18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emerging bonds</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Issue Size</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transaction size</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disclosure requirement</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proofErr w:type="spellStart"/>
                  <w:r w:rsidRPr="00045E42">
                    <w:rPr>
                      <w:rFonts w:ascii="Calibri" w:hAnsi="Calibri"/>
                    </w:rPr>
                    <w:t>vo</w:t>
                  </w:r>
                  <w:proofErr w:type="spellEnd"/>
                  <w:r w:rsidRPr="00045E42">
                    <w:rPr>
                      <w:rFonts w:ascii="Calibri" w:hAnsi="Calibri"/>
                    </w:rPr>
                    <w:t xml:space="preserve"> (</w:t>
                  </w:r>
                  <w:proofErr w:type="spellStart"/>
                  <w:r w:rsidRPr="00045E42">
                    <w:rPr>
                      <w:rFonts w:ascii="Calibri" w:hAnsi="Calibri"/>
                    </w:rPr>
                    <w:t>eur</w:t>
                  </w:r>
                  <w:proofErr w:type="spellEnd"/>
                  <w:r w:rsidRPr="00045E42">
                    <w:rPr>
                      <w:rFonts w:ascii="Calibri" w:hAnsi="Calibri"/>
                    </w:rPr>
                    <w:t>)/trade no</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20 mm above</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0mm/0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10-20mm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0mm/0 </w:t>
                  </w:r>
                  <w:proofErr w:type="spellStart"/>
                  <w:r w:rsidRPr="00045E42">
                    <w:rPr>
                      <w:rFonts w:ascii="Calibri" w:hAnsi="Calibri"/>
                    </w:rPr>
                    <w:t>tr</w:t>
                  </w:r>
                  <w:proofErr w:type="spellEnd"/>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1-10mm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T+3</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0mm/0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1mm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real-time</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xml:space="preserve">0mm/0 </w:t>
                  </w:r>
                  <w:proofErr w:type="spellStart"/>
                  <w:r w:rsidRPr="00045E42">
                    <w:rPr>
                      <w:rFonts w:ascii="Calibri" w:hAnsi="Calibri"/>
                    </w:rPr>
                    <w:t>tr</w:t>
                  </w:r>
                  <w:proofErr w:type="spellEnd"/>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500mm - 5bn</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Above 10 mm up</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t+7</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5-10 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t+7</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1-5 mm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t+7</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00"/>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500k-1m</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volume omission t+7</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Under 500 k</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Real time/EOD</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0mm/0tr</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 </w:t>
                  </w:r>
                </w:p>
              </w:tc>
            </w:tr>
            <w:tr w:rsidR="00801F31" w:rsidRPr="00045E42" w:rsidTr="00801F31">
              <w:trPr>
                <w:trHeight w:val="31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up to 500 mm</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c>
                <w:tcPr>
                  <w:tcW w:w="256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time delay</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hideMark/>
                </w:tcPr>
                <w:p w:rsidR="00801F31" w:rsidRPr="00045E42" w:rsidRDefault="00801F31" w:rsidP="00801F31">
                  <w:pPr>
                    <w:rPr>
                      <w:sz w:val="24"/>
                      <w:szCs w:val="24"/>
                    </w:rPr>
                  </w:pPr>
                  <w:r w:rsidRPr="00045E42">
                    <w:rPr>
                      <w:rFonts w:ascii="Calibri" w:hAnsi="Calibri"/>
                    </w:rPr>
                    <w:t>all trade sizes</w:t>
                  </w:r>
                </w:p>
              </w:tc>
            </w:tr>
          </w:tbl>
          <w:p w:rsidR="00801F31" w:rsidRPr="000D2999" w:rsidRDefault="00801F31" w:rsidP="00801F31">
            <w:pPr>
              <w:spacing w:line="240" w:lineRule="auto"/>
              <w:contextualSpacing/>
            </w:pPr>
            <w:r w:rsidRPr="00045E42">
              <w:rPr>
                <w:rFonts w:ascii="Calibri" w:hAnsi="Calibri"/>
              </w:rPr>
              <w:t> </w:t>
            </w:r>
          </w:p>
        </w:tc>
        <w:tc>
          <w:tcPr>
            <w:tcW w:w="1134" w:type="dxa"/>
          </w:tcPr>
          <w:p w:rsidR="00801F31" w:rsidRPr="000D2999" w:rsidRDefault="00801F31" w:rsidP="00801F31">
            <w:pPr>
              <w:spacing w:line="240" w:lineRule="auto"/>
              <w:contextualSpacing/>
            </w:pPr>
            <w:r w:rsidRPr="00045E42">
              <w:rPr>
                <w:rFonts w:ascii="Calibri" w:hAnsi="Calibri"/>
              </w:rPr>
              <w:t>Other criteria might be added and could bring some further information but with less importance.</w:t>
            </w:r>
          </w:p>
        </w:tc>
        <w:tc>
          <w:tcPr>
            <w:tcW w:w="1134" w:type="dxa"/>
          </w:tcPr>
          <w:p w:rsidR="00801F31" w:rsidRPr="000D2999" w:rsidRDefault="00801F31" w:rsidP="00801F31">
            <w:pPr>
              <w:spacing w:line="240" w:lineRule="auto"/>
              <w:contextualSpacing/>
            </w:pPr>
            <w:r w:rsidRPr="00045E42">
              <w:rPr>
                <w:rFonts w:ascii="Calibri" w:hAnsi="Calibri"/>
              </w:rPr>
              <w:t> </w:t>
            </w:r>
          </w:p>
        </w:tc>
        <w:tc>
          <w:tcPr>
            <w:tcW w:w="1134" w:type="dxa"/>
          </w:tcPr>
          <w:p w:rsidR="00801F31" w:rsidRPr="000D2999" w:rsidRDefault="00801F31" w:rsidP="00801F31">
            <w:pPr>
              <w:spacing w:line="240" w:lineRule="auto"/>
              <w:contextualSpacing/>
            </w:pPr>
            <w:r w:rsidRPr="00045E42">
              <w:rPr>
                <w:rFonts w:ascii="Calibri" w:hAnsi="Calibri"/>
              </w:rPr>
              <w:t>For instance, ESMA could use:</w:t>
            </w:r>
          </w:p>
        </w:tc>
        <w:tc>
          <w:tcPr>
            <w:tcW w:w="1474" w:type="dxa"/>
          </w:tcPr>
          <w:p w:rsidR="00801F31" w:rsidRPr="000D2999" w:rsidRDefault="00801F31" w:rsidP="00801F31">
            <w:pPr>
              <w:spacing w:line="240" w:lineRule="auto"/>
              <w:contextualSpacing/>
            </w:pPr>
            <w:r w:rsidRPr="00045E42">
              <w:t>-          Average frequency of trade in absolute numbers</w:t>
            </w:r>
          </w:p>
        </w:tc>
        <w:tc>
          <w:tcPr>
            <w:tcW w:w="1191" w:type="dxa"/>
          </w:tcPr>
          <w:p w:rsidR="00801F31" w:rsidRPr="000D2999" w:rsidRDefault="00801F31" w:rsidP="00801F31">
            <w:pPr>
              <w:spacing w:line="240" w:lineRule="auto"/>
              <w:contextualSpacing/>
            </w:pPr>
            <w:r w:rsidRPr="00045E42">
              <w:t xml:space="preserve">-          Time period for calculation with a monthly retrospective calibration;  </w:t>
            </w:r>
          </w:p>
        </w:tc>
        <w:tc>
          <w:tcPr>
            <w:tcW w:w="1474" w:type="dxa"/>
          </w:tcPr>
          <w:p w:rsidR="00801F31" w:rsidRPr="000D2999" w:rsidRDefault="00801F31" w:rsidP="00801F31">
            <w:pPr>
              <w:spacing w:line="240" w:lineRule="auto"/>
              <w:contextualSpacing/>
            </w:pPr>
            <w:r w:rsidRPr="00045E42">
              <w:t>-          Calculation of total turnover with the ADT calculated by dividing the notional volume turnover (rather than market value) by the number of days in the period on a monthly period.</w:t>
            </w:r>
          </w:p>
        </w:tc>
        <w:tc>
          <w:tcPr>
            <w:tcW w:w="1134" w:type="dxa"/>
          </w:tcPr>
          <w:p w:rsidR="00801F31" w:rsidRPr="000D2999" w:rsidRDefault="00801F31" w:rsidP="00801F31">
            <w:pPr>
              <w:spacing w:line="240" w:lineRule="auto"/>
              <w:contextualSpacing/>
            </w:pPr>
            <w:r w:rsidRPr="00045E42">
              <w:t>-          The calculation of the total number of trades based on the use of block trades rather than allocations (due to the matching process applied to bond trading).</w:t>
            </w:r>
          </w:p>
        </w:tc>
      </w:tr>
      <w:tr w:rsidR="00801F31" w:rsidRPr="000D2999" w:rsidTr="00801F31">
        <w:tc>
          <w:tcPr>
            <w:tcW w:w="1417" w:type="dxa"/>
          </w:tcPr>
          <w:p w:rsidR="00801F31" w:rsidRPr="000D2999" w:rsidRDefault="00801F31" w:rsidP="00801F31">
            <w:pPr>
              <w:spacing w:line="240" w:lineRule="auto"/>
              <w:contextualSpacing/>
            </w:pPr>
            <w:r w:rsidRPr="00045E42">
              <w:rPr>
                <w:rFonts w:ascii="Calibri" w:hAnsi="Calibri"/>
              </w:rPr>
              <w:t>The criteria proposed by ESMA to define liquidity are:</w:t>
            </w:r>
          </w:p>
        </w:tc>
        <w:tc>
          <w:tcPr>
            <w:tcW w:w="1134" w:type="dxa"/>
          </w:tcPr>
          <w:p w:rsidR="00801F31" w:rsidRPr="000D2999" w:rsidRDefault="00801F31" w:rsidP="00801F31">
            <w:pPr>
              <w:spacing w:line="240" w:lineRule="auto"/>
              <w:contextualSpacing/>
            </w:pPr>
            <w:r w:rsidRPr="00045E42">
              <w:rPr>
                <w:rFonts w:ascii="Calibri" w:hAnsi="Calibri"/>
              </w:rPr>
              <w:t>(</w:t>
            </w:r>
            <w:proofErr w:type="spellStart"/>
            <w:r w:rsidRPr="00045E42">
              <w:rPr>
                <w:rFonts w:ascii="Calibri" w:hAnsi="Calibri"/>
              </w:rPr>
              <w:t>i</w:t>
            </w:r>
            <w:proofErr w:type="spellEnd"/>
            <w:r w:rsidRPr="00045E42">
              <w:rPr>
                <w:rFonts w:ascii="Calibri" w:hAnsi="Calibri"/>
              </w:rPr>
              <w:t xml:space="preserve">) the average frequency and size of transactions having regard to the life-cycle of products; </w:t>
            </w:r>
          </w:p>
        </w:tc>
        <w:tc>
          <w:tcPr>
            <w:tcW w:w="1134" w:type="dxa"/>
          </w:tcPr>
          <w:p w:rsidR="00801F31" w:rsidRPr="000D2999" w:rsidRDefault="00801F31" w:rsidP="00801F31">
            <w:pPr>
              <w:spacing w:line="240" w:lineRule="auto"/>
              <w:contextualSpacing/>
            </w:pPr>
            <w:r w:rsidRPr="00045E42">
              <w:rPr>
                <w:rFonts w:ascii="Calibri" w:hAnsi="Calibri"/>
              </w:rPr>
              <w:t xml:space="preserve">(ii) the number and type of market participants; and </w:t>
            </w:r>
          </w:p>
        </w:tc>
        <w:tc>
          <w:tcPr>
            <w:tcW w:w="1134" w:type="dxa"/>
          </w:tcPr>
          <w:p w:rsidR="00801F31" w:rsidRPr="000D2999" w:rsidRDefault="00801F31" w:rsidP="00801F31">
            <w:pPr>
              <w:spacing w:line="240" w:lineRule="auto"/>
              <w:contextualSpacing/>
            </w:pPr>
            <w:r w:rsidRPr="00045E42">
              <w:rPr>
                <w:rFonts w:ascii="Calibri" w:hAnsi="Calibri"/>
              </w:rPr>
              <w:t xml:space="preserve">(iii) </w:t>
            </w:r>
            <w:proofErr w:type="gramStart"/>
            <w:r w:rsidRPr="00045E42">
              <w:rPr>
                <w:rFonts w:ascii="Calibri" w:hAnsi="Calibri"/>
              </w:rPr>
              <w:t>the</w:t>
            </w:r>
            <w:proofErr w:type="gramEnd"/>
            <w:r w:rsidRPr="00045E42">
              <w:rPr>
                <w:rFonts w:ascii="Calibri" w:hAnsi="Calibri"/>
              </w:rPr>
              <w:t xml:space="preserve"> average size of spreads, when available. </w:t>
            </w:r>
          </w:p>
        </w:tc>
        <w:tc>
          <w:tcPr>
            <w:tcW w:w="1474" w:type="dxa"/>
          </w:tcPr>
          <w:p w:rsidR="00801F31" w:rsidRPr="000D2999" w:rsidRDefault="00801F31" w:rsidP="00801F31">
            <w:pPr>
              <w:spacing w:line="240" w:lineRule="auto"/>
              <w:contextualSpacing/>
            </w:pPr>
            <w:r w:rsidRPr="00045E42">
              <w:rPr>
                <w:rFonts w:ascii="Calibri" w:hAnsi="Calibri"/>
              </w:rPr>
              <w:t> </w:t>
            </w:r>
          </w:p>
        </w:tc>
        <w:tc>
          <w:tcPr>
            <w:tcW w:w="1191" w:type="dxa"/>
          </w:tcPr>
          <w:p w:rsidR="00801F31" w:rsidRPr="000D2999" w:rsidRDefault="00801F31" w:rsidP="00801F31">
            <w:pPr>
              <w:spacing w:line="240" w:lineRule="auto"/>
              <w:contextualSpacing/>
            </w:pPr>
            <w:r w:rsidRPr="00045E42">
              <w:rPr>
                <w:rFonts w:ascii="Calibri" w:hAnsi="Calibri"/>
              </w:rPr>
              <w:t xml:space="preserve">Based on the ESMA statement, most of our members believe that the outstanding percentage is more relevant than the transaction size and we are proposing to define the liquidity of bonds as follows: </w:t>
            </w:r>
          </w:p>
        </w:tc>
        <w:tc>
          <w:tcPr>
            <w:tcW w:w="1474" w:type="dxa"/>
          </w:tcPr>
          <w:p w:rsidR="00801F31" w:rsidRPr="000D2999" w:rsidRDefault="00801F31" w:rsidP="00801F31">
            <w:pPr>
              <w:spacing w:line="240" w:lineRule="auto"/>
              <w:contextualSpacing/>
            </w:pPr>
            <w:r w:rsidRPr="00045E42">
              <w:rPr>
                <w:rFonts w:ascii="Calibri" w:hAnsi="Calibri"/>
              </w:rPr>
              <w:t> (1)         Use the criteria proposed by ESMA</w:t>
            </w:r>
          </w:p>
        </w:tc>
        <w:tc>
          <w:tcPr>
            <w:tcW w:w="1134" w:type="dxa"/>
          </w:tcPr>
          <w:p w:rsidR="00801F31" w:rsidRPr="000D2999" w:rsidRDefault="00801F31" w:rsidP="00801F31">
            <w:pPr>
              <w:spacing w:line="240" w:lineRule="auto"/>
              <w:contextualSpacing/>
            </w:pPr>
            <w:r w:rsidRPr="00045E42">
              <w:rPr>
                <w:rFonts w:ascii="Calibri" w:hAnsi="Calibri"/>
              </w:rPr>
              <w:t>(2)          Add the ratio between the size of the envisaged transaction and the total amount of issuance on that issue</w:t>
            </w:r>
          </w:p>
        </w:tc>
      </w:tr>
    </w:tbl>
    <w:p w:rsidR="008F6973" w:rsidRDefault="008F6973" w:rsidP="008F6973">
      <w:pPr>
        <w:spacing w:line="240" w:lineRule="auto"/>
        <w:contextualSpacing/>
      </w:pPr>
    </w:p>
    <w:p w:rsidR="008F6973" w:rsidRPr="00231576" w:rsidRDefault="008F6973" w:rsidP="008F6973">
      <w:pPr>
        <w:autoSpaceDE w:val="0"/>
        <w:autoSpaceDN w:val="0"/>
        <w:adjustRightInd w:val="0"/>
        <w:spacing w:line="240" w:lineRule="auto"/>
        <w:rPr>
          <w:rFonts w:ascii="Arial" w:hAnsi="Arial" w:cs="Arial"/>
          <w:color w:val="000000"/>
          <w:lang w:val="en-US"/>
        </w:rPr>
      </w:pPr>
      <w:r w:rsidRPr="00231576">
        <w:rPr>
          <w:rFonts w:ascii="Arial" w:hAnsi="Arial" w:cs="Arial"/>
          <w:color w:val="000000"/>
          <w:sz w:val="24"/>
          <w:szCs w:val="24"/>
          <w:lang w:val="en-US"/>
        </w:rPr>
        <w:t xml:space="preserve"> </w:t>
      </w:r>
      <w:r w:rsidRPr="00231576">
        <w:rPr>
          <w:rFonts w:ascii="Arial" w:hAnsi="Arial" w:cs="Arial"/>
          <w:i/>
          <w:iCs/>
          <w:color w:val="000000"/>
          <w:lang w:val="en-US"/>
        </w:rPr>
        <w:t xml:space="preserve">Structured Finance Products </w:t>
      </w:r>
    </w:p>
    <w:p w:rsidR="008F6973" w:rsidRPr="00231576" w:rsidRDefault="008F6973" w:rsidP="008F6973">
      <w:pPr>
        <w:autoSpaceDE w:val="0"/>
        <w:autoSpaceDN w:val="0"/>
        <w:adjustRightInd w:val="0"/>
        <w:spacing w:after="137" w:line="240" w:lineRule="auto"/>
        <w:rPr>
          <w:rFonts w:ascii="Arial" w:hAnsi="Arial" w:cs="Arial"/>
          <w:color w:val="000000"/>
          <w:lang w:val="en-US"/>
        </w:rPr>
      </w:pPr>
      <w:r w:rsidRPr="00231576">
        <w:rPr>
          <w:rFonts w:ascii="Arial" w:hAnsi="Arial" w:cs="Arial"/>
          <w:color w:val="000000"/>
          <w:lang w:val="en-US"/>
        </w:rPr>
        <w:t xml:space="preserve">(1) If SFP´s become more liquid in future, debt seniority would be a good criteria to differentiate liquidity </w:t>
      </w:r>
    </w:p>
    <w:p w:rsidR="008F6973" w:rsidRPr="00231576" w:rsidRDefault="008F6973" w:rsidP="008F6973">
      <w:pPr>
        <w:autoSpaceDE w:val="0"/>
        <w:autoSpaceDN w:val="0"/>
        <w:adjustRightInd w:val="0"/>
        <w:spacing w:after="137" w:line="240" w:lineRule="auto"/>
        <w:rPr>
          <w:rFonts w:ascii="Arial" w:hAnsi="Arial" w:cs="Arial"/>
          <w:color w:val="000000"/>
          <w:lang w:val="en-US"/>
        </w:rPr>
      </w:pPr>
      <w:r w:rsidRPr="00231576">
        <w:rPr>
          <w:rFonts w:ascii="Arial" w:hAnsi="Arial" w:cs="Arial"/>
          <w:color w:val="000000"/>
          <w:lang w:val="en-US"/>
        </w:rPr>
        <w:lastRenderedPageBreak/>
        <w:t xml:space="preserve">(2) We wouldn´t use any other parameter, but the threshold for average transaction volume is too low </w:t>
      </w:r>
    </w:p>
    <w:p w:rsidR="008F6973" w:rsidRPr="00231576" w:rsidRDefault="008F6973" w:rsidP="008F6973">
      <w:pPr>
        <w:autoSpaceDE w:val="0"/>
        <w:autoSpaceDN w:val="0"/>
        <w:adjustRightInd w:val="0"/>
        <w:spacing w:line="240" w:lineRule="auto"/>
        <w:rPr>
          <w:rFonts w:ascii="Arial" w:hAnsi="Arial" w:cs="Arial"/>
          <w:color w:val="000000"/>
          <w:lang w:val="en-US"/>
        </w:rPr>
      </w:pPr>
      <w:r w:rsidRPr="00231576">
        <w:rPr>
          <w:rFonts w:ascii="Arial" w:hAnsi="Arial" w:cs="Arial"/>
          <w:color w:val="000000"/>
          <w:lang w:val="en-US"/>
        </w:rPr>
        <w:t xml:space="preserve">(3) No, we would define SFP´s as illiquid </w:t>
      </w:r>
    </w:p>
    <w:p w:rsidR="008F6973" w:rsidRPr="00231576" w:rsidRDefault="008F6973" w:rsidP="008F6973">
      <w:pPr>
        <w:autoSpaceDE w:val="0"/>
        <w:autoSpaceDN w:val="0"/>
        <w:adjustRightInd w:val="0"/>
        <w:spacing w:line="240" w:lineRule="auto"/>
        <w:rPr>
          <w:rFonts w:ascii="Arial" w:hAnsi="Arial" w:cs="Arial"/>
          <w:color w:val="000000"/>
          <w:lang w:val="en-US"/>
        </w:rPr>
      </w:pPr>
    </w:p>
    <w:p w:rsidR="008F6973" w:rsidRDefault="008F6973" w:rsidP="008F6973">
      <w:pPr>
        <w:spacing w:line="240" w:lineRule="auto"/>
        <w:contextualSpacing/>
        <w:rPr>
          <w:lang w:val="en-US"/>
        </w:rPr>
      </w:pPr>
      <w:r>
        <w:rPr>
          <w:lang w:val="en-US"/>
        </w:rPr>
        <w:t>On top of these elements, we believe that ESMA could also consider assessing the liquidity of illiquid instrument through their daily average spread which would also set efficient means to calculate l</w:t>
      </w:r>
      <w:r w:rsidRPr="00FB01D4">
        <w:rPr>
          <w:lang w:val="en-US"/>
        </w:rPr>
        <w:t xml:space="preserve">iquidity </w:t>
      </w:r>
      <w:r>
        <w:rPr>
          <w:lang w:val="en-US"/>
        </w:rPr>
        <w:t>g</w:t>
      </w:r>
      <w:r w:rsidRPr="00FB01D4">
        <w:rPr>
          <w:lang w:val="en-US"/>
        </w:rPr>
        <w:t>ate</w:t>
      </w:r>
    </w:p>
    <w:p w:rsidR="008F6973" w:rsidRPr="0091799C" w:rsidRDefault="008F6973" w:rsidP="008F6973">
      <w:pPr>
        <w:spacing w:line="240" w:lineRule="auto"/>
        <w:contextualSpacing/>
        <w:rPr>
          <w:lang w:val="en-US"/>
        </w:rPr>
      </w:pPr>
    </w:p>
    <w:p w:rsidR="008F6973" w:rsidRDefault="008F6973" w:rsidP="008F6973">
      <w:pPr>
        <w:spacing w:line="240" w:lineRule="auto"/>
        <w:contextualSpacing/>
      </w:pPr>
      <w:r w:rsidRPr="000D2999">
        <w:t>We urge ESMA to carefully consider the impact of applying pre-trade transparency requirements to genuinely illiquid bonds and the impact this will have on end-investors, companies and overall market efficiency.  We also encourage ESMA to work on the number of workable alternatives to the proposals put forward so far</w:t>
      </w:r>
      <w:r>
        <w:t>.</w:t>
      </w:r>
    </w:p>
    <w:permEnd w:id="197704161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801F31" w:rsidRPr="00E00BC5" w:rsidRDefault="00801F31" w:rsidP="00801F31">
      <w:pPr>
        <w:spacing w:line="240" w:lineRule="auto"/>
        <w:contextualSpacing/>
      </w:pPr>
      <w:permStart w:id="651627801" w:edGrp="everyone"/>
      <w:r w:rsidRPr="00E00BC5">
        <w:t xml:space="preserve">An appropriate calibration is necessary. </w:t>
      </w:r>
    </w:p>
    <w:p w:rsidR="00801F31" w:rsidRPr="00E00BC5" w:rsidRDefault="00801F31" w:rsidP="00801F31">
      <w:pPr>
        <w:spacing w:line="240" w:lineRule="auto"/>
        <w:contextualSpacing/>
      </w:pPr>
    </w:p>
    <w:p w:rsidR="00801F31" w:rsidRPr="00E00BC5" w:rsidRDefault="00801F31" w:rsidP="00801F31">
      <w:pPr>
        <w:autoSpaceDE w:val="0"/>
        <w:autoSpaceDN w:val="0"/>
        <w:adjustRightInd w:val="0"/>
        <w:spacing w:line="240" w:lineRule="auto"/>
        <w:rPr>
          <w:rFonts w:cs="Arial"/>
          <w:color w:val="000000"/>
          <w:lang w:val="en-US"/>
        </w:rPr>
      </w:pPr>
      <w:r w:rsidRPr="00E00BC5">
        <w:rPr>
          <w:rFonts w:cs="Arial"/>
          <w:color w:val="000000"/>
          <w:lang w:val="en-US"/>
        </w:rPr>
        <w:t xml:space="preserve">We generally agreed </w:t>
      </w:r>
      <w:proofErr w:type="spellStart"/>
      <w:r w:rsidRPr="00E00BC5">
        <w:rPr>
          <w:rFonts w:cs="Arial"/>
          <w:color w:val="000000"/>
          <w:lang w:val="en-US"/>
        </w:rPr>
        <w:t>wit</w:t>
      </w:r>
      <w:proofErr w:type="spellEnd"/>
      <w:r w:rsidRPr="00E00BC5">
        <w:rPr>
          <w:rFonts w:cs="Arial"/>
          <w:color w:val="000000"/>
          <w:lang w:val="en-US"/>
        </w:rPr>
        <w:t xml:space="preserve"> bond </w:t>
      </w:r>
      <w:proofErr w:type="gramStart"/>
      <w:r w:rsidRPr="00E00BC5">
        <w:rPr>
          <w:rFonts w:cs="Arial"/>
          <w:color w:val="000000"/>
          <w:lang w:val="en-US"/>
        </w:rPr>
        <w:t>classes</w:t>
      </w:r>
      <w:proofErr w:type="gramEnd"/>
      <w:r w:rsidRPr="00E00BC5">
        <w:rPr>
          <w:rFonts w:cs="Arial"/>
          <w:color w:val="000000"/>
          <w:lang w:val="en-US"/>
        </w:rPr>
        <w:t xml:space="preserve"> definitions, subject to the following two remarks: </w:t>
      </w:r>
    </w:p>
    <w:p w:rsidR="00801F31" w:rsidRPr="00E00BC5" w:rsidRDefault="00801F31" w:rsidP="00801F31">
      <w:pPr>
        <w:pStyle w:val="ListParagraph"/>
        <w:numPr>
          <w:ilvl w:val="0"/>
          <w:numId w:val="33"/>
        </w:numPr>
        <w:autoSpaceDE w:val="0"/>
        <w:autoSpaceDN w:val="0"/>
        <w:adjustRightInd w:val="0"/>
        <w:spacing w:after="137" w:line="240" w:lineRule="auto"/>
        <w:contextualSpacing/>
        <w:jc w:val="left"/>
        <w:rPr>
          <w:rFonts w:cs="Arial"/>
          <w:color w:val="000000"/>
          <w:lang w:val="en-US"/>
        </w:rPr>
      </w:pPr>
      <w:r w:rsidRPr="00E00BC5">
        <w:rPr>
          <w:rFonts w:cs="Arial"/>
          <w:color w:val="000000"/>
          <w:lang w:val="en-US"/>
        </w:rPr>
        <w:t xml:space="preserve">for corporate and financial bonds a differentiation between Investment-Grade- and High-Yield-Bonds would be </w:t>
      </w:r>
      <w:proofErr w:type="spellStart"/>
      <w:r w:rsidRPr="00E00BC5">
        <w:rPr>
          <w:rFonts w:cs="Arial"/>
          <w:color w:val="000000"/>
          <w:lang w:val="en-US"/>
        </w:rPr>
        <w:t>neededl</w:t>
      </w:r>
      <w:proofErr w:type="spellEnd"/>
      <w:r w:rsidRPr="00E00BC5">
        <w:rPr>
          <w:rFonts w:cs="Arial"/>
          <w:color w:val="000000"/>
          <w:lang w:val="en-US"/>
        </w:rPr>
        <w:t xml:space="preserve">, the difference in liquidity between these is higher than the difference between financial- and non-financial bonds </w:t>
      </w:r>
    </w:p>
    <w:p w:rsidR="00801F31" w:rsidRPr="00E00BC5" w:rsidRDefault="00801F31" w:rsidP="00801F31">
      <w:pPr>
        <w:pStyle w:val="ListParagraph"/>
        <w:numPr>
          <w:ilvl w:val="0"/>
          <w:numId w:val="33"/>
        </w:numPr>
        <w:autoSpaceDE w:val="0"/>
        <w:autoSpaceDN w:val="0"/>
        <w:adjustRightInd w:val="0"/>
        <w:spacing w:after="137" w:line="240" w:lineRule="auto"/>
        <w:contextualSpacing/>
        <w:jc w:val="left"/>
        <w:rPr>
          <w:rFonts w:cs="Arial"/>
          <w:color w:val="000000"/>
          <w:lang w:val="en-US"/>
        </w:rPr>
      </w:pPr>
      <w:proofErr w:type="gramStart"/>
      <w:r w:rsidRPr="00E00BC5">
        <w:rPr>
          <w:rFonts w:cs="Arial"/>
          <w:color w:val="000000"/>
          <w:lang w:val="en-US"/>
        </w:rPr>
        <w:t>for</w:t>
      </w:r>
      <w:proofErr w:type="gramEnd"/>
      <w:r w:rsidRPr="00E00BC5">
        <w:rPr>
          <w:rFonts w:cs="Arial"/>
          <w:color w:val="000000"/>
          <w:lang w:val="en-US"/>
        </w:rPr>
        <w:t xml:space="preserve"> covered bonds the “best practices” of EBA could be added to the proposed definition. </w:t>
      </w:r>
    </w:p>
    <w:permEnd w:id="651627801"/>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801F31" w:rsidRPr="000D2999" w:rsidRDefault="00801F31" w:rsidP="00801F31">
      <w:pPr>
        <w:spacing w:line="240" w:lineRule="auto"/>
        <w:contextualSpacing/>
      </w:pPr>
      <w:permStart w:id="1587430246" w:edGrp="everyone"/>
      <w:r w:rsidRPr="000D2999">
        <w:t>Exchange traded notes (ETN) and commodities (ETC) should be included in the same liquid market, pre- and post-trade transparency regime as applies to ETFs given they trade, clear and settle in the same way as ETFs.</w:t>
      </w:r>
    </w:p>
    <w:permEnd w:id="1587430246"/>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lastRenderedPageBreak/>
        <w:t>&lt;ESMA_QUESTION_CP_MIFID_60&gt;</w:t>
      </w:r>
    </w:p>
    <w:p w:rsidR="00577C33" w:rsidRDefault="00577C33" w:rsidP="00EC2C93">
      <w:pPr>
        <w:keepNext/>
      </w:pPr>
      <w:permStart w:id="1288312654" w:edGrp="everyone"/>
      <w:r>
        <w:t>TYPE YOUR TEXT HERE</w:t>
      </w:r>
    </w:p>
    <w:permEnd w:id="1288312654"/>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272316633" w:edGrp="everyone"/>
      <w:r>
        <w:t>TYPE YOUR TEXT HERE</w:t>
      </w:r>
    </w:p>
    <w:permEnd w:id="272316633"/>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721525493" w:edGrp="everyone"/>
      <w:r>
        <w:t>TYPE YOUR TEXT HERE</w:t>
      </w:r>
    </w:p>
    <w:permEnd w:id="1721525493"/>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662138056" w:edGrp="everyone"/>
      <w:r>
        <w:t>TYPE YOUR TEXT HERE</w:t>
      </w:r>
    </w:p>
    <w:permEnd w:id="1662138056"/>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lastRenderedPageBreak/>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590849822" w:edGrp="everyone"/>
      <w:r>
        <w:t>TYPE YOUR TEXT HERE</w:t>
      </w:r>
    </w:p>
    <w:permEnd w:id="1590849822"/>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638807361" w:edGrp="everyone"/>
      <w:r>
        <w:t>TYPE YOUR TEXT HERE</w:t>
      </w:r>
    </w:p>
    <w:permEnd w:id="638807361"/>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487355119" w:edGrp="everyone"/>
      <w:r>
        <w:t>TYPE YOUR TEXT HERE</w:t>
      </w:r>
    </w:p>
    <w:permEnd w:id="487355119"/>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683954875" w:edGrp="everyone"/>
      <w:r>
        <w:t>TYPE YOUR TEXT HERE</w:t>
      </w:r>
    </w:p>
    <w:permEnd w:id="1683954875"/>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745440452" w:edGrp="everyone"/>
      <w:r>
        <w:t>TYPE YOUR TEXT HERE</w:t>
      </w:r>
    </w:p>
    <w:permEnd w:id="1745440452"/>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771333477" w:edGrp="everyone"/>
      <w:r>
        <w:t>TYPE YOUR TEXT HERE</w:t>
      </w:r>
    </w:p>
    <w:permEnd w:id="177133347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801F31" w:rsidRPr="00E00BC5" w:rsidRDefault="00801F31" w:rsidP="00801F31">
      <w:pPr>
        <w:autoSpaceDE w:val="0"/>
        <w:autoSpaceDN w:val="0"/>
        <w:adjustRightInd w:val="0"/>
        <w:spacing w:line="240" w:lineRule="auto"/>
        <w:rPr>
          <w:rFonts w:cs="Arial"/>
          <w:color w:val="000000"/>
          <w:szCs w:val="22"/>
          <w:lang w:val="en-US"/>
        </w:rPr>
      </w:pPr>
      <w:permStart w:id="595270080" w:edGrp="everyone"/>
      <w:r w:rsidRPr="00E00BC5">
        <w:rPr>
          <w:rFonts w:cs="Arial"/>
          <w:color w:val="000000"/>
          <w:szCs w:val="22"/>
          <w:lang w:val="en-US"/>
        </w:rPr>
        <w:t xml:space="preserve">In terms of fixed income cash products we disagree with ESMA´s proposal with regard to the content of pre-trade transparency. In our opinion the publication of price settings before transaction will limit operational capability and competitive environment of common used Request-for-Quote trading systems. If every counterpart in a RFQ will get notice of price settings of other requested competitors, no one will be interested to price fast and in a competitive manner. Therefore we expect a worsening of market liquidity and quality of price settings. </w:t>
      </w:r>
    </w:p>
    <w:p w:rsidR="00801F31" w:rsidRPr="00E00BC5" w:rsidRDefault="00801F31" w:rsidP="00801F31">
      <w:pPr>
        <w:pStyle w:val="NoSpacing"/>
        <w:contextualSpacing/>
        <w:jc w:val="both"/>
        <w:rPr>
          <w:rFonts w:cs="Arial"/>
          <w:color w:val="000000"/>
          <w:sz w:val="22"/>
          <w:szCs w:val="22"/>
          <w:lang w:val="en-US"/>
        </w:rPr>
      </w:pPr>
      <w:r w:rsidRPr="00E00BC5">
        <w:rPr>
          <w:rFonts w:cs="Arial"/>
          <w:color w:val="000000"/>
          <w:sz w:val="22"/>
          <w:szCs w:val="22"/>
          <w:lang w:val="en-US"/>
        </w:rPr>
        <w:t xml:space="preserve">Today well established RFQ trading systems provide a multitude of useful pre-trade-information (quotes, sizes, axis, composite quotes, </w:t>
      </w:r>
      <w:proofErr w:type="gramStart"/>
      <w:r w:rsidRPr="00E00BC5">
        <w:rPr>
          <w:rFonts w:cs="Arial"/>
          <w:color w:val="000000"/>
          <w:sz w:val="22"/>
          <w:szCs w:val="22"/>
          <w:lang w:val="en-US"/>
        </w:rPr>
        <w:t>click</w:t>
      </w:r>
      <w:proofErr w:type="gramEnd"/>
      <w:r w:rsidRPr="00E00BC5">
        <w:rPr>
          <w:rFonts w:cs="Arial"/>
          <w:color w:val="000000"/>
          <w:sz w:val="22"/>
          <w:szCs w:val="22"/>
          <w:lang w:val="en-US"/>
        </w:rPr>
        <w:t>-to-trade quotes) that offers sufficient transparency in liquid instruments and order sizes below LSI and SSTI. Therefore, we suggest that the requirements of pre-trade-transparency should not overshoot these existing information to avoid negative impact on market liquidity.</w:t>
      </w:r>
    </w:p>
    <w:permEnd w:id="595270080"/>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801F31" w:rsidRPr="00E00BC5" w:rsidRDefault="00801F31" w:rsidP="00801F31">
      <w:pPr>
        <w:pStyle w:val="NoSpacing"/>
        <w:contextualSpacing/>
        <w:jc w:val="both"/>
        <w:rPr>
          <w:rFonts w:cs="Arial"/>
          <w:color w:val="000000"/>
          <w:sz w:val="22"/>
          <w:szCs w:val="22"/>
          <w:lang w:val="en-US"/>
        </w:rPr>
      </w:pPr>
      <w:permStart w:id="116877455" w:edGrp="everyone"/>
      <w:r w:rsidRPr="00E00BC5">
        <w:rPr>
          <w:rFonts w:cs="Arial"/>
          <w:color w:val="000000"/>
          <w:sz w:val="22"/>
          <w:szCs w:val="22"/>
          <w:lang w:val="en-US"/>
        </w:rPr>
        <w:t>In terms of fixed income cash products this waiver is nearly useless. Relevant continuous trading facilities do not exist for fixed income cash products, so it does not make sense to hold orders in order management facilities.</w:t>
      </w:r>
    </w:p>
    <w:permEnd w:id="11687745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lastRenderedPageBreak/>
        <w:t>&lt;ESMA_QUESTION_CP_MIFID_72&gt;</w:t>
      </w:r>
    </w:p>
    <w:p w:rsidR="00801F31" w:rsidRPr="00E00BC5" w:rsidRDefault="00801F31" w:rsidP="00801F31">
      <w:pPr>
        <w:spacing w:before="120" w:after="120" w:line="240" w:lineRule="auto"/>
        <w:contextualSpacing/>
        <w:outlineLvl w:val="1"/>
        <w:rPr>
          <w:rFonts w:eastAsia="Calibri" w:cs="Times New Roman"/>
          <w:szCs w:val="22"/>
          <w:lang w:val="en-US"/>
        </w:rPr>
      </w:pPr>
      <w:permStart w:id="566645509" w:edGrp="everyone"/>
      <w:r w:rsidRPr="00E00BC5">
        <w:rPr>
          <w:rFonts w:cs="Arial"/>
          <w:color w:val="000000"/>
          <w:szCs w:val="22"/>
          <w:lang w:val="en-US"/>
        </w:rPr>
        <w:t xml:space="preserve">In terms of fixed income cash products well established trading venues such as Bloomberg, </w:t>
      </w:r>
      <w:proofErr w:type="spellStart"/>
      <w:r w:rsidRPr="00E00BC5">
        <w:rPr>
          <w:rFonts w:cs="Arial"/>
          <w:color w:val="000000"/>
          <w:szCs w:val="22"/>
          <w:lang w:val="en-US"/>
        </w:rPr>
        <w:t>TradeWeb</w:t>
      </w:r>
      <w:proofErr w:type="spellEnd"/>
      <w:r w:rsidRPr="00E00BC5">
        <w:rPr>
          <w:rFonts w:cs="Arial"/>
          <w:color w:val="000000"/>
          <w:szCs w:val="22"/>
          <w:lang w:val="en-US"/>
        </w:rPr>
        <w:t xml:space="preserve"> or </w:t>
      </w:r>
      <w:proofErr w:type="spellStart"/>
      <w:r w:rsidRPr="00E00BC5">
        <w:rPr>
          <w:rFonts w:cs="Arial"/>
          <w:color w:val="000000"/>
          <w:szCs w:val="22"/>
          <w:lang w:val="en-US"/>
        </w:rPr>
        <w:t>MarketAxess</w:t>
      </w:r>
      <w:proofErr w:type="spellEnd"/>
      <w:r w:rsidRPr="00E00BC5">
        <w:rPr>
          <w:rFonts w:cs="Arial"/>
          <w:color w:val="000000"/>
          <w:szCs w:val="22"/>
          <w:lang w:val="en-US"/>
        </w:rPr>
        <w:t xml:space="preserve"> are publishing composite bids and offers permanently. These composite quotes are reflecting an average of all available quotations in the market. If there would be an IOI above SSTI the trading venue can amend the composite quote in a way that it is close to the price of trading interests.</w:t>
      </w:r>
    </w:p>
    <w:permEnd w:id="566645509"/>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801F31" w:rsidRPr="00E00BC5" w:rsidRDefault="00801F31" w:rsidP="00801F31">
      <w:pPr>
        <w:spacing w:before="120" w:after="120" w:line="240" w:lineRule="auto"/>
        <w:contextualSpacing/>
        <w:outlineLvl w:val="1"/>
        <w:rPr>
          <w:rFonts w:eastAsia="Calibri" w:cs="Times New Roman"/>
          <w:szCs w:val="22"/>
          <w:lang w:val="en-US"/>
        </w:rPr>
      </w:pPr>
      <w:permStart w:id="19294931" w:edGrp="everyone"/>
      <w:r w:rsidRPr="00E00BC5">
        <w:rPr>
          <w:szCs w:val="22"/>
        </w:rPr>
        <w:t>In terms of fixed income cash products it is not necessary to add any other field. In our opinion all relevant information are included.</w:t>
      </w:r>
    </w:p>
    <w:permEnd w:id="19294931"/>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801F31" w:rsidRPr="00E00BC5" w:rsidRDefault="00801F31" w:rsidP="00801F31">
      <w:pPr>
        <w:spacing w:before="120" w:after="120" w:line="240" w:lineRule="auto"/>
        <w:contextualSpacing/>
        <w:outlineLvl w:val="1"/>
        <w:rPr>
          <w:rFonts w:eastAsia="Calibri" w:cs="Times New Roman"/>
          <w:szCs w:val="22"/>
          <w:lang w:val="en-US"/>
        </w:rPr>
      </w:pPr>
      <w:permStart w:id="2036937006" w:edGrp="everyone"/>
      <w:r w:rsidRPr="00E00BC5">
        <w:rPr>
          <w:szCs w:val="22"/>
        </w:rPr>
        <w:t>In terms of fixed income cash products all relevant flags are included.</w:t>
      </w:r>
    </w:p>
    <w:permEnd w:id="203693700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801F31" w:rsidRPr="00E00BC5" w:rsidRDefault="00801F31" w:rsidP="00801F31">
      <w:pPr>
        <w:spacing w:before="120" w:after="120" w:line="240" w:lineRule="auto"/>
        <w:contextualSpacing/>
        <w:outlineLvl w:val="1"/>
        <w:rPr>
          <w:szCs w:val="22"/>
        </w:rPr>
      </w:pPr>
      <w:permStart w:id="1934234534" w:edGrp="everyone"/>
      <w:r w:rsidRPr="00E00BC5">
        <w:rPr>
          <w:szCs w:val="22"/>
        </w:rPr>
        <w:t xml:space="preserve">Please see also our answer to question Q57. </w:t>
      </w:r>
    </w:p>
    <w:p w:rsidR="00801F31" w:rsidRPr="00E00BC5" w:rsidRDefault="00801F31" w:rsidP="00801F31">
      <w:pPr>
        <w:spacing w:before="120" w:after="120" w:line="240" w:lineRule="auto"/>
        <w:contextualSpacing/>
        <w:outlineLvl w:val="1"/>
        <w:rPr>
          <w:szCs w:val="22"/>
        </w:rPr>
      </w:pPr>
    </w:p>
    <w:p w:rsidR="00801F31" w:rsidRPr="00E00BC5" w:rsidRDefault="00801F31" w:rsidP="00801F31">
      <w:pPr>
        <w:spacing w:before="120" w:after="120" w:line="240" w:lineRule="auto"/>
        <w:contextualSpacing/>
        <w:outlineLvl w:val="1"/>
        <w:rPr>
          <w:rFonts w:eastAsia="Calibri" w:cs="Times New Roman"/>
          <w:szCs w:val="22"/>
        </w:rPr>
      </w:pPr>
      <w:r w:rsidRPr="00E00BC5">
        <w:rPr>
          <w:szCs w:val="22"/>
        </w:rPr>
        <w:t xml:space="preserve">We support the efforts made to improve </w:t>
      </w:r>
      <w:r w:rsidRPr="00E00BC5">
        <w:rPr>
          <w:rFonts w:eastAsia="Calibri" w:cs="Times New Roman"/>
          <w:szCs w:val="22"/>
        </w:rPr>
        <w:t>post-trade transparency in fixed income markets.</w:t>
      </w:r>
    </w:p>
    <w:p w:rsidR="00801F31" w:rsidRPr="00E00BC5" w:rsidRDefault="00801F31" w:rsidP="00801F31">
      <w:pPr>
        <w:spacing w:before="120" w:after="120" w:line="240" w:lineRule="auto"/>
        <w:contextualSpacing/>
        <w:outlineLvl w:val="1"/>
        <w:rPr>
          <w:szCs w:val="22"/>
        </w:rPr>
      </w:pPr>
    </w:p>
    <w:p w:rsidR="00801F31" w:rsidRPr="00E00BC5" w:rsidRDefault="00801F31" w:rsidP="00801F31">
      <w:pPr>
        <w:spacing w:before="120" w:after="120" w:line="240" w:lineRule="auto"/>
        <w:contextualSpacing/>
        <w:outlineLvl w:val="1"/>
        <w:rPr>
          <w:szCs w:val="22"/>
        </w:rPr>
      </w:pPr>
      <w:r w:rsidRPr="00E00BC5">
        <w:rPr>
          <w:szCs w:val="22"/>
        </w:rPr>
        <w:t xml:space="preserve">The implementation of an appropriate timing of post trade information for non-equities, especially for the fixed income instruments should be carefully calibrated and not be rushed. </w:t>
      </w:r>
    </w:p>
    <w:p w:rsidR="00801F31" w:rsidRPr="00E00BC5" w:rsidRDefault="00801F31" w:rsidP="00801F31">
      <w:pPr>
        <w:spacing w:before="120" w:after="120" w:line="240" w:lineRule="auto"/>
        <w:contextualSpacing/>
        <w:outlineLvl w:val="1"/>
        <w:rPr>
          <w:rFonts w:eastAsia="Calibri" w:cs="Times New Roman"/>
          <w:szCs w:val="22"/>
        </w:rPr>
      </w:pPr>
      <w:r w:rsidRPr="00E00BC5">
        <w:rPr>
          <w:rFonts w:eastAsia="Calibri" w:cs="Times New Roman"/>
          <w:szCs w:val="22"/>
        </w:rPr>
        <w:t>To implement efficiently a post-trade transparency regime that respects the liquidity characteristics of fixed income instruments, we believe that it is important to learn the lessons from the implementation of comparable requirements such as TRACE in the US, even it European fixed income markets are relatively less liquid that their US counterparts.</w:t>
      </w:r>
    </w:p>
    <w:p w:rsidR="00801F31" w:rsidRPr="00E00BC5" w:rsidRDefault="00801F31" w:rsidP="00801F31">
      <w:pPr>
        <w:spacing w:before="120" w:after="120" w:line="240" w:lineRule="auto"/>
        <w:contextualSpacing/>
        <w:outlineLvl w:val="1"/>
        <w:rPr>
          <w:rFonts w:eastAsia="Calibri" w:cs="Times New Roman"/>
          <w:szCs w:val="22"/>
        </w:rPr>
      </w:pPr>
    </w:p>
    <w:p w:rsidR="00801F31" w:rsidRPr="00E00BC5" w:rsidRDefault="00801F31" w:rsidP="00801F31">
      <w:pPr>
        <w:spacing w:before="120" w:after="120" w:line="240" w:lineRule="auto"/>
        <w:contextualSpacing/>
        <w:outlineLvl w:val="1"/>
        <w:rPr>
          <w:rFonts w:eastAsia="Calibri" w:cs="Times New Roman"/>
          <w:szCs w:val="22"/>
        </w:rPr>
      </w:pPr>
      <w:r w:rsidRPr="00E00BC5">
        <w:rPr>
          <w:rFonts w:eastAsia="Calibri" w:cs="Times New Roman"/>
          <w:szCs w:val="22"/>
        </w:rPr>
        <w:t xml:space="preserve">Due to the lower liquidity in the European fixed income market, we believe that an aggressive post-trade publication schedule would increase the impacts on the liquidity and challenge these markets even more. </w:t>
      </w:r>
    </w:p>
    <w:p w:rsidR="00801F31" w:rsidRPr="00E00BC5" w:rsidRDefault="00801F31" w:rsidP="00801F31">
      <w:pPr>
        <w:spacing w:before="120" w:after="120" w:line="240" w:lineRule="auto"/>
        <w:contextualSpacing/>
        <w:outlineLvl w:val="1"/>
        <w:rPr>
          <w:rFonts w:eastAsia="Calibri" w:cs="Times New Roman"/>
          <w:szCs w:val="22"/>
        </w:rPr>
      </w:pPr>
    </w:p>
    <w:p w:rsidR="00801F31" w:rsidRPr="00E00BC5" w:rsidRDefault="00801F31" w:rsidP="00801F31">
      <w:pPr>
        <w:spacing w:before="120" w:after="120" w:line="240" w:lineRule="auto"/>
        <w:contextualSpacing/>
        <w:outlineLvl w:val="1"/>
        <w:rPr>
          <w:rFonts w:eastAsia="Calibri" w:cs="Times New Roman"/>
          <w:b/>
          <w:szCs w:val="22"/>
          <w:lang w:val="en-US"/>
        </w:rPr>
      </w:pPr>
      <w:r w:rsidRPr="00E00BC5">
        <w:rPr>
          <w:szCs w:val="22"/>
        </w:rPr>
        <w:t>A possible publication delay of 5 minutes after the transaction is too ambitious as buy-side clients executing large fixed income orders could be put at a disadvantage as other market participants could detect their portfolio strategies thereby profiting at the expense of the end-investors.</w:t>
      </w:r>
    </w:p>
    <w:p w:rsidR="00801F31" w:rsidRPr="00E00BC5" w:rsidRDefault="00801F31" w:rsidP="00801F31">
      <w:pPr>
        <w:spacing w:before="120" w:after="120" w:line="240" w:lineRule="auto"/>
        <w:contextualSpacing/>
        <w:outlineLvl w:val="1"/>
        <w:rPr>
          <w:rFonts w:eastAsia="Calibri" w:cs="Times New Roman"/>
          <w:b/>
          <w:szCs w:val="22"/>
          <w:lang w:val="en-US"/>
        </w:rPr>
      </w:pPr>
    </w:p>
    <w:p w:rsidR="00801F31" w:rsidRPr="00E00BC5" w:rsidRDefault="00801F31" w:rsidP="00801F31">
      <w:pPr>
        <w:spacing w:before="120" w:after="120" w:line="240" w:lineRule="auto"/>
        <w:contextualSpacing/>
        <w:outlineLvl w:val="1"/>
        <w:rPr>
          <w:szCs w:val="22"/>
        </w:rPr>
      </w:pPr>
      <w:r w:rsidRPr="00E00BC5">
        <w:rPr>
          <w:szCs w:val="22"/>
        </w:rPr>
        <w:lastRenderedPageBreak/>
        <w:t>Furthermore, a possible publication delay of 5 minutes could also have effects on liquidity meaning that banks, broker/dealers or liquidity providers could be much less willing to provide quotes to the market. Therefore, a publication delay of 15 minutes would be more appropriate taking into account the requirements by the buy-side to execute large fixed income orders on behalf of the institutional investors.</w:t>
      </w:r>
    </w:p>
    <w:p w:rsidR="00801F31" w:rsidRPr="00E00BC5" w:rsidRDefault="00801F31" w:rsidP="00801F31">
      <w:pPr>
        <w:spacing w:before="120" w:after="120" w:line="240" w:lineRule="auto"/>
        <w:contextualSpacing/>
        <w:outlineLvl w:val="1"/>
        <w:rPr>
          <w:szCs w:val="22"/>
        </w:rPr>
      </w:pPr>
    </w:p>
    <w:p w:rsidR="00801F31" w:rsidRDefault="00801F31" w:rsidP="00EC2C93">
      <w:pPr>
        <w:keepNext/>
        <w:rPr>
          <w:szCs w:val="22"/>
        </w:rPr>
      </w:pPr>
      <w:r w:rsidRPr="00E00BC5">
        <w:rPr>
          <w:szCs w:val="22"/>
        </w:rPr>
        <w:t>In terms of fixed income cash products we disagree with ESMA´s proposal. In our opinion, a real time publication respectively a maximum delay of 5 min will increase risk for liquidity providers because of arbitrage opportunities. We would prefer a longer period of time for the maximum permissible delay to protect liquidity providers. They should have a realistic chance liquidate the position before the trade is published. In our view, it is not a question of technical feasibility, it is more a question of post-trade data´s market impact and market damage, therefore a 3-year initial implementation period is not required</w:t>
      </w:r>
    </w:p>
    <w:permEnd w:id="193423453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801F31" w:rsidRPr="00E00BC5" w:rsidRDefault="00801F31" w:rsidP="00801F31">
      <w:pPr>
        <w:spacing w:before="120" w:after="120" w:line="240" w:lineRule="auto"/>
        <w:contextualSpacing/>
        <w:outlineLvl w:val="1"/>
        <w:rPr>
          <w:rFonts w:eastAsia="Calibri" w:cs="Times New Roman"/>
          <w:szCs w:val="22"/>
          <w:lang w:val="en-US"/>
        </w:rPr>
      </w:pPr>
      <w:permStart w:id="10564290" w:edGrp="everyone"/>
      <w:r w:rsidRPr="00E00BC5">
        <w:rPr>
          <w:rFonts w:eastAsia="Calibri" w:cs="Times New Roman"/>
          <w:szCs w:val="22"/>
          <w:lang w:val="en-US"/>
        </w:rPr>
        <w:t>We agree with this proposal</w:t>
      </w:r>
    </w:p>
    <w:permEnd w:id="10564290"/>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801F31" w:rsidRPr="00E00BC5" w:rsidRDefault="00801F31" w:rsidP="00801F31">
      <w:pPr>
        <w:spacing w:before="120" w:after="120" w:line="240" w:lineRule="auto"/>
        <w:contextualSpacing/>
        <w:outlineLvl w:val="1"/>
        <w:rPr>
          <w:szCs w:val="22"/>
        </w:rPr>
      </w:pPr>
      <w:permStart w:id="1957713801" w:edGrp="everyone"/>
      <w:r w:rsidRPr="00E00BC5">
        <w:rPr>
          <w:szCs w:val="22"/>
        </w:rPr>
        <w:t xml:space="preserve">Please see our answers to question Q57. </w:t>
      </w:r>
    </w:p>
    <w:p w:rsidR="00801F31" w:rsidRPr="00E00BC5" w:rsidRDefault="00801F31" w:rsidP="00801F31">
      <w:pPr>
        <w:spacing w:before="120" w:after="120" w:line="240" w:lineRule="auto"/>
        <w:contextualSpacing/>
        <w:outlineLvl w:val="1"/>
        <w:rPr>
          <w:szCs w:val="22"/>
        </w:rPr>
      </w:pPr>
    </w:p>
    <w:p w:rsidR="00801F31" w:rsidRPr="00E00BC5" w:rsidRDefault="00801F31" w:rsidP="00801F31">
      <w:pPr>
        <w:keepNext/>
        <w:spacing w:line="240" w:lineRule="auto"/>
        <w:contextualSpacing/>
        <w:rPr>
          <w:szCs w:val="22"/>
        </w:rPr>
      </w:pPr>
      <w:r w:rsidRPr="00E00BC5">
        <w:rPr>
          <w:szCs w:val="22"/>
        </w:rPr>
        <w:t xml:space="preserve">We agree with proposals 1-4.  </w:t>
      </w:r>
    </w:p>
    <w:p w:rsidR="00801F31" w:rsidRPr="00E00BC5" w:rsidRDefault="00801F31" w:rsidP="00801F31">
      <w:pPr>
        <w:keepNext/>
        <w:spacing w:line="240" w:lineRule="auto"/>
        <w:contextualSpacing/>
        <w:rPr>
          <w:szCs w:val="22"/>
        </w:rPr>
      </w:pPr>
    </w:p>
    <w:p w:rsidR="00801F31" w:rsidRPr="00E00BC5" w:rsidRDefault="00801F31" w:rsidP="00801F31">
      <w:pPr>
        <w:keepNext/>
        <w:spacing w:line="240" w:lineRule="auto"/>
        <w:contextualSpacing/>
        <w:rPr>
          <w:szCs w:val="22"/>
        </w:rPr>
      </w:pPr>
      <w:r w:rsidRPr="00E00BC5">
        <w:rPr>
          <w:szCs w:val="22"/>
        </w:rPr>
        <w:t>Regarding proposal 5, our preference is for the annual recalculation of thresholds.</w:t>
      </w:r>
    </w:p>
    <w:p w:rsidR="00801F31" w:rsidRPr="00E00BC5" w:rsidRDefault="00801F31" w:rsidP="00801F31">
      <w:pPr>
        <w:spacing w:before="120" w:after="120" w:line="240" w:lineRule="auto"/>
        <w:contextualSpacing/>
        <w:outlineLvl w:val="1"/>
        <w:rPr>
          <w:szCs w:val="22"/>
        </w:rPr>
      </w:pPr>
    </w:p>
    <w:p w:rsidR="00801F31" w:rsidRPr="00E00BC5" w:rsidRDefault="00801F31" w:rsidP="00801F31">
      <w:pPr>
        <w:spacing w:before="120" w:after="120" w:line="240" w:lineRule="auto"/>
        <w:contextualSpacing/>
        <w:outlineLvl w:val="1"/>
        <w:rPr>
          <w:szCs w:val="22"/>
        </w:rPr>
      </w:pPr>
      <w:r w:rsidRPr="00E00BC5">
        <w:rPr>
          <w:szCs w:val="22"/>
        </w:rPr>
        <w:t>We agree also with the proposal that the deferral period should be set at minimum at 48 hours after the transaction.</w:t>
      </w:r>
    </w:p>
    <w:p w:rsidR="00801F31" w:rsidRPr="00E00BC5" w:rsidRDefault="00801F31" w:rsidP="00801F31">
      <w:pPr>
        <w:spacing w:before="120" w:after="120" w:line="240" w:lineRule="auto"/>
        <w:contextualSpacing/>
        <w:outlineLvl w:val="1"/>
        <w:rPr>
          <w:szCs w:val="22"/>
        </w:rPr>
      </w:pPr>
      <w:r w:rsidRPr="00E00BC5">
        <w:rPr>
          <w:szCs w:val="22"/>
        </w:rPr>
        <w:lastRenderedPageBreak/>
        <w:t>This should leave sufficient time for the publication of data while in the same time protecting the publication of large fixed income orders for the buy-side clients.</w:t>
      </w:r>
    </w:p>
    <w:p w:rsidR="00801F31" w:rsidRPr="00E00BC5" w:rsidRDefault="00801F31" w:rsidP="00801F31">
      <w:pPr>
        <w:spacing w:before="120" w:after="120" w:line="240" w:lineRule="auto"/>
        <w:contextualSpacing/>
        <w:outlineLvl w:val="1"/>
        <w:rPr>
          <w:szCs w:val="22"/>
        </w:rPr>
      </w:pPr>
    </w:p>
    <w:p w:rsidR="00801F31" w:rsidRPr="00E00BC5" w:rsidRDefault="00801F31" w:rsidP="00801F31">
      <w:pPr>
        <w:spacing w:before="120" w:after="120" w:line="240" w:lineRule="auto"/>
        <w:contextualSpacing/>
        <w:outlineLvl w:val="1"/>
        <w:rPr>
          <w:rFonts w:eastAsia="Calibri" w:cs="Times New Roman"/>
          <w:szCs w:val="22"/>
          <w:lang w:val="en-US"/>
        </w:rPr>
      </w:pPr>
      <w:r w:rsidRPr="00E00BC5">
        <w:rPr>
          <w:rFonts w:eastAsia="Calibri" w:cs="Times New Roman"/>
          <w:szCs w:val="22"/>
          <w:lang w:val="en-US"/>
        </w:rPr>
        <w:t>In addition to what has been said above on this topic, EFAMA strongly urges ESMA to lower the LIS thresholds of Table 1 (page 154) of Annex B as follows:</w:t>
      </w:r>
    </w:p>
    <w:p w:rsidR="00801F31" w:rsidRPr="00E00BC5" w:rsidRDefault="00801F31" w:rsidP="00801F31">
      <w:pPr>
        <w:spacing w:before="120" w:after="120" w:line="240" w:lineRule="auto"/>
        <w:contextualSpacing/>
        <w:outlineLvl w:val="1"/>
        <w:rPr>
          <w:rFonts w:eastAsia="Calibri" w:cs="Times New Roman"/>
          <w:szCs w:val="22"/>
          <w:lang w:val="en-US"/>
        </w:rPr>
      </w:pPr>
    </w:p>
    <w:p w:rsidR="00801F31" w:rsidRPr="00E00BC5" w:rsidRDefault="00801F31" w:rsidP="00801F31">
      <w:pPr>
        <w:spacing w:before="120" w:after="120" w:line="240" w:lineRule="auto"/>
        <w:contextualSpacing/>
        <w:outlineLvl w:val="1"/>
        <w:rPr>
          <w:rFonts w:eastAsia="Calibri" w:cs="Times New Roman"/>
          <w:szCs w:val="22"/>
          <w:lang w:val="en-US"/>
        </w:rPr>
      </w:pPr>
      <w:r w:rsidRPr="00E00BC5">
        <w:rPr>
          <w:rFonts w:eastAsia="Calibri" w:cs="Times New Roman"/>
          <w:szCs w:val="22"/>
          <w:lang w:val="en-US"/>
        </w:rPr>
        <w:t>Non-European Sovereign Bonds: LIS of € 5M instead of €10M</w:t>
      </w:r>
    </w:p>
    <w:p w:rsidR="00801F31" w:rsidRPr="00E00BC5" w:rsidRDefault="00801F31" w:rsidP="00801F31">
      <w:pPr>
        <w:spacing w:before="120" w:after="120" w:line="240" w:lineRule="auto"/>
        <w:contextualSpacing/>
        <w:outlineLvl w:val="1"/>
        <w:rPr>
          <w:rFonts w:eastAsia="Calibri" w:cs="Times New Roman"/>
          <w:szCs w:val="22"/>
          <w:lang w:val="en-US"/>
        </w:rPr>
      </w:pPr>
      <w:r w:rsidRPr="00E00BC5">
        <w:rPr>
          <w:rFonts w:eastAsia="Calibri" w:cs="Times New Roman"/>
          <w:szCs w:val="22"/>
          <w:lang w:val="en-US"/>
        </w:rPr>
        <w:t>Other European Public Bonds: LIS of €3M instead of €5M</w:t>
      </w:r>
    </w:p>
    <w:p w:rsidR="00801F31" w:rsidRPr="00E00BC5" w:rsidRDefault="00801F31" w:rsidP="00801F31">
      <w:pPr>
        <w:spacing w:before="120" w:after="120" w:line="240" w:lineRule="auto"/>
        <w:contextualSpacing/>
        <w:outlineLvl w:val="1"/>
        <w:rPr>
          <w:rFonts w:eastAsia="Calibri" w:cs="Times New Roman"/>
          <w:szCs w:val="22"/>
          <w:lang w:val="en-US"/>
        </w:rPr>
      </w:pPr>
    </w:p>
    <w:p w:rsidR="00801F31" w:rsidRPr="00E00BC5" w:rsidRDefault="00801F31" w:rsidP="00801F31">
      <w:pPr>
        <w:spacing w:before="120" w:after="120" w:line="240" w:lineRule="auto"/>
        <w:contextualSpacing/>
        <w:outlineLvl w:val="1"/>
        <w:rPr>
          <w:rFonts w:eastAsia="Calibri" w:cs="Times New Roman"/>
          <w:szCs w:val="22"/>
          <w:lang w:val="en-US"/>
        </w:rPr>
      </w:pPr>
      <w:r w:rsidRPr="00E00BC5">
        <w:rPr>
          <w:rFonts w:eastAsia="Calibri" w:cs="Times New Roman"/>
          <w:szCs w:val="22"/>
          <w:lang w:val="en-US"/>
        </w:rPr>
        <w:t>For the following classes, EFAMA considers that the issuance size threshold should be €1M instead of the various thresholds proposed and that LIS thresholds should be as followed:</w:t>
      </w:r>
    </w:p>
    <w:p w:rsidR="00801F31" w:rsidRPr="00E00BC5" w:rsidRDefault="00801F31" w:rsidP="00801F31">
      <w:pPr>
        <w:spacing w:before="120" w:after="120" w:line="240" w:lineRule="auto"/>
        <w:contextualSpacing/>
        <w:outlineLvl w:val="1"/>
        <w:rPr>
          <w:rFonts w:eastAsia="Calibri" w:cs="Times New Roman"/>
          <w:szCs w:val="22"/>
          <w:lang w:val="en-US"/>
        </w:rPr>
      </w:pPr>
      <w:r w:rsidRPr="00E00BC5">
        <w:rPr>
          <w:rFonts w:eastAsia="Calibri" w:cs="Times New Roman"/>
          <w:szCs w:val="22"/>
          <w:lang w:val="en-US"/>
        </w:rPr>
        <w:t>Covered bonds: €2M instead of €5,5M</w:t>
      </w:r>
    </w:p>
    <w:p w:rsidR="00801F31" w:rsidRPr="00E00BC5" w:rsidRDefault="00801F31" w:rsidP="00801F31">
      <w:pPr>
        <w:spacing w:before="120" w:after="120" w:line="240" w:lineRule="auto"/>
        <w:contextualSpacing/>
        <w:outlineLvl w:val="1"/>
        <w:rPr>
          <w:rFonts w:eastAsia="Calibri" w:cs="Times New Roman"/>
          <w:szCs w:val="22"/>
          <w:lang w:val="en-US"/>
        </w:rPr>
      </w:pPr>
      <w:r w:rsidRPr="00E00BC5">
        <w:rPr>
          <w:rFonts w:eastAsia="Calibri" w:cs="Times New Roman"/>
          <w:szCs w:val="22"/>
          <w:lang w:val="en-US"/>
        </w:rPr>
        <w:t>Corporate Bonds Senior Financial: €2M instead of €2,5M</w:t>
      </w:r>
    </w:p>
    <w:p w:rsidR="00801F31" w:rsidRPr="00E00BC5" w:rsidRDefault="00801F31" w:rsidP="00801F31">
      <w:pPr>
        <w:spacing w:before="120" w:after="120" w:line="240" w:lineRule="auto"/>
        <w:contextualSpacing/>
        <w:outlineLvl w:val="1"/>
        <w:rPr>
          <w:rFonts w:eastAsia="Calibri" w:cs="Times New Roman"/>
          <w:szCs w:val="22"/>
          <w:lang w:val="en-US"/>
        </w:rPr>
      </w:pPr>
      <w:r w:rsidRPr="00E00BC5">
        <w:rPr>
          <w:rFonts w:eastAsia="Calibri" w:cs="Times New Roman"/>
          <w:szCs w:val="22"/>
          <w:lang w:val="en-US"/>
        </w:rPr>
        <w:t>Corporate Bonds Subordinated Non-financial: €2M instead of €5M.</w:t>
      </w:r>
    </w:p>
    <w:p w:rsidR="00801F31" w:rsidRPr="00E00BC5" w:rsidRDefault="00801F31" w:rsidP="00801F31">
      <w:pPr>
        <w:spacing w:before="120" w:after="120" w:line="240" w:lineRule="auto"/>
        <w:contextualSpacing/>
        <w:outlineLvl w:val="1"/>
        <w:rPr>
          <w:rFonts w:eastAsia="Calibri" w:cs="Times New Roman"/>
          <w:szCs w:val="22"/>
          <w:lang w:val="en-US"/>
        </w:rPr>
      </w:pPr>
      <w:r w:rsidRPr="00E00BC5">
        <w:rPr>
          <w:rFonts w:eastAsia="Calibri" w:cs="Times New Roman"/>
          <w:szCs w:val="22"/>
          <w:lang w:val="en-US"/>
        </w:rPr>
        <w:t>The table 2 for bonds not having a liquid market should be modified accordingly.</w:t>
      </w:r>
    </w:p>
    <w:p w:rsidR="00801F31" w:rsidRPr="00E00BC5" w:rsidRDefault="00801F31" w:rsidP="00801F31">
      <w:pPr>
        <w:spacing w:before="120" w:after="120" w:line="240" w:lineRule="auto"/>
        <w:contextualSpacing/>
        <w:outlineLvl w:val="1"/>
        <w:rPr>
          <w:rFonts w:eastAsia="Calibri" w:cs="Times New Roman"/>
          <w:szCs w:val="22"/>
          <w:lang w:val="en-US"/>
        </w:rPr>
      </w:pPr>
    </w:p>
    <w:p w:rsidR="00801F31" w:rsidRPr="00E00BC5" w:rsidRDefault="00801F31" w:rsidP="00801F31">
      <w:pPr>
        <w:autoSpaceDE w:val="0"/>
        <w:autoSpaceDN w:val="0"/>
        <w:adjustRightInd w:val="0"/>
        <w:spacing w:line="240" w:lineRule="auto"/>
        <w:rPr>
          <w:rFonts w:cs="Arial"/>
          <w:color w:val="000000"/>
          <w:szCs w:val="22"/>
          <w:lang w:val="en-US"/>
        </w:rPr>
      </w:pPr>
      <w:r w:rsidRPr="00E00BC5">
        <w:rPr>
          <w:rFonts w:cs="Arial"/>
          <w:color w:val="000000"/>
          <w:szCs w:val="22"/>
          <w:lang w:val="en-US"/>
        </w:rPr>
        <w:t xml:space="preserve">(1) We agree with a </w:t>
      </w:r>
      <w:proofErr w:type="spellStart"/>
      <w:r w:rsidRPr="00E00BC5">
        <w:rPr>
          <w:rFonts w:cs="Arial"/>
          <w:color w:val="000000"/>
          <w:szCs w:val="22"/>
          <w:lang w:val="en-US"/>
        </w:rPr>
        <w:t>harmonised</w:t>
      </w:r>
      <w:proofErr w:type="spellEnd"/>
      <w:r w:rsidRPr="00E00BC5">
        <w:rPr>
          <w:rFonts w:cs="Arial"/>
          <w:color w:val="000000"/>
          <w:szCs w:val="22"/>
          <w:lang w:val="en-US"/>
        </w:rPr>
        <w:t xml:space="preserve"> deferral period of 48 hours. Liquidity providers would have a realistic chance to settle illiquid or large positions before the trade is published. </w:t>
      </w:r>
    </w:p>
    <w:p w:rsidR="00801F31" w:rsidRPr="00E00BC5" w:rsidRDefault="00801F31" w:rsidP="00801F31">
      <w:pPr>
        <w:autoSpaceDE w:val="0"/>
        <w:autoSpaceDN w:val="0"/>
        <w:adjustRightInd w:val="0"/>
        <w:spacing w:line="240" w:lineRule="auto"/>
        <w:rPr>
          <w:rFonts w:cs="Arial"/>
          <w:color w:val="000000"/>
          <w:szCs w:val="22"/>
          <w:lang w:val="en-US"/>
        </w:rPr>
      </w:pPr>
    </w:p>
    <w:p w:rsidR="00801F31" w:rsidRDefault="00801F31" w:rsidP="00801F31">
      <w:pPr>
        <w:widowControl w:val="0"/>
        <w:autoSpaceDE w:val="0"/>
        <w:autoSpaceDN w:val="0"/>
        <w:adjustRightInd w:val="0"/>
        <w:spacing w:line="240" w:lineRule="auto"/>
        <w:rPr>
          <w:rFonts w:cs="Arial"/>
          <w:color w:val="000000"/>
          <w:szCs w:val="22"/>
          <w:lang w:val="en-US"/>
        </w:rPr>
      </w:pPr>
      <w:r w:rsidRPr="00E00BC5">
        <w:rPr>
          <w:rFonts w:cs="Arial"/>
          <w:color w:val="000000"/>
          <w:szCs w:val="22"/>
          <w:lang w:val="en-US"/>
        </w:rPr>
        <w:t xml:space="preserve">(2) We agree with a size specific to instrument threshold set as 50% of the large in scale threshold. </w:t>
      </w:r>
    </w:p>
    <w:p w:rsidR="00801F31" w:rsidRPr="00E00BC5" w:rsidRDefault="00801F31" w:rsidP="00801F31">
      <w:pPr>
        <w:widowControl w:val="0"/>
        <w:autoSpaceDE w:val="0"/>
        <w:autoSpaceDN w:val="0"/>
        <w:adjustRightInd w:val="0"/>
        <w:spacing w:line="240" w:lineRule="auto"/>
        <w:rPr>
          <w:rFonts w:cs="Arial"/>
          <w:color w:val="000000"/>
          <w:szCs w:val="22"/>
          <w:lang w:val="en-US"/>
        </w:rPr>
      </w:pPr>
      <w:r w:rsidRPr="00E00BC5">
        <w:rPr>
          <w:rFonts w:cs="Arial"/>
          <w:color w:val="000000"/>
          <w:szCs w:val="22"/>
          <w:lang w:val="en-US"/>
        </w:rPr>
        <w:t xml:space="preserve">(3) The setting of LSI threshold with consideration of total nominal value of debt instruments traded is reasonable. </w:t>
      </w:r>
    </w:p>
    <w:p w:rsidR="00801F31" w:rsidRPr="00E00BC5" w:rsidRDefault="00801F31" w:rsidP="00801F31">
      <w:pPr>
        <w:autoSpaceDE w:val="0"/>
        <w:autoSpaceDN w:val="0"/>
        <w:adjustRightInd w:val="0"/>
        <w:spacing w:line="240" w:lineRule="auto"/>
        <w:rPr>
          <w:rFonts w:cs="Arial"/>
          <w:color w:val="000000"/>
          <w:szCs w:val="22"/>
          <w:lang w:val="en-US"/>
        </w:rPr>
      </w:pPr>
      <w:r w:rsidRPr="00E00BC5">
        <w:rPr>
          <w:rFonts w:cs="Arial"/>
          <w:color w:val="000000"/>
          <w:szCs w:val="22"/>
          <w:lang w:val="en-US"/>
        </w:rPr>
        <w:t xml:space="preserve">(4) As pointed out in our answer to Q70 we disagree with the proposal of pre-trade transparency because of estimated negative impact on market liquidity, it doesn’t help to set any pre-trade thresholds. SSTI and LSI thresholds should only be used for post-trade matters. </w:t>
      </w:r>
    </w:p>
    <w:p w:rsidR="00801F31" w:rsidRPr="00E00BC5" w:rsidRDefault="00801F31" w:rsidP="00801F31">
      <w:pPr>
        <w:keepNext/>
        <w:spacing w:line="240" w:lineRule="auto"/>
        <w:contextualSpacing/>
        <w:rPr>
          <w:rFonts w:cs="Arial"/>
          <w:color w:val="000000"/>
          <w:szCs w:val="22"/>
          <w:lang w:val="en-US"/>
        </w:rPr>
      </w:pPr>
      <w:r w:rsidRPr="00E00BC5">
        <w:rPr>
          <w:rFonts w:cs="Arial"/>
          <w:color w:val="000000"/>
          <w:szCs w:val="22"/>
          <w:lang w:val="en-US"/>
        </w:rPr>
        <w:t xml:space="preserve">(5) An annual recalculation of the thresholds seems to be the favorable option because of a better adaption to changing market conditions. </w:t>
      </w:r>
      <w:r w:rsidRPr="00E00BC5">
        <w:rPr>
          <w:rFonts w:cs="Arial"/>
          <w:color w:val="000000"/>
          <w:szCs w:val="22"/>
          <w:lang w:val="de-DE"/>
        </w:rPr>
        <w:t>The threshold calculation methodology from 2018 onwards seems plausible.</w:t>
      </w:r>
    </w:p>
    <w:permEnd w:id="1957713801"/>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t>
      </w:r>
      <w:r>
        <w:lastRenderedPageBreak/>
        <w:t>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404132059" w:edGrp="everyone"/>
      <w:r>
        <w:t>TYPE YOUR TEXT HERE</w:t>
      </w:r>
    </w:p>
    <w:permEnd w:id="1404132059"/>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296774079" w:edGrp="everyone"/>
      <w:r>
        <w:t>TYPE YOUR TEXT HERE</w:t>
      </w:r>
    </w:p>
    <w:permEnd w:id="296774079"/>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725181797" w:edGrp="everyone"/>
      <w:r>
        <w:t>TYPE YOUR TEXT HERE</w:t>
      </w:r>
    </w:p>
    <w:permEnd w:id="1725181797"/>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851268680" w:edGrp="everyone"/>
      <w:r>
        <w:t>TYPE YOUR TEXT HERE</w:t>
      </w:r>
    </w:p>
    <w:permEnd w:id="185126868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w:t>
      </w:r>
      <w:r>
        <w:lastRenderedPageBreak/>
        <w:t>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212376405" w:edGrp="everyone"/>
      <w:r>
        <w:t>TYPE YOUR TEXT HERE</w:t>
      </w:r>
    </w:p>
    <w:permEnd w:id="121237640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801F31" w:rsidRPr="00E00BC5" w:rsidRDefault="00801F31" w:rsidP="00801F31">
      <w:pPr>
        <w:spacing w:after="200" w:line="240" w:lineRule="auto"/>
        <w:contextualSpacing/>
        <w:rPr>
          <w:rFonts w:eastAsia="Calibri" w:cs="Times New Roman"/>
          <w:szCs w:val="22"/>
        </w:rPr>
      </w:pPr>
      <w:permStart w:id="1007487060" w:edGrp="everyone"/>
      <w:r w:rsidRPr="00E00BC5">
        <w:rPr>
          <w:rFonts w:eastAsia="Calibri" w:cs="Times New Roman"/>
          <w:szCs w:val="22"/>
        </w:rPr>
        <w:t xml:space="preserve">We agree with ESMA’s proposal.  </w:t>
      </w:r>
    </w:p>
    <w:p w:rsidR="00801F31" w:rsidRPr="00E00BC5" w:rsidRDefault="00801F31" w:rsidP="00801F31">
      <w:pPr>
        <w:spacing w:after="200" w:line="240" w:lineRule="auto"/>
        <w:contextualSpacing/>
        <w:rPr>
          <w:rFonts w:eastAsia="Calibri" w:cs="Times New Roman"/>
          <w:szCs w:val="22"/>
        </w:rPr>
      </w:pPr>
    </w:p>
    <w:p w:rsidR="00801F31" w:rsidRPr="00E00BC5" w:rsidRDefault="00801F31" w:rsidP="00801F31">
      <w:pPr>
        <w:spacing w:after="200" w:line="240" w:lineRule="auto"/>
        <w:contextualSpacing/>
        <w:rPr>
          <w:rFonts w:eastAsia="Calibri" w:cs="Times New Roman"/>
          <w:szCs w:val="22"/>
        </w:rPr>
      </w:pPr>
      <w:r w:rsidRPr="00E00BC5">
        <w:rPr>
          <w:rFonts w:eastAsia="Calibri" w:cs="Times New Roman"/>
          <w:szCs w:val="22"/>
        </w:rPr>
        <w:t>National competent authorities should retain some discretions over key elements of market structure but it should be minimised given the risk of divergent regulatory approaches that would only serve to lock-in complexity, fragmentation and ultimately, cost to end-investors</w:t>
      </w:r>
    </w:p>
    <w:permEnd w:id="1007487060"/>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801F31" w:rsidRPr="00E00BC5" w:rsidRDefault="00801F31" w:rsidP="00801F31">
      <w:pPr>
        <w:spacing w:before="120" w:after="120" w:line="240" w:lineRule="auto"/>
        <w:contextualSpacing/>
        <w:outlineLvl w:val="1"/>
        <w:rPr>
          <w:rFonts w:eastAsia="Calibri" w:cs="Times New Roman"/>
          <w:szCs w:val="22"/>
        </w:rPr>
      </w:pPr>
      <w:permStart w:id="829361737" w:edGrp="everyone"/>
      <w:r w:rsidRPr="00E00BC5">
        <w:rPr>
          <w:rFonts w:eastAsia="Calibri" w:cs="Times New Roman"/>
          <w:szCs w:val="22"/>
        </w:rPr>
        <w:t>We agree with proposed text.</w:t>
      </w:r>
    </w:p>
    <w:p w:rsidR="00801F31" w:rsidRPr="00E00BC5" w:rsidRDefault="00801F31" w:rsidP="00801F31">
      <w:pPr>
        <w:spacing w:before="120" w:after="120" w:line="240" w:lineRule="auto"/>
        <w:contextualSpacing/>
        <w:outlineLvl w:val="1"/>
        <w:rPr>
          <w:rFonts w:eastAsia="Calibri" w:cs="Times New Roman"/>
          <w:b/>
          <w:szCs w:val="22"/>
          <w:lang w:val="en-US"/>
        </w:rPr>
      </w:pPr>
    </w:p>
    <w:p w:rsidR="00801F31" w:rsidRPr="00E00BC5" w:rsidRDefault="00801F31" w:rsidP="00801F31">
      <w:pPr>
        <w:spacing w:before="120" w:after="120" w:line="240" w:lineRule="auto"/>
        <w:contextualSpacing/>
        <w:outlineLvl w:val="1"/>
        <w:rPr>
          <w:rFonts w:eastAsia="Calibri" w:cs="Times New Roman"/>
          <w:b/>
          <w:szCs w:val="22"/>
          <w:lang w:val="en-US"/>
        </w:rPr>
      </w:pPr>
      <w:r w:rsidRPr="00E00BC5">
        <w:rPr>
          <w:szCs w:val="22"/>
        </w:rPr>
        <w:t>In terms of fixed income cash products, we generally appreciate the possibility of temporary suspension of transparency requirements. The use and measure of average daily turnover is comprehensible and we have no better alternative to suggest. The methodology to assess a drop in liquidity does not come up with a massive decline in liquidity. We believe a consideration of 7 days in relation to average weekly volume could also be more suitable.</w:t>
      </w:r>
    </w:p>
    <w:permEnd w:id="829361737"/>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801F31" w:rsidRPr="00E00BC5" w:rsidRDefault="00801F31" w:rsidP="00801F31">
      <w:pPr>
        <w:spacing w:before="120" w:after="120" w:line="240" w:lineRule="auto"/>
        <w:contextualSpacing/>
        <w:outlineLvl w:val="1"/>
        <w:rPr>
          <w:rFonts w:eastAsia="Calibri" w:cs="Times New Roman"/>
          <w:szCs w:val="22"/>
          <w:lang w:val="en-US"/>
        </w:rPr>
      </w:pPr>
      <w:permStart w:id="403454242" w:edGrp="everyone"/>
      <w:r w:rsidRPr="00E00BC5">
        <w:rPr>
          <w:rFonts w:eastAsia="Calibri" w:cs="Times New Roman"/>
          <w:szCs w:val="22"/>
          <w:lang w:val="en-US"/>
        </w:rPr>
        <w:t>We agree with the proposed text.</w:t>
      </w:r>
    </w:p>
    <w:permEnd w:id="403454242"/>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690701080" w:edGrp="everyone"/>
      <w:r>
        <w:t>TYPE YOUR TEXT HERE</w:t>
      </w:r>
    </w:p>
    <w:permEnd w:id="690701080"/>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lastRenderedPageBreak/>
        <w:t>&lt;ESMA_QUESTION_CP_MIFID_87&gt;</w:t>
      </w:r>
    </w:p>
    <w:p w:rsidR="00577C33" w:rsidRDefault="00577C33" w:rsidP="00EC2C93">
      <w:pPr>
        <w:keepNext/>
      </w:pPr>
      <w:permStart w:id="1527253688" w:edGrp="everyone"/>
      <w:r>
        <w:t>TYPE YOUR TEXT HERE</w:t>
      </w:r>
    </w:p>
    <w:permEnd w:id="1527253688"/>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534513984" w:edGrp="everyone"/>
      <w:r>
        <w:t>TYPE YOUR TEXT HERE</w:t>
      </w:r>
    </w:p>
    <w:permEnd w:id="534513984"/>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126ADC" w:rsidRPr="00E00BC5" w:rsidRDefault="00126ADC" w:rsidP="00126ADC">
      <w:pPr>
        <w:spacing w:before="120" w:after="120" w:line="240" w:lineRule="auto"/>
        <w:contextualSpacing/>
        <w:outlineLvl w:val="1"/>
        <w:rPr>
          <w:rFonts w:eastAsia="Calibri" w:cs="Times New Roman"/>
        </w:rPr>
      </w:pPr>
      <w:permStart w:id="2084269329" w:edGrp="everyone"/>
      <w:r w:rsidRPr="00E00BC5">
        <w:rPr>
          <w:rFonts w:eastAsia="Calibri" w:cs="Times New Roman"/>
          <w:lang w:val="en-US"/>
        </w:rPr>
        <w:t>We support</w:t>
      </w:r>
      <w:r w:rsidRPr="00E00BC5">
        <w:rPr>
          <w:rFonts w:eastAsia="Calibri" w:cs="Times New Roman"/>
        </w:rPr>
        <w:t xml:space="preserve"> the proposed exclusion of technical trades from the trading obligation.</w:t>
      </w:r>
    </w:p>
    <w:permEnd w:id="2084269329"/>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887843904" w:edGrp="everyone"/>
      <w:r>
        <w:t>TYPE YOUR TEXT HERE</w:t>
      </w:r>
    </w:p>
    <w:permEnd w:id="1887843904"/>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126ADC" w:rsidRPr="00E00BC5" w:rsidRDefault="00126ADC" w:rsidP="00126ADC">
      <w:pPr>
        <w:spacing w:after="160" w:line="240" w:lineRule="auto"/>
        <w:contextualSpacing/>
      </w:pPr>
      <w:permStart w:id="616237590" w:edGrp="everyone"/>
      <w:r w:rsidRPr="00E00BC5">
        <w:t>We do not believe that the RTS should be expanded to European branches of non-EU non-financial counterparties. We would support adopting a consistent approach between EMIR and MiFID.</w:t>
      </w:r>
    </w:p>
    <w:permEnd w:id="61623759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673141429" w:edGrp="everyone"/>
      <w:r>
        <w:t>TYPE YOUR TEXT HERE</w:t>
      </w:r>
    </w:p>
    <w:permEnd w:id="673141429"/>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943485083" w:edGrp="everyone"/>
      <w:r>
        <w:t>TYPE YOUR TEXT HERE</w:t>
      </w:r>
    </w:p>
    <w:permEnd w:id="94348508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590822457" w:edGrp="everyone"/>
      <w:r>
        <w:t>TYPE YOUR TEXT HERE</w:t>
      </w:r>
    </w:p>
    <w:permEnd w:id="1590822457"/>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901878911" w:edGrp="everyone"/>
      <w:r>
        <w:t>TYPE YOUR TEXT HERE</w:t>
      </w:r>
    </w:p>
    <w:permEnd w:id="1901878911"/>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407002294" w:edGrp="everyone"/>
      <w:r>
        <w:t>TYPE YOUR TEXT HERE</w:t>
      </w:r>
    </w:p>
    <w:permEnd w:id="140700229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493177590" w:edGrp="everyone"/>
      <w:r>
        <w:t>TYPE YOUR TEXT HERE</w:t>
      </w:r>
    </w:p>
    <w:permEnd w:id="1493177590"/>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283985507" w:edGrp="everyone"/>
      <w:r>
        <w:t>TYPE YOUR TEXT HERE</w:t>
      </w:r>
    </w:p>
    <w:permEnd w:id="12839855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98067644" w:edGrp="everyone"/>
      <w:r>
        <w:t>TYPE YOUR TEXT HERE</w:t>
      </w:r>
    </w:p>
    <w:permEnd w:id="198067644"/>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596922837" w:edGrp="everyone"/>
      <w:r>
        <w:t>TYPE YOUR TEXT HERE</w:t>
      </w:r>
    </w:p>
    <w:permEnd w:id="1596922837"/>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81692061" w:edGrp="everyone"/>
      <w:r>
        <w:t>TYPE YOUR TEXT HERE</w:t>
      </w:r>
    </w:p>
    <w:permEnd w:id="28169206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444891838" w:edGrp="everyone"/>
      <w:r>
        <w:t>TYPE YOUR TEXT HERE</w:t>
      </w:r>
    </w:p>
    <w:permEnd w:id="1444891838"/>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212154211" w:edGrp="everyone"/>
      <w:r>
        <w:t>TYPE YOUR TEXT HERE</w:t>
      </w:r>
    </w:p>
    <w:permEnd w:id="21215421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737833131" w:edGrp="everyone"/>
      <w:r>
        <w:t>TYPE YOUR TEXT HERE</w:t>
      </w:r>
    </w:p>
    <w:permEnd w:id="173783313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329847825" w:edGrp="everyone"/>
      <w:r>
        <w:t>TYPE YOUR TEXT HERE</w:t>
      </w:r>
    </w:p>
    <w:permEnd w:id="329847825"/>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317219983" w:edGrp="everyone"/>
      <w:r>
        <w:t>TYPE YOUR TEXT HERE</w:t>
      </w:r>
    </w:p>
    <w:permEnd w:id="317219983"/>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09422205" w:edGrp="everyone"/>
      <w:r>
        <w:t>TYPE YOUR TEXT HERE</w:t>
      </w:r>
    </w:p>
    <w:permEnd w:id="1109422205"/>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2141353217" w:edGrp="everyone"/>
      <w:r>
        <w:t>TYPE YOUR TEXT HERE</w:t>
      </w:r>
    </w:p>
    <w:permEnd w:id="21413532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346251870" w:edGrp="everyone"/>
      <w:r>
        <w:t>TYPE YOUR TEXT HERE</w:t>
      </w:r>
    </w:p>
    <w:permEnd w:id="1346251870"/>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041704873" w:edGrp="everyone"/>
      <w:r>
        <w:t>TYPE YOUR TEXT HERE</w:t>
      </w:r>
    </w:p>
    <w:permEnd w:id="1041704873"/>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039026235" w:edGrp="everyone"/>
      <w:r>
        <w:t>TYPE YOUR TEXT HERE</w:t>
      </w:r>
    </w:p>
    <w:permEnd w:id="1039026235"/>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383262408" w:edGrp="everyone"/>
      <w:r>
        <w:t>TYPE YOUR TEXT HERE</w:t>
      </w:r>
    </w:p>
    <w:permEnd w:id="383262408"/>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871896656" w:edGrp="everyone"/>
      <w:r>
        <w:t>TYPE YOUR TEXT HERE</w:t>
      </w:r>
    </w:p>
    <w:permEnd w:id="871896656"/>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587569679" w:edGrp="everyone"/>
      <w:r>
        <w:t>TYPE YOUR TEXT HERE</w:t>
      </w:r>
    </w:p>
    <w:permEnd w:id="1587569679"/>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28533416" w:edGrp="everyone"/>
      <w:r>
        <w:t>TYPE YOUR TEXT HERE</w:t>
      </w:r>
    </w:p>
    <w:permEnd w:id="28533416"/>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823483288" w:edGrp="everyone"/>
      <w:r>
        <w:t>TYPE YOUR TEXT HERE</w:t>
      </w:r>
    </w:p>
    <w:permEnd w:id="823483288"/>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45624989" w:edGrp="everyone"/>
      <w:r>
        <w:t>TYPE YOUR TEXT HERE</w:t>
      </w:r>
    </w:p>
    <w:permEnd w:id="45624989"/>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723847082" w:edGrp="everyone"/>
      <w:r>
        <w:t>TYPE YOUR TEXT HERE</w:t>
      </w:r>
    </w:p>
    <w:permEnd w:id="723847082"/>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75004061" w:edGrp="everyone"/>
      <w:r>
        <w:t>TYPE YOUR TEXT HERE</w:t>
      </w:r>
    </w:p>
    <w:permEnd w:id="7500406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596534365" w:edGrp="everyone"/>
      <w:r>
        <w:t>TYPE YOUR TEXT HERE</w:t>
      </w:r>
    </w:p>
    <w:permEnd w:id="1596534365"/>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688695497" w:edGrp="everyone"/>
      <w:r>
        <w:t>TYPE YOUR TEXT HERE</w:t>
      </w:r>
    </w:p>
    <w:permEnd w:id="1688695497"/>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727280804" w:edGrp="everyone"/>
      <w:r>
        <w:t>TYPE YOUR TEXT HERE</w:t>
      </w:r>
    </w:p>
    <w:permEnd w:id="172728080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671327453" w:edGrp="everyone"/>
      <w:r>
        <w:t>TYPE YOUR TEXT HERE</w:t>
      </w:r>
    </w:p>
    <w:permEnd w:id="1671327453"/>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126ADC" w:rsidRPr="00E00BC5" w:rsidRDefault="00126ADC" w:rsidP="00126ADC">
      <w:pPr>
        <w:spacing w:after="160" w:line="240" w:lineRule="auto"/>
        <w:contextualSpacing/>
      </w:pPr>
      <w:permStart w:id="761791245" w:edGrp="everyone"/>
      <w:r w:rsidRPr="00E00BC5">
        <w:t>We do not agree with the proposed regime.</w:t>
      </w:r>
    </w:p>
    <w:p w:rsidR="00126ADC" w:rsidRPr="00E00BC5" w:rsidRDefault="00126ADC" w:rsidP="00126ADC">
      <w:pPr>
        <w:spacing w:after="160" w:line="240" w:lineRule="auto"/>
        <w:contextualSpacing/>
      </w:pPr>
    </w:p>
    <w:p w:rsidR="00126ADC" w:rsidRPr="00E00BC5" w:rsidRDefault="00126ADC" w:rsidP="00126ADC">
      <w:pPr>
        <w:spacing w:after="160" w:line="240" w:lineRule="auto"/>
        <w:contextualSpacing/>
      </w:pPr>
      <w:r w:rsidRPr="00E00BC5">
        <w:t xml:space="preserve">We are under the impression that the proposal has been drafted absent a detailed data-driven study of the potential impacts to the ETF market hence a level of flexibility in its implementation will be necessary to avoid unnecessarily distorting markets. We are of the view that setting a very restrictive regime with inflexible tick size that ignores the liquidity of the underlying instruments of an ETF would lead to an increase of dark trading. </w:t>
      </w:r>
    </w:p>
    <w:p w:rsidR="00126ADC" w:rsidRPr="00E00BC5" w:rsidRDefault="00126ADC" w:rsidP="00126ADC">
      <w:pPr>
        <w:spacing w:after="160" w:line="240" w:lineRule="auto"/>
        <w:contextualSpacing/>
      </w:pPr>
      <w:r w:rsidRPr="00E00BC5">
        <w:t xml:space="preserve">This would be even more important for larger more liquid funds and ETFs where the underlying securities trade with very tight spreads (e.g. money market or short duration funds). </w:t>
      </w:r>
    </w:p>
    <w:p w:rsidR="00126ADC" w:rsidRPr="00E00BC5" w:rsidRDefault="00126ADC" w:rsidP="00126ADC">
      <w:pPr>
        <w:spacing w:after="160" w:line="240" w:lineRule="auto"/>
        <w:contextualSpacing/>
      </w:pPr>
    </w:p>
    <w:p w:rsidR="00126ADC" w:rsidRPr="00E00BC5" w:rsidRDefault="00126ADC" w:rsidP="00126ADC">
      <w:pPr>
        <w:spacing w:after="160" w:line="240" w:lineRule="auto"/>
        <w:contextualSpacing/>
      </w:pPr>
      <w:r w:rsidRPr="00E00BC5">
        <w:t>Consequently, we propose an exceptions’ process that addresses possible flight from lit markets due to an inappropriate tick size table. The exceptions’ process would be available when an ETF had demonstrated a spread to tick ratio of three on a consistent basis or the underlying securities traded in tighter spreads than tick size table indicated. This would allow manual adjustments of the tick size to a more appropriate band (outside the instruments current price range).</w:t>
      </w:r>
    </w:p>
    <w:permEnd w:id="761791245"/>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126ADC" w:rsidRPr="00E00BC5" w:rsidRDefault="00126ADC" w:rsidP="00126ADC">
      <w:pPr>
        <w:spacing w:after="160" w:line="240" w:lineRule="auto"/>
        <w:contextualSpacing/>
      </w:pPr>
      <w:permStart w:id="450568894" w:edGrp="everyone"/>
      <w:r w:rsidRPr="00E00BC5">
        <w:t xml:space="preserve">We welcome the inclusion of ETFs in the most liquid category. Therefore newly issued ETFs will fall into a tick size category based on price. </w:t>
      </w:r>
    </w:p>
    <w:p w:rsidR="00126ADC" w:rsidRPr="00E00BC5" w:rsidRDefault="00126ADC" w:rsidP="00126ADC">
      <w:pPr>
        <w:spacing w:after="160" w:line="240" w:lineRule="auto"/>
        <w:contextualSpacing/>
      </w:pPr>
    </w:p>
    <w:p w:rsidR="00126ADC" w:rsidRPr="00E00BC5" w:rsidRDefault="00126ADC" w:rsidP="00126ADC">
      <w:pPr>
        <w:spacing w:after="160" w:line="240" w:lineRule="auto"/>
        <w:contextualSpacing/>
      </w:pPr>
      <w:r w:rsidRPr="00E00BC5">
        <w:t xml:space="preserve">Considering this latest effect, we believe that there is a need to apply the exception process as described in Question 124 for a new fund. </w:t>
      </w:r>
    </w:p>
    <w:p w:rsidR="00126ADC" w:rsidRPr="00E00BC5" w:rsidRDefault="00126ADC" w:rsidP="00126ADC">
      <w:pPr>
        <w:spacing w:after="160" w:line="240" w:lineRule="auto"/>
        <w:contextualSpacing/>
      </w:pPr>
      <w:r w:rsidRPr="00E00BC5">
        <w:t>For example a money market type fund in the current low rate environment would require a smaller tick size than the current tick size table would indicate.</w:t>
      </w:r>
    </w:p>
    <w:p w:rsidR="00126ADC" w:rsidRPr="00E00BC5" w:rsidRDefault="00126ADC" w:rsidP="00126ADC">
      <w:pPr>
        <w:spacing w:after="160" w:line="240" w:lineRule="auto"/>
        <w:contextualSpacing/>
      </w:pPr>
    </w:p>
    <w:p w:rsidR="00126ADC" w:rsidRPr="00E00BC5" w:rsidRDefault="00126ADC" w:rsidP="00126ADC">
      <w:pPr>
        <w:spacing w:after="160" w:line="240" w:lineRule="auto"/>
        <w:contextualSpacing/>
      </w:pPr>
      <w:r w:rsidRPr="00E00BC5">
        <w:t>Consequently, we believe critical that there is a review of the tick size of a newly launched ETF within the prescribed 6 week period. There should be an analysis of the spread to tick ratio to determine the most appropriate tick size.</w:t>
      </w:r>
    </w:p>
    <w:permEnd w:id="45056889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126ADC" w:rsidRPr="00E00BC5" w:rsidRDefault="00126ADC" w:rsidP="00126ADC">
      <w:pPr>
        <w:spacing w:after="160" w:line="240" w:lineRule="auto"/>
        <w:contextualSpacing/>
      </w:pPr>
      <w:permStart w:id="1648388302" w:edGrp="everyone"/>
      <w:r w:rsidRPr="00E00BC5">
        <w:t>We agree with the approach regarding Corporate Actions for ETFs.</w:t>
      </w:r>
    </w:p>
    <w:permEnd w:id="1648388302"/>
    <w:p w:rsidR="00577C33" w:rsidRDefault="00577C33" w:rsidP="00EC2C93">
      <w:pPr>
        <w:keepNext/>
      </w:pPr>
      <w:r>
        <w:lastRenderedPageBreak/>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126ADC" w:rsidRPr="00E00BC5" w:rsidRDefault="00126ADC" w:rsidP="00126ADC">
      <w:pPr>
        <w:spacing w:after="160" w:line="240" w:lineRule="auto"/>
        <w:contextualSpacing/>
        <w:rPr>
          <w:b/>
        </w:rPr>
      </w:pPr>
      <w:permStart w:id="1983251278" w:edGrp="everyone"/>
      <w:r w:rsidRPr="00E00BC5">
        <w:t>For ETFs as described in Questions 124 and 125, tick sizes may need to be adjusted to take into account</w:t>
      </w:r>
      <w:r w:rsidRPr="00E00BC5">
        <w:rPr>
          <w:b/>
        </w:rPr>
        <w:t xml:space="preserve"> </w:t>
      </w:r>
      <w:r w:rsidRPr="00E00BC5">
        <w:t>the underlying liquidity of the security.</w:t>
      </w:r>
    </w:p>
    <w:permEnd w:id="1983251278"/>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17266394" w:edGrp="everyone"/>
      <w:r>
        <w:t>TYPE YOUR TEXT HERE</w:t>
      </w:r>
    </w:p>
    <w:permEnd w:id="117266394"/>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572426319" w:edGrp="everyone"/>
      <w:r>
        <w:t>TYPE YOUR TEXT HERE</w:t>
      </w:r>
    </w:p>
    <w:permEnd w:id="1572426319"/>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777614270" w:edGrp="everyone"/>
      <w:r>
        <w:t>TYPE YOUR TEXT HERE</w:t>
      </w:r>
    </w:p>
    <w:permEnd w:id="177761427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073049849" w:edGrp="everyone"/>
      <w:r>
        <w:t>TYPE YOUR TEXT HERE</w:t>
      </w:r>
    </w:p>
    <w:permEnd w:id="1073049849"/>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847808197" w:edGrp="everyone"/>
      <w:r>
        <w:t>TYPE YOUR TEXT HERE</w:t>
      </w:r>
    </w:p>
    <w:permEnd w:id="1847808197"/>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126ADC" w:rsidRPr="00E00BC5" w:rsidRDefault="00126ADC" w:rsidP="00126ADC">
      <w:pPr>
        <w:spacing w:after="160" w:line="240" w:lineRule="auto"/>
        <w:contextualSpacing/>
      </w:pPr>
      <w:permStart w:id="1043755674" w:edGrp="everyone"/>
      <w:r w:rsidRPr="00E00BC5">
        <w:t xml:space="preserve">For ETFs we do not believe there is a requirement to halt trading on other exchanges if a “Material Market in terms of Liquidity” suspends trading. That said we value the transparency of trading halts and advise that more than 10% should constitute a material threshold for ETFs. </w:t>
      </w:r>
    </w:p>
    <w:permEnd w:id="1043755674"/>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67135768" w:edGrp="everyone"/>
      <w:r>
        <w:t>TYPE YOUR TEXT HERE</w:t>
      </w:r>
    </w:p>
    <w:permEnd w:id="6713576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027414218" w:edGrp="everyone"/>
      <w:r>
        <w:t>TYPE YOUR TEXT HERE</w:t>
      </w:r>
    </w:p>
    <w:permEnd w:id="1027414218"/>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385135444" w:edGrp="everyone"/>
      <w:r>
        <w:t>TYPE YOUR TEXT HERE</w:t>
      </w:r>
    </w:p>
    <w:permEnd w:id="1385135444"/>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628770527" w:edGrp="everyone"/>
      <w:r>
        <w:t>TYPE YOUR TEXT HERE</w:t>
      </w:r>
    </w:p>
    <w:permEnd w:id="1628770527"/>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397892864" w:edGrp="everyone"/>
      <w:r>
        <w:t>TYPE YOUR TEXT HERE</w:t>
      </w:r>
    </w:p>
    <w:permEnd w:id="1397892864"/>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465713506" w:edGrp="everyone"/>
      <w:r>
        <w:t>TYPE YOUR TEXT HERE</w:t>
      </w:r>
    </w:p>
    <w:permEnd w:id="465713506"/>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35007876" w:edGrp="everyone"/>
      <w:r>
        <w:t>TYPE YOUR TEXT HERE</w:t>
      </w:r>
    </w:p>
    <w:permEnd w:id="135007876"/>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694842600" w:edGrp="everyone"/>
      <w:r>
        <w:t>TYPE YOUR TEXT HERE</w:t>
      </w:r>
    </w:p>
    <w:permEnd w:id="69484260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625230238" w:edGrp="everyone"/>
      <w:r>
        <w:t>TYPE YOUR TEXT HERE</w:t>
      </w:r>
    </w:p>
    <w:permEnd w:id="1625230238"/>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776801705" w:edGrp="everyone"/>
      <w:r>
        <w:t>TYPE YOUR TEXT HERE</w:t>
      </w:r>
    </w:p>
    <w:permEnd w:id="77680170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2008811199" w:edGrp="everyone"/>
      <w:r>
        <w:t>TYPE YOUR TEXT HERE</w:t>
      </w:r>
    </w:p>
    <w:permEnd w:id="200881119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313753511" w:edGrp="everyone"/>
      <w:r>
        <w:t>TYPE YOUR TEXT HERE</w:t>
      </w:r>
    </w:p>
    <w:permEnd w:id="131375351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790136794" w:edGrp="everyone"/>
      <w:r>
        <w:t>TYPE YOUR TEXT HERE</w:t>
      </w:r>
    </w:p>
    <w:permEnd w:id="179013679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994978883" w:edGrp="everyone"/>
      <w:r>
        <w:t>TYPE YOUR TEXT HERE</w:t>
      </w:r>
    </w:p>
    <w:permEnd w:id="994978883"/>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607422920" w:edGrp="everyone"/>
      <w:r>
        <w:t>TYPE YOUR TEXT HERE</w:t>
      </w:r>
    </w:p>
    <w:permEnd w:id="160742292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273782657" w:edGrp="everyone"/>
      <w:r>
        <w:t>TYPE YOUR TEXT HERE</w:t>
      </w:r>
    </w:p>
    <w:permEnd w:id="127378265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2008441882" w:edGrp="everyone"/>
      <w:r>
        <w:t>TYPE YOUR TEXT HERE</w:t>
      </w:r>
    </w:p>
    <w:permEnd w:id="2008441882"/>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535202608" w:edGrp="everyone"/>
      <w:r>
        <w:t>TYPE YOUR TEXT HERE</w:t>
      </w:r>
    </w:p>
    <w:permEnd w:id="1535202608"/>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303439400" w:edGrp="everyone"/>
      <w:r>
        <w:t>TYPE YOUR TEXT HERE</w:t>
      </w:r>
    </w:p>
    <w:permEnd w:id="303439400"/>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374355504" w:edGrp="everyone"/>
      <w:r>
        <w:t>TYPE YOUR TEXT HERE</w:t>
      </w:r>
    </w:p>
    <w:permEnd w:id="1374355504"/>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495759678" w:edGrp="everyone"/>
      <w:r>
        <w:t>TYPE YOUR TEXT HERE</w:t>
      </w:r>
    </w:p>
    <w:permEnd w:id="149575967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191606965" w:edGrp="everyone"/>
      <w:r>
        <w:t>TYPE YOUR TEXT HERE</w:t>
      </w:r>
    </w:p>
    <w:permEnd w:id="1191606965"/>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019242791" w:edGrp="everyone"/>
      <w:r>
        <w:t>TYPE YOUR TEXT HERE</w:t>
      </w:r>
    </w:p>
    <w:permEnd w:id="1019242791"/>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516062629" w:edGrp="everyone"/>
      <w:r>
        <w:t>TYPE YOUR TEXT HERE</w:t>
      </w:r>
    </w:p>
    <w:permEnd w:id="1516062629"/>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969716715" w:edGrp="everyone"/>
      <w:r>
        <w:t>TYPE YOUR TEXT HERE</w:t>
      </w:r>
    </w:p>
    <w:permEnd w:id="196971671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965495944" w:edGrp="everyone"/>
      <w:r>
        <w:t>TYPE YOUR TEXT HERE</w:t>
      </w:r>
    </w:p>
    <w:permEnd w:id="965495944"/>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464023349" w:edGrp="everyone"/>
      <w:r>
        <w:t>TYPE YOUR TEXT HERE</w:t>
      </w:r>
    </w:p>
    <w:permEnd w:id="46402334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870006855" w:edGrp="everyone"/>
      <w:r>
        <w:t>TYPE YOUR TEXT HERE</w:t>
      </w:r>
    </w:p>
    <w:permEnd w:id="870006855"/>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575474642" w:edGrp="everyone"/>
      <w:r>
        <w:t>TYPE YOUR TEXT HERE</w:t>
      </w:r>
    </w:p>
    <w:permEnd w:id="575474642"/>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484841713" w:edGrp="everyone"/>
      <w:r>
        <w:t>TYPE YOUR TEXT HERE</w:t>
      </w:r>
    </w:p>
    <w:permEnd w:id="484841713"/>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2046320839" w:edGrp="everyone"/>
      <w:r>
        <w:t>TYPE YOUR TEXT HERE</w:t>
      </w:r>
    </w:p>
    <w:permEnd w:id="204632083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615951728" w:edGrp="everyone"/>
      <w:r>
        <w:t>TYPE YOUR TEXT HERE</w:t>
      </w:r>
    </w:p>
    <w:permEnd w:id="161595172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275870703" w:edGrp="everyone"/>
      <w:r>
        <w:t>TYPE YOUR TEXT HERE</w:t>
      </w:r>
    </w:p>
    <w:permEnd w:id="127587070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861630632" w:edGrp="everyone"/>
      <w:r>
        <w:t>TYPE YOUR TEXT HERE</w:t>
      </w:r>
    </w:p>
    <w:permEnd w:id="1861630632"/>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965158131" w:edGrp="everyone"/>
      <w:r>
        <w:t>TYPE YOUR TEXT HERE</w:t>
      </w:r>
    </w:p>
    <w:permEnd w:id="965158131"/>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983637768" w:edGrp="everyone"/>
      <w:r>
        <w:t>TYPE YOUR TEXT HERE</w:t>
      </w:r>
    </w:p>
    <w:permEnd w:id="98363776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568944080" w:edGrp="everyone"/>
      <w:r>
        <w:t>TYPE YOUR TEXT HERE</w:t>
      </w:r>
    </w:p>
    <w:permEnd w:id="568944080"/>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249187295" w:edGrp="everyone"/>
      <w:r>
        <w:t>TYPE YOUR TEXT HERE</w:t>
      </w:r>
    </w:p>
    <w:permEnd w:id="124918729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356082000" w:edGrp="everyone"/>
      <w:r>
        <w:t>TYPE YOUR TEXT HERE</w:t>
      </w:r>
    </w:p>
    <w:permEnd w:id="1356082000"/>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187130835" w:edGrp="everyone"/>
      <w:r>
        <w:t>TYPE YOUR TEXT HERE</w:t>
      </w:r>
    </w:p>
    <w:permEnd w:id="118713083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157313750" w:edGrp="everyone"/>
      <w:r>
        <w:t>TYPE YOUR TEXT HERE</w:t>
      </w:r>
    </w:p>
    <w:permEnd w:id="1157313750"/>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096811978" w:edGrp="everyone"/>
      <w:r>
        <w:t>TYPE YOUR TEXT HERE</w:t>
      </w:r>
    </w:p>
    <w:permEnd w:id="1096811978"/>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892947748" w:edGrp="everyone"/>
      <w:r>
        <w:t>TYPE YOUR TEXT HERE</w:t>
      </w:r>
    </w:p>
    <w:permEnd w:id="89294774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026099178" w:edGrp="everyone"/>
      <w:r>
        <w:t>TYPE YOUR TEXT HERE</w:t>
      </w:r>
    </w:p>
    <w:permEnd w:id="1026099178"/>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325001508" w:edGrp="everyone"/>
      <w:r>
        <w:t>TYPE YOUR TEXT HERE</w:t>
      </w:r>
    </w:p>
    <w:permEnd w:id="325001508"/>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577538654" w:edGrp="everyone"/>
      <w:r>
        <w:t>TYPE YOUR TEXT HERE</w:t>
      </w:r>
    </w:p>
    <w:permEnd w:id="1577538654"/>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19900291" w:edGrp="everyone"/>
      <w:r>
        <w:t>TYPE YOUR TEXT HERE</w:t>
      </w:r>
    </w:p>
    <w:permEnd w:id="181990029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679632388" w:edGrp="everyone"/>
      <w:r>
        <w:t>TYPE YOUR TEXT HERE</w:t>
      </w:r>
    </w:p>
    <w:permEnd w:id="1679632388"/>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w:t>
      </w:r>
      <w:r>
        <w:lastRenderedPageBreak/>
        <w:t xml:space="preserve">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727220053" w:edGrp="everyone"/>
      <w:r>
        <w:t>TYPE YOUR TEXT HERE</w:t>
      </w:r>
    </w:p>
    <w:permEnd w:id="727220053"/>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19489378" w:edGrp="everyone"/>
      <w:r>
        <w:t>TYPE YOUR TEXT HERE</w:t>
      </w:r>
    </w:p>
    <w:permEnd w:id="1919489378"/>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2045667554" w:edGrp="everyone"/>
      <w:r>
        <w:t>TYPE YOUR TEXT HERE</w:t>
      </w:r>
    </w:p>
    <w:permEnd w:id="2045667554"/>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748597650" w:edGrp="everyone"/>
      <w:r>
        <w:t>TYPE YOUR TEXT HERE</w:t>
      </w:r>
    </w:p>
    <w:permEnd w:id="1748597650"/>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504124688" w:edGrp="everyone"/>
      <w:r>
        <w:t>TYPE YOUR TEXT HERE</w:t>
      </w:r>
    </w:p>
    <w:permEnd w:id="1504124688"/>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788359895" w:edGrp="everyone"/>
      <w:r>
        <w:t>TYPE YOUR TEXT HERE</w:t>
      </w:r>
    </w:p>
    <w:permEnd w:id="1788359895"/>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938675291" w:edGrp="everyone"/>
      <w:r>
        <w:t>TYPE YOUR TEXT HERE</w:t>
      </w:r>
    </w:p>
    <w:permEnd w:id="938675291"/>
    <w:p w:rsidR="00577C33" w:rsidRDefault="00577C33" w:rsidP="00EC2C93">
      <w:pPr>
        <w:keepNext/>
      </w:pPr>
      <w:r>
        <w:t>&lt;ESMA_QUESTION_CP_MIFID_188&gt;</w:t>
      </w:r>
    </w:p>
    <w:p w:rsidR="00577C33" w:rsidRDefault="00577C33" w:rsidP="0006528D">
      <w:pPr>
        <w:pStyle w:val="CPQuestions"/>
      </w:pPr>
      <w:r>
        <w:t xml:space="preserve">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t>
      </w:r>
      <w:r>
        <w:lastRenderedPageBreak/>
        <w:t>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300638404" w:edGrp="everyone"/>
      <w:r>
        <w:t>TYPE YOUR TEXT HERE</w:t>
      </w:r>
    </w:p>
    <w:permEnd w:id="1300638404"/>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969170274" w:edGrp="everyone"/>
      <w:r>
        <w:t>TYPE YOUR TEXT HERE</w:t>
      </w:r>
    </w:p>
    <w:permEnd w:id="969170274"/>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736905825" w:edGrp="everyone"/>
      <w:r>
        <w:t>TYPE YOUR TEXT HERE</w:t>
      </w:r>
    </w:p>
    <w:permEnd w:id="736905825"/>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66082740" w:edGrp="everyone"/>
      <w:r>
        <w:t>TYPE YOUR TEXT HERE</w:t>
      </w:r>
    </w:p>
    <w:permEnd w:id="16608274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172530194" w:edGrp="everyone"/>
      <w:r>
        <w:t>TYPE YOUR TEXT HERE</w:t>
      </w:r>
    </w:p>
    <w:permEnd w:id="1172530194"/>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208900068" w:edGrp="everyone"/>
      <w:r>
        <w:t>TYPE YOUR TEXT HERE</w:t>
      </w:r>
    </w:p>
    <w:permEnd w:id="1208900068"/>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566955893" w:edGrp="everyone"/>
      <w:r>
        <w:t>TYPE YOUR TEXT HERE</w:t>
      </w:r>
    </w:p>
    <w:permEnd w:id="566955893"/>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lastRenderedPageBreak/>
        <w:t>&lt;ESMA_QUESTION_CP_MIFID_196&gt;</w:t>
      </w:r>
    </w:p>
    <w:p w:rsidR="00577C33" w:rsidRDefault="00577C33" w:rsidP="00EC2C93">
      <w:pPr>
        <w:keepNext/>
      </w:pPr>
      <w:permStart w:id="1649554177" w:edGrp="everyone"/>
      <w:r>
        <w:t>TYPE YOUR TEXT HERE</w:t>
      </w:r>
    </w:p>
    <w:permEnd w:id="1649554177"/>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675304266" w:edGrp="everyone"/>
      <w:r>
        <w:t>TYPE YOUR TEXT HERE</w:t>
      </w:r>
    </w:p>
    <w:permEnd w:id="167530426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299716315" w:edGrp="everyone"/>
      <w:r>
        <w:t>TYPE YOUR TEXT HERE</w:t>
      </w:r>
    </w:p>
    <w:permEnd w:id="129971631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290354410" w:edGrp="everyone"/>
      <w:r>
        <w:t>TYPE YOUR TEXT HERE</w:t>
      </w:r>
    </w:p>
    <w:permEnd w:id="1290354410"/>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33707733" w:edGrp="everyone"/>
      <w:r>
        <w:t>TYPE YOUR TEXT HERE</w:t>
      </w:r>
    </w:p>
    <w:permEnd w:id="33707733"/>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42643889" w:edGrp="everyone"/>
      <w:r>
        <w:t>TYPE YOUR TEXT HERE</w:t>
      </w:r>
    </w:p>
    <w:permEnd w:id="2142643889"/>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654732538" w:edGrp="everyone"/>
      <w:r>
        <w:t>TYPE YOUR TEXT HERE</w:t>
      </w:r>
    </w:p>
    <w:permEnd w:id="165473253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841499272" w:edGrp="everyone"/>
      <w:r>
        <w:t>TYPE YOUR TEXT HERE</w:t>
      </w:r>
    </w:p>
    <w:permEnd w:id="184149927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lastRenderedPageBreak/>
        <w:t>&lt;ESMA_QUESTION_CP_MIFID_204&gt;</w:t>
      </w:r>
    </w:p>
    <w:p w:rsidR="00126ADC" w:rsidRPr="00E00BC5" w:rsidRDefault="00126ADC" w:rsidP="00126ADC">
      <w:pPr>
        <w:autoSpaceDE w:val="0"/>
        <w:autoSpaceDN w:val="0"/>
        <w:adjustRightInd w:val="0"/>
        <w:spacing w:line="240" w:lineRule="auto"/>
        <w:rPr>
          <w:rFonts w:cs="Arial"/>
          <w:lang w:val="en-US"/>
        </w:rPr>
      </w:pPr>
      <w:permStart w:id="50605762" w:edGrp="everyone"/>
      <w:r w:rsidRPr="00E00BC5">
        <w:rPr>
          <w:rFonts w:cs="Arial"/>
          <w:lang w:val="en-US"/>
        </w:rPr>
        <w:t xml:space="preserve">We generally agree with the proposed definition of OTC derivative contracts that they should be economically equivalent to commodity derivatives which are traded on a trading venue. </w:t>
      </w:r>
    </w:p>
    <w:permEnd w:id="50605762"/>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81176998" w:edGrp="everyone"/>
      <w:r>
        <w:t>TYPE YOUR TEXT HERE</w:t>
      </w:r>
    </w:p>
    <w:permEnd w:id="28117699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532438208" w:edGrp="everyone"/>
      <w:r>
        <w:t>TYPE YOUR TEXT HERE</w:t>
      </w:r>
    </w:p>
    <w:permEnd w:id="1532438208"/>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420967452" w:edGrp="everyone"/>
      <w:r>
        <w:t>TYPE YOUR TEXT HERE</w:t>
      </w:r>
    </w:p>
    <w:permEnd w:id="420967452"/>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548556385" w:edGrp="everyone"/>
      <w:r>
        <w:t>TYPE YOUR TEXT HERE</w:t>
      </w:r>
    </w:p>
    <w:permEnd w:id="548556385"/>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469478234" w:edGrp="everyone"/>
      <w:r>
        <w:t>TYPE YOUR TEXT HERE</w:t>
      </w:r>
    </w:p>
    <w:permEnd w:id="1469478234"/>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922914866" w:edGrp="everyone"/>
      <w:r>
        <w:t>TYPE YOUR TEXT HERE</w:t>
      </w:r>
    </w:p>
    <w:permEnd w:id="1922914866"/>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686503026" w:edGrp="everyone"/>
      <w:r>
        <w:t>TYPE YOUR TEXT HERE</w:t>
      </w:r>
    </w:p>
    <w:permEnd w:id="686503026"/>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lastRenderedPageBreak/>
        <w:t>&lt;ESMA_QUESTION_CP_MIFID_212&gt;</w:t>
      </w:r>
    </w:p>
    <w:p w:rsidR="00577C33" w:rsidRDefault="00577C33" w:rsidP="00EC2C93">
      <w:pPr>
        <w:keepNext/>
      </w:pPr>
      <w:permStart w:id="831815479" w:edGrp="everyone"/>
      <w:r>
        <w:t>TYPE YOUR TEXT HERE</w:t>
      </w:r>
    </w:p>
    <w:permEnd w:id="831815479"/>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lastRenderedPageBreak/>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126ADC" w:rsidRPr="00E00BC5" w:rsidRDefault="00126ADC" w:rsidP="00126ADC">
      <w:pPr>
        <w:spacing w:after="240" w:line="240" w:lineRule="auto"/>
        <w:contextualSpacing/>
        <w:rPr>
          <w:rFonts w:eastAsia="Calibri" w:cs="Times New Roman"/>
        </w:rPr>
      </w:pPr>
      <w:permStart w:id="708322884" w:edGrp="everyone"/>
      <w:r w:rsidRPr="00E00BC5">
        <w:rPr>
          <w:rFonts w:eastAsia="Calibri" w:cs="Times New Roman"/>
        </w:rPr>
        <w:t>We do not have echo of one format that would be worse than another.</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Given the precision in the message fields, formats and data dictionary definitions, firms should be able to work with any XML-based format.</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We also anticipate that TRs or ARMs will offer alternative formats to submitting firms, which they would then translate to whatever format ESMA ultimately determines should be used to provide the data to NCAs.</w:t>
      </w:r>
    </w:p>
    <w:permEnd w:id="70832288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126ADC" w:rsidRPr="00E00BC5" w:rsidRDefault="00126ADC" w:rsidP="00126ADC">
      <w:pPr>
        <w:spacing w:after="240" w:line="240" w:lineRule="auto"/>
        <w:contextualSpacing/>
        <w:rPr>
          <w:rFonts w:eastAsia="Calibri" w:cs="Times New Roman"/>
        </w:rPr>
      </w:pPr>
      <w:permStart w:id="11885687" w:edGrp="everyone"/>
      <w:r w:rsidRPr="00E00BC5">
        <w:rPr>
          <w:rFonts w:eastAsia="Calibri" w:cs="Times New Roman"/>
        </w:rPr>
        <w:t xml:space="preserve">We believe that both a sufficiently well defined. </w:t>
      </w:r>
    </w:p>
    <w:permEnd w:id="11885687"/>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126ADC" w:rsidRPr="00E00BC5" w:rsidRDefault="00126ADC" w:rsidP="00126ADC">
      <w:pPr>
        <w:spacing w:after="240" w:line="240" w:lineRule="auto"/>
        <w:contextualSpacing/>
        <w:rPr>
          <w:rFonts w:eastAsia="Calibri" w:cs="Times New Roman"/>
        </w:rPr>
      </w:pPr>
      <w:permStart w:id="1706971370" w:edGrp="everyone"/>
      <w:r w:rsidRPr="00E00BC5">
        <w:rPr>
          <w:rFonts w:eastAsia="Calibri" w:cs="Times New Roman"/>
        </w:rPr>
        <w:t>We consider that there are three categories that should be excluded from the definitions</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pStyle w:val="ListParagraph"/>
        <w:numPr>
          <w:ilvl w:val="0"/>
          <w:numId w:val="34"/>
        </w:numPr>
        <w:spacing w:after="240" w:line="240" w:lineRule="auto"/>
        <w:contextualSpacing/>
        <w:jc w:val="left"/>
        <w:rPr>
          <w:rFonts w:eastAsia="Calibri" w:cs="Times New Roman"/>
          <w:u w:val="single"/>
        </w:rPr>
      </w:pPr>
      <w:r w:rsidRPr="00E00BC5">
        <w:rPr>
          <w:rFonts w:eastAsia="Calibri" w:cs="Times New Roman"/>
          <w:u w:val="single"/>
        </w:rPr>
        <w:t>Securities financing transactions (SFTs)</w:t>
      </w:r>
    </w:p>
    <w:p w:rsidR="00126ADC" w:rsidRPr="00E00BC5" w:rsidRDefault="00126ADC" w:rsidP="00126ADC">
      <w:pPr>
        <w:spacing w:after="240" w:line="240" w:lineRule="auto"/>
        <w:contextualSpacing/>
        <w:rPr>
          <w:rFonts w:eastAsia="Calibri" w:cs="Times New Roman"/>
        </w:rPr>
      </w:pPr>
      <w:r w:rsidRPr="00E00BC5">
        <w:rPr>
          <w:rFonts w:eastAsia="Calibri" w:cs="Times New Roman"/>
        </w:rPr>
        <w:t>We would ask ESMA to clarify in the final RTS that reporting of SFTs will not be required provided they are in-scope for reporting under the forthcoming SFT Regulation. We fear that there are important risks of duplication of reporting (between SFTR and MiFID II but also MiFID II and EMIR as the initial scope of instruments covered by SFTR includes derivatives).</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In addition, we anticipate conflicting reporting requirements as, similarity to EMIR, the reporting obligation under SFTR will fall upon the counterparties to the transaction, whereas the obligation under </w:t>
      </w:r>
      <w:proofErr w:type="spellStart"/>
      <w:r w:rsidRPr="00E00BC5">
        <w:rPr>
          <w:rFonts w:eastAsia="Calibri" w:cs="Times New Roman"/>
        </w:rPr>
        <w:t>MiFIR</w:t>
      </w:r>
      <w:proofErr w:type="spellEnd"/>
      <w:r w:rsidRPr="00E00BC5">
        <w:rPr>
          <w:rFonts w:eastAsia="Calibri" w:cs="Times New Roman"/>
        </w:rPr>
        <w:t xml:space="preserve"> falls upon an investment firm that executes a transaction on behalf of its client.</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We would urge that Article 3(3)(a) of the draft RTS be modified to provide explicitly that SFTs executed by a portfolio management firm as agent for its client would be excluded from the definition of transaction for </w:t>
      </w:r>
      <w:proofErr w:type="spellStart"/>
      <w:r w:rsidRPr="00E00BC5">
        <w:rPr>
          <w:rFonts w:eastAsia="Calibri" w:cs="Times New Roman"/>
        </w:rPr>
        <w:t>MiFIR</w:t>
      </w:r>
      <w:proofErr w:type="spellEnd"/>
      <w:r w:rsidRPr="00E00BC5">
        <w:rPr>
          <w:rFonts w:eastAsia="Calibri" w:cs="Times New Roman"/>
        </w:rPr>
        <w:t xml:space="preserve"> reporting, even though the SFT obligation would lie with the client.</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We believe that repos and securities borrowing/lending should not be reportable in any event, given that although title will be transferred temporarily to the borrower, the lender does not give up their interest in the asset and maintains a lien over it pending its return.  </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pStyle w:val="ListParagraph"/>
        <w:numPr>
          <w:ilvl w:val="0"/>
          <w:numId w:val="34"/>
        </w:numPr>
        <w:spacing w:after="240" w:line="240" w:lineRule="auto"/>
        <w:contextualSpacing/>
        <w:jc w:val="left"/>
        <w:rPr>
          <w:rFonts w:eastAsia="Calibri" w:cs="Times New Roman"/>
          <w:u w:val="single"/>
        </w:rPr>
      </w:pPr>
      <w:r w:rsidRPr="00E00BC5">
        <w:rPr>
          <w:rFonts w:eastAsia="Calibri" w:cs="Times New Roman"/>
          <w:u w:val="single"/>
        </w:rPr>
        <w:lastRenderedPageBreak/>
        <w:t>Exercise of options and other financial instruments</w:t>
      </w: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Paragraph 21 of the consultation paper suggests that when a financial instrument is exercised, the firms concerned should report </w:t>
      </w:r>
      <w:r w:rsidRPr="00E00BC5">
        <w:rPr>
          <w:rFonts w:eastAsia="Calibri" w:cs="Times New Roman"/>
          <w:i/>
        </w:rPr>
        <w:t>only</w:t>
      </w:r>
      <w:r w:rsidRPr="00E00BC5">
        <w:rPr>
          <w:rFonts w:eastAsia="Calibri" w:cs="Times New Roman"/>
        </w:rPr>
        <w:t xml:space="preserve"> the delivery of the underlying.  </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This would mean that the intention is that the report should be similar to any purchase/sale of the underlying instrument except that Field 63 would be "Y" (instead of "N").  </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However, paragraph 22 (indent iii.) appears to confirm that ESMA intends that the exercise itself would be a reportable transaction.  </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Consequently, we urge ESMA to ensure that the final RTS are unambiguous and to confirm that only one level of transaction is reportable. </w:t>
      </w:r>
    </w:p>
    <w:p w:rsidR="00126ADC" w:rsidRPr="00E00BC5" w:rsidRDefault="00126ADC" w:rsidP="00126ADC">
      <w:pPr>
        <w:spacing w:after="240" w:line="240" w:lineRule="auto"/>
        <w:contextualSpacing/>
        <w:rPr>
          <w:rFonts w:eastAsia="Calibri" w:cs="Times New Roman"/>
          <w:u w:val="single"/>
        </w:rPr>
      </w:pPr>
    </w:p>
    <w:p w:rsidR="00126ADC" w:rsidRPr="00E00BC5" w:rsidRDefault="00126ADC" w:rsidP="00126ADC">
      <w:pPr>
        <w:pStyle w:val="ListParagraph"/>
        <w:numPr>
          <w:ilvl w:val="0"/>
          <w:numId w:val="34"/>
        </w:numPr>
        <w:spacing w:after="240" w:line="240" w:lineRule="auto"/>
        <w:contextualSpacing/>
        <w:jc w:val="left"/>
        <w:rPr>
          <w:rFonts w:eastAsia="Calibri" w:cs="Times New Roman"/>
          <w:u w:val="single"/>
        </w:rPr>
      </w:pPr>
      <w:r w:rsidRPr="00E00BC5">
        <w:rPr>
          <w:rFonts w:eastAsia="Calibri" w:cs="Times New Roman"/>
          <w:u w:val="single"/>
        </w:rPr>
        <w:t xml:space="preserve">Transfers of investments to/from client portfolios </w:t>
      </w:r>
    </w:p>
    <w:p w:rsidR="00126ADC" w:rsidRPr="00E00BC5" w:rsidRDefault="00126ADC" w:rsidP="00126ADC">
      <w:pPr>
        <w:spacing w:after="240" w:line="240" w:lineRule="auto"/>
        <w:contextualSpacing/>
        <w:rPr>
          <w:rFonts w:eastAsia="Calibri" w:cs="Times New Roman"/>
        </w:rPr>
      </w:pPr>
      <w:r w:rsidRPr="00E00BC5">
        <w:rPr>
          <w:rFonts w:eastAsia="Calibri" w:cs="Times New Roman"/>
        </w:rPr>
        <w:t>We do not believe that the transfer of investments by a client to/from a portfolio maintained with or managed by an investment firm would be reportable by the firm.</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We would welcome clarification that this is indeed ESMA's intention.</w:t>
      </w:r>
    </w:p>
    <w:permEnd w:id="1706971370"/>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126ADC" w:rsidRPr="00E00BC5" w:rsidRDefault="00126ADC" w:rsidP="00126ADC">
      <w:pPr>
        <w:tabs>
          <w:tab w:val="left" w:pos="426"/>
        </w:tabs>
        <w:spacing w:after="240" w:line="240" w:lineRule="auto"/>
        <w:contextualSpacing/>
        <w:rPr>
          <w:rFonts w:eastAsia="Calibri" w:cs="Times New Roman"/>
        </w:rPr>
      </w:pPr>
      <w:permStart w:id="350646122" w:edGrp="everyone"/>
      <w:r w:rsidRPr="00E00BC5">
        <w:rPr>
          <w:rFonts w:eastAsia="Calibri" w:cs="Times New Roman"/>
        </w:rPr>
        <w:t>We do not foresee any difficulties.</w:t>
      </w:r>
    </w:p>
    <w:permEnd w:id="350646122"/>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126ADC" w:rsidRPr="00E00BC5" w:rsidRDefault="00126ADC" w:rsidP="00126ADC">
      <w:pPr>
        <w:spacing w:after="240" w:line="240" w:lineRule="auto"/>
        <w:contextualSpacing/>
        <w:rPr>
          <w:rFonts w:eastAsia="Calibri" w:cs="Times New Roman"/>
        </w:rPr>
      </w:pPr>
      <w:permStart w:id="1982229917" w:edGrp="everyone"/>
      <w:r w:rsidRPr="00E00BC5">
        <w:rPr>
          <w:rFonts w:eastAsia="Calibri" w:cs="Times New Roman"/>
        </w:rPr>
        <w:t>We do not agree.</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We believe the current difficulties with population of the buy/sell indicator are principally to do with interpretation of certain trading scenarios and the way this flows along the reporting chain. </w:t>
      </w:r>
    </w:p>
    <w:p w:rsidR="00126ADC" w:rsidRPr="00E00BC5" w:rsidRDefault="00126ADC" w:rsidP="00126ADC">
      <w:pPr>
        <w:spacing w:after="240" w:line="240" w:lineRule="auto"/>
        <w:contextualSpacing/>
        <w:rPr>
          <w:rFonts w:eastAsia="Calibri" w:cs="Times New Roman"/>
        </w:rPr>
      </w:pPr>
      <w:r w:rsidRPr="00E00BC5">
        <w:rPr>
          <w:rFonts w:eastAsia="Calibri" w:cs="Times New Roman"/>
        </w:rPr>
        <w:t>We do not believe these will be solved by altering the reporting fields as proposed and furthermore, we are of the opinion that the proposed approach would increase the complexity in reporting.</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Consequently, we believe the current buy/sell indicator approach should be retained, assisted by more detailed guidance on how it should be populated in the different trading scenarios.  </w:t>
      </w:r>
    </w:p>
    <w:permEnd w:id="1982229917"/>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126ADC" w:rsidRPr="00E00BC5" w:rsidRDefault="00126ADC" w:rsidP="00126ADC">
      <w:pPr>
        <w:spacing w:after="240" w:line="240" w:lineRule="auto"/>
        <w:ind w:left="1134" w:hanging="1134"/>
        <w:contextualSpacing/>
        <w:rPr>
          <w:rFonts w:eastAsia="Calibri" w:cs="Times New Roman"/>
        </w:rPr>
      </w:pPr>
      <w:permStart w:id="285960182" w:edGrp="everyone"/>
      <w:r w:rsidRPr="00E00BC5">
        <w:rPr>
          <w:rFonts w:eastAsia="Calibri" w:cs="Times New Roman"/>
        </w:rPr>
        <w:t>Field 2</w:t>
      </w:r>
      <w:r w:rsidRPr="00E00BC5">
        <w:rPr>
          <w:rFonts w:eastAsia="Calibri" w:cs="Times New Roman"/>
        </w:rPr>
        <w:tab/>
      </w:r>
      <w:r w:rsidRPr="00E00BC5">
        <w:rPr>
          <w:rFonts w:eastAsia="Calibri" w:cs="Times New Roman"/>
          <w:u w:val="single"/>
        </w:rPr>
        <w:t>Identification code</w:t>
      </w:r>
      <w:r w:rsidRPr="00E00BC5">
        <w:rPr>
          <w:rFonts w:eastAsia="Calibri" w:cs="Times New Roman"/>
        </w:rPr>
        <w:t xml:space="preserve"> - we do not believe it should be necessary to add the country code to front of the identifier (for non-legal entities) when this will already be provided as part of the entity code type.  For example, when identifying a UK individual, the identification code type would be GBNI, so the identification code itself should be simply the National Insurance number.</w:t>
      </w:r>
    </w:p>
    <w:p w:rsidR="00126ADC" w:rsidRPr="00E00BC5" w:rsidRDefault="00126ADC" w:rsidP="00126ADC">
      <w:pPr>
        <w:spacing w:after="240" w:line="240" w:lineRule="auto"/>
        <w:ind w:left="1134"/>
        <w:contextualSpacing/>
        <w:rPr>
          <w:rFonts w:eastAsia="Calibri" w:cs="Times New Roman"/>
        </w:rPr>
      </w:pPr>
      <w:r w:rsidRPr="00E00BC5">
        <w:rPr>
          <w:rFonts w:eastAsia="Calibri" w:cs="Times New Roman"/>
        </w:rPr>
        <w:lastRenderedPageBreak/>
        <w:t>In our response to Discussion Paper 2014/548 we commented that firms should not be required to verify the accuracy of any national identifier provided by the client unless it had grounds to suspect that the identifier is false or incorrect.  We ask that this be made clear in the final RTS.</w:t>
      </w:r>
    </w:p>
    <w:p w:rsidR="00126ADC" w:rsidRPr="00E00BC5" w:rsidRDefault="00126ADC" w:rsidP="00126ADC">
      <w:pPr>
        <w:spacing w:after="240" w:line="240" w:lineRule="auto"/>
        <w:ind w:left="1134" w:hanging="1134"/>
        <w:contextualSpacing/>
        <w:rPr>
          <w:rFonts w:eastAsia="Calibri" w:cs="Times New Roman"/>
        </w:rPr>
      </w:pP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Fields 5-34</w:t>
      </w:r>
      <w:r w:rsidRPr="00E00BC5">
        <w:rPr>
          <w:rFonts w:eastAsia="Calibri" w:cs="Times New Roman"/>
        </w:rPr>
        <w:tab/>
      </w:r>
      <w:r w:rsidRPr="00E00BC5">
        <w:rPr>
          <w:rFonts w:eastAsia="Calibri" w:cs="Times New Roman"/>
          <w:u w:val="single"/>
        </w:rPr>
        <w:t>Buyer/seller details</w:t>
      </w:r>
      <w:r w:rsidRPr="00E00BC5">
        <w:rPr>
          <w:rFonts w:eastAsia="Calibri" w:cs="Times New Roman"/>
        </w:rPr>
        <w:t xml:space="preserve"> - as discussed in our response to Q217, we do not agree with the proposed approach and ask that the current approach, as proposed in Discussion Paper 2014/548, be retained to identify consistently the counterparty and the client together with the direction of the trade.</w:t>
      </w: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ab/>
        <w:t>We note that ESMA offers assurance in paragraph 98 of the consultation that it will ensure full compliance with data protection law and that Article 66(3) of Directive 2014/65/EU (MiFID) will oblige Member States to require ARMs to maintain data confidentiality, but this has not addressed the concerns of firms that the RTS should provide explicitly that they will not be in breach of any data privacy laws by reporting the required data.  To this end, we believe strongly that the RTS should contain a provision similar to Article 9(4) of EMIR.</w:t>
      </w:r>
    </w:p>
    <w:p w:rsidR="00126ADC" w:rsidRPr="00E00BC5" w:rsidRDefault="00126ADC" w:rsidP="00126ADC">
      <w:pPr>
        <w:spacing w:after="240" w:line="240" w:lineRule="auto"/>
        <w:ind w:left="1134" w:hanging="1134"/>
        <w:contextualSpacing/>
        <w:rPr>
          <w:rFonts w:eastAsia="Calibri" w:cs="Times New Roman"/>
        </w:rPr>
      </w:pP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Field 41</w:t>
      </w:r>
      <w:r w:rsidRPr="00E00BC5">
        <w:rPr>
          <w:rFonts w:eastAsia="Calibri" w:cs="Times New Roman"/>
        </w:rPr>
        <w:tab/>
      </w:r>
      <w:r w:rsidRPr="00E00BC5">
        <w:rPr>
          <w:rFonts w:eastAsia="Calibri" w:cs="Times New Roman"/>
          <w:u w:val="single"/>
        </w:rPr>
        <w:t>Trading time</w:t>
      </w:r>
      <w:r w:rsidRPr="00E00BC5">
        <w:rPr>
          <w:rFonts w:eastAsia="Calibri" w:cs="Times New Roman"/>
        </w:rPr>
        <w:t xml:space="preserve"> - we would suggest that for post-trade events that have no specific execution time during the day firms should have flexibility to report </w:t>
      </w:r>
      <w:r w:rsidRPr="00E00BC5">
        <w:rPr>
          <w:rFonts w:eastAsia="Calibri" w:cs="Times New Roman"/>
          <w:u w:val="single"/>
        </w:rPr>
        <w:t>either</w:t>
      </w:r>
      <w:r w:rsidRPr="00E00BC5">
        <w:rPr>
          <w:rFonts w:eastAsia="Calibri" w:cs="Times New Roman"/>
        </w:rPr>
        <w:t xml:space="preserve"> a default time of 00:00:00.0Z or a time that is captured at the point of entry into their system.</w:t>
      </w:r>
    </w:p>
    <w:p w:rsidR="00126ADC" w:rsidRPr="00E00BC5" w:rsidRDefault="00126ADC" w:rsidP="00126ADC">
      <w:pPr>
        <w:spacing w:after="240" w:line="240" w:lineRule="auto"/>
        <w:ind w:left="1134" w:hanging="1134"/>
        <w:contextualSpacing/>
        <w:rPr>
          <w:rFonts w:eastAsia="Calibri" w:cs="Times New Roman"/>
        </w:rPr>
      </w:pP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Fields 53/54</w:t>
      </w:r>
      <w:r w:rsidRPr="00E00BC5">
        <w:rPr>
          <w:rFonts w:eastAsia="Calibri" w:cs="Times New Roman"/>
        </w:rPr>
        <w:tab/>
      </w:r>
      <w:r w:rsidRPr="00E00BC5">
        <w:rPr>
          <w:rFonts w:eastAsia="Calibri" w:cs="Times New Roman"/>
          <w:u w:val="single"/>
        </w:rPr>
        <w:t>Instrument identification</w:t>
      </w:r>
      <w:r w:rsidRPr="00E00BC5">
        <w:rPr>
          <w:rFonts w:eastAsia="Calibri" w:cs="Times New Roman"/>
        </w:rPr>
        <w:t xml:space="preserve"> - It would be helpful to include similar guidance to that provided in the EMIR Trade Reporting Q&amp;A to clarify that where an exchange trade derivative has been allocated both and ISIN and an ISO standard firms should report according to the identifier shown for the relevant exchange in ESMA's MiFID Database.</w:t>
      </w: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ab/>
        <w:t xml:space="preserve">No indication is provided currently as to how these fields should be completed in the case of OTC derivatives and baskets that have neither an ISIN nor ISO standard an </w:t>
      </w:r>
      <w:proofErr w:type="spellStart"/>
      <w:r w:rsidRPr="00E00BC5">
        <w:rPr>
          <w:rFonts w:eastAsia="Calibri" w:cs="Times New Roman"/>
        </w:rPr>
        <w:t>Aii</w:t>
      </w:r>
      <w:proofErr w:type="spellEnd"/>
    </w:p>
    <w:p w:rsidR="00126ADC" w:rsidRPr="00E00BC5" w:rsidRDefault="00126ADC" w:rsidP="00126ADC">
      <w:pPr>
        <w:spacing w:after="240" w:line="240" w:lineRule="auto"/>
        <w:ind w:left="1134" w:hanging="1134"/>
        <w:contextualSpacing/>
        <w:rPr>
          <w:rFonts w:eastAsia="Calibri" w:cs="Times New Roman"/>
        </w:rPr>
      </w:pP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Fields 55/56</w:t>
      </w:r>
      <w:r w:rsidRPr="00E00BC5">
        <w:rPr>
          <w:rFonts w:eastAsia="Calibri" w:cs="Times New Roman"/>
        </w:rPr>
        <w:tab/>
      </w:r>
      <w:r w:rsidRPr="00E00BC5">
        <w:rPr>
          <w:rFonts w:eastAsia="Calibri" w:cs="Times New Roman"/>
          <w:u w:val="single"/>
        </w:rPr>
        <w:t>Instrument classification</w:t>
      </w:r>
      <w:r w:rsidRPr="00E00BC5">
        <w:rPr>
          <w:rFonts w:eastAsia="Calibri" w:cs="Times New Roman"/>
        </w:rPr>
        <w:t xml:space="preserve"> - Similarly, no indication id given as to how these fields should be completed in the case of OTC derivatives and baskets.</w:t>
      </w:r>
    </w:p>
    <w:p w:rsidR="00126ADC" w:rsidRPr="00E00BC5" w:rsidRDefault="00126ADC" w:rsidP="00126ADC">
      <w:pPr>
        <w:spacing w:after="240" w:line="240" w:lineRule="auto"/>
        <w:ind w:left="1134" w:hanging="1134"/>
        <w:contextualSpacing/>
        <w:rPr>
          <w:rFonts w:eastAsia="Calibri" w:cs="Times New Roman"/>
        </w:rPr>
      </w:pP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Field 58</w:t>
      </w:r>
      <w:r w:rsidRPr="00E00BC5">
        <w:rPr>
          <w:rFonts w:eastAsia="Calibri" w:cs="Times New Roman"/>
        </w:rPr>
        <w:tab/>
      </w:r>
      <w:r w:rsidRPr="00E00BC5">
        <w:rPr>
          <w:rFonts w:eastAsia="Calibri" w:cs="Times New Roman"/>
          <w:u w:val="single"/>
        </w:rPr>
        <w:t>Underlying instrument code</w:t>
      </w:r>
      <w:r w:rsidRPr="00E00BC5">
        <w:rPr>
          <w:rFonts w:eastAsia="Calibri" w:cs="Times New Roman"/>
        </w:rPr>
        <w:t xml:space="preserve"> - It will be necessary to accommodate the reporting of multiple underlying instruments in the case of a basket - we presume, therefore, that this would be a repeatable field, but this is not clear from the draft RTS.</w:t>
      </w: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ab/>
        <w:t xml:space="preserve">Where the underlying is an instrument identified by the </w:t>
      </w:r>
      <w:proofErr w:type="spellStart"/>
      <w:r w:rsidRPr="00E00BC5">
        <w:rPr>
          <w:rFonts w:eastAsia="Calibri" w:cs="Times New Roman"/>
        </w:rPr>
        <w:t>Aii</w:t>
      </w:r>
      <w:proofErr w:type="spellEnd"/>
      <w:r w:rsidRPr="00E00BC5">
        <w:rPr>
          <w:rFonts w:eastAsia="Calibri" w:cs="Times New Roman"/>
        </w:rPr>
        <w:t>, we believe this should be limited to the venue and exchange product code elements, as required for field 54.</w:t>
      </w:r>
    </w:p>
    <w:p w:rsidR="00126ADC" w:rsidRPr="00E00BC5" w:rsidRDefault="00126ADC" w:rsidP="00126ADC">
      <w:pPr>
        <w:spacing w:after="240" w:line="240" w:lineRule="auto"/>
        <w:ind w:left="1134" w:hanging="1134"/>
        <w:contextualSpacing/>
        <w:rPr>
          <w:rFonts w:eastAsia="Calibri" w:cs="Times New Roman"/>
        </w:rPr>
      </w:pP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Field 76</w:t>
      </w:r>
      <w:r w:rsidRPr="00E00BC5">
        <w:rPr>
          <w:rFonts w:eastAsia="Calibri" w:cs="Times New Roman"/>
        </w:rPr>
        <w:tab/>
      </w:r>
      <w:r w:rsidRPr="00E00BC5">
        <w:rPr>
          <w:rFonts w:eastAsia="Calibri" w:cs="Times New Roman"/>
          <w:u w:val="single"/>
        </w:rPr>
        <w:t>Waiver indicator</w:t>
      </w:r>
      <w:r w:rsidRPr="00E00BC5">
        <w:rPr>
          <w:rFonts w:eastAsia="Calibri" w:cs="Times New Roman"/>
        </w:rPr>
        <w:t xml:space="preserve"> - as the waiver indicator will be required only for market facing executions, it will be necessary to provide for another indicator (or for the field to be left blank) in the case of client-side trades, for which the indicator is not required.</w:t>
      </w: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 xml:space="preserve"> </w:t>
      </w:r>
    </w:p>
    <w:p w:rsidR="00126ADC" w:rsidRPr="00E00BC5" w:rsidRDefault="00126ADC" w:rsidP="00126ADC">
      <w:pPr>
        <w:spacing w:after="240" w:line="240" w:lineRule="auto"/>
        <w:ind w:left="1134" w:hanging="1134"/>
        <w:contextualSpacing/>
        <w:rPr>
          <w:rFonts w:eastAsia="Calibri" w:cs="Times New Roman"/>
        </w:rPr>
      </w:pPr>
      <w:r w:rsidRPr="00E00BC5">
        <w:rPr>
          <w:rFonts w:eastAsia="Calibri" w:cs="Times New Roman"/>
        </w:rPr>
        <w:t>Other</w:t>
      </w:r>
      <w:r w:rsidRPr="00E00BC5">
        <w:rPr>
          <w:rFonts w:eastAsia="Calibri" w:cs="Times New Roman"/>
        </w:rPr>
        <w:tab/>
        <w:t>We note ESMA's intention to proceed with a requirement to include for a report matching number for market-side trades, but do not see this field in Table 1 to the draft RTS.</w:t>
      </w:r>
    </w:p>
    <w:permEnd w:id="285960182"/>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126ADC" w:rsidRPr="00E00BC5" w:rsidRDefault="00126ADC" w:rsidP="00126ADC">
      <w:pPr>
        <w:spacing w:after="240" w:line="240" w:lineRule="auto"/>
        <w:contextualSpacing/>
        <w:rPr>
          <w:rFonts w:eastAsia="Calibri" w:cs="Times New Roman"/>
        </w:rPr>
      </w:pPr>
      <w:permStart w:id="2089777703" w:edGrp="everyone"/>
      <w:r w:rsidRPr="00E00BC5">
        <w:rPr>
          <w:rFonts w:eastAsia="Calibri" w:cs="Times New Roman"/>
        </w:rPr>
        <w:t>As our members are trading on behalf of or as agent for their clients, we have no comment to make on the proposed approach.</w:t>
      </w:r>
    </w:p>
    <w:permEnd w:id="2089777703"/>
    <w:p w:rsidR="00577C33" w:rsidRDefault="00577C33" w:rsidP="00EC2C93">
      <w:pPr>
        <w:keepNext/>
      </w:pPr>
      <w:r>
        <w:lastRenderedPageBreak/>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t>&lt;ESMA_QUESTION_CP_MIFID_220&gt;</w:t>
      </w:r>
    </w:p>
    <w:p w:rsidR="00126ADC" w:rsidRPr="00E00BC5" w:rsidRDefault="00126ADC" w:rsidP="00126ADC">
      <w:pPr>
        <w:spacing w:after="240" w:line="240" w:lineRule="auto"/>
        <w:contextualSpacing/>
        <w:rPr>
          <w:rFonts w:eastAsia="Calibri" w:cs="Times New Roman"/>
        </w:rPr>
      </w:pPr>
      <w:permStart w:id="1348033904" w:edGrp="everyone"/>
      <w:r w:rsidRPr="00E00BC5">
        <w:rPr>
          <w:rFonts w:eastAsia="Calibri" w:cs="Times New Roman"/>
        </w:rPr>
        <w:t>We do not foresee any difficulties</w:t>
      </w:r>
    </w:p>
    <w:permEnd w:id="1348033904"/>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126ADC" w:rsidRPr="00E00BC5" w:rsidRDefault="00126ADC" w:rsidP="00126ADC">
      <w:pPr>
        <w:spacing w:after="240" w:line="240" w:lineRule="auto"/>
        <w:contextualSpacing/>
        <w:rPr>
          <w:rFonts w:eastAsia="Calibri" w:cs="Times New Roman"/>
        </w:rPr>
      </w:pPr>
      <w:permStart w:id="182859579" w:edGrp="everyone"/>
      <w:r w:rsidRPr="00E00BC5">
        <w:rPr>
          <w:rFonts w:eastAsia="Calibri" w:cs="Times New Roman"/>
        </w:rPr>
        <w:t>We do not agree.</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We are of the opinion that the duty for many firms to investigate every constituent of what might be a large basket or index would be a wrong allocation of resources.  </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We would therefore propose that firms should be able to either report transactions in </w:t>
      </w:r>
      <w:r w:rsidRPr="00E00BC5">
        <w:rPr>
          <w:rFonts w:eastAsia="Calibri" w:cs="Times New Roman"/>
          <w:u w:val="single"/>
        </w:rPr>
        <w:t>all</w:t>
      </w:r>
      <w:r w:rsidRPr="00E00BC5">
        <w:rPr>
          <w:rFonts w:eastAsia="Calibri" w:cs="Times New Roman"/>
        </w:rPr>
        <w:t xml:space="preserve"> baskets (irrespective of their composition) or just those that contain one or more reportable instruments.</w:t>
      </w:r>
    </w:p>
    <w:permEnd w:id="18285957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126ADC" w:rsidRPr="00E00BC5" w:rsidRDefault="00126ADC" w:rsidP="00126ADC">
      <w:pPr>
        <w:spacing w:after="240" w:line="240" w:lineRule="auto"/>
        <w:contextualSpacing/>
        <w:rPr>
          <w:rFonts w:eastAsia="Calibri" w:cs="Times New Roman"/>
        </w:rPr>
      </w:pPr>
      <w:permStart w:id="58545157" w:edGrp="everyone"/>
      <w:r w:rsidRPr="00E00BC5">
        <w:rPr>
          <w:rFonts w:eastAsia="Calibri" w:cs="Times New Roman"/>
        </w:rPr>
        <w:t xml:space="preserve">We agree with the proposal for the identification of indices.  </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However, further to our response to Q221, in which we propose that firms are given the option to report all trades in baskets, we would further suggest that in those instances all constituents should also be reported.</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With such flexibility in relation to baskets, firms should be able to choose between: </w:t>
      </w:r>
    </w:p>
    <w:p w:rsidR="00126ADC" w:rsidRPr="00E00BC5" w:rsidRDefault="00126ADC" w:rsidP="00126ADC">
      <w:pPr>
        <w:pStyle w:val="ListParagraph"/>
        <w:numPr>
          <w:ilvl w:val="0"/>
          <w:numId w:val="35"/>
        </w:numPr>
        <w:spacing w:after="240" w:line="240" w:lineRule="auto"/>
        <w:contextualSpacing/>
        <w:jc w:val="left"/>
        <w:rPr>
          <w:rFonts w:eastAsia="Calibri" w:cs="Times New Roman"/>
        </w:rPr>
      </w:pPr>
      <w:r w:rsidRPr="00E00BC5">
        <w:rPr>
          <w:rFonts w:eastAsia="Calibri" w:cs="Times New Roman"/>
        </w:rPr>
        <w:t xml:space="preserve">reporting only where a basket contains one or more reportable instruments, in which case only the relevant underlying instruments would be listed, or </w:t>
      </w:r>
    </w:p>
    <w:p w:rsidR="00126ADC" w:rsidRPr="00E00BC5" w:rsidRDefault="00126ADC" w:rsidP="00126ADC">
      <w:pPr>
        <w:pStyle w:val="ListParagraph"/>
        <w:numPr>
          <w:ilvl w:val="0"/>
          <w:numId w:val="35"/>
        </w:numPr>
        <w:spacing w:after="240" w:line="240" w:lineRule="auto"/>
        <w:contextualSpacing/>
        <w:jc w:val="left"/>
        <w:rPr>
          <w:rFonts w:eastAsia="Calibri" w:cs="Times New Roman"/>
        </w:rPr>
      </w:pPr>
      <w:proofErr w:type="gramStart"/>
      <w:r w:rsidRPr="00E00BC5">
        <w:rPr>
          <w:rFonts w:eastAsia="Calibri" w:cs="Times New Roman"/>
        </w:rPr>
        <w:t>reporting</w:t>
      </w:r>
      <w:proofErr w:type="gramEnd"/>
      <w:r w:rsidRPr="00E00BC5">
        <w:rPr>
          <w:rFonts w:eastAsia="Calibri" w:cs="Times New Roman"/>
        </w:rPr>
        <w:t xml:space="preserve"> in the case of all baskets, in which case they would need to report all the underlying instruments. </w:t>
      </w:r>
    </w:p>
    <w:p w:rsidR="00126ADC" w:rsidRPr="00E00BC5" w:rsidRDefault="00126ADC" w:rsidP="00126ADC">
      <w:pPr>
        <w:spacing w:after="240" w:line="240" w:lineRule="auto"/>
        <w:rPr>
          <w:rFonts w:eastAsia="Calibri" w:cs="Times New Roman"/>
        </w:rPr>
      </w:pPr>
      <w:r w:rsidRPr="00E00BC5">
        <w:rPr>
          <w:rFonts w:eastAsia="Calibri" w:cs="Times New Roman"/>
        </w:rPr>
        <w:t>Firms would make this choice according to the method that was most appropriate to their activities and systems capability.</w:t>
      </w:r>
    </w:p>
    <w:permEnd w:id="58545157"/>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126ADC" w:rsidRPr="00E00BC5" w:rsidRDefault="00126ADC" w:rsidP="00126ADC">
      <w:pPr>
        <w:spacing w:after="240" w:line="240" w:lineRule="auto"/>
        <w:contextualSpacing/>
        <w:rPr>
          <w:rFonts w:eastAsia="Calibri" w:cs="Times New Roman"/>
        </w:rPr>
      </w:pPr>
      <w:permStart w:id="749995482" w:edGrp="everyone"/>
      <w:r w:rsidRPr="00E00BC5">
        <w:rPr>
          <w:rFonts w:eastAsia="Calibri" w:cs="Times New Roman"/>
        </w:rPr>
        <w:t>We do not foresee any significant difficulties.</w:t>
      </w:r>
    </w:p>
    <w:permEnd w:id="74999548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126ADC" w:rsidRPr="00E00BC5" w:rsidRDefault="00126ADC" w:rsidP="00126ADC">
      <w:pPr>
        <w:spacing w:after="240" w:line="240" w:lineRule="auto"/>
        <w:contextualSpacing/>
        <w:rPr>
          <w:rFonts w:eastAsia="Calibri" w:cs="Times New Roman"/>
        </w:rPr>
      </w:pPr>
      <w:permStart w:id="1632837652" w:edGrp="everyone"/>
      <w:r w:rsidRPr="00E00BC5">
        <w:rPr>
          <w:rFonts w:eastAsia="Calibri" w:cs="Times New Roman"/>
        </w:rPr>
        <w:t>We do not foresee any significant difficulties in obtaining LEIs for their entity clients and validating their authenticity.</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rPr>
          <w:rFonts w:cs="Arial"/>
        </w:rPr>
      </w:pPr>
      <w:r w:rsidRPr="00E00BC5">
        <w:rPr>
          <w:rFonts w:cs="Arial"/>
        </w:rPr>
        <w:t xml:space="preserve">The operative structure of the LEI is fully operative before the obligation to report transactions under </w:t>
      </w:r>
      <w:proofErr w:type="spellStart"/>
      <w:r w:rsidRPr="00E00BC5">
        <w:rPr>
          <w:rFonts w:cs="Arial"/>
        </w:rPr>
        <w:t>MiFIR</w:t>
      </w:r>
      <w:proofErr w:type="spellEnd"/>
      <w:r w:rsidRPr="00E00BC5">
        <w:rPr>
          <w:rFonts w:cs="Arial"/>
        </w:rPr>
        <w:t xml:space="preserve"> starts. We strongly support the usage of the LEI in </w:t>
      </w:r>
      <w:proofErr w:type="spellStart"/>
      <w:r w:rsidRPr="00E00BC5">
        <w:rPr>
          <w:rFonts w:cs="Arial"/>
        </w:rPr>
        <w:t>MiFIR</w:t>
      </w:r>
      <w:proofErr w:type="spellEnd"/>
      <w:r w:rsidRPr="00E00BC5">
        <w:rPr>
          <w:rFonts w:cs="Arial"/>
        </w:rPr>
        <w:t xml:space="preserve"> transaction reporting. A regulatory implementation of the usage of the LEI in the </w:t>
      </w:r>
      <w:proofErr w:type="spellStart"/>
      <w:r w:rsidRPr="00E00BC5">
        <w:rPr>
          <w:rFonts w:cs="Arial"/>
        </w:rPr>
        <w:t>MiFIR</w:t>
      </w:r>
      <w:proofErr w:type="spellEnd"/>
      <w:r w:rsidRPr="00E00BC5">
        <w:rPr>
          <w:rFonts w:cs="Arial"/>
        </w:rPr>
        <w:t xml:space="preserve"> reporting will extend the coverage of the LEI in the (financial) industry and will enhance the supervisory convergence and ensure the high quality, reliability and comparability of data, supporting the Competent Authorities strategic objective to increase the overall efficiency of the supervisory system by promoting effective exchange of information.</w:t>
      </w:r>
    </w:p>
    <w:p w:rsidR="00126ADC" w:rsidRPr="00E00BC5" w:rsidRDefault="00126ADC" w:rsidP="00126ADC">
      <w:pPr>
        <w:rPr>
          <w:rFonts w:cs="Arial"/>
        </w:rPr>
      </w:pPr>
    </w:p>
    <w:p w:rsidR="00126ADC" w:rsidRPr="00E00BC5" w:rsidRDefault="00126ADC" w:rsidP="00126ADC">
      <w:pPr>
        <w:rPr>
          <w:rFonts w:cs="Arial"/>
        </w:rPr>
      </w:pPr>
      <w:r w:rsidRPr="00E00BC5">
        <w:rPr>
          <w:rFonts w:cs="Arial"/>
        </w:rPr>
        <w:t xml:space="preserve">We strongly recommend ESMA to ensure in their supervisory practise that all reporting entities have valid LEIs in place before the reporting obligation starts in order to avoid any difficulties of the identification of counterparties as experienced with the introduction of the EMIR reporting obligation.  </w:t>
      </w:r>
    </w:p>
    <w:permEnd w:id="1632837652"/>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126ADC" w:rsidRPr="00E00BC5" w:rsidRDefault="00126ADC" w:rsidP="00126ADC">
      <w:pPr>
        <w:spacing w:after="240" w:line="240" w:lineRule="auto"/>
        <w:contextualSpacing/>
        <w:rPr>
          <w:rFonts w:eastAsia="Calibri" w:cs="Times New Roman"/>
        </w:rPr>
      </w:pPr>
      <w:permStart w:id="1218214648" w:edGrp="everyone"/>
      <w:r w:rsidRPr="00E00BC5">
        <w:rPr>
          <w:rFonts w:eastAsia="Calibri" w:cs="Times New Roman"/>
        </w:rPr>
        <w:t xml:space="preserve">We do not agree with ESMA's assertion that firms should accept total responsibility for determining which instruments are reportable in the absence of a reliable "golden source" of data on the instruments that are admitted to trading and potential uncertainty as to whether or not an application has been made for the new admission of a particular instrument to trading.  </w:t>
      </w:r>
    </w:p>
    <w:p w:rsidR="00126ADC" w:rsidRPr="00E00BC5" w:rsidRDefault="00126ADC" w:rsidP="00126ADC">
      <w:pPr>
        <w:spacing w:after="240" w:line="240" w:lineRule="auto"/>
        <w:contextualSpacing/>
        <w:rPr>
          <w:rFonts w:eastAsia="Calibri" w:cs="Times New Roman"/>
        </w:rPr>
      </w:pPr>
    </w:p>
    <w:p w:rsidR="00126ADC" w:rsidRPr="00E00BC5" w:rsidRDefault="00126ADC" w:rsidP="00126ADC">
      <w:pPr>
        <w:spacing w:after="240" w:line="240" w:lineRule="auto"/>
        <w:contextualSpacing/>
        <w:rPr>
          <w:rFonts w:eastAsia="Calibri" w:cs="Times New Roman"/>
        </w:rPr>
      </w:pPr>
      <w:r w:rsidRPr="00E00BC5">
        <w:rPr>
          <w:rFonts w:eastAsia="Calibri" w:cs="Times New Roman"/>
        </w:rPr>
        <w:t xml:space="preserve">Similarly, we believe NCAs should be permitted and encouraged to take a pragmatic approach to enforcement in the event that a firm reports late having initially missed that an application had been made for admission to trading in spite of its best efforts.  </w:t>
      </w:r>
    </w:p>
    <w:permEnd w:id="1218214648"/>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101807518" w:edGrp="everyone"/>
      <w:r>
        <w:t>TYPE YOUR TEXT HERE</w:t>
      </w:r>
    </w:p>
    <w:permEnd w:id="1101807518"/>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781922214" w:edGrp="everyone"/>
      <w:r>
        <w:t>TYPE YOUR TEXT HERE</w:t>
      </w:r>
    </w:p>
    <w:permEnd w:id="781922214"/>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684353196" w:edGrp="everyone"/>
      <w:r>
        <w:t>TYPE YOUR TEXT HERE</w:t>
      </w:r>
    </w:p>
    <w:permEnd w:id="1684353196"/>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lastRenderedPageBreak/>
        <w:t>&lt;ESMA_QUESTION_CP_MIFID_229&gt;</w:t>
      </w:r>
    </w:p>
    <w:p w:rsidR="00577C33" w:rsidRDefault="00577C33" w:rsidP="00EC2C93">
      <w:pPr>
        <w:keepNext/>
      </w:pPr>
      <w:permStart w:id="227298679" w:edGrp="everyone"/>
      <w:r>
        <w:t>TYPE YOUR TEXT HERE</w:t>
      </w:r>
    </w:p>
    <w:permEnd w:id="227298679"/>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053057448" w:edGrp="everyone"/>
      <w:r>
        <w:t>TYPE YOUR TEXT HERE</w:t>
      </w:r>
    </w:p>
    <w:permEnd w:id="1053057448"/>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2750543" w:edGrp="everyone"/>
      <w:r>
        <w:t>TYPE YOUR TEXT HERE</w:t>
      </w:r>
    </w:p>
    <w:permEnd w:id="22750543"/>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465445520" w:edGrp="everyone"/>
      <w:r>
        <w:t>TYPE YOUR TEXT HERE</w:t>
      </w:r>
    </w:p>
    <w:permEnd w:id="465445520"/>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126ADC" w:rsidRPr="00E00BC5" w:rsidRDefault="00126ADC" w:rsidP="00126ADC">
      <w:pPr>
        <w:pStyle w:val="BoldText"/>
        <w:spacing w:line="240" w:lineRule="auto"/>
        <w:contextualSpacing/>
        <w:rPr>
          <w:rFonts w:asciiTheme="minorHAnsi" w:hAnsiTheme="minorHAnsi"/>
          <w:b w:val="0"/>
          <w:bCs/>
          <w:sz w:val="22"/>
        </w:rPr>
      </w:pPr>
      <w:permStart w:id="1510804675" w:edGrp="everyone"/>
      <w:r w:rsidRPr="00E00BC5">
        <w:rPr>
          <w:rFonts w:asciiTheme="minorHAnsi" w:hAnsiTheme="minorHAnsi"/>
          <w:b w:val="0"/>
          <w:bCs/>
          <w:sz w:val="22"/>
        </w:rPr>
        <w:t>These requirements will only apply to trading venues and their members or participants</w:t>
      </w:r>
    </w:p>
    <w:permEnd w:id="1510804675"/>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009823139" w:edGrp="everyone"/>
      <w:r>
        <w:t>TYPE YOUR TEXT HERE</w:t>
      </w:r>
    </w:p>
    <w:permEnd w:id="200982313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2076671818" w:edGrp="everyone"/>
      <w:r>
        <w:t>TYPE YOUR TEXT HERE</w:t>
      </w:r>
    </w:p>
    <w:permEnd w:id="2076671818"/>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lastRenderedPageBreak/>
        <w:t>&lt;ESMA_QUESTION_CP_MIFID_236&gt;</w:t>
      </w:r>
    </w:p>
    <w:p w:rsidR="00577C33" w:rsidRDefault="00577C33" w:rsidP="00EC2C93">
      <w:pPr>
        <w:keepNext/>
      </w:pPr>
      <w:permStart w:id="425484124" w:edGrp="everyone"/>
      <w:r>
        <w:t>TYPE YOUR TEXT HERE</w:t>
      </w:r>
    </w:p>
    <w:permEnd w:id="425484124"/>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338301966" w:edGrp="everyone"/>
      <w:r>
        <w:t>TYPE YOUR TEXT HERE</w:t>
      </w:r>
    </w:p>
    <w:permEnd w:id="33830196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126ADC" w:rsidRPr="00E00BC5" w:rsidRDefault="00126ADC" w:rsidP="00126ADC">
      <w:pPr>
        <w:autoSpaceDE w:val="0"/>
        <w:autoSpaceDN w:val="0"/>
        <w:adjustRightInd w:val="0"/>
        <w:rPr>
          <w:rFonts w:cs="Arial"/>
          <w:lang w:val="en-US"/>
        </w:rPr>
      </w:pPr>
      <w:permStart w:id="1671184513" w:edGrp="everyone"/>
      <w:r w:rsidRPr="00E00BC5">
        <w:rPr>
          <w:rFonts w:cs="Arial"/>
          <w:lang w:val="en-US"/>
        </w:rPr>
        <w:t>We strongly support the use of globally accepted identifiers for all financial instruments and trades/counterparties in all reporting regimes (e.g. EMIR, MiFID/</w:t>
      </w:r>
      <w:proofErr w:type="spellStart"/>
      <w:r w:rsidRPr="00E00BC5">
        <w:rPr>
          <w:rFonts w:cs="Arial"/>
          <w:lang w:val="en-US"/>
        </w:rPr>
        <w:t>MiFIR</w:t>
      </w:r>
      <w:proofErr w:type="spellEnd"/>
      <w:r w:rsidRPr="00E00BC5">
        <w:rPr>
          <w:rFonts w:cs="Arial"/>
          <w:lang w:val="en-US"/>
        </w:rPr>
        <w:t xml:space="preserve">). Identification of the counterparties to the trade or the underlying entities should be based exclusively on the LEI. In particular, the required identifiers should be available on a license and fee free basis. </w:t>
      </w:r>
    </w:p>
    <w:p w:rsidR="00126ADC" w:rsidRPr="00E00BC5" w:rsidRDefault="00126ADC" w:rsidP="00126ADC">
      <w:pPr>
        <w:autoSpaceDE w:val="0"/>
        <w:autoSpaceDN w:val="0"/>
        <w:adjustRightInd w:val="0"/>
        <w:rPr>
          <w:rFonts w:cs="Arial"/>
          <w:lang w:val="en-US"/>
        </w:rPr>
      </w:pPr>
    </w:p>
    <w:p w:rsidR="00126ADC" w:rsidRPr="00E00BC5" w:rsidRDefault="00126ADC" w:rsidP="00126ADC">
      <w:pPr>
        <w:autoSpaceDE w:val="0"/>
        <w:autoSpaceDN w:val="0"/>
        <w:adjustRightInd w:val="0"/>
        <w:rPr>
          <w:rFonts w:cs="Arial"/>
          <w:lang w:val="en-US"/>
        </w:rPr>
      </w:pPr>
      <w:r w:rsidRPr="00E00BC5">
        <w:rPr>
          <w:rFonts w:cs="Arial"/>
          <w:lang w:val="en-US"/>
        </w:rPr>
        <w:t>We would recommend to not use the AII.  The AII is restricted to exchange traded derivatives and AII is not an ISO standard. Therefore they should not be used to identify financial instruments.</w:t>
      </w:r>
    </w:p>
    <w:p w:rsidR="00126ADC" w:rsidRPr="00E00BC5" w:rsidRDefault="00126ADC" w:rsidP="00126ADC">
      <w:pPr>
        <w:autoSpaceDE w:val="0"/>
        <w:autoSpaceDN w:val="0"/>
        <w:adjustRightInd w:val="0"/>
        <w:rPr>
          <w:rFonts w:cs="Arial"/>
          <w:lang w:val="en-US"/>
        </w:rPr>
      </w:pPr>
    </w:p>
    <w:p w:rsidR="00126ADC" w:rsidRPr="00E00BC5" w:rsidRDefault="00126ADC" w:rsidP="00126ADC">
      <w:pPr>
        <w:autoSpaceDE w:val="0"/>
        <w:autoSpaceDN w:val="0"/>
        <w:adjustRightInd w:val="0"/>
        <w:rPr>
          <w:rFonts w:cs="Arial"/>
          <w:lang w:val="en-US"/>
        </w:rPr>
      </w:pPr>
      <w:r w:rsidRPr="00E00BC5">
        <w:rPr>
          <w:rFonts w:cs="Arial"/>
          <w:lang w:val="en-US"/>
        </w:rPr>
        <w:t xml:space="preserve">In this context, we would like to highlight that </w:t>
      </w:r>
      <w:r w:rsidRPr="00E00BC5">
        <w:rPr>
          <w:rFonts w:cs="Arial"/>
        </w:rPr>
        <w:t xml:space="preserve">the EU Commission launched formal proceedings against S&amp;P in 2009, investigating whether the fees being charged by S&amp;P for </w:t>
      </w:r>
      <w:proofErr w:type="spellStart"/>
      <w:r w:rsidRPr="00E00BC5">
        <w:rPr>
          <w:rFonts w:cs="Arial"/>
        </w:rPr>
        <w:t>databasing</w:t>
      </w:r>
      <w:proofErr w:type="spellEnd"/>
      <w:r w:rsidRPr="00E00BC5">
        <w:rPr>
          <w:rFonts w:cs="Arial"/>
        </w:rPr>
        <w:t xml:space="preserve"> ISINs based on CUSIP numbers were in breach of EU competition law. </w:t>
      </w:r>
    </w:p>
    <w:p w:rsidR="00126ADC" w:rsidRPr="00E00BC5" w:rsidRDefault="00126ADC" w:rsidP="00126ADC">
      <w:pPr>
        <w:autoSpaceDE w:val="0"/>
        <w:autoSpaceDN w:val="0"/>
        <w:adjustRightInd w:val="0"/>
        <w:rPr>
          <w:rFonts w:cs="Arial"/>
        </w:rPr>
      </w:pPr>
      <w:r w:rsidRPr="00E00BC5">
        <w:rPr>
          <w:rFonts w:cs="Arial"/>
        </w:rPr>
        <w:t xml:space="preserve">The Commission took the preliminary view that S&amp;P is abusing its dominant position by requiring, as the sole-appointed National Numbering Agency (NNA) for US securities, financial institutions and information service providers (ISPs) to pay licensing fees for the use of the ISINs in their own databases. The Commission also took the preliminary view that this behaviour amounts to unfair pricing and constitutes an infringement of Article 82 EC Treaty. The Commission settled the case in 2011. </w:t>
      </w:r>
    </w:p>
    <w:p w:rsidR="00126ADC" w:rsidRPr="00E00BC5" w:rsidRDefault="00126ADC" w:rsidP="00126ADC">
      <w:pPr>
        <w:autoSpaceDE w:val="0"/>
        <w:autoSpaceDN w:val="0"/>
        <w:adjustRightInd w:val="0"/>
        <w:rPr>
          <w:rFonts w:cs="Arial"/>
        </w:rPr>
      </w:pPr>
    </w:p>
    <w:p w:rsidR="00126ADC" w:rsidRPr="00E00BC5" w:rsidRDefault="00126ADC" w:rsidP="00126ADC">
      <w:pPr>
        <w:autoSpaceDE w:val="0"/>
        <w:autoSpaceDN w:val="0"/>
        <w:adjustRightInd w:val="0"/>
        <w:rPr>
          <w:rFonts w:cs="Arial"/>
          <w:lang w:val="en-US"/>
        </w:rPr>
      </w:pPr>
      <w:r w:rsidRPr="00E00BC5">
        <w:rPr>
          <w:rFonts w:cs="Arial"/>
        </w:rPr>
        <w:t xml:space="preserve">In that respect, we encourage ESMA to ensure that all identifier used in regulatory reporting should be available on a license and fee free basis. </w:t>
      </w:r>
      <w:r w:rsidRPr="00E00BC5">
        <w:rPr>
          <w:rFonts w:cs="Arial"/>
          <w:lang w:val="en-US"/>
        </w:rPr>
        <w:t xml:space="preserve">ESMA should clearly ensure the use of an IP and copyright free identification code.  </w:t>
      </w:r>
    </w:p>
    <w:permEnd w:id="1671184513"/>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3" w:name="_Toc406692615"/>
      <w:bookmarkStart w:id="24" w:name="_Toc406692458"/>
      <w:bookmarkStart w:id="25" w:name="_Toc406691848"/>
      <w:r>
        <w:lastRenderedPageBreak/>
        <w:t>Post-trading issues</w:t>
      </w:r>
      <w:bookmarkEnd w:id="23"/>
      <w:bookmarkEnd w:id="24"/>
      <w:bookmarkEnd w:id="25"/>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126ADC" w:rsidRPr="00E00BC5" w:rsidRDefault="00126ADC" w:rsidP="00126ADC">
      <w:pPr>
        <w:pStyle w:val="BoldText"/>
        <w:spacing w:line="240" w:lineRule="auto"/>
        <w:contextualSpacing/>
        <w:rPr>
          <w:rFonts w:asciiTheme="minorHAnsi" w:hAnsiTheme="minorHAnsi"/>
          <w:b w:val="0"/>
          <w:bCs/>
          <w:sz w:val="22"/>
        </w:rPr>
      </w:pPr>
      <w:permStart w:id="1681075822" w:edGrp="everyone"/>
      <w:r w:rsidRPr="00E00BC5">
        <w:rPr>
          <w:rFonts w:asciiTheme="minorHAnsi" w:hAnsiTheme="minorHAnsi"/>
          <w:b w:val="0"/>
          <w:bCs/>
          <w:sz w:val="22"/>
        </w:rPr>
        <w:t xml:space="preserve">We agree with the pre-check timings for OTC derivatives executed on a trading venue. </w:t>
      </w:r>
    </w:p>
    <w:p w:rsidR="00126ADC" w:rsidRPr="00126ADC" w:rsidRDefault="00126ADC" w:rsidP="00126ADC">
      <w:pPr>
        <w:pStyle w:val="BoldText"/>
        <w:spacing w:line="240" w:lineRule="auto"/>
        <w:contextualSpacing/>
        <w:rPr>
          <w:rFonts w:asciiTheme="minorHAnsi" w:hAnsiTheme="minorHAnsi"/>
          <w:b w:val="0"/>
          <w:bCs/>
          <w:sz w:val="22"/>
        </w:rPr>
      </w:pPr>
    </w:p>
    <w:p w:rsidR="00126ADC" w:rsidRPr="00126ADC" w:rsidRDefault="00126ADC" w:rsidP="00EC2C93">
      <w:pPr>
        <w:keepNext/>
        <w:rPr>
          <w:bCs/>
        </w:rPr>
      </w:pPr>
      <w:r w:rsidRPr="00126ADC">
        <w:rPr>
          <w:bCs/>
        </w:rPr>
        <w:t>However, we do not support the application of the same proposal to ETDs. This would result in material changes of the way the ETD markets operate and associated cost impacts to end clients without benefits</w:t>
      </w:r>
    </w:p>
    <w:permEnd w:id="1681075822"/>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CC3C86" w:rsidRPr="00E00BC5" w:rsidRDefault="00CC3C86" w:rsidP="00131F99">
      <w:pPr>
        <w:pStyle w:val="BoldText"/>
        <w:spacing w:line="240" w:lineRule="auto"/>
        <w:contextualSpacing/>
        <w:rPr>
          <w:rFonts w:asciiTheme="minorHAnsi" w:hAnsiTheme="minorHAnsi"/>
          <w:b w:val="0"/>
          <w:bCs/>
          <w:sz w:val="22"/>
        </w:rPr>
      </w:pPr>
      <w:permStart w:id="697381995" w:edGrp="everyone"/>
      <w:r w:rsidRPr="00E00BC5">
        <w:rPr>
          <w:rFonts w:asciiTheme="minorHAnsi" w:hAnsiTheme="minorHAnsi"/>
          <w:b w:val="0"/>
          <w:bCs/>
          <w:sz w:val="22"/>
        </w:rPr>
        <w:t>We agree with the proposed timeframes for submitting transactions to the CCP for on venue executions.</w:t>
      </w:r>
    </w:p>
    <w:p w:rsidR="00CC3C86" w:rsidRPr="00E00BC5" w:rsidRDefault="00CC3C86" w:rsidP="00131F99">
      <w:pPr>
        <w:pStyle w:val="BoldText"/>
        <w:spacing w:line="240" w:lineRule="auto"/>
        <w:contextualSpacing/>
        <w:rPr>
          <w:rFonts w:asciiTheme="minorHAnsi" w:hAnsiTheme="minorHAnsi"/>
          <w:b w:val="0"/>
          <w:bCs/>
          <w:sz w:val="22"/>
        </w:rPr>
      </w:pPr>
    </w:p>
    <w:p w:rsidR="00CC3C86" w:rsidRPr="00CC3C86" w:rsidRDefault="00CC3C86" w:rsidP="00EC2C93">
      <w:pPr>
        <w:keepNext/>
        <w:rPr>
          <w:bCs/>
        </w:rPr>
      </w:pPr>
      <w:r w:rsidRPr="00CC3C86">
        <w:rPr>
          <w:bCs/>
        </w:rPr>
        <w:t>For trades executed off venue, significantly more time is required for submission of the executed transactions to the CCP. This should be 150 minutes in order to give participants sufficient time to submit accurately</w:t>
      </w:r>
    </w:p>
    <w:permEnd w:id="697381995"/>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CC3C86" w:rsidRPr="00E00BC5" w:rsidRDefault="00CC3C86" w:rsidP="00CC3C86">
      <w:pPr>
        <w:pStyle w:val="BoldText"/>
        <w:spacing w:line="240" w:lineRule="auto"/>
        <w:contextualSpacing/>
        <w:rPr>
          <w:rFonts w:asciiTheme="minorHAnsi" w:hAnsiTheme="minorHAnsi"/>
          <w:b w:val="0"/>
          <w:sz w:val="22"/>
        </w:rPr>
      </w:pPr>
      <w:permStart w:id="1096503069" w:edGrp="everyone"/>
      <w:r w:rsidRPr="00E00BC5">
        <w:rPr>
          <w:rFonts w:asciiTheme="minorHAnsi" w:hAnsiTheme="minorHAnsi"/>
          <w:b w:val="0"/>
          <w:bCs/>
          <w:sz w:val="22"/>
        </w:rPr>
        <w:t>We believe that the proposed timeframes for the CCP and CM to accept / refuse are sufficient, once the trade is submitted to the CCP.</w:t>
      </w:r>
    </w:p>
    <w:permEnd w:id="1096503069"/>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949434859" w:edGrp="everyone"/>
      <w:r>
        <w:t>TYPE YOUR TEXT HERE</w:t>
      </w:r>
    </w:p>
    <w:permEnd w:id="1949434859"/>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CC3C86" w:rsidRPr="00E00BC5" w:rsidRDefault="00CC3C86" w:rsidP="00CC3C86">
      <w:pPr>
        <w:pStyle w:val="BoldText"/>
        <w:spacing w:line="240" w:lineRule="auto"/>
        <w:contextualSpacing/>
        <w:rPr>
          <w:rFonts w:asciiTheme="minorHAnsi" w:hAnsiTheme="minorHAnsi"/>
          <w:b w:val="0"/>
          <w:sz w:val="22"/>
        </w:rPr>
      </w:pPr>
      <w:permStart w:id="1344824505" w:edGrp="everyone"/>
      <w:r w:rsidRPr="00E00BC5">
        <w:rPr>
          <w:rFonts w:asciiTheme="minorHAnsi" w:hAnsiTheme="minorHAnsi"/>
          <w:b w:val="0"/>
          <w:sz w:val="22"/>
        </w:rPr>
        <w:t xml:space="preserve">We believe that the proposed 10 second deadline trades re-submit rejected because of technical problems is too short. Market participants should be able to re-submit those trades for clearing within 30 minutes to give sufficient time to resolve issues, which often have nothing to do with a willingness to not execute a transaction. </w:t>
      </w:r>
    </w:p>
    <w:p w:rsidR="00577C33" w:rsidRDefault="00577C33" w:rsidP="00EC2C93">
      <w:pPr>
        <w:keepNext/>
      </w:pPr>
      <w:bookmarkStart w:id="26" w:name="_GoBack"/>
      <w:bookmarkEnd w:id="26"/>
      <w:permEnd w:id="1344824505"/>
      <w:r>
        <w:t>&lt;ESMA_QUESTION_CP_MIFID_243&gt;</w:t>
      </w:r>
    </w:p>
    <w:p w:rsidR="00577C33" w:rsidRDefault="00577C33" w:rsidP="0006528D">
      <w:pPr>
        <w:pStyle w:val="CPQuestions"/>
      </w:pPr>
      <w:r>
        <w:t xml:space="preserve">Do you agree with the proposed draft RTS? Do you believe it addresses the stakeholders concerns on the lack of indirect clearing services offering? If not, please </w:t>
      </w:r>
      <w:r>
        <w:lastRenderedPageBreak/>
        <w:t>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20084642" w:edGrp="everyone"/>
      <w:r>
        <w:t>TYPE YOUR TEXT HERE</w:t>
      </w:r>
    </w:p>
    <w:permEnd w:id="120084642"/>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805911333" w:edGrp="everyone"/>
      <w:r>
        <w:t>TYPE YOUR TEXT HERE</w:t>
      </w:r>
    </w:p>
    <w:permEnd w:id="805911333"/>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DC" w:rsidRDefault="00126ADC" w:rsidP="007E7997">
      <w:pPr>
        <w:spacing w:line="240" w:lineRule="auto"/>
      </w:pPr>
      <w:r>
        <w:separator/>
      </w:r>
    </w:p>
  </w:endnote>
  <w:endnote w:type="continuationSeparator" w:id="0">
    <w:p w:rsidR="00126ADC" w:rsidRDefault="00126ADC"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DC" w:rsidRDefault="00126ADC">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126ADC" w:rsidRDefault="00126ADC" w:rsidP="00375BA2">
        <w:pPr>
          <w:pStyle w:val="Footer"/>
          <w:jc w:val="right"/>
        </w:pPr>
        <w:r>
          <w:fldChar w:fldCharType="begin"/>
        </w:r>
        <w:r>
          <w:instrText xml:space="preserve"> PAGE   \* MERGEFORMAT </w:instrText>
        </w:r>
        <w:r>
          <w:fldChar w:fldCharType="separate"/>
        </w:r>
        <w:r w:rsidR="00CC3C86">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DC" w:rsidRDefault="00126ADC" w:rsidP="007E7997">
      <w:pPr>
        <w:spacing w:line="240" w:lineRule="auto"/>
      </w:pPr>
      <w:r>
        <w:separator/>
      </w:r>
    </w:p>
  </w:footnote>
  <w:footnote w:type="continuationSeparator" w:id="0">
    <w:p w:rsidR="00126ADC" w:rsidRDefault="00126ADC" w:rsidP="007E7997">
      <w:pPr>
        <w:spacing w:line="240" w:lineRule="auto"/>
      </w:pPr>
      <w:r>
        <w:continuationSeparator/>
      </w:r>
    </w:p>
  </w:footnote>
  <w:footnote w:id="1">
    <w:p w:rsidR="00126ADC" w:rsidRPr="00AA7A30" w:rsidRDefault="00126ADC"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DC" w:rsidRDefault="00126ADC">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DC" w:rsidRDefault="00126ADC" w:rsidP="00B50534">
    <w:pPr>
      <w:pStyle w:val="Header"/>
      <w:jc w:val="right"/>
      <w:rPr>
        <w:b/>
        <w:color w:val="FF0000"/>
      </w:rPr>
    </w:pPr>
  </w:p>
  <w:p w:rsidR="00126ADC" w:rsidRDefault="00126ADC"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F7538"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126ADC" w:rsidRPr="00B50534" w:rsidRDefault="00126ADC"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81718DC"/>
    <w:multiLevelType w:val="hybridMultilevel"/>
    <w:tmpl w:val="D3E6DF9E"/>
    <w:lvl w:ilvl="0" w:tplc="B6101206">
      <w:start w:val="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A107FDB"/>
    <w:multiLevelType w:val="hybridMultilevel"/>
    <w:tmpl w:val="AD10D3EC"/>
    <w:lvl w:ilvl="0" w:tplc="B7D017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37E2886"/>
    <w:multiLevelType w:val="hybridMultilevel"/>
    <w:tmpl w:val="B3C41A16"/>
    <w:lvl w:ilvl="0" w:tplc="B4AE05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10346F1"/>
    <w:multiLevelType w:val="hybridMultilevel"/>
    <w:tmpl w:val="3C641488"/>
    <w:lvl w:ilvl="0" w:tplc="AF6C7440">
      <w:start w:val="1"/>
      <w:numFmt w:val="bullet"/>
      <w:lvlText w:val="-"/>
      <w:lvlJc w:val="left"/>
      <w:pPr>
        <w:ind w:left="720" w:hanging="360"/>
      </w:pPr>
      <w:rPr>
        <w:rFonts w:ascii="Calibri" w:eastAsiaTheme="minorHAnsi" w:hAnsi="Calibri"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2605CE"/>
    <w:multiLevelType w:val="hybridMultilevel"/>
    <w:tmpl w:val="666836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93485D"/>
    <w:multiLevelType w:val="hybridMultilevel"/>
    <w:tmpl w:val="C81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8"/>
  </w:num>
  <w:num w:numId="4">
    <w:abstractNumId w:val="8"/>
  </w:num>
  <w:num w:numId="5">
    <w:abstractNumId w:val="16"/>
  </w:num>
  <w:num w:numId="6">
    <w:abstractNumId w:val="12"/>
  </w:num>
  <w:num w:numId="7">
    <w:abstractNumId w:val="0"/>
  </w:num>
  <w:num w:numId="8">
    <w:abstractNumId w:val="9"/>
  </w:num>
  <w:num w:numId="9">
    <w:abstractNumId w:val="6"/>
  </w:num>
  <w:num w:numId="10">
    <w:abstractNumId w:val="3"/>
  </w:num>
  <w:num w:numId="11">
    <w:abstractNumId w:val="17"/>
  </w:num>
  <w:num w:numId="12">
    <w:abstractNumId w:val="10"/>
  </w:num>
  <w:num w:numId="13">
    <w:abstractNumId w:val="19"/>
  </w:num>
  <w:num w:numId="14">
    <w:abstractNumId w:val="13"/>
  </w:num>
  <w:num w:numId="15">
    <w:abstractNumId w:val="15"/>
  </w:num>
  <w:num w:numId="16">
    <w:abstractNumId w:val="2"/>
  </w:num>
  <w:num w:numId="17">
    <w:abstractNumId w:val="23"/>
  </w:num>
  <w:num w:numId="18">
    <w:abstractNumId w:val="5"/>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25"/>
  </w:num>
  <w:num w:numId="33">
    <w:abstractNumId w:val="4"/>
  </w:num>
  <w:num w:numId="34">
    <w:abstractNumId w:val="24"/>
  </w:num>
  <w:num w:numId="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1019"/>
    <w:rsid w:val="000372BF"/>
    <w:rsid w:val="00044C5A"/>
    <w:rsid w:val="0005509E"/>
    <w:rsid w:val="000632C2"/>
    <w:rsid w:val="0006528D"/>
    <w:rsid w:val="000932BC"/>
    <w:rsid w:val="000A3D10"/>
    <w:rsid w:val="000B5D3D"/>
    <w:rsid w:val="000C0CE0"/>
    <w:rsid w:val="000D1038"/>
    <w:rsid w:val="00126ADC"/>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B5CE7"/>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3228"/>
    <w:rsid w:val="007E7997"/>
    <w:rsid w:val="00801F31"/>
    <w:rsid w:val="00830D00"/>
    <w:rsid w:val="00846692"/>
    <w:rsid w:val="00867DB2"/>
    <w:rsid w:val="0089075A"/>
    <w:rsid w:val="008C767A"/>
    <w:rsid w:val="008D5C28"/>
    <w:rsid w:val="008F6973"/>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C3C86"/>
    <w:rsid w:val="00CD47B2"/>
    <w:rsid w:val="00CE49F8"/>
    <w:rsid w:val="00D14F6A"/>
    <w:rsid w:val="00D22F2F"/>
    <w:rsid w:val="00D46275"/>
    <w:rsid w:val="00D73338"/>
    <w:rsid w:val="00D978C6"/>
    <w:rsid w:val="00DA0D8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6FF86E-3253-4559-84FE-FE4C5BCA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973"/>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BoldText">
    <w:name w:val="Bold Text"/>
    <w:basedOn w:val="Normal"/>
    <w:qFormat/>
    <w:rsid w:val="00126ADC"/>
    <w:pPr>
      <w:spacing w:line="260" w:lineRule="atLeast"/>
      <w:jc w:val="left"/>
    </w:pPr>
    <w:rPr>
      <w:rFonts w:ascii="Tahoma" w:eastAsiaTheme="minorHAnsi" w:hAnsi="Tahoma"/>
      <w:b/>
      <w:spacing w:val="6"/>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CC016-B624-489B-BA34-028854F3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37</TotalTime>
  <Pages>59</Pages>
  <Words>18165</Words>
  <Characters>103544</Characters>
  <Application>Microsoft Office Word</Application>
  <DocSecurity>8</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Isabelle Van Acker</cp:lastModifiedBy>
  <cp:revision>6</cp:revision>
  <dcterms:created xsi:type="dcterms:W3CDTF">2015-03-02T15:42:00Z</dcterms:created>
  <dcterms:modified xsi:type="dcterms:W3CDTF">2015-03-02T16:42:00Z</dcterms:modified>
</cp:coreProperties>
</file>