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el"/>
                  <w:jc w:val="right"/>
                  <w:rPr>
                    <w:sz w:val="48"/>
                    <w:szCs w:val="48"/>
                  </w:rPr>
                </w:pPr>
                <w:r w:rsidRPr="00EA2103">
                  <w:rPr>
                    <w:sz w:val="48"/>
                    <w:szCs w:val="48"/>
                  </w:rPr>
                  <w:t xml:space="preserve">Reply form for the </w:t>
                </w:r>
              </w:p>
              <w:p w:rsidR="007E7997" w:rsidRPr="005B6B12" w:rsidRDefault="00EA2103" w:rsidP="00EA2103">
                <w:pPr>
                  <w:pStyle w:val="Titel"/>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3559F0" w:rsidP="009663D9">
          <w:pPr>
            <w:spacing w:after="120" w:line="264" w:lineRule="auto"/>
          </w:pPr>
        </w:p>
      </w:sdtContent>
    </w:sdt>
    <w:p w:rsidR="000632C2" w:rsidRDefault="000632C2" w:rsidP="009663D9">
      <w:pPr>
        <w:pStyle w:val="Untertitel"/>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enabsatz"/>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enabsatz"/>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enabsatz"/>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enabsatz"/>
        <w:numPr>
          <w:ilvl w:val="0"/>
          <w:numId w:val="18"/>
        </w:numPr>
        <w:spacing w:after="120" w:line="264" w:lineRule="auto"/>
      </w:pPr>
      <w:r>
        <w:t>if they respond to the question stated;</w:t>
      </w:r>
    </w:p>
    <w:p w:rsidR="000632C2" w:rsidRDefault="000632C2" w:rsidP="000632C2">
      <w:pPr>
        <w:pStyle w:val="Listenabsatz"/>
        <w:numPr>
          <w:ilvl w:val="0"/>
          <w:numId w:val="18"/>
        </w:numPr>
        <w:spacing w:after="120" w:line="264" w:lineRule="auto"/>
      </w:pPr>
      <w:r>
        <w:t>contain a clear rationale, and</w:t>
      </w:r>
    </w:p>
    <w:p w:rsidR="000632C2" w:rsidRDefault="000632C2" w:rsidP="000632C2">
      <w:pPr>
        <w:pStyle w:val="Listenabsatz"/>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iveHervorhebung"/>
        </w:rPr>
      </w:pPr>
      <w:r w:rsidRPr="00EA2103">
        <w:rPr>
          <w:rStyle w:val="IntensiveHervorhebung"/>
        </w:rPr>
        <w:t>Deadline</w:t>
      </w:r>
    </w:p>
    <w:p w:rsidR="000632C2" w:rsidRDefault="000632C2" w:rsidP="000632C2">
      <w:pPr>
        <w:spacing w:after="120" w:line="264" w:lineRule="auto"/>
      </w:pPr>
      <w:r>
        <w:t xml:space="preserve">Responses must reach us by </w:t>
      </w:r>
      <w:r w:rsidR="00EA2103">
        <w:rPr>
          <w:rStyle w:val="Fett"/>
        </w:rPr>
        <w:t>2</w:t>
      </w:r>
      <w:r w:rsidRPr="000632C2">
        <w:rPr>
          <w:rStyle w:val="Fett"/>
        </w:rPr>
        <w:t xml:space="preserve"> </w:t>
      </w:r>
      <w:r w:rsidR="00EA2103">
        <w:rPr>
          <w:rStyle w:val="Fett"/>
        </w:rPr>
        <w:t>March</w:t>
      </w:r>
      <w:r w:rsidRPr="000632C2">
        <w:rPr>
          <w:rStyle w:val="Fett"/>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Fett"/>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berschrift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0" w:edGrp="everyone" w:colFirst="1" w:colLast="1"/>
            <w:r w:rsidRPr="00AB6D88">
              <w:rPr>
                <w:rFonts w:ascii="Arial" w:hAnsi="Arial" w:cs="Arial"/>
              </w:rPr>
              <w:t>Name of the company / organisation</w:t>
            </w:r>
          </w:p>
        </w:tc>
        <w:sdt>
          <w:sdtPr>
            <w:rPr>
              <w:rStyle w:val="Platzhaltertext"/>
              <w:rFonts w:ascii="Arial" w:hAnsi="Arial" w:cs="Arial"/>
            </w:rPr>
            <w:id w:val="-1905066999"/>
            <w:text/>
          </w:sdtPr>
          <w:sdtContent>
            <w:permStart w:id="1" w:edGrp="everyone" w:displacedByCustomXml="prev"/>
            <w:tc>
              <w:tcPr>
                <w:tcW w:w="5595" w:type="dxa"/>
                <w:shd w:val="clear" w:color="auto" w:fill="auto"/>
              </w:tcPr>
              <w:p w:rsidR="000632C2" w:rsidRPr="00AB6D88" w:rsidRDefault="005C215F" w:rsidP="005C215F">
                <w:pPr>
                  <w:rPr>
                    <w:rStyle w:val="Platzhaltertext"/>
                    <w:rFonts w:ascii="Arial" w:hAnsi="Arial" w:cs="Arial"/>
                  </w:rPr>
                </w:pPr>
                <w:r>
                  <w:rPr>
                    <w:rStyle w:val="Platzhaltertext"/>
                    <w:rFonts w:ascii="Arial" w:hAnsi="Arial" w:cs="Arial"/>
                  </w:rPr>
                  <w:t>Actuarial Association of Europe</w:t>
                </w:r>
              </w:p>
            </w:tc>
            <w:permEnd w:id="1"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 w:edGrp="everyone" w:colFirst="1" w:colLast="1"/>
            <w:permEnd w:id="0"/>
            <w:r w:rsidRPr="00AB6D88">
              <w:rPr>
                <w:rFonts w:ascii="Arial" w:hAnsi="Arial" w:cs="Arial"/>
              </w:rPr>
              <w:t>Confidential</w:t>
            </w:r>
            <w:r w:rsidRPr="00AB6D88">
              <w:rPr>
                <w:rStyle w:val="Funotenzeichen"/>
                <w:rFonts w:ascii="Arial" w:hAnsi="Arial" w:cs="Arial"/>
              </w:rPr>
              <w:footnoteReference w:id="1"/>
            </w:r>
          </w:p>
        </w:tc>
        <w:sdt>
          <w:sdtPr>
            <w:rPr>
              <w:rStyle w:val="Platzhaltertext"/>
              <w:rFonts w:ascii="Arial" w:hAnsi="Arial" w:cs="Arial"/>
            </w:rPr>
            <w:id w:val="-2035031634"/>
          </w:sdtPr>
          <w:sdtContent>
            <w:tc>
              <w:tcPr>
                <w:tcW w:w="5595" w:type="dxa"/>
                <w:shd w:val="clear" w:color="auto" w:fill="auto"/>
              </w:tcPr>
              <w:p w:rsidR="000632C2" w:rsidRPr="00AB6D88" w:rsidRDefault="000932BC" w:rsidP="009E5107">
                <w:pPr>
                  <w:rPr>
                    <w:rStyle w:val="Platzhaltertext"/>
                    <w:rFonts w:ascii="Arial" w:hAnsi="Arial" w:cs="Arial"/>
                  </w:rPr>
                </w:pPr>
                <w:r>
                  <w:rPr>
                    <w:rStyle w:val="Platzhalt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 w:edGrp="everyone" w:colFirst="1" w:colLast="1"/>
            <w:permEnd w:id="2"/>
            <w:r w:rsidRPr="00AB6D88">
              <w:rPr>
                <w:rFonts w:ascii="Arial" w:hAnsi="Arial" w:cs="Arial"/>
              </w:rPr>
              <w:t>Activity:</w:t>
            </w:r>
          </w:p>
        </w:tc>
        <w:tc>
          <w:tcPr>
            <w:tcW w:w="5595" w:type="dxa"/>
            <w:shd w:val="clear" w:color="auto" w:fill="auto"/>
          </w:tcPr>
          <w:p w:rsidR="000632C2" w:rsidRPr="00AB6D88" w:rsidRDefault="003559F0" w:rsidP="009E5107">
            <w:pPr>
              <w:rPr>
                <w:rFonts w:ascii="Arial" w:hAnsi="Arial" w:cs="Arial"/>
              </w:rPr>
            </w:pPr>
            <w:sdt>
              <w:sdtPr>
                <w:rPr>
                  <w:rFonts w:ascii="Arial" w:hAnsi="Arial" w:cs="Arial"/>
                </w:rPr>
                <w:alias w:val="Activity"/>
                <w:tag w:val="Activity"/>
                <w:id w:val="1654095920"/>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4" w:edGrp="everyone"/>
                <w:r w:rsidR="000632C2" w:rsidRPr="00AB6D88">
                  <w:rPr>
                    <w:rStyle w:val="Platzhaltertext"/>
                    <w:rFonts w:ascii="Arial" w:hAnsi="Arial" w:cs="Arial"/>
                  </w:rPr>
                  <w:t>Choose an item.</w:t>
                </w:r>
                <w:permEnd w:id="4"/>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 w:edGrp="everyone" w:colFirst="1" w:colLast="1"/>
            <w:permEnd w:id="3"/>
            <w:r w:rsidRPr="00AB6D88">
              <w:rPr>
                <w:rFonts w:ascii="Arial" w:hAnsi="Arial" w:cs="Arial"/>
              </w:rPr>
              <w:t>Are you representing an association?</w:t>
            </w:r>
          </w:p>
        </w:tc>
        <w:sdt>
          <w:sdtPr>
            <w:rPr>
              <w:rFonts w:ascii="Arial" w:hAnsi="Arial" w:cs="Arial"/>
            </w:rPr>
            <w:id w:val="-242871467"/>
          </w:sdtPr>
          <w:sdtContent>
            <w:tc>
              <w:tcPr>
                <w:tcW w:w="5595" w:type="dxa"/>
                <w:shd w:val="clear" w:color="auto" w:fill="auto"/>
              </w:tcPr>
              <w:p w:rsidR="000632C2" w:rsidRPr="005C215F" w:rsidRDefault="005C215F" w:rsidP="005C215F">
                <w:pPr>
                  <w:rPr>
                    <w:rFonts w:ascii="MS Gothic" w:eastAsia="MS Gothic" w:hAnsi="MS Gothic" w:cs="MS Gothic"/>
                  </w:rPr>
                </w:pPr>
                <w:r>
                  <w:rPr>
                    <w:rFonts w:ascii="MS Gothic" w:eastAsia="MS Gothic" w:hAnsi="MS Gothic" w:cs="MS Gothic"/>
                  </w:rPr>
                  <w:t>x</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 w:edGrp="everyone" w:colFirst="1" w:colLast="1"/>
            <w:permEnd w:id="5"/>
            <w:r w:rsidRPr="00AB6D88">
              <w:rPr>
                <w:rFonts w:ascii="Arial" w:hAnsi="Arial" w:cs="Arial"/>
              </w:rPr>
              <w:t>Country/Region</w:t>
            </w:r>
          </w:p>
        </w:tc>
        <w:permStart w:id="7"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8" w:edGrp="everyone" w:displacedByCustomXml="prev"/>
            <w:tc>
              <w:tcPr>
                <w:tcW w:w="5595" w:type="dxa"/>
                <w:shd w:val="clear" w:color="auto" w:fill="auto"/>
              </w:tcPr>
              <w:p w:rsidR="000632C2" w:rsidRPr="00AB6D88" w:rsidRDefault="005C215F" w:rsidP="009E5107">
                <w:pPr>
                  <w:rPr>
                    <w:rFonts w:ascii="Arial" w:hAnsi="Arial" w:cs="Arial"/>
                  </w:rPr>
                </w:pPr>
                <w:r>
                  <w:rPr>
                    <w:rFonts w:ascii="Arial" w:hAnsi="Arial" w:cs="Arial"/>
                  </w:rPr>
                  <w:t>Europe</w:t>
                </w:r>
              </w:p>
            </w:tc>
            <w:permEnd w:id="8" w:displacedByCustomXml="next"/>
          </w:sdtContent>
        </w:sdt>
        <w:permEnd w:id="7" w:displacedByCustomXml="prev"/>
      </w:tr>
      <w:permEnd w:id="6"/>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berschrift1"/>
        <w:numPr>
          <w:ilvl w:val="0"/>
          <w:numId w:val="0"/>
        </w:numPr>
        <w:ind w:left="431" w:hanging="431"/>
      </w:pPr>
      <w:r>
        <w:t>Introduction</w:t>
      </w:r>
    </w:p>
    <w:p w:rsidR="001D47A5" w:rsidRPr="001D47A5" w:rsidRDefault="001D47A5" w:rsidP="001D47A5">
      <w:pPr>
        <w:rPr>
          <w:rStyle w:val="IntensiveHervorhebung"/>
        </w:rPr>
      </w:pPr>
      <w:r w:rsidRPr="001D47A5">
        <w:rPr>
          <w:rStyle w:val="IntensiveHervorhebung"/>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9" w:edGrp="everyone"/>
      <w:r>
        <w:t>TYPE YOUR TEXT HERE</w:t>
      </w:r>
    </w:p>
    <w:permEnd w:id="9"/>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0" w:edGrp="everyone"/>
      <w:r>
        <w:t>TYPE YOUR TEXT HERE</w:t>
      </w:r>
    </w:p>
    <w:permEnd w:id="10"/>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1" w:edGrp="everyone"/>
      <w:r>
        <w:t>TYPE YOUR TEXT HERE</w:t>
      </w:r>
    </w:p>
    <w:permEnd w:id="11"/>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2" w:edGrp="everyone"/>
      <w:r>
        <w:t>TYPE YOUR TEXT HERE</w:t>
      </w:r>
    </w:p>
    <w:permEnd w:id="12"/>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3" w:edGrp="everyone"/>
      <w:r>
        <w:t>TYPE YOUR TEXT HERE</w:t>
      </w:r>
    </w:p>
    <w:permEnd w:id="13"/>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4" w:edGrp="everyone"/>
      <w:r>
        <w:t>TYPE YOUR TEXT HERE</w:t>
      </w:r>
    </w:p>
    <w:permEnd w:id="14"/>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5" w:edGrp="everyone"/>
      <w:r>
        <w:t>TYPE YOUR TEXT HERE</w:t>
      </w:r>
    </w:p>
    <w:permEnd w:id="15"/>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6" w:edGrp="everyone"/>
      <w:r>
        <w:t>TYPE YOUR TEXT HERE</w:t>
      </w:r>
    </w:p>
    <w:permEnd w:id="16"/>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7" w:edGrp="everyone"/>
      <w:r>
        <w:t>TYPE YOUR TEXT HERE</w:t>
      </w:r>
    </w:p>
    <w:permEnd w:id="17"/>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8" w:edGrp="everyone"/>
      <w:r>
        <w:t>TYPE YOUR TEXT HERE</w:t>
      </w:r>
    </w:p>
    <w:permEnd w:id="18"/>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9" w:edGrp="everyone"/>
      <w:r>
        <w:t>TYPE YOUR TEXT HERE</w:t>
      </w:r>
    </w:p>
    <w:permEnd w:id="19"/>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0" w:edGrp="everyone"/>
      <w:r>
        <w:t>TYPE YOUR TEXT HERE</w:t>
      </w:r>
    </w:p>
    <w:permEnd w:id="20"/>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21" w:edGrp="everyone"/>
      <w:r>
        <w:t>TYPE YOUR TEXT HERE</w:t>
      </w:r>
    </w:p>
    <w:permEnd w:id="21"/>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2" w:edGrp="everyone"/>
      <w:r>
        <w:t>TYPE YOUR TEXT HERE</w:t>
      </w:r>
    </w:p>
    <w:permEnd w:id="2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23" w:edGrp="everyone"/>
      <w:r>
        <w:t>TYPE YOUR TEXT HERE</w:t>
      </w:r>
    </w:p>
    <w:permEnd w:id="23"/>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4" w:edGrp="everyone"/>
      <w:r>
        <w:t>TYPE YOUR TEXT HERE</w:t>
      </w:r>
    </w:p>
    <w:permEnd w:id="24"/>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5" w:edGrp="everyone"/>
      <w:r>
        <w:t>TYPE YOUR TEXT HERE</w:t>
      </w:r>
    </w:p>
    <w:permEnd w:id="25"/>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26" w:edGrp="everyone"/>
      <w:r>
        <w:t>TYPE YOUR TEXT HERE</w:t>
      </w:r>
    </w:p>
    <w:permEnd w:id="26"/>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27" w:edGrp="everyone"/>
      <w:r>
        <w:t>TYPE YOUR TEXT HERE</w:t>
      </w:r>
    </w:p>
    <w:permEnd w:id="27"/>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28" w:edGrp="everyone"/>
      <w:r>
        <w:t>TYPE YOUR TEXT HERE</w:t>
      </w:r>
    </w:p>
    <w:permEnd w:id="28"/>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29" w:edGrp="everyone"/>
      <w:r>
        <w:t>TYPE YOUR TEXT HERE</w:t>
      </w:r>
    </w:p>
    <w:permEnd w:id="29"/>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30" w:edGrp="everyone"/>
      <w:r>
        <w:t>TYPE YOUR TEXT HERE</w:t>
      </w:r>
    </w:p>
    <w:permEnd w:id="30"/>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31" w:edGrp="everyone"/>
      <w:r>
        <w:t>TYPE YOUR TEXT HERE</w:t>
      </w:r>
    </w:p>
    <w:permEnd w:id="3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32" w:edGrp="everyone"/>
      <w:r>
        <w:t>TYPE YOUR TEXT HERE</w:t>
      </w:r>
    </w:p>
    <w:permEnd w:id="32"/>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33" w:edGrp="everyone"/>
      <w:r>
        <w:t>TYPE YOUR TEXT HERE</w:t>
      </w:r>
    </w:p>
    <w:permEnd w:id="3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34" w:edGrp="everyone"/>
      <w:r>
        <w:t>TYPE YOUR TEXT HERE</w:t>
      </w:r>
    </w:p>
    <w:permEnd w:id="34"/>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35" w:edGrp="everyone"/>
      <w:r>
        <w:t>TYPE YOUR TEXT HERE</w:t>
      </w:r>
    </w:p>
    <w:permEnd w:id="35"/>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36" w:edGrp="everyone"/>
      <w:r>
        <w:t>TYPE YOUR TEXT HERE</w:t>
      </w:r>
    </w:p>
    <w:permEnd w:id="36"/>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37" w:edGrp="everyone"/>
      <w:r>
        <w:t>TYPE YOUR TEXT HERE</w:t>
      </w:r>
    </w:p>
    <w:permEnd w:id="37"/>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38" w:edGrp="everyone"/>
      <w:r>
        <w:t>TYPE YOUR TEXT HERE</w:t>
      </w:r>
    </w:p>
    <w:permEnd w:id="38"/>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39" w:edGrp="everyone"/>
      <w:r>
        <w:t>TYPE YOUR TEXT HERE</w:t>
      </w:r>
    </w:p>
    <w:permEnd w:id="39"/>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40" w:edGrp="everyone"/>
      <w:r>
        <w:t>TYPE YOUR TEXT HERE</w:t>
      </w:r>
    </w:p>
    <w:permEnd w:id="4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41" w:edGrp="everyone"/>
      <w:r>
        <w:t>TYPE YOUR TEXT HERE</w:t>
      </w:r>
    </w:p>
    <w:permEnd w:id="41"/>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42" w:edGrp="everyone"/>
      <w:r>
        <w:t>TYPE YOUR TEXT HERE</w:t>
      </w:r>
    </w:p>
    <w:permEnd w:id="42"/>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43" w:edGrp="everyone"/>
      <w:r>
        <w:t>TYPE YOUR TEXT HERE</w:t>
      </w:r>
    </w:p>
    <w:permEnd w:id="43"/>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44" w:edGrp="everyone"/>
      <w:r>
        <w:t>TYPE YOUR TEXT HERE</w:t>
      </w:r>
    </w:p>
    <w:permEnd w:id="4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45" w:edGrp="everyone"/>
      <w:r>
        <w:t>TYPE YOUR TEXT HERE</w:t>
      </w:r>
    </w:p>
    <w:permEnd w:id="45"/>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46" w:edGrp="everyone"/>
      <w:r>
        <w:t>TYPE YOUR TEXT HERE</w:t>
      </w:r>
    </w:p>
    <w:permEnd w:id="46"/>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47" w:edGrp="everyone"/>
      <w:r>
        <w:t>TYPE YOUR TEXT HERE</w:t>
      </w:r>
    </w:p>
    <w:permEnd w:id="47"/>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48" w:edGrp="everyone"/>
      <w:r>
        <w:t>TYPE YOUR TEXT HERE</w:t>
      </w:r>
    </w:p>
    <w:permEnd w:id="48"/>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49" w:edGrp="everyone"/>
      <w:r>
        <w:t>TYPE YOUR TEXT HERE</w:t>
      </w:r>
    </w:p>
    <w:permEnd w:id="49"/>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50" w:edGrp="everyone"/>
      <w:r>
        <w:t>TYPE YOUR TEXT HERE</w:t>
      </w:r>
    </w:p>
    <w:permEnd w:id="50"/>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51" w:edGrp="everyone"/>
      <w:r>
        <w:t>TYPE YOUR TEXT HERE</w:t>
      </w:r>
    </w:p>
    <w:permEnd w:id="51"/>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52" w:edGrp="everyone"/>
      <w:r>
        <w:t>TYPE YOUR TEXT HERE</w:t>
      </w:r>
    </w:p>
    <w:permEnd w:id="5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53" w:edGrp="everyone"/>
      <w:r>
        <w:t>TYPE YOUR TEXT HERE</w:t>
      </w:r>
    </w:p>
    <w:permEnd w:id="53"/>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54" w:edGrp="everyone"/>
      <w:r>
        <w:t>TYPE YOUR TEXT HERE</w:t>
      </w:r>
    </w:p>
    <w:permEnd w:id="54"/>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55" w:edGrp="everyone"/>
      <w:r>
        <w:t>TYPE YOUR TEXT HERE</w:t>
      </w:r>
    </w:p>
    <w:permEnd w:id="55"/>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56" w:edGrp="everyone"/>
      <w:r>
        <w:t>TYPE YOUR TEXT HERE</w:t>
      </w:r>
    </w:p>
    <w:permEnd w:id="56"/>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57" w:edGrp="everyone"/>
      <w:r>
        <w:t>TYPE YOUR TEXT HERE</w:t>
      </w:r>
    </w:p>
    <w:permEnd w:id="57"/>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58" w:edGrp="everyone"/>
      <w:r>
        <w:t>TYPE YOUR TEXT HERE</w:t>
      </w:r>
    </w:p>
    <w:permEnd w:id="58"/>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59" w:edGrp="everyone"/>
      <w:r>
        <w:t>TYPE YOUR TEXT HERE</w:t>
      </w:r>
    </w:p>
    <w:permEnd w:id="59"/>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60" w:edGrp="everyone"/>
      <w:r>
        <w:t>TYPE YOUR TEXT HERE</w:t>
      </w:r>
    </w:p>
    <w:permEnd w:id="60"/>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61" w:edGrp="everyone"/>
      <w:r>
        <w:t>TYPE YOUR TEXT HERE</w:t>
      </w:r>
    </w:p>
    <w:permEnd w:id="61"/>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62" w:edGrp="everyone"/>
      <w:r>
        <w:t>TYPE YOUR TEXT HERE</w:t>
      </w:r>
    </w:p>
    <w:permEnd w:id="62"/>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63" w:edGrp="everyone"/>
      <w:r>
        <w:t>TYPE YOUR TEXT HERE</w:t>
      </w:r>
    </w:p>
    <w:permEnd w:id="63"/>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64" w:edGrp="everyone"/>
      <w:r>
        <w:t>TYPE YOUR TEXT HERE</w:t>
      </w:r>
    </w:p>
    <w:permEnd w:id="64"/>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65" w:edGrp="everyone"/>
      <w:r>
        <w:t>TYPE YOUR TEXT HERE</w:t>
      </w:r>
    </w:p>
    <w:permEnd w:id="6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66" w:edGrp="everyone"/>
      <w:r>
        <w:t>TYPE YOUR TEXT HERE</w:t>
      </w:r>
    </w:p>
    <w:permEnd w:id="66"/>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67" w:edGrp="everyone"/>
      <w:r>
        <w:t>TYPE YOUR TEXT HERE</w:t>
      </w:r>
    </w:p>
    <w:permEnd w:id="67"/>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68" w:edGrp="everyone"/>
      <w:r>
        <w:t>TYPE YOUR TEXT HERE</w:t>
      </w:r>
    </w:p>
    <w:permEnd w:id="6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69" w:edGrp="everyone"/>
      <w:r>
        <w:t>TYPE YOUR TEXT HERE</w:t>
      </w:r>
    </w:p>
    <w:permEnd w:id="69"/>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70" w:edGrp="everyone"/>
      <w:r>
        <w:t>TYPE YOUR TEXT HERE</w:t>
      </w:r>
    </w:p>
    <w:permEnd w:id="70"/>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71" w:edGrp="everyone"/>
      <w:r>
        <w:t>TYPE YOUR TEXT HERE</w:t>
      </w:r>
    </w:p>
    <w:permEnd w:id="71"/>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72" w:edGrp="everyone"/>
      <w:r>
        <w:t>TYPE YOUR TEXT HERE</w:t>
      </w:r>
    </w:p>
    <w:permEnd w:id="72"/>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73" w:edGrp="everyone"/>
      <w:r>
        <w:t>TYPE YOUR TEXT HERE</w:t>
      </w:r>
    </w:p>
    <w:permEnd w:id="73"/>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74" w:edGrp="everyone"/>
      <w:r>
        <w:t>TYPE YOUR TEXT HERE</w:t>
      </w:r>
    </w:p>
    <w:permEnd w:id="74"/>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75" w:edGrp="everyone"/>
      <w:r>
        <w:t>TYPE YOUR TEXT HERE</w:t>
      </w:r>
    </w:p>
    <w:permEnd w:id="75"/>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76" w:edGrp="everyone"/>
      <w:r>
        <w:t>TYPE YOUR TEXT HERE</w:t>
      </w:r>
    </w:p>
    <w:permEnd w:id="76"/>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77" w:edGrp="everyone"/>
      <w:r>
        <w:t>TYPE YOUR TEXT HERE</w:t>
      </w:r>
    </w:p>
    <w:permEnd w:id="7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78" w:edGrp="everyone"/>
      <w:r>
        <w:t>TYPE YOUR TEXT HERE</w:t>
      </w:r>
    </w:p>
    <w:permEnd w:id="78"/>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79" w:edGrp="everyone"/>
      <w:r>
        <w:t>TYPE YOUR TEXT HERE</w:t>
      </w:r>
    </w:p>
    <w:permEnd w:id="79"/>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80" w:edGrp="everyone"/>
      <w:r>
        <w:t>TYPE YOUR TEXT HERE</w:t>
      </w:r>
    </w:p>
    <w:permEnd w:id="80"/>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81" w:edGrp="everyone"/>
      <w:r>
        <w:t>TYPE YOUR TEXT HERE</w:t>
      </w:r>
    </w:p>
    <w:permEnd w:id="81"/>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82" w:edGrp="everyone"/>
      <w:r>
        <w:t>TYPE YOUR TEXT HERE</w:t>
      </w:r>
    </w:p>
    <w:permEnd w:id="82"/>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83" w:edGrp="everyone"/>
      <w:r>
        <w:t>TYPE YOUR TEXT HERE</w:t>
      </w:r>
    </w:p>
    <w:permEnd w:id="8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84" w:edGrp="everyone"/>
      <w:r>
        <w:t>TYPE YOUR TEXT HERE</w:t>
      </w:r>
    </w:p>
    <w:permEnd w:id="84"/>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85" w:edGrp="everyone"/>
      <w:r>
        <w:t>TYPE YOUR TEXT HERE</w:t>
      </w:r>
    </w:p>
    <w:permEnd w:id="85"/>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86" w:edGrp="everyone"/>
      <w:r>
        <w:t>TYPE YOUR TEXT HERE</w:t>
      </w:r>
    </w:p>
    <w:permEnd w:id="8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87" w:edGrp="everyone"/>
      <w:r>
        <w:t>TYPE YOUR TEXT HERE</w:t>
      </w:r>
    </w:p>
    <w:permEnd w:id="87"/>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88" w:edGrp="everyone"/>
      <w:r>
        <w:t>TYPE YOUR TEXT HERE</w:t>
      </w:r>
    </w:p>
    <w:permEnd w:id="88"/>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89" w:edGrp="everyone"/>
      <w:r>
        <w:t>TYPE YOUR TEXT HERE</w:t>
      </w:r>
    </w:p>
    <w:permEnd w:id="8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90" w:edGrp="everyone"/>
      <w:r>
        <w:t>TYPE YOUR TEXT HERE</w:t>
      </w:r>
    </w:p>
    <w:permEnd w:id="9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91" w:edGrp="everyone"/>
      <w:r>
        <w:t>TYPE YOUR TEXT HERE</w:t>
      </w:r>
    </w:p>
    <w:permEnd w:id="91"/>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92" w:edGrp="everyone"/>
      <w:r>
        <w:t>TYPE YOUR TEXT HERE</w:t>
      </w:r>
    </w:p>
    <w:permEnd w:id="92"/>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93" w:edGrp="everyone"/>
      <w:r>
        <w:t>TYPE YOUR TEXT HERE</w:t>
      </w:r>
    </w:p>
    <w:permEnd w:id="93"/>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94" w:edGrp="everyone"/>
      <w:r>
        <w:t>TYPE YOUR TEXT HERE</w:t>
      </w:r>
    </w:p>
    <w:permEnd w:id="94"/>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95" w:edGrp="everyone"/>
      <w:r>
        <w:t>TYPE YOUR TEXT HERE</w:t>
      </w:r>
    </w:p>
    <w:permEnd w:id="9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96" w:edGrp="everyone"/>
      <w:r>
        <w:t>TYPE YOUR TEXT HERE</w:t>
      </w:r>
    </w:p>
    <w:permEnd w:id="96"/>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97" w:edGrp="everyone"/>
      <w:r>
        <w:t>TYPE YOUR TEXT HERE</w:t>
      </w:r>
    </w:p>
    <w:permEnd w:id="9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98" w:edGrp="everyone"/>
      <w:r>
        <w:t>TYPE YOUR TEXT HERE</w:t>
      </w:r>
    </w:p>
    <w:permEnd w:id="98"/>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99" w:edGrp="everyone"/>
      <w:r>
        <w:t>TYPE YOUR TEXT HERE</w:t>
      </w:r>
    </w:p>
    <w:permEnd w:id="99"/>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00" w:edGrp="everyone"/>
      <w:r>
        <w:t>TYPE YOUR TEXT HERE</w:t>
      </w:r>
    </w:p>
    <w:permEnd w:id="100"/>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101" w:edGrp="everyone"/>
      <w:r>
        <w:t>TYPE YOUR TEXT HERE</w:t>
      </w:r>
    </w:p>
    <w:permEnd w:id="101"/>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02" w:edGrp="everyone"/>
      <w:r>
        <w:t>TYPE YOUR TEXT HERE</w:t>
      </w:r>
    </w:p>
    <w:permEnd w:id="102"/>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03" w:edGrp="everyone"/>
      <w:r>
        <w:t>TYPE YOUR TEXT HERE</w:t>
      </w:r>
    </w:p>
    <w:permEnd w:id="103"/>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04" w:edGrp="everyone"/>
      <w:r>
        <w:t>TYPE YOUR TEXT HERE</w:t>
      </w:r>
    </w:p>
    <w:permEnd w:id="10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05" w:edGrp="everyone"/>
      <w:r>
        <w:t>TYPE YOUR TEXT HERE</w:t>
      </w:r>
    </w:p>
    <w:permEnd w:id="105"/>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06" w:edGrp="everyone"/>
      <w:r>
        <w:t>TYPE YOUR TEXT HERE</w:t>
      </w:r>
    </w:p>
    <w:permEnd w:id="106"/>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07" w:edGrp="everyone"/>
      <w:r>
        <w:t>TYPE YOUR TEXT HERE</w:t>
      </w:r>
    </w:p>
    <w:permEnd w:id="10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08" w:edGrp="everyone"/>
      <w:r>
        <w:t>TYPE YOUR TEXT HERE</w:t>
      </w:r>
    </w:p>
    <w:permEnd w:id="108"/>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09" w:edGrp="everyone"/>
      <w:r>
        <w:t>TYPE YOUR TEXT HERE</w:t>
      </w:r>
    </w:p>
    <w:permEnd w:id="10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10" w:edGrp="everyone"/>
      <w:r>
        <w:t>TYPE YOUR TEXT HERE</w:t>
      </w:r>
    </w:p>
    <w:permEnd w:id="110"/>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11" w:edGrp="everyone"/>
      <w:r>
        <w:t>TYPE YOUR TEXT HERE</w:t>
      </w:r>
    </w:p>
    <w:permEnd w:id="111"/>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12" w:edGrp="everyone"/>
      <w:r>
        <w:t>TYPE YOUR TEXT HERE</w:t>
      </w:r>
    </w:p>
    <w:permEnd w:id="112"/>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13" w:edGrp="everyone"/>
      <w:r>
        <w:t>TYPE YOUR TEXT HERE</w:t>
      </w:r>
    </w:p>
    <w:permEnd w:id="113"/>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14" w:edGrp="everyone"/>
      <w:r>
        <w:t>TYPE YOUR TEXT HERE</w:t>
      </w:r>
    </w:p>
    <w:permEnd w:id="114"/>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15" w:edGrp="everyone"/>
      <w:r>
        <w:t>TYPE YOUR TEXT HERE</w:t>
      </w:r>
    </w:p>
    <w:permEnd w:id="115"/>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16" w:edGrp="everyone"/>
      <w:r>
        <w:t>TYPE YOUR TEXT HERE</w:t>
      </w:r>
    </w:p>
    <w:permEnd w:id="116"/>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17" w:edGrp="everyone"/>
      <w:r>
        <w:t>TYPE YOUR TEXT HERE</w:t>
      </w:r>
    </w:p>
    <w:permEnd w:id="11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18" w:edGrp="everyone"/>
      <w:r>
        <w:t>TYPE YOUR TEXT HERE</w:t>
      </w:r>
    </w:p>
    <w:permEnd w:id="11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19" w:edGrp="everyone"/>
      <w:r>
        <w:t>TYPE YOUR TEXT HERE</w:t>
      </w:r>
    </w:p>
    <w:permEnd w:id="11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20" w:edGrp="everyone"/>
      <w:r>
        <w:t>TYPE YOUR TEXT HERE</w:t>
      </w:r>
    </w:p>
    <w:permEnd w:id="12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21" w:edGrp="everyone"/>
      <w:r>
        <w:t>TYPE YOUR TEXT HERE</w:t>
      </w:r>
    </w:p>
    <w:permEnd w:id="121"/>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22" w:edGrp="everyone"/>
      <w:r>
        <w:t>TYPE YOUR TEXT HERE</w:t>
      </w:r>
    </w:p>
    <w:permEnd w:id="122"/>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23" w:edGrp="everyone"/>
      <w:r>
        <w:t>TYPE YOUR TEXT HERE</w:t>
      </w:r>
    </w:p>
    <w:permEnd w:id="123"/>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24" w:edGrp="everyone"/>
      <w:r>
        <w:t>TYPE YOUR TEXT HERE</w:t>
      </w:r>
    </w:p>
    <w:permEnd w:id="124"/>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25" w:edGrp="everyone"/>
      <w:r>
        <w:t>TYPE YOUR TEXT HERE</w:t>
      </w:r>
    </w:p>
    <w:permEnd w:id="125"/>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26" w:edGrp="everyone"/>
      <w:r>
        <w:t>TYPE YOUR TEXT HERE</w:t>
      </w:r>
    </w:p>
    <w:permEnd w:id="12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27" w:edGrp="everyone"/>
      <w:r>
        <w:t>TYPE YOUR TEXT HERE</w:t>
      </w:r>
    </w:p>
    <w:permEnd w:id="127"/>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28" w:edGrp="everyone"/>
      <w:r>
        <w:t>TYPE YOUR TEXT HERE</w:t>
      </w:r>
    </w:p>
    <w:permEnd w:id="12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29" w:edGrp="everyone"/>
      <w:r>
        <w:t>TYPE YOUR TEXT HERE</w:t>
      </w:r>
    </w:p>
    <w:permEnd w:id="129"/>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30" w:edGrp="everyone"/>
      <w:r>
        <w:t>TYPE YOUR TEXT HERE</w:t>
      </w:r>
    </w:p>
    <w:permEnd w:id="130"/>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31" w:edGrp="everyone"/>
      <w:r>
        <w:t>TYPE YOUR TEXT HERE</w:t>
      </w:r>
    </w:p>
    <w:permEnd w:id="131"/>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32" w:edGrp="everyone"/>
      <w:r>
        <w:t>TYPE YOUR TEXT HERE</w:t>
      </w:r>
    </w:p>
    <w:permEnd w:id="132"/>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33" w:edGrp="everyone"/>
      <w:r>
        <w:t>TYPE YOUR TEXT HERE</w:t>
      </w:r>
    </w:p>
    <w:permEnd w:id="133"/>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34" w:edGrp="everyone"/>
      <w:r>
        <w:t>TYPE YOUR TEXT HERE</w:t>
      </w:r>
    </w:p>
    <w:permEnd w:id="134"/>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35" w:edGrp="everyone"/>
      <w:r>
        <w:t>TYPE YOUR TEXT HERE</w:t>
      </w:r>
    </w:p>
    <w:permEnd w:id="135"/>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36" w:edGrp="everyone"/>
      <w:r>
        <w:t>TYPE YOUR TEXT HERE</w:t>
      </w:r>
    </w:p>
    <w:permEnd w:id="136"/>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37" w:edGrp="everyone"/>
      <w:r>
        <w:t>TYPE YOUR TEXT HERE</w:t>
      </w:r>
    </w:p>
    <w:permEnd w:id="137"/>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38" w:edGrp="everyone"/>
      <w:r>
        <w:t>TYPE YOUR TEXT HERE</w:t>
      </w:r>
    </w:p>
    <w:permEnd w:id="13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39" w:edGrp="everyone"/>
      <w:r>
        <w:t>TYPE YOUR TEXT HERE</w:t>
      </w:r>
    </w:p>
    <w:permEnd w:id="139"/>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40" w:edGrp="everyone"/>
      <w:r>
        <w:t>TYPE YOUR TEXT HERE</w:t>
      </w:r>
    </w:p>
    <w:permEnd w:id="140"/>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41" w:edGrp="everyone"/>
      <w:r>
        <w:t>TYPE YOUR TEXT HERE</w:t>
      </w:r>
    </w:p>
    <w:permEnd w:id="141"/>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42" w:edGrp="everyone"/>
      <w:r>
        <w:t>TYPE YOUR TEXT HERE</w:t>
      </w:r>
    </w:p>
    <w:permEnd w:id="142"/>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EE508B" w:rsidP="00EC2C93">
      <w:pPr>
        <w:keepNext/>
      </w:pPr>
      <w:permStart w:id="143" w:edGrp="everyone"/>
      <w:proofErr w:type="gramStart"/>
      <w:r>
        <w:t>Yes ..</w:t>
      </w:r>
      <w:proofErr w:type="gramEnd"/>
      <w:r>
        <w:t xml:space="preserve"> </w:t>
      </w:r>
      <w:proofErr w:type="gramStart"/>
      <w:r>
        <w:t>quality</w:t>
      </w:r>
      <w:proofErr w:type="gramEnd"/>
      <w:r>
        <w:t xml:space="preserve"> control should as much as possible be driven by users, not by the institutional regulator.</w:t>
      </w:r>
    </w:p>
    <w:permEnd w:id="14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F833F8" w:rsidP="00EC2C93">
      <w:pPr>
        <w:keepNext/>
      </w:pPr>
      <w:permStart w:id="144" w:edGrp="everyone"/>
      <w:proofErr w:type="gramStart"/>
      <w:r>
        <w:t>Yes ..</w:t>
      </w:r>
      <w:proofErr w:type="gramEnd"/>
      <w:r>
        <w:t xml:space="preserve"> </w:t>
      </w:r>
      <w:proofErr w:type="gramStart"/>
      <w:r>
        <w:t>given</w:t>
      </w:r>
      <w:proofErr w:type="gramEnd"/>
      <w:r>
        <w:t xml:space="preserve"> the increased importance of aggregating across trading venues, timelines for CTPs must be as strict as for APAs. Having said </w:t>
      </w:r>
      <w:proofErr w:type="gramStart"/>
      <w:r>
        <w:t>that ..</w:t>
      </w:r>
      <w:proofErr w:type="gramEnd"/>
      <w:r>
        <w:t xml:space="preserve"> </w:t>
      </w:r>
      <w:proofErr w:type="gramStart"/>
      <w:r>
        <w:t>a</w:t>
      </w:r>
      <w:proofErr w:type="gramEnd"/>
      <w:r>
        <w:t xml:space="preserve"> standard six hours can be meaningless when APAs / CTPs operate on limited business hours. It seems most logical to require six ‘business hours’.</w:t>
      </w:r>
    </w:p>
    <w:permEnd w:id="144"/>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F833F8" w:rsidP="00EC2C93">
      <w:pPr>
        <w:keepNext/>
      </w:pPr>
      <w:permStart w:id="145" w:edGrp="everyone"/>
      <w:r>
        <w:t>Yes. You cannot force people to work hours. There would be incentives to cheat.</w:t>
      </w:r>
    </w:p>
    <w:permEnd w:id="145"/>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777B85" w:rsidP="00EC2C93">
      <w:pPr>
        <w:keepNext/>
      </w:pPr>
      <w:permStart w:id="146" w:edGrp="everyone"/>
      <w:r>
        <w:t xml:space="preserve">It is not clear how authorisation information is kept up to date. An initial submission seems insufficient. </w:t>
      </w:r>
    </w:p>
    <w:permEnd w:id="146"/>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777B85" w:rsidRDefault="00777B85" w:rsidP="00EC2C93">
      <w:pPr>
        <w:keepNext/>
      </w:pPr>
      <w:permStart w:id="147" w:edGrp="everyone"/>
      <w:r>
        <w:t>Yes, three months should be sufficient with today’s IT possibilities.</w:t>
      </w:r>
      <w:r w:rsidR="003C5463">
        <w:t xml:space="preserve"> The start-up should be aware of reporting requirements.</w:t>
      </w:r>
    </w:p>
    <w:permEnd w:id="147"/>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lastRenderedPageBreak/>
        <w:t>&lt;ESMA_QUESTION_CP_MIFID_139&gt;</w:t>
      </w:r>
    </w:p>
    <w:p w:rsidR="00577C33" w:rsidRDefault="003C5463" w:rsidP="00EC2C93">
      <w:pPr>
        <w:keepNext/>
      </w:pPr>
      <w:permStart w:id="148" w:edGrp="everyone"/>
      <w:r>
        <w:t xml:space="preserve">The one-month lead can be tight, during holidays, if multiple APAs make multiple changes. Question 138 suggests a three month lag for new </w:t>
      </w:r>
      <w:proofErr w:type="gramStart"/>
      <w:r>
        <w:t>APAs ..</w:t>
      </w:r>
      <w:proofErr w:type="gramEnd"/>
      <w:r>
        <w:t xml:space="preserve"> Can we make </w:t>
      </w:r>
      <w:proofErr w:type="gramStart"/>
      <w:r>
        <w:t>this</w:t>
      </w:r>
      <w:proofErr w:type="gramEnd"/>
      <w:r>
        <w:t xml:space="preserve"> two months?</w:t>
      </w:r>
    </w:p>
    <w:permEnd w:id="148"/>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A000B4" w:rsidP="00EC2C93">
      <w:pPr>
        <w:keepNext/>
      </w:pPr>
      <w:permStart w:id="149" w:edGrp="everyone"/>
      <w:proofErr w:type="gramStart"/>
      <w:r>
        <w:t>Just checking.</w:t>
      </w:r>
      <w:proofErr w:type="gramEnd"/>
      <w:r>
        <w:t xml:space="preserve"> Will it be possible to make corrections to the original / duplicate classification afterwards? Will there be an original correction and duplicate corrections?</w:t>
      </w:r>
    </w:p>
    <w:permEnd w:id="149"/>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577C33" w:rsidRDefault="001F0813" w:rsidP="00EC2C93">
      <w:pPr>
        <w:keepNext/>
      </w:pPr>
      <w:permStart w:id="150" w:edGrp="everyone"/>
      <w:r>
        <w:t>Isn’t it</w:t>
      </w:r>
      <w:r w:rsidR="00A000B4">
        <w:t xml:space="preserve"> more logical to only impose this requirement on APAs, who then need to meet CTP </w:t>
      </w:r>
      <w:proofErr w:type="gramStart"/>
      <w:r w:rsidR="00A000B4">
        <w:t>requirements.</w:t>
      </w:r>
      <w:proofErr w:type="gramEnd"/>
      <w:r w:rsidR="00A000B4">
        <w:t xml:space="preserve"> The APAs are closest to the trade. They can assign a code ‘single entry at source’. The CTP can then append an APA code. </w:t>
      </w:r>
      <w:r>
        <w:t>You don’t want another loop back from the CTP to the APA.</w:t>
      </w:r>
    </w:p>
    <w:permEnd w:id="15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1F0813" w:rsidP="00EC2C93">
      <w:pPr>
        <w:keepNext/>
      </w:pPr>
      <w:permStart w:id="151" w:edGrp="everyone"/>
      <w:r>
        <w:t xml:space="preserve">The trading venue seems the most logical place for a timestamp. </w:t>
      </w:r>
      <w:proofErr w:type="gramStart"/>
      <w:r>
        <w:t>Single entry at source.</w:t>
      </w:r>
      <w:proofErr w:type="gramEnd"/>
      <w:r>
        <w:t xml:space="preserve"> See also the reply to question 141.</w:t>
      </w:r>
    </w:p>
    <w:permEnd w:id="151"/>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1F0813" w:rsidP="00EC2C93">
      <w:pPr>
        <w:keepNext/>
      </w:pPr>
      <w:permStart w:id="152" w:edGrp="everyone"/>
      <w:r>
        <w:t>Yes.</w:t>
      </w:r>
    </w:p>
    <w:permEnd w:id="152"/>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1F0813" w:rsidP="00EC2C93">
      <w:pPr>
        <w:keepNext/>
      </w:pPr>
      <w:permStart w:id="153" w:edGrp="everyone"/>
      <w:proofErr w:type="gramStart"/>
      <w:r>
        <w:t xml:space="preserve">Would it make sense to publish </w:t>
      </w:r>
      <w:r w:rsidR="00AF50B9">
        <w:t xml:space="preserve">only </w:t>
      </w:r>
      <w:r>
        <w:t>the ‘original’ classification (see question 140)</w:t>
      </w:r>
      <w:r w:rsidR="00AF50B9">
        <w:t>?</w:t>
      </w:r>
      <w:proofErr w:type="gramEnd"/>
      <w:r w:rsidR="00AF50B9">
        <w:t xml:space="preserve"> There seems to be little point for a CTP to report duplicates.</w:t>
      </w:r>
    </w:p>
    <w:permEnd w:id="153"/>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lastRenderedPageBreak/>
        <w:t>&lt;ESMA_QUESTION_CP_MIFID_145&gt;</w:t>
      </w:r>
    </w:p>
    <w:p w:rsidR="00577C33" w:rsidRDefault="00156F68" w:rsidP="00EC2C93">
      <w:pPr>
        <w:keepNext/>
      </w:pPr>
      <w:permStart w:id="154" w:edGrp="everyone"/>
      <w:r>
        <w:t xml:space="preserve">The requirement is at a very aggregated </w:t>
      </w:r>
      <w:proofErr w:type="gramStart"/>
      <w:r>
        <w:t>level ..</w:t>
      </w:r>
      <w:proofErr w:type="gramEnd"/>
      <w:r>
        <w:t xml:space="preserve"> </w:t>
      </w:r>
      <w:proofErr w:type="gramStart"/>
      <w:r>
        <w:t>too</w:t>
      </w:r>
      <w:proofErr w:type="gramEnd"/>
      <w:r>
        <w:t xml:space="preserve"> aggregated to be meaningful. And more detail is left open to discretion of the market operator. The implementation seems to question the idea of the regulation.</w:t>
      </w:r>
    </w:p>
    <w:permEnd w:id="154"/>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156F68" w:rsidP="00EC2C93">
      <w:pPr>
        <w:keepNext/>
      </w:pPr>
      <w:permStart w:id="155" w:edGrp="everyone"/>
      <w:r>
        <w:t>Perhaps I am missing something, but I can’</w:t>
      </w:r>
      <w:r w:rsidR="00D67DED">
        <w:t>t find in EMIR article 9 who is the buyer / seller of an interest rate swap?</w:t>
      </w:r>
    </w:p>
    <w:permEnd w:id="155"/>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156F68" w:rsidP="00EC2C93">
      <w:pPr>
        <w:keepNext/>
      </w:pPr>
      <w:permStart w:id="156" w:edGrp="everyone"/>
      <w:r>
        <w:t xml:space="preserve">If buyer and seller </w:t>
      </w:r>
      <w:proofErr w:type="gramStart"/>
      <w:r>
        <w:t>agree ..</w:t>
      </w:r>
      <w:proofErr w:type="gramEnd"/>
      <w:r>
        <w:t xml:space="preserve"> </w:t>
      </w:r>
      <w:proofErr w:type="gramStart"/>
      <w:r>
        <w:t>can’t</w:t>
      </w:r>
      <w:proofErr w:type="gramEnd"/>
      <w:r>
        <w:t xml:space="preserve"> the buyer be allowed to publish the transaction?</w:t>
      </w:r>
    </w:p>
    <w:permEnd w:id="156"/>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217FF1" w:rsidRDefault="00D67DED" w:rsidP="00EC2C93">
      <w:pPr>
        <w:keepNext/>
      </w:pPr>
      <w:permStart w:id="157" w:edGrp="everyone"/>
      <w:r>
        <w:t>Yes</w:t>
      </w:r>
      <w:r w:rsidR="00217FF1">
        <w:t xml:space="preserve">. From a systematic risk perspective, it is worrying to see the pressure on CCPs to handle all trading venues. </w:t>
      </w:r>
    </w:p>
    <w:permEnd w:id="157"/>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217FF1" w:rsidP="00EC2C93">
      <w:pPr>
        <w:keepNext/>
      </w:pPr>
      <w:permStart w:id="158" w:edGrp="everyone"/>
      <w:r>
        <w:t>Yes, trading venues should be happy to accommodate CCPs. The only operational problem could be when CCPs need to make large amounts of transactions in case of a default of one of their members. You don’t want a trading venue to be owned by the defaulting clearing member.</w:t>
      </w:r>
    </w:p>
    <w:permEnd w:id="158"/>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217FF1" w:rsidP="00EC2C93">
      <w:pPr>
        <w:keepNext/>
      </w:pPr>
      <w:permStart w:id="159" w:edGrp="everyone"/>
      <w:r>
        <w:t>Yes.</w:t>
      </w:r>
    </w:p>
    <w:permEnd w:id="159"/>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lastRenderedPageBreak/>
        <w:t>&lt;ESMA_QUESTION_CP_MIFID_151&gt;</w:t>
      </w:r>
    </w:p>
    <w:p w:rsidR="00577C33" w:rsidRDefault="007A0952" w:rsidP="00EC2C93">
      <w:pPr>
        <w:keepNext/>
      </w:pPr>
      <w:permStart w:id="160" w:edGrp="everyone"/>
      <w:r>
        <w:t>Yes</w:t>
      </w:r>
    </w:p>
    <w:permEnd w:id="160"/>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7A0952" w:rsidP="00EC2C93">
      <w:pPr>
        <w:keepNext/>
      </w:pPr>
      <w:permStart w:id="161" w:edGrp="everyone"/>
      <w:r>
        <w:t>Yes. If access is not granted, where can the applicant escalate this?</w:t>
      </w:r>
    </w:p>
    <w:permEnd w:id="161"/>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7A0952" w:rsidP="00EC2C93">
      <w:pPr>
        <w:keepNext/>
      </w:pPr>
      <w:permStart w:id="162" w:edGrp="everyone"/>
      <w:r>
        <w:t>Yes. If the applicant feels that discriminatory fees are applied, where can the applicant escalate this?</w:t>
      </w:r>
    </w:p>
    <w:permEnd w:id="162"/>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0202F3" w:rsidP="00EC2C93">
      <w:pPr>
        <w:keepNext/>
      </w:pPr>
      <w:permStart w:id="163" w:edGrp="everyone"/>
      <w:r>
        <w:t>Yes. [</w:t>
      </w:r>
      <w:r w:rsidR="007A0952">
        <w:t xml:space="preserve">The RTS is said to appear in Annex </w:t>
      </w:r>
      <w:proofErr w:type="gramStart"/>
      <w:r w:rsidR="007A0952">
        <w:t>X ..</w:t>
      </w:r>
      <w:proofErr w:type="gramEnd"/>
      <w:r w:rsidR="007A0952">
        <w:t xml:space="preserve"> </w:t>
      </w:r>
      <w:r w:rsidR="00F70B89">
        <w:t xml:space="preserve">this </w:t>
      </w:r>
      <w:r>
        <w:t xml:space="preserve">presumably </w:t>
      </w:r>
      <w:r w:rsidR="00F70B89">
        <w:t>refers to draft RTS 24</w:t>
      </w:r>
      <w:r w:rsidR="007A0952">
        <w:t>.</w:t>
      </w:r>
    </w:p>
    <w:permEnd w:id="163"/>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0202F3" w:rsidP="00EC2C93">
      <w:pPr>
        <w:keepNext/>
      </w:pPr>
      <w:permStart w:id="164" w:edGrp="everyone"/>
      <w:r>
        <w:t xml:space="preserve">Yes. </w:t>
      </w:r>
      <w:r w:rsidR="00F70B89">
        <w:t>See reply to Q154</w:t>
      </w:r>
    </w:p>
    <w:permEnd w:id="164"/>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0202F3" w:rsidP="00EC2C93">
      <w:pPr>
        <w:keepNext/>
      </w:pPr>
      <w:permStart w:id="165" w:edGrp="everyone"/>
      <w:r>
        <w:t xml:space="preserve">Yes. </w:t>
      </w:r>
      <w:r w:rsidR="00F70B89">
        <w:t>See reply to Q154</w:t>
      </w:r>
    </w:p>
    <w:permEnd w:id="165"/>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F70B89" w:rsidP="00EC2C93">
      <w:pPr>
        <w:keepNext/>
      </w:pPr>
      <w:permStart w:id="166" w:edGrp="everyone"/>
      <w:r>
        <w:t xml:space="preserve">Good to see that </w:t>
      </w:r>
      <w:r w:rsidR="000202F3">
        <w:t xml:space="preserve">efforts are made to ensure that </w:t>
      </w:r>
      <w:r>
        <w:t>CCPs and trading venues have good access to the required information.</w:t>
      </w:r>
    </w:p>
    <w:permEnd w:id="166"/>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lastRenderedPageBreak/>
        <w:t>&lt;ESMA_QUESTION_CP_MIFID_158&gt;</w:t>
      </w:r>
    </w:p>
    <w:p w:rsidR="00577C33" w:rsidRDefault="000202F3" w:rsidP="00EC2C93">
      <w:pPr>
        <w:keepNext/>
      </w:pPr>
      <w:permStart w:id="167" w:edGrp="everyone"/>
      <w:r>
        <w:t>Yes</w:t>
      </w:r>
    </w:p>
    <w:permEnd w:id="167"/>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0202F3" w:rsidP="00EC2C93">
      <w:pPr>
        <w:keepNext/>
      </w:pPr>
      <w:permStart w:id="168" w:edGrp="everyone"/>
      <w:r>
        <w:t>Yes</w:t>
      </w:r>
      <w:bookmarkStart w:id="13" w:name="_GoBack"/>
      <w:bookmarkEnd w:id="13"/>
    </w:p>
    <w:permEnd w:id="168"/>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69" w:edGrp="everyone"/>
      <w:r>
        <w:t>TYPE YOUR TEXT HERE</w:t>
      </w:r>
    </w:p>
    <w:permEnd w:id="16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70" w:edGrp="everyone"/>
      <w:r>
        <w:t>TYPE YOUR TEXT HERE</w:t>
      </w:r>
    </w:p>
    <w:permEnd w:id="170"/>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71" w:edGrp="everyone"/>
      <w:r>
        <w:t>TYPE YOUR TEXT HERE</w:t>
      </w:r>
    </w:p>
    <w:permEnd w:id="171"/>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72" w:edGrp="everyone"/>
      <w:r>
        <w:t>TYPE YOUR TEXT HERE</w:t>
      </w:r>
    </w:p>
    <w:permEnd w:id="172"/>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73" w:edGrp="everyone"/>
      <w:r>
        <w:t>TYPE YOUR TEXT HERE</w:t>
      </w:r>
    </w:p>
    <w:permEnd w:id="173"/>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74" w:edGrp="everyone"/>
      <w:r>
        <w:t>TYPE YOUR TEXT HERE</w:t>
      </w:r>
    </w:p>
    <w:permEnd w:id="174"/>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75" w:edGrp="everyone"/>
      <w:r>
        <w:t>TYPE YOUR TEXT HERE</w:t>
      </w:r>
    </w:p>
    <w:permEnd w:id="175"/>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76" w:edGrp="everyone"/>
      <w:r>
        <w:t>TYPE YOUR TEXT HERE</w:t>
      </w:r>
    </w:p>
    <w:permEnd w:id="176"/>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77" w:edGrp="everyone"/>
      <w:r>
        <w:t>TYPE YOUR TEXT HERE</w:t>
      </w:r>
    </w:p>
    <w:permEnd w:id="177"/>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78" w:edGrp="everyone"/>
      <w:r>
        <w:t>TYPE YOUR TEXT HERE</w:t>
      </w:r>
    </w:p>
    <w:permEnd w:id="178"/>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79" w:edGrp="everyone"/>
      <w:r>
        <w:t>TYPE YOUR TEXT HERE</w:t>
      </w:r>
    </w:p>
    <w:permEnd w:id="179"/>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80" w:edGrp="everyone"/>
      <w:r>
        <w:t>TYPE YOUR TEXT HERE</w:t>
      </w:r>
    </w:p>
    <w:permEnd w:id="180"/>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81" w:edGrp="everyone"/>
      <w:r>
        <w:t>TYPE YOUR TEXT HERE</w:t>
      </w:r>
    </w:p>
    <w:permEnd w:id="181"/>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82" w:edGrp="everyone"/>
      <w:r>
        <w:t>TYPE YOUR TEXT HERE</w:t>
      </w:r>
    </w:p>
    <w:permEnd w:id="18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83" w:edGrp="everyone"/>
      <w:r>
        <w:t>TYPE YOUR TEXT HERE</w:t>
      </w:r>
    </w:p>
    <w:permEnd w:id="183"/>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84" w:edGrp="everyone"/>
      <w:r>
        <w:t>TYPE YOUR TEXT HERE</w:t>
      </w:r>
    </w:p>
    <w:permEnd w:id="184"/>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85" w:edGrp="everyone"/>
      <w:r>
        <w:t>TYPE YOUR TEXT HERE</w:t>
      </w:r>
    </w:p>
    <w:permEnd w:id="185"/>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86" w:edGrp="everyone"/>
      <w:r>
        <w:t>TYPE YOUR TEXT HERE</w:t>
      </w:r>
    </w:p>
    <w:permEnd w:id="186"/>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87" w:edGrp="everyone"/>
      <w:r>
        <w:t>TYPE YOUR TEXT HERE</w:t>
      </w:r>
    </w:p>
    <w:permEnd w:id="187"/>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88" w:edGrp="everyone"/>
      <w:r>
        <w:t>TYPE YOUR TEXT HERE</w:t>
      </w:r>
    </w:p>
    <w:permEnd w:id="188"/>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89" w:edGrp="everyone"/>
      <w:r>
        <w:t>TYPE YOUR TEXT HERE</w:t>
      </w:r>
    </w:p>
    <w:permEnd w:id="189"/>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90" w:edGrp="everyone"/>
      <w:r>
        <w:t>TYPE YOUR TEXT HERE</w:t>
      </w:r>
    </w:p>
    <w:permEnd w:id="19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91" w:edGrp="everyone"/>
      <w:r>
        <w:t>TYPE YOUR TEXT HERE</w:t>
      </w:r>
    </w:p>
    <w:permEnd w:id="191"/>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92" w:edGrp="everyone"/>
      <w:r>
        <w:t>TYPE YOUR TEXT HERE</w:t>
      </w:r>
    </w:p>
    <w:permEnd w:id="192"/>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93" w:edGrp="everyone"/>
      <w:r>
        <w:t>TYPE YOUR TEXT HERE</w:t>
      </w:r>
    </w:p>
    <w:permEnd w:id="193"/>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94" w:edGrp="everyone"/>
      <w:r>
        <w:t>TYPE YOUR TEXT HERE</w:t>
      </w:r>
    </w:p>
    <w:permEnd w:id="194"/>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95" w:edGrp="everyone"/>
      <w:r>
        <w:t>TYPE YOUR TEXT HERE</w:t>
      </w:r>
    </w:p>
    <w:permEnd w:id="195"/>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96" w:edGrp="everyone"/>
      <w:r>
        <w:t>TYPE YOUR TEXT HERE</w:t>
      </w:r>
    </w:p>
    <w:permEnd w:id="196"/>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197" w:edGrp="everyone"/>
      <w:r>
        <w:t>TYPE YOUR TEXT HERE</w:t>
      </w:r>
    </w:p>
    <w:permEnd w:id="197"/>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98" w:edGrp="everyone"/>
      <w:r>
        <w:t>TYPE YOUR TEXT HERE</w:t>
      </w:r>
    </w:p>
    <w:permEnd w:id="19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99" w:edGrp="everyone"/>
      <w:r>
        <w:t>TYPE YOUR TEXT HERE</w:t>
      </w:r>
    </w:p>
    <w:permEnd w:id="199"/>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200" w:edGrp="everyone"/>
      <w:r>
        <w:t>TYPE YOUR TEXT HERE</w:t>
      </w:r>
    </w:p>
    <w:permEnd w:id="200"/>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201" w:edGrp="everyone"/>
      <w:r>
        <w:t>TYPE YOUR TEXT HERE</w:t>
      </w:r>
    </w:p>
    <w:permEnd w:id="201"/>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202" w:edGrp="everyone"/>
      <w:r>
        <w:t>TYPE YOUR TEXT HERE</w:t>
      </w:r>
    </w:p>
    <w:permEnd w:id="202"/>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203" w:edGrp="everyone"/>
      <w:r>
        <w:t>TYPE YOUR TEXT HERE</w:t>
      </w:r>
    </w:p>
    <w:permEnd w:id="203"/>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204" w:edGrp="everyone"/>
      <w:r>
        <w:t>TYPE YOUR TEXT HERE</w:t>
      </w:r>
    </w:p>
    <w:permEnd w:id="204"/>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205" w:edGrp="everyone"/>
      <w:r>
        <w:t>TYPE YOUR TEXT HERE</w:t>
      </w:r>
    </w:p>
    <w:permEnd w:id="205"/>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206" w:edGrp="everyone"/>
      <w:r>
        <w:t>TYPE YOUR TEXT HERE</w:t>
      </w:r>
    </w:p>
    <w:permEnd w:id="206"/>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207" w:edGrp="everyone"/>
      <w:r>
        <w:t>TYPE YOUR TEXT HERE</w:t>
      </w:r>
    </w:p>
    <w:permEnd w:id="207"/>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208" w:edGrp="everyone"/>
      <w:r>
        <w:t>TYPE YOUR TEXT HERE</w:t>
      </w:r>
    </w:p>
    <w:permEnd w:id="208"/>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209" w:edGrp="everyone"/>
      <w:r>
        <w:t>TYPE YOUR TEXT HERE</w:t>
      </w:r>
    </w:p>
    <w:permEnd w:id="209"/>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210" w:edGrp="everyone"/>
      <w:r>
        <w:t>TYPE YOUR TEXT HERE</w:t>
      </w:r>
    </w:p>
    <w:permEnd w:id="210"/>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211" w:edGrp="everyone"/>
      <w:r>
        <w:t>TYPE YOUR TEXT HERE</w:t>
      </w:r>
    </w:p>
    <w:permEnd w:id="211"/>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212" w:edGrp="everyone"/>
      <w:r>
        <w:t>TYPE YOUR TEXT HERE</w:t>
      </w:r>
    </w:p>
    <w:permEnd w:id="212"/>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213" w:edGrp="everyone"/>
      <w:r>
        <w:t>TYPE YOUR TEXT HERE</w:t>
      </w:r>
    </w:p>
    <w:permEnd w:id="213"/>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214" w:edGrp="everyone"/>
      <w:r>
        <w:t>TYPE YOUR TEXT HERE</w:t>
      </w:r>
    </w:p>
    <w:permEnd w:id="214"/>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15" w:edGrp="everyone"/>
      <w:r>
        <w:t>TYPE YOUR TEXT HERE</w:t>
      </w:r>
    </w:p>
    <w:permEnd w:id="215"/>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216" w:edGrp="everyone"/>
      <w:r>
        <w:t>TYPE YOUR TEXT HERE</w:t>
      </w:r>
    </w:p>
    <w:permEnd w:id="216"/>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217" w:edGrp="everyone"/>
      <w:r>
        <w:t>TYPE YOUR TEXT HERE</w:t>
      </w:r>
    </w:p>
    <w:permEnd w:id="217"/>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218" w:edGrp="everyone"/>
      <w:r>
        <w:t>TYPE YOUR TEXT HERE</w:t>
      </w:r>
    </w:p>
    <w:permEnd w:id="218"/>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219" w:edGrp="everyone"/>
      <w:r>
        <w:t>TYPE YOUR TEXT HERE</w:t>
      </w:r>
    </w:p>
    <w:permEnd w:id="219"/>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220" w:edGrp="everyone"/>
      <w:r>
        <w:t>TYPE YOUR TEXT HERE</w:t>
      </w:r>
    </w:p>
    <w:permEnd w:id="220"/>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221" w:edGrp="everyone"/>
      <w:r>
        <w:t>TYPE YOUR TEXT HERE</w:t>
      </w:r>
    </w:p>
    <w:permEnd w:id="221"/>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DD696D" w:rsidRDefault="00DD696D" w:rsidP="00DD696D">
      <w:pPr>
        <w:spacing w:line="240" w:lineRule="auto"/>
      </w:pPr>
      <w:permStart w:id="222" w:edGrp="everyone"/>
      <w:r>
        <w:t xml:space="preserve">Organisations such as insurers that are regulated by EIOPA will need to supply data to regulators in XBRL format. So it is likely that such organisations will prefer XBRL over other formats, unless simple translation tools are made available (e.g. by ESMA) for any reporting they might need to do under </w:t>
      </w:r>
      <w:proofErr w:type="spellStart"/>
      <w:r>
        <w:t>MiFID</w:t>
      </w:r>
      <w:proofErr w:type="spellEnd"/>
      <w:r>
        <w:t>.</w:t>
      </w:r>
    </w:p>
    <w:permEnd w:id="222"/>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DD696D" w:rsidRDefault="00DD696D" w:rsidP="00DD696D">
      <w:pPr>
        <w:spacing w:line="240" w:lineRule="auto"/>
      </w:pPr>
      <w:permStart w:id="223" w:edGrp="everyone"/>
      <w:r>
        <w:t>No comment</w:t>
      </w:r>
    </w:p>
    <w:permEnd w:id="223"/>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DD696D" w:rsidRDefault="00DD696D" w:rsidP="00DD696D">
      <w:pPr>
        <w:spacing w:line="240" w:lineRule="auto"/>
      </w:pPr>
      <w:permStart w:id="224" w:edGrp="everyone"/>
      <w:r>
        <w:t>No comment</w:t>
      </w:r>
    </w:p>
    <w:permEnd w:id="224"/>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DD696D" w:rsidRDefault="00DD696D" w:rsidP="00DD696D">
      <w:pPr>
        <w:spacing w:line="240" w:lineRule="auto"/>
      </w:pPr>
      <w:permStart w:id="225" w:edGrp="everyone"/>
      <w:r>
        <w:t>No comment</w:t>
      </w:r>
    </w:p>
    <w:permEnd w:id="225"/>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DD696D" w:rsidRDefault="00DD696D" w:rsidP="00DD696D">
      <w:pPr>
        <w:spacing w:line="240" w:lineRule="auto"/>
      </w:pPr>
      <w:permStart w:id="226" w:edGrp="everyone"/>
      <w:r>
        <w:t>The proposal seems sensible, as long as the meaning of a ‘blank’ entry in a given field is well-defined.</w:t>
      </w:r>
    </w:p>
    <w:permEnd w:id="226"/>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DD696D" w:rsidP="00EC2C93">
      <w:pPr>
        <w:keepNext/>
      </w:pPr>
      <w:permStart w:id="227" w:edGrp="everyone"/>
      <w:r>
        <w:t>As noted to our answer to Q217 it is desirable that the meaning of all entries is clear, especially the meaning of ‘blanks’. It would also be helpful if ESMA provided validation schema that allowed automated means of checking that entries that needed to be present were present</w:t>
      </w:r>
      <w:proofErr w:type="gramStart"/>
      <w:r>
        <w:t>.</w:t>
      </w:r>
      <w:permEnd w:id="227"/>
      <w:r w:rsidR="00577C33">
        <w:t>&lt;</w:t>
      </w:r>
      <w:proofErr w:type="gramEnd"/>
      <w:r w:rsidR="00577C33">
        <w: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DD696D" w:rsidRDefault="00DD696D" w:rsidP="00DD696D">
      <w:pPr>
        <w:spacing w:line="240" w:lineRule="auto"/>
      </w:pPr>
      <w:permStart w:id="228" w:edGrp="everyone"/>
      <w:r>
        <w:t>This refinement seems sensible to us.</w:t>
      </w:r>
    </w:p>
    <w:permEnd w:id="228"/>
    <w:p w:rsidR="00577C33" w:rsidRDefault="00577C33" w:rsidP="00EC2C93">
      <w:pPr>
        <w:keepNext/>
      </w:pPr>
      <w:r>
        <w:lastRenderedPageBreak/>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t>&lt;ESMA_QUESTION_CP_MIFID_220&gt;</w:t>
      </w:r>
    </w:p>
    <w:p w:rsidR="00577C33" w:rsidRDefault="00577C33" w:rsidP="00EC2C93">
      <w:pPr>
        <w:keepNext/>
      </w:pPr>
      <w:permStart w:id="229" w:edGrp="everyone"/>
      <w:r>
        <w:t>TYPE YOUR TEXT HERE</w:t>
      </w:r>
    </w:p>
    <w:permEnd w:id="229"/>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DD696D" w:rsidRPr="000C1F9C" w:rsidRDefault="00DD696D" w:rsidP="00DD696D">
      <w:pPr>
        <w:spacing w:line="240" w:lineRule="auto"/>
      </w:pPr>
      <w:permStart w:id="230" w:edGrp="everyone"/>
      <w:r>
        <w:t>The approach seems sensible</w:t>
      </w:r>
    </w:p>
    <w:permEnd w:id="23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DD696D" w:rsidRDefault="00DD696D" w:rsidP="00DD696D">
      <w:pPr>
        <w:spacing w:line="240" w:lineRule="auto"/>
      </w:pPr>
      <w:permStart w:id="231" w:edGrp="everyone"/>
      <w:r>
        <w:t>The text here seems to assume that all reportable instruments will have an ISIN. The text just before Q238 indicates that ESMA does not in general believe that this will be the case, so some refinement perhaps along the lines suggested there, may be needed.</w:t>
      </w:r>
    </w:p>
    <w:permEnd w:id="231"/>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DD696D" w:rsidRDefault="00DD696D" w:rsidP="00DD696D">
      <w:pPr>
        <w:spacing w:line="240" w:lineRule="auto"/>
      </w:pPr>
      <w:permStart w:id="232" w:edGrp="everyone"/>
      <w:r>
        <w:t>No comment</w:t>
      </w:r>
    </w:p>
    <w:permEnd w:id="232"/>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DD696D" w:rsidRDefault="00DD696D" w:rsidP="00DD696D">
      <w:pPr>
        <w:spacing w:line="240" w:lineRule="auto"/>
      </w:pPr>
      <w:permStart w:id="233" w:edGrp="everyone"/>
      <w:r>
        <w:t xml:space="preserve">Will all non-individuals have LEIs? In particular will entities that may not be </w:t>
      </w:r>
      <w:proofErr w:type="spellStart"/>
      <w:r>
        <w:t>corporates</w:t>
      </w:r>
      <w:proofErr w:type="spellEnd"/>
      <w:r>
        <w:t xml:space="preserve"> such as charities and some IORPs always have </w:t>
      </w:r>
      <w:proofErr w:type="gramStart"/>
      <w:r>
        <w:t>an LEI</w:t>
      </w:r>
      <w:proofErr w:type="gramEnd"/>
      <w:r>
        <w:t>?</w:t>
      </w:r>
    </w:p>
    <w:permEnd w:id="233"/>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lastRenderedPageBreak/>
        <w:t>&lt;ESMA_QUESTION_CP_MIFID_225&gt;</w:t>
      </w:r>
    </w:p>
    <w:p w:rsidR="00577C33" w:rsidRDefault="00B046BB" w:rsidP="00EC2C93">
      <w:pPr>
        <w:keepNext/>
      </w:pPr>
      <w:permStart w:id="234" w:edGrp="everyone"/>
      <w:r>
        <w:t xml:space="preserve">We agree that it seems sensible to require the replacement of a previously reported transaction to include a reported cancellation of the original transaction (as well as a reported replacement transaction), so that basic accounting principles are respected by the transaction reports. However, are there any other circumstances, not involving inaccurate transactional data, which it would be desirable to treat in a similar manner? For example, we note that 8.2.13 says that “ESMA … confirms that CAs </w:t>
      </w:r>
      <w:proofErr w:type="gramStart"/>
      <w:r>
        <w:t>are</w:t>
      </w:r>
      <w:proofErr w:type="gramEnd"/>
      <w:r>
        <w:t xml:space="preserve"> not interested in receiving any transactions that arise solely and exclusively for clearing and/or settlement purposes.” However, what is the position in relation to the transfer of assets that arises if a CDS is physically settled</w:t>
      </w:r>
      <w:proofErr w:type="gramStart"/>
      <w:r>
        <w:t>?</w:t>
      </w:r>
      <w:permEnd w:id="234"/>
      <w:r w:rsidR="00577C33">
        <w:t>&lt;</w:t>
      </w:r>
      <w:proofErr w:type="gramEnd"/>
      <w:r w:rsidR="00577C33">
        <w: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B046BB" w:rsidRDefault="00B046BB" w:rsidP="00B046BB">
      <w:pPr>
        <w:spacing w:line="240" w:lineRule="auto"/>
      </w:pPr>
      <w:permStart w:id="235" w:edGrp="everyone"/>
      <w:r>
        <w:t>No comment</w:t>
      </w:r>
    </w:p>
    <w:permEnd w:id="235"/>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B046BB" w:rsidRDefault="00B046BB" w:rsidP="00B046BB">
      <w:pPr>
        <w:spacing w:line="240" w:lineRule="auto"/>
      </w:pPr>
      <w:permStart w:id="236" w:edGrp="everyone"/>
      <w:r>
        <w:t>No comment</w:t>
      </w:r>
    </w:p>
    <w:permEnd w:id="236"/>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B046BB" w:rsidRDefault="00B046BB" w:rsidP="00B046BB">
      <w:pPr>
        <w:spacing w:line="240" w:lineRule="auto"/>
      </w:pPr>
      <w:permStart w:id="237" w:edGrp="everyone"/>
      <w:r>
        <w:t>No comment</w:t>
      </w:r>
    </w:p>
    <w:permEnd w:id="237"/>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B046BB" w:rsidRDefault="00B046BB" w:rsidP="00B046BB">
      <w:pPr>
        <w:spacing w:line="240" w:lineRule="auto"/>
      </w:pPr>
      <w:permStart w:id="238" w:edGrp="everyone"/>
      <w:r>
        <w:t>No comment</w:t>
      </w:r>
    </w:p>
    <w:permEnd w:id="238"/>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B046BB" w:rsidRDefault="00B046BB" w:rsidP="00B046BB">
      <w:pPr>
        <w:spacing w:line="240" w:lineRule="auto"/>
      </w:pPr>
      <w:permStart w:id="239" w:edGrp="everyone"/>
      <w:r>
        <w:t>No comment</w:t>
      </w:r>
    </w:p>
    <w:permEnd w:id="23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B046BB" w:rsidRDefault="00B046BB" w:rsidP="00B046BB">
      <w:pPr>
        <w:spacing w:line="240" w:lineRule="auto"/>
      </w:pPr>
      <w:permStart w:id="240" w:edGrp="everyone"/>
      <w:r>
        <w:t>No comment</w:t>
      </w:r>
    </w:p>
    <w:permEnd w:id="240"/>
    <w:p w:rsidR="00577C33" w:rsidRDefault="00577C33" w:rsidP="00EC2C93">
      <w:pPr>
        <w:keepNext/>
      </w:pPr>
      <w:r>
        <w:lastRenderedPageBreak/>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B046BB" w:rsidRDefault="00B046BB" w:rsidP="00B046BB">
      <w:pPr>
        <w:spacing w:line="240" w:lineRule="auto"/>
      </w:pPr>
      <w:permStart w:id="241" w:edGrp="everyone"/>
      <w:r>
        <w:t>No comment</w:t>
      </w:r>
    </w:p>
    <w:permEnd w:id="24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B046BB" w:rsidRDefault="00B046BB" w:rsidP="00B046BB">
      <w:pPr>
        <w:spacing w:line="240" w:lineRule="auto"/>
      </w:pPr>
      <w:permStart w:id="242" w:edGrp="everyone"/>
      <w:r>
        <w:t xml:space="preserve">These criteria seem sensible. </w:t>
      </w:r>
    </w:p>
    <w:permEnd w:id="242"/>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8D7602" w:rsidRDefault="008D7602" w:rsidP="008D7602">
      <w:pPr>
        <w:spacing w:line="240" w:lineRule="auto"/>
      </w:pPr>
      <w:permStart w:id="243" w:edGrp="everyone"/>
      <w:r>
        <w:t>No comment</w:t>
      </w:r>
    </w:p>
    <w:permEnd w:id="243"/>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8D7602" w:rsidRDefault="008D7602" w:rsidP="008D7602">
      <w:pPr>
        <w:spacing w:line="240" w:lineRule="auto"/>
      </w:pPr>
      <w:permStart w:id="244" w:edGrp="everyone"/>
      <w:r>
        <w:t>No comment</w:t>
      </w:r>
    </w:p>
    <w:permEnd w:id="244"/>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8D7602" w:rsidRDefault="008D7602" w:rsidP="008D7602">
      <w:pPr>
        <w:spacing w:line="240" w:lineRule="auto"/>
      </w:pPr>
      <w:permStart w:id="245" w:edGrp="everyone"/>
      <w:r>
        <w:t xml:space="preserve">This seems a sensible compromise. </w:t>
      </w:r>
    </w:p>
    <w:permEnd w:id="245"/>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8D7602" w:rsidRDefault="008D7602" w:rsidP="008D7602">
      <w:pPr>
        <w:spacing w:line="240" w:lineRule="auto"/>
      </w:pPr>
      <w:permStart w:id="246" w:edGrp="everyone"/>
      <w:r>
        <w:t>This seems appropriate.</w:t>
      </w:r>
    </w:p>
    <w:permEnd w:id="246"/>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8D7602" w:rsidRDefault="008D7602" w:rsidP="008D7602">
      <w:pPr>
        <w:spacing w:line="240" w:lineRule="auto"/>
      </w:pPr>
      <w:permStart w:id="247" w:edGrp="everyone"/>
      <w:r>
        <w:t xml:space="preserve">The proposed approach seems sensible.  </w:t>
      </w:r>
    </w:p>
    <w:permEnd w:id="247"/>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248" w:edGrp="everyone"/>
      <w:r>
        <w:t>TYPE YOUR TEXT HERE</w:t>
      </w:r>
    </w:p>
    <w:permEnd w:id="248"/>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249" w:edGrp="everyone"/>
      <w:r>
        <w:t>TYPE YOUR TEXT HERE</w:t>
      </w:r>
    </w:p>
    <w:permEnd w:id="249"/>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250" w:edGrp="everyone"/>
      <w:r>
        <w:t>TYPE YOUR TEXT HERE</w:t>
      </w:r>
    </w:p>
    <w:permEnd w:id="250"/>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251" w:edGrp="everyone"/>
      <w:r>
        <w:t>TYPE YOUR TEXT HERE</w:t>
      </w:r>
    </w:p>
    <w:permEnd w:id="251"/>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252" w:edGrp="everyone"/>
      <w:r>
        <w:t>TYPE YOUR TEXT HERE</w:t>
      </w:r>
    </w:p>
    <w:permEnd w:id="252"/>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253" w:edGrp="everyone"/>
      <w:r>
        <w:t>TYPE YOUR TEXT HERE</w:t>
      </w:r>
    </w:p>
    <w:permEnd w:id="253"/>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254" w:edGrp="everyone"/>
      <w:r>
        <w:t>TYPE YOUR TEXT HERE</w:t>
      </w:r>
    </w:p>
    <w:permEnd w:id="254"/>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00D" w:rsidRDefault="0072600D" w:rsidP="007E7997">
      <w:pPr>
        <w:spacing w:line="240" w:lineRule="auto"/>
      </w:pPr>
      <w:r>
        <w:separator/>
      </w:r>
    </w:p>
  </w:endnote>
  <w:endnote w:type="continuationSeparator" w:id="0">
    <w:p w:rsidR="0072600D" w:rsidRDefault="0072600D" w:rsidP="007E79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5F" w:rsidRDefault="005C215F">
    <w:pPr>
      <w:pStyle w:val="Fuzeile"/>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814451"/>
      <w:docPartObj>
        <w:docPartGallery w:val="Page Numbers (Bottom of Page)"/>
        <w:docPartUnique/>
      </w:docPartObj>
    </w:sdtPr>
    <w:sdtEndPr>
      <w:rPr>
        <w:noProof/>
      </w:rPr>
    </w:sdtEndPr>
    <w:sdtContent>
      <w:p w:rsidR="005C215F" w:rsidRDefault="005C215F" w:rsidP="00375BA2">
        <w:pPr>
          <w:pStyle w:val="Fuzeile"/>
          <w:jc w:val="right"/>
        </w:pPr>
        <w:fldSimple w:instr=" PAGE   \* MERGEFORMAT ">
          <w:r w:rsidR="00236E98">
            <w:rPr>
              <w:noProof/>
            </w:rPr>
            <w:t>48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00D" w:rsidRDefault="0072600D" w:rsidP="007E7997">
      <w:pPr>
        <w:spacing w:line="240" w:lineRule="auto"/>
      </w:pPr>
      <w:r>
        <w:separator/>
      </w:r>
    </w:p>
  </w:footnote>
  <w:footnote w:type="continuationSeparator" w:id="0">
    <w:p w:rsidR="0072600D" w:rsidRDefault="0072600D" w:rsidP="007E7997">
      <w:pPr>
        <w:spacing w:line="240" w:lineRule="auto"/>
      </w:pPr>
      <w:r>
        <w:continuationSeparator/>
      </w:r>
    </w:p>
  </w:footnote>
  <w:footnote w:id="1">
    <w:p w:rsidR="005C215F" w:rsidRPr="00AA7A30" w:rsidRDefault="005C215F" w:rsidP="000632C2">
      <w:pPr>
        <w:pStyle w:val="Funotentext"/>
        <w:rPr>
          <w:rFonts w:ascii="Arial" w:hAnsi="Arial" w:cs="Arial"/>
        </w:rPr>
      </w:pPr>
      <w:r w:rsidRPr="00AA7A30">
        <w:rPr>
          <w:rStyle w:val="Funotenzeichen"/>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5F" w:rsidRDefault="005C215F">
    <w:pPr>
      <w:pStyle w:val="Kopfzeile"/>
    </w:pPr>
    <w:r>
      <w:rPr>
        <w:noProof/>
        <w:lang w:val="de-AT" w:eastAsia="de-AT"/>
      </w:rPr>
      <w:drawing>
        <wp:anchor distT="0" distB="0" distL="114300" distR="114300" simplePos="0" relativeHeight="251661312" behindDoc="0" locked="0" layoutInCell="1" allowOverlap="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pic:spPr>
              </pic:pic>
            </a:graphicData>
          </a:graphic>
        </wp:anchor>
      </w:drawing>
    </w:r>
    <w:r>
      <w:rPr>
        <w:noProof/>
        <w:lang w:val="de-AT" w:eastAsia="de-AT"/>
      </w:rPr>
      <w:drawing>
        <wp:anchor distT="0" distB="0" distL="114300" distR="114300" simplePos="0" relativeHeight="251659264" behindDoc="1" locked="0" layoutInCell="1" allowOverlap="1">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5F" w:rsidRDefault="005C215F" w:rsidP="00B50534">
    <w:pPr>
      <w:pStyle w:val="Kopfzeile"/>
      <w:jc w:val="right"/>
      <w:rPr>
        <w:b/>
        <w:color w:val="FF0000"/>
      </w:rPr>
    </w:pPr>
  </w:p>
  <w:p w:rsidR="005C215F" w:rsidRDefault="005C215F" w:rsidP="00B50534">
    <w:pPr>
      <w:pStyle w:val="Kopfzeile"/>
      <w:jc w:val="right"/>
      <w:rPr>
        <w:b/>
        <w:color w:val="FF0000"/>
      </w:rPr>
    </w:pPr>
    <w:r w:rsidRPr="003559F0">
      <w:rPr>
        <w:rFonts w:ascii="Arial" w:hAnsi="Arial" w:cs="Arial"/>
        <w:noProof/>
        <w:lang w:val="nl-NL" w:eastAsia="nl-NL"/>
      </w:rPr>
      <w:pict>
        <v:line id="Line 16" o:spid="_x0000_s4097" style="position:absolute;left:0;text-align:left;z-index:251672576;visibility:visible;mso-position-horizontal-relative:page;mso-position-vertical-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w:r>
  </w:p>
  <w:p w:rsidR="005C215F" w:rsidRPr="00B50534" w:rsidRDefault="005C215F" w:rsidP="00B50534">
    <w:pPr>
      <w:pStyle w:val="Kopfzeile"/>
      <w:jc w:val="right"/>
      <w:rPr>
        <w:b/>
        <w:color w:val="FF0000"/>
      </w:rPr>
    </w:pPr>
    <w:r w:rsidRPr="0038331A">
      <w:rPr>
        <w:b/>
        <w:noProof/>
        <w:color w:val="FF0000"/>
        <w:sz w:val="20"/>
        <w:lang w:val="de-AT" w:eastAsia="de-AT"/>
      </w:rPr>
      <w:drawing>
        <wp:anchor distT="0" distB="0" distL="114300" distR="114300" simplePos="0" relativeHeight="251668480" behindDoc="0" locked="0" layoutInCell="1" allowOverlap="1">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enabsatz"/>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seFELayout/>
  </w:compat>
  <w:rsids>
    <w:rsidRoot w:val="00C212A5"/>
    <w:rsid w:val="00012D68"/>
    <w:rsid w:val="000202F3"/>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56F68"/>
    <w:rsid w:val="0017613C"/>
    <w:rsid w:val="00192A12"/>
    <w:rsid w:val="001B2151"/>
    <w:rsid w:val="001B3CFF"/>
    <w:rsid w:val="001B4996"/>
    <w:rsid w:val="001D47A5"/>
    <w:rsid w:val="001F0813"/>
    <w:rsid w:val="001F3D9D"/>
    <w:rsid w:val="00217FF1"/>
    <w:rsid w:val="00236E98"/>
    <w:rsid w:val="002574D1"/>
    <w:rsid w:val="00287C8F"/>
    <w:rsid w:val="00296EA1"/>
    <w:rsid w:val="002E1C11"/>
    <w:rsid w:val="00314117"/>
    <w:rsid w:val="00317EDF"/>
    <w:rsid w:val="003279E7"/>
    <w:rsid w:val="0033324D"/>
    <w:rsid w:val="003454ED"/>
    <w:rsid w:val="003559F0"/>
    <w:rsid w:val="00366D42"/>
    <w:rsid w:val="00375BA2"/>
    <w:rsid w:val="0038331A"/>
    <w:rsid w:val="003C4EB5"/>
    <w:rsid w:val="003C5463"/>
    <w:rsid w:val="003F39B1"/>
    <w:rsid w:val="00435FE9"/>
    <w:rsid w:val="00445696"/>
    <w:rsid w:val="00455213"/>
    <w:rsid w:val="00484BC5"/>
    <w:rsid w:val="00486D05"/>
    <w:rsid w:val="00487944"/>
    <w:rsid w:val="00526E5D"/>
    <w:rsid w:val="00565193"/>
    <w:rsid w:val="0057799E"/>
    <w:rsid w:val="00577C33"/>
    <w:rsid w:val="0059703C"/>
    <w:rsid w:val="005B6B12"/>
    <w:rsid w:val="005C215F"/>
    <w:rsid w:val="005D2DE7"/>
    <w:rsid w:val="005E7969"/>
    <w:rsid w:val="0063565E"/>
    <w:rsid w:val="006357D5"/>
    <w:rsid w:val="00636E02"/>
    <w:rsid w:val="00642297"/>
    <w:rsid w:val="00644A34"/>
    <w:rsid w:val="00662882"/>
    <w:rsid w:val="00665A7C"/>
    <w:rsid w:val="00671363"/>
    <w:rsid w:val="006A7A10"/>
    <w:rsid w:val="006B0DA4"/>
    <w:rsid w:val="006B1B6B"/>
    <w:rsid w:val="006D48A6"/>
    <w:rsid w:val="006F53E8"/>
    <w:rsid w:val="00706072"/>
    <w:rsid w:val="0072600D"/>
    <w:rsid w:val="00744116"/>
    <w:rsid w:val="00754B57"/>
    <w:rsid w:val="00777B85"/>
    <w:rsid w:val="00797E0C"/>
    <w:rsid w:val="007A0952"/>
    <w:rsid w:val="007E7997"/>
    <w:rsid w:val="00830D00"/>
    <w:rsid w:val="00846692"/>
    <w:rsid w:val="00867DB2"/>
    <w:rsid w:val="00885B11"/>
    <w:rsid w:val="0089075A"/>
    <w:rsid w:val="008C767A"/>
    <w:rsid w:val="008D5C28"/>
    <w:rsid w:val="008D7602"/>
    <w:rsid w:val="009243C8"/>
    <w:rsid w:val="00932F98"/>
    <w:rsid w:val="00940EFD"/>
    <w:rsid w:val="009663D9"/>
    <w:rsid w:val="0099526D"/>
    <w:rsid w:val="009C7694"/>
    <w:rsid w:val="009D7294"/>
    <w:rsid w:val="009E5107"/>
    <w:rsid w:val="00A000B4"/>
    <w:rsid w:val="00A026A4"/>
    <w:rsid w:val="00A410CC"/>
    <w:rsid w:val="00A42B43"/>
    <w:rsid w:val="00A501F5"/>
    <w:rsid w:val="00A53AF0"/>
    <w:rsid w:val="00A800EF"/>
    <w:rsid w:val="00A91D91"/>
    <w:rsid w:val="00AA054E"/>
    <w:rsid w:val="00AB7542"/>
    <w:rsid w:val="00AC79E0"/>
    <w:rsid w:val="00AE4FC7"/>
    <w:rsid w:val="00AE6C93"/>
    <w:rsid w:val="00AF3B7F"/>
    <w:rsid w:val="00AF50B9"/>
    <w:rsid w:val="00B04283"/>
    <w:rsid w:val="00B046BB"/>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67DED"/>
    <w:rsid w:val="00D73338"/>
    <w:rsid w:val="00D978C6"/>
    <w:rsid w:val="00DD696D"/>
    <w:rsid w:val="00DF1ED8"/>
    <w:rsid w:val="00DF3785"/>
    <w:rsid w:val="00E24D42"/>
    <w:rsid w:val="00E3456B"/>
    <w:rsid w:val="00E640E2"/>
    <w:rsid w:val="00EA2103"/>
    <w:rsid w:val="00EC2C93"/>
    <w:rsid w:val="00EC6BD8"/>
    <w:rsid w:val="00ED74D7"/>
    <w:rsid w:val="00EE508B"/>
    <w:rsid w:val="00EF667D"/>
    <w:rsid w:val="00F226E0"/>
    <w:rsid w:val="00F33D72"/>
    <w:rsid w:val="00F401BC"/>
    <w:rsid w:val="00F53CBE"/>
    <w:rsid w:val="00F5412D"/>
    <w:rsid w:val="00F67EBD"/>
    <w:rsid w:val="00F70B89"/>
    <w:rsid w:val="00F80FAB"/>
    <w:rsid w:val="00F833F8"/>
    <w:rsid w:val="00FB24ED"/>
    <w:rsid w:val="00FE0BD8"/>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Anfhrungszeichen">
    <w:name w:val="Quote"/>
    <w:basedOn w:val="Standard"/>
    <w:next w:val="Standard"/>
    <w:link w:val="AnfhrungszeichenZchn"/>
    <w:uiPriority w:val="29"/>
    <w:qFormat/>
    <w:rsid w:val="00AA054E"/>
    <w:pPr>
      <w:spacing w:before="160"/>
      <w:ind w:left="720" w:right="720"/>
    </w:pPr>
    <w:rPr>
      <w:i/>
      <w:iCs/>
      <w:color w:val="404040" w:themeColor="text1" w:themeTint="BF"/>
    </w:rPr>
  </w:style>
  <w:style w:type="character" w:customStyle="1" w:styleId="AnfhrungszeichenZchn">
    <w:name w:val="Anführungszeichen Zchn"/>
    <w:basedOn w:val="Absatz-Standardschriftart"/>
    <w:link w:val="Anfhrungszeichen"/>
    <w:uiPriority w:val="29"/>
    <w:rsid w:val="00AA054E"/>
    <w:rPr>
      <w:i/>
      <w:iCs/>
      <w:color w:val="404040" w:themeColor="text1" w:themeTint="BF"/>
    </w:rPr>
  </w:style>
  <w:style w:type="paragraph" w:styleId="IntensivesAnfhrungszeichen">
    <w:name w:val="Intense Quote"/>
    <w:basedOn w:val="Standard"/>
    <w:next w:val="Standard"/>
    <w:link w:val="IntensivesAnfhrungszeichen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AnfhrungszeichenZchn">
    <w:name w:val="Intensives Anführungszeichen Zchn"/>
    <w:basedOn w:val="Absatz-Standardschriftart"/>
    <w:link w:val="IntensivesAnfhrungszeichen"/>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gitternetz">
    <w:name w:val="Table Grid"/>
    <w:basedOn w:val="NormaleTabelle"/>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Rastertabel4-Accent11">
    <w:name w:val="Rastertabel 4 - Accent 11"/>
    <w:basedOn w:val="NormaleTabelle"/>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r="http://schemas.openxmlformats.org/officeDocument/2006/relationships" xmlns:w="http://schemas.openxmlformats.org/wordprocessingml/2006/main">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8ABC9-3B8D-4219-97C6-DB6859F1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0</TotalTime>
  <Pages>1</Pages>
  <Words>11074</Words>
  <Characters>69771</Characters>
  <Application>Microsoft Office Word</Application>
  <DocSecurity>8</DocSecurity>
  <Lines>581</Lines>
  <Paragraphs>161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krischanitz</cp:lastModifiedBy>
  <cp:revision>4</cp:revision>
  <dcterms:created xsi:type="dcterms:W3CDTF">2015-03-01T21:31:00Z</dcterms:created>
  <dcterms:modified xsi:type="dcterms:W3CDTF">2015-03-02T06:42:00Z</dcterms:modified>
</cp:coreProperties>
</file>