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616B9B" w:rsidTr="00315E96">
        <w:trPr>
          <w:trHeight w:val="284"/>
        </w:trPr>
        <w:tc>
          <w:tcPr>
            <w:tcW w:w="9412" w:type="dxa"/>
          </w:tcPr>
          <w:p w:rsidR="00C2094B" w:rsidRPr="00616B9B" w:rsidRDefault="004E50B1" w:rsidP="00A35728">
            <w:pPr>
              <w:pStyle w:val="00bDBInfo"/>
              <w:rPr>
                <w:rFonts w:ascii="Arial" w:hAnsi="Arial" w:cs="Arial"/>
              </w:rPr>
            </w:pPr>
            <w:r>
              <w:rPr>
                <w:rFonts w:ascii="Arial" w:hAnsi="Arial" w:cs="Arial"/>
              </w:rPr>
              <w:t>18</w:t>
            </w:r>
            <w:r w:rsidR="0003647C">
              <w:rPr>
                <w:rFonts w:ascii="Arial" w:hAnsi="Arial" w:cs="Arial"/>
              </w:rPr>
              <w:t xml:space="preserve"> December</w:t>
            </w:r>
            <w:r w:rsidR="00ED351E" w:rsidRPr="0003647C">
              <w:rPr>
                <w:rFonts w:ascii="Arial" w:hAnsi="Arial" w:cs="Arial"/>
              </w:rPr>
              <w:t xml:space="preserve"> </w:t>
            </w:r>
            <w:r w:rsidR="006F4B04" w:rsidRPr="0003647C">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08786F"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w:t>
            </w:r>
            <w:r w:rsidR="0008786F">
              <w:rPr>
                <w:rFonts w:ascii="Arial" w:hAnsi="Arial" w:cs="Arial"/>
              </w:rPr>
              <w:t xml:space="preserve">the </w:t>
            </w:r>
          </w:p>
          <w:p w:rsidR="00791EB4" w:rsidRPr="00616B9B" w:rsidRDefault="00702163" w:rsidP="00702163">
            <w:pPr>
              <w:pStyle w:val="01aDBTitle"/>
              <w:rPr>
                <w:rFonts w:ascii="Arial" w:hAnsi="Arial" w:cs="Arial"/>
              </w:rPr>
            </w:pPr>
            <w:r w:rsidRPr="00702163">
              <w:rPr>
                <w:rFonts w:ascii="Arial" w:hAnsi="Arial" w:cs="Arial"/>
              </w:rPr>
              <w:t>Guidelines on the Access to a CCP or a Trading Venue by a CSD</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616B9B" w:rsidRDefault="00620D7C" w:rsidP="0003647C">
            <w:pPr>
              <w:pStyle w:val="02Date"/>
              <w:rPr>
                <w:rFonts w:ascii="Arial" w:hAnsi="Arial" w:cs="Arial"/>
              </w:rPr>
            </w:pPr>
            <w:r w:rsidRPr="0003647C">
              <w:rPr>
                <w:rFonts w:ascii="Arial" w:hAnsi="Arial" w:cs="Arial"/>
              </w:rPr>
              <w:lastRenderedPageBreak/>
              <w:t xml:space="preserve">Date: </w:t>
            </w:r>
            <w:r w:rsidR="004E50B1">
              <w:rPr>
                <w:rFonts w:ascii="Arial" w:hAnsi="Arial" w:cs="Arial"/>
              </w:rPr>
              <w:t>18</w:t>
            </w:r>
            <w:r w:rsidR="0003647C" w:rsidRPr="0003647C">
              <w:rPr>
                <w:rFonts w:ascii="Arial" w:hAnsi="Arial" w:cs="Arial"/>
              </w:rPr>
              <w:t xml:space="preserve"> December</w:t>
            </w:r>
            <w:r w:rsidR="002B354F" w:rsidRPr="0003647C">
              <w:rPr>
                <w:rFonts w:ascii="Arial" w:hAnsi="Arial" w:cs="Arial"/>
              </w:rPr>
              <w:t xml:space="preserve"> </w:t>
            </w:r>
            <w:r w:rsidR="00486C17" w:rsidRPr="0003647C">
              <w:rPr>
                <w:rFonts w:ascii="Arial" w:hAnsi="Arial" w:cs="Arial"/>
              </w:rPr>
              <w:t>201</w:t>
            </w:r>
            <w:r w:rsidR="006F57F2" w:rsidRPr="0003647C">
              <w:rPr>
                <w:rFonts w:ascii="Arial" w:hAnsi="Arial" w:cs="Arial"/>
              </w:rPr>
              <w:t>4</w:t>
            </w:r>
          </w:p>
        </w:tc>
      </w:tr>
    </w:tbl>
    <w:p w:rsidR="0088244C" w:rsidRPr="00616B9B" w:rsidRDefault="0088244C" w:rsidP="00F574D0">
      <w:pPr>
        <w:pStyle w:val="05HeadlinenoIndex"/>
        <w:rPr>
          <w:rFonts w:ascii="Arial" w:hAnsi="Arial" w:cs="Arial"/>
        </w:rPr>
      </w:pPr>
      <w:bookmarkStart w:id="0"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 xml:space="preserve">Consultation Paper - </w:t>
      </w:r>
      <w:r w:rsidR="00650FC2" w:rsidRPr="00650FC2">
        <w:rPr>
          <w:rFonts w:ascii="Arial" w:hAnsi="Arial" w:cs="Arial"/>
        </w:rPr>
        <w:t>Guidelines on the Access to a CCP or a Trading Venue by a CSD</w:t>
      </w:r>
      <w:r w:rsidR="00015B5E" w:rsidRPr="00616B9B">
        <w:rPr>
          <w:rFonts w:ascii="Arial" w:hAnsi="Arial" w:cs="Arial"/>
        </w:rPr>
        <w:t>, published on the ESMA website</w:t>
      </w:r>
      <w:r w:rsidR="005A150A" w:rsidRPr="00616B9B">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576AB8">
        <w:rPr>
          <w:rFonts w:ascii="Arial" w:hAnsi="Arial" w:cs="Arial"/>
        </w:rPr>
        <w:t>GUID_CSDR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650FC2" w:rsidP="000D17AA">
      <w:pPr>
        <w:pStyle w:val="04BodyText"/>
        <w:spacing w:before="120" w:after="120"/>
        <w:jc w:val="left"/>
        <w:rPr>
          <w:rFonts w:ascii="Arial" w:hAnsi="Arial" w:cs="Arial"/>
        </w:rPr>
      </w:pPr>
      <w:r>
        <w:rPr>
          <w:rFonts w:ascii="Arial" w:hAnsi="Arial" w:cs="Arial"/>
        </w:rPr>
        <w:t>ESMA_</w:t>
      </w:r>
      <w:r w:rsidR="00576AB8">
        <w:rPr>
          <w:rFonts w:ascii="Arial" w:hAnsi="Arial" w:cs="Arial"/>
        </w:rPr>
        <w:t>GUID_CSDR</w:t>
      </w:r>
      <w:r w:rsidR="000D17AA" w:rsidRPr="00616B9B">
        <w:rPr>
          <w:rFonts w:ascii="Arial" w:hAnsi="Arial" w:cs="Arial"/>
        </w:rPr>
        <w:t>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 xml:space="preserve">E.g. if the respondent were ESMA, the name of </w:t>
      </w:r>
      <w:r w:rsidR="00650FC2">
        <w:rPr>
          <w:rFonts w:ascii="Arial" w:hAnsi="Arial" w:cs="Arial"/>
        </w:rPr>
        <w:t>the reply form would be ESMA_</w:t>
      </w:r>
      <w:r w:rsidR="00576AB8">
        <w:rPr>
          <w:rFonts w:ascii="Arial" w:hAnsi="Arial" w:cs="Arial"/>
        </w:rPr>
        <w:t>GUID_CSDR</w:t>
      </w:r>
      <w:r w:rsidR="00650FC2" w:rsidRPr="00616B9B">
        <w:rPr>
          <w:rFonts w:ascii="Arial" w:hAnsi="Arial" w:cs="Arial"/>
        </w:rPr>
        <w:t xml:space="preserve"> </w:t>
      </w:r>
      <w:r w:rsidRPr="00616B9B">
        <w:rPr>
          <w:rFonts w:ascii="Arial" w:hAnsi="Arial" w:cs="Arial"/>
        </w:rPr>
        <w:t>_ESMA_REPLYFORM or ESMA_</w:t>
      </w:r>
      <w:r w:rsidR="00576AB8">
        <w:rPr>
          <w:rFonts w:ascii="Arial" w:hAnsi="Arial" w:cs="Arial"/>
        </w:rPr>
        <w:t>GUID_CSDR</w:t>
      </w:r>
      <w:r w:rsidRPr="00616B9B">
        <w:rPr>
          <w:rFonts w:ascii="Arial" w:hAnsi="Arial" w:cs="Arial"/>
        </w:rPr>
        <w:t>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03647C" w:rsidRPr="0003647C">
        <w:rPr>
          <w:rFonts w:ascii="Arial" w:hAnsi="Arial" w:cs="Arial"/>
          <w:b/>
        </w:rPr>
        <w:t>19</w:t>
      </w:r>
      <w:r w:rsidR="00D43F14" w:rsidRPr="0003647C">
        <w:rPr>
          <w:rFonts w:ascii="Arial" w:hAnsi="Arial" w:cs="Arial"/>
          <w:b/>
        </w:rPr>
        <w:t xml:space="preserve"> </w:t>
      </w:r>
      <w:r w:rsidR="0003647C" w:rsidRPr="0003647C">
        <w:rPr>
          <w:rFonts w:ascii="Arial" w:hAnsi="Arial" w:cs="Arial"/>
          <w:b/>
        </w:rPr>
        <w:t>February</w:t>
      </w:r>
      <w:r w:rsidR="00D43F14" w:rsidRPr="0003647C">
        <w:rPr>
          <w:rFonts w:ascii="Arial" w:hAnsi="Arial" w:cs="Arial"/>
          <w:b/>
        </w:rPr>
        <w:t xml:space="preserve"> </w:t>
      </w:r>
      <w:r w:rsidRPr="0003647C">
        <w:rPr>
          <w:rFonts w:ascii="Arial" w:hAnsi="Arial" w:cs="Arial"/>
          <w:b/>
        </w:rPr>
        <w:t>201</w:t>
      </w:r>
      <w:r w:rsidR="0003647C" w:rsidRPr="0003647C">
        <w:rPr>
          <w:rFonts w:ascii="Arial" w:hAnsi="Arial" w:cs="Arial"/>
          <w:b/>
        </w:rPr>
        <w:t>5</w:t>
      </w:r>
      <w:r w:rsidRPr="0003647C">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2" w:history="1">
        <w:r w:rsidRPr="00616B9B">
          <w:rPr>
            <w:rStyle w:val="Hyperlink"/>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1" w:name="_Toc335141334"/>
      <w:r w:rsidRPr="00616B9B">
        <w:rPr>
          <w:rFonts w:ascii="Arial" w:hAnsi="Arial" w:cs="Arial"/>
          <w:b/>
          <w:bCs/>
          <w:i/>
          <w:color w:val="000000"/>
          <w:szCs w:val="20"/>
          <w:lang w:eastAsia="en-GB"/>
        </w:rPr>
        <w:t>Publication of responses</w:t>
      </w:r>
      <w:bookmarkEnd w:id="1"/>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5"/>
      <w:r w:rsidRPr="00616B9B">
        <w:rPr>
          <w:rFonts w:ascii="Arial" w:hAnsi="Arial" w:cs="Arial"/>
          <w:b/>
          <w:bCs/>
          <w:i/>
          <w:color w:val="000000"/>
          <w:szCs w:val="20"/>
          <w:lang w:eastAsia="en-GB"/>
        </w:rPr>
        <w:t>Data protection</w:t>
      </w:r>
      <w:bookmarkEnd w:id="2"/>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3" w:history="1">
        <w:r w:rsidRPr="00616B9B">
          <w:rPr>
            <w:rStyle w:val="Hyperlink"/>
            <w:rFonts w:ascii="Arial" w:hAnsi="Arial" w:cs="Arial"/>
            <w:szCs w:val="20"/>
          </w:rPr>
          <w:t>www.esma.europa.eu</w:t>
        </w:r>
      </w:hyperlink>
      <w:r w:rsidRPr="00616B9B">
        <w:rPr>
          <w:rFonts w:ascii="Arial" w:hAnsi="Arial" w:cs="Arial"/>
          <w:szCs w:val="20"/>
        </w:rPr>
        <w:t xml:space="preserve"> under the heading ‘Disclaimer’.</w:t>
      </w:r>
    </w:p>
    <w:bookmarkEnd w:id="0"/>
    <w:p w:rsidR="001476E2" w:rsidRPr="0026621B" w:rsidRDefault="001476E2" w:rsidP="001476E2">
      <w:pPr>
        <w:pStyle w:val="Heading1"/>
        <w:numPr>
          <w:ilvl w:val="0"/>
          <w:numId w:val="0"/>
        </w:numPr>
        <w:rPr>
          <w:rFonts w:ascii="Arial" w:hAnsi="Arial"/>
          <w:sz w:val="22"/>
          <w:szCs w:val="22"/>
        </w:rPr>
      </w:pPr>
      <w:r w:rsidRPr="0026621B">
        <w:rPr>
          <w:rFonts w:ascii="Arial" w:hAnsi="Arial"/>
          <w:sz w:val="22"/>
          <w:szCs w:val="22"/>
        </w:rPr>
        <w:lastRenderedPageBreak/>
        <w:t>General information about respondent</w:t>
      </w:r>
    </w:p>
    <w:tbl>
      <w:tblPr>
        <w:tblStyle w:val="TableGrid"/>
        <w:tblW w:w="0" w:type="auto"/>
        <w:tblLook w:val="04A0"/>
      </w:tblPr>
      <w:tblGrid>
        <w:gridCol w:w="3510"/>
        <w:gridCol w:w="6118"/>
      </w:tblGrid>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1476E2" w:rsidRPr="0026621B" w:rsidRDefault="00A042F6" w:rsidP="0007062D">
            <w:pPr>
              <w:rPr>
                <w:rFonts w:ascii="Arial" w:hAnsi="Arial" w:cs="Arial"/>
                <w:sz w:val="22"/>
                <w:szCs w:val="22"/>
              </w:rPr>
            </w:pPr>
            <w:sdt>
              <w:sdtPr>
                <w:rPr>
                  <w:rFonts w:ascii="Arial" w:hAnsi="Arial" w:cs="Arial"/>
                  <w:sz w:val="22"/>
                  <w:szCs w:val="22"/>
                </w:rPr>
                <w:alias w:val="Association"/>
                <w:tag w:val="Association"/>
                <w:id w:val="-1769143793"/>
                <w:placeholder>
                  <w:docPart w:val="0665622B26AD43AC8E12A333E517BB4F"/>
                </w:placeholder>
                <w:comboBox>
                  <w:listItem w:displayText="Yes" w:value="Yes"/>
                  <w:listItem w:displayText="No" w:value="No"/>
                </w:comboBox>
              </w:sdtPr>
              <w:sdtContent>
                <w:permStart w:id="0" w:edGrp="everyone"/>
                <w:r w:rsidR="00701271">
                  <w:rPr>
                    <w:rFonts w:ascii="Arial" w:hAnsi="Arial" w:cs="Arial"/>
                    <w:sz w:val="22"/>
                    <w:szCs w:val="22"/>
                  </w:rPr>
                  <w:t>Yes</w:t>
                </w:r>
                <w:permEnd w:id="0"/>
              </w:sdtContent>
            </w:sdt>
          </w:p>
        </w:tc>
      </w:tr>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Activity:</w:t>
            </w:r>
          </w:p>
        </w:tc>
        <w:tc>
          <w:tcPr>
            <w:tcW w:w="6118" w:type="dxa"/>
          </w:tcPr>
          <w:p w:rsidR="001476E2" w:rsidRPr="0026621B" w:rsidRDefault="00A042F6" w:rsidP="0007062D">
            <w:pPr>
              <w:rPr>
                <w:rFonts w:ascii="Arial" w:hAnsi="Arial" w:cs="Arial"/>
                <w:sz w:val="22"/>
                <w:szCs w:val="22"/>
              </w:rPr>
            </w:pPr>
            <w:sdt>
              <w:sdtPr>
                <w:rPr>
                  <w:rFonts w:ascii="Arial" w:hAnsi="Arial" w:cs="Arial"/>
                  <w:sz w:val="22"/>
                  <w:szCs w:val="22"/>
                </w:rPr>
                <w:alias w:val="Activity"/>
                <w:tag w:val="Activity"/>
                <w:id w:val="1654095920"/>
                <w:placeholder>
                  <w:docPart w:val="E621C4A7AFB14CFDBE7DACDDF871A620"/>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Content>
                <w:permStart w:id="1" w:edGrp="everyone"/>
                <w:r w:rsidR="00701271">
                  <w:rPr>
                    <w:rFonts w:ascii="Arial" w:hAnsi="Arial" w:cs="Arial"/>
                    <w:sz w:val="22"/>
                    <w:szCs w:val="22"/>
                  </w:rPr>
                  <w:t>Investment Firm</w:t>
                </w:r>
                <w:permEnd w:id="1"/>
              </w:sdtContent>
            </w:sdt>
          </w:p>
        </w:tc>
      </w:tr>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42A4733F95294A85B4F0B958280A824B"/>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2" w:edGrp="everyone" w:displacedByCustomXml="prev"/>
            <w:tc>
              <w:tcPr>
                <w:tcW w:w="6118" w:type="dxa"/>
              </w:tcPr>
              <w:p w:rsidR="001476E2" w:rsidRPr="0026621B" w:rsidRDefault="00701271" w:rsidP="0007062D">
                <w:pPr>
                  <w:rPr>
                    <w:rFonts w:ascii="Arial" w:hAnsi="Arial" w:cs="Arial"/>
                    <w:sz w:val="22"/>
                    <w:szCs w:val="22"/>
                  </w:rPr>
                </w:pPr>
                <w:r>
                  <w:rPr>
                    <w:rFonts w:ascii="Arial" w:hAnsi="Arial" w:cs="Arial"/>
                    <w:sz w:val="22"/>
                    <w:szCs w:val="22"/>
                  </w:rPr>
                  <w:t>Europe</w:t>
                </w:r>
              </w:p>
            </w:tc>
            <w:permEnd w:id="2" w:displacedByCustomXml="next"/>
          </w:sdtContent>
        </w:sdt>
      </w:tr>
    </w:tbl>
    <w:p w:rsidR="001476E2" w:rsidRPr="0026621B" w:rsidRDefault="001476E2">
      <w:pPr>
        <w:rPr>
          <w:rFonts w:ascii="Arial" w:hAnsi="Arial" w:cs="Arial"/>
          <w:b/>
          <w:sz w:val="22"/>
          <w:szCs w:val="22"/>
          <w:lang w:eastAsia="en-US"/>
        </w:rPr>
      </w:pPr>
      <w:r w:rsidRPr="0026621B">
        <w:rPr>
          <w:rFonts w:ascii="Arial" w:hAnsi="Arial" w:cs="Arial"/>
          <w:sz w:val="22"/>
          <w:szCs w:val="22"/>
        </w:rPr>
        <w:br w:type="page"/>
      </w:r>
    </w:p>
    <w:p w:rsidR="00A35728" w:rsidRPr="00616B9B" w:rsidRDefault="00A35728" w:rsidP="00A35728">
      <w:pPr>
        <w:pStyle w:val="Questions-ESMA"/>
        <w:rPr>
          <w:rFonts w:ascii="Arial" w:hAnsi="Arial" w:cs="Arial"/>
          <w:szCs w:val="22"/>
        </w:rPr>
      </w:pPr>
      <w:r w:rsidRPr="00616B9B">
        <w:rPr>
          <w:rFonts w:ascii="Arial" w:hAnsi="Arial" w:cs="Arial"/>
          <w:szCs w:val="22"/>
        </w:rPr>
        <w:lastRenderedPageBreak/>
        <w:t xml:space="preserve">Q1: </w:t>
      </w:r>
      <w:r w:rsidRPr="00616B9B">
        <w:rPr>
          <w:rFonts w:ascii="Arial" w:hAnsi="Arial" w:cs="Arial"/>
          <w:szCs w:val="22"/>
        </w:rPr>
        <w:tab/>
      </w:r>
      <w:r w:rsidR="00650FC2" w:rsidRPr="00650FC2">
        <w:rPr>
          <w:rFonts w:ascii="Arial" w:hAnsi="Arial" w:cs="Arial"/>
          <w:szCs w:val="22"/>
        </w:rPr>
        <w:t xml:space="preserve">What are your views on the proposed Guidelines?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w:t>
      </w:r>
      <w:r w:rsidR="00937424" w:rsidRPr="00937424">
        <w:t xml:space="preserve"> </w:t>
      </w:r>
      <w:r w:rsidR="00576AB8">
        <w:rPr>
          <w:rFonts w:ascii="Arial" w:hAnsi="Arial" w:cs="Arial"/>
          <w:sz w:val="22"/>
          <w:szCs w:val="22"/>
        </w:rPr>
        <w:t>GUID_CSDR</w:t>
      </w:r>
      <w:r w:rsidRPr="00616B9B">
        <w:rPr>
          <w:rFonts w:ascii="Arial" w:hAnsi="Arial" w:cs="Arial"/>
          <w:sz w:val="22"/>
          <w:szCs w:val="22"/>
        </w:rPr>
        <w:t>_1&gt;</w:t>
      </w:r>
    </w:p>
    <w:p w:rsidR="00701271" w:rsidRPr="00701271" w:rsidRDefault="00701271" w:rsidP="00701271">
      <w:pPr>
        <w:pStyle w:val="NormalWeb"/>
        <w:rPr>
          <w:rFonts w:ascii="Calibri" w:hAnsi="Calibri"/>
          <w:b/>
          <w:bCs/>
          <w:color w:val="1F497D"/>
          <w:u w:val="single"/>
          <w:lang w:val="en-GB"/>
        </w:rPr>
      </w:pPr>
      <w:permStart w:id="3" w:edGrp="everyone"/>
      <w:r w:rsidRPr="00701271">
        <w:rPr>
          <w:rFonts w:ascii="Calibri" w:hAnsi="Calibri"/>
          <w:b/>
          <w:bCs/>
          <w:color w:val="1F497D"/>
          <w:u w:val="single"/>
          <w:lang w:val="en-GB"/>
        </w:rPr>
        <w:t xml:space="preserve">The purpose of the Guidelines should be clearer </w:t>
      </w:r>
    </w:p>
    <w:p w:rsidR="00701271" w:rsidRPr="00701271" w:rsidRDefault="00701271" w:rsidP="00701271">
      <w:pPr>
        <w:pStyle w:val="NormalWeb"/>
        <w:rPr>
          <w:lang w:val="en-GB"/>
        </w:rPr>
      </w:pPr>
      <w:r w:rsidRPr="00701271">
        <w:rPr>
          <w:rFonts w:ascii="Calibri" w:hAnsi="Calibri"/>
          <w:color w:val="1F497D"/>
          <w:lang w:val="en-GB"/>
        </w:rPr>
        <w:t>We do not believe the purpose of this consultation paper is entirely clear in relation to ESMA’s Guidelines on the Access to a</w:t>
      </w:r>
      <w:r w:rsidRPr="00701271">
        <w:rPr>
          <w:color w:val="1F497D"/>
          <w:lang w:val="en-GB"/>
        </w:rPr>
        <w:t xml:space="preserve"> </w:t>
      </w:r>
      <w:r w:rsidRPr="00701271">
        <w:rPr>
          <w:rFonts w:ascii="Calibri" w:hAnsi="Calibri"/>
          <w:color w:val="1F497D"/>
          <w:lang w:val="en-GB"/>
        </w:rPr>
        <w:t>Central Clearing Counterparty</w:t>
      </w:r>
      <w:r w:rsidRPr="00701271">
        <w:rPr>
          <w:color w:val="1F497D"/>
          <w:lang w:val="en-GB"/>
        </w:rPr>
        <w:t xml:space="preserve"> </w:t>
      </w:r>
      <w:r w:rsidRPr="00701271">
        <w:rPr>
          <w:rFonts w:ascii="Calibri" w:hAnsi="Calibri"/>
          <w:color w:val="1F497D"/>
          <w:lang w:val="en-GB"/>
        </w:rPr>
        <w:t>(CCP) or a Trading Venue by a</w:t>
      </w:r>
      <w:r w:rsidRPr="00701271">
        <w:rPr>
          <w:color w:val="1F497D"/>
          <w:lang w:val="en-GB"/>
        </w:rPr>
        <w:t xml:space="preserve"> </w:t>
      </w:r>
      <w:r w:rsidRPr="00701271">
        <w:rPr>
          <w:rFonts w:ascii="Calibri" w:hAnsi="Calibri"/>
          <w:color w:val="1F497D"/>
          <w:lang w:val="en-GB"/>
        </w:rPr>
        <w:t>Ce</w:t>
      </w:r>
      <w:r w:rsidRPr="00701271">
        <w:rPr>
          <w:rFonts w:ascii="Calibri" w:hAnsi="Calibri"/>
          <w:color w:val="1F497D"/>
          <w:lang w:val="en-GB"/>
        </w:rPr>
        <w:t>n</w:t>
      </w:r>
      <w:r w:rsidRPr="00701271">
        <w:rPr>
          <w:rFonts w:ascii="Calibri" w:hAnsi="Calibri"/>
          <w:color w:val="1F497D"/>
          <w:lang w:val="en-GB"/>
        </w:rPr>
        <w:t>tral Securities Depository</w:t>
      </w:r>
      <w:r w:rsidRPr="00701271">
        <w:rPr>
          <w:color w:val="1F497D"/>
          <w:lang w:val="en-GB"/>
        </w:rPr>
        <w:t xml:space="preserve"> </w:t>
      </w:r>
      <w:r w:rsidRPr="00701271">
        <w:rPr>
          <w:rFonts w:ascii="Calibri" w:hAnsi="Calibri"/>
          <w:color w:val="1F497D"/>
          <w:lang w:val="en-GB"/>
        </w:rPr>
        <w:t>(CSD). In particular, it should be made clearer that the Guidelines are on access to</w:t>
      </w:r>
      <w:r w:rsidRPr="008350A7">
        <w:rPr>
          <w:rFonts w:ascii="Calibri" w:hAnsi="Calibri"/>
          <w:color w:val="1F497D"/>
          <w:lang w:val="en-GB"/>
        </w:rPr>
        <w:t xml:space="preserve"> transaction feeds of</w:t>
      </w:r>
      <w:r w:rsidRPr="00701271">
        <w:rPr>
          <w:rFonts w:ascii="Calibri" w:hAnsi="Calibri"/>
          <w:color w:val="1F497D"/>
          <w:lang w:val="en-GB"/>
        </w:rPr>
        <w:t xml:space="preserve"> a CCP or a trading venue by a CSD.</w:t>
      </w:r>
    </w:p>
    <w:p w:rsidR="00701271" w:rsidRDefault="00701271" w:rsidP="00701271">
      <w:pPr>
        <w:pStyle w:val="NormalWeb"/>
        <w:rPr>
          <w:rFonts w:ascii="Calibri" w:hAnsi="Calibri"/>
          <w:color w:val="1F497D"/>
          <w:lang w:val="en-GB"/>
        </w:rPr>
      </w:pPr>
      <w:r w:rsidRPr="00701271">
        <w:rPr>
          <w:rFonts w:ascii="Calibri" w:hAnsi="Calibri"/>
          <w:color w:val="1F497D"/>
          <w:lang w:val="en-GB"/>
        </w:rPr>
        <w:t>Paragraph three of the Executive Summary states that “…ESMA has prepared this Consultation Paper (CP) in order to consult interested parties for the purposes of elaborating guidelines on the access to a CCP or a trading venue by a CSD…</w:t>
      </w:r>
      <w:r w:rsidR="008350A7" w:rsidRPr="00701271">
        <w:rPr>
          <w:rFonts w:ascii="Calibri" w:hAnsi="Calibri"/>
          <w:color w:val="1F497D"/>
          <w:lang w:val="en-GB"/>
        </w:rPr>
        <w:t>”</w:t>
      </w:r>
      <w:r w:rsidRPr="00701271">
        <w:rPr>
          <w:rFonts w:ascii="Calibri" w:hAnsi="Calibri"/>
          <w:color w:val="1F497D"/>
          <w:lang w:val="en-GB"/>
        </w:rPr>
        <w:t>  This initial description is unclear as it could suggest that a CSD may become a full trading or clearing member of a trading venue or CCP.  However we do not believe this is what ESMA intended (since that is not what is mandated under Article 53 and such services would not constitute core services, non-banking-type anci</w:t>
      </w:r>
      <w:r w:rsidRPr="00701271">
        <w:rPr>
          <w:rFonts w:ascii="Calibri" w:hAnsi="Calibri"/>
          <w:color w:val="1F497D"/>
          <w:lang w:val="en-GB"/>
        </w:rPr>
        <w:t>l</w:t>
      </w:r>
      <w:r w:rsidRPr="00701271">
        <w:rPr>
          <w:rFonts w:ascii="Calibri" w:hAnsi="Calibri"/>
          <w:color w:val="1F497D"/>
          <w:lang w:val="en-GB"/>
        </w:rPr>
        <w:t>lary services or banking-type ancillary services and therefore the CSD would be prohibited from conducting such activities under Article 18) nor would it be desirable because it changes the risk profile of the CSD entirely and presumably that is the very reason for the limitation of a CSDs activities in Article 18.</w:t>
      </w:r>
    </w:p>
    <w:p w:rsidR="00701271" w:rsidRPr="008350A7" w:rsidRDefault="00701271" w:rsidP="00701271">
      <w:pPr>
        <w:pStyle w:val="NormalWeb"/>
        <w:rPr>
          <w:rFonts w:ascii="Calibri" w:hAnsi="Calibri"/>
          <w:b/>
          <w:bCs/>
          <w:color w:val="1F497D"/>
          <w:u w:val="single"/>
          <w:lang w:val="en-GB"/>
        </w:rPr>
      </w:pPr>
      <w:r w:rsidRPr="008350A7">
        <w:rPr>
          <w:rFonts w:ascii="Calibri" w:hAnsi="Calibri"/>
          <w:b/>
          <w:bCs/>
          <w:color w:val="1F497D"/>
          <w:u w:val="single"/>
          <w:lang w:val="en-GB"/>
        </w:rPr>
        <w:t>The Guidelines are not necessary</w:t>
      </w:r>
    </w:p>
    <w:p w:rsidR="00701271" w:rsidRPr="00701271" w:rsidRDefault="00701271" w:rsidP="00701271">
      <w:pPr>
        <w:pStyle w:val="NormalWeb"/>
        <w:rPr>
          <w:color w:val="1F497D"/>
          <w:lang w:val="en-GB"/>
        </w:rPr>
      </w:pPr>
      <w:r w:rsidRPr="00701271">
        <w:rPr>
          <w:rFonts w:ascii="Calibri" w:hAnsi="Calibri"/>
          <w:color w:val="1F497D"/>
          <w:lang w:val="en-GB"/>
        </w:rPr>
        <w:t>Whilst we believe that the purpose of the Guidelines is somewhat unclear, we understand the actual intention is to create guidelines relating to a request of a CSD to have access to transa</w:t>
      </w:r>
      <w:r w:rsidRPr="00701271">
        <w:rPr>
          <w:rFonts w:ascii="Calibri" w:hAnsi="Calibri"/>
          <w:color w:val="1F497D"/>
          <w:lang w:val="en-GB"/>
        </w:rPr>
        <w:t>c</w:t>
      </w:r>
      <w:r w:rsidRPr="00701271">
        <w:rPr>
          <w:rFonts w:ascii="Calibri" w:hAnsi="Calibri"/>
          <w:color w:val="1F497D"/>
          <w:lang w:val="en-GB"/>
        </w:rPr>
        <w:t>tion feeds of a CCP or a trading venue (</w:t>
      </w:r>
      <w:r w:rsidR="00EC15F6">
        <w:rPr>
          <w:rFonts w:ascii="Calibri" w:hAnsi="Calibri"/>
          <w:color w:val="1F497D"/>
          <w:lang w:val="en-GB"/>
        </w:rPr>
        <w:t xml:space="preserve">i.e. </w:t>
      </w:r>
      <w:r w:rsidRPr="00701271">
        <w:rPr>
          <w:rFonts w:ascii="Calibri" w:hAnsi="Calibri"/>
          <w:color w:val="1F497D"/>
          <w:lang w:val="en-GB"/>
        </w:rPr>
        <w:t>to establish direct connections between the trading venue or CCP on the one hand and the CSD on the other</w:t>
      </w:r>
      <w:r w:rsidRPr="00EC15F6">
        <w:rPr>
          <w:rFonts w:ascii="Calibri" w:hAnsi="Calibri"/>
          <w:color w:val="1F497D"/>
          <w:lang w:val="en-GB"/>
        </w:rPr>
        <w:t>)</w:t>
      </w:r>
      <w:r w:rsidRPr="00701271">
        <w:rPr>
          <w:rFonts w:ascii="Calibri" w:hAnsi="Calibri"/>
          <w:color w:val="1F497D"/>
          <w:lang w:val="en-GB"/>
        </w:rPr>
        <w:t xml:space="preserve">.  Assuming this is the case, we do not fully understand the need for such guidelines as direct connections between trading venues or CCPs and CSDs is commonplace across the EU.  </w:t>
      </w:r>
      <w:r w:rsidR="00EC15F6">
        <w:rPr>
          <w:rFonts w:ascii="Calibri" w:hAnsi="Calibri"/>
          <w:color w:val="1F497D"/>
          <w:lang w:val="en-GB"/>
        </w:rPr>
        <w:t xml:space="preserve">Examples </w:t>
      </w:r>
      <w:r w:rsidRPr="00701271">
        <w:rPr>
          <w:rFonts w:ascii="Calibri" w:hAnsi="Calibri"/>
          <w:color w:val="1F497D"/>
          <w:lang w:val="en-GB"/>
        </w:rPr>
        <w:t>already exist where non-CCP cleared trading venues have established direct connections to a CSD such as</w:t>
      </w:r>
      <w:r w:rsidRPr="00701271">
        <w:rPr>
          <w:color w:val="1F497D"/>
          <w:lang w:val="en-GB"/>
        </w:rPr>
        <w:t xml:space="preserve"> </w:t>
      </w:r>
      <w:r w:rsidRPr="00701271">
        <w:rPr>
          <w:rFonts w:ascii="Calibri" w:hAnsi="Calibri"/>
          <w:color w:val="1F497D"/>
          <w:lang w:val="en-GB"/>
        </w:rPr>
        <w:t xml:space="preserve">MTS and </w:t>
      </w:r>
      <w:proofErr w:type="spellStart"/>
      <w:r w:rsidRPr="00701271">
        <w:rPr>
          <w:rFonts w:ascii="Calibri" w:hAnsi="Calibri"/>
          <w:color w:val="1F497D"/>
          <w:lang w:val="en-GB"/>
        </w:rPr>
        <w:t>Brokertec</w:t>
      </w:r>
      <w:proofErr w:type="spellEnd"/>
      <w:r w:rsidRPr="00701271">
        <w:rPr>
          <w:rFonts w:ascii="Calibri" w:hAnsi="Calibri"/>
          <w:color w:val="1F497D"/>
          <w:lang w:val="en-GB"/>
        </w:rPr>
        <w:t xml:space="preserve">.  </w:t>
      </w:r>
      <w:r w:rsidR="00EC15F6">
        <w:rPr>
          <w:rFonts w:ascii="Calibri" w:hAnsi="Calibri"/>
          <w:color w:val="1F497D"/>
          <w:lang w:val="en-GB"/>
        </w:rPr>
        <w:t>Sim</w:t>
      </w:r>
      <w:r w:rsidR="00EC15F6">
        <w:rPr>
          <w:rFonts w:ascii="Calibri" w:hAnsi="Calibri"/>
          <w:color w:val="1F497D"/>
          <w:lang w:val="en-GB"/>
        </w:rPr>
        <w:t>i</w:t>
      </w:r>
      <w:r w:rsidR="00EC15F6">
        <w:rPr>
          <w:rFonts w:ascii="Calibri" w:hAnsi="Calibri"/>
          <w:color w:val="1F497D"/>
          <w:lang w:val="en-GB"/>
        </w:rPr>
        <w:t>larly</w:t>
      </w:r>
      <w:r w:rsidRPr="00701271">
        <w:rPr>
          <w:rFonts w:ascii="Calibri" w:hAnsi="Calibri"/>
          <w:color w:val="1F497D"/>
          <w:lang w:val="en-GB"/>
        </w:rPr>
        <w:t xml:space="preserve"> there are several examples where national, and regional CCPs have direct connections with CSDs</w:t>
      </w:r>
      <w:r w:rsidR="00EC15F6">
        <w:rPr>
          <w:rFonts w:ascii="Calibri" w:hAnsi="Calibri"/>
          <w:color w:val="1F497D"/>
          <w:lang w:val="en-GB"/>
        </w:rPr>
        <w:t>;</w:t>
      </w:r>
      <w:r w:rsidRPr="00701271">
        <w:rPr>
          <w:color w:val="1F497D"/>
          <w:lang w:val="en-GB"/>
        </w:rPr>
        <w:t xml:space="preserve"> </w:t>
      </w:r>
      <w:r w:rsidRPr="00701271">
        <w:rPr>
          <w:rFonts w:ascii="Calibri" w:hAnsi="Calibri"/>
          <w:color w:val="1F497D"/>
          <w:lang w:val="en-GB"/>
        </w:rPr>
        <w:t>for instance</w:t>
      </w:r>
      <w:r w:rsidR="00EC15F6">
        <w:rPr>
          <w:rFonts w:ascii="Calibri" w:hAnsi="Calibri"/>
          <w:color w:val="1F497D"/>
          <w:lang w:val="en-GB"/>
        </w:rPr>
        <w:t>,</w:t>
      </w:r>
      <w:r w:rsidRPr="00701271">
        <w:rPr>
          <w:rFonts w:ascii="Calibri" w:hAnsi="Calibri"/>
          <w:color w:val="1F497D"/>
          <w:lang w:val="en-GB"/>
        </w:rPr>
        <w:t xml:space="preserve"> LCH Clearnet Limited are directly connected to Euroclear UK &amp; Ireland, SIX SIS, Monte Titoli, VPS and Euroclear Bank </w:t>
      </w:r>
      <w:r w:rsidR="00EC15F6">
        <w:rPr>
          <w:rFonts w:ascii="Calibri" w:hAnsi="Calibri"/>
          <w:color w:val="1F497D"/>
          <w:lang w:val="en-GB"/>
        </w:rPr>
        <w:t>whilst</w:t>
      </w:r>
      <w:r w:rsidRPr="00701271">
        <w:rPr>
          <w:rFonts w:ascii="Calibri" w:hAnsi="Calibri"/>
          <w:color w:val="1F497D"/>
          <w:lang w:val="en-GB"/>
        </w:rPr>
        <w:t xml:space="preserve"> EuroCCP NV are directly connected to Euroclear UK &amp; Ireland, SIX SIS, Monte Titoli, Euroclear Sweden, Euroclear Finland and VP.  </w:t>
      </w:r>
    </w:p>
    <w:p w:rsidR="00701271" w:rsidRDefault="00701271" w:rsidP="00701271">
      <w:pPr>
        <w:pStyle w:val="NormalWeb"/>
        <w:rPr>
          <w:rFonts w:ascii="Calibri" w:hAnsi="Calibri"/>
          <w:b/>
          <w:bCs/>
          <w:color w:val="1F497D"/>
          <w:u w:val="single"/>
          <w:lang w:val="en-GB"/>
        </w:rPr>
      </w:pPr>
      <w:r w:rsidRPr="00701271">
        <w:rPr>
          <w:rFonts w:ascii="Calibri" w:hAnsi="Calibri"/>
          <w:b/>
          <w:bCs/>
          <w:color w:val="1F497D"/>
          <w:u w:val="single"/>
          <w:lang w:val="en-GB"/>
        </w:rPr>
        <w:t xml:space="preserve">These proposals conflict with the concept, and benefits, of Target 2 </w:t>
      </w:r>
      <w:proofErr w:type="gramStart"/>
      <w:r w:rsidRPr="00701271">
        <w:rPr>
          <w:rFonts w:ascii="Calibri" w:hAnsi="Calibri"/>
          <w:b/>
          <w:bCs/>
          <w:color w:val="1F497D"/>
          <w:u w:val="single"/>
          <w:lang w:val="en-GB"/>
        </w:rPr>
        <w:t>For</w:t>
      </w:r>
      <w:proofErr w:type="gramEnd"/>
      <w:r w:rsidRPr="00701271">
        <w:rPr>
          <w:rFonts w:ascii="Calibri" w:hAnsi="Calibri"/>
          <w:b/>
          <w:bCs/>
          <w:color w:val="1F497D"/>
          <w:u w:val="single"/>
          <w:lang w:val="en-GB"/>
        </w:rPr>
        <w:t xml:space="preserve"> securities (T2S)</w:t>
      </w:r>
    </w:p>
    <w:p w:rsidR="00701271" w:rsidRPr="00701271" w:rsidRDefault="00701271" w:rsidP="00701271">
      <w:pPr>
        <w:pStyle w:val="NormalWeb"/>
        <w:rPr>
          <w:color w:val="1F497D"/>
          <w:lang w:val="en-GB"/>
        </w:rPr>
      </w:pPr>
      <w:r w:rsidRPr="00701271">
        <w:rPr>
          <w:rFonts w:ascii="Calibri" w:hAnsi="Calibri"/>
          <w:color w:val="1F497D"/>
          <w:lang w:val="en-GB"/>
        </w:rPr>
        <w:t>We also believe that this proposal conflicts with the concept, and benefits, of T2S.  Our expect</w:t>
      </w:r>
      <w:r w:rsidRPr="00701271">
        <w:rPr>
          <w:rFonts w:ascii="Calibri" w:hAnsi="Calibri"/>
          <w:color w:val="1F497D"/>
          <w:lang w:val="en-GB"/>
        </w:rPr>
        <w:t>a</w:t>
      </w:r>
      <w:r w:rsidRPr="00701271">
        <w:rPr>
          <w:rFonts w:ascii="Calibri" w:hAnsi="Calibri"/>
          <w:color w:val="1F497D"/>
          <w:lang w:val="en-GB"/>
        </w:rPr>
        <w:t>tion is that most Trading venues / CCPs will</w:t>
      </w:r>
      <w:r w:rsidRPr="00701271">
        <w:rPr>
          <w:color w:val="1F497D"/>
          <w:lang w:val="en-GB"/>
        </w:rPr>
        <w:t xml:space="preserve"> </w:t>
      </w:r>
      <w:r w:rsidRPr="00701271">
        <w:rPr>
          <w:rFonts w:ascii="Calibri" w:hAnsi="Calibri"/>
          <w:color w:val="1F497D"/>
          <w:lang w:val="en-GB"/>
        </w:rPr>
        <w:t>chose to become</w:t>
      </w:r>
      <w:r w:rsidRPr="00701271">
        <w:rPr>
          <w:color w:val="1F497D"/>
          <w:lang w:val="en-GB"/>
        </w:rPr>
        <w:t xml:space="preserve"> </w:t>
      </w:r>
      <w:r w:rsidRPr="00701271">
        <w:rPr>
          <w:rFonts w:ascii="Calibri" w:hAnsi="Calibri"/>
          <w:color w:val="1F497D"/>
          <w:lang w:val="en-GB"/>
        </w:rPr>
        <w:t>Directly Connected Participants</w:t>
      </w:r>
      <w:r w:rsidR="00EC15F6">
        <w:rPr>
          <w:rFonts w:ascii="Calibri" w:hAnsi="Calibri"/>
          <w:color w:val="1F497D"/>
          <w:lang w:val="en-GB"/>
        </w:rPr>
        <w:t xml:space="preserve"> at</w:t>
      </w:r>
      <w:r w:rsidRPr="00701271">
        <w:rPr>
          <w:rFonts w:ascii="Calibri" w:hAnsi="Calibri"/>
          <w:color w:val="1F497D"/>
          <w:lang w:val="en-GB"/>
        </w:rPr>
        <w:t xml:space="preserve"> T2S and may also choose to use the services of a single investor CSD or custodian, as opposed to remain directly connected to</w:t>
      </w:r>
      <w:r w:rsidR="00EC15F6">
        <w:rPr>
          <w:rFonts w:ascii="Calibri" w:hAnsi="Calibri"/>
          <w:color w:val="1F497D"/>
          <w:lang w:val="en-GB"/>
        </w:rPr>
        <w:t xml:space="preserve"> each issue CSD.  Obliging the t</w:t>
      </w:r>
      <w:r w:rsidRPr="00701271">
        <w:rPr>
          <w:rFonts w:ascii="Calibri" w:hAnsi="Calibri"/>
          <w:color w:val="1F497D"/>
          <w:lang w:val="en-GB"/>
        </w:rPr>
        <w:t xml:space="preserve">rading venue or CCP to agree to access requests from other issuer or investor CSDs </w:t>
      </w:r>
      <w:r w:rsidR="00EC15F6">
        <w:rPr>
          <w:rFonts w:ascii="Calibri" w:hAnsi="Calibri"/>
          <w:color w:val="1F497D"/>
          <w:lang w:val="en-GB"/>
        </w:rPr>
        <w:t xml:space="preserve">(providing </w:t>
      </w:r>
      <w:r w:rsidRPr="00701271">
        <w:rPr>
          <w:rFonts w:ascii="Calibri" w:hAnsi="Calibri"/>
          <w:color w:val="1F497D"/>
          <w:lang w:val="en-GB"/>
        </w:rPr>
        <w:t>it meets the risk criteria set out in this proposal</w:t>
      </w:r>
      <w:r w:rsidR="00EC15F6">
        <w:rPr>
          <w:rFonts w:ascii="Calibri" w:hAnsi="Calibri"/>
          <w:color w:val="1F497D"/>
          <w:lang w:val="en-GB"/>
        </w:rPr>
        <w:t>)</w:t>
      </w:r>
      <w:r w:rsidRPr="00701271">
        <w:rPr>
          <w:rFonts w:ascii="Calibri" w:hAnsi="Calibri"/>
          <w:color w:val="1F497D"/>
          <w:lang w:val="en-GB"/>
        </w:rPr>
        <w:t xml:space="preserve"> may erode many of the benefits of the T2S</w:t>
      </w:r>
      <w:r w:rsidRPr="00701271">
        <w:rPr>
          <w:color w:val="1F497D"/>
          <w:lang w:val="en-GB"/>
        </w:rPr>
        <w:t xml:space="preserve"> </w:t>
      </w:r>
      <w:r w:rsidRPr="00701271">
        <w:rPr>
          <w:rFonts w:ascii="Calibri" w:hAnsi="Calibri"/>
          <w:color w:val="1F497D"/>
          <w:lang w:val="en-GB"/>
        </w:rPr>
        <w:t xml:space="preserve">Directly Connected Participant model such as a single messaging interface, format, service level and pricing structure.  The possible </w:t>
      </w:r>
      <w:r w:rsidRPr="00701271">
        <w:rPr>
          <w:rFonts w:ascii="Calibri" w:hAnsi="Calibri"/>
          <w:color w:val="1F497D"/>
          <w:lang w:val="en-GB"/>
        </w:rPr>
        <w:lastRenderedPageBreak/>
        <w:t>consequence of multiple CSD connections in a T2S world (as opposed to a single connection via a custodian or issuer CSD) will be higher costs in the form of CSD transaction fees, technology and operations, and legal effort and resource</w:t>
      </w:r>
      <w:r w:rsidR="00EC15F6">
        <w:rPr>
          <w:rFonts w:ascii="Calibri" w:hAnsi="Calibri"/>
          <w:color w:val="1F497D"/>
          <w:lang w:val="en-GB"/>
        </w:rPr>
        <w:t>. Importantly, r</w:t>
      </w:r>
      <w:r w:rsidRPr="00701271">
        <w:rPr>
          <w:rFonts w:ascii="Calibri" w:hAnsi="Calibri"/>
          <w:color w:val="1F497D"/>
          <w:lang w:val="en-GB"/>
        </w:rPr>
        <w:t xml:space="preserve">isk criteria alone should not be the sole consideration for a </w:t>
      </w:r>
      <w:r w:rsidR="00EC15F6">
        <w:rPr>
          <w:rFonts w:ascii="Calibri" w:hAnsi="Calibri"/>
          <w:color w:val="1F497D"/>
          <w:lang w:val="en-GB"/>
        </w:rPr>
        <w:t>t</w:t>
      </w:r>
      <w:r w:rsidRPr="00701271">
        <w:rPr>
          <w:rFonts w:ascii="Calibri" w:hAnsi="Calibri"/>
          <w:color w:val="1F497D"/>
          <w:lang w:val="en-GB"/>
        </w:rPr>
        <w:t>rading venue or CCP when considering</w:t>
      </w:r>
      <w:r w:rsidR="00EC15F6" w:rsidRPr="00701271">
        <w:rPr>
          <w:color w:val="1F497D"/>
          <w:lang w:val="en-GB"/>
        </w:rPr>
        <w:t> </w:t>
      </w:r>
      <w:r w:rsidR="00EC15F6" w:rsidRPr="00701271">
        <w:rPr>
          <w:rFonts w:ascii="Calibri" w:hAnsi="Calibri"/>
          <w:color w:val="1F497D"/>
          <w:lang w:val="en-GB"/>
        </w:rPr>
        <w:t>a</w:t>
      </w:r>
      <w:r w:rsidRPr="00701271">
        <w:rPr>
          <w:rFonts w:ascii="Calibri" w:hAnsi="Calibri"/>
          <w:color w:val="1F497D"/>
          <w:lang w:val="en-GB"/>
        </w:rPr>
        <w:t xml:space="preserve"> CSD access request.</w:t>
      </w:r>
      <w:r w:rsidRPr="00701271">
        <w:rPr>
          <w:color w:val="1F497D"/>
          <w:lang w:val="en-GB"/>
        </w:rPr>
        <w:t xml:space="preserve"> </w:t>
      </w:r>
      <w:r w:rsidRPr="00701271">
        <w:rPr>
          <w:rFonts w:ascii="Calibri" w:hAnsi="Calibri"/>
          <w:color w:val="1F497D"/>
          <w:lang w:val="en-GB"/>
        </w:rPr>
        <w:t xml:space="preserve">CCPs and </w:t>
      </w:r>
      <w:r w:rsidR="00EC15F6">
        <w:rPr>
          <w:rFonts w:ascii="Calibri" w:hAnsi="Calibri"/>
          <w:color w:val="1F497D"/>
          <w:lang w:val="en-GB"/>
        </w:rPr>
        <w:t>t</w:t>
      </w:r>
      <w:r w:rsidRPr="00701271">
        <w:rPr>
          <w:rFonts w:ascii="Calibri" w:hAnsi="Calibri"/>
          <w:color w:val="1F497D"/>
          <w:lang w:val="en-GB"/>
        </w:rPr>
        <w:t xml:space="preserve">rading </w:t>
      </w:r>
      <w:r w:rsidR="00EC15F6">
        <w:rPr>
          <w:rFonts w:ascii="Calibri" w:hAnsi="Calibri"/>
          <w:color w:val="1F497D"/>
          <w:lang w:val="en-GB"/>
        </w:rPr>
        <w:t>v</w:t>
      </w:r>
      <w:r w:rsidRPr="00701271">
        <w:rPr>
          <w:rFonts w:ascii="Calibri" w:hAnsi="Calibri"/>
          <w:color w:val="1F497D"/>
          <w:lang w:val="en-GB"/>
        </w:rPr>
        <w:t>enues should also have the flexibility to consider the efficiency of the operating model and be free to choose the most optimal and robust model for themselves, their participants and the market in general</w:t>
      </w:r>
      <w:r w:rsidRPr="00701271">
        <w:rPr>
          <w:color w:val="1F497D"/>
          <w:lang w:val="en-GB"/>
        </w:rPr>
        <w:t xml:space="preserve"> </w:t>
      </w:r>
      <w:r w:rsidRPr="00701271">
        <w:rPr>
          <w:rFonts w:ascii="Calibri" w:hAnsi="Calibri"/>
          <w:color w:val="1F497D"/>
          <w:lang w:val="en-GB"/>
        </w:rPr>
        <w:t>and</w:t>
      </w:r>
      <w:r w:rsidR="00EC15F6" w:rsidRPr="00701271">
        <w:rPr>
          <w:rFonts w:ascii="Calibri" w:hAnsi="Calibri"/>
          <w:color w:val="1F497D"/>
          <w:lang w:val="en-GB"/>
        </w:rPr>
        <w:t> should</w:t>
      </w:r>
      <w:r w:rsidRPr="00701271">
        <w:rPr>
          <w:rFonts w:ascii="Calibri" w:hAnsi="Calibri"/>
          <w:color w:val="1F497D"/>
          <w:lang w:val="en-GB"/>
        </w:rPr>
        <w:t xml:space="preserve"> not be forced to agree to CSD access request just because they meet the risk guidelines set out in this proposal.</w:t>
      </w:r>
    </w:p>
    <w:p w:rsidR="00701271" w:rsidRDefault="00701271" w:rsidP="00701271">
      <w:pPr>
        <w:pStyle w:val="NormalWeb"/>
        <w:rPr>
          <w:rFonts w:ascii="Calibri" w:hAnsi="Calibri"/>
          <w:b/>
          <w:bCs/>
          <w:color w:val="1F497D"/>
          <w:u w:val="single"/>
          <w:lang w:val="en-GB"/>
        </w:rPr>
      </w:pPr>
      <w:r w:rsidRPr="00701271">
        <w:rPr>
          <w:rFonts w:ascii="Calibri" w:hAnsi="Calibri"/>
          <w:b/>
          <w:bCs/>
          <w:color w:val="1F497D"/>
          <w:u w:val="single"/>
          <w:lang w:val="en-GB"/>
        </w:rPr>
        <w:t>Broader set of factors should be considered in the comprehensive risk assessment</w:t>
      </w:r>
    </w:p>
    <w:p w:rsidR="00701271" w:rsidRPr="00701271" w:rsidRDefault="00701271" w:rsidP="00701271">
      <w:pPr>
        <w:pStyle w:val="NormalWeb"/>
        <w:rPr>
          <w:color w:val="1F497D"/>
          <w:lang w:val="en-GB"/>
        </w:rPr>
      </w:pPr>
      <w:r w:rsidRPr="00701271">
        <w:rPr>
          <w:rFonts w:ascii="Calibri" w:hAnsi="Calibri"/>
          <w:color w:val="1F497D"/>
          <w:lang w:val="en-GB"/>
        </w:rPr>
        <w:t> The Guidelines set out in the Consultation Paper rightly state that a comprehensive risk a</w:t>
      </w:r>
      <w:r w:rsidRPr="00701271">
        <w:rPr>
          <w:rFonts w:ascii="Calibri" w:hAnsi="Calibri"/>
          <w:color w:val="1F497D"/>
          <w:lang w:val="en-GB"/>
        </w:rPr>
        <w:t>s</w:t>
      </w:r>
      <w:r w:rsidRPr="00701271">
        <w:rPr>
          <w:rFonts w:ascii="Calibri" w:hAnsi="Calibri"/>
          <w:color w:val="1F497D"/>
          <w:lang w:val="en-GB"/>
        </w:rPr>
        <w:t>sessment must be performed (as per Art 53(3) of CSDR). However, the emphasis must be on the "comprehensiveness" of the risk assessment.  Article 53(4) mandates ESMA to develop guid</w:t>
      </w:r>
      <w:r w:rsidRPr="00701271">
        <w:rPr>
          <w:rFonts w:ascii="Calibri" w:hAnsi="Calibri"/>
          <w:color w:val="1F497D"/>
          <w:lang w:val="en-GB"/>
        </w:rPr>
        <w:t>e</w:t>
      </w:r>
      <w:r w:rsidRPr="00701271">
        <w:rPr>
          <w:rFonts w:ascii="Calibri" w:hAnsi="Calibri"/>
          <w:color w:val="1F497D"/>
          <w:lang w:val="en-GB"/>
        </w:rPr>
        <w:t>lines to specify the risks to be taken into account by CSDs but it is not clear (and in our view should not be the case) that the risks ESMA identifies as being relevant to the risk assessment should be exhaustive.  This should be true of any Guidelines which ESMA proposes for the risk assessment that trading venues and CCPs are required to undertake.  The Guidelines should set a harmonised minimum set of risk factors and not</w:t>
      </w:r>
      <w:r w:rsidRPr="00701271">
        <w:rPr>
          <w:color w:val="1F497D"/>
          <w:lang w:val="en-GB"/>
        </w:rPr>
        <w:t xml:space="preserve"> </w:t>
      </w:r>
      <w:r w:rsidRPr="00701271">
        <w:rPr>
          <w:rFonts w:ascii="Calibri" w:hAnsi="Calibri"/>
          <w:color w:val="1F497D"/>
          <w:lang w:val="en-GB"/>
        </w:rPr>
        <w:t>an exhaustive list in order that trading venues and CCPs can comply with their Level 1 obligation to perform a "comprehensive" risk asses</w:t>
      </w:r>
      <w:r w:rsidRPr="00701271">
        <w:rPr>
          <w:rFonts w:ascii="Calibri" w:hAnsi="Calibri"/>
          <w:color w:val="1F497D"/>
          <w:lang w:val="en-GB"/>
        </w:rPr>
        <w:t>s</w:t>
      </w:r>
      <w:r w:rsidRPr="00701271">
        <w:rPr>
          <w:rFonts w:ascii="Calibri" w:hAnsi="Calibri"/>
          <w:color w:val="1F497D"/>
          <w:lang w:val="en-GB"/>
        </w:rPr>
        <w:t>ment.</w:t>
      </w:r>
    </w:p>
    <w:p w:rsidR="00701271" w:rsidRPr="00701271" w:rsidRDefault="00701271" w:rsidP="00701271">
      <w:pPr>
        <w:pStyle w:val="NormalWeb"/>
        <w:rPr>
          <w:lang w:val="en-GB"/>
        </w:rPr>
      </w:pPr>
      <w:r w:rsidRPr="00701271">
        <w:rPr>
          <w:rFonts w:ascii="Calibri" w:hAnsi="Calibri"/>
          <w:color w:val="1F497D"/>
          <w:lang w:val="en-GB"/>
        </w:rPr>
        <w:t xml:space="preserve">If ESMA does not accept </w:t>
      </w:r>
      <w:r w:rsidR="00EC15F6">
        <w:rPr>
          <w:rFonts w:ascii="Calibri" w:hAnsi="Calibri"/>
          <w:color w:val="1F497D"/>
          <w:lang w:val="en-GB"/>
        </w:rPr>
        <w:t>the</w:t>
      </w:r>
      <w:r w:rsidRPr="00701271">
        <w:rPr>
          <w:rFonts w:ascii="Calibri" w:hAnsi="Calibri"/>
          <w:color w:val="1F497D"/>
          <w:lang w:val="en-GB"/>
        </w:rPr>
        <w:t xml:space="preserve"> view set out above, we are of the opinion that the paper potentially defines this assessment too narrowly in any event since it only includes legal, financial and operational risks.  In reality, however, there are many other aspects and risks that a trading venue or CCP needs to consider before agreeing to an access request.  Unless ESMA considers that the above categories are broad enough to capture the following additional factors, failure to consider the</w:t>
      </w:r>
      <w:r w:rsidRPr="00701271">
        <w:rPr>
          <w:color w:val="1F497D"/>
          <w:lang w:val="en-GB"/>
        </w:rPr>
        <w:t xml:space="preserve"> </w:t>
      </w:r>
      <w:r w:rsidRPr="00701271">
        <w:rPr>
          <w:rFonts w:ascii="Calibri" w:hAnsi="Calibri"/>
          <w:color w:val="1F497D"/>
          <w:lang w:val="en-GB"/>
        </w:rPr>
        <w:t>factors set out below may create additional risks for the trading revenue or CCP;</w:t>
      </w:r>
    </w:p>
    <w:p w:rsidR="00701271" w:rsidRPr="00701271" w:rsidRDefault="00701271" w:rsidP="00701271">
      <w:pPr>
        <w:pStyle w:val="NormalWeb"/>
        <w:rPr>
          <w:lang w:val="en-GB"/>
        </w:rPr>
      </w:pPr>
      <w:r w:rsidRPr="00701271">
        <w:rPr>
          <w:rFonts w:ascii="Calibri" w:hAnsi="Calibri"/>
          <w:color w:val="1F497D"/>
          <w:lang w:val="en-GB"/>
        </w:rPr>
        <w:t> 1.     </w:t>
      </w:r>
      <w:r w:rsidRPr="00701271">
        <w:rPr>
          <w:u w:val="single"/>
          <w:lang w:val="en-GB"/>
        </w:rPr>
        <w:t xml:space="preserve"> </w:t>
      </w:r>
      <w:r w:rsidRPr="00701271">
        <w:rPr>
          <w:rFonts w:ascii="Calibri" w:hAnsi="Calibri"/>
          <w:color w:val="1F497D"/>
          <w:u w:val="single"/>
          <w:lang w:val="en-GB"/>
        </w:rPr>
        <w:t>Service compatibility</w:t>
      </w:r>
    </w:p>
    <w:p w:rsidR="00701271" w:rsidRPr="00701271" w:rsidRDefault="00701271" w:rsidP="00701271">
      <w:pPr>
        <w:pStyle w:val="NormalWeb"/>
        <w:rPr>
          <w:lang w:val="en-GB"/>
        </w:rPr>
      </w:pPr>
      <w:r w:rsidRPr="00701271">
        <w:rPr>
          <w:rFonts w:ascii="Calibri" w:hAnsi="Calibri"/>
          <w:color w:val="1F497D"/>
          <w:lang w:val="en-GB"/>
        </w:rPr>
        <w:t>When considering a request for access to transaction feeds, a trading venue or CCP needs to consider the services that they provide to trading and clearing members and if they are co</w:t>
      </w:r>
      <w:r w:rsidRPr="00701271">
        <w:rPr>
          <w:rFonts w:ascii="Calibri" w:hAnsi="Calibri"/>
          <w:color w:val="1F497D"/>
          <w:lang w:val="en-GB"/>
        </w:rPr>
        <w:t>m</w:t>
      </w:r>
      <w:r w:rsidRPr="00701271">
        <w:rPr>
          <w:rFonts w:ascii="Calibri" w:hAnsi="Calibri"/>
          <w:color w:val="1F497D"/>
          <w:lang w:val="en-GB"/>
        </w:rPr>
        <w:t xml:space="preserve">patible with and can be supported by the CSD seeking the direct connection.  These services may include the provision of liquidity, credit, specific reporting, enhanced asset servicing, tax services and the required communication protocols.  The inability of a CSD to support these services could result in a more inefficient CCP operating model, potentially resulting in increased costs, greater latency and more complex processes.  This may force the CCP to source different elements of the service from several different intermediaries. </w:t>
      </w:r>
    </w:p>
    <w:p w:rsidR="00701271" w:rsidRPr="008350A7" w:rsidRDefault="00701271" w:rsidP="00701271">
      <w:pPr>
        <w:pStyle w:val="NormalWeb"/>
        <w:rPr>
          <w:lang w:val="en-GB"/>
        </w:rPr>
      </w:pPr>
      <w:r w:rsidRPr="00701271">
        <w:rPr>
          <w:rFonts w:ascii="Calibri" w:hAnsi="Calibri"/>
          <w:color w:val="1F497D"/>
          <w:lang w:val="en-GB"/>
        </w:rPr>
        <w:t> </w:t>
      </w:r>
      <w:r w:rsidRPr="008350A7">
        <w:rPr>
          <w:rFonts w:ascii="Calibri" w:hAnsi="Calibri"/>
          <w:color w:val="1F497D"/>
          <w:lang w:val="en-GB"/>
        </w:rPr>
        <w:t>2.     </w:t>
      </w:r>
      <w:r w:rsidRPr="008350A7">
        <w:rPr>
          <w:u w:val="single"/>
          <w:lang w:val="en-GB"/>
        </w:rPr>
        <w:t xml:space="preserve"> </w:t>
      </w:r>
      <w:r w:rsidRPr="008350A7">
        <w:rPr>
          <w:rFonts w:ascii="Calibri" w:hAnsi="Calibri"/>
          <w:color w:val="1F497D"/>
          <w:u w:val="single"/>
          <w:lang w:val="en-GB"/>
        </w:rPr>
        <w:t>Market knowledge / local factors</w:t>
      </w:r>
    </w:p>
    <w:p w:rsidR="00701271" w:rsidRPr="00701271" w:rsidRDefault="00701271" w:rsidP="00701271">
      <w:pPr>
        <w:pStyle w:val="NormalWeb"/>
        <w:rPr>
          <w:lang w:val="en-GB"/>
        </w:rPr>
      </w:pPr>
      <w:r w:rsidRPr="00701271">
        <w:rPr>
          <w:rFonts w:ascii="Calibri" w:hAnsi="Calibri"/>
          <w:color w:val="1F497D"/>
          <w:lang w:val="en-GB"/>
        </w:rPr>
        <w:t>A trading venue or CCP establishing a direct connection with a CSD, at the CSD's request, should have regard to the required level of market knowledge and general expertise around local ma</w:t>
      </w:r>
      <w:r w:rsidRPr="00701271">
        <w:rPr>
          <w:rFonts w:ascii="Calibri" w:hAnsi="Calibri"/>
          <w:color w:val="1F497D"/>
          <w:lang w:val="en-GB"/>
        </w:rPr>
        <w:t>r</w:t>
      </w:r>
      <w:r w:rsidRPr="00701271">
        <w:rPr>
          <w:rFonts w:ascii="Calibri" w:hAnsi="Calibri"/>
          <w:color w:val="1F497D"/>
          <w:lang w:val="en-GB"/>
        </w:rPr>
        <w:t>ket practices etc.  Failure to do so may leave the trading venue or CCP exposed to oper</w:t>
      </w:r>
      <w:r w:rsidRPr="00701271">
        <w:rPr>
          <w:rFonts w:ascii="Calibri" w:hAnsi="Calibri"/>
          <w:color w:val="1F497D"/>
          <w:lang w:val="en-GB"/>
        </w:rPr>
        <w:t>a</w:t>
      </w:r>
      <w:r w:rsidRPr="00701271">
        <w:rPr>
          <w:rFonts w:ascii="Calibri" w:hAnsi="Calibri"/>
          <w:color w:val="1F497D"/>
          <w:lang w:val="en-GB"/>
        </w:rPr>
        <w:lastRenderedPageBreak/>
        <w:t>tional/financial risk from failing to act in accordance with market protocol.  This situation b</w:t>
      </w:r>
      <w:r w:rsidRPr="00701271">
        <w:rPr>
          <w:rFonts w:ascii="Calibri" w:hAnsi="Calibri"/>
          <w:color w:val="1F497D"/>
          <w:lang w:val="en-GB"/>
        </w:rPr>
        <w:t>e</w:t>
      </w:r>
      <w:r w:rsidRPr="00701271">
        <w:rPr>
          <w:rFonts w:ascii="Calibri" w:hAnsi="Calibri"/>
          <w:color w:val="1F497D"/>
          <w:lang w:val="en-GB"/>
        </w:rPr>
        <w:t xml:space="preserve">comes more complex if the trading venue or CCP operates on a regional basis as opposed to domestically. </w:t>
      </w:r>
    </w:p>
    <w:p w:rsidR="00701271" w:rsidRPr="00701271" w:rsidRDefault="00701271" w:rsidP="00701271">
      <w:pPr>
        <w:pStyle w:val="NormalWeb"/>
        <w:rPr>
          <w:lang w:val="en-GB"/>
        </w:rPr>
      </w:pPr>
      <w:r w:rsidRPr="00701271">
        <w:rPr>
          <w:rFonts w:ascii="Calibri" w:hAnsi="Calibri"/>
          <w:color w:val="1F497D"/>
          <w:lang w:val="en-GB"/>
        </w:rPr>
        <w:t> 3.     </w:t>
      </w:r>
      <w:r w:rsidRPr="00701271">
        <w:rPr>
          <w:u w:val="single"/>
          <w:lang w:val="en-GB"/>
        </w:rPr>
        <w:t xml:space="preserve"> </w:t>
      </w:r>
      <w:r w:rsidRPr="00701271">
        <w:rPr>
          <w:rFonts w:ascii="Calibri" w:hAnsi="Calibri"/>
          <w:color w:val="1F497D"/>
          <w:u w:val="single"/>
          <w:lang w:val="en-GB"/>
        </w:rPr>
        <w:t>The financial impact of connecting directly to CSDs</w:t>
      </w:r>
    </w:p>
    <w:p w:rsidR="00701271" w:rsidRPr="00701271" w:rsidRDefault="00701271" w:rsidP="00701271">
      <w:pPr>
        <w:pStyle w:val="NormalWeb"/>
        <w:rPr>
          <w:lang w:val="en-GB"/>
        </w:rPr>
      </w:pPr>
      <w:r w:rsidRPr="00701271">
        <w:rPr>
          <w:rFonts w:ascii="Calibri" w:hAnsi="Calibri"/>
          <w:color w:val="1F497D"/>
          <w:lang w:val="en-GB"/>
        </w:rPr>
        <w:t>A trading venue or CCP establishing a direct connection with a CSD needs to analyse the fina</w:t>
      </w:r>
      <w:r w:rsidRPr="00701271">
        <w:rPr>
          <w:rFonts w:ascii="Calibri" w:hAnsi="Calibri"/>
          <w:color w:val="1F497D"/>
          <w:lang w:val="en-GB"/>
        </w:rPr>
        <w:t>n</w:t>
      </w:r>
      <w:r w:rsidRPr="00701271">
        <w:rPr>
          <w:rFonts w:ascii="Calibri" w:hAnsi="Calibri"/>
          <w:color w:val="1F497D"/>
          <w:lang w:val="en-GB"/>
        </w:rPr>
        <w:t xml:space="preserve">cial impact.  This is more complex and potentially introduces more risk when a trading venue or CCP operates on a regional basis as the impact of connecting to multiple issuer CSDs needs to be considered.  </w:t>
      </w:r>
    </w:p>
    <w:p w:rsidR="00701271" w:rsidRPr="00701271" w:rsidRDefault="00701271" w:rsidP="00701271">
      <w:pPr>
        <w:pStyle w:val="NormalWeb"/>
        <w:rPr>
          <w:lang w:val="en-GB"/>
        </w:rPr>
      </w:pPr>
      <w:r w:rsidRPr="00701271">
        <w:rPr>
          <w:rFonts w:ascii="Calibri" w:hAnsi="Calibri"/>
          <w:color w:val="1F497D"/>
          <w:lang w:val="en-GB"/>
        </w:rPr>
        <w:t>4.     </w:t>
      </w:r>
      <w:r w:rsidRPr="00701271">
        <w:rPr>
          <w:u w:val="single"/>
          <w:lang w:val="en-GB"/>
        </w:rPr>
        <w:t xml:space="preserve"> </w:t>
      </w:r>
      <w:r w:rsidRPr="00701271">
        <w:rPr>
          <w:rFonts w:ascii="Calibri" w:hAnsi="Calibri"/>
          <w:color w:val="1F497D"/>
          <w:u w:val="single"/>
          <w:lang w:val="en-GB"/>
        </w:rPr>
        <w:t>The technical ability to connect directly to CSDs</w:t>
      </w:r>
    </w:p>
    <w:p w:rsidR="00701271" w:rsidRPr="00701271" w:rsidRDefault="00701271" w:rsidP="00701271">
      <w:pPr>
        <w:pStyle w:val="NormalWeb"/>
        <w:rPr>
          <w:lang w:val="en-GB"/>
        </w:rPr>
      </w:pPr>
      <w:r w:rsidRPr="00701271">
        <w:rPr>
          <w:rFonts w:ascii="Calibri" w:hAnsi="Calibri"/>
          <w:color w:val="1F497D"/>
          <w:lang w:val="en-GB"/>
        </w:rPr>
        <w:t>Trading venues and CCPs need to assess the technical ability to connect to the CSD.  In many cases CSDs do not operate a standard interface and therefore the trading venue or CCP may potentially need to develop many different communication methods and formats.  This is often alleviated when the trading venue or CCP chooses to use an intermediary such as a custodian that may offer a single interface across several CSDs.</w:t>
      </w:r>
    </w:p>
    <w:p w:rsidR="00701271" w:rsidRPr="00701271" w:rsidRDefault="00701271" w:rsidP="00701271">
      <w:pPr>
        <w:pStyle w:val="NormalWeb"/>
        <w:rPr>
          <w:lang w:val="en-GB"/>
        </w:rPr>
      </w:pPr>
      <w:r w:rsidRPr="00701271">
        <w:rPr>
          <w:rFonts w:ascii="Calibri" w:hAnsi="Calibri"/>
          <w:color w:val="1F497D"/>
          <w:lang w:val="en-GB"/>
        </w:rPr>
        <w:t xml:space="preserve"> In summary, </w:t>
      </w:r>
    </w:p>
    <w:p w:rsidR="00701271" w:rsidRPr="00701271" w:rsidRDefault="00701271" w:rsidP="00701271">
      <w:pPr>
        <w:pStyle w:val="NormalWeb"/>
        <w:rPr>
          <w:lang w:val="en-GB"/>
        </w:rPr>
      </w:pPr>
      <w:r>
        <w:rPr>
          <w:rFonts w:ascii="Symbol" w:hAnsi="Symbol"/>
          <w:color w:val="1F497D"/>
        </w:rPr>
        <w:t></w:t>
      </w:r>
      <w:r w:rsidRPr="00701271">
        <w:rPr>
          <w:rFonts w:ascii="Courier New" w:hAnsi="Courier New" w:cs="Courier New"/>
          <w:color w:val="1F497D"/>
          <w:lang w:val="en-GB"/>
        </w:rPr>
        <w:t>      </w:t>
      </w:r>
      <w:r w:rsidRPr="00701271">
        <w:rPr>
          <w:lang w:val="en-GB"/>
        </w:rPr>
        <w:t xml:space="preserve"> </w:t>
      </w:r>
      <w:r w:rsidRPr="00701271">
        <w:rPr>
          <w:rFonts w:ascii="Calibri" w:hAnsi="Calibri"/>
          <w:color w:val="1F497D"/>
          <w:lang w:val="en-GB"/>
        </w:rPr>
        <w:t>we question the need for these Guidelines when there are already examples of tra</w:t>
      </w:r>
      <w:r w:rsidRPr="00701271">
        <w:rPr>
          <w:rFonts w:ascii="Calibri" w:hAnsi="Calibri"/>
          <w:color w:val="1F497D"/>
          <w:lang w:val="en-GB"/>
        </w:rPr>
        <w:t>d</w:t>
      </w:r>
      <w:r w:rsidRPr="00701271">
        <w:rPr>
          <w:rFonts w:ascii="Calibri" w:hAnsi="Calibri"/>
          <w:color w:val="1F497D"/>
          <w:lang w:val="en-GB"/>
        </w:rPr>
        <w:t>ing venues and CCP</w:t>
      </w:r>
      <w:r w:rsidRPr="00EC15F6">
        <w:rPr>
          <w:rFonts w:ascii="Calibri" w:hAnsi="Calibri"/>
          <w:color w:val="1F497D"/>
          <w:lang w:val="en-GB"/>
        </w:rPr>
        <w:t>s</w:t>
      </w:r>
      <w:r w:rsidRPr="00701271">
        <w:rPr>
          <w:rFonts w:ascii="Calibri" w:hAnsi="Calibri"/>
          <w:color w:val="1F497D"/>
          <w:lang w:val="en-GB"/>
        </w:rPr>
        <w:t xml:space="preserve"> connecting directly to CSDs.  </w:t>
      </w:r>
    </w:p>
    <w:p w:rsidR="00701271" w:rsidRPr="00701271" w:rsidRDefault="00701271" w:rsidP="00701271">
      <w:pPr>
        <w:pStyle w:val="NormalWeb"/>
        <w:rPr>
          <w:lang w:val="en-GB"/>
        </w:rPr>
      </w:pPr>
      <w:r>
        <w:rPr>
          <w:rFonts w:ascii="Symbol" w:hAnsi="Symbol"/>
          <w:color w:val="1F497D"/>
        </w:rPr>
        <w:t></w:t>
      </w:r>
      <w:r w:rsidRPr="00701271">
        <w:rPr>
          <w:rFonts w:ascii="Courier New" w:hAnsi="Courier New" w:cs="Courier New"/>
          <w:color w:val="1F497D"/>
          <w:lang w:val="en-GB"/>
        </w:rPr>
        <w:t>      </w:t>
      </w:r>
      <w:r w:rsidRPr="00701271">
        <w:rPr>
          <w:lang w:val="en-GB"/>
        </w:rPr>
        <w:t xml:space="preserve"> </w:t>
      </w:r>
      <w:r w:rsidRPr="00701271">
        <w:rPr>
          <w:rFonts w:ascii="Calibri" w:hAnsi="Calibri"/>
          <w:color w:val="1F497D"/>
          <w:lang w:val="en-GB"/>
        </w:rPr>
        <w:t>we believe that the trading venue or CCP should be free to choose its optimal opera</w:t>
      </w:r>
      <w:r w:rsidRPr="00701271">
        <w:rPr>
          <w:rFonts w:ascii="Calibri" w:hAnsi="Calibri"/>
          <w:color w:val="1F497D"/>
          <w:lang w:val="en-GB"/>
        </w:rPr>
        <w:t>t</w:t>
      </w:r>
      <w:r w:rsidRPr="00701271">
        <w:rPr>
          <w:rFonts w:ascii="Calibri" w:hAnsi="Calibri"/>
          <w:color w:val="1F497D"/>
          <w:lang w:val="en-GB"/>
        </w:rPr>
        <w:t xml:space="preserve">ing model and should not be bound to consider/agree to access requests from CSDs.  </w:t>
      </w:r>
    </w:p>
    <w:p w:rsidR="00701271" w:rsidRPr="00701271" w:rsidRDefault="00701271" w:rsidP="00701271">
      <w:pPr>
        <w:pStyle w:val="NormalWeb"/>
        <w:rPr>
          <w:lang w:val="en-GB"/>
        </w:rPr>
      </w:pPr>
      <w:r>
        <w:rPr>
          <w:rFonts w:ascii="Symbol" w:hAnsi="Symbol"/>
          <w:color w:val="1F497D"/>
        </w:rPr>
        <w:t></w:t>
      </w:r>
      <w:r w:rsidRPr="00701271">
        <w:rPr>
          <w:rFonts w:ascii="Courier New" w:hAnsi="Courier New" w:cs="Courier New"/>
          <w:color w:val="1F497D"/>
          <w:lang w:val="en-GB"/>
        </w:rPr>
        <w:t>      </w:t>
      </w:r>
      <w:r w:rsidRPr="00701271">
        <w:rPr>
          <w:lang w:val="en-GB"/>
        </w:rPr>
        <w:t xml:space="preserve"> </w:t>
      </w:r>
      <w:r w:rsidRPr="00701271">
        <w:rPr>
          <w:rFonts w:ascii="Calibri" w:hAnsi="Calibri"/>
          <w:color w:val="1F497D"/>
          <w:lang w:val="en-GB"/>
        </w:rPr>
        <w:t xml:space="preserve">if ESMA intends to move ahead with these Guidelines, it is essential that it considers </w:t>
      </w:r>
      <w:proofErr w:type="gramStart"/>
      <w:r w:rsidRPr="00701271">
        <w:rPr>
          <w:rFonts w:ascii="Calibri" w:hAnsi="Calibri"/>
          <w:color w:val="1F497D"/>
          <w:lang w:val="en-GB"/>
        </w:rPr>
        <w:t>a</w:t>
      </w:r>
      <w:proofErr w:type="gramEnd"/>
      <w:r w:rsidRPr="00701271">
        <w:rPr>
          <w:rFonts w:ascii="Calibri" w:hAnsi="Calibri"/>
          <w:color w:val="1F497D"/>
          <w:lang w:val="en-GB"/>
        </w:rPr>
        <w:t xml:space="preserve"> much broader range of factors when setting out Guidelines.  Failure to meet the standards set out in these additional guidelines should be an acceptable reason for a trading venue or CCP to decline an access request. </w:t>
      </w:r>
    </w:p>
    <w:permEnd w:id="3"/>
    <w:p w:rsidR="00A35728" w:rsidRPr="00616B9B" w:rsidRDefault="00A35728" w:rsidP="00A35728">
      <w:pPr>
        <w:rPr>
          <w:rFonts w:ascii="Arial" w:hAnsi="Arial" w:cs="Arial"/>
          <w:sz w:val="22"/>
          <w:szCs w:val="22"/>
        </w:rPr>
      </w:pPr>
      <w:r w:rsidRPr="00616B9B">
        <w:rPr>
          <w:rFonts w:ascii="Arial" w:hAnsi="Arial" w:cs="Arial"/>
          <w:sz w:val="22"/>
          <w:szCs w:val="22"/>
        </w:rPr>
        <w:t>&lt;ESMA_QUESTION_</w:t>
      </w:r>
      <w:r w:rsidR="00937424" w:rsidRPr="00937424">
        <w:rPr>
          <w:rFonts w:ascii="Arial" w:hAnsi="Arial" w:cs="Arial"/>
          <w:sz w:val="22"/>
          <w:szCs w:val="22"/>
        </w:rPr>
        <w:t xml:space="preserve"> </w:t>
      </w:r>
      <w:r w:rsidR="00576AB8">
        <w:rPr>
          <w:rFonts w:ascii="Arial" w:hAnsi="Arial" w:cs="Arial"/>
          <w:sz w:val="22"/>
          <w:szCs w:val="22"/>
        </w:rPr>
        <w:t>GUID_CSDR</w:t>
      </w:r>
      <w:r w:rsidRPr="00616B9B">
        <w:rPr>
          <w:rFonts w:ascii="Arial" w:hAnsi="Arial" w:cs="Arial"/>
          <w:sz w:val="22"/>
          <w:szCs w:val="22"/>
        </w:rPr>
        <w:t>_1&gt;</w:t>
      </w:r>
    </w:p>
    <w:p w:rsidR="003A6E9A" w:rsidRPr="00616B9B" w:rsidRDefault="003A6E9A" w:rsidP="00B156CF">
      <w:pPr>
        <w:rPr>
          <w:rFonts w:ascii="Arial" w:hAnsi="Arial" w:cs="Arial"/>
          <w:sz w:val="22"/>
          <w:szCs w:val="22"/>
        </w:rPr>
      </w:pPr>
    </w:p>
    <w:sectPr w:rsidR="003A6E9A" w:rsidRPr="00616B9B" w:rsidSect="000D17AA">
      <w:headerReference w:type="even" r:id="rId14"/>
      <w:headerReference w:type="first" r:id="rId15"/>
      <w:footerReference w:type="first" r:id="rId16"/>
      <w:pgSz w:w="11906" w:h="16838" w:code="9"/>
      <w:pgMar w:top="2552"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9D8" w:rsidRDefault="008D59D8">
      <w:r>
        <w:separator/>
      </w:r>
    </w:p>
    <w:p w:rsidR="008D59D8" w:rsidRDefault="008D59D8"/>
  </w:endnote>
  <w:endnote w:type="continuationSeparator" w:id="0">
    <w:p w:rsidR="008D59D8" w:rsidRDefault="008D59D8">
      <w:r>
        <w:continuationSeparator/>
      </w:r>
    </w:p>
    <w:p w:rsidR="008D59D8" w:rsidRDefault="008D59D8"/>
  </w:endnote>
  <w:endnote w:type="continuationNotice" w:id="1">
    <w:p w:rsidR="008D59D8" w:rsidRDefault="008D59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A042F6" w:rsidP="002C5B2D">
          <w:pPr>
            <w:pStyle w:val="00aPagenumber"/>
            <w:rPr>
              <w:rFonts w:ascii="Arial" w:hAnsi="Arial" w:cs="Arial"/>
              <w:sz w:val="22"/>
              <w:szCs w:val="22"/>
            </w:rPr>
          </w:pPr>
          <w:r w:rsidRPr="00616B9B">
            <w:rPr>
              <w:rFonts w:ascii="Arial" w:hAnsi="Arial" w:cs="Arial"/>
              <w:sz w:val="22"/>
              <w:szCs w:val="22"/>
            </w:rPr>
            <w:fldChar w:fldCharType="begin"/>
          </w:r>
          <w:r w:rsidR="00811EDA" w:rsidRPr="00616B9B">
            <w:rPr>
              <w:rFonts w:ascii="Arial" w:hAnsi="Arial" w:cs="Arial"/>
              <w:sz w:val="22"/>
              <w:szCs w:val="22"/>
            </w:rPr>
            <w:instrText xml:space="preserve"> PAGE </w:instrText>
          </w:r>
          <w:r w:rsidRPr="00616B9B">
            <w:rPr>
              <w:rFonts w:ascii="Arial" w:hAnsi="Arial" w:cs="Arial"/>
              <w:sz w:val="22"/>
              <w:szCs w:val="22"/>
            </w:rPr>
            <w:fldChar w:fldCharType="separate"/>
          </w:r>
          <w:r w:rsidR="00BB7471">
            <w:rPr>
              <w:rFonts w:ascii="Arial" w:hAnsi="Arial" w:cs="Arial"/>
              <w:noProof/>
              <w:sz w:val="22"/>
              <w:szCs w:val="22"/>
            </w:rPr>
            <w:t>7</w:t>
          </w:r>
          <w:r w:rsidRPr="00616B9B">
            <w:rPr>
              <w:rFonts w:ascii="Arial" w:hAnsi="Arial" w:cs="Arial"/>
              <w:noProof/>
              <w:sz w:val="22"/>
              <w:szCs w:val="22"/>
            </w:rPr>
            <w:fldChar w:fldCharType="end"/>
          </w:r>
        </w:p>
      </w:tc>
    </w:tr>
  </w:tbl>
  <w:p w:rsidR="00811EDA" w:rsidRDefault="00811E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9D8" w:rsidRDefault="008D59D8">
      <w:r>
        <w:separator/>
      </w:r>
    </w:p>
    <w:p w:rsidR="008D59D8" w:rsidRDefault="008D59D8"/>
  </w:footnote>
  <w:footnote w:type="continuationSeparator" w:id="0">
    <w:p w:rsidR="008D59D8" w:rsidRDefault="008D59D8">
      <w:r>
        <w:continuationSeparator/>
      </w:r>
    </w:p>
    <w:p w:rsidR="008D59D8" w:rsidRDefault="008D59D8"/>
  </w:footnote>
  <w:footnote w:type="continuationNotice" w:id="1">
    <w:p w:rsidR="008D59D8" w:rsidRDefault="008D59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A0B7C">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A042F6" w:rsidRPr="00A042F6">
      <w:rPr>
        <w:noProof/>
        <w:lang w:eastAsia="en-GB"/>
      </w:rPr>
      <w:pict>
        <v:line id="Line 16" o:spid="_x0000_s409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A0B7C"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A042F6">
    <w:pPr>
      <w:pStyle w:val="Header"/>
    </w:pPr>
    <w:r w:rsidRPr="00A042F6">
      <w:rPr>
        <w:noProof/>
        <w:lang w:eastAsia="en-GB"/>
      </w:rPr>
      <w:pict>
        <v:line id="Straight Connector 138" o:spid="_x0000_s409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A0B7C">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1"/>
  <w:documentProtection w:edit="readOnly" w:enforcement="1" w:cryptProviderType="rsaFull" w:cryptAlgorithmClass="hash" w:cryptAlgorithmType="typeAny" w:cryptAlgorithmSid="4" w:cryptSpinCount="100000" w:hash="0aEaKF9UCElK620mSQ9yEzYWvk4=" w:salt="a24mZurC7TD0t62X2Kkm6Q=="/>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47C"/>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6F"/>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4B3"/>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44F"/>
    <w:rsid w:val="001405BA"/>
    <w:rsid w:val="00141497"/>
    <w:rsid w:val="0014253A"/>
    <w:rsid w:val="001425C8"/>
    <w:rsid w:val="001431AE"/>
    <w:rsid w:val="00143B87"/>
    <w:rsid w:val="001459E3"/>
    <w:rsid w:val="00146A0B"/>
    <w:rsid w:val="0014761E"/>
    <w:rsid w:val="001476E2"/>
    <w:rsid w:val="00151907"/>
    <w:rsid w:val="00152F8E"/>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799"/>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4755"/>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2CBF"/>
    <w:rsid w:val="0024426D"/>
    <w:rsid w:val="00244F1D"/>
    <w:rsid w:val="00245004"/>
    <w:rsid w:val="00245FB4"/>
    <w:rsid w:val="00250898"/>
    <w:rsid w:val="00251EA9"/>
    <w:rsid w:val="00252843"/>
    <w:rsid w:val="002543F8"/>
    <w:rsid w:val="00254A6A"/>
    <w:rsid w:val="002551A4"/>
    <w:rsid w:val="002559F3"/>
    <w:rsid w:val="00256DFE"/>
    <w:rsid w:val="00261D56"/>
    <w:rsid w:val="00261FD3"/>
    <w:rsid w:val="00264077"/>
    <w:rsid w:val="0026621B"/>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B7B6D"/>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136E"/>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50B1"/>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6AB8"/>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0FC2"/>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1271"/>
    <w:rsid w:val="00702163"/>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092"/>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0A7"/>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9D8"/>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424"/>
    <w:rsid w:val="0093759D"/>
    <w:rsid w:val="00940239"/>
    <w:rsid w:val="00942BD6"/>
    <w:rsid w:val="00942DED"/>
    <w:rsid w:val="00944404"/>
    <w:rsid w:val="00944613"/>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2F6"/>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4EFD"/>
    <w:rsid w:val="00A85543"/>
    <w:rsid w:val="00A91682"/>
    <w:rsid w:val="00A91CAA"/>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39E7"/>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5EFC"/>
    <w:rsid w:val="00AF65C5"/>
    <w:rsid w:val="00B03CE2"/>
    <w:rsid w:val="00B06544"/>
    <w:rsid w:val="00B105F2"/>
    <w:rsid w:val="00B10991"/>
    <w:rsid w:val="00B12128"/>
    <w:rsid w:val="00B12595"/>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A34"/>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6CE"/>
    <w:rsid w:val="00B47CE4"/>
    <w:rsid w:val="00B503A8"/>
    <w:rsid w:val="00B5121D"/>
    <w:rsid w:val="00B525C0"/>
    <w:rsid w:val="00B52FAB"/>
    <w:rsid w:val="00B5319A"/>
    <w:rsid w:val="00B539F9"/>
    <w:rsid w:val="00B53E56"/>
    <w:rsid w:val="00B546C3"/>
    <w:rsid w:val="00B54BD9"/>
    <w:rsid w:val="00B5503C"/>
    <w:rsid w:val="00B551C7"/>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471"/>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394C"/>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79FF"/>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081"/>
    <w:rsid w:val="00DA0B7C"/>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6DAD"/>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5F6"/>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5F99"/>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F95F99"/>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F95F99"/>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F95F99"/>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F95F99"/>
    <w:rPr>
      <w:rFonts w:ascii="Calibri" w:hAnsi="Calibri"/>
      <w:b/>
      <w:sz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79843619">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16523378">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8594338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43470830">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5314143">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26842116">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665622B26AD43AC8E12A333E517BB4F"/>
        <w:category>
          <w:name w:val="General"/>
          <w:gallery w:val="placeholder"/>
        </w:category>
        <w:types>
          <w:type w:val="bbPlcHdr"/>
        </w:types>
        <w:behaviors>
          <w:behavior w:val="content"/>
        </w:behaviors>
        <w:guid w:val="{F5A28606-2DEA-4301-9A29-16B64BDB9DC1}"/>
      </w:docPartPr>
      <w:docPartBody>
        <w:p w:rsidR="00E12B84" w:rsidRDefault="00667475" w:rsidP="00667475">
          <w:pPr>
            <w:pStyle w:val="0665622B26AD43AC8E12A333E517BB4F"/>
          </w:pPr>
          <w:r w:rsidRPr="000E3791">
            <w:rPr>
              <w:rStyle w:val="PlaceholderText"/>
            </w:rPr>
            <w:t>Choose an item.</w:t>
          </w:r>
        </w:p>
      </w:docPartBody>
    </w:docPart>
    <w:docPart>
      <w:docPartPr>
        <w:name w:val="E621C4A7AFB14CFDBE7DACDDF871A620"/>
        <w:category>
          <w:name w:val="General"/>
          <w:gallery w:val="placeholder"/>
        </w:category>
        <w:types>
          <w:type w:val="bbPlcHdr"/>
        </w:types>
        <w:behaviors>
          <w:behavior w:val="content"/>
        </w:behaviors>
        <w:guid w:val="{2E507754-4F61-4353-A227-91D929237CB0}"/>
      </w:docPartPr>
      <w:docPartBody>
        <w:p w:rsidR="00E12B84" w:rsidRDefault="00667475" w:rsidP="00667475">
          <w:pPr>
            <w:pStyle w:val="E621C4A7AFB14CFDBE7DACDDF871A620"/>
          </w:pPr>
          <w:r w:rsidRPr="000E3791">
            <w:rPr>
              <w:rStyle w:val="PlaceholderText"/>
            </w:rPr>
            <w:t>Choose an item.</w:t>
          </w:r>
        </w:p>
      </w:docPartBody>
    </w:docPart>
    <w:docPart>
      <w:docPartPr>
        <w:name w:val="42A4733F95294A85B4F0B958280A824B"/>
        <w:category>
          <w:name w:val="General"/>
          <w:gallery w:val="placeholder"/>
        </w:category>
        <w:types>
          <w:type w:val="bbPlcHdr"/>
        </w:types>
        <w:behaviors>
          <w:behavior w:val="content"/>
        </w:behaviors>
        <w:guid w:val="{06031023-308A-4886-B03F-40CE12E5C59D}"/>
      </w:docPartPr>
      <w:docPartBody>
        <w:p w:rsidR="00E12B84" w:rsidRDefault="00667475" w:rsidP="00667475">
          <w:pPr>
            <w:pStyle w:val="42A4733F95294A85B4F0B958280A824B"/>
          </w:pPr>
          <w:r w:rsidRPr="000E379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667475"/>
    <w:rsid w:val="001D212F"/>
    <w:rsid w:val="003F2705"/>
    <w:rsid w:val="004C4F0F"/>
    <w:rsid w:val="00517360"/>
    <w:rsid w:val="00667475"/>
    <w:rsid w:val="00743CCF"/>
    <w:rsid w:val="008D1750"/>
    <w:rsid w:val="00955C34"/>
    <w:rsid w:val="00E12B84"/>
    <w:rsid w:val="00E72A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3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475"/>
    <w:rPr>
      <w:color w:val="808080"/>
    </w:rPr>
  </w:style>
  <w:style w:type="paragraph" w:customStyle="1" w:styleId="0665622B26AD43AC8E12A333E517BB4F">
    <w:name w:val="0665622B26AD43AC8E12A333E517BB4F"/>
    <w:rsid w:val="00667475"/>
  </w:style>
  <w:style w:type="paragraph" w:customStyle="1" w:styleId="E621C4A7AFB14CFDBE7DACDDF871A620">
    <w:name w:val="E621C4A7AFB14CFDBE7DACDDF871A620"/>
    <w:rsid w:val="00667475"/>
  </w:style>
  <w:style w:type="paragraph" w:customStyle="1" w:styleId="42A4733F95294A85B4F0B958280A824B">
    <w:name w:val="42A4733F95294A85B4F0B958280A824B"/>
    <w:rsid w:val="0066747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908B-6F1B-41BC-9401-70FCEC0B6392}">
  <ds:schemaRefs>
    <ds:schemaRef ds:uri="http://schemas.openxmlformats.org/officeDocument/2006/bibliography"/>
  </ds:schemaRefs>
</ds:datastoreItem>
</file>

<file path=customXml/itemProps2.xml><?xml version="1.0" encoding="utf-8"?>
<ds:datastoreItem xmlns:ds="http://schemas.openxmlformats.org/officeDocument/2006/customXml" ds:itemID="{1B38B057-E71E-4318-BA29-7CD301C7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1778</Words>
  <Characters>9233</Characters>
  <Application>Microsoft Office Word</Application>
  <DocSecurity>8</DocSecurity>
  <Lines>76</Lines>
  <Paragraphs>21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10990</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tkagiaras</cp:lastModifiedBy>
  <cp:revision>2</cp:revision>
  <cp:lastPrinted>2014-05-08T16:06:00Z</cp:lastPrinted>
  <dcterms:created xsi:type="dcterms:W3CDTF">2015-02-19T14:46:00Z</dcterms:created>
  <dcterms:modified xsi:type="dcterms:W3CDTF">2015-02-19T14:46:00Z</dcterms:modified>
</cp:coreProperties>
</file>