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D1" w:rsidRPr="00CC683A" w:rsidRDefault="00CC683A" w:rsidP="00CD17D1">
      <w:pPr>
        <w:pStyle w:val="Titre2"/>
        <w:pBdr>
          <w:top w:val="double" w:sz="4" w:space="8" w:color="auto" w:shadow="1"/>
          <w:left w:val="double" w:sz="4" w:space="4" w:color="auto" w:shadow="1"/>
          <w:bottom w:val="double" w:sz="4" w:space="6" w:color="auto" w:shadow="1"/>
          <w:right w:val="double" w:sz="4" w:space="0" w:color="auto" w:shadow="1"/>
        </w:pBdr>
        <w:shd w:val="clear" w:color="auto" w:fill="FFFF99"/>
        <w:spacing w:line="240" w:lineRule="atLeast"/>
        <w:ind w:left="1080" w:right="970"/>
        <w:jc w:val="center"/>
        <w:rPr>
          <w:color w:val="003366"/>
          <w:sz w:val="32"/>
          <w:szCs w:val="32"/>
          <w:u w:val="none"/>
          <w:lang w:val="en-US"/>
        </w:rPr>
      </w:pPr>
      <w:r w:rsidRPr="00CC683A">
        <w:rPr>
          <w:color w:val="003366"/>
          <w:sz w:val="32"/>
          <w:szCs w:val="32"/>
          <w:u w:val="none"/>
          <w:lang w:val="en-US"/>
        </w:rPr>
        <w:t>ESMA Consultation Paper</w:t>
      </w:r>
    </w:p>
    <w:p w:rsidR="00CD17D1" w:rsidRPr="00CC683A" w:rsidRDefault="00CD17D1" w:rsidP="00CD17D1">
      <w:pPr>
        <w:pStyle w:val="Titre2"/>
        <w:pBdr>
          <w:top w:val="double" w:sz="4" w:space="8" w:color="auto" w:shadow="1"/>
          <w:left w:val="double" w:sz="4" w:space="4" w:color="auto" w:shadow="1"/>
          <w:bottom w:val="double" w:sz="4" w:space="6" w:color="auto" w:shadow="1"/>
          <w:right w:val="double" w:sz="4" w:space="0" w:color="auto" w:shadow="1"/>
        </w:pBdr>
        <w:shd w:val="clear" w:color="auto" w:fill="FFFF99"/>
        <w:spacing w:line="240" w:lineRule="atLeast"/>
        <w:ind w:left="1080" w:right="970"/>
        <w:jc w:val="center"/>
        <w:rPr>
          <w:color w:val="003366"/>
          <w:u w:val="none"/>
          <w:lang w:val="en-US"/>
        </w:rPr>
      </w:pPr>
    </w:p>
    <w:p w:rsidR="00CD17D1" w:rsidRPr="00CC683A" w:rsidRDefault="00CC683A" w:rsidP="00CD17D1">
      <w:pPr>
        <w:pStyle w:val="Titre2"/>
        <w:pBdr>
          <w:top w:val="double" w:sz="4" w:space="8" w:color="auto" w:shadow="1"/>
          <w:left w:val="double" w:sz="4" w:space="4" w:color="auto" w:shadow="1"/>
          <w:bottom w:val="double" w:sz="4" w:space="6" w:color="auto" w:shadow="1"/>
          <w:right w:val="double" w:sz="4" w:space="0" w:color="auto" w:shadow="1"/>
        </w:pBdr>
        <w:shd w:val="clear" w:color="auto" w:fill="FFFF99"/>
        <w:spacing w:line="240" w:lineRule="atLeast"/>
        <w:ind w:left="1080" w:right="970"/>
        <w:jc w:val="center"/>
        <w:rPr>
          <w:color w:val="003366"/>
          <w:u w:val="none"/>
          <w:lang w:val="en-US"/>
        </w:rPr>
      </w:pPr>
      <w:r w:rsidRPr="00CC683A">
        <w:rPr>
          <w:color w:val="003366"/>
          <w:u w:val="none"/>
          <w:lang w:val="en-US"/>
        </w:rPr>
        <w:t>Guidelines for the assessment of knowledge and competence</w:t>
      </w:r>
    </w:p>
    <w:p w:rsidR="00CD17D1" w:rsidRPr="007C08BA" w:rsidRDefault="00CD17D1" w:rsidP="00CD17D1">
      <w:pPr>
        <w:pStyle w:val="Titre2"/>
        <w:pBdr>
          <w:top w:val="double" w:sz="4" w:space="8" w:color="auto" w:shadow="1"/>
          <w:left w:val="double" w:sz="4" w:space="4" w:color="auto" w:shadow="1"/>
          <w:bottom w:val="double" w:sz="4" w:space="6" w:color="auto" w:shadow="1"/>
          <w:right w:val="double" w:sz="4" w:space="0" w:color="auto" w:shadow="1"/>
        </w:pBdr>
        <w:shd w:val="clear" w:color="auto" w:fill="FFFF99"/>
        <w:spacing w:line="240" w:lineRule="atLeast"/>
        <w:ind w:left="1080" w:right="970"/>
        <w:jc w:val="center"/>
        <w:rPr>
          <w:color w:val="003366"/>
          <w:sz w:val="20"/>
          <w:szCs w:val="20"/>
          <w:u w:val="none"/>
          <w:lang w:val="en-US"/>
        </w:rPr>
      </w:pPr>
      <w:r w:rsidRPr="007C08BA">
        <w:rPr>
          <w:color w:val="003366"/>
          <w:sz w:val="20"/>
          <w:szCs w:val="20"/>
          <w:u w:val="none"/>
          <w:lang w:val="en-US"/>
        </w:rPr>
        <w:t>-</w:t>
      </w:r>
    </w:p>
    <w:p w:rsidR="00CD17D1" w:rsidRPr="007C08BA" w:rsidRDefault="00CD17D1" w:rsidP="00CD17D1">
      <w:pPr>
        <w:pStyle w:val="Titre2"/>
        <w:pBdr>
          <w:top w:val="double" w:sz="4" w:space="8" w:color="auto" w:shadow="1"/>
          <w:left w:val="double" w:sz="4" w:space="4" w:color="auto" w:shadow="1"/>
          <w:bottom w:val="double" w:sz="4" w:space="6" w:color="auto" w:shadow="1"/>
          <w:right w:val="double" w:sz="4" w:space="0" w:color="auto" w:shadow="1"/>
        </w:pBdr>
        <w:shd w:val="clear" w:color="auto" w:fill="FFFF99"/>
        <w:spacing w:line="240" w:lineRule="atLeast"/>
        <w:ind w:left="1080" w:right="970"/>
        <w:jc w:val="center"/>
        <w:rPr>
          <w:color w:val="003366"/>
          <w:sz w:val="20"/>
          <w:szCs w:val="20"/>
          <w:u w:val="none"/>
          <w:lang w:val="en-US"/>
        </w:rPr>
      </w:pPr>
    </w:p>
    <w:p w:rsidR="00CD17D1" w:rsidRPr="007C08BA" w:rsidRDefault="00A6404D" w:rsidP="00CD17D1">
      <w:pPr>
        <w:pStyle w:val="Titre2"/>
        <w:pBdr>
          <w:top w:val="double" w:sz="4" w:space="8" w:color="auto" w:shadow="1"/>
          <w:left w:val="double" w:sz="4" w:space="4" w:color="auto" w:shadow="1"/>
          <w:bottom w:val="double" w:sz="4" w:space="6" w:color="auto" w:shadow="1"/>
          <w:right w:val="double" w:sz="4" w:space="0" w:color="auto" w:shadow="1"/>
        </w:pBdr>
        <w:shd w:val="clear" w:color="auto" w:fill="FFFF99"/>
        <w:spacing w:line="240" w:lineRule="atLeast"/>
        <w:ind w:left="1080" w:right="970"/>
        <w:jc w:val="center"/>
        <w:rPr>
          <w:color w:val="003366"/>
          <w:u w:val="none"/>
          <w:lang w:val="en-US"/>
        </w:rPr>
      </w:pPr>
      <w:proofErr w:type="spellStart"/>
      <w:r w:rsidRPr="007C08BA">
        <w:rPr>
          <w:color w:val="003366"/>
          <w:u w:val="none"/>
          <w:lang w:val="en-US"/>
        </w:rPr>
        <w:t>Societe</w:t>
      </w:r>
      <w:proofErr w:type="spellEnd"/>
      <w:r w:rsidRPr="007C08BA">
        <w:rPr>
          <w:color w:val="003366"/>
          <w:u w:val="none"/>
          <w:lang w:val="en-US"/>
        </w:rPr>
        <w:t xml:space="preserve"> Generale’s </w:t>
      </w:r>
      <w:r w:rsidR="00CC683A" w:rsidRPr="007C08BA">
        <w:rPr>
          <w:color w:val="003366"/>
          <w:u w:val="none"/>
          <w:lang w:val="en-US"/>
        </w:rPr>
        <w:t>contribution</w:t>
      </w:r>
    </w:p>
    <w:p w:rsidR="00CD17D1" w:rsidRPr="007C08BA" w:rsidRDefault="00CD17D1" w:rsidP="00CD17D1">
      <w:pPr>
        <w:spacing w:line="240" w:lineRule="atLeast"/>
        <w:rPr>
          <w:lang w:val="en-US"/>
        </w:rPr>
      </w:pPr>
    </w:p>
    <w:p w:rsidR="004C13FE" w:rsidRPr="007C08BA" w:rsidRDefault="004C13FE" w:rsidP="00CD17D1">
      <w:pPr>
        <w:spacing w:line="240" w:lineRule="atLeast"/>
        <w:rPr>
          <w:lang w:val="en-US"/>
        </w:rPr>
      </w:pPr>
    </w:p>
    <w:p w:rsidR="004C13FE" w:rsidRPr="007C08BA" w:rsidRDefault="004C13FE" w:rsidP="00CD17D1">
      <w:pPr>
        <w:spacing w:line="240" w:lineRule="atLeast"/>
        <w:rPr>
          <w:lang w:val="en-US"/>
        </w:rPr>
      </w:pPr>
    </w:p>
    <w:p w:rsidR="007C08BA" w:rsidRPr="00A01C0A" w:rsidRDefault="007C08BA" w:rsidP="007C08BA">
      <w:pPr>
        <w:pStyle w:val="Pa20"/>
        <w:spacing w:after="80"/>
        <w:jc w:val="both"/>
        <w:rPr>
          <w:rFonts w:ascii="Arial" w:hAnsi="Arial" w:cs="Arial"/>
          <w:color w:val="000000"/>
          <w:sz w:val="22"/>
          <w:szCs w:val="22"/>
          <w:lang w:val="en-US"/>
        </w:rPr>
      </w:pPr>
      <w:proofErr w:type="spellStart"/>
      <w:r w:rsidRPr="00A01C0A">
        <w:rPr>
          <w:rFonts w:ascii="Arial" w:hAnsi="Arial" w:cs="Arial"/>
          <w:color w:val="000000"/>
          <w:sz w:val="22"/>
          <w:szCs w:val="22"/>
          <w:lang w:val="en-US"/>
        </w:rPr>
        <w:t>Societe</w:t>
      </w:r>
      <w:proofErr w:type="spellEnd"/>
      <w:r w:rsidRPr="00A01C0A">
        <w:rPr>
          <w:rFonts w:ascii="Arial" w:hAnsi="Arial" w:cs="Arial"/>
          <w:color w:val="000000"/>
          <w:sz w:val="22"/>
          <w:szCs w:val="22"/>
          <w:lang w:val="en-US"/>
        </w:rPr>
        <w:t xml:space="preserve"> </w:t>
      </w:r>
      <w:proofErr w:type="spellStart"/>
      <w:r w:rsidRPr="00A01C0A">
        <w:rPr>
          <w:rFonts w:ascii="Arial" w:hAnsi="Arial" w:cs="Arial"/>
          <w:color w:val="000000"/>
          <w:sz w:val="22"/>
          <w:szCs w:val="22"/>
          <w:lang w:val="en-US"/>
        </w:rPr>
        <w:t>Generale</w:t>
      </w:r>
      <w:proofErr w:type="spellEnd"/>
      <w:r w:rsidRPr="00A01C0A">
        <w:rPr>
          <w:rFonts w:ascii="Arial" w:hAnsi="Arial" w:cs="Arial"/>
          <w:color w:val="000000"/>
          <w:sz w:val="22"/>
          <w:szCs w:val="22"/>
          <w:lang w:val="en-US"/>
        </w:rPr>
        <w:t xml:space="preserve"> is one of the leading financial services groups in Europe. Based on a diversified universal banking model, the Group combines financial strength with a strategy of sustainable growth, putting its resources to work to finance the economy and its customers’ plans. </w:t>
      </w:r>
    </w:p>
    <w:p w:rsidR="00CC683A" w:rsidRPr="00A01C0A" w:rsidRDefault="007C08BA" w:rsidP="007C08BA">
      <w:pPr>
        <w:rPr>
          <w:sz w:val="22"/>
          <w:szCs w:val="22"/>
          <w:lang w:val="en-US"/>
        </w:rPr>
      </w:pPr>
      <w:r w:rsidRPr="00A01C0A">
        <w:rPr>
          <w:color w:val="000000"/>
          <w:sz w:val="22"/>
          <w:szCs w:val="22"/>
          <w:lang w:val="en-US"/>
        </w:rPr>
        <w:t>With a presence in 76 countries, including a solid position in Europe and a presence in countries with strong potential, 148,000 employees in the Group and its subsidiaries support 30 million individual customers, large corporates and institutional investors worldwide by offering a wide range of advisory services and tailored financial solutions.</w:t>
      </w:r>
    </w:p>
    <w:p w:rsidR="007C08BA" w:rsidRPr="00A01C0A" w:rsidRDefault="007C08BA" w:rsidP="00CC683A">
      <w:pPr>
        <w:rPr>
          <w:sz w:val="22"/>
          <w:szCs w:val="22"/>
          <w:lang w:val="en-GB"/>
        </w:rPr>
      </w:pPr>
    </w:p>
    <w:p w:rsidR="007C08BA" w:rsidRDefault="007C08BA" w:rsidP="00CC683A">
      <w:pPr>
        <w:rPr>
          <w:lang w:val="en-GB"/>
        </w:rPr>
      </w:pPr>
    </w:p>
    <w:p w:rsidR="007C08BA" w:rsidRDefault="007C08BA" w:rsidP="00CC683A">
      <w:pPr>
        <w:rPr>
          <w:lang w:val="en-GB"/>
        </w:rPr>
      </w:pPr>
    </w:p>
    <w:p w:rsidR="00CC683A" w:rsidRPr="007A2FE6" w:rsidRDefault="00CC683A" w:rsidP="002E3579">
      <w:pPr>
        <w:pStyle w:val="Titre3"/>
        <w:keepNext w:val="0"/>
        <w:keepLines w:val="0"/>
        <w:widowControl w:val="0"/>
        <w:numPr>
          <w:ilvl w:val="0"/>
          <w:numId w:val="13"/>
        </w:numPr>
        <w:spacing w:before="0" w:line="276" w:lineRule="auto"/>
        <w:ind w:left="0" w:firstLine="0"/>
        <w:jc w:val="left"/>
        <w:rPr>
          <w:rFonts w:ascii="Arial" w:hAnsi="Arial" w:cs="Arial"/>
          <w:color w:val="003366"/>
          <w:sz w:val="24"/>
          <w:szCs w:val="24"/>
          <w:u w:val="single"/>
          <w:lang w:val="en-GB"/>
        </w:rPr>
      </w:pPr>
      <w:r w:rsidRPr="00CC683A">
        <w:rPr>
          <w:rFonts w:ascii="Arial" w:hAnsi="Arial" w:cs="Arial"/>
          <w:color w:val="003366"/>
          <w:sz w:val="24"/>
          <w:szCs w:val="24"/>
          <w:u w:val="single"/>
          <w:lang w:val="en-GB"/>
        </w:rPr>
        <w:t xml:space="preserve">General </w:t>
      </w:r>
      <w:r w:rsidRPr="007A2FE6">
        <w:rPr>
          <w:rFonts w:ascii="Arial" w:hAnsi="Arial" w:cs="Arial"/>
          <w:color w:val="003366"/>
          <w:sz w:val="24"/>
          <w:szCs w:val="24"/>
          <w:u w:val="single"/>
          <w:lang w:val="en-GB"/>
        </w:rPr>
        <w:t xml:space="preserve">comment </w:t>
      </w:r>
      <w:r w:rsidR="00A01C0A">
        <w:rPr>
          <w:rFonts w:ascii="Arial" w:hAnsi="Arial" w:cs="Arial"/>
          <w:color w:val="003366"/>
          <w:sz w:val="24"/>
          <w:szCs w:val="24"/>
          <w:u w:val="single"/>
          <w:lang w:val="en-GB"/>
        </w:rPr>
        <w:t>on Esma consultation</w:t>
      </w:r>
    </w:p>
    <w:p w:rsidR="00CC683A" w:rsidRDefault="00CC683A" w:rsidP="002E3579">
      <w:pPr>
        <w:tabs>
          <w:tab w:val="num" w:pos="0"/>
        </w:tabs>
        <w:rPr>
          <w:lang w:val="en-GB"/>
        </w:rPr>
      </w:pPr>
    </w:p>
    <w:p w:rsidR="001A6F67" w:rsidRPr="00B77857" w:rsidRDefault="001A6F67" w:rsidP="002E3579">
      <w:pPr>
        <w:pStyle w:val="1AMAFI"/>
        <w:numPr>
          <w:ilvl w:val="0"/>
          <w:numId w:val="0"/>
        </w:numPr>
        <w:tabs>
          <w:tab w:val="num" w:pos="0"/>
        </w:tabs>
        <w:spacing w:line="240" w:lineRule="atLeast"/>
        <w:rPr>
          <w:b/>
          <w:lang w:val="en-GB"/>
        </w:rPr>
      </w:pPr>
      <w:proofErr w:type="gramStart"/>
      <w:r w:rsidRPr="00B77857">
        <w:rPr>
          <w:b/>
          <w:lang w:val="en-GB"/>
        </w:rPr>
        <w:t xml:space="preserve">National competent </w:t>
      </w:r>
      <w:r w:rsidR="00975EEC" w:rsidRPr="00B77857">
        <w:rPr>
          <w:b/>
          <w:lang w:val="en-GB"/>
        </w:rPr>
        <w:t>authority’s</w:t>
      </w:r>
      <w:r w:rsidRPr="00B77857">
        <w:rPr>
          <w:b/>
          <w:lang w:val="en-GB"/>
        </w:rPr>
        <w:t xml:space="preserve"> leeway</w:t>
      </w:r>
      <w:r w:rsidR="00B77857">
        <w:rPr>
          <w:b/>
          <w:lang w:val="en-GB"/>
        </w:rPr>
        <w:t>.</w:t>
      </w:r>
      <w:proofErr w:type="gramEnd"/>
    </w:p>
    <w:p w:rsidR="001A6F67" w:rsidRDefault="001A6F67" w:rsidP="002E3579">
      <w:pPr>
        <w:pStyle w:val="1AMAFI"/>
        <w:numPr>
          <w:ilvl w:val="0"/>
          <w:numId w:val="0"/>
        </w:numPr>
        <w:tabs>
          <w:tab w:val="num" w:pos="0"/>
        </w:tabs>
        <w:spacing w:line="240" w:lineRule="atLeast"/>
        <w:rPr>
          <w:lang w:val="en-GB"/>
        </w:rPr>
      </w:pPr>
    </w:p>
    <w:p w:rsidR="00E01A92" w:rsidRDefault="00E01A92" w:rsidP="002E3579">
      <w:pPr>
        <w:pStyle w:val="1AMAFI"/>
        <w:numPr>
          <w:ilvl w:val="0"/>
          <w:numId w:val="0"/>
        </w:numPr>
        <w:tabs>
          <w:tab w:val="num" w:pos="0"/>
        </w:tabs>
        <w:spacing w:line="240" w:lineRule="atLeast"/>
        <w:rPr>
          <w:color w:val="000000"/>
          <w:sz w:val="22"/>
          <w:szCs w:val="22"/>
          <w:lang w:val="en-US"/>
        </w:rPr>
      </w:pPr>
      <w:proofErr w:type="spellStart"/>
      <w:r w:rsidRPr="00A01C0A">
        <w:rPr>
          <w:color w:val="000000"/>
          <w:sz w:val="22"/>
          <w:szCs w:val="22"/>
          <w:lang w:val="en-US"/>
        </w:rPr>
        <w:t>Societe</w:t>
      </w:r>
      <w:proofErr w:type="spellEnd"/>
      <w:r w:rsidRPr="00A01C0A">
        <w:rPr>
          <w:color w:val="000000"/>
          <w:sz w:val="22"/>
          <w:szCs w:val="22"/>
          <w:lang w:val="en-US"/>
        </w:rPr>
        <w:t xml:space="preserve"> </w:t>
      </w:r>
      <w:proofErr w:type="spellStart"/>
      <w:r w:rsidRPr="00A01C0A">
        <w:rPr>
          <w:color w:val="000000"/>
          <w:sz w:val="22"/>
          <w:szCs w:val="22"/>
          <w:lang w:val="en-US"/>
        </w:rPr>
        <w:t>Generale</w:t>
      </w:r>
      <w:proofErr w:type="spellEnd"/>
      <w:r>
        <w:rPr>
          <w:color w:val="000000"/>
          <w:sz w:val="22"/>
          <w:szCs w:val="22"/>
          <w:lang w:val="en-US"/>
        </w:rPr>
        <w:t xml:space="preserve"> fully agree with </w:t>
      </w:r>
      <w:r w:rsidRPr="00656B86">
        <w:rPr>
          <w:lang w:val="en-GB"/>
        </w:rPr>
        <w:t xml:space="preserve">ESMA’s proposal </w:t>
      </w:r>
      <w:r>
        <w:rPr>
          <w:lang w:val="en-GB"/>
        </w:rPr>
        <w:t xml:space="preserve">to grant latitude to Member States and </w:t>
      </w:r>
      <w:r w:rsidR="00522235">
        <w:rPr>
          <w:lang w:val="en-GB"/>
        </w:rPr>
        <w:t>National Competent Authorities</w:t>
      </w:r>
      <w:r w:rsidR="00182909">
        <w:rPr>
          <w:lang w:val="en-GB"/>
        </w:rPr>
        <w:t xml:space="preserve">, together with </w:t>
      </w:r>
      <w:r w:rsidR="00F74ED7" w:rsidRPr="00F74ED7">
        <w:rPr>
          <w:lang w:val="en-US"/>
        </w:rPr>
        <w:t xml:space="preserve">the assertion of the </w:t>
      </w:r>
      <w:r w:rsidR="00F74ED7">
        <w:rPr>
          <w:lang w:val="en-US"/>
        </w:rPr>
        <w:t xml:space="preserve">general </w:t>
      </w:r>
      <w:r w:rsidR="00F74ED7" w:rsidRPr="00F74ED7">
        <w:rPr>
          <w:lang w:val="en-US"/>
        </w:rPr>
        <w:t>principle</w:t>
      </w:r>
      <w:r w:rsidR="00F74ED7" w:rsidRPr="00F74ED7">
        <w:rPr>
          <w:lang w:val="en-GB"/>
        </w:rPr>
        <w:t xml:space="preserve"> </w:t>
      </w:r>
      <w:r w:rsidR="00182909">
        <w:rPr>
          <w:lang w:val="en-GB"/>
        </w:rPr>
        <w:t>of proportionality</w:t>
      </w:r>
      <w:r w:rsidR="00F74ED7">
        <w:rPr>
          <w:lang w:val="en-GB"/>
        </w:rPr>
        <w:t>,</w:t>
      </w:r>
      <w:r w:rsidR="00182909">
        <w:rPr>
          <w:lang w:val="en-GB"/>
        </w:rPr>
        <w:t xml:space="preserve"> </w:t>
      </w:r>
      <w:r>
        <w:rPr>
          <w:lang w:val="en-GB"/>
        </w:rPr>
        <w:t>for the implementation of the MiFID II level 1 measure</w:t>
      </w:r>
      <w:r w:rsidR="002E3579">
        <w:rPr>
          <w:lang w:val="en-GB"/>
        </w:rPr>
        <w:t>s,</w:t>
      </w:r>
      <w:r>
        <w:rPr>
          <w:lang w:val="en-GB"/>
        </w:rPr>
        <w:t xml:space="preserve"> related to the competence and knowledge of natural persons who give investment advice or information about financial instruments, investment services or ancillary services to clients on behalf of an investment firm.</w:t>
      </w:r>
      <w:r w:rsidR="00182909" w:rsidRPr="00182909">
        <w:rPr>
          <w:lang w:val="en-GB"/>
        </w:rPr>
        <w:t xml:space="preserve"> </w:t>
      </w:r>
    </w:p>
    <w:p w:rsidR="00E01A92" w:rsidRPr="00B341A7" w:rsidRDefault="00821108" w:rsidP="002E3579">
      <w:pPr>
        <w:pStyle w:val="1AMAFI"/>
        <w:numPr>
          <w:ilvl w:val="0"/>
          <w:numId w:val="0"/>
        </w:numPr>
        <w:tabs>
          <w:tab w:val="num" w:pos="0"/>
        </w:tabs>
        <w:spacing w:line="240" w:lineRule="atLeast"/>
        <w:rPr>
          <w:lang w:val="en-GB"/>
        </w:rPr>
      </w:pPr>
      <w:r w:rsidRPr="00B341A7">
        <w:rPr>
          <w:lang w:val="en-GB"/>
        </w:rPr>
        <w:t>Indeed</w:t>
      </w:r>
      <w:r w:rsidR="00B341A7">
        <w:rPr>
          <w:lang w:val="en-GB"/>
        </w:rPr>
        <w:t>,</w:t>
      </w:r>
      <w:r w:rsidR="002E3579" w:rsidRPr="00B341A7">
        <w:rPr>
          <w:lang w:val="en-GB"/>
        </w:rPr>
        <w:t xml:space="preserve"> </w:t>
      </w:r>
      <w:r w:rsidR="00B341A7" w:rsidRPr="00B341A7">
        <w:rPr>
          <w:lang w:val="en-GB"/>
        </w:rPr>
        <w:t xml:space="preserve">national </w:t>
      </w:r>
      <w:r w:rsidRPr="00B341A7">
        <w:rPr>
          <w:lang w:val="en-GB"/>
        </w:rPr>
        <w:t xml:space="preserve">education and qualification systems are very different </w:t>
      </w:r>
      <w:r w:rsidR="00B341A7">
        <w:rPr>
          <w:lang w:val="en-GB"/>
        </w:rPr>
        <w:t>across the Member States.</w:t>
      </w:r>
      <w:r w:rsidRPr="00B341A7">
        <w:rPr>
          <w:lang w:val="en-GB"/>
        </w:rPr>
        <w:t xml:space="preserve"> </w:t>
      </w:r>
      <w:r w:rsidR="00B341A7">
        <w:rPr>
          <w:lang w:val="en-GB"/>
        </w:rPr>
        <w:t>T</w:t>
      </w:r>
      <w:r w:rsidRPr="00B341A7">
        <w:rPr>
          <w:lang w:val="en-GB"/>
        </w:rPr>
        <w:t>herefore specification of the criteria for assessment of the qualifications and experience has to be made at national level</w:t>
      </w:r>
      <w:r w:rsidR="002E3579" w:rsidRPr="00B341A7">
        <w:rPr>
          <w:lang w:val="en-GB"/>
        </w:rPr>
        <w:t xml:space="preserve">, such as </w:t>
      </w:r>
      <w:r w:rsidR="002E3579" w:rsidRPr="00656B86">
        <w:rPr>
          <w:lang w:val="en-GB"/>
        </w:rPr>
        <w:t>through the publication of a list of academic diplomas to set out the “</w:t>
      </w:r>
      <w:r w:rsidR="002E3579" w:rsidRPr="00B341A7">
        <w:rPr>
          <w:lang w:val="en-GB"/>
        </w:rPr>
        <w:t>appropriate qualifications</w:t>
      </w:r>
      <w:r w:rsidR="002E3579" w:rsidRPr="00656B86">
        <w:rPr>
          <w:lang w:val="en-GB"/>
        </w:rPr>
        <w:t>”, or through recognise</w:t>
      </w:r>
      <w:r w:rsidR="002E3579">
        <w:rPr>
          <w:lang w:val="en-GB"/>
        </w:rPr>
        <w:t>d</w:t>
      </w:r>
      <w:r w:rsidR="002E3579" w:rsidRPr="00656B86">
        <w:rPr>
          <w:lang w:val="en-GB"/>
        </w:rPr>
        <w:t xml:space="preserve"> qualifications that </w:t>
      </w:r>
      <w:r w:rsidR="00B341A7">
        <w:rPr>
          <w:lang w:val="en-GB"/>
        </w:rPr>
        <w:t>complied with</w:t>
      </w:r>
      <w:r w:rsidR="002E3579" w:rsidRPr="00656B86">
        <w:rPr>
          <w:lang w:val="en-GB"/>
        </w:rPr>
        <w:t xml:space="preserve"> the requirements of the guidelines</w:t>
      </w:r>
      <w:r w:rsidR="00B341A7">
        <w:rPr>
          <w:lang w:val="en-GB"/>
        </w:rPr>
        <w:t>.</w:t>
      </w:r>
      <w:r w:rsidR="002E3579" w:rsidRPr="00656B86">
        <w:rPr>
          <w:lang w:val="en-GB"/>
        </w:rPr>
        <w:t xml:space="preserve"> </w:t>
      </w:r>
      <w:r w:rsidR="00B341A7">
        <w:rPr>
          <w:lang w:val="en-GB"/>
        </w:rPr>
        <w:t xml:space="preserve">Furthermore, </w:t>
      </w:r>
      <w:r w:rsidR="00B341A7" w:rsidRPr="00656B86">
        <w:rPr>
          <w:lang w:val="en-GB"/>
        </w:rPr>
        <w:t>recognise</w:t>
      </w:r>
      <w:r w:rsidR="00B341A7">
        <w:rPr>
          <w:lang w:val="en-GB"/>
        </w:rPr>
        <w:t>d</w:t>
      </w:r>
      <w:r w:rsidR="00B341A7" w:rsidRPr="00656B86">
        <w:rPr>
          <w:lang w:val="en-GB"/>
        </w:rPr>
        <w:t xml:space="preserve"> qualifications </w:t>
      </w:r>
      <w:r w:rsidR="002E3579" w:rsidRPr="00656B86">
        <w:rPr>
          <w:lang w:val="en-GB"/>
        </w:rPr>
        <w:t>process</w:t>
      </w:r>
      <w:r w:rsidR="002E3579">
        <w:rPr>
          <w:lang w:val="en-GB"/>
        </w:rPr>
        <w:t>es</w:t>
      </w:r>
      <w:r w:rsidR="002E3579" w:rsidRPr="00656B86">
        <w:rPr>
          <w:lang w:val="en-GB"/>
        </w:rPr>
        <w:t xml:space="preserve"> </w:t>
      </w:r>
      <w:r w:rsidR="00B341A7">
        <w:rPr>
          <w:lang w:val="en-GB"/>
        </w:rPr>
        <w:t xml:space="preserve">are </w:t>
      </w:r>
      <w:r w:rsidR="002E3579">
        <w:rPr>
          <w:lang w:val="en-GB"/>
        </w:rPr>
        <w:t>already</w:t>
      </w:r>
      <w:r w:rsidR="00B341A7">
        <w:rPr>
          <w:lang w:val="en-GB"/>
        </w:rPr>
        <w:t xml:space="preserve"> </w:t>
      </w:r>
      <w:proofErr w:type="gramStart"/>
      <w:r w:rsidR="00B341A7">
        <w:rPr>
          <w:lang w:val="en-GB"/>
        </w:rPr>
        <w:t>(</w:t>
      </w:r>
      <w:r w:rsidR="002E3579">
        <w:rPr>
          <w:lang w:val="en-GB"/>
        </w:rPr>
        <w:t xml:space="preserve"> </w:t>
      </w:r>
      <w:r w:rsidR="00B341A7">
        <w:rPr>
          <w:lang w:val="en-GB"/>
        </w:rPr>
        <w:t>over</w:t>
      </w:r>
      <w:proofErr w:type="gramEnd"/>
      <w:r w:rsidR="00B341A7">
        <w:rPr>
          <w:lang w:val="en-GB"/>
        </w:rPr>
        <w:t xml:space="preserve"> the last few years) </w:t>
      </w:r>
      <w:r w:rsidR="002E3579">
        <w:rPr>
          <w:lang w:val="en-GB"/>
        </w:rPr>
        <w:t>in force</w:t>
      </w:r>
      <w:r w:rsidR="002E3579" w:rsidRPr="00656B86">
        <w:rPr>
          <w:lang w:val="en-GB"/>
        </w:rPr>
        <w:t xml:space="preserve"> in </w:t>
      </w:r>
      <w:r w:rsidR="002E3579">
        <w:rPr>
          <w:lang w:val="en-GB"/>
        </w:rPr>
        <w:t>some Member States</w:t>
      </w:r>
      <w:r w:rsidR="002E3579" w:rsidRPr="00656B86">
        <w:rPr>
          <w:lang w:val="en-GB"/>
        </w:rPr>
        <w:t>.</w:t>
      </w:r>
    </w:p>
    <w:p w:rsidR="002E3579" w:rsidRPr="00B341A7" w:rsidRDefault="002E3579" w:rsidP="00E01A92">
      <w:pPr>
        <w:pStyle w:val="1AMAFI"/>
        <w:numPr>
          <w:ilvl w:val="0"/>
          <w:numId w:val="0"/>
        </w:numPr>
        <w:spacing w:line="240" w:lineRule="atLeast"/>
        <w:ind w:left="284"/>
        <w:rPr>
          <w:lang w:val="en-GB"/>
        </w:rPr>
      </w:pPr>
    </w:p>
    <w:p w:rsidR="00CC683A" w:rsidRPr="00B77857" w:rsidRDefault="002E3579" w:rsidP="002E3579">
      <w:pPr>
        <w:pStyle w:val="1AMAFI"/>
        <w:numPr>
          <w:ilvl w:val="0"/>
          <w:numId w:val="0"/>
        </w:numPr>
        <w:spacing w:line="240" w:lineRule="atLeast"/>
        <w:rPr>
          <w:b/>
          <w:lang w:val="en-GB"/>
        </w:rPr>
      </w:pPr>
      <w:r w:rsidRPr="00B77857">
        <w:rPr>
          <w:b/>
          <w:lang w:val="en-GB"/>
        </w:rPr>
        <w:t xml:space="preserve">Local certification </w:t>
      </w:r>
      <w:r w:rsidR="00C97518" w:rsidRPr="00B77857">
        <w:rPr>
          <w:b/>
          <w:lang w:val="en-GB"/>
        </w:rPr>
        <w:t>process</w:t>
      </w:r>
      <w:r w:rsidRPr="00B77857">
        <w:rPr>
          <w:b/>
          <w:lang w:val="en-GB"/>
        </w:rPr>
        <w:t>.</w:t>
      </w:r>
    </w:p>
    <w:p w:rsidR="00B77857" w:rsidRDefault="00B77857" w:rsidP="00E960AD">
      <w:pPr>
        <w:pStyle w:val="1AMAFI"/>
        <w:numPr>
          <w:ilvl w:val="0"/>
          <w:numId w:val="0"/>
        </w:numPr>
        <w:rPr>
          <w:lang w:val="en-GB"/>
        </w:rPr>
      </w:pPr>
    </w:p>
    <w:p w:rsidR="00B25E89" w:rsidRDefault="00C97518" w:rsidP="00E960AD">
      <w:pPr>
        <w:pStyle w:val="1AMAFI"/>
        <w:numPr>
          <w:ilvl w:val="0"/>
          <w:numId w:val="0"/>
        </w:numPr>
        <w:rPr>
          <w:lang w:val="en-GB"/>
        </w:rPr>
      </w:pPr>
      <w:r>
        <w:rPr>
          <w:lang w:val="en-GB"/>
        </w:rPr>
        <w:t xml:space="preserve">The French </w:t>
      </w:r>
      <w:r w:rsidR="0030165D">
        <w:rPr>
          <w:lang w:val="en-GB"/>
        </w:rPr>
        <w:t xml:space="preserve">Market Authority </w:t>
      </w:r>
      <w:r w:rsidR="00BC45E6">
        <w:rPr>
          <w:lang w:val="en-GB"/>
        </w:rPr>
        <w:t>(“</w:t>
      </w:r>
      <w:r w:rsidR="00BC45E6">
        <w:rPr>
          <w:i/>
          <w:lang w:val="en-GB"/>
        </w:rPr>
        <w:t xml:space="preserve">Autorité des </w:t>
      </w:r>
      <w:proofErr w:type="spellStart"/>
      <w:r w:rsidR="00BC45E6">
        <w:rPr>
          <w:i/>
          <w:lang w:val="en-GB"/>
        </w:rPr>
        <w:t>marchés</w:t>
      </w:r>
      <w:proofErr w:type="spellEnd"/>
      <w:r w:rsidR="00BC45E6">
        <w:rPr>
          <w:i/>
          <w:lang w:val="en-GB"/>
        </w:rPr>
        <w:t xml:space="preserve"> financiers”-</w:t>
      </w:r>
      <w:r w:rsidR="00BC45E6" w:rsidRPr="00BC45E6">
        <w:rPr>
          <w:lang w:val="en-GB"/>
        </w:rPr>
        <w:t xml:space="preserve"> AMF</w:t>
      </w:r>
      <w:r w:rsidR="00BC45E6">
        <w:rPr>
          <w:lang w:val="en-GB"/>
        </w:rPr>
        <w:t xml:space="preserve">) </w:t>
      </w:r>
      <w:r w:rsidR="00B32C01">
        <w:rPr>
          <w:lang w:val="en-US"/>
        </w:rPr>
        <w:t>has</w:t>
      </w:r>
      <w:r w:rsidR="00B32C01" w:rsidRPr="00B32C01">
        <w:rPr>
          <w:lang w:val="en-US"/>
        </w:rPr>
        <w:t> put in place </w:t>
      </w:r>
      <w:r w:rsidR="00B32C01">
        <w:rPr>
          <w:lang w:val="en-GB"/>
        </w:rPr>
        <w:t xml:space="preserve">in 2010 </w:t>
      </w:r>
      <w:r w:rsidR="00B32C01" w:rsidRPr="00B32C01">
        <w:rPr>
          <w:lang w:val="en-US"/>
        </w:rPr>
        <w:t>an enforcement regime</w:t>
      </w:r>
      <w:r w:rsidR="00B32C01" w:rsidRPr="00B32C01">
        <w:rPr>
          <w:lang w:val="en-GB"/>
        </w:rPr>
        <w:t xml:space="preserve"> </w:t>
      </w:r>
      <w:r w:rsidR="00B32C01">
        <w:rPr>
          <w:lang w:val="en-GB"/>
        </w:rPr>
        <w:t>(</w:t>
      </w:r>
      <w:r w:rsidR="00943FAD">
        <w:rPr>
          <w:i/>
          <w:u w:val="single"/>
          <w:lang w:val="en-GB"/>
        </w:rPr>
        <w:t>AMF General Regulation, art. 313-7-1</w:t>
      </w:r>
      <w:r w:rsidR="00943FAD">
        <w:rPr>
          <w:lang w:val="en-GB"/>
        </w:rPr>
        <w:t>)</w:t>
      </w:r>
      <w:r w:rsidR="00B32C01">
        <w:rPr>
          <w:lang w:val="en-GB"/>
        </w:rPr>
        <w:t>, by creating</w:t>
      </w:r>
      <w:r>
        <w:rPr>
          <w:lang w:val="en-GB"/>
        </w:rPr>
        <w:t xml:space="preserve"> a system of certification </w:t>
      </w:r>
      <w:r w:rsidR="00943FAD">
        <w:rPr>
          <w:lang w:val="en-GB"/>
        </w:rPr>
        <w:t xml:space="preserve">for investment firms </w:t>
      </w:r>
      <w:r w:rsidR="00B435B5">
        <w:rPr>
          <w:lang w:val="en-GB"/>
        </w:rPr>
        <w:t xml:space="preserve">to </w:t>
      </w:r>
      <w:r w:rsidR="00943FAD">
        <w:rPr>
          <w:lang w:val="en-GB"/>
        </w:rPr>
        <w:t xml:space="preserve">ensure </w:t>
      </w:r>
      <w:r w:rsidR="00B435B5">
        <w:rPr>
          <w:lang w:val="en-GB"/>
        </w:rPr>
        <w:t>an</w:t>
      </w:r>
      <w:r w:rsidR="00943FAD">
        <w:rPr>
          <w:lang w:val="en-GB"/>
        </w:rPr>
        <w:t xml:space="preserve"> appropriate qualifications and expertise of their staff</w:t>
      </w:r>
      <w:r w:rsidR="00B32C01">
        <w:rPr>
          <w:lang w:val="en-GB"/>
        </w:rPr>
        <w:t>.</w:t>
      </w:r>
    </w:p>
    <w:p w:rsidR="00C97518" w:rsidRDefault="002A630F" w:rsidP="002A630F">
      <w:pPr>
        <w:pStyle w:val="1AMAFI"/>
        <w:numPr>
          <w:ilvl w:val="0"/>
          <w:numId w:val="0"/>
        </w:numPr>
        <w:rPr>
          <w:lang w:val="en-GB"/>
        </w:rPr>
      </w:pPr>
      <w:r>
        <w:rPr>
          <w:lang w:val="en-GB"/>
        </w:rPr>
        <w:t>This certification process is based on an examination</w:t>
      </w:r>
      <w:r w:rsidRPr="002A630F">
        <w:rPr>
          <w:lang w:val="en-GB"/>
        </w:rPr>
        <w:t xml:space="preserve"> </w:t>
      </w:r>
      <w:r>
        <w:rPr>
          <w:lang w:val="en-GB"/>
        </w:rPr>
        <w:t xml:space="preserve">covering </w:t>
      </w:r>
      <w:r w:rsidR="00B435B5">
        <w:rPr>
          <w:lang w:val="en-GB"/>
        </w:rPr>
        <w:t xml:space="preserve">current </w:t>
      </w:r>
      <w:r>
        <w:rPr>
          <w:lang w:val="en-GB"/>
        </w:rPr>
        <w:t xml:space="preserve">financial regulations. </w:t>
      </w:r>
    </w:p>
    <w:p w:rsidR="00C97518" w:rsidRDefault="00C97518" w:rsidP="00E960AD">
      <w:pPr>
        <w:pStyle w:val="1AMAFI"/>
        <w:numPr>
          <w:ilvl w:val="0"/>
          <w:numId w:val="0"/>
        </w:numPr>
        <w:rPr>
          <w:lang w:val="en-GB"/>
        </w:rPr>
      </w:pPr>
    </w:p>
    <w:p w:rsidR="00CC683A" w:rsidRDefault="00E960AD" w:rsidP="00E960AD">
      <w:pPr>
        <w:pStyle w:val="1AMAFI"/>
        <w:numPr>
          <w:ilvl w:val="0"/>
          <w:numId w:val="0"/>
        </w:numPr>
        <w:rPr>
          <w:lang w:val="en-GB"/>
        </w:rPr>
      </w:pPr>
      <w:r>
        <w:rPr>
          <w:lang w:val="en-GB"/>
        </w:rPr>
        <w:t>S</w:t>
      </w:r>
      <w:r w:rsidR="00CC683A">
        <w:rPr>
          <w:lang w:val="en-GB"/>
        </w:rPr>
        <w:t xml:space="preserve">uch </w:t>
      </w:r>
      <w:r w:rsidR="00B435B5">
        <w:rPr>
          <w:lang w:val="en-GB"/>
        </w:rPr>
        <w:t>system</w:t>
      </w:r>
      <w:r w:rsidR="00F36131">
        <w:rPr>
          <w:lang w:val="en-GB"/>
        </w:rPr>
        <w:t xml:space="preserve">, under AMF surveillance, </w:t>
      </w:r>
      <w:r w:rsidR="00CC683A">
        <w:rPr>
          <w:lang w:val="en-GB"/>
        </w:rPr>
        <w:t>is</w:t>
      </w:r>
      <w:r w:rsidR="008412E2">
        <w:rPr>
          <w:lang w:val="en-GB"/>
        </w:rPr>
        <w:t xml:space="preserve"> </w:t>
      </w:r>
      <w:r w:rsidR="00B435B5">
        <w:rPr>
          <w:lang w:val="en-GB"/>
        </w:rPr>
        <w:t xml:space="preserve">efficient and </w:t>
      </w:r>
      <w:r w:rsidR="007378EC">
        <w:rPr>
          <w:lang w:val="en-GB"/>
        </w:rPr>
        <w:t xml:space="preserve">widely </w:t>
      </w:r>
      <w:r w:rsidR="00B435B5">
        <w:rPr>
          <w:lang w:val="en-GB"/>
        </w:rPr>
        <w:t xml:space="preserve">used </w:t>
      </w:r>
      <w:r w:rsidR="007378EC">
        <w:rPr>
          <w:lang w:val="en-GB"/>
        </w:rPr>
        <w:t>across</w:t>
      </w:r>
      <w:r w:rsidR="008412E2">
        <w:rPr>
          <w:lang w:val="en-GB"/>
        </w:rPr>
        <w:t xml:space="preserve"> the financial industry </w:t>
      </w:r>
      <w:r w:rsidR="00B435B5">
        <w:rPr>
          <w:lang w:val="en-GB"/>
        </w:rPr>
        <w:t xml:space="preserve">to </w:t>
      </w:r>
      <w:r w:rsidR="004E7BF7">
        <w:rPr>
          <w:lang w:val="en-GB"/>
        </w:rPr>
        <w:t>train</w:t>
      </w:r>
      <w:r w:rsidR="007378EC">
        <w:rPr>
          <w:lang w:val="en-GB"/>
        </w:rPr>
        <w:t xml:space="preserve"> their</w:t>
      </w:r>
      <w:r w:rsidR="00B435B5">
        <w:rPr>
          <w:lang w:val="en-GB"/>
        </w:rPr>
        <w:t xml:space="preserve"> staff</w:t>
      </w:r>
      <w:r w:rsidR="007378EC">
        <w:rPr>
          <w:lang w:val="en-GB"/>
        </w:rPr>
        <w:t>,</w:t>
      </w:r>
      <w:r w:rsidR="00B435B5">
        <w:rPr>
          <w:lang w:val="en-GB"/>
        </w:rPr>
        <w:t xml:space="preserve"> in order to acquire</w:t>
      </w:r>
      <w:r w:rsidR="00CC683A">
        <w:rPr>
          <w:lang w:val="en-GB"/>
        </w:rPr>
        <w:t xml:space="preserve"> the appropriate level of knowledge for </w:t>
      </w:r>
      <w:r w:rsidR="00B435B5">
        <w:rPr>
          <w:lang w:val="en-GB"/>
        </w:rPr>
        <w:t xml:space="preserve">their </w:t>
      </w:r>
      <w:r w:rsidR="004E7BF7">
        <w:rPr>
          <w:lang w:val="en-GB"/>
        </w:rPr>
        <w:t xml:space="preserve">clients facing </w:t>
      </w:r>
      <w:r w:rsidR="00CC683A">
        <w:rPr>
          <w:lang w:val="en-GB"/>
        </w:rPr>
        <w:t>activities.</w:t>
      </w:r>
      <w:r w:rsidR="005C159F">
        <w:rPr>
          <w:lang w:val="en-GB"/>
        </w:rPr>
        <w:t xml:space="preserve"> </w:t>
      </w:r>
    </w:p>
    <w:p w:rsidR="006F7FE1" w:rsidRDefault="006F7FE1" w:rsidP="00E960AD">
      <w:pPr>
        <w:pStyle w:val="1AMAFI"/>
        <w:numPr>
          <w:ilvl w:val="0"/>
          <w:numId w:val="0"/>
        </w:numPr>
        <w:rPr>
          <w:lang w:val="en-GB"/>
        </w:rPr>
      </w:pPr>
    </w:p>
    <w:p w:rsidR="006F7FE1" w:rsidRDefault="006F7FE1" w:rsidP="006F7FE1">
      <w:pPr>
        <w:pStyle w:val="1AMAFI"/>
        <w:numPr>
          <w:ilvl w:val="0"/>
          <w:numId w:val="0"/>
        </w:numPr>
        <w:rPr>
          <w:lang w:val="en-GB"/>
        </w:rPr>
      </w:pPr>
    </w:p>
    <w:p w:rsidR="006F7FE1" w:rsidRDefault="006F7FE1" w:rsidP="006F7FE1">
      <w:pPr>
        <w:pStyle w:val="1AMAFI"/>
        <w:numPr>
          <w:ilvl w:val="0"/>
          <w:numId w:val="0"/>
        </w:numPr>
        <w:rPr>
          <w:lang w:val="en-GB"/>
        </w:rPr>
      </w:pPr>
    </w:p>
    <w:p w:rsidR="006F7FE1" w:rsidRDefault="006F7FE1" w:rsidP="006F7FE1">
      <w:pPr>
        <w:pStyle w:val="1AMAFI"/>
        <w:numPr>
          <w:ilvl w:val="0"/>
          <w:numId w:val="0"/>
        </w:numPr>
        <w:rPr>
          <w:lang w:val="en-GB"/>
        </w:rPr>
      </w:pPr>
    </w:p>
    <w:p w:rsidR="00EE2954" w:rsidRDefault="00EE2954" w:rsidP="00BF3035">
      <w:pPr>
        <w:pStyle w:val="1AMAFI"/>
        <w:numPr>
          <w:ilvl w:val="0"/>
          <w:numId w:val="0"/>
        </w:numPr>
        <w:spacing w:line="240" w:lineRule="atLeast"/>
        <w:rPr>
          <w:b/>
          <w:lang w:val="en-GB"/>
        </w:rPr>
      </w:pPr>
    </w:p>
    <w:p w:rsidR="00BF3035" w:rsidRPr="00BF3035" w:rsidRDefault="00BF3035" w:rsidP="00BF3035">
      <w:pPr>
        <w:pStyle w:val="1AMAFI"/>
        <w:numPr>
          <w:ilvl w:val="0"/>
          <w:numId w:val="0"/>
        </w:numPr>
        <w:spacing w:line="240" w:lineRule="atLeast"/>
        <w:rPr>
          <w:b/>
          <w:lang w:val="en-GB"/>
        </w:rPr>
      </w:pPr>
      <w:r w:rsidRPr="00BF3035">
        <w:rPr>
          <w:b/>
          <w:lang w:val="en-GB"/>
        </w:rPr>
        <w:lastRenderedPageBreak/>
        <w:t xml:space="preserve">Retails and professional clients </w:t>
      </w:r>
    </w:p>
    <w:p w:rsidR="00BF3035" w:rsidRDefault="00BF3035" w:rsidP="006F7FE1">
      <w:pPr>
        <w:pStyle w:val="1AMAFI"/>
        <w:numPr>
          <w:ilvl w:val="0"/>
          <w:numId w:val="0"/>
        </w:numPr>
        <w:rPr>
          <w:lang w:val="en-GB"/>
        </w:rPr>
      </w:pPr>
    </w:p>
    <w:p w:rsidR="00B802F0" w:rsidRDefault="00737B86" w:rsidP="006F7FE1">
      <w:pPr>
        <w:pStyle w:val="1AMAFI"/>
        <w:numPr>
          <w:ilvl w:val="0"/>
          <w:numId w:val="0"/>
        </w:numPr>
        <w:rPr>
          <w:lang w:val="en-GB"/>
        </w:rPr>
      </w:pPr>
      <w:r>
        <w:rPr>
          <w:lang w:val="en-GB"/>
        </w:rPr>
        <w:t xml:space="preserve">Distinction should be </w:t>
      </w:r>
      <w:r w:rsidR="006F7FE1" w:rsidRPr="006F7FE1">
        <w:rPr>
          <w:lang w:val="en-GB"/>
        </w:rPr>
        <w:t xml:space="preserve">made </w:t>
      </w:r>
      <w:r w:rsidR="00B802F0">
        <w:rPr>
          <w:lang w:val="en-GB"/>
        </w:rPr>
        <w:t xml:space="preserve">for </w:t>
      </w:r>
      <w:r w:rsidR="006F7FE1" w:rsidRPr="006F7FE1">
        <w:rPr>
          <w:lang w:val="en-GB"/>
        </w:rPr>
        <w:t>investment advisors and staff giving infor</w:t>
      </w:r>
      <w:r>
        <w:rPr>
          <w:lang w:val="en-GB"/>
        </w:rPr>
        <w:t xml:space="preserve">mation on financial </w:t>
      </w:r>
      <w:r w:rsidR="00B802F0">
        <w:rPr>
          <w:lang w:val="en-GB"/>
        </w:rPr>
        <w:t xml:space="preserve">instruments </w:t>
      </w:r>
      <w:r w:rsidR="00B802F0" w:rsidRPr="006F7FE1">
        <w:rPr>
          <w:lang w:val="en-GB"/>
        </w:rPr>
        <w:t xml:space="preserve">between </w:t>
      </w:r>
      <w:r w:rsidR="006F7FE1" w:rsidRPr="006F7FE1">
        <w:rPr>
          <w:lang w:val="en-GB"/>
        </w:rPr>
        <w:t>retails clients</w:t>
      </w:r>
      <w:r w:rsidR="00897B6A">
        <w:rPr>
          <w:lang w:val="en-GB"/>
        </w:rPr>
        <w:t xml:space="preserve"> and </w:t>
      </w:r>
      <w:r w:rsidR="00B802F0" w:rsidRPr="006F7FE1">
        <w:rPr>
          <w:lang w:val="en-GB"/>
        </w:rPr>
        <w:t>professional clients</w:t>
      </w:r>
      <w:r w:rsidR="006F7FE1" w:rsidRPr="006F7FE1">
        <w:rPr>
          <w:lang w:val="en-GB"/>
        </w:rPr>
        <w:t xml:space="preserve">. </w:t>
      </w:r>
    </w:p>
    <w:p w:rsidR="006F7FE1" w:rsidRDefault="006F7FE1" w:rsidP="006F7FE1">
      <w:pPr>
        <w:pStyle w:val="1AMAFI"/>
        <w:numPr>
          <w:ilvl w:val="0"/>
          <w:numId w:val="0"/>
        </w:numPr>
        <w:rPr>
          <w:lang w:val="en-GB"/>
        </w:rPr>
      </w:pPr>
      <w:r w:rsidRPr="006F7FE1">
        <w:rPr>
          <w:lang w:val="en-GB"/>
        </w:rPr>
        <w:t xml:space="preserve">Professional clients are offered more sophisticated products that the average of retails. </w:t>
      </w:r>
    </w:p>
    <w:p w:rsidR="006F7FE1" w:rsidRDefault="00B802F0" w:rsidP="006F7FE1">
      <w:pPr>
        <w:pStyle w:val="1AMAFI"/>
        <w:numPr>
          <w:ilvl w:val="0"/>
          <w:numId w:val="0"/>
        </w:numPr>
        <w:rPr>
          <w:lang w:val="en-GB"/>
        </w:rPr>
      </w:pPr>
      <w:r>
        <w:rPr>
          <w:lang w:val="en-GB"/>
        </w:rPr>
        <w:t xml:space="preserve">It should be also noted that </w:t>
      </w:r>
      <w:r w:rsidRPr="006F7FE1">
        <w:rPr>
          <w:lang w:val="en-GB"/>
        </w:rPr>
        <w:t xml:space="preserve">MIFID II Product governance </w:t>
      </w:r>
      <w:r>
        <w:rPr>
          <w:lang w:val="en-GB"/>
        </w:rPr>
        <w:t xml:space="preserve">requirements </w:t>
      </w:r>
      <w:r w:rsidR="006F7FE1" w:rsidRPr="006F7FE1">
        <w:rPr>
          <w:lang w:val="en-GB"/>
        </w:rPr>
        <w:t>creates already an investor protection harbor, and will force invest</w:t>
      </w:r>
      <w:r>
        <w:rPr>
          <w:lang w:val="en-GB"/>
        </w:rPr>
        <w:t>ments firms to develop standardized</w:t>
      </w:r>
      <w:r w:rsidR="006F7FE1" w:rsidRPr="006F7FE1">
        <w:rPr>
          <w:lang w:val="en-GB"/>
        </w:rPr>
        <w:t xml:space="preserve"> documentation adapted to the targeted clients</w:t>
      </w:r>
      <w:r w:rsidR="006F7FE1">
        <w:rPr>
          <w:lang w:val="en-GB"/>
        </w:rPr>
        <w:t>.</w:t>
      </w:r>
    </w:p>
    <w:p w:rsidR="0047519C" w:rsidRDefault="0047519C" w:rsidP="00CC683A">
      <w:pPr>
        <w:rPr>
          <w:lang w:val="en-GB"/>
        </w:rPr>
      </w:pPr>
    </w:p>
    <w:p w:rsidR="00CC683A" w:rsidRDefault="00CC683A" w:rsidP="00CC683A">
      <w:pPr>
        <w:rPr>
          <w:lang w:val="en-GB"/>
        </w:rPr>
      </w:pPr>
    </w:p>
    <w:p w:rsidR="00CC683A" w:rsidRPr="00CC683A" w:rsidRDefault="00CC683A" w:rsidP="00E960AD">
      <w:pPr>
        <w:pStyle w:val="Titre3"/>
        <w:keepNext w:val="0"/>
        <w:keepLines w:val="0"/>
        <w:widowControl w:val="0"/>
        <w:numPr>
          <w:ilvl w:val="0"/>
          <w:numId w:val="13"/>
        </w:numPr>
        <w:tabs>
          <w:tab w:val="clear" w:pos="0"/>
          <w:tab w:val="num" w:pos="851"/>
        </w:tabs>
        <w:spacing w:before="0" w:line="276" w:lineRule="auto"/>
        <w:ind w:left="851" w:hanging="567"/>
        <w:jc w:val="left"/>
        <w:rPr>
          <w:rFonts w:ascii="Arial" w:hAnsi="Arial" w:cs="Arial"/>
          <w:color w:val="003366"/>
          <w:sz w:val="24"/>
          <w:szCs w:val="24"/>
          <w:u w:val="single"/>
          <w:lang w:val="en-GB"/>
        </w:rPr>
      </w:pPr>
      <w:r w:rsidRPr="00CC683A">
        <w:rPr>
          <w:rFonts w:ascii="Arial" w:hAnsi="Arial" w:cs="Arial"/>
          <w:color w:val="003366"/>
          <w:sz w:val="24"/>
          <w:szCs w:val="24"/>
          <w:u w:val="single"/>
          <w:lang w:val="en-GB"/>
        </w:rPr>
        <w:t>Answers to ESMA’s questions</w:t>
      </w:r>
    </w:p>
    <w:p w:rsidR="00CC683A" w:rsidRDefault="00CC683A" w:rsidP="00E960AD">
      <w:pPr>
        <w:rPr>
          <w:lang w:val="en-GB"/>
        </w:rPr>
      </w:pPr>
    </w:p>
    <w:p w:rsidR="00CC683A" w:rsidRDefault="00CC683A" w:rsidP="00CC683A">
      <w:pPr>
        <w:rPr>
          <w:lang w:val="en-GB"/>
        </w:rPr>
      </w:pPr>
    </w:p>
    <w:p w:rsidR="00CC683A" w:rsidRPr="00CC683A" w:rsidRDefault="00CC683A" w:rsidP="00EF6930">
      <w:pPr>
        <w:pStyle w:val="Titre4"/>
        <w:keepNext w:val="0"/>
        <w:keepLines w:val="0"/>
        <w:widowControl w:val="0"/>
        <w:numPr>
          <w:ilvl w:val="0"/>
          <w:numId w:val="14"/>
        </w:numPr>
        <w:spacing w:before="0" w:line="276" w:lineRule="auto"/>
        <w:ind w:left="714" w:hanging="357"/>
        <w:rPr>
          <w:rFonts w:ascii="Arial" w:hAnsi="Arial" w:cs="Arial"/>
          <w:color w:val="auto"/>
          <w:lang w:val="en-GB"/>
        </w:rPr>
      </w:pPr>
      <w:r w:rsidRPr="00CC683A">
        <w:rPr>
          <w:rFonts w:ascii="Arial" w:hAnsi="Arial" w:cs="Arial"/>
          <w:color w:val="auto"/>
          <w:lang w:val="en-GB"/>
        </w:rPr>
        <w:t>Do you think that not less than five consecutive years of appropriate experience of providing the same relevant services at the date of application of these guidelines would be sufficient to meet the requirement under knowledge and competence, provided that the firm has assessed their knowledge and competence? If yes, please explain what factors should be taken into account and what assessment should be performed by the investment firm. Please also specify whether five consecutive years of experience should be made in the same firm or whether documented experience in more than one firm could be considered.</w:t>
      </w:r>
    </w:p>
    <w:p w:rsidR="00CC683A" w:rsidRDefault="00CC683A" w:rsidP="00CC683A">
      <w:pPr>
        <w:rPr>
          <w:lang w:val="en-GB"/>
        </w:rPr>
      </w:pPr>
    </w:p>
    <w:p w:rsidR="00D813D2" w:rsidRDefault="00E57918" w:rsidP="00E57918">
      <w:pPr>
        <w:pStyle w:val="1AMAFI"/>
        <w:numPr>
          <w:ilvl w:val="0"/>
          <w:numId w:val="0"/>
        </w:numPr>
        <w:spacing w:line="240" w:lineRule="atLeast"/>
        <w:ind w:left="284"/>
        <w:rPr>
          <w:lang w:val="en-GB"/>
        </w:rPr>
      </w:pPr>
      <w:r>
        <w:rPr>
          <w:lang w:val="en-GB"/>
        </w:rPr>
        <w:t xml:space="preserve">We don’t understand why such a period of five consecutive years is required </w:t>
      </w:r>
      <w:r w:rsidR="00D813D2">
        <w:rPr>
          <w:lang w:val="en-GB"/>
        </w:rPr>
        <w:t xml:space="preserve">without any rationale </w:t>
      </w:r>
      <w:r>
        <w:rPr>
          <w:lang w:val="en-GB"/>
        </w:rPr>
        <w:t>by the Esma</w:t>
      </w:r>
      <w:r w:rsidRPr="00E57918">
        <w:rPr>
          <w:lang w:val="en-GB"/>
        </w:rPr>
        <w:t xml:space="preserve"> to consider </w:t>
      </w:r>
      <w:r w:rsidRPr="00CC683A">
        <w:rPr>
          <w:lang w:val="en-GB"/>
        </w:rPr>
        <w:t xml:space="preserve">firm </w:t>
      </w:r>
      <w:r>
        <w:rPr>
          <w:lang w:val="en-GB"/>
        </w:rPr>
        <w:t xml:space="preserve">staff </w:t>
      </w:r>
      <w:r w:rsidRPr="00E57918">
        <w:rPr>
          <w:lang w:val="en-GB"/>
        </w:rPr>
        <w:t>has the appropriate level of knowledge and competence</w:t>
      </w:r>
      <w:r w:rsidR="00932089">
        <w:rPr>
          <w:lang w:val="en-GB"/>
        </w:rPr>
        <w:t>. Indeed n</w:t>
      </w:r>
      <w:r>
        <w:rPr>
          <w:lang w:val="en-GB"/>
        </w:rPr>
        <w:t>o specific period of time is mentioned at level I of MiFID II</w:t>
      </w:r>
      <w:r w:rsidR="00D813D2">
        <w:rPr>
          <w:lang w:val="en-GB"/>
        </w:rPr>
        <w:t>, same with the CP where a</w:t>
      </w:r>
      <w:r>
        <w:rPr>
          <w:lang w:val="en-GB"/>
        </w:rPr>
        <w:t>t point 5 of the background and principles of the ESMA CP the principle of proportionality is asserted</w:t>
      </w:r>
      <w:r w:rsidR="00932089">
        <w:rPr>
          <w:lang w:val="en-GB"/>
        </w:rPr>
        <w:t>,</w:t>
      </w:r>
      <w:r>
        <w:rPr>
          <w:lang w:val="en-GB"/>
        </w:rPr>
        <w:t xml:space="preserve"> and at point 10 </w:t>
      </w:r>
      <w:r w:rsidR="00932089">
        <w:rPr>
          <w:lang w:val="en-GB"/>
        </w:rPr>
        <w:t xml:space="preserve">where </w:t>
      </w:r>
      <w:r>
        <w:rPr>
          <w:lang w:val="en-GB"/>
        </w:rPr>
        <w:t>ESMA underline</w:t>
      </w:r>
      <w:r w:rsidR="00D813D2">
        <w:rPr>
          <w:lang w:val="en-GB"/>
        </w:rPr>
        <w:t>s</w:t>
      </w:r>
      <w:r>
        <w:rPr>
          <w:lang w:val="en-GB"/>
        </w:rPr>
        <w:t xml:space="preserve"> </w:t>
      </w:r>
      <w:r w:rsidR="00D813D2">
        <w:rPr>
          <w:lang w:val="en-GB"/>
        </w:rPr>
        <w:t>“the minimum period of appropriate experience “ to be determined by each NCA.</w:t>
      </w:r>
    </w:p>
    <w:p w:rsidR="00D813D2" w:rsidRDefault="00E57918" w:rsidP="00E57918">
      <w:pPr>
        <w:pStyle w:val="1AMAFI"/>
        <w:numPr>
          <w:ilvl w:val="0"/>
          <w:numId w:val="0"/>
        </w:numPr>
        <w:spacing w:line="240" w:lineRule="atLeast"/>
        <w:ind w:left="284"/>
        <w:rPr>
          <w:lang w:val="en-GB"/>
        </w:rPr>
      </w:pPr>
      <w:r>
        <w:rPr>
          <w:lang w:val="en-GB"/>
        </w:rPr>
        <w:t xml:space="preserve"> </w:t>
      </w:r>
    </w:p>
    <w:p w:rsidR="00E57918" w:rsidRDefault="00E57918" w:rsidP="00E57918">
      <w:pPr>
        <w:pStyle w:val="1AMAFI"/>
        <w:numPr>
          <w:ilvl w:val="0"/>
          <w:numId w:val="0"/>
        </w:numPr>
        <w:spacing w:line="240" w:lineRule="atLeast"/>
        <w:ind w:left="284"/>
        <w:rPr>
          <w:lang w:val="en-GB"/>
        </w:rPr>
      </w:pPr>
    </w:p>
    <w:p w:rsidR="00CC683A" w:rsidRDefault="003B2042" w:rsidP="003B2042">
      <w:pPr>
        <w:pStyle w:val="1AMAFI"/>
        <w:numPr>
          <w:ilvl w:val="0"/>
          <w:numId w:val="0"/>
        </w:numPr>
        <w:spacing w:line="240" w:lineRule="atLeast"/>
        <w:ind w:left="284"/>
        <w:rPr>
          <w:lang w:val="en-GB"/>
        </w:rPr>
      </w:pPr>
      <w:r>
        <w:rPr>
          <w:lang w:val="en-GB"/>
        </w:rPr>
        <w:t>ESMA should take into consideration the current</w:t>
      </w:r>
      <w:r w:rsidR="00CC683A">
        <w:rPr>
          <w:lang w:val="en-GB"/>
        </w:rPr>
        <w:t xml:space="preserve"> practices </w:t>
      </w:r>
      <w:r>
        <w:rPr>
          <w:lang w:val="en-GB"/>
        </w:rPr>
        <w:t xml:space="preserve">in </w:t>
      </w:r>
      <w:r w:rsidR="00831053">
        <w:rPr>
          <w:lang w:val="en-GB"/>
        </w:rPr>
        <w:t xml:space="preserve">every </w:t>
      </w:r>
      <w:r>
        <w:rPr>
          <w:lang w:val="en-GB"/>
        </w:rPr>
        <w:t xml:space="preserve">different Member States to consider any average </w:t>
      </w:r>
      <w:r w:rsidR="000E7C60">
        <w:rPr>
          <w:lang w:val="en-GB"/>
        </w:rPr>
        <w:t xml:space="preserve">period, if any, </w:t>
      </w:r>
      <w:r w:rsidR="00BA2696">
        <w:rPr>
          <w:lang w:val="en-GB"/>
        </w:rPr>
        <w:t>to be implemented</w:t>
      </w:r>
      <w:r w:rsidR="00CC683A">
        <w:rPr>
          <w:lang w:val="en-GB"/>
        </w:rPr>
        <w:t xml:space="preserve"> to meet the knowledge and competence requirement and would constitute a more balanced requirement.</w:t>
      </w:r>
    </w:p>
    <w:p w:rsidR="00CC683A" w:rsidRDefault="00CC683A" w:rsidP="00E960AD">
      <w:pPr>
        <w:pStyle w:val="1AMAFI"/>
        <w:numPr>
          <w:ilvl w:val="0"/>
          <w:numId w:val="0"/>
        </w:numPr>
        <w:rPr>
          <w:lang w:val="en-GB"/>
        </w:rPr>
      </w:pPr>
    </w:p>
    <w:p w:rsidR="00146DF8" w:rsidRDefault="00146DF8" w:rsidP="00CC683A">
      <w:pPr>
        <w:rPr>
          <w:lang w:val="en-GB"/>
        </w:rPr>
      </w:pPr>
    </w:p>
    <w:p w:rsidR="00CC683A" w:rsidRPr="00CC683A" w:rsidRDefault="00CC683A" w:rsidP="00D06AA7">
      <w:pPr>
        <w:pStyle w:val="Titre4"/>
        <w:keepNext w:val="0"/>
        <w:keepLines w:val="0"/>
        <w:widowControl w:val="0"/>
        <w:numPr>
          <w:ilvl w:val="0"/>
          <w:numId w:val="14"/>
        </w:numPr>
        <w:spacing w:before="0" w:line="276" w:lineRule="auto"/>
        <w:ind w:left="714" w:hanging="357"/>
        <w:rPr>
          <w:rFonts w:ascii="Arial" w:hAnsi="Arial" w:cs="Arial"/>
          <w:color w:val="auto"/>
          <w:lang w:val="en-GB"/>
        </w:rPr>
      </w:pPr>
      <w:r w:rsidRPr="00CC683A">
        <w:rPr>
          <w:rFonts w:ascii="Arial" w:hAnsi="Arial" w:cs="Arial"/>
          <w:color w:val="auto"/>
          <w:lang w:val="en-GB"/>
        </w:rPr>
        <w:t>ESMA proposes that the level and intensity of the knowledge and competence requirements should be differentiated between investment advisors and other staff giving information on financial instruments, structured deposits and services to clients, taking into account their specific role and responsibilities. In particular, the level of knowledge and competence expected for those providing advice should be of a higher standard than that those providing information. Do you agree with the proposed approach?</w:t>
      </w:r>
    </w:p>
    <w:p w:rsidR="00CC683A" w:rsidRDefault="00CC683A" w:rsidP="00CC683A">
      <w:pPr>
        <w:rPr>
          <w:lang w:val="en-GB"/>
        </w:rPr>
      </w:pPr>
    </w:p>
    <w:p w:rsidR="00175545" w:rsidRDefault="005C159F" w:rsidP="005C159F">
      <w:pPr>
        <w:pStyle w:val="1AMAFI"/>
        <w:numPr>
          <w:ilvl w:val="0"/>
          <w:numId w:val="0"/>
        </w:numPr>
        <w:spacing w:line="240" w:lineRule="atLeast"/>
        <w:ind w:left="284"/>
        <w:rPr>
          <w:lang w:val="en-GB"/>
        </w:rPr>
      </w:pPr>
      <w:r>
        <w:rPr>
          <w:lang w:val="en-GB"/>
        </w:rPr>
        <w:t xml:space="preserve">This approach needs to be </w:t>
      </w:r>
      <w:r w:rsidR="00657749">
        <w:rPr>
          <w:lang w:val="en-GB"/>
        </w:rPr>
        <w:t>clarified;</w:t>
      </w:r>
      <w:r>
        <w:rPr>
          <w:lang w:val="en-GB"/>
        </w:rPr>
        <w:t xml:space="preserve"> </w:t>
      </w:r>
      <w:r w:rsidR="00657749">
        <w:rPr>
          <w:lang w:val="en-GB"/>
        </w:rPr>
        <w:t>the</w:t>
      </w:r>
      <w:r>
        <w:rPr>
          <w:lang w:val="en-GB"/>
        </w:rPr>
        <w:t xml:space="preserve"> differentiation is </w:t>
      </w:r>
      <w:r w:rsidR="00657749">
        <w:rPr>
          <w:lang w:val="en-GB"/>
        </w:rPr>
        <w:t xml:space="preserve">not </w:t>
      </w:r>
      <w:r>
        <w:rPr>
          <w:lang w:val="en-GB"/>
        </w:rPr>
        <w:t xml:space="preserve">explained between investment advisors and staff members providing information on financial instruments and investment services, and to </w:t>
      </w:r>
      <w:r w:rsidR="00B15812">
        <w:rPr>
          <w:lang w:val="en-GB"/>
        </w:rPr>
        <w:t>justify higher</w:t>
      </w:r>
      <w:r>
        <w:rPr>
          <w:lang w:val="en-GB"/>
        </w:rPr>
        <w:t xml:space="preserve"> standards for the investment advisors category of staff.</w:t>
      </w:r>
    </w:p>
    <w:p w:rsidR="00175545" w:rsidRDefault="00175545" w:rsidP="005C159F">
      <w:pPr>
        <w:pStyle w:val="1AMAFI"/>
        <w:numPr>
          <w:ilvl w:val="0"/>
          <w:numId w:val="0"/>
        </w:numPr>
        <w:spacing w:line="240" w:lineRule="atLeast"/>
        <w:ind w:left="284"/>
        <w:rPr>
          <w:lang w:val="en-GB"/>
        </w:rPr>
      </w:pPr>
    </w:p>
    <w:p w:rsidR="005C159F" w:rsidRPr="005C159F" w:rsidRDefault="00B15812" w:rsidP="005C159F">
      <w:pPr>
        <w:pStyle w:val="1AMAFI"/>
        <w:numPr>
          <w:ilvl w:val="0"/>
          <w:numId w:val="0"/>
        </w:numPr>
        <w:spacing w:line="240" w:lineRule="atLeast"/>
        <w:ind w:left="284"/>
        <w:rPr>
          <w:lang w:val="en-GB"/>
        </w:rPr>
      </w:pPr>
      <w:r>
        <w:rPr>
          <w:lang w:val="en-GB"/>
        </w:rPr>
        <w:t xml:space="preserve"> </w:t>
      </w:r>
      <w:r w:rsidR="00657749">
        <w:rPr>
          <w:lang w:val="en-GB"/>
        </w:rPr>
        <w:t>Providing</w:t>
      </w:r>
      <w:r>
        <w:rPr>
          <w:lang w:val="en-GB"/>
        </w:rPr>
        <w:t xml:space="preserve"> information such as </w:t>
      </w:r>
      <w:r w:rsidR="00E46017">
        <w:rPr>
          <w:lang w:val="en-GB"/>
        </w:rPr>
        <w:t>to present a</w:t>
      </w:r>
      <w:r>
        <w:rPr>
          <w:lang w:val="en-GB"/>
        </w:rPr>
        <w:t xml:space="preserve"> prospectus </w:t>
      </w:r>
      <w:r w:rsidR="00E46017">
        <w:rPr>
          <w:lang w:val="en-GB"/>
        </w:rPr>
        <w:t>or a</w:t>
      </w:r>
      <w:r>
        <w:rPr>
          <w:lang w:val="en-GB"/>
        </w:rPr>
        <w:t xml:space="preserve"> commercial leaflet on a</w:t>
      </w:r>
      <w:r w:rsidRPr="00B15812">
        <w:rPr>
          <w:lang w:val="en-GB"/>
        </w:rPr>
        <w:t xml:space="preserve"> </w:t>
      </w:r>
      <w:r>
        <w:rPr>
          <w:lang w:val="en-GB"/>
        </w:rPr>
        <w:t xml:space="preserve">financial </w:t>
      </w:r>
      <w:r w:rsidR="00E46017">
        <w:rPr>
          <w:lang w:val="en-GB"/>
        </w:rPr>
        <w:t xml:space="preserve">product or giving a </w:t>
      </w:r>
      <w:r w:rsidR="00E46017" w:rsidRPr="00E46017">
        <w:rPr>
          <w:lang w:val="en-US"/>
        </w:rPr>
        <w:t>stock price</w:t>
      </w:r>
      <w:r w:rsidR="00657749">
        <w:rPr>
          <w:lang w:val="en-US"/>
        </w:rPr>
        <w:t xml:space="preserve"> </w:t>
      </w:r>
      <w:r w:rsidR="00E46017">
        <w:rPr>
          <w:lang w:val="en-GB"/>
        </w:rPr>
        <w:t xml:space="preserve">doesn’t </w:t>
      </w:r>
      <w:r w:rsidR="00657749">
        <w:rPr>
          <w:lang w:val="en-GB"/>
        </w:rPr>
        <w:t>require</w:t>
      </w:r>
      <w:r w:rsidR="00E46017">
        <w:rPr>
          <w:lang w:val="en-GB"/>
        </w:rPr>
        <w:t xml:space="preserve"> </w:t>
      </w:r>
      <w:r w:rsidR="00A731DF">
        <w:rPr>
          <w:lang w:val="en-GB"/>
        </w:rPr>
        <w:t>five years of</w:t>
      </w:r>
      <w:r w:rsidR="00E46017">
        <w:rPr>
          <w:lang w:val="en-GB"/>
        </w:rPr>
        <w:t xml:space="preserve"> experience.</w:t>
      </w:r>
      <w:r w:rsidR="00F73BBF">
        <w:rPr>
          <w:lang w:val="en-GB"/>
        </w:rPr>
        <w:t xml:space="preserve"> Clarification about the nature</w:t>
      </w:r>
      <w:r w:rsidR="00175545">
        <w:rPr>
          <w:lang w:val="en-GB"/>
        </w:rPr>
        <w:t xml:space="preserve"> </w:t>
      </w:r>
      <w:r w:rsidR="00F73BBF" w:rsidRPr="00CC683A">
        <w:rPr>
          <w:lang w:val="en-GB"/>
        </w:rPr>
        <w:t>on financial instruments</w:t>
      </w:r>
      <w:r w:rsidR="00F73BBF">
        <w:rPr>
          <w:lang w:val="en-GB"/>
        </w:rPr>
        <w:t xml:space="preserve"> </w:t>
      </w:r>
      <w:r w:rsidR="00175545">
        <w:rPr>
          <w:lang w:val="en-GB"/>
        </w:rPr>
        <w:t>information is necessary.</w:t>
      </w:r>
    </w:p>
    <w:p w:rsidR="005C159F" w:rsidRDefault="005C159F" w:rsidP="005C159F">
      <w:pPr>
        <w:pStyle w:val="1AMAFI"/>
        <w:numPr>
          <w:ilvl w:val="0"/>
          <w:numId w:val="0"/>
        </w:numPr>
        <w:spacing w:line="240" w:lineRule="atLeast"/>
        <w:ind w:left="284"/>
        <w:rPr>
          <w:lang w:val="en-GB"/>
        </w:rPr>
      </w:pPr>
    </w:p>
    <w:p w:rsidR="00175545" w:rsidRDefault="00CC683A" w:rsidP="00175545">
      <w:pPr>
        <w:pStyle w:val="1AMAFI"/>
        <w:numPr>
          <w:ilvl w:val="0"/>
          <w:numId w:val="0"/>
        </w:numPr>
        <w:spacing w:line="240" w:lineRule="atLeast"/>
        <w:ind w:left="284"/>
        <w:rPr>
          <w:lang w:val="en-GB"/>
        </w:rPr>
      </w:pPr>
      <w:r>
        <w:rPr>
          <w:lang w:val="en-GB"/>
        </w:rPr>
        <w:t xml:space="preserve"> </w:t>
      </w:r>
      <w:r w:rsidR="00175545">
        <w:rPr>
          <w:lang w:val="en-GB"/>
        </w:rPr>
        <w:t xml:space="preserve">We consider </w:t>
      </w:r>
      <w:r w:rsidR="00D80CF0">
        <w:rPr>
          <w:lang w:val="en-GB"/>
        </w:rPr>
        <w:t xml:space="preserve">also </w:t>
      </w:r>
      <w:r w:rsidR="00175545">
        <w:rPr>
          <w:lang w:val="en-GB"/>
        </w:rPr>
        <w:t xml:space="preserve">that such distinction </w:t>
      </w:r>
      <w:r w:rsidR="00D80CF0">
        <w:rPr>
          <w:lang w:val="en-GB"/>
        </w:rPr>
        <w:t xml:space="preserve">between both categories </w:t>
      </w:r>
      <w:r w:rsidR="00175545">
        <w:rPr>
          <w:lang w:val="en-GB"/>
        </w:rPr>
        <w:t xml:space="preserve">could create </w:t>
      </w:r>
      <w:r w:rsidR="00D80CF0">
        <w:rPr>
          <w:lang w:val="en-GB"/>
        </w:rPr>
        <w:t>complication</w:t>
      </w:r>
      <w:r w:rsidR="00A06418">
        <w:rPr>
          <w:lang w:val="en-GB"/>
        </w:rPr>
        <w:t>.</w:t>
      </w:r>
    </w:p>
    <w:p w:rsidR="00CC683A" w:rsidRDefault="00CC683A" w:rsidP="00CC683A">
      <w:pPr>
        <w:rPr>
          <w:lang w:val="en-GB"/>
        </w:rPr>
      </w:pPr>
    </w:p>
    <w:p w:rsidR="00CC683A" w:rsidRPr="00D06AA7" w:rsidRDefault="00CC683A" w:rsidP="00CC683A">
      <w:pPr>
        <w:rPr>
          <w:b/>
          <w:lang w:val="en-GB"/>
        </w:rPr>
      </w:pPr>
    </w:p>
    <w:p w:rsidR="00CC683A" w:rsidRPr="00D06AA7" w:rsidRDefault="00CC683A" w:rsidP="00CC683A">
      <w:pPr>
        <w:pStyle w:val="Titre4"/>
        <w:keepNext w:val="0"/>
        <w:keepLines w:val="0"/>
        <w:widowControl w:val="0"/>
        <w:numPr>
          <w:ilvl w:val="0"/>
          <w:numId w:val="14"/>
        </w:numPr>
        <w:spacing w:before="0" w:line="276" w:lineRule="auto"/>
        <w:ind w:left="714" w:hanging="357"/>
        <w:jc w:val="left"/>
        <w:rPr>
          <w:rFonts w:ascii="Arial" w:hAnsi="Arial" w:cs="Arial"/>
          <w:i w:val="0"/>
          <w:color w:val="auto"/>
          <w:lang w:val="en-GB"/>
        </w:rPr>
      </w:pPr>
      <w:r w:rsidRPr="00D06AA7">
        <w:rPr>
          <w:rFonts w:ascii="Arial" w:hAnsi="Arial" w:cs="Arial"/>
          <w:i w:val="0"/>
          <w:color w:val="auto"/>
          <w:lang w:val="en-GB"/>
        </w:rPr>
        <w:t>What is your view on the knowledge and competence requirements proposed in the draft</w:t>
      </w:r>
      <w:r w:rsidR="00DD58DA">
        <w:rPr>
          <w:rFonts w:ascii="Arial" w:hAnsi="Arial" w:cs="Arial"/>
          <w:i w:val="0"/>
          <w:color w:val="auto"/>
          <w:lang w:val="en-GB"/>
        </w:rPr>
        <w:t xml:space="preserve"> guidelines set out in Annex IV</w:t>
      </w:r>
      <w:r w:rsidRPr="00D06AA7">
        <w:rPr>
          <w:rFonts w:ascii="Arial" w:hAnsi="Arial" w:cs="Arial"/>
          <w:i w:val="0"/>
          <w:color w:val="auto"/>
          <w:lang w:val="en-GB"/>
        </w:rPr>
        <w:t xml:space="preserve"> </w:t>
      </w:r>
    </w:p>
    <w:p w:rsidR="00CC683A" w:rsidRDefault="00CC683A" w:rsidP="00E960AD">
      <w:pPr>
        <w:pStyle w:val="1AMAFI"/>
        <w:numPr>
          <w:ilvl w:val="0"/>
          <w:numId w:val="0"/>
        </w:numPr>
        <w:rPr>
          <w:lang w:val="en-GB"/>
        </w:rPr>
      </w:pPr>
    </w:p>
    <w:p w:rsidR="00DD58DA" w:rsidRDefault="00DD58DA" w:rsidP="00E960AD">
      <w:pPr>
        <w:pStyle w:val="1AMAFI"/>
        <w:numPr>
          <w:ilvl w:val="0"/>
          <w:numId w:val="0"/>
        </w:numPr>
        <w:rPr>
          <w:lang w:val="en-GB"/>
        </w:rPr>
      </w:pPr>
    </w:p>
    <w:p w:rsidR="00BF3035" w:rsidRDefault="00DD58DA" w:rsidP="00497DAB">
      <w:pPr>
        <w:pStyle w:val="1AMAFI"/>
        <w:numPr>
          <w:ilvl w:val="0"/>
          <w:numId w:val="0"/>
        </w:numPr>
        <w:ind w:left="720"/>
        <w:rPr>
          <w:lang w:val="en-GB"/>
        </w:rPr>
      </w:pPr>
      <w:r w:rsidRPr="0095408C">
        <w:rPr>
          <w:lang w:val="en-GB"/>
        </w:rPr>
        <w:t xml:space="preserve">We have some concerns </w:t>
      </w:r>
      <w:r w:rsidR="00BF3035" w:rsidRPr="0095408C">
        <w:rPr>
          <w:lang w:val="en-GB"/>
        </w:rPr>
        <w:t>about</w:t>
      </w:r>
      <w:r w:rsidR="00BF3035">
        <w:rPr>
          <w:lang w:val="en-GB"/>
        </w:rPr>
        <w:t>:</w:t>
      </w:r>
    </w:p>
    <w:p w:rsidR="00BF3035" w:rsidRDefault="00BF3035" w:rsidP="00497DAB">
      <w:pPr>
        <w:pStyle w:val="1AMAFI"/>
        <w:numPr>
          <w:ilvl w:val="0"/>
          <w:numId w:val="0"/>
        </w:numPr>
        <w:ind w:left="720"/>
        <w:rPr>
          <w:lang w:val="en-GB"/>
        </w:rPr>
      </w:pPr>
    </w:p>
    <w:p w:rsidR="00497DAB" w:rsidRPr="00DD58DA" w:rsidRDefault="00BF3035" w:rsidP="00497DAB">
      <w:pPr>
        <w:pStyle w:val="1AMAFI"/>
        <w:numPr>
          <w:ilvl w:val="0"/>
          <w:numId w:val="0"/>
        </w:numPr>
        <w:ind w:left="720"/>
        <w:rPr>
          <w:lang w:val="en-US"/>
        </w:rPr>
      </w:pPr>
      <w:r w:rsidRPr="0095408C">
        <w:rPr>
          <w:lang w:val="en-GB"/>
        </w:rPr>
        <w:t>The</w:t>
      </w:r>
      <w:r w:rsidR="00DD58DA" w:rsidRPr="0095408C">
        <w:rPr>
          <w:lang w:val="en-GB"/>
        </w:rPr>
        <w:t xml:space="preserve"> knowledge and competence requirements</w:t>
      </w:r>
      <w:r w:rsidR="0095408C">
        <w:rPr>
          <w:lang w:val="en-GB"/>
        </w:rPr>
        <w:t xml:space="preserve"> listed by the ESMA</w:t>
      </w:r>
      <w:r w:rsidR="00DD58DA" w:rsidRPr="0095408C">
        <w:rPr>
          <w:lang w:val="en-GB"/>
        </w:rPr>
        <w:t xml:space="preserve">, where it is requested for the staff giving information </w:t>
      </w:r>
      <w:r w:rsidR="0095408C">
        <w:rPr>
          <w:lang w:val="en-GB"/>
        </w:rPr>
        <w:t>and for the investment advisors nearly the same requirements</w:t>
      </w:r>
      <w:r w:rsidR="00497DAB">
        <w:rPr>
          <w:lang w:val="en-GB"/>
        </w:rPr>
        <w:t xml:space="preserve">. </w:t>
      </w:r>
      <w:r w:rsidR="001C1791">
        <w:rPr>
          <w:lang w:val="en-GB"/>
        </w:rPr>
        <w:t>Regarding</w:t>
      </w:r>
      <w:r w:rsidR="00497DAB">
        <w:rPr>
          <w:lang w:val="en-GB"/>
        </w:rPr>
        <w:t xml:space="preserve"> </w:t>
      </w:r>
      <w:r w:rsidR="00497DAB" w:rsidRPr="0095408C">
        <w:rPr>
          <w:lang w:val="en-GB"/>
        </w:rPr>
        <w:t>the staff giving information</w:t>
      </w:r>
      <w:r w:rsidR="001C1791">
        <w:rPr>
          <w:lang w:val="en-GB"/>
        </w:rPr>
        <w:t>:</w:t>
      </w:r>
      <w:r w:rsidR="00497DAB" w:rsidRPr="0095408C">
        <w:rPr>
          <w:lang w:val="en-GB"/>
        </w:rPr>
        <w:t xml:space="preserve"> </w:t>
      </w:r>
      <w:r w:rsidR="00497DAB">
        <w:rPr>
          <w:lang w:val="en-GB"/>
        </w:rPr>
        <w:t>is it necessary to know the “</w:t>
      </w:r>
      <w:r w:rsidR="00497DAB" w:rsidRPr="00DD58DA">
        <w:rPr>
          <w:lang w:val="en-US"/>
        </w:rPr>
        <w:t>impact of economic figures, national/regional/global events on markets and on t</w:t>
      </w:r>
      <w:r w:rsidR="00497DAB">
        <w:rPr>
          <w:lang w:val="en-US"/>
        </w:rPr>
        <w:t>he value of investment products”</w:t>
      </w:r>
      <w:r w:rsidR="00497DAB" w:rsidRPr="00497DAB">
        <w:rPr>
          <w:lang w:val="en-US"/>
        </w:rPr>
        <w:t xml:space="preserve"> </w:t>
      </w:r>
      <w:r w:rsidR="00497DAB">
        <w:rPr>
          <w:lang w:val="en-US"/>
        </w:rPr>
        <w:t>or the “</w:t>
      </w:r>
      <w:r w:rsidR="00497DAB" w:rsidRPr="00DD58DA">
        <w:rPr>
          <w:lang w:val="en-US"/>
        </w:rPr>
        <w:t>market structures, their trading venues or the existence of any secondary markets</w:t>
      </w:r>
      <w:r w:rsidR="00BE6D08">
        <w:rPr>
          <w:lang w:val="en-US"/>
        </w:rPr>
        <w:t>”?</w:t>
      </w:r>
    </w:p>
    <w:p w:rsidR="00DD58DA" w:rsidRPr="00497DAB" w:rsidRDefault="00DD58DA" w:rsidP="0095408C">
      <w:pPr>
        <w:pStyle w:val="1AMAFI"/>
        <w:numPr>
          <w:ilvl w:val="0"/>
          <w:numId w:val="0"/>
        </w:numPr>
        <w:spacing w:line="240" w:lineRule="atLeast"/>
        <w:ind w:left="284"/>
        <w:rPr>
          <w:lang w:val="en-US"/>
        </w:rPr>
      </w:pPr>
    </w:p>
    <w:p w:rsidR="00CC683A" w:rsidRDefault="00DD58DA" w:rsidP="00BF3035">
      <w:pPr>
        <w:pStyle w:val="1AMAFI"/>
        <w:numPr>
          <w:ilvl w:val="0"/>
          <w:numId w:val="0"/>
        </w:numPr>
        <w:spacing w:line="240" w:lineRule="atLeast"/>
        <w:ind w:left="284"/>
        <w:rPr>
          <w:lang w:val="en-GB"/>
        </w:rPr>
      </w:pPr>
      <w:r w:rsidRPr="0095408C">
        <w:rPr>
          <w:lang w:val="en-GB"/>
        </w:rPr>
        <w:t xml:space="preserve">  </w:t>
      </w:r>
    </w:p>
    <w:p w:rsidR="00DD58DA" w:rsidRDefault="00DD58DA" w:rsidP="00DD58DA">
      <w:pPr>
        <w:pStyle w:val="Titre4"/>
        <w:keepNext w:val="0"/>
        <w:keepLines w:val="0"/>
        <w:widowControl w:val="0"/>
        <w:spacing w:before="0" w:line="276" w:lineRule="auto"/>
        <w:ind w:left="360"/>
        <w:jc w:val="left"/>
        <w:rPr>
          <w:rFonts w:ascii="Arial" w:hAnsi="Arial" w:cs="Arial"/>
          <w:color w:val="auto"/>
          <w:lang w:val="en-GB"/>
        </w:rPr>
      </w:pPr>
    </w:p>
    <w:p w:rsidR="00CC683A" w:rsidRPr="00CC683A" w:rsidRDefault="00CC683A" w:rsidP="00DD58DA">
      <w:pPr>
        <w:pStyle w:val="Titre4"/>
        <w:keepNext w:val="0"/>
        <w:keepLines w:val="0"/>
        <w:widowControl w:val="0"/>
        <w:spacing w:before="0" w:line="276" w:lineRule="auto"/>
        <w:ind w:left="360"/>
        <w:jc w:val="left"/>
        <w:rPr>
          <w:rFonts w:ascii="Arial" w:hAnsi="Arial" w:cs="Arial"/>
          <w:color w:val="auto"/>
          <w:lang w:val="en-GB"/>
        </w:rPr>
      </w:pPr>
      <w:r w:rsidRPr="00CC683A">
        <w:rPr>
          <w:rFonts w:ascii="Arial" w:hAnsi="Arial" w:cs="Arial"/>
          <w:color w:val="auto"/>
          <w:lang w:val="en-GB"/>
        </w:rPr>
        <w:t>Are there, in your opinion, other knowledge or competence requirements that need to be covered in the draft guidelines set out in Annex IV?</w:t>
      </w:r>
    </w:p>
    <w:p w:rsidR="00CC683A" w:rsidRDefault="00CC683A" w:rsidP="00CC683A">
      <w:pPr>
        <w:rPr>
          <w:lang w:val="en-GB"/>
        </w:rPr>
      </w:pPr>
    </w:p>
    <w:p w:rsidR="00CC683A" w:rsidRDefault="00DD58DA" w:rsidP="00DD58DA">
      <w:pPr>
        <w:pStyle w:val="1AMAFI"/>
        <w:numPr>
          <w:ilvl w:val="0"/>
          <w:numId w:val="0"/>
        </w:numPr>
        <w:spacing w:line="240" w:lineRule="atLeast"/>
        <w:ind w:left="284"/>
        <w:rPr>
          <w:lang w:val="en-GB"/>
        </w:rPr>
      </w:pPr>
      <w:bookmarkStart w:id="0" w:name="_GoBack"/>
      <w:bookmarkEnd w:id="0"/>
      <w:r>
        <w:rPr>
          <w:lang w:val="en-GB"/>
        </w:rPr>
        <w:tab/>
      </w:r>
      <w:r w:rsidR="00CC683A">
        <w:rPr>
          <w:lang w:val="en-GB"/>
        </w:rPr>
        <w:t>No</w:t>
      </w:r>
    </w:p>
    <w:p w:rsidR="00CC683A" w:rsidRDefault="00CC683A" w:rsidP="00EB4482">
      <w:pPr>
        <w:pStyle w:val="1AMAFI"/>
        <w:numPr>
          <w:ilvl w:val="0"/>
          <w:numId w:val="0"/>
        </w:numPr>
        <w:rPr>
          <w:lang w:val="en-GB"/>
        </w:rPr>
      </w:pPr>
    </w:p>
    <w:p w:rsidR="00CC683A" w:rsidRDefault="00CC683A" w:rsidP="00CC683A">
      <w:pPr>
        <w:rPr>
          <w:lang w:val="en-GB"/>
        </w:rPr>
      </w:pPr>
    </w:p>
    <w:p w:rsidR="00CC683A" w:rsidRDefault="00CC683A" w:rsidP="00CC683A">
      <w:pPr>
        <w:pStyle w:val="Titre4"/>
        <w:keepNext w:val="0"/>
        <w:keepLines w:val="0"/>
        <w:widowControl w:val="0"/>
        <w:numPr>
          <w:ilvl w:val="0"/>
          <w:numId w:val="14"/>
        </w:numPr>
        <w:spacing w:before="0" w:line="276" w:lineRule="auto"/>
        <w:ind w:left="714" w:hanging="357"/>
        <w:jc w:val="left"/>
        <w:rPr>
          <w:rFonts w:ascii="Arial" w:hAnsi="Arial" w:cs="Arial"/>
          <w:color w:val="auto"/>
          <w:lang w:val="en-GB"/>
        </w:rPr>
      </w:pPr>
      <w:r w:rsidRPr="00CC683A">
        <w:rPr>
          <w:rFonts w:ascii="Arial" w:hAnsi="Arial" w:cs="Arial"/>
          <w:color w:val="auto"/>
          <w:lang w:val="en-GB"/>
        </w:rPr>
        <w:t>What additional one-off costs would firms encoun</w:t>
      </w:r>
      <w:r w:rsidR="009B695E">
        <w:rPr>
          <w:rFonts w:ascii="Arial" w:hAnsi="Arial" w:cs="Arial"/>
          <w:color w:val="auto"/>
          <w:lang w:val="en-GB"/>
        </w:rPr>
        <w:t xml:space="preserve">ter as a result of the proposed </w:t>
      </w:r>
      <w:r w:rsidRPr="00CC683A">
        <w:rPr>
          <w:rFonts w:ascii="Arial" w:hAnsi="Arial" w:cs="Arial"/>
          <w:color w:val="auto"/>
          <w:lang w:val="en-GB"/>
        </w:rPr>
        <w:t xml:space="preserve">guidelines? </w:t>
      </w:r>
    </w:p>
    <w:p w:rsidR="0047288B" w:rsidRPr="0047288B" w:rsidRDefault="0047288B" w:rsidP="0047288B">
      <w:pPr>
        <w:rPr>
          <w:lang w:val="en-GB"/>
        </w:rPr>
      </w:pPr>
    </w:p>
    <w:p w:rsidR="009B695E" w:rsidRDefault="009B695E" w:rsidP="009B695E">
      <w:pPr>
        <w:rPr>
          <w:lang w:val="en-GB"/>
        </w:rPr>
      </w:pPr>
      <w:r>
        <w:rPr>
          <w:lang w:val="en-GB"/>
        </w:rPr>
        <w:tab/>
        <w:t xml:space="preserve">The </w:t>
      </w:r>
      <w:r w:rsidR="00307E11">
        <w:rPr>
          <w:lang w:val="en-GB"/>
        </w:rPr>
        <w:t>major</w:t>
      </w:r>
      <w:r>
        <w:rPr>
          <w:lang w:val="en-GB"/>
        </w:rPr>
        <w:t xml:space="preserve"> cost will be to implement a generic process </w:t>
      </w:r>
      <w:r w:rsidR="00EB665B">
        <w:rPr>
          <w:lang w:val="en-GB"/>
        </w:rPr>
        <w:t xml:space="preserve">taking into account the requirement for a </w:t>
      </w:r>
      <w:r w:rsidR="00EB665B">
        <w:rPr>
          <w:lang w:val="en-GB"/>
        </w:rPr>
        <w:tab/>
        <w:t>period of five consecutive years</w:t>
      </w:r>
      <w:r w:rsidR="00680274" w:rsidRPr="00680274">
        <w:rPr>
          <w:lang w:val="en-GB"/>
        </w:rPr>
        <w:t xml:space="preserve"> </w:t>
      </w:r>
      <w:r w:rsidR="00680274">
        <w:rPr>
          <w:lang w:val="en-GB"/>
        </w:rPr>
        <w:t xml:space="preserve">as an </w:t>
      </w:r>
      <w:r w:rsidR="00680274" w:rsidRPr="00E57918">
        <w:rPr>
          <w:lang w:val="en-GB"/>
        </w:rPr>
        <w:t xml:space="preserve">appropriate </w:t>
      </w:r>
      <w:r w:rsidR="00307E11">
        <w:rPr>
          <w:lang w:val="en-GB"/>
        </w:rPr>
        <w:t xml:space="preserve">staff </w:t>
      </w:r>
      <w:r w:rsidR="00680274" w:rsidRPr="00E57918">
        <w:rPr>
          <w:lang w:val="en-GB"/>
        </w:rPr>
        <w:t>level of knowledge and competence</w:t>
      </w:r>
      <w:r w:rsidR="00307E11">
        <w:rPr>
          <w:lang w:val="en-GB"/>
        </w:rPr>
        <w:t>.</w:t>
      </w:r>
    </w:p>
    <w:p w:rsidR="00307E11" w:rsidRPr="009B695E" w:rsidRDefault="00307E11" w:rsidP="009B695E">
      <w:pPr>
        <w:rPr>
          <w:lang w:val="en-GB"/>
        </w:rPr>
      </w:pPr>
      <w:r>
        <w:rPr>
          <w:lang w:val="en-GB"/>
        </w:rPr>
        <w:tab/>
        <w:t xml:space="preserve">Firm should adjust for their existing staff not having this experience period, while new staff will not </w:t>
      </w:r>
      <w:r>
        <w:rPr>
          <w:lang w:val="en-GB"/>
        </w:rPr>
        <w:tab/>
        <w:t xml:space="preserve">be able to give </w:t>
      </w:r>
      <w:r w:rsidR="0047288B">
        <w:rPr>
          <w:lang w:val="en-GB"/>
        </w:rPr>
        <w:t>advice</w:t>
      </w:r>
      <w:r>
        <w:rPr>
          <w:lang w:val="en-GB"/>
        </w:rPr>
        <w:t xml:space="preserve"> or information to the clients until they have the necessary experience.</w:t>
      </w:r>
    </w:p>
    <w:p w:rsidR="00CC683A" w:rsidRDefault="00CC683A" w:rsidP="00CC683A">
      <w:pPr>
        <w:rPr>
          <w:lang w:val="en-GB"/>
        </w:rPr>
      </w:pPr>
    </w:p>
    <w:p w:rsidR="00CC683A" w:rsidRPr="00CC683A" w:rsidRDefault="00CC683A" w:rsidP="00CC683A">
      <w:pPr>
        <w:pStyle w:val="Titre4"/>
        <w:keepNext w:val="0"/>
        <w:keepLines w:val="0"/>
        <w:widowControl w:val="0"/>
        <w:numPr>
          <w:ilvl w:val="0"/>
          <w:numId w:val="14"/>
        </w:numPr>
        <w:spacing w:before="0" w:line="276" w:lineRule="auto"/>
        <w:ind w:left="714" w:hanging="357"/>
        <w:jc w:val="left"/>
        <w:rPr>
          <w:rFonts w:ascii="Arial" w:hAnsi="Arial" w:cs="Arial"/>
          <w:color w:val="auto"/>
          <w:lang w:val="en-GB"/>
        </w:rPr>
      </w:pPr>
      <w:r w:rsidRPr="00CC683A">
        <w:rPr>
          <w:rFonts w:ascii="Arial" w:hAnsi="Arial" w:cs="Arial"/>
          <w:color w:val="auto"/>
          <w:lang w:val="en-GB"/>
        </w:rPr>
        <w:t>What additional ongoing costs would firms face as a result of these proposed guidelines?</w:t>
      </w:r>
    </w:p>
    <w:p w:rsidR="00CC683A" w:rsidRDefault="00CC683A" w:rsidP="00CC683A">
      <w:pPr>
        <w:rPr>
          <w:lang w:val="en-GB"/>
        </w:rPr>
      </w:pPr>
    </w:p>
    <w:p w:rsidR="00CC683A" w:rsidRDefault="00EB3940" w:rsidP="00EB3940">
      <w:pPr>
        <w:ind w:left="709"/>
        <w:jc w:val="left"/>
        <w:rPr>
          <w:lang w:val="en-GB"/>
        </w:rPr>
      </w:pPr>
      <w:r>
        <w:rPr>
          <w:lang w:val="en-GB"/>
        </w:rPr>
        <w:t>No</w:t>
      </w:r>
    </w:p>
    <w:p w:rsidR="00CC683A" w:rsidRDefault="00CC683A" w:rsidP="00CC683A">
      <w:pPr>
        <w:jc w:val="center"/>
        <w:rPr>
          <w:lang w:val="en-GB"/>
        </w:rPr>
      </w:pPr>
    </w:p>
    <w:p w:rsidR="00513BC1" w:rsidRPr="00522235" w:rsidRDefault="00513BC1" w:rsidP="005773C4">
      <w:pPr>
        <w:suppressAutoHyphens w:val="0"/>
        <w:spacing w:line="260" w:lineRule="exact"/>
        <w:jc w:val="left"/>
        <w:rPr>
          <w:lang w:val="en-US"/>
        </w:rPr>
      </w:pPr>
    </w:p>
    <w:p w:rsidR="000C67B4" w:rsidRPr="00522235" w:rsidRDefault="000C67B4">
      <w:pPr>
        <w:rPr>
          <w:lang w:val="en-US"/>
        </w:rPr>
      </w:pPr>
    </w:p>
    <w:sectPr w:rsidR="000C67B4" w:rsidRPr="00522235" w:rsidSect="00763388">
      <w:headerReference w:type="default" r:id="rId8"/>
      <w:footerReference w:type="default" r:id="rId9"/>
      <w:headerReference w:type="first" r:id="rId10"/>
      <w:footerReference w:type="first" r:id="rId11"/>
      <w:pgSz w:w="11906" w:h="16838"/>
      <w:pgMar w:top="1134" w:right="1134" w:bottom="623" w:left="1418" w:header="709"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75" w:rsidRDefault="00AD5175" w:rsidP="00CD17D1">
      <w:pPr>
        <w:spacing w:line="240" w:lineRule="auto"/>
      </w:pPr>
      <w:r>
        <w:separator/>
      </w:r>
    </w:p>
  </w:endnote>
  <w:endnote w:type="continuationSeparator" w:id="0">
    <w:p w:rsidR="00AD5175" w:rsidRDefault="00AD5175" w:rsidP="00CD17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Com 45 Lt">
    <w:altName w:val="HelveticaNeueLT Com 45 L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19" w:rsidRDefault="00754A19">
    <w:pPr>
      <w:tabs>
        <w:tab w:val="left" w:pos="2715"/>
      </w:tabs>
      <w:jc w:val="center"/>
      <w:rPr>
        <w:b/>
        <w:bCs/>
        <w:color w:val="386492"/>
        <w:sz w:val="18"/>
        <w:szCs w:val="18"/>
      </w:rPr>
    </w:pPr>
  </w:p>
  <w:p w:rsidR="00754A19" w:rsidRDefault="00754A19">
    <w:pPr>
      <w:jc w:val="center"/>
      <w:rPr>
        <w:b/>
        <w:bCs/>
        <w:color w:val="386492"/>
        <w:sz w:val="18"/>
        <w:szCs w:val="18"/>
      </w:rPr>
    </w:pPr>
    <w:r>
      <w:rPr>
        <w:b/>
        <w:bCs/>
        <w:color w:val="386492"/>
        <w:sz w:val="18"/>
        <w:szCs w:val="18"/>
      </w:rPr>
      <w:t xml:space="preserve">- </w:t>
    </w:r>
    <w:r w:rsidR="00E374A5">
      <w:rPr>
        <w:b/>
        <w:bCs/>
        <w:color w:val="386492"/>
        <w:sz w:val="18"/>
        <w:szCs w:val="18"/>
      </w:rPr>
      <w:fldChar w:fldCharType="begin"/>
    </w:r>
    <w:r>
      <w:rPr>
        <w:b/>
        <w:bCs/>
        <w:color w:val="386492"/>
        <w:sz w:val="18"/>
        <w:szCs w:val="18"/>
      </w:rPr>
      <w:instrText xml:space="preserve"> PAGE </w:instrText>
    </w:r>
    <w:r w:rsidR="00E374A5">
      <w:rPr>
        <w:b/>
        <w:bCs/>
        <w:color w:val="386492"/>
        <w:sz w:val="18"/>
        <w:szCs w:val="18"/>
      </w:rPr>
      <w:fldChar w:fldCharType="separate"/>
    </w:r>
    <w:r w:rsidR="00975EEC">
      <w:rPr>
        <w:b/>
        <w:bCs/>
        <w:noProof/>
        <w:color w:val="386492"/>
        <w:sz w:val="18"/>
        <w:szCs w:val="18"/>
      </w:rPr>
      <w:t>3</w:t>
    </w:r>
    <w:r w:rsidR="00E374A5">
      <w:rPr>
        <w:b/>
        <w:bCs/>
        <w:color w:val="386492"/>
        <w:sz w:val="18"/>
        <w:szCs w:val="18"/>
      </w:rPr>
      <w:fldChar w:fldCharType="end"/>
    </w:r>
    <w:r>
      <w:rPr>
        <w:b/>
        <w:bCs/>
        <w:color w:val="386492"/>
        <w:sz w:val="18"/>
        <w:szCs w:val="18"/>
      </w:rPr>
      <w:t xml:space="preserve"> -</w:t>
    </w:r>
  </w:p>
  <w:p w:rsidR="00754A19" w:rsidRDefault="00754A1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19" w:rsidRDefault="00754A19">
    <w:pPr>
      <w:ind w:left="-567"/>
      <w:rPr>
        <w:color w:val="386492"/>
        <w:sz w:val="18"/>
        <w:szCs w:val="18"/>
      </w:rPr>
    </w:pPr>
  </w:p>
  <w:p w:rsidR="00754A19" w:rsidRDefault="00754A19" w:rsidP="00805058">
    <w:pPr>
      <w:ind w:left="-567"/>
      <w:rPr>
        <w:color w:val="386492"/>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75" w:rsidRDefault="00AD5175" w:rsidP="00CD17D1">
      <w:pPr>
        <w:spacing w:line="240" w:lineRule="auto"/>
      </w:pPr>
      <w:r>
        <w:separator/>
      </w:r>
    </w:p>
  </w:footnote>
  <w:footnote w:type="continuationSeparator" w:id="0">
    <w:p w:rsidR="00AD5175" w:rsidRDefault="00AD5175" w:rsidP="00CD17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19" w:rsidRDefault="00C311B6" w:rsidP="00763388">
    <w:pPr>
      <w:spacing w:line="240" w:lineRule="atLeast"/>
      <w:jc w:val="right"/>
      <w:rPr>
        <w:b/>
        <w:sz w:val="16"/>
      </w:rPr>
    </w:pPr>
    <w:r>
      <w:rPr>
        <w:rFonts w:ascii="Times New Roman" w:hAnsi="Times New Roman" w:cs="Times New Roman"/>
        <w:noProof/>
        <w:sz w:val="24"/>
        <w:szCs w:val="24"/>
        <w:lang w:eastAsia="fr-FR"/>
      </w:rPr>
      <w:drawing>
        <wp:anchor distT="0" distB="0" distL="114300" distR="114300" simplePos="0" relativeHeight="251663360" behindDoc="0" locked="1" layoutInCell="1" allowOverlap="0">
          <wp:simplePos x="0" y="0"/>
          <wp:positionH relativeFrom="page">
            <wp:posOffset>405765</wp:posOffset>
          </wp:positionH>
          <wp:positionV relativeFrom="page">
            <wp:posOffset>325120</wp:posOffset>
          </wp:positionV>
          <wp:extent cx="1866900" cy="381000"/>
          <wp:effectExtent l="19050" t="0" r="0" b="0"/>
          <wp:wrapNone/>
          <wp:docPr id="6" name="Image 2" descr="Logo Société Géné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ociété Générale"/>
                  <pic:cNvPicPr>
                    <a:picLocks noChangeAspect="1" noChangeArrowheads="1"/>
                  </pic:cNvPicPr>
                </pic:nvPicPr>
                <pic:blipFill>
                  <a:blip r:embed="rId1"/>
                  <a:srcRect/>
                  <a:stretch>
                    <a:fillRect/>
                  </a:stretch>
                </pic:blipFill>
                <pic:spPr bwMode="auto">
                  <a:xfrm>
                    <a:off x="0" y="0"/>
                    <a:ext cx="1866900" cy="381000"/>
                  </a:xfrm>
                  <a:prstGeom prst="rect">
                    <a:avLst/>
                  </a:prstGeom>
                  <a:noFill/>
                </pic:spPr>
              </pic:pic>
            </a:graphicData>
          </a:graphic>
        </wp:anchor>
      </w:drawing>
    </w:r>
  </w:p>
  <w:p w:rsidR="00754A19" w:rsidRPr="000F2CC7" w:rsidRDefault="00754A19" w:rsidP="00C311B6">
    <w:pPr>
      <w:tabs>
        <w:tab w:val="left" w:pos="540"/>
        <w:tab w:val="right" w:pos="9354"/>
      </w:tabs>
      <w:ind w:left="-567"/>
      <w:jc w:val="left"/>
      <w:rPr>
        <w:b/>
        <w:sz w:val="16"/>
        <w:szCs w:val="16"/>
      </w:rPr>
    </w:pPr>
  </w:p>
  <w:p w:rsidR="00754A19" w:rsidRDefault="00754A19" w:rsidP="00763388">
    <w:pPr>
      <w:tabs>
        <w:tab w:val="left" w:pos="540"/>
        <w:tab w:val="right" w:pos="9354"/>
      </w:tabs>
      <w:ind w:left="-567"/>
      <w:jc w:val="left"/>
      <w:rPr>
        <w:b/>
        <w:sz w:val="16"/>
        <w:szCs w:val="16"/>
      </w:rPr>
    </w:pPr>
  </w:p>
  <w:p w:rsidR="00754A19" w:rsidRDefault="00754A19" w:rsidP="00763388">
    <w:pPr>
      <w:jc w:val="right"/>
      <w:rPr>
        <w:sz w:val="16"/>
        <w:szCs w:val="16"/>
      </w:rPr>
    </w:pPr>
  </w:p>
  <w:p w:rsidR="00754A19" w:rsidRDefault="00754A19" w:rsidP="00763388">
    <w:pPr>
      <w:jc w:val="right"/>
      <w:rPr>
        <w:sz w:val="16"/>
        <w:szCs w:val="16"/>
      </w:rPr>
    </w:pPr>
  </w:p>
  <w:p w:rsidR="00754A19" w:rsidRDefault="00754A19" w:rsidP="00763388">
    <w:pPr>
      <w:jc w:val="right"/>
      <w:rPr>
        <w:sz w:val="16"/>
        <w:szCs w:val="16"/>
      </w:rPr>
    </w:pPr>
  </w:p>
  <w:p w:rsidR="00754A19" w:rsidRDefault="00754A19" w:rsidP="00763388">
    <w:pPr>
      <w:jc w:val="righ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19" w:rsidRDefault="000D4A5C" w:rsidP="00763388">
    <w:pPr>
      <w:jc w:val="right"/>
      <w:rPr>
        <w:sz w:val="16"/>
        <w:szCs w:val="16"/>
      </w:rPr>
    </w:pPr>
    <w:r>
      <w:rPr>
        <w:noProof/>
        <w:lang w:eastAsia="fr-FR"/>
      </w:rPr>
      <w:drawing>
        <wp:anchor distT="0" distB="0" distL="114300" distR="114300" simplePos="0" relativeHeight="251661312" behindDoc="0" locked="1" layoutInCell="1" allowOverlap="0">
          <wp:simplePos x="0" y="0"/>
          <wp:positionH relativeFrom="page">
            <wp:posOffset>415290</wp:posOffset>
          </wp:positionH>
          <wp:positionV relativeFrom="page">
            <wp:posOffset>370840</wp:posOffset>
          </wp:positionV>
          <wp:extent cx="1870075" cy="379095"/>
          <wp:effectExtent l="19050" t="0" r="0" b="0"/>
          <wp:wrapNone/>
          <wp:docPr id="3" name="Image 1" descr="Logo Société Géné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ociété Générale"/>
                  <pic:cNvPicPr>
                    <a:picLocks noChangeAspect="1" noChangeArrowheads="1"/>
                  </pic:cNvPicPr>
                </pic:nvPicPr>
                <pic:blipFill>
                  <a:blip r:embed="rId1"/>
                  <a:srcRect/>
                  <a:stretch>
                    <a:fillRect/>
                  </a:stretch>
                </pic:blipFill>
                <pic:spPr bwMode="auto">
                  <a:xfrm>
                    <a:off x="0" y="0"/>
                    <a:ext cx="1870075" cy="379095"/>
                  </a:xfrm>
                  <a:prstGeom prst="rect">
                    <a:avLst/>
                  </a:prstGeom>
                  <a:noFill/>
                  <a:ln w="9525">
                    <a:noFill/>
                    <a:miter lim="800000"/>
                    <a:headEnd/>
                    <a:tailEnd/>
                  </a:ln>
                </pic:spPr>
              </pic:pic>
            </a:graphicData>
          </a:graphic>
        </wp:anchor>
      </w:drawing>
    </w:r>
  </w:p>
  <w:p w:rsidR="00754A19" w:rsidRDefault="00754A19">
    <w:pPr>
      <w:jc w:val="right"/>
      <w:rPr>
        <w:sz w:val="16"/>
        <w:szCs w:val="16"/>
      </w:rPr>
    </w:pPr>
  </w:p>
  <w:p w:rsidR="00754A19" w:rsidRDefault="00754A19">
    <w:pPr>
      <w:jc w:val="right"/>
      <w:rPr>
        <w:sz w:val="16"/>
        <w:szCs w:val="16"/>
      </w:rPr>
    </w:pPr>
  </w:p>
  <w:p w:rsidR="00754A19" w:rsidRDefault="00754A19">
    <w:pPr>
      <w:jc w:val="right"/>
      <w:rPr>
        <w:sz w:val="16"/>
        <w:szCs w:val="16"/>
      </w:rPr>
    </w:pPr>
  </w:p>
  <w:p w:rsidR="00754A19" w:rsidRDefault="00754A19">
    <w:pP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67"/>
        </w:tabs>
        <w:ind w:left="284" w:firstLine="284"/>
      </w:pPr>
      <w:rPr>
        <w:b/>
        <w:i/>
        <w:color w:val="003366"/>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upperRoman"/>
      <w:lvlText w:val="%1."/>
      <w:lvlJc w:val="left"/>
      <w:pPr>
        <w:tabs>
          <w:tab w:val="num" w:pos="0"/>
        </w:tabs>
        <w:ind w:left="1004" w:hanging="72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2">
    <w:nsid w:val="00000004"/>
    <w:multiLevelType w:val="multilevel"/>
    <w:tmpl w:val="00000004"/>
    <w:name w:val="WW8Num4"/>
    <w:lvl w:ilvl="0">
      <w:start w:val="1"/>
      <w:numFmt w:val="decimal"/>
      <w:lvlText w:val="Q%1."/>
      <w:lvlJc w:val="left"/>
      <w:pPr>
        <w:tabs>
          <w:tab w:val="num" w:pos="0"/>
        </w:tabs>
        <w:ind w:left="720" w:hanging="360"/>
      </w:pPr>
      <w:rPr>
        <w:color w:val="00000A"/>
        <w:sz w:val="20"/>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9"/>
    <w:multiLevelType w:val="singleLevel"/>
    <w:tmpl w:val="09C049A8"/>
    <w:lvl w:ilvl="0">
      <w:start w:val="1"/>
      <w:numFmt w:val="decimal"/>
      <w:pStyle w:val="1AMAFI"/>
      <w:lvlText w:val="%1."/>
      <w:lvlJc w:val="left"/>
      <w:pPr>
        <w:tabs>
          <w:tab w:val="num" w:pos="567"/>
        </w:tabs>
        <w:ind w:left="-284" w:firstLine="284"/>
      </w:pPr>
      <w:rPr>
        <w:rFonts w:ascii="Arial" w:hAnsi="Arial"/>
        <w:b/>
        <w:i w:val="0"/>
        <w:color w:val="003366"/>
        <w:sz w:val="20"/>
      </w:rPr>
    </w:lvl>
  </w:abstractNum>
  <w:abstractNum w:abstractNumId="4">
    <w:nsid w:val="02593324"/>
    <w:multiLevelType w:val="multilevel"/>
    <w:tmpl w:val="2E6C3350"/>
    <w:lvl w:ilvl="0">
      <w:start w:val="1"/>
      <w:numFmt w:val="decimal"/>
      <w:pStyle w:val="10amaf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A4F1ECD"/>
    <w:multiLevelType w:val="hybridMultilevel"/>
    <w:tmpl w:val="98F44544"/>
    <w:lvl w:ilvl="0" w:tplc="CDE2CFB0">
      <w:start w:val="1"/>
      <w:numFmt w:val="decimal"/>
      <w:lvlText w:val="%1."/>
      <w:lvlJc w:val="left"/>
      <w:pPr>
        <w:tabs>
          <w:tab w:val="num" w:pos="720"/>
        </w:tabs>
        <w:ind w:left="720" w:hanging="360"/>
      </w:pPr>
    </w:lvl>
    <w:lvl w:ilvl="1" w:tplc="3A42469A" w:tentative="1">
      <w:start w:val="1"/>
      <w:numFmt w:val="decimal"/>
      <w:lvlText w:val="%2."/>
      <w:lvlJc w:val="left"/>
      <w:pPr>
        <w:tabs>
          <w:tab w:val="num" w:pos="1440"/>
        </w:tabs>
        <w:ind w:left="1440" w:hanging="360"/>
      </w:pPr>
    </w:lvl>
    <w:lvl w:ilvl="2" w:tplc="061231C4" w:tentative="1">
      <w:start w:val="1"/>
      <w:numFmt w:val="decimal"/>
      <w:lvlText w:val="%3."/>
      <w:lvlJc w:val="left"/>
      <w:pPr>
        <w:tabs>
          <w:tab w:val="num" w:pos="2160"/>
        </w:tabs>
        <w:ind w:left="2160" w:hanging="360"/>
      </w:pPr>
    </w:lvl>
    <w:lvl w:ilvl="3" w:tplc="7E1A47B6" w:tentative="1">
      <w:start w:val="1"/>
      <w:numFmt w:val="decimal"/>
      <w:lvlText w:val="%4."/>
      <w:lvlJc w:val="left"/>
      <w:pPr>
        <w:tabs>
          <w:tab w:val="num" w:pos="2880"/>
        </w:tabs>
        <w:ind w:left="2880" w:hanging="360"/>
      </w:pPr>
    </w:lvl>
    <w:lvl w:ilvl="4" w:tplc="8F2E830C" w:tentative="1">
      <w:start w:val="1"/>
      <w:numFmt w:val="decimal"/>
      <w:lvlText w:val="%5."/>
      <w:lvlJc w:val="left"/>
      <w:pPr>
        <w:tabs>
          <w:tab w:val="num" w:pos="3600"/>
        </w:tabs>
        <w:ind w:left="3600" w:hanging="360"/>
      </w:pPr>
    </w:lvl>
    <w:lvl w:ilvl="5" w:tplc="FFB2DE28" w:tentative="1">
      <w:start w:val="1"/>
      <w:numFmt w:val="decimal"/>
      <w:lvlText w:val="%6."/>
      <w:lvlJc w:val="left"/>
      <w:pPr>
        <w:tabs>
          <w:tab w:val="num" w:pos="4320"/>
        </w:tabs>
        <w:ind w:left="4320" w:hanging="360"/>
      </w:pPr>
    </w:lvl>
    <w:lvl w:ilvl="6" w:tplc="4DAE8E2A" w:tentative="1">
      <w:start w:val="1"/>
      <w:numFmt w:val="decimal"/>
      <w:lvlText w:val="%7."/>
      <w:lvlJc w:val="left"/>
      <w:pPr>
        <w:tabs>
          <w:tab w:val="num" w:pos="5040"/>
        </w:tabs>
        <w:ind w:left="5040" w:hanging="360"/>
      </w:pPr>
    </w:lvl>
    <w:lvl w:ilvl="7" w:tplc="5C629490" w:tentative="1">
      <w:start w:val="1"/>
      <w:numFmt w:val="decimal"/>
      <w:lvlText w:val="%8."/>
      <w:lvlJc w:val="left"/>
      <w:pPr>
        <w:tabs>
          <w:tab w:val="num" w:pos="5760"/>
        </w:tabs>
        <w:ind w:left="5760" w:hanging="360"/>
      </w:pPr>
    </w:lvl>
    <w:lvl w:ilvl="8" w:tplc="E020AB1E" w:tentative="1">
      <w:start w:val="1"/>
      <w:numFmt w:val="decimal"/>
      <w:lvlText w:val="%9."/>
      <w:lvlJc w:val="left"/>
      <w:pPr>
        <w:tabs>
          <w:tab w:val="num" w:pos="6480"/>
        </w:tabs>
        <w:ind w:left="6480" w:hanging="360"/>
      </w:pPr>
    </w:lvl>
  </w:abstractNum>
  <w:abstractNum w:abstractNumId="6">
    <w:nsid w:val="20976DD6"/>
    <w:multiLevelType w:val="hybridMultilevel"/>
    <w:tmpl w:val="FB988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2435D8"/>
    <w:multiLevelType w:val="hybridMultilevel"/>
    <w:tmpl w:val="DD4A17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78433B"/>
    <w:multiLevelType w:val="hybridMultilevel"/>
    <w:tmpl w:val="0A9E9FDE"/>
    <w:lvl w:ilvl="0" w:tplc="3A2285AE">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nsid w:val="37E87504"/>
    <w:multiLevelType w:val="hybridMultilevel"/>
    <w:tmpl w:val="B044C192"/>
    <w:lvl w:ilvl="0" w:tplc="7B04BD30">
      <w:start w:val="1"/>
      <w:numFmt w:val="bullet"/>
      <w:lvlText w:val=""/>
      <w:lvlJc w:val="left"/>
      <w:pPr>
        <w:ind w:left="1004" w:hanging="360"/>
      </w:pPr>
      <w:rPr>
        <w:rFonts w:ascii="Wingdings" w:hAnsi="Wingdings" w:hint="default"/>
        <w:color w:val="17365D"/>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42086792"/>
    <w:multiLevelType w:val="hybridMultilevel"/>
    <w:tmpl w:val="2B502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95A10C4"/>
    <w:multiLevelType w:val="hybridMultilevel"/>
    <w:tmpl w:val="FB9652BE"/>
    <w:lvl w:ilvl="0" w:tplc="675C98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6F7082"/>
    <w:multiLevelType w:val="hybridMultilevel"/>
    <w:tmpl w:val="4AE6CD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A50AEB"/>
    <w:multiLevelType w:val="hybridMultilevel"/>
    <w:tmpl w:val="FD705160"/>
    <w:lvl w:ilvl="0" w:tplc="817E3288">
      <w:start w:val="1"/>
      <w:numFmt w:val="bullet"/>
      <w:lvlText w:val=""/>
      <w:lvlJc w:val="left"/>
      <w:pPr>
        <w:ind w:left="1004" w:hanging="360"/>
      </w:pPr>
      <w:rPr>
        <w:rFonts w:ascii="Wingdings" w:hAnsi="Wingdings" w:hint="default"/>
        <w:color w:val="000000" w:themeColor="text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79115CC0"/>
    <w:multiLevelType w:val="hybridMultilevel"/>
    <w:tmpl w:val="00400224"/>
    <w:lvl w:ilvl="0" w:tplc="817E3288">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3"/>
    <w:lvlOverride w:ilvl="0">
      <w:startOverride w:val="1"/>
    </w:lvlOverride>
  </w:num>
  <w:num w:numId="6">
    <w:abstractNumId w:val="3"/>
  </w:num>
  <w:num w:numId="7">
    <w:abstractNumId w:val="4"/>
  </w:num>
  <w:num w:numId="8">
    <w:abstractNumId w:val="6"/>
  </w:num>
  <w:num w:numId="9">
    <w:abstractNumId w:val="14"/>
  </w:num>
  <w:num w:numId="10">
    <w:abstractNumId w:val="13"/>
  </w:num>
  <w:num w:numId="11">
    <w:abstractNumId w:val="8"/>
  </w:num>
  <w:num w:numId="12">
    <w:abstractNumId w:val="0"/>
  </w:num>
  <w:num w:numId="13">
    <w:abstractNumId w:val="1"/>
  </w:num>
  <w:num w:numId="14">
    <w:abstractNumId w:val="2"/>
  </w:num>
  <w:num w:numId="15">
    <w:abstractNumId w:val="10"/>
  </w:num>
  <w:num w:numId="16">
    <w:abstractNumId w:val="3"/>
  </w:num>
  <w:num w:numId="17">
    <w:abstractNumId w:val="3"/>
  </w:num>
  <w:num w:numId="18">
    <w:abstractNumId w:val="3"/>
  </w:num>
  <w:num w:numId="19">
    <w:abstractNumId w:val="11"/>
  </w:num>
  <w:num w:numId="20">
    <w:abstractNumId w:val="3"/>
  </w:num>
  <w:num w:numId="21">
    <w:abstractNumId w:val="3"/>
  </w:num>
  <w:num w:numId="22">
    <w:abstractNumId w:val="3"/>
  </w:num>
  <w:num w:numId="23">
    <w:abstractNumId w:val="3"/>
  </w:num>
  <w:num w:numId="24">
    <w:abstractNumId w:val="5"/>
  </w:num>
  <w:num w:numId="25">
    <w:abstractNumId w:val="3"/>
  </w:num>
  <w:num w:numId="26">
    <w:abstractNumId w:val="3"/>
  </w:num>
  <w:num w:numId="27">
    <w:abstractNumId w:val="3"/>
  </w:num>
  <w:num w:numId="28">
    <w:abstractNumId w:val="3"/>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E960AD"/>
    <w:rsid w:val="00016B99"/>
    <w:rsid w:val="000341A0"/>
    <w:rsid w:val="00037DB0"/>
    <w:rsid w:val="0004164D"/>
    <w:rsid w:val="0004293D"/>
    <w:rsid w:val="0005632C"/>
    <w:rsid w:val="00085182"/>
    <w:rsid w:val="000A0F4A"/>
    <w:rsid w:val="000C67B4"/>
    <w:rsid w:val="000D37E9"/>
    <w:rsid w:val="000D4A5C"/>
    <w:rsid w:val="000D75C1"/>
    <w:rsid w:val="000E7C60"/>
    <w:rsid w:val="00106BFD"/>
    <w:rsid w:val="00123E0B"/>
    <w:rsid w:val="00146DF8"/>
    <w:rsid w:val="00173714"/>
    <w:rsid w:val="00175545"/>
    <w:rsid w:val="00182909"/>
    <w:rsid w:val="0018704C"/>
    <w:rsid w:val="001A6F67"/>
    <w:rsid w:val="001C1791"/>
    <w:rsid w:val="001D56F1"/>
    <w:rsid w:val="001E4AF3"/>
    <w:rsid w:val="00273E86"/>
    <w:rsid w:val="002869FB"/>
    <w:rsid w:val="00296509"/>
    <w:rsid w:val="002A630F"/>
    <w:rsid w:val="002A6C04"/>
    <w:rsid w:val="002E3579"/>
    <w:rsid w:val="0030165D"/>
    <w:rsid w:val="00307E11"/>
    <w:rsid w:val="00326638"/>
    <w:rsid w:val="003814B3"/>
    <w:rsid w:val="003B2042"/>
    <w:rsid w:val="003D5190"/>
    <w:rsid w:val="003E75B0"/>
    <w:rsid w:val="0047038F"/>
    <w:rsid w:val="0047288B"/>
    <w:rsid w:val="0047519C"/>
    <w:rsid w:val="00485374"/>
    <w:rsid w:val="00497DAB"/>
    <w:rsid w:val="004B0739"/>
    <w:rsid w:val="004C13FE"/>
    <w:rsid w:val="004E7BF7"/>
    <w:rsid w:val="00501F25"/>
    <w:rsid w:val="00513BC1"/>
    <w:rsid w:val="005176F7"/>
    <w:rsid w:val="00522235"/>
    <w:rsid w:val="0053481B"/>
    <w:rsid w:val="00544241"/>
    <w:rsid w:val="00550337"/>
    <w:rsid w:val="005773C4"/>
    <w:rsid w:val="005C159F"/>
    <w:rsid w:val="005D0D4A"/>
    <w:rsid w:val="00604BE0"/>
    <w:rsid w:val="00606B19"/>
    <w:rsid w:val="00624C61"/>
    <w:rsid w:val="00651A38"/>
    <w:rsid w:val="00652567"/>
    <w:rsid w:val="00657749"/>
    <w:rsid w:val="00680274"/>
    <w:rsid w:val="006804FE"/>
    <w:rsid w:val="006C23F7"/>
    <w:rsid w:val="006F5EC6"/>
    <w:rsid w:val="006F64C8"/>
    <w:rsid w:val="006F7FE1"/>
    <w:rsid w:val="00701735"/>
    <w:rsid w:val="0070715B"/>
    <w:rsid w:val="007378EC"/>
    <w:rsid w:val="00737B86"/>
    <w:rsid w:val="00754A19"/>
    <w:rsid w:val="00762463"/>
    <w:rsid w:val="00763388"/>
    <w:rsid w:val="00792363"/>
    <w:rsid w:val="007A2FE6"/>
    <w:rsid w:val="007C08BA"/>
    <w:rsid w:val="007F0609"/>
    <w:rsid w:val="00805058"/>
    <w:rsid w:val="008201A6"/>
    <w:rsid w:val="00821108"/>
    <w:rsid w:val="00831053"/>
    <w:rsid w:val="008412E2"/>
    <w:rsid w:val="00844824"/>
    <w:rsid w:val="00852BED"/>
    <w:rsid w:val="00855E8D"/>
    <w:rsid w:val="00865265"/>
    <w:rsid w:val="0088530F"/>
    <w:rsid w:val="00897B6A"/>
    <w:rsid w:val="008D6318"/>
    <w:rsid w:val="00900B89"/>
    <w:rsid w:val="0090112D"/>
    <w:rsid w:val="00903F98"/>
    <w:rsid w:val="009235D4"/>
    <w:rsid w:val="00924935"/>
    <w:rsid w:val="00932089"/>
    <w:rsid w:val="00943FAD"/>
    <w:rsid w:val="0095408C"/>
    <w:rsid w:val="009551ED"/>
    <w:rsid w:val="00975EEC"/>
    <w:rsid w:val="00976F52"/>
    <w:rsid w:val="00990EE4"/>
    <w:rsid w:val="009930A7"/>
    <w:rsid w:val="009A2FD7"/>
    <w:rsid w:val="009B4A2D"/>
    <w:rsid w:val="009B695E"/>
    <w:rsid w:val="00A01C0A"/>
    <w:rsid w:val="00A06418"/>
    <w:rsid w:val="00A15978"/>
    <w:rsid w:val="00A168A9"/>
    <w:rsid w:val="00A27CE0"/>
    <w:rsid w:val="00A62BEB"/>
    <w:rsid w:val="00A6404D"/>
    <w:rsid w:val="00A67B45"/>
    <w:rsid w:val="00A72FDB"/>
    <w:rsid w:val="00A731DF"/>
    <w:rsid w:val="00AC25BA"/>
    <w:rsid w:val="00AD4323"/>
    <w:rsid w:val="00AD5175"/>
    <w:rsid w:val="00AE0732"/>
    <w:rsid w:val="00AF078A"/>
    <w:rsid w:val="00B15216"/>
    <w:rsid w:val="00B15812"/>
    <w:rsid w:val="00B25E89"/>
    <w:rsid w:val="00B32C01"/>
    <w:rsid w:val="00B341A7"/>
    <w:rsid w:val="00B34DD8"/>
    <w:rsid w:val="00B435B5"/>
    <w:rsid w:val="00B77857"/>
    <w:rsid w:val="00B802F0"/>
    <w:rsid w:val="00B86A61"/>
    <w:rsid w:val="00BA2696"/>
    <w:rsid w:val="00BC45E6"/>
    <w:rsid w:val="00BD5EA8"/>
    <w:rsid w:val="00BE6D08"/>
    <w:rsid w:val="00BF3035"/>
    <w:rsid w:val="00BF705E"/>
    <w:rsid w:val="00C0039F"/>
    <w:rsid w:val="00C009F8"/>
    <w:rsid w:val="00C01C0F"/>
    <w:rsid w:val="00C01D5C"/>
    <w:rsid w:val="00C151B4"/>
    <w:rsid w:val="00C168AF"/>
    <w:rsid w:val="00C311B6"/>
    <w:rsid w:val="00C5320C"/>
    <w:rsid w:val="00C53859"/>
    <w:rsid w:val="00C97518"/>
    <w:rsid w:val="00CA2BD7"/>
    <w:rsid w:val="00CB60CF"/>
    <w:rsid w:val="00CC683A"/>
    <w:rsid w:val="00CD17D1"/>
    <w:rsid w:val="00CD4A36"/>
    <w:rsid w:val="00CE0A99"/>
    <w:rsid w:val="00D06AA7"/>
    <w:rsid w:val="00D80CF0"/>
    <w:rsid w:val="00D813D2"/>
    <w:rsid w:val="00D9707A"/>
    <w:rsid w:val="00DD58DA"/>
    <w:rsid w:val="00E01A92"/>
    <w:rsid w:val="00E0405C"/>
    <w:rsid w:val="00E111A4"/>
    <w:rsid w:val="00E250A2"/>
    <w:rsid w:val="00E374A5"/>
    <w:rsid w:val="00E46017"/>
    <w:rsid w:val="00E57918"/>
    <w:rsid w:val="00E960AD"/>
    <w:rsid w:val="00EB36FD"/>
    <w:rsid w:val="00EB3940"/>
    <w:rsid w:val="00EB4482"/>
    <w:rsid w:val="00EB665B"/>
    <w:rsid w:val="00EC5A0E"/>
    <w:rsid w:val="00ED4B59"/>
    <w:rsid w:val="00EE2954"/>
    <w:rsid w:val="00EF6930"/>
    <w:rsid w:val="00F0398A"/>
    <w:rsid w:val="00F200D8"/>
    <w:rsid w:val="00F36131"/>
    <w:rsid w:val="00F41F61"/>
    <w:rsid w:val="00F57633"/>
    <w:rsid w:val="00F73BBF"/>
    <w:rsid w:val="00F74ED7"/>
    <w:rsid w:val="00F9033F"/>
    <w:rsid w:val="00FB5F93"/>
    <w:rsid w:val="00FE0E93"/>
    <w:rsid w:val="00FE12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D1"/>
    <w:pPr>
      <w:suppressAutoHyphens/>
      <w:spacing w:after="0" w:line="260" w:lineRule="atLeast"/>
      <w:jc w:val="both"/>
    </w:pPr>
    <w:rPr>
      <w:rFonts w:ascii="Arial" w:eastAsia="Times New Roman" w:hAnsi="Arial" w:cs="Arial"/>
      <w:sz w:val="20"/>
      <w:szCs w:val="20"/>
      <w:lang w:eastAsia="ar-SA"/>
    </w:rPr>
  </w:style>
  <w:style w:type="paragraph" w:styleId="Titre2">
    <w:name w:val="heading 2"/>
    <w:basedOn w:val="Normal"/>
    <w:next w:val="Normal"/>
    <w:link w:val="Titre2Car"/>
    <w:qFormat/>
    <w:rsid w:val="00CD17D1"/>
    <w:pPr>
      <w:keepNext/>
      <w:outlineLvl w:val="1"/>
    </w:pPr>
    <w:rPr>
      <w:b/>
      <w:bCs/>
      <w:sz w:val="28"/>
      <w:szCs w:val="28"/>
      <w:u w:val="single"/>
    </w:rPr>
  </w:style>
  <w:style w:type="paragraph" w:styleId="Titre3">
    <w:name w:val="heading 3"/>
    <w:basedOn w:val="Normal"/>
    <w:next w:val="Normal"/>
    <w:link w:val="Titre3Car"/>
    <w:uiPriority w:val="9"/>
    <w:semiHidden/>
    <w:unhideWhenUsed/>
    <w:qFormat/>
    <w:rsid w:val="00CC683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C68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AMAFI">
    <w:name w:val="1 AMAFI"/>
    <w:basedOn w:val="Paragraphedeliste"/>
    <w:link w:val="1AMAFICar"/>
    <w:qFormat/>
    <w:rsid w:val="006C23F7"/>
    <w:pPr>
      <w:numPr>
        <w:numId w:val="6"/>
      </w:numPr>
      <w:spacing w:line="260" w:lineRule="exact"/>
      <w:contextualSpacing w:val="0"/>
    </w:pPr>
  </w:style>
  <w:style w:type="paragraph" w:styleId="Paragraphedeliste">
    <w:name w:val="List Paragraph"/>
    <w:basedOn w:val="Normal"/>
    <w:link w:val="ParagraphedelisteCar"/>
    <w:uiPriority w:val="34"/>
    <w:qFormat/>
    <w:rsid w:val="00C168AF"/>
    <w:pPr>
      <w:ind w:left="720"/>
      <w:contextualSpacing/>
    </w:pPr>
  </w:style>
  <w:style w:type="character" w:customStyle="1" w:styleId="Titre2Car">
    <w:name w:val="Titre 2 Car"/>
    <w:basedOn w:val="Policepardfaut"/>
    <w:link w:val="Titre2"/>
    <w:rsid w:val="00CD17D1"/>
    <w:rPr>
      <w:rFonts w:ascii="Arial" w:eastAsia="Times New Roman" w:hAnsi="Arial" w:cs="Arial"/>
      <w:b/>
      <w:bCs/>
      <w:sz w:val="28"/>
      <w:szCs w:val="28"/>
      <w:u w:val="single"/>
      <w:lang w:eastAsia="ar-SA"/>
    </w:rPr>
  </w:style>
  <w:style w:type="paragraph" w:customStyle="1" w:styleId="1amafi0">
    <w:name w:val="1 amafi"/>
    <w:basedOn w:val="Normal"/>
    <w:link w:val="1amafiCar0"/>
    <w:rsid w:val="00CD17D1"/>
    <w:pPr>
      <w:tabs>
        <w:tab w:val="num" w:pos="567"/>
      </w:tabs>
      <w:spacing w:line="240" w:lineRule="atLeast"/>
      <w:ind w:left="-284" w:firstLine="284"/>
    </w:pPr>
  </w:style>
  <w:style w:type="character" w:customStyle="1" w:styleId="1amafiCar0">
    <w:name w:val="1 amafi Car"/>
    <w:basedOn w:val="Policepardfaut"/>
    <w:link w:val="1amafi0"/>
    <w:rsid w:val="00CD17D1"/>
    <w:rPr>
      <w:rFonts w:ascii="Arial" w:eastAsia="Times New Roman" w:hAnsi="Arial" w:cs="Arial"/>
      <w:sz w:val="20"/>
      <w:szCs w:val="20"/>
      <w:lang w:eastAsia="ar-SA"/>
    </w:rPr>
  </w:style>
  <w:style w:type="character" w:customStyle="1" w:styleId="ParagraphedelisteCar">
    <w:name w:val="Paragraphe de liste Car"/>
    <w:basedOn w:val="1amafiCar0"/>
    <w:link w:val="Paragraphedeliste"/>
    <w:rsid w:val="00CD17D1"/>
  </w:style>
  <w:style w:type="character" w:customStyle="1" w:styleId="1AMAFICar">
    <w:name w:val="1 AMAFI Car"/>
    <w:basedOn w:val="ParagraphedelisteCar"/>
    <w:link w:val="1AMAFI"/>
    <w:rsid w:val="006C23F7"/>
  </w:style>
  <w:style w:type="paragraph" w:styleId="En-tte">
    <w:name w:val="header"/>
    <w:basedOn w:val="Normal"/>
    <w:link w:val="En-tteCar"/>
    <w:uiPriority w:val="99"/>
    <w:semiHidden/>
    <w:unhideWhenUsed/>
    <w:rsid w:val="00CD17D1"/>
    <w:pPr>
      <w:tabs>
        <w:tab w:val="center" w:pos="4536"/>
        <w:tab w:val="right" w:pos="9072"/>
      </w:tabs>
      <w:spacing w:line="240" w:lineRule="auto"/>
    </w:pPr>
  </w:style>
  <w:style w:type="character" w:customStyle="1" w:styleId="En-tteCar">
    <w:name w:val="En-tête Car"/>
    <w:basedOn w:val="Policepardfaut"/>
    <w:link w:val="En-tte"/>
    <w:uiPriority w:val="99"/>
    <w:semiHidden/>
    <w:rsid w:val="00CD17D1"/>
    <w:rPr>
      <w:rFonts w:ascii="Arial" w:eastAsia="Times New Roman" w:hAnsi="Arial" w:cs="Arial"/>
      <w:sz w:val="20"/>
      <w:szCs w:val="20"/>
      <w:lang w:eastAsia="ar-SA"/>
    </w:rPr>
  </w:style>
  <w:style w:type="paragraph" w:styleId="Pieddepage">
    <w:name w:val="footer"/>
    <w:basedOn w:val="Normal"/>
    <w:link w:val="PieddepageCar"/>
    <w:uiPriority w:val="99"/>
    <w:semiHidden/>
    <w:unhideWhenUsed/>
    <w:rsid w:val="00CD17D1"/>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CD17D1"/>
    <w:rPr>
      <w:rFonts w:ascii="Arial" w:eastAsia="Times New Roman" w:hAnsi="Arial" w:cs="Arial"/>
      <w:sz w:val="20"/>
      <w:szCs w:val="20"/>
      <w:lang w:eastAsia="ar-SA"/>
    </w:rPr>
  </w:style>
  <w:style w:type="paragraph" w:styleId="Notedebasdepage">
    <w:name w:val="footnote text"/>
    <w:basedOn w:val="Normal"/>
    <w:link w:val="NotedebasdepageCar"/>
    <w:unhideWhenUsed/>
    <w:rsid w:val="00763388"/>
    <w:pPr>
      <w:spacing w:line="240" w:lineRule="auto"/>
    </w:pPr>
  </w:style>
  <w:style w:type="character" w:customStyle="1" w:styleId="NotedebasdepageCar">
    <w:name w:val="Note de bas de page Car"/>
    <w:basedOn w:val="Policepardfaut"/>
    <w:link w:val="Notedebasdepage"/>
    <w:uiPriority w:val="99"/>
    <w:semiHidden/>
    <w:rsid w:val="00763388"/>
    <w:rPr>
      <w:rFonts w:ascii="Arial" w:eastAsia="Times New Roman" w:hAnsi="Arial" w:cs="Arial"/>
      <w:sz w:val="20"/>
      <w:szCs w:val="20"/>
      <w:lang w:eastAsia="ar-SA"/>
    </w:rPr>
  </w:style>
  <w:style w:type="character" w:styleId="Appelnotedebasdep">
    <w:name w:val="footnote reference"/>
    <w:basedOn w:val="Policepardfaut"/>
    <w:unhideWhenUsed/>
    <w:rsid w:val="00763388"/>
    <w:rPr>
      <w:vertAlign w:val="superscript"/>
    </w:rPr>
  </w:style>
  <w:style w:type="table" w:styleId="Grilledutableau">
    <w:name w:val="Table Grid"/>
    <w:basedOn w:val="TableauNormal"/>
    <w:uiPriority w:val="59"/>
    <w:rsid w:val="00FE0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9707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707A"/>
    <w:rPr>
      <w:rFonts w:ascii="Tahoma" w:eastAsia="Times New Roman" w:hAnsi="Tahoma" w:cs="Tahoma"/>
      <w:sz w:val="16"/>
      <w:szCs w:val="16"/>
      <w:lang w:eastAsia="ar-SA"/>
    </w:rPr>
  </w:style>
  <w:style w:type="paragraph" w:customStyle="1" w:styleId="10amafi">
    <w:name w:val="10 amafi"/>
    <w:basedOn w:val="Paragraphedeliste"/>
    <w:link w:val="10amafiCar"/>
    <w:qFormat/>
    <w:rsid w:val="006C23F7"/>
    <w:pPr>
      <w:numPr>
        <w:numId w:val="7"/>
      </w:numPr>
      <w:spacing w:line="240" w:lineRule="atLeast"/>
      <w:contextualSpacing w:val="0"/>
    </w:pPr>
  </w:style>
  <w:style w:type="character" w:customStyle="1" w:styleId="10amafiCar">
    <w:name w:val="10 amafi Car"/>
    <w:basedOn w:val="1amafiCar0"/>
    <w:link w:val="10amafi"/>
    <w:rsid w:val="006C23F7"/>
  </w:style>
  <w:style w:type="character" w:styleId="Lienhypertexte">
    <w:name w:val="Hyperlink"/>
    <w:basedOn w:val="Policepardfaut"/>
    <w:uiPriority w:val="99"/>
    <w:semiHidden/>
    <w:unhideWhenUsed/>
    <w:rsid w:val="00805058"/>
    <w:rPr>
      <w:color w:val="0000FF"/>
      <w:u w:val="single"/>
    </w:rPr>
  </w:style>
  <w:style w:type="character" w:customStyle="1" w:styleId="Titre3Car">
    <w:name w:val="Titre 3 Car"/>
    <w:basedOn w:val="Policepardfaut"/>
    <w:link w:val="Titre3"/>
    <w:uiPriority w:val="9"/>
    <w:semiHidden/>
    <w:rsid w:val="00CC683A"/>
    <w:rPr>
      <w:rFonts w:asciiTheme="majorHAnsi" w:eastAsiaTheme="majorEastAsia" w:hAnsiTheme="majorHAnsi" w:cstheme="majorBidi"/>
      <w:b/>
      <w:bCs/>
      <w:color w:val="4F81BD" w:themeColor="accent1"/>
      <w:sz w:val="20"/>
      <w:szCs w:val="20"/>
      <w:lang w:eastAsia="ar-SA"/>
    </w:rPr>
  </w:style>
  <w:style w:type="character" w:customStyle="1" w:styleId="Titre4Car">
    <w:name w:val="Titre 4 Car"/>
    <w:basedOn w:val="Policepardfaut"/>
    <w:link w:val="Titre4"/>
    <w:uiPriority w:val="9"/>
    <w:semiHidden/>
    <w:rsid w:val="00CC683A"/>
    <w:rPr>
      <w:rFonts w:asciiTheme="majorHAnsi" w:eastAsiaTheme="majorEastAsia" w:hAnsiTheme="majorHAnsi" w:cstheme="majorBidi"/>
      <w:b/>
      <w:bCs/>
      <w:i/>
      <w:iCs/>
      <w:color w:val="4F81BD" w:themeColor="accent1"/>
      <w:sz w:val="20"/>
      <w:szCs w:val="20"/>
      <w:lang w:eastAsia="ar-SA"/>
    </w:rPr>
  </w:style>
  <w:style w:type="character" w:styleId="Marquedecommentaire">
    <w:name w:val="annotation reference"/>
    <w:basedOn w:val="Policepardfaut"/>
    <w:uiPriority w:val="99"/>
    <w:semiHidden/>
    <w:unhideWhenUsed/>
    <w:rsid w:val="0047038F"/>
    <w:rPr>
      <w:sz w:val="16"/>
      <w:szCs w:val="16"/>
    </w:rPr>
  </w:style>
  <w:style w:type="paragraph" w:styleId="Commentaire">
    <w:name w:val="annotation text"/>
    <w:basedOn w:val="Normal"/>
    <w:link w:val="CommentaireCar"/>
    <w:uiPriority w:val="99"/>
    <w:semiHidden/>
    <w:unhideWhenUsed/>
    <w:rsid w:val="0047038F"/>
    <w:pPr>
      <w:spacing w:line="240" w:lineRule="auto"/>
    </w:pPr>
  </w:style>
  <w:style w:type="character" w:customStyle="1" w:styleId="CommentaireCar">
    <w:name w:val="Commentaire Car"/>
    <w:basedOn w:val="Policepardfaut"/>
    <w:link w:val="Commentaire"/>
    <w:uiPriority w:val="99"/>
    <w:semiHidden/>
    <w:rsid w:val="0047038F"/>
    <w:rPr>
      <w:rFonts w:ascii="Arial" w:eastAsia="Times New Roman" w:hAnsi="Arial" w:cs="Arial"/>
      <w:sz w:val="20"/>
      <w:szCs w:val="20"/>
      <w:lang w:eastAsia="ar-SA"/>
    </w:rPr>
  </w:style>
  <w:style w:type="paragraph" w:styleId="Objetducommentaire">
    <w:name w:val="annotation subject"/>
    <w:basedOn w:val="Commentaire"/>
    <w:next w:val="Commentaire"/>
    <w:link w:val="ObjetducommentaireCar"/>
    <w:uiPriority w:val="99"/>
    <w:semiHidden/>
    <w:unhideWhenUsed/>
    <w:rsid w:val="0047038F"/>
    <w:rPr>
      <w:b/>
      <w:bCs/>
    </w:rPr>
  </w:style>
  <w:style w:type="character" w:customStyle="1" w:styleId="ObjetducommentaireCar">
    <w:name w:val="Objet du commentaire Car"/>
    <w:basedOn w:val="CommentaireCar"/>
    <w:link w:val="Objetducommentaire"/>
    <w:uiPriority w:val="99"/>
    <w:semiHidden/>
    <w:rsid w:val="0047038F"/>
    <w:rPr>
      <w:b/>
      <w:bCs/>
    </w:rPr>
  </w:style>
  <w:style w:type="paragraph" w:customStyle="1" w:styleId="Pa20">
    <w:name w:val="Pa20"/>
    <w:basedOn w:val="Normal"/>
    <w:next w:val="Normal"/>
    <w:uiPriority w:val="99"/>
    <w:rsid w:val="007C08BA"/>
    <w:pPr>
      <w:suppressAutoHyphens w:val="0"/>
      <w:autoSpaceDE w:val="0"/>
      <w:autoSpaceDN w:val="0"/>
      <w:adjustRightInd w:val="0"/>
      <w:spacing w:line="171" w:lineRule="atLeast"/>
      <w:jc w:val="left"/>
    </w:pPr>
    <w:rPr>
      <w:rFonts w:ascii="HelveticaNeueLT Com 45 Lt" w:eastAsiaTheme="minorHAnsi" w:hAnsi="HelveticaNeueLT Com 45 Lt" w:cstheme="minorBidi"/>
      <w:sz w:val="24"/>
      <w:szCs w:val="24"/>
      <w:lang w:eastAsia="en-US"/>
    </w:rPr>
  </w:style>
  <w:style w:type="character" w:customStyle="1" w:styleId="A33">
    <w:name w:val="A33"/>
    <w:uiPriority w:val="99"/>
    <w:rsid w:val="007C08BA"/>
    <w:rPr>
      <w:rFonts w:cs="HelveticaNeueLT Com 45 Lt"/>
      <w:color w:val="000000"/>
      <w:sz w:val="10"/>
      <w:szCs w:val="10"/>
    </w:rPr>
  </w:style>
  <w:style w:type="paragraph" w:customStyle="1" w:styleId="Default">
    <w:name w:val="Default"/>
    <w:rsid w:val="00E57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96163863">
      <w:bodyDiv w:val="1"/>
      <w:marLeft w:val="0"/>
      <w:marRight w:val="0"/>
      <w:marTop w:val="0"/>
      <w:marBottom w:val="0"/>
      <w:divBdr>
        <w:top w:val="none" w:sz="0" w:space="0" w:color="auto"/>
        <w:left w:val="none" w:sz="0" w:space="0" w:color="auto"/>
        <w:bottom w:val="none" w:sz="0" w:space="0" w:color="auto"/>
        <w:right w:val="none" w:sz="0" w:space="0" w:color="auto"/>
      </w:divBdr>
      <w:divsChild>
        <w:div w:id="693921465">
          <w:marLeft w:val="547"/>
          <w:marRight w:val="0"/>
          <w:marTop w:val="53"/>
          <w:marBottom w:val="0"/>
          <w:divBdr>
            <w:top w:val="none" w:sz="0" w:space="0" w:color="auto"/>
            <w:left w:val="none" w:sz="0" w:space="0" w:color="auto"/>
            <w:bottom w:val="none" w:sz="0" w:space="0" w:color="auto"/>
            <w:right w:val="none" w:sz="0" w:space="0" w:color="auto"/>
          </w:divBdr>
        </w:div>
        <w:div w:id="1746800844">
          <w:marLeft w:val="547"/>
          <w:marRight w:val="0"/>
          <w:marTop w:val="53"/>
          <w:marBottom w:val="0"/>
          <w:divBdr>
            <w:top w:val="none" w:sz="0" w:space="0" w:color="auto"/>
            <w:left w:val="none" w:sz="0" w:space="0" w:color="auto"/>
            <w:bottom w:val="none" w:sz="0" w:space="0" w:color="auto"/>
            <w:right w:val="none" w:sz="0" w:space="0" w:color="auto"/>
          </w:divBdr>
        </w:div>
        <w:div w:id="1946763285">
          <w:marLeft w:val="547"/>
          <w:marRight w:val="0"/>
          <w:marTop w:val="53"/>
          <w:marBottom w:val="0"/>
          <w:divBdr>
            <w:top w:val="none" w:sz="0" w:space="0" w:color="auto"/>
            <w:left w:val="none" w:sz="0" w:space="0" w:color="auto"/>
            <w:bottom w:val="none" w:sz="0" w:space="0" w:color="auto"/>
            <w:right w:val="none" w:sz="0" w:space="0" w:color="auto"/>
          </w:divBdr>
        </w:div>
        <w:div w:id="1997301281">
          <w:marLeft w:val="547"/>
          <w:marRight w:val="0"/>
          <w:marTop w:val="53"/>
          <w:marBottom w:val="0"/>
          <w:divBdr>
            <w:top w:val="none" w:sz="0" w:space="0" w:color="auto"/>
            <w:left w:val="none" w:sz="0" w:space="0" w:color="auto"/>
            <w:bottom w:val="none" w:sz="0" w:space="0" w:color="auto"/>
            <w:right w:val="none" w:sz="0" w:space="0" w:color="auto"/>
          </w:divBdr>
        </w:div>
        <w:div w:id="692078343">
          <w:marLeft w:val="547"/>
          <w:marRight w:val="0"/>
          <w:marTop w:val="53"/>
          <w:marBottom w:val="0"/>
          <w:divBdr>
            <w:top w:val="none" w:sz="0" w:space="0" w:color="auto"/>
            <w:left w:val="none" w:sz="0" w:space="0" w:color="auto"/>
            <w:bottom w:val="none" w:sz="0" w:space="0" w:color="auto"/>
            <w:right w:val="none" w:sz="0" w:space="0" w:color="auto"/>
          </w:divBdr>
        </w:div>
        <w:div w:id="2112121123">
          <w:marLeft w:val="547"/>
          <w:marRight w:val="0"/>
          <w:marTop w:val="53"/>
          <w:marBottom w:val="0"/>
          <w:divBdr>
            <w:top w:val="none" w:sz="0" w:space="0" w:color="auto"/>
            <w:left w:val="none" w:sz="0" w:space="0" w:color="auto"/>
            <w:bottom w:val="none" w:sz="0" w:space="0" w:color="auto"/>
            <w:right w:val="none" w:sz="0" w:space="0" w:color="auto"/>
          </w:divBdr>
        </w:div>
        <w:div w:id="84420373">
          <w:marLeft w:val="547"/>
          <w:marRight w:val="0"/>
          <w:marTop w:val="53"/>
          <w:marBottom w:val="0"/>
          <w:divBdr>
            <w:top w:val="none" w:sz="0" w:space="0" w:color="auto"/>
            <w:left w:val="none" w:sz="0" w:space="0" w:color="auto"/>
            <w:bottom w:val="none" w:sz="0" w:space="0" w:color="auto"/>
            <w:right w:val="none" w:sz="0" w:space="0" w:color="auto"/>
          </w:divBdr>
        </w:div>
        <w:div w:id="1967927047">
          <w:marLeft w:val="547"/>
          <w:marRight w:val="0"/>
          <w:marTop w:val="53"/>
          <w:marBottom w:val="0"/>
          <w:divBdr>
            <w:top w:val="none" w:sz="0" w:space="0" w:color="auto"/>
            <w:left w:val="none" w:sz="0" w:space="0" w:color="auto"/>
            <w:bottom w:val="none" w:sz="0" w:space="0" w:color="auto"/>
            <w:right w:val="none" w:sz="0" w:space="0" w:color="auto"/>
          </w:divBdr>
        </w:div>
      </w:divsChild>
    </w:div>
    <w:div w:id="1205218623">
      <w:bodyDiv w:val="1"/>
      <w:marLeft w:val="0"/>
      <w:marRight w:val="0"/>
      <w:marTop w:val="0"/>
      <w:marBottom w:val="0"/>
      <w:divBdr>
        <w:top w:val="none" w:sz="0" w:space="0" w:color="auto"/>
        <w:left w:val="none" w:sz="0" w:space="0" w:color="auto"/>
        <w:bottom w:val="none" w:sz="0" w:space="0" w:color="auto"/>
        <w:right w:val="none" w:sz="0" w:space="0" w:color="auto"/>
      </w:divBdr>
    </w:div>
    <w:div w:id="1246375600">
      <w:bodyDiv w:val="1"/>
      <w:marLeft w:val="0"/>
      <w:marRight w:val="0"/>
      <w:marTop w:val="0"/>
      <w:marBottom w:val="0"/>
      <w:divBdr>
        <w:top w:val="none" w:sz="0" w:space="0" w:color="auto"/>
        <w:left w:val="none" w:sz="0" w:space="0" w:color="auto"/>
        <w:bottom w:val="none" w:sz="0" w:space="0" w:color="auto"/>
        <w:right w:val="none" w:sz="0" w:space="0" w:color="auto"/>
      </w:divBdr>
    </w:div>
    <w:div w:id="1744185345">
      <w:bodyDiv w:val="1"/>
      <w:marLeft w:val="0"/>
      <w:marRight w:val="0"/>
      <w:marTop w:val="0"/>
      <w:marBottom w:val="0"/>
      <w:divBdr>
        <w:top w:val="none" w:sz="0" w:space="0" w:color="auto"/>
        <w:left w:val="none" w:sz="0" w:space="0" w:color="auto"/>
        <w:bottom w:val="none" w:sz="0" w:space="0" w:color="auto"/>
        <w:right w:val="none" w:sz="0" w:space="0" w:color="auto"/>
      </w:divBdr>
    </w:div>
    <w:div w:id="17458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n%20Perrier\AppData\Roaming\Microsoft\Templates\Mod&#232;le%20AMAFI%20JP%20201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CAFA5-51ED-459E-9C26-6FA845E0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AMAFI JP 2014.dotx</Template>
  <TotalTime>1231</TotalTime>
  <Pages>3</Pages>
  <Words>1052</Words>
  <Characters>5787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AMAFI</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AMAFI</dc:creator>
  <cp:lastModifiedBy>OLIVIER SABOURIN (A353255)</cp:lastModifiedBy>
  <cp:revision>60</cp:revision>
  <cp:lastPrinted>2015-07-06T12:53:00Z</cp:lastPrinted>
  <dcterms:created xsi:type="dcterms:W3CDTF">2015-07-08T16:39:00Z</dcterms:created>
  <dcterms:modified xsi:type="dcterms:W3CDTF">2015-07-10T14:27:00Z</dcterms:modified>
</cp:coreProperties>
</file>