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1E18FBED" w14:textId="77777777" w:rsidTr="00315E96">
        <w:trPr>
          <w:trHeight w:val="284"/>
        </w:trPr>
        <w:tc>
          <w:tcPr>
            <w:tcW w:w="9412" w:type="dxa"/>
          </w:tcPr>
          <w:p w14:paraId="0864CCFF" w14:textId="77777777" w:rsidR="00C2094B" w:rsidRPr="004E49B0" w:rsidRDefault="002851D4" w:rsidP="00542F8D">
            <w:pPr>
              <w:pStyle w:val="00bDBInfo"/>
              <w:rPr>
                <w:rFonts w:cs="Arial"/>
              </w:rPr>
            </w:pPr>
            <w:r>
              <w:rPr>
                <w:rFonts w:cs="Arial"/>
              </w:rPr>
              <w:t>2</w:t>
            </w:r>
            <w:r w:rsidR="00542F8D">
              <w:rPr>
                <w:rFonts w:cs="Arial"/>
              </w:rPr>
              <w:t>4</w:t>
            </w:r>
            <w:r>
              <w:rPr>
                <w:rFonts w:cs="Arial"/>
              </w:rPr>
              <w:t xml:space="preserve"> March</w:t>
            </w:r>
            <w:r w:rsidR="00ED351E" w:rsidRPr="004E49B0">
              <w:rPr>
                <w:rFonts w:cs="Arial"/>
              </w:rPr>
              <w:t xml:space="preserve"> </w:t>
            </w:r>
            <w:r w:rsidR="006F4B04" w:rsidRPr="004E49B0">
              <w:rPr>
                <w:rFonts w:cs="Arial"/>
              </w:rPr>
              <w:t>20</w:t>
            </w:r>
            <w:r w:rsidR="003A5DAC">
              <w:rPr>
                <w:rFonts w:cs="Arial"/>
              </w:rPr>
              <w:t>15</w:t>
            </w:r>
          </w:p>
        </w:tc>
      </w:tr>
    </w:tbl>
    <w:p w14:paraId="3F8569CC"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57471C12" w14:textId="77777777" w:rsidTr="00B835D5">
        <w:trPr>
          <w:trHeight w:hRule="exact" w:val="1209"/>
        </w:trPr>
        <w:tc>
          <w:tcPr>
            <w:tcW w:w="9397" w:type="dxa"/>
            <w:vAlign w:val="bottom"/>
          </w:tcPr>
          <w:p w14:paraId="7C388183" w14:textId="77777777" w:rsidR="006F4403" w:rsidRPr="006D089D" w:rsidRDefault="00AE627C" w:rsidP="00C000A5">
            <w:pPr>
              <w:pStyle w:val="01aDBTitle"/>
              <w:rPr>
                <w:rFonts w:cs="Arial"/>
                <w:sz w:val="36"/>
                <w:szCs w:val="36"/>
              </w:rPr>
            </w:pPr>
            <w:r w:rsidRPr="006D089D">
              <w:rPr>
                <w:rFonts w:cs="Arial"/>
                <w:sz w:val="36"/>
                <w:szCs w:val="36"/>
              </w:rPr>
              <w:t>Reply form</w:t>
            </w:r>
            <w:r w:rsidR="00B835D5" w:rsidRPr="006D089D">
              <w:rPr>
                <w:rFonts w:cs="Arial"/>
                <w:sz w:val="36"/>
                <w:szCs w:val="36"/>
              </w:rPr>
              <w:t xml:space="preserve"> </w:t>
            </w:r>
            <w:r w:rsidR="0043173B" w:rsidRPr="006D089D">
              <w:rPr>
                <w:rFonts w:cs="Arial"/>
                <w:sz w:val="36"/>
                <w:szCs w:val="36"/>
              </w:rPr>
              <w:t>for</w:t>
            </w:r>
            <w:r w:rsidR="00027ECF" w:rsidRPr="006D089D">
              <w:rPr>
                <w:rFonts w:cs="Arial"/>
                <w:sz w:val="36"/>
                <w:szCs w:val="36"/>
              </w:rPr>
              <w:t xml:space="preserve"> the </w:t>
            </w:r>
          </w:p>
          <w:p w14:paraId="1ECD6698" w14:textId="77777777" w:rsidR="006D089D" w:rsidRDefault="006D089D" w:rsidP="00C000A5">
            <w:pPr>
              <w:pStyle w:val="01aDBTitle"/>
              <w:rPr>
                <w:rFonts w:cs="Arial"/>
                <w:sz w:val="36"/>
                <w:szCs w:val="36"/>
              </w:rPr>
            </w:pPr>
            <w:r w:rsidRPr="006D089D">
              <w:rPr>
                <w:rFonts w:cs="Arial"/>
                <w:sz w:val="36"/>
                <w:szCs w:val="36"/>
              </w:rPr>
              <w:t xml:space="preserve">Consultation Paper on draft guidelines on </w:t>
            </w:r>
          </w:p>
          <w:p w14:paraId="48E58D31" w14:textId="77777777" w:rsidR="00422A7D" w:rsidRPr="006D089D" w:rsidRDefault="006D089D" w:rsidP="00C000A5">
            <w:pPr>
              <w:pStyle w:val="01aDBTitle"/>
              <w:rPr>
                <w:rFonts w:cs="Arial"/>
                <w:sz w:val="36"/>
                <w:szCs w:val="36"/>
              </w:rPr>
            </w:pPr>
            <w:r w:rsidRPr="006D089D">
              <w:rPr>
                <w:rFonts w:cs="Arial"/>
                <w:sz w:val="36"/>
                <w:szCs w:val="36"/>
              </w:rPr>
              <w:t>complex debt instruments and structured deposits</w:t>
            </w:r>
          </w:p>
          <w:p w14:paraId="29665E94" w14:textId="77777777" w:rsidR="00791EB4" w:rsidRPr="00616B9B" w:rsidRDefault="00791EB4" w:rsidP="00C000A5">
            <w:pPr>
              <w:pStyle w:val="01aDBTitle"/>
              <w:rPr>
                <w:rFonts w:cs="Arial"/>
              </w:rPr>
            </w:pPr>
          </w:p>
        </w:tc>
      </w:tr>
      <w:tr w:rsidR="00060F72" w:rsidRPr="00616B9B" w14:paraId="2AAB0029" w14:textId="77777777" w:rsidTr="00B835D5">
        <w:trPr>
          <w:trHeight w:hRule="exact" w:val="605"/>
        </w:trPr>
        <w:tc>
          <w:tcPr>
            <w:tcW w:w="9397" w:type="dxa"/>
            <w:tcMar>
              <w:top w:w="142" w:type="dxa"/>
            </w:tcMar>
          </w:tcPr>
          <w:p w14:paraId="5E0CC33E"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7D31E82D"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1C9FD979" w14:textId="77777777" w:rsidTr="00315E96">
        <w:trPr>
          <w:trHeight w:hRule="exact" w:val="964"/>
        </w:trPr>
        <w:tc>
          <w:tcPr>
            <w:tcW w:w="2325" w:type="dxa"/>
          </w:tcPr>
          <w:p w14:paraId="7EA50AE4" w14:textId="77777777" w:rsidR="00620D7C" w:rsidRPr="004E49B0" w:rsidRDefault="00620D7C" w:rsidP="00AF711B">
            <w:pPr>
              <w:pStyle w:val="02Date"/>
              <w:rPr>
                <w:rFonts w:cs="Arial"/>
              </w:rPr>
            </w:pPr>
            <w:r w:rsidRPr="004E49B0">
              <w:rPr>
                <w:rFonts w:cs="Arial"/>
              </w:rPr>
              <w:lastRenderedPageBreak/>
              <w:t xml:space="preserve">Date: </w:t>
            </w:r>
            <w:r w:rsidR="00542F8D">
              <w:rPr>
                <w:rFonts w:cs="Arial"/>
              </w:rPr>
              <w:t>24</w:t>
            </w:r>
            <w:r w:rsidR="004E49B0" w:rsidRPr="004E49B0">
              <w:rPr>
                <w:rFonts w:cs="Arial"/>
              </w:rPr>
              <w:t xml:space="preserve"> </w:t>
            </w:r>
            <w:r w:rsidR="00AF711B">
              <w:rPr>
                <w:rFonts w:cs="Arial"/>
              </w:rPr>
              <w:t>March</w:t>
            </w:r>
            <w:r w:rsidR="004E49B0" w:rsidRPr="004E49B0">
              <w:rPr>
                <w:rFonts w:cs="Arial"/>
              </w:rPr>
              <w:t xml:space="preserve"> 201</w:t>
            </w:r>
            <w:r w:rsidR="003A5DAC">
              <w:rPr>
                <w:rFonts w:cs="Arial"/>
              </w:rPr>
              <w:t>5</w:t>
            </w:r>
          </w:p>
        </w:tc>
      </w:tr>
    </w:tbl>
    <w:p w14:paraId="3B66A82F"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6C4EF9E0" w14:textId="77777777" w:rsidR="00F574D0" w:rsidRPr="00EF0769" w:rsidRDefault="00F574D0" w:rsidP="006D089D">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ESMA </w:t>
      </w:r>
      <w:r w:rsidR="006D089D" w:rsidRPr="006D089D">
        <w:rPr>
          <w:rFonts w:cs="Arial"/>
        </w:rPr>
        <w:t>Consultation Paper on</w:t>
      </w:r>
      <w:r w:rsidR="006D089D">
        <w:rPr>
          <w:rFonts w:cs="Arial"/>
        </w:rPr>
        <w:t xml:space="preserve"> draft guidelines on </w:t>
      </w:r>
      <w:r w:rsidR="006D089D" w:rsidRPr="006D089D">
        <w:rPr>
          <w:rFonts w:cs="Arial"/>
        </w:rPr>
        <w:t>complex debt instruments and structured deposits</w:t>
      </w:r>
      <w:r w:rsidR="00015B5E" w:rsidRPr="00EF0769">
        <w:rPr>
          <w:rFonts w:cs="Arial"/>
        </w:rPr>
        <w:t>, published on the ESMA website</w:t>
      </w:r>
      <w:r w:rsidR="004E49B0" w:rsidRPr="00EF0769">
        <w:rPr>
          <w:rFonts w:cs="Arial"/>
        </w:rPr>
        <w:t>.</w:t>
      </w:r>
    </w:p>
    <w:p w14:paraId="2CD4E84F" w14:textId="77777777" w:rsidR="001D000A" w:rsidRDefault="001D000A" w:rsidP="00F574D0">
      <w:pPr>
        <w:autoSpaceDE w:val="0"/>
        <w:autoSpaceDN w:val="0"/>
        <w:adjustRightInd w:val="0"/>
        <w:spacing w:before="120" w:after="120" w:line="276" w:lineRule="auto"/>
        <w:jc w:val="both"/>
        <w:rPr>
          <w:rStyle w:val="Strong4"/>
          <w:rFonts w:cs="Arial"/>
          <w:i/>
        </w:rPr>
      </w:pPr>
    </w:p>
    <w:p w14:paraId="7EE0E1C2"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1441BF1F" w14:textId="77777777" w:rsidR="00F574D0" w:rsidRPr="00EF0769" w:rsidRDefault="00D75FEE" w:rsidP="00F574D0">
      <w:pPr>
        <w:pStyle w:val="04BodyText"/>
        <w:spacing w:before="120" w:after="120"/>
        <w:rPr>
          <w:rFonts w:cs="Arial"/>
        </w:rPr>
      </w:pPr>
      <w:r w:rsidRPr="00EF0769">
        <w:rPr>
          <w:rFonts w:cs="Arial"/>
        </w:rPr>
        <w:t>Please note that, in order to facilitate the analysis of the large number of responses expected, you are requested to use this file to send your response to ESMA so as to allow us to process it properly. Ther</w:t>
      </w:r>
      <w:r w:rsidRPr="00EF0769">
        <w:rPr>
          <w:rFonts w:cs="Arial"/>
        </w:rPr>
        <w:t>e</w:t>
      </w:r>
      <w:r w:rsidRPr="00EF0769">
        <w:rPr>
          <w:rFonts w:cs="Arial"/>
        </w:rPr>
        <w:t xml:space="preserv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394DD49D" w14:textId="77777777"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w:t>
      </w:r>
      <w:r w:rsidR="00955F48" w:rsidRPr="00EF0769">
        <w:rPr>
          <w:rFonts w:cs="Arial"/>
        </w:rPr>
        <w:t>x</w:t>
      </w:r>
      <w:r w:rsidR="00955F48" w:rsidRPr="00EF0769">
        <w:rPr>
          <w:rFonts w:cs="Arial"/>
        </w:rPr>
        <w:t>cept for annexes);</w:t>
      </w:r>
    </w:p>
    <w:p w14:paraId="79E26865" w14:textId="77777777" w:rsidR="00F574D0" w:rsidRPr="00EF0769" w:rsidRDefault="00D75FEE" w:rsidP="00573871">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w:t>
      </w:r>
      <w:r w:rsidR="000E562B" w:rsidRPr="000E562B">
        <w:t xml:space="preserve"> </w:t>
      </w:r>
      <w:r w:rsidR="000E562B">
        <w:t>ESMA_QUESTION_COMPLEX</w:t>
      </w:r>
      <w:r w:rsidR="00E9344E" w:rsidRPr="00EF0769">
        <w:rPr>
          <w:rFonts w:cs="Arial"/>
        </w:rPr>
        <w:t>_</w:t>
      </w:r>
      <w:r w:rsidR="00F574D0" w:rsidRPr="00EF0769">
        <w:rPr>
          <w:rFonts w:cs="Arial"/>
        </w:rPr>
        <w:t>1&gt; - i.e. the response to one question has to be framed by the 2 tags corresponding to the question; and</w:t>
      </w:r>
    </w:p>
    <w:p w14:paraId="7DCBD0F7" w14:textId="77777777"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14:paraId="0F1C91B0"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560DCD73" w14:textId="77777777"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14:paraId="6A8F9DAD" w14:textId="77777777"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14:paraId="22A0DB14" w14:textId="77777777"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14:paraId="100150F4" w14:textId="77777777" w:rsidR="001D000A" w:rsidRDefault="001D000A" w:rsidP="000D17AA">
      <w:pPr>
        <w:pStyle w:val="04BodyText"/>
        <w:spacing w:before="120" w:after="120"/>
        <w:jc w:val="left"/>
        <w:rPr>
          <w:rFonts w:cs="Arial"/>
          <w:b/>
        </w:rPr>
      </w:pPr>
    </w:p>
    <w:p w14:paraId="1D8B6D72" w14:textId="77777777" w:rsidR="000D17AA" w:rsidRPr="00EF0769" w:rsidRDefault="00606240" w:rsidP="000D17AA">
      <w:pPr>
        <w:pStyle w:val="04BodyText"/>
        <w:spacing w:before="120" w:after="120"/>
        <w:jc w:val="left"/>
        <w:rPr>
          <w:rFonts w:cs="Arial"/>
          <w:b/>
        </w:rPr>
      </w:pPr>
      <w:r>
        <w:rPr>
          <w:rFonts w:cs="Arial"/>
          <w:b/>
        </w:rPr>
        <w:t>Naming protocol</w:t>
      </w:r>
    </w:p>
    <w:p w14:paraId="08F268DD" w14:textId="77777777"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14:paraId="56AD8D79" w14:textId="77777777" w:rsidR="000D17AA" w:rsidRPr="00EF0769" w:rsidRDefault="00021E83" w:rsidP="000D17AA">
      <w:pPr>
        <w:pStyle w:val="04BodyText"/>
        <w:spacing w:before="120" w:after="120"/>
        <w:jc w:val="left"/>
        <w:rPr>
          <w:rFonts w:cs="Arial"/>
        </w:rPr>
      </w:pPr>
      <w:r w:rsidRPr="00EF0769">
        <w:rPr>
          <w:rFonts w:cs="Arial"/>
        </w:rPr>
        <w:t>ESMA</w:t>
      </w:r>
      <w:r w:rsidR="0021776A" w:rsidRPr="0021776A">
        <w:rPr>
          <w:rFonts w:cs="Arial"/>
        </w:rPr>
        <w:t>_COMPLEXPRODUCTS_</w:t>
      </w:r>
      <w:r w:rsidRPr="00EF0769">
        <w:rPr>
          <w:rFonts w:cs="Arial"/>
        </w:rPr>
        <w:t>NAMEOFCOMPANY_NAMEOFDOCUMENT</w:t>
      </w:r>
      <w:r w:rsidR="000D17AA" w:rsidRPr="00EF0769">
        <w:rPr>
          <w:rFonts w:cs="Arial"/>
        </w:rPr>
        <w:t>.</w:t>
      </w:r>
    </w:p>
    <w:p w14:paraId="5B1934B8" w14:textId="77777777"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21776A">
        <w:rPr>
          <w:rFonts w:cs="Arial"/>
        </w:rPr>
        <w:t>XXXX</w:t>
      </w:r>
      <w:r w:rsidRPr="00EF0769">
        <w:rPr>
          <w:rFonts w:cs="Arial"/>
        </w:rPr>
        <w:t xml:space="preserve">, the </w:t>
      </w:r>
      <w:r w:rsidR="00021E83" w:rsidRPr="00EF0769">
        <w:rPr>
          <w:rFonts w:cs="Arial"/>
        </w:rPr>
        <w:t>name of the reply form would be:</w:t>
      </w:r>
    </w:p>
    <w:p w14:paraId="710867E8" w14:textId="77777777" w:rsidR="00021E83" w:rsidRPr="00EF0769" w:rsidRDefault="0021776A" w:rsidP="000D17AA">
      <w:pPr>
        <w:pStyle w:val="04BodyText"/>
        <w:spacing w:before="120" w:after="120"/>
        <w:jc w:val="left"/>
        <w:rPr>
          <w:rFonts w:cs="Arial"/>
        </w:rPr>
      </w:pPr>
      <w:r w:rsidRPr="00EF0769">
        <w:rPr>
          <w:rFonts w:cs="Arial"/>
        </w:rPr>
        <w:t>ESMA</w:t>
      </w:r>
      <w:r w:rsidRPr="0021776A">
        <w:rPr>
          <w:rFonts w:cs="Arial"/>
        </w:rPr>
        <w:t>_COMPLEXPRODUCTS_</w:t>
      </w:r>
      <w:r>
        <w:rPr>
          <w:rFonts w:cs="Arial"/>
        </w:rPr>
        <w:t>XXXX</w:t>
      </w:r>
      <w:r w:rsidR="00021E83" w:rsidRPr="00EF0769">
        <w:rPr>
          <w:rFonts w:cs="Arial"/>
        </w:rPr>
        <w:t xml:space="preserve">_REPLYFORM or </w:t>
      </w:r>
    </w:p>
    <w:p w14:paraId="6A873327" w14:textId="77777777" w:rsidR="00332304" w:rsidRDefault="0021776A" w:rsidP="008F546C">
      <w:pPr>
        <w:pStyle w:val="04BodyText"/>
        <w:spacing w:before="120" w:after="120"/>
        <w:jc w:val="left"/>
        <w:rPr>
          <w:rFonts w:cs="Arial"/>
        </w:rPr>
      </w:pPr>
      <w:r w:rsidRPr="00EF0769">
        <w:rPr>
          <w:rFonts w:cs="Arial"/>
        </w:rPr>
        <w:t>ESMA</w:t>
      </w:r>
      <w:r w:rsidRPr="0021776A">
        <w:rPr>
          <w:rFonts w:cs="Arial"/>
        </w:rPr>
        <w:t>_COMPLEXPRODUCTS_</w:t>
      </w:r>
      <w:r>
        <w:rPr>
          <w:rFonts w:cs="Arial"/>
        </w:rPr>
        <w:t>XXXX</w:t>
      </w:r>
      <w:r w:rsidR="00021E83" w:rsidRPr="00EF0769">
        <w:rPr>
          <w:rFonts w:cs="Arial"/>
        </w:rPr>
        <w:t>_ANNEX1</w:t>
      </w:r>
    </w:p>
    <w:p w14:paraId="5FC25361" w14:textId="77777777" w:rsidR="008F546C" w:rsidRPr="008F546C" w:rsidRDefault="008F546C" w:rsidP="008F546C">
      <w:pPr>
        <w:pStyle w:val="04BodyText"/>
        <w:spacing w:before="120" w:after="120"/>
        <w:jc w:val="left"/>
        <w:rPr>
          <w:rFonts w:cs="Arial"/>
        </w:rPr>
      </w:pPr>
    </w:p>
    <w:p w14:paraId="3D05A5E0"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1CB962F6" w14:textId="77777777" w:rsidR="00F574D0" w:rsidRPr="00EF0769" w:rsidRDefault="00F574D0" w:rsidP="00F574D0">
      <w:pPr>
        <w:pStyle w:val="04BodyText"/>
        <w:spacing w:before="120" w:after="120"/>
        <w:rPr>
          <w:rFonts w:cs="Arial"/>
        </w:rPr>
      </w:pPr>
      <w:r w:rsidRPr="00EF0769">
        <w:rPr>
          <w:rFonts w:cs="Arial"/>
        </w:rPr>
        <w:t xml:space="preserve">Responses must reach us by </w:t>
      </w:r>
      <w:r w:rsidR="00AF711B">
        <w:rPr>
          <w:rFonts w:cs="Arial"/>
          <w:b/>
        </w:rPr>
        <w:t>15</w:t>
      </w:r>
      <w:r w:rsidR="00021E83" w:rsidRPr="00EF0769">
        <w:rPr>
          <w:rFonts w:cs="Arial"/>
          <w:b/>
        </w:rPr>
        <w:t xml:space="preserve"> </w:t>
      </w:r>
      <w:r w:rsidR="00AF711B">
        <w:rPr>
          <w:rFonts w:cs="Arial"/>
          <w:b/>
        </w:rPr>
        <w:t>June</w:t>
      </w:r>
      <w:r w:rsidR="00021E83" w:rsidRPr="00EF0769">
        <w:rPr>
          <w:rFonts w:cs="Arial"/>
          <w:b/>
        </w:rPr>
        <w:t xml:space="preserve"> 2015.</w:t>
      </w:r>
    </w:p>
    <w:p w14:paraId="0F163004" w14:textId="77777777"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6" w:history="1">
        <w:r w:rsidRPr="00EF0769">
          <w:rPr>
            <w:rStyle w:val="Hyperlink"/>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14:paraId="613CC937"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14:paraId="740032EC" w14:textId="77777777" w:rsidR="008F546C" w:rsidRDefault="008F546C" w:rsidP="00F574D0">
      <w:pPr>
        <w:autoSpaceDE w:val="0"/>
        <w:autoSpaceDN w:val="0"/>
        <w:adjustRightInd w:val="0"/>
        <w:spacing w:before="120" w:after="120" w:line="276" w:lineRule="auto"/>
        <w:jc w:val="both"/>
        <w:rPr>
          <w:rFonts w:cs="Arial"/>
          <w:b/>
          <w:bCs/>
          <w:i/>
          <w:color w:val="000000"/>
          <w:szCs w:val="20"/>
          <w:lang w:eastAsia="en-GB"/>
        </w:rPr>
      </w:pPr>
    </w:p>
    <w:p w14:paraId="46AE6FCF"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14:paraId="2D043D94"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w:t>
      </w:r>
      <w:r w:rsidRPr="00EF0769">
        <w:rPr>
          <w:rFonts w:cs="Arial"/>
        </w:rPr>
        <w:t>u</w:t>
      </w:r>
      <w:r w:rsidRPr="00EF0769">
        <w:rPr>
          <w:rFonts w:cs="Arial"/>
        </w:rPr>
        <w:t>ments. We may consult you if we receive such a request. Any decision we make is reviewable by ESMA’s Board of Appeal and the European Ombudsman.</w:t>
      </w:r>
    </w:p>
    <w:p w14:paraId="16BB2764"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24E2EBE4"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30804506"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7"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14:paraId="43E4BDB0"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394DDFDB" w14:textId="77777777" w:rsidR="00332304" w:rsidRDefault="00332304">
      <w:pPr>
        <w:rPr>
          <w:rFonts w:cs="Arial"/>
          <w:b/>
          <w:bCs/>
          <w:kern w:val="32"/>
          <w:sz w:val="24"/>
          <w:szCs w:val="32"/>
        </w:rPr>
      </w:pPr>
      <w:r>
        <w:br w:type="page"/>
      </w:r>
    </w:p>
    <w:p w14:paraId="7B91A301" w14:textId="77777777" w:rsidR="00D34282" w:rsidRDefault="00D34282" w:rsidP="00D34282">
      <w:pPr>
        <w:pStyle w:val="Heading1"/>
        <w:numPr>
          <w:ilvl w:val="0"/>
          <w:numId w:val="0"/>
        </w:numPr>
        <w:ind w:left="431" w:hanging="431"/>
      </w:pPr>
      <w:r>
        <w:lastRenderedPageBreak/>
        <w:t>Introduction</w:t>
      </w:r>
    </w:p>
    <w:p w14:paraId="1D276463" w14:textId="77777777" w:rsidR="00D34282" w:rsidRPr="001D47A5" w:rsidRDefault="00D34282" w:rsidP="00D34282">
      <w:pPr>
        <w:rPr>
          <w:rStyle w:val="IntenseEmphasis"/>
        </w:rPr>
      </w:pPr>
      <w:r w:rsidRPr="001D47A5">
        <w:rPr>
          <w:rStyle w:val="IntenseEmphasis"/>
        </w:rPr>
        <w:t>Please make your introductory comments below, if any:</w:t>
      </w:r>
    </w:p>
    <w:p w14:paraId="0B42E9BB" w14:textId="77777777" w:rsidR="00D34282" w:rsidRPr="00C25863" w:rsidRDefault="00D34282" w:rsidP="00D34282">
      <w:r w:rsidRPr="00C25863">
        <w:t>&lt;</w:t>
      </w:r>
      <w:r w:rsidRPr="00D74C9D">
        <w:t xml:space="preserve"> </w:t>
      </w:r>
      <w:r>
        <w:t>ESMA_COMMENT</w:t>
      </w:r>
      <w:r w:rsidR="0012767D">
        <w:t>_COMPLEX_</w:t>
      </w:r>
      <w:r w:rsidRPr="00C25863">
        <w:t>1&gt;</w:t>
      </w:r>
    </w:p>
    <w:p w14:paraId="210D7484" w14:textId="77777777" w:rsidR="00D34282" w:rsidRDefault="00D34282" w:rsidP="00D34282">
      <w:permStart w:id="364206403" w:edGrp="everyone"/>
      <w:r>
        <w:t>TYPE YOUR TEXT HERE</w:t>
      </w:r>
      <w:bookmarkStart w:id="3" w:name="_GoBack"/>
      <w:bookmarkEnd w:id="3"/>
    </w:p>
    <w:permEnd w:id="364206403"/>
    <w:p w14:paraId="1C3BADAB" w14:textId="77777777" w:rsidR="00D34282" w:rsidRPr="00C25863" w:rsidRDefault="00D34282" w:rsidP="00D34282">
      <w:r w:rsidRPr="00C25863">
        <w:t>&lt;</w:t>
      </w:r>
      <w:r w:rsidRPr="00D74C9D">
        <w:t xml:space="preserve"> </w:t>
      </w:r>
      <w:r>
        <w:t>ESMA_COMMENT</w:t>
      </w:r>
      <w:r w:rsidR="0012767D">
        <w:t>_COMPLEX</w:t>
      </w:r>
      <w:r w:rsidRPr="00C25863">
        <w:t>_1&gt;</w:t>
      </w:r>
    </w:p>
    <w:p w14:paraId="38823810" w14:textId="77777777" w:rsidR="0012767D" w:rsidRDefault="00F32462" w:rsidP="000E562B">
      <w:pPr>
        <w:pStyle w:val="CPQuestions"/>
        <w:numPr>
          <w:ilvl w:val="0"/>
          <w:numId w:val="0"/>
        </w:numPr>
      </w:pPr>
      <w:r>
        <w:br w:type="page"/>
      </w:r>
      <w:r w:rsidR="0012767D" w:rsidRPr="00591061">
        <w:lastRenderedPageBreak/>
        <w:t xml:space="preserve">Question 1: Do you agree with the examples of </w:t>
      </w:r>
      <w:r w:rsidR="0012767D">
        <w:t>debt instrument</w:t>
      </w:r>
      <w:r w:rsidR="0012767D" w:rsidRPr="00591061">
        <w:t>s that embed a derivative? If not, which examples do you not agree with, and why not?</w:t>
      </w:r>
    </w:p>
    <w:p w14:paraId="76AD8777" w14:textId="77777777" w:rsidR="0012767D" w:rsidRDefault="0012767D" w:rsidP="0012767D">
      <w:r>
        <w:t>&lt;ESMA_QUESTION_COMPLEX_1&gt;</w:t>
      </w:r>
    </w:p>
    <w:p w14:paraId="7A32CF45" w14:textId="77777777" w:rsidR="001F5C3B" w:rsidRDefault="001F5C3B" w:rsidP="001F5C3B">
      <w:pPr>
        <w:jc w:val="both"/>
        <w:rPr>
          <w:rFonts w:asciiTheme="minorHAnsi" w:hAnsiTheme="minorHAnsi" w:cstheme="minorHAnsi"/>
        </w:rPr>
      </w:pPr>
      <w:permStart w:id="617089048" w:edGrp="everyone"/>
      <w:r w:rsidRPr="00454174">
        <w:rPr>
          <w:rFonts w:asciiTheme="minorHAnsi" w:hAnsiTheme="minorHAnsi" w:cstheme="minorHAnsi"/>
        </w:rPr>
        <w:t>The Consultation Paper qualifies a</w:t>
      </w:r>
      <w:r>
        <w:rPr>
          <w:rFonts w:asciiTheme="minorHAnsi" w:hAnsiTheme="minorHAnsi" w:cstheme="minorHAnsi"/>
        </w:rPr>
        <w:t>ll</w:t>
      </w:r>
      <w:r w:rsidRPr="00454174">
        <w:rPr>
          <w:rFonts w:asciiTheme="minorHAnsi" w:hAnsiTheme="minorHAnsi" w:cstheme="minorHAnsi"/>
        </w:rPr>
        <w:t xml:space="preserve"> puttable or callable bond</w:t>
      </w:r>
      <w:r>
        <w:rPr>
          <w:rFonts w:asciiTheme="minorHAnsi" w:hAnsiTheme="minorHAnsi" w:cstheme="minorHAnsi"/>
        </w:rPr>
        <w:t>s</w:t>
      </w:r>
      <w:r w:rsidRPr="00454174">
        <w:rPr>
          <w:rFonts w:asciiTheme="minorHAnsi" w:hAnsiTheme="minorHAnsi" w:cstheme="minorHAnsi"/>
        </w:rPr>
        <w:t xml:space="preserve"> as complex</w:t>
      </w:r>
      <w:r>
        <w:rPr>
          <w:rFonts w:asciiTheme="minorHAnsi" w:hAnsiTheme="minorHAnsi" w:cstheme="minorHAnsi"/>
        </w:rPr>
        <w:t xml:space="preserve">, arguing that these bond types embed a derivative. </w:t>
      </w:r>
      <w:r w:rsidRPr="00454174">
        <w:rPr>
          <w:rFonts w:asciiTheme="minorHAnsi" w:hAnsiTheme="minorHAnsi" w:cstheme="minorHAnsi"/>
        </w:rPr>
        <w:t>However,</w:t>
      </w:r>
      <w:r>
        <w:rPr>
          <w:rFonts w:asciiTheme="minorHAnsi" w:hAnsiTheme="minorHAnsi" w:cstheme="minorHAnsi"/>
        </w:rPr>
        <w:t xml:space="preserve"> certain puts or calls are very common and broadly accepted, </w:t>
      </w:r>
      <w:r w:rsidRPr="00454174">
        <w:rPr>
          <w:rFonts w:asciiTheme="minorHAnsi" w:hAnsiTheme="minorHAnsi" w:cstheme="minorHAnsi"/>
        </w:rPr>
        <w:t>do not increase complexity of the product</w:t>
      </w:r>
      <w:r>
        <w:rPr>
          <w:rFonts w:asciiTheme="minorHAnsi" w:hAnsiTheme="minorHAnsi" w:cstheme="minorHAnsi"/>
        </w:rPr>
        <w:t>, and do not operate as a derivative</w:t>
      </w:r>
      <w:r w:rsidRPr="00454174">
        <w:rPr>
          <w:rFonts w:asciiTheme="minorHAnsi" w:hAnsiTheme="minorHAnsi" w:cstheme="minorHAnsi"/>
        </w:rPr>
        <w:t xml:space="preserve">. </w:t>
      </w:r>
    </w:p>
    <w:p w14:paraId="0A4691C4" w14:textId="77777777" w:rsidR="001F5C3B" w:rsidRPr="00454174" w:rsidRDefault="001F5C3B" w:rsidP="001F5C3B">
      <w:pPr>
        <w:jc w:val="both"/>
        <w:rPr>
          <w:rFonts w:asciiTheme="minorHAnsi" w:hAnsiTheme="minorHAnsi" w:cstheme="minorHAnsi"/>
        </w:rPr>
      </w:pPr>
      <w:r>
        <w:rPr>
          <w:rFonts w:asciiTheme="minorHAnsi" w:hAnsiTheme="minorHAnsi" w:cstheme="minorHAnsi"/>
        </w:rPr>
        <w:t xml:space="preserve">In fact, the value of certain types of puttable or callable bonds is not derived from another underlying asset (as opposed to what is the case for bonds with warrants or convertible bonds). Hence, callable or puttable bonds should not be considered to embed a derivative </w:t>
      </w:r>
      <w:r w:rsidRPr="00832372">
        <w:rPr>
          <w:rFonts w:asciiTheme="minorHAnsi" w:hAnsiTheme="minorHAnsi" w:cstheme="minorHAnsi"/>
          <w:i/>
        </w:rPr>
        <w:t>per se</w:t>
      </w:r>
      <w:r>
        <w:rPr>
          <w:rFonts w:asciiTheme="minorHAnsi" w:hAnsiTheme="minorHAnsi" w:cstheme="minorHAnsi"/>
        </w:rPr>
        <w:t xml:space="preserve">. Certain call options and put options that are incorporated in those instruments merely reflect widely accepted market practice, and do not add complexity. Moreover, they are included in nearly all bond issues, so that the effect of the guidelines could be that in practice any standard bond is to be treated as a complex product. This could have a negative impact on the availability and the ease of use of bonds as a financing sources for corporates. </w:t>
      </w:r>
    </w:p>
    <w:p w14:paraId="5052BDE1" w14:textId="77777777" w:rsidR="001F5C3B" w:rsidRPr="00454174" w:rsidRDefault="001F5C3B" w:rsidP="001F5C3B">
      <w:pPr>
        <w:jc w:val="both"/>
        <w:rPr>
          <w:rFonts w:asciiTheme="minorHAnsi" w:hAnsiTheme="minorHAnsi" w:cstheme="minorHAnsi"/>
        </w:rPr>
      </w:pPr>
      <w:r w:rsidRPr="00454174">
        <w:rPr>
          <w:rFonts w:asciiTheme="minorHAnsi" w:hAnsiTheme="minorHAnsi" w:cstheme="minorHAnsi"/>
        </w:rPr>
        <w:t>For example, the much used “Change of control”-put allows the investor to be repaid for the bond early in case of a change of control (assuming the conditions mentioned in the bond are met). Sometimes an additional downgrade rating should be performed in case of a change of control. The “Change of control”-put can be assumed to be a market standard for corporate bonds</w:t>
      </w:r>
      <w:r>
        <w:rPr>
          <w:rFonts w:asciiTheme="minorHAnsi" w:hAnsiTheme="minorHAnsi" w:cstheme="minorHAnsi"/>
        </w:rPr>
        <w:t xml:space="preserve">, and also protects the interests of the investor. </w:t>
      </w:r>
    </w:p>
    <w:p w14:paraId="114B4AFD" w14:textId="77777777" w:rsidR="001F5C3B" w:rsidRDefault="001F5C3B" w:rsidP="001F5C3B">
      <w:pPr>
        <w:jc w:val="both"/>
        <w:rPr>
          <w:rFonts w:asciiTheme="minorHAnsi" w:hAnsiTheme="minorHAnsi" w:cstheme="minorHAnsi"/>
        </w:rPr>
      </w:pPr>
      <w:r w:rsidRPr="00454174">
        <w:rPr>
          <w:rFonts w:asciiTheme="minorHAnsi" w:hAnsiTheme="minorHAnsi" w:cstheme="minorHAnsi"/>
        </w:rPr>
        <w:t>Also, the majority of the corporate bonds contains a “Tax Call” which can be described as follows (this is an exa</w:t>
      </w:r>
      <w:r w:rsidRPr="00454174">
        <w:rPr>
          <w:rFonts w:asciiTheme="minorHAnsi" w:hAnsiTheme="minorHAnsi" w:cstheme="minorHAnsi"/>
        </w:rPr>
        <w:t>m</w:t>
      </w:r>
      <w:r w:rsidRPr="00454174">
        <w:rPr>
          <w:rFonts w:asciiTheme="minorHAnsi" w:hAnsiTheme="minorHAnsi" w:cstheme="minorHAnsi"/>
        </w:rPr>
        <w:t>ple based on T&amp;Cs of a recent bonds):</w:t>
      </w:r>
    </w:p>
    <w:p w14:paraId="6F7E353E" w14:textId="77777777" w:rsidR="004B638A" w:rsidRPr="00454174" w:rsidRDefault="004B638A" w:rsidP="001F5C3B">
      <w:pPr>
        <w:jc w:val="both"/>
        <w:rPr>
          <w:rFonts w:asciiTheme="minorHAnsi" w:hAnsiTheme="minorHAnsi" w:cstheme="minorHAnsi"/>
        </w:rPr>
      </w:pPr>
    </w:p>
    <w:p w14:paraId="1088951E" w14:textId="77777777" w:rsidR="001F5C3B" w:rsidRPr="00454174" w:rsidRDefault="001F5C3B" w:rsidP="001F5C3B">
      <w:pPr>
        <w:autoSpaceDE w:val="0"/>
        <w:autoSpaceDN w:val="0"/>
        <w:ind w:left="360"/>
        <w:jc w:val="both"/>
        <w:rPr>
          <w:rFonts w:asciiTheme="minorHAnsi" w:hAnsiTheme="minorHAnsi" w:cstheme="minorHAnsi"/>
          <w:i/>
        </w:rPr>
      </w:pPr>
      <w:r w:rsidRPr="00454174">
        <w:rPr>
          <w:rFonts w:asciiTheme="minorHAnsi" w:hAnsiTheme="minorHAnsi" w:cstheme="minorHAnsi"/>
          <w:i/>
        </w:rPr>
        <w:t>“Redemption for Taxation Reasons: Each Bond may be redeemed at the option of the Issuer in whole, but not in part, at any time on giving not less than 30 nor more than 60 days’ notice to the Bondholders in accordance with Condition 11 (Notices) (which notice shall be irrevocable) with a copy to the Agent (the “Tax Redemption Notice”), if</w:t>
      </w:r>
    </w:p>
    <w:p w14:paraId="62CD6521" w14:textId="77777777" w:rsidR="001F5C3B" w:rsidRPr="00454174" w:rsidRDefault="001F5C3B" w:rsidP="001F5C3B">
      <w:pPr>
        <w:numPr>
          <w:ilvl w:val="0"/>
          <w:numId w:val="50"/>
        </w:numPr>
        <w:autoSpaceDE w:val="0"/>
        <w:autoSpaceDN w:val="0"/>
        <w:spacing w:after="120" w:line="276" w:lineRule="auto"/>
        <w:ind w:left="1440"/>
        <w:jc w:val="both"/>
        <w:rPr>
          <w:rFonts w:asciiTheme="minorHAnsi" w:hAnsiTheme="minorHAnsi" w:cstheme="minorHAnsi"/>
          <w:i/>
        </w:rPr>
      </w:pPr>
      <w:r w:rsidRPr="00454174">
        <w:rPr>
          <w:rFonts w:asciiTheme="minorHAnsi" w:hAnsiTheme="minorHAnsi" w:cstheme="minorHAnsi"/>
          <w:i/>
        </w:rPr>
        <w:t>the Issuer has or will become obliged to pay additional amounts as provided or referred to in Co</w:t>
      </w:r>
      <w:r w:rsidRPr="00454174">
        <w:rPr>
          <w:rFonts w:asciiTheme="minorHAnsi" w:hAnsiTheme="minorHAnsi" w:cstheme="minorHAnsi"/>
          <w:i/>
        </w:rPr>
        <w:t>n</w:t>
      </w:r>
      <w:r w:rsidRPr="00454174">
        <w:rPr>
          <w:rFonts w:asciiTheme="minorHAnsi" w:hAnsiTheme="minorHAnsi" w:cstheme="minorHAnsi"/>
          <w:i/>
        </w:rPr>
        <w:t>dition 6 (Taxation) as a result of (i) any change in, or amendment to, the laws or regulations of Belgium or any political subdivision or any authority thereof or therein having power to tax, or (ii) any change in the application or official interpretation of such laws or regulations, which change or amendment, application or interpretation becomes effective on or after the date on which agreement is reached to issue the Bonds, and</w:t>
      </w:r>
    </w:p>
    <w:p w14:paraId="7CAD9CE5" w14:textId="77777777" w:rsidR="001F5C3B" w:rsidRPr="00454174" w:rsidRDefault="001F5C3B" w:rsidP="001F5C3B">
      <w:pPr>
        <w:numPr>
          <w:ilvl w:val="0"/>
          <w:numId w:val="50"/>
        </w:numPr>
        <w:autoSpaceDE w:val="0"/>
        <w:autoSpaceDN w:val="0"/>
        <w:spacing w:after="120" w:line="276" w:lineRule="auto"/>
        <w:ind w:left="1440"/>
        <w:jc w:val="both"/>
        <w:rPr>
          <w:rFonts w:asciiTheme="minorHAnsi" w:hAnsiTheme="minorHAnsi" w:cstheme="minorHAnsi"/>
          <w:i/>
        </w:rPr>
      </w:pPr>
      <w:r w:rsidRPr="00454174">
        <w:rPr>
          <w:rFonts w:asciiTheme="minorHAnsi" w:hAnsiTheme="minorHAnsi" w:cstheme="minorHAnsi"/>
          <w:i/>
        </w:rPr>
        <w:t>such obligation cannot be avoided by the Issuer taking reasonable measures available to it, pr</w:t>
      </w:r>
      <w:r w:rsidRPr="00454174">
        <w:rPr>
          <w:rFonts w:asciiTheme="minorHAnsi" w:hAnsiTheme="minorHAnsi" w:cstheme="minorHAnsi"/>
          <w:i/>
        </w:rPr>
        <w:t>o</w:t>
      </w:r>
      <w:r w:rsidRPr="00454174">
        <w:rPr>
          <w:rFonts w:asciiTheme="minorHAnsi" w:hAnsiTheme="minorHAnsi" w:cstheme="minorHAnsi"/>
          <w:i/>
        </w:rPr>
        <w:t>vided that no such Tax Redemption Notice shall be given earlier than 90 days prior to the earliest date on which the Issuer would be obliged to pay such additional amounts if a payment in respect of the Bonds were then due. Prior to the giving of a Tax Redemption Notice, the Issuer shall deliver to the Agent a certificate signed by two directors of the Issuer stating that the Issuer is entitled to effect such redemption and setting forth a statement of facts showing that the conditions prec</w:t>
      </w:r>
      <w:r w:rsidRPr="00454174">
        <w:rPr>
          <w:rFonts w:asciiTheme="minorHAnsi" w:hAnsiTheme="minorHAnsi" w:cstheme="minorHAnsi"/>
          <w:i/>
        </w:rPr>
        <w:t>e</w:t>
      </w:r>
      <w:r w:rsidRPr="00454174">
        <w:rPr>
          <w:rFonts w:asciiTheme="minorHAnsi" w:hAnsiTheme="minorHAnsi" w:cstheme="minorHAnsi"/>
          <w:i/>
        </w:rPr>
        <w:t>dent to the right of the Issuer so to redeem have occurred, and an opinion of independent legal advisers of recognised standing confirming that the Issuer has or will become obliged to pay such additional amounts as a result of such change or amendment.</w:t>
      </w:r>
    </w:p>
    <w:p w14:paraId="2B68EB56" w14:textId="77777777" w:rsidR="001F5C3B" w:rsidRPr="00454174" w:rsidRDefault="001F5C3B" w:rsidP="001F5C3B">
      <w:pPr>
        <w:autoSpaceDE w:val="0"/>
        <w:autoSpaceDN w:val="0"/>
        <w:ind w:left="360"/>
        <w:jc w:val="both"/>
        <w:rPr>
          <w:rFonts w:asciiTheme="minorHAnsi" w:hAnsiTheme="minorHAnsi" w:cstheme="minorHAnsi"/>
          <w:i/>
        </w:rPr>
      </w:pPr>
      <w:r w:rsidRPr="00454174">
        <w:rPr>
          <w:rFonts w:asciiTheme="minorHAnsi" w:hAnsiTheme="minorHAnsi" w:cstheme="minorHAnsi"/>
          <w:i/>
        </w:rPr>
        <w:t>No failure to exercise, nor any delay in exercising, any right by the Issuer under this Condition 4 (b) (Redemption for Taxation Reasons) shall operate as a waiver.</w:t>
      </w:r>
    </w:p>
    <w:p w14:paraId="73191CAE" w14:textId="77777777" w:rsidR="001F5C3B" w:rsidRPr="00454174" w:rsidRDefault="001F5C3B" w:rsidP="001F5C3B">
      <w:pPr>
        <w:autoSpaceDE w:val="0"/>
        <w:autoSpaceDN w:val="0"/>
        <w:ind w:left="360"/>
        <w:jc w:val="both"/>
        <w:rPr>
          <w:rFonts w:asciiTheme="minorHAnsi" w:hAnsiTheme="minorHAnsi" w:cstheme="minorHAnsi"/>
          <w:i/>
        </w:rPr>
      </w:pPr>
      <w:r w:rsidRPr="00454174">
        <w:rPr>
          <w:rFonts w:asciiTheme="minorHAnsi" w:hAnsiTheme="minorHAnsi" w:cstheme="minorHAnsi"/>
          <w:i/>
        </w:rPr>
        <w:t>Bonds redeemed pursuant to this Condition, will be redeemed at their nominal amount together with interest accrued to the date fixed for redemption specified in the Tax Redemption Notice.”</w:t>
      </w:r>
    </w:p>
    <w:p w14:paraId="42891F0B" w14:textId="77777777" w:rsidR="004B638A" w:rsidRDefault="004B638A" w:rsidP="001F5C3B">
      <w:pPr>
        <w:autoSpaceDE w:val="0"/>
        <w:autoSpaceDN w:val="0"/>
        <w:jc w:val="both"/>
        <w:rPr>
          <w:rFonts w:asciiTheme="minorHAnsi" w:hAnsiTheme="minorHAnsi" w:cstheme="minorHAnsi"/>
        </w:rPr>
      </w:pPr>
    </w:p>
    <w:p w14:paraId="256E2245" w14:textId="2AFCA764" w:rsidR="001F5C3B" w:rsidRDefault="001F5C3B" w:rsidP="001F5C3B">
      <w:pPr>
        <w:autoSpaceDE w:val="0"/>
        <w:autoSpaceDN w:val="0"/>
        <w:jc w:val="both"/>
        <w:rPr>
          <w:rFonts w:asciiTheme="minorHAnsi" w:hAnsiTheme="minorHAnsi" w:cstheme="minorHAnsi"/>
        </w:rPr>
      </w:pPr>
      <w:r>
        <w:rPr>
          <w:rFonts w:asciiTheme="minorHAnsi" w:hAnsiTheme="minorHAnsi" w:cstheme="minorHAnsi"/>
        </w:rPr>
        <w:t xml:space="preserve">For these reasons, at least the above-mentioned puts and calls should be exempted from the general guideline that qualifies all callable and puttable bonds as complex products.  </w:t>
      </w:r>
    </w:p>
    <w:permEnd w:id="617089048"/>
    <w:p w14:paraId="0D2569A4" w14:textId="77777777" w:rsidR="0012767D" w:rsidRDefault="0012767D" w:rsidP="0012767D">
      <w:r>
        <w:t>&lt;ESMA_QUESTION_COMPLEX_1&gt;</w:t>
      </w:r>
    </w:p>
    <w:p w14:paraId="6F52715F" w14:textId="77777777" w:rsidR="004774F9" w:rsidRDefault="004774F9" w:rsidP="0012767D"/>
    <w:p w14:paraId="48D43D93" w14:textId="77777777" w:rsidR="0012767D" w:rsidRDefault="0012767D" w:rsidP="000E562B">
      <w:pPr>
        <w:pStyle w:val="CPQuestions"/>
        <w:numPr>
          <w:ilvl w:val="0"/>
          <w:numId w:val="0"/>
        </w:numPr>
      </w:pPr>
      <w:r w:rsidRPr="00DD1C5E">
        <w:lastRenderedPageBreak/>
        <w:t xml:space="preserve">Question </w:t>
      </w:r>
      <w:r>
        <w:t>2</w:t>
      </w:r>
      <w:r w:rsidRPr="00DD1C5E">
        <w:t>: Do you agree with the definition of embedded derivative proposed in the Guideline</w:t>
      </w:r>
      <w:r>
        <w:t>s</w:t>
      </w:r>
      <w:r w:rsidRPr="00DD1C5E">
        <w:t xml:space="preserve"> in Annex IV? If not, why not?</w:t>
      </w:r>
    </w:p>
    <w:p w14:paraId="114B182E" w14:textId="77777777" w:rsidR="0012767D" w:rsidRDefault="0012767D" w:rsidP="0012767D">
      <w:r>
        <w:t>&lt;ESMA_QUESTION_COMPLEX_2&gt;</w:t>
      </w:r>
    </w:p>
    <w:p w14:paraId="08EB6625" w14:textId="77777777" w:rsidR="0012767D" w:rsidRDefault="0012767D" w:rsidP="0012767D">
      <w:permStart w:id="1216499191" w:edGrp="everyone"/>
      <w:r>
        <w:t>TYPE YOUR TEXT HERE</w:t>
      </w:r>
    </w:p>
    <w:permEnd w:id="1216499191"/>
    <w:p w14:paraId="49BA4D37" w14:textId="77777777" w:rsidR="0012767D" w:rsidRDefault="0012767D" w:rsidP="0012767D">
      <w:r>
        <w:t>&lt;ESMA_QUESTION_COMPLEX_2&gt;</w:t>
      </w:r>
    </w:p>
    <w:p w14:paraId="0B312487" w14:textId="77777777" w:rsidR="004774F9" w:rsidRDefault="004774F9" w:rsidP="0012767D"/>
    <w:p w14:paraId="775317F2" w14:textId="77777777" w:rsidR="0012767D" w:rsidRDefault="0012767D" w:rsidP="000E562B">
      <w:pPr>
        <w:pStyle w:val="CPQuestions"/>
        <w:numPr>
          <w:ilvl w:val="0"/>
          <w:numId w:val="0"/>
        </w:numPr>
      </w:pPr>
      <w:r w:rsidRPr="00591061">
        <w:t xml:space="preserve">Question </w:t>
      </w:r>
      <w:r>
        <w:t>3</w:t>
      </w:r>
      <w:r w:rsidRPr="00591061">
        <w:t xml:space="preserve">: Do you agree with the examples of </w:t>
      </w:r>
      <w:r>
        <w:t>debt instrument</w:t>
      </w:r>
      <w:r w:rsidRPr="00591061">
        <w:t>s that incorporate a stru</w:t>
      </w:r>
      <w:r w:rsidRPr="00591061">
        <w:t>c</w:t>
      </w:r>
      <w:r w:rsidRPr="00591061">
        <w:t>ture making it difficult for the client to understand the risk? If not, which examples and why not?</w:t>
      </w:r>
    </w:p>
    <w:p w14:paraId="49CA9500" w14:textId="77777777" w:rsidR="0012767D" w:rsidRDefault="0012767D" w:rsidP="0012767D">
      <w:r>
        <w:t>&lt;ESMA_QUESTION_COMPLEX_3&gt;</w:t>
      </w:r>
    </w:p>
    <w:p w14:paraId="7BC30507" w14:textId="77777777" w:rsidR="001F5C3B" w:rsidRPr="00832372" w:rsidRDefault="001F5C3B" w:rsidP="001F5C3B">
      <w:pPr>
        <w:pStyle w:val="Heading2"/>
        <w:numPr>
          <w:ilvl w:val="0"/>
          <w:numId w:val="51"/>
        </w:numPr>
        <w:spacing w:after="200" w:line="276" w:lineRule="auto"/>
        <w:jc w:val="both"/>
        <w:rPr>
          <w:rFonts w:asciiTheme="minorHAnsi" w:eastAsiaTheme="minorHAnsi" w:hAnsiTheme="minorHAnsi" w:cstheme="minorHAnsi"/>
          <w:bCs w:val="0"/>
          <w:sz w:val="22"/>
          <w:szCs w:val="22"/>
        </w:rPr>
      </w:pPr>
      <w:permStart w:id="1952538803" w:edGrp="everyone"/>
      <w:r>
        <w:rPr>
          <w:rFonts w:asciiTheme="minorHAnsi" w:eastAsiaTheme="minorHAnsi" w:hAnsiTheme="minorHAnsi" w:cstheme="minorHAnsi"/>
          <w:bCs w:val="0"/>
          <w:sz w:val="22"/>
          <w:szCs w:val="22"/>
        </w:rPr>
        <w:t>Subordinated bonds</w:t>
      </w:r>
    </w:p>
    <w:p w14:paraId="03A4CA31" w14:textId="77777777" w:rsidR="001F5C3B" w:rsidRPr="00454174" w:rsidRDefault="001F5C3B" w:rsidP="001F5C3B">
      <w:pPr>
        <w:jc w:val="both"/>
        <w:rPr>
          <w:rFonts w:asciiTheme="minorHAnsi" w:hAnsiTheme="minorHAnsi" w:cstheme="minorHAnsi"/>
        </w:rPr>
      </w:pPr>
      <w:r>
        <w:rPr>
          <w:rFonts w:asciiTheme="minorHAnsi" w:hAnsiTheme="minorHAnsi" w:cstheme="minorHAnsi"/>
        </w:rPr>
        <w:t>Legal s</w:t>
      </w:r>
      <w:r w:rsidRPr="00454174">
        <w:rPr>
          <w:rFonts w:asciiTheme="minorHAnsi" w:hAnsiTheme="minorHAnsi" w:cstheme="minorHAnsi"/>
        </w:rPr>
        <w:t>ubordination does not automatically increase complexity. It does have an influence on the risk of the pro</w:t>
      </w:r>
      <w:r w:rsidRPr="00454174">
        <w:rPr>
          <w:rFonts w:asciiTheme="minorHAnsi" w:hAnsiTheme="minorHAnsi" w:cstheme="minorHAnsi"/>
        </w:rPr>
        <w:t>d</w:t>
      </w:r>
      <w:r w:rsidRPr="00454174">
        <w:rPr>
          <w:rFonts w:asciiTheme="minorHAnsi" w:hAnsiTheme="minorHAnsi" w:cstheme="minorHAnsi"/>
        </w:rPr>
        <w:t>uct, but this does not make the product any less understandable.</w:t>
      </w:r>
      <w:r>
        <w:rPr>
          <w:rFonts w:asciiTheme="minorHAnsi" w:hAnsiTheme="minorHAnsi" w:cstheme="minorHAnsi"/>
        </w:rPr>
        <w:t xml:space="preserve"> </w:t>
      </w:r>
    </w:p>
    <w:p w14:paraId="63ED7BF6" w14:textId="77777777" w:rsidR="001F5C3B" w:rsidRPr="00454174" w:rsidRDefault="001F5C3B" w:rsidP="001F5C3B">
      <w:pPr>
        <w:jc w:val="both"/>
        <w:rPr>
          <w:rFonts w:asciiTheme="minorHAnsi" w:hAnsiTheme="minorHAnsi" w:cstheme="minorHAnsi"/>
        </w:rPr>
      </w:pPr>
      <w:r w:rsidRPr="00454174">
        <w:rPr>
          <w:rFonts w:asciiTheme="minorHAnsi" w:hAnsiTheme="minorHAnsi" w:cstheme="minorHAnsi"/>
        </w:rPr>
        <w:t>This is even stated in the CP itself (p.11):</w:t>
      </w:r>
    </w:p>
    <w:p w14:paraId="4173B3A0" w14:textId="77777777" w:rsidR="004B638A" w:rsidRDefault="004B638A" w:rsidP="001F5C3B">
      <w:pPr>
        <w:ind w:left="720" w:hanging="294"/>
        <w:jc w:val="both"/>
        <w:rPr>
          <w:rFonts w:asciiTheme="minorHAnsi" w:hAnsiTheme="minorHAnsi" w:cstheme="minorHAnsi"/>
          <w:i/>
        </w:rPr>
      </w:pPr>
    </w:p>
    <w:p w14:paraId="28B9751E" w14:textId="77777777" w:rsidR="001F5C3B" w:rsidRPr="00454174" w:rsidRDefault="001F5C3B" w:rsidP="001F5C3B">
      <w:pPr>
        <w:ind w:left="720" w:hanging="294"/>
        <w:jc w:val="both"/>
        <w:rPr>
          <w:rFonts w:asciiTheme="minorHAnsi" w:hAnsiTheme="minorHAnsi" w:cstheme="minorHAnsi"/>
          <w:i/>
        </w:rPr>
      </w:pPr>
      <w:r w:rsidRPr="00454174">
        <w:rPr>
          <w:rFonts w:asciiTheme="minorHAnsi" w:hAnsiTheme="minorHAnsi" w:cstheme="minorHAnsi"/>
          <w:i/>
        </w:rPr>
        <w:t>18. On the other hand, it should be emphasised that, in accordance with Article 25(4) of MiFID II, these guid</w:t>
      </w:r>
      <w:r w:rsidRPr="00454174">
        <w:rPr>
          <w:rFonts w:asciiTheme="minorHAnsi" w:hAnsiTheme="minorHAnsi" w:cstheme="minorHAnsi"/>
          <w:i/>
        </w:rPr>
        <w:t>e</w:t>
      </w:r>
      <w:r w:rsidRPr="00454174">
        <w:rPr>
          <w:rFonts w:asciiTheme="minorHAnsi" w:hAnsiTheme="minorHAnsi" w:cstheme="minorHAnsi"/>
          <w:i/>
        </w:rPr>
        <w:t>lines address the aspect of the complexity of debt securities and not their risk. Some high-risk financial i</w:t>
      </w:r>
      <w:r w:rsidRPr="00454174">
        <w:rPr>
          <w:rFonts w:asciiTheme="minorHAnsi" w:hAnsiTheme="minorHAnsi" w:cstheme="minorHAnsi"/>
          <w:i/>
        </w:rPr>
        <w:t>n</w:t>
      </w:r>
      <w:r w:rsidRPr="00454174">
        <w:rPr>
          <w:rFonts w:asciiTheme="minorHAnsi" w:hAnsiTheme="minorHAnsi" w:cstheme="minorHAnsi"/>
          <w:i/>
        </w:rPr>
        <w:t>struments can be relatively easy to understand and therefore are not deemed complex.</w:t>
      </w:r>
    </w:p>
    <w:p w14:paraId="53C74FA9" w14:textId="77777777" w:rsidR="004B638A" w:rsidRDefault="004B638A" w:rsidP="001F5C3B">
      <w:pPr>
        <w:jc w:val="both"/>
        <w:rPr>
          <w:rFonts w:asciiTheme="minorHAnsi" w:hAnsiTheme="minorHAnsi" w:cstheme="minorHAnsi"/>
        </w:rPr>
      </w:pPr>
    </w:p>
    <w:p w14:paraId="6DCED730" w14:textId="77777777" w:rsidR="001F5C3B" w:rsidRPr="00454174" w:rsidRDefault="001F5C3B" w:rsidP="001F5C3B">
      <w:pPr>
        <w:jc w:val="both"/>
        <w:rPr>
          <w:rFonts w:asciiTheme="minorHAnsi" w:hAnsiTheme="minorHAnsi" w:cstheme="minorHAnsi"/>
        </w:rPr>
      </w:pPr>
      <w:r>
        <w:rPr>
          <w:rFonts w:asciiTheme="minorHAnsi" w:hAnsiTheme="minorHAnsi" w:cstheme="minorHAnsi"/>
        </w:rPr>
        <w:t>Treating any bond that is legally subordinated to other debt as complex, will have a negative impact on the use of bonds as a financing sources for corporates.</w:t>
      </w:r>
      <w:r w:rsidRPr="00454174">
        <w:rPr>
          <w:rFonts w:asciiTheme="minorHAnsi" w:hAnsiTheme="minorHAnsi" w:cstheme="minorHAnsi"/>
        </w:rPr>
        <w:t xml:space="preserve"> </w:t>
      </w:r>
    </w:p>
    <w:p w14:paraId="33223DBB" w14:textId="77777777" w:rsidR="001F5C3B" w:rsidRDefault="001F5C3B" w:rsidP="001F5C3B">
      <w:pPr>
        <w:jc w:val="both"/>
        <w:rPr>
          <w:rFonts w:asciiTheme="minorHAnsi" w:hAnsiTheme="minorHAnsi" w:cstheme="minorHAnsi"/>
        </w:rPr>
      </w:pPr>
      <w:r w:rsidRPr="00832372">
        <w:rPr>
          <w:rFonts w:asciiTheme="minorHAnsi" w:hAnsiTheme="minorHAnsi" w:cstheme="minorHAnsi"/>
        </w:rPr>
        <w:t>Moreover</w:t>
      </w:r>
      <w:r>
        <w:rPr>
          <w:rFonts w:asciiTheme="minorHAnsi" w:hAnsiTheme="minorHAnsi" w:cstheme="minorHAnsi"/>
        </w:rPr>
        <w:t>,</w:t>
      </w:r>
      <w:r w:rsidRPr="00832372">
        <w:rPr>
          <w:rFonts w:asciiTheme="minorHAnsi" w:hAnsiTheme="minorHAnsi" w:cstheme="minorHAnsi"/>
        </w:rPr>
        <w:t xml:space="preserve"> the guidelines seem to treat any kind of subordination as a structure making it difficult for the client to understand the risk, not taking into account priorities that may result from legal privileges or ranking of creditors resulting from the law. </w:t>
      </w:r>
    </w:p>
    <w:p w14:paraId="43A6FAFC" w14:textId="77777777" w:rsidR="001F5C3B" w:rsidRDefault="001F5C3B" w:rsidP="001F5C3B">
      <w:pPr>
        <w:jc w:val="both"/>
        <w:rPr>
          <w:rFonts w:asciiTheme="minorHAnsi" w:hAnsiTheme="minorHAnsi" w:cstheme="minorHAnsi"/>
        </w:rPr>
      </w:pPr>
      <w:r>
        <w:rPr>
          <w:rFonts w:asciiTheme="minorHAnsi" w:hAnsiTheme="minorHAnsi" w:cstheme="minorHAnsi"/>
        </w:rPr>
        <w:t>As a general rule it should be stated that in the event where bonds rank lower than other debts following general rules of law, this would not result in complexity of the product (legal ranking of debt is not the same as subordin</w:t>
      </w:r>
      <w:r>
        <w:rPr>
          <w:rFonts w:asciiTheme="minorHAnsi" w:hAnsiTheme="minorHAnsi" w:cstheme="minorHAnsi"/>
        </w:rPr>
        <w:t>a</w:t>
      </w:r>
      <w:r>
        <w:rPr>
          <w:rFonts w:asciiTheme="minorHAnsi" w:hAnsiTheme="minorHAnsi" w:cstheme="minorHAnsi"/>
        </w:rPr>
        <w:t>tion).</w:t>
      </w:r>
    </w:p>
    <w:p w14:paraId="77F77D65" w14:textId="77777777" w:rsidR="001F5C3B" w:rsidRPr="00832372" w:rsidRDefault="001F5C3B" w:rsidP="001F5C3B">
      <w:pPr>
        <w:pStyle w:val="Heading2"/>
        <w:numPr>
          <w:ilvl w:val="0"/>
          <w:numId w:val="51"/>
        </w:numPr>
        <w:spacing w:after="200" w:line="276" w:lineRule="auto"/>
        <w:jc w:val="both"/>
        <w:rPr>
          <w:rFonts w:asciiTheme="minorHAnsi" w:eastAsiaTheme="minorHAnsi" w:hAnsiTheme="minorHAnsi" w:cstheme="minorHAnsi"/>
          <w:bCs w:val="0"/>
          <w:sz w:val="22"/>
          <w:szCs w:val="22"/>
        </w:rPr>
      </w:pPr>
      <w:r w:rsidRPr="00832372">
        <w:rPr>
          <w:rFonts w:asciiTheme="minorHAnsi" w:eastAsiaTheme="minorHAnsi" w:hAnsiTheme="minorHAnsi" w:cstheme="minorHAnsi"/>
          <w:bCs w:val="0"/>
          <w:sz w:val="22"/>
          <w:szCs w:val="22"/>
        </w:rPr>
        <w:t>Debt instruments in foreign currency</w:t>
      </w:r>
    </w:p>
    <w:p w14:paraId="6C928273" w14:textId="77777777" w:rsidR="001F5C3B" w:rsidRPr="00454174" w:rsidRDefault="001F5C3B" w:rsidP="001F5C3B">
      <w:pPr>
        <w:jc w:val="both"/>
        <w:rPr>
          <w:rFonts w:asciiTheme="minorHAnsi" w:hAnsiTheme="minorHAnsi" w:cstheme="minorHAnsi"/>
        </w:rPr>
      </w:pPr>
      <w:r>
        <w:rPr>
          <w:rFonts w:asciiTheme="minorHAnsi" w:hAnsiTheme="minorHAnsi" w:cstheme="minorHAnsi"/>
        </w:rPr>
        <w:t xml:space="preserve">It is questionable whether </w:t>
      </w:r>
      <w:r w:rsidRPr="00454174">
        <w:rPr>
          <w:rFonts w:asciiTheme="minorHAnsi" w:hAnsiTheme="minorHAnsi" w:cstheme="minorHAnsi"/>
        </w:rPr>
        <w:t>the simple fact of a foreign currency may result in the complexity of the product</w:t>
      </w:r>
      <w:r>
        <w:rPr>
          <w:rFonts w:asciiTheme="minorHAnsi" w:hAnsiTheme="minorHAnsi" w:cstheme="minorHAnsi"/>
        </w:rPr>
        <w:t xml:space="preserve"> and whether there is sufficient evidence that </w:t>
      </w:r>
      <w:r w:rsidRPr="00454174">
        <w:rPr>
          <w:rFonts w:asciiTheme="minorHAnsi" w:hAnsiTheme="minorHAnsi" w:cstheme="minorHAnsi"/>
        </w:rPr>
        <w:t>‘the associated effect of credit risk and currency risk’ is not understand</w:t>
      </w:r>
      <w:r w:rsidRPr="00454174">
        <w:rPr>
          <w:rFonts w:asciiTheme="minorHAnsi" w:hAnsiTheme="minorHAnsi" w:cstheme="minorHAnsi"/>
        </w:rPr>
        <w:t>a</w:t>
      </w:r>
      <w:r w:rsidRPr="00454174">
        <w:rPr>
          <w:rFonts w:asciiTheme="minorHAnsi" w:hAnsiTheme="minorHAnsi" w:cstheme="minorHAnsi"/>
        </w:rPr>
        <w:t>ble for retail clients.</w:t>
      </w:r>
      <w:r>
        <w:rPr>
          <w:rFonts w:asciiTheme="minorHAnsi" w:hAnsiTheme="minorHAnsi" w:cstheme="minorHAnsi"/>
        </w:rPr>
        <w:t xml:space="preserve"> This will to a large extent depend on the type and volatility of the currency involved. </w:t>
      </w:r>
    </w:p>
    <w:p w14:paraId="4BA3723C" w14:textId="77777777" w:rsidR="001F5C3B" w:rsidRDefault="001F5C3B" w:rsidP="001F5C3B">
      <w:pPr>
        <w:jc w:val="both"/>
        <w:rPr>
          <w:rFonts w:asciiTheme="minorHAnsi" w:hAnsiTheme="minorHAnsi" w:cstheme="minorHAnsi"/>
        </w:rPr>
      </w:pPr>
    </w:p>
    <w:p w14:paraId="58623665" w14:textId="77777777" w:rsidR="001F5C3B" w:rsidRPr="00832372" w:rsidRDefault="001F5C3B" w:rsidP="001F5C3B">
      <w:pPr>
        <w:pStyle w:val="Heading2"/>
        <w:numPr>
          <w:ilvl w:val="0"/>
          <w:numId w:val="51"/>
        </w:numPr>
        <w:spacing w:after="200" w:line="276" w:lineRule="auto"/>
        <w:jc w:val="both"/>
        <w:rPr>
          <w:rFonts w:asciiTheme="minorHAnsi" w:eastAsiaTheme="minorHAnsi" w:hAnsiTheme="minorHAnsi" w:cstheme="minorHAnsi"/>
          <w:bCs w:val="0"/>
          <w:sz w:val="22"/>
          <w:szCs w:val="22"/>
        </w:rPr>
      </w:pPr>
      <w:r w:rsidRPr="00832372">
        <w:rPr>
          <w:rFonts w:asciiTheme="minorHAnsi" w:eastAsiaTheme="minorHAnsi" w:hAnsiTheme="minorHAnsi" w:cstheme="minorHAnsi"/>
          <w:bCs w:val="0"/>
          <w:sz w:val="22"/>
          <w:szCs w:val="22"/>
        </w:rPr>
        <w:t>Debt instruments issued by a SPV</w:t>
      </w:r>
    </w:p>
    <w:p w14:paraId="4ACDAF49" w14:textId="06CCD6CD" w:rsidR="001F5C3B" w:rsidRDefault="001F5C3B" w:rsidP="001F5C3B">
      <w:pPr>
        <w:jc w:val="both"/>
        <w:rPr>
          <w:rFonts w:asciiTheme="minorHAnsi" w:hAnsiTheme="minorHAnsi" w:cstheme="minorHAnsi"/>
        </w:rPr>
      </w:pPr>
      <w:r w:rsidRPr="00454174">
        <w:rPr>
          <w:rFonts w:asciiTheme="minorHAnsi" w:hAnsiTheme="minorHAnsi" w:cstheme="minorHAnsi"/>
        </w:rPr>
        <w:t xml:space="preserve">Debt instruments issued by an SPV, guaranteed by another entity are qualified as complex if the </w:t>
      </w:r>
      <w:r>
        <w:rPr>
          <w:rFonts w:asciiTheme="minorHAnsi" w:hAnsiTheme="minorHAnsi" w:cstheme="minorHAnsi"/>
        </w:rPr>
        <w:t xml:space="preserve">legal </w:t>
      </w:r>
      <w:r w:rsidRPr="00454174">
        <w:rPr>
          <w:rFonts w:asciiTheme="minorHAnsi" w:hAnsiTheme="minorHAnsi" w:cstheme="minorHAnsi"/>
        </w:rPr>
        <w:t xml:space="preserve">name of the SPV </w:t>
      </w:r>
      <w:r>
        <w:rPr>
          <w:rFonts w:asciiTheme="minorHAnsi" w:hAnsiTheme="minorHAnsi" w:cstheme="minorHAnsi"/>
        </w:rPr>
        <w:t>and/</w:t>
      </w:r>
      <w:r w:rsidRPr="00454174">
        <w:rPr>
          <w:rFonts w:asciiTheme="minorHAnsi" w:hAnsiTheme="minorHAnsi" w:cstheme="minorHAnsi"/>
        </w:rPr>
        <w:t xml:space="preserve">or the name of the product render the risks difficult to understand for investors. Most financial institutions use </w:t>
      </w:r>
      <w:r>
        <w:rPr>
          <w:rFonts w:asciiTheme="minorHAnsi" w:hAnsiTheme="minorHAnsi" w:cstheme="minorHAnsi"/>
        </w:rPr>
        <w:t>issue</w:t>
      </w:r>
      <w:r w:rsidRPr="00454174">
        <w:rPr>
          <w:rFonts w:asciiTheme="minorHAnsi" w:hAnsiTheme="minorHAnsi" w:cstheme="minorHAnsi"/>
        </w:rPr>
        <w:t xml:space="preserve"> vehicles to acquire capital</w:t>
      </w:r>
      <w:r>
        <w:rPr>
          <w:rFonts w:asciiTheme="minorHAnsi" w:hAnsiTheme="minorHAnsi" w:cstheme="minorHAnsi"/>
        </w:rPr>
        <w:t xml:space="preserve">, and for commercial reasons, those vehicles may have names that are different from the name of the issuer or the guarantor, especially if the issue involves multiple jurisdictions. Whether or not this may lead to confusion or add to complexity should </w:t>
      </w:r>
      <w:r w:rsidR="004B638A">
        <w:rPr>
          <w:rFonts w:asciiTheme="minorHAnsi" w:hAnsiTheme="minorHAnsi" w:cstheme="minorHAnsi"/>
        </w:rPr>
        <w:t>be assessed taking into account</w:t>
      </w:r>
      <w:r w:rsidRPr="00454174">
        <w:rPr>
          <w:rFonts w:asciiTheme="minorHAnsi" w:hAnsiTheme="minorHAnsi" w:cstheme="minorHAnsi"/>
        </w:rPr>
        <w:t xml:space="preserve"> </w:t>
      </w:r>
      <w:r>
        <w:rPr>
          <w:rFonts w:asciiTheme="minorHAnsi" w:hAnsiTheme="minorHAnsi" w:cstheme="minorHAnsi"/>
        </w:rPr>
        <w:t xml:space="preserve">all relevant factors, in particular the prospectus and other marketing materials, and not merely the name of the vehicle.  </w:t>
      </w:r>
    </w:p>
    <w:p w14:paraId="4FCA6141" w14:textId="77777777" w:rsidR="001F5C3B" w:rsidRDefault="001F5C3B" w:rsidP="001F5C3B">
      <w:pPr>
        <w:jc w:val="both"/>
        <w:rPr>
          <w:rFonts w:asciiTheme="minorHAnsi" w:hAnsiTheme="minorHAnsi" w:cstheme="minorHAnsi"/>
        </w:rPr>
      </w:pPr>
    </w:p>
    <w:p w14:paraId="2201DD5F" w14:textId="77777777" w:rsidR="001F5C3B" w:rsidRPr="00FA0F55" w:rsidRDefault="001F5C3B" w:rsidP="001F5C3B">
      <w:pPr>
        <w:pStyle w:val="ListParagraph"/>
        <w:numPr>
          <w:ilvl w:val="0"/>
          <w:numId w:val="52"/>
        </w:numPr>
        <w:spacing w:after="120" w:line="276" w:lineRule="auto"/>
        <w:contextualSpacing w:val="0"/>
        <w:jc w:val="both"/>
        <w:rPr>
          <w:rFonts w:asciiTheme="minorHAnsi" w:hAnsiTheme="minorHAnsi" w:cstheme="minorHAnsi"/>
          <w:b/>
          <w:sz w:val="22"/>
        </w:rPr>
      </w:pPr>
      <w:r w:rsidRPr="00FA0F55">
        <w:rPr>
          <w:rFonts w:asciiTheme="minorHAnsi" w:hAnsiTheme="minorHAnsi" w:cstheme="minorHAnsi"/>
          <w:b/>
          <w:sz w:val="22"/>
        </w:rPr>
        <w:t>Debt instruments, the return of which subordinated to the reimbursement of debt held by others</w:t>
      </w:r>
    </w:p>
    <w:p w14:paraId="3C96486C" w14:textId="1FD977D8" w:rsidR="001F5C3B" w:rsidRDefault="001F5C3B" w:rsidP="001F5C3B">
      <w:pPr>
        <w:jc w:val="both"/>
        <w:rPr>
          <w:rFonts w:asciiTheme="minorHAnsi" w:hAnsiTheme="minorHAnsi" w:cstheme="minorHAnsi"/>
        </w:rPr>
      </w:pPr>
      <w:r>
        <w:rPr>
          <w:rFonts w:asciiTheme="minorHAnsi" w:hAnsiTheme="minorHAnsi" w:cstheme="minorHAnsi"/>
        </w:rPr>
        <w:t>This example is too broadl</w:t>
      </w:r>
      <w:r w:rsidR="003C2DCF">
        <w:rPr>
          <w:rFonts w:asciiTheme="minorHAnsi" w:hAnsiTheme="minorHAnsi" w:cstheme="minorHAnsi"/>
        </w:rPr>
        <w:t>y defined. As already stated in the question with regard to</w:t>
      </w:r>
      <w:r>
        <w:rPr>
          <w:rFonts w:asciiTheme="minorHAnsi" w:hAnsiTheme="minorHAnsi" w:cstheme="minorHAnsi"/>
        </w:rPr>
        <w:t xml:space="preserve"> ‘Subordinated Bonds’, </w:t>
      </w:r>
      <w:r w:rsidRPr="00832372">
        <w:rPr>
          <w:rFonts w:asciiTheme="minorHAnsi" w:hAnsiTheme="minorHAnsi" w:cstheme="minorHAnsi"/>
        </w:rPr>
        <w:t>the</w:t>
      </w:r>
      <w:r>
        <w:rPr>
          <w:rFonts w:asciiTheme="minorHAnsi" w:hAnsiTheme="minorHAnsi" w:cstheme="minorHAnsi"/>
        </w:rPr>
        <w:t>se</w:t>
      </w:r>
      <w:r w:rsidRPr="00832372">
        <w:rPr>
          <w:rFonts w:asciiTheme="minorHAnsi" w:hAnsiTheme="minorHAnsi" w:cstheme="minorHAnsi"/>
        </w:rPr>
        <w:t xml:space="preserve"> guidelines seem to treat any kind of subordination as a structure making it difficult for the client to understand the risk, </w:t>
      </w:r>
      <w:r>
        <w:rPr>
          <w:rFonts w:asciiTheme="minorHAnsi" w:hAnsiTheme="minorHAnsi" w:cstheme="minorHAnsi"/>
        </w:rPr>
        <w:t>without taking into</w:t>
      </w:r>
      <w:r w:rsidRPr="00832372">
        <w:rPr>
          <w:rFonts w:asciiTheme="minorHAnsi" w:hAnsiTheme="minorHAnsi" w:cstheme="minorHAnsi"/>
        </w:rPr>
        <w:t xml:space="preserve"> account priorities that may result from legal privileges or ranking of creditors resulting from the law. </w:t>
      </w:r>
      <w:r>
        <w:rPr>
          <w:rFonts w:asciiTheme="minorHAnsi" w:hAnsiTheme="minorHAnsi" w:cstheme="minorHAnsi"/>
        </w:rPr>
        <w:t>Therefore, this example should be deleted in the ESMA draft guidelines.</w:t>
      </w:r>
    </w:p>
    <w:p w14:paraId="6C6538F0" w14:textId="77777777" w:rsidR="001F5C3B" w:rsidRDefault="001F5C3B" w:rsidP="001F5C3B">
      <w:pPr>
        <w:jc w:val="both"/>
        <w:rPr>
          <w:rFonts w:asciiTheme="minorHAnsi" w:hAnsiTheme="minorHAnsi" w:cstheme="minorHAnsi"/>
        </w:rPr>
      </w:pPr>
    </w:p>
    <w:p w14:paraId="02464A00" w14:textId="77777777" w:rsidR="001F5C3B" w:rsidRPr="00F81DED" w:rsidRDefault="001F5C3B" w:rsidP="001F5C3B">
      <w:pPr>
        <w:pStyle w:val="Heading2"/>
        <w:numPr>
          <w:ilvl w:val="0"/>
          <w:numId w:val="51"/>
        </w:numPr>
        <w:spacing w:after="200" w:line="276" w:lineRule="auto"/>
        <w:jc w:val="both"/>
        <w:rPr>
          <w:rFonts w:asciiTheme="minorHAnsi" w:eastAsiaTheme="minorHAnsi" w:hAnsiTheme="minorHAnsi" w:cstheme="minorHAnsi"/>
          <w:bCs w:val="0"/>
          <w:sz w:val="22"/>
          <w:szCs w:val="22"/>
        </w:rPr>
      </w:pPr>
      <w:r w:rsidRPr="00832372">
        <w:rPr>
          <w:rFonts w:asciiTheme="minorHAnsi" w:eastAsiaTheme="minorHAnsi" w:hAnsiTheme="minorHAnsi" w:cstheme="minorHAnsi"/>
          <w:bCs w:val="0"/>
          <w:sz w:val="22"/>
          <w:szCs w:val="22"/>
        </w:rPr>
        <w:t>Debt instruments with ‘unusual or unfamiliar underlying’</w:t>
      </w:r>
    </w:p>
    <w:p w14:paraId="5D918A63" w14:textId="77777777" w:rsidR="001F5C3B" w:rsidRDefault="001F5C3B" w:rsidP="001F5C3B">
      <w:pPr>
        <w:jc w:val="both"/>
        <w:rPr>
          <w:rFonts w:asciiTheme="minorHAnsi" w:hAnsiTheme="minorHAnsi" w:cstheme="minorHAnsi"/>
        </w:rPr>
      </w:pPr>
      <w:r>
        <w:rPr>
          <w:rFonts w:asciiTheme="minorHAnsi" w:hAnsiTheme="minorHAnsi" w:cstheme="minorHAnsi"/>
        </w:rPr>
        <w:t>The concept of ‘unusual or unfamiliar underlying’ of debt instruments is not precise and could cause legal unce</w:t>
      </w:r>
      <w:r>
        <w:rPr>
          <w:rFonts w:asciiTheme="minorHAnsi" w:hAnsiTheme="minorHAnsi" w:cstheme="minorHAnsi"/>
        </w:rPr>
        <w:t>r</w:t>
      </w:r>
      <w:r>
        <w:rPr>
          <w:rFonts w:asciiTheme="minorHAnsi" w:hAnsiTheme="minorHAnsi" w:cstheme="minorHAnsi"/>
        </w:rPr>
        <w:t xml:space="preserve">tainty. It would be helpful if ESMA could give concrete examples of ‘unusual or unfamiliar’ underlyings, and how this concept should be applied in practice. </w:t>
      </w:r>
    </w:p>
    <w:p w14:paraId="3376CE23" w14:textId="77777777" w:rsidR="001F5C3B" w:rsidRDefault="001F5C3B" w:rsidP="001F5C3B">
      <w:pPr>
        <w:jc w:val="both"/>
        <w:rPr>
          <w:rFonts w:asciiTheme="minorHAnsi" w:hAnsiTheme="minorHAnsi" w:cstheme="minorHAnsi"/>
        </w:rPr>
      </w:pPr>
      <w:r>
        <w:rPr>
          <w:rFonts w:asciiTheme="minorHAnsi" w:hAnsiTheme="minorHAnsi" w:cstheme="minorHAnsi"/>
        </w:rPr>
        <w:t xml:space="preserve">Additionally, a level playing field is crucial in this regard. Therefore, it should be assured that other instruments that track a certain underlying, such as investment funds, will be treated the same way as debt instruments. </w:t>
      </w:r>
    </w:p>
    <w:p w14:paraId="6FCEDAD8" w14:textId="77777777" w:rsidR="001F5C3B" w:rsidRPr="00832372" w:rsidRDefault="001F5C3B" w:rsidP="001F5C3B">
      <w:pPr>
        <w:jc w:val="both"/>
        <w:rPr>
          <w:rFonts w:asciiTheme="minorHAnsi" w:hAnsiTheme="minorHAnsi" w:cstheme="minorHAnsi"/>
        </w:rPr>
      </w:pPr>
    </w:p>
    <w:permEnd w:id="1952538803"/>
    <w:p w14:paraId="6DAE9145" w14:textId="77777777" w:rsidR="0012767D" w:rsidRDefault="0012767D" w:rsidP="0012767D">
      <w:r>
        <w:t>&lt;ESMA_QUESTION_COMPLEX_3&gt;</w:t>
      </w:r>
    </w:p>
    <w:p w14:paraId="5D07E732" w14:textId="77777777" w:rsidR="004774F9" w:rsidRDefault="004774F9" w:rsidP="0012767D"/>
    <w:p w14:paraId="133D4EFF" w14:textId="77777777" w:rsidR="0012767D" w:rsidRDefault="0012767D" w:rsidP="000E562B">
      <w:pPr>
        <w:pStyle w:val="CPQuestions"/>
        <w:numPr>
          <w:ilvl w:val="0"/>
          <w:numId w:val="0"/>
        </w:numPr>
      </w:pPr>
      <w:r w:rsidRPr="00591061">
        <w:t xml:space="preserve">Question </w:t>
      </w:r>
      <w:r>
        <w:t>4</w:t>
      </w:r>
      <w:r w:rsidRPr="00591061">
        <w:t>: Do you agree with the definition of a structure making it difficult for the client to understand the risk</w:t>
      </w:r>
      <w:r>
        <w:t xml:space="preserve"> included in the Guidelines in Annex IV</w:t>
      </w:r>
      <w:r w:rsidRPr="00591061">
        <w:t>? If not, why not?</w:t>
      </w:r>
    </w:p>
    <w:p w14:paraId="320C3A58" w14:textId="77777777" w:rsidR="0012767D" w:rsidRDefault="0012767D" w:rsidP="0012767D">
      <w:r>
        <w:t>&lt;ESMA_QUESTION_COMPLEX_4&gt;</w:t>
      </w:r>
    </w:p>
    <w:p w14:paraId="1A27142B" w14:textId="77777777" w:rsidR="0012767D" w:rsidRDefault="0012767D" w:rsidP="0012767D">
      <w:permStart w:id="247099476" w:edGrp="everyone"/>
      <w:r>
        <w:t>TYPE YOUR TEXT HERE</w:t>
      </w:r>
    </w:p>
    <w:permEnd w:id="247099476"/>
    <w:p w14:paraId="683D730F" w14:textId="77777777" w:rsidR="0012767D" w:rsidRDefault="0012767D" w:rsidP="0012767D">
      <w:r>
        <w:t>&lt;ESMA_QUESTION_COMPLEX_4&gt;</w:t>
      </w:r>
    </w:p>
    <w:p w14:paraId="1874048E" w14:textId="77777777" w:rsidR="004774F9" w:rsidRDefault="004774F9" w:rsidP="0012767D"/>
    <w:p w14:paraId="35DF89F6" w14:textId="77777777" w:rsidR="0012767D" w:rsidRDefault="0012767D" w:rsidP="000E562B">
      <w:pPr>
        <w:pStyle w:val="CPQuestions"/>
        <w:numPr>
          <w:ilvl w:val="0"/>
          <w:numId w:val="0"/>
        </w:numPr>
      </w:pPr>
      <w:r w:rsidRPr="00591061">
        <w:t xml:space="preserve">Question </w:t>
      </w:r>
      <w:r>
        <w:t>5:</w:t>
      </w:r>
      <w:r w:rsidRPr="00591061">
        <w:t xml:space="preserve"> Do you agree with the definition of a structure making it difficult for the client to understand the risk of return</w:t>
      </w:r>
      <w:r>
        <w:t xml:space="preserve"> of structured deposits and with the relevant examples proposed</w:t>
      </w:r>
      <w:r w:rsidRPr="00591061">
        <w:t>? If not, why not?</w:t>
      </w:r>
    </w:p>
    <w:p w14:paraId="5BBC7C0E" w14:textId="77777777" w:rsidR="0012767D" w:rsidRDefault="0012767D" w:rsidP="0012767D">
      <w:r>
        <w:t>&lt;ESMA_QUESTION_COMPLEX_5&gt;</w:t>
      </w:r>
    </w:p>
    <w:p w14:paraId="570FC14D" w14:textId="68773826" w:rsidR="00D639EE" w:rsidRDefault="001F5C3B" w:rsidP="001F5C3B">
      <w:pPr>
        <w:jc w:val="both"/>
        <w:rPr>
          <w:rFonts w:asciiTheme="minorHAnsi" w:hAnsiTheme="minorHAnsi" w:cstheme="minorHAnsi"/>
        </w:rPr>
      </w:pPr>
      <w:permStart w:id="159196148" w:edGrp="everyone"/>
      <w:r>
        <w:rPr>
          <w:rFonts w:asciiTheme="minorHAnsi" w:hAnsiTheme="minorHAnsi" w:cstheme="minorHAnsi"/>
        </w:rPr>
        <w:t>See comments Q4 (foreign currency)</w:t>
      </w:r>
      <w:r w:rsidR="004B638A">
        <w:rPr>
          <w:rFonts w:asciiTheme="minorHAnsi" w:hAnsiTheme="minorHAnsi" w:cstheme="minorHAnsi"/>
        </w:rPr>
        <w:t>;</w:t>
      </w:r>
      <w:r w:rsidRPr="00DD30CF">
        <w:rPr>
          <w:rFonts w:asciiTheme="minorHAnsi" w:hAnsiTheme="minorHAnsi" w:cstheme="minorHAnsi"/>
        </w:rPr>
        <w:t xml:space="preserve"> It is questionable whether the simple fact of a foreign currency may result in the complexity of the product and whether there is sufficient evidence that ‘the associated effect of credit risk and currency risk’ is not understandable for retail clients. This will to a large extent depend on the type and volatility of the currency involved. </w:t>
      </w:r>
    </w:p>
    <w:permEnd w:id="159196148"/>
    <w:p w14:paraId="5C835FB4" w14:textId="77777777" w:rsidR="0012767D" w:rsidRDefault="0012767D" w:rsidP="0012767D">
      <w:r>
        <w:t>&lt;ESMA_QUESTION_COMPLEX_5&gt;</w:t>
      </w:r>
    </w:p>
    <w:p w14:paraId="36FB703B" w14:textId="77777777" w:rsidR="004774F9" w:rsidRDefault="004774F9" w:rsidP="0012767D"/>
    <w:p w14:paraId="670D5A3A" w14:textId="77777777" w:rsidR="0012767D" w:rsidRDefault="0012767D" w:rsidP="000E562B">
      <w:pPr>
        <w:pStyle w:val="CPQuestions"/>
        <w:numPr>
          <w:ilvl w:val="0"/>
          <w:numId w:val="0"/>
        </w:numPr>
      </w:pPr>
      <w:r w:rsidRPr="00591061">
        <w:t xml:space="preserve">Question </w:t>
      </w:r>
      <w:r>
        <w:t>6</w:t>
      </w:r>
      <w:r w:rsidRPr="00591061">
        <w:t>: Do you agree with the definition of a structure making it difficult for the client to understand the cost of exiting</w:t>
      </w:r>
      <w:r>
        <w:t xml:space="preserve"> a structured deposit</w:t>
      </w:r>
      <w:r w:rsidRPr="00591061">
        <w:t xml:space="preserve"> before term</w:t>
      </w:r>
      <w:r>
        <w:t xml:space="preserve"> and with the relevant examples proposed</w:t>
      </w:r>
      <w:r w:rsidRPr="00591061">
        <w:t>? If not, why not?</w:t>
      </w:r>
    </w:p>
    <w:p w14:paraId="064B5843" w14:textId="77777777" w:rsidR="0012767D" w:rsidRDefault="0012767D" w:rsidP="0012767D">
      <w:r>
        <w:t>&lt;ESMA_QUESTION_COMPLEX_6&gt;</w:t>
      </w:r>
    </w:p>
    <w:p w14:paraId="1385B91E" w14:textId="77777777" w:rsidR="0012767D" w:rsidRDefault="0012767D" w:rsidP="0012767D">
      <w:permStart w:id="1361591965" w:edGrp="everyone"/>
      <w:r>
        <w:t>TYPE YOUR TEXT HERE</w:t>
      </w:r>
    </w:p>
    <w:permEnd w:id="1361591965"/>
    <w:p w14:paraId="0C1B5EE9" w14:textId="77777777" w:rsidR="0012767D" w:rsidRDefault="0012767D" w:rsidP="0012767D">
      <w:r>
        <w:t>&lt;ESMA_QUESTION_COMPLEX_6&gt;</w:t>
      </w:r>
    </w:p>
    <w:p w14:paraId="1114CE2A" w14:textId="77777777" w:rsidR="0012767D" w:rsidRDefault="0012767D" w:rsidP="0012767D"/>
    <w:p w14:paraId="6635D99A" w14:textId="77777777" w:rsidR="0012767D" w:rsidRDefault="0012767D" w:rsidP="000E562B">
      <w:pPr>
        <w:pStyle w:val="CPQuestions"/>
        <w:numPr>
          <w:ilvl w:val="0"/>
          <w:numId w:val="0"/>
        </w:numPr>
      </w:pPr>
      <w:r w:rsidRPr="00DD1C5E">
        <w:t xml:space="preserve">Question </w:t>
      </w:r>
      <w:r>
        <w:t>7:</w:t>
      </w:r>
      <w:r w:rsidRPr="00DD1C5E">
        <w:t xml:space="preserve"> Please provide any specific evidence or data that would further inform the analysis of the likely cost and benefit impacts of the guidelines. </w:t>
      </w:r>
    </w:p>
    <w:p w14:paraId="3AE9D990" w14:textId="77777777" w:rsidR="0012767D" w:rsidRDefault="0012767D" w:rsidP="0012767D">
      <w:r>
        <w:t>&lt;ESMA_QUESTION_COMPLEX_7&gt;</w:t>
      </w:r>
    </w:p>
    <w:p w14:paraId="384C4361" w14:textId="77777777" w:rsidR="0012767D" w:rsidRDefault="0012767D" w:rsidP="0012767D">
      <w:permStart w:id="1741240269" w:edGrp="everyone"/>
      <w:r>
        <w:t>TYPE YOUR TEXT HERE</w:t>
      </w:r>
    </w:p>
    <w:permEnd w:id="1741240269"/>
    <w:p w14:paraId="60C1A073" w14:textId="77777777" w:rsidR="0012767D" w:rsidRDefault="0012767D" w:rsidP="0012767D">
      <w:r>
        <w:t>&lt;ESMA_QUESTION_COMPLEX_7&gt;</w:t>
      </w:r>
    </w:p>
    <w:p w14:paraId="7F354F2A" w14:textId="77777777" w:rsidR="0012767D" w:rsidRDefault="0012767D" w:rsidP="0012767D"/>
    <w:p w14:paraId="3B2AF3F9" w14:textId="77777777" w:rsidR="00F32462" w:rsidRDefault="0012767D" w:rsidP="0012767D">
      <w:r>
        <w:t xml:space="preserve"> </w:t>
      </w:r>
    </w:p>
    <w:sectPr w:rsidR="00F32462" w:rsidSect="00A8728B">
      <w:headerReference w:type="even" r:id="rId18"/>
      <w:headerReference w:type="first" r:id="rId19"/>
      <w:footerReference w:type="first" r:id="rId20"/>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257040" w14:textId="77777777" w:rsidR="006811DF" w:rsidRDefault="006811DF">
      <w:r>
        <w:separator/>
      </w:r>
    </w:p>
    <w:p w14:paraId="6E5003DD" w14:textId="77777777" w:rsidR="006811DF" w:rsidRDefault="006811DF"/>
  </w:endnote>
  <w:endnote w:type="continuationSeparator" w:id="0">
    <w:p w14:paraId="3F103193" w14:textId="77777777" w:rsidR="006811DF" w:rsidRDefault="006811DF">
      <w:r>
        <w:continuationSeparator/>
      </w:r>
    </w:p>
    <w:p w14:paraId="6B4AA9F8" w14:textId="77777777" w:rsidR="006811DF" w:rsidRDefault="006811DF"/>
  </w:endnote>
  <w:endnote w:type="continuationNotice" w:id="1">
    <w:p w14:paraId="5EAF8DDC" w14:textId="77777777" w:rsidR="006811DF" w:rsidRDefault="006811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6B8712E0" w14:textId="77777777" w:rsidTr="00315E96">
      <w:trPr>
        <w:trHeight w:val="284"/>
      </w:trPr>
      <w:tc>
        <w:tcPr>
          <w:tcW w:w="8460" w:type="dxa"/>
        </w:tcPr>
        <w:p w14:paraId="60E87B03" w14:textId="77777777" w:rsidR="00811EDA" w:rsidRPr="00315E96" w:rsidRDefault="00811EDA" w:rsidP="00315E96">
          <w:pPr>
            <w:pStyle w:val="00Footer"/>
            <w:rPr>
              <w:lang w:val="fr-FR"/>
            </w:rPr>
          </w:pPr>
        </w:p>
      </w:tc>
      <w:tc>
        <w:tcPr>
          <w:tcW w:w="952" w:type="dxa"/>
        </w:tcPr>
        <w:p w14:paraId="51C41C86" w14:textId="77777777"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B26722">
            <w:rPr>
              <w:rFonts w:cs="Arial"/>
              <w:noProof/>
              <w:sz w:val="22"/>
              <w:szCs w:val="22"/>
            </w:rPr>
            <w:t>4</w:t>
          </w:r>
          <w:r w:rsidRPr="00616B9B">
            <w:rPr>
              <w:rFonts w:cs="Arial"/>
              <w:noProof/>
              <w:sz w:val="22"/>
              <w:szCs w:val="22"/>
            </w:rPr>
            <w:fldChar w:fldCharType="end"/>
          </w:r>
        </w:p>
      </w:tc>
    </w:tr>
  </w:tbl>
  <w:p w14:paraId="37EBFF2E" w14:textId="77777777" w:rsidR="00811EDA" w:rsidRDefault="00811E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40643" w14:textId="77777777" w:rsidR="00811EDA" w:rsidRDefault="00811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9601A3" w14:textId="77777777" w:rsidR="006811DF" w:rsidRDefault="006811DF">
      <w:r>
        <w:separator/>
      </w:r>
    </w:p>
    <w:p w14:paraId="46C9A554" w14:textId="77777777" w:rsidR="006811DF" w:rsidRDefault="006811DF"/>
  </w:footnote>
  <w:footnote w:type="continuationSeparator" w:id="0">
    <w:p w14:paraId="4763BA02" w14:textId="77777777" w:rsidR="006811DF" w:rsidRDefault="006811DF">
      <w:r>
        <w:continuationSeparator/>
      </w:r>
    </w:p>
    <w:p w14:paraId="57E3B352" w14:textId="77777777" w:rsidR="006811DF" w:rsidRDefault="006811DF"/>
  </w:footnote>
  <w:footnote w:type="continuationNotice" w:id="1">
    <w:p w14:paraId="58D18F60" w14:textId="77777777" w:rsidR="006811DF" w:rsidRDefault="006811D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DF72C" w14:textId="77777777" w:rsidR="00811EDA" w:rsidRDefault="00DE66EB">
    <w:pPr>
      <w:pStyle w:val="Header"/>
    </w:pPr>
    <w:r>
      <w:rPr>
        <w:noProof/>
        <w:lang w:val="en-US" w:eastAsia="en-US"/>
      </w:rPr>
      <w:drawing>
        <wp:anchor distT="0" distB="0" distL="114300" distR="114300" simplePos="0" relativeHeight="251658240" behindDoc="0" locked="0" layoutInCell="1" allowOverlap="1" wp14:anchorId="51E47FB8" wp14:editId="4604977A">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295" distR="114295" simplePos="0" relativeHeight="251656192" behindDoc="0" locked="0" layoutInCell="1" allowOverlap="1" wp14:anchorId="3933F0CC" wp14:editId="18A994E8">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E62C022"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FB384" w14:textId="77777777" w:rsidR="00811EDA" w:rsidRDefault="00DE66EB" w:rsidP="00013CCE">
    <w:pPr>
      <w:pStyle w:val="Header"/>
      <w:jc w:val="right"/>
    </w:pPr>
    <w:r>
      <w:rPr>
        <w:noProof/>
        <w:lang w:val="en-US" w:eastAsia="en-US"/>
      </w:rPr>
      <w:drawing>
        <wp:anchor distT="0" distB="0" distL="114300" distR="114300" simplePos="0" relativeHeight="251657216" behindDoc="0" locked="0" layoutInCell="1" allowOverlap="1" wp14:anchorId="3CC2571B" wp14:editId="069483F3">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5168" behindDoc="1" locked="0" layoutInCell="1" allowOverlap="1" wp14:anchorId="0A96AC4A" wp14:editId="515C5066">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96456C" w14:textId="77777777"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52854CF0" w14:textId="77777777" w:rsidTr="000C06C9">
      <w:trPr>
        <w:trHeight w:val="284"/>
      </w:trPr>
      <w:tc>
        <w:tcPr>
          <w:tcW w:w="8460" w:type="dxa"/>
        </w:tcPr>
        <w:p w14:paraId="0B0E1F92" w14:textId="77777777" w:rsidR="00811EDA" w:rsidRPr="000C3B6D" w:rsidRDefault="00811EDA" w:rsidP="000C06C9">
          <w:pPr>
            <w:pStyle w:val="00Footer"/>
            <w:rPr>
              <w:lang w:val="fr-FR"/>
            </w:rPr>
          </w:pPr>
        </w:p>
      </w:tc>
      <w:tc>
        <w:tcPr>
          <w:tcW w:w="952" w:type="dxa"/>
        </w:tcPr>
        <w:p w14:paraId="37DDC96E" w14:textId="77777777" w:rsidR="00811EDA" w:rsidRPr="00146B34" w:rsidRDefault="00811EDA" w:rsidP="000C06C9">
          <w:pPr>
            <w:pStyle w:val="00aPagenumber"/>
            <w:rPr>
              <w:lang w:val="fr-FR"/>
            </w:rPr>
          </w:pPr>
        </w:p>
      </w:tc>
    </w:tr>
  </w:tbl>
  <w:p w14:paraId="5EE57411" w14:textId="77777777" w:rsidR="00811EDA" w:rsidRPr="00DB46C3" w:rsidRDefault="00811EDA">
    <w:pPr>
      <w:rPr>
        <w:lang w:val="fr-FR"/>
      </w:rPr>
    </w:pPr>
  </w:p>
  <w:p w14:paraId="23A2AB0F" w14:textId="77777777" w:rsidR="00811EDA" w:rsidRPr="002F4496" w:rsidRDefault="00811EDA">
    <w:pPr>
      <w:pStyle w:val="Header"/>
      <w:rPr>
        <w:lang w:val="fr-FR"/>
      </w:rPr>
    </w:pPr>
  </w:p>
  <w:p w14:paraId="32893418" w14:textId="77777777" w:rsidR="00811EDA" w:rsidRPr="002F4496" w:rsidRDefault="00811EDA" w:rsidP="000C06C9">
    <w:pPr>
      <w:pStyle w:val="Header"/>
      <w:tabs>
        <w:tab w:val="clear" w:pos="4536"/>
        <w:tab w:val="clear" w:pos="9072"/>
        <w:tab w:val="left" w:pos="8227"/>
      </w:tabs>
      <w:rPr>
        <w:lang w:val="fr-FR"/>
      </w:rPr>
    </w:pPr>
  </w:p>
  <w:p w14:paraId="54A047CC" w14:textId="77777777" w:rsidR="00811EDA" w:rsidRPr="002F4496" w:rsidRDefault="00811EDA" w:rsidP="000C06C9">
    <w:pPr>
      <w:pStyle w:val="Header"/>
      <w:tabs>
        <w:tab w:val="clear" w:pos="4536"/>
        <w:tab w:val="clear" w:pos="9072"/>
        <w:tab w:val="left" w:pos="8227"/>
      </w:tabs>
      <w:rPr>
        <w:lang w:val="fr-FR"/>
      </w:rPr>
    </w:pPr>
  </w:p>
  <w:p w14:paraId="23EF371A" w14:textId="77777777" w:rsidR="00811EDA" w:rsidRPr="002F4496" w:rsidRDefault="00811EDA">
    <w:pPr>
      <w:pStyle w:val="Header"/>
      <w:rPr>
        <w:lang w:val="fr-FR"/>
      </w:rPr>
    </w:pPr>
  </w:p>
  <w:p w14:paraId="2B2199B1" w14:textId="77777777" w:rsidR="00811EDA" w:rsidRPr="002F4496" w:rsidRDefault="00811EDA">
    <w:pPr>
      <w:pStyle w:val="Header"/>
      <w:rPr>
        <w:lang w:val="fr-FR"/>
      </w:rPr>
    </w:pPr>
  </w:p>
  <w:p w14:paraId="4311EC73" w14:textId="77777777" w:rsidR="00811EDA" w:rsidRPr="002F4496" w:rsidRDefault="00811EDA">
    <w:pPr>
      <w:pStyle w:val="Header"/>
      <w:rPr>
        <w:lang w:val="fr-FR"/>
      </w:rPr>
    </w:pPr>
  </w:p>
  <w:p w14:paraId="21A8C6C1" w14:textId="77777777" w:rsidR="00811EDA" w:rsidRPr="002F4496" w:rsidRDefault="00811EDA">
    <w:pPr>
      <w:pStyle w:val="Header"/>
      <w:rPr>
        <w:lang w:val="fr-FR"/>
      </w:rPr>
    </w:pPr>
  </w:p>
  <w:p w14:paraId="62DD9ED2" w14:textId="77777777" w:rsidR="00811EDA" w:rsidRPr="002F4496" w:rsidRDefault="00811EDA">
    <w:pPr>
      <w:pStyle w:val="Header"/>
      <w:rPr>
        <w:highlight w:val="yellow"/>
        <w:lang w:val="fr-FR"/>
      </w:rPr>
    </w:pPr>
  </w:p>
  <w:p w14:paraId="6B22CDC8" w14:textId="77777777" w:rsidR="00811EDA" w:rsidRDefault="00DE66EB">
    <w:pPr>
      <w:pStyle w:val="Header"/>
    </w:pPr>
    <w:r>
      <w:rPr>
        <w:noProof/>
        <w:lang w:val="en-US" w:eastAsia="en-US"/>
      </w:rPr>
      <mc:AlternateContent>
        <mc:Choice Requires="wps">
          <w:drawing>
            <wp:anchor distT="0" distB="0" distL="114299" distR="114299" simplePos="0" relativeHeight="251660288" behindDoc="0" locked="0" layoutInCell="1" allowOverlap="1" wp14:anchorId="5D8537C3" wp14:editId="5AB92475">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55361ED"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en-US" w:eastAsia="en-US"/>
      </w:rPr>
      <w:drawing>
        <wp:anchor distT="0" distB="0" distL="114300" distR="114300" simplePos="0" relativeHeight="251659264" behindDoc="0" locked="0" layoutInCell="1" allowOverlap="1" wp14:anchorId="0BB87692" wp14:editId="3EA97F4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3A5103A"/>
    <w:multiLevelType w:val="hybridMultilevel"/>
    <w:tmpl w:val="C3CAA64C"/>
    <w:lvl w:ilvl="0" w:tplc="A4EEC382">
      <w:start w:val="1"/>
      <w:numFmt w:val="lowerRoman"/>
      <w:lvlText w:val="(%1)"/>
      <w:lvlJc w:val="left"/>
      <w:pPr>
        <w:ind w:left="1080" w:hanging="72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3">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FEF5E05"/>
    <w:multiLevelType w:val="hybridMultilevel"/>
    <w:tmpl w:val="4F7A67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2">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nsid w:val="5BD554F0"/>
    <w:multiLevelType w:val="hybridMultilevel"/>
    <w:tmpl w:val="602CE52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4">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6">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9">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3"/>
  </w:num>
  <w:num w:numId="4">
    <w:abstractNumId w:val="24"/>
  </w:num>
  <w:num w:numId="5">
    <w:abstractNumId w:val="26"/>
  </w:num>
  <w:num w:numId="6">
    <w:abstractNumId w:val="0"/>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32"/>
  </w:num>
  <w:num w:numId="14">
    <w:abstractNumId w:val="23"/>
  </w:num>
  <w:num w:numId="15">
    <w:abstractNumId w:val="12"/>
  </w:num>
  <w:num w:numId="16">
    <w:abstractNumId w:val="1"/>
  </w:num>
  <w:num w:numId="17">
    <w:abstractNumId w:val="15"/>
  </w:num>
  <w:num w:numId="18">
    <w:abstractNumId w:val="16"/>
  </w:num>
  <w:num w:numId="19">
    <w:abstractNumId w:val="18"/>
  </w:num>
  <w:num w:numId="20">
    <w:abstractNumId w:val="27"/>
  </w:num>
  <w:num w:numId="21">
    <w:abstractNumId w:val="37"/>
  </w:num>
  <w:num w:numId="22">
    <w:abstractNumId w:val="25"/>
  </w:num>
  <w:num w:numId="23">
    <w:abstractNumId w:val="11"/>
  </w:num>
  <w:num w:numId="24">
    <w:abstractNumId w:val="31"/>
  </w:num>
  <w:num w:numId="25">
    <w:abstractNumId w:val="30"/>
  </w:num>
  <w:num w:numId="26">
    <w:abstractNumId w:val="20"/>
  </w:num>
  <w:num w:numId="27">
    <w:abstractNumId w:val="34"/>
  </w:num>
  <w:num w:numId="28">
    <w:abstractNumId w:val="39"/>
  </w:num>
  <w:num w:numId="29">
    <w:abstractNumId w:val="9"/>
  </w:num>
  <w:num w:numId="30">
    <w:abstractNumId w:val="4"/>
  </w:num>
  <w:num w:numId="31">
    <w:abstractNumId w:val="22"/>
  </w:num>
  <w:num w:numId="32">
    <w:abstractNumId w:val="3"/>
  </w:num>
  <w:num w:numId="33">
    <w:abstractNumId w:val="8"/>
  </w:num>
  <w:num w:numId="34">
    <w:abstractNumId w:val="21"/>
  </w:num>
  <w:num w:numId="35">
    <w:abstractNumId w:val="36"/>
  </w:num>
  <w:num w:numId="36">
    <w:abstractNumId w:val="36"/>
    <w:lvlOverride w:ilvl="0">
      <w:startOverride w:val="1"/>
    </w:lvlOverride>
  </w:num>
  <w:num w:numId="37">
    <w:abstractNumId w:val="36"/>
    <w:lvlOverride w:ilvl="0">
      <w:startOverride w:val="1"/>
    </w:lvlOverride>
  </w:num>
  <w:num w:numId="38">
    <w:abstractNumId w:val="36"/>
    <w:lvlOverride w:ilvl="0">
      <w:startOverride w:val="1"/>
    </w:lvlOverride>
  </w:num>
  <w:num w:numId="39">
    <w:abstractNumId w:val="36"/>
    <w:lvlOverride w:ilvl="0">
      <w:startOverride w:val="1"/>
    </w:lvlOverride>
  </w:num>
  <w:num w:numId="40">
    <w:abstractNumId w:val="36"/>
    <w:lvlOverride w:ilvl="0">
      <w:startOverride w:val="1"/>
    </w:lvlOverride>
  </w:num>
  <w:num w:numId="41">
    <w:abstractNumId w:val="36"/>
  </w:num>
  <w:num w:numId="42">
    <w:abstractNumId w:val="36"/>
    <w:lvlOverride w:ilvl="0">
      <w:startOverride w:val="1"/>
    </w:lvlOverride>
  </w:num>
  <w:num w:numId="43">
    <w:abstractNumId w:val="36"/>
    <w:lvlOverride w:ilvl="0">
      <w:startOverride w:val="1"/>
    </w:lvlOverride>
  </w:num>
  <w:num w:numId="44">
    <w:abstractNumId w:val="36"/>
    <w:lvlOverride w:ilvl="0">
      <w:startOverride w:val="1"/>
    </w:lvlOverride>
  </w:num>
  <w:num w:numId="45">
    <w:abstractNumId w:val="36"/>
    <w:lvlOverride w:ilvl="0">
      <w:startOverride w:val="1"/>
    </w:lvlOverride>
  </w:num>
  <w:num w:numId="46">
    <w:abstractNumId w:val="36"/>
    <w:lvlOverride w:ilvl="0">
      <w:startOverride w:val="1"/>
    </w:lvlOverride>
  </w:num>
  <w:num w:numId="47">
    <w:abstractNumId w:val="35"/>
  </w:num>
  <w:num w:numId="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lvlOverride w:ilvl="0">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
  </w:num>
  <w:num w:numId="52">
    <w:abstractNumId w:val="2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o1Ewypaf3m+7FG2jHK0nMnU5+CM=" w:salt="mI2wKqDbznMe2+8muRcIMw=="/>
  <w:defaultTabStop w:val="709"/>
  <w:autoHyphenation/>
  <w:hyphenationZone w:val="567"/>
  <w:characterSpacingControl w:val="doNotCompress"/>
  <w:hdrShapeDefaults>
    <o:shapedefaults v:ext="edit" spidmax="1228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EB9"/>
    <w:rsid w:val="000E0223"/>
    <w:rsid w:val="000E0CF3"/>
    <w:rsid w:val="000E18A8"/>
    <w:rsid w:val="000E1AEC"/>
    <w:rsid w:val="000E3937"/>
    <w:rsid w:val="000E4926"/>
    <w:rsid w:val="000E562B"/>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2767D"/>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5C3B"/>
    <w:rsid w:val="001F65EF"/>
    <w:rsid w:val="001F697B"/>
    <w:rsid w:val="002005A6"/>
    <w:rsid w:val="00204CBC"/>
    <w:rsid w:val="002051F1"/>
    <w:rsid w:val="002067BA"/>
    <w:rsid w:val="0021058D"/>
    <w:rsid w:val="00211E2F"/>
    <w:rsid w:val="00211E9E"/>
    <w:rsid w:val="00214FB4"/>
    <w:rsid w:val="00215940"/>
    <w:rsid w:val="0021776A"/>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51D4"/>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2DCF"/>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D1B"/>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774F9"/>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38A"/>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2F8D"/>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11DF"/>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089D"/>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546C"/>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AF711B"/>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722"/>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447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4A49"/>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240A"/>
    <w:rsid w:val="00D63093"/>
    <w:rsid w:val="00D63599"/>
    <w:rsid w:val="00D639EE"/>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845"/>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4BB2"/>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0F55"/>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050B"/>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2d4491,#283583"/>
    </o:shapedefaults>
    <o:shapelayout v:ext="edit">
      <o:idmap v:ext="edit" data="1"/>
    </o:shapelayout>
  </w:shapeDefaults>
  <w:decimalSymbol w:val="."/>
  <w:listSeparator w:val=","/>
  <w14:docId w14:val="61A93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footnote reference" w:uiPriority="99" w:qFormat="1"/>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0E562B"/>
    <w:pPr>
      <w:numPr>
        <w:numId w:val="34"/>
      </w:numPr>
      <w:spacing w:before="120" w:after="120"/>
      <w:ind w:left="0" w:firstLine="0"/>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0E562B"/>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footnote reference" w:uiPriority="99" w:qFormat="1"/>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0E562B"/>
    <w:pPr>
      <w:numPr>
        <w:numId w:val="34"/>
      </w:numPr>
      <w:spacing w:before="120" w:after="120"/>
      <w:ind w:left="0" w:firstLine="0"/>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0E562B"/>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ADECE78D4E314FBE4C33F8A94BD4E5" ma:contentTypeVersion="0" ma:contentTypeDescription="Een nieuw document maken." ma:contentTypeScope="" ma:versionID="fda48de21f5160371a56d44ca8941aed">
  <xsd:schema xmlns:xsd="http://www.w3.org/2001/XMLSchema" xmlns:xs="http://www.w3.org/2001/XMLSchema" xmlns:p="http://schemas.microsoft.com/office/2006/metadata/properties" targetNamespace="http://schemas.microsoft.com/office/2006/metadata/properties" ma:root="true" ma:fieldsID="437da5c3cacf1b54d9efb15545d58ff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2543B-851A-4113-A6A3-F4B5D521F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A72FA0A-42D2-4389-B927-2B27DA8FD62D}">
  <ds:schemaRefs>
    <ds:schemaRef ds:uri="http://schemas.microsoft.com/office/2006/documentManagement/types"/>
    <ds:schemaRef ds:uri="http://www.w3.org/XML/1998/namespace"/>
    <ds:schemaRef ds:uri="http://purl.org/dc/term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63A1A739-D723-452F-B6D3-0CF26C0AFE70}">
  <ds:schemaRefs>
    <ds:schemaRef ds:uri="http://schemas.microsoft.com/sharepoint/v3/contenttype/forms"/>
  </ds:schemaRefs>
</ds:datastoreItem>
</file>

<file path=customXml/itemProps4.xml><?xml version="1.0" encoding="utf-8"?>
<ds:datastoreItem xmlns:ds="http://schemas.openxmlformats.org/officeDocument/2006/customXml" ds:itemID="{0A272FDA-54E2-4F53-98FB-9D77FC85083A}">
  <ds:schemaRefs>
    <ds:schemaRef ds:uri="http://schemas.openxmlformats.org/officeDocument/2006/bibliography"/>
  </ds:schemaRefs>
</ds:datastoreItem>
</file>

<file path=customXml/itemProps5.xml><?xml version="1.0" encoding="utf-8"?>
<ds:datastoreItem xmlns:ds="http://schemas.openxmlformats.org/officeDocument/2006/customXml" ds:itemID="{1C561B8F-D558-476E-96C6-92B41ED42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1921</Words>
  <Characters>10210</Characters>
  <Application>Microsoft Office Word</Application>
  <DocSecurity>12</DocSecurity>
  <Lines>85</Lines>
  <Paragraphs>24</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Consultation Paper on draft guidelines on complex debt instruments and structured deposits</vt:lpstr>
      <vt:lpstr>20110000</vt:lpstr>
      <vt:lpstr>20110000</vt:lpstr>
      <vt:lpstr>20110000</vt:lpstr>
      <vt:lpstr>20110000</vt:lpstr>
    </vt:vector>
  </TitlesOfParts>
  <Company>ESMA</Company>
  <LinksUpToDate>false</LinksUpToDate>
  <CharactersWithSpaces>12107</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Consultation Paper on draft guidelines on complex debt instruments and structured deposits</dc:title>
  <dc:creator>adrian.enache@esma.europa.eu</dc:creator>
  <cp:lastModifiedBy>Francesca Fiamma</cp:lastModifiedBy>
  <cp:revision>2</cp:revision>
  <cp:lastPrinted>2015-06-19T09:06:00Z</cp:lastPrinted>
  <dcterms:created xsi:type="dcterms:W3CDTF">2015-06-19T09:07:00Z</dcterms:created>
  <dcterms:modified xsi:type="dcterms:W3CDTF">2015-06-19T09:07:00Z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0x0101004AADECE78D4E314FBE4C33F8A94BD4E5</vt:lpwstr>
  </property>
</Properties>
</file>