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2851D4" w:rsidP="00542F8D">
            <w:pPr>
              <w:pStyle w:val="00bDBInfo"/>
              <w:rPr>
                <w:rFonts w:cs="Arial"/>
              </w:rPr>
            </w:pPr>
            <w:r>
              <w:rPr>
                <w:rFonts w:cs="Arial"/>
              </w:rPr>
              <w:t>2</w:t>
            </w:r>
            <w:r w:rsidR="00542F8D">
              <w:rPr>
                <w:rFonts w:cs="Arial"/>
              </w:rPr>
              <w:t>4</w:t>
            </w:r>
            <w:r>
              <w:rPr>
                <w:rFonts w:cs="Arial"/>
              </w:rPr>
              <w:t xml:space="preserve"> March</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D089D" w:rsidRDefault="00AE627C" w:rsidP="00C000A5">
            <w:pPr>
              <w:pStyle w:val="01aDBTitle"/>
              <w:rPr>
                <w:rFonts w:cs="Arial"/>
                <w:sz w:val="36"/>
                <w:szCs w:val="36"/>
              </w:rPr>
            </w:pPr>
            <w:r w:rsidRPr="006D089D">
              <w:rPr>
                <w:rFonts w:cs="Arial"/>
                <w:sz w:val="36"/>
                <w:szCs w:val="36"/>
              </w:rPr>
              <w:t>Reply form</w:t>
            </w:r>
            <w:r w:rsidR="00B835D5" w:rsidRPr="006D089D">
              <w:rPr>
                <w:rFonts w:cs="Arial"/>
                <w:sz w:val="36"/>
                <w:szCs w:val="36"/>
              </w:rPr>
              <w:t xml:space="preserve"> </w:t>
            </w:r>
            <w:r w:rsidR="0043173B" w:rsidRPr="006D089D">
              <w:rPr>
                <w:rFonts w:cs="Arial"/>
                <w:sz w:val="36"/>
                <w:szCs w:val="36"/>
              </w:rPr>
              <w:t>for</w:t>
            </w:r>
            <w:r w:rsidR="00027ECF" w:rsidRPr="006D089D">
              <w:rPr>
                <w:rFonts w:cs="Arial"/>
                <w:sz w:val="36"/>
                <w:szCs w:val="36"/>
              </w:rPr>
              <w:t xml:space="preserve"> the </w:t>
            </w:r>
          </w:p>
          <w:p w:rsidR="006D089D" w:rsidRDefault="006D089D" w:rsidP="00C000A5">
            <w:pPr>
              <w:pStyle w:val="01aDBTitle"/>
              <w:rPr>
                <w:rFonts w:cs="Arial"/>
                <w:sz w:val="36"/>
                <w:szCs w:val="36"/>
              </w:rPr>
            </w:pPr>
            <w:r w:rsidRPr="006D089D">
              <w:rPr>
                <w:rFonts w:cs="Arial"/>
                <w:sz w:val="36"/>
                <w:szCs w:val="36"/>
              </w:rPr>
              <w:t xml:space="preserve">Consultation Paper on draft guidelines on </w:t>
            </w:r>
          </w:p>
          <w:p w:rsidR="00422A7D" w:rsidRPr="006D089D" w:rsidRDefault="006D089D" w:rsidP="00C000A5">
            <w:pPr>
              <w:pStyle w:val="01aDBTitle"/>
              <w:rPr>
                <w:rFonts w:cs="Arial"/>
                <w:sz w:val="36"/>
                <w:szCs w:val="36"/>
              </w:rPr>
            </w:pPr>
            <w:r w:rsidRPr="006D089D">
              <w:rPr>
                <w:rFonts w:cs="Arial"/>
                <w:sz w:val="36"/>
                <w:szCs w:val="36"/>
              </w:rPr>
              <w:t>complex debt instruments and structured deposits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AF711B">
            <w:pPr>
              <w:pStyle w:val="02Date"/>
              <w:rPr>
                <w:rFonts w:cs="Arial"/>
              </w:rPr>
            </w:pPr>
            <w:r w:rsidRPr="004E49B0">
              <w:rPr>
                <w:rFonts w:cs="Arial"/>
              </w:rPr>
              <w:lastRenderedPageBreak/>
              <w:t xml:space="preserve">Date: </w:t>
            </w:r>
            <w:r w:rsidR="00542F8D">
              <w:rPr>
                <w:rFonts w:cs="Arial"/>
              </w:rPr>
              <w:t>24</w:t>
            </w:r>
            <w:r w:rsidR="004E49B0" w:rsidRPr="004E49B0">
              <w:rPr>
                <w:rFonts w:cs="Arial"/>
              </w:rPr>
              <w:t xml:space="preserve"> </w:t>
            </w:r>
            <w:r w:rsidR="00AF711B">
              <w:rPr>
                <w:rFonts w:cs="Arial"/>
              </w:rPr>
              <w:t>March</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6D089D">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6D089D" w:rsidRPr="006D089D">
        <w:rPr>
          <w:rFonts w:cs="Arial"/>
        </w:rPr>
        <w:t>Consultation Paper on</w:t>
      </w:r>
      <w:r w:rsidR="006D089D">
        <w:rPr>
          <w:rFonts w:cs="Arial"/>
        </w:rPr>
        <w:t xml:space="preserve"> draft guidelines on </w:t>
      </w:r>
      <w:r w:rsidR="006D089D" w:rsidRPr="006D089D">
        <w:rPr>
          <w:rFonts w:cs="Arial"/>
        </w:rPr>
        <w:t>complex debt instruments and structured deposits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0E562B" w:rsidRPr="000E562B">
        <w:t xml:space="preserve"> </w:t>
      </w:r>
      <w:r w:rsidR="000E562B">
        <w:t>ESMA_QUESTION_COMPLEX</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bookmarkStart w:id="1" w:name="_GoBack"/>
      <w:bookmarkEnd w:id="1"/>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w:t>
      </w:r>
      <w:r w:rsidR="0021776A" w:rsidRPr="0021776A">
        <w:rPr>
          <w:rFonts w:cs="Arial"/>
        </w:rPr>
        <w:t>_COMPLEXPRODUCTS_</w:t>
      </w:r>
      <w:r w:rsidRPr="00EF0769">
        <w:rPr>
          <w:rFonts w:cs="Arial"/>
        </w:rPr>
        <w:t>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21776A">
        <w:rPr>
          <w:rFonts w:cs="Arial"/>
        </w:rPr>
        <w:t>XXXX</w:t>
      </w:r>
      <w:r w:rsidRPr="00EF0769">
        <w:rPr>
          <w:rFonts w:cs="Arial"/>
        </w:rPr>
        <w:t xml:space="preserve">, the </w:t>
      </w:r>
      <w:r w:rsidR="00021E83" w:rsidRPr="00EF0769">
        <w:rPr>
          <w:rFonts w:cs="Arial"/>
        </w:rPr>
        <w:t>name of the reply form would be:</w:t>
      </w:r>
    </w:p>
    <w:p w:rsidR="00021E83" w:rsidRPr="00EF0769" w:rsidRDefault="0021776A" w:rsidP="000D17AA">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 xml:space="preserve">_REPLYFORM or </w:t>
      </w:r>
    </w:p>
    <w:p w:rsidR="00332304" w:rsidRDefault="0021776A" w:rsidP="008F546C">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_ANNEX1</w:t>
      </w:r>
    </w:p>
    <w:p w:rsidR="008F546C" w:rsidRPr="008F546C" w:rsidRDefault="008F546C" w:rsidP="008F546C">
      <w:pPr>
        <w:pStyle w:val="04BodyText"/>
        <w:spacing w:before="120" w:after="120"/>
        <w:jc w:val="left"/>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F711B">
        <w:rPr>
          <w:rFonts w:cs="Arial"/>
          <w:b/>
        </w:rPr>
        <w:t>15</w:t>
      </w:r>
      <w:r w:rsidR="00021E83" w:rsidRPr="00EF0769">
        <w:rPr>
          <w:rFonts w:cs="Arial"/>
          <w:b/>
        </w:rPr>
        <w:t xml:space="preserve"> </w:t>
      </w:r>
      <w:r w:rsidR="00AF711B">
        <w:rPr>
          <w:rFonts w:cs="Arial"/>
          <w:b/>
        </w:rPr>
        <w:t>June</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8F546C" w:rsidRDefault="008F546C"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12767D">
        <w:t>_COMPLEX_</w:t>
      </w:r>
      <w:r w:rsidRPr="00C25863">
        <w:t>1&gt;</w:t>
      </w:r>
    </w:p>
    <w:p w:rsidR="00710528" w:rsidRPr="0039697A" w:rsidRDefault="00710528" w:rsidP="00710528">
      <w:pPr>
        <w:jc w:val="both"/>
        <w:rPr>
          <w:rFonts w:cs="Arial"/>
          <w:color w:val="000000" w:themeColor="text1"/>
        </w:rPr>
      </w:pPr>
      <w:permStart w:id="0" w:edGrp="everyone"/>
      <w:r w:rsidRPr="0039697A">
        <w:rPr>
          <w:rFonts w:cs="Arial"/>
          <w:color w:val="000000" w:themeColor="text1"/>
        </w:rPr>
        <w:t xml:space="preserve">Deutsche Bank (DB) welcomes the opportunity to comment on the proposed Guidelines. </w:t>
      </w:r>
    </w:p>
    <w:p w:rsidR="00710528" w:rsidRPr="0039697A" w:rsidRDefault="00710528" w:rsidP="00710528">
      <w:pPr>
        <w:autoSpaceDE w:val="0"/>
        <w:autoSpaceDN w:val="0"/>
        <w:adjustRightInd w:val="0"/>
        <w:jc w:val="both"/>
        <w:rPr>
          <w:rFonts w:cs="Arial"/>
          <w:lang w:val="en-US"/>
        </w:rPr>
      </w:pPr>
      <w:r w:rsidRPr="0039697A">
        <w:rPr>
          <w:rFonts w:cs="Arial"/>
          <w:lang w:val="en-US"/>
        </w:rPr>
        <w:t>We appreciate ESMA’s efforts to achieve greater harmonization in classifying complex and non complex products.</w:t>
      </w:r>
    </w:p>
    <w:p w:rsidR="00710528" w:rsidRPr="0039697A" w:rsidRDefault="00710528" w:rsidP="00710528">
      <w:pPr>
        <w:autoSpaceDE w:val="0"/>
        <w:autoSpaceDN w:val="0"/>
        <w:adjustRightInd w:val="0"/>
        <w:jc w:val="both"/>
        <w:rPr>
          <w:rFonts w:cs="Arial"/>
          <w:lang w:val="en-US"/>
        </w:rPr>
      </w:pPr>
      <w:r w:rsidRPr="0039697A">
        <w:rPr>
          <w:rFonts w:cs="Arial"/>
          <w:lang w:val="en-US"/>
        </w:rPr>
        <w:t>While the guidelines are covering in principle only the question whether an appropriateness test must be provided or not, which will have principally an impact on order-handling services, we believe that the ESMA classifications and argumentation could be used in future for other areas relating to the questions of complexity and suitability, such as the complexity label for PRIIPs or product intervention powers.</w:t>
      </w:r>
    </w:p>
    <w:p w:rsidR="00710528" w:rsidRPr="0039697A" w:rsidRDefault="00710528" w:rsidP="00710528">
      <w:pPr>
        <w:autoSpaceDE w:val="0"/>
        <w:autoSpaceDN w:val="0"/>
        <w:adjustRightInd w:val="0"/>
        <w:jc w:val="both"/>
        <w:rPr>
          <w:rFonts w:cs="Arial"/>
          <w:lang w:val="en-US"/>
        </w:rPr>
      </w:pPr>
      <w:r w:rsidRPr="0039697A">
        <w:rPr>
          <w:rFonts w:cs="Arial"/>
          <w:bCs/>
          <w:lang w:val="en-US"/>
        </w:rPr>
        <w:t xml:space="preserve">The draft definitions are very broad. This may </w:t>
      </w:r>
      <w:r w:rsidRPr="0039697A">
        <w:rPr>
          <w:rFonts w:cs="Arial"/>
          <w:lang w:val="en-US"/>
        </w:rPr>
        <w:t xml:space="preserve">lead to a situation where almost all financial products may be considered as complex, except for shares and plain vanilla bonds </w:t>
      </w:r>
      <w:r w:rsidRPr="0039697A">
        <w:rPr>
          <w:rFonts w:cs="Arial"/>
          <w:bCs/>
          <w:lang w:val="en-US"/>
        </w:rPr>
        <w:t>and funds.</w:t>
      </w:r>
      <w:r w:rsidRPr="0039697A">
        <w:rPr>
          <w:rFonts w:cs="Arial"/>
          <w:lang w:val="en-US"/>
        </w:rPr>
        <w:t xml:space="preserve"> This may ultimately have unintended consequences restricting the availability of cheap alternative investment products for inves</w:t>
      </w:r>
      <w:r w:rsidRPr="0039697A">
        <w:rPr>
          <w:rFonts w:cs="Arial"/>
          <w:lang w:val="en-US"/>
        </w:rPr>
        <w:t>t</w:t>
      </w:r>
      <w:r w:rsidRPr="0039697A">
        <w:rPr>
          <w:rFonts w:cs="Arial"/>
          <w:lang w:val="en-US"/>
        </w:rPr>
        <w:t>ment and risk reducing strategies.</w:t>
      </w:r>
    </w:p>
    <w:p w:rsidR="00710528" w:rsidRPr="0039697A" w:rsidRDefault="00710528" w:rsidP="00710528">
      <w:pPr>
        <w:autoSpaceDE w:val="0"/>
        <w:autoSpaceDN w:val="0"/>
        <w:adjustRightInd w:val="0"/>
        <w:jc w:val="both"/>
        <w:rPr>
          <w:rFonts w:cs="Arial"/>
          <w:lang w:val="en-US"/>
        </w:rPr>
      </w:pPr>
      <w:r w:rsidRPr="0039697A">
        <w:rPr>
          <w:rFonts w:cs="Arial"/>
          <w:lang w:val="en-US"/>
        </w:rPr>
        <w:t>The difficulty in finding the right balance stems from the fact that complexity is not an objectively measur</w:t>
      </w:r>
      <w:r w:rsidRPr="0039697A">
        <w:rPr>
          <w:rFonts w:cs="Arial"/>
          <w:lang w:val="en-US"/>
        </w:rPr>
        <w:t>a</w:t>
      </w:r>
      <w:r w:rsidRPr="0039697A">
        <w:rPr>
          <w:rFonts w:cs="Arial"/>
          <w:lang w:val="en-US"/>
        </w:rPr>
        <w:t>ble characteristic of a financial product and depends on the individual investor’s knowledge and perce</w:t>
      </w:r>
      <w:r w:rsidRPr="0039697A">
        <w:rPr>
          <w:rFonts w:cs="Arial"/>
          <w:lang w:val="en-US"/>
        </w:rPr>
        <w:t>p</w:t>
      </w:r>
      <w:r w:rsidRPr="0039697A">
        <w:rPr>
          <w:rFonts w:cs="Arial"/>
          <w:lang w:val="en-US"/>
        </w:rPr>
        <w:t xml:space="preserve">tion. </w:t>
      </w:r>
    </w:p>
    <w:p w:rsidR="00710528" w:rsidRPr="0039697A" w:rsidRDefault="00710528" w:rsidP="00710528">
      <w:pPr>
        <w:autoSpaceDE w:val="0"/>
        <w:autoSpaceDN w:val="0"/>
        <w:adjustRightInd w:val="0"/>
        <w:jc w:val="both"/>
        <w:rPr>
          <w:rFonts w:cs="Arial"/>
          <w:bCs/>
          <w:lang w:val="en-US"/>
        </w:rPr>
      </w:pPr>
      <w:r w:rsidRPr="0039697A">
        <w:rPr>
          <w:rFonts w:cs="Arial"/>
          <w:bCs/>
          <w:lang w:val="en-US"/>
        </w:rPr>
        <w:t xml:space="preserve">Deutsche Bank believes that it would be beneficial to further reflect on how the complex classification can be </w:t>
      </w:r>
      <w:proofErr w:type="spellStart"/>
      <w:r w:rsidRPr="0039697A">
        <w:rPr>
          <w:rFonts w:cs="Arial"/>
          <w:bCs/>
          <w:lang w:val="en-US"/>
        </w:rPr>
        <w:t>standardised</w:t>
      </w:r>
      <w:proofErr w:type="spellEnd"/>
      <w:r w:rsidRPr="0039697A">
        <w:rPr>
          <w:rFonts w:cs="Arial"/>
          <w:bCs/>
          <w:lang w:val="en-US"/>
        </w:rPr>
        <w:t xml:space="preserve"> across the market to avoid situations where the industry has to perform their own classif</w:t>
      </w:r>
      <w:r w:rsidRPr="0039697A">
        <w:rPr>
          <w:rFonts w:cs="Arial"/>
          <w:bCs/>
          <w:lang w:val="en-US"/>
        </w:rPr>
        <w:t>i</w:t>
      </w:r>
      <w:r w:rsidRPr="0039697A">
        <w:rPr>
          <w:rFonts w:cs="Arial"/>
          <w:bCs/>
          <w:lang w:val="en-US"/>
        </w:rPr>
        <w:t xml:space="preserve">cations of market instruments continually. </w:t>
      </w:r>
    </w:p>
    <w:p w:rsidR="00710528" w:rsidRPr="0039697A" w:rsidRDefault="00710528" w:rsidP="00710528">
      <w:pPr>
        <w:autoSpaceDE w:val="0"/>
        <w:autoSpaceDN w:val="0"/>
        <w:adjustRightInd w:val="0"/>
        <w:jc w:val="both"/>
        <w:rPr>
          <w:rFonts w:cs="Arial"/>
          <w:bCs/>
          <w:lang w:val="en-US"/>
        </w:rPr>
      </w:pPr>
      <w:r w:rsidRPr="0039697A">
        <w:rPr>
          <w:rFonts w:cs="Arial"/>
          <w:lang w:val="en-US"/>
        </w:rPr>
        <w:t xml:space="preserve">In the absence of an objective and consistent definition of complexity that would allow us to formulate clearer standards, our comments focus on several products that would be considered complex according to the draft guidelines. It is particularly </w:t>
      </w:r>
      <w:r w:rsidRPr="0039697A">
        <w:rPr>
          <w:rFonts w:cs="Arial"/>
          <w:bCs/>
          <w:lang w:val="en-US"/>
        </w:rPr>
        <w:t xml:space="preserve">problematic to consider bonds in other currencies as complex. Within the EEA this conflicts with the free flow of capital across Europe and we would consider this as a risk issue rather than a complexity issue. We </w:t>
      </w:r>
      <w:r w:rsidRPr="0039697A">
        <w:rPr>
          <w:rFonts w:cs="Arial"/>
          <w:lang w:val="en-US"/>
        </w:rPr>
        <w:t>would therefore caution against a too strict classification of complexity</w:t>
      </w:r>
      <w:r w:rsidRPr="0039697A">
        <w:rPr>
          <w:rFonts w:cs="Arial"/>
          <w:bCs/>
          <w:lang w:val="en-US"/>
        </w:rPr>
        <w:t>.</w:t>
      </w:r>
    </w:p>
    <w:p w:rsidR="00D34282" w:rsidRPr="00710528" w:rsidRDefault="00710528" w:rsidP="00710528">
      <w:pPr>
        <w:autoSpaceDE w:val="0"/>
        <w:autoSpaceDN w:val="0"/>
        <w:adjustRightInd w:val="0"/>
        <w:spacing w:after="240"/>
        <w:jc w:val="both"/>
        <w:rPr>
          <w:lang w:val="en-US"/>
        </w:rPr>
      </w:pPr>
      <w:r w:rsidRPr="0039697A">
        <w:rPr>
          <w:rFonts w:cs="Arial"/>
          <w:lang w:val="en-US"/>
        </w:rPr>
        <w:t>We trust you find these comments helpful. Please let us know if we can provide further information.</w:t>
      </w:r>
    </w:p>
    <w:permEnd w:id="0"/>
    <w:p w:rsidR="00D34282" w:rsidRPr="00C25863" w:rsidRDefault="00D34282" w:rsidP="00D34282">
      <w:r w:rsidRPr="00C25863">
        <w:t>&lt;</w:t>
      </w:r>
      <w:r w:rsidRPr="00D74C9D">
        <w:t xml:space="preserve"> </w:t>
      </w:r>
      <w:r>
        <w:t>ESMA_COMMENT</w:t>
      </w:r>
      <w:r w:rsidR="0012767D">
        <w:t>_COMPLEX</w:t>
      </w:r>
      <w:r w:rsidRPr="00C25863">
        <w:t>_1&gt;</w:t>
      </w:r>
    </w:p>
    <w:p w:rsidR="0012767D" w:rsidRDefault="00F32462" w:rsidP="000E562B">
      <w:pPr>
        <w:pStyle w:val="CPQuestions"/>
        <w:numPr>
          <w:ilvl w:val="0"/>
          <w:numId w:val="0"/>
        </w:numPr>
      </w:pPr>
      <w:r>
        <w:br w:type="page"/>
      </w:r>
      <w:r w:rsidR="0012767D" w:rsidRPr="00591061">
        <w:lastRenderedPageBreak/>
        <w:t xml:space="preserve">Question 1: Do you agree with the examples of </w:t>
      </w:r>
      <w:r w:rsidR="0012767D">
        <w:t>debt instrument</w:t>
      </w:r>
      <w:r w:rsidR="0012767D" w:rsidRPr="00591061">
        <w:t>s that embed a derivative? If not, which examples do you not agree with, and why not?</w:t>
      </w:r>
    </w:p>
    <w:p w:rsidR="0012767D" w:rsidRDefault="0012767D" w:rsidP="0012767D">
      <w:r>
        <w:t>&lt;ESMA_QUESTION_COMPLEX_1&gt;</w:t>
      </w:r>
    </w:p>
    <w:p w:rsidR="008F5C6E" w:rsidRPr="008F5C6E" w:rsidRDefault="008F5C6E" w:rsidP="008F5C6E">
      <w:pPr>
        <w:pStyle w:val="CPQuestions"/>
        <w:numPr>
          <w:ilvl w:val="0"/>
          <w:numId w:val="0"/>
        </w:numPr>
        <w:rPr>
          <w:rFonts w:cs="Arial"/>
          <w:b w:val="0"/>
          <w:bCs/>
          <w:sz w:val="20"/>
        </w:rPr>
      </w:pPr>
      <w:permStart w:id="1" w:edGrp="everyone"/>
      <w:r w:rsidRPr="008F5C6E">
        <w:rPr>
          <w:rFonts w:cs="Arial"/>
          <w:b w:val="0"/>
          <w:bCs/>
          <w:sz w:val="20"/>
        </w:rPr>
        <w:t>A clear differentiation has to be made between products which are complex due to the overall structure (but not necessarily having derivative components embedded) and products with embedded derivatives. Complexity is not exclusively linked to derivatives. This should lead to a more specific approach which should still integrate derivatives as a possible condition for a product being complex but add further fe</w:t>
      </w:r>
      <w:r w:rsidRPr="008F5C6E">
        <w:rPr>
          <w:rFonts w:cs="Arial"/>
          <w:b w:val="0"/>
          <w:bCs/>
          <w:sz w:val="20"/>
        </w:rPr>
        <w:t>a</w:t>
      </w:r>
      <w:r w:rsidRPr="008F5C6E">
        <w:rPr>
          <w:rFonts w:cs="Arial"/>
          <w:b w:val="0"/>
          <w:bCs/>
          <w:sz w:val="20"/>
        </w:rPr>
        <w:t>tures / perspectives. In the end, even a floating rate note or a straight bond which technically include some derivatives like swaps, are far from being considered complex.</w:t>
      </w:r>
    </w:p>
    <w:p w:rsidR="008F5C6E" w:rsidRPr="008F5C6E" w:rsidRDefault="008F5C6E" w:rsidP="008F5C6E">
      <w:pPr>
        <w:pStyle w:val="CPQuestions"/>
        <w:numPr>
          <w:ilvl w:val="0"/>
          <w:numId w:val="0"/>
        </w:numPr>
        <w:rPr>
          <w:rFonts w:cs="Arial"/>
          <w:b w:val="0"/>
          <w:bCs/>
          <w:sz w:val="20"/>
          <w:u w:val="single"/>
          <w:lang w:val="en-US"/>
        </w:rPr>
      </w:pPr>
      <w:r w:rsidRPr="008F5C6E">
        <w:rPr>
          <w:rFonts w:cs="Arial"/>
          <w:b w:val="0"/>
          <w:bCs/>
          <w:sz w:val="20"/>
          <w:u w:val="single"/>
          <w:lang w:val="en-US"/>
        </w:rPr>
        <w:t>Specific comments on the non-exhaustive list of types of debt instruments that are generally deemed to embed a derivative</w:t>
      </w:r>
    </w:p>
    <w:p w:rsidR="008F5C6E" w:rsidRPr="008F5C6E" w:rsidRDefault="008F5C6E" w:rsidP="008F5C6E">
      <w:pPr>
        <w:pStyle w:val="CPQuestions"/>
        <w:numPr>
          <w:ilvl w:val="0"/>
          <w:numId w:val="0"/>
        </w:numPr>
        <w:rPr>
          <w:rFonts w:cs="Arial"/>
          <w:b w:val="0"/>
          <w:bCs/>
          <w:sz w:val="20"/>
        </w:rPr>
      </w:pPr>
      <w:r w:rsidRPr="008F5C6E">
        <w:rPr>
          <w:rFonts w:cs="Arial"/>
          <w:b w:val="0"/>
          <w:bCs/>
          <w:sz w:val="20"/>
          <w:u w:val="single"/>
        </w:rPr>
        <w:t xml:space="preserve">Point 16, </w:t>
      </w:r>
      <w:proofErr w:type="gramStart"/>
      <w:r w:rsidRPr="008F5C6E">
        <w:rPr>
          <w:rFonts w:cs="Arial"/>
          <w:b w:val="0"/>
          <w:bCs/>
          <w:sz w:val="20"/>
          <w:u w:val="single"/>
        </w:rPr>
        <w:t>ii.:</w:t>
      </w:r>
      <w:proofErr w:type="gramEnd"/>
      <w:r w:rsidRPr="008F5C6E">
        <w:rPr>
          <w:rFonts w:cs="Arial"/>
          <w:b w:val="0"/>
          <w:bCs/>
          <w:sz w:val="20"/>
        </w:rPr>
        <w:t xml:space="preserve"> </w:t>
      </w:r>
      <w:r w:rsidRPr="008F5C6E">
        <w:rPr>
          <w:rFonts w:cs="Arial"/>
          <w:bCs/>
          <w:sz w:val="20"/>
        </w:rPr>
        <w:t>Indexed bonds or index tracker</w:t>
      </w:r>
      <w:r w:rsidRPr="008F5C6E">
        <w:rPr>
          <w:rFonts w:cs="Arial"/>
          <w:b w:val="0"/>
          <w:bCs/>
          <w:sz w:val="20"/>
        </w:rPr>
        <w:t xml:space="preserve"> just reflect the performance of the underlying index without any structuring of the payout. The performance outcome of such product is therefore very easy to unde</w:t>
      </w:r>
      <w:r w:rsidRPr="008F5C6E">
        <w:rPr>
          <w:rFonts w:cs="Arial"/>
          <w:b w:val="0"/>
          <w:bCs/>
          <w:sz w:val="20"/>
        </w:rPr>
        <w:t>r</w:t>
      </w:r>
      <w:r w:rsidRPr="008F5C6E">
        <w:rPr>
          <w:rFonts w:cs="Arial"/>
          <w:b w:val="0"/>
          <w:bCs/>
          <w:sz w:val="20"/>
        </w:rPr>
        <w:t xml:space="preserve">stand and will always meet clients expectations. In addition, payout may be considered the same as an ETF with physical replication. The difference would just be the wrapper which is not the issue of Point 16, ii. </w:t>
      </w:r>
      <w:proofErr w:type="gramStart"/>
      <w:r w:rsidRPr="008F5C6E">
        <w:rPr>
          <w:rFonts w:cs="Arial"/>
          <w:b w:val="0"/>
          <w:bCs/>
          <w:sz w:val="20"/>
        </w:rPr>
        <w:t>since</w:t>
      </w:r>
      <w:proofErr w:type="gramEnd"/>
      <w:r w:rsidRPr="008F5C6E">
        <w:rPr>
          <w:rFonts w:cs="Arial"/>
          <w:b w:val="0"/>
          <w:bCs/>
          <w:sz w:val="20"/>
        </w:rPr>
        <w:t xml:space="preserve"> it does focus on complexity of derivatives.</w:t>
      </w:r>
    </w:p>
    <w:p w:rsidR="0012767D" w:rsidRPr="008F5C6E" w:rsidRDefault="008F5C6E" w:rsidP="008F5C6E">
      <w:pPr>
        <w:pStyle w:val="CPQuestions"/>
        <w:numPr>
          <w:ilvl w:val="0"/>
          <w:numId w:val="0"/>
        </w:numPr>
        <w:rPr>
          <w:rFonts w:cs="Arial"/>
          <w:b w:val="0"/>
          <w:bCs/>
          <w:sz w:val="20"/>
        </w:rPr>
      </w:pPr>
      <w:r w:rsidRPr="008F5C6E">
        <w:rPr>
          <w:rFonts w:cs="Arial"/>
          <w:b w:val="0"/>
          <w:bCs/>
          <w:sz w:val="20"/>
          <w:u w:val="single"/>
        </w:rPr>
        <w:t>Point 16</w:t>
      </w:r>
      <w:proofErr w:type="gramStart"/>
      <w:r w:rsidRPr="008F5C6E">
        <w:rPr>
          <w:rFonts w:cs="Arial"/>
          <w:b w:val="0"/>
          <w:bCs/>
          <w:sz w:val="20"/>
          <w:u w:val="single"/>
        </w:rPr>
        <w:t>,v</w:t>
      </w:r>
      <w:proofErr w:type="gramEnd"/>
      <w:r w:rsidRPr="008F5C6E">
        <w:rPr>
          <w:rFonts w:cs="Arial"/>
          <w:b w:val="0"/>
          <w:bCs/>
          <w:sz w:val="20"/>
          <w:u w:val="single"/>
        </w:rPr>
        <w:t>.:</w:t>
      </w:r>
      <w:r w:rsidRPr="008F5C6E">
        <w:rPr>
          <w:rFonts w:cs="Arial"/>
          <w:b w:val="0"/>
          <w:bCs/>
          <w:sz w:val="20"/>
        </w:rPr>
        <w:t xml:space="preserve"> </w:t>
      </w:r>
      <w:r w:rsidRPr="008F5C6E">
        <w:rPr>
          <w:rFonts w:cs="Arial"/>
          <w:bCs/>
          <w:sz w:val="20"/>
        </w:rPr>
        <w:t xml:space="preserve">Callable and </w:t>
      </w:r>
      <w:proofErr w:type="spellStart"/>
      <w:r w:rsidRPr="008F5C6E">
        <w:rPr>
          <w:rFonts w:cs="Arial"/>
          <w:bCs/>
          <w:sz w:val="20"/>
        </w:rPr>
        <w:t>puttable</w:t>
      </w:r>
      <w:proofErr w:type="spellEnd"/>
      <w:r w:rsidRPr="008F5C6E">
        <w:rPr>
          <w:rFonts w:cs="Arial"/>
          <w:bCs/>
          <w:sz w:val="20"/>
        </w:rPr>
        <w:t xml:space="preserve"> bonds</w:t>
      </w:r>
      <w:r w:rsidRPr="008F5C6E">
        <w:rPr>
          <w:rFonts w:cs="Arial"/>
          <w:b w:val="0"/>
          <w:bCs/>
          <w:sz w:val="20"/>
        </w:rPr>
        <w:t xml:space="preserve"> can in general be considered as standard financial market instruments with a long track record. They are easy to understand and should not be considered as co</w:t>
      </w:r>
      <w:r w:rsidRPr="008F5C6E">
        <w:rPr>
          <w:rFonts w:cs="Arial"/>
          <w:b w:val="0"/>
          <w:bCs/>
          <w:sz w:val="20"/>
        </w:rPr>
        <w:t>m</w:t>
      </w:r>
      <w:r w:rsidRPr="008F5C6E">
        <w:rPr>
          <w:rFonts w:cs="Arial"/>
          <w:b w:val="0"/>
          <w:bCs/>
          <w:sz w:val="20"/>
        </w:rPr>
        <w:t>plex per se. However, it is rather the number of call or put rights and conditions around these rights that could rise to a superior level of complexity.</w:t>
      </w:r>
    </w:p>
    <w:permEnd w:id="1"/>
    <w:p w:rsidR="0012767D" w:rsidRDefault="0012767D" w:rsidP="0012767D">
      <w:r>
        <w:t>&lt;ESMA_QUESTION_COMPLEX_1&gt;</w:t>
      </w:r>
    </w:p>
    <w:p w:rsidR="004774F9" w:rsidRDefault="004774F9" w:rsidP="0012767D"/>
    <w:p w:rsidR="0012767D" w:rsidRDefault="0012767D" w:rsidP="000E562B">
      <w:pPr>
        <w:pStyle w:val="CPQuestions"/>
        <w:numPr>
          <w:ilvl w:val="0"/>
          <w:numId w:val="0"/>
        </w:numPr>
      </w:pPr>
      <w:r w:rsidRPr="00DD1C5E">
        <w:t xml:space="preserve">Question </w:t>
      </w:r>
      <w:r>
        <w:t>2</w:t>
      </w:r>
      <w:r w:rsidRPr="00DD1C5E">
        <w:t>: Do you agree with the definition of embedded derivative proposed in the Guideline</w:t>
      </w:r>
      <w:r>
        <w:t>s</w:t>
      </w:r>
      <w:r w:rsidRPr="00DD1C5E">
        <w:t xml:space="preserve"> in Annex IV? If not, why not?</w:t>
      </w:r>
    </w:p>
    <w:p w:rsidR="0012767D" w:rsidRDefault="0012767D" w:rsidP="0012767D">
      <w:r>
        <w:t>&lt;ESMA_QUESTION_COMPLEX_2&gt;</w:t>
      </w:r>
    </w:p>
    <w:p w:rsidR="0012767D" w:rsidRPr="008F5C6E" w:rsidRDefault="008F5C6E" w:rsidP="008F5C6E">
      <w:pPr>
        <w:pStyle w:val="CPQuestions"/>
        <w:numPr>
          <w:ilvl w:val="0"/>
          <w:numId w:val="0"/>
        </w:numPr>
        <w:rPr>
          <w:lang w:val="en-US"/>
        </w:rPr>
      </w:pPr>
      <w:permStart w:id="2" w:edGrp="everyone"/>
      <w:r w:rsidRPr="008F5C6E">
        <w:rPr>
          <w:rFonts w:cs="Arial"/>
          <w:b w:val="0"/>
          <w:sz w:val="20"/>
          <w:lang w:val="en-US"/>
        </w:rPr>
        <w:t xml:space="preserve">Overall we agree with the high level definition of “Debt </w:t>
      </w:r>
      <w:proofErr w:type="gramStart"/>
      <w:r w:rsidRPr="008F5C6E">
        <w:rPr>
          <w:rFonts w:cs="Arial"/>
          <w:b w:val="0"/>
          <w:sz w:val="20"/>
          <w:lang w:val="en-US"/>
        </w:rPr>
        <w:t>instruments embedding</w:t>
      </w:r>
      <w:proofErr w:type="gramEnd"/>
      <w:r w:rsidRPr="008F5C6E">
        <w:rPr>
          <w:rFonts w:cs="Arial"/>
          <w:b w:val="0"/>
          <w:sz w:val="20"/>
          <w:lang w:val="en-US"/>
        </w:rPr>
        <w:t xml:space="preserve"> a derivative” in Annex IV, Chapter V.I. 12. If a derivative component would drive cash flow / leverage performance and not be used solely as a risk hedging instrument, it should be treated as “embed derivative”.</w:t>
      </w:r>
    </w:p>
    <w:permEnd w:id="2"/>
    <w:p w:rsidR="0012767D" w:rsidRDefault="0012767D" w:rsidP="0012767D">
      <w:r>
        <w:t>&lt;ESMA_QUESTION_COMPLEX_2&gt;</w:t>
      </w:r>
    </w:p>
    <w:p w:rsidR="004774F9" w:rsidRDefault="004774F9" w:rsidP="0012767D"/>
    <w:p w:rsidR="0012767D" w:rsidRDefault="0012767D" w:rsidP="000E562B">
      <w:pPr>
        <w:pStyle w:val="CPQuestions"/>
        <w:numPr>
          <w:ilvl w:val="0"/>
          <w:numId w:val="0"/>
        </w:numPr>
      </w:pPr>
      <w:r w:rsidRPr="00591061">
        <w:t xml:space="preserve">Question </w:t>
      </w:r>
      <w:r>
        <w:t>3</w:t>
      </w:r>
      <w:r w:rsidRPr="00591061">
        <w:t xml:space="preserve">: Do you agree with the examples of </w:t>
      </w:r>
      <w:r>
        <w:t>debt instrument</w:t>
      </w:r>
      <w:r w:rsidRPr="00591061">
        <w:t>s that incorporate a stru</w:t>
      </w:r>
      <w:r w:rsidRPr="00591061">
        <w:t>c</w:t>
      </w:r>
      <w:r w:rsidRPr="00591061">
        <w:t>ture making it difficult for the client to understand the risk? If not, which examples and why not?</w:t>
      </w:r>
    </w:p>
    <w:p w:rsidR="0012767D" w:rsidRDefault="0012767D" w:rsidP="0012767D">
      <w:r>
        <w:t>&lt;ESMA_QUESTION_COMPLEX_3&gt;</w:t>
      </w:r>
    </w:p>
    <w:p w:rsidR="008F5C6E" w:rsidRPr="008F5C6E" w:rsidRDefault="008F5C6E" w:rsidP="008F5C6E">
      <w:pPr>
        <w:pStyle w:val="Default"/>
        <w:jc w:val="both"/>
        <w:rPr>
          <w:rFonts w:ascii="Arial" w:hAnsi="Arial" w:cs="Arial"/>
          <w:color w:val="auto"/>
          <w:sz w:val="20"/>
          <w:szCs w:val="20"/>
          <w:lang w:val="en-US"/>
        </w:rPr>
      </w:pPr>
      <w:permStart w:id="3" w:edGrp="everyone"/>
      <w:r w:rsidRPr="008F5C6E">
        <w:rPr>
          <w:rFonts w:ascii="Arial" w:hAnsi="Arial" w:cs="Arial"/>
          <w:bCs/>
          <w:color w:val="auto"/>
          <w:sz w:val="20"/>
          <w:szCs w:val="20"/>
          <w:lang w:val="en-US"/>
        </w:rPr>
        <w:t>O</w:t>
      </w:r>
      <w:r w:rsidRPr="008F5C6E">
        <w:rPr>
          <w:rFonts w:ascii="Arial" w:hAnsi="Arial" w:cs="Arial"/>
          <w:color w:val="auto"/>
          <w:sz w:val="20"/>
          <w:szCs w:val="20"/>
          <w:lang w:val="en-US"/>
        </w:rPr>
        <w:t>ur concerns include in particular the following points, but are not limited to:</w:t>
      </w:r>
    </w:p>
    <w:p w:rsidR="008F5C6E" w:rsidRPr="008F5C6E" w:rsidRDefault="008F5C6E" w:rsidP="008F5C6E">
      <w:pPr>
        <w:autoSpaceDE w:val="0"/>
        <w:autoSpaceDN w:val="0"/>
        <w:adjustRightInd w:val="0"/>
        <w:jc w:val="both"/>
        <w:rPr>
          <w:rFonts w:cs="Arial"/>
          <w:szCs w:val="20"/>
          <w:lang w:val="en-US"/>
        </w:rPr>
      </w:pP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u w:val="single"/>
          <w:lang w:val="en-US"/>
        </w:rPr>
        <w:t>Point 21 (ii) -</w:t>
      </w:r>
      <w:r w:rsidRPr="008F5C6E">
        <w:rPr>
          <w:rFonts w:ascii="Arial" w:hAnsi="Arial" w:cs="Arial"/>
          <w:bCs/>
          <w:color w:val="auto"/>
          <w:sz w:val="20"/>
          <w:szCs w:val="20"/>
          <w:lang w:val="en-US"/>
        </w:rPr>
        <w:t xml:space="preserve"> </w:t>
      </w:r>
      <w:r w:rsidRPr="008F5C6E">
        <w:rPr>
          <w:rFonts w:ascii="Arial" w:hAnsi="Arial" w:cs="Arial"/>
          <w:b/>
          <w:bCs/>
          <w:color w:val="auto"/>
          <w:sz w:val="20"/>
          <w:szCs w:val="20"/>
          <w:lang w:val="en-US"/>
        </w:rPr>
        <w:t>Certificates</w:t>
      </w:r>
      <w:r w:rsidRPr="008F5C6E">
        <w:rPr>
          <w:rFonts w:ascii="Arial" w:hAnsi="Arial" w:cs="Arial"/>
          <w:bCs/>
          <w:color w:val="auto"/>
          <w:sz w:val="20"/>
          <w:szCs w:val="20"/>
          <w:lang w:val="en-US"/>
        </w:rPr>
        <w:t>: It is important to make clear the difference between the definition used by ESMA in this document, and referring to Art 2(1</w:t>
      </w:r>
      <w:proofErr w:type="gramStart"/>
      <w:r w:rsidRPr="008F5C6E">
        <w:rPr>
          <w:rFonts w:ascii="Arial" w:hAnsi="Arial" w:cs="Arial"/>
          <w:bCs/>
          <w:color w:val="auto"/>
          <w:sz w:val="20"/>
          <w:szCs w:val="20"/>
          <w:lang w:val="en-US"/>
        </w:rPr>
        <w:t>)(</w:t>
      </w:r>
      <w:proofErr w:type="gramEnd"/>
      <w:r w:rsidRPr="008F5C6E">
        <w:rPr>
          <w:rFonts w:ascii="Arial" w:hAnsi="Arial" w:cs="Arial"/>
          <w:bCs/>
          <w:color w:val="auto"/>
          <w:sz w:val="20"/>
          <w:szCs w:val="20"/>
          <w:lang w:val="en-US"/>
        </w:rPr>
        <w:t xml:space="preserve">27) of </w:t>
      </w:r>
      <w:proofErr w:type="spellStart"/>
      <w:r w:rsidRPr="008F5C6E">
        <w:rPr>
          <w:rFonts w:ascii="Arial" w:hAnsi="Arial" w:cs="Arial"/>
          <w:bCs/>
          <w:color w:val="auto"/>
          <w:sz w:val="20"/>
          <w:szCs w:val="20"/>
          <w:lang w:val="en-US"/>
        </w:rPr>
        <w:t>MiFIR</w:t>
      </w:r>
      <w:proofErr w:type="spellEnd"/>
      <w:r w:rsidRPr="008F5C6E">
        <w:rPr>
          <w:rFonts w:ascii="Arial" w:hAnsi="Arial" w:cs="Arial"/>
          <w:bCs/>
          <w:color w:val="auto"/>
          <w:sz w:val="20"/>
          <w:szCs w:val="20"/>
          <w:lang w:val="en-US"/>
        </w:rPr>
        <w:t xml:space="preserve"> - </w:t>
      </w:r>
      <w:r w:rsidRPr="008F5C6E">
        <w:rPr>
          <w:rFonts w:ascii="Arial" w:hAnsi="Arial" w:cs="Arial"/>
          <w:bCs/>
          <w:i/>
          <w:color w:val="auto"/>
          <w:sz w:val="20"/>
          <w:szCs w:val="20"/>
          <w:lang w:val="en-US"/>
        </w:rPr>
        <w:t xml:space="preserve">“‘certificates’ means those securities which are negotiable on the capital market and which in case of a repayment of investment by the issuer are ranked above shares but below unsecured bond instruments and other similar instruments;” </w:t>
      </w:r>
      <w:r w:rsidRPr="008F5C6E">
        <w:rPr>
          <w:rFonts w:ascii="Arial" w:hAnsi="Arial" w:cs="Arial"/>
          <w:bCs/>
          <w:color w:val="auto"/>
          <w:sz w:val="20"/>
          <w:szCs w:val="20"/>
          <w:lang w:val="en-US"/>
        </w:rPr>
        <w:t>(form of subordinated debt) -</w:t>
      </w:r>
      <w:r w:rsidRPr="008F5C6E">
        <w:rPr>
          <w:rFonts w:ascii="Arial" w:hAnsi="Arial" w:cs="Arial"/>
          <w:bCs/>
          <w:i/>
          <w:color w:val="auto"/>
          <w:sz w:val="20"/>
          <w:szCs w:val="20"/>
          <w:lang w:val="en-US"/>
        </w:rPr>
        <w:t xml:space="preserve"> </w:t>
      </w:r>
      <w:r w:rsidRPr="008F5C6E">
        <w:rPr>
          <w:rFonts w:ascii="Arial" w:hAnsi="Arial" w:cs="Arial"/>
          <w:bCs/>
          <w:color w:val="auto"/>
          <w:sz w:val="20"/>
          <w:szCs w:val="20"/>
          <w:lang w:val="en-US"/>
        </w:rPr>
        <w:t>and the notion of certificates in the market. For example, in Germany, a certificate has no precise legal definition/basis. From a purely legal point</w:t>
      </w:r>
      <w:r w:rsidR="00D03462">
        <w:rPr>
          <w:rFonts w:ascii="Arial" w:hAnsi="Arial" w:cs="Arial"/>
          <w:bCs/>
          <w:color w:val="auto"/>
          <w:sz w:val="20"/>
          <w:szCs w:val="20"/>
          <w:lang w:val="en-US"/>
        </w:rPr>
        <w:t xml:space="preserve"> of view</w:t>
      </w:r>
      <w:r w:rsidRPr="008F5C6E">
        <w:rPr>
          <w:rFonts w:ascii="Arial" w:hAnsi="Arial" w:cs="Arial"/>
          <w:bCs/>
          <w:color w:val="auto"/>
          <w:sz w:val="20"/>
          <w:szCs w:val="20"/>
          <w:lang w:val="en-US"/>
        </w:rPr>
        <w:t xml:space="preserve"> structured products (=certificates) are bearer bonds (</w:t>
      </w:r>
      <w:proofErr w:type="spellStart"/>
      <w:r w:rsidRPr="008F5C6E">
        <w:rPr>
          <w:rFonts w:ascii="Arial" w:hAnsi="Arial" w:cs="Arial"/>
          <w:bCs/>
          <w:color w:val="auto"/>
          <w:sz w:val="20"/>
          <w:szCs w:val="20"/>
          <w:lang w:val="en-US"/>
        </w:rPr>
        <w:t>Inhaberschuldverschreibung</w:t>
      </w:r>
      <w:proofErr w:type="spellEnd"/>
      <w:r w:rsidRPr="008F5C6E">
        <w:rPr>
          <w:rFonts w:ascii="Arial" w:hAnsi="Arial" w:cs="Arial"/>
          <w:bCs/>
          <w:color w:val="auto"/>
          <w:sz w:val="20"/>
          <w:szCs w:val="20"/>
          <w:lang w:val="en-US"/>
        </w:rPr>
        <w:t>). For example, some floating rate notes a</w:t>
      </w:r>
      <w:r w:rsidRPr="008F5C6E">
        <w:rPr>
          <w:rFonts w:ascii="Arial" w:hAnsi="Arial" w:cs="Arial"/>
          <w:bCs/>
          <w:color w:val="auto"/>
          <w:sz w:val="20"/>
          <w:szCs w:val="20"/>
          <w:lang w:val="en-US"/>
        </w:rPr>
        <w:t>p</w:t>
      </w:r>
      <w:r w:rsidRPr="008F5C6E">
        <w:rPr>
          <w:rFonts w:ascii="Arial" w:hAnsi="Arial" w:cs="Arial"/>
          <w:bCs/>
          <w:color w:val="auto"/>
          <w:sz w:val="20"/>
          <w:szCs w:val="20"/>
          <w:lang w:val="en-US"/>
        </w:rPr>
        <w:t>pear in the statistics of the German derivatives association as structured product (certificate). However, they are not covered by the definition of Art 2(1</w:t>
      </w:r>
      <w:proofErr w:type="gramStart"/>
      <w:r w:rsidRPr="008F5C6E">
        <w:rPr>
          <w:rFonts w:ascii="Arial" w:hAnsi="Arial" w:cs="Arial"/>
          <w:bCs/>
          <w:color w:val="auto"/>
          <w:sz w:val="20"/>
          <w:szCs w:val="20"/>
          <w:lang w:val="en-US"/>
        </w:rPr>
        <w:t>)(</w:t>
      </w:r>
      <w:proofErr w:type="gramEnd"/>
      <w:r w:rsidRPr="008F5C6E">
        <w:rPr>
          <w:rFonts w:ascii="Arial" w:hAnsi="Arial" w:cs="Arial"/>
          <w:bCs/>
          <w:color w:val="auto"/>
          <w:sz w:val="20"/>
          <w:szCs w:val="20"/>
          <w:lang w:val="en-US"/>
        </w:rPr>
        <w:t xml:space="preserve">27) of </w:t>
      </w:r>
      <w:proofErr w:type="spellStart"/>
      <w:r w:rsidRPr="008F5C6E">
        <w:rPr>
          <w:rFonts w:ascii="Arial" w:hAnsi="Arial" w:cs="Arial"/>
          <w:bCs/>
          <w:color w:val="auto"/>
          <w:sz w:val="20"/>
          <w:szCs w:val="20"/>
          <w:lang w:val="en-US"/>
        </w:rPr>
        <w:t>MiFIR</w:t>
      </w:r>
      <w:proofErr w:type="spellEnd"/>
      <w:r w:rsidRPr="008F5C6E">
        <w:rPr>
          <w:rFonts w:ascii="Arial" w:hAnsi="Arial" w:cs="Arial"/>
          <w:bCs/>
          <w:color w:val="auto"/>
          <w:sz w:val="20"/>
          <w:szCs w:val="20"/>
          <w:lang w:val="en-US"/>
        </w:rPr>
        <w:t xml:space="preserve">. The term certificate is thus used differently across the EU. </w:t>
      </w:r>
    </w:p>
    <w:p w:rsidR="008F5C6E" w:rsidRPr="008F5C6E" w:rsidRDefault="008F5C6E" w:rsidP="008F5C6E">
      <w:pPr>
        <w:autoSpaceDE w:val="0"/>
        <w:autoSpaceDN w:val="0"/>
        <w:adjustRightInd w:val="0"/>
        <w:jc w:val="both"/>
        <w:rPr>
          <w:rFonts w:cs="Arial"/>
          <w:szCs w:val="20"/>
          <w:lang w:val="en-US"/>
        </w:rPr>
      </w:pPr>
    </w:p>
    <w:p w:rsidR="008F5C6E" w:rsidRPr="008F5C6E" w:rsidRDefault="008F5C6E" w:rsidP="008F5C6E">
      <w:pPr>
        <w:pStyle w:val="Default"/>
        <w:jc w:val="both"/>
        <w:rPr>
          <w:rFonts w:ascii="Arial" w:hAnsi="Arial" w:cs="Arial"/>
          <w:color w:val="auto"/>
          <w:sz w:val="20"/>
          <w:szCs w:val="20"/>
          <w:lang w:val="en-US"/>
        </w:rPr>
      </w:pPr>
      <w:r w:rsidRPr="008F5C6E">
        <w:rPr>
          <w:rFonts w:ascii="Arial" w:hAnsi="Arial" w:cs="Arial"/>
          <w:color w:val="auto"/>
          <w:sz w:val="20"/>
          <w:szCs w:val="20"/>
          <w:u w:val="single"/>
          <w:lang w:val="en-US"/>
        </w:rPr>
        <w:t>Point 21 (</w:t>
      </w:r>
      <w:proofErr w:type="gramStart"/>
      <w:r w:rsidRPr="008F5C6E">
        <w:rPr>
          <w:rFonts w:ascii="Arial" w:hAnsi="Arial" w:cs="Arial"/>
          <w:color w:val="auto"/>
          <w:sz w:val="20"/>
          <w:szCs w:val="20"/>
          <w:u w:val="single"/>
          <w:lang w:val="en-US"/>
        </w:rPr>
        <w:t>vi</w:t>
      </w:r>
      <w:proofErr w:type="gramEnd"/>
      <w:r w:rsidRPr="008F5C6E">
        <w:rPr>
          <w:rFonts w:ascii="Arial" w:hAnsi="Arial" w:cs="Arial"/>
          <w:color w:val="auto"/>
          <w:sz w:val="20"/>
          <w:szCs w:val="20"/>
          <w:u w:val="single"/>
          <w:lang w:val="en-US"/>
        </w:rPr>
        <w:t xml:space="preserve">) </w:t>
      </w:r>
      <w:r w:rsidRPr="008F5C6E">
        <w:rPr>
          <w:rFonts w:ascii="Arial" w:hAnsi="Arial" w:cs="Arial"/>
          <w:color w:val="auto"/>
          <w:sz w:val="20"/>
          <w:szCs w:val="20"/>
          <w:lang w:val="en-US"/>
        </w:rPr>
        <w:t xml:space="preserve">- </w:t>
      </w:r>
      <w:r w:rsidRPr="008F5C6E">
        <w:rPr>
          <w:rFonts w:ascii="Arial" w:hAnsi="Arial" w:cs="Arial"/>
          <w:b/>
          <w:color w:val="auto"/>
          <w:sz w:val="20"/>
          <w:szCs w:val="20"/>
          <w:lang w:val="en-US"/>
        </w:rPr>
        <w:t>Debt instruments with an unfamiliar or unusual underlying:</w:t>
      </w:r>
      <w:r w:rsidRPr="008F5C6E">
        <w:rPr>
          <w:rFonts w:ascii="Arial" w:hAnsi="Arial" w:cs="Arial"/>
          <w:color w:val="auto"/>
          <w:sz w:val="20"/>
          <w:szCs w:val="20"/>
          <w:lang w:val="en-US"/>
        </w:rPr>
        <w:t xml:space="preserve"> </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The notion of “unusual underlying” is not precise enough. All market indices, even the niche market ind</w:t>
      </w:r>
      <w:r w:rsidRPr="008F5C6E">
        <w:rPr>
          <w:rFonts w:ascii="Arial" w:hAnsi="Arial" w:cs="Arial"/>
          <w:bCs/>
          <w:color w:val="auto"/>
          <w:sz w:val="20"/>
          <w:szCs w:val="20"/>
          <w:lang w:val="en-US"/>
        </w:rPr>
        <w:t>i</w:t>
      </w:r>
      <w:r w:rsidRPr="008F5C6E">
        <w:rPr>
          <w:rFonts w:ascii="Arial" w:hAnsi="Arial" w:cs="Arial"/>
          <w:bCs/>
          <w:color w:val="auto"/>
          <w:sz w:val="20"/>
          <w:szCs w:val="20"/>
          <w:lang w:val="en-US"/>
        </w:rPr>
        <w:t xml:space="preserve">ces would in general be considered as not complex since they represent a specific market segment. It is </w:t>
      </w:r>
      <w:r w:rsidRPr="008F5C6E">
        <w:rPr>
          <w:rFonts w:ascii="Arial" w:hAnsi="Arial" w:cs="Arial"/>
          <w:bCs/>
          <w:color w:val="auto"/>
          <w:sz w:val="20"/>
          <w:szCs w:val="20"/>
          <w:lang w:val="en-US"/>
        </w:rPr>
        <w:lastRenderedPageBreak/>
        <w:t>difficult to argue that some official market segments are unusual leading to a labeling the market as co</w:t>
      </w:r>
      <w:r w:rsidRPr="008F5C6E">
        <w:rPr>
          <w:rFonts w:ascii="Arial" w:hAnsi="Arial" w:cs="Arial"/>
          <w:bCs/>
          <w:color w:val="auto"/>
          <w:sz w:val="20"/>
          <w:szCs w:val="20"/>
          <w:lang w:val="en-US"/>
        </w:rPr>
        <w:t>m</w:t>
      </w:r>
      <w:r w:rsidRPr="008F5C6E">
        <w:rPr>
          <w:rFonts w:ascii="Arial" w:hAnsi="Arial" w:cs="Arial"/>
          <w:bCs/>
          <w:color w:val="auto"/>
          <w:sz w:val="20"/>
          <w:szCs w:val="20"/>
          <w:lang w:val="en-US"/>
        </w:rPr>
        <w:t xml:space="preserve">plex. This would imply that some market segments are complex and independently from the existence of financial instruments linked to them. Therefore, it is necessary to draw a clear line between unfamiliar / unusual </w:t>
      </w:r>
      <w:proofErr w:type="spellStart"/>
      <w:r w:rsidRPr="008F5C6E">
        <w:rPr>
          <w:rFonts w:ascii="Arial" w:hAnsi="Arial" w:cs="Arial"/>
          <w:bCs/>
          <w:color w:val="auto"/>
          <w:sz w:val="20"/>
          <w:szCs w:val="20"/>
          <w:lang w:val="en-US"/>
        </w:rPr>
        <w:t>underlyings</w:t>
      </w:r>
      <w:proofErr w:type="spellEnd"/>
      <w:r w:rsidRPr="008F5C6E">
        <w:rPr>
          <w:rFonts w:ascii="Arial" w:hAnsi="Arial" w:cs="Arial"/>
          <w:bCs/>
          <w:color w:val="auto"/>
          <w:sz w:val="20"/>
          <w:szCs w:val="20"/>
          <w:lang w:val="en-US"/>
        </w:rPr>
        <w:t xml:space="preserve"> and </w:t>
      </w:r>
      <w:proofErr w:type="spellStart"/>
      <w:r w:rsidRPr="008F5C6E">
        <w:rPr>
          <w:rFonts w:ascii="Arial" w:hAnsi="Arial" w:cs="Arial"/>
          <w:bCs/>
          <w:color w:val="auto"/>
          <w:sz w:val="20"/>
          <w:szCs w:val="20"/>
          <w:lang w:val="en-US"/>
        </w:rPr>
        <w:t>underlyings</w:t>
      </w:r>
      <w:proofErr w:type="spellEnd"/>
      <w:r w:rsidRPr="008F5C6E">
        <w:rPr>
          <w:rFonts w:ascii="Arial" w:hAnsi="Arial" w:cs="Arial"/>
          <w:bCs/>
          <w:color w:val="auto"/>
          <w:sz w:val="20"/>
          <w:szCs w:val="20"/>
          <w:lang w:val="en-US"/>
        </w:rPr>
        <w:t xml:space="preserve"> which can be considered common practice.  </w:t>
      </w:r>
    </w:p>
    <w:p w:rsidR="008F5C6E" w:rsidRPr="008F5C6E" w:rsidRDefault="008F5C6E" w:rsidP="008F5C6E">
      <w:pPr>
        <w:pStyle w:val="Default"/>
        <w:jc w:val="both"/>
        <w:rPr>
          <w:rFonts w:ascii="Arial" w:hAnsi="Arial" w:cs="Arial"/>
          <w:bCs/>
          <w:color w:val="auto"/>
          <w:sz w:val="20"/>
          <w:szCs w:val="20"/>
          <w:lang w:val="en-US"/>
        </w:rPr>
      </w:pPr>
    </w:p>
    <w:p w:rsidR="008F5C6E" w:rsidRPr="008F5C6E" w:rsidRDefault="008F5C6E" w:rsidP="008F5C6E">
      <w:pPr>
        <w:pStyle w:val="Default"/>
        <w:jc w:val="both"/>
        <w:rPr>
          <w:rFonts w:ascii="Arial" w:hAnsi="Arial" w:cs="Arial"/>
          <w:color w:val="auto"/>
          <w:sz w:val="20"/>
          <w:szCs w:val="20"/>
          <w:lang w:val="en-US"/>
        </w:rPr>
      </w:pPr>
      <w:r w:rsidRPr="008F5C6E">
        <w:rPr>
          <w:rFonts w:ascii="Arial" w:hAnsi="Arial" w:cs="Arial"/>
          <w:bCs/>
          <w:color w:val="auto"/>
          <w:sz w:val="20"/>
          <w:szCs w:val="20"/>
          <w:lang w:val="en-US"/>
        </w:rPr>
        <w:t>Also, a</w:t>
      </w:r>
      <w:r w:rsidRPr="008F5C6E">
        <w:rPr>
          <w:rFonts w:ascii="Arial" w:hAnsi="Arial" w:cs="Arial"/>
          <w:b/>
          <w:bCs/>
          <w:color w:val="auto"/>
          <w:sz w:val="20"/>
          <w:szCs w:val="20"/>
          <w:lang w:val="en-US"/>
        </w:rPr>
        <w:t xml:space="preserve"> currency</w:t>
      </w:r>
      <w:r w:rsidRPr="008F5C6E">
        <w:rPr>
          <w:rFonts w:ascii="Arial" w:hAnsi="Arial" w:cs="Arial"/>
          <w:bCs/>
          <w:color w:val="auto"/>
          <w:sz w:val="20"/>
          <w:szCs w:val="20"/>
          <w:lang w:val="en-US"/>
        </w:rPr>
        <w:t xml:space="preserve"> is not always a suitable </w:t>
      </w:r>
      <w:proofErr w:type="gramStart"/>
      <w:r w:rsidRPr="008F5C6E">
        <w:rPr>
          <w:rFonts w:ascii="Arial" w:hAnsi="Arial" w:cs="Arial"/>
          <w:bCs/>
          <w:color w:val="auto"/>
          <w:sz w:val="20"/>
          <w:szCs w:val="20"/>
          <w:lang w:val="en-US"/>
        </w:rPr>
        <w:t>criteria</w:t>
      </w:r>
      <w:proofErr w:type="gramEnd"/>
      <w:r w:rsidRPr="008F5C6E">
        <w:rPr>
          <w:rFonts w:ascii="Arial" w:hAnsi="Arial" w:cs="Arial"/>
          <w:bCs/>
          <w:color w:val="auto"/>
          <w:sz w:val="20"/>
          <w:szCs w:val="20"/>
          <w:lang w:val="en-US"/>
        </w:rPr>
        <w:t xml:space="preserve"> for complexity. </w:t>
      </w:r>
      <w:r w:rsidRPr="008F5C6E">
        <w:rPr>
          <w:rFonts w:ascii="Arial" w:hAnsi="Arial" w:cs="Arial"/>
          <w:color w:val="auto"/>
          <w:sz w:val="20"/>
          <w:szCs w:val="20"/>
          <w:lang w:val="en-US"/>
        </w:rPr>
        <w:t xml:space="preserve">Simply because a debt instrument is </w:t>
      </w:r>
      <w:r w:rsidRPr="008F5C6E">
        <w:rPr>
          <w:rFonts w:ascii="Arial" w:hAnsi="Arial" w:cs="Arial"/>
          <w:b/>
          <w:color w:val="auto"/>
          <w:sz w:val="20"/>
          <w:szCs w:val="20"/>
          <w:lang w:val="en-US"/>
        </w:rPr>
        <w:t>denominated in a particular currency</w:t>
      </w:r>
      <w:r w:rsidRPr="008F5C6E">
        <w:rPr>
          <w:rFonts w:ascii="Arial" w:hAnsi="Arial" w:cs="Arial"/>
          <w:color w:val="auto"/>
          <w:sz w:val="20"/>
          <w:szCs w:val="20"/>
          <w:lang w:val="en-US"/>
        </w:rPr>
        <w:t xml:space="preserve"> does not mean that a client cannot easily understand the instr</w:t>
      </w:r>
      <w:r w:rsidRPr="008F5C6E">
        <w:rPr>
          <w:rFonts w:ascii="Arial" w:hAnsi="Arial" w:cs="Arial"/>
          <w:color w:val="auto"/>
          <w:sz w:val="20"/>
          <w:szCs w:val="20"/>
          <w:lang w:val="en-US"/>
        </w:rPr>
        <w:t>u</w:t>
      </w:r>
      <w:r w:rsidRPr="008F5C6E">
        <w:rPr>
          <w:rFonts w:ascii="Arial" w:hAnsi="Arial" w:cs="Arial"/>
          <w:color w:val="auto"/>
          <w:sz w:val="20"/>
          <w:szCs w:val="20"/>
          <w:lang w:val="en-US"/>
        </w:rPr>
        <w:t xml:space="preserve">ment. </w:t>
      </w:r>
      <w:r w:rsidRPr="008F5C6E">
        <w:rPr>
          <w:rFonts w:ascii="Arial" w:hAnsi="Arial" w:cs="Arial"/>
          <w:bCs/>
          <w:color w:val="auto"/>
          <w:sz w:val="20"/>
          <w:szCs w:val="20"/>
          <w:lang w:val="en-US"/>
        </w:rPr>
        <w:t xml:space="preserve">Currencies are a transparent part of the financial market and cannot be considered complex as such. </w:t>
      </w:r>
      <w:r w:rsidRPr="008F5C6E">
        <w:rPr>
          <w:rFonts w:ascii="Arial" w:hAnsi="Arial" w:cs="Arial"/>
          <w:color w:val="auto"/>
          <w:sz w:val="20"/>
          <w:szCs w:val="20"/>
          <w:lang w:val="en-US"/>
        </w:rPr>
        <w:t>Therefore, currency should not be considered as a factor to determine whether a client can unde</w:t>
      </w:r>
      <w:r w:rsidRPr="008F5C6E">
        <w:rPr>
          <w:rFonts w:ascii="Arial" w:hAnsi="Arial" w:cs="Arial"/>
          <w:color w:val="auto"/>
          <w:sz w:val="20"/>
          <w:szCs w:val="20"/>
          <w:lang w:val="en-US"/>
        </w:rPr>
        <w:t>r</w:t>
      </w:r>
      <w:r w:rsidRPr="008F5C6E">
        <w:rPr>
          <w:rFonts w:ascii="Arial" w:hAnsi="Arial" w:cs="Arial"/>
          <w:color w:val="auto"/>
          <w:sz w:val="20"/>
          <w:szCs w:val="20"/>
          <w:lang w:val="en-US"/>
        </w:rPr>
        <w:t>stand the risks involved. This is rather a question of target market and suitability.</w:t>
      </w:r>
    </w:p>
    <w:p w:rsidR="008F5C6E" w:rsidRPr="008F5C6E" w:rsidRDefault="008F5C6E" w:rsidP="008F5C6E">
      <w:pPr>
        <w:pStyle w:val="Default"/>
        <w:jc w:val="both"/>
        <w:rPr>
          <w:rFonts w:ascii="Arial" w:hAnsi="Arial" w:cs="Arial"/>
          <w:color w:val="auto"/>
          <w:sz w:val="20"/>
          <w:szCs w:val="20"/>
          <w:lang w:val="en-US"/>
        </w:rPr>
      </w:pPr>
    </w:p>
    <w:p w:rsidR="008F5C6E" w:rsidRPr="008F5C6E" w:rsidRDefault="008F5C6E" w:rsidP="008F5C6E">
      <w:pPr>
        <w:pStyle w:val="Default"/>
        <w:jc w:val="both"/>
        <w:rPr>
          <w:rFonts w:ascii="Arial" w:hAnsi="Arial" w:cs="Arial"/>
          <w:color w:val="auto"/>
          <w:sz w:val="20"/>
          <w:szCs w:val="20"/>
          <w:lang w:val="en-US"/>
        </w:rPr>
      </w:pPr>
      <w:r w:rsidRPr="008F5C6E">
        <w:rPr>
          <w:rFonts w:ascii="Arial" w:hAnsi="Arial" w:cs="Arial"/>
          <w:color w:val="auto"/>
          <w:sz w:val="20"/>
          <w:szCs w:val="20"/>
          <w:lang w:val="en-US"/>
        </w:rPr>
        <w:t xml:space="preserve">UCITS share classes for example can typically be chosen in a number of denominations to make them fit for a broad target market. </w:t>
      </w:r>
    </w:p>
    <w:p w:rsidR="008F5C6E" w:rsidRPr="008F5C6E" w:rsidRDefault="008F5C6E" w:rsidP="008F5C6E">
      <w:pPr>
        <w:pStyle w:val="Default"/>
        <w:jc w:val="both"/>
        <w:rPr>
          <w:rFonts w:ascii="Arial" w:hAnsi="Arial" w:cs="Arial"/>
          <w:color w:val="auto"/>
          <w:sz w:val="20"/>
          <w:szCs w:val="20"/>
          <w:lang w:val="en-US"/>
        </w:rPr>
      </w:pP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color w:val="auto"/>
          <w:sz w:val="20"/>
          <w:szCs w:val="20"/>
          <w:lang w:val="en-US"/>
        </w:rPr>
        <w:t>Furthermore, it remains unclear how ESMA would determine what should be the "</w:t>
      </w:r>
      <w:r w:rsidRPr="008F5C6E">
        <w:rPr>
          <w:rFonts w:ascii="Arial" w:hAnsi="Arial" w:cs="Arial"/>
          <w:i/>
          <w:color w:val="auto"/>
          <w:sz w:val="20"/>
          <w:szCs w:val="20"/>
          <w:lang w:val="en-US"/>
        </w:rPr>
        <w:t>currency of the jurisdi</w:t>
      </w:r>
      <w:r w:rsidRPr="008F5C6E">
        <w:rPr>
          <w:rFonts w:ascii="Arial" w:hAnsi="Arial" w:cs="Arial"/>
          <w:i/>
          <w:color w:val="auto"/>
          <w:sz w:val="20"/>
          <w:szCs w:val="20"/>
          <w:lang w:val="en-US"/>
        </w:rPr>
        <w:t>c</w:t>
      </w:r>
      <w:r w:rsidRPr="008F5C6E">
        <w:rPr>
          <w:rFonts w:ascii="Arial" w:hAnsi="Arial" w:cs="Arial"/>
          <w:i/>
          <w:color w:val="auto"/>
          <w:sz w:val="20"/>
          <w:szCs w:val="20"/>
          <w:lang w:val="en-US"/>
        </w:rPr>
        <w:t>tion</w:t>
      </w:r>
      <w:r w:rsidRPr="008F5C6E">
        <w:rPr>
          <w:rFonts w:ascii="Arial" w:hAnsi="Arial" w:cs="Arial"/>
          <w:color w:val="auto"/>
          <w:sz w:val="20"/>
          <w:szCs w:val="20"/>
          <w:lang w:val="en-US"/>
        </w:rPr>
        <w:t>": Is this the jurisdiction of residence of the client, of the location of the investment firm, of the underl</w:t>
      </w:r>
      <w:r w:rsidRPr="008F5C6E">
        <w:rPr>
          <w:rFonts w:ascii="Arial" w:hAnsi="Arial" w:cs="Arial"/>
          <w:color w:val="auto"/>
          <w:sz w:val="20"/>
          <w:szCs w:val="20"/>
          <w:lang w:val="en-US"/>
        </w:rPr>
        <w:t>y</w:t>
      </w:r>
      <w:r w:rsidRPr="008F5C6E">
        <w:rPr>
          <w:rFonts w:ascii="Arial" w:hAnsi="Arial" w:cs="Arial"/>
          <w:color w:val="auto"/>
          <w:sz w:val="20"/>
          <w:szCs w:val="20"/>
          <w:lang w:val="en-US"/>
        </w:rPr>
        <w:t>ing, etc.? L</w:t>
      </w:r>
      <w:r w:rsidRPr="008F5C6E">
        <w:rPr>
          <w:rFonts w:ascii="Arial" w:hAnsi="Arial" w:cs="Arial"/>
          <w:bCs/>
          <w:color w:val="auto"/>
          <w:sz w:val="20"/>
          <w:szCs w:val="20"/>
          <w:lang w:val="en-US"/>
        </w:rPr>
        <w:t xml:space="preserve">inking the criteria to the jurisdiction where the investment services are provided would be questionable because it does not take the different types of customer into account (e.g. non-residents or those working cross-border). </w:t>
      </w:r>
    </w:p>
    <w:p w:rsidR="008F5C6E" w:rsidRPr="008F5C6E" w:rsidRDefault="008F5C6E" w:rsidP="008F5C6E">
      <w:pPr>
        <w:autoSpaceDE w:val="0"/>
        <w:autoSpaceDN w:val="0"/>
        <w:adjustRightInd w:val="0"/>
        <w:jc w:val="both"/>
        <w:rPr>
          <w:rFonts w:cs="Arial"/>
          <w:szCs w:val="20"/>
          <w:lang w:val="en-US"/>
        </w:rPr>
      </w:pP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color w:val="auto"/>
          <w:sz w:val="20"/>
          <w:szCs w:val="20"/>
          <w:u w:val="single"/>
          <w:lang w:val="en-US"/>
        </w:rPr>
        <w:t>Point 21 (vii)</w:t>
      </w:r>
      <w:r w:rsidRPr="008F5C6E">
        <w:rPr>
          <w:rFonts w:ascii="Arial" w:hAnsi="Arial" w:cs="Arial"/>
          <w:color w:val="auto"/>
          <w:sz w:val="20"/>
          <w:szCs w:val="20"/>
          <w:lang w:val="en-US"/>
        </w:rPr>
        <w:t xml:space="preserve"> - </w:t>
      </w:r>
      <w:r w:rsidRPr="008F5C6E">
        <w:rPr>
          <w:rFonts w:ascii="Arial" w:hAnsi="Arial" w:cs="Arial"/>
          <w:b/>
          <w:color w:val="auto"/>
          <w:sz w:val="20"/>
          <w:szCs w:val="20"/>
          <w:lang w:val="en-US"/>
        </w:rPr>
        <w:t>Debt instruments structured in a way that may not provide for a full repayment of the principal amount</w:t>
      </w:r>
      <w:r w:rsidRPr="008F5C6E">
        <w:rPr>
          <w:rFonts w:ascii="Arial" w:hAnsi="Arial" w:cs="Arial"/>
          <w:color w:val="auto"/>
          <w:sz w:val="20"/>
          <w:szCs w:val="20"/>
          <w:lang w:val="en-US"/>
        </w:rPr>
        <w:t xml:space="preserve">: This is a risk and not a complexity issue - most financial instruments incorporate the risk of not getting back the full capital invested. </w:t>
      </w:r>
      <w:r w:rsidRPr="008F5C6E">
        <w:rPr>
          <w:rFonts w:ascii="Arial" w:hAnsi="Arial" w:cs="Arial"/>
          <w:bCs/>
          <w:color w:val="auto"/>
          <w:sz w:val="20"/>
          <w:szCs w:val="20"/>
          <w:lang w:val="en-US"/>
        </w:rPr>
        <w:t xml:space="preserve">This concept should be removed as it would lead to the situation that even an index tracker would be considered complex. </w:t>
      </w:r>
    </w:p>
    <w:p w:rsidR="008F5C6E" w:rsidRPr="008F5C6E" w:rsidRDefault="008F5C6E" w:rsidP="008F5C6E">
      <w:pPr>
        <w:autoSpaceDE w:val="0"/>
        <w:autoSpaceDN w:val="0"/>
        <w:adjustRightInd w:val="0"/>
        <w:jc w:val="both"/>
        <w:rPr>
          <w:rFonts w:cs="Arial"/>
          <w:szCs w:val="20"/>
          <w:lang w:val="en-US"/>
        </w:rPr>
      </w:pPr>
    </w:p>
    <w:p w:rsidR="008F5C6E" w:rsidRPr="008F5C6E" w:rsidRDefault="008F5C6E" w:rsidP="008F5C6E">
      <w:pPr>
        <w:autoSpaceDE w:val="0"/>
        <w:autoSpaceDN w:val="0"/>
        <w:adjustRightInd w:val="0"/>
        <w:jc w:val="both"/>
        <w:rPr>
          <w:rFonts w:cs="Arial"/>
          <w:szCs w:val="20"/>
          <w:lang w:val="en-US"/>
        </w:rPr>
      </w:pPr>
      <w:r w:rsidRPr="008F5C6E">
        <w:rPr>
          <w:rFonts w:cs="Arial"/>
          <w:szCs w:val="20"/>
          <w:u w:val="single"/>
          <w:lang w:val="en-US"/>
        </w:rPr>
        <w:t>Point no 21 (viii)</w:t>
      </w:r>
      <w:r w:rsidRPr="008F5C6E">
        <w:rPr>
          <w:rFonts w:cs="Arial"/>
          <w:szCs w:val="20"/>
          <w:lang w:val="en-US"/>
        </w:rPr>
        <w:t xml:space="preserve"> - </w:t>
      </w:r>
      <w:r w:rsidRPr="008F5C6E">
        <w:rPr>
          <w:rFonts w:cs="Arial"/>
          <w:b/>
          <w:szCs w:val="20"/>
          <w:lang w:val="en-US"/>
        </w:rPr>
        <w:t xml:space="preserve">Debt instruments that would classify as “packaged products” under the PRIIPs Regulation: </w:t>
      </w:r>
      <w:r w:rsidRPr="008F5C6E">
        <w:rPr>
          <w:rFonts w:cs="Arial"/>
          <w:szCs w:val="20"/>
          <w:lang w:val="en-US"/>
        </w:rPr>
        <w:t>PRIIPs will generally be understood to embed a derivative and therefore any further mentio</w:t>
      </w:r>
      <w:r w:rsidRPr="008F5C6E">
        <w:rPr>
          <w:rFonts w:cs="Arial"/>
          <w:szCs w:val="20"/>
          <w:lang w:val="en-US"/>
        </w:rPr>
        <w:t>n</w:t>
      </w:r>
      <w:r w:rsidRPr="008F5C6E">
        <w:rPr>
          <w:rFonts w:cs="Arial"/>
          <w:szCs w:val="20"/>
          <w:lang w:val="en-US"/>
        </w:rPr>
        <w:t xml:space="preserve">ing of a PRIIPs in this context will be unnecessary. </w:t>
      </w:r>
    </w:p>
    <w:p w:rsidR="008F5C6E" w:rsidRPr="008F5C6E" w:rsidRDefault="008F5C6E" w:rsidP="008F5C6E">
      <w:pPr>
        <w:autoSpaceDE w:val="0"/>
        <w:autoSpaceDN w:val="0"/>
        <w:adjustRightInd w:val="0"/>
        <w:jc w:val="both"/>
        <w:rPr>
          <w:rFonts w:cs="Arial"/>
          <w:szCs w:val="20"/>
          <w:u w:val="single"/>
          <w:lang w:val="en-US"/>
        </w:rPr>
      </w:pPr>
    </w:p>
    <w:p w:rsidR="008F5C6E" w:rsidRPr="008F5C6E" w:rsidRDefault="008F5C6E" w:rsidP="008F5C6E">
      <w:pPr>
        <w:pStyle w:val="Default"/>
        <w:jc w:val="both"/>
        <w:rPr>
          <w:rFonts w:ascii="Arial" w:hAnsi="Arial" w:cs="Arial"/>
          <w:b/>
          <w:bCs/>
          <w:color w:val="auto"/>
          <w:sz w:val="20"/>
          <w:szCs w:val="20"/>
          <w:lang w:val="en-US"/>
        </w:rPr>
      </w:pPr>
    </w:p>
    <w:p w:rsidR="0012767D" w:rsidRPr="008F5C6E" w:rsidRDefault="008F5C6E" w:rsidP="008F5C6E">
      <w:pPr>
        <w:pStyle w:val="Default"/>
        <w:jc w:val="both"/>
        <w:rPr>
          <w:sz w:val="20"/>
          <w:szCs w:val="20"/>
          <w:lang w:val="en-US"/>
        </w:rPr>
      </w:pPr>
      <w:r w:rsidRPr="008F5C6E">
        <w:rPr>
          <w:rFonts w:ascii="Arial" w:hAnsi="Arial" w:cs="Arial"/>
          <w:bCs/>
          <w:color w:val="auto"/>
          <w:sz w:val="20"/>
          <w:szCs w:val="20"/>
          <w:lang w:val="en-US"/>
        </w:rPr>
        <w:t xml:space="preserve">The list of non-complex products should contain even </w:t>
      </w:r>
      <w:r w:rsidRPr="008F5C6E">
        <w:rPr>
          <w:rFonts w:ascii="Arial" w:hAnsi="Arial" w:cs="Arial"/>
          <w:b/>
          <w:bCs/>
          <w:color w:val="auto"/>
          <w:sz w:val="20"/>
          <w:szCs w:val="20"/>
          <w:lang w:val="en-US"/>
        </w:rPr>
        <w:t>Fix-to-floating rate notes</w:t>
      </w:r>
      <w:r w:rsidRPr="008F5C6E">
        <w:rPr>
          <w:rFonts w:ascii="Arial" w:hAnsi="Arial" w:cs="Arial"/>
          <w:bCs/>
          <w:color w:val="auto"/>
          <w:sz w:val="20"/>
          <w:szCs w:val="20"/>
          <w:lang w:val="en-US"/>
        </w:rPr>
        <w:t xml:space="preserve"> and </w:t>
      </w:r>
      <w:r w:rsidRPr="008F5C6E">
        <w:rPr>
          <w:rFonts w:ascii="Arial" w:hAnsi="Arial" w:cs="Arial"/>
          <w:b/>
          <w:bCs/>
          <w:color w:val="auto"/>
          <w:sz w:val="20"/>
          <w:szCs w:val="20"/>
          <w:lang w:val="en-US"/>
        </w:rPr>
        <w:t>Min-Max-Floaters</w:t>
      </w:r>
      <w:r w:rsidRPr="008F5C6E">
        <w:rPr>
          <w:rFonts w:ascii="Arial" w:hAnsi="Arial" w:cs="Arial"/>
          <w:bCs/>
          <w:color w:val="auto"/>
          <w:sz w:val="20"/>
          <w:szCs w:val="20"/>
          <w:lang w:val="en-US"/>
        </w:rPr>
        <w:t xml:space="preserve"> because their main mechanism is a floating rate note which is a basic concept for a bond. The fix-to-floating rate note just adds one or several periods of easy to understand fixed coupon payments. The Min-Max-Floaters just reduce the values for coupons a floating rate note may pay to the investor.</w:t>
      </w:r>
    </w:p>
    <w:permEnd w:id="3"/>
    <w:p w:rsidR="0012767D" w:rsidRDefault="0012767D" w:rsidP="0012767D">
      <w:r>
        <w:t>&lt;ESMA_QUESTION_COMPLEX_3&gt;</w:t>
      </w:r>
    </w:p>
    <w:p w:rsidR="004774F9" w:rsidRDefault="004774F9" w:rsidP="0012767D"/>
    <w:p w:rsidR="0012767D" w:rsidRDefault="0012767D" w:rsidP="000E562B">
      <w:pPr>
        <w:pStyle w:val="CPQuestions"/>
        <w:numPr>
          <w:ilvl w:val="0"/>
          <w:numId w:val="0"/>
        </w:numPr>
      </w:pPr>
      <w:r w:rsidRPr="00591061">
        <w:t xml:space="preserve">Question </w:t>
      </w:r>
      <w:r>
        <w:t>4</w:t>
      </w:r>
      <w:r w:rsidRPr="00591061">
        <w:t>: Do you agree with the definition of a structure making it difficult for the client to understand the risk</w:t>
      </w:r>
      <w:r>
        <w:t xml:space="preserve"> included in the Guidelines in Annex IV</w:t>
      </w:r>
      <w:r w:rsidRPr="00591061">
        <w:t>? If not, why not?</w:t>
      </w:r>
    </w:p>
    <w:p w:rsidR="0012767D" w:rsidRDefault="0012767D" w:rsidP="0012767D">
      <w:r>
        <w:t>&lt;ESMA_QUESTION_COMPLEX_4&gt;</w:t>
      </w:r>
    </w:p>
    <w:p w:rsidR="008F5C6E" w:rsidRPr="008F5C6E" w:rsidRDefault="008F5C6E" w:rsidP="008F5C6E">
      <w:pPr>
        <w:pStyle w:val="Default"/>
        <w:jc w:val="both"/>
        <w:rPr>
          <w:rFonts w:ascii="Arial" w:hAnsi="Arial" w:cs="Arial"/>
          <w:color w:val="auto"/>
          <w:sz w:val="20"/>
          <w:szCs w:val="20"/>
          <w:lang w:val="en-US"/>
        </w:rPr>
      </w:pPr>
      <w:permStart w:id="4" w:edGrp="everyone"/>
      <w:r w:rsidRPr="008F5C6E">
        <w:rPr>
          <w:rFonts w:ascii="Arial" w:hAnsi="Arial" w:cs="Arial"/>
          <w:color w:val="auto"/>
          <w:sz w:val="20"/>
          <w:szCs w:val="20"/>
          <w:lang w:val="en-US"/>
        </w:rPr>
        <w:t xml:space="preserve">The definition of a complex structure is too vague and does not provide legal certainty. </w:t>
      </w:r>
    </w:p>
    <w:p w:rsidR="008F5C6E" w:rsidRPr="008F5C6E" w:rsidRDefault="008F5C6E" w:rsidP="008F5C6E">
      <w:pPr>
        <w:pStyle w:val="Default"/>
        <w:jc w:val="both"/>
        <w:rPr>
          <w:rFonts w:ascii="Arial" w:hAnsi="Arial" w:cs="Arial"/>
          <w:color w:val="auto"/>
          <w:sz w:val="20"/>
          <w:szCs w:val="20"/>
          <w:lang w:val="en-US"/>
        </w:rPr>
      </w:pPr>
    </w:p>
    <w:p w:rsidR="008F5C6E" w:rsidRPr="008F5C6E" w:rsidRDefault="008F5C6E" w:rsidP="008F5C6E">
      <w:pPr>
        <w:pStyle w:val="Default"/>
        <w:jc w:val="both"/>
        <w:rPr>
          <w:rFonts w:ascii="Arial" w:hAnsi="Arial" w:cs="Arial"/>
          <w:color w:val="auto"/>
          <w:sz w:val="20"/>
          <w:szCs w:val="20"/>
          <w:lang w:val="en-US"/>
        </w:rPr>
      </w:pPr>
      <w:r w:rsidRPr="008F5C6E">
        <w:rPr>
          <w:rFonts w:ascii="Arial" w:hAnsi="Arial" w:cs="Arial"/>
          <w:color w:val="auto"/>
          <w:sz w:val="20"/>
          <w:szCs w:val="20"/>
          <w:lang w:val="en-US"/>
        </w:rPr>
        <w:t xml:space="preserve">The distinction between a complex and non-complex structure is inter alia based on an assumption of the knowledge that an "average retail client" may or may not have. Whether the knowledge can or cannot be assumed depends among other things on whether the variable that is the underlying structure (e.g. stock index, inflation, commodity index, etc.) can be assumed as being familiar to the customer or not (Annex IV, </w:t>
      </w:r>
      <w:r w:rsidRPr="008F5C6E">
        <w:rPr>
          <w:rFonts w:ascii="Arial" w:hAnsi="Arial" w:cs="Arial"/>
          <w:bCs/>
          <w:color w:val="auto"/>
          <w:sz w:val="20"/>
          <w:szCs w:val="20"/>
          <w:lang w:val="en-US"/>
        </w:rPr>
        <w:t>Point V.,14 (e))</w:t>
      </w:r>
      <w:r w:rsidRPr="008F5C6E">
        <w:rPr>
          <w:rFonts w:ascii="Arial" w:hAnsi="Arial" w:cs="Arial"/>
          <w:color w:val="auto"/>
          <w:sz w:val="20"/>
          <w:szCs w:val="20"/>
          <w:lang w:val="en-US"/>
        </w:rPr>
        <w:t>.</w:t>
      </w:r>
    </w:p>
    <w:p w:rsidR="008F5C6E" w:rsidRPr="008F5C6E" w:rsidRDefault="008F5C6E" w:rsidP="008F5C6E">
      <w:pPr>
        <w:pStyle w:val="Default"/>
        <w:jc w:val="both"/>
        <w:rPr>
          <w:rFonts w:ascii="Arial" w:hAnsi="Arial" w:cs="Arial"/>
          <w:color w:val="auto"/>
          <w:sz w:val="20"/>
          <w:szCs w:val="20"/>
          <w:lang w:val="en-US"/>
        </w:rPr>
      </w:pPr>
    </w:p>
    <w:p w:rsidR="008F5C6E" w:rsidRPr="008F5C6E" w:rsidRDefault="008F5C6E" w:rsidP="008F5C6E">
      <w:pPr>
        <w:pStyle w:val="Default"/>
        <w:jc w:val="both"/>
        <w:rPr>
          <w:rFonts w:ascii="Arial" w:hAnsi="Arial" w:cs="Arial"/>
          <w:color w:val="auto"/>
          <w:sz w:val="20"/>
          <w:szCs w:val="20"/>
          <w:lang w:val="en-US"/>
        </w:rPr>
      </w:pPr>
      <w:r w:rsidRPr="008F5C6E">
        <w:rPr>
          <w:rFonts w:ascii="Arial" w:hAnsi="Arial" w:cs="Arial"/>
          <w:color w:val="auto"/>
          <w:sz w:val="20"/>
          <w:szCs w:val="20"/>
          <w:lang w:val="en-US"/>
        </w:rPr>
        <w:t xml:space="preserve">With such a definition it would have to be considered on a case by case basis what knowledge may be expected of the particular customer. </w:t>
      </w:r>
    </w:p>
    <w:p w:rsidR="008F5C6E" w:rsidRPr="008F5C6E" w:rsidRDefault="008F5C6E" w:rsidP="008F5C6E">
      <w:pPr>
        <w:pStyle w:val="Default"/>
        <w:jc w:val="both"/>
        <w:rPr>
          <w:rFonts w:ascii="Arial" w:hAnsi="Arial" w:cs="Arial"/>
          <w:color w:val="auto"/>
          <w:sz w:val="20"/>
          <w:szCs w:val="20"/>
          <w:lang w:val="en-US"/>
        </w:rPr>
      </w:pPr>
    </w:p>
    <w:p w:rsidR="008F5C6E" w:rsidRPr="008F5C6E" w:rsidRDefault="008F5C6E" w:rsidP="008F5C6E">
      <w:pPr>
        <w:pStyle w:val="Default"/>
        <w:jc w:val="both"/>
        <w:rPr>
          <w:rFonts w:ascii="Arial" w:hAnsi="Arial" w:cs="Arial"/>
          <w:bCs/>
          <w:color w:val="auto"/>
          <w:sz w:val="20"/>
          <w:szCs w:val="20"/>
          <w:lang w:val="en-US"/>
        </w:rPr>
      </w:pP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A clear definition is required that specifies when a debt instrument or structured deposits can be classified as "non-complex". This definition should include:</w:t>
      </w:r>
    </w:p>
    <w:p w:rsidR="008F5C6E" w:rsidRPr="008F5C6E" w:rsidRDefault="008F5C6E" w:rsidP="008F5C6E">
      <w:pPr>
        <w:pStyle w:val="Default"/>
        <w:numPr>
          <w:ilvl w:val="0"/>
          <w:numId w:val="50"/>
        </w:numPr>
        <w:ind w:hanging="218"/>
        <w:jc w:val="both"/>
        <w:rPr>
          <w:rFonts w:ascii="Arial" w:hAnsi="Arial" w:cs="Arial"/>
          <w:bCs/>
          <w:color w:val="auto"/>
          <w:sz w:val="20"/>
          <w:szCs w:val="20"/>
          <w:lang w:val="en-US"/>
        </w:rPr>
      </w:pPr>
      <w:r w:rsidRPr="008F5C6E">
        <w:rPr>
          <w:rFonts w:ascii="Arial" w:hAnsi="Arial" w:cs="Arial"/>
          <w:bCs/>
          <w:color w:val="auto"/>
          <w:sz w:val="20"/>
          <w:szCs w:val="20"/>
          <w:lang w:val="en-US"/>
        </w:rPr>
        <w:t>Clear definition of variables, mentioning appropriate indices that represent these and that can be co</w:t>
      </w:r>
      <w:r w:rsidRPr="008F5C6E">
        <w:rPr>
          <w:rFonts w:ascii="Arial" w:hAnsi="Arial" w:cs="Arial"/>
          <w:bCs/>
          <w:color w:val="auto"/>
          <w:sz w:val="20"/>
          <w:szCs w:val="20"/>
          <w:lang w:val="en-US"/>
        </w:rPr>
        <w:t>n</w:t>
      </w:r>
      <w:r w:rsidRPr="008F5C6E">
        <w:rPr>
          <w:rFonts w:ascii="Arial" w:hAnsi="Arial" w:cs="Arial"/>
          <w:bCs/>
          <w:color w:val="auto"/>
          <w:sz w:val="20"/>
          <w:szCs w:val="20"/>
          <w:lang w:val="en-US"/>
        </w:rPr>
        <w:t xml:space="preserve">sidered as being “well-known” (e.g. DAX, Euro </w:t>
      </w:r>
      <w:proofErr w:type="spellStart"/>
      <w:r w:rsidRPr="008F5C6E">
        <w:rPr>
          <w:rFonts w:ascii="Arial" w:hAnsi="Arial" w:cs="Arial"/>
          <w:bCs/>
          <w:color w:val="auto"/>
          <w:sz w:val="20"/>
          <w:szCs w:val="20"/>
          <w:lang w:val="en-US"/>
        </w:rPr>
        <w:t>Stoxx</w:t>
      </w:r>
      <w:proofErr w:type="spellEnd"/>
      <w:r w:rsidRPr="008F5C6E">
        <w:rPr>
          <w:rFonts w:ascii="Arial" w:hAnsi="Arial" w:cs="Arial"/>
          <w:bCs/>
          <w:color w:val="auto"/>
          <w:sz w:val="20"/>
          <w:szCs w:val="20"/>
          <w:lang w:val="en-US"/>
        </w:rPr>
        <w:t xml:space="preserve"> 50, gold, oil, silver, inflation, etc.)</w:t>
      </w:r>
    </w:p>
    <w:p w:rsidR="008F5C6E" w:rsidRPr="008F5C6E" w:rsidRDefault="008F5C6E" w:rsidP="008F5C6E">
      <w:pPr>
        <w:pStyle w:val="Default"/>
        <w:numPr>
          <w:ilvl w:val="0"/>
          <w:numId w:val="50"/>
        </w:numPr>
        <w:ind w:hanging="218"/>
        <w:jc w:val="both"/>
        <w:rPr>
          <w:rFonts w:ascii="Arial" w:hAnsi="Arial" w:cs="Arial"/>
          <w:bCs/>
          <w:color w:val="auto"/>
          <w:sz w:val="20"/>
          <w:szCs w:val="20"/>
          <w:lang w:val="en-US"/>
        </w:rPr>
      </w:pPr>
      <w:r w:rsidRPr="008F5C6E">
        <w:rPr>
          <w:rFonts w:ascii="Arial" w:hAnsi="Arial" w:cs="Arial"/>
          <w:bCs/>
          <w:color w:val="auto"/>
          <w:sz w:val="20"/>
          <w:szCs w:val="20"/>
          <w:lang w:val="en-US"/>
        </w:rPr>
        <w:lastRenderedPageBreak/>
        <w:t xml:space="preserve">The bonus payment that results from the use of the well-known variables must not be limited by one more additional condition for instance. </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u w:val="single"/>
          <w:lang w:val="en-US"/>
        </w:rPr>
        <w:t>Example</w:t>
      </w:r>
      <w:r w:rsidRPr="008F5C6E">
        <w:rPr>
          <w:rFonts w:ascii="Arial" w:hAnsi="Arial" w:cs="Arial"/>
          <w:bCs/>
          <w:color w:val="auto"/>
          <w:sz w:val="20"/>
          <w:szCs w:val="20"/>
          <w:lang w:val="en-US"/>
        </w:rPr>
        <w:t>:</w:t>
      </w:r>
    </w:p>
    <w:p w:rsidR="008F5C6E" w:rsidRPr="008F5C6E" w:rsidRDefault="008F5C6E" w:rsidP="008F5C6E">
      <w:pPr>
        <w:pStyle w:val="Default"/>
        <w:numPr>
          <w:ilvl w:val="0"/>
          <w:numId w:val="51"/>
        </w:numPr>
        <w:ind w:hanging="218"/>
        <w:jc w:val="both"/>
        <w:rPr>
          <w:rFonts w:ascii="Arial" w:hAnsi="Arial" w:cs="Arial"/>
          <w:bCs/>
          <w:color w:val="auto"/>
          <w:sz w:val="20"/>
          <w:szCs w:val="20"/>
          <w:lang w:val="en-US"/>
        </w:rPr>
      </w:pPr>
      <w:r w:rsidRPr="008F5C6E">
        <w:rPr>
          <w:rFonts w:ascii="Arial" w:hAnsi="Arial" w:cs="Arial"/>
          <w:bCs/>
          <w:color w:val="auto"/>
          <w:sz w:val="20"/>
          <w:szCs w:val="20"/>
          <w:lang w:val="en-US"/>
        </w:rPr>
        <w:t>The variable is the positive evolution in percentages of the DAX during the investment period</w:t>
      </w:r>
    </w:p>
    <w:p w:rsidR="008F5C6E" w:rsidRPr="008F5C6E" w:rsidRDefault="008F5C6E" w:rsidP="008F5C6E">
      <w:pPr>
        <w:pStyle w:val="Default"/>
        <w:numPr>
          <w:ilvl w:val="0"/>
          <w:numId w:val="51"/>
        </w:numPr>
        <w:ind w:hanging="218"/>
        <w:jc w:val="both"/>
        <w:rPr>
          <w:rFonts w:ascii="Arial" w:hAnsi="Arial" w:cs="Arial"/>
          <w:bCs/>
          <w:color w:val="auto"/>
          <w:sz w:val="20"/>
          <w:szCs w:val="20"/>
          <w:lang w:val="en-US"/>
        </w:rPr>
      </w:pPr>
      <w:r w:rsidRPr="008F5C6E">
        <w:rPr>
          <w:rFonts w:ascii="Arial" w:hAnsi="Arial" w:cs="Arial"/>
          <w:bCs/>
          <w:color w:val="auto"/>
          <w:sz w:val="20"/>
          <w:szCs w:val="20"/>
          <w:lang w:val="en-US"/>
        </w:rPr>
        <w:t>Additional Condition 1: only half of the positive development in percentage (not yet to be classified as non-complex)</w:t>
      </w:r>
    </w:p>
    <w:p w:rsidR="008F5C6E" w:rsidRPr="008F5C6E" w:rsidRDefault="008F5C6E" w:rsidP="008F5C6E">
      <w:pPr>
        <w:pStyle w:val="Default"/>
        <w:numPr>
          <w:ilvl w:val="0"/>
          <w:numId w:val="51"/>
        </w:numPr>
        <w:ind w:hanging="218"/>
        <w:jc w:val="both"/>
        <w:rPr>
          <w:rFonts w:ascii="Arial" w:hAnsi="Arial" w:cs="Arial"/>
          <w:bCs/>
          <w:color w:val="auto"/>
          <w:sz w:val="20"/>
          <w:szCs w:val="20"/>
          <w:lang w:val="en-US"/>
        </w:rPr>
      </w:pPr>
      <w:r w:rsidRPr="008F5C6E">
        <w:rPr>
          <w:rFonts w:ascii="Arial" w:hAnsi="Arial" w:cs="Arial"/>
          <w:bCs/>
          <w:color w:val="auto"/>
          <w:sz w:val="20"/>
          <w:szCs w:val="20"/>
          <w:lang w:val="en-US"/>
        </w:rPr>
        <w:t>Additional Condition 2: only when during any year, no decline has been recorded (now complex)</w:t>
      </w:r>
    </w:p>
    <w:permEnd w:id="4"/>
    <w:p w:rsidR="0012767D" w:rsidRDefault="0012767D" w:rsidP="0012767D">
      <w:r>
        <w:t>&lt;ESMA_QUESTION_COMPLEX_4&gt;</w:t>
      </w:r>
    </w:p>
    <w:p w:rsidR="004774F9" w:rsidRDefault="004774F9" w:rsidP="0012767D"/>
    <w:p w:rsidR="0012767D" w:rsidRDefault="0012767D" w:rsidP="000E562B">
      <w:pPr>
        <w:pStyle w:val="CPQuestions"/>
        <w:numPr>
          <w:ilvl w:val="0"/>
          <w:numId w:val="0"/>
        </w:numPr>
      </w:pPr>
      <w:r w:rsidRPr="00591061">
        <w:t xml:space="preserve">Question </w:t>
      </w:r>
      <w:r>
        <w:t>5:</w:t>
      </w:r>
      <w:r w:rsidRPr="00591061">
        <w:t xml:space="preserve"> Do you agree with the definition of a structure making it difficult for the client to understand the risk of return</w:t>
      </w:r>
      <w:r>
        <w:t xml:space="preserve"> of structured deposits and with the relevant examples proposed</w:t>
      </w:r>
      <w:r w:rsidRPr="00591061">
        <w:t>? If not, why not?</w:t>
      </w:r>
    </w:p>
    <w:p w:rsidR="0012767D" w:rsidRDefault="0012767D" w:rsidP="0012767D">
      <w:r>
        <w:t>&lt;ESMA_QUESTION_COMPLEX_5&gt;</w:t>
      </w:r>
    </w:p>
    <w:p w:rsidR="008F5C6E" w:rsidRPr="008F5C6E" w:rsidRDefault="008F5C6E" w:rsidP="008F5C6E">
      <w:pPr>
        <w:pStyle w:val="CPQuestions"/>
        <w:numPr>
          <w:ilvl w:val="0"/>
          <w:numId w:val="0"/>
        </w:numPr>
        <w:rPr>
          <w:rFonts w:cs="Arial"/>
          <w:b w:val="0"/>
          <w:sz w:val="20"/>
          <w:lang w:val="en-US"/>
        </w:rPr>
      </w:pPr>
      <w:permStart w:id="5" w:edGrp="everyone"/>
      <w:r w:rsidRPr="008F5C6E">
        <w:rPr>
          <w:rFonts w:cs="Arial"/>
          <w:b w:val="0"/>
          <w:sz w:val="20"/>
          <w:lang w:val="en-US"/>
        </w:rPr>
        <w:t>See our general remarks under Question 4.</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u w:val="single"/>
          <w:lang w:val="en-US"/>
        </w:rPr>
        <w:t>Point V.</w:t>
      </w:r>
      <w:proofErr w:type="gramStart"/>
      <w:r w:rsidRPr="008F5C6E">
        <w:rPr>
          <w:rFonts w:ascii="Arial" w:hAnsi="Arial" w:cs="Arial"/>
          <w:bCs/>
          <w:color w:val="auto"/>
          <w:sz w:val="20"/>
          <w:szCs w:val="20"/>
          <w:u w:val="single"/>
          <w:lang w:val="en-US"/>
        </w:rPr>
        <w:t>,15</w:t>
      </w:r>
      <w:proofErr w:type="gramEnd"/>
      <w:r w:rsidRPr="008F5C6E">
        <w:rPr>
          <w:rFonts w:ascii="Arial" w:hAnsi="Arial" w:cs="Arial"/>
          <w:bCs/>
          <w:color w:val="auto"/>
          <w:sz w:val="20"/>
          <w:szCs w:val="20"/>
          <w:u w:val="single"/>
          <w:lang w:val="en-US"/>
        </w:rPr>
        <w:t xml:space="preserve"> (a) </w:t>
      </w:r>
      <w:r w:rsidRPr="008F5C6E">
        <w:rPr>
          <w:rFonts w:ascii="Arial" w:hAnsi="Arial" w:cs="Arial"/>
          <w:bCs/>
          <w:color w:val="auto"/>
          <w:sz w:val="20"/>
          <w:szCs w:val="20"/>
          <w:lang w:val="en-US"/>
        </w:rPr>
        <w:t xml:space="preserve">- </w:t>
      </w:r>
      <w:r w:rsidRPr="008F5C6E">
        <w:rPr>
          <w:rFonts w:ascii="Arial" w:hAnsi="Arial" w:cs="Arial"/>
          <w:b/>
          <w:color w:val="auto"/>
          <w:sz w:val="20"/>
          <w:szCs w:val="20"/>
          <w:lang w:val="en-US"/>
        </w:rPr>
        <w:t>more than one variable affects the return</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 xml:space="preserve">The criterion as such says nothing about the complexity. E.g. in the case of a product where a bonus interest payment of X% will be granted, if the gold </w:t>
      </w:r>
      <w:r w:rsidRPr="008F5C6E">
        <w:rPr>
          <w:rFonts w:ascii="Arial" w:hAnsi="Arial" w:cs="Arial"/>
          <w:bCs/>
          <w:color w:val="auto"/>
          <w:sz w:val="20"/>
          <w:szCs w:val="20"/>
          <w:u w:val="single"/>
          <w:lang w:val="en-US"/>
        </w:rPr>
        <w:t>and</w:t>
      </w:r>
      <w:r w:rsidRPr="008F5C6E">
        <w:rPr>
          <w:rFonts w:ascii="Arial" w:hAnsi="Arial" w:cs="Arial"/>
          <w:bCs/>
          <w:color w:val="auto"/>
          <w:sz w:val="20"/>
          <w:szCs w:val="20"/>
          <w:lang w:val="en-US"/>
        </w:rPr>
        <w:t xml:space="preserve"> silver prices in the investment period have fallen by no more than X%, two variables are involved. However, the structure is still not really complex and signif</w:t>
      </w:r>
      <w:r w:rsidRPr="008F5C6E">
        <w:rPr>
          <w:rFonts w:ascii="Arial" w:hAnsi="Arial" w:cs="Arial"/>
          <w:bCs/>
          <w:color w:val="auto"/>
          <w:sz w:val="20"/>
          <w:szCs w:val="20"/>
          <w:lang w:val="en-US"/>
        </w:rPr>
        <w:t>i</w:t>
      </w:r>
      <w:r w:rsidRPr="008F5C6E">
        <w:rPr>
          <w:rFonts w:ascii="Arial" w:hAnsi="Arial" w:cs="Arial"/>
          <w:bCs/>
          <w:color w:val="auto"/>
          <w:sz w:val="20"/>
          <w:szCs w:val="20"/>
          <w:lang w:val="en-US"/>
        </w:rPr>
        <w:t>cantly easier than example 4. (</w:t>
      </w:r>
      <w:proofErr w:type="gramStart"/>
      <w:r w:rsidRPr="008F5C6E">
        <w:rPr>
          <w:rFonts w:ascii="Arial" w:hAnsi="Arial" w:cs="Arial"/>
          <w:bCs/>
          <w:color w:val="auto"/>
          <w:sz w:val="20"/>
          <w:szCs w:val="20"/>
          <w:lang w:val="en-US"/>
        </w:rPr>
        <w:t>mentioned</w:t>
      </w:r>
      <w:proofErr w:type="gramEnd"/>
      <w:r w:rsidRPr="008F5C6E">
        <w:rPr>
          <w:rFonts w:ascii="Arial" w:hAnsi="Arial" w:cs="Arial"/>
          <w:bCs/>
          <w:color w:val="auto"/>
          <w:sz w:val="20"/>
          <w:szCs w:val="20"/>
          <w:lang w:val="en-US"/>
        </w:rPr>
        <w:t xml:space="preserve"> hereafter) with only one variable.</w:t>
      </w:r>
    </w:p>
    <w:p w:rsidR="008F5C6E" w:rsidRPr="008F5C6E" w:rsidRDefault="008F5C6E" w:rsidP="008F5C6E">
      <w:pPr>
        <w:pStyle w:val="Default"/>
        <w:jc w:val="both"/>
        <w:rPr>
          <w:rFonts w:ascii="Arial" w:hAnsi="Arial" w:cs="Arial"/>
          <w:bCs/>
          <w:color w:val="auto"/>
          <w:sz w:val="20"/>
          <w:szCs w:val="20"/>
          <w:lang w:val="en-US"/>
        </w:rPr>
      </w:pPr>
    </w:p>
    <w:p w:rsidR="008F5C6E" w:rsidRPr="008F5C6E" w:rsidRDefault="008F5C6E" w:rsidP="008F5C6E">
      <w:pPr>
        <w:pStyle w:val="Default"/>
        <w:jc w:val="both"/>
        <w:rPr>
          <w:rFonts w:ascii="Arial" w:hAnsi="Arial" w:cs="Arial"/>
          <w:bCs/>
          <w:color w:val="auto"/>
          <w:sz w:val="20"/>
          <w:szCs w:val="20"/>
          <w:u w:val="single"/>
          <w:lang w:val="en-US"/>
        </w:rPr>
      </w:pPr>
      <w:r w:rsidRPr="008F5C6E">
        <w:rPr>
          <w:rFonts w:ascii="Arial" w:hAnsi="Arial" w:cs="Arial"/>
          <w:bCs/>
          <w:color w:val="auto"/>
          <w:sz w:val="20"/>
          <w:szCs w:val="20"/>
          <w:u w:val="single"/>
          <w:lang w:val="en-US"/>
        </w:rPr>
        <w:t xml:space="preserve">Point V., 15 (b) </w:t>
      </w:r>
      <w:r w:rsidRPr="008F5C6E">
        <w:rPr>
          <w:rFonts w:ascii="Arial" w:hAnsi="Arial" w:cs="Arial"/>
          <w:bCs/>
          <w:color w:val="auto"/>
          <w:sz w:val="20"/>
          <w:szCs w:val="20"/>
          <w:lang w:val="en-US"/>
        </w:rPr>
        <w:t xml:space="preserve">- </w:t>
      </w:r>
      <w:r w:rsidRPr="008F5C6E">
        <w:rPr>
          <w:rFonts w:ascii="Arial" w:hAnsi="Arial" w:cs="Arial"/>
          <w:color w:val="auto"/>
          <w:sz w:val="20"/>
          <w:szCs w:val="20"/>
          <w:lang w:val="en-US"/>
        </w:rPr>
        <w:t xml:space="preserve">the </w:t>
      </w:r>
      <w:r w:rsidRPr="008F5C6E">
        <w:rPr>
          <w:rFonts w:ascii="Arial" w:hAnsi="Arial" w:cs="Arial"/>
          <w:b/>
          <w:color w:val="auto"/>
          <w:sz w:val="20"/>
          <w:szCs w:val="20"/>
          <w:lang w:val="en-US"/>
        </w:rPr>
        <w:t>relationship between the return and relevant variable is not simple</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There is no clear delineation of those cases in which the relationship can be considered as "simple". Especially when calculating the bonus interest payment as a result of a specific development of the vari</w:t>
      </w:r>
      <w:r w:rsidRPr="008F5C6E">
        <w:rPr>
          <w:rFonts w:ascii="Arial" w:hAnsi="Arial" w:cs="Arial"/>
          <w:bCs/>
          <w:color w:val="auto"/>
          <w:sz w:val="20"/>
          <w:szCs w:val="20"/>
          <w:lang w:val="en-US"/>
        </w:rPr>
        <w:t>a</w:t>
      </w:r>
      <w:r w:rsidRPr="008F5C6E">
        <w:rPr>
          <w:rFonts w:ascii="Arial" w:hAnsi="Arial" w:cs="Arial"/>
          <w:bCs/>
          <w:color w:val="auto"/>
          <w:sz w:val="20"/>
          <w:szCs w:val="20"/>
          <w:lang w:val="en-US"/>
        </w:rPr>
        <w:t>ble there are many variations that make the relationship at a certain stage complex. But it remains unclear where the line must be drawn between simple and complex relationships.</w:t>
      </w:r>
    </w:p>
    <w:p w:rsidR="008F5C6E" w:rsidRPr="008F5C6E" w:rsidRDefault="008F5C6E" w:rsidP="008F5C6E">
      <w:pPr>
        <w:pStyle w:val="Default"/>
        <w:jc w:val="both"/>
        <w:rPr>
          <w:rFonts w:ascii="Arial" w:hAnsi="Arial" w:cs="Arial"/>
          <w:bCs/>
          <w:i/>
          <w:color w:val="auto"/>
          <w:sz w:val="20"/>
          <w:szCs w:val="20"/>
          <w:lang w:val="en-US"/>
        </w:rPr>
      </w:pPr>
      <w:r w:rsidRPr="008F5C6E">
        <w:rPr>
          <w:rFonts w:ascii="Arial" w:hAnsi="Arial" w:cs="Arial"/>
          <w:bCs/>
          <w:i/>
          <w:color w:val="auto"/>
          <w:sz w:val="20"/>
          <w:szCs w:val="20"/>
          <w:u w:val="single"/>
          <w:lang w:val="en-US"/>
        </w:rPr>
        <w:t>Examples of the development of a bonus interest payment from basic to complex</w:t>
      </w:r>
      <w:r w:rsidRPr="008F5C6E">
        <w:rPr>
          <w:rFonts w:ascii="Arial" w:hAnsi="Arial" w:cs="Arial"/>
          <w:bCs/>
          <w:i/>
          <w:color w:val="auto"/>
          <w:sz w:val="20"/>
          <w:szCs w:val="20"/>
          <w:lang w:val="en-US"/>
        </w:rPr>
        <w:t>:</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1. Bonus = positive, percentage performance of the DAX in the period 2015-2018</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2. Bonus = half of the positive percentage increase of the DAX in the period 2015-2018</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3. Bonus = half of the positive percentage increase of the DAX in the period from 2015 to 2018, provided that the total increase is not more than 2% in the period 2015-2018</w:t>
      </w: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4. Bonus = half of the positive percentage increase of the DAX in the period from 2015 to 2018, provided that the total increase is not more than 2% in the period from 2015 to 2018 and was recorded a decrease of more than 3% in each year….</w:t>
      </w:r>
    </w:p>
    <w:p w:rsidR="008F5C6E" w:rsidRPr="008F5C6E" w:rsidRDefault="008F5C6E" w:rsidP="008F5C6E">
      <w:pPr>
        <w:pStyle w:val="Default"/>
        <w:jc w:val="both"/>
        <w:rPr>
          <w:rFonts w:ascii="Arial" w:hAnsi="Arial" w:cs="Arial"/>
          <w:bCs/>
          <w:color w:val="auto"/>
          <w:sz w:val="20"/>
          <w:szCs w:val="20"/>
          <w:lang w:val="en-US"/>
        </w:rPr>
      </w:pPr>
    </w:p>
    <w:p w:rsidR="008F5C6E" w:rsidRPr="008F5C6E" w:rsidRDefault="008F5C6E" w:rsidP="008F5C6E">
      <w:pPr>
        <w:pStyle w:val="Default"/>
        <w:jc w:val="both"/>
        <w:rPr>
          <w:rFonts w:ascii="Arial" w:hAnsi="Arial" w:cs="Arial"/>
          <w:bCs/>
          <w:color w:val="auto"/>
          <w:sz w:val="20"/>
          <w:szCs w:val="20"/>
          <w:lang w:val="en-US"/>
        </w:rPr>
      </w:pPr>
      <w:r w:rsidRPr="008F5C6E">
        <w:rPr>
          <w:rFonts w:ascii="Arial" w:hAnsi="Arial" w:cs="Arial"/>
          <w:bCs/>
          <w:color w:val="auto"/>
          <w:sz w:val="20"/>
          <w:szCs w:val="20"/>
          <w:lang w:val="en-US"/>
        </w:rPr>
        <w:t>It starts with a simple example and becomes more complex. However, according to the proposed defin</w:t>
      </w:r>
      <w:r w:rsidRPr="008F5C6E">
        <w:rPr>
          <w:rFonts w:ascii="Arial" w:hAnsi="Arial" w:cs="Arial"/>
          <w:bCs/>
          <w:color w:val="auto"/>
          <w:sz w:val="20"/>
          <w:szCs w:val="20"/>
          <w:lang w:val="en-US"/>
        </w:rPr>
        <w:t>i</w:t>
      </w:r>
      <w:r w:rsidRPr="008F5C6E">
        <w:rPr>
          <w:rFonts w:ascii="Arial" w:hAnsi="Arial" w:cs="Arial"/>
          <w:bCs/>
          <w:color w:val="auto"/>
          <w:sz w:val="20"/>
          <w:szCs w:val="20"/>
          <w:lang w:val="en-US"/>
        </w:rPr>
        <w:t>tion it would always be one variable and the limit itself is unclear.</w:t>
      </w:r>
    </w:p>
    <w:p w:rsidR="008F5C6E" w:rsidRPr="008F5C6E" w:rsidRDefault="008F5C6E" w:rsidP="008F5C6E">
      <w:pPr>
        <w:pStyle w:val="Default"/>
        <w:jc w:val="both"/>
        <w:rPr>
          <w:rFonts w:ascii="Arial" w:hAnsi="Arial" w:cs="Arial"/>
          <w:bCs/>
          <w:color w:val="auto"/>
          <w:sz w:val="20"/>
          <w:szCs w:val="20"/>
          <w:lang w:val="en-US"/>
        </w:rPr>
      </w:pPr>
    </w:p>
    <w:p w:rsidR="008F5C6E" w:rsidRPr="008F5C6E" w:rsidRDefault="008F5C6E" w:rsidP="008F5C6E">
      <w:pPr>
        <w:pStyle w:val="Default"/>
        <w:jc w:val="both"/>
        <w:rPr>
          <w:rFonts w:ascii="Arial" w:hAnsi="Arial" w:cs="Arial"/>
          <w:bCs/>
          <w:color w:val="auto"/>
          <w:sz w:val="20"/>
          <w:szCs w:val="20"/>
          <w:lang w:val="en-US"/>
        </w:rPr>
      </w:pPr>
      <w:proofErr w:type="gramStart"/>
      <w:r w:rsidRPr="008F5C6E">
        <w:rPr>
          <w:rFonts w:ascii="Arial" w:hAnsi="Arial" w:cs="Arial"/>
          <w:bCs/>
          <w:color w:val="auto"/>
          <w:sz w:val="20"/>
          <w:szCs w:val="20"/>
          <w:u w:val="single"/>
          <w:lang w:val="en-US"/>
        </w:rPr>
        <w:t>Point V., 15 (c</w:t>
      </w:r>
      <w:r w:rsidRPr="008F5C6E">
        <w:rPr>
          <w:rFonts w:ascii="Arial" w:hAnsi="Arial" w:cs="Arial"/>
          <w:bCs/>
          <w:color w:val="auto"/>
          <w:sz w:val="20"/>
          <w:szCs w:val="20"/>
          <w:lang w:val="en-US"/>
        </w:rPr>
        <w:t xml:space="preserve">) – an </w:t>
      </w:r>
      <w:r w:rsidRPr="008F5C6E">
        <w:rPr>
          <w:rFonts w:ascii="Arial" w:hAnsi="Arial" w:cs="Arial"/>
          <w:b/>
          <w:bCs/>
          <w:color w:val="auto"/>
          <w:sz w:val="20"/>
          <w:szCs w:val="20"/>
          <w:lang w:val="en-US"/>
        </w:rPr>
        <w:t>unfamiliar or unusual variable is involved in the calculation of the return.</w:t>
      </w:r>
      <w:proofErr w:type="gramEnd"/>
    </w:p>
    <w:p w:rsidR="008F5C6E" w:rsidRPr="008F5C6E" w:rsidRDefault="008F5C6E" w:rsidP="008F5C6E">
      <w:pPr>
        <w:jc w:val="both"/>
        <w:rPr>
          <w:rFonts w:cs="Arial"/>
          <w:szCs w:val="20"/>
          <w:lang w:val="en-US"/>
        </w:rPr>
      </w:pPr>
      <w:r w:rsidRPr="008F5C6E">
        <w:rPr>
          <w:rFonts w:cs="Arial"/>
          <w:szCs w:val="20"/>
          <w:lang w:val="en-US"/>
        </w:rPr>
        <w:t xml:space="preserve">It would not be appropriate to consider a structured deposit as complex if its return is linked to any of the following:  </w:t>
      </w:r>
    </w:p>
    <w:p w:rsidR="008F5C6E" w:rsidRPr="008F5C6E" w:rsidRDefault="008F5C6E" w:rsidP="008F5C6E">
      <w:pPr>
        <w:pStyle w:val="ListParagraph"/>
        <w:numPr>
          <w:ilvl w:val="0"/>
          <w:numId w:val="52"/>
        </w:numPr>
        <w:spacing w:after="200" w:line="276" w:lineRule="auto"/>
        <w:jc w:val="both"/>
        <w:rPr>
          <w:rFonts w:cs="Arial"/>
          <w:szCs w:val="20"/>
          <w:lang w:val="en-US"/>
        </w:rPr>
      </w:pPr>
      <w:r w:rsidRPr="008F5C6E">
        <w:rPr>
          <w:rFonts w:cs="Arial"/>
          <w:b/>
          <w:szCs w:val="20"/>
          <w:lang w:val="en-US"/>
        </w:rPr>
        <w:t>Unusual or unfamiliar market from the perspective of the average retail client and a niche market</w:t>
      </w:r>
      <w:r w:rsidRPr="008F5C6E">
        <w:rPr>
          <w:rFonts w:cs="Arial"/>
          <w:szCs w:val="20"/>
          <w:lang w:val="en-US"/>
        </w:rPr>
        <w:t xml:space="preserve"> (see our arguments under Q4).</w:t>
      </w:r>
    </w:p>
    <w:p w:rsidR="008F5C6E" w:rsidRPr="008F5C6E" w:rsidRDefault="008F5C6E" w:rsidP="008F5C6E">
      <w:pPr>
        <w:pStyle w:val="ListParagraph"/>
        <w:numPr>
          <w:ilvl w:val="0"/>
          <w:numId w:val="52"/>
        </w:numPr>
        <w:spacing w:after="200" w:line="276" w:lineRule="auto"/>
        <w:jc w:val="both"/>
        <w:rPr>
          <w:rFonts w:cs="Arial"/>
          <w:szCs w:val="20"/>
          <w:lang w:val="en-US"/>
        </w:rPr>
      </w:pPr>
      <w:r w:rsidRPr="008F5C6E">
        <w:rPr>
          <w:rFonts w:cs="Arial"/>
          <w:b/>
          <w:szCs w:val="20"/>
          <w:lang w:val="en-US"/>
        </w:rPr>
        <w:t>In-house or synthetic index</w:t>
      </w:r>
      <w:r w:rsidRPr="008F5C6E">
        <w:rPr>
          <w:rFonts w:cs="Arial"/>
          <w:szCs w:val="20"/>
          <w:lang w:val="en-US"/>
        </w:rPr>
        <w:t>: Just because an index is created in-house or synthetic does not make it opaque automatically. Such an index can have a very simple structure and therefore be easy to u</w:t>
      </w:r>
      <w:r w:rsidRPr="008F5C6E">
        <w:rPr>
          <w:rFonts w:cs="Arial"/>
          <w:szCs w:val="20"/>
          <w:lang w:val="en-US"/>
        </w:rPr>
        <w:t>n</w:t>
      </w:r>
      <w:r w:rsidRPr="008F5C6E">
        <w:rPr>
          <w:rFonts w:cs="Arial"/>
          <w:szCs w:val="20"/>
          <w:lang w:val="en-US"/>
        </w:rPr>
        <w:t xml:space="preserve">derstand. A structured deposit linked to such an index should not be considered as complex. </w:t>
      </w:r>
    </w:p>
    <w:p w:rsidR="008F5C6E" w:rsidRPr="008F5C6E" w:rsidRDefault="008F5C6E" w:rsidP="008F5C6E">
      <w:pPr>
        <w:pStyle w:val="ListParagraph"/>
        <w:numPr>
          <w:ilvl w:val="0"/>
          <w:numId w:val="52"/>
        </w:numPr>
        <w:spacing w:after="200" w:line="276" w:lineRule="auto"/>
        <w:jc w:val="both"/>
        <w:rPr>
          <w:rFonts w:cs="Arial"/>
          <w:szCs w:val="20"/>
          <w:lang w:val="en-US"/>
        </w:rPr>
      </w:pPr>
      <w:r w:rsidRPr="008F5C6E">
        <w:rPr>
          <w:rFonts w:cs="Arial"/>
          <w:b/>
          <w:szCs w:val="20"/>
          <w:lang w:val="en-US"/>
        </w:rPr>
        <w:t>Innovative financial structure</w:t>
      </w:r>
      <w:r w:rsidRPr="008F5C6E">
        <w:rPr>
          <w:rFonts w:cs="Arial"/>
          <w:szCs w:val="20"/>
          <w:lang w:val="en-US"/>
        </w:rPr>
        <w:t>: the fact that something is new does not make it “difficult to unde</w:t>
      </w:r>
      <w:r w:rsidRPr="008F5C6E">
        <w:rPr>
          <w:rFonts w:cs="Arial"/>
          <w:szCs w:val="20"/>
          <w:lang w:val="en-US"/>
        </w:rPr>
        <w:t>r</w:t>
      </w:r>
      <w:r w:rsidRPr="008F5C6E">
        <w:rPr>
          <w:rFonts w:cs="Arial"/>
          <w:szCs w:val="20"/>
          <w:lang w:val="en-US"/>
        </w:rPr>
        <w:t>stand” by nature or “complex”. Also, innovative financial structures that offer clear benefits for inve</w:t>
      </w:r>
      <w:r w:rsidRPr="008F5C6E">
        <w:rPr>
          <w:rFonts w:cs="Arial"/>
          <w:szCs w:val="20"/>
          <w:lang w:val="en-US"/>
        </w:rPr>
        <w:t>s</w:t>
      </w:r>
      <w:r w:rsidRPr="008F5C6E">
        <w:rPr>
          <w:rFonts w:cs="Arial"/>
          <w:szCs w:val="20"/>
          <w:lang w:val="en-US"/>
        </w:rPr>
        <w:t>tors should be available to retail investors and not restricted to professional investors.</w:t>
      </w:r>
    </w:p>
    <w:p w:rsidR="0012767D" w:rsidRPr="008F5C6E" w:rsidRDefault="008F5C6E" w:rsidP="0012767D">
      <w:pPr>
        <w:pStyle w:val="ListParagraph"/>
        <w:numPr>
          <w:ilvl w:val="0"/>
          <w:numId w:val="52"/>
        </w:numPr>
        <w:spacing w:after="200" w:line="276" w:lineRule="auto"/>
        <w:jc w:val="both"/>
        <w:rPr>
          <w:lang w:val="en-US"/>
        </w:rPr>
      </w:pPr>
      <w:r w:rsidRPr="008F5C6E">
        <w:rPr>
          <w:rFonts w:cs="Arial"/>
          <w:b/>
          <w:szCs w:val="20"/>
          <w:lang w:val="en-US"/>
        </w:rPr>
        <w:t xml:space="preserve">Currency </w:t>
      </w:r>
      <w:r w:rsidRPr="008F5C6E">
        <w:rPr>
          <w:rFonts w:cs="Arial"/>
          <w:szCs w:val="20"/>
          <w:lang w:val="en-US"/>
        </w:rPr>
        <w:t>which is not the domestic currency of the country where the structured deposit is offered (see our arguments under Q 3).</w:t>
      </w:r>
    </w:p>
    <w:permEnd w:id="5"/>
    <w:p w:rsidR="0012767D" w:rsidRDefault="0012767D" w:rsidP="0012767D">
      <w:r>
        <w:t>&lt;ESMA_QUESTION_COMPLEX_5&gt;</w:t>
      </w:r>
    </w:p>
    <w:p w:rsidR="004774F9" w:rsidRDefault="004774F9" w:rsidP="0012767D"/>
    <w:p w:rsidR="0012767D" w:rsidRDefault="0012767D" w:rsidP="000E562B">
      <w:pPr>
        <w:pStyle w:val="CPQuestions"/>
        <w:numPr>
          <w:ilvl w:val="0"/>
          <w:numId w:val="0"/>
        </w:numPr>
      </w:pPr>
      <w:r w:rsidRPr="00591061">
        <w:lastRenderedPageBreak/>
        <w:t xml:space="preserve">Question </w:t>
      </w:r>
      <w:r>
        <w:t>6</w:t>
      </w:r>
      <w:r w:rsidRPr="00591061">
        <w:t>: Do you agree with the definition of a structure making it difficult for the client to understand the cost of exiting</w:t>
      </w:r>
      <w:r>
        <w:t xml:space="preserve"> a structured deposit</w:t>
      </w:r>
      <w:r w:rsidRPr="00591061">
        <w:t xml:space="preserve"> before term</w:t>
      </w:r>
      <w:r>
        <w:t xml:space="preserve"> and with the relevant examples proposed</w:t>
      </w:r>
      <w:r w:rsidRPr="00591061">
        <w:t>? If not, why not?</w:t>
      </w:r>
    </w:p>
    <w:p w:rsidR="0012767D" w:rsidRDefault="0012767D" w:rsidP="0012767D">
      <w:r>
        <w:t>&lt;ESMA_QUESTION_COMPLEX_6&gt;</w:t>
      </w:r>
    </w:p>
    <w:p w:rsidR="00A06D4A" w:rsidRPr="00A06D4A" w:rsidRDefault="00A06D4A" w:rsidP="00A06D4A">
      <w:pPr>
        <w:pStyle w:val="CPQuestions"/>
        <w:numPr>
          <w:ilvl w:val="0"/>
          <w:numId w:val="0"/>
        </w:numPr>
        <w:rPr>
          <w:rFonts w:cs="Arial"/>
          <w:b w:val="0"/>
          <w:sz w:val="20"/>
          <w:lang w:val="en-US"/>
        </w:rPr>
      </w:pPr>
      <w:permStart w:id="6" w:edGrp="everyone"/>
      <w:r w:rsidRPr="00A06D4A">
        <w:rPr>
          <w:rFonts w:cs="Arial"/>
          <w:b w:val="0"/>
          <w:sz w:val="20"/>
          <w:lang w:val="en-US"/>
        </w:rPr>
        <w:t>The definition should be complemented by indicating that complexity occurs when costs are calculated and when these would not meet the three outlined basic criteria of the definition.</w:t>
      </w:r>
    </w:p>
    <w:p w:rsidR="0012767D" w:rsidRPr="00A06D4A" w:rsidRDefault="00A06D4A" w:rsidP="00A06D4A">
      <w:pPr>
        <w:pStyle w:val="CPQuestions"/>
        <w:numPr>
          <w:ilvl w:val="0"/>
          <w:numId w:val="0"/>
        </w:numPr>
        <w:rPr>
          <w:lang w:val="en-US"/>
        </w:rPr>
      </w:pPr>
      <w:r w:rsidRPr="00A06D4A">
        <w:rPr>
          <w:rFonts w:cs="Arial"/>
          <w:b w:val="0"/>
          <w:sz w:val="20"/>
          <w:lang w:val="en-US"/>
        </w:rPr>
        <w:t>Without this addition, the following case could be considered as a complex structure although it is of benefit for the customer: a free of charge early termination right may be agreed in cases of hardship. Based on the current rationale of ESMA, this would have to be considered a complex structure as ESMA assumes the existence of a penalty which must be clearly defined. All other situations would be consi</w:t>
      </w:r>
      <w:r w:rsidRPr="00A06D4A">
        <w:rPr>
          <w:rFonts w:cs="Arial"/>
          <w:b w:val="0"/>
          <w:sz w:val="20"/>
          <w:lang w:val="en-US"/>
        </w:rPr>
        <w:t>d</w:t>
      </w:r>
      <w:r w:rsidRPr="00A06D4A">
        <w:rPr>
          <w:rFonts w:cs="Arial"/>
          <w:b w:val="0"/>
          <w:sz w:val="20"/>
          <w:lang w:val="en-US"/>
        </w:rPr>
        <w:t>ered "complex", including the renouncement of penalties.</w:t>
      </w:r>
    </w:p>
    <w:permEnd w:id="6"/>
    <w:p w:rsidR="0012767D" w:rsidRDefault="0012767D" w:rsidP="0012767D">
      <w:r>
        <w:t>&lt;ESMA_QUESTION_COMPLEX_6&gt;</w:t>
      </w:r>
    </w:p>
    <w:p w:rsidR="0012767D" w:rsidRDefault="0012767D" w:rsidP="0012767D"/>
    <w:p w:rsidR="0012767D" w:rsidRDefault="0012767D" w:rsidP="000E562B">
      <w:pPr>
        <w:pStyle w:val="CPQuestions"/>
        <w:numPr>
          <w:ilvl w:val="0"/>
          <w:numId w:val="0"/>
        </w:numPr>
      </w:pPr>
      <w:r w:rsidRPr="00DD1C5E">
        <w:t xml:space="preserve">Question </w:t>
      </w:r>
      <w:r>
        <w:t>7:</w:t>
      </w:r>
      <w:r w:rsidRPr="00DD1C5E">
        <w:t xml:space="preserve"> Please provide any specific evidence or data that would further inform the analysis of the likely cost and benefit impacts of the guidelines. </w:t>
      </w:r>
    </w:p>
    <w:p w:rsidR="0012767D" w:rsidRDefault="0012767D" w:rsidP="0012767D">
      <w:r>
        <w:t>&lt;ESMA_QUESTION_COMPLEX_7&gt;</w:t>
      </w:r>
    </w:p>
    <w:p w:rsidR="00023046" w:rsidRPr="00023046" w:rsidRDefault="00023046" w:rsidP="00023046">
      <w:pPr>
        <w:pStyle w:val="CPQuestions"/>
        <w:numPr>
          <w:ilvl w:val="0"/>
          <w:numId w:val="0"/>
        </w:numPr>
        <w:rPr>
          <w:rStyle w:val="hps"/>
          <w:rFonts w:cs="Arial"/>
          <w:b w:val="0"/>
          <w:sz w:val="20"/>
        </w:rPr>
      </w:pPr>
      <w:permStart w:id="7" w:edGrp="everyone"/>
      <w:r w:rsidRPr="00023046">
        <w:rPr>
          <w:rFonts w:cs="Arial"/>
          <w:b w:val="0"/>
          <w:sz w:val="20"/>
        </w:rPr>
        <w:t xml:space="preserve">It is appropriate to introduce a </w:t>
      </w:r>
      <w:r w:rsidRPr="00023046">
        <w:rPr>
          <w:rStyle w:val="hps"/>
          <w:rFonts w:cs="Arial"/>
          <w:b w:val="0"/>
          <w:sz w:val="20"/>
        </w:rPr>
        <w:t>classification</w:t>
      </w:r>
      <w:r w:rsidRPr="00023046">
        <w:rPr>
          <w:rFonts w:cs="Arial"/>
          <w:b w:val="0"/>
          <w:sz w:val="20"/>
        </w:rPr>
        <w:t xml:space="preserve"> regarding also </w:t>
      </w:r>
      <w:r w:rsidRPr="00023046">
        <w:rPr>
          <w:rStyle w:val="hps"/>
          <w:rFonts w:cs="Arial"/>
          <w:b w:val="0"/>
          <w:sz w:val="20"/>
        </w:rPr>
        <w:t>structured</w:t>
      </w:r>
      <w:r w:rsidRPr="00023046">
        <w:rPr>
          <w:rFonts w:cs="Arial"/>
          <w:b w:val="0"/>
          <w:sz w:val="20"/>
        </w:rPr>
        <w:t xml:space="preserve"> </w:t>
      </w:r>
      <w:r w:rsidRPr="00023046">
        <w:rPr>
          <w:rStyle w:val="hps"/>
          <w:rFonts w:cs="Arial"/>
          <w:b w:val="0"/>
          <w:sz w:val="20"/>
        </w:rPr>
        <w:t>deposits distinguishing between "</w:t>
      </w:r>
      <w:r w:rsidRPr="00023046">
        <w:rPr>
          <w:rFonts w:cs="Arial"/>
          <w:b w:val="0"/>
          <w:sz w:val="20"/>
        </w:rPr>
        <w:t xml:space="preserve">non-complex" </w:t>
      </w:r>
      <w:r w:rsidRPr="00023046">
        <w:rPr>
          <w:rStyle w:val="hps"/>
          <w:rFonts w:cs="Arial"/>
          <w:b w:val="0"/>
          <w:sz w:val="20"/>
        </w:rPr>
        <w:t>and</w:t>
      </w:r>
      <w:r w:rsidRPr="00023046">
        <w:rPr>
          <w:rFonts w:cs="Arial"/>
          <w:b w:val="0"/>
          <w:sz w:val="20"/>
        </w:rPr>
        <w:t xml:space="preserve"> </w:t>
      </w:r>
      <w:r w:rsidRPr="00023046">
        <w:rPr>
          <w:rStyle w:val="hps"/>
          <w:rFonts w:cs="Arial"/>
          <w:b w:val="0"/>
          <w:sz w:val="20"/>
        </w:rPr>
        <w:t>"</w:t>
      </w:r>
      <w:r w:rsidRPr="00023046">
        <w:rPr>
          <w:rFonts w:cs="Arial"/>
          <w:b w:val="0"/>
          <w:sz w:val="20"/>
        </w:rPr>
        <w:t xml:space="preserve">complex" </w:t>
      </w:r>
      <w:r w:rsidRPr="00023046">
        <w:rPr>
          <w:rStyle w:val="hps"/>
          <w:rFonts w:cs="Arial"/>
          <w:b w:val="0"/>
          <w:sz w:val="20"/>
        </w:rPr>
        <w:t>structures</w:t>
      </w:r>
      <w:r w:rsidRPr="00023046">
        <w:rPr>
          <w:rFonts w:cs="Arial"/>
          <w:b w:val="0"/>
          <w:sz w:val="20"/>
        </w:rPr>
        <w:t xml:space="preserve"> in order to </w:t>
      </w:r>
      <w:r w:rsidRPr="00023046">
        <w:rPr>
          <w:rStyle w:val="hps"/>
          <w:rFonts w:cs="Arial"/>
          <w:b w:val="0"/>
          <w:sz w:val="20"/>
        </w:rPr>
        <w:t>optimally</w:t>
      </w:r>
      <w:r w:rsidRPr="00023046">
        <w:rPr>
          <w:rFonts w:cs="Arial"/>
          <w:b w:val="0"/>
          <w:sz w:val="20"/>
        </w:rPr>
        <w:t xml:space="preserve"> </w:t>
      </w:r>
      <w:r w:rsidRPr="00023046">
        <w:rPr>
          <w:rStyle w:val="hps"/>
          <w:rFonts w:cs="Arial"/>
          <w:b w:val="0"/>
          <w:sz w:val="20"/>
        </w:rPr>
        <w:t>advise customers</w:t>
      </w:r>
      <w:r w:rsidRPr="00023046">
        <w:rPr>
          <w:rFonts w:cs="Arial"/>
          <w:b w:val="0"/>
          <w:sz w:val="20"/>
        </w:rPr>
        <w:t xml:space="preserve"> </w:t>
      </w:r>
      <w:r w:rsidRPr="00023046">
        <w:rPr>
          <w:rStyle w:val="hps"/>
          <w:rFonts w:cs="Arial"/>
          <w:b w:val="0"/>
          <w:sz w:val="20"/>
        </w:rPr>
        <w:t>and</w:t>
      </w:r>
      <w:r w:rsidRPr="00023046">
        <w:rPr>
          <w:rFonts w:cs="Arial"/>
          <w:b w:val="0"/>
          <w:sz w:val="20"/>
        </w:rPr>
        <w:t xml:space="preserve"> </w:t>
      </w:r>
      <w:r w:rsidRPr="00023046">
        <w:rPr>
          <w:rStyle w:val="hps"/>
          <w:rFonts w:cs="Arial"/>
          <w:b w:val="0"/>
          <w:sz w:val="20"/>
        </w:rPr>
        <w:t>to protect</w:t>
      </w:r>
      <w:r w:rsidRPr="00023046">
        <w:rPr>
          <w:rFonts w:cs="Arial"/>
          <w:b w:val="0"/>
          <w:sz w:val="20"/>
        </w:rPr>
        <w:t xml:space="preserve"> their </w:t>
      </w:r>
      <w:r w:rsidRPr="00023046">
        <w:rPr>
          <w:rStyle w:val="hps"/>
          <w:rFonts w:cs="Arial"/>
          <w:b w:val="0"/>
          <w:sz w:val="20"/>
        </w:rPr>
        <w:t>inte</w:t>
      </w:r>
      <w:r w:rsidRPr="00023046">
        <w:rPr>
          <w:rStyle w:val="hps"/>
          <w:rFonts w:cs="Arial"/>
          <w:b w:val="0"/>
          <w:sz w:val="20"/>
        </w:rPr>
        <w:t>r</w:t>
      </w:r>
      <w:r w:rsidRPr="00023046">
        <w:rPr>
          <w:rStyle w:val="hps"/>
          <w:rFonts w:cs="Arial"/>
          <w:b w:val="0"/>
          <w:sz w:val="20"/>
        </w:rPr>
        <w:t>ests</w:t>
      </w:r>
      <w:r w:rsidRPr="00023046">
        <w:rPr>
          <w:rFonts w:cs="Arial"/>
          <w:b w:val="0"/>
          <w:sz w:val="20"/>
        </w:rPr>
        <w:t xml:space="preserve">. However, in </w:t>
      </w:r>
      <w:r w:rsidRPr="00023046">
        <w:rPr>
          <w:rStyle w:val="hps"/>
          <w:rFonts w:cs="Arial"/>
          <w:b w:val="0"/>
          <w:sz w:val="20"/>
        </w:rPr>
        <w:t>its present form</w:t>
      </w:r>
      <w:r w:rsidRPr="00023046">
        <w:rPr>
          <w:rFonts w:cs="Arial"/>
          <w:b w:val="0"/>
          <w:sz w:val="20"/>
        </w:rPr>
        <w:t>, the definitions do not allow a</w:t>
      </w:r>
      <w:r w:rsidRPr="00023046">
        <w:rPr>
          <w:rStyle w:val="hps"/>
          <w:rFonts w:cs="Arial"/>
          <w:b w:val="0"/>
          <w:sz w:val="20"/>
        </w:rPr>
        <w:t xml:space="preserve"> clear</w:t>
      </w:r>
      <w:r w:rsidRPr="00023046">
        <w:rPr>
          <w:rFonts w:cs="Arial"/>
          <w:b w:val="0"/>
          <w:sz w:val="20"/>
        </w:rPr>
        <w:t xml:space="preserve"> distinction</w:t>
      </w:r>
      <w:r w:rsidRPr="00023046">
        <w:rPr>
          <w:rStyle w:val="hps"/>
          <w:rFonts w:cs="Arial"/>
          <w:b w:val="0"/>
          <w:sz w:val="20"/>
        </w:rPr>
        <w:t xml:space="preserve">. </w:t>
      </w:r>
    </w:p>
    <w:p w:rsidR="0012767D" w:rsidRDefault="00023046" w:rsidP="00023046">
      <w:pPr>
        <w:pStyle w:val="CPQuestions"/>
        <w:numPr>
          <w:ilvl w:val="0"/>
          <w:numId w:val="0"/>
        </w:numPr>
      </w:pPr>
      <w:r w:rsidRPr="00023046">
        <w:rPr>
          <w:rFonts w:cs="Arial"/>
          <w:b w:val="0"/>
          <w:sz w:val="20"/>
        </w:rPr>
        <w:t xml:space="preserve">Due to the </w:t>
      </w:r>
      <w:r w:rsidRPr="00023046">
        <w:rPr>
          <w:rStyle w:val="hps"/>
          <w:rFonts w:cs="Arial"/>
          <w:b w:val="0"/>
          <w:sz w:val="20"/>
        </w:rPr>
        <w:t>lack</w:t>
      </w:r>
      <w:r w:rsidRPr="00023046">
        <w:rPr>
          <w:rFonts w:cs="Arial"/>
          <w:b w:val="0"/>
          <w:sz w:val="20"/>
        </w:rPr>
        <w:t xml:space="preserve"> </w:t>
      </w:r>
      <w:r w:rsidRPr="00023046">
        <w:rPr>
          <w:rStyle w:val="hps"/>
          <w:rFonts w:cs="Arial"/>
          <w:b w:val="0"/>
          <w:sz w:val="20"/>
        </w:rPr>
        <w:t>of clear</w:t>
      </w:r>
      <w:r w:rsidRPr="00023046">
        <w:rPr>
          <w:rFonts w:cs="Arial"/>
          <w:b w:val="0"/>
          <w:sz w:val="20"/>
        </w:rPr>
        <w:t xml:space="preserve"> criteria that would allow a correct classification of products, </w:t>
      </w:r>
      <w:r w:rsidRPr="00023046">
        <w:rPr>
          <w:rStyle w:val="hps"/>
          <w:rFonts w:cs="Arial"/>
          <w:b w:val="0"/>
          <w:sz w:val="20"/>
        </w:rPr>
        <w:t>there will be no</w:t>
      </w:r>
      <w:r w:rsidRPr="00023046">
        <w:rPr>
          <w:rFonts w:cs="Arial"/>
          <w:b w:val="0"/>
          <w:sz w:val="20"/>
        </w:rPr>
        <w:t xml:space="preserve"> </w:t>
      </w:r>
      <w:r w:rsidRPr="00023046">
        <w:rPr>
          <w:rStyle w:val="hps"/>
          <w:rFonts w:cs="Arial"/>
          <w:b w:val="0"/>
          <w:sz w:val="20"/>
        </w:rPr>
        <w:t>legal certainty for market participants. As a result, almost all</w:t>
      </w:r>
      <w:r w:rsidRPr="00023046">
        <w:rPr>
          <w:rFonts w:cs="Arial"/>
          <w:b w:val="0"/>
          <w:sz w:val="20"/>
        </w:rPr>
        <w:t xml:space="preserve"> </w:t>
      </w:r>
      <w:r w:rsidRPr="00023046">
        <w:rPr>
          <w:rStyle w:val="hps"/>
          <w:rFonts w:cs="Arial"/>
          <w:b w:val="0"/>
          <w:sz w:val="20"/>
        </w:rPr>
        <w:t>structured</w:t>
      </w:r>
      <w:r w:rsidRPr="00023046">
        <w:rPr>
          <w:rFonts w:cs="Arial"/>
          <w:b w:val="0"/>
          <w:sz w:val="20"/>
        </w:rPr>
        <w:t xml:space="preserve"> </w:t>
      </w:r>
      <w:r w:rsidRPr="00023046">
        <w:rPr>
          <w:rStyle w:val="hps"/>
          <w:rFonts w:cs="Arial"/>
          <w:b w:val="0"/>
          <w:sz w:val="20"/>
        </w:rPr>
        <w:t>deposits</w:t>
      </w:r>
      <w:r w:rsidRPr="00023046">
        <w:rPr>
          <w:rFonts w:cs="Arial"/>
          <w:b w:val="0"/>
          <w:sz w:val="20"/>
        </w:rPr>
        <w:t xml:space="preserve"> will have to be </w:t>
      </w:r>
      <w:r w:rsidRPr="00023046">
        <w:rPr>
          <w:rStyle w:val="hps"/>
          <w:rFonts w:cs="Arial"/>
          <w:b w:val="0"/>
          <w:sz w:val="20"/>
        </w:rPr>
        <w:t>considered as</w:t>
      </w:r>
      <w:r w:rsidRPr="00023046">
        <w:rPr>
          <w:rFonts w:cs="Arial"/>
          <w:b w:val="0"/>
          <w:sz w:val="20"/>
        </w:rPr>
        <w:t xml:space="preserve"> </w:t>
      </w:r>
      <w:r w:rsidRPr="00023046">
        <w:rPr>
          <w:rStyle w:val="hps"/>
          <w:rFonts w:cs="Arial"/>
          <w:b w:val="0"/>
          <w:sz w:val="20"/>
        </w:rPr>
        <w:t>complex reducing the pool of investment</w:t>
      </w:r>
      <w:r w:rsidRPr="00023046">
        <w:rPr>
          <w:rFonts w:cs="Arial"/>
          <w:b w:val="0"/>
          <w:sz w:val="20"/>
        </w:rPr>
        <w:t xml:space="preserve"> </w:t>
      </w:r>
      <w:r w:rsidRPr="00023046">
        <w:rPr>
          <w:rStyle w:val="hps"/>
          <w:rFonts w:cs="Arial"/>
          <w:b w:val="0"/>
          <w:sz w:val="20"/>
        </w:rPr>
        <w:t xml:space="preserve">opportunities available to </w:t>
      </w:r>
      <w:r w:rsidRPr="00023046">
        <w:rPr>
          <w:rFonts w:cs="Arial"/>
          <w:b w:val="0"/>
          <w:sz w:val="20"/>
        </w:rPr>
        <w:t>retail investors</w:t>
      </w:r>
      <w:r w:rsidRPr="00023046">
        <w:rPr>
          <w:rStyle w:val="hps"/>
          <w:rFonts w:cs="Arial"/>
          <w:b w:val="0"/>
          <w:sz w:val="20"/>
        </w:rPr>
        <w:t>.</w:t>
      </w:r>
    </w:p>
    <w:permEnd w:id="7"/>
    <w:p w:rsidR="0012767D" w:rsidRDefault="0012767D" w:rsidP="0012767D">
      <w:r>
        <w:t>&lt;ESMA_QUESTION_COMPLEX_7&gt;</w:t>
      </w:r>
    </w:p>
    <w:p w:rsidR="0012767D" w:rsidRDefault="0012767D" w:rsidP="0012767D"/>
    <w:p w:rsidR="00F32462" w:rsidRDefault="0012767D" w:rsidP="0012767D">
      <w:r>
        <w:t xml:space="preserve"> </w:t>
      </w: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1DF" w:rsidRDefault="006811DF">
      <w:r>
        <w:separator/>
      </w:r>
    </w:p>
    <w:p w:rsidR="006811DF" w:rsidRDefault="006811DF"/>
  </w:endnote>
  <w:endnote w:type="continuationSeparator" w:id="0">
    <w:p w:rsidR="006811DF" w:rsidRDefault="006811DF">
      <w:r>
        <w:continuationSeparator/>
      </w:r>
    </w:p>
    <w:p w:rsidR="006811DF" w:rsidRDefault="006811DF"/>
  </w:endnote>
  <w:endnote w:type="continuationNotice" w:id="1">
    <w:p w:rsidR="006811DF" w:rsidRDefault="006811D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2041D3"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D03462">
            <w:rPr>
              <w:rFonts w:cs="Arial"/>
              <w:noProof/>
              <w:sz w:val="22"/>
              <w:szCs w:val="22"/>
            </w:rPr>
            <w:t>8</w:t>
          </w:r>
          <w:r w:rsidRPr="00616B9B">
            <w:rPr>
              <w:rFonts w:cs="Arial"/>
              <w:noProof/>
              <w:sz w:val="22"/>
              <w:szCs w:val="22"/>
            </w:rPr>
            <w:fldChar w:fldCharType="end"/>
          </w:r>
        </w:p>
      </w:tc>
    </w:tr>
  </w:tbl>
  <w:p w:rsidR="00811EDA" w:rsidRDefault="0081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1DF" w:rsidRDefault="006811DF">
      <w:r>
        <w:separator/>
      </w:r>
    </w:p>
    <w:p w:rsidR="006811DF" w:rsidRDefault="006811DF"/>
  </w:footnote>
  <w:footnote w:type="continuationSeparator" w:id="0">
    <w:p w:rsidR="006811DF" w:rsidRDefault="006811DF">
      <w:r>
        <w:continuationSeparator/>
      </w:r>
    </w:p>
    <w:p w:rsidR="006811DF" w:rsidRDefault="006811DF"/>
  </w:footnote>
  <w:footnote w:type="continuationNotice" w:id="1">
    <w:p w:rsidR="006811DF" w:rsidRDefault="006811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2041D3" w:rsidRPr="002041D3">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2041D3">
    <w:pPr>
      <w:pStyle w:val="Header"/>
    </w:pPr>
    <w:r w:rsidRPr="002041D3">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DE66EB">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4793987"/>
    <w:multiLevelType w:val="hybridMultilevel"/>
    <w:tmpl w:val="7A327414"/>
    <w:lvl w:ilvl="0" w:tplc="26A63206">
      <w:start w:val="5"/>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6B1D13"/>
    <w:multiLevelType w:val="hybridMultilevel"/>
    <w:tmpl w:val="3AAE90D8"/>
    <w:lvl w:ilvl="0" w:tplc="26A63206">
      <w:start w:val="5"/>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3CE42F1E"/>
    <w:multiLevelType w:val="hybridMultilevel"/>
    <w:tmpl w:val="837C9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3"/>
  </w:num>
  <w:num w:numId="4">
    <w:abstractNumId w:val="25"/>
  </w:num>
  <w:num w:numId="5">
    <w:abstractNumId w:val="27"/>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2"/>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11"/>
  </w:num>
  <w:num w:numId="24">
    <w:abstractNumId w:val="31"/>
  </w:num>
  <w:num w:numId="25">
    <w:abstractNumId w:val="30"/>
  </w:num>
  <w:num w:numId="26">
    <w:abstractNumId w:val="21"/>
  </w:num>
  <w:num w:numId="27">
    <w:abstractNumId w:val="34"/>
  </w:num>
  <w:num w:numId="28">
    <w:abstractNumId w:val="39"/>
  </w:num>
  <w:num w:numId="29">
    <w:abstractNumId w:val="9"/>
  </w:num>
  <w:num w:numId="30">
    <w:abstractNumId w:val="4"/>
  </w:num>
  <w:num w:numId="31">
    <w:abstractNumId w:val="23"/>
  </w:num>
  <w:num w:numId="32">
    <w:abstractNumId w:val="3"/>
  </w:num>
  <w:num w:numId="33">
    <w:abstractNumId w:val="8"/>
  </w:num>
  <w:num w:numId="34">
    <w:abstractNumId w:val="22"/>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
  </w:num>
  <w:num w:numId="51">
    <w:abstractNumId w:val="5"/>
  </w:num>
  <w:num w:numId="52">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stylePaneFormatFilter w:val="1F01"/>
  <w:documentProtection w:edit="readOnly" w:enforcement="1" w:cryptProviderType="rsaFull" w:cryptAlgorithmClass="hash" w:cryptAlgorithmType="typeAny" w:cryptAlgorithmSid="4" w:cryptSpinCount="100000" w:hash="o1Ewypaf3m+7FG2jHK0nMnU5+CM=" w:salt="mI2wKqDbznMe2+8muRcIMw=="/>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046"/>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62B"/>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67D"/>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1D3"/>
    <w:rsid w:val="00204CBC"/>
    <w:rsid w:val="002051F1"/>
    <w:rsid w:val="002067BA"/>
    <w:rsid w:val="0021058D"/>
    <w:rsid w:val="00211E2F"/>
    <w:rsid w:val="00211E9E"/>
    <w:rsid w:val="00214FB4"/>
    <w:rsid w:val="00215940"/>
    <w:rsid w:val="0021776A"/>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51D4"/>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D1B"/>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4F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2F8D"/>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11DF"/>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89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528"/>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AE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46C"/>
    <w:rsid w:val="008F5C6E"/>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6D4A"/>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11B"/>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4A49"/>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3462"/>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845"/>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496C"/>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4BB2"/>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050B"/>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0E33-8E34-4D1F-A638-ADC42FAC02A7}">
  <ds:schemaRefs>
    <ds:schemaRef ds:uri="http://schemas.openxmlformats.org/officeDocument/2006/bibliography"/>
  </ds:schemaRefs>
</ds:datastoreItem>
</file>

<file path=customXml/itemProps2.xml><?xml version="1.0" encoding="utf-8"?>
<ds:datastoreItem xmlns:ds="http://schemas.openxmlformats.org/officeDocument/2006/customXml" ds:itemID="{F6FEF9EA-FBBF-4462-B9BD-A172B3E6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2783</Words>
  <Characters>14972</Characters>
  <Application>Microsoft Office Word</Application>
  <DocSecurity>8</DocSecurity>
  <Lines>287</Lines>
  <Paragraphs>102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Consultation Paper on draft guidelines on complex debt instruments and structured deposits</vt:lpstr>
      <vt:lpstr>20110000</vt:lpstr>
      <vt:lpstr>20110000</vt:lpstr>
      <vt:lpstr>20110000</vt:lpstr>
      <vt:lpstr>20110000</vt:lpstr>
    </vt:vector>
  </TitlesOfParts>
  <Company>ESMA</Company>
  <LinksUpToDate>false</LinksUpToDate>
  <CharactersWithSpaces>17653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Consultation Paper on draft guidelines on complex debt instruments and structured deposits</dc:title>
  <dc:creator>adrian.enache@esma.europa.eu</dc:creator>
  <cp:lastModifiedBy>Anette Hauff</cp:lastModifiedBy>
  <cp:revision>7</cp:revision>
  <cp:lastPrinted>2015-02-18T11:01:00Z</cp:lastPrinted>
  <dcterms:created xsi:type="dcterms:W3CDTF">2015-06-17T16:02:00Z</dcterms:created>
  <dcterms:modified xsi:type="dcterms:W3CDTF">2015-06-18T09:10:00Z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b588b4cf-aa9e-46e3-a5bb-5c39d6d98d04</vt:lpwstr>
  </property>
</Properties>
</file>