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2851D4" w:rsidP="00542F8D">
            <w:pPr>
              <w:pStyle w:val="00bDBInfo"/>
              <w:rPr>
                <w:rFonts w:cs="Arial"/>
              </w:rPr>
            </w:pPr>
            <w:r>
              <w:rPr>
                <w:rFonts w:cs="Arial"/>
              </w:rPr>
              <w:t>2</w:t>
            </w:r>
            <w:r w:rsidR="00542F8D">
              <w:rPr>
                <w:rFonts w:cs="Arial"/>
              </w:rPr>
              <w:t>4</w:t>
            </w:r>
            <w:r>
              <w:rPr>
                <w:rFonts w:cs="Arial"/>
              </w:rPr>
              <w:t xml:space="preserve"> March</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D089D" w:rsidRDefault="00AE627C" w:rsidP="00C000A5">
            <w:pPr>
              <w:pStyle w:val="01aDBTitle"/>
              <w:rPr>
                <w:rFonts w:cs="Arial"/>
                <w:sz w:val="36"/>
                <w:szCs w:val="36"/>
              </w:rPr>
            </w:pPr>
            <w:r w:rsidRPr="006D089D">
              <w:rPr>
                <w:rFonts w:cs="Arial"/>
                <w:sz w:val="36"/>
                <w:szCs w:val="36"/>
              </w:rPr>
              <w:t>Reply form</w:t>
            </w:r>
            <w:r w:rsidR="00B835D5" w:rsidRPr="006D089D">
              <w:rPr>
                <w:rFonts w:cs="Arial"/>
                <w:sz w:val="36"/>
                <w:szCs w:val="36"/>
              </w:rPr>
              <w:t xml:space="preserve"> </w:t>
            </w:r>
            <w:r w:rsidR="0043173B" w:rsidRPr="006D089D">
              <w:rPr>
                <w:rFonts w:cs="Arial"/>
                <w:sz w:val="36"/>
                <w:szCs w:val="36"/>
              </w:rPr>
              <w:t>for</w:t>
            </w:r>
            <w:r w:rsidR="00027ECF" w:rsidRPr="006D089D">
              <w:rPr>
                <w:rFonts w:cs="Arial"/>
                <w:sz w:val="36"/>
                <w:szCs w:val="36"/>
              </w:rPr>
              <w:t xml:space="preserve"> the </w:t>
            </w:r>
          </w:p>
          <w:p w:rsidR="006D089D" w:rsidRDefault="006D089D" w:rsidP="00C000A5">
            <w:pPr>
              <w:pStyle w:val="01aDBTitle"/>
              <w:rPr>
                <w:rFonts w:cs="Arial"/>
                <w:sz w:val="36"/>
                <w:szCs w:val="36"/>
              </w:rPr>
            </w:pPr>
            <w:r w:rsidRPr="006D089D">
              <w:rPr>
                <w:rFonts w:cs="Arial"/>
                <w:sz w:val="36"/>
                <w:szCs w:val="36"/>
              </w:rPr>
              <w:t xml:space="preserve">Consultation Paper on draft guidelines on </w:t>
            </w:r>
          </w:p>
          <w:p w:rsidR="00422A7D" w:rsidRPr="006D089D" w:rsidRDefault="006D089D" w:rsidP="00C000A5">
            <w:pPr>
              <w:pStyle w:val="01aDBTitle"/>
              <w:rPr>
                <w:rFonts w:cs="Arial"/>
                <w:sz w:val="36"/>
                <w:szCs w:val="36"/>
              </w:rPr>
            </w:pPr>
            <w:r w:rsidRPr="006D089D">
              <w:rPr>
                <w:rFonts w:cs="Arial"/>
                <w:sz w:val="36"/>
                <w:szCs w:val="36"/>
              </w:rPr>
              <w:t>complex debt instruments and structured deposits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AF711B">
            <w:pPr>
              <w:pStyle w:val="02Date"/>
              <w:rPr>
                <w:rFonts w:cs="Arial"/>
              </w:rPr>
            </w:pPr>
            <w:r w:rsidRPr="004E49B0">
              <w:rPr>
                <w:rFonts w:cs="Arial"/>
              </w:rPr>
              <w:lastRenderedPageBreak/>
              <w:t xml:space="preserve">Date: </w:t>
            </w:r>
            <w:r w:rsidR="00542F8D">
              <w:rPr>
                <w:rFonts w:cs="Arial"/>
              </w:rPr>
              <w:t>24</w:t>
            </w:r>
            <w:r w:rsidR="004E49B0" w:rsidRPr="004E49B0">
              <w:rPr>
                <w:rFonts w:cs="Arial"/>
              </w:rPr>
              <w:t xml:space="preserve"> </w:t>
            </w:r>
            <w:r w:rsidR="00AF711B">
              <w:rPr>
                <w:rFonts w:cs="Arial"/>
              </w:rPr>
              <w:t>March</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6D089D">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6D089D" w:rsidRPr="006D089D">
        <w:rPr>
          <w:rFonts w:cs="Arial"/>
        </w:rPr>
        <w:t>Consultation Paper on</w:t>
      </w:r>
      <w:r w:rsidR="006D089D">
        <w:rPr>
          <w:rFonts w:cs="Arial"/>
        </w:rPr>
        <w:t xml:space="preserve"> draft guidelines on </w:t>
      </w:r>
      <w:r w:rsidR="006D089D" w:rsidRPr="006D089D">
        <w:rPr>
          <w:rFonts w:cs="Arial"/>
        </w:rPr>
        <w:t>complex debt instruments and structured deposits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0E562B" w:rsidRPr="000E562B">
        <w:t xml:space="preserve"> </w:t>
      </w:r>
      <w:r w:rsidR="000E562B">
        <w:t>ESMA_QUESTION_COMPLEX</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w:t>
      </w:r>
      <w:r w:rsidR="0021776A" w:rsidRPr="0021776A">
        <w:rPr>
          <w:rFonts w:cs="Arial"/>
        </w:rPr>
        <w:t>_COMPLEXPRODUCTS_</w:t>
      </w:r>
      <w:r w:rsidRPr="00EF0769">
        <w:rPr>
          <w:rFonts w:cs="Arial"/>
        </w:rPr>
        <w:t>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21776A">
        <w:rPr>
          <w:rFonts w:cs="Arial"/>
        </w:rPr>
        <w:t>XXXX</w:t>
      </w:r>
      <w:r w:rsidRPr="00EF0769">
        <w:rPr>
          <w:rFonts w:cs="Arial"/>
        </w:rPr>
        <w:t xml:space="preserve">, the </w:t>
      </w:r>
      <w:r w:rsidR="00021E83" w:rsidRPr="00EF0769">
        <w:rPr>
          <w:rFonts w:cs="Arial"/>
        </w:rPr>
        <w:t>name of the reply form would be:</w:t>
      </w:r>
    </w:p>
    <w:p w:rsidR="00021E83" w:rsidRPr="00EF0769" w:rsidRDefault="0021776A" w:rsidP="000D17AA">
      <w:pPr>
        <w:pStyle w:val="04BodyText"/>
        <w:spacing w:before="120" w:after="120"/>
        <w:jc w:val="left"/>
        <w:rPr>
          <w:rFonts w:cs="Arial"/>
        </w:rPr>
      </w:pPr>
      <w:r w:rsidRPr="00EF0769">
        <w:rPr>
          <w:rFonts w:cs="Arial"/>
        </w:rPr>
        <w:t>ESMA</w:t>
      </w:r>
      <w:r w:rsidRPr="0021776A">
        <w:rPr>
          <w:rFonts w:cs="Arial"/>
        </w:rPr>
        <w:t>_COMPLEXPRODUCTS_</w:t>
      </w:r>
      <w:r>
        <w:rPr>
          <w:rFonts w:cs="Arial"/>
        </w:rPr>
        <w:t>XXXX</w:t>
      </w:r>
      <w:r w:rsidR="00021E83" w:rsidRPr="00EF0769">
        <w:rPr>
          <w:rFonts w:cs="Arial"/>
        </w:rPr>
        <w:t xml:space="preserve">_REPLYFORM or </w:t>
      </w:r>
    </w:p>
    <w:p w:rsidR="00332304" w:rsidRDefault="0021776A" w:rsidP="008F546C">
      <w:pPr>
        <w:pStyle w:val="04BodyText"/>
        <w:spacing w:before="120" w:after="120"/>
        <w:jc w:val="left"/>
        <w:rPr>
          <w:rFonts w:cs="Arial"/>
        </w:rPr>
      </w:pPr>
      <w:r w:rsidRPr="00EF0769">
        <w:rPr>
          <w:rFonts w:cs="Arial"/>
        </w:rPr>
        <w:t>ESMA</w:t>
      </w:r>
      <w:r w:rsidRPr="0021776A">
        <w:rPr>
          <w:rFonts w:cs="Arial"/>
        </w:rPr>
        <w:t>_COMPLEXPRODUCTS_</w:t>
      </w:r>
      <w:r>
        <w:rPr>
          <w:rFonts w:cs="Arial"/>
        </w:rPr>
        <w:t>XXXX</w:t>
      </w:r>
      <w:r w:rsidR="00021E83" w:rsidRPr="00EF0769">
        <w:rPr>
          <w:rFonts w:cs="Arial"/>
        </w:rPr>
        <w:t>_ANNEX1</w:t>
      </w:r>
    </w:p>
    <w:p w:rsidR="008F546C" w:rsidRPr="008F546C" w:rsidRDefault="008F546C" w:rsidP="008F546C">
      <w:pPr>
        <w:pStyle w:val="04BodyText"/>
        <w:spacing w:before="120" w:after="120"/>
        <w:jc w:val="left"/>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F711B">
        <w:rPr>
          <w:rFonts w:cs="Arial"/>
          <w:b/>
        </w:rPr>
        <w:t>15</w:t>
      </w:r>
      <w:r w:rsidR="00021E83" w:rsidRPr="00EF0769">
        <w:rPr>
          <w:rFonts w:cs="Arial"/>
          <w:b/>
        </w:rPr>
        <w:t xml:space="preserve"> </w:t>
      </w:r>
      <w:r w:rsidR="00AF711B">
        <w:rPr>
          <w:rFonts w:cs="Arial"/>
          <w:b/>
        </w:rPr>
        <w:t>June</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8F546C" w:rsidRDefault="008F546C"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itre1"/>
        <w:numPr>
          <w:ilvl w:val="0"/>
          <w:numId w:val="0"/>
        </w:numPr>
        <w:ind w:left="431" w:hanging="431"/>
      </w:pPr>
      <w:r>
        <w:lastRenderedPageBreak/>
        <w:t>Introduction</w:t>
      </w:r>
    </w:p>
    <w:p w:rsidR="00D34282" w:rsidRPr="001D47A5" w:rsidRDefault="00D34282" w:rsidP="00D34282">
      <w:pPr>
        <w:rPr>
          <w:rStyle w:val="Emphaseintense"/>
        </w:rPr>
      </w:pPr>
      <w:r w:rsidRPr="001D47A5">
        <w:rPr>
          <w:rStyle w:val="Emphaseintense"/>
        </w:rPr>
        <w:t>Please make your introductory comments below, if any:</w:t>
      </w:r>
    </w:p>
    <w:p w:rsidR="00D34282" w:rsidRPr="00C25863" w:rsidRDefault="00D34282" w:rsidP="00D34282">
      <w:r w:rsidRPr="00C25863">
        <w:t>&lt;</w:t>
      </w:r>
      <w:r w:rsidRPr="00D74C9D">
        <w:t xml:space="preserve"> </w:t>
      </w:r>
      <w:r>
        <w:t>ESMA_COMMENT</w:t>
      </w:r>
      <w:r w:rsidR="0012767D">
        <w:t>_COMPLEX_</w:t>
      </w:r>
      <w:r w:rsidRPr="00C25863">
        <w:t>1&gt;</w:t>
      </w:r>
    </w:p>
    <w:p w:rsidR="00596788" w:rsidRDefault="00CD308B" w:rsidP="00596788">
      <w:permStart w:id="1480736854" w:edGrp="everyone"/>
      <w:r>
        <w:t xml:space="preserve"> </w:t>
      </w:r>
      <w:r w:rsidR="00596788">
        <w:t>Amundi is the European leader and in the Top 10 worldwide in the asset management industry with AUM of more than  €950 billion. Located in more than 30 countries, Amundi offers a comprehensive range of products covering all asset classes and major currencies. Amundi has developed savings solutions to meet the needs of more than 100 million retail clients worldwide and designs innovative, high-performing products for institutional clients which are tailored specifically to their requirements and risk profile.</w:t>
      </w:r>
    </w:p>
    <w:p w:rsidR="00596788" w:rsidRDefault="00596788" w:rsidP="00596788">
      <w:r>
        <w:t>The Group contributes to funding the economy by orienting savings towards company development.</w:t>
      </w:r>
    </w:p>
    <w:p w:rsidR="00596788" w:rsidRDefault="00596788" w:rsidP="00596788"/>
    <w:p w:rsidR="00EA22AF" w:rsidRDefault="00596788" w:rsidP="00DE0DE7">
      <w:r>
        <w:t xml:space="preserve">As a major asset manager, </w:t>
      </w:r>
      <w:r w:rsidR="00F86CA4">
        <w:t>Amundi</w:t>
      </w:r>
      <w:r w:rsidR="00CD308B">
        <w:t xml:space="preserve"> supports the move towards a more even playing field that the exte</w:t>
      </w:r>
      <w:r w:rsidR="00CD308B">
        <w:t>n</w:t>
      </w:r>
      <w:r w:rsidR="00CD308B">
        <w:t xml:space="preserve">sion </w:t>
      </w:r>
      <w:r w:rsidR="002320D7">
        <w:t xml:space="preserve">to debt instruments and structured deposits </w:t>
      </w:r>
      <w:r w:rsidR="00CD308B">
        <w:t>of the requirements of MIF applying to “complex pro</w:t>
      </w:r>
      <w:r w:rsidR="00CD308B">
        <w:t>d</w:t>
      </w:r>
      <w:r w:rsidR="00CD308B">
        <w:t>ucts</w:t>
      </w:r>
      <w:r w:rsidR="002320D7">
        <w:t>”</w:t>
      </w:r>
      <w:r w:rsidR="00CD308B">
        <w:t xml:space="preserve"> represents. It is not yet totally satis</w:t>
      </w:r>
      <w:r>
        <w:t>fying</w:t>
      </w:r>
      <w:r w:rsidR="000A0527">
        <w:t xml:space="preserve"> </w:t>
      </w:r>
      <w:r w:rsidR="00CD308B">
        <w:t>for asset managers whose funds are considered as complex as soon as they are structured</w:t>
      </w:r>
      <w:r w:rsidR="00EA22AF">
        <w:t xml:space="preserve"> UCITS or AIFs</w:t>
      </w:r>
      <w:r w:rsidR="00CD308B">
        <w:t xml:space="preserve"> when debt instrument</w:t>
      </w:r>
      <w:r>
        <w:t>s</w:t>
      </w:r>
      <w:r w:rsidR="00CD308B">
        <w:t xml:space="preserve"> must either embed a derivative or be difficult to understand and structured deposits must be difficult to understand in terms of risk/return or cost of an early redemption in order to qualify as complex.</w:t>
      </w:r>
    </w:p>
    <w:p w:rsidR="00EA22AF" w:rsidRDefault="00EA22AF" w:rsidP="00DE0DE7"/>
    <w:p w:rsidR="00EA22AF" w:rsidRDefault="00DE0DE7" w:rsidP="00DE0DE7">
      <w:r>
        <w:t xml:space="preserve"> In that respect Amundi considers that </w:t>
      </w:r>
      <w:r w:rsidR="002320D7">
        <w:t>there is no</w:t>
      </w:r>
      <w:r>
        <w:t xml:space="preserve"> reason to consider that a structuration will necessarily convey complexity: many structures are easy to understand and largely subscribed by individual investors who appreciate their specific risk/return profile. Most structured </w:t>
      </w:r>
      <w:r w:rsidR="009C6C1C">
        <w:t>funds</w:t>
      </w:r>
      <w:r>
        <w:t xml:space="preserve"> dedicated to the public include a capital protection mechanism that is very reassuring for subscribers. We do not suggest that </w:t>
      </w:r>
      <w:r w:rsidR="00EA22AF">
        <w:t>all</w:t>
      </w:r>
      <w:r w:rsidR="002320D7">
        <w:t xml:space="preserve"> </w:t>
      </w:r>
      <w:r>
        <w:t>UCITS should continue to be classified as non-complex instruments as they were under MIF1, but criticise the idea that all structured UCITS are complex. We are convinced that a case by case assessment of the complexity</w:t>
      </w:r>
      <w:r w:rsidR="002320D7" w:rsidRPr="002320D7">
        <w:t xml:space="preserve"> </w:t>
      </w:r>
      <w:r w:rsidR="002320D7">
        <w:t>for the client</w:t>
      </w:r>
      <w:r>
        <w:t xml:space="preserve"> to understand the offer should be undertaken by NCA</w:t>
      </w:r>
      <w:r w:rsidR="00E45329">
        <w:t>s</w:t>
      </w:r>
      <w:r>
        <w:t xml:space="preserve"> before deciding whether the proposed UCITS is complex or not.</w:t>
      </w:r>
      <w:r w:rsidR="00EA22AF">
        <w:t xml:space="preserve"> </w:t>
      </w:r>
    </w:p>
    <w:p w:rsidR="00EA22AF" w:rsidRDefault="00EA22AF" w:rsidP="00DE0DE7"/>
    <w:p w:rsidR="00596788" w:rsidRPr="00DE0DE7" w:rsidRDefault="00EA22AF" w:rsidP="00DE0DE7">
      <w:r>
        <w:t xml:space="preserve">We strongly believe also that AIFs as well should not be prevented to be sold on an “execution only”  basis. The regulatory framework applying to AIFs is in many respects quite similar to that of UCITS and highly protective of investors’ interest. In our experience a vast majority of AIFs offered to individual clients are UCITS-like instruments that have no need to get the UCITS label as they do not intend to be sold cross-border. </w:t>
      </w:r>
      <w:proofErr w:type="spellStart"/>
      <w:r>
        <w:t>Amundi’s</w:t>
      </w:r>
      <w:proofErr w:type="spellEnd"/>
      <w:r>
        <w:t xml:space="preserve"> view is that for AIFs as well the proper criterion is to judge </w:t>
      </w:r>
      <w:r w:rsidR="001C735E">
        <w:t>whether</w:t>
      </w:r>
      <w:r>
        <w:t xml:space="preserve"> the difficulty</w:t>
      </w:r>
      <w:r w:rsidR="00F5119E">
        <w:t xml:space="preserve"> for the investor</w:t>
      </w:r>
      <w:r>
        <w:t xml:space="preserve"> to understand the product or the structure requires investment advice</w:t>
      </w:r>
      <w:r w:rsidR="00F5119E">
        <w:t>. We think that the penalis</w:t>
      </w:r>
      <w:r w:rsidR="00F5119E">
        <w:t>a</w:t>
      </w:r>
      <w:r w:rsidR="00F5119E">
        <w:t>tion of funds,</w:t>
      </w:r>
      <w:r w:rsidR="001C735E">
        <w:t xml:space="preserve"> AIFs and structured UCITS</w:t>
      </w:r>
      <w:r w:rsidR="00F5119E">
        <w:t>,</w:t>
      </w:r>
      <w:r w:rsidR="001C735E">
        <w:t xml:space="preserve"> </w:t>
      </w:r>
      <w:r w:rsidR="00F5119E">
        <w:t>compared to bonds or deposits is not justified and</w:t>
      </w:r>
      <w:r w:rsidR="001C735E">
        <w:t xml:space="preserve"> we</w:t>
      </w:r>
      <w:r w:rsidR="00F5119E">
        <w:t xml:space="preserve"> call for the introduction of a fair competition and an even playing field.</w:t>
      </w:r>
    </w:p>
    <w:p w:rsidR="00CD308B" w:rsidRDefault="00CD308B" w:rsidP="00D34282">
      <w:r>
        <w:t xml:space="preserve"> </w:t>
      </w:r>
    </w:p>
    <w:p w:rsidR="00596788" w:rsidRDefault="00CD308B" w:rsidP="00D34282">
      <w:r>
        <w:t>The guidelines proposed by ESMA</w:t>
      </w:r>
      <w:r w:rsidR="00596788">
        <w:t xml:space="preserve"> </w:t>
      </w:r>
      <w:r w:rsidR="00E45329">
        <w:t xml:space="preserve">are judged </w:t>
      </w:r>
      <w:r w:rsidR="00596788">
        <w:t>positive</w:t>
      </w:r>
      <w:r w:rsidR="00E45329">
        <w:t>ly by A</w:t>
      </w:r>
      <w:r w:rsidR="00EA22AF">
        <w:t>m</w:t>
      </w:r>
      <w:r w:rsidR="00E45329">
        <w:t>undi</w:t>
      </w:r>
      <w:r w:rsidR="00596788">
        <w:t xml:space="preserve"> and we have but a few formal co</w:t>
      </w:r>
      <w:r w:rsidR="00596788">
        <w:t>m</w:t>
      </w:r>
      <w:r w:rsidR="00596788">
        <w:t xml:space="preserve">ments to make in the following answers to the questions. </w:t>
      </w:r>
      <w:r w:rsidR="000A0527">
        <w:t>Amundi particularly appreciates  ESMA’s decl</w:t>
      </w:r>
      <w:r w:rsidR="000A0527">
        <w:t>a</w:t>
      </w:r>
      <w:r w:rsidR="000A0527">
        <w:t>ration in the introductive background</w:t>
      </w:r>
      <w:r w:rsidR="00596788">
        <w:t xml:space="preserve"> </w:t>
      </w:r>
      <w:r w:rsidR="000A0527">
        <w:t xml:space="preserve">comments </w:t>
      </w:r>
      <w:r w:rsidR="00596788">
        <w:t>that:</w:t>
      </w:r>
    </w:p>
    <w:p w:rsidR="00883BD0" w:rsidRDefault="00596788" w:rsidP="00883BD0">
      <w:pPr>
        <w:pStyle w:val="Paragraphedeliste"/>
        <w:numPr>
          <w:ilvl w:val="0"/>
          <w:numId w:val="50"/>
        </w:numPr>
      </w:pPr>
      <w:r>
        <w:t>what applies to deposits which are not financial instruments under MIFID art 25 4. (a) (iii) is not to be cross</w:t>
      </w:r>
      <w:r w:rsidR="00883BD0">
        <w:t>-</w:t>
      </w:r>
      <w:r>
        <w:t>read in the interpretation of MIF to financial instruments nor in other</w:t>
      </w:r>
      <w:r w:rsidR="000A0527">
        <w:t xml:space="preserve"> pieces of legislation, (see §3 of C</w:t>
      </w:r>
      <w:r w:rsidR="00883BD0">
        <w:t xml:space="preserve">onsultation </w:t>
      </w:r>
      <w:r w:rsidR="000A0527">
        <w:t>P</w:t>
      </w:r>
      <w:r w:rsidR="00883BD0">
        <w:t>aper</w:t>
      </w:r>
      <w:r w:rsidR="000A0527">
        <w:t>);</w:t>
      </w:r>
    </w:p>
    <w:p w:rsidR="000A0527" w:rsidRDefault="00883BD0" w:rsidP="00883BD0">
      <w:pPr>
        <w:pStyle w:val="Paragraphedeliste"/>
        <w:numPr>
          <w:ilvl w:val="0"/>
          <w:numId w:val="50"/>
        </w:numPr>
      </w:pPr>
      <w:r>
        <w:t xml:space="preserve">§ 11 further states that the criteria and the classification of securities and deposits as complex or not will only be relevant with regard to art 25 (4) of MIFID II; </w:t>
      </w:r>
    </w:p>
    <w:p w:rsidR="00883BD0" w:rsidRDefault="00596788" w:rsidP="00596788">
      <w:pPr>
        <w:pStyle w:val="Paragraphedeliste"/>
        <w:numPr>
          <w:ilvl w:val="0"/>
          <w:numId w:val="50"/>
        </w:numPr>
      </w:pPr>
      <w:r>
        <w:t xml:space="preserve"> </w:t>
      </w:r>
      <w:r w:rsidR="00883BD0">
        <w:t>ESMA</w:t>
      </w:r>
      <w:r w:rsidR="000A0527">
        <w:t xml:space="preserve"> relies on the previous work undertaken by CESR  in 2009, what brings consistency in the approach and allows for a better understanding of the concepts that are already in use</w:t>
      </w:r>
    </w:p>
    <w:p w:rsidR="00883BD0" w:rsidRDefault="00883BD0" w:rsidP="00883BD0">
      <w:pPr>
        <w:pStyle w:val="Paragraphedeliste"/>
        <w:numPr>
          <w:ilvl w:val="0"/>
          <w:numId w:val="50"/>
        </w:numPr>
      </w:pPr>
      <w:r>
        <w:t>ESMA insists on compliance with information and product governance requirements under MIFID that will apply to all complex products (§ 9 and 10)</w:t>
      </w:r>
      <w:r w:rsidR="000A0527">
        <w:t>.</w:t>
      </w:r>
    </w:p>
    <w:permEnd w:id="1480736854"/>
    <w:p w:rsidR="00D34282" w:rsidRPr="00C25863" w:rsidRDefault="00D34282" w:rsidP="00D34282">
      <w:r w:rsidRPr="00C25863">
        <w:t>&lt;</w:t>
      </w:r>
      <w:r w:rsidRPr="00D74C9D">
        <w:t xml:space="preserve"> </w:t>
      </w:r>
      <w:r>
        <w:t>ESMA_COMMENT</w:t>
      </w:r>
      <w:r w:rsidR="0012767D">
        <w:t>_COMPLEX</w:t>
      </w:r>
      <w:r w:rsidRPr="00C25863">
        <w:t>_1&gt;</w:t>
      </w:r>
    </w:p>
    <w:p w:rsidR="0012767D" w:rsidRDefault="00F32462" w:rsidP="000E562B">
      <w:pPr>
        <w:pStyle w:val="CPQuestions"/>
        <w:numPr>
          <w:ilvl w:val="0"/>
          <w:numId w:val="0"/>
        </w:numPr>
      </w:pPr>
      <w:r>
        <w:br w:type="page"/>
      </w:r>
      <w:r w:rsidR="0012767D" w:rsidRPr="00591061">
        <w:lastRenderedPageBreak/>
        <w:t xml:space="preserve">Question 1: Do you agree with the examples of </w:t>
      </w:r>
      <w:r w:rsidR="0012767D">
        <w:t>debt instrument</w:t>
      </w:r>
      <w:r w:rsidR="0012767D" w:rsidRPr="00591061">
        <w:t>s that embed a derivative? If not, which examples do you not agree with, and why not?</w:t>
      </w:r>
    </w:p>
    <w:p w:rsidR="0012767D" w:rsidRDefault="0012767D" w:rsidP="0012767D">
      <w:r>
        <w:t>&lt;ESMA_QUESTION_COMPLEX_1&gt;</w:t>
      </w:r>
    </w:p>
    <w:p w:rsidR="0012767D" w:rsidRDefault="00A47BA9" w:rsidP="0012767D">
      <w:permStart w:id="1821645888" w:edGrp="everyone"/>
      <w:r>
        <w:t>Amundi agrees with the</w:t>
      </w:r>
      <w:r w:rsidR="00572068">
        <w:t xml:space="preserve"> examples</w:t>
      </w:r>
      <w:r>
        <w:t xml:space="preserve"> of debt instruments that embed a derivative</w:t>
      </w:r>
      <w:r w:rsidR="002320D7">
        <w:t xml:space="preserve"> presented</w:t>
      </w:r>
      <w:r>
        <w:t xml:space="preserve"> in the </w:t>
      </w:r>
      <w:r w:rsidR="00572068">
        <w:t>consult</w:t>
      </w:r>
      <w:r w:rsidR="00572068">
        <w:t>a</w:t>
      </w:r>
      <w:r w:rsidR="00572068">
        <w:t>tion paper</w:t>
      </w:r>
      <w:r w:rsidR="00E01A28">
        <w:t xml:space="preserve"> (CP)</w:t>
      </w:r>
      <w:r w:rsidR="00572068">
        <w:t>.</w:t>
      </w:r>
      <w:r>
        <w:t xml:space="preserve"> We understand from the example of inflation-indexed bonds that all indexed bonds</w:t>
      </w:r>
      <w:r w:rsidR="000A0527">
        <w:t xml:space="preserve"> (and other debt instruments)</w:t>
      </w:r>
      <w:r>
        <w:t xml:space="preserve"> will be considered as embedding a derivative and, hence, as complex financial instruments. We would like to stress that floating rate bonds should not be considered as such and </w:t>
      </w:r>
      <w:r w:rsidR="00572068">
        <w:t>su</w:t>
      </w:r>
      <w:r w:rsidR="00572068">
        <w:t>g</w:t>
      </w:r>
      <w:r w:rsidR="00572068">
        <w:t>gest</w:t>
      </w:r>
      <w:r>
        <w:t xml:space="preserve"> that ESMA </w:t>
      </w:r>
      <w:r w:rsidR="00F5119E">
        <w:t>clarify</w:t>
      </w:r>
      <w:r>
        <w:t xml:space="preserve"> th</w:t>
      </w:r>
      <w:r w:rsidR="00F5119E">
        <w:t>is point.</w:t>
      </w:r>
      <w:r>
        <w:t xml:space="preserve"> </w:t>
      </w:r>
      <w:permEnd w:id="1821645888"/>
      <w:r w:rsidR="0012767D">
        <w:t>&lt;ESMA_QUESTION_COMPLEX_1&gt;</w:t>
      </w:r>
    </w:p>
    <w:p w:rsidR="004774F9" w:rsidRDefault="004774F9" w:rsidP="0012767D"/>
    <w:p w:rsidR="0012767D" w:rsidRDefault="0012767D" w:rsidP="000E562B">
      <w:pPr>
        <w:pStyle w:val="CPQuestions"/>
        <w:numPr>
          <w:ilvl w:val="0"/>
          <w:numId w:val="0"/>
        </w:numPr>
      </w:pPr>
      <w:r w:rsidRPr="00DD1C5E">
        <w:t xml:space="preserve">Question </w:t>
      </w:r>
      <w:r>
        <w:t>2</w:t>
      </w:r>
      <w:r w:rsidRPr="00DD1C5E">
        <w:t>: Do you agree with the definition of embedded derivative proposed in the Guideline</w:t>
      </w:r>
      <w:r>
        <w:t>s</w:t>
      </w:r>
      <w:r w:rsidRPr="00DD1C5E">
        <w:t xml:space="preserve"> in Annex IV? If not, why not?</w:t>
      </w:r>
    </w:p>
    <w:p w:rsidR="0012767D" w:rsidRDefault="0012767D" w:rsidP="0012767D">
      <w:r>
        <w:t>&lt;ESMA_QUESTION_COMPLEX_2&gt;</w:t>
      </w:r>
    </w:p>
    <w:p w:rsidR="0012767D" w:rsidRPr="00572068" w:rsidRDefault="00572068" w:rsidP="0012767D">
      <w:permStart w:id="454046533" w:edGrp="everyone"/>
      <w:r>
        <w:t>Amundi fears that the definition of embedded derivative proposed in the guidelines be misinterpreted and suggests to amend the last words of the definition by the addition of “</w:t>
      </w:r>
      <w:r>
        <w:rPr>
          <w:i/>
        </w:rPr>
        <w:t xml:space="preserve">external” </w:t>
      </w:r>
      <w:r>
        <w:t>before “variables”.</w:t>
      </w:r>
      <w:r w:rsidR="00E01A28">
        <w:t xml:space="preserve"> Altern</w:t>
      </w:r>
      <w:r w:rsidR="00E01A28">
        <w:t>a</w:t>
      </w:r>
      <w:r w:rsidR="00E01A28">
        <w:t>tively, ESMA could include in the text of the guidelines a list of examples that would clarify the scope of the definition.</w:t>
      </w:r>
    </w:p>
    <w:permEnd w:id="454046533"/>
    <w:p w:rsidR="0012767D" w:rsidRDefault="0012767D" w:rsidP="0012767D">
      <w:r>
        <w:t>&lt;ESMA_QUESTION_COMPLEX_2&gt;</w:t>
      </w:r>
    </w:p>
    <w:p w:rsidR="004774F9" w:rsidRDefault="004774F9" w:rsidP="0012767D"/>
    <w:p w:rsidR="0012767D" w:rsidRDefault="0012767D" w:rsidP="000E562B">
      <w:pPr>
        <w:pStyle w:val="CPQuestions"/>
        <w:numPr>
          <w:ilvl w:val="0"/>
          <w:numId w:val="0"/>
        </w:numPr>
      </w:pPr>
      <w:r w:rsidRPr="00591061">
        <w:t xml:space="preserve">Question </w:t>
      </w:r>
      <w:r>
        <w:t>3</w:t>
      </w:r>
      <w:r w:rsidRPr="00591061">
        <w:t xml:space="preserve">: Do you agree with the examples of </w:t>
      </w:r>
      <w:r>
        <w:t>debt instrument</w:t>
      </w:r>
      <w:r w:rsidRPr="00591061">
        <w:t>s that incorporate a stru</w:t>
      </w:r>
      <w:r w:rsidRPr="00591061">
        <w:t>c</w:t>
      </w:r>
      <w:r w:rsidRPr="00591061">
        <w:t>ture making it difficult for the client to understand the risk? If not, which examples and why not?</w:t>
      </w:r>
    </w:p>
    <w:p w:rsidR="0012767D" w:rsidRDefault="0012767D" w:rsidP="0012767D">
      <w:r>
        <w:t>&lt;ESMA_QUESTION_COMPLEX_3&gt;</w:t>
      </w:r>
    </w:p>
    <w:p w:rsidR="0012767D" w:rsidRDefault="00572068" w:rsidP="0012767D">
      <w:permStart w:id="1025598705" w:edGrp="everyone"/>
      <w:r>
        <w:t xml:space="preserve">Contrary to the </w:t>
      </w:r>
      <w:r w:rsidR="00E01A28">
        <w:t xml:space="preserve">list of examples of </w:t>
      </w:r>
      <w:r>
        <w:t>debt instruments embedding derivatives</w:t>
      </w:r>
      <w:r w:rsidR="00E01A28">
        <w:t xml:space="preserve"> that is not included in the proposed guidelines, the examples listed in § 21 of the CP are part of the guidelines under  V.II. We support that approach</w:t>
      </w:r>
      <w:r w:rsidR="0019586D">
        <w:t>,</w:t>
      </w:r>
      <w:r w:rsidR="00E01A28">
        <w:t xml:space="preserve"> </w:t>
      </w:r>
      <w:r w:rsidR="00E45329">
        <w:t>since</w:t>
      </w:r>
      <w:r w:rsidR="00E01A28">
        <w:t xml:space="preserve"> the reference to the capacity of an “average retail client” to understand is rather subjective. We </w:t>
      </w:r>
      <w:r w:rsidR="0019586D">
        <w:t xml:space="preserve">feel that </w:t>
      </w:r>
      <w:r w:rsidR="00E01A28">
        <w:t>the interpretation of the words  “unusual or unfamiliar</w:t>
      </w:r>
      <w:r w:rsidR="0019586D">
        <w:t xml:space="preserve"> underlying” (which are also very subjective) in item </w:t>
      </w:r>
      <w:r w:rsidR="00E45329">
        <w:t>(</w:t>
      </w:r>
      <w:r w:rsidR="0019586D">
        <w:t>e</w:t>
      </w:r>
      <w:r w:rsidR="00E45329">
        <w:t>)</w:t>
      </w:r>
      <w:r w:rsidR="0019586D">
        <w:t xml:space="preserve"> should be made more specific by a further explanation or a series of more granular examples in order to avoid diverging interpretations among Member States. </w:t>
      </w:r>
      <w:r w:rsidR="001C735E">
        <w:t>It will be for ESMA to ensure an harmonised interpretation in all Member States.</w:t>
      </w:r>
    </w:p>
    <w:permEnd w:id="1025598705"/>
    <w:p w:rsidR="0012767D" w:rsidRDefault="0012767D" w:rsidP="0012767D">
      <w:r>
        <w:t>&lt;ESMA_QUESTION_COMPLEX_3&gt;</w:t>
      </w:r>
    </w:p>
    <w:p w:rsidR="004774F9" w:rsidRDefault="004774F9" w:rsidP="0012767D"/>
    <w:p w:rsidR="0012767D" w:rsidRDefault="0012767D" w:rsidP="000E562B">
      <w:pPr>
        <w:pStyle w:val="CPQuestions"/>
        <w:numPr>
          <w:ilvl w:val="0"/>
          <w:numId w:val="0"/>
        </w:numPr>
      </w:pPr>
      <w:r w:rsidRPr="00591061">
        <w:t xml:space="preserve">Question </w:t>
      </w:r>
      <w:r>
        <w:t>4</w:t>
      </w:r>
      <w:r w:rsidRPr="00591061">
        <w:t>: Do you agree with the definition of a structure making it difficult for the client to understand the risk</w:t>
      </w:r>
      <w:r>
        <w:t xml:space="preserve"> included in the Guidelines in Annex IV</w:t>
      </w:r>
      <w:r w:rsidRPr="00591061">
        <w:t>? If not, why not?</w:t>
      </w:r>
    </w:p>
    <w:p w:rsidR="0012767D" w:rsidRDefault="0012767D" w:rsidP="0012767D">
      <w:r>
        <w:t>&lt;ESMA_QUESTION_COMPLEX_4&gt;</w:t>
      </w:r>
    </w:p>
    <w:p w:rsidR="0012767D" w:rsidRDefault="0019586D" w:rsidP="0012767D">
      <w:permStart w:id="591683484" w:edGrp="everyone"/>
      <w:r>
        <w:t>Yes. Please see our answer to question 3.</w:t>
      </w:r>
    </w:p>
    <w:permEnd w:id="591683484"/>
    <w:p w:rsidR="0012767D" w:rsidRDefault="0012767D" w:rsidP="0012767D">
      <w:r>
        <w:t>&lt;ESMA_QUESTION_COMPLEX_4&gt;</w:t>
      </w:r>
    </w:p>
    <w:p w:rsidR="004774F9" w:rsidRDefault="004774F9" w:rsidP="0012767D"/>
    <w:p w:rsidR="0012767D" w:rsidRDefault="0012767D" w:rsidP="000E562B">
      <w:pPr>
        <w:pStyle w:val="CPQuestions"/>
        <w:numPr>
          <w:ilvl w:val="0"/>
          <w:numId w:val="0"/>
        </w:numPr>
      </w:pPr>
      <w:r w:rsidRPr="00591061">
        <w:t xml:space="preserve">Question </w:t>
      </w:r>
      <w:r>
        <w:t>5:</w:t>
      </w:r>
      <w:r w:rsidRPr="00591061">
        <w:t xml:space="preserve"> Do you agree with the definition of a structure making it difficult for the client to understand the risk of return</w:t>
      </w:r>
      <w:r>
        <w:t xml:space="preserve"> of structured deposits and with the relevant examples proposed</w:t>
      </w:r>
      <w:r w:rsidRPr="00591061">
        <w:t>? If not, why not?</w:t>
      </w:r>
    </w:p>
    <w:p w:rsidR="0012767D" w:rsidRDefault="0012767D" w:rsidP="0012767D">
      <w:r>
        <w:t>&lt;ESMA_QUESTION_COMPLEX_5&gt;</w:t>
      </w:r>
    </w:p>
    <w:p w:rsidR="0012767D" w:rsidRDefault="0019586D" w:rsidP="0012767D">
      <w:permStart w:id="1533288832" w:edGrp="everyone"/>
      <w:r>
        <w:t>Yes. For the sake of clarity, however, we suggest to make it explicit th</w:t>
      </w:r>
      <w:r w:rsidR="00F86CA4">
        <w:t>a</w:t>
      </w:r>
      <w:r>
        <w:t xml:space="preserve">t the three examples provided are alternative and </w:t>
      </w:r>
      <w:r w:rsidR="00E45329">
        <w:t xml:space="preserve">not </w:t>
      </w:r>
      <w:r>
        <w:t>cumulative</w:t>
      </w:r>
      <w:r w:rsidR="00E45329">
        <w:t xml:space="preserve"> conditions</w:t>
      </w:r>
      <w:r>
        <w:t>. It could be done by introducing the three examples by :”this should be the case in any of the following circumstances :”.</w:t>
      </w:r>
      <w:r w:rsidR="00F86CA4">
        <w:t xml:space="preserve"> We add that the addition of “OR” at the end of line a) would clarify the fact that each case is in itself sufficient to </w:t>
      </w:r>
      <w:r w:rsidR="001C735E">
        <w:t>qualify</w:t>
      </w:r>
      <w:r w:rsidR="00F86CA4">
        <w:t xml:space="preserve"> as a structure making it difficult for the client to understand the risk of </w:t>
      </w:r>
      <w:r w:rsidR="001C735E">
        <w:t xml:space="preserve">the </w:t>
      </w:r>
      <w:r w:rsidR="00F86CA4">
        <w:t>return.</w:t>
      </w:r>
    </w:p>
    <w:permEnd w:id="1533288832"/>
    <w:p w:rsidR="0012767D" w:rsidRDefault="0012767D" w:rsidP="0012767D">
      <w:r>
        <w:t>&lt;ESMA_QUESTION_COMPLEX_5&gt;</w:t>
      </w:r>
    </w:p>
    <w:p w:rsidR="004774F9" w:rsidRDefault="004774F9" w:rsidP="0012767D"/>
    <w:p w:rsidR="0012767D" w:rsidRDefault="0012767D" w:rsidP="000E562B">
      <w:pPr>
        <w:pStyle w:val="CPQuestions"/>
        <w:numPr>
          <w:ilvl w:val="0"/>
          <w:numId w:val="0"/>
        </w:numPr>
      </w:pPr>
      <w:r w:rsidRPr="00591061">
        <w:lastRenderedPageBreak/>
        <w:t xml:space="preserve">Question </w:t>
      </w:r>
      <w:r>
        <w:t>6</w:t>
      </w:r>
      <w:r w:rsidRPr="00591061">
        <w:t>: Do you agree with the definition of a structure making it difficult for the client to understand the cost of exiting</w:t>
      </w:r>
      <w:r>
        <w:t xml:space="preserve"> a structured deposit</w:t>
      </w:r>
      <w:r w:rsidRPr="00591061">
        <w:t xml:space="preserve"> before term</w:t>
      </w:r>
      <w:r>
        <w:t xml:space="preserve"> and with the relevant examples proposed</w:t>
      </w:r>
      <w:r w:rsidRPr="00591061">
        <w:t>? If not, why not?</w:t>
      </w:r>
    </w:p>
    <w:p w:rsidR="0012767D" w:rsidRDefault="0012767D" w:rsidP="0012767D">
      <w:r>
        <w:t>&lt;ESMA_QUESTION_COMPLEX_6&gt;</w:t>
      </w:r>
    </w:p>
    <w:p w:rsidR="0012767D" w:rsidRDefault="0019586D" w:rsidP="0012767D">
      <w:permStart w:id="1806388324" w:edGrp="everyone"/>
      <w:r>
        <w:t>Yes. Howeve</w:t>
      </w:r>
      <w:r w:rsidR="00F86CA4">
        <w:t xml:space="preserve">r we suggest to modify the introductory </w:t>
      </w:r>
      <w:r w:rsidR="00F86CA4" w:rsidRPr="00E45329">
        <w:t>sentence of</w:t>
      </w:r>
      <w:r w:rsidR="00F86CA4">
        <w:t xml:space="preserve"> §17. It should read : “this should not be the case in any of the following circumstances:”. This wording would enable a positive appreciation of exceptions that will be compliant instead of a more difficult to understand list of negative exceptions mea</w:t>
      </w:r>
      <w:r w:rsidR="00F86CA4">
        <w:t>n</w:t>
      </w:r>
      <w:r w:rsidR="00F86CA4">
        <w:t>ing good practices. We point out  that the addition of “OR” at the end of the line a) would explicit the non-cumulative character of these 3 exceptions.</w:t>
      </w:r>
    </w:p>
    <w:permEnd w:id="1806388324"/>
    <w:p w:rsidR="0012767D" w:rsidRDefault="0012767D" w:rsidP="0012767D">
      <w:r>
        <w:t>&lt;ESMA_QUESTION_COMPLEX_6&gt;</w:t>
      </w:r>
    </w:p>
    <w:p w:rsidR="0012767D" w:rsidRDefault="0012767D" w:rsidP="0012767D"/>
    <w:p w:rsidR="0012767D" w:rsidRDefault="0012767D" w:rsidP="000E562B">
      <w:pPr>
        <w:pStyle w:val="CPQuestions"/>
        <w:numPr>
          <w:ilvl w:val="0"/>
          <w:numId w:val="0"/>
        </w:numPr>
      </w:pPr>
      <w:r w:rsidRPr="00DD1C5E">
        <w:t xml:space="preserve">Question </w:t>
      </w:r>
      <w:r>
        <w:t>7:</w:t>
      </w:r>
      <w:r w:rsidRPr="00DD1C5E">
        <w:t xml:space="preserve"> Please provide any specific evidence or data that would further inform the analysis of the likely cost and benefit impacts of the guidelines. </w:t>
      </w:r>
    </w:p>
    <w:p w:rsidR="0012767D" w:rsidRDefault="0012767D" w:rsidP="0012767D">
      <w:r>
        <w:t>&lt;ESMA_QUESTION_COMPLEX_7&gt;</w:t>
      </w:r>
    </w:p>
    <w:p w:rsidR="0012767D" w:rsidRDefault="0012767D" w:rsidP="0012767D">
      <w:permStart w:id="1846894340" w:edGrp="everyone"/>
      <w:r>
        <w:t>T</w:t>
      </w:r>
      <w:r w:rsidR="00F5119E">
        <w:t xml:space="preserve">he question of fair competition and even playing field for structured bonds and deposits on one hand and </w:t>
      </w:r>
      <w:r w:rsidR="001C735E">
        <w:t xml:space="preserve">AIFs or </w:t>
      </w:r>
      <w:r w:rsidR="00F5119E">
        <w:t>structured UCITS</w:t>
      </w:r>
      <w:r w:rsidR="001C735E">
        <w:t xml:space="preserve"> on the other hand,</w:t>
      </w:r>
      <w:bookmarkStart w:id="3" w:name="_GoBack"/>
      <w:bookmarkEnd w:id="3"/>
      <w:r w:rsidR="00F5119E">
        <w:t xml:space="preserve"> is, as</w:t>
      </w:r>
      <w:r w:rsidR="00F5119E" w:rsidRPr="00F5119E">
        <w:t xml:space="preserve"> </w:t>
      </w:r>
      <w:r w:rsidR="00F5119E">
        <w:t>exposed in our introduction, our main concern.</w:t>
      </w:r>
    </w:p>
    <w:permEnd w:id="1846894340"/>
    <w:p w:rsidR="0012767D" w:rsidRDefault="0012767D" w:rsidP="0012767D">
      <w:r>
        <w:t>&lt;ESMA_QUESTION_COMPLEX_7&gt;</w:t>
      </w:r>
    </w:p>
    <w:p w:rsidR="0012767D" w:rsidRDefault="0012767D" w:rsidP="0012767D"/>
    <w:p w:rsidR="00F32462" w:rsidRDefault="0012767D" w:rsidP="0012767D">
      <w:r>
        <w:t xml:space="preserve"> </w:t>
      </w: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DF" w:rsidRDefault="006811DF">
      <w:r>
        <w:separator/>
      </w:r>
    </w:p>
    <w:p w:rsidR="006811DF" w:rsidRDefault="006811DF"/>
  </w:endnote>
  <w:endnote w:type="continuationSeparator" w:id="0">
    <w:p w:rsidR="006811DF" w:rsidRDefault="006811DF">
      <w:r>
        <w:continuationSeparator/>
      </w:r>
    </w:p>
    <w:p w:rsidR="006811DF" w:rsidRDefault="006811DF"/>
  </w:endnote>
  <w:endnote w:type="continuationNotice" w:id="1">
    <w:p w:rsidR="006811DF" w:rsidRDefault="00681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C735E">
            <w:rPr>
              <w:rFonts w:cs="Arial"/>
              <w:noProof/>
              <w:sz w:val="22"/>
              <w:szCs w:val="22"/>
            </w:rPr>
            <w:t>6</w:t>
          </w:r>
          <w:r w:rsidRPr="00616B9B">
            <w:rPr>
              <w:rFonts w:cs="Arial"/>
              <w:noProof/>
              <w:sz w:val="22"/>
              <w:szCs w:val="22"/>
            </w:rPr>
            <w:fldChar w:fldCharType="end"/>
          </w:r>
        </w:p>
      </w:tc>
    </w:tr>
  </w:tbl>
  <w:p w:rsidR="00811EDA" w:rsidRDefault="00811E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DF" w:rsidRDefault="006811DF">
      <w:r>
        <w:separator/>
      </w:r>
    </w:p>
    <w:p w:rsidR="006811DF" w:rsidRDefault="006811DF"/>
  </w:footnote>
  <w:footnote w:type="continuationSeparator" w:id="0">
    <w:p w:rsidR="006811DF" w:rsidRDefault="006811DF">
      <w:r>
        <w:continuationSeparator/>
      </w:r>
    </w:p>
    <w:p w:rsidR="006811DF" w:rsidRDefault="006811DF"/>
  </w:footnote>
  <w:footnote w:type="continuationNotice" w:id="1">
    <w:p w:rsidR="006811DF" w:rsidRDefault="006811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En-tte"/>
    </w:pPr>
    <w:r>
      <w:rPr>
        <w:noProof/>
        <w:lang w:val="en-US" w:eastAsia="zh-TW"/>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TW"/>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En-tte"/>
      <w:jc w:val="right"/>
    </w:pPr>
    <w:r>
      <w:rPr>
        <w:noProof/>
        <w:lang w:val="en-US" w:eastAsia="zh-TW"/>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zh-TW"/>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DE66EB">
    <w:pPr>
      <w:pStyle w:val="En-tte"/>
    </w:pPr>
    <w:r>
      <w:rPr>
        <w:noProof/>
        <w:lang w:val="en-US" w:eastAsia="zh-TW"/>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zh-TW"/>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111144"/>
    <w:multiLevelType w:val="hybridMultilevel"/>
    <w:tmpl w:val="78F81EDA"/>
    <w:lvl w:ilvl="0" w:tplc="1FBA86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10"/>
  </w:num>
  <w:num w:numId="24">
    <w:abstractNumId w:val="29"/>
  </w:num>
  <w:num w:numId="25">
    <w:abstractNumId w:val="28"/>
  </w:num>
  <w:num w:numId="26">
    <w:abstractNumId w:val="19"/>
  </w:num>
  <w:num w:numId="27">
    <w:abstractNumId w:val="32"/>
  </w:num>
  <w:num w:numId="28">
    <w:abstractNumId w:val="37"/>
  </w:num>
  <w:num w:numId="29">
    <w:abstractNumId w:val="8"/>
  </w:num>
  <w:num w:numId="30">
    <w:abstractNumId w:val="4"/>
  </w:num>
  <w:num w:numId="31">
    <w:abstractNumId w:val="21"/>
  </w:num>
  <w:num w:numId="32">
    <w:abstractNumId w:val="2"/>
  </w:num>
  <w:num w:numId="33">
    <w:abstractNumId w:val="7"/>
  </w:num>
  <w:num w:numId="34">
    <w:abstractNumId w:val="20"/>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o1Ewypaf3m+7FG2jHK0nMnU5+CM=" w:salt="mI2wKqDbznMe2+8muRcIMw=="/>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7D8"/>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527"/>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62B"/>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767D"/>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586D"/>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C735E"/>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76A"/>
    <w:rsid w:val="00217C23"/>
    <w:rsid w:val="00220561"/>
    <w:rsid w:val="00220CE4"/>
    <w:rsid w:val="00222D9B"/>
    <w:rsid w:val="00223788"/>
    <w:rsid w:val="00223D11"/>
    <w:rsid w:val="002242D3"/>
    <w:rsid w:val="002301E6"/>
    <w:rsid w:val="002320D7"/>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51D4"/>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D1B"/>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74F9"/>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5BC8"/>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2F8D"/>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2068"/>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788"/>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517"/>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11DF"/>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89D"/>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3BD0"/>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546C"/>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1C"/>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BA9"/>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AF711B"/>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4A49"/>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308B"/>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0DE7"/>
    <w:rsid w:val="00DE64A6"/>
    <w:rsid w:val="00DE66EB"/>
    <w:rsid w:val="00DE7035"/>
    <w:rsid w:val="00DF12E3"/>
    <w:rsid w:val="00DF3F1D"/>
    <w:rsid w:val="00DF5845"/>
    <w:rsid w:val="00DF595C"/>
    <w:rsid w:val="00DF7EA7"/>
    <w:rsid w:val="00E01A28"/>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329"/>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2AF"/>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4BB2"/>
    <w:rsid w:val="00F458EF"/>
    <w:rsid w:val="00F47121"/>
    <w:rsid w:val="00F4775D"/>
    <w:rsid w:val="00F504DD"/>
    <w:rsid w:val="00F50874"/>
    <w:rsid w:val="00F5119E"/>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6CA4"/>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32B"/>
    <w:rsid w:val="00FC36CF"/>
    <w:rsid w:val="00FC40BC"/>
    <w:rsid w:val="00FC41FC"/>
    <w:rsid w:val="00FC4F6E"/>
    <w:rsid w:val="00FC506C"/>
    <w:rsid w:val="00FC578C"/>
    <w:rsid w:val="00FC5A37"/>
    <w:rsid w:val="00FD13EA"/>
    <w:rsid w:val="00FD5EC4"/>
    <w:rsid w:val="00FD7858"/>
    <w:rsid w:val="00FD7A8D"/>
    <w:rsid w:val="00FE050B"/>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0E562B"/>
    <w:pPr>
      <w:numPr>
        <w:numId w:val="34"/>
      </w:numPr>
      <w:spacing w:before="120" w:after="120"/>
      <w:ind w:left="0" w:firstLine="0"/>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0E562B"/>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0E562B"/>
    <w:pPr>
      <w:numPr>
        <w:numId w:val="34"/>
      </w:numPr>
      <w:spacing w:before="120" w:after="120"/>
      <w:ind w:left="0" w:firstLine="0"/>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0E562B"/>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32C19-56FB-46C4-9C36-99556987D1E7}">
  <ds:schemaRefs>
    <ds:schemaRef ds:uri="http://schemas.openxmlformats.org/officeDocument/2006/bibliography"/>
  </ds:schemaRefs>
</ds:datastoreItem>
</file>

<file path=customXml/itemProps2.xml><?xml version="1.0" encoding="utf-8"?>
<ds:datastoreItem xmlns:ds="http://schemas.openxmlformats.org/officeDocument/2006/customXml" ds:itemID="{5F0A21A3-0613-4470-9119-5B0AED453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1696</Words>
  <Characters>9171</Characters>
  <Application>Microsoft Office Word</Application>
  <DocSecurity>8</DocSecurity>
  <Lines>76</Lines>
  <Paragraphs>21</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Consultation Paper on draft guidelines on complex debt instruments and structured deposits</vt:lpstr>
      <vt:lpstr>Reply form for the Consultation Paper on draft guidelines on complex debt instruments and structured deposits</vt:lpstr>
      <vt:lpstr>20110000</vt:lpstr>
      <vt:lpstr>20110000</vt:lpstr>
      <vt:lpstr>20110000</vt:lpstr>
    </vt:vector>
  </TitlesOfParts>
  <Company>ESMA</Company>
  <LinksUpToDate>false</LinksUpToDate>
  <CharactersWithSpaces>10846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Consultation Paper on draft guidelines on complex debt instruments and structured deposits</dc:title>
  <dc:creator>adrian.enache@esma.europa.eu</dc:creator>
  <cp:lastModifiedBy>bompaire</cp:lastModifiedBy>
  <cp:revision>5</cp:revision>
  <cp:lastPrinted>2015-06-05T14:54:00Z</cp:lastPrinted>
  <dcterms:created xsi:type="dcterms:W3CDTF">2015-06-09T08:57:00Z</dcterms:created>
  <dcterms:modified xsi:type="dcterms:W3CDTF">2015-06-12T13:29:00Z</dcterms:modified>
</cp:coreProperties>
</file>