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2" w:rightFromText="142" w:vertAnchor="page" w:horzAnchor="page" w:tblpX="1248" w:tblpY="15820"/>
        <w:tblOverlap w:val="never"/>
        <w:tblW w:w="9412" w:type="dxa"/>
        <w:tblCellMar>
          <w:left w:w="0" w:type="dxa"/>
          <w:right w:w="0" w:type="dxa"/>
        </w:tblCellMar>
        <w:tblLook w:val="01E0"/>
      </w:tblPr>
      <w:tblGrid>
        <w:gridCol w:w="9412"/>
      </w:tblGrid>
      <w:tr>
        <w:trPr>
          <w:trHeight w:val="284"/>
        </w:trPr>
        <w:tc>
          <w:tcPr>
            <w:tcW w:w="9412" w:type="dxa"/>
          </w:tcPr>
          <w:p>
            <w:pPr>
              <w:pStyle w:val="00bDBInfo"/>
              <w:rPr>
                <w:rFonts w:cs="Arial"/>
              </w:rPr>
            </w:pPr>
            <w:r>
              <w:rPr>
                <w:rFonts w:cs="Arial"/>
              </w:rPr>
              <w:t>08</w:t>
            </w:r>
            <w:r>
              <w:rPr>
                <w:rFonts w:cs="Arial"/>
              </w:rPr>
              <w:t xml:space="preserve"> </w:t>
            </w:r>
            <w:r>
              <w:rPr>
                <w:rFonts w:cs="Arial"/>
              </w:rPr>
              <w:t>May</w:t>
            </w:r>
            <w:r>
              <w:rPr>
                <w:rFonts w:cs="Arial"/>
              </w:rPr>
              <w:t xml:space="preserve"> </w:t>
            </w:r>
            <w:r>
              <w:rPr>
                <w:rFonts w:cs="Arial"/>
              </w:rPr>
              <w:t>20</w:t>
            </w:r>
            <w:r>
              <w:rPr>
                <w:rFonts w:cs="Arial"/>
              </w:rPr>
              <w:t>15</w:t>
            </w:r>
          </w:p>
        </w:tc>
      </w:tr>
    </w:tbl>
    <w:p>
      <w:pPr>
        <w:rPr>
          <w:rFonts w:cs="Arial"/>
          <w:vanish/>
        </w:rPr>
      </w:pPr>
    </w:p>
    <w:tbl>
      <w:tblPr>
        <w:tblpPr w:leftFromText="8505" w:vertAnchor="page" w:horzAnchor="page" w:tblpX="1248" w:tblpY="4401"/>
        <w:tblW w:w="9397" w:type="dxa"/>
        <w:tblLayout w:type="fixed"/>
        <w:tblCellMar>
          <w:left w:w="0" w:type="dxa"/>
          <w:right w:w="0" w:type="dxa"/>
        </w:tblCellMar>
        <w:tblLook w:val="01E0"/>
      </w:tblPr>
      <w:tblGrid>
        <w:gridCol w:w="9397"/>
      </w:tblGrid>
      <w:tr>
        <w:trPr>
          <w:trHeight w:hRule="exact" w:val="1209"/>
        </w:trPr>
        <w:tc>
          <w:tcPr>
            <w:tcW w:w="9397" w:type="dxa"/>
            <w:vAlign w:val="bottom"/>
          </w:tcPr>
          <w:p>
            <w:pPr>
              <w:pStyle w:val="01aDBTitle"/>
              <w:rPr>
                <w:rFonts w:cs="Arial"/>
                <w:sz w:val="32"/>
                <w:szCs w:val="32"/>
              </w:rPr>
            </w:pPr>
            <w:r>
              <w:rPr>
                <w:rFonts w:cs="Arial"/>
                <w:sz w:val="32"/>
                <w:szCs w:val="32"/>
              </w:rPr>
              <w:t>Reply form</w:t>
            </w:r>
            <w:r>
              <w:rPr>
                <w:rFonts w:cs="Arial"/>
                <w:sz w:val="32"/>
                <w:szCs w:val="32"/>
              </w:rPr>
              <w:t xml:space="preserve"> </w:t>
            </w:r>
            <w:r>
              <w:rPr>
                <w:rFonts w:cs="Arial"/>
                <w:sz w:val="32"/>
                <w:szCs w:val="32"/>
              </w:rPr>
              <w:t>for</w:t>
            </w:r>
            <w:r>
              <w:rPr>
                <w:rFonts w:cs="Arial"/>
                <w:sz w:val="32"/>
                <w:szCs w:val="32"/>
              </w:rPr>
              <w:t xml:space="preserve"> the </w:t>
            </w:r>
          </w:p>
          <w:p>
            <w:pPr>
              <w:pStyle w:val="01aDBTitle"/>
              <w:rPr>
                <w:rFonts w:cs="Arial"/>
                <w:sz w:val="32"/>
                <w:szCs w:val="32"/>
              </w:rPr>
            </w:pPr>
            <w:r>
              <w:rPr>
                <w:rFonts w:cs="Arial"/>
                <w:sz w:val="32"/>
                <w:szCs w:val="32"/>
              </w:rPr>
              <w:t xml:space="preserve">Consultation Paper </w:t>
            </w:r>
            <w:r>
              <w:rPr>
                <w:rFonts w:cs="Arial"/>
                <w:sz w:val="32"/>
                <w:szCs w:val="32"/>
              </w:rPr>
              <w:t xml:space="preserve">on </w:t>
            </w:r>
            <w:r>
              <w:rPr>
                <w:rFonts w:cs="Arial"/>
                <w:sz w:val="32"/>
                <w:szCs w:val="32"/>
              </w:rPr>
              <w:t>Clearing Obligation under EMIR (no.4)</w:t>
            </w:r>
          </w:p>
          <w:p>
            <w:pPr>
              <w:pStyle w:val="01aDBTitle"/>
              <w:rPr>
                <w:rFonts w:cs="Arial"/>
                <w:sz w:val="32"/>
                <w:szCs w:val="32"/>
              </w:rPr>
            </w:pPr>
          </w:p>
        </w:tc>
      </w:tr>
      <w:tr>
        <w:trPr>
          <w:trHeight w:hRule="exact" w:val="605"/>
        </w:trPr>
        <w:tc>
          <w:tcPr>
            <w:tcW w:w="9397" w:type="dxa"/>
            <w:tcMar>
              <w:top w:w="142" w:type="dxa"/>
            </w:tcMar>
          </w:tcPr>
          <w:p>
            <w:pPr>
              <w:pStyle w:val="01bDBSubtitle"/>
              <w:rPr>
                <w:rFonts w:ascii="Arial" w:hAnsi="Arial" w:cs="Arial"/>
              </w:rPr>
            </w:pPr>
            <w:r>
              <w:rPr>
                <w:rFonts w:ascii="Arial" w:hAnsi="Arial" w:cs="Arial"/>
              </w:rPr>
              <w:t xml:space="preserve"> </w:t>
            </w:r>
          </w:p>
        </w:tc>
      </w:tr>
    </w:tbl>
    <w:p>
      <w:pPr>
        <w:pStyle w:val="05HeadlinenoIndex"/>
        <w:rPr>
          <w:rFonts w:cs="Arial"/>
        </w:rPr>
        <w:sectPr>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tblPr>
      <w:tblGrid>
        <w:gridCol w:w="2325"/>
      </w:tblGrid>
      <w:tr>
        <w:trPr>
          <w:trHeight w:hRule="exact" w:val="964"/>
        </w:trPr>
        <w:tc>
          <w:tcPr>
            <w:tcW w:w="2325" w:type="dxa"/>
          </w:tcPr>
          <w:p>
            <w:pPr>
              <w:pStyle w:val="02Date"/>
              <w:rPr>
                <w:rFonts w:cs="Arial"/>
              </w:rPr>
            </w:pPr>
            <w:r>
              <w:rPr>
                <w:rFonts w:cs="Arial"/>
              </w:rPr>
              <w:lastRenderedPageBreak/>
              <w:t xml:space="preserve">Date: </w:t>
            </w:r>
            <w:r>
              <w:rPr>
                <w:rFonts w:cs="Arial"/>
              </w:rPr>
              <w:t xml:space="preserve">08 May </w:t>
            </w:r>
            <w:r>
              <w:rPr>
                <w:rFonts w:cs="Arial"/>
              </w:rPr>
              <w:t>201</w:t>
            </w:r>
            <w:r>
              <w:rPr>
                <w:rFonts w:cs="Arial"/>
              </w:rPr>
              <w:t>5</w:t>
            </w:r>
          </w:p>
        </w:tc>
      </w:tr>
    </w:tbl>
    <w:p>
      <w:pPr>
        <w:pStyle w:val="05HeadlinenoIndex"/>
        <w:rPr>
          <w:rFonts w:cs="Arial"/>
        </w:rPr>
      </w:pPr>
      <w:bookmarkStart w:id="0" w:name="_Toc280628648"/>
      <w:r>
        <w:rPr>
          <w:rFonts w:cs="Arial"/>
        </w:rPr>
        <w:t xml:space="preserve">Responding to this paper </w:t>
      </w:r>
    </w:p>
    <w:p>
      <w:pPr>
        <w:pStyle w:val="04BodyText"/>
        <w:spacing w:before="120" w:after="120"/>
        <w:rPr>
          <w:rFonts w:cs="Arial"/>
        </w:rPr>
      </w:pPr>
      <w:r>
        <w:rPr>
          <w:rFonts w:cs="Arial"/>
        </w:rPr>
        <w:t>The European Securities and Markets Authority (ESMA) invites responses to the s</w:t>
      </w:r>
      <w:r>
        <w:rPr>
          <w:rFonts w:cs="Arial"/>
        </w:rPr>
        <w:t xml:space="preserve">pecific questions listed in the ESMA </w:t>
      </w:r>
      <w:r>
        <w:rPr>
          <w:rFonts w:cs="Arial"/>
        </w:rPr>
        <w:t xml:space="preserve">Addendum </w:t>
      </w:r>
      <w:r>
        <w:rPr>
          <w:rFonts w:cs="Arial"/>
        </w:rPr>
        <w:t xml:space="preserve">Consultation Paper </w:t>
      </w:r>
      <w:r>
        <w:rPr>
          <w:rFonts w:cs="Arial"/>
        </w:rPr>
        <w:t xml:space="preserve">on </w:t>
      </w:r>
      <w:r>
        <w:rPr>
          <w:rFonts w:cs="Arial"/>
        </w:rPr>
        <w:t>MiFID II/MiFIR</w:t>
      </w:r>
      <w:r>
        <w:rPr>
          <w:rFonts w:cs="Arial"/>
        </w:rPr>
        <w:t>, published on the ESMA website</w:t>
      </w:r>
      <w:r>
        <w:rPr>
          <w:rFonts w:cs="Arial"/>
        </w:rPr>
        <w:t>.</w:t>
      </w:r>
    </w:p>
    <w:p>
      <w:pPr>
        <w:autoSpaceDE w:val="0"/>
        <w:autoSpaceDN w:val="0"/>
        <w:adjustRightInd w:val="0"/>
        <w:spacing w:before="120" w:after="120" w:line="276" w:lineRule="auto"/>
        <w:jc w:val="both"/>
        <w:rPr>
          <w:rStyle w:val="Strong4"/>
          <w:rFonts w:cs="Arial"/>
          <w:i/>
        </w:rPr>
      </w:pPr>
    </w:p>
    <w:p>
      <w:pPr>
        <w:autoSpaceDE w:val="0"/>
        <w:autoSpaceDN w:val="0"/>
        <w:adjustRightInd w:val="0"/>
        <w:spacing w:before="120" w:after="120" w:line="276" w:lineRule="auto"/>
        <w:jc w:val="both"/>
        <w:rPr>
          <w:rStyle w:val="Strong4"/>
          <w:rFonts w:cs="Arial"/>
          <w:i/>
        </w:rPr>
      </w:pPr>
      <w:r>
        <w:rPr>
          <w:rStyle w:val="Strong4"/>
          <w:rFonts w:cs="Arial"/>
          <w:i/>
        </w:rPr>
        <w:t>Instructions</w:t>
      </w:r>
    </w:p>
    <w:p>
      <w:pPr>
        <w:pStyle w:val="04BodyText"/>
        <w:spacing w:before="120" w:after="120"/>
        <w:rPr>
          <w:rFonts w:cs="Arial"/>
        </w:rPr>
      </w:pPr>
      <w:r>
        <w:rPr>
          <w:rFonts w:cs="Arial"/>
        </w:rPr>
        <w:t>Please note that, in order to facilitate the analysis of the large number of responses expected, you are requested to use this file to send your response to ESMA so as to allow us to process it properly. Ther</w:t>
      </w:r>
      <w:r>
        <w:rPr>
          <w:rFonts w:cs="Arial"/>
        </w:rPr>
        <w:t>e</w:t>
      </w:r>
      <w:r>
        <w:rPr>
          <w:rFonts w:cs="Arial"/>
        </w:rPr>
        <w:t xml:space="preserve">fore, </w:t>
      </w:r>
      <w:r>
        <w:rPr>
          <w:rFonts w:cs="Arial"/>
        </w:rPr>
        <w:t xml:space="preserve">ESMA will only be able to consider responses which follow the instructions described </w:t>
      </w:r>
      <w:r>
        <w:rPr>
          <w:rFonts w:cs="Arial"/>
        </w:rPr>
        <w:t>below</w:t>
      </w:r>
      <w:r>
        <w:rPr>
          <w:rFonts w:cs="Arial"/>
        </w:rPr>
        <w:t>:</w:t>
      </w:r>
    </w:p>
    <w:p>
      <w:pPr>
        <w:pStyle w:val="04bList"/>
        <w:numPr>
          <w:ilvl w:val="0"/>
          <w:numId w:val="32"/>
        </w:numPr>
        <w:spacing w:before="120" w:after="120"/>
        <w:rPr>
          <w:rFonts w:cs="Arial"/>
        </w:rPr>
      </w:pPr>
      <w:r>
        <w:rPr>
          <w:rFonts w:cs="Arial"/>
        </w:rPr>
        <w:t xml:space="preserve">use </w:t>
      </w:r>
      <w:r>
        <w:rPr>
          <w:rFonts w:cs="Arial"/>
        </w:rPr>
        <w:t>this form</w:t>
      </w:r>
      <w:r>
        <w:rPr>
          <w:rFonts w:cs="Arial"/>
        </w:rPr>
        <w:t xml:space="preserve"> and send </w:t>
      </w:r>
      <w:r>
        <w:rPr>
          <w:rFonts w:cs="Arial"/>
        </w:rPr>
        <w:t>your</w:t>
      </w:r>
      <w:r>
        <w:rPr>
          <w:rFonts w:cs="Arial"/>
        </w:rPr>
        <w:t xml:space="preserve"> responses in Word format (pdf documents will not be considered e</w:t>
      </w:r>
      <w:r>
        <w:rPr>
          <w:rFonts w:cs="Arial"/>
        </w:rPr>
        <w:t>x</w:t>
      </w:r>
      <w:r>
        <w:rPr>
          <w:rFonts w:cs="Arial"/>
        </w:rPr>
        <w:t>cept for annexes);</w:t>
      </w:r>
    </w:p>
    <w:p>
      <w:pPr>
        <w:pStyle w:val="04bList"/>
        <w:numPr>
          <w:ilvl w:val="0"/>
          <w:numId w:val="32"/>
        </w:numPr>
        <w:spacing w:before="120" w:after="120"/>
        <w:rPr>
          <w:rFonts w:cs="Arial"/>
        </w:rPr>
      </w:pPr>
      <w:r>
        <w:rPr>
          <w:rFonts w:cs="Arial"/>
        </w:rPr>
        <w:t xml:space="preserve">do </w:t>
      </w:r>
      <w:r>
        <w:rPr>
          <w:rFonts w:cs="Arial"/>
        </w:rPr>
        <w:t>not remove the tags of type &lt;</w:t>
      </w:r>
      <w:r>
        <w:rPr>
          <w:rFonts w:cs="Arial"/>
        </w:rPr>
        <w:t>ESMA_CO4</w:t>
      </w:r>
      <w:r>
        <w:rPr>
          <w:rFonts w:cs="Arial"/>
        </w:rPr>
        <w:t>_</w:t>
      </w:r>
      <w:r>
        <w:rPr>
          <w:rFonts w:cs="Arial"/>
        </w:rPr>
        <w:t>1&gt; - i.e. the response to one question has to be framed by the 2 tags corresponding to the question; and</w:t>
      </w:r>
    </w:p>
    <w:p>
      <w:pPr>
        <w:pStyle w:val="04bList"/>
        <w:numPr>
          <w:ilvl w:val="0"/>
          <w:numId w:val="32"/>
        </w:numPr>
        <w:spacing w:before="120" w:after="120"/>
        <w:rPr>
          <w:rFonts w:cs="Arial"/>
        </w:rPr>
      </w:pPr>
      <w:r>
        <w:rPr>
          <w:rFonts w:cs="Arial"/>
        </w:rPr>
        <w:t xml:space="preserve">if </w:t>
      </w:r>
      <w:r>
        <w:rPr>
          <w:rFonts w:cs="Arial"/>
        </w:rPr>
        <w:t>you do not have a</w:t>
      </w:r>
      <w:r>
        <w:rPr>
          <w:rFonts w:cs="Arial"/>
        </w:rPr>
        <w:t xml:space="preserve"> response to a question, </w:t>
      </w:r>
      <w:r>
        <w:rPr>
          <w:rFonts w:cs="Arial"/>
        </w:rPr>
        <w:t xml:space="preserve">do </w:t>
      </w:r>
      <w:r>
        <w:rPr>
          <w:rFonts w:cs="Arial"/>
        </w:rPr>
        <w:t>not delete it and leave the text “TYPE YOUR TEXT HERE” between the tags.</w:t>
      </w:r>
    </w:p>
    <w:p>
      <w:pPr>
        <w:pStyle w:val="04bList"/>
        <w:numPr>
          <w:ilvl w:val="0"/>
          <w:numId w:val="0"/>
        </w:numPr>
        <w:spacing w:before="120" w:after="120"/>
        <w:rPr>
          <w:rFonts w:cs="Arial"/>
        </w:rPr>
      </w:pPr>
      <w:r>
        <w:rPr>
          <w:rFonts w:cs="Arial"/>
        </w:rPr>
        <w:t>Responses are most helpful:</w:t>
      </w:r>
    </w:p>
    <w:p>
      <w:pPr>
        <w:pStyle w:val="04bList"/>
        <w:numPr>
          <w:ilvl w:val="0"/>
          <w:numId w:val="33"/>
        </w:numPr>
        <w:spacing w:before="120" w:after="120"/>
        <w:rPr>
          <w:rFonts w:cs="Arial"/>
        </w:rPr>
      </w:pPr>
      <w:r>
        <w:rPr>
          <w:rFonts w:cs="Arial"/>
        </w:rPr>
        <w:t>if they respond to the question stated;</w:t>
      </w:r>
    </w:p>
    <w:p>
      <w:pPr>
        <w:pStyle w:val="04bList"/>
        <w:numPr>
          <w:ilvl w:val="0"/>
          <w:numId w:val="33"/>
        </w:numPr>
        <w:spacing w:before="120" w:after="120"/>
        <w:rPr>
          <w:rFonts w:cs="Arial"/>
        </w:rPr>
      </w:pPr>
      <w:r>
        <w:rPr>
          <w:rFonts w:cs="Arial"/>
        </w:rPr>
        <w:t>contain a clear rationale, including on any related costs and benefits; and</w:t>
      </w:r>
    </w:p>
    <w:p>
      <w:pPr>
        <w:pStyle w:val="04bList"/>
        <w:numPr>
          <w:ilvl w:val="0"/>
          <w:numId w:val="33"/>
        </w:numPr>
        <w:spacing w:before="120" w:after="120"/>
        <w:rPr>
          <w:rFonts w:cs="Arial"/>
        </w:rPr>
      </w:pPr>
      <w:r>
        <w:rPr>
          <w:rFonts w:cs="Arial"/>
        </w:rPr>
        <w:t>describe any alternatives that ESMA should consider</w:t>
      </w:r>
    </w:p>
    <w:p>
      <w:pPr>
        <w:pStyle w:val="04BodyText"/>
        <w:spacing w:before="120" w:after="120"/>
        <w:jc w:val="left"/>
        <w:rPr>
          <w:rFonts w:cs="Arial"/>
          <w:b/>
        </w:rPr>
      </w:pPr>
    </w:p>
    <w:p>
      <w:pPr>
        <w:pStyle w:val="04BodyText"/>
        <w:spacing w:before="120" w:after="120"/>
        <w:jc w:val="left"/>
        <w:rPr>
          <w:rFonts w:cs="Arial"/>
          <w:b/>
        </w:rPr>
      </w:pPr>
      <w:r>
        <w:rPr>
          <w:rFonts w:cs="Arial"/>
          <w:b/>
        </w:rPr>
        <w:t>Naming protocol</w:t>
      </w:r>
    </w:p>
    <w:p>
      <w:pPr>
        <w:pStyle w:val="04BodyText"/>
        <w:spacing w:before="120" w:after="120"/>
        <w:jc w:val="left"/>
        <w:rPr>
          <w:rFonts w:cs="Arial"/>
        </w:rPr>
      </w:pPr>
      <w:r>
        <w:rPr>
          <w:rFonts w:cs="Arial"/>
        </w:rPr>
        <w:t>In order to facilitate the handling of stakeholders responses please save your document using the follo</w:t>
      </w:r>
      <w:r>
        <w:rPr>
          <w:rFonts w:cs="Arial"/>
        </w:rPr>
        <w:t>w</w:t>
      </w:r>
      <w:r>
        <w:rPr>
          <w:rFonts w:cs="Arial"/>
        </w:rPr>
        <w:t>ing format:</w:t>
      </w:r>
    </w:p>
    <w:p>
      <w:pPr>
        <w:pStyle w:val="04BodyText"/>
        <w:spacing w:before="120" w:after="120"/>
        <w:jc w:val="left"/>
        <w:rPr>
          <w:rFonts w:cs="Arial"/>
        </w:rPr>
      </w:pPr>
      <w:r>
        <w:rPr>
          <w:rFonts w:cs="Arial"/>
        </w:rPr>
        <w:t>ESMA_</w:t>
      </w:r>
      <w:r>
        <w:rPr>
          <w:rFonts w:cs="Arial"/>
        </w:rPr>
        <w:t>CO4</w:t>
      </w:r>
      <w:r>
        <w:rPr>
          <w:rFonts w:cs="Arial"/>
        </w:rPr>
        <w:t>_NAMEOFCOMPANY_NAMEOFDOCUMENT</w:t>
      </w:r>
      <w:r>
        <w:rPr>
          <w:rFonts w:cs="Arial"/>
        </w:rPr>
        <w:t>.</w:t>
      </w:r>
    </w:p>
    <w:p>
      <w:pPr>
        <w:pStyle w:val="04BodyText"/>
        <w:spacing w:before="120" w:after="120"/>
        <w:jc w:val="left"/>
        <w:rPr>
          <w:rFonts w:cs="Arial"/>
        </w:rPr>
      </w:pPr>
      <w:r>
        <w:rPr>
          <w:rFonts w:cs="Arial"/>
        </w:rPr>
        <w:t xml:space="preserve">E.g. if the respondent were </w:t>
      </w:r>
      <w:r>
        <w:rPr>
          <w:rFonts w:cs="Arial"/>
        </w:rPr>
        <w:t>XXXX</w:t>
      </w:r>
      <w:r>
        <w:rPr>
          <w:rFonts w:cs="Arial"/>
        </w:rPr>
        <w:t xml:space="preserve">, the </w:t>
      </w:r>
      <w:r>
        <w:rPr>
          <w:rFonts w:cs="Arial"/>
        </w:rPr>
        <w:t>name of the reply form would be:</w:t>
      </w:r>
    </w:p>
    <w:p>
      <w:pPr>
        <w:pStyle w:val="04BodyText"/>
        <w:spacing w:before="120" w:after="120"/>
        <w:jc w:val="left"/>
        <w:rPr>
          <w:rFonts w:cs="Arial"/>
        </w:rPr>
      </w:pPr>
      <w:r>
        <w:rPr>
          <w:rFonts w:cs="Arial"/>
        </w:rPr>
        <w:t>ESMA_</w:t>
      </w:r>
      <w:r>
        <w:rPr>
          <w:rFonts w:cs="Arial"/>
        </w:rPr>
        <w:t>CO4</w:t>
      </w:r>
      <w:r>
        <w:rPr>
          <w:rFonts w:cs="Arial"/>
        </w:rPr>
        <w:t>_</w:t>
      </w:r>
      <w:r>
        <w:rPr>
          <w:rFonts w:cs="Arial"/>
        </w:rPr>
        <w:t>XXXX</w:t>
      </w:r>
      <w:r>
        <w:rPr>
          <w:rFonts w:cs="Arial"/>
        </w:rPr>
        <w:t xml:space="preserve">_REPLYFORM or </w:t>
      </w:r>
    </w:p>
    <w:p>
      <w:pPr>
        <w:pStyle w:val="04BodyText"/>
        <w:spacing w:before="120" w:after="120"/>
        <w:jc w:val="left"/>
        <w:rPr>
          <w:rFonts w:cs="Arial"/>
        </w:rPr>
      </w:pPr>
      <w:r>
        <w:rPr>
          <w:rFonts w:cs="Arial"/>
        </w:rPr>
        <w:t>ESMA_</w:t>
      </w:r>
      <w:r>
        <w:rPr>
          <w:rFonts w:cs="Arial"/>
        </w:rPr>
        <w:t>CO4_XXXX</w:t>
      </w:r>
      <w:r>
        <w:rPr>
          <w:rFonts w:cs="Arial"/>
        </w:rPr>
        <w:t>_ANNEX1</w:t>
      </w:r>
    </w:p>
    <w:p>
      <w:pPr>
        <w:autoSpaceDE w:val="0"/>
        <w:autoSpaceDN w:val="0"/>
        <w:adjustRightInd w:val="0"/>
        <w:spacing w:before="120" w:after="120" w:line="276" w:lineRule="auto"/>
        <w:jc w:val="both"/>
        <w:rPr>
          <w:rFonts w:cs="Arial"/>
          <w:b/>
          <w:bCs/>
          <w:i/>
          <w:color w:val="000000"/>
          <w:szCs w:val="20"/>
          <w:lang w:eastAsia="en-GB"/>
        </w:rPr>
      </w:pPr>
    </w:p>
    <w:p>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pPr>
        <w:pStyle w:val="04BodyText"/>
        <w:spacing w:before="120" w:after="120"/>
        <w:rPr>
          <w:rFonts w:cs="Arial"/>
        </w:rPr>
      </w:pPr>
      <w:r>
        <w:rPr>
          <w:rFonts w:cs="Arial"/>
        </w:rPr>
        <w:t>Res</w:t>
      </w:r>
      <w:bookmarkStart w:id="1" w:name="_GoBack"/>
      <w:bookmarkEnd w:id="1"/>
      <w:r>
        <w:rPr>
          <w:rFonts w:cs="Arial"/>
        </w:rPr>
        <w:t xml:space="preserve">ponses must reach us by </w:t>
      </w:r>
      <w:r>
        <w:rPr>
          <w:rFonts w:cs="Arial"/>
          <w:b/>
        </w:rPr>
        <w:t xml:space="preserve">15 July </w:t>
      </w:r>
      <w:r>
        <w:rPr>
          <w:rFonts w:cs="Arial"/>
          <w:b/>
        </w:rPr>
        <w:t>2015.</w:t>
      </w:r>
    </w:p>
    <w:p>
      <w:pPr>
        <w:pStyle w:val="04BodyText"/>
        <w:spacing w:before="120" w:after="120"/>
        <w:rPr>
          <w:rFonts w:cs="Arial"/>
        </w:rPr>
      </w:pPr>
      <w:r>
        <w:rPr>
          <w:rFonts w:cs="Arial"/>
        </w:rPr>
        <w:t xml:space="preserve">All contributions should be submitted online at </w:t>
      </w:r>
      <w:hyperlink r:id="rId12" w:history="1">
        <w:r>
          <w:rPr>
            <w:rStyle w:val="Hyperlink"/>
            <w:rFonts w:cs="Arial"/>
          </w:rPr>
          <w:t>www.esma.europa.eu</w:t>
        </w:r>
      </w:hyperlink>
      <w:r>
        <w:rPr>
          <w:rFonts w:cs="Arial"/>
        </w:rPr>
        <w:t xml:space="preserve"> under the heading ‘Your i</w:t>
      </w:r>
      <w:r>
        <w:rPr>
          <w:rFonts w:cs="Arial"/>
        </w:rPr>
        <w:t>n</w:t>
      </w:r>
      <w:r>
        <w:rPr>
          <w:rFonts w:cs="Arial"/>
        </w:rPr>
        <w:t xml:space="preserve">put/Consultations’. </w:t>
      </w:r>
    </w:p>
    <w:p>
      <w:pPr>
        <w:autoSpaceDE w:val="0"/>
        <w:autoSpaceDN w:val="0"/>
        <w:adjustRightInd w:val="0"/>
        <w:spacing w:before="120" w:after="120" w:line="276" w:lineRule="auto"/>
        <w:jc w:val="both"/>
        <w:rPr>
          <w:rFonts w:cs="Arial"/>
          <w:b/>
          <w:bCs/>
          <w:i/>
          <w:color w:val="000000"/>
          <w:szCs w:val="20"/>
          <w:lang w:eastAsia="en-GB"/>
        </w:rPr>
      </w:pPr>
      <w:bookmarkStart w:id="2" w:name="_Toc335141334"/>
    </w:p>
    <w:p>
      <w:pPr>
        <w:autoSpaceDE w:val="0"/>
        <w:autoSpaceDN w:val="0"/>
        <w:adjustRightInd w:val="0"/>
        <w:spacing w:before="120" w:after="120" w:line="276" w:lineRule="auto"/>
        <w:jc w:val="both"/>
        <w:rPr>
          <w:rFonts w:cs="Arial"/>
          <w:b/>
          <w:bCs/>
          <w:i/>
          <w:color w:val="000000"/>
          <w:szCs w:val="20"/>
          <w:lang w:eastAsia="en-GB"/>
        </w:rPr>
      </w:pPr>
    </w:p>
    <w:p>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lastRenderedPageBreak/>
        <w:t>Publication of responses</w:t>
      </w:r>
      <w:bookmarkEnd w:id="2"/>
    </w:p>
    <w:p>
      <w:pPr>
        <w:pStyle w:val="04BodyText"/>
        <w:spacing w:before="120" w:after="120"/>
        <w:rPr>
          <w:rFonts w:cs="Arial"/>
        </w:rPr>
      </w:pPr>
      <w:r>
        <w:rPr>
          <w:rFonts w:cs="Arial"/>
        </w:rPr>
        <w:t xml:space="preserve">All contributions received will be published following the end of the consultation period, unless otherwise requested. </w:t>
      </w:r>
      <w:r>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Pr>
          <w:rFonts w:cs="Arial"/>
        </w:rPr>
        <w:t xml:space="preserve"> Note also that a confidential response may be requested from us in accordance with ESMA’s rules on access to doc</w:t>
      </w:r>
      <w:r>
        <w:rPr>
          <w:rFonts w:cs="Arial"/>
        </w:rPr>
        <w:t>u</w:t>
      </w:r>
      <w:r>
        <w:rPr>
          <w:rFonts w:cs="Arial"/>
        </w:rPr>
        <w:t>ments. We may consult you if we receive such a request. Any decision we make is reviewable by ESMA’s Board of Appeal and the European Ombudsman.</w:t>
      </w:r>
    </w:p>
    <w:p>
      <w:pPr>
        <w:autoSpaceDE w:val="0"/>
        <w:autoSpaceDN w:val="0"/>
        <w:adjustRightInd w:val="0"/>
        <w:spacing w:before="120" w:after="120" w:line="276" w:lineRule="auto"/>
        <w:jc w:val="both"/>
        <w:rPr>
          <w:rFonts w:cs="Arial"/>
          <w:b/>
          <w:bCs/>
          <w:i/>
          <w:color w:val="000000"/>
          <w:szCs w:val="20"/>
          <w:lang w:eastAsia="en-GB"/>
        </w:rPr>
      </w:pPr>
      <w:bookmarkStart w:id="3" w:name="_Toc335141335"/>
    </w:p>
    <w:p>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Data protection</w:t>
      </w:r>
      <w:bookmarkEnd w:id="3"/>
    </w:p>
    <w:p>
      <w:pPr>
        <w:autoSpaceDE w:val="0"/>
        <w:autoSpaceDN w:val="0"/>
        <w:adjustRightInd w:val="0"/>
        <w:spacing w:before="120" w:after="120" w:line="276" w:lineRule="auto"/>
        <w:jc w:val="both"/>
        <w:rPr>
          <w:rFonts w:cs="Arial"/>
          <w:szCs w:val="20"/>
        </w:rPr>
      </w:pPr>
      <w:r>
        <w:rPr>
          <w:rFonts w:cs="Arial"/>
          <w:szCs w:val="20"/>
        </w:rPr>
        <w:t xml:space="preserve">Information on data protection can be found at </w:t>
      </w:r>
      <w:hyperlink r:id="rId13" w:history="1">
        <w:r>
          <w:rPr>
            <w:rStyle w:val="Hyperlink"/>
            <w:rFonts w:cs="Arial"/>
            <w:szCs w:val="20"/>
          </w:rPr>
          <w:t>www.esma.europa.eu</w:t>
        </w:r>
      </w:hyperlink>
      <w:r>
        <w:rPr>
          <w:rFonts w:cs="Arial"/>
          <w:szCs w:val="20"/>
        </w:rPr>
        <w:t xml:space="preserve"> under the </w:t>
      </w:r>
      <w:r>
        <w:rPr>
          <w:rFonts w:cs="Arial"/>
          <w:szCs w:val="22"/>
          <w:lang w:eastAsia="en-GB"/>
        </w:rPr>
        <w:t>headings ‘Legal notice’ and ‘Data protection’</w:t>
      </w:r>
      <w:r>
        <w:rPr>
          <w:rFonts w:cs="Arial"/>
          <w:szCs w:val="20"/>
        </w:rPr>
        <w:t>.</w:t>
      </w:r>
    </w:p>
    <w:p>
      <w:pPr>
        <w:autoSpaceDE w:val="0"/>
        <w:autoSpaceDN w:val="0"/>
        <w:adjustRightInd w:val="0"/>
        <w:spacing w:before="120" w:after="120" w:line="276" w:lineRule="auto"/>
        <w:jc w:val="both"/>
        <w:rPr>
          <w:rFonts w:cs="Arial"/>
          <w:szCs w:val="20"/>
        </w:rPr>
      </w:pPr>
    </w:p>
    <w:bookmarkEnd w:id="0"/>
    <w:p>
      <w:pPr>
        <w:rPr>
          <w:rFonts w:cs="Arial"/>
          <w:b/>
          <w:bCs/>
          <w:kern w:val="32"/>
          <w:sz w:val="24"/>
          <w:szCs w:val="32"/>
        </w:rPr>
      </w:pPr>
      <w:r>
        <w:br w:type="page"/>
      </w:r>
    </w:p>
    <w:p>
      <w:pPr>
        <w:pStyle w:val="Heading1"/>
        <w:numPr>
          <w:ilvl w:val="0"/>
          <w:numId w:val="0"/>
        </w:numPr>
      </w:pPr>
      <w: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9"/>
        <w:gridCol w:w="5595"/>
      </w:tblGrid>
      <w:tr>
        <w:tc>
          <w:tcPr>
            <w:tcW w:w="3929" w:type="dxa"/>
            <w:shd w:val="clear" w:color="auto" w:fill="auto"/>
          </w:tcPr>
          <w:p>
            <w:pPr>
              <w:rPr>
                <w:rFonts w:cs="Arial"/>
              </w:rPr>
            </w:pPr>
            <w:permStart w:id="0" w:edGrp="everyone" w:colFirst="1" w:colLast="1"/>
            <w:r>
              <w:rPr>
                <w:rFonts w:cs="Arial"/>
              </w:rPr>
              <w:t>Name of the company / organisation</w:t>
            </w:r>
          </w:p>
        </w:tc>
        <w:sdt>
          <w:sdtPr>
            <w:rPr>
              <w:rStyle w:val="PlaceholderText"/>
              <w:rFonts w:cs="Arial"/>
            </w:rPr>
            <w:id w:val="-1905066999"/>
            <w:lock w:val="sdtLocked"/>
            <w:text/>
          </w:sdtPr>
          <w:sdtContent>
            <w:permStart w:id="1" w:edGrp="everyone" w:displacedByCustomXml="prev"/>
            <w:tc>
              <w:tcPr>
                <w:tcW w:w="5595" w:type="dxa"/>
                <w:shd w:val="clear" w:color="auto" w:fill="auto"/>
              </w:tcPr>
              <w:p>
                <w:pPr>
                  <w:rPr>
                    <w:rStyle w:val="PlaceholderText"/>
                    <w:rFonts w:cs="Arial"/>
                  </w:rPr>
                </w:pPr>
                <w:r>
                  <w:rPr>
                    <w:rStyle w:val="PlaceholderText"/>
                    <w:rFonts w:cs="Arial"/>
                  </w:rPr>
                  <w:t>Citadel LLC</w:t>
                </w:r>
              </w:p>
            </w:tc>
            <w:permEnd w:id="1" w:displacedByCustomXml="next"/>
          </w:sdtContent>
        </w:sdt>
      </w:tr>
      <w:tr>
        <w:tc>
          <w:tcPr>
            <w:tcW w:w="3929" w:type="dxa"/>
            <w:shd w:val="clear" w:color="auto" w:fill="auto"/>
          </w:tcPr>
          <w:p>
            <w:pPr>
              <w:rPr>
                <w:rFonts w:cs="Arial"/>
              </w:rPr>
            </w:pPr>
            <w:permStart w:id="2" w:edGrp="everyone" w:colFirst="1" w:colLast="1"/>
            <w:permEnd w:id="0"/>
            <w:r>
              <w:rPr>
                <w:rFonts w:cs="Arial"/>
              </w:rPr>
              <w:t>Activity</w:t>
            </w:r>
          </w:p>
        </w:tc>
        <w:tc>
          <w:tcPr>
            <w:tcW w:w="5595" w:type="dxa"/>
            <w:shd w:val="clear" w:color="auto" w:fill="auto"/>
          </w:tcPr>
          <w:p>
            <w:pPr>
              <w:rPr>
                <w:rFonts w:cs="Arial"/>
              </w:rPr>
            </w:pPr>
            <w:sdt>
              <w:sdtPr>
                <w:rPr>
                  <w:rFonts w:cs="Arial"/>
                </w:rPr>
                <w:alias w:val="Activity"/>
                <w:tag w:val="Activity"/>
                <w:id w:val="-476845391"/>
                <w:lock w:val="sdtLocked"/>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permStart w:id="3" w:edGrp="everyone"/>
                <w:r>
                  <w:rPr>
                    <w:rFonts w:cs="Arial"/>
                  </w:rPr>
                  <w:t>Investment Services</w:t>
                </w:r>
                <w:permEnd w:id="3"/>
              </w:sdtContent>
            </w:sdt>
          </w:p>
        </w:tc>
      </w:tr>
      <w:tr>
        <w:tc>
          <w:tcPr>
            <w:tcW w:w="3929" w:type="dxa"/>
            <w:shd w:val="clear" w:color="auto" w:fill="auto"/>
          </w:tcPr>
          <w:p>
            <w:pPr>
              <w:rPr>
                <w:rFonts w:cs="Arial"/>
              </w:rPr>
            </w:pPr>
            <w:permStart w:id="4" w:edGrp="everyone" w:colFirst="1" w:colLast="1"/>
            <w:permEnd w:id="2"/>
            <w:r>
              <w:rPr>
                <w:rFonts w:cs="Arial"/>
              </w:rPr>
              <w:t>Are you representing an association?</w:t>
            </w:r>
          </w:p>
        </w:tc>
        <w:sdt>
          <w:sdtPr>
            <w:rPr>
              <w:rFonts w:cs="Arial"/>
            </w:rPr>
            <w:id w:val="-242871467"/>
            <w:lock w:val="sdtLocked"/>
          </w:sdtPr>
          <w:sdtContent>
            <w:tc>
              <w:tcPr>
                <w:tcW w:w="5595" w:type="dxa"/>
                <w:shd w:val="clear" w:color="auto" w:fill="auto"/>
              </w:tcPr>
              <w:p>
                <w:pPr>
                  <w:rPr>
                    <w:rFonts w:cs="Arial"/>
                  </w:rPr>
                </w:pPr>
                <w:r>
                  <w:rPr>
                    <w:rFonts w:ascii="MS Gothic" w:eastAsia="MS Gothic" w:hAnsi="MS Gothic" w:cs="Arial" w:hint="eastAsia"/>
                  </w:rPr>
                  <w:t>☐</w:t>
                </w:r>
              </w:p>
            </w:tc>
          </w:sdtContent>
        </w:sdt>
      </w:tr>
      <w:tr>
        <w:tc>
          <w:tcPr>
            <w:tcW w:w="3929" w:type="dxa"/>
            <w:shd w:val="clear" w:color="auto" w:fill="auto"/>
          </w:tcPr>
          <w:p>
            <w:pPr>
              <w:rPr>
                <w:rFonts w:cs="Arial"/>
              </w:rPr>
            </w:pPr>
            <w:permStart w:id="5" w:edGrp="everyone" w:colFirst="1" w:colLast="1"/>
            <w:permEnd w:id="4"/>
            <w:r>
              <w:rPr>
                <w:rFonts w:cs="Arial"/>
              </w:rPr>
              <w:t>Country/Region</w:t>
            </w:r>
          </w:p>
        </w:tc>
        <w:permStart w:id="6" w:edGrp="everyone" w:displacedByCustomXml="next"/>
        <w:sdt>
          <w:sdtPr>
            <w:rPr>
              <w:rFonts w:cs="Arial"/>
            </w:rPr>
            <w:alias w:val="Country"/>
            <w:tag w:val="Country"/>
            <w:id w:val="-403371040"/>
            <w:lock w:val="sdtLocked"/>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pPr>
                  <w:rPr>
                    <w:rFonts w:cs="Arial"/>
                  </w:rPr>
                </w:pPr>
                <w:r>
                  <w:rPr>
                    <w:rFonts w:cs="Arial"/>
                  </w:rPr>
                  <w:t>North-America</w:t>
                </w:r>
              </w:p>
            </w:tc>
          </w:sdtContent>
        </w:sdt>
        <w:permEnd w:id="6" w:displacedByCustomXml="prev"/>
      </w:tr>
      <w:permEnd w:id="5"/>
    </w:tbl>
    <w:p>
      <w:pPr>
        <w:spacing w:after="120" w:line="264" w:lineRule="auto"/>
      </w:pPr>
    </w:p>
    <w:p>
      <w:pPr>
        <w:spacing w:after="120" w:line="264" w:lineRule="auto"/>
      </w:pPr>
    </w:p>
    <w:p>
      <w:pPr>
        <w:pStyle w:val="Heading1"/>
        <w:numPr>
          <w:ilvl w:val="0"/>
          <w:numId w:val="0"/>
        </w:numPr>
        <w:ind w:left="431" w:hanging="431"/>
      </w:pPr>
      <w:r>
        <w:t>Introduction</w:t>
      </w:r>
    </w:p>
    <w:p>
      <w:pPr>
        <w:rPr>
          <w:rStyle w:val="IntenseEmphasis"/>
        </w:rPr>
      </w:pPr>
      <w:r>
        <w:rPr>
          <w:rStyle w:val="IntenseEmphasis"/>
        </w:rPr>
        <w:t>P</w:t>
      </w:r>
      <w:r>
        <w:rPr>
          <w:rStyle w:val="IntenseEmphasis"/>
        </w:rPr>
        <w:t>ease make your introductory comments below, if any:</w:t>
      </w:r>
    </w:p>
    <w:p>
      <w:r>
        <w:t>&lt;</w:t>
      </w:r>
      <w:r>
        <w:t>ESMA_CO4</w:t>
      </w:r>
      <w:r>
        <w:t>_COMMENT</w:t>
      </w:r>
      <w:r>
        <w:t>_1&gt;</w:t>
      </w:r>
    </w:p>
    <w:p>
      <w:pPr>
        <w:pStyle w:val="BodyText"/>
        <w:widowControl w:val="0"/>
        <w:numPr>
          <w:ilvl w:val="0"/>
          <w:numId w:val="0"/>
        </w:numPr>
        <w:spacing w:after="0"/>
        <w:rPr>
          <w:szCs w:val="24"/>
        </w:rPr>
      </w:pPr>
      <w:permStart w:id="7" w:edGrp="everyone"/>
      <w:r>
        <w:rPr>
          <w:szCs w:val="24"/>
        </w:rPr>
        <w:t>Citadel LLC</w:t>
      </w:r>
      <w:r>
        <w:rPr>
          <w:rStyle w:val="FootnoteReference"/>
          <w:szCs w:val="24"/>
        </w:rPr>
        <w:footnoteReference w:id="2"/>
      </w:r>
      <w:r>
        <w:rPr>
          <w:szCs w:val="24"/>
        </w:rPr>
        <w:t xml:space="preserve"> (“</w:t>
      </w:r>
      <w:r>
        <w:rPr>
          <w:szCs w:val="24"/>
        </w:rPr>
        <w:t>Citadel”) appreciates this opportunity to</w:t>
      </w:r>
      <w:r>
        <w:rPr>
          <w:szCs w:val="24"/>
        </w:rPr>
        <w:t xml:space="preserve"> provide comments to</w:t>
      </w:r>
      <w:r>
        <w:rPr>
          <w:szCs w:val="24"/>
        </w:rPr>
        <w:t xml:space="preserve"> the European </w:t>
      </w:r>
      <w:r>
        <w:rPr>
          <w:szCs w:val="24"/>
        </w:rPr>
        <w:t xml:space="preserve">Securities and Markets Authority (“ESMA”) in response to its </w:t>
      </w:r>
      <w:r>
        <w:rPr>
          <w:i/>
          <w:szCs w:val="24"/>
        </w:rPr>
        <w:t>Consultation Paper on Clearing Obligation under EMIR (no.4)</w:t>
      </w:r>
      <w:r>
        <w:rPr>
          <w:szCs w:val="24"/>
        </w:rPr>
        <w:t xml:space="preserve">. </w:t>
      </w:r>
    </w:p>
    <w:p>
      <w:pPr>
        <w:pStyle w:val="BodyText"/>
        <w:widowControl w:val="0"/>
        <w:numPr>
          <w:ilvl w:val="0"/>
          <w:numId w:val="0"/>
        </w:numPr>
        <w:spacing w:after="0"/>
        <w:ind w:left="720" w:hanging="720"/>
        <w:rPr>
          <w:szCs w:val="24"/>
        </w:rPr>
      </w:pPr>
    </w:p>
    <w:p>
      <w:pPr>
        <w:pStyle w:val="BodyText"/>
        <w:widowControl w:val="0"/>
        <w:numPr>
          <w:ilvl w:val="0"/>
          <w:numId w:val="0"/>
        </w:numPr>
        <w:spacing w:after="0"/>
        <w:rPr>
          <w:szCs w:val="24"/>
        </w:rPr>
      </w:pPr>
      <w:r>
        <w:rPr>
          <w:szCs w:val="24"/>
        </w:rPr>
        <w:t>Citadel is an active participant in the global OTC derivatives market, both in the United States and Europe.  We believe firmly that central clearing of OTC derivatives will mitigate systemic risk, increase transparency, promote competition, and otherwise improve the safety, stability and integrity of the global financial markets.  We have witnessed firsthand, and been an active pa</w:t>
      </w:r>
      <w:r>
        <w:rPr>
          <w:szCs w:val="24"/>
        </w:rPr>
        <w:t>r</w:t>
      </w:r>
      <w:r>
        <w:rPr>
          <w:szCs w:val="24"/>
        </w:rPr>
        <w:t xml:space="preserve">ticipant in, the successful implementation of mandatory clearing for wide swaths of the </w:t>
      </w:r>
      <w:r>
        <w:rPr>
          <w:szCs w:val="24"/>
        </w:rPr>
        <w:t>interest rate OTC</w:t>
      </w:r>
      <w:r>
        <w:rPr>
          <w:szCs w:val="24"/>
        </w:rPr>
        <w:t xml:space="preserve"> derivative</w:t>
      </w:r>
      <w:r>
        <w:rPr>
          <w:szCs w:val="24"/>
        </w:rPr>
        <w:t>s market</w:t>
      </w:r>
      <w:r>
        <w:rPr>
          <w:szCs w:val="24"/>
        </w:rPr>
        <w:t xml:space="preserve"> in the United States, and look forward to similar achievements in Europe.</w:t>
      </w:r>
      <w:r>
        <w:rPr>
          <w:szCs w:val="24"/>
        </w:rPr>
        <w:t xml:space="preserve">  </w:t>
      </w:r>
    </w:p>
    <w:p>
      <w:pPr>
        <w:pStyle w:val="BodyText"/>
        <w:widowControl w:val="0"/>
        <w:numPr>
          <w:ilvl w:val="0"/>
          <w:numId w:val="0"/>
        </w:numPr>
        <w:spacing w:after="0"/>
        <w:rPr>
          <w:szCs w:val="24"/>
        </w:rPr>
      </w:pPr>
    </w:p>
    <w:p>
      <w:pPr>
        <w:pStyle w:val="BodyText"/>
        <w:widowControl w:val="0"/>
        <w:numPr>
          <w:ilvl w:val="0"/>
          <w:numId w:val="0"/>
        </w:numPr>
        <w:spacing w:after="0"/>
        <w:rPr>
          <w:szCs w:val="24"/>
        </w:rPr>
      </w:pPr>
      <w:r>
        <w:rPr>
          <w:szCs w:val="24"/>
        </w:rPr>
        <w:t xml:space="preserve">Citadel regularly voluntarily clears interest rate OTC derivatives denominated in an array of currencies beyond USD, EUR, GBP, and JPY (the universe currently subject to the clearing obligation in the U.S. and that will soon be subject to he clearing obligation in the E.U).  We believe it is appropriate at this time </w:t>
      </w:r>
      <w:r>
        <w:rPr>
          <w:szCs w:val="24"/>
        </w:rPr>
        <w:t xml:space="preserve">to </w:t>
      </w:r>
      <w:r>
        <w:rPr>
          <w:szCs w:val="24"/>
        </w:rPr>
        <w:t>expand the clearing obligation</w:t>
      </w:r>
      <w:r>
        <w:rPr>
          <w:szCs w:val="24"/>
        </w:rPr>
        <w:t xml:space="preserve"> globally to OTC derivatives denominated in AUD, CAD, CHF, DKK, NOK, NZD, and SEK</w:t>
      </w:r>
      <w:r>
        <w:rPr>
          <w:szCs w:val="24"/>
        </w:rPr>
        <w:t>.</w:t>
      </w:r>
    </w:p>
    <w:p>
      <w:pPr>
        <w:pStyle w:val="BodyText"/>
        <w:widowControl w:val="0"/>
        <w:numPr>
          <w:ilvl w:val="0"/>
          <w:numId w:val="0"/>
        </w:numPr>
        <w:spacing w:after="0"/>
        <w:rPr>
          <w:szCs w:val="24"/>
        </w:rPr>
      </w:pPr>
    </w:p>
    <w:p>
      <w:pPr>
        <w:pStyle w:val="BodyText"/>
        <w:widowControl w:val="0"/>
        <w:numPr>
          <w:ilvl w:val="0"/>
          <w:numId w:val="0"/>
        </w:numPr>
        <w:spacing w:after="0"/>
        <w:rPr>
          <w:szCs w:val="24"/>
        </w:rPr>
      </w:pPr>
      <w:r>
        <w:rPr>
          <w:szCs w:val="24"/>
        </w:rPr>
        <w:t>As a backdrop to our specific responses that follow, we would like to first highlight the signif</w:t>
      </w:r>
      <w:r>
        <w:rPr>
          <w:szCs w:val="24"/>
        </w:rPr>
        <w:t>i</w:t>
      </w:r>
      <w:r>
        <w:rPr>
          <w:szCs w:val="24"/>
        </w:rPr>
        <w:t xml:space="preserve">cant advancements in </w:t>
      </w:r>
      <w:r>
        <w:rPr>
          <w:i/>
          <w:szCs w:val="24"/>
        </w:rPr>
        <w:t>client</w:t>
      </w:r>
      <w:r>
        <w:rPr>
          <w:szCs w:val="24"/>
        </w:rPr>
        <w:t xml:space="preserve"> clearing that have occurred </w:t>
      </w:r>
      <w:r>
        <w:rPr>
          <w:szCs w:val="24"/>
        </w:rPr>
        <w:t xml:space="preserve">in the past few </w:t>
      </w:r>
      <w:r>
        <w:rPr>
          <w:szCs w:val="24"/>
        </w:rPr>
        <w:t>year</w:t>
      </w:r>
      <w:r>
        <w:rPr>
          <w:szCs w:val="24"/>
        </w:rPr>
        <w:t>s</w:t>
      </w:r>
      <w:r>
        <w:rPr>
          <w:szCs w:val="24"/>
        </w:rPr>
        <w:t>:</w:t>
      </w:r>
    </w:p>
    <w:p>
      <w:pPr>
        <w:pStyle w:val="BodyText"/>
        <w:widowControl w:val="0"/>
        <w:numPr>
          <w:ilvl w:val="0"/>
          <w:numId w:val="51"/>
        </w:numPr>
        <w:spacing w:before="120" w:after="0"/>
        <w:rPr>
          <w:szCs w:val="24"/>
        </w:rPr>
      </w:pPr>
      <w:r>
        <w:rPr>
          <w:szCs w:val="24"/>
        </w:rPr>
        <w:t>The buy-side has cleared $</w:t>
      </w:r>
      <w:r>
        <w:rPr>
          <w:szCs w:val="24"/>
        </w:rPr>
        <w:t>236.6</w:t>
      </w:r>
      <w:r>
        <w:rPr>
          <w:szCs w:val="24"/>
        </w:rPr>
        <w:t xml:space="preserve"> trillion notional in</w:t>
      </w:r>
      <w:r>
        <w:rPr>
          <w:szCs w:val="24"/>
        </w:rPr>
        <w:t xml:space="preserve"> </w:t>
      </w:r>
      <w:r>
        <w:rPr>
          <w:szCs w:val="24"/>
        </w:rPr>
        <w:t>interest rate OTC</w:t>
      </w:r>
      <w:r>
        <w:rPr>
          <w:szCs w:val="24"/>
        </w:rPr>
        <w:t xml:space="preserve"> derivatives</w:t>
      </w:r>
      <w:r>
        <w:rPr>
          <w:szCs w:val="24"/>
        </w:rPr>
        <w:t xml:space="preserve"> at LCH, where buy-side open interest now stands at $</w:t>
      </w:r>
      <w:r>
        <w:rPr>
          <w:szCs w:val="24"/>
        </w:rPr>
        <w:t>14</w:t>
      </w:r>
      <w:r>
        <w:rPr>
          <w:szCs w:val="24"/>
        </w:rPr>
        <w:t>.</w:t>
      </w:r>
      <w:r>
        <w:rPr>
          <w:szCs w:val="24"/>
        </w:rPr>
        <w:t>9</w:t>
      </w:r>
      <w:r>
        <w:rPr>
          <w:szCs w:val="24"/>
        </w:rPr>
        <w:t xml:space="preserve"> trillion</w:t>
      </w:r>
      <w:r>
        <w:rPr>
          <w:szCs w:val="24"/>
        </w:rPr>
        <w:t xml:space="preserve"> and on average over 3</w:t>
      </w:r>
      <w:r>
        <w:rPr>
          <w:szCs w:val="24"/>
        </w:rPr>
        <w:t>,0</w:t>
      </w:r>
      <w:r>
        <w:rPr>
          <w:szCs w:val="24"/>
        </w:rPr>
        <w:t xml:space="preserve">00 buy-side trades are cleared </w:t>
      </w:r>
      <w:r>
        <w:rPr>
          <w:szCs w:val="24"/>
        </w:rPr>
        <w:t>pe</w:t>
      </w:r>
      <w:r>
        <w:rPr>
          <w:szCs w:val="24"/>
        </w:rPr>
        <w:t>r day.</w:t>
      </w:r>
      <w:r>
        <w:rPr>
          <w:rStyle w:val="FootnoteReference"/>
          <w:szCs w:val="24"/>
        </w:rPr>
        <w:footnoteReference w:id="3"/>
      </w:r>
    </w:p>
    <w:p>
      <w:pPr>
        <w:pStyle w:val="BodyText"/>
        <w:widowControl w:val="0"/>
        <w:numPr>
          <w:ilvl w:val="0"/>
          <w:numId w:val="51"/>
        </w:numPr>
        <w:spacing w:before="120" w:after="0"/>
        <w:rPr>
          <w:szCs w:val="24"/>
        </w:rPr>
      </w:pPr>
      <w:r>
        <w:rPr>
          <w:szCs w:val="24"/>
        </w:rPr>
        <w:t>O</w:t>
      </w:r>
      <w:r>
        <w:rPr>
          <w:szCs w:val="24"/>
        </w:rPr>
        <w:t xml:space="preserve">ver </w:t>
      </w:r>
      <w:r>
        <w:rPr>
          <w:szCs w:val="24"/>
        </w:rPr>
        <w:t>$</w:t>
      </w:r>
      <w:r>
        <w:rPr>
          <w:szCs w:val="24"/>
        </w:rPr>
        <w:t>70.6</w:t>
      </w:r>
      <w:r>
        <w:rPr>
          <w:szCs w:val="24"/>
        </w:rPr>
        <w:t xml:space="preserve"> trillion notional </w:t>
      </w:r>
      <w:r>
        <w:rPr>
          <w:szCs w:val="24"/>
        </w:rPr>
        <w:t xml:space="preserve">in interest rate OTC derivatives </w:t>
      </w:r>
      <w:r>
        <w:rPr>
          <w:szCs w:val="24"/>
        </w:rPr>
        <w:t>has been cleared</w:t>
      </w:r>
      <w:r>
        <w:rPr>
          <w:szCs w:val="24"/>
        </w:rPr>
        <w:t xml:space="preserve"> at CME</w:t>
      </w:r>
      <w:r>
        <w:rPr>
          <w:szCs w:val="24"/>
        </w:rPr>
        <w:t xml:space="preserve">, with open interest standing </w:t>
      </w:r>
      <w:r>
        <w:rPr>
          <w:szCs w:val="24"/>
        </w:rPr>
        <w:t>at over</w:t>
      </w:r>
      <w:r>
        <w:rPr>
          <w:szCs w:val="24"/>
        </w:rPr>
        <w:t xml:space="preserve"> $24.0</w:t>
      </w:r>
      <w:r>
        <w:rPr>
          <w:szCs w:val="24"/>
        </w:rPr>
        <w:t xml:space="preserve"> trillion</w:t>
      </w:r>
      <w:r>
        <w:rPr>
          <w:szCs w:val="24"/>
        </w:rPr>
        <w:t xml:space="preserve"> and over 2,0</w:t>
      </w:r>
      <w:r>
        <w:rPr>
          <w:szCs w:val="24"/>
        </w:rPr>
        <w:t>00 trades being cleared per day.</w:t>
      </w:r>
      <w:r>
        <w:rPr>
          <w:rStyle w:val="FootnoteReference"/>
          <w:szCs w:val="24"/>
        </w:rPr>
        <w:footnoteReference w:id="4"/>
      </w:r>
      <w:r>
        <w:rPr>
          <w:szCs w:val="24"/>
        </w:rPr>
        <w:t xml:space="preserve">  W</w:t>
      </w:r>
      <w:r>
        <w:rPr>
          <w:szCs w:val="24"/>
        </w:rPr>
        <w:t>e understand that most of this volume is driven by the buy-side.</w:t>
      </w:r>
    </w:p>
    <w:p>
      <w:pPr>
        <w:pStyle w:val="BodyText"/>
        <w:widowControl w:val="0"/>
        <w:numPr>
          <w:ilvl w:val="0"/>
          <w:numId w:val="0"/>
        </w:numPr>
        <w:spacing w:after="0"/>
        <w:ind w:left="360"/>
        <w:rPr>
          <w:szCs w:val="24"/>
        </w:rPr>
      </w:pPr>
    </w:p>
    <w:p>
      <w:pPr>
        <w:pStyle w:val="BodyText"/>
        <w:widowControl w:val="0"/>
        <w:numPr>
          <w:ilvl w:val="0"/>
          <w:numId w:val="0"/>
        </w:numPr>
        <w:spacing w:after="0"/>
      </w:pPr>
      <w:r>
        <w:rPr>
          <w:szCs w:val="24"/>
        </w:rPr>
        <w:t xml:space="preserve">We believe these statistics demonstrate clearly the viability and scalability of </w:t>
      </w:r>
      <w:r>
        <w:rPr>
          <w:i/>
          <w:szCs w:val="24"/>
        </w:rPr>
        <w:t xml:space="preserve">client </w:t>
      </w:r>
      <w:r>
        <w:rPr>
          <w:szCs w:val="24"/>
        </w:rPr>
        <w:t xml:space="preserve">clearing, and </w:t>
      </w:r>
      <w:r>
        <w:rPr>
          <w:szCs w:val="24"/>
        </w:rPr>
        <w:lastRenderedPageBreak/>
        <w:t>are an indication of the benefits that buy-side market participants will derive as the implement</w:t>
      </w:r>
      <w:r>
        <w:rPr>
          <w:szCs w:val="24"/>
        </w:rPr>
        <w:t>a</w:t>
      </w:r>
      <w:r>
        <w:rPr>
          <w:szCs w:val="24"/>
        </w:rPr>
        <w:t>tion of central clearing continues around the globe.  Our responses to certain of the questions posed in the Discussion Paper follow.</w:t>
      </w:r>
    </w:p>
    <w:permEnd w:id="7"/>
    <w:p>
      <w:r>
        <w:t>&lt;</w:t>
      </w:r>
      <w:r>
        <w:t>ESMA_CO4</w:t>
      </w:r>
      <w:r>
        <w:t>_</w:t>
      </w:r>
      <w:r>
        <w:t xml:space="preserve"> </w:t>
      </w:r>
      <w:r>
        <w:t>COMMENT_</w:t>
      </w:r>
      <w:r>
        <w:t>1&gt;</w:t>
      </w:r>
    </w:p>
    <w:p>
      <w:pPr>
        <w:pStyle w:val="Heading5"/>
        <w:rPr>
          <w:color w:val="FF0000"/>
        </w:rPr>
      </w:pPr>
      <w:r>
        <w:rPr>
          <w:rFonts w:cs="Arial"/>
          <w:szCs w:val="22"/>
        </w:rPr>
        <w:br w:type="page"/>
      </w:r>
    </w:p>
    <w:p/>
    <w:p>
      <w:pPr>
        <w:pStyle w:val="Heading5"/>
        <w:numPr>
          <w:ilvl w:val="0"/>
          <w:numId w:val="0"/>
        </w:numPr>
        <w:ind w:left="360" w:hanging="360"/>
      </w:pPr>
      <w:r>
        <w:t xml:space="preserve">Question </w:t>
      </w:r>
      <w:r>
        <w:fldChar w:fldCharType="begin"/>
      </w:r>
      <w:r>
        <w:instrText xml:space="preserve"> SEQ Question \* ARABIC </w:instrText>
      </w:r>
      <w:r>
        <w:fldChar w:fldCharType="separate"/>
      </w:r>
      <w:r>
        <w:rPr>
          <w:noProof/>
        </w:rPr>
        <w:t>1</w:t>
      </w:r>
      <w:r>
        <w:rPr>
          <w:noProof/>
        </w:rPr>
        <w:fldChar w:fldCharType="end"/>
      </w:r>
      <w:r>
        <w:t xml:space="preserve">: </w:t>
      </w:r>
      <w:r>
        <w:tab/>
      </w:r>
      <w:r>
        <w:t xml:space="preserve">Do you have any comment on the clearing obligation procedure described in this </w:t>
      </w:r>
      <w:r>
        <w:t>s</w:t>
      </w:r>
      <w:r>
        <w:t>ection?</w:t>
      </w:r>
    </w:p>
    <w:p/>
    <w:p>
      <w:r>
        <w:t>&lt;ESMA_CO4_</w:t>
      </w:r>
      <w:r>
        <w:t>1</w:t>
      </w:r>
      <w:r>
        <w:t>&gt;</w:t>
      </w:r>
    </w:p>
    <w:p>
      <w:permStart w:id="8" w:edGrp="everyone"/>
      <w:r>
        <w:t>TYPE YOUR TEXT HERE</w:t>
      </w:r>
    </w:p>
    <w:permEnd w:id="8"/>
    <w:p>
      <w:r>
        <w:t>&lt;ESMA_CO4_</w:t>
      </w:r>
      <w:r>
        <w:t>1</w:t>
      </w:r>
      <w:r>
        <w:t>&gt;</w:t>
      </w:r>
    </w:p>
    <w:p>
      <w:pPr>
        <w:pStyle w:val="Heading5"/>
        <w:numPr>
          <w:ilvl w:val="0"/>
          <w:numId w:val="0"/>
        </w:numPr>
        <w:ind w:left="360" w:hanging="360"/>
      </w:pPr>
      <w:r>
        <w:t xml:space="preserve">Question </w:t>
      </w:r>
      <w:r>
        <w:fldChar w:fldCharType="begin"/>
      </w:r>
      <w:r>
        <w:instrText xml:space="preserve"> SEQ Question \* ARABIC </w:instrText>
      </w:r>
      <w:r>
        <w:fldChar w:fldCharType="separate"/>
      </w:r>
      <w:r>
        <w:rPr>
          <w:noProof/>
        </w:rPr>
        <w:t>2</w:t>
      </w:r>
      <w:r>
        <w:rPr>
          <w:noProof/>
        </w:rPr>
        <w:fldChar w:fldCharType="end"/>
      </w:r>
      <w:r>
        <w:t xml:space="preserve">: </w:t>
      </w:r>
      <w:r>
        <w:tab/>
      </w:r>
      <w:r>
        <w:t xml:space="preserve">Do you have any comment on </w:t>
      </w:r>
      <w:r>
        <w:t>the structure of the interest rate derivative classes</w:t>
      </w:r>
      <w:r>
        <w:t xml:space="preserve"> described in this </w:t>
      </w:r>
      <w:r>
        <w:t>s</w:t>
      </w:r>
      <w:r>
        <w:t>ection?</w:t>
      </w:r>
    </w:p>
    <w:p/>
    <w:p>
      <w:r>
        <w:t>&lt;ESMA_CO4_</w:t>
      </w:r>
      <w:r>
        <w:t>2</w:t>
      </w:r>
      <w:r>
        <w:t>&gt;</w:t>
      </w:r>
    </w:p>
    <w:p>
      <w:permStart w:id="9" w:edGrp="everyone"/>
      <w:r>
        <w:t>TYPE YOUR TEXT HERE</w:t>
      </w:r>
    </w:p>
    <w:permEnd w:id="9"/>
    <w:p>
      <w:r>
        <w:t>&lt;ESMA_CO4_</w:t>
      </w:r>
      <w:r>
        <w:t>2</w:t>
      </w:r>
      <w:r>
        <w:t>&gt;</w:t>
      </w:r>
    </w:p>
    <w:p>
      <w:pPr>
        <w:pStyle w:val="Heading5"/>
        <w:numPr>
          <w:ilvl w:val="0"/>
          <w:numId w:val="0"/>
        </w:numPr>
        <w:ind w:left="360" w:hanging="360"/>
      </w:pPr>
      <w:r>
        <w:t xml:space="preserve">Question </w:t>
      </w:r>
      <w:r>
        <w:fldChar w:fldCharType="begin"/>
      </w:r>
      <w:r>
        <w:instrText xml:space="preserve"> SEQ Question \* ARABIC </w:instrText>
      </w:r>
      <w:r>
        <w:fldChar w:fldCharType="separate"/>
      </w:r>
      <w:r>
        <w:rPr>
          <w:noProof/>
        </w:rPr>
        <w:t>3</w:t>
      </w:r>
      <w:r>
        <w:rPr>
          <w:noProof/>
        </w:rPr>
        <w:fldChar w:fldCharType="end"/>
      </w:r>
      <w:r>
        <w:t>: Do you agree with the principle that, in the context of the clearing obligation, systemic risk should be considered not only at the aggregated EU level, but also at country or even i</w:t>
      </w:r>
      <w:r>
        <w:t>n</w:t>
      </w:r>
      <w:r>
        <w:t>stitution level?</w:t>
      </w:r>
    </w:p>
    <w:p/>
    <w:p>
      <w:r>
        <w:t>&lt;ESMA_CO4_</w:t>
      </w:r>
      <w:r>
        <w:t>3</w:t>
      </w:r>
      <w:r>
        <w:t>&gt;</w:t>
      </w:r>
    </w:p>
    <w:p>
      <w:permStart w:id="10" w:edGrp="everyone"/>
      <w:r>
        <w:t>TYPE YOUR TEXT HERE</w:t>
      </w:r>
    </w:p>
    <w:permEnd w:id="10"/>
    <w:p>
      <w:r>
        <w:t>&lt;ESMA_CO4_</w:t>
      </w:r>
      <w:r>
        <w:t>3</w:t>
      </w:r>
      <w:r>
        <w:t>&gt;</w:t>
      </w:r>
    </w:p>
    <w:p>
      <w:pPr>
        <w:pStyle w:val="Heading5"/>
        <w:numPr>
          <w:ilvl w:val="0"/>
          <w:numId w:val="0"/>
        </w:numPr>
      </w:pPr>
      <w:r>
        <w:t xml:space="preserve">Question </w:t>
      </w:r>
      <w:r>
        <w:fldChar w:fldCharType="begin"/>
      </w:r>
      <w:r>
        <w:instrText xml:space="preserve"> SEQ Question \* ARABIC </w:instrText>
      </w:r>
      <w:r>
        <w:fldChar w:fldCharType="separate"/>
      </w:r>
      <w:r>
        <w:rPr>
          <w:noProof/>
        </w:rPr>
        <w:t>4</w:t>
      </w:r>
      <w:r>
        <w:rPr>
          <w:noProof/>
        </w:rPr>
        <w:fldChar w:fldCharType="end"/>
      </w:r>
      <w:r>
        <w:t>: In view of the criteria set in Article 5(4) of EMIR, do you consider that this set of classes addresses appropriately the systemic risk associated to interest rate OTC derivatives? Please include relevant data or information where applicable.</w:t>
      </w:r>
    </w:p>
    <w:p/>
    <w:p>
      <w:r>
        <w:t>&lt;ESMA_CO4_</w:t>
      </w:r>
      <w:r>
        <w:t>4</w:t>
      </w:r>
      <w:r>
        <w:t>&gt;</w:t>
      </w:r>
    </w:p>
    <w:p>
      <w:pPr>
        <w:pStyle w:val="BodyText"/>
        <w:widowControl w:val="0"/>
        <w:numPr>
          <w:ilvl w:val="0"/>
          <w:numId w:val="0"/>
        </w:numPr>
        <w:spacing w:after="0"/>
        <w:rPr>
          <w:szCs w:val="24"/>
        </w:rPr>
      </w:pPr>
      <w:permStart w:id="11" w:edGrp="everyone"/>
      <w:r>
        <w:rPr>
          <w:szCs w:val="24"/>
        </w:rPr>
        <w:t>We recommend that the DKK, NOK, and SEK contracts within the Fixed-to-</w:t>
      </w:r>
      <w:r>
        <w:rPr>
          <w:szCs w:val="24"/>
        </w:rPr>
        <w:t>f</w:t>
      </w:r>
      <w:r>
        <w:rPr>
          <w:szCs w:val="24"/>
        </w:rPr>
        <w:t xml:space="preserve">loat and </w:t>
      </w:r>
      <w:r>
        <w:rPr>
          <w:szCs w:val="24"/>
        </w:rPr>
        <w:t>Forward rate a</w:t>
      </w:r>
      <w:r>
        <w:rPr>
          <w:szCs w:val="24"/>
        </w:rPr>
        <w:t>greement (FRA)</w:t>
      </w:r>
      <w:r>
        <w:rPr>
          <w:szCs w:val="24"/>
        </w:rPr>
        <w:t xml:space="preserve"> interest rate swap</w:t>
      </w:r>
      <w:r>
        <w:rPr>
          <w:szCs w:val="24"/>
        </w:rPr>
        <w:t xml:space="preserve"> classes should be subject to the clearing obligation.  </w:t>
      </w:r>
      <w:r>
        <w:rPr>
          <w:szCs w:val="24"/>
        </w:rPr>
        <w:t>These contracts all exhibit ample (a) standardization, (b) volume and liquidity, and (c) availabi</w:t>
      </w:r>
      <w:r>
        <w:rPr>
          <w:szCs w:val="24"/>
        </w:rPr>
        <w:t>l</w:t>
      </w:r>
      <w:r>
        <w:rPr>
          <w:szCs w:val="24"/>
        </w:rPr>
        <w:t>ity of pricing information, which are the relevant criteria defined in Article 5(4) of EMIR for co</w:t>
      </w:r>
      <w:r>
        <w:rPr>
          <w:szCs w:val="24"/>
        </w:rPr>
        <w:t>nsider</w:t>
      </w:r>
      <w:r>
        <w:rPr>
          <w:szCs w:val="24"/>
        </w:rPr>
        <w:t>a</w:t>
      </w:r>
      <w:r>
        <w:rPr>
          <w:szCs w:val="24"/>
        </w:rPr>
        <w:t>tion when applying the clearing obligation</w:t>
      </w:r>
      <w:r>
        <w:rPr>
          <w:szCs w:val="24"/>
        </w:rPr>
        <w:t>.</w:t>
      </w:r>
      <w:r>
        <w:rPr>
          <w:szCs w:val="24"/>
        </w:rPr>
        <w:t xml:space="preserve">  We further recommend that the clearing obligation for these</w:t>
      </w:r>
      <w:r>
        <w:rPr>
          <w:szCs w:val="24"/>
        </w:rPr>
        <w:t xml:space="preserve"> Fixed-to-float</w:t>
      </w:r>
      <w:r>
        <w:rPr>
          <w:szCs w:val="24"/>
        </w:rPr>
        <w:t xml:space="preserve"> contracts be amended to cover the full range of maturities that are cu</w:t>
      </w:r>
      <w:r>
        <w:rPr>
          <w:szCs w:val="24"/>
        </w:rPr>
        <w:t>r</w:t>
      </w:r>
      <w:r>
        <w:rPr>
          <w:szCs w:val="24"/>
        </w:rPr>
        <w:t>rently available for clearing – up to 10Y for DKK and NOK up to 30Y for SEK.</w:t>
      </w:r>
    </w:p>
    <w:p>
      <w:pPr>
        <w:pStyle w:val="BodyText"/>
        <w:widowControl w:val="0"/>
        <w:numPr>
          <w:ilvl w:val="0"/>
          <w:numId w:val="0"/>
        </w:numPr>
        <w:spacing w:after="0"/>
        <w:rPr>
          <w:szCs w:val="24"/>
        </w:rPr>
      </w:pPr>
    </w:p>
    <w:p>
      <w:pPr>
        <w:pStyle w:val="BodyText"/>
        <w:widowControl w:val="0"/>
        <w:numPr>
          <w:ilvl w:val="0"/>
          <w:numId w:val="0"/>
        </w:numPr>
        <w:spacing w:after="0"/>
        <w:rPr>
          <w:szCs w:val="24"/>
        </w:rPr>
      </w:pPr>
      <w:r>
        <w:rPr>
          <w:szCs w:val="24"/>
        </w:rPr>
        <w:t>The very high degree of standardization of contractual terms and operational processes</w:t>
      </w:r>
      <w:r>
        <w:rPr>
          <w:szCs w:val="24"/>
        </w:rPr>
        <w:t xml:space="preserve">, ample </w:t>
      </w:r>
      <w:r>
        <w:rPr>
          <w:szCs w:val="24"/>
        </w:rPr>
        <w:t>volume and liquidity, and read</w:t>
      </w:r>
      <w:r>
        <w:rPr>
          <w:szCs w:val="24"/>
        </w:rPr>
        <w:t xml:space="preserve">y availability of pricing information </w:t>
      </w:r>
      <w:r>
        <w:rPr>
          <w:szCs w:val="24"/>
        </w:rPr>
        <w:t xml:space="preserve">for </w:t>
      </w:r>
      <w:r>
        <w:rPr>
          <w:szCs w:val="24"/>
        </w:rPr>
        <w:t xml:space="preserve">interest rate OTC </w:t>
      </w:r>
      <w:r>
        <w:rPr>
          <w:szCs w:val="24"/>
        </w:rPr>
        <w:t>deriv</w:t>
      </w:r>
      <w:r>
        <w:rPr>
          <w:szCs w:val="24"/>
        </w:rPr>
        <w:t>a</w:t>
      </w:r>
      <w:r>
        <w:rPr>
          <w:szCs w:val="24"/>
        </w:rPr>
        <w:t>tive contracts</w:t>
      </w:r>
      <w:r>
        <w:rPr>
          <w:szCs w:val="24"/>
        </w:rPr>
        <w:t xml:space="preserve"> denominated in these currencies</w:t>
      </w:r>
      <w:r>
        <w:rPr>
          <w:szCs w:val="24"/>
        </w:rPr>
        <w:t xml:space="preserve"> is evidenced, among others, by the fact that </w:t>
      </w:r>
      <w:r>
        <w:rPr>
          <w:szCs w:val="24"/>
        </w:rPr>
        <w:t>su</w:t>
      </w:r>
      <w:r>
        <w:rPr>
          <w:szCs w:val="24"/>
        </w:rPr>
        <w:t>b</w:t>
      </w:r>
      <w:r>
        <w:rPr>
          <w:szCs w:val="24"/>
        </w:rPr>
        <w:t>stantial volumes of these co</w:t>
      </w:r>
      <w:r>
        <w:rPr>
          <w:szCs w:val="24"/>
        </w:rPr>
        <w:t>n</w:t>
      </w:r>
      <w:r>
        <w:rPr>
          <w:szCs w:val="24"/>
        </w:rPr>
        <w:t>tracts are already cleared.</w:t>
      </w:r>
      <w:r>
        <w:rPr>
          <w:szCs w:val="24"/>
        </w:rPr>
        <w:t xml:space="preserve">  At LCH, open interest in notional terms stands at DKK 4.</w:t>
      </w:r>
      <w:r>
        <w:rPr>
          <w:szCs w:val="24"/>
        </w:rPr>
        <w:t>2</w:t>
      </w:r>
      <w:r>
        <w:rPr>
          <w:szCs w:val="24"/>
        </w:rPr>
        <w:t xml:space="preserve"> trillion,  </w:t>
      </w:r>
      <w:r>
        <w:rPr>
          <w:szCs w:val="24"/>
        </w:rPr>
        <w:t>NOK</w:t>
      </w:r>
      <w:r>
        <w:rPr>
          <w:szCs w:val="24"/>
        </w:rPr>
        <w:t xml:space="preserve"> 15.</w:t>
      </w:r>
      <w:r>
        <w:rPr>
          <w:szCs w:val="24"/>
        </w:rPr>
        <w:t>6</w:t>
      </w:r>
      <w:r>
        <w:rPr>
          <w:szCs w:val="24"/>
        </w:rPr>
        <w:t xml:space="preserve"> trillion, and </w:t>
      </w:r>
      <w:r>
        <w:rPr>
          <w:szCs w:val="24"/>
        </w:rPr>
        <w:t>SEK</w:t>
      </w:r>
      <w:r>
        <w:rPr>
          <w:szCs w:val="24"/>
        </w:rPr>
        <w:t xml:space="preserve"> </w:t>
      </w:r>
      <w:r>
        <w:rPr>
          <w:szCs w:val="24"/>
        </w:rPr>
        <w:t>2</w:t>
      </w:r>
      <w:r>
        <w:rPr>
          <w:szCs w:val="24"/>
        </w:rPr>
        <w:t>8.9 trillion respectively.</w:t>
      </w:r>
      <w:r>
        <w:rPr>
          <w:rStyle w:val="FootnoteReference"/>
          <w:szCs w:val="24"/>
        </w:rPr>
        <w:footnoteReference w:id="5"/>
      </w:r>
      <w:r>
        <w:rPr>
          <w:szCs w:val="24"/>
        </w:rPr>
        <w:t xml:space="preserve">  </w:t>
      </w:r>
      <w:r>
        <w:rPr>
          <w:szCs w:val="24"/>
        </w:rPr>
        <w:t>In addition</w:t>
      </w:r>
      <w:r>
        <w:rPr>
          <w:szCs w:val="24"/>
        </w:rPr>
        <w:t xml:space="preserve">, </w:t>
      </w:r>
      <w:r>
        <w:rPr>
          <w:szCs w:val="24"/>
        </w:rPr>
        <w:t>data</w:t>
      </w:r>
      <w:r>
        <w:rPr>
          <w:szCs w:val="24"/>
        </w:rPr>
        <w:t xml:space="preserve"> from DTCC’s Global Trade Repository</w:t>
      </w:r>
      <w:r>
        <w:rPr>
          <w:rStyle w:val="FootnoteReference"/>
          <w:szCs w:val="24"/>
        </w:rPr>
        <w:footnoteReference w:id="6"/>
      </w:r>
      <w:r>
        <w:rPr>
          <w:szCs w:val="24"/>
        </w:rPr>
        <w:t xml:space="preserve"> </w:t>
      </w:r>
      <w:r>
        <w:rPr>
          <w:szCs w:val="24"/>
        </w:rPr>
        <w:t>demonstrate</w:t>
      </w:r>
      <w:r>
        <w:rPr>
          <w:szCs w:val="24"/>
        </w:rPr>
        <w:t>s</w:t>
      </w:r>
      <w:r>
        <w:rPr>
          <w:szCs w:val="24"/>
        </w:rPr>
        <w:t xml:space="preserve"> substantial trading activity week-over-week in both n</w:t>
      </w:r>
      <w:r>
        <w:rPr>
          <w:szCs w:val="24"/>
        </w:rPr>
        <w:t>o</w:t>
      </w:r>
      <w:r>
        <w:rPr>
          <w:szCs w:val="24"/>
        </w:rPr>
        <w:t xml:space="preserve">tional and trade count terms.  </w:t>
      </w:r>
      <w:r>
        <w:rPr>
          <w:szCs w:val="24"/>
        </w:rPr>
        <w:t>Our experience and observations regarding trading liquidity further lead us to co</w:t>
      </w:r>
      <w:r>
        <w:rPr>
          <w:szCs w:val="24"/>
        </w:rPr>
        <w:t>n</w:t>
      </w:r>
      <w:r>
        <w:rPr>
          <w:szCs w:val="24"/>
        </w:rPr>
        <w:t xml:space="preserve">clude that there is sufficient data in the market for CCPs to perform required pricing of these </w:t>
      </w:r>
      <w:r>
        <w:rPr>
          <w:szCs w:val="24"/>
        </w:rPr>
        <w:t>interest rate OTC derivative contracts.</w:t>
      </w:r>
    </w:p>
    <w:permEnd w:id="11"/>
    <w:p>
      <w:r>
        <w:t>&lt;ESMA_CO4_</w:t>
      </w:r>
      <w:r>
        <w:t>4</w:t>
      </w:r>
      <w:r>
        <w:t>&gt;</w:t>
      </w:r>
    </w:p>
    <w:p>
      <w:pPr>
        <w:pStyle w:val="Heading5"/>
        <w:numPr>
          <w:ilvl w:val="0"/>
          <w:numId w:val="0"/>
        </w:numPr>
      </w:pPr>
      <w:r>
        <w:lastRenderedPageBreak/>
        <w:t xml:space="preserve">Question </w:t>
      </w:r>
      <w:r>
        <w:fldChar w:fldCharType="begin"/>
      </w:r>
      <w:r>
        <w:instrText xml:space="preserve"> SEQ Question \* ARABIC </w:instrText>
      </w:r>
      <w:r>
        <w:fldChar w:fldCharType="separate"/>
      </w:r>
      <w:r>
        <w:rPr>
          <w:noProof/>
        </w:rPr>
        <w:t>5</w:t>
      </w:r>
      <w:r>
        <w:rPr>
          <w:noProof/>
        </w:rPr>
        <w:fldChar w:fldCharType="end"/>
      </w:r>
      <w:r>
        <w:t>:</w:t>
      </w:r>
      <w:r>
        <w:t xml:space="preserve"> Do you consider that </w:t>
      </w:r>
      <w:r>
        <w:t>the proposals related to the definition of the categories of cou</w:t>
      </w:r>
      <w:r>
        <w:t>n</w:t>
      </w:r>
      <w:r>
        <w:t>terparties</w:t>
      </w:r>
      <w:r>
        <w:t xml:space="preserve"> are appropriate in light of the criteria set out in EMIR?</w:t>
      </w:r>
    </w:p>
    <w:p/>
    <w:p>
      <w:r>
        <w:t>&lt;ESMA_CO4_</w:t>
      </w:r>
      <w:r>
        <w:t>5</w:t>
      </w:r>
      <w:r>
        <w:t>&gt;</w:t>
      </w:r>
    </w:p>
    <w:p>
      <w:permStart w:id="12" w:edGrp="everyone"/>
      <w:r>
        <w:t>TYPE YOUR TEXT HERE</w:t>
      </w:r>
    </w:p>
    <w:permEnd w:id="12"/>
    <w:p>
      <w:r>
        <w:t>&lt;ESMA_CO4_</w:t>
      </w:r>
      <w:r>
        <w:t>5</w:t>
      </w:r>
      <w:r>
        <w:t>&gt;</w:t>
      </w:r>
    </w:p>
    <w:p>
      <w:pPr>
        <w:pStyle w:val="Heading5"/>
        <w:numPr>
          <w:ilvl w:val="0"/>
          <w:numId w:val="0"/>
        </w:numPr>
      </w:pPr>
      <w:r>
        <w:t xml:space="preserve">Question </w:t>
      </w:r>
      <w:r>
        <w:fldChar w:fldCharType="begin"/>
      </w:r>
      <w:r>
        <w:instrText xml:space="preserve"> SEQ Question \* ARABIC </w:instrText>
      </w:r>
      <w:r>
        <w:fldChar w:fldCharType="separate"/>
      </w:r>
      <w:r>
        <w:rPr>
          <w:noProof/>
        </w:rPr>
        <w:t>6</w:t>
      </w:r>
      <w:r>
        <w:rPr>
          <w:noProof/>
        </w:rPr>
        <w:fldChar w:fldCharType="end"/>
      </w:r>
      <w:r>
        <w:t xml:space="preserve">: Do you consider that the proposed dates of application </w:t>
      </w:r>
      <w:r>
        <w:t xml:space="preserve">for the different categories of counterparties </w:t>
      </w:r>
      <w:r>
        <w:t>ensure a smooth implementation of the clearing obligation? Please explain why and possible alternatives.</w:t>
      </w:r>
    </w:p>
    <w:p/>
    <w:p>
      <w:r>
        <w:t>&lt;ESMA_CO4_</w:t>
      </w:r>
      <w:r>
        <w:t>6</w:t>
      </w:r>
      <w:r>
        <w:t>&gt;</w:t>
      </w:r>
    </w:p>
    <w:p>
      <w:permStart w:id="13" w:edGrp="everyone"/>
      <w:r>
        <w:t>TYPE YOUR TEXT HERE</w:t>
      </w:r>
    </w:p>
    <w:permEnd w:id="13"/>
    <w:p>
      <w:r>
        <w:t>&lt;ESMA_CO4_</w:t>
      </w:r>
      <w:r>
        <w:t>6</w:t>
      </w:r>
      <w:r>
        <w:t>&gt;</w:t>
      </w:r>
    </w:p>
    <w:p>
      <w:pPr>
        <w:pStyle w:val="Heading5"/>
        <w:numPr>
          <w:ilvl w:val="0"/>
          <w:numId w:val="0"/>
        </w:numPr>
      </w:pPr>
      <w:r>
        <w:t xml:space="preserve">Question </w:t>
      </w:r>
      <w:r>
        <w:fldChar w:fldCharType="begin"/>
      </w:r>
      <w:r>
        <w:instrText xml:space="preserve"> SEQ Question \* ARABIC </w:instrText>
      </w:r>
      <w:r>
        <w:fldChar w:fldCharType="separate"/>
      </w:r>
      <w:r>
        <w:rPr>
          <w:noProof/>
        </w:rPr>
        <w:t>7</w:t>
      </w:r>
      <w:r>
        <w:rPr>
          <w:noProof/>
        </w:rPr>
        <w:fldChar w:fldCharType="end"/>
      </w:r>
      <w:r>
        <w:t xml:space="preserve">: </w:t>
      </w:r>
      <w:r>
        <w:t>Do you have any comment on the approach envisaged for frontloading?</w:t>
      </w:r>
      <w:r>
        <w:t xml:space="preserve"> </w:t>
      </w:r>
    </w:p>
    <w:p/>
    <w:p>
      <w:r>
        <w:t>&lt;ESMA_CO4_</w:t>
      </w:r>
      <w:r>
        <w:t>7</w:t>
      </w:r>
      <w:r>
        <w:t>&gt;</w:t>
      </w:r>
    </w:p>
    <w:p>
      <w:permStart w:id="14" w:edGrp="everyone"/>
      <w:r>
        <w:t>TYPE YOUR TEXT HERE</w:t>
      </w:r>
    </w:p>
    <w:permEnd w:id="14"/>
    <w:p>
      <w:r>
        <w:t>&lt;ESMA_CO4_</w:t>
      </w:r>
      <w:r>
        <w:t>7</w:t>
      </w:r>
      <w:r>
        <w:t>&gt;</w:t>
      </w:r>
    </w:p>
    <w:p>
      <w:pPr>
        <w:pStyle w:val="Heading5"/>
        <w:numPr>
          <w:ilvl w:val="0"/>
          <w:numId w:val="0"/>
        </w:numPr>
      </w:pPr>
      <w:r>
        <w:t xml:space="preserve">Question </w:t>
      </w:r>
      <w:r>
        <w:fldChar w:fldCharType="begin"/>
      </w:r>
      <w:r>
        <w:instrText xml:space="preserve"> SEQ Question \* ARABIC </w:instrText>
      </w:r>
      <w:r>
        <w:fldChar w:fldCharType="separate"/>
      </w:r>
      <w:r>
        <w:rPr>
          <w:noProof/>
        </w:rPr>
        <w:t>8</w:t>
      </w:r>
      <w:r>
        <w:rPr>
          <w:noProof/>
        </w:rPr>
        <w:fldChar w:fldCharType="end"/>
      </w:r>
      <w:r>
        <w:t xml:space="preserve">: </w:t>
      </w:r>
      <w:r>
        <w:t>Do you have any comment on the Cost-Benefit analysis?</w:t>
      </w:r>
      <w:r>
        <w:t xml:space="preserve"> </w:t>
      </w:r>
    </w:p>
    <w:p/>
    <w:p>
      <w:r>
        <w:t>&lt;ESMA_CO4_</w:t>
      </w:r>
      <w:r>
        <w:t>8</w:t>
      </w:r>
      <w:r>
        <w:t>&gt;</w:t>
      </w:r>
    </w:p>
    <w:p>
      <w:permStart w:id="15" w:edGrp="everyone"/>
      <w:r>
        <w:t>TYPE YOUR TEXT HERE</w:t>
      </w:r>
    </w:p>
    <w:permEnd w:id="15"/>
    <w:p>
      <w:r>
        <w:t>&lt;ESMA_CO4_</w:t>
      </w:r>
      <w:r>
        <w:t>8</w:t>
      </w:r>
      <w:r>
        <w:t>&gt;</w:t>
      </w:r>
    </w:p>
    <w:p>
      <w:pPr>
        <w:pStyle w:val="Heading5"/>
        <w:numPr>
          <w:ilvl w:val="0"/>
          <w:numId w:val="0"/>
        </w:numPr>
      </w:pPr>
      <w:r>
        <w:t xml:space="preserve">Question </w:t>
      </w:r>
      <w:r>
        <w:fldChar w:fldCharType="begin"/>
      </w:r>
      <w:r>
        <w:instrText xml:space="preserve"> SEQ Question \* ARABIC </w:instrText>
      </w:r>
      <w:r>
        <w:fldChar w:fldCharType="separate"/>
      </w:r>
      <w:r>
        <w:rPr>
          <w:noProof/>
        </w:rPr>
        <w:t>9</w:t>
      </w:r>
      <w:r>
        <w:rPr>
          <w:noProof/>
        </w:rPr>
        <w:fldChar w:fldCharType="end"/>
      </w:r>
      <w:r>
        <w:t>: Do you have any comments on the draft RTS not already covered in the previous questions?</w:t>
      </w:r>
    </w:p>
    <w:p/>
    <w:p>
      <w:r>
        <w:t>&lt;ESMA_CO4_</w:t>
      </w:r>
      <w:r>
        <w:t>9</w:t>
      </w:r>
      <w:r>
        <w:t>&gt;</w:t>
      </w:r>
    </w:p>
    <w:p>
      <w:permStart w:id="16" w:edGrp="everyone"/>
      <w:r>
        <w:t>TYPE YOUR TEXT HERE</w:t>
      </w:r>
    </w:p>
    <w:permEnd w:id="16"/>
    <w:p>
      <w:r>
        <w:t>&lt;ESMA_CO4_</w:t>
      </w:r>
      <w:r>
        <w:t>9</w:t>
      </w:r>
      <w:r>
        <w:t>&gt;</w:t>
      </w:r>
    </w:p>
    <w:p/>
    <w:sectPr>
      <w:headerReference w:type="even" r:id="rId14"/>
      <w:headerReference w:type="first" r:id="rId15"/>
      <w:footerReference w:type="first" r:id="rId16"/>
      <w:pgSz w:w="11906" w:h="16838" w:code="9"/>
      <w:pgMar w:top="2410" w:right="1247" w:bottom="1135" w:left="124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p/>
  </w:endnote>
  <w:endnote w:type="continuationSeparator" w:id="0">
    <w:p>
      <w:r>
        <w:continuationSeparator/>
      </w:r>
    </w:p>
    <w:p/>
  </w:endnote>
  <w:endnote w:type="continuationNotice" w:id="1">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sig w:usb0="00000000" w:usb1="00000000" w:usb2="00000000" w:usb3="00000000" w:csb0="0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sig w:usb0="00000000" w:usb1="00000000" w:usb2="00000000" w:usb3="00000000" w:csb0="00000000" w:csb1="00000000"/>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1248" w:tblpY="15820"/>
      <w:tblOverlap w:val="never"/>
      <w:tblW w:w="9412" w:type="dxa"/>
      <w:tblCellMar>
        <w:left w:w="0" w:type="dxa"/>
        <w:right w:w="0" w:type="dxa"/>
      </w:tblCellMar>
      <w:tblLook w:val="01E0"/>
    </w:tblPr>
    <w:tblGrid>
      <w:gridCol w:w="8460"/>
      <w:gridCol w:w="952"/>
    </w:tblGrid>
    <w:tr>
      <w:trPr>
        <w:trHeight w:val="284"/>
      </w:trPr>
      <w:tc>
        <w:tcPr>
          <w:tcW w:w="8460" w:type="dxa"/>
        </w:tcPr>
        <w:p>
          <w:pPr>
            <w:pStyle w:val="00Footer"/>
            <w:rPr>
              <w:lang w:val="fr-FR"/>
            </w:rPr>
          </w:pPr>
        </w:p>
      </w:tc>
      <w:tc>
        <w:tcPr>
          <w:tcW w:w="952" w:type="dxa"/>
        </w:tcPr>
        <w:p>
          <w:pPr>
            <w:pStyle w:val="00aPagenumber"/>
            <w:rPr>
              <w:rFonts w:cs="Arial"/>
              <w:sz w:val="22"/>
              <w:szCs w:val="22"/>
            </w:rPr>
          </w:pPr>
          <w:r>
            <w:rPr>
              <w:rFonts w:cs="Arial"/>
              <w:sz w:val="22"/>
              <w:szCs w:val="22"/>
            </w:rPr>
            <w:fldChar w:fldCharType="begin"/>
          </w:r>
          <w:r>
            <w:rPr>
              <w:rFonts w:cs="Arial"/>
              <w:sz w:val="22"/>
              <w:szCs w:val="22"/>
            </w:rPr>
            <w:instrText xml:space="preserve"> PAGE </w:instrText>
          </w:r>
          <w:r>
            <w:rPr>
              <w:rFonts w:cs="Arial"/>
              <w:sz w:val="22"/>
              <w:szCs w:val="22"/>
            </w:rPr>
            <w:fldChar w:fldCharType="separate"/>
          </w:r>
          <w:r>
            <w:rPr>
              <w:rFonts w:cs="Arial"/>
              <w:noProof/>
              <w:sz w:val="22"/>
              <w:szCs w:val="22"/>
            </w:rPr>
            <w:t>3</w:t>
          </w:r>
          <w:r>
            <w:rPr>
              <w:rFonts w:cs="Arial"/>
              <w:noProof/>
              <w:sz w:val="22"/>
              <w:szCs w:val="22"/>
            </w:rPr>
            <w:fldChar w:fldCharType="end"/>
          </w:r>
        </w:p>
      </w:tc>
    </w:tr>
  </w:tbl>
  <w:p>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
        <w:separator/>
      </w:r>
    </w:p>
    <w:p/>
  </w:footnote>
  <w:footnote w:type="continuationSeparator" w:id="0">
    <w:p>
      <w:r>
        <w:continuationSeparator/>
      </w:r>
    </w:p>
    <w:p/>
  </w:footnote>
  <w:footnote w:type="continuationNotice" w:id="1">
    <w:p/>
  </w:footnote>
  <w:footnote w:id="2">
    <w:p>
      <w:pPr>
        <w:pStyle w:val="FootnoteText"/>
      </w:pPr>
      <w:r>
        <w:rPr>
          <w:rStyle w:val="FootnoteReference"/>
        </w:rPr>
        <w:footnoteRef/>
      </w:r>
      <w:r>
        <w:t xml:space="preserve"> Citadel is a global investment firm built around world-class talent, sound risk management, and innovative market-leading techno</w:t>
      </w:r>
      <w:r>
        <w:t>l</w:t>
      </w:r>
      <w:r>
        <w:t>ogy. For nearly a quarter of a century, Citadel’s hedge funds and capital markets platform have delivered meaningful and measu</w:t>
      </w:r>
      <w:r>
        <w:t>r</w:t>
      </w:r>
      <w:r>
        <w:t>able results to top-tier investors around the world. Citadel’s team of more than 550 investment professionals deploy capital across all major asset classes, in all major financial markets, from offices in Chicago, New York, San Francisco, Boston, London, Hong Kong, and Shanghai.</w:t>
      </w:r>
    </w:p>
  </w:footnote>
  <w:footnote w:id="3">
    <w:p>
      <w:pPr>
        <w:pStyle w:val="FootnoteText"/>
        <w:spacing w:after="60"/>
      </w:pPr>
      <w:r>
        <w:rPr>
          <w:rStyle w:val="FootnoteReference"/>
        </w:rPr>
        <w:footnoteRef/>
      </w:r>
      <w:r>
        <w:t xml:space="preserve"> See </w:t>
      </w:r>
      <w:hyperlink r:id="rId1" w:history="1">
        <w:r>
          <w:rPr>
            <w:rStyle w:val="Hyperlink"/>
          </w:rPr>
          <w:t>http://www.swapclear.com/what/clearing-volumes.html</w:t>
        </w:r>
      </w:hyperlink>
      <w:r>
        <w:t xml:space="preserve"> as of July 13, 2015.</w:t>
      </w:r>
    </w:p>
  </w:footnote>
  <w:footnote w:id="4">
    <w:p>
      <w:pPr>
        <w:pStyle w:val="FootnoteText"/>
        <w:spacing w:after="60"/>
      </w:pPr>
      <w:r>
        <w:rPr>
          <w:rStyle w:val="FootnoteReference"/>
        </w:rPr>
        <w:footnoteRef/>
      </w:r>
      <w:r>
        <w:t xml:space="preserve"> See </w:t>
      </w:r>
      <w:hyperlink r:id="rId2" w:history="1">
        <w:r>
          <w:rPr>
            <w:rStyle w:val="Hyperlink"/>
          </w:rPr>
          <w:t>http://www.cmegroup.com/education/cme-volume-oi-records.html</w:t>
        </w:r>
      </w:hyperlink>
      <w:r>
        <w:t xml:space="preserve"> as of July 13, 2015.</w:t>
      </w:r>
    </w:p>
  </w:footnote>
  <w:footnote w:id="5">
    <w:p>
      <w:pPr>
        <w:pStyle w:val="FootnoteText"/>
      </w:pPr>
      <w:r>
        <w:rPr>
          <w:rStyle w:val="FootnoteReference"/>
        </w:rPr>
        <w:footnoteRef/>
      </w:r>
      <w:r>
        <w:t xml:space="preserve"> See </w:t>
      </w:r>
      <w:hyperlink r:id="rId3" w:history="1">
        <w:r>
          <w:rPr>
            <w:rStyle w:val="Hyperlink"/>
          </w:rPr>
          <w:t>http://www.swapclear.com/what/clearing-volumes.html</w:t>
        </w:r>
      </w:hyperlink>
      <w:r>
        <w:t xml:space="preserve"> as of July 13, 2015.</w:t>
      </w:r>
    </w:p>
  </w:footnote>
  <w:footnote w:id="6">
    <w:p>
      <w:pPr>
        <w:pStyle w:val="FootnoteText"/>
      </w:pPr>
      <w:r>
        <w:rPr>
          <w:rStyle w:val="FootnoteReference"/>
        </w:rPr>
        <w:footnoteRef/>
      </w:r>
      <w:r>
        <w:t xml:space="preserve"> See </w:t>
      </w:r>
      <w:hyperlink r:id="rId4" w:history="1">
        <w:r>
          <w:rPr>
            <w:rStyle w:val="Hyperlink"/>
          </w:rPr>
          <w:t>http://www.dtcc.com/market-data/gtr-interest-rate-swap-data/table-2.aspx</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r>
      <w:rPr>
        <w:noProof/>
        <w:lang w:val="en-US" w:eastAsia="en-US"/>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975" cy="561975"/>
                  </a:xfrm>
                  <a:prstGeom prst="rect">
                    <a:avLst/>
                  </a:prstGeom>
                  <a:noFill/>
                  <a:ln>
                    <a:noFill/>
                  </a:ln>
                </pic:spPr>
              </pic:pic>
            </a:graphicData>
          </a:graphic>
        </wp:anchor>
      </w:drawing>
    </w:r>
    <w:r>
      <w:rPr>
        <w:noProof/>
        <w:lang w:val="en-US" w:eastAsia="en-US"/>
      </w:rPr>
      <w:pict>
        <v:line id="Line 16" o:spid="_x0000_s4098"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jc w:val="right"/>
    </w:pPr>
    <w:r>
      <w:rPr>
        <w:noProof/>
        <w:lang w:val="en-US" w:eastAsia="en-US"/>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9800" cy="904875"/>
                  </a:xfrm>
                  <a:prstGeom prst="rect">
                    <a:avLst/>
                  </a:prstGeom>
                  <a:noFill/>
                  <a:ln>
                    <a:noFill/>
                  </a:ln>
                </pic:spPr>
              </pic:pic>
            </a:graphicData>
          </a:graphic>
        </wp:anchor>
      </w:drawing>
    </w:r>
    <w:r>
      <w:rPr>
        <w:noProof/>
        <w:lang w:val="en-US" w:eastAsia="en-US"/>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60310" cy="6800850"/>
                  </a:xfrm>
                  <a:prstGeom prst="rect">
                    <a:avLst/>
                  </a:prstGeom>
                  <a:noFill/>
                  <a:ln>
                    <a:noFill/>
                  </a:ln>
                </pic:spPr>
              </pic:pic>
            </a:graphicData>
          </a:graphic>
        </wp:anchor>
      </w:drawing>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1248" w:tblpY="15820"/>
      <w:tblOverlap w:val="never"/>
      <w:tblW w:w="9412" w:type="dxa"/>
      <w:tblCellMar>
        <w:left w:w="0" w:type="dxa"/>
        <w:right w:w="0" w:type="dxa"/>
      </w:tblCellMar>
      <w:tblLook w:val="01E0"/>
    </w:tblPr>
    <w:tblGrid>
      <w:gridCol w:w="8460"/>
      <w:gridCol w:w="952"/>
    </w:tblGrid>
    <w:tr>
      <w:trPr>
        <w:trHeight w:val="284"/>
      </w:trPr>
      <w:tc>
        <w:tcPr>
          <w:tcW w:w="8460" w:type="dxa"/>
        </w:tcPr>
        <w:p>
          <w:pPr>
            <w:pStyle w:val="00Footer"/>
            <w:rPr>
              <w:lang w:val="fr-FR"/>
            </w:rPr>
          </w:pPr>
        </w:p>
      </w:tc>
      <w:tc>
        <w:tcPr>
          <w:tcW w:w="952" w:type="dxa"/>
        </w:tcPr>
        <w:p>
          <w:pPr>
            <w:pStyle w:val="00aPagenumber"/>
            <w:rPr>
              <w:lang w:val="fr-FR"/>
            </w:rPr>
          </w:pPr>
        </w:p>
      </w:tc>
    </w:tr>
  </w:tbl>
  <w:p>
    <w:pPr>
      <w:rPr>
        <w:lang w:val="fr-FR"/>
      </w:rPr>
    </w:pPr>
  </w:p>
  <w:p>
    <w:pPr>
      <w:pStyle w:val="Header"/>
      <w:rPr>
        <w:lang w:val="fr-FR"/>
      </w:rPr>
    </w:pPr>
  </w:p>
  <w:p>
    <w:pPr>
      <w:pStyle w:val="Header"/>
      <w:tabs>
        <w:tab w:val="clear" w:pos="4536"/>
        <w:tab w:val="clear" w:pos="9072"/>
        <w:tab w:val="left" w:pos="8227"/>
      </w:tabs>
      <w:rPr>
        <w:lang w:val="fr-FR"/>
      </w:rPr>
    </w:pPr>
  </w:p>
  <w:p>
    <w:pPr>
      <w:pStyle w:val="Header"/>
      <w:tabs>
        <w:tab w:val="clear" w:pos="4536"/>
        <w:tab w:val="clear" w:pos="9072"/>
        <w:tab w:val="left" w:pos="8227"/>
      </w:tabs>
      <w:rPr>
        <w:lang w:val="fr-FR"/>
      </w:rPr>
    </w:pPr>
  </w:p>
  <w:p>
    <w:pPr>
      <w:pStyle w:val="Header"/>
      <w:rPr>
        <w:lang w:val="fr-FR"/>
      </w:rPr>
    </w:pPr>
  </w:p>
  <w:p>
    <w:pPr>
      <w:pStyle w:val="Header"/>
      <w:rPr>
        <w:lang w:val="fr-FR"/>
      </w:rPr>
    </w:pPr>
  </w:p>
  <w:p>
    <w:pPr>
      <w:pStyle w:val="Header"/>
      <w:rPr>
        <w:lang w:val="fr-FR"/>
      </w:rPr>
    </w:pPr>
  </w:p>
  <w:p>
    <w:pPr>
      <w:pStyle w:val="Header"/>
      <w:rPr>
        <w:lang w:val="fr-FR"/>
      </w:rPr>
    </w:pPr>
  </w:p>
  <w:p>
    <w:pPr>
      <w:pStyle w:val="Header"/>
      <w:rPr>
        <w:highlight w:val="yellow"/>
        <w:lang w:val="fr-FR"/>
      </w:rPr>
    </w:pPr>
  </w:p>
  <w:p>
    <w:pPr>
      <w:pStyle w:val="Header"/>
    </w:pPr>
    <w:r>
      <w:rPr>
        <w:noProof/>
        <w:lang w:val="en-US" w:eastAsia="en-US"/>
      </w:rPr>
      <w:pict>
        <v:line id="Straight Connector 138" o:spid="_x0000_s4097"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w:r>
    <w:r>
      <w:rPr>
        <w:noProof/>
        <w:lang w:val="en-US" w:eastAsia="en-US"/>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9800" cy="90487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047599"/>
    <w:multiLevelType w:val="multilevel"/>
    <w:tmpl w:val="8EF4CBF4"/>
    <w:lvl w:ilvl="0">
      <w:start w:val="1"/>
      <w:numFmt w:val="upperRoman"/>
      <w:lvlText w:val="%1."/>
      <w:lvlJc w:val="left"/>
      <w:pPr>
        <w:tabs>
          <w:tab w:val="num" w:pos="720"/>
        </w:tabs>
        <w:ind w:left="720" w:hanging="720"/>
      </w:pPr>
      <w:rPr>
        <w:rFonts w:ascii="Times New Roman Bold" w:hAnsi="Times New Roman Bold" w:hint="default"/>
        <w:b/>
        <w:i w:val="0"/>
        <w:caps w:val="0"/>
        <w:color w:val="010000"/>
        <w:sz w:val="24"/>
        <w:u w:val="none"/>
      </w:rPr>
    </w:lvl>
    <w:lvl w:ilvl="1">
      <w:start w:val="1"/>
      <w:numFmt w:val="upperLetter"/>
      <w:lvlText w:val="%2."/>
      <w:lvlJc w:val="left"/>
      <w:pPr>
        <w:tabs>
          <w:tab w:val="num" w:pos="1440"/>
        </w:tabs>
        <w:ind w:left="1440" w:hanging="720"/>
      </w:pPr>
      <w:rPr>
        <w:rFonts w:hint="default"/>
        <w:b/>
        <w:i w:val="0"/>
        <w:caps w:val="0"/>
        <w:sz w:val="24"/>
        <w:u w:val="none"/>
      </w:rPr>
    </w:lvl>
    <w:lvl w:ilvl="2">
      <w:start w:val="1"/>
      <w:numFmt w:val="decimal"/>
      <w:lvlText w:val="%3."/>
      <w:lvlJc w:val="left"/>
      <w:pPr>
        <w:ind w:left="1440" w:hanging="720"/>
      </w:pPr>
      <w:rPr>
        <w:rFonts w:hint="default"/>
        <w:b w:val="0"/>
        <w:i w:val="0"/>
        <w:caps w:val="0"/>
        <w:sz w:val="24"/>
        <w:u w:val="none"/>
      </w:rPr>
    </w:lvl>
    <w:lvl w:ilvl="3">
      <w:start w:val="1"/>
      <w:numFmt w:val="decimal"/>
      <w:lvlText w:val="(%4)"/>
      <w:lvlJc w:val="left"/>
      <w:pPr>
        <w:tabs>
          <w:tab w:val="num" w:pos="2880"/>
        </w:tabs>
        <w:ind w:left="2880" w:hanging="720"/>
      </w:pPr>
      <w:rPr>
        <w:rFonts w:hint="default"/>
        <w:caps w:val="0"/>
        <w:u w:val="none"/>
      </w:rPr>
    </w:lvl>
    <w:lvl w:ilvl="4">
      <w:start w:val="1"/>
      <w:numFmt w:val="lowerLetter"/>
      <w:lvlText w:val="%5."/>
      <w:lvlJc w:val="left"/>
      <w:pPr>
        <w:tabs>
          <w:tab w:val="num" w:pos="3600"/>
        </w:tabs>
        <w:ind w:left="3600" w:hanging="720"/>
      </w:pPr>
      <w:rPr>
        <w:rFonts w:hint="default"/>
        <w:caps w:val="0"/>
        <w:u w:val="none"/>
      </w:rPr>
    </w:lvl>
    <w:lvl w:ilvl="5">
      <w:start w:val="1"/>
      <w:numFmt w:val="lowerRoman"/>
      <w:lvlText w:val="%6."/>
      <w:lvlJc w:val="left"/>
      <w:pPr>
        <w:tabs>
          <w:tab w:val="num" w:pos="4320"/>
        </w:tabs>
        <w:ind w:left="4320" w:hanging="720"/>
      </w:pPr>
      <w:rPr>
        <w:rFonts w:hint="default"/>
        <w:caps w:val="0"/>
        <w:u w:val="none"/>
      </w:rPr>
    </w:lvl>
    <w:lvl w:ilvl="6">
      <w:start w:val="1"/>
      <w:numFmt w:val="decimal"/>
      <w:lvlText w:val="%7)"/>
      <w:lvlJc w:val="left"/>
      <w:pPr>
        <w:tabs>
          <w:tab w:val="num" w:pos="5040"/>
        </w:tabs>
        <w:ind w:left="5040" w:hanging="720"/>
      </w:pPr>
      <w:rPr>
        <w:rFonts w:hint="default"/>
        <w:caps w:val="0"/>
        <w:u w:val="none"/>
      </w:rPr>
    </w:lvl>
    <w:lvl w:ilvl="7">
      <w:start w:val="1"/>
      <w:numFmt w:val="lowerLetter"/>
      <w:lvlText w:val="%8)"/>
      <w:lvlJc w:val="left"/>
      <w:pPr>
        <w:tabs>
          <w:tab w:val="num" w:pos="5760"/>
        </w:tabs>
        <w:ind w:left="5760" w:hanging="720"/>
      </w:pPr>
      <w:rPr>
        <w:rFonts w:hint="default"/>
        <w:caps w:val="0"/>
        <w:u w:val="none"/>
      </w:rPr>
    </w:lvl>
    <w:lvl w:ilvl="8">
      <w:start w:val="1"/>
      <w:numFmt w:val="lowerRoman"/>
      <w:lvlText w:val="%9)"/>
      <w:lvlJc w:val="left"/>
      <w:pPr>
        <w:tabs>
          <w:tab w:val="num" w:pos="6480"/>
        </w:tabs>
        <w:ind w:left="6480" w:hanging="720"/>
      </w:pPr>
      <w:rPr>
        <w:rFonts w:hint="default"/>
        <w:caps w:val="0"/>
        <w:u w:val="none"/>
      </w:rPr>
    </w:lvl>
  </w:abstractNum>
  <w:abstractNum w:abstractNumId="4">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A0B553A"/>
    <w:multiLevelType w:val="hybridMultilevel"/>
    <w:tmpl w:val="A20A05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7">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3">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5">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8">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3"/>
  </w:num>
  <w:num w:numId="4">
    <w:abstractNumId w:val="24"/>
  </w:num>
  <w:num w:numId="5">
    <w:abstractNumId w:val="26"/>
  </w:num>
  <w:num w:numId="6">
    <w:abstractNumId w:val="0"/>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1"/>
  </w:num>
  <w:num w:numId="14">
    <w:abstractNumId w:val="23"/>
  </w:num>
  <w:num w:numId="15">
    <w:abstractNumId w:val="12"/>
  </w:num>
  <w:num w:numId="16">
    <w:abstractNumId w:val="1"/>
  </w:num>
  <w:num w:numId="17">
    <w:abstractNumId w:val="15"/>
  </w:num>
  <w:num w:numId="18">
    <w:abstractNumId w:val="16"/>
  </w:num>
  <w:num w:numId="19">
    <w:abstractNumId w:val="18"/>
  </w:num>
  <w:num w:numId="20">
    <w:abstractNumId w:val="27"/>
  </w:num>
  <w:num w:numId="21">
    <w:abstractNumId w:val="36"/>
  </w:num>
  <w:num w:numId="22">
    <w:abstractNumId w:val="25"/>
  </w:num>
  <w:num w:numId="23">
    <w:abstractNumId w:val="11"/>
  </w:num>
  <w:num w:numId="24">
    <w:abstractNumId w:val="30"/>
  </w:num>
  <w:num w:numId="25">
    <w:abstractNumId w:val="29"/>
  </w:num>
  <w:num w:numId="26">
    <w:abstractNumId w:val="20"/>
  </w:num>
  <w:num w:numId="27">
    <w:abstractNumId w:val="33"/>
  </w:num>
  <w:num w:numId="28">
    <w:abstractNumId w:val="38"/>
  </w:num>
  <w:num w:numId="29">
    <w:abstractNumId w:val="9"/>
  </w:num>
  <w:num w:numId="30">
    <w:abstractNumId w:val="4"/>
  </w:num>
  <w:num w:numId="31">
    <w:abstractNumId w:val="22"/>
  </w:num>
  <w:num w:numId="32">
    <w:abstractNumId w:val="2"/>
  </w:num>
  <w:num w:numId="33">
    <w:abstractNumId w:val="8"/>
  </w:num>
  <w:num w:numId="34">
    <w:abstractNumId w:val="21"/>
  </w:num>
  <w:num w:numId="35">
    <w:abstractNumId w:val="35"/>
  </w:num>
  <w:num w:numId="36">
    <w:abstractNumId w:val="35"/>
    <w:lvlOverride w:ilvl="0">
      <w:startOverride w:val="1"/>
    </w:lvlOverride>
  </w:num>
  <w:num w:numId="37">
    <w:abstractNumId w:val="35"/>
    <w:lvlOverride w:ilvl="0">
      <w:startOverride w:val="1"/>
    </w:lvlOverride>
  </w:num>
  <w:num w:numId="38">
    <w:abstractNumId w:val="35"/>
    <w:lvlOverride w:ilvl="0">
      <w:startOverride w:val="1"/>
    </w:lvlOverride>
  </w:num>
  <w:num w:numId="39">
    <w:abstractNumId w:val="35"/>
    <w:lvlOverride w:ilvl="0">
      <w:startOverride w:val="1"/>
    </w:lvlOverride>
  </w:num>
  <w:num w:numId="40">
    <w:abstractNumId w:val="35"/>
    <w:lvlOverride w:ilvl="0">
      <w:startOverride w:val="1"/>
    </w:lvlOverride>
  </w:num>
  <w:num w:numId="41">
    <w:abstractNumId w:val="35"/>
  </w:num>
  <w:num w:numId="42">
    <w:abstractNumId w:val="35"/>
    <w:lvlOverride w:ilvl="0">
      <w:startOverride w:val="1"/>
    </w:lvlOverride>
  </w:num>
  <w:num w:numId="43">
    <w:abstractNumId w:val="35"/>
    <w:lvlOverride w:ilvl="0">
      <w:startOverride w:val="1"/>
    </w:lvlOverride>
  </w:num>
  <w:num w:numId="44">
    <w:abstractNumId w:val="35"/>
    <w:lvlOverride w:ilvl="0">
      <w:startOverride w:val="1"/>
    </w:lvlOverride>
  </w:num>
  <w:num w:numId="45">
    <w:abstractNumId w:val="35"/>
    <w:lvlOverride w:ilvl="0">
      <w:startOverride w:val="1"/>
    </w:lvlOverride>
  </w:num>
  <w:num w:numId="46">
    <w:abstractNumId w:val="35"/>
    <w:lvlOverride w:ilvl="0">
      <w:startOverride w:val="1"/>
    </w:lvlOverride>
  </w:num>
  <w:num w:numId="47">
    <w:abstractNumId w:val="34"/>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lvlOverride w:ilvl="0">
      <w:startOverride w:val="1"/>
    </w:lvlOverride>
  </w:num>
  <w:num w:numId="50">
    <w:abstractNumId w:val="3"/>
  </w:num>
  <w:num w:numId="51">
    <w:abstractNumId w:val="5"/>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F01"/>
  <w:documentProtection w:edit="readOnly" w:enforcement="1"/>
  <w:defaultTabStop w:val="709"/>
  <w:autoHyphenation/>
  <w:hyphenationZone w:val="567"/>
  <w:characterSpacingControl w:val="doNotCompress"/>
  <w:hdrShapeDefaults>
    <o:shapedefaults v:ext="edit" spidmax="4099">
      <o:colormru v:ext="edit" colors="#2d4491,#283583"/>
    </o:shapedefaults>
    <o:shapelayout v:ext="edit">
      <o:idmap v:ext="edit" data="4"/>
    </o:shapelayout>
  </w:hdrShapeDefaults>
  <w:footnotePr>
    <w:footnote w:id="-1"/>
    <w:footnote w:id="0"/>
    <w:footnote w:id="1"/>
  </w:footnotePr>
  <w:endnotePr>
    <w:endnote w:id="-1"/>
    <w:endnote w:id="0"/>
    <w:endnote w:id="1"/>
  </w:endnotePr>
  <w:compat/>
  <w:docVars>
    <w:docVar w:name="CMRemoved" w:val="True"/>
    <w:docVar w:name="DateRemoved" w:val="True"/>
    <w:docVar w:name="DocIDAuthor" w:val="False"/>
    <w:docVar w:name="DocIDClientMatter" w:val="False"/>
    <w:docVar w:name="DocIDDateText" w:val="True"/>
    <w:docVar w:name="DocIDDefaultsApplied" w:val="False"/>
    <w:docVar w:name="DocIDDraft" w:val="False"/>
    <w:docVar w:name="DocIDEOD" w:val="False"/>
    <w:docVar w:name="DocIDFileName" w:val="False"/>
    <w:docVar w:name="DocIDFooter" w:val="True"/>
    <w:docVar w:name="DocIDLibrary" w:val="True"/>
    <w:docVar w:name="DocIDLongDate" w:val="False"/>
    <w:docVar w:name="DocIDPrefix" w:val="False"/>
    <w:docVar w:name="DocIDPrintedDate" w:val="False"/>
    <w:docVar w:name="DocIDRemoved" w:val="True"/>
    <w:docVar w:name="DocIDType" w:val="AllPages"/>
    <w:docVar w:name="DocIDTypist" w:val="False"/>
    <w:docVar w:name="DocIDVersion" w:val="True"/>
    <w:docVar w:name="DraftRemoved" w:val="True"/>
    <w:docVar w:name="LegacyDocIDRemoved" w:val="True"/>
    <w:docVar w:name="TimeRemoved" w:val="True"/>
  </w:docVar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colormru v:ext="edit" colors="#2d4491,#283583"/>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semiHidden="1" w:unhideWhenUsed="1" w:qFormat="1"/>
    <w:lsdException w:name="footnote reference" w:qFormat="1"/>
    <w:lsdException w:name="line number" w:uiPriority="99"/>
    <w:lsdException w:name="Title" w:uiPriority="10" w:qFormat="1"/>
    <w:lsdException w:name="Default Paragraph Font" w:uiPriority="1"/>
    <w:lsdException w:name="Body Text" w:uiPriority="99"/>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Cs w:val="24"/>
      <w:lang w:eastAsia="de-DE"/>
    </w:rPr>
  </w:style>
  <w:style w:type="paragraph" w:styleId="Heading1">
    <w:name w:val="heading 1"/>
    <w:basedOn w:val="Normal"/>
    <w:next w:val="Normal"/>
    <w:link w:val="Heading1Char"/>
    <w:uiPriority w:val="9"/>
    <w:qFormat/>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uiPriority w:val="9"/>
    <w:qFormat/>
    <w:pPr>
      <w:keepNext/>
      <w:keepLines/>
      <w:spacing w:before="200" w:after="120"/>
      <w:outlineLvl w:val="1"/>
    </w:pPr>
    <w:rPr>
      <w:b/>
      <w:bCs/>
      <w:szCs w:val="26"/>
    </w:rPr>
  </w:style>
  <w:style w:type="paragraph" w:styleId="Heading3">
    <w:name w:val="heading 3"/>
    <w:basedOn w:val="Normal"/>
    <w:next w:val="Normal"/>
    <w:link w:val="Heading3Char2"/>
    <w:uiPriority w:val="9"/>
    <w:qFormat/>
    <w:pPr>
      <w:keepNext/>
      <w:keepLines/>
      <w:spacing w:before="200"/>
      <w:outlineLvl w:val="2"/>
    </w:pPr>
    <w:rPr>
      <w:rFonts w:ascii="Cambria" w:hAnsi="Cambria"/>
      <w:b/>
      <w:bCs/>
      <w:color w:val="4F81BD"/>
    </w:rPr>
  </w:style>
  <w:style w:type="paragraph" w:styleId="Heading4">
    <w:name w:val="heading 4"/>
    <w:basedOn w:val="Normal"/>
    <w:next w:val="Normal"/>
    <w:link w:val="Heading4Char1"/>
    <w:uiPriority w:val="9"/>
    <w:qFormat/>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pPr>
      <w:keepNext/>
      <w:keepLines/>
      <w:numPr>
        <w:numId w:val="13"/>
      </w:numPr>
      <w:spacing w:before="200"/>
      <w:jc w:val="both"/>
      <w:outlineLvl w:val="4"/>
    </w:pPr>
    <w:rPr>
      <w:b/>
    </w:rPr>
  </w:style>
  <w:style w:type="paragraph" w:styleId="Heading6">
    <w:name w:val="heading 6"/>
    <w:basedOn w:val="Normal"/>
    <w:next w:val="Normal"/>
    <w:link w:val="Heading6Char"/>
    <w:uiPriority w:val="9"/>
    <w:qFormat/>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
    <w:unhideWhenUsed/>
    <w:qFormat/>
    <w:pPr>
      <w:spacing w:before="240" w:after="60"/>
      <w:ind w:left="1296" w:hanging="1296"/>
      <w:outlineLvl w:val="6"/>
    </w:pPr>
    <w:rPr>
      <w:rFonts w:ascii="Times New Roman" w:hAnsi="Times New Roman"/>
    </w:rPr>
  </w:style>
  <w:style w:type="paragraph" w:styleId="Heading8">
    <w:name w:val="heading 8"/>
    <w:basedOn w:val="Normal"/>
    <w:next w:val="Normal"/>
    <w:link w:val="Heading8Char"/>
    <w:uiPriority w:val="9"/>
    <w:qFormat/>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uiPriority w:val="9"/>
    <w:qFormat/>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link w:val="FooterChar"/>
    <w:pPr>
      <w:tabs>
        <w:tab w:val="center" w:pos="4536"/>
        <w:tab w:val="right" w:pos="9072"/>
      </w:tabs>
    </w:p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pPr>
      <w:spacing w:line="200" w:lineRule="exact"/>
    </w:pPr>
    <w:rPr>
      <w:color w:val="2D4190"/>
      <w:sz w:val="16"/>
    </w:rPr>
  </w:style>
  <w:style w:type="paragraph" w:customStyle="1" w:styleId="05aTitle">
    <w:name w:val="05a_Title"/>
    <w:basedOn w:val="Normal"/>
    <w:pPr>
      <w:spacing w:line="340" w:lineRule="exact"/>
    </w:pPr>
    <w:rPr>
      <w:b/>
      <w:color w:val="000000"/>
      <w:sz w:val="28"/>
    </w:rPr>
  </w:style>
  <w:style w:type="paragraph" w:customStyle="1" w:styleId="02Date">
    <w:name w:val="02_Date"/>
    <w:basedOn w:val="Normal"/>
    <w:pPr>
      <w:spacing w:line="220" w:lineRule="exact"/>
    </w:pPr>
    <w:rPr>
      <w:sz w:val="17"/>
    </w:rPr>
  </w:style>
  <w:style w:type="paragraph" w:customStyle="1" w:styleId="00aPagenumber">
    <w:name w:val="00a_Page number"/>
    <w:basedOn w:val="00Footer"/>
    <w:pPr>
      <w:spacing w:line="280" w:lineRule="atLeast"/>
      <w:jc w:val="right"/>
    </w:pPr>
    <w:rPr>
      <w:color w:val="000000"/>
      <w:sz w:val="20"/>
    </w:rPr>
  </w:style>
  <w:style w:type="paragraph" w:customStyle="1" w:styleId="04BodyText">
    <w:name w:val="04_Body Text"/>
    <w:basedOn w:val="Normal"/>
    <w:link w:val="04BodyTextChar"/>
    <w:pPr>
      <w:spacing w:after="250" w:line="276" w:lineRule="auto"/>
      <w:jc w:val="both"/>
    </w:pPr>
  </w:style>
  <w:style w:type="paragraph" w:customStyle="1" w:styleId="05HeadlinenoIndex">
    <w:name w:val="05_Headline no Index"/>
    <w:basedOn w:val="04BodyText"/>
    <w:pPr>
      <w:spacing w:line="300" w:lineRule="exact"/>
    </w:pPr>
    <w:rPr>
      <w:b/>
      <w:sz w:val="24"/>
    </w:rPr>
  </w:style>
  <w:style w:type="paragraph" w:customStyle="1" w:styleId="05cHeadline1">
    <w:name w:val="05c_Headline 1"/>
    <w:basedOn w:val="05HeadlinenoIndex"/>
    <w:next w:val="04BodyText"/>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pPr>
      <w:tabs>
        <w:tab w:val="num" w:pos="851"/>
      </w:tabs>
      <w:ind w:left="851" w:hanging="284"/>
    </w:pPr>
  </w:style>
  <w:style w:type="character" w:styleId="PageNumber">
    <w:name w:val="page number"/>
    <w:basedOn w:val="DefaultParagraphFont"/>
  </w:style>
  <w:style w:type="paragraph" w:customStyle="1" w:styleId="00bDBInfo">
    <w:name w:val="00b_DB_Info"/>
    <w:basedOn w:val="00aPagenumber"/>
    <w:rPr>
      <w:color w:val="FFFFFF"/>
    </w:rPr>
  </w:style>
  <w:style w:type="paragraph" w:customStyle="1" w:styleId="01aDBTitle">
    <w:name w:val="01a_DB_Title"/>
    <w:basedOn w:val="05aTitle"/>
    <w:pPr>
      <w:spacing w:line="400" w:lineRule="exact"/>
      <w:jc w:val="right"/>
    </w:pPr>
    <w:rPr>
      <w:color w:val="2D4190"/>
      <w:sz w:val="40"/>
    </w:rPr>
  </w:style>
  <w:style w:type="paragraph" w:customStyle="1" w:styleId="01bDBSubtitle">
    <w:name w:val="01b_DB_Subtitle"/>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pPr>
      <w:tabs>
        <w:tab w:val="left" w:pos="510"/>
        <w:tab w:val="right" w:leader="underscore" w:pos="9412"/>
      </w:tabs>
      <w:spacing w:line="250" w:lineRule="exact"/>
    </w:pPr>
  </w:style>
  <w:style w:type="paragraph" w:customStyle="1" w:styleId="04fBodytextblue">
    <w:name w:val="04f_Body text blue"/>
    <w:basedOn w:val="04BodyText"/>
    <w:pPr>
      <w:pBdr>
        <w:bottom w:val="single" w:sz="4" w:space="12" w:color="283583"/>
      </w:pBdr>
    </w:pPr>
    <w:rPr>
      <w:color w:val="2D4190"/>
    </w:rPr>
  </w:style>
  <w:style w:type="character" w:styleId="Hyperlink">
    <w:name w:val="Hyperlink"/>
    <w:uiPriority w:val="99"/>
    <w:rPr>
      <w:color w:val="0000FF"/>
      <w:u w:val="single"/>
    </w:rPr>
  </w:style>
  <w:style w:type="paragraph" w:customStyle="1" w:styleId="04bList">
    <w:name w:val="04b_List"/>
    <w:basedOn w:val="04BodyText"/>
    <w:uiPriority w:val="99"/>
    <w:pPr>
      <w:numPr>
        <w:numId w:val="3"/>
      </w:numPr>
    </w:pPr>
  </w:style>
  <w:style w:type="paragraph" w:customStyle="1" w:styleId="04eBodytextleft">
    <w:name w:val="04e_Body text left"/>
    <w:basedOn w:val="04BodyText"/>
    <w:pPr>
      <w:spacing w:after="0"/>
      <w:jc w:val="left"/>
    </w:pPr>
  </w:style>
  <w:style w:type="paragraph" w:customStyle="1" w:styleId="05eHeadline2">
    <w:name w:val="05e_Headline 2"/>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99"/>
    <w:qFormat/>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Pr>
      <w:vertAlign w:val="superscript"/>
    </w:rPr>
  </w:style>
  <w:style w:type="paragraph" w:styleId="TOC2">
    <w:name w:val="toc 2"/>
    <w:basedOn w:val="Normal"/>
    <w:next w:val="Normal"/>
    <w:autoRedefine/>
    <w:uiPriority w:val="39"/>
    <w:qFormat/>
    <w:pPr>
      <w:spacing w:after="100"/>
      <w:ind w:left="220"/>
    </w:pPr>
  </w:style>
  <w:style w:type="paragraph" w:customStyle="1" w:styleId="05bHeadline1black">
    <w:name w:val="05b_Headline 1 black"/>
    <w:basedOn w:val="05dHeadline1blue"/>
    <w:pPr>
      <w:pBdr>
        <w:top w:val="none" w:sz="0" w:space="0" w:color="auto"/>
      </w:pBdr>
    </w:pPr>
    <w:rPr>
      <w:color w:val="000000"/>
    </w:rPr>
  </w:style>
  <w:style w:type="paragraph" w:customStyle="1" w:styleId="03Headbold">
    <w:name w:val="03_Head_bold"/>
    <w:basedOn w:val="04BodyText"/>
    <w:pPr>
      <w:tabs>
        <w:tab w:val="left" w:pos="414"/>
        <w:tab w:val="left" w:pos="454"/>
      </w:tabs>
      <w:spacing w:after="0" w:line="240" w:lineRule="auto"/>
    </w:pPr>
    <w:rPr>
      <w:b/>
    </w:rPr>
  </w:style>
  <w:style w:type="paragraph" w:customStyle="1" w:styleId="03aHead">
    <w:name w:val="03a_Head"/>
    <w:basedOn w:val="03Headbold"/>
    <w:rPr>
      <w:b w:val="0"/>
    </w:rPr>
  </w:style>
  <w:style w:type="paragraph" w:customStyle="1" w:styleId="04dBodyTextbold">
    <w:name w:val="04d_Body Text bold"/>
    <w:basedOn w:val="04BodyText"/>
    <w:pPr>
      <w:tabs>
        <w:tab w:val="left" w:pos="414"/>
      </w:tabs>
    </w:pPr>
    <w:rPr>
      <w:b/>
    </w:rPr>
  </w:style>
  <w:style w:type="paragraph" w:customStyle="1" w:styleId="06InfoTitle">
    <w:name w:val="06_Info_Title"/>
    <w:basedOn w:val="Normal"/>
    <w:link w:val="06InfoTitleZchn"/>
    <w:pPr>
      <w:spacing w:after="40"/>
      <w:jc w:val="both"/>
    </w:pPr>
    <w:rPr>
      <w:b/>
      <w:sz w:val="24"/>
    </w:rPr>
  </w:style>
  <w:style w:type="character" w:customStyle="1" w:styleId="06InfoTitleZchn">
    <w:name w:val="06_Info_Title Zchn"/>
    <w:link w:val="06InfoTitle"/>
    <w:rPr>
      <w:rFonts w:ascii="Georgia" w:hAnsi="Georgia"/>
      <w:b/>
      <w:sz w:val="24"/>
      <w:szCs w:val="24"/>
      <w:lang w:val="en-GB" w:eastAsia="de-DE" w:bidi="ar-SA"/>
    </w:rPr>
  </w:style>
  <w:style w:type="paragraph" w:customStyle="1" w:styleId="06aInfoTitle">
    <w:name w:val="06a_Info_Title"/>
    <w:basedOn w:val="06InfoTitle"/>
    <w:link w:val="06aInfoTitleZchn"/>
    <w:rPr>
      <w:sz w:val="16"/>
    </w:rPr>
  </w:style>
  <w:style w:type="character" w:customStyle="1" w:styleId="06aInfoTitleZchn">
    <w:name w:val="06a_Info_Title Zchn"/>
    <w:link w:val="06aInfoTitle"/>
    <w:rPr>
      <w:rFonts w:ascii="Georgia" w:hAnsi="Georgia"/>
      <w:b/>
      <w:sz w:val="16"/>
      <w:szCs w:val="24"/>
      <w:lang w:val="en-GB" w:eastAsia="de-DE" w:bidi="ar-SA"/>
    </w:rPr>
  </w:style>
  <w:style w:type="paragraph" w:customStyle="1" w:styleId="04cA">
    <w:name w:val="04c_A"/>
    <w:aliases w:val="B,C"/>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pPr>
      <w:spacing w:line="300" w:lineRule="exact"/>
    </w:pPr>
    <w:rPr>
      <w:b/>
      <w:sz w:val="24"/>
    </w:rPr>
  </w:style>
  <w:style w:type="paragraph" w:customStyle="1" w:styleId="05aHeadline2">
    <w:name w:val="05a_Headline 2"/>
    <w:basedOn w:val="05Headline1"/>
    <w:next w:val="04BodyText"/>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pPr>
      <w:pBdr>
        <w:bottom w:val="single" w:sz="4" w:space="12" w:color="283583"/>
      </w:pBdr>
    </w:pPr>
    <w:rPr>
      <w:color w:val="2D4190"/>
    </w:rPr>
  </w:style>
  <w:style w:type="paragraph" w:customStyle="1" w:styleId="04cBodytextleft">
    <w:name w:val="04c_Body text left"/>
    <w:basedOn w:val="04BodyText"/>
    <w:pPr>
      <w:spacing w:after="0"/>
      <w:jc w:val="left"/>
    </w:pPr>
  </w:style>
  <w:style w:type="paragraph" w:customStyle="1" w:styleId="Style04RunningTextBold">
    <w:name w:val="Style 04_Running Text + Bold"/>
    <w:basedOn w:val="04BodyText"/>
    <w:pPr>
      <w:keepNext/>
    </w:pPr>
    <w:rPr>
      <w:b/>
      <w:bCs/>
    </w:rPr>
  </w:style>
  <w:style w:type="character" w:styleId="CommentReference">
    <w:name w:val="annotation reference"/>
    <w:rPr>
      <w:sz w:val="16"/>
      <w:szCs w:val="16"/>
    </w:rPr>
  </w:style>
  <w:style w:type="paragraph" w:styleId="CommentText">
    <w:name w:val="annotation text"/>
    <w:basedOn w:val="Normal"/>
    <w:link w:val="CommentTextChar"/>
    <w:rPr>
      <w:szCs w:val="20"/>
    </w:rPr>
  </w:style>
  <w:style w:type="character" w:customStyle="1" w:styleId="CommentTextChar">
    <w:name w:val="Comment Text Char"/>
    <w:link w:val="CommentText"/>
    <w:uiPriority w:val="99"/>
    <w:rPr>
      <w:rFonts w:ascii="Georgia" w:hAnsi="Georgia"/>
      <w:lang w:eastAsia="de-DE"/>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Georgia" w:hAnsi="Georgia"/>
      <w:b/>
      <w:bCs/>
      <w:lang w:eastAsia="de-D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pPr>
      <w:ind w:left="720"/>
      <w:contextualSpacing/>
    </w:pPr>
  </w:style>
  <w:style w:type="paragraph" w:styleId="TOCHeading">
    <w:name w:val="TOC Heading"/>
    <w:basedOn w:val="Heading1"/>
    <w:next w:val="Normal"/>
    <w:uiPriority w:val="39"/>
    <w:unhideWhenUsed/>
    <w:qFormat/>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pPr>
      <w:tabs>
        <w:tab w:val="num" w:pos="454"/>
      </w:tabs>
      <w:ind w:left="454" w:hanging="454"/>
    </w:pPr>
    <w:rPr>
      <w:lang w:val="fr-FR"/>
    </w:rPr>
  </w:style>
  <w:style w:type="character" w:customStyle="1" w:styleId="04aNumerationChar">
    <w:name w:val="04a_Numeration Char"/>
    <w:link w:val="04aNumeration"/>
    <w:locked/>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Pr>
      <w:rFonts w:ascii="Georgia" w:hAnsi="Georgia"/>
      <w:sz w:val="16"/>
      <w:lang w:eastAsia="de-DE"/>
    </w:rPr>
  </w:style>
  <w:style w:type="paragraph" w:customStyle="1" w:styleId="DPpara">
    <w:name w:val="DP para"/>
    <w:basedOn w:val="04aNumeration"/>
    <w:link w:val="DPparaChar"/>
    <w:pPr>
      <w:numPr>
        <w:numId w:val="6"/>
      </w:numPr>
    </w:pPr>
    <w:rPr>
      <w:szCs w:val="20"/>
    </w:rPr>
  </w:style>
  <w:style w:type="character" w:customStyle="1" w:styleId="DPparaChar">
    <w:name w:val="DP para Char"/>
    <w:link w:val="DPpara"/>
    <w:locked/>
    <w:rPr>
      <w:rFonts w:ascii="Georgia" w:hAnsi="Georgia"/>
      <w:lang w:val="fr-FR" w:eastAsia="de-DE"/>
    </w:rPr>
  </w:style>
  <w:style w:type="character" w:customStyle="1" w:styleId="CommentTextChar1">
    <w:name w:val="Comment Text Char1"/>
    <w:rPr>
      <w:rFonts w:ascii="Georgia" w:hAnsi="Georgia"/>
      <w:lang w:eastAsia="de-DE"/>
    </w:rPr>
  </w:style>
  <w:style w:type="character" w:customStyle="1" w:styleId="FootnoteTextChar1">
    <w:name w:val="Footnote Text Char1"/>
    <w:aliases w:val="Char3 Char1, Char3 Char1"/>
    <w:locked/>
    <w:rPr>
      <w:rFonts w:ascii="Georgia" w:hAnsi="Georgia"/>
      <w:sz w:val="16"/>
      <w:lang w:eastAsia="de-DE"/>
    </w:rPr>
  </w:style>
  <w:style w:type="paragraph" w:customStyle="1" w:styleId="Default">
    <w:name w:val="Default"/>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style>
  <w:style w:type="paragraph" w:customStyle="1" w:styleId="ManualNumPar1">
    <w:name w:val="Manual NumPar 1"/>
    <w:basedOn w:val="Normal"/>
    <w:next w:val="Normal"/>
    <w:link w:val="ManualNumPar1Char"/>
    <w:uiPriority w:val="99"/>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Pr>
      <w:sz w:val="24"/>
      <w:szCs w:val="24"/>
      <w:lang w:eastAsia="en-US"/>
    </w:rPr>
  </w:style>
  <w:style w:type="character" w:customStyle="1" w:styleId="Heading1Char">
    <w:name w:val="Heading 1 Char"/>
    <w:link w:val="Heading1"/>
    <w:rPr>
      <w:rFonts w:ascii="Georgia" w:hAnsi="Georgia" w:cs="Arial"/>
      <w:b/>
      <w:bCs/>
      <w:kern w:val="32"/>
      <w:sz w:val="24"/>
      <w:szCs w:val="32"/>
      <w:lang w:eastAsia="de-DE"/>
    </w:rPr>
  </w:style>
  <w:style w:type="character" w:customStyle="1" w:styleId="Heading2Char">
    <w:name w:val="Heading 2 Char"/>
    <w:rPr>
      <w:rFonts w:ascii="Georgia" w:hAnsi="Georgia" w:cs="Arial"/>
      <w:bCs/>
      <w:i/>
      <w:kern w:val="32"/>
      <w:szCs w:val="32"/>
      <w:lang w:eastAsia="de-DE"/>
    </w:rPr>
  </w:style>
  <w:style w:type="character" w:styleId="Emphasis">
    <w:name w:val="Emphasis"/>
    <w:uiPriority w:val="20"/>
    <w:qFormat/>
    <w:rPr>
      <w:i/>
      <w:iCs/>
    </w:rPr>
  </w:style>
  <w:style w:type="paragraph" w:styleId="Revision">
    <w:name w:val="Revision"/>
    <w:link w:val="RevisionChar"/>
    <w:hidden/>
    <w:uiPriority w:val="99"/>
    <w:semiHidden/>
    <w:rPr>
      <w:rFonts w:ascii="Georgia" w:hAnsi="Georgia"/>
      <w:sz w:val="22"/>
      <w:szCs w:val="24"/>
      <w:lang w:eastAsia="de-DE"/>
    </w:rPr>
  </w:style>
  <w:style w:type="paragraph" w:styleId="TOC3">
    <w:name w:val="toc 3"/>
    <w:basedOn w:val="Normal"/>
    <w:next w:val="Normal"/>
    <w:autoRedefine/>
    <w:uiPriority w:val="39"/>
    <w:qFormat/>
    <w:pPr>
      <w:spacing w:after="100"/>
      <w:ind w:left="440"/>
    </w:pPr>
  </w:style>
  <w:style w:type="character" w:customStyle="1" w:styleId="SprechblasentextZeichen">
    <w:name w:val="Sprechblasentext Zeichen"/>
    <w:uiPriority w:val="99"/>
    <w:semiHidden/>
    <w:rPr>
      <w:rFonts w:ascii="Lucida Grande" w:hAnsi="Lucida Grande"/>
      <w:sz w:val="18"/>
      <w:szCs w:val="18"/>
    </w:rPr>
  </w:style>
  <w:style w:type="paragraph" w:customStyle="1" w:styleId="CM3">
    <w:name w:val="CM3"/>
    <w:basedOn w:val="Normal"/>
    <w:next w:val="Normal"/>
    <w:uiPriority w:val="99"/>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pPr>
      <w:spacing w:after="100" w:line="276" w:lineRule="auto"/>
      <w:ind w:left="1760"/>
    </w:pPr>
    <w:rPr>
      <w:rFonts w:ascii="Calibri" w:hAnsi="Calibri"/>
      <w:szCs w:val="22"/>
      <w:lang w:eastAsia="en-GB"/>
    </w:rPr>
  </w:style>
  <w:style w:type="character" w:customStyle="1" w:styleId="DeltaViewInsertion">
    <w:name w:val="DeltaView Insertion"/>
    <w:uiPriority w:val="99"/>
    <w:rPr>
      <w:b/>
      <w:bCs/>
      <w:color w:val="FFFFFF"/>
      <w:spacing w:val="0"/>
      <w:u w:val="single"/>
    </w:rPr>
  </w:style>
  <w:style w:type="paragraph" w:styleId="Caption">
    <w:name w:val="caption"/>
    <w:basedOn w:val="Normal"/>
    <w:next w:val="Normal"/>
    <w:unhideWhenUsed/>
    <w:qFormat/>
    <w:pPr>
      <w:spacing w:after="200"/>
    </w:pPr>
    <w:rPr>
      <w:b/>
      <w:bCs/>
      <w:sz w:val="18"/>
      <w:szCs w:val="18"/>
    </w:rPr>
  </w:style>
  <w:style w:type="character" w:customStyle="1" w:styleId="Heading5Char">
    <w:name w:val="Heading 5 Char"/>
    <w:uiPriority w:val="9"/>
    <w:rPr>
      <w:rFonts w:ascii="Georgia" w:eastAsia="Times New Roman" w:hAnsi="Georgia" w:cs="Times New Roman"/>
      <w:b/>
      <w:szCs w:val="24"/>
      <w:lang w:eastAsia="de-DE"/>
    </w:rPr>
  </w:style>
  <w:style w:type="paragraph" w:styleId="NormalWeb">
    <w:name w:val="Normal (Web)"/>
    <w:basedOn w:val="Normal"/>
    <w:pPr>
      <w:spacing w:before="100" w:beforeAutospacing="1" w:after="100" w:afterAutospacing="1"/>
    </w:pPr>
    <w:rPr>
      <w:rFonts w:ascii="Times New Roman" w:hAnsi="Times New Roman"/>
      <w:sz w:val="24"/>
      <w:lang w:val="fr-FR" w:eastAsia="fr-FR"/>
    </w:rPr>
  </w:style>
  <w:style w:type="character" w:customStyle="1" w:styleId="Heading5Char1">
    <w:name w:val="Heading 5 Char1"/>
    <w:rPr>
      <w:rFonts w:ascii="Georgia" w:hAnsi="Georgia"/>
      <w:b/>
      <w:bCs/>
      <w:iCs/>
      <w:szCs w:val="26"/>
      <w:lang w:eastAsia="de-DE"/>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hAnsi="Tahoma" w:cs="Tahoma"/>
      <w:sz w:val="16"/>
      <w:szCs w:val="16"/>
      <w:lang w:eastAsia="de-DE"/>
    </w:rPr>
  </w:style>
  <w:style w:type="paragraph" w:styleId="PlainText">
    <w:name w:val="Plain Text"/>
    <w:basedOn w:val="Normal"/>
    <w:link w:val="PlainTextChar"/>
    <w:unhideWhenUsed/>
    <w:rPr>
      <w:rFonts w:ascii="Consolas" w:hAnsi="Consolas"/>
      <w:sz w:val="21"/>
      <w:szCs w:val="21"/>
      <w:lang w:val="de-DE"/>
    </w:rPr>
  </w:style>
  <w:style w:type="character" w:customStyle="1" w:styleId="PlainTextChar">
    <w:name w:val="Plain Text Char"/>
    <w:link w:val="PlainText"/>
    <w:rPr>
      <w:rFonts w:ascii="Consolas" w:hAnsi="Consolas"/>
      <w:sz w:val="21"/>
      <w:szCs w:val="21"/>
      <w:lang w:val="de-DE" w:eastAsia="de-DE"/>
    </w:rPr>
  </w:style>
  <w:style w:type="paragraph" w:styleId="BodyText">
    <w:name w:val="Body Text"/>
    <w:basedOn w:val="Normal"/>
    <w:link w:val="BodyTextChar"/>
    <w:uiPriority w:val="99"/>
    <w:unhideWhenUsed/>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uiPriority w:val="99"/>
    <w:rPr>
      <w:sz w:val="24"/>
    </w:rPr>
  </w:style>
  <w:style w:type="paragraph" w:customStyle="1" w:styleId="ListParagraph1">
    <w:name w:val="List Paragraph1"/>
    <w:basedOn w:val="Normal"/>
    <w:qFormat/>
    <w:pPr>
      <w:spacing w:after="200" w:line="276" w:lineRule="atLeast"/>
      <w:ind w:left="720"/>
    </w:pPr>
    <w:rPr>
      <w:rFonts w:ascii="Calibri" w:hAnsi="Calibri" w:cs="Calibri"/>
      <w:szCs w:val="20"/>
      <w:lang w:val="el-GR" w:eastAsia="en-US"/>
    </w:rPr>
  </w:style>
  <w:style w:type="character" w:customStyle="1" w:styleId="Heading5Char2">
    <w:name w:val="Heading 5 Char2"/>
    <w:rPr>
      <w:rFonts w:ascii="Georgia" w:eastAsia="Times New Roman" w:hAnsi="Georgia" w:cs="Times New Roman"/>
      <w:b/>
      <w:szCs w:val="24"/>
      <w:lang w:eastAsia="de-DE"/>
    </w:rPr>
  </w:style>
  <w:style w:type="character" w:styleId="Strong">
    <w:name w:val="Strong"/>
    <w:aliases w:val="Bolded"/>
    <w:qFormat/>
    <w:rPr>
      <w:b/>
      <w:bCs/>
    </w:rPr>
  </w:style>
  <w:style w:type="character" w:customStyle="1" w:styleId="Strong1">
    <w:name w:val="Strong1"/>
    <w:qFormat/>
    <w:rPr>
      <w:b/>
      <w:bCs/>
    </w:rPr>
  </w:style>
  <w:style w:type="character" w:customStyle="1" w:styleId="Strong2">
    <w:name w:val="Strong2"/>
    <w:qFormat/>
    <w:rPr>
      <w:b/>
      <w:bCs/>
    </w:rPr>
  </w:style>
  <w:style w:type="character" w:customStyle="1" w:styleId="Heading5Char3">
    <w:name w:val="Heading 5 Char3"/>
    <w:rPr>
      <w:rFonts w:ascii="Georgia" w:eastAsia="Times New Roman" w:hAnsi="Georgia" w:cs="Times New Roman"/>
      <w:b/>
      <w:szCs w:val="24"/>
      <w:lang w:eastAsia="de-DE"/>
    </w:rPr>
  </w:style>
  <w:style w:type="character" w:customStyle="1" w:styleId="Heading5Char4">
    <w:name w:val="Heading 5 Char4"/>
    <w:rPr>
      <w:rFonts w:ascii="Georgia" w:eastAsia="Times New Roman" w:hAnsi="Georgia" w:cs="Times New Roman"/>
      <w:b/>
      <w:szCs w:val="24"/>
      <w:lang w:eastAsia="de-DE"/>
    </w:rPr>
  </w:style>
  <w:style w:type="character" w:customStyle="1" w:styleId="Heading2Char1">
    <w:name w:val="Heading 2 Char1"/>
    <w:rPr>
      <w:rFonts w:ascii="Georgia" w:eastAsia="Times New Roman" w:hAnsi="Georgia" w:cs="Times New Roman"/>
      <w:b/>
      <w:bCs/>
      <w:sz w:val="22"/>
      <w:szCs w:val="26"/>
      <w:lang w:eastAsia="de-DE"/>
    </w:rPr>
  </w:style>
  <w:style w:type="character" w:customStyle="1" w:styleId="Heading3Char">
    <w:name w:val="Heading 3 Char"/>
    <w:rPr>
      <w:rFonts w:ascii="Georgia" w:eastAsia="Times New Roman" w:hAnsi="Georgia" w:cs="Times New Roman"/>
      <w:b/>
      <w:sz w:val="22"/>
      <w:szCs w:val="26"/>
      <w:lang w:eastAsia="de-DE"/>
    </w:rPr>
  </w:style>
  <w:style w:type="character" w:customStyle="1" w:styleId="Heading5Char5">
    <w:name w:val="Heading 5 Char5"/>
    <w:rPr>
      <w:rFonts w:ascii="Georgia" w:eastAsia="Times New Roman" w:hAnsi="Georgia" w:cs="Times New Roman"/>
      <w:b/>
      <w:szCs w:val="24"/>
      <w:lang w:eastAsia="de-DE"/>
    </w:rPr>
  </w:style>
  <w:style w:type="character" w:customStyle="1" w:styleId="Heading2Char2">
    <w:name w:val="Heading 2 Char2"/>
    <w:link w:val="Heading2"/>
    <w:rPr>
      <w:rFonts w:ascii="Georgia" w:eastAsia="Times New Roman" w:hAnsi="Georgia" w:cs="Times New Roman"/>
      <w:b/>
      <w:bCs/>
      <w:sz w:val="22"/>
      <w:szCs w:val="26"/>
      <w:lang w:eastAsia="de-DE"/>
    </w:rPr>
  </w:style>
  <w:style w:type="character" w:customStyle="1" w:styleId="Strong3">
    <w:name w:val="Strong3"/>
    <w:qFormat/>
    <w:rPr>
      <w:b/>
      <w:bCs/>
    </w:rPr>
  </w:style>
  <w:style w:type="character" w:customStyle="1" w:styleId="Heading5Char6">
    <w:name w:val="Heading 5 Char6"/>
    <w:rPr>
      <w:rFonts w:ascii="Georgia" w:eastAsia="Times New Roman" w:hAnsi="Georgia" w:cs="Times New Roman"/>
      <w:b/>
      <w:szCs w:val="24"/>
      <w:lang w:eastAsia="de-DE"/>
    </w:rPr>
  </w:style>
  <w:style w:type="character" w:customStyle="1" w:styleId="Heading4Char">
    <w:name w:val="Heading 4 Char"/>
    <w:rPr>
      <w:rFonts w:ascii="Georgia" w:eastAsia="Times New Roman" w:hAnsi="Georgia" w:cs="Times New Roman"/>
      <w:b/>
      <w:i/>
      <w:szCs w:val="28"/>
      <w:lang w:eastAsia="de-DE"/>
    </w:rPr>
  </w:style>
  <w:style w:type="character" w:customStyle="1" w:styleId="Heading9Char">
    <w:name w:val="Heading 9 Char"/>
    <w:link w:val="Heading9"/>
    <w:rPr>
      <w:rFonts w:ascii="Arial" w:hAnsi="Arial" w:cs="Arial"/>
      <w:sz w:val="22"/>
      <w:szCs w:val="22"/>
      <w:lang w:eastAsia="de-DE"/>
    </w:rPr>
  </w:style>
  <w:style w:type="character" w:customStyle="1" w:styleId="italic1">
    <w:name w:val="italic1"/>
    <w:uiPriority w:val="99"/>
    <w:rPr>
      <w:rFonts w:cs="Times New Roman"/>
      <w:i/>
      <w:iCs/>
    </w:rPr>
  </w:style>
  <w:style w:type="paragraph" w:customStyle="1" w:styleId="5Normal">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Pr>
      <w:rFonts w:ascii="Verdana" w:hAnsi="Verdana"/>
      <w:spacing w:val="-2"/>
      <w:szCs w:val="24"/>
    </w:rPr>
  </w:style>
  <w:style w:type="character" w:customStyle="1" w:styleId="Heading5Char7">
    <w:name w:val="Heading 5 Char7"/>
    <w:aliases w:val="Questions Char"/>
    <w:rPr>
      <w:rFonts w:ascii="Georgia" w:eastAsia="Times New Roman" w:hAnsi="Georgia" w:cs="Times New Roman"/>
      <w:b/>
      <w:szCs w:val="24"/>
      <w:lang w:eastAsia="de-DE"/>
    </w:rPr>
  </w:style>
  <w:style w:type="character" w:customStyle="1" w:styleId="Heading5Char8">
    <w:name w:val="Heading 5 Char8"/>
    <w:aliases w:val="Questions Char1"/>
    <w:rPr>
      <w:rFonts w:ascii="Georgia" w:eastAsia="Times New Roman" w:hAnsi="Georgia" w:cs="Times New Roman"/>
      <w:b/>
      <w:szCs w:val="24"/>
      <w:lang w:eastAsia="de-DE"/>
    </w:rPr>
  </w:style>
  <w:style w:type="character" w:customStyle="1" w:styleId="Heading7Char">
    <w:name w:val="Heading 7 Char"/>
    <w:link w:val="Heading7"/>
    <w:rPr>
      <w:sz w:val="22"/>
      <w:szCs w:val="24"/>
      <w:lang w:eastAsia="de-DE"/>
    </w:rPr>
  </w:style>
  <w:style w:type="character" w:customStyle="1" w:styleId="Heading6Char">
    <w:name w:val="Heading 6 Char"/>
    <w:link w:val="Heading6"/>
    <w:rPr>
      <w:b/>
      <w:bCs/>
      <w:szCs w:val="22"/>
      <w:lang w:eastAsia="de-DE"/>
    </w:rPr>
  </w:style>
  <w:style w:type="character" w:customStyle="1" w:styleId="Heading8Char">
    <w:name w:val="Heading 8 Char"/>
    <w:link w:val="Heading8"/>
    <w:rPr>
      <w:i/>
      <w:iCs/>
      <w:szCs w:val="24"/>
      <w:lang w:eastAsia="de-DE"/>
    </w:rPr>
  </w:style>
  <w:style w:type="numbering" w:customStyle="1" w:styleId="NoList1">
    <w:name w:val="No List1"/>
    <w:next w:val="NoList"/>
    <w:uiPriority w:val="99"/>
    <w:semiHidden/>
    <w:unhideWhenUsed/>
  </w:style>
  <w:style w:type="character" w:styleId="FollowedHyperlink">
    <w:name w:val="FollowedHyperlink"/>
    <w:unhideWhenUsed/>
    <w:rPr>
      <w:color w:val="800080"/>
      <w:u w:val="single"/>
    </w:rPr>
  </w:style>
  <w:style w:type="character" w:customStyle="1" w:styleId="HeaderChar">
    <w:name w:val="Header Char"/>
    <w:link w:val="Header"/>
    <w:rPr>
      <w:rFonts w:ascii="Georgia" w:hAnsi="Georgia"/>
      <w:sz w:val="22"/>
      <w:szCs w:val="24"/>
      <w:lang w:eastAsia="de-DE"/>
    </w:rPr>
  </w:style>
  <w:style w:type="character" w:customStyle="1" w:styleId="FooterChar">
    <w:name w:val="Footer Char"/>
    <w:link w:val="Footer"/>
    <w:rPr>
      <w:rFonts w:ascii="Georgia" w:hAnsi="Georgia"/>
      <w:sz w:val="22"/>
      <w:szCs w:val="24"/>
      <w:lang w:eastAsia="de-DE"/>
    </w:rPr>
  </w:style>
  <w:style w:type="paragraph" w:styleId="EndnoteText">
    <w:name w:val="endnote text"/>
    <w:basedOn w:val="Normal"/>
    <w:link w:val="EndnoteTextChar"/>
    <w:unhideWhenUsed/>
    <w:rPr>
      <w:szCs w:val="20"/>
    </w:rPr>
  </w:style>
  <w:style w:type="character" w:customStyle="1" w:styleId="EndnoteTextChar">
    <w:name w:val="Endnote Text Char"/>
    <w:link w:val="EndnoteText"/>
    <w:rPr>
      <w:rFonts w:ascii="Georgia" w:hAnsi="Georgia"/>
      <w:lang w:eastAsia="de-DE"/>
    </w:rPr>
  </w:style>
  <w:style w:type="paragraph" w:styleId="ListNumber">
    <w:name w:val="List Number"/>
    <w:basedOn w:val="Normal"/>
    <w:unhideWhenUsed/>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Pr>
      <w:rFonts w:ascii="Georgia" w:hAnsi="Georgia"/>
      <w:sz w:val="22"/>
      <w:szCs w:val="24"/>
      <w:lang w:eastAsia="de-DE"/>
    </w:rPr>
  </w:style>
  <w:style w:type="paragraph" w:customStyle="1" w:styleId="04anumbering0">
    <w:name w:val="04anumbering"/>
    <w:basedOn w:val="Normal"/>
    <w:pPr>
      <w:tabs>
        <w:tab w:val="num" w:pos="360"/>
      </w:tabs>
      <w:spacing w:after="250" w:line="276" w:lineRule="auto"/>
      <w:jc w:val="both"/>
    </w:pPr>
    <w:rPr>
      <w:rFonts w:eastAsia="Calibri"/>
      <w:szCs w:val="20"/>
      <w:lang w:eastAsia="en-GB"/>
    </w:rPr>
  </w:style>
  <w:style w:type="paragraph" w:customStyle="1" w:styleId="Tiret1">
    <w:name w:val="Tiret 1"/>
    <w:basedOn w:val="Normal"/>
    <w:pPr>
      <w:numPr>
        <w:numId w:val="10"/>
      </w:numPr>
      <w:spacing w:before="120" w:after="120"/>
      <w:jc w:val="both"/>
    </w:pPr>
    <w:rPr>
      <w:rFonts w:ascii="Times New Roman" w:hAnsi="Times New Roman"/>
      <w:sz w:val="24"/>
      <w:lang w:eastAsia="en-US"/>
    </w:rPr>
  </w:style>
  <w:style w:type="character" w:customStyle="1" w:styleId="DPChar">
    <w:name w:val="DP Char"/>
    <w:link w:val="DP"/>
    <w:locked/>
    <w:rPr>
      <w:rFonts w:ascii="Georgia" w:hAnsi="Georgia"/>
      <w:b/>
      <w:u w:val="single"/>
      <w:lang w:eastAsia="de-DE"/>
    </w:rPr>
  </w:style>
  <w:style w:type="paragraph" w:customStyle="1" w:styleId="DP">
    <w:name w:val="DP"/>
    <w:basedOn w:val="ListParagraph"/>
    <w:link w:val="DPChar"/>
    <w:qFormat/>
    <w:pPr>
      <w:ind w:left="708"/>
      <w:contextualSpacing w:val="0"/>
      <w:jc w:val="both"/>
    </w:pPr>
    <w:rPr>
      <w:b/>
      <w:szCs w:val="20"/>
      <w:u w:val="single"/>
    </w:rPr>
  </w:style>
  <w:style w:type="paragraph" w:customStyle="1" w:styleId="Bullet">
    <w:name w:val="Bullet"/>
    <w:basedOn w:val="Normal"/>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Pr>
      <w:vertAlign w:val="superscript"/>
    </w:rPr>
  </w:style>
  <w:style w:type="character" w:styleId="PlaceholderText">
    <w:name w:val="Placeholder Text"/>
    <w:uiPriority w:val="99"/>
    <w:semiHidden/>
    <w:rPr>
      <w:color w:val="808080"/>
    </w:rPr>
  </w:style>
  <w:style w:type="character" w:customStyle="1" w:styleId="apple-converted-space">
    <w:name w:val="apple-converted-space"/>
  </w:style>
  <w:style w:type="table" w:customStyle="1" w:styleId="TableGrid1">
    <w:name w:val="Table Grid1"/>
    <w:basedOn w:val="TableNormal"/>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style>
  <w:style w:type="paragraph" w:customStyle="1" w:styleId="AutoCorrect">
    <w:name w:val="AutoCorrect"/>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style>
  <w:style w:type="paragraph" w:customStyle="1" w:styleId="aStyle">
    <w:name w:val="a) Style"/>
    <w:basedOn w:val="Normal"/>
    <w:qFormat/>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Pr>
      <w:rFonts w:ascii="Georgia" w:hAnsi="Georgia"/>
      <w:szCs w:val="24"/>
      <w:lang w:eastAsia="de-DE"/>
    </w:rPr>
  </w:style>
  <w:style w:type="paragraph" w:customStyle="1" w:styleId="Anwer">
    <w:name w:val="Anwer"/>
    <w:basedOn w:val="Caption"/>
    <w:link w:val="AnwerChar"/>
    <w:qFormat/>
    <w:pPr>
      <w:spacing w:before="120"/>
      <w:jc w:val="both"/>
    </w:pPr>
    <w:rPr>
      <w:color w:val="C0504D"/>
    </w:rPr>
  </w:style>
  <w:style w:type="character" w:customStyle="1" w:styleId="AnwerChar">
    <w:name w:val="Anwer Char"/>
    <w:link w:val="Anwer"/>
    <w:rPr>
      <w:rFonts w:ascii="Georgia" w:hAnsi="Georgia"/>
      <w:b/>
      <w:bCs/>
      <w:color w:val="C0504D"/>
      <w:sz w:val="18"/>
      <w:szCs w:val="18"/>
      <w:lang w:eastAsia="de-DE"/>
    </w:rPr>
  </w:style>
  <w:style w:type="paragraph" w:customStyle="1" w:styleId="MYNORMAL">
    <w:name w:val="MYNORMAL"/>
    <w:basedOn w:val="04aNumeration"/>
    <w:link w:val="MYNORMALChar"/>
    <w:qFormat/>
    <w:pPr>
      <w:tabs>
        <w:tab w:val="clear" w:pos="454"/>
      </w:tabs>
      <w:spacing w:before="120"/>
      <w:ind w:left="0" w:firstLine="0"/>
    </w:pPr>
  </w:style>
  <w:style w:type="character" w:customStyle="1" w:styleId="MYNORMALChar">
    <w:name w:val="MYNORMAL Char"/>
    <w:link w:val="MYNORMAL"/>
    <w:rPr>
      <w:rFonts w:ascii="Georgia" w:hAnsi="Georgia"/>
      <w:szCs w:val="24"/>
      <w:lang w:val="fr-FR" w:eastAsia="de-DE"/>
    </w:rPr>
  </w:style>
  <w:style w:type="paragraph" w:customStyle="1" w:styleId="Normal1">
    <w:name w:val="Normal1"/>
    <w:basedOn w:val="Normal"/>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Pr>
      <w:rFonts w:ascii="Georgia" w:eastAsia="Times New Roman" w:hAnsi="Georgia" w:cs="Times New Roman"/>
      <w:b/>
      <w:szCs w:val="24"/>
      <w:lang w:eastAsia="de-DE"/>
    </w:rPr>
  </w:style>
  <w:style w:type="character" w:customStyle="1" w:styleId="Heading5Char10">
    <w:name w:val="Heading 5 Char10"/>
    <w:aliases w:val="Questions Char3"/>
    <w:rPr>
      <w:rFonts w:ascii="Georgia" w:eastAsia="Times New Roman" w:hAnsi="Georgia" w:cs="Times New Roman"/>
      <w:b/>
      <w:szCs w:val="24"/>
      <w:lang w:eastAsia="de-DE"/>
    </w:rPr>
  </w:style>
  <w:style w:type="character" w:customStyle="1" w:styleId="Heading5Char11">
    <w:name w:val="Heading 5 Char11"/>
    <w:aliases w:val="Questions Char4"/>
    <w:rPr>
      <w:rFonts w:ascii="Georgia" w:eastAsia="Times New Roman" w:hAnsi="Georgia" w:cs="Times New Roman"/>
      <w:b/>
      <w:szCs w:val="24"/>
      <w:lang w:eastAsia="de-DE"/>
    </w:rPr>
  </w:style>
  <w:style w:type="character" w:customStyle="1" w:styleId="Heading3Char1">
    <w:name w:val="Heading 3 Char1"/>
    <w:rPr>
      <w:rFonts w:ascii="Georgia" w:eastAsia="Times New Roman" w:hAnsi="Georgia" w:cs="Times New Roman"/>
      <w:b/>
      <w:sz w:val="22"/>
      <w:szCs w:val="26"/>
      <w:lang w:eastAsia="de-DE"/>
    </w:rPr>
  </w:style>
  <w:style w:type="character" w:customStyle="1" w:styleId="Heading5Char12">
    <w:name w:val="Heading 5 Char12"/>
    <w:aliases w:val="Questions Char5"/>
    <w:rPr>
      <w:rFonts w:ascii="Georgia" w:eastAsia="Times New Roman" w:hAnsi="Georgia" w:cs="Times New Roman"/>
      <w:b/>
      <w:szCs w:val="24"/>
      <w:lang w:eastAsia="de-DE"/>
    </w:rPr>
  </w:style>
  <w:style w:type="character" w:customStyle="1" w:styleId="Heading5Char13">
    <w:name w:val="Heading 5 Char13"/>
    <w:aliases w:val="Questions Char6"/>
    <w:rPr>
      <w:rFonts w:ascii="Georgia" w:eastAsia="Times New Roman" w:hAnsi="Georgia" w:cs="Times New Roman"/>
      <w:b/>
      <w:szCs w:val="24"/>
      <w:lang w:eastAsia="de-DE"/>
    </w:rPr>
  </w:style>
  <w:style w:type="character" w:customStyle="1" w:styleId="Strong4">
    <w:name w:val="Strong4"/>
    <w:uiPriority w:val="22"/>
    <w:qFormat/>
    <w:rPr>
      <w:b/>
      <w:bCs/>
    </w:rPr>
  </w:style>
  <w:style w:type="character" w:customStyle="1" w:styleId="Heading5Char14">
    <w:name w:val="Heading 5 Char14"/>
    <w:aliases w:val="Questions Char7"/>
    <w:link w:val="Heading5"/>
    <w:rPr>
      <w:rFonts w:ascii="Georgia" w:hAnsi="Georgia"/>
      <w:b/>
      <w:szCs w:val="24"/>
      <w:lang w:eastAsia="de-DE"/>
    </w:rPr>
  </w:style>
  <w:style w:type="character" w:customStyle="1" w:styleId="Heading3Char2">
    <w:name w:val="Heading 3 Char2"/>
    <w:link w:val="Heading3"/>
    <w:rPr>
      <w:rFonts w:ascii="Cambria" w:eastAsia="Times New Roman" w:hAnsi="Cambria" w:cs="Times New Roman"/>
      <w:b/>
      <w:bCs/>
      <w:color w:val="4F81BD"/>
      <w:sz w:val="22"/>
      <w:szCs w:val="24"/>
      <w:lang w:eastAsia="de-DE"/>
    </w:rPr>
  </w:style>
  <w:style w:type="character" w:customStyle="1" w:styleId="Heading4Char1">
    <w:name w:val="Heading 4 Char1"/>
    <w:link w:val="Heading4"/>
    <w:rPr>
      <w:b/>
      <w:bCs/>
      <w:sz w:val="28"/>
      <w:szCs w:val="28"/>
      <w:lang w:eastAsia="de-DE"/>
    </w:rPr>
  </w:style>
  <w:style w:type="table" w:styleId="LightList-Accent3">
    <w:name w:val="Light List Accent 3"/>
    <w:basedOn w:val="TableNormal"/>
    <w:uiPriority w:val="61"/>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Pr>
      <w:rFonts w:ascii="Tahoma" w:hAnsi="Tahoma" w:cs="Tahoma"/>
      <w:sz w:val="16"/>
      <w:szCs w:val="16"/>
      <w:lang w:val="en-GB" w:eastAsia="en-GB"/>
    </w:rPr>
  </w:style>
  <w:style w:type="character" w:customStyle="1" w:styleId="31TextobasenotadeprensaCNMVCar">
    <w:name w:val="3.1. Texto base nota de prensa CNMV Car"/>
    <w:rPr>
      <w:rFonts w:ascii="Celeste" w:hAnsi="Celeste" w:cs="Times New Roman"/>
      <w:sz w:val="22"/>
      <w:lang w:val="es-ES" w:eastAsia="es-ES" w:bidi="ar-SA"/>
    </w:rPr>
  </w:style>
  <w:style w:type="paragraph" w:customStyle="1" w:styleId="01Title">
    <w:name w:val="01_Title"/>
    <w:basedOn w:val="Normal"/>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pPr>
      <w:spacing w:after="250" w:line="276" w:lineRule="auto"/>
      <w:ind w:left="397" w:hanging="397"/>
      <w:jc w:val="both"/>
    </w:pPr>
    <w:rPr>
      <w:lang/>
    </w:rPr>
  </w:style>
  <w:style w:type="paragraph" w:customStyle="1" w:styleId="04bListing">
    <w:name w:val="04b_Listing"/>
    <w:basedOn w:val="04RunningText"/>
    <w:pPr>
      <w:tabs>
        <w:tab w:val="num" w:pos="568"/>
      </w:tabs>
      <w:ind w:left="568" w:hanging="284"/>
    </w:pPr>
  </w:style>
  <w:style w:type="paragraph" w:customStyle="1" w:styleId="04cRunningtextleft">
    <w:name w:val="04c_Running text left"/>
    <w:basedOn w:val="04RunningText"/>
    <w:pPr>
      <w:spacing w:after="0"/>
      <w:jc w:val="left"/>
    </w:pPr>
  </w:style>
  <w:style w:type="paragraph" w:customStyle="1" w:styleId="05bHeadline3">
    <w:name w:val="05b_Headline 3"/>
    <w:basedOn w:val="Heading2"/>
    <w:pPr>
      <w:keepNext w:val="0"/>
      <w:keepLines w:val="0"/>
      <w:tabs>
        <w:tab w:val="num" w:pos="567"/>
        <w:tab w:val="left" w:pos="851"/>
      </w:tabs>
      <w:suppressAutoHyphens/>
      <w:spacing w:before="0" w:after="250" w:line="250" w:lineRule="exact"/>
      <w:ind w:left="568" w:hanging="284"/>
      <w:jc w:val="both"/>
    </w:pPr>
    <w:rPr>
      <w:b w:val="0"/>
      <w:iCs/>
      <w:szCs w:val="20"/>
      <w:lang w:val="fr-FR"/>
    </w:rPr>
  </w:style>
  <w:style w:type="character" w:customStyle="1" w:styleId="WW8Num4z1">
    <w:name w:val="WW8Num4z1"/>
    <w:rPr>
      <w:rFonts w:ascii="Courier New" w:hAnsi="Courier New" w:cs="Courier New"/>
    </w:rPr>
  </w:style>
  <w:style w:type="paragraph" w:customStyle="1" w:styleId="TOCHeading1">
    <w:name w:val="TOC Heading1"/>
    <w:basedOn w:val="Heading1"/>
    <w:next w:val="Normal"/>
    <w:unhideWhenUsed/>
    <w:qFormat/>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pPr>
      <w:spacing w:line="260" w:lineRule="atLeast"/>
      <w:ind w:left="720"/>
      <w:contextualSpacing/>
    </w:pPr>
    <w:rPr>
      <w:rFonts w:ascii="Verdana" w:hAnsi="Verdana"/>
      <w:kern w:val="10"/>
      <w:szCs w:val="20"/>
      <w:lang w:val="de-DE"/>
    </w:rPr>
  </w:style>
  <w:style w:type="paragraph" w:customStyle="1" w:styleId="Listenabsatz2">
    <w:name w:val="Listenabsatz2"/>
    <w:basedOn w:val="Normal"/>
    <w:pPr>
      <w:spacing w:line="260" w:lineRule="atLeast"/>
      <w:ind w:left="720"/>
      <w:contextualSpacing/>
    </w:pPr>
    <w:rPr>
      <w:rFonts w:ascii="Verdana" w:hAnsi="Verdana"/>
      <w:kern w:val="10"/>
      <w:szCs w:val="20"/>
      <w:lang w:val="de-DE"/>
    </w:rPr>
  </w:style>
  <w:style w:type="paragraph" w:customStyle="1" w:styleId="Considrant">
    <w:name w:val="Considérant"/>
    <w:basedOn w:val="Normal"/>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pPr>
      <w:ind w:left="720"/>
      <w:contextualSpacing/>
    </w:pPr>
    <w:rPr>
      <w:rFonts w:ascii="Cambria" w:hAnsi="Cambria"/>
      <w:sz w:val="24"/>
      <w:lang w:val="en-US" w:eastAsia="en-US"/>
    </w:rPr>
  </w:style>
  <w:style w:type="character" w:customStyle="1" w:styleId="CommentTextChar2">
    <w:name w:val="Comment Text Char2"/>
    <w:semiHidden/>
    <w:locked/>
    <w:rPr>
      <w:rFonts w:ascii="Arial" w:hAnsi="Arial" w:cs="Times New Roman"/>
      <w:lang w:val="en-GB" w:eastAsia="en-GB" w:bidi="ar-SA"/>
    </w:rPr>
  </w:style>
  <w:style w:type="character" w:customStyle="1" w:styleId="subparatext">
    <w:name w:val="subparatext"/>
    <w:rPr>
      <w:rFonts w:cs="Times New Roman"/>
    </w:rPr>
  </w:style>
  <w:style w:type="paragraph" w:customStyle="1" w:styleId="Normal12Hanging">
    <w:name w:val="Normal12Hanging"/>
    <w:basedOn w:val="Normal"/>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Pr>
      <w:szCs w:val="20"/>
    </w:rPr>
  </w:style>
  <w:style w:type="paragraph" w:customStyle="1" w:styleId="Sbuchead">
    <w:name w:val="Sbuchead"/>
    <w:basedOn w:val="Normal"/>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pPr>
      <w:spacing w:before="480" w:after="120"/>
      <w:jc w:val="both"/>
    </w:pPr>
    <w:rPr>
      <w:rFonts w:ascii="Times New Roman" w:hAnsi="Times New Roman"/>
      <w:sz w:val="24"/>
      <w:lang w:eastAsia="en-US"/>
    </w:rPr>
  </w:style>
  <w:style w:type="paragraph" w:customStyle="1" w:styleId="Fait">
    <w:name w:val="Fait à"/>
    <w:basedOn w:val="Normal"/>
    <w:next w:val="Institutionquisigne"/>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pPr>
      <w:keepNext/>
      <w:spacing w:before="360" w:after="120"/>
      <w:jc w:val="center"/>
    </w:pPr>
    <w:rPr>
      <w:rFonts w:ascii="Times New Roman" w:hAnsi="Times New Roman"/>
      <w:i/>
      <w:sz w:val="24"/>
      <w:lang/>
    </w:rPr>
  </w:style>
  <w:style w:type="paragraph" w:customStyle="1" w:styleId="Titreobjet">
    <w:name w:val="Titre objet"/>
    <w:basedOn w:val="Normal"/>
    <w:next w:val="Normal"/>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pPr>
      <w:spacing w:before="360"/>
      <w:jc w:val="center"/>
    </w:pPr>
    <w:rPr>
      <w:rFonts w:ascii="Times New Roman" w:hAnsi="Times New Roman"/>
      <w:b/>
      <w:sz w:val="24"/>
      <w:lang w:eastAsia="en-US"/>
    </w:rPr>
  </w:style>
  <w:style w:type="paragraph" w:customStyle="1" w:styleId="HeaderLandscape">
    <w:name w:val="HeaderLandscape"/>
    <w:basedOn w:val="Normal"/>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pPr>
      <w:spacing w:before="120" w:after="120"/>
      <w:ind w:left="850"/>
      <w:jc w:val="both"/>
    </w:pPr>
    <w:rPr>
      <w:rFonts w:ascii="Times New Roman" w:hAnsi="Times New Roman"/>
      <w:sz w:val="24"/>
      <w:lang w:eastAsia="en-US"/>
    </w:rPr>
  </w:style>
  <w:style w:type="paragraph" w:customStyle="1" w:styleId="Text2">
    <w:name w:val="Text 2"/>
    <w:basedOn w:val="Normal"/>
    <w:pPr>
      <w:spacing w:before="120" w:after="120"/>
      <w:ind w:left="1417"/>
      <w:jc w:val="both"/>
    </w:pPr>
    <w:rPr>
      <w:rFonts w:ascii="Times New Roman" w:hAnsi="Times New Roman"/>
      <w:sz w:val="24"/>
      <w:lang w:eastAsia="en-US"/>
    </w:rPr>
  </w:style>
  <w:style w:type="paragraph" w:customStyle="1" w:styleId="Text3">
    <w:name w:val="Text 3"/>
    <w:basedOn w:val="Normal"/>
    <w:pPr>
      <w:spacing w:before="120" w:after="120"/>
      <w:ind w:left="1984"/>
      <w:jc w:val="both"/>
    </w:pPr>
    <w:rPr>
      <w:rFonts w:ascii="Times New Roman" w:hAnsi="Times New Roman"/>
      <w:sz w:val="24"/>
      <w:lang w:eastAsia="en-US"/>
    </w:rPr>
  </w:style>
  <w:style w:type="paragraph" w:customStyle="1" w:styleId="Text4">
    <w:name w:val="Text 4"/>
    <w:basedOn w:val="Normal"/>
    <w:pPr>
      <w:spacing w:before="120" w:after="120"/>
      <w:ind w:left="2551"/>
      <w:jc w:val="both"/>
    </w:pPr>
    <w:rPr>
      <w:rFonts w:ascii="Times New Roman" w:hAnsi="Times New Roman"/>
      <w:sz w:val="24"/>
      <w:lang w:eastAsia="en-US"/>
    </w:rPr>
  </w:style>
  <w:style w:type="paragraph" w:customStyle="1" w:styleId="NormalCentered">
    <w:name w:val="Normal Centered"/>
    <w:basedOn w:val="Normal"/>
    <w:pPr>
      <w:spacing w:before="120" w:after="120"/>
      <w:jc w:val="center"/>
    </w:pPr>
    <w:rPr>
      <w:rFonts w:ascii="Times New Roman" w:hAnsi="Times New Roman"/>
      <w:sz w:val="24"/>
      <w:lang w:eastAsia="en-US"/>
    </w:rPr>
  </w:style>
  <w:style w:type="paragraph" w:customStyle="1" w:styleId="NormalLeft">
    <w:name w:val="Normal Left"/>
    <w:basedOn w:val="Normal"/>
    <w:pPr>
      <w:spacing w:before="120" w:after="120"/>
    </w:pPr>
    <w:rPr>
      <w:rFonts w:ascii="Times New Roman" w:hAnsi="Times New Roman"/>
      <w:sz w:val="24"/>
      <w:lang w:eastAsia="en-US"/>
    </w:rPr>
  </w:style>
  <w:style w:type="paragraph" w:customStyle="1" w:styleId="NormalRight">
    <w:name w:val="Normal Right"/>
    <w:basedOn w:val="Normal"/>
    <w:pPr>
      <w:spacing w:before="120" w:after="120"/>
      <w:jc w:val="right"/>
    </w:pPr>
    <w:rPr>
      <w:rFonts w:ascii="Times New Roman" w:hAnsi="Times New Roman"/>
      <w:sz w:val="24"/>
      <w:lang w:eastAsia="en-US"/>
    </w:rPr>
  </w:style>
  <w:style w:type="paragraph" w:customStyle="1" w:styleId="QuotedText">
    <w:name w:val="Quoted Text"/>
    <w:basedOn w:val="Normal"/>
    <w:pPr>
      <w:spacing w:before="120" w:after="120"/>
      <w:ind w:left="1417"/>
      <w:jc w:val="both"/>
    </w:pPr>
    <w:rPr>
      <w:rFonts w:ascii="Times New Roman" w:hAnsi="Times New Roman"/>
      <w:sz w:val="24"/>
      <w:lang w:eastAsia="en-US"/>
    </w:rPr>
  </w:style>
  <w:style w:type="paragraph" w:customStyle="1" w:styleId="Point0">
    <w:name w:val="Point 0"/>
    <w:basedOn w:val="Normal"/>
    <w:pPr>
      <w:spacing w:before="120" w:after="120"/>
      <w:ind w:left="850" w:hanging="850"/>
      <w:jc w:val="both"/>
    </w:pPr>
    <w:rPr>
      <w:rFonts w:ascii="Times New Roman" w:hAnsi="Times New Roman"/>
      <w:sz w:val="24"/>
      <w:lang w:eastAsia="en-US"/>
    </w:rPr>
  </w:style>
  <w:style w:type="paragraph" w:customStyle="1" w:styleId="Point1">
    <w:name w:val="Point 1"/>
    <w:basedOn w:val="Normal"/>
    <w:pPr>
      <w:spacing w:before="120" w:after="120"/>
      <w:ind w:left="1417" w:hanging="567"/>
      <w:jc w:val="both"/>
    </w:pPr>
    <w:rPr>
      <w:rFonts w:ascii="Times New Roman" w:hAnsi="Times New Roman"/>
      <w:sz w:val="24"/>
      <w:lang w:eastAsia="en-US"/>
    </w:rPr>
  </w:style>
  <w:style w:type="paragraph" w:customStyle="1" w:styleId="Point2">
    <w:name w:val="Point 2"/>
    <w:basedOn w:val="Normal"/>
    <w:pPr>
      <w:spacing w:before="120" w:after="120"/>
      <w:ind w:left="1984" w:hanging="567"/>
      <w:jc w:val="both"/>
    </w:pPr>
    <w:rPr>
      <w:rFonts w:ascii="Times New Roman" w:hAnsi="Times New Roman"/>
      <w:sz w:val="24"/>
      <w:lang w:eastAsia="en-US"/>
    </w:rPr>
  </w:style>
  <w:style w:type="paragraph" w:customStyle="1" w:styleId="Point3">
    <w:name w:val="Point 3"/>
    <w:basedOn w:val="Normal"/>
    <w:pPr>
      <w:spacing w:before="120" w:after="120"/>
      <w:ind w:left="2551" w:hanging="567"/>
      <w:jc w:val="both"/>
    </w:pPr>
    <w:rPr>
      <w:rFonts w:ascii="Times New Roman" w:hAnsi="Times New Roman"/>
      <w:sz w:val="24"/>
      <w:lang w:eastAsia="en-US"/>
    </w:rPr>
  </w:style>
  <w:style w:type="paragraph" w:customStyle="1" w:styleId="Point4">
    <w:name w:val="Point 4"/>
    <w:basedOn w:val="Normal"/>
    <w:pPr>
      <w:spacing w:before="120" w:after="120"/>
      <w:ind w:left="3118" w:hanging="567"/>
      <w:jc w:val="both"/>
    </w:pPr>
    <w:rPr>
      <w:rFonts w:ascii="Times New Roman" w:hAnsi="Times New Roman"/>
      <w:sz w:val="24"/>
      <w:lang w:eastAsia="en-US"/>
    </w:rPr>
  </w:style>
  <w:style w:type="paragraph" w:customStyle="1" w:styleId="Tiret0">
    <w:name w:val="Tiret 0"/>
    <w:basedOn w:val="Point0"/>
    <w:pPr>
      <w:numPr>
        <w:numId w:val="18"/>
      </w:numPr>
    </w:pPr>
  </w:style>
  <w:style w:type="paragraph" w:customStyle="1" w:styleId="Tiret2">
    <w:name w:val="Tiret 2"/>
    <w:basedOn w:val="Point2"/>
    <w:pPr>
      <w:tabs>
        <w:tab w:val="num" w:pos="1984"/>
      </w:tabs>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pPr>
      <w:spacing w:before="120" w:after="120"/>
      <w:jc w:val="center"/>
    </w:pPr>
    <w:rPr>
      <w:rFonts w:ascii="Times New Roman" w:hAnsi="Times New Roman"/>
      <w:b/>
      <w:sz w:val="24"/>
      <w:lang w:eastAsia="en-US"/>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pPr>
      <w:numPr>
        <w:numId w:val="22"/>
      </w:numPr>
      <w:spacing w:before="120" w:after="120"/>
      <w:jc w:val="both"/>
    </w:pPr>
    <w:rPr>
      <w:rFonts w:ascii="Times New Roman" w:hAnsi="Times New Roman"/>
      <w:sz w:val="24"/>
      <w:lang w:eastAsia="en-US"/>
    </w:rPr>
  </w:style>
  <w:style w:type="paragraph" w:customStyle="1" w:styleId="Bullet1">
    <w:name w:val="Bullet 1"/>
    <w:basedOn w:val="Normal"/>
    <w:pPr>
      <w:numPr>
        <w:numId w:val="23"/>
      </w:numPr>
      <w:spacing w:before="120" w:after="120"/>
      <w:jc w:val="both"/>
    </w:pPr>
    <w:rPr>
      <w:rFonts w:ascii="Times New Roman" w:hAnsi="Times New Roman"/>
      <w:sz w:val="24"/>
      <w:lang w:eastAsia="en-US"/>
    </w:rPr>
  </w:style>
  <w:style w:type="paragraph" w:customStyle="1" w:styleId="Bullet2">
    <w:name w:val="Bullet 2"/>
    <w:basedOn w:val="Normal"/>
    <w:pPr>
      <w:numPr>
        <w:numId w:val="24"/>
      </w:numPr>
      <w:spacing w:before="120" w:after="120"/>
      <w:jc w:val="both"/>
    </w:pPr>
    <w:rPr>
      <w:rFonts w:ascii="Times New Roman" w:hAnsi="Times New Roman"/>
      <w:sz w:val="24"/>
      <w:lang w:eastAsia="en-US"/>
    </w:rPr>
  </w:style>
  <w:style w:type="paragraph" w:customStyle="1" w:styleId="Bullet3">
    <w:name w:val="Bullet 3"/>
    <w:basedOn w:val="Normal"/>
    <w:pPr>
      <w:numPr>
        <w:numId w:val="25"/>
      </w:numPr>
      <w:spacing w:before="120" w:after="120"/>
      <w:jc w:val="both"/>
    </w:pPr>
    <w:rPr>
      <w:rFonts w:ascii="Times New Roman" w:hAnsi="Times New Roman"/>
      <w:sz w:val="24"/>
      <w:lang w:eastAsia="en-US"/>
    </w:rPr>
  </w:style>
  <w:style w:type="paragraph" w:customStyle="1" w:styleId="Bullet4">
    <w:name w:val="Bullet 4"/>
    <w:basedOn w:val="Normal"/>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pPr>
      <w:spacing w:after="240"/>
    </w:pPr>
    <w:rPr>
      <w:rFonts w:ascii="Times New Roman" w:hAnsi="Times New Roman"/>
      <w:sz w:val="24"/>
      <w:lang w:eastAsia="en-US"/>
    </w:rPr>
  </w:style>
  <w:style w:type="paragraph" w:customStyle="1" w:styleId="Datedadoption">
    <w:name w:val="Date d'adoption"/>
    <w:basedOn w:val="Normal"/>
    <w:next w:val="Titreobjet"/>
    <w:pPr>
      <w:spacing w:before="360"/>
      <w:jc w:val="center"/>
    </w:pPr>
    <w:rPr>
      <w:rFonts w:ascii="Times New Roman" w:hAnsi="Times New Roman"/>
      <w:b/>
      <w:sz w:val="24"/>
      <w:lang w:eastAsia="en-US"/>
    </w:rPr>
  </w:style>
  <w:style w:type="paragraph" w:customStyle="1" w:styleId="Emission">
    <w:name w:val="Emission"/>
    <w:basedOn w:val="Normal"/>
    <w:next w:val="Rfrenceinstitutionnelle"/>
    <w:pPr>
      <w:ind w:left="5103"/>
    </w:pPr>
    <w:rPr>
      <w:rFonts w:ascii="Times New Roman" w:hAnsi="Times New Roman"/>
      <w:sz w:val="24"/>
      <w:lang w:eastAsia="en-US"/>
    </w:rPr>
  </w:style>
  <w:style w:type="paragraph" w:customStyle="1" w:styleId="Exposdesmotifstitre">
    <w:name w:val="Exposé des motifs titre"/>
    <w:basedOn w:val="Normal"/>
    <w:next w:val="Normal"/>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pPr>
      <w:keepNext/>
      <w:spacing w:before="600" w:after="120"/>
      <w:jc w:val="both"/>
    </w:pPr>
    <w:rPr>
      <w:rFonts w:ascii="Times New Roman" w:hAnsi="Times New Roman"/>
      <w:sz w:val="24"/>
      <w:lang w:eastAsia="en-US"/>
    </w:rPr>
  </w:style>
  <w:style w:type="paragraph" w:customStyle="1" w:styleId="Langue">
    <w:name w:val="Langue"/>
    <w:basedOn w:val="Normal"/>
    <w:next w:val="Rfrenceinterne"/>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Pr>
      <w:rFonts w:cs="Arial"/>
      <w:sz w:val="24"/>
      <w:lang w:eastAsia="en-US"/>
    </w:rPr>
  </w:style>
  <w:style w:type="paragraph" w:customStyle="1" w:styleId="Rfrenceinstitutionnelle">
    <w:name w:val="Référence institutionnelle"/>
    <w:basedOn w:val="Normal"/>
    <w:next w:val="Confidentialit"/>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pPr>
      <w:ind w:left="5103"/>
    </w:pPr>
    <w:rPr>
      <w:rFonts w:ascii="Times New Roman" w:hAnsi="Times New Roman"/>
      <w:sz w:val="24"/>
      <w:lang w:eastAsia="en-US"/>
    </w:rPr>
  </w:style>
  <w:style w:type="paragraph" w:customStyle="1" w:styleId="Rfrenceinterne">
    <w:name w:val="Référence interne"/>
    <w:basedOn w:val="Normal"/>
    <w:next w:val="Rfrenceinterinstitutionnelle"/>
    <w:pPr>
      <w:ind w:left="5103"/>
    </w:pPr>
    <w:rPr>
      <w:rFonts w:ascii="Times New Roman" w:hAnsi="Times New Roman"/>
      <w:sz w:val="24"/>
      <w:lang w:eastAsia="en-US"/>
    </w:rPr>
  </w:style>
  <w:style w:type="paragraph" w:customStyle="1" w:styleId="Sous-titreobjet">
    <w:name w:val="Sous-titre objet"/>
    <w:basedOn w:val="Normal"/>
    <w:pPr>
      <w:jc w:val="center"/>
    </w:pPr>
    <w:rPr>
      <w:rFonts w:ascii="Times New Roman" w:hAnsi="Times New Roman"/>
      <w:b/>
      <w:sz w:val="24"/>
      <w:lang w:eastAsia="en-US"/>
    </w:rPr>
  </w:style>
  <w:style w:type="paragraph" w:customStyle="1" w:styleId="Statut">
    <w:name w:val="Statut"/>
    <w:basedOn w:val="Normal"/>
    <w:next w:val="Typedudocument"/>
    <w:pPr>
      <w:spacing w:before="360"/>
      <w:jc w:val="center"/>
    </w:pPr>
    <w:rPr>
      <w:rFonts w:ascii="Times New Roman" w:hAnsi="Times New Roman"/>
      <w:sz w:val="24"/>
      <w:lang w:eastAsia="en-US"/>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pPr>
      <w:spacing w:before="120" w:after="120"/>
      <w:jc w:val="both"/>
    </w:pPr>
    <w:rPr>
      <w:rFonts w:ascii="Times New Roman" w:hAnsi="Times New Roman"/>
      <w:sz w:val="24"/>
      <w:lang w:eastAsia="en-US"/>
    </w:rPr>
  </w:style>
  <w:style w:type="paragraph" w:customStyle="1" w:styleId="Supertitre">
    <w:name w:val="Supertitre"/>
    <w:basedOn w:val="Normal"/>
    <w:next w:val="Normal"/>
    <w:pPr>
      <w:spacing w:after="600"/>
      <w:jc w:val="center"/>
    </w:pPr>
    <w:rPr>
      <w:rFonts w:ascii="Times New Roman" w:hAnsi="Times New Roman"/>
      <w:b/>
      <w:sz w:val="24"/>
      <w:lang w:eastAsia="en-US"/>
    </w:rPr>
  </w:style>
  <w:style w:type="paragraph" w:customStyle="1" w:styleId="Languesfaisantfoi">
    <w:name w:val="Langues faisant foi"/>
    <w:basedOn w:val="Normal"/>
    <w:next w:val="Normal"/>
    <w:pPr>
      <w:spacing w:before="360"/>
      <w:jc w:val="center"/>
    </w:pPr>
    <w:rPr>
      <w:rFonts w:ascii="Times New Roman" w:hAnsi="Times New Roman"/>
      <w:sz w:val="24"/>
      <w:lang w:eastAsia="en-US"/>
    </w:rPr>
  </w:style>
  <w:style w:type="paragraph" w:customStyle="1" w:styleId="Rfrencecroise">
    <w:name w:val="Référence croisée"/>
    <w:basedOn w:val="Normal"/>
    <w:pPr>
      <w:jc w:val="center"/>
    </w:pPr>
    <w:rPr>
      <w:rFonts w:ascii="Times New Roman" w:hAnsi="Times New Roman"/>
      <w:sz w:val="24"/>
      <w:lang w:eastAsia="en-US"/>
    </w:rPr>
  </w:style>
  <w:style w:type="paragraph" w:customStyle="1" w:styleId="Fichefinanciretitre">
    <w:name w:val="Fiche financière titre"/>
    <w:basedOn w:val="Normal"/>
    <w:next w:val="Normal"/>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ind w:left="5103"/>
    </w:pPr>
    <w:rPr>
      <w:rFonts w:ascii="Times New Roman" w:hAnsi="Times New Roman"/>
      <w:sz w:val="24"/>
      <w:lang w:eastAsia="en-US"/>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jc w:val="center"/>
    </w:pPr>
    <w:rPr>
      <w:rFonts w:ascii="Times New Roman" w:hAnsi="Times New Roman"/>
      <w:sz w:val="24"/>
      <w:lang w:eastAsia="en-US"/>
    </w:rPr>
  </w:style>
  <w:style w:type="paragraph" w:styleId="ListNumber2">
    <w:name w:val="List Number 2"/>
    <w:basedOn w:val="Normal"/>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pPr>
      <w:spacing w:before="120" w:after="120"/>
      <w:jc w:val="both"/>
    </w:pPr>
    <w:rPr>
      <w:rFonts w:ascii="Times New Roman" w:hAnsi="Times New Roman"/>
      <w:sz w:val="24"/>
      <w:lang w:eastAsia="en-US"/>
    </w:rPr>
  </w:style>
  <w:style w:type="character" w:customStyle="1" w:styleId="CommentTextChar3">
    <w:name w:val="Comment Text Char3"/>
    <w:locked/>
    <w:rPr>
      <w:rFonts w:ascii="Arial" w:hAnsi="Arial" w:cs="Times New Roman"/>
      <w:lang w:val="en-GB" w:eastAsia="en-GB" w:bidi="ar-SA"/>
    </w:rPr>
  </w:style>
  <w:style w:type="paragraph" w:customStyle="1" w:styleId="Paragrafoelenco3">
    <w:name w:val="Paragrafo elenco3"/>
    <w:basedOn w:val="Normal"/>
    <w:pPr>
      <w:ind w:left="720"/>
      <w:contextualSpacing/>
    </w:pPr>
    <w:rPr>
      <w:rFonts w:ascii="Cambria" w:hAnsi="Cambria"/>
      <w:sz w:val="24"/>
      <w:lang w:val="en-US" w:eastAsia="en-US"/>
    </w:rPr>
  </w:style>
  <w:style w:type="paragraph" w:customStyle="1" w:styleId="Listeavsnitt1">
    <w:name w:val="Listeavsnitt1"/>
    <w:basedOn w:val="Normal"/>
    <w:pPr>
      <w:spacing w:line="252" w:lineRule="auto"/>
      <w:ind w:left="720"/>
      <w:contextualSpacing/>
    </w:pPr>
    <w:rPr>
      <w:rFonts w:ascii="Times New Roman" w:hAnsi="Times New Roman"/>
      <w:sz w:val="24"/>
      <w:lang w:val="nb-NO" w:eastAsia="en-US"/>
    </w:rPr>
  </w:style>
  <w:style w:type="character" w:customStyle="1" w:styleId="PlainTextChar1">
    <w:name w:val="Plain Text Char1"/>
    <w:rPr>
      <w:rFonts w:ascii="Consolas" w:hAnsi="Consolas" w:cs="Consolas"/>
      <w:sz w:val="21"/>
      <w:szCs w:val="21"/>
      <w:lang w:eastAsia="de-DE"/>
    </w:rPr>
  </w:style>
  <w:style w:type="character" w:customStyle="1" w:styleId="CharChar1">
    <w:name w:val="Char Char1"/>
    <w:semiHidden/>
    <w:locked/>
    <w:rPr>
      <w:rFonts w:ascii="Arial" w:hAnsi="Arial"/>
      <w:lang w:val="en-GB" w:eastAsia="en-GB" w:bidi="ar-SA"/>
    </w:rPr>
  </w:style>
  <w:style w:type="character" w:customStyle="1" w:styleId="CharChar">
    <w:name w:val="Char Char"/>
    <w:semiHidden/>
    <w:locked/>
    <w:rPr>
      <w:rFonts w:ascii="Arial" w:hAnsi="Arial"/>
      <w:lang w:val="en-GB" w:eastAsia="en-GB" w:bidi="ar-SA"/>
    </w:rPr>
  </w:style>
  <w:style w:type="character" w:customStyle="1" w:styleId="CharChar2">
    <w:name w:val="Char Char2"/>
    <w:semiHidden/>
    <w:locked/>
    <w:rPr>
      <w:rFonts w:ascii="Arial" w:hAnsi="Arial"/>
      <w:lang w:val="en-GB" w:eastAsia="en-GB" w:bidi="ar-SA"/>
    </w:rPr>
  </w:style>
  <w:style w:type="character" w:customStyle="1" w:styleId="CharChar4">
    <w:name w:val="Char Char4"/>
    <w:semiHidden/>
    <w:locked/>
    <w:rPr>
      <w:rFonts w:ascii="Arial" w:hAnsi="Arial" w:cs="Times New Roman"/>
      <w:lang w:val="en-GB" w:eastAsia="en-GB" w:bidi="ar-SA"/>
    </w:rPr>
  </w:style>
  <w:style w:type="numbering" w:customStyle="1" w:styleId="Formatvorlage1">
    <w:name w:val="Formatvorlage1"/>
    <w:uiPriority w:val="99"/>
    <w:pPr>
      <w:numPr>
        <w:numId w:val="27"/>
      </w:numPr>
    </w:pPr>
  </w:style>
  <w:style w:type="character" w:customStyle="1" w:styleId="DeltaViewDeletion">
    <w:name w:val="DeltaView Deletion"/>
    <w:rPr>
      <w:b/>
      <w:strike/>
      <w:color w:val="FFFFFF"/>
      <w:spacing w:val="0"/>
    </w:rPr>
  </w:style>
  <w:style w:type="paragraph" w:customStyle="1" w:styleId="Listenabsatz3">
    <w:name w:val="Listenabsatz3"/>
    <w:basedOn w:val="Normal"/>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pPr>
      <w:ind w:left="720"/>
      <w:contextualSpacing/>
    </w:pPr>
    <w:rPr>
      <w:rFonts w:ascii="Cambria" w:hAnsi="Cambria"/>
      <w:sz w:val="24"/>
      <w:lang w:val="en-US" w:eastAsia="en-US"/>
    </w:rPr>
  </w:style>
  <w:style w:type="paragraph" w:customStyle="1" w:styleId="ListParagraph2">
    <w:name w:val="List Paragraph2"/>
    <w:basedOn w:val="Normal"/>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Pr>
      <w:sz w:val="24"/>
      <w:szCs w:val="24"/>
      <w:lang w:eastAsia="en-US"/>
    </w:rPr>
  </w:style>
  <w:style w:type="paragraph" w:customStyle="1" w:styleId="CODParagraphes">
    <w:name w:val="COD Paragraphes"/>
    <w:basedOn w:val="Normal"/>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Pr>
      <w:i/>
      <w:sz w:val="24"/>
      <w:szCs w:val="24"/>
      <w:lang/>
    </w:rPr>
  </w:style>
  <w:style w:type="paragraph" w:customStyle="1" w:styleId="CODArticle12">
    <w:name w:val="COD Article + 12"/>
    <w:basedOn w:val="Normal"/>
    <w:uiPriority w:val="99"/>
    <w:pPr>
      <w:spacing w:after="240"/>
      <w:jc w:val="center"/>
    </w:pPr>
    <w:rPr>
      <w:rFonts w:ascii="Times New Roman" w:hAnsi="Times New Roman"/>
      <w:sz w:val="24"/>
      <w:szCs w:val="20"/>
      <w:lang w:val="fr-FR" w:eastAsia="en-GB"/>
    </w:rPr>
  </w:style>
  <w:style w:type="paragraph" w:customStyle="1" w:styleId="TableContents">
    <w:name w:val="Table Contents"/>
    <w:basedOn w:val="Normal"/>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pPr>
      <w:ind w:left="720"/>
      <w:contextualSpacing/>
    </w:pPr>
    <w:rPr>
      <w:rFonts w:ascii="Times New Roman" w:hAnsi="Times New Roman"/>
      <w:sz w:val="24"/>
      <w:lang w:eastAsia="en-GB"/>
    </w:rPr>
  </w:style>
  <w:style w:type="paragraph" w:customStyle="1" w:styleId="Listenabsatz4">
    <w:name w:val="Listenabsatz4"/>
    <w:basedOn w:val="Normal"/>
    <w:qFormat/>
    <w:pPr>
      <w:ind w:left="720"/>
      <w:contextualSpacing/>
    </w:pPr>
    <w:rPr>
      <w:rFonts w:ascii="Times New Roman" w:hAnsi="Times New Roman"/>
      <w:sz w:val="24"/>
      <w:lang w:eastAsia="en-GB"/>
    </w:rPr>
  </w:style>
  <w:style w:type="character" w:customStyle="1" w:styleId="04BodyTextChar">
    <w:name w:val="04_Body Text Char"/>
    <w:link w:val="04BodyText"/>
    <w:rPr>
      <w:rFonts w:ascii="Georgia" w:hAnsi="Georgia"/>
      <w:szCs w:val="24"/>
      <w:lang w:eastAsia="de-DE"/>
    </w:rPr>
  </w:style>
  <w:style w:type="paragraph" w:customStyle="1" w:styleId="05dHeadline1line">
    <w:name w:val="05d_Headline 1 line"/>
    <w:basedOn w:val="05cHeadline1"/>
    <w:next w:val="04fBodytextline"/>
    <w:pPr>
      <w:numPr>
        <w:numId w:val="0"/>
      </w:numPr>
      <w:pBdr>
        <w:top w:val="single" w:sz="4" w:space="10" w:color="000000"/>
      </w:pBdr>
      <w:tabs>
        <w:tab w:val="num" w:pos="851"/>
      </w:tabs>
      <w:ind w:left="720" w:hanging="360"/>
    </w:pPr>
    <w:rPr>
      <w:color w:val="000000"/>
      <w:lang/>
    </w:rPr>
  </w:style>
  <w:style w:type="paragraph" w:customStyle="1" w:styleId="04fBodytextline">
    <w:name w:val="04f_Body text line"/>
    <w:basedOn w:val="04BodyText"/>
    <w:pPr>
      <w:pBdr>
        <w:bottom w:val="single" w:sz="4" w:space="12" w:color="000000"/>
      </w:pBdr>
      <w:tabs>
        <w:tab w:val="left" w:pos="454"/>
      </w:tabs>
    </w:pPr>
    <w:rPr>
      <w:color w:val="000000"/>
      <w:lang/>
    </w:rPr>
  </w:style>
  <w:style w:type="paragraph" w:customStyle="1" w:styleId="Annex">
    <w:name w:val="Annex"/>
    <w:basedOn w:val="04aNumeration"/>
    <w:link w:val="AnnexChar"/>
    <w:qFormat/>
    <w:pPr>
      <w:tabs>
        <w:tab w:val="clear" w:pos="454"/>
        <w:tab w:val="left" w:pos="397"/>
      </w:tabs>
      <w:suppressAutoHyphens/>
      <w:ind w:left="0" w:firstLine="0"/>
    </w:pPr>
    <w:rPr>
      <w:b/>
      <w:color w:val="000000"/>
      <w:lang/>
    </w:rPr>
  </w:style>
  <w:style w:type="character" w:customStyle="1" w:styleId="04RunningTextChar">
    <w:name w:val="04_Running Text Char"/>
    <w:link w:val="04RunningText"/>
    <w:rPr>
      <w:rFonts w:ascii="Georgia" w:hAnsi="Georgia"/>
      <w:szCs w:val="24"/>
      <w:lang w:eastAsia="de-DE"/>
    </w:rPr>
  </w:style>
  <w:style w:type="character" w:customStyle="1" w:styleId="AnnexChar">
    <w:name w:val="Annex Char"/>
    <w:link w:val="Annex"/>
    <w:rPr>
      <w:rFonts w:ascii="Georgia" w:hAnsi="Georgia"/>
      <w:b/>
      <w:color w:val="000000"/>
      <w:szCs w:val="24"/>
      <w:lang w:eastAsia="de-DE"/>
    </w:rPr>
  </w:style>
  <w:style w:type="paragraph" w:customStyle="1" w:styleId="CM1">
    <w:name w:val="CM1"/>
    <w:basedOn w:val="Default"/>
    <w:next w:val="Default"/>
    <w:uiPriority w:val="99"/>
    <w:rPr>
      <w:rFonts w:ascii="EUAlbertina" w:hAnsi="EUAlbertina" w:cs="Times New Roman"/>
      <w:color w:val="auto"/>
      <w:lang w:val="de-DE" w:eastAsia="de-DE"/>
    </w:rPr>
  </w:style>
  <w:style w:type="paragraph" w:customStyle="1" w:styleId="aStyle1">
    <w:name w:val="a. Style1"/>
    <w:basedOn w:val="Normal"/>
    <w:link w:val="aStyle1Char"/>
    <w:qFormat/>
    <w:pPr>
      <w:numPr>
        <w:numId w:val="29"/>
      </w:numPr>
      <w:suppressAutoHyphens/>
      <w:spacing w:after="250" w:line="276" w:lineRule="auto"/>
      <w:jc w:val="both"/>
    </w:pPr>
    <w:rPr>
      <w:szCs w:val="20"/>
      <w:lang/>
    </w:rPr>
  </w:style>
  <w:style w:type="character" w:customStyle="1" w:styleId="aStyle1Char">
    <w:name w:val="a. Style1 Char"/>
    <w:link w:val="aStyle1"/>
    <w:rPr>
      <w:rFonts w:ascii="Georgia" w:hAnsi="Georgia"/>
      <w:lang/>
    </w:rPr>
  </w:style>
  <w:style w:type="paragraph" w:styleId="Title">
    <w:name w:val="Title"/>
    <w:basedOn w:val="Normal"/>
    <w:next w:val="Normal"/>
    <w:link w:val="TitleChar"/>
    <w:uiPriority w:val="10"/>
    <w:qFormat/>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Pr>
      <w:rFonts w:ascii="Cambria" w:hAnsi="Cambria"/>
      <w:b/>
      <w:kern w:val="28"/>
      <w:sz w:val="32"/>
      <w:lang w:val="fr-FR" w:eastAsia="fr-FR"/>
    </w:rPr>
  </w:style>
  <w:style w:type="paragraph" w:customStyle="1" w:styleId="32LadilloosubtitulonotadeprensaCNMV">
    <w:name w:val="3.2. Ladillo o subtitulo nota de prensa CNMV"/>
    <w:basedOn w:val="Normal"/>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Pr>
      <w:rFonts w:ascii="Georgia" w:hAnsi="Georgia"/>
      <w:sz w:val="22"/>
      <w:szCs w:val="24"/>
      <w:lang w:eastAsia="de-DE"/>
    </w:rPr>
  </w:style>
  <w:style w:type="table" w:customStyle="1" w:styleId="TableGrid2">
    <w:name w:val="Table Grid2"/>
    <w:basedOn w:val="TableNormal"/>
    <w:next w:val="TableGrid"/>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aliases w:val="Question"/>
    <w:uiPriority w:val="19"/>
    <w:qFormat/>
    <w:rPr>
      <w:b/>
      <w:i w:val="0"/>
      <w:iCs/>
      <w:sz w:val="20"/>
    </w:rPr>
  </w:style>
  <w:style w:type="paragraph" w:customStyle="1" w:styleId="NEW-Paragraph-Level1">
    <w:name w:val="NEW-Paragraph-Level1"/>
    <w:basedOn w:val="Normal"/>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Pr>
      <w:rFonts w:ascii="Georgia" w:hAnsi="Georgia"/>
      <w:lang w:eastAsia="de-DE"/>
    </w:rPr>
  </w:style>
  <w:style w:type="character" w:customStyle="1" w:styleId="NEW-Paragraph-level3Char">
    <w:name w:val="NEW-Paragraph-level3 Char"/>
    <w:link w:val="NEW-Paragraph-level3"/>
    <w:rPr>
      <w:rFonts w:ascii="Georgia" w:hAnsi="Georgia"/>
      <w:lang w:eastAsia="de-DE"/>
    </w:rPr>
  </w:style>
  <w:style w:type="paragraph" w:customStyle="1" w:styleId="NEW-Level0">
    <w:name w:val="NEW-Level0"/>
    <w:basedOn w:val="Normal"/>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Pr>
      <w:rFonts w:ascii="Georgia" w:hAnsi="Georgia" w:cs="Georgia"/>
      <w:b/>
      <w:bCs/>
      <w:color w:val="000000"/>
      <w:u w:val="single"/>
    </w:rPr>
  </w:style>
  <w:style w:type="paragraph" w:customStyle="1" w:styleId="aNEW-Level0">
    <w:name w:val="aNEW-Level0"/>
    <w:basedOn w:val="NEW-Level0"/>
    <w:link w:val="aNEW-Level0Char"/>
    <w:qFormat/>
    <w:pPr>
      <w:spacing w:before="120" w:after="120"/>
      <w:ind w:left="425" w:hanging="425"/>
    </w:pPr>
  </w:style>
  <w:style w:type="paragraph" w:customStyle="1" w:styleId="aNEW-Level1">
    <w:name w:val="aNEW-Level1"/>
    <w:basedOn w:val="NEW-Level1"/>
    <w:link w:val="aNEW-Level1Char"/>
    <w:qFormat/>
    <w:pPr>
      <w:spacing w:before="120" w:after="120"/>
      <w:ind w:left="431" w:hanging="431"/>
    </w:pPr>
  </w:style>
  <w:style w:type="character" w:customStyle="1" w:styleId="aNEW-Level0Char">
    <w:name w:val="aNEW-Level0 Char"/>
    <w:link w:val="aNEW-Level0"/>
    <w:rPr>
      <w:rFonts w:ascii="Georgia" w:hAnsi="Georgia" w:cs="Arial"/>
      <w:b/>
      <w:bCs/>
      <w:kern w:val="32"/>
      <w:sz w:val="28"/>
      <w:szCs w:val="28"/>
      <w:lang w:eastAsia="de-DE"/>
    </w:rPr>
  </w:style>
  <w:style w:type="character" w:customStyle="1" w:styleId="aNEW-Level1Char">
    <w:name w:val="aNEW-Level1 Char"/>
    <w:link w:val="aNEW-Level1"/>
    <w:rPr>
      <w:rFonts w:ascii="Georgia" w:hAnsi="Georgia" w:cs="Arial"/>
      <w:b/>
      <w:bCs/>
      <w:kern w:val="32"/>
      <w:sz w:val="24"/>
      <w:szCs w:val="32"/>
      <w:lang w:eastAsia="de-DE"/>
    </w:rPr>
  </w:style>
  <w:style w:type="paragraph" w:customStyle="1" w:styleId="aNEW-Level2">
    <w:name w:val="aNEW-Level2"/>
    <w:basedOn w:val="NEW-Level2"/>
    <w:link w:val="aNEW-Level2Char"/>
    <w:qFormat/>
  </w:style>
  <w:style w:type="paragraph" w:customStyle="1" w:styleId="aNEW-Level4">
    <w:name w:val="aNEW-Level4"/>
    <w:basedOn w:val="Normal"/>
    <w:link w:val="aNEW-Level4Char"/>
    <w:qFormat/>
    <w:pPr>
      <w:tabs>
        <w:tab w:val="left" w:pos="720"/>
      </w:tabs>
      <w:spacing w:after="250" w:line="276" w:lineRule="auto"/>
      <w:jc w:val="both"/>
    </w:pPr>
    <w:rPr>
      <w:i/>
      <w:szCs w:val="20"/>
    </w:rPr>
  </w:style>
  <w:style w:type="character" w:customStyle="1" w:styleId="aNEW-Level2Char">
    <w:name w:val="aNEW-Level2 Char"/>
    <w:link w:val="aNEW-Level2"/>
    <w:rPr>
      <w:rFonts w:ascii="Georgia" w:hAnsi="Georgia" w:cs="Georgia"/>
      <w:b/>
      <w:bCs/>
      <w:color w:val="000000"/>
      <w:u w:val="single"/>
    </w:rPr>
  </w:style>
  <w:style w:type="paragraph" w:customStyle="1" w:styleId="aNEW-Questions">
    <w:name w:val="aNEW-Questions"/>
    <w:basedOn w:val="Normal"/>
    <w:link w:val="aNEW-QuestionsChar"/>
    <w:qFormat/>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Pr>
      <w:rFonts w:ascii="Georgia" w:hAnsi="Georgia"/>
      <w:i/>
      <w:lang w:eastAsia="de-DE"/>
    </w:rPr>
  </w:style>
  <w:style w:type="paragraph" w:customStyle="1" w:styleId="aNEW-Paragraph">
    <w:name w:val="aNEW-Paragraph"/>
    <w:basedOn w:val="NEW-Paragraph-Level1"/>
    <w:link w:val="aNEW-ParagraphChar"/>
    <w:qFormat/>
    <w:pPr>
      <w:numPr>
        <w:numId w:val="2"/>
      </w:numPr>
      <w:tabs>
        <w:tab w:val="clear" w:pos="851"/>
        <w:tab w:val="num" w:pos="426"/>
      </w:tabs>
      <w:ind w:left="426" w:hanging="426"/>
    </w:pPr>
    <w:rPr>
      <w:rFonts w:eastAsia="Calibri"/>
    </w:rPr>
  </w:style>
  <w:style w:type="character" w:customStyle="1" w:styleId="aNEW-QuestionsChar">
    <w:name w:val="aNEW-Questions Char"/>
    <w:link w:val="aNEW-Questions"/>
    <w:rPr>
      <w:rFonts w:ascii="Georgia" w:eastAsia="Calibri" w:hAnsi="Georgia"/>
      <w:b/>
      <w:bCs/>
      <w:kern w:val="28"/>
      <w:szCs w:val="32"/>
      <w:lang w:eastAsia="en-US"/>
    </w:rPr>
  </w:style>
  <w:style w:type="character" w:customStyle="1" w:styleId="aNEW-ParagraphChar">
    <w:name w:val="aNEW-Paragraph Char"/>
    <w:link w:val="aNEW-Paragraph"/>
    <w:rPr>
      <w:rFonts w:ascii="Georgia" w:eastAsia="Calibri" w:hAnsi="Georgia"/>
      <w:lang w:eastAsia="de-DE"/>
    </w:rPr>
  </w:style>
  <w:style w:type="paragraph" w:customStyle="1" w:styleId="aNew-Level33">
    <w:name w:val="aNew-Level33"/>
    <w:basedOn w:val="Normal"/>
    <w:link w:val="aNew-Level33Char"/>
    <w:qFormat/>
    <w:pPr>
      <w:spacing w:after="250" w:line="276" w:lineRule="auto"/>
      <w:ind w:left="426" w:hanging="426"/>
      <w:jc w:val="both"/>
    </w:pPr>
    <w:rPr>
      <w:b/>
    </w:rPr>
  </w:style>
  <w:style w:type="paragraph" w:customStyle="1" w:styleId="aNew-BoxTitle">
    <w:name w:val="aNew-BoxTitle"/>
    <w:basedOn w:val="04aNumbering"/>
    <w:link w:val="aNew-BoxTitleChar"/>
    <w:qFormat/>
    <w:pPr>
      <w:shd w:val="clear" w:color="auto" w:fill="D9D9D9"/>
      <w:tabs>
        <w:tab w:val="clear" w:pos="851"/>
        <w:tab w:val="left" w:pos="720"/>
      </w:tabs>
      <w:ind w:left="284"/>
    </w:pPr>
    <w:rPr>
      <w:b/>
    </w:rPr>
  </w:style>
  <w:style w:type="character" w:customStyle="1" w:styleId="aNew-Level33Char">
    <w:name w:val="aNew-Level33 Char"/>
    <w:link w:val="aNew-Level33"/>
    <w:rPr>
      <w:rFonts w:ascii="Georgia" w:hAnsi="Georgia"/>
      <w:b/>
      <w:szCs w:val="24"/>
      <w:lang w:eastAsia="de-DE"/>
    </w:rPr>
  </w:style>
  <w:style w:type="character" w:customStyle="1" w:styleId="aNew-BoxTitleChar">
    <w:name w:val="aNew-BoxTitle Char"/>
    <w:link w:val="aNew-BoxTitle"/>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pPr>
      <w:ind w:left="851" w:hanging="425"/>
    </w:pPr>
  </w:style>
  <w:style w:type="paragraph" w:customStyle="1" w:styleId="aNEW-Paragraph-level3">
    <w:name w:val="aNEW-Paragraph-level3"/>
    <w:basedOn w:val="NEW-Paragraph-level3"/>
    <w:link w:val="aNEW-Paragraph-level3Char"/>
    <w:qFormat/>
    <w:pPr>
      <w:ind w:left="1276" w:hanging="426"/>
    </w:pPr>
  </w:style>
  <w:style w:type="character" w:customStyle="1" w:styleId="aNEW-Paragraph-level2Char">
    <w:name w:val="aNEW-Paragraph-level2 Char"/>
    <w:link w:val="aNEW-Paragraph-level2"/>
    <w:rPr>
      <w:rFonts w:ascii="Georgia" w:hAnsi="Georgia"/>
      <w:lang w:eastAsia="de-DE"/>
    </w:rPr>
  </w:style>
  <w:style w:type="character" w:customStyle="1" w:styleId="aNEW-Paragraph-level3Char">
    <w:name w:val="aNEW-Paragraph-level3 Char"/>
    <w:link w:val="aNEW-Paragraph-level3"/>
    <w:rPr>
      <w:rFonts w:ascii="Georgia" w:hAnsi="Georgia"/>
      <w:lang w:eastAsia="de-DE"/>
    </w:rPr>
  </w:style>
  <w:style w:type="paragraph" w:customStyle="1" w:styleId="aNew-Level5">
    <w:name w:val="aNew-Level5"/>
    <w:basedOn w:val="Normal"/>
    <w:link w:val="aNew-Level5Char"/>
    <w:qFormat/>
    <w:pPr>
      <w:tabs>
        <w:tab w:val="left" w:pos="720"/>
      </w:tabs>
      <w:spacing w:after="250" w:line="276" w:lineRule="auto"/>
      <w:jc w:val="both"/>
    </w:pPr>
    <w:rPr>
      <w:i/>
      <w:szCs w:val="20"/>
      <w:u w:val="single"/>
    </w:rPr>
  </w:style>
  <w:style w:type="character" w:customStyle="1" w:styleId="aNew-Level5Char">
    <w:name w:val="aNew-Level5 Char"/>
    <w:link w:val="aNew-Level5"/>
    <w:rPr>
      <w:rFonts w:ascii="Georgia" w:hAnsi="Georgia"/>
      <w:i/>
      <w:u w:val="single"/>
      <w:lang w:eastAsia="de-DE"/>
    </w:rPr>
  </w:style>
  <w:style w:type="paragraph" w:customStyle="1" w:styleId="Questions-ESMA">
    <w:name w:val="Questions-ESMA"/>
    <w:basedOn w:val="Normal"/>
    <w:link w:val="Questions-ESMAChar"/>
    <w:qFormat/>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Pr>
      <w:rFonts w:ascii="Calibri" w:hAnsi="Calibri"/>
      <w:b/>
      <w:sz w:val="22"/>
      <w:lang w:eastAsia="en-US"/>
    </w:rPr>
  </w:style>
  <w:style w:type="paragraph" w:customStyle="1" w:styleId="CPQuestions">
    <w:name w:val="CP_Questions"/>
    <w:basedOn w:val="Normal"/>
    <w:link w:val="CPQuestionsChar"/>
    <w:qFormat/>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Pr>
      <w:rFonts w:ascii="Arial" w:eastAsiaTheme="minorEastAsia" w:hAnsi="Arial" w:cstheme="minorBidi"/>
      <w:b/>
      <w:sz w:val="22"/>
      <w:lang w:eastAsia="en-US"/>
    </w:rPr>
  </w:style>
  <w:style w:type="paragraph" w:customStyle="1" w:styleId="CPQuest2">
    <w:name w:val="CP_Quest2"/>
    <w:basedOn w:val="CPQuestions"/>
    <w:link w:val="CPQuest2Char"/>
    <w:autoRedefine/>
    <w:qFormat/>
    <w:pPr>
      <w:numPr>
        <w:numId w:val="35"/>
      </w:numPr>
    </w:pPr>
    <w:rPr>
      <w:rFonts w:eastAsia="Calibri"/>
    </w:rPr>
  </w:style>
  <w:style w:type="character" w:customStyle="1" w:styleId="CPQuest2Char">
    <w:name w:val="CP_Quest2 Char"/>
    <w:basedOn w:val="CPQuestionsChar"/>
    <w:link w:val="CPQuest2"/>
    <w:rPr>
      <w:rFonts w:ascii="Arial" w:eastAsia="Calibri" w:hAnsi="Arial" w:cstheme="minorBidi"/>
      <w:b/>
      <w:sz w:val="22"/>
      <w:lang w:eastAsia="en-US"/>
    </w:rPr>
  </w:style>
  <w:style w:type="character" w:styleId="IntenseEmphasis">
    <w:name w:val="Intense Emphasis"/>
    <w:basedOn w:val="DefaultParagraphFont"/>
    <w:uiPriority w:val="21"/>
    <w:qFormat/>
    <w:rPr>
      <w:b/>
      <w:bCs/>
      <w:i/>
      <w:iCs/>
    </w:rPr>
  </w:style>
  <w:style w:type="character" w:customStyle="1" w:styleId="CPTitle1Char">
    <w:name w:val="CP_Title1 Char"/>
    <w:basedOn w:val="DefaultParagraphFont"/>
    <w:link w:val="CPTitle1"/>
    <w:locked/>
    <w:rPr>
      <w:rFonts w:asciiTheme="majorHAnsi" w:eastAsiaTheme="majorEastAsia" w:hAnsiTheme="majorHAnsi" w:cstheme="majorHAnsi"/>
      <w:b/>
      <w:sz w:val="32"/>
      <w:szCs w:val="32"/>
    </w:rPr>
  </w:style>
  <w:style w:type="paragraph" w:customStyle="1" w:styleId="CPTitle1">
    <w:name w:val="CP_Title1"/>
    <w:basedOn w:val="Heading1"/>
    <w:link w:val="CPTitle1Char"/>
    <w:qFormat/>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pPr>
      <w:numPr>
        <w:ilvl w:val="8"/>
        <w:numId w:val="47"/>
      </w:numPr>
      <w:spacing w:before="250" w:line="276" w:lineRule="auto"/>
      <w:jc w:val="both"/>
    </w:pPr>
    <w:rPr>
      <w:rFonts w:asciiTheme="minorHAnsi" w:eastAsiaTheme="minorEastAsia" w:hAnsiTheme="minorHAnsi" w:cstheme="minorBidi"/>
      <w:sz w:val="22"/>
      <w:szCs w:val="20"/>
      <w:lang w:eastAsia="en-US"/>
    </w:rPr>
  </w:style>
  <w:style w:type="character" w:customStyle="1" w:styleId="DocID">
    <w:name w:val="DocID"/>
    <w:basedOn w:val="DefaultParagraphFont"/>
    <w:rPr>
      <w:rFonts w:ascii="Times New Roman" w:hAnsi="Times New Roman" w:cs="Times New Roman"/>
      <w:b w:val="0"/>
      <w:i w:val="0"/>
      <w:caps w:val="0"/>
      <w:vanish w:val="0"/>
      <w:color w:val="000000"/>
      <w:sz w:val="1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semiHidden="1" w:unhideWhenUsed="1" w:qFormat="1"/>
    <w:lsdException w:name="footnote reference" w:qFormat="1"/>
    <w:lsdException w:name="line number" w:uiPriority="99"/>
    <w:lsdException w:name="Title" w:uiPriority="10" w:qFormat="1"/>
    <w:lsdException w:name="Default Paragraph Font" w:uiPriority="1"/>
    <w:lsdException w:name="Body Text" w:uiPriority="99"/>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uiPriority w:val="9"/>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uiPriority w:val="9"/>
    <w:qFormat/>
    <w:rsid w:val="00886A60"/>
    <w:pPr>
      <w:keepNext/>
      <w:keepLines/>
      <w:spacing w:before="200" w:after="120"/>
      <w:outlineLvl w:val="1"/>
    </w:pPr>
    <w:rPr>
      <w:b/>
      <w:bCs/>
      <w:szCs w:val="26"/>
    </w:rPr>
  </w:style>
  <w:style w:type="paragraph" w:styleId="Heading3">
    <w:name w:val="heading 3"/>
    <w:basedOn w:val="Normal"/>
    <w:next w:val="Normal"/>
    <w:link w:val="Heading3Char2"/>
    <w:uiPriority w:val="9"/>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uiPriority w:val="9"/>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rsid w:val="00E9344E"/>
    <w:pPr>
      <w:keepNext/>
      <w:keepLines/>
      <w:numPr>
        <w:numId w:val="13"/>
      </w:numPr>
      <w:spacing w:before="200"/>
      <w:jc w:val="both"/>
      <w:outlineLvl w:val="4"/>
    </w:pPr>
    <w:rPr>
      <w:b/>
    </w:rPr>
  </w:style>
  <w:style w:type="paragraph" w:styleId="Heading6">
    <w:name w:val="heading 6"/>
    <w:basedOn w:val="Normal"/>
    <w:next w:val="Normal"/>
    <w:link w:val="Heading6Char"/>
    <w:uiPriority w:val="9"/>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uiPriority w:val="9"/>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uiPriority w:val="9"/>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iPriority w:val="99"/>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uiPriority w:val="99"/>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s>
</file>

<file path=word/webSettings.xml><?xml version="1.0" encoding="utf-8"?>
<w:webSettings xmlns:r="http://schemas.openxmlformats.org/officeDocument/2006/relationships" xmlns:w="http://schemas.openxmlformats.org/wordprocessingml/2006/main">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870999495">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www.swapclear.com/what/clearing-volumes.html" TargetMode="External"/><Relationship Id="rId2" Type="http://schemas.openxmlformats.org/officeDocument/2006/relationships/hyperlink" Target="http://www.cmegroup.com/education/cme-volume-oi-records.html" TargetMode="External"/><Relationship Id="rId1" Type="http://schemas.openxmlformats.org/officeDocument/2006/relationships/hyperlink" Target="http://www.swapclear.com/what/clearing-volumes.html" TargetMode="External"/><Relationship Id="rId4" Type="http://schemas.openxmlformats.org/officeDocument/2006/relationships/hyperlink" Target="http://www.dtcc.com/market-data/gtr-interest-rate-swap-data/table-2.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809E7-5F36-4F2E-BAC2-EDC4B4F17584}">
  <ds:schemaRefs>
    <ds:schemaRef ds:uri="http://schemas.openxmlformats.org/officeDocument/2006/bibliography"/>
  </ds:schemaRefs>
</ds:datastoreItem>
</file>

<file path=customXml/itemProps2.xml><?xml version="1.0" encoding="utf-8"?>
<ds:datastoreItem xmlns:ds="http://schemas.openxmlformats.org/officeDocument/2006/customXml" ds:itemID="{7940E3C3-7E30-4CEC-9E20-561D022C1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1260</Words>
  <Characters>7306</Characters>
  <Application>Microsoft Office Word</Application>
  <DocSecurity>8</DocSecurity>
  <Lines>137</Lines>
  <Paragraphs>57</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8509</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_</cp:lastModifiedBy>
  <cp:revision>2</cp:revision>
  <cp:lastPrinted>2015-02-18T11:01:00Z</cp:lastPrinted>
  <dcterms:created xsi:type="dcterms:W3CDTF">2015-07-15T19:35:00Z</dcterms:created>
  <dcterms:modified xsi:type="dcterms:W3CDTF">2015-07-15T19:35:00Z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ACTIVE 209129225v.1</vt:lpwstr>
  </property>
</Properties>
</file>