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54AEB12E" w:rsidR="00C2094B" w:rsidRPr="00AA6DAE" w:rsidRDefault="00C53BC8" w:rsidP="00BC2D1C">
            <w:pPr>
              <w:pStyle w:val="00bDBInfo"/>
            </w:pPr>
            <w:r>
              <w:t>11</w:t>
            </w:r>
            <w:r w:rsidR="00711212">
              <w:t xml:space="preserve"> July 2014</w:t>
            </w:r>
            <w:r w:rsidR="00C2094B" w:rsidRPr="00AA6DAE">
              <w:t>|</w:t>
            </w:r>
            <w:r w:rsidR="00BC2D1C">
              <w:t>2014/800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6F6192C1"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14:paraId="688F03D2" w14:textId="77777777" w:rsidTr="00200340">
        <w:trPr>
          <w:trHeight w:hRule="exact" w:val="454"/>
        </w:trPr>
        <w:tc>
          <w:tcPr>
            <w:tcW w:w="2325" w:type="dxa"/>
            <w:tcMar>
              <w:top w:w="142" w:type="dxa"/>
            </w:tcMar>
          </w:tcPr>
          <w:p w14:paraId="23AE1602" w14:textId="78EC7ECA"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77143474"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14:paraId="03C851D4" w14:textId="3BFBAC35" w:rsidR="00620D7C" w:rsidRDefault="00BD0C23" w:rsidP="00BC2D1C">
            <w:pPr>
              <w:pStyle w:val="02Date"/>
            </w:pPr>
            <w:r w:rsidRPr="000A3888">
              <w:t>2014</w:t>
            </w:r>
            <w:r w:rsidR="00711212">
              <w:t>/</w:t>
            </w:r>
            <w:r w:rsidR="00BC2D1C">
              <w:t>800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09B45628" w14:textId="4FD23507"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14:paraId="6659F0D4" w14:textId="77777777" w:rsidR="00BC2D1C" w:rsidRDefault="00BC2D1C" w:rsidP="00BC2D1C">
      <w:pPr>
        <w:pStyle w:val="04BodyText"/>
      </w:pPr>
      <w:r>
        <w:t>Comments are most helpful if they:</w:t>
      </w:r>
    </w:p>
    <w:p w14:paraId="2378ECFA" w14:textId="77777777" w:rsidR="00BC2D1C" w:rsidRDefault="00BC2D1C" w:rsidP="00FF43FA">
      <w:pPr>
        <w:pStyle w:val="0MyBullet"/>
        <w:numPr>
          <w:ilvl w:val="0"/>
          <w:numId w:val="5"/>
        </w:numPr>
        <w:spacing w:before="0" w:after="0" w:line="360" w:lineRule="auto"/>
        <w:contextualSpacing w:val="0"/>
        <w:jc w:val="both"/>
      </w:pPr>
      <w:r>
        <w:t>respond to the question stated;</w:t>
      </w:r>
    </w:p>
    <w:p w14:paraId="275DEDDF" w14:textId="77777777" w:rsidR="00BC2D1C" w:rsidRDefault="00BC2D1C" w:rsidP="00FF43FA">
      <w:pPr>
        <w:pStyle w:val="0MyBullet"/>
        <w:numPr>
          <w:ilvl w:val="0"/>
          <w:numId w:val="5"/>
        </w:numPr>
        <w:spacing w:before="0" w:after="0" w:line="360" w:lineRule="auto"/>
        <w:contextualSpacing w:val="0"/>
        <w:jc w:val="both"/>
      </w:pPr>
      <w:r>
        <w:t>contain a clear rationale; and</w:t>
      </w:r>
    </w:p>
    <w:p w14:paraId="597B4F77" w14:textId="77777777" w:rsidR="00BC2D1C" w:rsidRDefault="00BC2D1C" w:rsidP="00FF43FA">
      <w:pPr>
        <w:pStyle w:val="0MyBullet"/>
        <w:numPr>
          <w:ilvl w:val="0"/>
          <w:numId w:val="5"/>
        </w:numPr>
        <w:spacing w:before="0" w:after="0" w:line="360" w:lineRule="auto"/>
        <w:contextualSpacing w:val="0"/>
        <w:jc w:val="both"/>
      </w:pPr>
      <w:r>
        <w:t>describe any alternatives ESMA should consider.</w:t>
      </w:r>
    </w:p>
    <w:p w14:paraId="6AA45EB2" w14:textId="77777777" w:rsidR="00BC2D1C" w:rsidRPr="00F44F4C" w:rsidRDefault="00BC2D1C" w:rsidP="00BC2D1C">
      <w:pPr>
        <w:pStyle w:val="04BodyText"/>
      </w:pPr>
      <w:r w:rsidRPr="004E1A0F">
        <w:t>To help you navigate this document more easily, bookmarks are available in “Navigation Pane” for Word 2010 and in “Document Map” for Word 2007.</w:t>
      </w:r>
    </w:p>
    <w:p w14:paraId="3ED1C408" w14:textId="697B351F"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14:paraId="105A39EE" w14:textId="77777777" w:rsidR="00BC2D1C" w:rsidRDefault="00BC2D1C" w:rsidP="00BC2D1C">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14:paraId="51A00292" w14:textId="77777777" w:rsidR="00FF43FA" w:rsidRPr="009E685C" w:rsidRDefault="00FF43FA" w:rsidP="00FF43FA">
      <w:pPr>
        <w:pStyle w:val="04dBodyTextbold"/>
      </w:pPr>
      <w:r>
        <w:rPr>
          <w:bCs/>
        </w:rPr>
        <w:t>How to use this form to reply</w:t>
      </w:r>
    </w:p>
    <w:p w14:paraId="028F6DFD" w14:textId="77777777"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537B394F" w14:textId="77777777" w:rsidR="00FF43FA" w:rsidRDefault="00FF43FA" w:rsidP="00FF43FA">
      <w:pPr>
        <w:pStyle w:val="04BodyText"/>
      </w:pPr>
      <w:r w:rsidRPr="009E685C">
        <w:t xml:space="preserve">Therefore, in responding </w:t>
      </w:r>
      <w:r>
        <w:t>you are kindly invited to proceed as follows</w:t>
      </w:r>
      <w:r w:rsidRPr="009E685C">
        <w:t>:</w:t>
      </w:r>
    </w:p>
    <w:p w14:paraId="39526099" w14:textId="77777777"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14:paraId="28509058" w14:textId="77777777"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082369D7" w14:textId="3F5C30F3"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AA0857">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BC2D1C" w14:paraId="421DB435" w14:textId="77777777" w:rsidTr="00F84E69">
        <w:tc>
          <w:tcPr>
            <w:tcW w:w="3510" w:type="dxa"/>
          </w:tcPr>
          <w:p w14:paraId="7B4DE6DD" w14:textId="08972641" w:rsidR="00BC2D1C" w:rsidRDefault="00BC2D1C" w:rsidP="00F84E69">
            <w:r>
              <w:t>Name of respondent</w:t>
            </w:r>
          </w:p>
        </w:tc>
        <w:tc>
          <w:tcPr>
            <w:tcW w:w="6118" w:type="dxa"/>
          </w:tcPr>
          <w:p w14:paraId="769EB89F" w14:textId="0FA5CE47" w:rsidR="00BC2D1C" w:rsidRDefault="00E6294A" w:rsidP="00E62FA2">
            <w:permStart w:id="2025793954" w:edGrp="everyone"/>
            <w:r>
              <w:t>Markit</w:t>
            </w:r>
            <w:permEnd w:id="2025793954"/>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2BE34FBD" w:rsidR="00E62FA2" w:rsidRDefault="001A596C"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E6294A">
                  <w:t>No</w:t>
                </w:r>
                <w:permEnd w:id="678066391"/>
              </w:sdtContent>
            </w:sdt>
          </w:p>
        </w:tc>
      </w:tr>
      <w:tr w:rsidR="00E62FA2" w14:paraId="503B3DE9" w14:textId="77777777" w:rsidTr="00F84E69">
        <w:tc>
          <w:tcPr>
            <w:tcW w:w="3510" w:type="dxa"/>
          </w:tcPr>
          <w:p w14:paraId="4F0B7907" w14:textId="561E2AFC" w:rsidR="00E62FA2" w:rsidRDefault="00E62FA2" w:rsidP="00E62FA2">
            <w:r>
              <w:t>Activity</w:t>
            </w:r>
          </w:p>
        </w:tc>
        <w:tc>
          <w:tcPr>
            <w:tcW w:w="6118" w:type="dxa"/>
          </w:tcPr>
          <w:p w14:paraId="062EE607" w14:textId="4A5E0638" w:rsidR="00E62FA2" w:rsidRDefault="001A596C"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E6294A">
                  <w:t>Other Financial service providers</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61D2B226" w:rsidR="00E62FA2" w:rsidRDefault="00E6294A" w:rsidP="00E62FA2">
                <w:r>
                  <w:t>International</w:t>
                </w:r>
              </w:p>
            </w:tc>
            <w:permEnd w:id="837091592" w:displacedByCustomXml="next"/>
          </w:sdtContent>
        </w:sdt>
      </w:tr>
    </w:tbl>
    <w:p w14:paraId="65CEBBFE" w14:textId="73B3DEAD" w:rsidR="00AB1788" w:rsidRDefault="00AB1788" w:rsidP="00AB1788"/>
    <w:p w14:paraId="208712D2" w14:textId="77777777" w:rsidR="000E31C3" w:rsidRDefault="00005941" w:rsidP="00AA0857">
      <w:pPr>
        <w:pStyle w:val="Heading1"/>
        <w:numPr>
          <w:ilvl w:val="0"/>
          <w:numId w:val="0"/>
        </w:numPr>
      </w:pPr>
      <w:r>
        <w:br w:type="page"/>
      </w:r>
      <w:r w:rsidR="000E31C3" w:rsidRPr="004C2CD3">
        <w:lastRenderedPageBreak/>
        <w:t>Introduction</w:t>
      </w:r>
    </w:p>
    <w:p w14:paraId="74B94F78" w14:textId="77777777" w:rsidR="003E7EA2" w:rsidRPr="008203F7" w:rsidRDefault="003E7EA2" w:rsidP="003E7EA2">
      <w:pPr>
        <w:rPr>
          <w:b/>
        </w:rPr>
      </w:pPr>
      <w:r w:rsidRPr="008203F7">
        <w:rPr>
          <w:b/>
        </w:rPr>
        <w:t>Please make your introductory comments below:</w:t>
      </w:r>
    </w:p>
    <w:p w14:paraId="042AA12A" w14:textId="77777777" w:rsidR="003E7EA2" w:rsidRDefault="003E7EA2" w:rsidP="003E7EA2"/>
    <w:p w14:paraId="72757164" w14:textId="77777777" w:rsidR="003E7EA2" w:rsidRDefault="003E7EA2" w:rsidP="003E7EA2">
      <w:r>
        <w:t>&lt;ESMA_COMMENT_1&gt;</w:t>
      </w:r>
    </w:p>
    <w:p w14:paraId="0EC9A941" w14:textId="77777777" w:rsidR="00E6294A" w:rsidRPr="00E6294A" w:rsidRDefault="00E6294A" w:rsidP="00E6294A">
      <w:pPr>
        <w:jc w:val="both"/>
        <w:rPr>
          <w:rFonts w:ascii="Arial" w:hAnsi="Arial" w:cs="Arial"/>
          <w:sz w:val="22"/>
          <w:szCs w:val="22"/>
        </w:rPr>
      </w:pPr>
      <w:permStart w:id="1926890795" w:edGrp="everyone"/>
      <w:r w:rsidRPr="00E6294A">
        <w:rPr>
          <w:rFonts w:ascii="Arial" w:hAnsi="Arial" w:cs="Arial"/>
          <w:sz w:val="22"/>
          <w:szCs w:val="22"/>
        </w:rPr>
        <w:t xml:space="preserve">Dear Sirs, </w:t>
      </w:r>
    </w:p>
    <w:p w14:paraId="696EE30D" w14:textId="77777777" w:rsidR="00E6294A" w:rsidRPr="00E6294A" w:rsidRDefault="00E6294A" w:rsidP="00E6294A">
      <w:pPr>
        <w:jc w:val="both"/>
        <w:rPr>
          <w:rFonts w:ascii="Arial" w:hAnsi="Arial" w:cs="Arial"/>
          <w:sz w:val="22"/>
          <w:szCs w:val="22"/>
        </w:rPr>
      </w:pPr>
    </w:p>
    <w:p w14:paraId="5E094BA7" w14:textId="77777777" w:rsidR="00E6294A" w:rsidRPr="00E6294A" w:rsidRDefault="00E6294A" w:rsidP="00E6294A">
      <w:pPr>
        <w:jc w:val="both"/>
        <w:rPr>
          <w:rFonts w:ascii="Arial" w:hAnsi="Arial" w:cs="Arial"/>
          <w:b/>
          <w:bCs/>
          <w:sz w:val="22"/>
          <w:szCs w:val="22"/>
        </w:rPr>
      </w:pPr>
      <w:r w:rsidRPr="00E6294A">
        <w:rPr>
          <w:rFonts w:ascii="Arial" w:hAnsi="Arial" w:cs="Arial"/>
          <w:bCs/>
          <w:color w:val="000000"/>
          <w:sz w:val="22"/>
          <w:szCs w:val="22"/>
          <w:lang w:eastAsia="en-US"/>
        </w:rPr>
        <w:t xml:space="preserve">We welcome the publication of ESMA’s </w:t>
      </w:r>
      <w:r w:rsidRPr="00E6294A">
        <w:rPr>
          <w:rFonts w:ascii="Arial" w:hAnsi="Arial" w:cs="Arial"/>
          <w:bCs/>
          <w:sz w:val="22"/>
          <w:szCs w:val="22"/>
        </w:rPr>
        <w:t>Consultation Paper on the</w:t>
      </w:r>
      <w:r w:rsidRPr="00E6294A">
        <w:rPr>
          <w:rFonts w:ascii="Arial" w:hAnsi="Arial" w:cs="Arial"/>
          <w:bCs/>
          <w:i/>
          <w:sz w:val="22"/>
          <w:szCs w:val="22"/>
        </w:rPr>
        <w:t xml:space="preserve"> Clearing Obligation under EMIR (no.2)</w:t>
      </w:r>
      <w:r w:rsidRPr="00E6294A">
        <w:rPr>
          <w:rFonts w:ascii="Arial" w:hAnsi="Arial" w:cs="Arial"/>
          <w:bCs/>
          <w:sz w:val="22"/>
          <w:szCs w:val="22"/>
        </w:rPr>
        <w:t xml:space="preserve"> (the “</w:t>
      </w:r>
      <w:r w:rsidRPr="00E6294A">
        <w:rPr>
          <w:rFonts w:ascii="Arial" w:hAnsi="Arial" w:cs="Arial"/>
          <w:b/>
          <w:bCs/>
          <w:i/>
          <w:sz w:val="22"/>
          <w:szCs w:val="22"/>
        </w:rPr>
        <w:t>Consultation Paper</w:t>
      </w:r>
      <w:r w:rsidRPr="00E6294A">
        <w:rPr>
          <w:rFonts w:ascii="Arial" w:hAnsi="Arial" w:cs="Arial"/>
          <w:bCs/>
          <w:sz w:val="22"/>
          <w:szCs w:val="22"/>
        </w:rPr>
        <w:t>” or “</w:t>
      </w:r>
      <w:r w:rsidRPr="00E6294A">
        <w:rPr>
          <w:rFonts w:ascii="Arial" w:hAnsi="Arial" w:cs="Arial"/>
          <w:b/>
          <w:bCs/>
          <w:i/>
          <w:sz w:val="22"/>
          <w:szCs w:val="22"/>
        </w:rPr>
        <w:t>CP</w:t>
      </w:r>
      <w:r w:rsidRPr="00E6294A">
        <w:rPr>
          <w:rFonts w:ascii="Arial" w:hAnsi="Arial" w:cs="Arial"/>
          <w:bCs/>
          <w:sz w:val="22"/>
          <w:szCs w:val="22"/>
        </w:rPr>
        <w:t xml:space="preserve">”) and we appreciate the opportunity to provide you with our comments. </w:t>
      </w:r>
    </w:p>
    <w:p w14:paraId="25A82F05" w14:textId="77777777" w:rsidR="00E6294A" w:rsidRPr="00E6294A" w:rsidRDefault="00E6294A" w:rsidP="00E6294A">
      <w:pPr>
        <w:autoSpaceDE w:val="0"/>
        <w:autoSpaceDN w:val="0"/>
        <w:adjustRightInd w:val="0"/>
        <w:rPr>
          <w:rFonts w:ascii="Arial" w:hAnsi="Arial" w:cs="Arial"/>
          <w:b/>
          <w:bCs/>
          <w:color w:val="000000"/>
          <w:sz w:val="22"/>
          <w:szCs w:val="22"/>
          <w:lang w:eastAsia="en-US"/>
        </w:rPr>
      </w:pPr>
    </w:p>
    <w:p w14:paraId="40209521" w14:textId="77777777" w:rsidR="00E6294A" w:rsidRPr="00E6294A" w:rsidRDefault="00E6294A" w:rsidP="00E6294A">
      <w:pPr>
        <w:autoSpaceDE w:val="0"/>
        <w:autoSpaceDN w:val="0"/>
        <w:adjustRightInd w:val="0"/>
        <w:jc w:val="both"/>
        <w:rPr>
          <w:rFonts w:ascii="Arial" w:hAnsi="Arial" w:cs="Arial"/>
          <w:bCs/>
          <w:color w:val="000000"/>
          <w:sz w:val="22"/>
          <w:szCs w:val="22"/>
          <w:lang w:eastAsia="en-US"/>
        </w:rPr>
      </w:pPr>
      <w:r w:rsidRPr="00E6294A">
        <w:rPr>
          <w:rFonts w:ascii="Arial" w:hAnsi="Arial" w:cs="Arial"/>
          <w:bCs/>
          <w:color w:val="000000"/>
          <w:sz w:val="22"/>
          <w:szCs w:val="22"/>
          <w:lang w:eastAsia="en-US"/>
        </w:rPr>
        <w:t>Markit is a provider of financial information services to the global financial markets, offering independent data, valuations, risk analytics for internal capital models, and related services across regions, asset classes and financial instruments. Our products and services are used by numerous market participants to reduce risk, increase transparency, and improve the operational efficiency in their financial markets activities.</w:t>
      </w:r>
      <w:r w:rsidRPr="00E6294A">
        <w:rPr>
          <w:rStyle w:val="FootnoteReference"/>
          <w:rFonts w:ascii="Arial" w:hAnsi="Arial"/>
          <w:bCs/>
          <w:color w:val="000000"/>
          <w:sz w:val="22"/>
          <w:szCs w:val="22"/>
          <w:lang w:eastAsia="en-US"/>
        </w:rPr>
        <w:footnoteReference w:id="1"/>
      </w:r>
      <w:r w:rsidRPr="00E6294A">
        <w:rPr>
          <w:rFonts w:ascii="Arial" w:hAnsi="Arial" w:cs="Arial"/>
          <w:bCs/>
          <w:color w:val="000000"/>
          <w:sz w:val="22"/>
          <w:szCs w:val="22"/>
          <w:lang w:eastAsia="en-US"/>
        </w:rPr>
        <w:t xml:space="preserve"> </w:t>
      </w:r>
    </w:p>
    <w:p w14:paraId="3D05E350" w14:textId="77777777" w:rsidR="00E6294A" w:rsidRPr="00E6294A" w:rsidRDefault="00E6294A" w:rsidP="00E6294A">
      <w:pPr>
        <w:autoSpaceDE w:val="0"/>
        <w:autoSpaceDN w:val="0"/>
        <w:adjustRightInd w:val="0"/>
        <w:rPr>
          <w:rFonts w:ascii="Arial" w:hAnsi="Arial" w:cs="Arial"/>
          <w:bCs/>
          <w:color w:val="000000"/>
          <w:sz w:val="22"/>
          <w:szCs w:val="22"/>
          <w:lang w:eastAsia="en-US"/>
        </w:rPr>
      </w:pPr>
    </w:p>
    <w:p w14:paraId="25EE431D" w14:textId="77777777" w:rsidR="00E6294A" w:rsidRPr="00E6294A" w:rsidRDefault="00E6294A" w:rsidP="00E6294A">
      <w:pPr>
        <w:jc w:val="both"/>
        <w:rPr>
          <w:rFonts w:ascii="Arial" w:hAnsi="Arial" w:cs="Arial"/>
          <w:color w:val="000000"/>
          <w:sz w:val="22"/>
          <w:szCs w:val="22"/>
          <w:lang w:eastAsia="en-US"/>
        </w:rPr>
      </w:pPr>
      <w:r w:rsidRPr="00E6294A">
        <w:rPr>
          <w:rFonts w:ascii="Arial" w:hAnsi="Arial" w:cs="Arial"/>
          <w:bCs/>
          <w:color w:val="000000"/>
          <w:sz w:val="22"/>
          <w:szCs w:val="22"/>
          <w:lang w:eastAsia="en-US"/>
        </w:rPr>
        <w:t>Markit has been actively and constructively engaged in the debate about regulatory reform in financial markets, including topics such as the implementation of the G20 commitments for OTC derivatives and the design of a regulatory regime for benchmarks. Over the past years, we have submitted more than 100 comment letters to regulatory authorities around the world and have participated in numerous</w:t>
      </w:r>
      <w:r w:rsidRPr="00E6294A">
        <w:rPr>
          <w:rFonts w:ascii="Arial" w:hAnsi="Arial" w:cs="Arial"/>
          <w:color w:val="000000"/>
          <w:sz w:val="22"/>
          <w:szCs w:val="22"/>
          <w:lang w:eastAsia="en-US"/>
        </w:rPr>
        <w:t xml:space="preserve"> roundtables. We also regularly provide the relevant authorities with our insights on current market practice, for example, in relation to valuation methodologies, the provision of scenario analysis, or the use of reliable and secure means to provide daily mid-market marks. We have also advised regulatory authorities on appropriate approaches to enabling a timely and cost-effective implementation of newly established regulatory requirements, for example through the use of multi-layered phase-in or by providing market participants with a choice of means for satisfying regulatory requirements. </w:t>
      </w:r>
    </w:p>
    <w:p w14:paraId="40917B37" w14:textId="77777777" w:rsidR="00E6294A" w:rsidRPr="00E6294A" w:rsidRDefault="00E6294A" w:rsidP="00E6294A">
      <w:pPr>
        <w:jc w:val="both"/>
        <w:rPr>
          <w:rFonts w:ascii="Arial" w:hAnsi="Arial" w:cs="Arial"/>
          <w:color w:val="000000"/>
          <w:sz w:val="22"/>
          <w:szCs w:val="22"/>
          <w:lang w:eastAsia="en-US"/>
        </w:rPr>
      </w:pPr>
    </w:p>
    <w:p w14:paraId="2830B1FE" w14:textId="77777777" w:rsidR="00E6294A" w:rsidRPr="00E6294A" w:rsidRDefault="00E6294A" w:rsidP="00E6294A">
      <w:pPr>
        <w:jc w:val="both"/>
        <w:rPr>
          <w:rFonts w:ascii="Arial" w:hAnsi="Arial" w:cstheme="majorHAnsi"/>
          <w:b/>
          <w:color w:val="000000"/>
          <w:sz w:val="22"/>
          <w:szCs w:val="22"/>
        </w:rPr>
      </w:pPr>
    </w:p>
    <w:p w14:paraId="6F291BE9" w14:textId="77777777" w:rsidR="00E6294A" w:rsidRPr="00E6294A" w:rsidRDefault="00E6294A" w:rsidP="00E6294A">
      <w:pPr>
        <w:jc w:val="both"/>
        <w:rPr>
          <w:rFonts w:ascii="Arial" w:hAnsi="Arial" w:cstheme="majorHAnsi"/>
          <w:b/>
          <w:color w:val="000000"/>
          <w:sz w:val="22"/>
          <w:szCs w:val="22"/>
        </w:rPr>
      </w:pPr>
      <w:r w:rsidRPr="00E6294A">
        <w:rPr>
          <w:rFonts w:ascii="Arial" w:hAnsi="Arial" w:cstheme="majorHAnsi"/>
          <w:b/>
          <w:color w:val="000000"/>
          <w:sz w:val="22"/>
          <w:szCs w:val="22"/>
        </w:rPr>
        <w:t>Comments</w:t>
      </w:r>
    </w:p>
    <w:p w14:paraId="1720B428" w14:textId="77777777" w:rsidR="00E6294A" w:rsidRPr="00E6294A" w:rsidRDefault="00E6294A" w:rsidP="00E6294A">
      <w:pPr>
        <w:jc w:val="both"/>
        <w:rPr>
          <w:rFonts w:ascii="Arial" w:hAnsi="Arial" w:cstheme="majorHAnsi"/>
          <w:color w:val="000000"/>
          <w:sz w:val="22"/>
          <w:szCs w:val="22"/>
        </w:rPr>
      </w:pPr>
    </w:p>
    <w:p w14:paraId="5CAC1568" w14:textId="77777777" w:rsidR="00E6294A" w:rsidRPr="00E6294A" w:rsidRDefault="00E6294A" w:rsidP="00E6294A">
      <w:pPr>
        <w:jc w:val="both"/>
        <w:rPr>
          <w:rFonts w:ascii="Arial" w:hAnsi="Arial" w:cs="Arial"/>
          <w:color w:val="000000"/>
          <w:sz w:val="22"/>
          <w:szCs w:val="22"/>
          <w:lang w:val="en-US" w:eastAsia="en-US"/>
        </w:rPr>
      </w:pPr>
      <w:r w:rsidRPr="00E6294A">
        <w:rPr>
          <w:rFonts w:ascii="Arial" w:hAnsi="Arial" w:cs="Arial"/>
          <w:color w:val="000000"/>
          <w:sz w:val="22"/>
          <w:szCs w:val="22"/>
          <w:lang w:val="en-US" w:eastAsia="en-US"/>
        </w:rPr>
        <w:t>The most relevant of Markit’s services and products in the context of this Consultation Paper are our credit default swap (“</w:t>
      </w:r>
      <w:r w:rsidRPr="00E6294A">
        <w:rPr>
          <w:rFonts w:ascii="Arial" w:hAnsi="Arial" w:cs="Arial"/>
          <w:b/>
          <w:i/>
          <w:color w:val="000000"/>
          <w:sz w:val="22"/>
          <w:szCs w:val="22"/>
          <w:lang w:val="en-US" w:eastAsia="en-US"/>
        </w:rPr>
        <w:t>CDS</w:t>
      </w:r>
      <w:r w:rsidRPr="00E6294A">
        <w:rPr>
          <w:rFonts w:ascii="Arial" w:hAnsi="Arial" w:cs="Arial"/>
          <w:color w:val="000000"/>
          <w:sz w:val="22"/>
          <w:szCs w:val="22"/>
          <w:lang w:val="en-US" w:eastAsia="en-US"/>
        </w:rPr>
        <w:t xml:space="preserve">”) indices, iTraxx and CDX, as well as our derivatives processing platforms: </w:t>
      </w:r>
    </w:p>
    <w:p w14:paraId="50BE1D6F" w14:textId="77777777" w:rsidR="00E6294A" w:rsidRPr="00E6294A" w:rsidRDefault="00E6294A" w:rsidP="00E6294A">
      <w:pPr>
        <w:jc w:val="both"/>
        <w:rPr>
          <w:rFonts w:ascii="Arial" w:hAnsi="Arial" w:cs="Arial"/>
          <w:color w:val="000000"/>
          <w:sz w:val="22"/>
          <w:szCs w:val="22"/>
          <w:lang w:val="en-US" w:eastAsia="en-US"/>
        </w:rPr>
      </w:pPr>
    </w:p>
    <w:p w14:paraId="287BFF52" w14:textId="77777777" w:rsidR="00E6294A" w:rsidRPr="00E6294A" w:rsidRDefault="00E6294A" w:rsidP="00E6294A">
      <w:pPr>
        <w:pStyle w:val="ListParagraph"/>
        <w:numPr>
          <w:ilvl w:val="0"/>
          <w:numId w:val="17"/>
        </w:numPr>
        <w:contextualSpacing w:val="0"/>
        <w:jc w:val="both"/>
        <w:rPr>
          <w:rFonts w:ascii="Arial" w:hAnsi="Arial" w:cs="Arial"/>
          <w:color w:val="000000"/>
          <w:sz w:val="22"/>
          <w:szCs w:val="22"/>
          <w:lang w:val="en-US" w:eastAsia="en-US"/>
        </w:rPr>
      </w:pPr>
      <w:r w:rsidRPr="00E6294A">
        <w:rPr>
          <w:rFonts w:ascii="Arial" w:hAnsi="Arial" w:cs="Arial"/>
          <w:color w:val="000000"/>
          <w:sz w:val="22"/>
          <w:szCs w:val="22"/>
          <w:lang w:val="en-US" w:eastAsia="en-US"/>
        </w:rPr>
        <w:t xml:space="preserve">Markit is a provider of various index families across regions and asset classes, including bonds, CDS and loans. We administer and publish the composition of all Markit indices and we also calculate the levels of the Markit iBoxx suite of bond indices and other third-party indices. Most relevant in the context of this CP are the Markit CDS indices in the iTraxx family, some of which ESMA proposed the clearing obligation would apply to. </w:t>
      </w:r>
    </w:p>
    <w:p w14:paraId="37FEB805" w14:textId="77777777" w:rsidR="00E6294A" w:rsidRPr="00E6294A" w:rsidRDefault="00E6294A" w:rsidP="00E6294A">
      <w:pPr>
        <w:jc w:val="both"/>
        <w:rPr>
          <w:rFonts w:ascii="Arial" w:eastAsia="Arial" w:hAnsi="Arial" w:cs="Arial"/>
          <w:sz w:val="22"/>
          <w:szCs w:val="22"/>
          <w:lang w:eastAsia="en-GB"/>
        </w:rPr>
      </w:pPr>
    </w:p>
    <w:p w14:paraId="41E65961" w14:textId="77777777" w:rsidR="00E6294A" w:rsidRPr="00E6294A" w:rsidRDefault="00E6294A" w:rsidP="00E6294A">
      <w:pPr>
        <w:pStyle w:val="ListParagraph"/>
        <w:numPr>
          <w:ilvl w:val="0"/>
          <w:numId w:val="17"/>
        </w:numPr>
        <w:contextualSpacing w:val="0"/>
        <w:jc w:val="both"/>
        <w:rPr>
          <w:rFonts w:ascii="Arial" w:hAnsi="Arial" w:cs="Arial"/>
          <w:bCs/>
          <w:color w:val="000000"/>
          <w:sz w:val="22"/>
          <w:szCs w:val="22"/>
          <w:lang w:eastAsia="en-US"/>
        </w:rPr>
      </w:pPr>
      <w:r w:rsidRPr="00E6294A">
        <w:rPr>
          <w:rFonts w:ascii="Arial" w:eastAsia="Arial" w:hAnsi="Arial" w:cs="Arial"/>
          <w:sz w:val="22"/>
          <w:szCs w:val="22"/>
        </w:rPr>
        <w:t>Our derivatives processing platforms facilitate the confirmation, matching and processing of OTC derivatives across regions and asset classes, including interest rate, credit, equity and foreign exchange, and provide universal middleware connectivity for downstream processing such as clearing and reporting. Specifically, the MarkitSERV</w:t>
      </w:r>
      <w:r w:rsidRPr="00E6294A">
        <w:rPr>
          <w:rStyle w:val="FootnoteReference"/>
          <w:rFonts w:ascii="Arial" w:eastAsia="Arial" w:hAnsi="Arial" w:cs="Arial"/>
          <w:sz w:val="22"/>
          <w:szCs w:val="22"/>
        </w:rPr>
        <w:footnoteReference w:id="2"/>
      </w:r>
      <w:r w:rsidRPr="00E6294A">
        <w:rPr>
          <w:rFonts w:ascii="Arial" w:eastAsia="Arial" w:hAnsi="Arial" w:cs="Arial"/>
          <w:sz w:val="22"/>
          <w:szCs w:val="22"/>
        </w:rPr>
        <w:t xml:space="preserve"> platforms </w:t>
      </w:r>
      <w:r w:rsidRPr="00E6294A">
        <w:rPr>
          <w:rFonts w:ascii="Arial" w:hAnsi="Arial" w:cstheme="majorHAnsi"/>
          <w:color w:val="000000"/>
          <w:sz w:val="22"/>
          <w:szCs w:val="22"/>
        </w:rPr>
        <w:t xml:space="preserve">a) facilitate the </w:t>
      </w:r>
      <w:r w:rsidRPr="00E6294A">
        <w:rPr>
          <w:rFonts w:ascii="Arial" w:hAnsi="Arial" w:cstheme="majorHAnsi"/>
          <w:color w:val="000000"/>
          <w:sz w:val="22"/>
          <w:szCs w:val="22"/>
        </w:rPr>
        <w:lastRenderedPageBreak/>
        <w:t>agreement</w:t>
      </w:r>
      <w:r w:rsidRPr="00E6294A">
        <w:rPr>
          <w:rStyle w:val="FootnoteReference"/>
          <w:rFonts w:ascii="Arial" w:hAnsi="Arial"/>
          <w:color w:val="000000"/>
          <w:sz w:val="22"/>
          <w:szCs w:val="22"/>
        </w:rPr>
        <w:footnoteReference w:id="3"/>
      </w:r>
      <w:r w:rsidRPr="00E6294A">
        <w:rPr>
          <w:rFonts w:ascii="Arial" w:hAnsi="Arial" w:cstheme="majorHAnsi"/>
          <w:color w:val="000000"/>
          <w:sz w:val="22"/>
          <w:szCs w:val="22"/>
        </w:rPr>
        <w:t xml:space="preserve"> between parties on the details of the transactions that they have entered into, b) provide them with connectivity to CCPs,</w:t>
      </w:r>
      <w:r w:rsidRPr="00E6294A">
        <w:rPr>
          <w:rStyle w:val="FootnoteReference"/>
          <w:rFonts w:ascii="Arial" w:hAnsi="Arial"/>
          <w:color w:val="000000"/>
          <w:sz w:val="22"/>
          <w:szCs w:val="22"/>
        </w:rPr>
        <w:footnoteReference w:id="4"/>
      </w:r>
      <w:r w:rsidRPr="00E6294A">
        <w:rPr>
          <w:rFonts w:ascii="Arial" w:hAnsi="Arial" w:cstheme="majorHAnsi"/>
          <w:color w:val="000000"/>
          <w:sz w:val="22"/>
          <w:szCs w:val="22"/>
        </w:rPr>
        <w:t xml:space="preserve"> trading venues (“</w:t>
      </w:r>
      <w:r w:rsidRPr="00E6294A">
        <w:rPr>
          <w:rFonts w:ascii="Arial" w:hAnsi="Arial" w:cstheme="majorHAnsi"/>
          <w:b/>
          <w:i/>
          <w:color w:val="000000"/>
          <w:sz w:val="22"/>
          <w:szCs w:val="22"/>
        </w:rPr>
        <w:t>TVs</w:t>
      </w:r>
      <w:r w:rsidRPr="00E6294A">
        <w:rPr>
          <w:rFonts w:ascii="Arial" w:hAnsi="Arial" w:cstheme="majorHAnsi"/>
          <w:color w:val="000000"/>
          <w:sz w:val="22"/>
          <w:szCs w:val="22"/>
        </w:rPr>
        <w:t xml:space="preserve">”) and inter-dealer brokers, trade repositories, and the whole range of counterparties, including </w:t>
      </w:r>
      <w:proofErr w:type="spellStart"/>
      <w:r w:rsidRPr="00E6294A">
        <w:rPr>
          <w:rFonts w:ascii="Arial" w:hAnsi="Arial" w:cstheme="majorHAnsi"/>
          <w:color w:val="000000"/>
          <w:sz w:val="22"/>
          <w:szCs w:val="22"/>
        </w:rPr>
        <w:t>buyside</w:t>
      </w:r>
      <w:proofErr w:type="spellEnd"/>
      <w:r w:rsidRPr="00E6294A">
        <w:rPr>
          <w:rFonts w:ascii="Arial" w:hAnsi="Arial" w:cstheme="majorHAnsi"/>
          <w:color w:val="000000"/>
          <w:sz w:val="22"/>
          <w:szCs w:val="22"/>
        </w:rPr>
        <w:t xml:space="preserve"> and </w:t>
      </w:r>
      <w:proofErr w:type="spellStart"/>
      <w:r w:rsidRPr="00E6294A">
        <w:rPr>
          <w:rFonts w:ascii="Arial" w:hAnsi="Arial" w:cstheme="majorHAnsi"/>
          <w:color w:val="000000"/>
          <w:sz w:val="22"/>
          <w:szCs w:val="22"/>
        </w:rPr>
        <w:t>sellside</w:t>
      </w:r>
      <w:proofErr w:type="spellEnd"/>
      <w:r w:rsidRPr="00E6294A">
        <w:rPr>
          <w:rFonts w:ascii="Arial" w:hAnsi="Arial" w:cstheme="majorHAnsi"/>
          <w:color w:val="000000"/>
          <w:sz w:val="22"/>
          <w:szCs w:val="22"/>
        </w:rPr>
        <w:t>, and c) report the relevant transaction and counterparty details to trade repositories under newly established regulatory requirements.</w:t>
      </w:r>
      <w:r w:rsidRPr="00E6294A">
        <w:rPr>
          <w:rStyle w:val="FootnoteReference"/>
          <w:rFonts w:ascii="Arial" w:hAnsi="Arial"/>
          <w:color w:val="000000"/>
          <w:sz w:val="22"/>
          <w:szCs w:val="22"/>
        </w:rPr>
        <w:footnoteReference w:id="5"/>
      </w:r>
      <w:r w:rsidRPr="00E6294A">
        <w:rPr>
          <w:rFonts w:ascii="Arial" w:hAnsi="Arial" w:cstheme="majorHAnsi"/>
          <w:color w:val="000000"/>
          <w:sz w:val="22"/>
          <w:szCs w:val="22"/>
          <w:vertAlign w:val="superscript"/>
        </w:rPr>
        <w:t>,</w:t>
      </w:r>
      <w:r w:rsidRPr="00E6294A">
        <w:rPr>
          <w:rStyle w:val="FootnoteReference"/>
          <w:rFonts w:ascii="Arial" w:hAnsi="Arial"/>
          <w:color w:val="000000"/>
          <w:sz w:val="22"/>
          <w:szCs w:val="22"/>
        </w:rPr>
        <w:footnoteReference w:id="6"/>
      </w:r>
      <w:r w:rsidRPr="00E6294A">
        <w:rPr>
          <w:rFonts w:ascii="Arial" w:hAnsi="Arial" w:cstheme="majorHAnsi"/>
          <w:color w:val="000000"/>
          <w:sz w:val="22"/>
          <w:szCs w:val="22"/>
        </w:rPr>
        <w:t xml:space="preserve"> </w:t>
      </w:r>
    </w:p>
    <w:p w14:paraId="3CFFB59B" w14:textId="77777777" w:rsidR="00E6294A" w:rsidRPr="00E6294A" w:rsidRDefault="00E6294A" w:rsidP="00E6294A">
      <w:pPr>
        <w:jc w:val="both"/>
        <w:rPr>
          <w:rFonts w:ascii="Arial" w:hAnsi="Arial" w:cstheme="majorHAnsi"/>
          <w:color w:val="000000"/>
          <w:sz w:val="22"/>
          <w:szCs w:val="22"/>
        </w:rPr>
      </w:pPr>
    </w:p>
    <w:p w14:paraId="38E6CD35" w14:textId="77777777" w:rsidR="00E6294A" w:rsidRPr="00E6294A" w:rsidRDefault="00E6294A" w:rsidP="00E6294A">
      <w:pPr>
        <w:jc w:val="both"/>
        <w:rPr>
          <w:rFonts w:ascii="Arial" w:hAnsi="Arial" w:cstheme="majorHAnsi"/>
          <w:color w:val="000000"/>
          <w:sz w:val="22"/>
          <w:szCs w:val="22"/>
        </w:rPr>
      </w:pPr>
      <w:r w:rsidRPr="00E6294A">
        <w:rPr>
          <w:rFonts w:ascii="Arial" w:hAnsi="Arial" w:cstheme="majorHAnsi"/>
          <w:color w:val="000000"/>
          <w:sz w:val="22"/>
          <w:szCs w:val="22"/>
        </w:rPr>
        <w:t xml:space="preserve">Based on our experience in supporting market participants with the introduction of clearing requirements for CDS indices in other jurisdictions, please find our responses to ESMA’s questions below. </w:t>
      </w:r>
    </w:p>
    <w:permEnd w:id="1926890795"/>
    <w:p w14:paraId="5AA849FE" w14:textId="5FF44A4A" w:rsidR="003E7EA2" w:rsidRPr="003E7EA2" w:rsidRDefault="003E7EA2" w:rsidP="003E7EA2">
      <w:r>
        <w:t>&lt;ESMA_COMMENT_1&gt;</w:t>
      </w:r>
    </w:p>
    <w:p w14:paraId="78E9B709" w14:textId="77777777" w:rsidR="000E31C3" w:rsidRDefault="000E31C3" w:rsidP="000E31C3"/>
    <w:p w14:paraId="391FCFAD" w14:textId="77777777" w:rsidR="000E31C3" w:rsidRPr="0058137B" w:rsidRDefault="000E31C3" w:rsidP="00AA0857">
      <w:pPr>
        <w:pStyle w:val="Heading1"/>
      </w:pPr>
      <w:bookmarkStart w:id="1" w:name="_Toc390701574"/>
      <w:bookmarkStart w:id="2" w:name="_Toc392685526"/>
      <w:r w:rsidRPr="0058137B">
        <w:t>The clearing obligation procedure</w:t>
      </w:r>
      <w:bookmarkStart w:id="3" w:name="_Toc390952336"/>
      <w:bookmarkStart w:id="4" w:name="_Toc391310566"/>
      <w:bookmarkStart w:id="5" w:name="_Toc391310591"/>
      <w:bookmarkStart w:id="6" w:name="_Toc391310651"/>
      <w:bookmarkStart w:id="7" w:name="_Toc391313043"/>
      <w:bookmarkEnd w:id="1"/>
      <w:bookmarkEnd w:id="2"/>
      <w:bookmarkEnd w:id="3"/>
      <w:bookmarkEnd w:id="4"/>
      <w:bookmarkEnd w:id="5"/>
      <w:bookmarkEnd w:id="6"/>
      <w:bookmarkEnd w:id="7"/>
    </w:p>
    <w:p w14:paraId="146EFFFC" w14:textId="77777777" w:rsidR="000E31C3" w:rsidRDefault="000E31C3" w:rsidP="000E31C3"/>
    <w:p w14:paraId="015F1BC0" w14:textId="77777777" w:rsidR="000E31C3" w:rsidRPr="007403B2" w:rsidRDefault="000E31C3" w:rsidP="000E31C3">
      <w:pPr>
        <w:pStyle w:val="Questions"/>
      </w:pPr>
      <w:r w:rsidRPr="007403B2">
        <w:t xml:space="preserve">Question </w:t>
      </w:r>
      <w:fldSimple w:instr=" SEQ Question \* ARABIC ">
        <w:r w:rsidR="001826B9">
          <w:rPr>
            <w:noProof/>
          </w:rPr>
          <w:t>1</w:t>
        </w:r>
      </w:fldSimple>
      <w:r w:rsidRPr="007403B2">
        <w:t>: Do you have any comment on the clearing obligation procedure described in Section 1?</w:t>
      </w:r>
    </w:p>
    <w:p w14:paraId="38B846E1" w14:textId="77777777" w:rsidR="000E31C3" w:rsidRDefault="000E31C3" w:rsidP="000E31C3"/>
    <w:p w14:paraId="1083ED13" w14:textId="7A2420EE" w:rsidR="000E31C3" w:rsidRDefault="000E31C3" w:rsidP="000E31C3">
      <w:r>
        <w:t>&lt;ESMA_QUESTION_1&gt;</w:t>
      </w:r>
    </w:p>
    <w:p w14:paraId="79E61386" w14:textId="77777777" w:rsidR="00E6294A" w:rsidRDefault="00E6294A" w:rsidP="00E6294A">
      <w:pPr>
        <w:jc w:val="both"/>
        <w:rPr>
          <w:rFonts w:ascii="Arial" w:hAnsi="Arial" w:cs="Arial"/>
          <w:color w:val="000000"/>
          <w:sz w:val="22"/>
          <w:szCs w:val="22"/>
          <w:lang w:eastAsia="en-US"/>
        </w:rPr>
      </w:pPr>
      <w:permStart w:id="1564177794" w:edGrp="everyone"/>
      <w:r>
        <w:rPr>
          <w:rFonts w:ascii="Arial" w:hAnsi="Arial" w:cs="Arial"/>
          <w:color w:val="000000"/>
          <w:sz w:val="22"/>
          <w:szCs w:val="22"/>
          <w:lang w:eastAsia="en-US"/>
        </w:rPr>
        <w:t>Consistent</w:t>
      </w:r>
      <w:r w:rsidRPr="00640DDE">
        <w:rPr>
          <w:rFonts w:ascii="Arial" w:hAnsi="Arial" w:cs="Arial"/>
          <w:color w:val="000000"/>
          <w:sz w:val="22"/>
          <w:szCs w:val="22"/>
          <w:lang w:eastAsia="en-US"/>
        </w:rPr>
        <w:t xml:space="preserve"> </w:t>
      </w:r>
      <w:r>
        <w:rPr>
          <w:rFonts w:ascii="Arial" w:hAnsi="Arial" w:cs="Arial"/>
          <w:color w:val="000000"/>
          <w:sz w:val="22"/>
          <w:szCs w:val="22"/>
          <w:lang w:eastAsia="en-US"/>
        </w:rPr>
        <w:t>with ESMA’s statements in its Consultation Paper on the Clearing Obligation for Interest Rate Swaps (“</w:t>
      </w:r>
      <w:r w:rsidRPr="00E85C94">
        <w:rPr>
          <w:rFonts w:ascii="Arial" w:hAnsi="Arial" w:cs="Arial"/>
          <w:b/>
          <w:i/>
          <w:color w:val="000000"/>
          <w:sz w:val="22"/>
          <w:szCs w:val="22"/>
          <w:lang w:eastAsia="en-US"/>
        </w:rPr>
        <w:t>CP1</w:t>
      </w:r>
      <w:r>
        <w:rPr>
          <w:rFonts w:ascii="Arial" w:hAnsi="Arial" w:cs="Arial"/>
          <w:color w:val="000000"/>
          <w:sz w:val="22"/>
          <w:szCs w:val="22"/>
          <w:lang w:eastAsia="en-US"/>
        </w:rPr>
        <w:t>”),</w:t>
      </w:r>
      <w:r>
        <w:rPr>
          <w:rStyle w:val="FootnoteReference"/>
          <w:rFonts w:ascii="Arial" w:hAnsi="Arial"/>
          <w:color w:val="000000"/>
          <w:sz w:val="22"/>
          <w:szCs w:val="22"/>
          <w:lang w:eastAsia="en-US"/>
        </w:rPr>
        <w:footnoteReference w:id="7"/>
      </w:r>
      <w:r>
        <w:rPr>
          <w:rFonts w:ascii="Arial" w:hAnsi="Arial" w:cs="Arial"/>
          <w:color w:val="000000"/>
          <w:sz w:val="22"/>
          <w:szCs w:val="22"/>
          <w:lang w:eastAsia="en-US"/>
        </w:rPr>
        <w:t xml:space="preserve"> we believe </w:t>
      </w:r>
      <w:r w:rsidRPr="00640DDE">
        <w:rPr>
          <w:rFonts w:ascii="Arial" w:hAnsi="Arial" w:cs="Arial"/>
          <w:color w:val="000000"/>
          <w:sz w:val="22"/>
          <w:szCs w:val="22"/>
          <w:lang w:eastAsia="en-US"/>
        </w:rPr>
        <w:t>that a process to remove a class of derivatives from the clearing obligation should be available</w:t>
      </w:r>
      <w:r>
        <w:rPr>
          <w:rFonts w:ascii="Arial" w:hAnsi="Arial" w:cs="Arial"/>
          <w:color w:val="000000"/>
          <w:sz w:val="22"/>
          <w:szCs w:val="22"/>
          <w:lang w:eastAsia="en-US"/>
        </w:rPr>
        <w:t xml:space="preserve"> and ESMA should be empowered to implement such decision in a timely manner in response to, for example, exceptional market conditions</w:t>
      </w:r>
      <w:r w:rsidRPr="00640DDE">
        <w:rPr>
          <w:rFonts w:ascii="Arial" w:hAnsi="Arial" w:cs="Arial"/>
          <w:color w:val="000000"/>
          <w:sz w:val="22"/>
          <w:szCs w:val="22"/>
          <w:lang w:eastAsia="en-US"/>
        </w:rPr>
        <w:t>.</w:t>
      </w:r>
      <w:r>
        <w:rPr>
          <w:rFonts w:ascii="Arial" w:hAnsi="Arial" w:cs="Arial"/>
          <w:color w:val="000000"/>
          <w:sz w:val="22"/>
          <w:szCs w:val="22"/>
          <w:lang w:eastAsia="en-US"/>
        </w:rPr>
        <w:t xml:space="preserve"> ESMA should note that a similar process has been established in other major jurisdictions.</w:t>
      </w:r>
      <w:r>
        <w:rPr>
          <w:rStyle w:val="FootnoteReference"/>
          <w:rFonts w:ascii="Arial" w:hAnsi="Arial"/>
          <w:color w:val="000000"/>
          <w:sz w:val="22"/>
          <w:szCs w:val="22"/>
          <w:lang w:eastAsia="en-US"/>
        </w:rPr>
        <w:footnoteReference w:id="8"/>
      </w:r>
      <w:r>
        <w:rPr>
          <w:rFonts w:ascii="Arial" w:hAnsi="Arial" w:cs="Arial"/>
          <w:color w:val="000000"/>
          <w:sz w:val="22"/>
          <w:szCs w:val="22"/>
          <w:lang w:eastAsia="en-US"/>
        </w:rPr>
        <w:t xml:space="preserve"> </w:t>
      </w:r>
    </w:p>
    <w:p w14:paraId="0A880507" w14:textId="77777777" w:rsidR="00E6294A" w:rsidRDefault="00E6294A" w:rsidP="00E6294A">
      <w:pPr>
        <w:jc w:val="both"/>
        <w:rPr>
          <w:rFonts w:ascii="Arial" w:hAnsi="Arial" w:cs="Arial"/>
          <w:color w:val="000000"/>
          <w:sz w:val="22"/>
          <w:szCs w:val="22"/>
          <w:lang w:eastAsia="en-US"/>
        </w:rPr>
      </w:pPr>
    </w:p>
    <w:p w14:paraId="1F358F13" w14:textId="77777777" w:rsidR="00E6294A" w:rsidRDefault="00E6294A" w:rsidP="00E6294A">
      <w:pPr>
        <w:jc w:val="both"/>
        <w:rPr>
          <w:rFonts w:ascii="Arial" w:hAnsi="Arial" w:cs="Arial"/>
          <w:color w:val="000000"/>
          <w:sz w:val="22"/>
          <w:szCs w:val="22"/>
          <w:lang w:eastAsia="en-US"/>
        </w:rPr>
      </w:pPr>
      <w:r>
        <w:rPr>
          <w:rFonts w:ascii="Arial" w:hAnsi="Arial" w:cs="Arial"/>
          <w:color w:val="000000"/>
          <w:sz w:val="22"/>
          <w:szCs w:val="22"/>
          <w:lang w:eastAsia="en-US"/>
        </w:rPr>
        <w:t>We generally believe that the decision</w:t>
      </w:r>
      <w:r w:rsidRPr="00640DDE">
        <w:rPr>
          <w:rFonts w:ascii="Arial" w:hAnsi="Arial" w:cs="Arial"/>
          <w:color w:val="000000"/>
          <w:sz w:val="22"/>
          <w:szCs w:val="22"/>
          <w:lang w:eastAsia="en-US"/>
        </w:rPr>
        <w:t xml:space="preserve"> to remove </w:t>
      </w:r>
      <w:r>
        <w:rPr>
          <w:rFonts w:ascii="Arial" w:hAnsi="Arial" w:cs="Arial"/>
          <w:color w:val="000000"/>
          <w:sz w:val="22"/>
          <w:szCs w:val="22"/>
          <w:lang w:eastAsia="en-US"/>
        </w:rPr>
        <w:t xml:space="preserve">a specific </w:t>
      </w:r>
      <w:r w:rsidRPr="00640DDE">
        <w:rPr>
          <w:rFonts w:ascii="Arial" w:hAnsi="Arial" w:cs="Arial"/>
          <w:color w:val="000000"/>
          <w:sz w:val="22"/>
          <w:szCs w:val="22"/>
          <w:lang w:eastAsia="en-US"/>
        </w:rPr>
        <w:t xml:space="preserve">class </w:t>
      </w:r>
      <w:r>
        <w:rPr>
          <w:rFonts w:ascii="Arial" w:hAnsi="Arial" w:cs="Arial"/>
          <w:color w:val="000000"/>
          <w:sz w:val="22"/>
          <w:szCs w:val="22"/>
          <w:lang w:eastAsia="en-US"/>
        </w:rPr>
        <w:t xml:space="preserve">of OTC credit derivative from the clearing obligation </w:t>
      </w:r>
      <w:r w:rsidRPr="00640DDE">
        <w:rPr>
          <w:rFonts w:ascii="Arial" w:hAnsi="Arial" w:cs="Arial"/>
          <w:color w:val="000000"/>
          <w:sz w:val="22"/>
          <w:szCs w:val="22"/>
          <w:lang w:eastAsia="en-US"/>
        </w:rPr>
        <w:t xml:space="preserve">should not </w:t>
      </w:r>
      <w:r>
        <w:rPr>
          <w:rFonts w:ascii="Arial" w:hAnsi="Arial" w:cs="Arial"/>
          <w:color w:val="000000"/>
          <w:sz w:val="22"/>
          <w:szCs w:val="22"/>
          <w:lang w:eastAsia="en-US"/>
        </w:rPr>
        <w:t xml:space="preserve">depend on whether </w:t>
      </w:r>
      <w:r w:rsidRPr="00640DDE">
        <w:rPr>
          <w:rFonts w:ascii="Arial" w:hAnsi="Arial" w:cs="Arial"/>
          <w:color w:val="000000"/>
          <w:sz w:val="22"/>
          <w:szCs w:val="22"/>
          <w:lang w:eastAsia="en-US"/>
        </w:rPr>
        <w:t>a CCP s</w:t>
      </w:r>
      <w:r>
        <w:rPr>
          <w:rFonts w:ascii="Arial" w:hAnsi="Arial" w:cs="Arial"/>
          <w:color w:val="000000"/>
          <w:sz w:val="22"/>
          <w:szCs w:val="22"/>
          <w:lang w:eastAsia="en-US"/>
        </w:rPr>
        <w:t>till clears</w:t>
      </w:r>
      <w:r w:rsidRPr="00640DDE">
        <w:rPr>
          <w:rFonts w:ascii="Arial" w:hAnsi="Arial" w:cs="Arial"/>
          <w:color w:val="000000"/>
          <w:sz w:val="22"/>
          <w:szCs w:val="22"/>
          <w:lang w:eastAsia="en-US"/>
        </w:rPr>
        <w:t xml:space="preserve"> the product</w:t>
      </w:r>
      <w:r>
        <w:rPr>
          <w:rFonts w:ascii="Arial" w:hAnsi="Arial" w:cs="Arial"/>
          <w:color w:val="000000"/>
          <w:sz w:val="22"/>
          <w:szCs w:val="22"/>
          <w:lang w:eastAsia="en-US"/>
        </w:rPr>
        <w:t>, also because CCPs might have little incentive to remove a product once it has been listed. Instead such determination should be</w:t>
      </w:r>
      <w:r w:rsidRPr="00640DDE">
        <w:rPr>
          <w:rFonts w:ascii="Arial" w:hAnsi="Arial" w:cs="Arial"/>
          <w:color w:val="000000"/>
          <w:sz w:val="22"/>
          <w:szCs w:val="22"/>
          <w:lang w:eastAsia="en-US"/>
        </w:rPr>
        <w:t xml:space="preserve"> </w:t>
      </w:r>
      <w:r>
        <w:rPr>
          <w:rFonts w:ascii="Arial" w:hAnsi="Arial" w:cs="Arial"/>
          <w:color w:val="000000"/>
          <w:sz w:val="22"/>
          <w:szCs w:val="22"/>
          <w:lang w:eastAsia="en-US"/>
        </w:rPr>
        <w:t>based on the extent to which the factors relevant for the clearing determination</w:t>
      </w:r>
      <w:r>
        <w:rPr>
          <w:rStyle w:val="FootnoteReference"/>
          <w:rFonts w:ascii="Arial" w:hAnsi="Arial"/>
          <w:color w:val="000000"/>
          <w:sz w:val="22"/>
          <w:szCs w:val="22"/>
          <w:lang w:eastAsia="en-US"/>
        </w:rPr>
        <w:footnoteReference w:id="9"/>
      </w:r>
      <w:r>
        <w:rPr>
          <w:rFonts w:ascii="Arial" w:hAnsi="Arial" w:cs="Arial"/>
          <w:color w:val="000000"/>
          <w:sz w:val="22"/>
          <w:szCs w:val="22"/>
          <w:lang w:eastAsia="en-US"/>
        </w:rPr>
        <w:t xml:space="preserve"> still apply at that time as determined by ESMA, including</w:t>
      </w:r>
      <w:r w:rsidRPr="00640DDE">
        <w:rPr>
          <w:rFonts w:ascii="Arial" w:hAnsi="Arial" w:cs="Arial"/>
          <w:color w:val="000000"/>
          <w:sz w:val="22"/>
          <w:szCs w:val="22"/>
          <w:lang w:eastAsia="en-US"/>
        </w:rPr>
        <w:t xml:space="preserve"> the actual liquidity in that product.</w:t>
      </w:r>
      <w:r>
        <w:rPr>
          <w:rFonts w:ascii="Arial" w:hAnsi="Arial" w:cs="Arial"/>
          <w:color w:val="000000"/>
          <w:sz w:val="22"/>
          <w:szCs w:val="22"/>
          <w:lang w:eastAsia="en-US"/>
        </w:rPr>
        <w:t xml:space="preserve"> We therefore welcome ESMA’s plan to raise the issue of the removal of a clearing obligation and the level of urgency potentially attached to it during the 2015 review of EMIR.</w:t>
      </w:r>
      <w:r>
        <w:rPr>
          <w:rStyle w:val="FootnoteReference"/>
          <w:rFonts w:ascii="Arial" w:hAnsi="Arial"/>
          <w:color w:val="000000"/>
          <w:sz w:val="22"/>
          <w:szCs w:val="22"/>
          <w:lang w:eastAsia="en-US"/>
        </w:rPr>
        <w:footnoteReference w:id="10"/>
      </w:r>
    </w:p>
    <w:permEnd w:id="1564177794"/>
    <w:p w14:paraId="705C1D4B" w14:textId="010774AF" w:rsidR="000E31C3" w:rsidRDefault="000E31C3" w:rsidP="000E31C3">
      <w:r>
        <w:lastRenderedPageBreak/>
        <w:t>&lt;ESMA_QUESTION_1&gt;</w:t>
      </w:r>
    </w:p>
    <w:p w14:paraId="18DCC0AE" w14:textId="77777777" w:rsidR="000E31C3" w:rsidRDefault="000E31C3" w:rsidP="000E31C3"/>
    <w:p w14:paraId="67D8A568" w14:textId="77777777" w:rsidR="000E31C3" w:rsidRDefault="000E31C3" w:rsidP="00AA0857">
      <w:pPr>
        <w:pStyle w:val="Heading1"/>
      </w:pPr>
      <w:bookmarkStart w:id="8" w:name="_Ref392685388"/>
      <w:bookmarkStart w:id="9" w:name="_Toc392685527"/>
      <w:r>
        <w:t>Structure of the credit derivatives classes</w:t>
      </w:r>
      <w:bookmarkEnd w:id="8"/>
      <w:bookmarkEnd w:id="9"/>
    </w:p>
    <w:p w14:paraId="7D4E6A95" w14:textId="77777777" w:rsidR="000E31C3" w:rsidRDefault="000E31C3" w:rsidP="000E31C3"/>
    <w:p w14:paraId="445BD43C" w14:textId="2ABB6F5E" w:rsidR="000E31C3" w:rsidRDefault="000E31C3" w:rsidP="000E31C3">
      <w:pPr>
        <w:pStyle w:val="Questions"/>
      </w:pPr>
      <w:r>
        <w:t xml:space="preserve">Question </w:t>
      </w:r>
      <w:fldSimple w:instr=" SEQ Question \* ARABIC ">
        <w:r w:rsidR="001826B9">
          <w:rPr>
            <w:noProof/>
          </w:rPr>
          <w:t>2</w:t>
        </w:r>
      </w:fldSimple>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14:paraId="11E9D040" w14:textId="77777777" w:rsidR="000E31C3" w:rsidRDefault="000E31C3" w:rsidP="000E31C3"/>
    <w:p w14:paraId="51E6E18B" w14:textId="6DC78FE6" w:rsidR="000E31C3" w:rsidRDefault="000E31C3" w:rsidP="000E31C3">
      <w:r>
        <w:t>&lt;ESMA_QUESTION_2&gt;</w:t>
      </w:r>
    </w:p>
    <w:p w14:paraId="0BDEED4A" w14:textId="77777777" w:rsidR="00E6294A" w:rsidRDefault="00E6294A" w:rsidP="00E6294A">
      <w:pPr>
        <w:jc w:val="both"/>
        <w:rPr>
          <w:rFonts w:ascii="Arial" w:hAnsi="Arial" w:cs="Arial"/>
          <w:color w:val="000000"/>
          <w:sz w:val="22"/>
          <w:szCs w:val="22"/>
          <w:lang w:eastAsia="en-US"/>
        </w:rPr>
      </w:pPr>
      <w:permStart w:id="1575779171" w:edGrp="everyone"/>
      <w:r>
        <w:rPr>
          <w:rFonts w:ascii="Arial" w:hAnsi="Arial" w:cs="Arial"/>
          <w:color w:val="000000"/>
          <w:sz w:val="22"/>
          <w:szCs w:val="22"/>
          <w:lang w:eastAsia="en-US"/>
        </w:rPr>
        <w:t xml:space="preserve">In the CP, </w:t>
      </w:r>
      <w:r w:rsidRPr="00F07407">
        <w:rPr>
          <w:rFonts w:ascii="Arial" w:hAnsi="Arial" w:cs="Arial"/>
          <w:color w:val="000000"/>
          <w:sz w:val="22"/>
          <w:szCs w:val="22"/>
          <w:lang w:eastAsia="en-US"/>
        </w:rPr>
        <w:t xml:space="preserve">ESMA </w:t>
      </w:r>
      <w:r>
        <w:rPr>
          <w:rFonts w:ascii="Arial" w:hAnsi="Arial" w:cs="Arial"/>
          <w:color w:val="000000"/>
          <w:sz w:val="22"/>
          <w:szCs w:val="22"/>
          <w:lang w:eastAsia="en-US"/>
        </w:rPr>
        <w:t xml:space="preserve">performs an </w:t>
      </w:r>
      <w:r w:rsidRPr="00F07407">
        <w:rPr>
          <w:rFonts w:ascii="Arial" w:hAnsi="Arial" w:cs="Arial"/>
          <w:color w:val="000000"/>
          <w:sz w:val="22"/>
          <w:szCs w:val="22"/>
          <w:lang w:eastAsia="en-US"/>
        </w:rPr>
        <w:t>analys</w:t>
      </w:r>
      <w:r>
        <w:rPr>
          <w:rFonts w:ascii="Arial" w:hAnsi="Arial" w:cs="Arial"/>
          <w:color w:val="000000"/>
          <w:sz w:val="22"/>
          <w:szCs w:val="22"/>
          <w:lang w:eastAsia="en-US"/>
        </w:rPr>
        <w:t>i</w:t>
      </w:r>
      <w:r w:rsidRPr="00F07407">
        <w:rPr>
          <w:rFonts w:ascii="Arial" w:hAnsi="Arial" w:cs="Arial"/>
          <w:color w:val="000000"/>
          <w:sz w:val="22"/>
          <w:szCs w:val="22"/>
          <w:lang w:eastAsia="en-US"/>
        </w:rPr>
        <w:t xml:space="preserve">s </w:t>
      </w:r>
      <w:r>
        <w:rPr>
          <w:rFonts w:ascii="Arial" w:hAnsi="Arial" w:cs="Arial"/>
          <w:color w:val="000000"/>
          <w:sz w:val="22"/>
          <w:szCs w:val="22"/>
          <w:lang w:eastAsia="en-US"/>
        </w:rPr>
        <w:t>of the relevant indicators for various</w:t>
      </w:r>
      <w:r w:rsidRPr="00F07407">
        <w:rPr>
          <w:rFonts w:ascii="Arial" w:hAnsi="Arial" w:cs="Arial"/>
          <w:color w:val="000000"/>
          <w:sz w:val="22"/>
          <w:szCs w:val="22"/>
          <w:lang w:eastAsia="en-US"/>
        </w:rPr>
        <w:t xml:space="preserve"> European CDS indices </w:t>
      </w:r>
      <w:r>
        <w:rPr>
          <w:rFonts w:ascii="Arial" w:hAnsi="Arial" w:cs="Arial"/>
          <w:color w:val="000000"/>
          <w:sz w:val="22"/>
          <w:szCs w:val="22"/>
          <w:lang w:eastAsia="en-US"/>
        </w:rPr>
        <w:t xml:space="preserve">that are administered by </w:t>
      </w:r>
      <w:r w:rsidRPr="00F07407">
        <w:rPr>
          <w:rFonts w:ascii="Arial" w:hAnsi="Arial" w:cs="Arial"/>
          <w:color w:val="000000"/>
          <w:sz w:val="22"/>
          <w:szCs w:val="22"/>
          <w:lang w:eastAsia="en-US"/>
        </w:rPr>
        <w:t>Markit</w:t>
      </w:r>
      <w:r>
        <w:rPr>
          <w:rFonts w:ascii="Arial" w:hAnsi="Arial" w:cs="Arial"/>
          <w:color w:val="000000"/>
          <w:sz w:val="22"/>
          <w:szCs w:val="22"/>
          <w:lang w:eastAsia="en-US"/>
        </w:rPr>
        <w:t>. S</w:t>
      </w:r>
      <w:r w:rsidRPr="00F07407">
        <w:rPr>
          <w:rFonts w:ascii="Arial" w:hAnsi="Arial" w:cs="Arial"/>
          <w:color w:val="000000"/>
          <w:sz w:val="22"/>
          <w:szCs w:val="22"/>
          <w:lang w:eastAsia="en-US"/>
        </w:rPr>
        <w:t>pecifically</w:t>
      </w:r>
      <w:r>
        <w:rPr>
          <w:rFonts w:ascii="Arial" w:hAnsi="Arial" w:cs="Arial"/>
          <w:color w:val="000000"/>
          <w:sz w:val="22"/>
          <w:szCs w:val="22"/>
          <w:lang w:eastAsia="en-US"/>
        </w:rPr>
        <w:t>, it</w:t>
      </w:r>
      <w:r w:rsidRPr="00F07407">
        <w:rPr>
          <w:rFonts w:ascii="Arial" w:hAnsi="Arial" w:cs="Arial"/>
          <w:color w:val="000000"/>
          <w:sz w:val="22"/>
          <w:szCs w:val="22"/>
          <w:lang w:eastAsia="en-US"/>
        </w:rPr>
        <w:t xml:space="preserve"> differentiates between </w:t>
      </w:r>
      <w:r>
        <w:rPr>
          <w:rFonts w:ascii="Arial" w:hAnsi="Arial" w:cs="Arial"/>
          <w:color w:val="000000"/>
          <w:sz w:val="22"/>
          <w:szCs w:val="22"/>
          <w:lang w:eastAsia="en-US"/>
        </w:rPr>
        <w:t xml:space="preserve">the indices iTraxx </w:t>
      </w:r>
      <w:r w:rsidRPr="00F07407">
        <w:rPr>
          <w:rFonts w:ascii="Arial" w:hAnsi="Arial" w:cs="Arial"/>
          <w:color w:val="000000"/>
          <w:sz w:val="22"/>
          <w:szCs w:val="22"/>
          <w:lang w:eastAsia="en-US"/>
        </w:rPr>
        <w:t xml:space="preserve">Europe, </w:t>
      </w:r>
      <w:r>
        <w:rPr>
          <w:rFonts w:ascii="Arial" w:hAnsi="Arial" w:cs="Arial"/>
          <w:color w:val="000000"/>
          <w:sz w:val="22"/>
          <w:szCs w:val="22"/>
          <w:lang w:eastAsia="en-US"/>
        </w:rPr>
        <w:t xml:space="preserve">iTraxx </w:t>
      </w:r>
      <w:r w:rsidRPr="00F07407">
        <w:rPr>
          <w:rFonts w:ascii="Arial" w:hAnsi="Arial" w:cs="Arial"/>
          <w:color w:val="000000"/>
          <w:sz w:val="22"/>
          <w:szCs w:val="22"/>
          <w:lang w:eastAsia="en-US"/>
        </w:rPr>
        <w:t xml:space="preserve">Crossover, </w:t>
      </w:r>
      <w:r>
        <w:rPr>
          <w:rFonts w:ascii="Arial" w:hAnsi="Arial" w:cs="Arial"/>
          <w:color w:val="000000"/>
          <w:sz w:val="22"/>
          <w:szCs w:val="22"/>
          <w:lang w:eastAsia="en-US"/>
        </w:rPr>
        <w:t xml:space="preserve">iTraxx </w:t>
      </w:r>
      <w:r w:rsidRPr="00F07407">
        <w:rPr>
          <w:rFonts w:ascii="Arial" w:hAnsi="Arial" w:cs="Arial"/>
          <w:color w:val="000000"/>
          <w:sz w:val="22"/>
          <w:szCs w:val="22"/>
          <w:lang w:eastAsia="en-US"/>
        </w:rPr>
        <w:t>H</w:t>
      </w:r>
      <w:r>
        <w:rPr>
          <w:rFonts w:ascii="Arial" w:hAnsi="Arial" w:cs="Arial"/>
          <w:color w:val="000000"/>
          <w:sz w:val="22"/>
          <w:szCs w:val="22"/>
          <w:lang w:eastAsia="en-US"/>
        </w:rPr>
        <w:t xml:space="preserve">igh </w:t>
      </w:r>
      <w:r w:rsidRPr="00F07407">
        <w:rPr>
          <w:rFonts w:ascii="Arial" w:hAnsi="Arial" w:cs="Arial"/>
          <w:color w:val="000000"/>
          <w:sz w:val="22"/>
          <w:szCs w:val="22"/>
          <w:lang w:eastAsia="en-US"/>
        </w:rPr>
        <w:t>V</w:t>
      </w:r>
      <w:r>
        <w:rPr>
          <w:rFonts w:ascii="Arial" w:hAnsi="Arial" w:cs="Arial"/>
          <w:color w:val="000000"/>
          <w:sz w:val="22"/>
          <w:szCs w:val="22"/>
          <w:lang w:eastAsia="en-US"/>
        </w:rPr>
        <w:t>olatility</w:t>
      </w:r>
      <w:r w:rsidRPr="00F07407">
        <w:rPr>
          <w:rFonts w:ascii="Arial" w:hAnsi="Arial" w:cs="Arial"/>
          <w:color w:val="000000"/>
          <w:sz w:val="22"/>
          <w:szCs w:val="22"/>
          <w:lang w:eastAsia="en-US"/>
        </w:rPr>
        <w:t xml:space="preserve">, and </w:t>
      </w:r>
      <w:r>
        <w:rPr>
          <w:rFonts w:ascii="Arial" w:hAnsi="Arial" w:cs="Arial"/>
          <w:color w:val="000000"/>
          <w:sz w:val="22"/>
          <w:szCs w:val="22"/>
          <w:lang w:eastAsia="en-US"/>
        </w:rPr>
        <w:t xml:space="preserve">iTraxx </w:t>
      </w:r>
      <w:r w:rsidRPr="00F07407">
        <w:rPr>
          <w:rFonts w:ascii="Arial" w:hAnsi="Arial" w:cs="Arial"/>
          <w:color w:val="000000"/>
          <w:sz w:val="22"/>
          <w:szCs w:val="22"/>
          <w:lang w:eastAsia="en-US"/>
        </w:rPr>
        <w:t>Senior Financials</w:t>
      </w:r>
      <w:r w:rsidRPr="00F07407">
        <w:rPr>
          <w:rStyle w:val="FootnoteReference"/>
          <w:rFonts w:ascii="Arial" w:hAnsi="Arial"/>
          <w:color w:val="000000"/>
          <w:sz w:val="22"/>
          <w:szCs w:val="22"/>
          <w:lang w:eastAsia="en-US"/>
        </w:rPr>
        <w:footnoteReference w:id="11"/>
      </w:r>
      <w:r>
        <w:rPr>
          <w:rFonts w:ascii="Arial" w:hAnsi="Arial" w:cs="Arial"/>
          <w:color w:val="000000"/>
          <w:sz w:val="22"/>
          <w:szCs w:val="22"/>
          <w:lang w:eastAsia="en-US"/>
        </w:rPr>
        <w:t xml:space="preserve"> and </w:t>
      </w:r>
      <w:r w:rsidRPr="00F07407">
        <w:rPr>
          <w:rFonts w:ascii="Arial" w:hAnsi="Arial" w:cs="Arial"/>
          <w:color w:val="000000"/>
          <w:sz w:val="22"/>
          <w:szCs w:val="22"/>
          <w:lang w:eastAsia="en-US"/>
        </w:rPr>
        <w:t xml:space="preserve">highlights that </w:t>
      </w:r>
      <w:r>
        <w:rPr>
          <w:rFonts w:ascii="Arial" w:hAnsi="Arial" w:cs="Arial"/>
          <w:color w:val="000000"/>
          <w:sz w:val="22"/>
          <w:szCs w:val="22"/>
          <w:lang w:eastAsia="en-US"/>
        </w:rPr>
        <w:t xml:space="preserve">the </w:t>
      </w:r>
      <w:r w:rsidRPr="00F07407">
        <w:rPr>
          <w:rFonts w:ascii="Arial" w:hAnsi="Arial" w:cs="Arial"/>
          <w:color w:val="000000"/>
          <w:sz w:val="22"/>
          <w:szCs w:val="22"/>
          <w:lang w:eastAsia="en-US"/>
        </w:rPr>
        <w:t xml:space="preserve">relevant </w:t>
      </w:r>
      <w:r>
        <w:rPr>
          <w:rFonts w:ascii="Arial" w:hAnsi="Arial" w:cs="Arial"/>
          <w:color w:val="000000"/>
          <w:sz w:val="22"/>
          <w:szCs w:val="22"/>
          <w:lang w:eastAsia="en-US"/>
        </w:rPr>
        <w:t>further characteristics</w:t>
      </w:r>
      <w:r w:rsidRPr="00F07407">
        <w:rPr>
          <w:rFonts w:ascii="Arial" w:hAnsi="Arial" w:cs="Arial"/>
          <w:color w:val="000000"/>
          <w:sz w:val="22"/>
          <w:szCs w:val="22"/>
          <w:lang w:eastAsia="en-US"/>
        </w:rPr>
        <w:t xml:space="preserve"> </w:t>
      </w:r>
      <w:r>
        <w:rPr>
          <w:rFonts w:ascii="Arial" w:hAnsi="Arial" w:cs="Arial"/>
          <w:color w:val="000000"/>
          <w:sz w:val="22"/>
          <w:szCs w:val="22"/>
          <w:lang w:eastAsia="en-US"/>
        </w:rPr>
        <w:t xml:space="preserve">that ought to be considered when identifying CDS indices for the clearing obligation </w:t>
      </w:r>
      <w:r w:rsidRPr="00F07407">
        <w:rPr>
          <w:rFonts w:ascii="Arial" w:hAnsi="Arial" w:cs="Arial"/>
          <w:color w:val="000000"/>
          <w:sz w:val="22"/>
          <w:szCs w:val="22"/>
          <w:lang w:eastAsia="en-US"/>
        </w:rPr>
        <w:t xml:space="preserve">are </w:t>
      </w:r>
      <w:r>
        <w:rPr>
          <w:rFonts w:ascii="Arial" w:hAnsi="Arial" w:cs="Arial"/>
          <w:color w:val="000000"/>
          <w:sz w:val="22"/>
          <w:szCs w:val="22"/>
          <w:lang w:eastAsia="en-US"/>
        </w:rPr>
        <w:t xml:space="preserve">the </w:t>
      </w:r>
      <w:r w:rsidRPr="00F07407">
        <w:rPr>
          <w:rFonts w:ascii="Arial" w:hAnsi="Arial" w:cs="Arial"/>
          <w:color w:val="000000"/>
          <w:sz w:val="22"/>
          <w:szCs w:val="22"/>
          <w:lang w:eastAsia="en-US"/>
        </w:rPr>
        <w:t xml:space="preserve">maturity and </w:t>
      </w:r>
      <w:r>
        <w:rPr>
          <w:rFonts w:ascii="Arial" w:hAnsi="Arial" w:cs="Arial"/>
          <w:color w:val="000000"/>
          <w:sz w:val="22"/>
          <w:szCs w:val="22"/>
          <w:lang w:eastAsia="en-US"/>
        </w:rPr>
        <w:t xml:space="preserve">the </w:t>
      </w:r>
      <w:r w:rsidRPr="00F07407">
        <w:rPr>
          <w:rFonts w:ascii="Arial" w:hAnsi="Arial" w:cs="Arial"/>
          <w:color w:val="000000"/>
          <w:sz w:val="22"/>
          <w:szCs w:val="22"/>
          <w:lang w:eastAsia="en-US"/>
        </w:rPr>
        <w:t>series</w:t>
      </w:r>
      <w:r>
        <w:rPr>
          <w:rFonts w:ascii="Arial" w:hAnsi="Arial" w:cs="Arial"/>
          <w:color w:val="000000"/>
          <w:sz w:val="22"/>
          <w:szCs w:val="22"/>
          <w:lang w:eastAsia="en-US"/>
        </w:rPr>
        <w:t xml:space="preserve"> of the CDS index</w:t>
      </w:r>
      <w:r w:rsidRPr="00F07407">
        <w:rPr>
          <w:rFonts w:ascii="Arial" w:hAnsi="Arial" w:cs="Arial"/>
          <w:color w:val="000000"/>
          <w:sz w:val="22"/>
          <w:szCs w:val="22"/>
          <w:lang w:eastAsia="en-US"/>
        </w:rPr>
        <w:t>.</w:t>
      </w:r>
      <w:r>
        <w:rPr>
          <w:rFonts w:ascii="Arial" w:hAnsi="Arial" w:cs="Arial"/>
          <w:color w:val="000000"/>
          <w:sz w:val="22"/>
          <w:szCs w:val="22"/>
          <w:lang w:eastAsia="en-US"/>
        </w:rPr>
        <w:t xml:space="preserve"> </w:t>
      </w:r>
    </w:p>
    <w:p w14:paraId="0241DD85" w14:textId="77777777" w:rsidR="00E6294A" w:rsidRDefault="00E6294A" w:rsidP="00E6294A">
      <w:pPr>
        <w:jc w:val="both"/>
        <w:rPr>
          <w:rFonts w:ascii="Arial" w:hAnsi="Arial" w:cs="Arial"/>
          <w:color w:val="000000"/>
          <w:sz w:val="22"/>
          <w:szCs w:val="22"/>
          <w:lang w:eastAsia="en-US"/>
        </w:rPr>
      </w:pPr>
    </w:p>
    <w:p w14:paraId="33DBDC2F" w14:textId="77777777" w:rsidR="00E6294A" w:rsidRDefault="00E6294A" w:rsidP="00E6294A">
      <w:pPr>
        <w:jc w:val="both"/>
        <w:rPr>
          <w:rFonts w:ascii="Arial" w:hAnsi="Arial" w:cs="Arial"/>
          <w:color w:val="000000"/>
          <w:sz w:val="22"/>
          <w:szCs w:val="22"/>
          <w:lang w:eastAsia="en-US"/>
        </w:rPr>
      </w:pPr>
      <w:r>
        <w:rPr>
          <w:rFonts w:ascii="Arial" w:hAnsi="Arial" w:cs="Arial"/>
          <w:color w:val="000000"/>
          <w:sz w:val="22"/>
          <w:szCs w:val="22"/>
          <w:lang w:eastAsia="en-US"/>
        </w:rPr>
        <w:t>We g</w:t>
      </w:r>
      <w:r w:rsidRPr="00F07407">
        <w:rPr>
          <w:rFonts w:ascii="Arial" w:hAnsi="Arial" w:cs="Arial"/>
          <w:color w:val="000000"/>
          <w:sz w:val="22"/>
          <w:szCs w:val="22"/>
          <w:lang w:eastAsia="en-US"/>
        </w:rPr>
        <w:t xml:space="preserve">enerally </w:t>
      </w:r>
      <w:r>
        <w:rPr>
          <w:rFonts w:ascii="Arial" w:hAnsi="Arial" w:cs="Arial"/>
          <w:color w:val="000000"/>
          <w:sz w:val="22"/>
          <w:szCs w:val="22"/>
          <w:lang w:eastAsia="en-US"/>
        </w:rPr>
        <w:t>agree with ESMA’s analysis and with the specific CDS indices it identified as appropriate candidates for the clearing obligation. We also welcome that ESMA’s proposal would be generally consistent with the clearing obligations for credit derivatives that have been established in other jurisdictions.</w:t>
      </w:r>
      <w:r>
        <w:rPr>
          <w:rStyle w:val="FootnoteReference"/>
          <w:rFonts w:ascii="Arial" w:hAnsi="Arial"/>
          <w:color w:val="000000"/>
          <w:sz w:val="22"/>
          <w:szCs w:val="22"/>
          <w:lang w:eastAsia="en-US"/>
        </w:rPr>
        <w:footnoteReference w:id="12"/>
      </w:r>
      <w:r>
        <w:rPr>
          <w:rFonts w:ascii="Arial" w:hAnsi="Arial" w:cs="Arial"/>
          <w:color w:val="000000"/>
          <w:sz w:val="22"/>
          <w:szCs w:val="22"/>
          <w:lang w:eastAsia="en-US"/>
        </w:rPr>
        <w:t xml:space="preserve"> </w:t>
      </w:r>
    </w:p>
    <w:p w14:paraId="149AB8A4" w14:textId="77777777" w:rsidR="00E6294A" w:rsidRDefault="00E6294A" w:rsidP="00E6294A">
      <w:pPr>
        <w:jc w:val="both"/>
        <w:rPr>
          <w:rFonts w:ascii="Arial" w:hAnsi="Arial" w:cs="Arial"/>
          <w:color w:val="000000"/>
          <w:sz w:val="22"/>
          <w:szCs w:val="22"/>
          <w:lang w:eastAsia="en-US"/>
        </w:rPr>
      </w:pPr>
    </w:p>
    <w:p w14:paraId="0EAA3396" w14:textId="52853C07" w:rsidR="00E6294A" w:rsidRPr="00F74AF2" w:rsidRDefault="00E6294A" w:rsidP="00E6294A">
      <w:pPr>
        <w:jc w:val="both"/>
        <w:rPr>
          <w:rFonts w:ascii="Arial" w:hAnsi="Arial" w:cs="Arial"/>
          <w:color w:val="000000"/>
          <w:sz w:val="22"/>
          <w:szCs w:val="22"/>
          <w:lang w:eastAsia="en-US"/>
        </w:rPr>
      </w:pPr>
      <w:r>
        <w:rPr>
          <w:rFonts w:ascii="Arial" w:hAnsi="Arial" w:cs="Arial"/>
          <w:color w:val="000000"/>
          <w:sz w:val="22"/>
          <w:szCs w:val="22"/>
          <w:lang w:eastAsia="en-US"/>
        </w:rPr>
        <w:t>As</w:t>
      </w:r>
      <w:r w:rsidRPr="00F74AF2">
        <w:rPr>
          <w:rFonts w:ascii="Arial" w:hAnsi="Arial" w:cs="Arial"/>
          <w:color w:val="000000"/>
          <w:sz w:val="22"/>
          <w:szCs w:val="22"/>
          <w:lang w:eastAsia="en-US"/>
        </w:rPr>
        <w:t xml:space="preserve"> a provider of processing and connectivity services for OTC credit derivatives we stand ready to support the straight-through processing of the categories of CDS indices that ESMA has listed to be subject to mandatory clearing. Specifically, we are connected to the CCPs that clear OTC credit derivatives and we have established the controls necessary to allow for mandatory clearing in this asset class. </w:t>
      </w:r>
      <w:r w:rsidR="001A596C">
        <w:rPr>
          <w:rFonts w:ascii="Arial" w:hAnsi="Arial" w:cs="Arial"/>
          <w:color w:val="000000"/>
          <w:sz w:val="22"/>
          <w:szCs w:val="22"/>
          <w:lang w:eastAsia="en-US"/>
        </w:rPr>
        <w:t>However</w:t>
      </w:r>
      <w:bookmarkStart w:id="10" w:name="_GoBack"/>
      <w:bookmarkEnd w:id="10"/>
      <w:r w:rsidRPr="00F74AF2">
        <w:rPr>
          <w:rFonts w:ascii="Arial" w:hAnsi="Arial" w:cs="Arial"/>
          <w:color w:val="000000"/>
          <w:sz w:val="22"/>
          <w:szCs w:val="22"/>
          <w:lang w:eastAsia="en-US"/>
        </w:rPr>
        <w:t xml:space="preserve">, we urge ESMA to ensure that, in all of its future clearing obligation </w:t>
      </w:r>
      <w:proofErr w:type="gramStart"/>
      <w:r w:rsidRPr="00F74AF2">
        <w:rPr>
          <w:rFonts w:ascii="Arial" w:hAnsi="Arial" w:cs="Arial"/>
          <w:color w:val="000000"/>
          <w:sz w:val="22"/>
          <w:szCs w:val="22"/>
          <w:lang w:eastAsia="en-US"/>
        </w:rPr>
        <w:t>determinations,</w:t>
      </w:r>
      <w:proofErr w:type="gramEnd"/>
      <w:r w:rsidRPr="00F74AF2">
        <w:rPr>
          <w:rFonts w:ascii="Arial" w:hAnsi="Arial" w:cs="Arial"/>
          <w:color w:val="000000"/>
          <w:sz w:val="22"/>
          <w:szCs w:val="22"/>
          <w:lang w:eastAsia="en-US"/>
        </w:rPr>
        <w:t xml:space="preserve"> it appropriately considers not only the standardization of operational procedures, including the fact whether a category of derivative can be electronically processed, but also the actual level of preparedness of middleware providers for the processing of such transactions.</w:t>
      </w:r>
    </w:p>
    <w:p w14:paraId="3289CA53" w14:textId="77777777" w:rsidR="00E6294A" w:rsidRPr="006208FD" w:rsidRDefault="00E6294A" w:rsidP="00E6294A">
      <w:pPr>
        <w:jc w:val="both"/>
        <w:rPr>
          <w:rFonts w:ascii="Arial" w:hAnsi="Arial" w:cs="Arial"/>
          <w:b/>
          <w:color w:val="000000"/>
          <w:sz w:val="22"/>
          <w:szCs w:val="22"/>
          <w:lang w:eastAsia="en-US"/>
        </w:rPr>
      </w:pPr>
    </w:p>
    <w:p w14:paraId="6B239AE8" w14:textId="77777777" w:rsidR="00E6294A" w:rsidRPr="006208FD" w:rsidRDefault="00E6294A" w:rsidP="00E6294A">
      <w:pPr>
        <w:jc w:val="both"/>
        <w:rPr>
          <w:rFonts w:ascii="Arial" w:hAnsi="Arial" w:cs="Arial"/>
          <w:b/>
          <w:color w:val="000000"/>
          <w:sz w:val="22"/>
          <w:szCs w:val="22"/>
          <w:lang w:eastAsia="en-US"/>
        </w:rPr>
      </w:pPr>
      <w:r>
        <w:rPr>
          <w:rFonts w:ascii="Arial" w:hAnsi="Arial" w:cs="Arial"/>
          <w:b/>
          <w:color w:val="000000"/>
          <w:sz w:val="22"/>
          <w:szCs w:val="22"/>
          <w:lang w:eastAsia="en-US"/>
        </w:rPr>
        <w:t>CDS d</w:t>
      </w:r>
      <w:r w:rsidRPr="006208FD">
        <w:rPr>
          <w:rFonts w:ascii="Arial" w:hAnsi="Arial" w:cs="Arial"/>
          <w:b/>
          <w:color w:val="000000"/>
          <w:sz w:val="22"/>
          <w:szCs w:val="22"/>
          <w:lang w:eastAsia="en-US"/>
        </w:rPr>
        <w:t>ocumentation standards</w:t>
      </w:r>
    </w:p>
    <w:p w14:paraId="4FFA9E6E" w14:textId="77777777" w:rsidR="00E6294A" w:rsidRDefault="00E6294A" w:rsidP="00E6294A">
      <w:pPr>
        <w:jc w:val="both"/>
        <w:rPr>
          <w:rFonts w:ascii="Arial" w:hAnsi="Arial" w:cs="Arial"/>
          <w:color w:val="000000"/>
          <w:sz w:val="22"/>
          <w:szCs w:val="22"/>
          <w:lang w:eastAsia="en-US"/>
        </w:rPr>
      </w:pPr>
    </w:p>
    <w:p w14:paraId="5C9CCE3B" w14:textId="77777777" w:rsidR="00E6294A" w:rsidRDefault="00E6294A" w:rsidP="00E6294A">
      <w:pPr>
        <w:jc w:val="both"/>
        <w:rPr>
          <w:rFonts w:ascii="Arial" w:hAnsi="Arial" w:cs="Arial"/>
          <w:color w:val="000000"/>
          <w:sz w:val="22"/>
          <w:szCs w:val="22"/>
          <w:lang w:eastAsia="en-US"/>
        </w:rPr>
      </w:pPr>
      <w:r w:rsidRPr="00F07407">
        <w:rPr>
          <w:rFonts w:ascii="Arial" w:hAnsi="Arial" w:cs="Arial"/>
          <w:color w:val="000000"/>
          <w:sz w:val="22"/>
          <w:szCs w:val="22"/>
          <w:lang w:eastAsia="en-US"/>
        </w:rPr>
        <w:t xml:space="preserve">However, </w:t>
      </w:r>
      <w:r>
        <w:rPr>
          <w:rFonts w:ascii="Arial" w:hAnsi="Arial" w:cs="Arial"/>
          <w:color w:val="000000"/>
          <w:sz w:val="22"/>
          <w:szCs w:val="22"/>
          <w:lang w:eastAsia="en-US"/>
        </w:rPr>
        <w:t>we are concerned that, in its analysis, ESMA might not have considered the major changes to the documentation of credit derivatives that are scheduled to occur later this month. Specifically, the introduction of the 2014 ISDA Credit Derivatives definitions</w:t>
      </w:r>
      <w:r>
        <w:rPr>
          <w:rStyle w:val="FootnoteReference"/>
          <w:rFonts w:ascii="Arial" w:hAnsi="Arial"/>
          <w:color w:val="000000"/>
          <w:sz w:val="22"/>
          <w:szCs w:val="22"/>
          <w:lang w:eastAsia="en-US"/>
        </w:rPr>
        <w:footnoteReference w:id="13"/>
      </w:r>
      <w:r>
        <w:rPr>
          <w:rFonts w:ascii="Arial" w:hAnsi="Arial" w:cs="Arial"/>
          <w:color w:val="000000"/>
          <w:sz w:val="22"/>
          <w:szCs w:val="22"/>
          <w:lang w:eastAsia="en-US"/>
        </w:rPr>
        <w:t xml:space="preserve"> will establish new documentation standards for CDS from September 20, 2014 which will also impact the documentation of the CDS indices that are referenced in the CP. </w:t>
      </w:r>
    </w:p>
    <w:p w14:paraId="06A09956" w14:textId="77777777" w:rsidR="00E6294A" w:rsidRDefault="00E6294A" w:rsidP="00E6294A">
      <w:pPr>
        <w:jc w:val="both"/>
        <w:rPr>
          <w:rFonts w:ascii="Arial" w:hAnsi="Arial" w:cs="Arial"/>
          <w:color w:val="000000"/>
          <w:sz w:val="22"/>
          <w:szCs w:val="22"/>
          <w:lang w:eastAsia="en-US"/>
        </w:rPr>
      </w:pPr>
    </w:p>
    <w:p w14:paraId="5A271AEF" w14:textId="77777777" w:rsidR="00E6294A" w:rsidRDefault="00E6294A" w:rsidP="00E6294A">
      <w:pPr>
        <w:jc w:val="both"/>
        <w:rPr>
          <w:rFonts w:ascii="Arial" w:hAnsi="Arial" w:cs="Arial"/>
          <w:color w:val="000000"/>
          <w:sz w:val="22"/>
          <w:szCs w:val="22"/>
          <w:lang w:eastAsia="en-US"/>
        </w:rPr>
      </w:pPr>
      <w:r>
        <w:rPr>
          <w:rFonts w:ascii="Arial" w:hAnsi="Arial" w:cs="Arial"/>
          <w:color w:val="000000"/>
          <w:sz w:val="22"/>
          <w:szCs w:val="22"/>
          <w:lang w:eastAsia="en-US"/>
        </w:rPr>
        <w:t>On that basis, a</w:t>
      </w:r>
      <w:r w:rsidRPr="005A378A">
        <w:rPr>
          <w:rFonts w:ascii="Arial" w:hAnsi="Arial" w:cs="Arial"/>
          <w:color w:val="000000"/>
          <w:sz w:val="22"/>
          <w:szCs w:val="22"/>
          <w:lang w:eastAsia="en-US"/>
        </w:rPr>
        <w:t xml:space="preserve">ll series of </w:t>
      </w:r>
      <w:r>
        <w:rPr>
          <w:rFonts w:ascii="Arial" w:hAnsi="Arial" w:cs="Arial"/>
          <w:color w:val="000000"/>
          <w:sz w:val="22"/>
          <w:szCs w:val="22"/>
          <w:lang w:eastAsia="en-US"/>
        </w:rPr>
        <w:t xml:space="preserve">the </w:t>
      </w:r>
      <w:r w:rsidRPr="005A378A">
        <w:rPr>
          <w:rFonts w:ascii="Arial" w:hAnsi="Arial" w:cs="Arial"/>
          <w:color w:val="000000"/>
          <w:sz w:val="22"/>
          <w:szCs w:val="22"/>
          <w:lang w:eastAsia="en-US"/>
        </w:rPr>
        <w:t xml:space="preserve">Markit iTraxx indices </w:t>
      </w:r>
      <w:r>
        <w:rPr>
          <w:rFonts w:ascii="Arial" w:hAnsi="Arial" w:cs="Arial"/>
          <w:color w:val="000000"/>
          <w:sz w:val="22"/>
          <w:szCs w:val="22"/>
          <w:lang w:eastAsia="en-US"/>
        </w:rPr>
        <w:t xml:space="preserve">that are </w:t>
      </w:r>
      <w:r w:rsidRPr="005A378A">
        <w:rPr>
          <w:rFonts w:ascii="Arial" w:hAnsi="Arial" w:cs="Arial"/>
          <w:color w:val="000000"/>
          <w:sz w:val="22"/>
          <w:szCs w:val="22"/>
          <w:lang w:eastAsia="en-US"/>
        </w:rPr>
        <w:t xml:space="preserve">launched </w:t>
      </w:r>
      <w:r>
        <w:rPr>
          <w:rFonts w:ascii="Arial" w:hAnsi="Arial" w:cs="Arial"/>
          <w:color w:val="000000"/>
          <w:sz w:val="22"/>
          <w:szCs w:val="22"/>
          <w:lang w:eastAsia="en-US"/>
        </w:rPr>
        <w:t xml:space="preserve">on or </w:t>
      </w:r>
      <w:r w:rsidRPr="005A378A">
        <w:rPr>
          <w:rFonts w:ascii="Arial" w:hAnsi="Arial" w:cs="Arial"/>
          <w:color w:val="000000"/>
          <w:sz w:val="22"/>
          <w:szCs w:val="22"/>
          <w:lang w:eastAsia="en-US"/>
        </w:rPr>
        <w:t xml:space="preserve">after 20 September 2014 </w:t>
      </w:r>
      <w:r>
        <w:rPr>
          <w:rFonts w:ascii="Arial" w:hAnsi="Arial" w:cs="Arial"/>
          <w:color w:val="000000"/>
          <w:sz w:val="22"/>
          <w:szCs w:val="22"/>
          <w:lang w:eastAsia="en-US"/>
        </w:rPr>
        <w:t>(“</w:t>
      </w:r>
      <w:r w:rsidRPr="00E853AA">
        <w:rPr>
          <w:rFonts w:ascii="Arial" w:hAnsi="Arial" w:cs="Arial"/>
          <w:b/>
          <w:i/>
          <w:color w:val="000000"/>
          <w:sz w:val="22"/>
          <w:szCs w:val="22"/>
          <w:lang w:eastAsia="en-US"/>
        </w:rPr>
        <w:t>new CDS index series</w:t>
      </w:r>
      <w:r>
        <w:rPr>
          <w:rFonts w:ascii="Arial" w:hAnsi="Arial" w:cs="Arial"/>
          <w:color w:val="000000"/>
          <w:sz w:val="22"/>
          <w:szCs w:val="22"/>
          <w:lang w:eastAsia="en-US"/>
        </w:rPr>
        <w:t xml:space="preserve">”) </w:t>
      </w:r>
      <w:r w:rsidRPr="005A378A">
        <w:rPr>
          <w:rFonts w:ascii="Arial" w:hAnsi="Arial" w:cs="Arial"/>
          <w:color w:val="000000"/>
          <w:sz w:val="22"/>
          <w:szCs w:val="22"/>
          <w:lang w:eastAsia="en-US"/>
        </w:rPr>
        <w:t xml:space="preserve">will trade </w:t>
      </w:r>
      <w:r>
        <w:rPr>
          <w:rFonts w:ascii="Arial" w:hAnsi="Arial" w:cs="Arial"/>
          <w:color w:val="000000"/>
          <w:sz w:val="22"/>
          <w:szCs w:val="22"/>
          <w:lang w:eastAsia="en-US"/>
        </w:rPr>
        <w:t>with</w:t>
      </w:r>
      <w:r w:rsidRPr="005A378A">
        <w:rPr>
          <w:rFonts w:ascii="Arial" w:hAnsi="Arial" w:cs="Arial"/>
          <w:color w:val="000000"/>
          <w:sz w:val="22"/>
          <w:szCs w:val="22"/>
          <w:lang w:eastAsia="en-US"/>
        </w:rPr>
        <w:t xml:space="preserve"> the 2014 </w:t>
      </w:r>
      <w:r>
        <w:rPr>
          <w:rFonts w:ascii="Arial" w:hAnsi="Arial" w:cs="Arial"/>
          <w:color w:val="000000"/>
          <w:sz w:val="22"/>
          <w:szCs w:val="22"/>
          <w:lang w:eastAsia="en-US"/>
        </w:rPr>
        <w:t xml:space="preserve">CDS </w:t>
      </w:r>
      <w:r w:rsidRPr="005A378A">
        <w:rPr>
          <w:rFonts w:ascii="Arial" w:hAnsi="Arial" w:cs="Arial"/>
          <w:color w:val="000000"/>
          <w:sz w:val="22"/>
          <w:szCs w:val="22"/>
          <w:lang w:eastAsia="en-US"/>
        </w:rPr>
        <w:t xml:space="preserve">Definitions as standard. </w:t>
      </w:r>
      <w:r>
        <w:rPr>
          <w:rFonts w:ascii="Arial" w:hAnsi="Arial" w:cs="Arial"/>
          <w:color w:val="000000"/>
          <w:sz w:val="22"/>
          <w:szCs w:val="22"/>
          <w:lang w:eastAsia="en-US"/>
        </w:rPr>
        <w:t xml:space="preserve">For CDS </w:t>
      </w:r>
      <w:r>
        <w:rPr>
          <w:rFonts w:ascii="Arial" w:hAnsi="Arial" w:cs="Arial"/>
          <w:color w:val="000000"/>
          <w:sz w:val="22"/>
          <w:szCs w:val="22"/>
          <w:lang w:eastAsia="en-US"/>
        </w:rPr>
        <w:lastRenderedPageBreak/>
        <w:t>index series that were</w:t>
      </w:r>
      <w:r w:rsidRPr="005A378A">
        <w:rPr>
          <w:rFonts w:ascii="Arial" w:hAnsi="Arial" w:cs="Arial"/>
          <w:color w:val="000000"/>
          <w:sz w:val="22"/>
          <w:szCs w:val="22"/>
          <w:lang w:eastAsia="en-US"/>
        </w:rPr>
        <w:t xml:space="preserve"> launched prior to September 2014</w:t>
      </w:r>
      <w:r w:rsidRPr="004E7078">
        <w:rPr>
          <w:rFonts w:ascii="Arial" w:hAnsi="Arial" w:cs="Arial"/>
          <w:color w:val="000000"/>
          <w:sz w:val="22"/>
          <w:szCs w:val="22"/>
          <w:lang w:eastAsia="en-US"/>
        </w:rPr>
        <w:t xml:space="preserve"> </w:t>
      </w:r>
      <w:r>
        <w:rPr>
          <w:rFonts w:ascii="Arial" w:hAnsi="Arial" w:cs="Arial"/>
          <w:color w:val="000000"/>
          <w:sz w:val="22"/>
          <w:szCs w:val="22"/>
          <w:lang w:eastAsia="en-US"/>
        </w:rPr>
        <w:t>(“</w:t>
      </w:r>
      <w:r w:rsidRPr="004E7078">
        <w:rPr>
          <w:rFonts w:ascii="Arial" w:hAnsi="Arial" w:cs="Arial"/>
          <w:b/>
          <w:i/>
          <w:color w:val="000000"/>
          <w:sz w:val="22"/>
          <w:szCs w:val="22"/>
          <w:lang w:eastAsia="en-US"/>
        </w:rPr>
        <w:t>legacy CDS index series</w:t>
      </w:r>
      <w:r>
        <w:rPr>
          <w:rFonts w:ascii="Arial" w:hAnsi="Arial" w:cs="Arial"/>
          <w:color w:val="000000"/>
          <w:sz w:val="22"/>
          <w:szCs w:val="22"/>
          <w:lang w:eastAsia="en-US"/>
        </w:rPr>
        <w:t>”)</w:t>
      </w:r>
      <w:r w:rsidRPr="005A378A">
        <w:rPr>
          <w:rFonts w:ascii="Arial" w:hAnsi="Arial" w:cs="Arial"/>
          <w:color w:val="000000"/>
          <w:sz w:val="22"/>
          <w:szCs w:val="22"/>
          <w:lang w:eastAsia="en-US"/>
        </w:rPr>
        <w:t xml:space="preserve"> </w:t>
      </w:r>
      <w:r>
        <w:rPr>
          <w:rFonts w:ascii="Arial" w:hAnsi="Arial" w:cs="Arial"/>
          <w:color w:val="000000"/>
          <w:sz w:val="22"/>
          <w:szCs w:val="22"/>
          <w:lang w:eastAsia="en-US"/>
        </w:rPr>
        <w:t>counterparties can, by signing up to an ISDA protocol (the “</w:t>
      </w:r>
      <w:r w:rsidRPr="00DC63B7">
        <w:rPr>
          <w:rFonts w:ascii="Arial" w:hAnsi="Arial" w:cs="Arial"/>
          <w:b/>
          <w:i/>
          <w:color w:val="000000"/>
          <w:sz w:val="22"/>
          <w:szCs w:val="22"/>
          <w:lang w:eastAsia="en-US"/>
        </w:rPr>
        <w:t>Protocol</w:t>
      </w:r>
      <w:r>
        <w:rPr>
          <w:rFonts w:ascii="Arial" w:hAnsi="Arial" w:cs="Arial"/>
          <w:color w:val="000000"/>
          <w:sz w:val="22"/>
          <w:szCs w:val="22"/>
          <w:lang w:eastAsia="en-US"/>
        </w:rPr>
        <w:t>”),</w:t>
      </w:r>
      <w:r>
        <w:rPr>
          <w:rStyle w:val="FootnoteReference"/>
          <w:rFonts w:ascii="Arial" w:hAnsi="Arial"/>
          <w:color w:val="000000"/>
          <w:sz w:val="22"/>
          <w:szCs w:val="22"/>
          <w:lang w:eastAsia="en-US"/>
        </w:rPr>
        <w:footnoteReference w:id="14"/>
      </w:r>
      <w:r>
        <w:rPr>
          <w:rFonts w:ascii="Arial" w:hAnsi="Arial" w:cs="Arial"/>
          <w:color w:val="000000"/>
          <w:sz w:val="22"/>
          <w:szCs w:val="22"/>
          <w:lang w:eastAsia="en-US"/>
        </w:rPr>
        <w:t xml:space="preserve"> easily change their documentation to the new standards</w:t>
      </w:r>
      <w:r w:rsidRPr="005A378A">
        <w:rPr>
          <w:rFonts w:ascii="Arial" w:hAnsi="Arial" w:cs="Arial"/>
          <w:color w:val="000000"/>
          <w:sz w:val="22"/>
          <w:szCs w:val="22"/>
          <w:lang w:eastAsia="en-US"/>
        </w:rPr>
        <w:t xml:space="preserve"> </w:t>
      </w:r>
      <w:r>
        <w:rPr>
          <w:rFonts w:ascii="Arial" w:hAnsi="Arial" w:cs="Arial"/>
          <w:color w:val="000000"/>
          <w:sz w:val="22"/>
          <w:szCs w:val="22"/>
          <w:lang w:eastAsia="en-US"/>
        </w:rPr>
        <w:t>with the index basket following</w:t>
      </w:r>
      <w:r w:rsidRPr="005A378A">
        <w:rPr>
          <w:rFonts w:ascii="Arial" w:hAnsi="Arial" w:cs="Arial"/>
          <w:color w:val="000000"/>
          <w:sz w:val="22"/>
          <w:szCs w:val="22"/>
          <w:lang w:eastAsia="en-US"/>
        </w:rPr>
        <w:t xml:space="preserve"> the convention of the underlying constituent single names. </w:t>
      </w:r>
      <w:r>
        <w:rPr>
          <w:rFonts w:ascii="Arial" w:hAnsi="Arial" w:cs="Arial"/>
          <w:color w:val="000000"/>
          <w:sz w:val="22"/>
          <w:szCs w:val="22"/>
          <w:lang w:eastAsia="en-US"/>
        </w:rPr>
        <w:t>Depending on the nature of the index</w:t>
      </w:r>
      <w:r w:rsidRPr="0064051E">
        <w:rPr>
          <w:rFonts w:ascii="Arial" w:hAnsi="Arial" w:cs="Arial"/>
          <w:color w:val="000000"/>
          <w:sz w:val="22"/>
          <w:szCs w:val="22"/>
          <w:lang w:eastAsia="en-US"/>
        </w:rPr>
        <w:t xml:space="preserve"> </w:t>
      </w:r>
      <w:r w:rsidRPr="00BE4BB8">
        <w:rPr>
          <w:rFonts w:ascii="Arial" w:hAnsi="Arial" w:cs="Arial"/>
          <w:color w:val="000000"/>
          <w:sz w:val="22"/>
          <w:szCs w:val="22"/>
          <w:lang w:eastAsia="en-US"/>
        </w:rPr>
        <w:t>adherence to the Protocol</w:t>
      </w:r>
      <w:r>
        <w:rPr>
          <w:rFonts w:ascii="Arial" w:hAnsi="Arial" w:cs="Arial"/>
          <w:color w:val="000000"/>
          <w:sz w:val="22"/>
          <w:szCs w:val="22"/>
          <w:lang w:eastAsia="en-US"/>
        </w:rPr>
        <w:t xml:space="preserve"> will result in documentation for the entire index basket moving </w:t>
      </w:r>
      <w:r w:rsidRPr="00BE4BB8">
        <w:rPr>
          <w:rFonts w:ascii="Arial" w:hAnsi="Arial" w:cs="Arial"/>
          <w:color w:val="000000"/>
          <w:sz w:val="22"/>
          <w:szCs w:val="22"/>
          <w:lang w:eastAsia="en-US"/>
        </w:rPr>
        <w:t xml:space="preserve">to </w:t>
      </w:r>
      <w:r>
        <w:rPr>
          <w:rFonts w:ascii="Arial" w:hAnsi="Arial" w:cs="Arial"/>
          <w:color w:val="000000"/>
          <w:sz w:val="22"/>
          <w:szCs w:val="22"/>
          <w:lang w:eastAsia="en-US"/>
        </w:rPr>
        <w:t xml:space="preserve">the </w:t>
      </w:r>
      <w:r w:rsidRPr="00BE4BB8">
        <w:rPr>
          <w:rFonts w:ascii="Arial" w:hAnsi="Arial" w:cs="Arial"/>
          <w:color w:val="000000"/>
          <w:sz w:val="22"/>
          <w:szCs w:val="22"/>
          <w:lang w:eastAsia="en-US"/>
        </w:rPr>
        <w:t>2014</w:t>
      </w:r>
      <w:r>
        <w:rPr>
          <w:rFonts w:ascii="Arial" w:hAnsi="Arial" w:cs="Arial"/>
          <w:color w:val="000000"/>
          <w:sz w:val="22"/>
          <w:szCs w:val="22"/>
          <w:lang w:eastAsia="en-US"/>
        </w:rPr>
        <w:t xml:space="preserve"> Definitions, for the entire basket</w:t>
      </w:r>
      <w:r w:rsidRPr="00BE4BB8">
        <w:rPr>
          <w:rFonts w:ascii="Arial" w:hAnsi="Arial" w:cs="Arial"/>
          <w:color w:val="000000"/>
          <w:sz w:val="22"/>
          <w:szCs w:val="22"/>
          <w:lang w:eastAsia="en-US"/>
        </w:rPr>
        <w:t xml:space="preserve"> remain</w:t>
      </w:r>
      <w:r>
        <w:rPr>
          <w:rFonts w:ascii="Arial" w:hAnsi="Arial" w:cs="Arial"/>
          <w:color w:val="000000"/>
          <w:sz w:val="22"/>
          <w:szCs w:val="22"/>
          <w:lang w:eastAsia="en-US"/>
        </w:rPr>
        <w:t>ing</w:t>
      </w:r>
      <w:r w:rsidRPr="00BE4BB8">
        <w:rPr>
          <w:rFonts w:ascii="Arial" w:hAnsi="Arial" w:cs="Arial"/>
          <w:color w:val="000000"/>
          <w:sz w:val="22"/>
          <w:szCs w:val="22"/>
          <w:lang w:eastAsia="en-US"/>
        </w:rPr>
        <w:t xml:space="preserve"> on the ISDA 2003 Definitions</w:t>
      </w:r>
      <w:r>
        <w:rPr>
          <w:rFonts w:ascii="Arial" w:hAnsi="Arial" w:cs="Arial"/>
          <w:color w:val="000000"/>
          <w:sz w:val="22"/>
          <w:szCs w:val="22"/>
          <w:lang w:eastAsia="en-US"/>
        </w:rPr>
        <w:t>,</w:t>
      </w:r>
      <w:r>
        <w:rPr>
          <w:rStyle w:val="FootnoteReference"/>
          <w:rFonts w:ascii="Arial" w:hAnsi="Arial"/>
          <w:color w:val="000000"/>
          <w:sz w:val="22"/>
          <w:szCs w:val="22"/>
          <w:lang w:eastAsia="en-US"/>
        </w:rPr>
        <w:footnoteReference w:id="15"/>
      </w:r>
      <w:r>
        <w:rPr>
          <w:rFonts w:ascii="Arial" w:hAnsi="Arial" w:cs="Arial"/>
          <w:color w:val="000000"/>
          <w:sz w:val="22"/>
          <w:szCs w:val="22"/>
          <w:lang w:eastAsia="en-US"/>
        </w:rPr>
        <w:t xml:space="preserve"> or in a </w:t>
      </w:r>
      <w:r w:rsidRPr="00BE4BB8">
        <w:rPr>
          <w:rFonts w:ascii="Arial" w:hAnsi="Arial" w:cs="Arial"/>
          <w:color w:val="000000"/>
          <w:sz w:val="22"/>
          <w:szCs w:val="22"/>
          <w:lang w:eastAsia="en-US"/>
        </w:rPr>
        <w:t>“mixed basket</w:t>
      </w:r>
      <w:r>
        <w:rPr>
          <w:rFonts w:ascii="Arial" w:hAnsi="Arial" w:cs="Arial"/>
          <w:color w:val="000000"/>
          <w:sz w:val="22"/>
          <w:szCs w:val="22"/>
          <w:lang w:eastAsia="en-US"/>
        </w:rPr>
        <w:t>.</w:t>
      </w:r>
      <w:r>
        <w:rPr>
          <w:rStyle w:val="FootnoteReference"/>
          <w:rFonts w:ascii="Arial" w:hAnsi="Arial"/>
          <w:color w:val="000000"/>
          <w:sz w:val="22"/>
          <w:szCs w:val="22"/>
          <w:lang w:eastAsia="en-US"/>
        </w:rPr>
        <w:footnoteReference w:id="16"/>
      </w:r>
      <w:r>
        <w:rPr>
          <w:rFonts w:ascii="Arial" w:hAnsi="Arial" w:cs="Arial"/>
          <w:color w:val="000000"/>
          <w:sz w:val="22"/>
          <w:szCs w:val="22"/>
          <w:lang w:eastAsia="en-US"/>
        </w:rPr>
        <w:t xml:space="preserve"> However, i</w:t>
      </w:r>
      <w:r w:rsidRPr="00BE4BB8">
        <w:rPr>
          <w:rFonts w:ascii="Arial" w:hAnsi="Arial" w:cs="Arial"/>
          <w:color w:val="000000"/>
          <w:sz w:val="22"/>
          <w:szCs w:val="22"/>
          <w:lang w:eastAsia="en-US"/>
        </w:rPr>
        <w:t xml:space="preserve">n all </w:t>
      </w:r>
      <w:r>
        <w:rPr>
          <w:rFonts w:ascii="Arial" w:hAnsi="Arial" w:cs="Arial"/>
          <w:color w:val="000000"/>
          <w:sz w:val="22"/>
          <w:szCs w:val="22"/>
          <w:lang w:eastAsia="en-US"/>
        </w:rPr>
        <w:t>three</w:t>
      </w:r>
      <w:r w:rsidRPr="00BE4BB8">
        <w:rPr>
          <w:rFonts w:ascii="Arial" w:hAnsi="Arial" w:cs="Arial"/>
          <w:color w:val="000000"/>
          <w:sz w:val="22"/>
          <w:szCs w:val="22"/>
          <w:lang w:eastAsia="en-US"/>
        </w:rPr>
        <w:t xml:space="preserve"> instances </w:t>
      </w:r>
      <w:r>
        <w:rPr>
          <w:rFonts w:ascii="Arial" w:hAnsi="Arial" w:cs="Arial"/>
          <w:color w:val="000000"/>
          <w:sz w:val="22"/>
          <w:szCs w:val="22"/>
          <w:lang w:eastAsia="en-US"/>
        </w:rPr>
        <w:t>there will be</w:t>
      </w:r>
      <w:r w:rsidRPr="00BE4BB8">
        <w:rPr>
          <w:rFonts w:ascii="Arial" w:hAnsi="Arial" w:cs="Arial"/>
          <w:color w:val="000000"/>
          <w:sz w:val="22"/>
          <w:szCs w:val="22"/>
          <w:lang w:eastAsia="en-US"/>
        </w:rPr>
        <w:t xml:space="preserve"> one </w:t>
      </w:r>
      <w:r>
        <w:rPr>
          <w:rFonts w:ascii="Arial" w:hAnsi="Arial" w:cs="Arial"/>
          <w:color w:val="000000"/>
          <w:sz w:val="22"/>
          <w:szCs w:val="22"/>
          <w:lang w:eastAsia="en-US"/>
        </w:rPr>
        <w:t>“</w:t>
      </w:r>
      <w:r w:rsidRPr="00BE4BB8">
        <w:rPr>
          <w:rFonts w:ascii="Arial" w:hAnsi="Arial" w:cs="Arial"/>
          <w:color w:val="000000"/>
          <w:sz w:val="22"/>
          <w:szCs w:val="22"/>
          <w:lang w:eastAsia="en-US"/>
        </w:rPr>
        <w:t>standard</w:t>
      </w:r>
      <w:r>
        <w:rPr>
          <w:rFonts w:ascii="Arial" w:hAnsi="Arial" w:cs="Arial"/>
          <w:color w:val="000000"/>
          <w:sz w:val="22"/>
          <w:szCs w:val="22"/>
          <w:lang w:eastAsia="en-US"/>
        </w:rPr>
        <w:t>”</w:t>
      </w:r>
      <w:r w:rsidRPr="00BE4BB8">
        <w:rPr>
          <w:rFonts w:ascii="Arial" w:hAnsi="Arial" w:cs="Arial"/>
          <w:color w:val="000000"/>
          <w:sz w:val="22"/>
          <w:szCs w:val="22"/>
          <w:lang w:eastAsia="en-US"/>
        </w:rPr>
        <w:t xml:space="preserve"> index contract for each </w:t>
      </w:r>
      <w:r>
        <w:rPr>
          <w:rFonts w:ascii="Arial" w:hAnsi="Arial" w:cs="Arial"/>
          <w:color w:val="000000"/>
          <w:sz w:val="22"/>
          <w:szCs w:val="22"/>
          <w:lang w:eastAsia="en-US"/>
        </w:rPr>
        <w:t xml:space="preserve">legacy </w:t>
      </w:r>
      <w:r w:rsidRPr="00BE4BB8">
        <w:rPr>
          <w:rFonts w:ascii="Arial" w:hAnsi="Arial" w:cs="Arial"/>
          <w:color w:val="000000"/>
          <w:sz w:val="22"/>
          <w:szCs w:val="22"/>
          <w:lang w:eastAsia="en-US"/>
        </w:rPr>
        <w:t xml:space="preserve">index </w:t>
      </w:r>
      <w:r>
        <w:rPr>
          <w:rFonts w:ascii="Arial" w:hAnsi="Arial" w:cs="Arial"/>
          <w:color w:val="000000"/>
          <w:sz w:val="22"/>
          <w:szCs w:val="22"/>
          <w:lang w:eastAsia="en-US"/>
        </w:rPr>
        <w:t>transaction</w:t>
      </w:r>
      <w:r w:rsidRPr="00BE4BB8">
        <w:rPr>
          <w:rFonts w:ascii="Arial" w:hAnsi="Arial" w:cs="Arial"/>
          <w:color w:val="000000"/>
          <w:sz w:val="22"/>
          <w:szCs w:val="22"/>
          <w:lang w:eastAsia="en-US"/>
        </w:rPr>
        <w:t xml:space="preserve"> where both counterparties signed the protocol.</w:t>
      </w:r>
    </w:p>
    <w:p w14:paraId="428810D6" w14:textId="497C5BD1" w:rsidR="00E6294A" w:rsidRDefault="00E6294A" w:rsidP="00E6294A">
      <w:pPr>
        <w:rPr>
          <w:rFonts w:ascii="Arial" w:hAnsi="Arial" w:cs="Arial"/>
          <w:b/>
          <w:color w:val="000000"/>
          <w:sz w:val="22"/>
          <w:szCs w:val="22"/>
          <w:lang w:eastAsia="en-US"/>
        </w:rPr>
      </w:pPr>
    </w:p>
    <w:p w14:paraId="78FAA8C5" w14:textId="77777777" w:rsidR="00E6294A" w:rsidRPr="00164E2F" w:rsidRDefault="00E6294A" w:rsidP="00E6294A">
      <w:pPr>
        <w:jc w:val="both"/>
        <w:rPr>
          <w:rFonts w:ascii="Arial" w:hAnsi="Arial" w:cs="Arial"/>
          <w:color w:val="000000"/>
          <w:sz w:val="22"/>
          <w:szCs w:val="22"/>
          <w:lang w:eastAsia="en-US"/>
        </w:rPr>
      </w:pPr>
      <w:r w:rsidRPr="00E853AA">
        <w:rPr>
          <w:rFonts w:ascii="Arial" w:hAnsi="Arial" w:cs="Arial"/>
          <w:b/>
          <w:color w:val="000000"/>
          <w:sz w:val="22"/>
          <w:szCs w:val="22"/>
          <w:lang w:eastAsia="en-US"/>
        </w:rPr>
        <w:t>Table 1: Documentation standards for major iT</w:t>
      </w:r>
      <w:r>
        <w:rPr>
          <w:rFonts w:ascii="Arial" w:hAnsi="Arial" w:cs="Arial"/>
          <w:b/>
          <w:color w:val="000000"/>
          <w:sz w:val="22"/>
          <w:szCs w:val="22"/>
          <w:lang w:eastAsia="en-US"/>
        </w:rPr>
        <w:t>raxx</w:t>
      </w:r>
      <w:r w:rsidRPr="00E853AA">
        <w:rPr>
          <w:rFonts w:ascii="Arial" w:hAnsi="Arial" w:cs="Arial"/>
          <w:b/>
          <w:color w:val="000000"/>
          <w:sz w:val="22"/>
          <w:szCs w:val="22"/>
          <w:lang w:eastAsia="en-US"/>
        </w:rPr>
        <w:t xml:space="preserve"> </w:t>
      </w:r>
      <w:r>
        <w:rPr>
          <w:rFonts w:ascii="Arial" w:hAnsi="Arial" w:cs="Arial"/>
          <w:b/>
          <w:color w:val="000000"/>
          <w:sz w:val="22"/>
          <w:szCs w:val="22"/>
          <w:lang w:eastAsia="en-US"/>
        </w:rPr>
        <w:t xml:space="preserve">CDS </w:t>
      </w:r>
      <w:r w:rsidRPr="00E853AA">
        <w:rPr>
          <w:rFonts w:ascii="Arial" w:hAnsi="Arial" w:cs="Arial"/>
          <w:b/>
          <w:color w:val="000000"/>
          <w:sz w:val="22"/>
          <w:szCs w:val="22"/>
          <w:lang w:eastAsia="en-US"/>
        </w:rPr>
        <w:t>indices</w:t>
      </w:r>
    </w:p>
    <w:tbl>
      <w:tblPr>
        <w:tblStyle w:val="TableGrid"/>
        <w:tblW w:w="0" w:type="auto"/>
        <w:tblLook w:val="04A0" w:firstRow="1" w:lastRow="0" w:firstColumn="1" w:lastColumn="0" w:noHBand="0" w:noVBand="1"/>
      </w:tblPr>
      <w:tblGrid>
        <w:gridCol w:w="2759"/>
        <w:gridCol w:w="1460"/>
        <w:gridCol w:w="1701"/>
        <w:gridCol w:w="2693"/>
      </w:tblGrid>
      <w:tr w:rsidR="00E6294A" w:rsidRPr="00600AEC" w14:paraId="6A33A69D" w14:textId="77777777" w:rsidTr="00143DA4">
        <w:tc>
          <w:tcPr>
            <w:tcW w:w="2759" w:type="dxa"/>
          </w:tcPr>
          <w:p w14:paraId="43299543" w14:textId="77777777" w:rsidR="00E6294A" w:rsidRPr="005D0A03" w:rsidRDefault="00E6294A" w:rsidP="00143DA4">
            <w:pPr>
              <w:jc w:val="both"/>
              <w:rPr>
                <w:rFonts w:ascii="Arial" w:hAnsi="Arial" w:cs="Arial"/>
                <w:b/>
                <w:color w:val="000000"/>
                <w:sz w:val="22"/>
                <w:szCs w:val="22"/>
                <w:lang w:eastAsia="en-US"/>
              </w:rPr>
            </w:pPr>
          </w:p>
        </w:tc>
        <w:tc>
          <w:tcPr>
            <w:tcW w:w="3161" w:type="dxa"/>
            <w:gridSpan w:val="2"/>
          </w:tcPr>
          <w:p w14:paraId="2D500362" w14:textId="77777777" w:rsidR="00E6294A" w:rsidRPr="005D0A03" w:rsidRDefault="00E6294A" w:rsidP="00143DA4">
            <w:pPr>
              <w:jc w:val="center"/>
              <w:rPr>
                <w:rFonts w:ascii="Arial" w:hAnsi="Arial" w:cs="Arial"/>
                <w:b/>
                <w:color w:val="000000"/>
                <w:sz w:val="22"/>
                <w:szCs w:val="22"/>
                <w:lang w:eastAsia="en-US"/>
              </w:rPr>
            </w:pPr>
            <w:r>
              <w:rPr>
                <w:rFonts w:ascii="Arial" w:hAnsi="Arial" w:cs="Arial"/>
                <w:b/>
                <w:color w:val="000000"/>
                <w:sz w:val="22"/>
                <w:szCs w:val="22"/>
                <w:lang w:eastAsia="en-US"/>
              </w:rPr>
              <w:t>Legacy CDS index series</w:t>
            </w:r>
            <w:r>
              <w:rPr>
                <w:rStyle w:val="FootnoteReference"/>
                <w:rFonts w:ascii="Arial" w:hAnsi="Arial"/>
                <w:b/>
                <w:color w:val="000000"/>
                <w:sz w:val="22"/>
                <w:szCs w:val="22"/>
                <w:lang w:eastAsia="en-US"/>
              </w:rPr>
              <w:footnoteReference w:id="17"/>
            </w:r>
          </w:p>
        </w:tc>
        <w:tc>
          <w:tcPr>
            <w:tcW w:w="2693" w:type="dxa"/>
          </w:tcPr>
          <w:p w14:paraId="719E8A7C" w14:textId="77777777" w:rsidR="00E6294A" w:rsidRPr="005D0A03" w:rsidRDefault="00E6294A" w:rsidP="00143DA4">
            <w:pPr>
              <w:jc w:val="center"/>
              <w:rPr>
                <w:rFonts w:ascii="Arial" w:hAnsi="Arial" w:cs="Arial"/>
                <w:b/>
                <w:color w:val="000000"/>
                <w:sz w:val="22"/>
                <w:szCs w:val="22"/>
                <w:lang w:eastAsia="en-US"/>
              </w:rPr>
            </w:pPr>
            <w:r>
              <w:rPr>
                <w:rFonts w:ascii="Arial" w:hAnsi="Arial" w:cs="Arial"/>
                <w:b/>
                <w:color w:val="000000"/>
                <w:sz w:val="22"/>
                <w:szCs w:val="22"/>
                <w:lang w:eastAsia="en-US"/>
              </w:rPr>
              <w:t>New CDS index series</w:t>
            </w:r>
            <w:r>
              <w:rPr>
                <w:rStyle w:val="FootnoteReference"/>
                <w:rFonts w:ascii="Arial" w:hAnsi="Arial"/>
                <w:b/>
                <w:color w:val="000000"/>
                <w:sz w:val="22"/>
                <w:szCs w:val="22"/>
                <w:lang w:eastAsia="en-US"/>
              </w:rPr>
              <w:footnoteReference w:id="18"/>
            </w:r>
          </w:p>
        </w:tc>
      </w:tr>
      <w:tr w:rsidR="00E6294A" w:rsidRPr="00600AEC" w14:paraId="35426D65" w14:textId="77777777" w:rsidTr="00143DA4">
        <w:tc>
          <w:tcPr>
            <w:tcW w:w="2759" w:type="dxa"/>
          </w:tcPr>
          <w:p w14:paraId="5A8BC0B5" w14:textId="77777777" w:rsidR="00E6294A" w:rsidRPr="005D0A03" w:rsidRDefault="00E6294A" w:rsidP="00143DA4">
            <w:pPr>
              <w:jc w:val="both"/>
              <w:rPr>
                <w:rFonts w:ascii="Arial" w:hAnsi="Arial" w:cs="Arial"/>
                <w:b/>
                <w:color w:val="000000"/>
                <w:sz w:val="22"/>
                <w:szCs w:val="22"/>
                <w:lang w:eastAsia="en-US"/>
              </w:rPr>
            </w:pPr>
          </w:p>
        </w:tc>
        <w:tc>
          <w:tcPr>
            <w:tcW w:w="1460" w:type="dxa"/>
          </w:tcPr>
          <w:p w14:paraId="3E6CBA45" w14:textId="77777777" w:rsidR="00E6294A" w:rsidRPr="005D0A03" w:rsidRDefault="00E6294A" w:rsidP="00143DA4">
            <w:pPr>
              <w:jc w:val="center"/>
              <w:rPr>
                <w:rFonts w:ascii="Arial" w:hAnsi="Arial" w:cs="Arial"/>
                <w:b/>
                <w:color w:val="000000"/>
                <w:sz w:val="22"/>
                <w:szCs w:val="22"/>
                <w:lang w:eastAsia="en-US"/>
              </w:rPr>
            </w:pPr>
            <w:r w:rsidRPr="005D0A03">
              <w:rPr>
                <w:rFonts w:ascii="Arial" w:hAnsi="Arial" w:cs="Arial"/>
                <w:b/>
                <w:color w:val="000000"/>
                <w:sz w:val="22"/>
                <w:szCs w:val="22"/>
                <w:lang w:eastAsia="en-US"/>
              </w:rPr>
              <w:t>Old</w:t>
            </w:r>
          </w:p>
        </w:tc>
        <w:tc>
          <w:tcPr>
            <w:tcW w:w="1701" w:type="dxa"/>
          </w:tcPr>
          <w:p w14:paraId="6C32ACB9" w14:textId="77777777" w:rsidR="00E6294A" w:rsidRPr="005D0A03" w:rsidRDefault="00E6294A" w:rsidP="00143DA4">
            <w:pPr>
              <w:jc w:val="center"/>
              <w:rPr>
                <w:rFonts w:ascii="Arial" w:hAnsi="Arial" w:cs="Arial"/>
                <w:b/>
                <w:color w:val="000000"/>
                <w:sz w:val="22"/>
                <w:szCs w:val="22"/>
                <w:lang w:eastAsia="en-US"/>
              </w:rPr>
            </w:pPr>
            <w:r w:rsidRPr="005D0A03">
              <w:rPr>
                <w:rFonts w:ascii="Arial" w:hAnsi="Arial" w:cs="Arial"/>
                <w:b/>
                <w:color w:val="000000"/>
                <w:sz w:val="22"/>
                <w:szCs w:val="22"/>
                <w:lang w:eastAsia="en-US"/>
              </w:rPr>
              <w:t>New</w:t>
            </w:r>
            <w:r>
              <w:rPr>
                <w:rStyle w:val="FootnoteReference"/>
                <w:rFonts w:ascii="Arial" w:hAnsi="Arial"/>
                <w:b/>
                <w:color w:val="000000"/>
                <w:sz w:val="22"/>
                <w:szCs w:val="22"/>
                <w:lang w:eastAsia="en-US"/>
              </w:rPr>
              <w:footnoteReference w:id="19"/>
            </w:r>
            <w:r w:rsidRPr="005D0A03">
              <w:rPr>
                <w:rFonts w:ascii="Arial" w:hAnsi="Arial" w:cs="Arial"/>
                <w:b/>
                <w:color w:val="000000"/>
                <w:sz w:val="22"/>
                <w:szCs w:val="22"/>
                <w:lang w:eastAsia="en-US"/>
              </w:rPr>
              <w:t xml:space="preserve"> </w:t>
            </w:r>
          </w:p>
        </w:tc>
        <w:tc>
          <w:tcPr>
            <w:tcW w:w="2693" w:type="dxa"/>
          </w:tcPr>
          <w:p w14:paraId="6F19363B" w14:textId="77777777" w:rsidR="00E6294A" w:rsidRPr="005D0A03" w:rsidRDefault="00E6294A" w:rsidP="00143DA4">
            <w:pPr>
              <w:jc w:val="both"/>
              <w:rPr>
                <w:rFonts w:ascii="Arial" w:hAnsi="Arial" w:cs="Arial"/>
                <w:b/>
                <w:color w:val="000000"/>
                <w:sz w:val="22"/>
                <w:szCs w:val="22"/>
                <w:lang w:eastAsia="en-US"/>
              </w:rPr>
            </w:pPr>
          </w:p>
        </w:tc>
      </w:tr>
      <w:tr w:rsidR="00E6294A" w14:paraId="3CC0A891" w14:textId="77777777" w:rsidTr="00143DA4">
        <w:tc>
          <w:tcPr>
            <w:tcW w:w="2759" w:type="dxa"/>
          </w:tcPr>
          <w:p w14:paraId="506B8E30" w14:textId="77777777" w:rsidR="00E6294A" w:rsidRDefault="00E6294A" w:rsidP="00143DA4">
            <w:pPr>
              <w:jc w:val="both"/>
              <w:rPr>
                <w:rFonts w:ascii="Arial" w:hAnsi="Arial" w:cs="Arial"/>
                <w:color w:val="000000"/>
                <w:sz w:val="22"/>
                <w:szCs w:val="22"/>
                <w:lang w:eastAsia="en-US"/>
              </w:rPr>
            </w:pPr>
            <w:r>
              <w:rPr>
                <w:rFonts w:ascii="Arial" w:hAnsi="Arial" w:cs="Arial"/>
                <w:color w:val="000000"/>
                <w:sz w:val="22"/>
                <w:szCs w:val="22"/>
                <w:lang w:eastAsia="en-US"/>
              </w:rPr>
              <w:t>iTraxx Europe</w:t>
            </w:r>
          </w:p>
        </w:tc>
        <w:tc>
          <w:tcPr>
            <w:tcW w:w="1460" w:type="dxa"/>
          </w:tcPr>
          <w:p w14:paraId="493AA0C0" w14:textId="77777777" w:rsidR="00E6294A" w:rsidRDefault="00E6294A" w:rsidP="00143DA4">
            <w:pPr>
              <w:jc w:val="center"/>
              <w:rPr>
                <w:rFonts w:ascii="Arial" w:hAnsi="Arial" w:cs="Arial"/>
                <w:color w:val="000000"/>
                <w:sz w:val="22"/>
                <w:szCs w:val="22"/>
                <w:lang w:eastAsia="en-US"/>
              </w:rPr>
            </w:pPr>
            <w:r>
              <w:rPr>
                <w:rFonts w:ascii="Arial" w:hAnsi="Arial" w:cs="Arial"/>
                <w:color w:val="000000"/>
                <w:sz w:val="22"/>
                <w:szCs w:val="22"/>
                <w:lang w:eastAsia="en-US"/>
              </w:rPr>
              <w:t>2003</w:t>
            </w:r>
          </w:p>
        </w:tc>
        <w:tc>
          <w:tcPr>
            <w:tcW w:w="1701" w:type="dxa"/>
          </w:tcPr>
          <w:p w14:paraId="6935D35E" w14:textId="77777777" w:rsidR="00E6294A" w:rsidRDefault="00E6294A" w:rsidP="00143DA4">
            <w:pPr>
              <w:jc w:val="center"/>
              <w:rPr>
                <w:rFonts w:ascii="Arial" w:hAnsi="Arial" w:cs="Arial"/>
                <w:color w:val="000000"/>
                <w:sz w:val="22"/>
                <w:szCs w:val="22"/>
                <w:lang w:eastAsia="en-US"/>
              </w:rPr>
            </w:pPr>
            <w:r>
              <w:rPr>
                <w:rFonts w:ascii="Arial" w:hAnsi="Arial" w:cs="Arial"/>
                <w:color w:val="000000"/>
                <w:sz w:val="22"/>
                <w:szCs w:val="22"/>
                <w:lang w:eastAsia="en-US"/>
              </w:rPr>
              <w:t>Mixed</w:t>
            </w:r>
            <w:r>
              <w:rPr>
                <w:rStyle w:val="FootnoteReference"/>
                <w:rFonts w:ascii="Arial" w:hAnsi="Arial"/>
                <w:color w:val="000000"/>
                <w:sz w:val="22"/>
                <w:szCs w:val="22"/>
                <w:lang w:eastAsia="en-US"/>
              </w:rPr>
              <w:footnoteReference w:id="20"/>
            </w:r>
          </w:p>
        </w:tc>
        <w:tc>
          <w:tcPr>
            <w:tcW w:w="2693" w:type="dxa"/>
          </w:tcPr>
          <w:p w14:paraId="50FAB362" w14:textId="77777777" w:rsidR="00E6294A" w:rsidRDefault="00E6294A" w:rsidP="00143DA4">
            <w:pPr>
              <w:jc w:val="center"/>
              <w:rPr>
                <w:rFonts w:ascii="Arial" w:hAnsi="Arial" w:cs="Arial"/>
                <w:color w:val="000000"/>
                <w:sz w:val="22"/>
                <w:szCs w:val="22"/>
                <w:lang w:eastAsia="en-US"/>
              </w:rPr>
            </w:pPr>
            <w:r>
              <w:rPr>
                <w:rFonts w:ascii="Arial" w:hAnsi="Arial" w:cs="Arial"/>
                <w:color w:val="000000"/>
                <w:sz w:val="22"/>
                <w:szCs w:val="22"/>
                <w:lang w:eastAsia="en-US"/>
              </w:rPr>
              <w:t>2014</w:t>
            </w:r>
          </w:p>
        </w:tc>
      </w:tr>
      <w:tr w:rsidR="00E6294A" w14:paraId="7422D190" w14:textId="77777777" w:rsidTr="00143DA4">
        <w:tc>
          <w:tcPr>
            <w:tcW w:w="2759" w:type="dxa"/>
          </w:tcPr>
          <w:p w14:paraId="460FA714" w14:textId="77777777" w:rsidR="00E6294A" w:rsidRDefault="00E6294A" w:rsidP="00143DA4">
            <w:pPr>
              <w:jc w:val="both"/>
              <w:rPr>
                <w:rFonts w:ascii="Arial" w:hAnsi="Arial" w:cs="Arial"/>
                <w:color w:val="000000"/>
                <w:sz w:val="22"/>
                <w:szCs w:val="22"/>
                <w:lang w:eastAsia="en-US"/>
              </w:rPr>
            </w:pPr>
            <w:r>
              <w:rPr>
                <w:rFonts w:ascii="Arial" w:hAnsi="Arial" w:cs="Arial"/>
                <w:color w:val="000000"/>
                <w:sz w:val="22"/>
                <w:szCs w:val="22"/>
                <w:lang w:eastAsia="en-US"/>
              </w:rPr>
              <w:t>iTraxx Crossover</w:t>
            </w:r>
          </w:p>
        </w:tc>
        <w:tc>
          <w:tcPr>
            <w:tcW w:w="1460" w:type="dxa"/>
          </w:tcPr>
          <w:p w14:paraId="61899363" w14:textId="77777777" w:rsidR="00E6294A" w:rsidRDefault="00E6294A" w:rsidP="00143DA4">
            <w:pPr>
              <w:jc w:val="center"/>
              <w:rPr>
                <w:rFonts w:ascii="Arial" w:hAnsi="Arial" w:cs="Arial"/>
                <w:color w:val="000000"/>
                <w:sz w:val="22"/>
                <w:szCs w:val="22"/>
                <w:lang w:eastAsia="en-US"/>
              </w:rPr>
            </w:pPr>
            <w:r>
              <w:rPr>
                <w:rFonts w:ascii="Arial" w:hAnsi="Arial" w:cs="Arial"/>
                <w:color w:val="000000"/>
                <w:sz w:val="22"/>
                <w:szCs w:val="22"/>
                <w:lang w:eastAsia="en-US"/>
              </w:rPr>
              <w:t>2003</w:t>
            </w:r>
          </w:p>
        </w:tc>
        <w:tc>
          <w:tcPr>
            <w:tcW w:w="1701" w:type="dxa"/>
          </w:tcPr>
          <w:p w14:paraId="75E83718" w14:textId="77777777" w:rsidR="00E6294A" w:rsidRDefault="00E6294A" w:rsidP="00143DA4">
            <w:pPr>
              <w:jc w:val="center"/>
              <w:rPr>
                <w:rFonts w:ascii="Arial" w:hAnsi="Arial" w:cs="Arial"/>
                <w:color w:val="000000"/>
                <w:sz w:val="22"/>
                <w:szCs w:val="22"/>
                <w:lang w:eastAsia="en-US"/>
              </w:rPr>
            </w:pPr>
            <w:r>
              <w:rPr>
                <w:rFonts w:ascii="Arial" w:hAnsi="Arial" w:cs="Arial"/>
                <w:color w:val="000000"/>
                <w:sz w:val="22"/>
                <w:szCs w:val="22"/>
                <w:lang w:eastAsia="en-US"/>
              </w:rPr>
              <w:t>Mixed</w:t>
            </w:r>
            <w:r>
              <w:rPr>
                <w:rStyle w:val="FootnoteReference"/>
                <w:rFonts w:ascii="Arial" w:hAnsi="Arial"/>
                <w:color w:val="000000"/>
                <w:sz w:val="22"/>
                <w:szCs w:val="22"/>
                <w:lang w:eastAsia="en-US"/>
              </w:rPr>
              <w:footnoteReference w:id="21"/>
            </w:r>
          </w:p>
        </w:tc>
        <w:tc>
          <w:tcPr>
            <w:tcW w:w="2693" w:type="dxa"/>
          </w:tcPr>
          <w:p w14:paraId="689696C4" w14:textId="77777777" w:rsidR="00E6294A" w:rsidRDefault="00E6294A" w:rsidP="00143DA4">
            <w:pPr>
              <w:jc w:val="center"/>
              <w:rPr>
                <w:rFonts w:ascii="Arial" w:hAnsi="Arial" w:cs="Arial"/>
                <w:color w:val="000000"/>
                <w:sz w:val="22"/>
                <w:szCs w:val="22"/>
                <w:lang w:eastAsia="en-US"/>
              </w:rPr>
            </w:pPr>
            <w:r>
              <w:rPr>
                <w:rFonts w:ascii="Arial" w:hAnsi="Arial" w:cs="Arial"/>
                <w:color w:val="000000"/>
                <w:sz w:val="22"/>
                <w:szCs w:val="22"/>
                <w:lang w:eastAsia="en-US"/>
              </w:rPr>
              <w:t>2014</w:t>
            </w:r>
          </w:p>
        </w:tc>
      </w:tr>
      <w:tr w:rsidR="00E6294A" w14:paraId="20174CD5" w14:textId="77777777" w:rsidTr="00143DA4">
        <w:tc>
          <w:tcPr>
            <w:tcW w:w="2759" w:type="dxa"/>
          </w:tcPr>
          <w:p w14:paraId="76CE84E2" w14:textId="77777777" w:rsidR="00E6294A" w:rsidRDefault="00E6294A" w:rsidP="00143DA4">
            <w:pPr>
              <w:jc w:val="both"/>
              <w:rPr>
                <w:rFonts w:ascii="Arial" w:hAnsi="Arial" w:cs="Arial"/>
                <w:color w:val="000000"/>
                <w:sz w:val="22"/>
                <w:szCs w:val="22"/>
                <w:lang w:eastAsia="en-US"/>
              </w:rPr>
            </w:pPr>
            <w:r>
              <w:rPr>
                <w:rFonts w:ascii="Arial" w:hAnsi="Arial" w:cs="Arial"/>
                <w:color w:val="000000"/>
                <w:sz w:val="22"/>
                <w:szCs w:val="22"/>
                <w:lang w:eastAsia="en-US"/>
              </w:rPr>
              <w:t xml:space="preserve">iTraxx </w:t>
            </w:r>
            <w:proofErr w:type="spellStart"/>
            <w:r>
              <w:rPr>
                <w:rFonts w:ascii="Arial" w:hAnsi="Arial" w:cs="Arial"/>
                <w:color w:val="000000"/>
                <w:sz w:val="22"/>
                <w:szCs w:val="22"/>
                <w:lang w:eastAsia="en-US"/>
              </w:rPr>
              <w:t>HiVol</w:t>
            </w:r>
            <w:proofErr w:type="spellEnd"/>
          </w:p>
        </w:tc>
        <w:tc>
          <w:tcPr>
            <w:tcW w:w="1460" w:type="dxa"/>
          </w:tcPr>
          <w:p w14:paraId="6BCCD0CE" w14:textId="77777777" w:rsidR="00E6294A" w:rsidRDefault="00E6294A" w:rsidP="00143DA4">
            <w:pPr>
              <w:jc w:val="center"/>
              <w:rPr>
                <w:rFonts w:ascii="Arial" w:hAnsi="Arial" w:cs="Arial"/>
                <w:color w:val="000000"/>
                <w:sz w:val="22"/>
                <w:szCs w:val="22"/>
                <w:lang w:eastAsia="en-US"/>
              </w:rPr>
            </w:pPr>
            <w:r>
              <w:rPr>
                <w:rFonts w:ascii="Arial" w:hAnsi="Arial" w:cs="Arial"/>
                <w:color w:val="000000"/>
                <w:sz w:val="22"/>
                <w:szCs w:val="22"/>
                <w:lang w:eastAsia="en-US"/>
              </w:rPr>
              <w:t>2003</w:t>
            </w:r>
          </w:p>
        </w:tc>
        <w:tc>
          <w:tcPr>
            <w:tcW w:w="1701" w:type="dxa"/>
          </w:tcPr>
          <w:p w14:paraId="2B734EAC" w14:textId="77777777" w:rsidR="00E6294A" w:rsidRDefault="00E6294A" w:rsidP="00143DA4">
            <w:pPr>
              <w:jc w:val="center"/>
              <w:rPr>
                <w:rFonts w:ascii="Arial" w:hAnsi="Arial" w:cs="Arial"/>
                <w:color w:val="000000"/>
                <w:sz w:val="22"/>
                <w:szCs w:val="22"/>
                <w:lang w:eastAsia="en-US"/>
              </w:rPr>
            </w:pPr>
            <w:r>
              <w:rPr>
                <w:rFonts w:ascii="Arial" w:hAnsi="Arial" w:cs="Arial"/>
                <w:color w:val="000000"/>
                <w:sz w:val="22"/>
                <w:szCs w:val="22"/>
                <w:lang w:eastAsia="en-US"/>
              </w:rPr>
              <w:t>2014</w:t>
            </w:r>
            <w:r>
              <w:rPr>
                <w:rStyle w:val="FootnoteReference"/>
                <w:rFonts w:ascii="Arial" w:hAnsi="Arial"/>
                <w:color w:val="000000"/>
                <w:sz w:val="22"/>
                <w:szCs w:val="22"/>
                <w:lang w:eastAsia="en-US"/>
              </w:rPr>
              <w:footnoteReference w:id="22"/>
            </w:r>
          </w:p>
        </w:tc>
        <w:tc>
          <w:tcPr>
            <w:tcW w:w="2693" w:type="dxa"/>
          </w:tcPr>
          <w:p w14:paraId="019DDC41" w14:textId="77777777" w:rsidR="00E6294A" w:rsidRDefault="00E6294A" w:rsidP="00143DA4">
            <w:pPr>
              <w:jc w:val="center"/>
              <w:rPr>
                <w:rFonts w:ascii="Arial" w:hAnsi="Arial" w:cs="Arial"/>
                <w:color w:val="000000"/>
                <w:sz w:val="22"/>
                <w:szCs w:val="22"/>
                <w:lang w:eastAsia="en-US"/>
              </w:rPr>
            </w:pPr>
            <w:r>
              <w:rPr>
                <w:rFonts w:ascii="Arial" w:hAnsi="Arial" w:cs="Arial"/>
                <w:color w:val="000000"/>
                <w:sz w:val="22"/>
                <w:szCs w:val="22"/>
                <w:lang w:eastAsia="en-US"/>
              </w:rPr>
              <w:t>N/A</w:t>
            </w:r>
            <w:r>
              <w:rPr>
                <w:rStyle w:val="FootnoteReference"/>
                <w:rFonts w:ascii="Arial" w:hAnsi="Arial"/>
                <w:color w:val="000000"/>
                <w:sz w:val="22"/>
                <w:szCs w:val="22"/>
                <w:lang w:eastAsia="en-US"/>
              </w:rPr>
              <w:footnoteReference w:id="23"/>
            </w:r>
            <w:r>
              <w:rPr>
                <w:rFonts w:ascii="Arial" w:hAnsi="Arial" w:cs="Arial"/>
                <w:color w:val="000000"/>
                <w:sz w:val="22"/>
                <w:szCs w:val="22"/>
                <w:lang w:eastAsia="en-US"/>
              </w:rPr>
              <w:t xml:space="preserve"> </w:t>
            </w:r>
          </w:p>
        </w:tc>
      </w:tr>
      <w:tr w:rsidR="00E6294A" w14:paraId="6AB29CAB" w14:textId="77777777" w:rsidTr="00143DA4">
        <w:tc>
          <w:tcPr>
            <w:tcW w:w="2759" w:type="dxa"/>
          </w:tcPr>
          <w:p w14:paraId="38EB4918" w14:textId="77777777" w:rsidR="00E6294A" w:rsidRDefault="00E6294A" w:rsidP="00143DA4">
            <w:pPr>
              <w:jc w:val="both"/>
              <w:rPr>
                <w:rFonts w:ascii="Arial" w:hAnsi="Arial" w:cs="Arial"/>
                <w:color w:val="000000"/>
                <w:sz w:val="22"/>
                <w:szCs w:val="22"/>
                <w:lang w:eastAsia="en-US"/>
              </w:rPr>
            </w:pPr>
            <w:r>
              <w:rPr>
                <w:rFonts w:ascii="Arial" w:hAnsi="Arial" w:cs="Arial"/>
                <w:color w:val="000000"/>
                <w:sz w:val="22"/>
                <w:szCs w:val="22"/>
                <w:lang w:eastAsia="en-US"/>
              </w:rPr>
              <w:t>iTraxx Senior Financials</w:t>
            </w:r>
          </w:p>
        </w:tc>
        <w:tc>
          <w:tcPr>
            <w:tcW w:w="1460" w:type="dxa"/>
          </w:tcPr>
          <w:p w14:paraId="355FE829" w14:textId="77777777" w:rsidR="00E6294A" w:rsidRDefault="00E6294A" w:rsidP="00143DA4">
            <w:pPr>
              <w:jc w:val="center"/>
              <w:rPr>
                <w:rFonts w:ascii="Arial" w:hAnsi="Arial" w:cs="Arial"/>
                <w:color w:val="000000"/>
                <w:sz w:val="22"/>
                <w:szCs w:val="22"/>
                <w:lang w:eastAsia="en-US"/>
              </w:rPr>
            </w:pPr>
            <w:r>
              <w:rPr>
                <w:rFonts w:ascii="Arial" w:hAnsi="Arial" w:cs="Arial"/>
                <w:color w:val="000000"/>
                <w:sz w:val="22"/>
                <w:szCs w:val="22"/>
                <w:lang w:eastAsia="en-US"/>
              </w:rPr>
              <w:t>2003</w:t>
            </w:r>
          </w:p>
        </w:tc>
        <w:tc>
          <w:tcPr>
            <w:tcW w:w="1701" w:type="dxa"/>
          </w:tcPr>
          <w:p w14:paraId="3B5A453C" w14:textId="77777777" w:rsidR="00E6294A" w:rsidRDefault="00E6294A" w:rsidP="00143DA4">
            <w:pPr>
              <w:jc w:val="center"/>
              <w:rPr>
                <w:rFonts w:ascii="Arial" w:hAnsi="Arial" w:cs="Arial"/>
                <w:color w:val="000000"/>
                <w:sz w:val="22"/>
                <w:szCs w:val="22"/>
                <w:lang w:eastAsia="en-US"/>
              </w:rPr>
            </w:pPr>
            <w:r>
              <w:rPr>
                <w:rFonts w:ascii="Arial" w:hAnsi="Arial" w:cs="Arial"/>
                <w:color w:val="000000"/>
                <w:sz w:val="22"/>
                <w:szCs w:val="22"/>
                <w:lang w:eastAsia="en-US"/>
              </w:rPr>
              <w:t>Mixed</w:t>
            </w:r>
          </w:p>
        </w:tc>
        <w:tc>
          <w:tcPr>
            <w:tcW w:w="2693" w:type="dxa"/>
          </w:tcPr>
          <w:p w14:paraId="111EEE8F" w14:textId="77777777" w:rsidR="00E6294A" w:rsidRDefault="00E6294A" w:rsidP="00143DA4">
            <w:pPr>
              <w:jc w:val="center"/>
              <w:rPr>
                <w:rFonts w:ascii="Arial" w:hAnsi="Arial" w:cs="Arial"/>
                <w:color w:val="000000"/>
                <w:sz w:val="22"/>
                <w:szCs w:val="22"/>
                <w:lang w:eastAsia="en-US"/>
              </w:rPr>
            </w:pPr>
            <w:r>
              <w:rPr>
                <w:rFonts w:ascii="Arial" w:hAnsi="Arial" w:cs="Arial"/>
                <w:color w:val="000000"/>
                <w:sz w:val="22"/>
                <w:szCs w:val="22"/>
                <w:lang w:eastAsia="en-US"/>
              </w:rPr>
              <w:t>2014</w:t>
            </w:r>
          </w:p>
        </w:tc>
      </w:tr>
    </w:tbl>
    <w:p w14:paraId="61313937" w14:textId="77777777" w:rsidR="00E6294A" w:rsidDel="00600AEC" w:rsidRDefault="00E6294A" w:rsidP="00E6294A">
      <w:pPr>
        <w:jc w:val="both"/>
        <w:rPr>
          <w:rFonts w:ascii="Arial" w:hAnsi="Arial" w:cs="Arial"/>
          <w:color w:val="000000"/>
          <w:sz w:val="22"/>
          <w:szCs w:val="22"/>
          <w:lang w:eastAsia="en-US"/>
        </w:rPr>
      </w:pPr>
      <w:r>
        <w:rPr>
          <w:rFonts w:ascii="Arial" w:hAnsi="Arial" w:cs="Arial"/>
          <w:color w:val="000000"/>
          <w:sz w:val="22"/>
          <w:szCs w:val="22"/>
          <w:lang w:eastAsia="en-US"/>
        </w:rPr>
        <w:tab/>
      </w:r>
      <w:r>
        <w:rPr>
          <w:rFonts w:ascii="Arial" w:hAnsi="Arial" w:cs="Arial"/>
          <w:color w:val="000000"/>
          <w:sz w:val="22"/>
          <w:szCs w:val="22"/>
          <w:lang w:eastAsia="en-US"/>
        </w:rPr>
        <w:tab/>
      </w:r>
    </w:p>
    <w:p w14:paraId="386CDECE" w14:textId="13ADEA66" w:rsidR="00E6294A" w:rsidRPr="008A14E5" w:rsidRDefault="00E6294A" w:rsidP="00E6294A">
      <w:pPr>
        <w:jc w:val="both"/>
        <w:rPr>
          <w:rFonts w:ascii="Arial" w:hAnsi="Arial" w:cs="Arial"/>
          <w:color w:val="000000"/>
          <w:sz w:val="22"/>
          <w:szCs w:val="22"/>
          <w:lang w:eastAsia="en-US"/>
        </w:rPr>
      </w:pPr>
      <w:r>
        <w:rPr>
          <w:rFonts w:ascii="Arial" w:hAnsi="Arial" w:cs="Arial"/>
          <w:color w:val="000000"/>
          <w:sz w:val="22"/>
          <w:szCs w:val="22"/>
          <w:lang w:eastAsia="en-US"/>
        </w:rPr>
        <w:t>However, ESMA should note that counterparties to transactions in legacy index CDS are not obliged to sign the ISDA protocol</w:t>
      </w:r>
      <w:r w:rsidR="001A596C">
        <w:rPr>
          <w:rFonts w:ascii="Arial" w:hAnsi="Arial" w:cs="Arial"/>
          <w:color w:val="000000"/>
          <w:sz w:val="22"/>
          <w:szCs w:val="22"/>
          <w:lang w:eastAsia="en-US"/>
        </w:rPr>
        <w:t xml:space="preserve"> </w:t>
      </w:r>
      <w:r w:rsidR="001A596C">
        <w:rPr>
          <w:rFonts w:ascii="Arial" w:hAnsi="Arial" w:cs="Arial"/>
          <w:color w:val="000000"/>
          <w:sz w:val="22"/>
          <w:szCs w:val="22"/>
          <w:lang w:eastAsia="en-US"/>
        </w:rPr>
        <w:t xml:space="preserve">and that, for a transaction to move to the new documentation standard, </w:t>
      </w:r>
      <w:r w:rsidR="001A596C" w:rsidRPr="00BD31F7">
        <w:rPr>
          <w:rFonts w:ascii="Arial" w:hAnsi="Arial" w:cs="Arial"/>
          <w:i/>
          <w:color w:val="000000"/>
          <w:sz w:val="22"/>
          <w:szCs w:val="22"/>
          <w:lang w:eastAsia="en-US"/>
        </w:rPr>
        <w:t>both</w:t>
      </w:r>
      <w:r w:rsidR="001A596C">
        <w:rPr>
          <w:rFonts w:ascii="Arial" w:hAnsi="Arial" w:cs="Arial"/>
          <w:color w:val="000000"/>
          <w:sz w:val="22"/>
          <w:szCs w:val="22"/>
          <w:lang w:eastAsia="en-US"/>
        </w:rPr>
        <w:t xml:space="preserve"> counterparties will need to adhere to the Protocol</w:t>
      </w:r>
      <w:r>
        <w:rPr>
          <w:rFonts w:ascii="Arial" w:hAnsi="Arial" w:cs="Arial"/>
          <w:color w:val="000000"/>
          <w:sz w:val="22"/>
          <w:szCs w:val="22"/>
          <w:lang w:eastAsia="en-US"/>
        </w:rPr>
        <w:t xml:space="preserve">. It is hence </w:t>
      </w:r>
      <w:r w:rsidR="001A596C">
        <w:rPr>
          <w:rFonts w:ascii="Arial" w:hAnsi="Arial" w:cs="Arial"/>
          <w:color w:val="000000"/>
          <w:sz w:val="22"/>
          <w:szCs w:val="22"/>
          <w:lang w:eastAsia="en-US"/>
        </w:rPr>
        <w:t>likely</w:t>
      </w:r>
      <w:r>
        <w:rPr>
          <w:rFonts w:ascii="Arial" w:hAnsi="Arial" w:cs="Arial"/>
          <w:color w:val="000000"/>
          <w:sz w:val="22"/>
          <w:szCs w:val="22"/>
          <w:lang w:eastAsia="en-US"/>
        </w:rPr>
        <w:t xml:space="preserve"> that the legacy series of the iTraxx CDS indices exist and trade in two different versions, namely with the “old” and with the “new” documentation standard respectively. Whilst m</w:t>
      </w:r>
      <w:r w:rsidRPr="002A149E">
        <w:rPr>
          <w:rFonts w:ascii="Arial" w:hAnsi="Arial" w:cs="Arial"/>
          <w:color w:val="000000"/>
          <w:sz w:val="22"/>
          <w:szCs w:val="22"/>
          <w:lang w:eastAsia="en-US"/>
        </w:rPr>
        <w:t>arket participants are free to trade different variations other than the standard contracts as set out above, these tra</w:t>
      </w:r>
      <w:r>
        <w:rPr>
          <w:rFonts w:ascii="Arial" w:hAnsi="Arial" w:cs="Arial"/>
          <w:color w:val="000000"/>
          <w:sz w:val="22"/>
          <w:szCs w:val="22"/>
          <w:lang w:eastAsia="en-US"/>
        </w:rPr>
        <w:t>nsactions</w:t>
      </w:r>
      <w:r w:rsidRPr="002A149E">
        <w:rPr>
          <w:rFonts w:ascii="Arial" w:hAnsi="Arial" w:cs="Arial"/>
          <w:color w:val="000000"/>
          <w:sz w:val="22"/>
          <w:szCs w:val="22"/>
          <w:lang w:eastAsia="en-US"/>
        </w:rPr>
        <w:t xml:space="preserve"> would be viewed as </w:t>
      </w:r>
      <w:r>
        <w:rPr>
          <w:rFonts w:ascii="Arial" w:hAnsi="Arial" w:cs="Arial"/>
          <w:color w:val="000000"/>
          <w:sz w:val="22"/>
          <w:szCs w:val="22"/>
          <w:lang w:eastAsia="en-US"/>
        </w:rPr>
        <w:t>“</w:t>
      </w:r>
      <w:r w:rsidRPr="002A149E">
        <w:rPr>
          <w:rFonts w:ascii="Arial" w:hAnsi="Arial" w:cs="Arial"/>
          <w:color w:val="000000"/>
          <w:sz w:val="22"/>
          <w:szCs w:val="22"/>
          <w:lang w:eastAsia="en-US"/>
        </w:rPr>
        <w:t>bespoke</w:t>
      </w:r>
      <w:r>
        <w:rPr>
          <w:rFonts w:ascii="Arial" w:hAnsi="Arial" w:cs="Arial"/>
          <w:color w:val="000000"/>
          <w:sz w:val="22"/>
          <w:szCs w:val="22"/>
          <w:lang w:eastAsia="en-US"/>
        </w:rPr>
        <w:t>”</w:t>
      </w:r>
      <w:r w:rsidRPr="002A149E">
        <w:rPr>
          <w:rFonts w:ascii="Arial" w:hAnsi="Arial" w:cs="Arial"/>
          <w:color w:val="000000"/>
          <w:sz w:val="22"/>
          <w:szCs w:val="22"/>
          <w:lang w:eastAsia="en-US"/>
        </w:rPr>
        <w:t xml:space="preserve"> by the industry</w:t>
      </w:r>
      <w:r>
        <w:rPr>
          <w:rFonts w:ascii="Arial" w:hAnsi="Arial" w:cs="Arial"/>
          <w:color w:val="000000"/>
          <w:sz w:val="22"/>
          <w:szCs w:val="22"/>
          <w:lang w:eastAsia="en-US"/>
        </w:rPr>
        <w:t xml:space="preserve">. </w:t>
      </w:r>
      <w:r w:rsidRPr="008A14E5">
        <w:rPr>
          <w:rFonts w:ascii="Arial" w:hAnsi="Arial" w:cs="Arial"/>
          <w:color w:val="000000"/>
          <w:sz w:val="22"/>
          <w:szCs w:val="22"/>
          <w:lang w:eastAsia="en-US"/>
        </w:rPr>
        <w:t>I</w:t>
      </w:r>
      <w:r>
        <w:rPr>
          <w:rFonts w:ascii="Arial" w:hAnsi="Arial" w:cs="Arial"/>
          <w:color w:val="000000"/>
          <w:sz w:val="22"/>
          <w:szCs w:val="22"/>
          <w:lang w:eastAsia="en-US"/>
        </w:rPr>
        <w:t>mportantly, CCPs that centrally clear the relevant iTraxx indices today have indicated</w:t>
      </w:r>
      <w:r>
        <w:rPr>
          <w:rStyle w:val="FootnoteReference"/>
          <w:rFonts w:ascii="Arial" w:hAnsi="Arial"/>
          <w:color w:val="000000"/>
          <w:sz w:val="22"/>
          <w:szCs w:val="22"/>
          <w:lang w:eastAsia="en-US"/>
        </w:rPr>
        <w:footnoteReference w:id="24"/>
      </w:r>
      <w:r>
        <w:rPr>
          <w:rFonts w:ascii="Arial" w:hAnsi="Arial" w:cs="Arial"/>
          <w:color w:val="000000"/>
          <w:sz w:val="22"/>
          <w:szCs w:val="22"/>
          <w:lang w:eastAsia="en-US"/>
        </w:rPr>
        <w:t xml:space="preserve"> that they will continue to clear legacy </w:t>
      </w:r>
      <w:r w:rsidRPr="008A14E5">
        <w:rPr>
          <w:rFonts w:ascii="Arial" w:hAnsi="Arial" w:cs="Arial"/>
          <w:color w:val="000000"/>
          <w:sz w:val="22"/>
          <w:szCs w:val="22"/>
          <w:lang w:eastAsia="en-US"/>
        </w:rPr>
        <w:t xml:space="preserve">series of </w:t>
      </w:r>
      <w:r>
        <w:rPr>
          <w:rFonts w:ascii="Arial" w:hAnsi="Arial" w:cs="Arial"/>
          <w:color w:val="000000"/>
          <w:sz w:val="22"/>
          <w:szCs w:val="22"/>
          <w:lang w:eastAsia="en-US"/>
        </w:rPr>
        <w:t xml:space="preserve">the </w:t>
      </w:r>
      <w:r w:rsidRPr="008A14E5">
        <w:rPr>
          <w:rFonts w:ascii="Arial" w:hAnsi="Arial" w:cs="Arial"/>
          <w:color w:val="000000"/>
          <w:sz w:val="22"/>
          <w:szCs w:val="22"/>
          <w:lang w:eastAsia="en-US"/>
        </w:rPr>
        <w:t>iT</w:t>
      </w:r>
      <w:r>
        <w:rPr>
          <w:rFonts w:ascii="Arial" w:hAnsi="Arial" w:cs="Arial"/>
          <w:color w:val="000000"/>
          <w:sz w:val="22"/>
          <w:szCs w:val="22"/>
          <w:lang w:eastAsia="en-US"/>
        </w:rPr>
        <w:t>raxx CDS</w:t>
      </w:r>
      <w:r w:rsidRPr="008A14E5">
        <w:rPr>
          <w:rFonts w:ascii="Arial" w:hAnsi="Arial" w:cs="Arial"/>
          <w:color w:val="000000"/>
          <w:sz w:val="22"/>
          <w:szCs w:val="22"/>
          <w:lang w:eastAsia="en-US"/>
        </w:rPr>
        <w:t xml:space="preserve"> </w:t>
      </w:r>
      <w:r>
        <w:rPr>
          <w:rFonts w:ascii="Arial" w:hAnsi="Arial" w:cs="Arial"/>
          <w:color w:val="000000"/>
          <w:sz w:val="22"/>
          <w:szCs w:val="22"/>
          <w:lang w:eastAsia="en-US"/>
        </w:rPr>
        <w:t xml:space="preserve">indices </w:t>
      </w:r>
      <w:r w:rsidRPr="008A14E5">
        <w:rPr>
          <w:rFonts w:ascii="Arial" w:hAnsi="Arial" w:cs="Arial"/>
          <w:color w:val="000000"/>
          <w:sz w:val="22"/>
          <w:szCs w:val="22"/>
          <w:lang w:eastAsia="en-US"/>
        </w:rPr>
        <w:t xml:space="preserve">as long as the transaction is </w:t>
      </w:r>
      <w:r>
        <w:rPr>
          <w:rFonts w:ascii="Arial" w:hAnsi="Arial" w:cs="Arial"/>
          <w:color w:val="000000"/>
          <w:sz w:val="22"/>
          <w:szCs w:val="22"/>
          <w:lang w:eastAsia="en-US"/>
        </w:rPr>
        <w:t>governed by the</w:t>
      </w:r>
      <w:r w:rsidRPr="008A14E5">
        <w:rPr>
          <w:rFonts w:ascii="Arial" w:hAnsi="Arial" w:cs="Arial"/>
          <w:color w:val="000000"/>
          <w:sz w:val="22"/>
          <w:szCs w:val="22"/>
          <w:lang w:eastAsia="en-US"/>
        </w:rPr>
        <w:t xml:space="preserve"> new documentation standard. However, CCP</w:t>
      </w:r>
      <w:r>
        <w:rPr>
          <w:rFonts w:ascii="Arial" w:hAnsi="Arial" w:cs="Arial"/>
          <w:color w:val="000000"/>
          <w:sz w:val="22"/>
          <w:szCs w:val="22"/>
          <w:lang w:eastAsia="en-US"/>
        </w:rPr>
        <w:t>s will</w:t>
      </w:r>
      <w:r w:rsidRPr="008A14E5">
        <w:rPr>
          <w:rFonts w:ascii="Arial" w:hAnsi="Arial" w:cs="Arial"/>
          <w:color w:val="000000"/>
          <w:sz w:val="22"/>
          <w:szCs w:val="22"/>
          <w:lang w:eastAsia="en-US"/>
        </w:rPr>
        <w:t xml:space="preserve"> not offer clearing </w:t>
      </w:r>
      <w:r>
        <w:rPr>
          <w:rFonts w:ascii="Arial" w:hAnsi="Arial" w:cs="Arial"/>
          <w:color w:val="000000"/>
          <w:sz w:val="22"/>
          <w:szCs w:val="22"/>
          <w:lang w:eastAsia="en-US"/>
        </w:rPr>
        <w:t>for any new</w:t>
      </w:r>
      <w:r w:rsidRPr="008A14E5">
        <w:rPr>
          <w:rFonts w:ascii="Arial" w:hAnsi="Arial" w:cs="Arial"/>
          <w:color w:val="000000"/>
          <w:sz w:val="22"/>
          <w:szCs w:val="22"/>
          <w:lang w:eastAsia="en-US"/>
        </w:rPr>
        <w:t xml:space="preserve"> transaction</w:t>
      </w:r>
      <w:r>
        <w:rPr>
          <w:rFonts w:ascii="Arial" w:hAnsi="Arial" w:cs="Arial"/>
          <w:color w:val="000000"/>
          <w:sz w:val="22"/>
          <w:szCs w:val="22"/>
          <w:lang w:eastAsia="en-US"/>
        </w:rPr>
        <w:t>s</w:t>
      </w:r>
      <w:r w:rsidRPr="008A14E5" w:rsidDel="000C1F29">
        <w:rPr>
          <w:rFonts w:ascii="Arial" w:hAnsi="Arial" w:cs="Arial"/>
          <w:color w:val="000000"/>
          <w:sz w:val="22"/>
          <w:szCs w:val="22"/>
          <w:lang w:eastAsia="en-US"/>
        </w:rPr>
        <w:t xml:space="preserve"> </w:t>
      </w:r>
      <w:r>
        <w:rPr>
          <w:rFonts w:ascii="Arial" w:hAnsi="Arial" w:cs="Arial"/>
          <w:color w:val="000000"/>
          <w:sz w:val="22"/>
          <w:szCs w:val="22"/>
          <w:lang w:eastAsia="en-US"/>
        </w:rPr>
        <w:t>in legacy indices where</w:t>
      </w:r>
      <w:r w:rsidRPr="008A14E5">
        <w:rPr>
          <w:rFonts w:ascii="Arial" w:hAnsi="Arial" w:cs="Arial"/>
          <w:color w:val="000000"/>
          <w:sz w:val="22"/>
          <w:szCs w:val="22"/>
          <w:lang w:eastAsia="en-US"/>
        </w:rPr>
        <w:t xml:space="preserve"> counterparties </w:t>
      </w:r>
      <w:r>
        <w:rPr>
          <w:rFonts w:ascii="Arial" w:hAnsi="Arial" w:cs="Arial"/>
          <w:color w:val="000000"/>
          <w:sz w:val="22"/>
          <w:szCs w:val="22"/>
          <w:lang w:eastAsia="en-US"/>
        </w:rPr>
        <w:t>did</w:t>
      </w:r>
      <w:r w:rsidRPr="008A14E5">
        <w:rPr>
          <w:rFonts w:ascii="Arial" w:hAnsi="Arial" w:cs="Arial"/>
          <w:color w:val="000000"/>
          <w:sz w:val="22"/>
          <w:szCs w:val="22"/>
          <w:lang w:eastAsia="en-US"/>
        </w:rPr>
        <w:t xml:space="preserve"> not to agree to th</w:t>
      </w:r>
      <w:r>
        <w:rPr>
          <w:rFonts w:ascii="Arial" w:hAnsi="Arial" w:cs="Arial"/>
          <w:color w:val="000000"/>
          <w:sz w:val="22"/>
          <w:szCs w:val="22"/>
          <w:lang w:eastAsia="en-US"/>
        </w:rPr>
        <w:t>e new</w:t>
      </w:r>
      <w:r w:rsidRPr="008A14E5">
        <w:rPr>
          <w:rFonts w:ascii="Arial" w:hAnsi="Arial" w:cs="Arial"/>
          <w:color w:val="000000"/>
          <w:sz w:val="22"/>
          <w:szCs w:val="22"/>
          <w:lang w:eastAsia="en-US"/>
        </w:rPr>
        <w:t xml:space="preserve"> documentation standard</w:t>
      </w:r>
      <w:r>
        <w:rPr>
          <w:rFonts w:ascii="Arial" w:hAnsi="Arial" w:cs="Arial"/>
          <w:color w:val="000000"/>
          <w:sz w:val="22"/>
          <w:szCs w:val="22"/>
          <w:lang w:eastAsia="en-US"/>
        </w:rPr>
        <w:t xml:space="preserve">, i.e. where they enter into a </w:t>
      </w:r>
      <w:r w:rsidRPr="008A14E5">
        <w:rPr>
          <w:rFonts w:ascii="Arial" w:hAnsi="Arial" w:cs="Arial"/>
          <w:color w:val="000000"/>
          <w:sz w:val="22"/>
          <w:szCs w:val="22"/>
          <w:lang w:eastAsia="en-US"/>
        </w:rPr>
        <w:t>“bespoke”</w:t>
      </w:r>
      <w:r>
        <w:rPr>
          <w:rFonts w:ascii="Arial" w:hAnsi="Arial" w:cs="Arial"/>
          <w:color w:val="000000"/>
          <w:sz w:val="22"/>
          <w:szCs w:val="22"/>
          <w:lang w:eastAsia="en-US"/>
        </w:rPr>
        <w:t xml:space="preserve"> transaction.</w:t>
      </w:r>
    </w:p>
    <w:p w14:paraId="43AC46EC" w14:textId="77777777" w:rsidR="00E6294A" w:rsidRPr="008A14E5" w:rsidRDefault="00E6294A" w:rsidP="00E6294A">
      <w:pPr>
        <w:jc w:val="both"/>
        <w:rPr>
          <w:rFonts w:ascii="Arial" w:hAnsi="Arial" w:cs="Arial"/>
          <w:color w:val="000000"/>
          <w:sz w:val="22"/>
          <w:szCs w:val="22"/>
          <w:lang w:eastAsia="en-US"/>
        </w:rPr>
      </w:pPr>
    </w:p>
    <w:p w14:paraId="4329AD84" w14:textId="77777777" w:rsidR="00E6294A" w:rsidRPr="008A14E5" w:rsidRDefault="00E6294A" w:rsidP="00E6294A">
      <w:pPr>
        <w:jc w:val="both"/>
        <w:rPr>
          <w:rFonts w:ascii="Arial" w:hAnsi="Arial" w:cs="Arial"/>
          <w:color w:val="000000"/>
          <w:sz w:val="22"/>
          <w:szCs w:val="22"/>
          <w:lang w:eastAsia="en-US"/>
        </w:rPr>
      </w:pPr>
      <w:r>
        <w:rPr>
          <w:rFonts w:ascii="Arial" w:hAnsi="Arial" w:cs="Arial"/>
          <w:color w:val="000000"/>
          <w:sz w:val="22"/>
          <w:szCs w:val="22"/>
          <w:lang w:eastAsia="en-US"/>
        </w:rPr>
        <w:t>On that basis</w:t>
      </w:r>
      <w:r w:rsidRPr="008A14E5">
        <w:rPr>
          <w:rFonts w:ascii="Arial" w:hAnsi="Arial" w:cs="Arial"/>
          <w:color w:val="000000"/>
          <w:sz w:val="22"/>
          <w:szCs w:val="22"/>
          <w:lang w:eastAsia="en-US"/>
        </w:rPr>
        <w:t xml:space="preserve">, we </w:t>
      </w:r>
      <w:r>
        <w:rPr>
          <w:rFonts w:ascii="Arial" w:hAnsi="Arial" w:cs="Arial"/>
          <w:color w:val="000000"/>
          <w:sz w:val="22"/>
          <w:szCs w:val="22"/>
          <w:lang w:eastAsia="en-US"/>
        </w:rPr>
        <w:t>recommend</w:t>
      </w:r>
      <w:r w:rsidRPr="008A14E5">
        <w:rPr>
          <w:rFonts w:ascii="Arial" w:hAnsi="Arial" w:cs="Arial"/>
          <w:color w:val="000000"/>
          <w:sz w:val="22"/>
          <w:szCs w:val="22"/>
          <w:lang w:eastAsia="en-US"/>
        </w:rPr>
        <w:t xml:space="preserve"> ESMA reflect the </w:t>
      </w:r>
      <w:r>
        <w:rPr>
          <w:rFonts w:ascii="Arial" w:hAnsi="Arial" w:cs="Arial"/>
          <w:color w:val="000000"/>
          <w:sz w:val="22"/>
          <w:szCs w:val="22"/>
          <w:lang w:eastAsia="en-US"/>
        </w:rPr>
        <w:t>aspect “</w:t>
      </w:r>
      <w:r w:rsidRPr="008A14E5">
        <w:rPr>
          <w:rFonts w:ascii="Arial" w:hAnsi="Arial" w:cs="Arial"/>
          <w:color w:val="000000"/>
          <w:sz w:val="22"/>
          <w:szCs w:val="22"/>
          <w:lang w:eastAsia="en-US"/>
        </w:rPr>
        <w:t>documentation</w:t>
      </w:r>
      <w:r>
        <w:rPr>
          <w:rFonts w:ascii="Arial" w:hAnsi="Arial" w:cs="Arial"/>
          <w:color w:val="000000"/>
          <w:sz w:val="22"/>
          <w:szCs w:val="22"/>
          <w:lang w:eastAsia="en-US"/>
        </w:rPr>
        <w:t xml:space="preserve"> standard” as</w:t>
      </w:r>
      <w:r w:rsidRPr="008A14E5">
        <w:rPr>
          <w:rFonts w:ascii="Arial" w:hAnsi="Arial" w:cs="Arial"/>
          <w:color w:val="000000"/>
          <w:sz w:val="22"/>
          <w:szCs w:val="22"/>
          <w:lang w:eastAsia="en-US"/>
        </w:rPr>
        <w:t xml:space="preserve"> an additional factor in its clearing obligation determination. </w:t>
      </w:r>
      <w:r>
        <w:rPr>
          <w:rFonts w:ascii="Arial" w:hAnsi="Arial" w:cs="Arial"/>
          <w:color w:val="000000"/>
          <w:sz w:val="22"/>
          <w:szCs w:val="22"/>
          <w:lang w:eastAsia="en-US"/>
        </w:rPr>
        <w:t>Specifically, a</w:t>
      </w:r>
      <w:r w:rsidRPr="008A14E5">
        <w:rPr>
          <w:rFonts w:ascii="Arial" w:hAnsi="Arial" w:cs="Arial"/>
          <w:color w:val="000000"/>
          <w:sz w:val="22"/>
          <w:szCs w:val="22"/>
          <w:lang w:eastAsia="en-US"/>
        </w:rPr>
        <w:t xml:space="preserve">ny transaction in </w:t>
      </w:r>
      <w:r>
        <w:rPr>
          <w:rFonts w:ascii="Arial" w:hAnsi="Arial" w:cs="Arial"/>
          <w:color w:val="000000"/>
          <w:sz w:val="22"/>
          <w:szCs w:val="22"/>
          <w:lang w:eastAsia="en-US"/>
        </w:rPr>
        <w:t>the relevant series and maturities</w:t>
      </w:r>
      <w:r>
        <w:rPr>
          <w:rStyle w:val="FootnoteReference"/>
          <w:rFonts w:ascii="Arial" w:hAnsi="Arial"/>
          <w:color w:val="000000"/>
          <w:sz w:val="22"/>
          <w:szCs w:val="22"/>
          <w:lang w:eastAsia="en-US"/>
        </w:rPr>
        <w:footnoteReference w:id="25"/>
      </w:r>
      <w:r>
        <w:rPr>
          <w:rFonts w:ascii="Arial" w:hAnsi="Arial" w:cs="Arial"/>
          <w:color w:val="000000"/>
          <w:sz w:val="22"/>
          <w:szCs w:val="22"/>
          <w:lang w:eastAsia="en-US"/>
        </w:rPr>
        <w:t xml:space="preserve"> of </w:t>
      </w:r>
      <w:r w:rsidRPr="008A14E5">
        <w:rPr>
          <w:rFonts w:ascii="Arial" w:hAnsi="Arial" w:cs="Arial"/>
          <w:color w:val="000000"/>
          <w:sz w:val="22"/>
          <w:szCs w:val="22"/>
          <w:lang w:eastAsia="en-US"/>
        </w:rPr>
        <w:t>iT</w:t>
      </w:r>
      <w:r>
        <w:rPr>
          <w:rFonts w:ascii="Arial" w:hAnsi="Arial" w:cs="Arial"/>
          <w:color w:val="000000"/>
          <w:sz w:val="22"/>
          <w:szCs w:val="22"/>
          <w:lang w:eastAsia="en-US"/>
        </w:rPr>
        <w:t xml:space="preserve">raxx </w:t>
      </w:r>
      <w:r w:rsidRPr="008A14E5">
        <w:rPr>
          <w:rFonts w:ascii="Arial" w:hAnsi="Arial" w:cs="Arial"/>
          <w:color w:val="000000"/>
          <w:sz w:val="22"/>
          <w:szCs w:val="22"/>
          <w:lang w:eastAsia="en-US"/>
        </w:rPr>
        <w:t xml:space="preserve">Europe or </w:t>
      </w:r>
      <w:r>
        <w:rPr>
          <w:rFonts w:ascii="Arial" w:hAnsi="Arial" w:cs="Arial"/>
          <w:color w:val="000000"/>
          <w:sz w:val="22"/>
          <w:szCs w:val="22"/>
          <w:lang w:eastAsia="en-US"/>
        </w:rPr>
        <w:t xml:space="preserve">iTraxx </w:t>
      </w:r>
      <w:r w:rsidRPr="008A14E5">
        <w:rPr>
          <w:rFonts w:ascii="Arial" w:hAnsi="Arial" w:cs="Arial"/>
          <w:color w:val="000000"/>
          <w:sz w:val="22"/>
          <w:szCs w:val="22"/>
          <w:lang w:eastAsia="en-US"/>
        </w:rPr>
        <w:t xml:space="preserve">Crossover should </w:t>
      </w:r>
      <w:r w:rsidRPr="004E7078">
        <w:rPr>
          <w:rFonts w:ascii="Arial" w:hAnsi="Arial" w:cs="Arial"/>
          <w:i/>
          <w:color w:val="000000"/>
          <w:sz w:val="22"/>
          <w:szCs w:val="22"/>
          <w:lang w:eastAsia="en-US"/>
        </w:rPr>
        <w:t>not</w:t>
      </w:r>
      <w:r w:rsidRPr="008A14E5">
        <w:rPr>
          <w:rFonts w:ascii="Arial" w:hAnsi="Arial" w:cs="Arial"/>
          <w:color w:val="000000"/>
          <w:sz w:val="22"/>
          <w:szCs w:val="22"/>
          <w:lang w:eastAsia="en-US"/>
        </w:rPr>
        <w:t xml:space="preserve"> be required to be cleared if it is “bespoke”, i.e. not governed by the new CDS documentation</w:t>
      </w:r>
      <w:r>
        <w:rPr>
          <w:rFonts w:ascii="Arial" w:hAnsi="Arial" w:cs="Arial"/>
          <w:color w:val="000000"/>
          <w:sz w:val="22"/>
          <w:szCs w:val="22"/>
          <w:lang w:eastAsia="en-US"/>
        </w:rPr>
        <w:t xml:space="preserve"> standard</w:t>
      </w:r>
      <w:r w:rsidRPr="008A14E5">
        <w:rPr>
          <w:rFonts w:ascii="Arial" w:hAnsi="Arial" w:cs="Arial"/>
          <w:color w:val="000000"/>
          <w:sz w:val="22"/>
          <w:szCs w:val="22"/>
          <w:lang w:eastAsia="en-US"/>
        </w:rPr>
        <w:t xml:space="preserve">. </w:t>
      </w:r>
    </w:p>
    <w:permEnd w:id="1575779171"/>
    <w:p w14:paraId="195F3EF7" w14:textId="76E5223E" w:rsidR="000E31C3" w:rsidRDefault="000E31C3" w:rsidP="000E31C3">
      <w:r>
        <w:t>&lt;ESMA_QUESTION_2&gt;</w:t>
      </w:r>
    </w:p>
    <w:p w14:paraId="75FF53AF" w14:textId="77777777" w:rsidR="000E31C3" w:rsidRDefault="000E31C3" w:rsidP="000E31C3"/>
    <w:p w14:paraId="5F3A4520" w14:textId="77777777" w:rsidR="000E31C3" w:rsidRPr="00A84770" w:rsidRDefault="000E31C3" w:rsidP="00AA0857">
      <w:pPr>
        <w:pStyle w:val="Heading1"/>
      </w:pPr>
      <w:bookmarkStart w:id="11" w:name="_Toc389466262"/>
      <w:bookmarkStart w:id="12" w:name="_Toc389496893"/>
      <w:bookmarkStart w:id="13" w:name="_Toc392685528"/>
      <w:r>
        <w:t>Determination of the c</w:t>
      </w:r>
      <w:r w:rsidRPr="00A84770">
        <w:t xml:space="preserve">lasses of OTC </w:t>
      </w:r>
      <w:r>
        <w:t>d</w:t>
      </w:r>
      <w:r w:rsidRPr="00A84770">
        <w:t>erivatives to be subject to the clearing obligation</w:t>
      </w:r>
      <w:bookmarkEnd w:id="11"/>
      <w:bookmarkEnd w:id="12"/>
      <w:bookmarkEnd w:id="13"/>
    </w:p>
    <w:p w14:paraId="597AD3AF" w14:textId="77777777" w:rsidR="000E31C3" w:rsidRDefault="000E31C3" w:rsidP="000E31C3"/>
    <w:p w14:paraId="5525AE50" w14:textId="1AB33A70" w:rsidR="00082AD5" w:rsidRDefault="000E31C3" w:rsidP="000E31C3">
      <w:pPr>
        <w:pStyle w:val="Questions"/>
      </w:pPr>
      <w:r>
        <w:t xml:space="preserve">Question </w:t>
      </w:r>
      <w:fldSimple w:instr=" SEQ Question \* ARABIC ">
        <w:r w:rsidR="001826B9">
          <w:rPr>
            <w:noProof/>
          </w:rPr>
          <w:t>3</w:t>
        </w:r>
      </w:fldSimple>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14:paraId="5817D277" w14:textId="219D179E" w:rsidR="000E31C3" w:rsidRDefault="000E31C3" w:rsidP="000E31C3">
      <w:pPr>
        <w:pStyle w:val="Questions"/>
      </w:pPr>
      <w:r>
        <w:t>Given the systemic risk associated to single name CDS, would you argue that they should be a priority for the first determination as well? Please include relevant data or information where applicable.</w:t>
      </w:r>
    </w:p>
    <w:p w14:paraId="24F1FCAB" w14:textId="77777777" w:rsidR="000E31C3" w:rsidRDefault="000E31C3" w:rsidP="000E31C3"/>
    <w:p w14:paraId="7276F300" w14:textId="19EE196A" w:rsidR="000E31C3" w:rsidRDefault="000E31C3" w:rsidP="000E31C3">
      <w:r>
        <w:t>&lt;ESMA_QUESTION_3&gt;</w:t>
      </w:r>
    </w:p>
    <w:p w14:paraId="2CB38A15" w14:textId="77777777" w:rsidR="00E6294A" w:rsidRDefault="00E6294A" w:rsidP="00E6294A">
      <w:pPr>
        <w:jc w:val="both"/>
        <w:rPr>
          <w:rFonts w:ascii="Arial" w:hAnsi="Arial" w:cs="Arial"/>
          <w:color w:val="000000"/>
          <w:sz w:val="22"/>
          <w:szCs w:val="22"/>
          <w:lang w:eastAsia="en-US"/>
        </w:rPr>
      </w:pPr>
      <w:permStart w:id="1419206484" w:edGrp="everyone"/>
      <w:r w:rsidRPr="00640DDE">
        <w:rPr>
          <w:rFonts w:ascii="Arial" w:hAnsi="Arial" w:cs="Arial"/>
          <w:color w:val="000000"/>
          <w:sz w:val="22"/>
          <w:szCs w:val="22"/>
          <w:lang w:eastAsia="en-US"/>
        </w:rPr>
        <w:t xml:space="preserve">We </w:t>
      </w:r>
      <w:r>
        <w:rPr>
          <w:rFonts w:ascii="Arial" w:hAnsi="Arial" w:cs="Arial"/>
          <w:color w:val="000000"/>
          <w:sz w:val="22"/>
          <w:szCs w:val="22"/>
          <w:lang w:eastAsia="en-US"/>
        </w:rPr>
        <w:t>generally agree with ESMA’s analysis of the three specified criteria</w:t>
      </w:r>
      <w:r>
        <w:rPr>
          <w:rStyle w:val="FootnoteReference"/>
          <w:rFonts w:ascii="Arial" w:hAnsi="Arial"/>
          <w:color w:val="000000"/>
          <w:sz w:val="22"/>
          <w:szCs w:val="22"/>
          <w:lang w:eastAsia="en-US"/>
        </w:rPr>
        <w:footnoteReference w:id="26"/>
      </w:r>
      <w:r>
        <w:rPr>
          <w:rFonts w:ascii="Arial" w:hAnsi="Arial" w:cs="Arial"/>
          <w:color w:val="000000"/>
          <w:sz w:val="22"/>
          <w:szCs w:val="22"/>
          <w:lang w:eastAsia="en-US"/>
        </w:rPr>
        <w:t xml:space="preserve"> and the conclusions it reaches in relation to those product categories of credit derivatives that should be cleared. Based on our involvement in processing credit derivatives transactions that are submitted to various CCPs for central clearing w</w:t>
      </w:r>
      <w:r w:rsidRPr="00640DDE">
        <w:rPr>
          <w:rFonts w:ascii="Arial" w:hAnsi="Arial" w:cs="Arial"/>
          <w:color w:val="000000"/>
          <w:sz w:val="22"/>
          <w:szCs w:val="22"/>
          <w:lang w:eastAsia="en-US"/>
        </w:rPr>
        <w:t xml:space="preserve">e </w:t>
      </w:r>
      <w:r>
        <w:rPr>
          <w:rFonts w:ascii="Arial" w:hAnsi="Arial" w:cs="Arial"/>
          <w:color w:val="000000"/>
          <w:sz w:val="22"/>
          <w:szCs w:val="22"/>
          <w:lang w:eastAsia="en-US"/>
        </w:rPr>
        <w:t>believe</w:t>
      </w:r>
      <w:r w:rsidRPr="00640DDE">
        <w:rPr>
          <w:rFonts w:ascii="Arial" w:hAnsi="Arial" w:cs="Arial"/>
          <w:color w:val="000000"/>
          <w:sz w:val="22"/>
          <w:szCs w:val="22"/>
          <w:lang w:eastAsia="en-US"/>
        </w:rPr>
        <w:t xml:space="preserve"> that </w:t>
      </w:r>
      <w:r>
        <w:rPr>
          <w:rFonts w:ascii="Arial" w:hAnsi="Arial" w:cs="Arial"/>
          <w:color w:val="000000"/>
          <w:sz w:val="22"/>
          <w:szCs w:val="22"/>
          <w:lang w:eastAsia="en-US"/>
        </w:rPr>
        <w:t>ESMA’s</w:t>
      </w:r>
      <w:r w:rsidRPr="00640DDE">
        <w:rPr>
          <w:rFonts w:ascii="Arial" w:hAnsi="Arial" w:cs="Arial"/>
          <w:color w:val="000000"/>
          <w:sz w:val="22"/>
          <w:szCs w:val="22"/>
          <w:lang w:eastAsia="en-US"/>
        </w:rPr>
        <w:t xml:space="preserve"> determination </w:t>
      </w:r>
      <w:r>
        <w:rPr>
          <w:rFonts w:ascii="Arial" w:hAnsi="Arial" w:cs="Arial"/>
          <w:color w:val="000000"/>
          <w:sz w:val="22"/>
          <w:szCs w:val="22"/>
          <w:lang w:eastAsia="en-US"/>
        </w:rPr>
        <w:t>captures</w:t>
      </w:r>
      <w:r w:rsidRPr="00640DDE">
        <w:rPr>
          <w:rFonts w:ascii="Arial" w:hAnsi="Arial" w:cs="Arial"/>
          <w:color w:val="000000"/>
          <w:sz w:val="22"/>
          <w:szCs w:val="22"/>
          <w:lang w:eastAsia="en-US"/>
        </w:rPr>
        <w:t xml:space="preserve"> the majority of </w:t>
      </w:r>
      <w:r>
        <w:rPr>
          <w:rFonts w:ascii="Arial" w:hAnsi="Arial" w:cs="Arial"/>
          <w:color w:val="000000"/>
          <w:sz w:val="22"/>
          <w:szCs w:val="22"/>
          <w:lang w:eastAsia="en-US"/>
        </w:rPr>
        <w:t xml:space="preserve">the volume of </w:t>
      </w:r>
      <w:r w:rsidRPr="00640DDE">
        <w:rPr>
          <w:rFonts w:ascii="Arial" w:hAnsi="Arial" w:cs="Arial"/>
          <w:color w:val="000000"/>
          <w:sz w:val="22"/>
          <w:szCs w:val="22"/>
          <w:lang w:eastAsia="en-US"/>
        </w:rPr>
        <w:t xml:space="preserve">transactions in </w:t>
      </w:r>
      <w:r>
        <w:rPr>
          <w:rFonts w:ascii="Arial" w:hAnsi="Arial" w:cs="Arial"/>
          <w:color w:val="000000"/>
          <w:sz w:val="22"/>
          <w:szCs w:val="22"/>
          <w:lang w:eastAsia="en-US"/>
        </w:rPr>
        <w:t>credit</w:t>
      </w:r>
      <w:r w:rsidRPr="00640DDE">
        <w:rPr>
          <w:rFonts w:ascii="Arial" w:hAnsi="Arial" w:cs="Arial"/>
          <w:color w:val="000000"/>
          <w:sz w:val="22"/>
          <w:szCs w:val="22"/>
          <w:lang w:eastAsia="en-US"/>
        </w:rPr>
        <w:t xml:space="preserve"> derivatives today</w:t>
      </w:r>
      <w:r>
        <w:rPr>
          <w:rFonts w:ascii="Arial" w:hAnsi="Arial" w:cs="Arial"/>
          <w:color w:val="000000"/>
          <w:sz w:val="22"/>
          <w:szCs w:val="22"/>
          <w:lang w:eastAsia="en-US"/>
        </w:rPr>
        <w:t xml:space="preserve"> and would hence appropriately address systemic risk. </w:t>
      </w:r>
    </w:p>
    <w:p w14:paraId="7EC5084A" w14:textId="77777777" w:rsidR="00E6294A" w:rsidRDefault="00E6294A" w:rsidP="00E6294A">
      <w:pPr>
        <w:jc w:val="both"/>
        <w:rPr>
          <w:b/>
          <w:bCs/>
          <w:sz w:val="18"/>
          <w:szCs w:val="18"/>
        </w:rPr>
      </w:pPr>
    </w:p>
    <w:p w14:paraId="67DBF5B8" w14:textId="77777777" w:rsidR="00E6294A" w:rsidRDefault="00E6294A" w:rsidP="00E6294A">
      <w:pPr>
        <w:jc w:val="both"/>
        <w:rPr>
          <w:rFonts w:ascii="Arial" w:hAnsi="Arial" w:cs="Arial"/>
          <w:color w:val="000000"/>
          <w:sz w:val="22"/>
          <w:szCs w:val="22"/>
          <w:lang w:eastAsia="en-US"/>
        </w:rPr>
      </w:pPr>
      <w:r>
        <w:rPr>
          <w:rFonts w:ascii="Arial" w:hAnsi="Arial" w:cs="Arial"/>
          <w:color w:val="000000"/>
          <w:sz w:val="22"/>
          <w:szCs w:val="22"/>
          <w:lang w:eastAsia="en-US"/>
        </w:rPr>
        <w:t>We</w:t>
      </w:r>
      <w:r w:rsidRPr="00F07407">
        <w:rPr>
          <w:rFonts w:ascii="Arial" w:hAnsi="Arial" w:cs="Arial"/>
          <w:color w:val="000000"/>
          <w:sz w:val="22"/>
          <w:szCs w:val="22"/>
          <w:lang w:eastAsia="en-US"/>
        </w:rPr>
        <w:t xml:space="preserve"> </w:t>
      </w:r>
      <w:r>
        <w:rPr>
          <w:rFonts w:ascii="Arial" w:hAnsi="Arial" w:cs="Arial"/>
          <w:color w:val="000000"/>
          <w:sz w:val="22"/>
          <w:szCs w:val="22"/>
          <w:lang w:eastAsia="en-US"/>
        </w:rPr>
        <w:t xml:space="preserve">further </w:t>
      </w:r>
      <w:r w:rsidRPr="00F07407">
        <w:rPr>
          <w:rFonts w:ascii="Arial" w:hAnsi="Arial" w:cs="Arial"/>
          <w:color w:val="000000"/>
          <w:sz w:val="22"/>
          <w:szCs w:val="22"/>
          <w:lang w:eastAsia="en-US"/>
        </w:rPr>
        <w:t xml:space="preserve">agree with </w:t>
      </w:r>
      <w:r>
        <w:rPr>
          <w:rFonts w:ascii="Arial" w:hAnsi="Arial" w:cs="Arial"/>
          <w:color w:val="000000"/>
          <w:sz w:val="22"/>
          <w:szCs w:val="22"/>
          <w:lang w:eastAsia="en-US"/>
        </w:rPr>
        <w:t>ESMA’s view that single name CDS “are not a priority for the first [clearing] determination.”</w:t>
      </w:r>
      <w:r>
        <w:rPr>
          <w:rStyle w:val="FootnoteReference"/>
          <w:rFonts w:ascii="Arial" w:hAnsi="Arial"/>
          <w:color w:val="000000"/>
          <w:sz w:val="22"/>
          <w:szCs w:val="22"/>
          <w:lang w:eastAsia="en-US"/>
        </w:rPr>
        <w:footnoteReference w:id="27"/>
      </w:r>
      <w:r>
        <w:rPr>
          <w:rFonts w:ascii="Arial" w:hAnsi="Arial" w:cs="Arial"/>
          <w:color w:val="000000"/>
          <w:sz w:val="22"/>
          <w:szCs w:val="22"/>
          <w:lang w:eastAsia="en-US"/>
        </w:rPr>
        <w:t xml:space="preserve"> We believe that, given the limited liquidity, the fairly recent introduction of clearing for some of the more liquid single-name CDS, and the unique risk management challenges that are related to clearing some of them it is appropriate for ESMA to reach such conclusion based on analysis of the relevant factors.</w:t>
      </w:r>
      <w:r>
        <w:rPr>
          <w:rStyle w:val="FootnoteReference"/>
          <w:rFonts w:ascii="Arial" w:hAnsi="Arial"/>
          <w:color w:val="000000"/>
          <w:sz w:val="22"/>
          <w:szCs w:val="22"/>
          <w:lang w:eastAsia="en-US"/>
        </w:rPr>
        <w:footnoteReference w:id="28"/>
      </w:r>
    </w:p>
    <w:permEnd w:id="1419206484"/>
    <w:p w14:paraId="59A232C2" w14:textId="367812D7" w:rsidR="000E31C3" w:rsidRDefault="000E31C3" w:rsidP="000E31C3">
      <w:r>
        <w:t>&lt;ESMA_QUESTION_3&gt;</w:t>
      </w:r>
    </w:p>
    <w:p w14:paraId="3E8225FA" w14:textId="77777777" w:rsidR="000E31C3" w:rsidRDefault="000E31C3" w:rsidP="000E31C3"/>
    <w:p w14:paraId="69AB40B4" w14:textId="77777777" w:rsidR="003E7EA2" w:rsidRDefault="003E7EA2">
      <w:pPr>
        <w:rPr>
          <w:b/>
        </w:rPr>
      </w:pPr>
      <w:bookmarkStart w:id="14" w:name="_Ref390182009"/>
      <w:bookmarkStart w:id="15" w:name="_Toc392685529"/>
      <w:r>
        <w:br w:type="page"/>
      </w:r>
    </w:p>
    <w:p w14:paraId="3A68E917" w14:textId="77777777" w:rsidR="00AA0857" w:rsidRPr="00AA0857" w:rsidRDefault="000E31C3" w:rsidP="00AA0857">
      <w:pPr>
        <w:pStyle w:val="Heading1"/>
      </w:pPr>
      <w:r w:rsidRPr="00AA0857">
        <w:lastRenderedPageBreak/>
        <w:t>Determination of the dates on which the obligation applies and the categories of counterparties</w:t>
      </w:r>
      <w:bookmarkStart w:id="16" w:name="_Ref392684359"/>
      <w:bookmarkStart w:id="17" w:name="_Ref389061836"/>
      <w:bookmarkEnd w:id="14"/>
      <w:bookmarkEnd w:id="15"/>
    </w:p>
    <w:p w14:paraId="413DF82E" w14:textId="65C2DA0A" w:rsidR="00AA0857" w:rsidRPr="00AA0857" w:rsidRDefault="00AA0857" w:rsidP="00AA0857">
      <w:pPr>
        <w:pStyle w:val="Heading2"/>
      </w:pPr>
      <w:r w:rsidRPr="00AA0857">
        <w:t>Analysis of the criteria relevant for the determination of the dates</w:t>
      </w:r>
      <w:bookmarkEnd w:id="16"/>
      <w:bookmarkEnd w:id="17"/>
    </w:p>
    <w:p w14:paraId="375D529F" w14:textId="77777777" w:rsidR="000E31C3" w:rsidRDefault="000E31C3" w:rsidP="000E31C3"/>
    <w:p w14:paraId="12376D90" w14:textId="6C9A7CB2" w:rsidR="000E31C3" w:rsidRPr="007403B2" w:rsidRDefault="000E31C3" w:rsidP="000E31C3">
      <w:pPr>
        <w:pStyle w:val="Questions"/>
      </w:pPr>
      <w:r w:rsidRPr="007403B2">
        <w:t xml:space="preserve">Question </w:t>
      </w:r>
      <w:fldSimple w:instr=" SEQ Question \* ARABIC ">
        <w:r w:rsidR="001826B9">
          <w:rPr>
            <w:noProof/>
          </w:rPr>
          <w:t>4</w:t>
        </w:r>
      </w:fldSimple>
      <w:r w:rsidRPr="007403B2">
        <w:t>: Do you have any comment on the analysis presented in Section</w:t>
      </w:r>
      <w:r w:rsidR="00082AD5">
        <w:t xml:space="preserve"> 4.1</w:t>
      </w:r>
      <w:r w:rsidRPr="007403B2">
        <w:t>?</w:t>
      </w:r>
    </w:p>
    <w:p w14:paraId="7372F1F2" w14:textId="77777777" w:rsidR="000E31C3" w:rsidRDefault="000E31C3" w:rsidP="000E31C3"/>
    <w:p w14:paraId="1BB8B971" w14:textId="095D2184" w:rsidR="000E31C3" w:rsidRDefault="000E31C3" w:rsidP="000E31C3">
      <w:r>
        <w:t>&lt;ESMA_QUESTION_4&gt;</w:t>
      </w:r>
    </w:p>
    <w:p w14:paraId="18AEE684" w14:textId="77777777" w:rsidR="000E31C3" w:rsidRDefault="000E31C3" w:rsidP="000E31C3">
      <w:permStart w:id="327113600" w:edGrp="everyone"/>
      <w:r>
        <w:t>TYPE YOUR TEXT HERE</w:t>
      </w:r>
    </w:p>
    <w:permEnd w:id="327113600"/>
    <w:p w14:paraId="08CE0DDA" w14:textId="15A025E1" w:rsidR="000E31C3" w:rsidRDefault="000E31C3" w:rsidP="000E31C3">
      <w:r>
        <w:t>&lt;ESMA_QUESTION_4&gt;</w:t>
      </w:r>
    </w:p>
    <w:p w14:paraId="3BD9F7F1" w14:textId="77777777" w:rsidR="000E31C3" w:rsidRDefault="000E31C3" w:rsidP="000E31C3"/>
    <w:p w14:paraId="3F4B4019" w14:textId="77777777" w:rsidR="00AA0857" w:rsidRPr="00AA0857" w:rsidRDefault="00AA0857" w:rsidP="00AA0857">
      <w:pPr>
        <w:pStyle w:val="Heading2"/>
      </w:pPr>
      <w:r w:rsidRPr="00AA0857">
        <w:t>Determination of the categories of counterparties (Criteria (d) to (f))</w:t>
      </w:r>
    </w:p>
    <w:p w14:paraId="7A0305E4" w14:textId="77777777" w:rsidR="0033077A" w:rsidRDefault="0033077A" w:rsidP="000E31C3">
      <w:pPr>
        <w:pStyle w:val="Questions"/>
      </w:pPr>
    </w:p>
    <w:p w14:paraId="0B316A87" w14:textId="01D077B7" w:rsidR="00AA0857" w:rsidRDefault="000E31C3" w:rsidP="000E31C3">
      <w:pPr>
        <w:pStyle w:val="Questions"/>
      </w:pPr>
      <w:r w:rsidRPr="007403B2">
        <w:t xml:space="preserve">Question </w:t>
      </w:r>
      <w:fldSimple w:instr=" SEQ Question \* ARABIC ">
        <w:r w:rsidR="001826B9">
          <w:rPr>
            <w:noProof/>
          </w:rPr>
          <w:t>5</w:t>
        </w:r>
      </w:fldSimple>
      <w:r w:rsidRPr="007403B2">
        <w:t>: Do you agree with the proposal to keep the same definition of the categories of counterparties for the credit and the interest rate asset classes? Please explain why and possible alternatives.</w:t>
      </w:r>
    </w:p>
    <w:p w14:paraId="6105FB6E" w14:textId="77777777" w:rsidR="0033077A" w:rsidRDefault="0033077A" w:rsidP="000E31C3"/>
    <w:p w14:paraId="29D1D6B7" w14:textId="7826AD73" w:rsidR="000E31C3" w:rsidRDefault="000E31C3" w:rsidP="000E31C3">
      <w:r>
        <w:t>&lt;ESMA_QUESTION_5&gt;</w:t>
      </w:r>
    </w:p>
    <w:p w14:paraId="7226E658" w14:textId="77777777" w:rsidR="000E31C3" w:rsidRDefault="000E31C3" w:rsidP="000E31C3">
      <w:permStart w:id="1259478659" w:edGrp="everyone"/>
      <w:r>
        <w:t>TYPE YOUR TEXT HERE</w:t>
      </w:r>
    </w:p>
    <w:permEnd w:id="1259478659"/>
    <w:p w14:paraId="595FC331" w14:textId="021AE42A" w:rsidR="000E31C3" w:rsidRDefault="000E31C3" w:rsidP="000E31C3">
      <w:r>
        <w:t>&lt;ESMA_QUESTION_5&gt;</w:t>
      </w:r>
    </w:p>
    <w:p w14:paraId="5CAFE2D7" w14:textId="77777777" w:rsidR="000E31C3" w:rsidRDefault="000E31C3" w:rsidP="000E31C3"/>
    <w:p w14:paraId="7DDBBED8" w14:textId="77777777" w:rsidR="00AA0857" w:rsidRPr="00AA0857" w:rsidRDefault="00AA0857" w:rsidP="00AA0857">
      <w:pPr>
        <w:pStyle w:val="Heading2"/>
      </w:pPr>
      <w:bookmarkStart w:id="18" w:name="_Ref389061941"/>
      <w:r w:rsidRPr="00AA0857">
        <w:t xml:space="preserve">Determination of the </w:t>
      </w:r>
      <w:bookmarkEnd w:id="18"/>
      <w:r w:rsidRPr="00AA0857">
        <w:t>dates from which the clearing obligation takes effect</w:t>
      </w:r>
    </w:p>
    <w:p w14:paraId="3D8B91B0" w14:textId="77777777" w:rsidR="0033077A" w:rsidRDefault="0033077A" w:rsidP="000E31C3">
      <w:pPr>
        <w:pStyle w:val="Questions"/>
      </w:pPr>
    </w:p>
    <w:p w14:paraId="4CA91018" w14:textId="629E4C2A" w:rsidR="000E31C3" w:rsidRDefault="000E31C3" w:rsidP="000E31C3">
      <w:pPr>
        <w:pStyle w:val="Questions"/>
      </w:pPr>
      <w:r w:rsidRPr="007403B2">
        <w:t xml:space="preserve">Question </w:t>
      </w:r>
      <w:fldSimple w:instr=" SEQ Question \* ARABIC ">
        <w:r w:rsidR="001826B9">
          <w:rPr>
            <w:noProof/>
          </w:rPr>
          <w:t>6</w:t>
        </w:r>
      </w:fldSimple>
      <w:r w:rsidRPr="007403B2">
        <w:t>: Do you consider that the proposed dates of application ensure a smooth implementation of the clearing obligation? Please explain why and possible alternatives.</w:t>
      </w:r>
    </w:p>
    <w:p w14:paraId="2E60E7E7" w14:textId="77777777" w:rsidR="0033077A" w:rsidRDefault="0033077A" w:rsidP="000E31C3"/>
    <w:p w14:paraId="0CDB500C" w14:textId="2EAEDAF4" w:rsidR="000E31C3" w:rsidRDefault="000E31C3" w:rsidP="000E31C3">
      <w:r>
        <w:t>&lt;ESMA_QUESTION_6&gt;</w:t>
      </w:r>
    </w:p>
    <w:p w14:paraId="4909D32F" w14:textId="77777777" w:rsidR="00E6294A" w:rsidRDefault="00E6294A" w:rsidP="00E6294A">
      <w:pPr>
        <w:jc w:val="both"/>
        <w:rPr>
          <w:rFonts w:ascii="Arial" w:hAnsi="Arial" w:cs="Arial"/>
          <w:color w:val="000000"/>
          <w:sz w:val="22"/>
          <w:szCs w:val="22"/>
          <w:lang w:eastAsia="en-US"/>
        </w:rPr>
      </w:pPr>
      <w:permStart w:id="426457662" w:edGrp="everyone"/>
      <w:r>
        <w:rPr>
          <w:rFonts w:ascii="Arial" w:hAnsi="Arial" w:cs="Arial"/>
          <w:color w:val="000000"/>
          <w:sz w:val="22"/>
          <w:szCs w:val="22"/>
          <w:lang w:eastAsia="en-US"/>
        </w:rPr>
        <w:t>ESMA proposed a phase-in schedule for the clearing obligation consisting of three phases, namely 6 months, 18 months and 3 years after entry into force of the RTS for Category 1, 2 and 3 counterparties respectively.</w:t>
      </w:r>
      <w:r>
        <w:rPr>
          <w:rStyle w:val="FootnoteReference"/>
          <w:rFonts w:ascii="Arial" w:hAnsi="Arial"/>
          <w:color w:val="000000"/>
          <w:sz w:val="22"/>
          <w:szCs w:val="22"/>
          <w:lang w:eastAsia="en-US"/>
        </w:rPr>
        <w:footnoteReference w:id="29"/>
      </w:r>
      <w:r>
        <w:rPr>
          <w:rFonts w:ascii="Arial" w:hAnsi="Arial" w:cs="Arial"/>
          <w:color w:val="000000"/>
          <w:sz w:val="22"/>
          <w:szCs w:val="22"/>
          <w:lang w:eastAsia="en-US"/>
        </w:rPr>
        <w:t xml:space="preserve"> </w:t>
      </w:r>
    </w:p>
    <w:p w14:paraId="18F77FB4" w14:textId="77777777" w:rsidR="00E6294A" w:rsidRDefault="00E6294A" w:rsidP="00E6294A">
      <w:pPr>
        <w:jc w:val="both"/>
        <w:rPr>
          <w:rFonts w:ascii="Arial" w:hAnsi="Arial" w:cs="Arial"/>
          <w:color w:val="000000"/>
          <w:sz w:val="22"/>
          <w:szCs w:val="22"/>
          <w:lang w:eastAsia="en-US"/>
        </w:rPr>
      </w:pPr>
    </w:p>
    <w:p w14:paraId="69EAD6C2" w14:textId="77777777" w:rsidR="00E6294A" w:rsidRDefault="00E6294A" w:rsidP="00E6294A">
      <w:pPr>
        <w:jc w:val="both"/>
        <w:rPr>
          <w:rFonts w:ascii="Arial" w:hAnsi="Arial" w:cs="Arial"/>
          <w:color w:val="000000"/>
          <w:sz w:val="22"/>
          <w:szCs w:val="22"/>
          <w:lang w:eastAsia="en-US"/>
        </w:rPr>
      </w:pPr>
      <w:r w:rsidRPr="00640DDE">
        <w:rPr>
          <w:rFonts w:ascii="Arial" w:hAnsi="Arial" w:cs="Arial"/>
          <w:color w:val="000000"/>
          <w:sz w:val="22"/>
          <w:szCs w:val="22"/>
          <w:lang w:eastAsia="en-US"/>
        </w:rPr>
        <w:t>We believe that the phas</w:t>
      </w:r>
      <w:r>
        <w:rPr>
          <w:rFonts w:ascii="Arial" w:hAnsi="Arial" w:cs="Arial"/>
          <w:color w:val="000000"/>
          <w:sz w:val="22"/>
          <w:szCs w:val="22"/>
          <w:lang w:eastAsia="en-US"/>
        </w:rPr>
        <w:t>ed-</w:t>
      </w:r>
      <w:r w:rsidRPr="00640DDE">
        <w:rPr>
          <w:rFonts w:ascii="Arial" w:hAnsi="Arial" w:cs="Arial"/>
          <w:color w:val="000000"/>
          <w:sz w:val="22"/>
          <w:szCs w:val="22"/>
          <w:lang w:eastAsia="en-US"/>
        </w:rPr>
        <w:t xml:space="preserve">in </w:t>
      </w:r>
      <w:r>
        <w:rPr>
          <w:rFonts w:ascii="Arial" w:hAnsi="Arial" w:cs="Arial"/>
          <w:color w:val="000000"/>
          <w:sz w:val="22"/>
          <w:szCs w:val="22"/>
          <w:lang w:eastAsia="en-US"/>
        </w:rPr>
        <w:t xml:space="preserve">implementation of the clearing obligation for OTC credit derivatives as proposed by ESMA </w:t>
      </w:r>
      <w:r w:rsidRPr="00640DDE">
        <w:rPr>
          <w:rFonts w:ascii="Arial" w:hAnsi="Arial" w:cs="Arial"/>
          <w:color w:val="000000"/>
          <w:sz w:val="22"/>
          <w:szCs w:val="22"/>
          <w:lang w:eastAsia="en-US"/>
        </w:rPr>
        <w:t xml:space="preserve">is </w:t>
      </w:r>
      <w:r>
        <w:rPr>
          <w:rFonts w:ascii="Arial" w:hAnsi="Arial" w:cs="Arial"/>
          <w:color w:val="000000"/>
          <w:sz w:val="22"/>
          <w:szCs w:val="22"/>
          <w:lang w:eastAsia="en-US"/>
        </w:rPr>
        <w:t xml:space="preserve">generally </w:t>
      </w:r>
      <w:r w:rsidRPr="00640DDE">
        <w:rPr>
          <w:rFonts w:ascii="Arial" w:hAnsi="Arial" w:cs="Arial"/>
          <w:color w:val="000000"/>
          <w:sz w:val="22"/>
          <w:szCs w:val="22"/>
          <w:lang w:eastAsia="en-US"/>
        </w:rPr>
        <w:t>reasonable</w:t>
      </w:r>
      <w:r>
        <w:rPr>
          <w:rFonts w:ascii="Arial" w:hAnsi="Arial" w:cs="Arial"/>
          <w:color w:val="000000"/>
          <w:sz w:val="22"/>
          <w:szCs w:val="22"/>
          <w:lang w:eastAsia="en-US"/>
        </w:rPr>
        <w:t>. This is particularly true for Category 1 counterparties, i.e. those that are Clearing Members,</w:t>
      </w:r>
      <w:r w:rsidRPr="00640DDE">
        <w:rPr>
          <w:rFonts w:ascii="Arial" w:hAnsi="Arial" w:cs="Arial"/>
          <w:color w:val="000000"/>
          <w:sz w:val="22"/>
          <w:szCs w:val="22"/>
          <w:lang w:eastAsia="en-US"/>
        </w:rPr>
        <w:t xml:space="preserve"> </w:t>
      </w:r>
      <w:r>
        <w:rPr>
          <w:rFonts w:ascii="Arial" w:hAnsi="Arial" w:cs="Arial"/>
          <w:color w:val="000000"/>
          <w:sz w:val="22"/>
          <w:szCs w:val="22"/>
          <w:lang w:eastAsia="en-US"/>
        </w:rPr>
        <w:t>as they will already</w:t>
      </w:r>
      <w:r w:rsidRPr="00640DDE">
        <w:rPr>
          <w:rFonts w:ascii="Arial" w:hAnsi="Arial" w:cs="Arial"/>
          <w:color w:val="000000"/>
          <w:sz w:val="22"/>
          <w:szCs w:val="22"/>
          <w:lang w:eastAsia="en-US"/>
        </w:rPr>
        <w:t xml:space="preserve"> centrally clear a substantial amount of their transaction</w:t>
      </w:r>
      <w:r>
        <w:rPr>
          <w:rFonts w:ascii="Arial" w:hAnsi="Arial" w:cs="Arial"/>
          <w:color w:val="000000"/>
          <w:sz w:val="22"/>
          <w:szCs w:val="22"/>
          <w:lang w:eastAsia="en-US"/>
        </w:rPr>
        <w:t>s in credit derivatives</w:t>
      </w:r>
      <w:r w:rsidRPr="00640DDE">
        <w:rPr>
          <w:rFonts w:ascii="Arial" w:hAnsi="Arial" w:cs="Arial"/>
          <w:color w:val="000000"/>
          <w:sz w:val="22"/>
          <w:szCs w:val="22"/>
          <w:lang w:eastAsia="en-US"/>
        </w:rPr>
        <w:t xml:space="preserve"> today. We </w:t>
      </w:r>
      <w:r>
        <w:rPr>
          <w:rFonts w:ascii="Arial" w:hAnsi="Arial" w:cs="Arial"/>
          <w:color w:val="000000"/>
          <w:sz w:val="22"/>
          <w:szCs w:val="22"/>
          <w:lang w:eastAsia="en-US"/>
        </w:rPr>
        <w:t>also</w:t>
      </w:r>
      <w:r w:rsidRPr="00640DDE">
        <w:rPr>
          <w:rFonts w:ascii="Arial" w:hAnsi="Arial" w:cs="Arial"/>
          <w:color w:val="000000"/>
          <w:sz w:val="22"/>
          <w:szCs w:val="22"/>
          <w:lang w:eastAsia="en-US"/>
        </w:rPr>
        <w:t xml:space="preserve"> believe that </w:t>
      </w:r>
      <w:r>
        <w:rPr>
          <w:rFonts w:ascii="Arial" w:hAnsi="Arial" w:cs="Arial"/>
          <w:color w:val="000000"/>
          <w:sz w:val="22"/>
          <w:szCs w:val="22"/>
          <w:lang w:eastAsia="en-US"/>
        </w:rPr>
        <w:t xml:space="preserve">providing Category 2 counterparties with a further </w:t>
      </w:r>
      <w:r w:rsidRPr="00640DDE">
        <w:rPr>
          <w:rFonts w:ascii="Arial" w:hAnsi="Arial" w:cs="Arial"/>
          <w:color w:val="000000"/>
          <w:sz w:val="22"/>
          <w:szCs w:val="22"/>
          <w:lang w:eastAsia="en-US"/>
        </w:rPr>
        <w:t>1</w:t>
      </w:r>
      <w:r>
        <w:rPr>
          <w:rFonts w:ascii="Arial" w:hAnsi="Arial" w:cs="Arial"/>
          <w:color w:val="000000"/>
          <w:sz w:val="22"/>
          <w:szCs w:val="22"/>
          <w:lang w:eastAsia="en-US"/>
        </w:rPr>
        <w:t xml:space="preserve"> year phase-in is generally </w:t>
      </w:r>
      <w:r w:rsidRPr="00640DDE">
        <w:rPr>
          <w:rFonts w:ascii="Arial" w:hAnsi="Arial" w:cs="Arial"/>
          <w:color w:val="000000"/>
          <w:sz w:val="22"/>
          <w:szCs w:val="22"/>
          <w:lang w:eastAsia="en-US"/>
        </w:rPr>
        <w:t>reasonable.</w:t>
      </w:r>
      <w:r>
        <w:rPr>
          <w:rFonts w:ascii="Arial" w:hAnsi="Arial" w:cs="Arial"/>
          <w:color w:val="000000"/>
          <w:sz w:val="22"/>
          <w:szCs w:val="22"/>
          <w:lang w:eastAsia="en-US"/>
        </w:rPr>
        <w:t xml:space="preserve"> However, ESMA should be cognisant of the fact that a substantial number of counterparties that are active in OTC credit derivatives today are not yet set up to centrally clear these transactions resulting in a need for a large number of firms to “</w:t>
      </w:r>
      <w:proofErr w:type="spellStart"/>
      <w:r>
        <w:rPr>
          <w:rFonts w:ascii="Arial" w:hAnsi="Arial" w:cs="Arial"/>
          <w:color w:val="000000"/>
          <w:sz w:val="22"/>
          <w:szCs w:val="22"/>
          <w:lang w:eastAsia="en-US"/>
        </w:rPr>
        <w:t>onboard</w:t>
      </w:r>
      <w:proofErr w:type="spellEnd"/>
      <w:r>
        <w:rPr>
          <w:rFonts w:ascii="Arial" w:hAnsi="Arial" w:cs="Arial"/>
          <w:color w:val="000000"/>
          <w:sz w:val="22"/>
          <w:szCs w:val="22"/>
          <w:lang w:eastAsia="en-US"/>
        </w:rPr>
        <w:t>” ahead of a clearing obligation applying to them. Despite the proposed phase-in there is hence a significant risk of a “bottleneck situation”</w:t>
      </w:r>
      <w:r>
        <w:rPr>
          <w:rStyle w:val="FootnoteReference"/>
          <w:rFonts w:ascii="Arial" w:hAnsi="Arial"/>
          <w:color w:val="000000"/>
          <w:sz w:val="22"/>
          <w:szCs w:val="22"/>
          <w:lang w:eastAsia="en-US"/>
        </w:rPr>
        <w:footnoteReference w:id="30"/>
      </w:r>
      <w:r>
        <w:rPr>
          <w:rFonts w:ascii="Arial" w:hAnsi="Arial" w:cs="Arial"/>
          <w:color w:val="000000"/>
          <w:sz w:val="22"/>
          <w:szCs w:val="22"/>
          <w:lang w:eastAsia="en-US"/>
        </w:rPr>
        <w:t xml:space="preserve"> in relation to </w:t>
      </w:r>
      <w:proofErr w:type="spellStart"/>
      <w:r>
        <w:rPr>
          <w:rFonts w:ascii="Arial" w:hAnsi="Arial" w:cs="Arial"/>
          <w:color w:val="000000"/>
          <w:sz w:val="22"/>
          <w:szCs w:val="22"/>
          <w:lang w:eastAsia="en-US"/>
        </w:rPr>
        <w:t>onboarding</w:t>
      </w:r>
      <w:proofErr w:type="spellEnd"/>
      <w:r>
        <w:rPr>
          <w:rFonts w:ascii="Arial" w:hAnsi="Arial" w:cs="Arial"/>
          <w:color w:val="000000"/>
          <w:sz w:val="22"/>
          <w:szCs w:val="22"/>
          <w:lang w:eastAsia="en-US"/>
        </w:rPr>
        <w:t>. As experience in other jurisdictions has shown,</w:t>
      </w:r>
      <w:r>
        <w:rPr>
          <w:rStyle w:val="FootnoteReference"/>
          <w:rFonts w:ascii="Arial" w:hAnsi="Arial"/>
          <w:color w:val="000000"/>
          <w:sz w:val="22"/>
          <w:szCs w:val="22"/>
          <w:lang w:eastAsia="en-US"/>
        </w:rPr>
        <w:footnoteReference w:id="31"/>
      </w:r>
      <w:r>
        <w:rPr>
          <w:rFonts w:ascii="Arial" w:hAnsi="Arial" w:cs="Arial"/>
          <w:color w:val="000000"/>
          <w:sz w:val="22"/>
          <w:szCs w:val="22"/>
          <w:lang w:eastAsia="en-US"/>
        </w:rPr>
        <w:t xml:space="preserve"> many of </w:t>
      </w:r>
      <w:r>
        <w:rPr>
          <w:rFonts w:ascii="Arial" w:hAnsi="Arial" w:cs="Arial"/>
          <w:color w:val="000000"/>
          <w:sz w:val="22"/>
          <w:szCs w:val="22"/>
          <w:lang w:eastAsia="en-US"/>
        </w:rPr>
        <w:lastRenderedPageBreak/>
        <w:t xml:space="preserve">these firms will be naturally inclined to delay their </w:t>
      </w:r>
      <w:proofErr w:type="spellStart"/>
      <w:r>
        <w:rPr>
          <w:rFonts w:ascii="Arial" w:hAnsi="Arial" w:cs="Arial"/>
          <w:color w:val="000000"/>
          <w:sz w:val="22"/>
          <w:szCs w:val="22"/>
          <w:lang w:eastAsia="en-US"/>
        </w:rPr>
        <w:t>onboarding</w:t>
      </w:r>
      <w:proofErr w:type="spellEnd"/>
      <w:r>
        <w:rPr>
          <w:rFonts w:ascii="Arial" w:hAnsi="Arial" w:cs="Arial"/>
          <w:color w:val="000000"/>
          <w:sz w:val="22"/>
          <w:szCs w:val="22"/>
          <w:lang w:eastAsia="en-US"/>
        </w:rPr>
        <w:t xml:space="preserve"> until close to the compliance date.</w:t>
      </w:r>
      <w:r w:rsidRPr="00640DDE">
        <w:rPr>
          <w:rFonts w:ascii="Arial" w:hAnsi="Arial" w:cs="Arial"/>
          <w:color w:val="000000"/>
          <w:sz w:val="22"/>
          <w:szCs w:val="22"/>
          <w:lang w:eastAsia="en-US"/>
        </w:rPr>
        <w:t xml:space="preserve"> </w:t>
      </w:r>
      <w:r>
        <w:rPr>
          <w:rFonts w:ascii="Arial" w:hAnsi="Arial" w:cs="Arial"/>
          <w:color w:val="000000"/>
          <w:sz w:val="22"/>
          <w:szCs w:val="22"/>
          <w:lang w:eastAsia="en-US"/>
        </w:rPr>
        <w:t>We believe that ESMA and National Competent Authorities could reduce this risk by ensuring that Category 2 counterparties in particular prepare for central clearing well ahead of time and/or encourage them to start centrally clearing before the actual compliance dates.</w:t>
      </w:r>
    </w:p>
    <w:p w14:paraId="713DBD6B" w14:textId="77777777" w:rsidR="00E6294A" w:rsidRDefault="00E6294A" w:rsidP="00E6294A">
      <w:pPr>
        <w:jc w:val="both"/>
        <w:rPr>
          <w:rFonts w:ascii="Arial" w:hAnsi="Arial" w:cs="Arial"/>
          <w:color w:val="000000"/>
          <w:sz w:val="22"/>
          <w:szCs w:val="22"/>
          <w:lang w:eastAsia="en-US"/>
        </w:rPr>
      </w:pPr>
    </w:p>
    <w:p w14:paraId="6898B61E" w14:textId="77777777" w:rsidR="00E6294A" w:rsidRDefault="00E6294A" w:rsidP="00E6294A">
      <w:pPr>
        <w:jc w:val="both"/>
        <w:rPr>
          <w:rFonts w:ascii="Arial" w:hAnsi="Arial" w:cs="Arial"/>
          <w:color w:val="000000"/>
          <w:sz w:val="22"/>
          <w:szCs w:val="22"/>
          <w:lang w:eastAsia="en-US"/>
        </w:rPr>
      </w:pPr>
      <w:r>
        <w:rPr>
          <w:rFonts w:ascii="Arial" w:hAnsi="Arial" w:cs="Arial"/>
          <w:color w:val="000000"/>
          <w:sz w:val="22"/>
          <w:szCs w:val="22"/>
          <w:lang w:eastAsia="en-US"/>
        </w:rPr>
        <w:t>ESMA should also be aware of the operational challenges that will be created by the ongoing need for Category 3 counterparties</w:t>
      </w:r>
      <w:r w:rsidRPr="00640DDE">
        <w:rPr>
          <w:rFonts w:ascii="Arial" w:hAnsi="Arial" w:cs="Arial"/>
          <w:color w:val="000000"/>
          <w:sz w:val="22"/>
          <w:szCs w:val="22"/>
          <w:lang w:eastAsia="en-US"/>
        </w:rPr>
        <w:t xml:space="preserve"> </w:t>
      </w:r>
      <w:r>
        <w:rPr>
          <w:rFonts w:ascii="Arial" w:hAnsi="Arial" w:cs="Arial"/>
          <w:color w:val="000000"/>
          <w:sz w:val="22"/>
          <w:szCs w:val="22"/>
          <w:lang w:eastAsia="en-US"/>
        </w:rPr>
        <w:t xml:space="preserve">to </w:t>
      </w:r>
      <w:r w:rsidRPr="00640DDE">
        <w:rPr>
          <w:rFonts w:ascii="Arial" w:hAnsi="Arial" w:cs="Arial"/>
          <w:color w:val="000000"/>
          <w:sz w:val="22"/>
          <w:szCs w:val="22"/>
          <w:lang w:eastAsia="en-US"/>
        </w:rPr>
        <w:t xml:space="preserve">inform their counterparties </w:t>
      </w:r>
      <w:r>
        <w:rPr>
          <w:rFonts w:ascii="Arial" w:hAnsi="Arial" w:cs="Arial"/>
          <w:color w:val="000000"/>
          <w:sz w:val="22"/>
          <w:szCs w:val="22"/>
          <w:lang w:eastAsia="en-US"/>
        </w:rPr>
        <w:t>if</w:t>
      </w:r>
      <w:r w:rsidRPr="00640DDE">
        <w:rPr>
          <w:rFonts w:ascii="Arial" w:hAnsi="Arial" w:cs="Arial"/>
          <w:color w:val="000000"/>
          <w:sz w:val="22"/>
          <w:szCs w:val="22"/>
          <w:lang w:eastAsia="en-US"/>
        </w:rPr>
        <w:t xml:space="preserve"> they have exceeded the</w:t>
      </w:r>
      <w:r>
        <w:rPr>
          <w:rFonts w:ascii="Arial" w:hAnsi="Arial" w:cs="Arial"/>
          <w:color w:val="000000"/>
          <w:sz w:val="22"/>
          <w:szCs w:val="22"/>
          <w:lang w:eastAsia="en-US"/>
        </w:rPr>
        <w:t xml:space="preserve"> clearing</w:t>
      </w:r>
      <w:r w:rsidRPr="00640DDE">
        <w:rPr>
          <w:rFonts w:ascii="Arial" w:hAnsi="Arial" w:cs="Arial"/>
          <w:color w:val="000000"/>
          <w:sz w:val="22"/>
          <w:szCs w:val="22"/>
          <w:lang w:eastAsia="en-US"/>
        </w:rPr>
        <w:t xml:space="preserve"> threshold and must </w:t>
      </w:r>
      <w:r>
        <w:rPr>
          <w:rFonts w:ascii="Arial" w:hAnsi="Arial" w:cs="Arial"/>
          <w:color w:val="000000"/>
          <w:sz w:val="22"/>
          <w:szCs w:val="22"/>
          <w:lang w:eastAsia="en-US"/>
        </w:rPr>
        <w:t xml:space="preserve">then </w:t>
      </w:r>
      <w:r w:rsidRPr="00640DDE">
        <w:rPr>
          <w:rFonts w:ascii="Arial" w:hAnsi="Arial" w:cs="Arial"/>
          <w:color w:val="000000"/>
          <w:sz w:val="22"/>
          <w:szCs w:val="22"/>
          <w:lang w:eastAsia="en-US"/>
        </w:rPr>
        <w:t>clear</w:t>
      </w:r>
      <w:r>
        <w:rPr>
          <w:rFonts w:ascii="Arial" w:hAnsi="Arial" w:cs="Arial"/>
          <w:color w:val="000000"/>
          <w:sz w:val="22"/>
          <w:szCs w:val="22"/>
          <w:lang w:eastAsia="en-US"/>
        </w:rPr>
        <w:t>.</w:t>
      </w:r>
      <w:r w:rsidRPr="00640DDE">
        <w:rPr>
          <w:rFonts w:ascii="Arial" w:hAnsi="Arial" w:cs="Arial"/>
          <w:color w:val="000000"/>
          <w:sz w:val="22"/>
          <w:szCs w:val="22"/>
          <w:lang w:eastAsia="en-US"/>
        </w:rPr>
        <w:t> </w:t>
      </w:r>
      <w:r>
        <w:rPr>
          <w:rFonts w:ascii="Arial" w:hAnsi="Arial" w:cs="Arial"/>
          <w:color w:val="000000"/>
          <w:sz w:val="22"/>
          <w:szCs w:val="22"/>
          <w:lang w:eastAsia="en-US"/>
        </w:rPr>
        <w:t>Experience with similar requirements in other jurisdictions has shown that third party platforms can be helpful in addressing such challenges in relation to gathering the relevant information from firms and making it available to their counterparties.</w:t>
      </w:r>
      <w:r>
        <w:rPr>
          <w:rStyle w:val="FootnoteReference"/>
          <w:rFonts w:ascii="Arial" w:hAnsi="Arial"/>
          <w:color w:val="000000"/>
          <w:sz w:val="22"/>
          <w:szCs w:val="22"/>
          <w:lang w:eastAsia="en-US"/>
        </w:rPr>
        <w:footnoteReference w:id="32"/>
      </w:r>
      <w:r>
        <w:rPr>
          <w:rFonts w:ascii="Arial" w:hAnsi="Arial" w:cs="Arial"/>
          <w:color w:val="000000"/>
          <w:sz w:val="22"/>
          <w:szCs w:val="22"/>
          <w:lang w:eastAsia="en-US"/>
        </w:rPr>
        <w:t xml:space="preserve"> </w:t>
      </w:r>
    </w:p>
    <w:p w14:paraId="458F8DAA" w14:textId="77777777" w:rsidR="00E6294A" w:rsidRDefault="00E6294A" w:rsidP="00E6294A">
      <w:pPr>
        <w:jc w:val="both"/>
        <w:rPr>
          <w:rFonts w:ascii="Arial" w:hAnsi="Arial" w:cs="Arial"/>
          <w:color w:val="000000"/>
          <w:sz w:val="22"/>
          <w:szCs w:val="22"/>
          <w:lang w:eastAsia="en-US"/>
        </w:rPr>
      </w:pPr>
    </w:p>
    <w:p w14:paraId="2F3A9AC2" w14:textId="77777777" w:rsidR="00E6294A" w:rsidRPr="005240A5" w:rsidRDefault="00E6294A" w:rsidP="00E6294A">
      <w:pPr>
        <w:jc w:val="both"/>
        <w:rPr>
          <w:rFonts w:ascii="Arial" w:hAnsi="Arial" w:cs="Arial"/>
          <w:b/>
          <w:color w:val="000000"/>
          <w:sz w:val="22"/>
          <w:szCs w:val="22"/>
          <w:lang w:eastAsia="en-US"/>
        </w:rPr>
      </w:pPr>
      <w:r>
        <w:rPr>
          <w:rFonts w:ascii="Arial" w:hAnsi="Arial" w:cs="Arial"/>
          <w:b/>
          <w:color w:val="000000"/>
          <w:sz w:val="22"/>
          <w:szCs w:val="22"/>
          <w:lang w:eastAsia="en-US"/>
        </w:rPr>
        <w:t>Implementation timing</w:t>
      </w:r>
    </w:p>
    <w:p w14:paraId="764FE2CF" w14:textId="77777777" w:rsidR="00E6294A" w:rsidRDefault="00E6294A" w:rsidP="00E6294A">
      <w:pPr>
        <w:jc w:val="both"/>
        <w:rPr>
          <w:rFonts w:ascii="Arial" w:hAnsi="Arial" w:cs="Arial"/>
          <w:color w:val="000000"/>
          <w:sz w:val="22"/>
          <w:szCs w:val="22"/>
          <w:lang w:eastAsia="en-US"/>
        </w:rPr>
      </w:pPr>
    </w:p>
    <w:p w14:paraId="71BD1356" w14:textId="77777777" w:rsidR="00E6294A" w:rsidRDefault="00E6294A" w:rsidP="00E6294A">
      <w:pPr>
        <w:jc w:val="both"/>
        <w:rPr>
          <w:rFonts w:ascii="Arial" w:hAnsi="Arial" w:cs="Arial"/>
          <w:color w:val="000000"/>
          <w:sz w:val="22"/>
          <w:szCs w:val="22"/>
          <w:lang w:eastAsia="en-US"/>
        </w:rPr>
      </w:pPr>
      <w:r>
        <w:rPr>
          <w:rFonts w:ascii="Arial" w:hAnsi="Arial" w:cs="Arial"/>
          <w:color w:val="000000"/>
          <w:sz w:val="22"/>
          <w:szCs w:val="22"/>
          <w:lang w:eastAsia="en-US"/>
        </w:rPr>
        <w:t>As</w:t>
      </w:r>
      <w:r w:rsidRPr="002E3D1D">
        <w:rPr>
          <w:rFonts w:ascii="Arial" w:hAnsi="Arial" w:cs="Arial"/>
          <w:color w:val="000000"/>
          <w:sz w:val="22"/>
          <w:szCs w:val="22"/>
          <w:lang w:eastAsia="en-US"/>
        </w:rPr>
        <w:t xml:space="preserve"> a general matter, we urge ESMA to be cognisant of </w:t>
      </w:r>
      <w:r>
        <w:rPr>
          <w:rFonts w:ascii="Arial" w:hAnsi="Arial" w:cs="Arial"/>
          <w:color w:val="000000"/>
          <w:sz w:val="22"/>
          <w:szCs w:val="22"/>
          <w:lang w:eastAsia="en-US"/>
        </w:rPr>
        <w:t>a)</w:t>
      </w:r>
      <w:r w:rsidRPr="002E3D1D">
        <w:rPr>
          <w:rFonts w:ascii="Arial" w:hAnsi="Arial" w:cs="Arial"/>
          <w:color w:val="000000"/>
          <w:sz w:val="22"/>
          <w:szCs w:val="22"/>
          <w:lang w:eastAsia="en-US"/>
        </w:rPr>
        <w:t xml:space="preserve"> the time during the year and </w:t>
      </w:r>
      <w:r>
        <w:rPr>
          <w:rFonts w:ascii="Arial" w:hAnsi="Arial" w:cs="Arial"/>
          <w:color w:val="000000"/>
          <w:sz w:val="22"/>
          <w:szCs w:val="22"/>
          <w:lang w:eastAsia="en-US"/>
        </w:rPr>
        <w:t xml:space="preserve">b) </w:t>
      </w:r>
      <w:r w:rsidRPr="002E3D1D">
        <w:rPr>
          <w:rFonts w:ascii="Arial" w:hAnsi="Arial" w:cs="Arial"/>
          <w:color w:val="000000"/>
          <w:sz w:val="22"/>
          <w:szCs w:val="22"/>
          <w:lang w:eastAsia="en-US"/>
        </w:rPr>
        <w:t xml:space="preserve">the day of the week when the clearing obligation would start for the different categories of counterparties. </w:t>
      </w:r>
      <w:r>
        <w:rPr>
          <w:rFonts w:ascii="Arial" w:hAnsi="Arial" w:cs="Arial"/>
          <w:color w:val="000000"/>
          <w:sz w:val="22"/>
          <w:szCs w:val="22"/>
          <w:lang w:eastAsia="en-US"/>
        </w:rPr>
        <w:t>Specifically, we recommend that:</w:t>
      </w:r>
    </w:p>
    <w:p w14:paraId="7D9BB8E8" w14:textId="77777777" w:rsidR="00E6294A" w:rsidRDefault="00E6294A" w:rsidP="00E6294A">
      <w:pPr>
        <w:jc w:val="both"/>
        <w:rPr>
          <w:rFonts w:ascii="Arial" w:hAnsi="Arial" w:cs="Arial"/>
          <w:color w:val="000000"/>
          <w:sz w:val="22"/>
          <w:szCs w:val="22"/>
          <w:lang w:eastAsia="en-US"/>
        </w:rPr>
      </w:pPr>
    </w:p>
    <w:p w14:paraId="5A11A76C" w14:textId="77777777" w:rsidR="00E6294A" w:rsidRPr="00577A7C" w:rsidRDefault="00E6294A" w:rsidP="00E6294A">
      <w:pPr>
        <w:pStyle w:val="ListParagraph"/>
        <w:numPr>
          <w:ilvl w:val="0"/>
          <w:numId w:val="20"/>
        </w:numPr>
        <w:contextualSpacing w:val="0"/>
        <w:jc w:val="both"/>
        <w:rPr>
          <w:rFonts w:ascii="Arial" w:hAnsi="Arial" w:cs="Arial"/>
          <w:color w:val="000000"/>
          <w:sz w:val="22"/>
          <w:szCs w:val="22"/>
          <w:lang w:eastAsia="en-US"/>
        </w:rPr>
      </w:pPr>
      <w:r w:rsidRPr="00577A7C">
        <w:rPr>
          <w:rFonts w:ascii="Arial" w:hAnsi="Arial" w:cs="Arial"/>
          <w:color w:val="000000"/>
          <w:sz w:val="22"/>
          <w:szCs w:val="22"/>
          <w:lang w:eastAsia="en-US"/>
        </w:rPr>
        <w:t xml:space="preserve">The start date for the clearing obligation should not fall onto the end of the year. This is because at this time of the year IT-related challenges such as general “code freezes” will make implementation much more challenging for counterparties and providers of market infrastructure alike. </w:t>
      </w:r>
    </w:p>
    <w:p w14:paraId="7250BFE9" w14:textId="77777777" w:rsidR="00E6294A" w:rsidRPr="00577A7C" w:rsidRDefault="00E6294A" w:rsidP="00E6294A">
      <w:pPr>
        <w:pStyle w:val="ListParagraph"/>
        <w:jc w:val="both"/>
        <w:rPr>
          <w:rFonts w:ascii="Arial" w:hAnsi="Arial" w:cs="Arial"/>
          <w:color w:val="000000"/>
          <w:sz w:val="22"/>
          <w:szCs w:val="22"/>
          <w:lang w:eastAsia="en-US"/>
        </w:rPr>
      </w:pPr>
    </w:p>
    <w:p w14:paraId="1EDF3A25" w14:textId="77777777" w:rsidR="00E6294A" w:rsidRPr="00577A7C" w:rsidRDefault="00E6294A" w:rsidP="00E6294A">
      <w:pPr>
        <w:pStyle w:val="ListParagraph"/>
        <w:numPr>
          <w:ilvl w:val="0"/>
          <w:numId w:val="20"/>
        </w:numPr>
        <w:contextualSpacing w:val="0"/>
        <w:jc w:val="both"/>
        <w:rPr>
          <w:rFonts w:ascii="Arial" w:hAnsi="Arial" w:cs="Arial"/>
          <w:color w:val="000000"/>
          <w:sz w:val="22"/>
          <w:szCs w:val="22"/>
          <w:lang w:eastAsia="en-US"/>
        </w:rPr>
      </w:pPr>
      <w:r w:rsidRPr="00577A7C">
        <w:rPr>
          <w:rFonts w:ascii="Arial" w:hAnsi="Arial" w:cs="Arial"/>
          <w:color w:val="000000"/>
          <w:sz w:val="22"/>
          <w:szCs w:val="22"/>
          <w:lang w:eastAsia="en-US"/>
        </w:rPr>
        <w:t xml:space="preserve">The implementation of the clearing requirement would best fall on a Monday rather than on a weekday. This is because such timing will allow CCPs, counterparties and infrastructure providers to perform final testing over the weekend when the markets are closed and there is no need to process “live” transactions. </w:t>
      </w:r>
    </w:p>
    <w:p w14:paraId="74C65184" w14:textId="77777777" w:rsidR="00E6294A" w:rsidRDefault="00E6294A" w:rsidP="00E6294A">
      <w:pPr>
        <w:jc w:val="both"/>
        <w:rPr>
          <w:rFonts w:ascii="Arial" w:hAnsi="Arial" w:cs="Arial"/>
          <w:color w:val="000000"/>
          <w:sz w:val="22"/>
          <w:szCs w:val="22"/>
          <w:lang w:eastAsia="en-US"/>
        </w:rPr>
      </w:pPr>
    </w:p>
    <w:p w14:paraId="77321801" w14:textId="77777777" w:rsidR="00E6294A" w:rsidRDefault="00E6294A" w:rsidP="00E6294A">
      <w:pPr>
        <w:jc w:val="both"/>
        <w:rPr>
          <w:rFonts w:ascii="Arial" w:hAnsi="Arial" w:cs="Arial"/>
          <w:b/>
          <w:color w:val="000000"/>
          <w:sz w:val="22"/>
          <w:szCs w:val="22"/>
          <w:lang w:eastAsia="en-US"/>
        </w:rPr>
      </w:pPr>
    </w:p>
    <w:p w14:paraId="57CFE382" w14:textId="77777777" w:rsidR="00E6294A" w:rsidRPr="005240A5" w:rsidRDefault="00E6294A" w:rsidP="00E6294A">
      <w:pPr>
        <w:jc w:val="both"/>
        <w:rPr>
          <w:rFonts w:ascii="Arial" w:hAnsi="Arial" w:cs="Arial"/>
          <w:b/>
          <w:color w:val="000000"/>
          <w:sz w:val="22"/>
          <w:szCs w:val="22"/>
          <w:lang w:eastAsia="en-US"/>
        </w:rPr>
      </w:pPr>
      <w:r w:rsidRPr="005240A5">
        <w:rPr>
          <w:rFonts w:ascii="Arial" w:hAnsi="Arial" w:cs="Arial"/>
          <w:b/>
          <w:color w:val="000000"/>
          <w:sz w:val="22"/>
          <w:szCs w:val="22"/>
          <w:lang w:eastAsia="en-US"/>
        </w:rPr>
        <w:t>Indirect client clearing</w:t>
      </w:r>
    </w:p>
    <w:p w14:paraId="5D57E9E3" w14:textId="77777777" w:rsidR="00E6294A" w:rsidRDefault="00E6294A" w:rsidP="00E6294A">
      <w:pPr>
        <w:jc w:val="both"/>
        <w:rPr>
          <w:rFonts w:ascii="Arial" w:hAnsi="Arial" w:cs="Arial"/>
          <w:color w:val="000000"/>
          <w:sz w:val="22"/>
          <w:szCs w:val="22"/>
          <w:lang w:eastAsia="en-US"/>
        </w:rPr>
      </w:pPr>
    </w:p>
    <w:p w14:paraId="10B48661" w14:textId="77777777" w:rsidR="00E6294A" w:rsidRDefault="00E6294A" w:rsidP="00E6294A">
      <w:pPr>
        <w:jc w:val="both"/>
        <w:rPr>
          <w:rFonts w:ascii="Arial" w:hAnsi="Arial" w:cs="Arial"/>
          <w:color w:val="000000"/>
          <w:sz w:val="22"/>
          <w:szCs w:val="22"/>
          <w:lang w:eastAsia="en-US"/>
        </w:rPr>
      </w:pPr>
      <w:r>
        <w:rPr>
          <w:rFonts w:ascii="Arial" w:hAnsi="Arial" w:cs="Arial"/>
          <w:color w:val="000000"/>
          <w:sz w:val="22"/>
          <w:szCs w:val="22"/>
          <w:lang w:eastAsia="en-US"/>
        </w:rPr>
        <w:t>We note that ESMA</w:t>
      </w:r>
      <w:r w:rsidRPr="00640DDE">
        <w:rPr>
          <w:rFonts w:ascii="Arial" w:hAnsi="Arial" w:cs="Arial"/>
          <w:color w:val="000000"/>
          <w:sz w:val="22"/>
          <w:szCs w:val="22"/>
          <w:lang w:eastAsia="en-US"/>
        </w:rPr>
        <w:t xml:space="preserve"> </w:t>
      </w:r>
      <w:r>
        <w:rPr>
          <w:rFonts w:ascii="Arial" w:hAnsi="Arial" w:cs="Arial"/>
          <w:color w:val="000000"/>
          <w:sz w:val="22"/>
          <w:szCs w:val="22"/>
          <w:lang w:eastAsia="en-US"/>
        </w:rPr>
        <w:t>mentions</w:t>
      </w:r>
      <w:r w:rsidRPr="00640DDE">
        <w:rPr>
          <w:rFonts w:ascii="Arial" w:hAnsi="Arial" w:cs="Arial"/>
          <w:color w:val="000000"/>
          <w:sz w:val="22"/>
          <w:szCs w:val="22"/>
          <w:lang w:eastAsia="en-US"/>
        </w:rPr>
        <w:t xml:space="preserve"> </w:t>
      </w:r>
      <w:r>
        <w:rPr>
          <w:rFonts w:ascii="Arial" w:hAnsi="Arial" w:cs="Arial"/>
          <w:color w:val="000000"/>
          <w:sz w:val="22"/>
          <w:szCs w:val="22"/>
          <w:lang w:eastAsia="en-US"/>
        </w:rPr>
        <w:t>“</w:t>
      </w:r>
      <w:r w:rsidRPr="00640DDE">
        <w:rPr>
          <w:rFonts w:ascii="Arial" w:hAnsi="Arial" w:cs="Arial"/>
          <w:color w:val="000000"/>
          <w:sz w:val="22"/>
          <w:szCs w:val="22"/>
          <w:lang w:eastAsia="en-US"/>
        </w:rPr>
        <w:t xml:space="preserve">indirect </w:t>
      </w:r>
      <w:r>
        <w:rPr>
          <w:rFonts w:ascii="Arial" w:hAnsi="Arial" w:cs="Arial"/>
          <w:color w:val="000000"/>
          <w:sz w:val="22"/>
          <w:szCs w:val="22"/>
          <w:lang w:eastAsia="en-US"/>
        </w:rPr>
        <w:t xml:space="preserve">client </w:t>
      </w:r>
      <w:r w:rsidRPr="00640DDE">
        <w:rPr>
          <w:rFonts w:ascii="Arial" w:hAnsi="Arial" w:cs="Arial"/>
          <w:color w:val="000000"/>
          <w:sz w:val="22"/>
          <w:szCs w:val="22"/>
          <w:lang w:eastAsia="en-US"/>
        </w:rPr>
        <w:t>clearing</w:t>
      </w:r>
      <w:r>
        <w:rPr>
          <w:rFonts w:ascii="Arial" w:hAnsi="Arial" w:cs="Arial"/>
          <w:color w:val="000000"/>
          <w:sz w:val="22"/>
          <w:szCs w:val="22"/>
          <w:lang w:eastAsia="en-US"/>
        </w:rPr>
        <w:t>” in the CP</w:t>
      </w:r>
      <w:r>
        <w:rPr>
          <w:rStyle w:val="FootnoteReference"/>
          <w:rFonts w:ascii="Arial" w:hAnsi="Arial"/>
          <w:color w:val="000000"/>
          <w:sz w:val="22"/>
          <w:szCs w:val="22"/>
          <w:lang w:eastAsia="en-US"/>
        </w:rPr>
        <w:footnoteReference w:id="33"/>
      </w:r>
      <w:r>
        <w:rPr>
          <w:rFonts w:ascii="Arial" w:hAnsi="Arial" w:cs="Arial"/>
          <w:color w:val="000000"/>
          <w:sz w:val="22"/>
          <w:szCs w:val="22"/>
          <w:lang w:eastAsia="en-US"/>
        </w:rPr>
        <w:t xml:space="preserve"> without being more specific about the current status of this offering. We agree with ESMA’s conclusion in CP1</w:t>
      </w:r>
      <w:r w:rsidRPr="00640DDE">
        <w:rPr>
          <w:rFonts w:ascii="Arial" w:hAnsi="Arial" w:cs="Arial"/>
          <w:color w:val="000000"/>
          <w:sz w:val="22"/>
          <w:szCs w:val="22"/>
          <w:lang w:eastAsia="en-US"/>
        </w:rPr>
        <w:t xml:space="preserve"> that </w:t>
      </w:r>
      <w:r>
        <w:rPr>
          <w:rFonts w:ascii="Arial" w:hAnsi="Arial" w:cs="Arial"/>
          <w:color w:val="000000"/>
          <w:sz w:val="22"/>
          <w:szCs w:val="22"/>
          <w:lang w:eastAsia="en-US"/>
        </w:rPr>
        <w:t>an offering for indirect clearing is currently “only at a very early stage”</w:t>
      </w:r>
      <w:r>
        <w:rPr>
          <w:rStyle w:val="FootnoteReference"/>
          <w:rFonts w:ascii="Arial" w:hAnsi="Arial"/>
          <w:color w:val="000000"/>
          <w:sz w:val="22"/>
          <w:szCs w:val="22"/>
          <w:lang w:eastAsia="en-US"/>
        </w:rPr>
        <w:footnoteReference w:id="34"/>
      </w:r>
      <w:r w:rsidRPr="00640DDE">
        <w:rPr>
          <w:rFonts w:ascii="Arial" w:hAnsi="Arial" w:cs="Arial"/>
          <w:color w:val="000000"/>
          <w:sz w:val="22"/>
          <w:szCs w:val="22"/>
          <w:lang w:eastAsia="en-US"/>
        </w:rPr>
        <w:t> </w:t>
      </w:r>
      <w:r>
        <w:rPr>
          <w:rFonts w:ascii="Arial" w:hAnsi="Arial" w:cs="Arial"/>
          <w:color w:val="000000"/>
          <w:sz w:val="22"/>
          <w:szCs w:val="22"/>
          <w:lang w:eastAsia="en-US"/>
        </w:rPr>
        <w:t>and</w:t>
      </w:r>
      <w:r w:rsidRPr="00640DDE">
        <w:rPr>
          <w:rFonts w:ascii="Arial" w:hAnsi="Arial" w:cs="Arial"/>
          <w:color w:val="000000"/>
          <w:sz w:val="22"/>
          <w:szCs w:val="22"/>
          <w:lang w:eastAsia="en-US"/>
        </w:rPr>
        <w:t> </w:t>
      </w:r>
      <w:r>
        <w:rPr>
          <w:rFonts w:ascii="Arial" w:hAnsi="Arial" w:cs="Arial"/>
          <w:color w:val="000000"/>
          <w:sz w:val="22"/>
          <w:szCs w:val="22"/>
          <w:lang w:eastAsia="en-US"/>
        </w:rPr>
        <w:t xml:space="preserve">market </w:t>
      </w:r>
      <w:r w:rsidRPr="00640DDE">
        <w:rPr>
          <w:rFonts w:ascii="Arial" w:hAnsi="Arial" w:cs="Arial"/>
          <w:color w:val="000000"/>
          <w:sz w:val="22"/>
          <w:szCs w:val="22"/>
          <w:lang w:eastAsia="en-US"/>
        </w:rPr>
        <w:t>infrastructure to support</w:t>
      </w:r>
      <w:r>
        <w:rPr>
          <w:rFonts w:ascii="Arial" w:hAnsi="Arial" w:cs="Arial"/>
          <w:color w:val="000000"/>
          <w:sz w:val="22"/>
          <w:szCs w:val="22"/>
          <w:lang w:eastAsia="en-US"/>
        </w:rPr>
        <w:t xml:space="preserve"> the </w:t>
      </w:r>
      <w:r w:rsidRPr="00640DDE">
        <w:rPr>
          <w:rFonts w:ascii="Arial" w:hAnsi="Arial" w:cs="Arial"/>
          <w:color w:val="000000"/>
          <w:sz w:val="22"/>
          <w:szCs w:val="22"/>
          <w:lang w:eastAsia="en-US"/>
        </w:rPr>
        <w:t>workflow</w:t>
      </w:r>
      <w:r>
        <w:rPr>
          <w:rFonts w:ascii="Arial" w:hAnsi="Arial" w:cs="Arial"/>
          <w:color w:val="000000"/>
          <w:sz w:val="22"/>
          <w:szCs w:val="22"/>
          <w:lang w:eastAsia="en-US"/>
        </w:rPr>
        <w:t xml:space="preserve">s for such transactions that are cleared indirectly is currently not available. Based on our experience, we believe that a period of 3 years might not suffice to establish the relevant infrastructure to support indirect clearing. To avoid creating any unnecessary operational risk we therefore recommend for ESMA to retain the ability to extend the deadline for indirect clearing depending on the status of the infrastructure at that time. </w:t>
      </w:r>
    </w:p>
    <w:p w14:paraId="7893F3B4" w14:textId="77777777" w:rsidR="00E6294A" w:rsidRDefault="00E6294A" w:rsidP="00E6294A">
      <w:pPr>
        <w:jc w:val="both"/>
        <w:rPr>
          <w:rFonts w:ascii="Arial" w:hAnsi="Arial" w:cs="Arial"/>
          <w:color w:val="000000"/>
          <w:sz w:val="22"/>
          <w:szCs w:val="22"/>
          <w:lang w:eastAsia="en-US"/>
        </w:rPr>
      </w:pPr>
    </w:p>
    <w:p w14:paraId="5EF930A2" w14:textId="77777777" w:rsidR="00E6294A" w:rsidRPr="00681FFC" w:rsidRDefault="00E6294A" w:rsidP="00E6294A">
      <w:pPr>
        <w:jc w:val="both"/>
        <w:rPr>
          <w:rFonts w:ascii="Arial" w:hAnsi="Arial" w:cs="Arial"/>
          <w:b/>
          <w:color w:val="000000"/>
          <w:sz w:val="22"/>
          <w:szCs w:val="22"/>
          <w:lang w:eastAsia="en-US"/>
        </w:rPr>
      </w:pPr>
      <w:r w:rsidRPr="00770D01">
        <w:rPr>
          <w:rFonts w:ascii="Arial" w:hAnsi="Arial" w:cs="Arial"/>
          <w:b/>
          <w:color w:val="000000"/>
          <w:sz w:val="22"/>
          <w:szCs w:val="22"/>
          <w:lang w:eastAsia="en-US"/>
        </w:rPr>
        <w:t>The relevance of connectivity to CCPs</w:t>
      </w:r>
    </w:p>
    <w:p w14:paraId="18CB9471" w14:textId="77777777" w:rsidR="00E6294A" w:rsidRDefault="00E6294A" w:rsidP="00E6294A">
      <w:pPr>
        <w:jc w:val="both"/>
        <w:rPr>
          <w:rFonts w:ascii="Arial" w:hAnsi="Arial" w:cs="Arial"/>
          <w:color w:val="000000"/>
          <w:sz w:val="22"/>
          <w:szCs w:val="22"/>
          <w:lang w:eastAsia="en-US"/>
        </w:rPr>
      </w:pPr>
    </w:p>
    <w:p w14:paraId="550A6181" w14:textId="77777777" w:rsidR="00E6294A" w:rsidRDefault="00E6294A" w:rsidP="00E6294A">
      <w:pPr>
        <w:jc w:val="both"/>
        <w:rPr>
          <w:rFonts w:ascii="Arial" w:hAnsi="Arial" w:cs="Arial"/>
          <w:color w:val="000000"/>
          <w:sz w:val="22"/>
          <w:szCs w:val="22"/>
          <w:lang w:eastAsia="en-US"/>
        </w:rPr>
      </w:pPr>
      <w:r>
        <w:rPr>
          <w:rFonts w:ascii="Arial" w:hAnsi="Arial" w:cstheme="majorHAnsi"/>
          <w:color w:val="000000"/>
          <w:sz w:val="22"/>
          <w:szCs w:val="22"/>
        </w:rPr>
        <w:lastRenderedPageBreak/>
        <w:t xml:space="preserve">We </w:t>
      </w:r>
      <w:r w:rsidRPr="005D0B07">
        <w:rPr>
          <w:rFonts w:ascii="Arial" w:hAnsi="Arial" w:cstheme="majorHAnsi"/>
          <w:color w:val="000000"/>
          <w:sz w:val="22"/>
          <w:szCs w:val="22"/>
        </w:rPr>
        <w:t xml:space="preserve">believe that </w:t>
      </w:r>
      <w:r>
        <w:rPr>
          <w:rFonts w:ascii="Arial" w:hAnsi="Arial" w:cstheme="majorHAnsi"/>
          <w:color w:val="000000"/>
          <w:sz w:val="22"/>
          <w:szCs w:val="22"/>
        </w:rPr>
        <w:t>ESMA’s proposed classes of OTC credit derivatives that are suitable for clearing</w:t>
      </w:r>
      <w:r w:rsidRPr="00707245">
        <w:rPr>
          <w:rFonts w:ascii="Arial" w:hAnsi="Arial" w:cstheme="majorHAnsi"/>
          <w:color w:val="000000"/>
          <w:sz w:val="22"/>
          <w:szCs w:val="22"/>
        </w:rPr>
        <w:t xml:space="preserve"> </w:t>
      </w:r>
      <w:r>
        <w:rPr>
          <w:rFonts w:ascii="Arial" w:hAnsi="Arial" w:cstheme="majorHAnsi"/>
          <w:color w:val="000000"/>
          <w:sz w:val="22"/>
          <w:szCs w:val="22"/>
        </w:rPr>
        <w:t>and phase-in of the clearing obligation for three broad categories of counterparties are generally</w:t>
      </w:r>
      <w:r w:rsidRPr="005D0B07">
        <w:rPr>
          <w:rFonts w:ascii="Arial" w:hAnsi="Arial" w:cstheme="majorHAnsi"/>
          <w:color w:val="000000"/>
          <w:sz w:val="22"/>
          <w:szCs w:val="22"/>
        </w:rPr>
        <w:t xml:space="preserve"> </w:t>
      </w:r>
      <w:r>
        <w:rPr>
          <w:rFonts w:ascii="Arial" w:hAnsi="Arial" w:cstheme="majorHAnsi"/>
          <w:color w:val="000000"/>
          <w:sz w:val="22"/>
          <w:szCs w:val="22"/>
        </w:rPr>
        <w:t xml:space="preserve">appropriate and would provide the right conditions for a smooth implementation of the clearing obligation in Europe. </w:t>
      </w:r>
    </w:p>
    <w:p w14:paraId="0A4B8362" w14:textId="77777777" w:rsidR="00E6294A" w:rsidRDefault="00E6294A" w:rsidP="00E6294A">
      <w:pPr>
        <w:jc w:val="both"/>
        <w:rPr>
          <w:rFonts w:ascii="Arial" w:hAnsi="Arial" w:cs="Arial"/>
          <w:color w:val="000000"/>
          <w:sz w:val="22"/>
          <w:szCs w:val="22"/>
          <w:lang w:eastAsia="en-US"/>
        </w:rPr>
      </w:pPr>
    </w:p>
    <w:p w14:paraId="0DFC0133" w14:textId="77777777" w:rsidR="00E6294A" w:rsidRDefault="00E6294A" w:rsidP="00E6294A">
      <w:pPr>
        <w:jc w:val="both"/>
        <w:rPr>
          <w:rFonts w:ascii="Arial" w:hAnsi="Arial" w:cs="Arial"/>
          <w:color w:val="000000"/>
          <w:sz w:val="22"/>
          <w:szCs w:val="22"/>
          <w:lang w:eastAsia="en-US"/>
        </w:rPr>
      </w:pPr>
      <w:r>
        <w:rPr>
          <w:rFonts w:ascii="Arial" w:hAnsi="Arial" w:cstheme="majorHAnsi"/>
          <w:color w:val="000000"/>
          <w:sz w:val="22"/>
          <w:szCs w:val="22"/>
        </w:rPr>
        <w:t>That said, we note that ESMA acknowledges the relevance of confirmation/processing and connectivity platforms</w:t>
      </w:r>
      <w:r w:rsidRPr="001433A3">
        <w:rPr>
          <w:rFonts w:ascii="Arial" w:hAnsi="Arial" w:cstheme="majorHAnsi"/>
          <w:color w:val="000000"/>
          <w:sz w:val="22"/>
          <w:szCs w:val="22"/>
        </w:rPr>
        <w:t xml:space="preserve"> </w:t>
      </w:r>
      <w:r>
        <w:rPr>
          <w:rFonts w:ascii="Arial" w:hAnsi="Arial" w:cstheme="majorHAnsi"/>
          <w:color w:val="000000"/>
          <w:sz w:val="22"/>
          <w:szCs w:val="22"/>
        </w:rPr>
        <w:t>in several sections of the CP:</w:t>
      </w:r>
    </w:p>
    <w:p w14:paraId="17C6B6A7" w14:textId="77777777" w:rsidR="00E6294A" w:rsidRPr="00577A7C" w:rsidRDefault="00E6294A" w:rsidP="00E6294A">
      <w:pPr>
        <w:jc w:val="both"/>
        <w:rPr>
          <w:rFonts w:ascii="Arial" w:hAnsi="Arial" w:cs="Arial"/>
          <w:color w:val="000000"/>
          <w:sz w:val="22"/>
          <w:szCs w:val="22"/>
          <w:lang w:eastAsia="en-US"/>
        </w:rPr>
      </w:pPr>
    </w:p>
    <w:p w14:paraId="3D59F631" w14:textId="77777777" w:rsidR="00E6294A" w:rsidRPr="00577A7C" w:rsidRDefault="00E6294A" w:rsidP="00E6294A">
      <w:pPr>
        <w:pStyle w:val="ListParagraph"/>
        <w:numPr>
          <w:ilvl w:val="0"/>
          <w:numId w:val="19"/>
        </w:numPr>
        <w:contextualSpacing w:val="0"/>
        <w:jc w:val="both"/>
        <w:rPr>
          <w:rFonts w:ascii="Arial" w:hAnsi="Arial" w:cs="Arial"/>
          <w:color w:val="000000"/>
          <w:sz w:val="22"/>
          <w:szCs w:val="22"/>
          <w:lang w:eastAsia="en-US"/>
        </w:rPr>
      </w:pPr>
      <w:r w:rsidRPr="00577A7C">
        <w:rPr>
          <w:rFonts w:ascii="Arial" w:hAnsi="Arial" w:cstheme="majorHAnsi"/>
          <w:color w:val="000000"/>
          <w:sz w:val="22"/>
          <w:szCs w:val="22"/>
        </w:rPr>
        <w:t>As part of its analysis of the standardisation of operational processes for OTC credit derivatives</w:t>
      </w:r>
      <w:r w:rsidRPr="00577A7C">
        <w:rPr>
          <w:rStyle w:val="FootnoteReference"/>
          <w:rFonts w:ascii="Arial" w:hAnsi="Arial"/>
          <w:color w:val="000000"/>
          <w:sz w:val="22"/>
          <w:szCs w:val="22"/>
        </w:rPr>
        <w:footnoteReference w:id="35"/>
      </w:r>
      <w:r w:rsidRPr="00577A7C">
        <w:rPr>
          <w:rFonts w:ascii="Arial" w:hAnsi="Arial" w:cstheme="majorHAnsi"/>
          <w:color w:val="000000"/>
          <w:sz w:val="22"/>
          <w:szCs w:val="22"/>
        </w:rPr>
        <w:t xml:space="preserve"> ESMA found that the level of electronic trade processing “stood consistently at 98% in both 2010 and 2012”,</w:t>
      </w:r>
      <w:r w:rsidRPr="00577A7C">
        <w:rPr>
          <w:rStyle w:val="FootnoteReference"/>
          <w:rFonts w:ascii="Arial" w:hAnsi="Arial"/>
          <w:color w:val="000000"/>
          <w:sz w:val="22"/>
          <w:szCs w:val="22"/>
        </w:rPr>
        <w:footnoteReference w:id="36"/>
      </w:r>
      <w:r w:rsidRPr="00577A7C">
        <w:rPr>
          <w:rFonts w:ascii="Arial" w:hAnsi="Arial" w:cstheme="majorHAnsi"/>
          <w:color w:val="000000"/>
          <w:sz w:val="22"/>
          <w:szCs w:val="22"/>
        </w:rPr>
        <w:t xml:space="preserve"> that affirmation services were used in addition, and that the two CCPs “are connected to these market utilities in order to receive trades from counterparties, pass on clearing confirmation messages back or handle credit events”.</w:t>
      </w:r>
      <w:r w:rsidRPr="00577A7C">
        <w:rPr>
          <w:rStyle w:val="FootnoteReference"/>
          <w:rFonts w:ascii="Arial" w:hAnsi="Arial"/>
          <w:color w:val="000000"/>
          <w:sz w:val="22"/>
          <w:szCs w:val="22"/>
        </w:rPr>
        <w:footnoteReference w:id="37"/>
      </w:r>
      <w:r w:rsidRPr="00577A7C">
        <w:rPr>
          <w:rFonts w:ascii="Arial" w:hAnsi="Arial" w:cstheme="majorHAnsi"/>
          <w:color w:val="000000"/>
          <w:sz w:val="22"/>
          <w:szCs w:val="22"/>
        </w:rPr>
        <w:t xml:space="preserve"> ESMA thus concluded that the factor of “standardisation of operational processes” is satisfied.</w:t>
      </w:r>
    </w:p>
    <w:p w14:paraId="3F468141" w14:textId="77777777" w:rsidR="00E6294A" w:rsidRPr="00577A7C" w:rsidRDefault="00E6294A" w:rsidP="00E6294A">
      <w:pPr>
        <w:jc w:val="both"/>
        <w:rPr>
          <w:rFonts w:ascii="Arial" w:hAnsi="Arial" w:cs="Arial"/>
          <w:color w:val="000000"/>
          <w:sz w:val="22"/>
          <w:szCs w:val="22"/>
          <w:lang w:eastAsia="en-US"/>
        </w:rPr>
      </w:pPr>
    </w:p>
    <w:p w14:paraId="0ED97115" w14:textId="77777777" w:rsidR="00E6294A" w:rsidRPr="00577A7C" w:rsidRDefault="00E6294A" w:rsidP="00E6294A">
      <w:pPr>
        <w:pStyle w:val="ListParagraph"/>
        <w:numPr>
          <w:ilvl w:val="0"/>
          <w:numId w:val="19"/>
        </w:numPr>
        <w:contextualSpacing w:val="0"/>
        <w:jc w:val="both"/>
        <w:rPr>
          <w:rFonts w:ascii="Arial" w:hAnsi="Arial" w:cstheme="majorHAnsi"/>
          <w:color w:val="000000"/>
          <w:sz w:val="22"/>
          <w:szCs w:val="22"/>
        </w:rPr>
      </w:pPr>
      <w:r w:rsidRPr="00577A7C">
        <w:rPr>
          <w:rFonts w:ascii="Arial" w:hAnsi="Arial" w:cstheme="majorHAnsi"/>
          <w:color w:val="000000"/>
          <w:sz w:val="22"/>
          <w:szCs w:val="22"/>
        </w:rPr>
        <w:t>When analysing the level of preparedness of different categories of counterparties and proposing a phased-in implementation for the clearing obligation for those ESMA refers to its analysis in relation to interest rate derivatives as contained in CP1.</w:t>
      </w:r>
      <w:r w:rsidRPr="00577A7C">
        <w:rPr>
          <w:rStyle w:val="FootnoteReference"/>
          <w:rFonts w:ascii="Arial" w:hAnsi="Arial"/>
          <w:color w:val="000000"/>
          <w:sz w:val="22"/>
          <w:szCs w:val="22"/>
        </w:rPr>
        <w:footnoteReference w:id="38"/>
      </w:r>
      <w:r w:rsidRPr="00577A7C">
        <w:rPr>
          <w:rFonts w:ascii="Arial" w:hAnsi="Arial" w:cstheme="majorHAnsi"/>
          <w:color w:val="000000"/>
          <w:sz w:val="22"/>
          <w:szCs w:val="22"/>
        </w:rPr>
        <w:t xml:space="preserve"> In CP1 ESMA repeatedly argues that certain types of market participants should not be included in Category 1 given that “they have no direct connection” to the relevant CCPs.</w:t>
      </w:r>
      <w:r w:rsidRPr="00577A7C">
        <w:rPr>
          <w:rStyle w:val="FootnoteReference"/>
          <w:rFonts w:ascii="Arial" w:hAnsi="Arial"/>
          <w:color w:val="000000"/>
          <w:sz w:val="22"/>
          <w:szCs w:val="22"/>
        </w:rPr>
        <w:footnoteReference w:id="39"/>
      </w:r>
      <w:r w:rsidRPr="00577A7C">
        <w:rPr>
          <w:rFonts w:ascii="Arial" w:hAnsi="Arial" w:cstheme="majorHAnsi"/>
          <w:color w:val="000000"/>
          <w:sz w:val="22"/>
          <w:szCs w:val="22"/>
        </w:rPr>
        <w:t xml:space="preserve"> </w:t>
      </w:r>
    </w:p>
    <w:p w14:paraId="46D3FDA2" w14:textId="77777777" w:rsidR="00E6294A" w:rsidRDefault="00E6294A" w:rsidP="00E6294A">
      <w:pPr>
        <w:jc w:val="both"/>
        <w:rPr>
          <w:rFonts w:ascii="Arial" w:hAnsi="Arial" w:cstheme="majorHAnsi"/>
          <w:color w:val="000000"/>
          <w:sz w:val="22"/>
          <w:szCs w:val="22"/>
        </w:rPr>
      </w:pPr>
    </w:p>
    <w:p w14:paraId="4DB602DF" w14:textId="77777777" w:rsidR="00E6294A" w:rsidRDefault="00E6294A" w:rsidP="00E6294A">
      <w:pPr>
        <w:jc w:val="both"/>
        <w:rPr>
          <w:rFonts w:ascii="Arial" w:hAnsi="Arial" w:cstheme="majorHAnsi"/>
          <w:color w:val="000000"/>
          <w:sz w:val="22"/>
          <w:szCs w:val="22"/>
        </w:rPr>
      </w:pPr>
      <w:r w:rsidRPr="002E3D1D">
        <w:rPr>
          <w:rFonts w:ascii="Arial" w:hAnsi="Arial" w:cs="Arial"/>
          <w:color w:val="000000"/>
          <w:sz w:val="22"/>
          <w:szCs w:val="22"/>
        </w:rPr>
        <w:t>These examples highlight the importance that ESMA assigns to market participants’ ability to use neutral connectivity mechanisms with CCPs for the introduction of the clearing obligation. Indeed, platform-neutral connectors such as MarkitSERV are also widely recognized by market participants as tools that enhance the efficiency, reduce cost and risk of a horizontal model in the OTC derivatives markets and foster competition on the levels of execution and clearing.</w:t>
      </w:r>
      <w:r w:rsidRPr="002E3D1D">
        <w:rPr>
          <w:rStyle w:val="FootnoteReference"/>
          <w:rFonts w:ascii="Arial" w:hAnsi="Arial" w:cs="Arial"/>
          <w:color w:val="000000"/>
          <w:sz w:val="22"/>
          <w:szCs w:val="22"/>
        </w:rPr>
        <w:footnoteReference w:id="40"/>
      </w:r>
      <w:r w:rsidRPr="002E3D1D">
        <w:rPr>
          <w:rFonts w:ascii="Arial" w:hAnsi="Arial" w:cs="Arial"/>
          <w:color w:val="000000"/>
          <w:sz w:val="22"/>
          <w:szCs w:val="22"/>
        </w:rPr>
        <w:t xml:space="preserve"> Importantly in the context of this CP, ESMA should note that experience in other jurisdictions has shown that market participants’ ability to </w:t>
      </w:r>
      <w:r w:rsidRPr="00AF56E2">
        <w:rPr>
          <w:rFonts w:ascii="Arial" w:hAnsi="Arial" w:cs="Arial"/>
          <w:i/>
          <w:color w:val="000000"/>
          <w:sz w:val="22"/>
          <w:szCs w:val="22"/>
        </w:rPr>
        <w:t>continue</w:t>
      </w:r>
      <w:r w:rsidRPr="002E3D1D">
        <w:rPr>
          <w:rFonts w:ascii="Arial" w:hAnsi="Arial" w:cs="Arial"/>
          <w:color w:val="000000"/>
          <w:sz w:val="22"/>
          <w:szCs w:val="22"/>
        </w:rPr>
        <w:t xml:space="preserve"> to rely on such platform-neutral connectivity services to connect to CCPs in a timely and efficient mann</w:t>
      </w:r>
      <w:r>
        <w:rPr>
          <w:rFonts w:ascii="Arial" w:hAnsi="Arial" w:cs="Arial"/>
          <w:color w:val="000000"/>
          <w:sz w:val="22"/>
          <w:szCs w:val="22"/>
        </w:rPr>
        <w:t>er represents</w:t>
      </w:r>
      <w:r w:rsidRPr="002E3D1D">
        <w:rPr>
          <w:rFonts w:ascii="Arial" w:hAnsi="Arial" w:cs="Arial"/>
          <w:color w:val="000000"/>
          <w:sz w:val="22"/>
          <w:szCs w:val="22"/>
        </w:rPr>
        <w:t xml:space="preserve"> a key condition required to achieve the desired smooth implementation of the clearing obligation. </w:t>
      </w:r>
    </w:p>
    <w:p w14:paraId="5A9908BD" w14:textId="77777777" w:rsidR="00E6294A" w:rsidRDefault="00E6294A" w:rsidP="00E6294A">
      <w:pPr>
        <w:jc w:val="both"/>
        <w:rPr>
          <w:rFonts w:ascii="Arial" w:hAnsi="Arial" w:cstheme="majorHAnsi"/>
          <w:color w:val="000000"/>
          <w:sz w:val="22"/>
          <w:szCs w:val="22"/>
        </w:rPr>
      </w:pPr>
    </w:p>
    <w:p w14:paraId="3BF131CC" w14:textId="77777777" w:rsidR="00E6294A" w:rsidRDefault="00E6294A" w:rsidP="00E6294A">
      <w:pPr>
        <w:jc w:val="both"/>
        <w:rPr>
          <w:rFonts w:ascii="Arial" w:hAnsi="Arial" w:cstheme="majorHAnsi"/>
          <w:color w:val="000000"/>
          <w:sz w:val="22"/>
          <w:szCs w:val="22"/>
        </w:rPr>
      </w:pPr>
      <w:r w:rsidRPr="002E3D1D">
        <w:rPr>
          <w:rFonts w:ascii="Arial" w:hAnsi="Arial" w:cs="Arial"/>
          <w:color w:val="000000"/>
          <w:sz w:val="22"/>
          <w:szCs w:val="22"/>
        </w:rPr>
        <w:t xml:space="preserve">To enable a smooth implementation of the clearing obligation </w:t>
      </w:r>
      <w:r>
        <w:rPr>
          <w:rFonts w:ascii="Arial" w:hAnsi="Arial" w:cs="Arial"/>
          <w:color w:val="000000"/>
          <w:sz w:val="22"/>
          <w:szCs w:val="22"/>
        </w:rPr>
        <w:t xml:space="preserve">for CDS Indices </w:t>
      </w:r>
      <w:r w:rsidRPr="002E3D1D">
        <w:rPr>
          <w:rFonts w:ascii="Arial" w:hAnsi="Arial" w:cs="Arial"/>
          <w:color w:val="000000"/>
          <w:sz w:val="22"/>
          <w:szCs w:val="22"/>
        </w:rPr>
        <w:t xml:space="preserve">in Europe and to ensure that ESMA’s analysis of the criteria underlying the clearing determination remains valid market participants must be able to continue to use established connectivity to CCPs once the clearing obligation is implemented. However, in this context, we note that neither Article 35 of MiFIR nor ESMA’s related DP acknowledged the vital role of third party connectivity providers with the discussion evolving solely around “access of Trading Venues to CCPs”. We believe that </w:t>
      </w:r>
      <w:r w:rsidRPr="002E3D1D">
        <w:rPr>
          <w:rFonts w:ascii="Arial" w:hAnsi="Arial" w:cs="Arial"/>
          <w:color w:val="000000"/>
          <w:sz w:val="22"/>
          <w:szCs w:val="22"/>
        </w:rPr>
        <w:lastRenderedPageBreak/>
        <w:t xml:space="preserve">failure to recognize the role of third party connectivity providers in ESMA’s implementing measures would increase the risk of CCPs abusing their market power by potentially refusing access to third parties that want connect to them on behalf of counterparties and/or </w:t>
      </w:r>
      <w:r>
        <w:rPr>
          <w:rFonts w:ascii="Arial" w:hAnsi="Arial" w:cs="Arial"/>
          <w:color w:val="000000"/>
          <w:sz w:val="22"/>
          <w:szCs w:val="22"/>
        </w:rPr>
        <w:t>TVs</w:t>
      </w:r>
      <w:r w:rsidRPr="002E3D1D">
        <w:rPr>
          <w:rFonts w:ascii="Arial" w:hAnsi="Arial" w:cs="Arial"/>
          <w:color w:val="000000"/>
          <w:sz w:val="22"/>
          <w:szCs w:val="22"/>
        </w:rPr>
        <w:t xml:space="preserve">. This risk will be particularly pronounced where CCPs operate their own processing platforms as they could, by requiring TVs and/or counterparties to only use those for establishing connectivity to them, directly foster the development of their own vertical silo or in asset classes where central clearing is only provided by a small number of CCPs, or even just one. By undermining market participants’ level of preparedness for the introduction of the clearing obligation such behaviour would also question the validity of ESMA’s analysis of the criteria underlying the clearing determination, in addition to standing in direct conflict with the spirit of Article 35 of MiFIR. </w:t>
      </w:r>
    </w:p>
    <w:p w14:paraId="2F10319B" w14:textId="77777777" w:rsidR="00E6294A" w:rsidRDefault="00E6294A" w:rsidP="00E6294A">
      <w:pPr>
        <w:jc w:val="both"/>
        <w:rPr>
          <w:rFonts w:ascii="Arial" w:hAnsi="Arial" w:cstheme="majorHAnsi"/>
          <w:color w:val="000000"/>
          <w:sz w:val="22"/>
          <w:szCs w:val="22"/>
        </w:rPr>
      </w:pPr>
    </w:p>
    <w:p w14:paraId="1B4BE0A0" w14:textId="77777777" w:rsidR="00E6294A" w:rsidRDefault="00E6294A" w:rsidP="00E6294A">
      <w:pPr>
        <w:jc w:val="both"/>
        <w:rPr>
          <w:rFonts w:ascii="Arial" w:hAnsi="Arial" w:cstheme="majorHAnsi"/>
          <w:color w:val="000000"/>
          <w:sz w:val="22"/>
          <w:szCs w:val="22"/>
        </w:rPr>
      </w:pPr>
      <w:r w:rsidRPr="002E3D1D">
        <w:rPr>
          <w:rFonts w:ascii="Arial" w:hAnsi="Arial" w:cs="Arial"/>
          <w:color w:val="000000"/>
          <w:sz w:val="22"/>
          <w:szCs w:val="22"/>
        </w:rPr>
        <w:t>ESMA should note that under the United States’ Dodd-Frank Act some CCPs have interpreted “open access” requirements to encompass third party connectivity providers</w:t>
      </w:r>
      <w:r w:rsidRPr="002E3D1D">
        <w:rPr>
          <w:rStyle w:val="FootnoteReference"/>
          <w:rFonts w:ascii="Arial" w:hAnsi="Arial" w:cs="Arial"/>
          <w:sz w:val="22"/>
          <w:szCs w:val="22"/>
        </w:rPr>
        <w:footnoteReference w:id="41"/>
      </w:r>
      <w:r w:rsidRPr="002E3D1D">
        <w:rPr>
          <w:rFonts w:ascii="Arial" w:hAnsi="Arial" w:cs="Arial"/>
          <w:color w:val="000000"/>
          <w:sz w:val="22"/>
          <w:szCs w:val="22"/>
        </w:rPr>
        <w:t xml:space="preserve"> while others explicitly allow third party connectivity providers open access under their rules.</w:t>
      </w:r>
      <w:r w:rsidRPr="002E3D1D">
        <w:rPr>
          <w:rStyle w:val="FootnoteReference"/>
          <w:rFonts w:ascii="Arial" w:hAnsi="Arial" w:cs="Arial"/>
          <w:sz w:val="22"/>
          <w:szCs w:val="22"/>
        </w:rPr>
        <w:footnoteReference w:id="42"/>
      </w:r>
      <w:r w:rsidRPr="002E3D1D">
        <w:rPr>
          <w:rFonts w:ascii="Arial" w:hAnsi="Arial" w:cs="Arial"/>
          <w:color w:val="000000"/>
          <w:sz w:val="22"/>
          <w:szCs w:val="22"/>
        </w:rPr>
        <w:t xml:space="preserve"> To prevent the occurrence of competition-restricting practices in this respect in Europe, we recommend that ESMA reflect established market practices and workflows also in its various implementing measures. Specifically, ESMA should clarify that the requirement for CCPs to provide open, non-discriminatory access to TVs equally applies for the provision of access to </w:t>
      </w:r>
      <w:r w:rsidRPr="002E3D1D">
        <w:rPr>
          <w:rFonts w:ascii="Arial" w:hAnsi="Arial" w:cs="Arial"/>
          <w:i/>
          <w:color w:val="000000"/>
          <w:sz w:val="22"/>
          <w:szCs w:val="22"/>
        </w:rPr>
        <w:t>third party providers that act (and establish connectivity) on behalf of TVs or counterparties</w:t>
      </w:r>
      <w:r w:rsidRPr="002E3D1D">
        <w:rPr>
          <w:rFonts w:ascii="Arial" w:hAnsi="Arial" w:cs="Arial"/>
          <w:color w:val="000000"/>
          <w:sz w:val="22"/>
          <w:szCs w:val="22"/>
        </w:rPr>
        <w:t>. In addition, in asset classes where the number of CCPs providing central clearing is small or just one, we encourage ESMA to reflect the elevated risks that this might create for the implementation process in its clearing determination.</w:t>
      </w:r>
      <w:r w:rsidRPr="002E3D1D">
        <w:rPr>
          <w:rStyle w:val="FootnoteReference"/>
          <w:rFonts w:ascii="Arial" w:hAnsi="Arial" w:cs="Arial"/>
          <w:color w:val="000000"/>
          <w:sz w:val="22"/>
          <w:szCs w:val="22"/>
        </w:rPr>
        <w:footnoteReference w:id="43"/>
      </w:r>
      <w:r w:rsidRPr="002E3D1D">
        <w:rPr>
          <w:rFonts w:ascii="Arial" w:hAnsi="Arial" w:cs="Arial"/>
          <w:color w:val="000000"/>
          <w:sz w:val="22"/>
          <w:szCs w:val="22"/>
        </w:rPr>
        <w:t xml:space="preserve"> </w:t>
      </w:r>
    </w:p>
    <w:p w14:paraId="48F52162" w14:textId="77777777" w:rsidR="00E6294A" w:rsidRDefault="00E6294A" w:rsidP="00E6294A">
      <w:pPr>
        <w:jc w:val="both"/>
        <w:rPr>
          <w:rFonts w:ascii="Arial" w:hAnsi="Arial" w:cstheme="majorHAnsi"/>
          <w:color w:val="000000"/>
          <w:sz w:val="22"/>
          <w:szCs w:val="22"/>
        </w:rPr>
      </w:pPr>
    </w:p>
    <w:p w14:paraId="7F0E7C79" w14:textId="77777777" w:rsidR="00E6294A" w:rsidRPr="0049382B" w:rsidRDefault="00E6294A" w:rsidP="00E6294A">
      <w:pPr>
        <w:jc w:val="both"/>
        <w:rPr>
          <w:rFonts w:ascii="Arial" w:hAnsi="Arial" w:cs="Arial"/>
          <w:color w:val="000000"/>
          <w:sz w:val="22"/>
          <w:szCs w:val="22"/>
        </w:rPr>
      </w:pPr>
      <w:r>
        <w:rPr>
          <w:rFonts w:ascii="Arial" w:hAnsi="Arial" w:cs="Arial"/>
          <w:color w:val="000000"/>
          <w:sz w:val="22"/>
          <w:szCs w:val="22"/>
        </w:rPr>
        <w:t xml:space="preserve">We further believe that </w:t>
      </w:r>
      <w:r w:rsidRPr="002E3D1D">
        <w:rPr>
          <w:rFonts w:ascii="Arial" w:hAnsi="Arial" w:cs="Arial"/>
          <w:color w:val="000000"/>
          <w:sz w:val="22"/>
          <w:szCs w:val="22"/>
        </w:rPr>
        <w:t>ESMA should consider establishing procedural safeguards to ensure non-discriminatory access to clearing for all classes of counterparties, including those using third-party connectivity providers. In this context, ESMA should clarify, for example, that CCPs should submit new rules and rule amendments relevant in relation to access to their competent authority for their review.</w:t>
      </w:r>
      <w:r w:rsidRPr="002E3D1D">
        <w:rPr>
          <w:rStyle w:val="FootnoteReference"/>
          <w:rFonts w:ascii="Arial" w:hAnsi="Arial" w:cs="Arial"/>
          <w:color w:val="000000"/>
          <w:sz w:val="22"/>
          <w:szCs w:val="22"/>
        </w:rPr>
        <w:footnoteReference w:id="44"/>
      </w:r>
      <w:r w:rsidRPr="002E3D1D">
        <w:rPr>
          <w:rFonts w:ascii="Arial" w:hAnsi="Arial" w:cs="Arial"/>
          <w:color w:val="000000"/>
          <w:sz w:val="22"/>
          <w:szCs w:val="22"/>
          <w:vertAlign w:val="superscript"/>
        </w:rPr>
        <w:t xml:space="preserve">, </w:t>
      </w:r>
      <w:r w:rsidRPr="002E3D1D">
        <w:rPr>
          <w:rStyle w:val="FootnoteReference"/>
          <w:rFonts w:ascii="Arial" w:hAnsi="Arial" w:cs="Arial"/>
          <w:color w:val="000000"/>
          <w:sz w:val="22"/>
          <w:szCs w:val="22"/>
        </w:rPr>
        <w:footnoteReference w:id="45"/>
      </w:r>
      <w:r w:rsidRPr="002E3D1D">
        <w:rPr>
          <w:rFonts w:ascii="Arial" w:hAnsi="Arial" w:cs="Arial"/>
          <w:color w:val="000000"/>
          <w:sz w:val="22"/>
          <w:szCs w:val="22"/>
        </w:rPr>
        <w:t xml:space="preserve">   </w:t>
      </w:r>
    </w:p>
    <w:permEnd w:id="426457662"/>
    <w:p w14:paraId="4B52D678" w14:textId="0D30F193" w:rsidR="000E31C3" w:rsidRDefault="000E31C3" w:rsidP="000E31C3">
      <w:r>
        <w:lastRenderedPageBreak/>
        <w:t>&lt;ESMA_QUESTION_6&gt;</w:t>
      </w:r>
    </w:p>
    <w:p w14:paraId="43FAA4E4" w14:textId="77777777" w:rsidR="000E31C3" w:rsidRDefault="000E31C3" w:rsidP="000E31C3">
      <w:pPr>
        <w:pStyle w:val="Questions"/>
        <w:rPr>
          <w:b w:val="0"/>
          <w:sz w:val="20"/>
        </w:rPr>
      </w:pPr>
      <w:r>
        <w:br w:type="page"/>
      </w:r>
    </w:p>
    <w:p w14:paraId="61B8CB58" w14:textId="77777777" w:rsidR="000E31C3" w:rsidRDefault="000E31C3" w:rsidP="00AA0857">
      <w:pPr>
        <w:pStyle w:val="Heading1"/>
      </w:pPr>
      <w:bookmarkStart w:id="19" w:name="_Ref390182030"/>
      <w:bookmarkStart w:id="20" w:name="_Toc392685530"/>
      <w:r w:rsidRPr="00A84770">
        <w:lastRenderedPageBreak/>
        <w:t>Remaining maturity</w:t>
      </w:r>
      <w:r>
        <w:t xml:space="preserve"> and frontloading</w:t>
      </w:r>
      <w:bookmarkEnd w:id="19"/>
      <w:bookmarkEnd w:id="20"/>
    </w:p>
    <w:p w14:paraId="095DD89F" w14:textId="77777777" w:rsidR="000E31C3" w:rsidRDefault="000E31C3" w:rsidP="000E31C3"/>
    <w:p w14:paraId="704C0395" w14:textId="7B1450C4" w:rsidR="000E31C3" w:rsidRDefault="000E31C3" w:rsidP="000E31C3">
      <w:pPr>
        <w:pStyle w:val="Questions"/>
      </w:pPr>
      <w:r>
        <w:t xml:space="preserve">Question </w:t>
      </w:r>
      <w:fldSimple w:instr=" SEQ Question \* ARABIC ">
        <w:r w:rsidR="001826B9">
          <w:rPr>
            <w:noProof/>
          </w:rPr>
          <w:t>7</w:t>
        </w:r>
      </w:fldSimple>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14:paraId="2F325155" w14:textId="77777777" w:rsidR="000E31C3" w:rsidRDefault="000E31C3" w:rsidP="000E31C3"/>
    <w:p w14:paraId="3866FA6D" w14:textId="6CF08233" w:rsidR="000E31C3" w:rsidRDefault="000E31C3" w:rsidP="000E31C3">
      <w:r>
        <w:t>&lt;ESMA_QUESTION_7&gt;</w:t>
      </w:r>
    </w:p>
    <w:p w14:paraId="2AE93971" w14:textId="77777777" w:rsidR="00E6294A" w:rsidRDefault="00E6294A" w:rsidP="00E6294A">
      <w:pPr>
        <w:jc w:val="both"/>
        <w:rPr>
          <w:rFonts w:ascii="Arial" w:hAnsi="Arial" w:cs="Arial"/>
          <w:color w:val="000000"/>
          <w:sz w:val="22"/>
          <w:szCs w:val="22"/>
          <w:lang w:eastAsia="en-US"/>
        </w:rPr>
      </w:pPr>
      <w:permStart w:id="1836743607" w:edGrp="everyone"/>
      <w:r>
        <w:rPr>
          <w:rFonts w:ascii="Arial" w:hAnsi="Arial" w:cs="Arial"/>
          <w:color w:val="000000"/>
          <w:sz w:val="22"/>
          <w:szCs w:val="22"/>
          <w:lang w:eastAsia="en-US"/>
        </w:rPr>
        <w:t>We support</w:t>
      </w:r>
      <w:r w:rsidRPr="00640DDE">
        <w:rPr>
          <w:rFonts w:ascii="Arial" w:hAnsi="Arial" w:cs="Arial"/>
          <w:color w:val="000000"/>
          <w:sz w:val="22"/>
          <w:szCs w:val="22"/>
          <w:lang w:eastAsia="en-US"/>
        </w:rPr>
        <w:t xml:space="preserve"> </w:t>
      </w:r>
      <w:r>
        <w:rPr>
          <w:rFonts w:ascii="Arial" w:hAnsi="Arial" w:cs="Arial"/>
          <w:color w:val="000000"/>
          <w:sz w:val="22"/>
          <w:szCs w:val="22"/>
          <w:lang w:eastAsia="en-US"/>
        </w:rPr>
        <w:t xml:space="preserve">ESMA’s general approach to </w:t>
      </w:r>
      <w:r w:rsidRPr="00640DDE">
        <w:rPr>
          <w:rFonts w:ascii="Arial" w:hAnsi="Arial" w:cs="Arial"/>
          <w:color w:val="000000"/>
          <w:sz w:val="22"/>
          <w:szCs w:val="22"/>
          <w:lang w:eastAsia="en-US"/>
        </w:rPr>
        <w:t>frontloading</w:t>
      </w:r>
      <w:r>
        <w:rPr>
          <w:rFonts w:ascii="Arial" w:hAnsi="Arial" w:cs="Arial"/>
          <w:color w:val="000000"/>
          <w:sz w:val="22"/>
          <w:szCs w:val="22"/>
          <w:lang w:eastAsia="en-US"/>
        </w:rPr>
        <w:t>, including the differentiation between Period A and B and the setting of the backloading minimum remaining maturity for period A to “ensure that no contract is subject to frontloading”.</w:t>
      </w:r>
      <w:r>
        <w:rPr>
          <w:rStyle w:val="FootnoteReference"/>
          <w:rFonts w:ascii="Arial" w:hAnsi="Arial"/>
          <w:color w:val="000000"/>
          <w:sz w:val="22"/>
          <w:szCs w:val="22"/>
          <w:lang w:eastAsia="en-US"/>
        </w:rPr>
        <w:footnoteReference w:id="46"/>
      </w:r>
      <w:r w:rsidRPr="00640DDE">
        <w:rPr>
          <w:rFonts w:ascii="Arial" w:hAnsi="Arial" w:cs="Arial"/>
          <w:color w:val="000000"/>
          <w:sz w:val="22"/>
          <w:szCs w:val="22"/>
          <w:lang w:eastAsia="en-US"/>
        </w:rPr>
        <w:t> </w:t>
      </w:r>
      <w:r>
        <w:rPr>
          <w:rFonts w:ascii="Arial" w:hAnsi="Arial" w:cs="Arial"/>
          <w:color w:val="000000"/>
          <w:sz w:val="22"/>
          <w:szCs w:val="22"/>
          <w:lang w:eastAsia="en-US"/>
        </w:rPr>
        <w:t xml:space="preserve">However, we believe that ESMA will need to make several changes to its proposals in order to ensure its objectives are achieved. </w:t>
      </w:r>
      <w:r w:rsidRPr="00640DDE">
        <w:rPr>
          <w:rFonts w:ascii="Arial" w:hAnsi="Arial" w:cs="Arial"/>
          <w:color w:val="000000"/>
          <w:sz w:val="22"/>
          <w:szCs w:val="22"/>
          <w:lang w:eastAsia="en-US"/>
        </w:rPr>
        <w:t xml:space="preserve"> </w:t>
      </w:r>
    </w:p>
    <w:p w14:paraId="504D7665" w14:textId="77777777" w:rsidR="00E6294A" w:rsidRDefault="00E6294A" w:rsidP="00E6294A">
      <w:pPr>
        <w:jc w:val="both"/>
        <w:rPr>
          <w:rFonts w:ascii="Arial" w:hAnsi="Arial" w:cs="Arial"/>
          <w:color w:val="000000"/>
          <w:sz w:val="22"/>
          <w:szCs w:val="22"/>
          <w:lang w:eastAsia="en-US"/>
        </w:rPr>
      </w:pPr>
    </w:p>
    <w:p w14:paraId="46C3F26F" w14:textId="77777777" w:rsidR="00E6294A" w:rsidRPr="00C7188E" w:rsidRDefault="00E6294A" w:rsidP="00E6294A">
      <w:pPr>
        <w:jc w:val="both"/>
        <w:rPr>
          <w:rFonts w:ascii="Arial" w:hAnsi="Arial" w:cs="Arial"/>
          <w:color w:val="000000"/>
          <w:sz w:val="22"/>
          <w:szCs w:val="22"/>
          <w:lang w:eastAsia="en-US"/>
        </w:rPr>
      </w:pPr>
      <w:r w:rsidRPr="00C7188E">
        <w:rPr>
          <w:rFonts w:ascii="Arial" w:hAnsi="Arial" w:cs="Arial"/>
          <w:color w:val="000000"/>
          <w:sz w:val="22"/>
          <w:szCs w:val="22"/>
          <w:lang w:eastAsia="en-US"/>
        </w:rPr>
        <w:t>Specifically, for credit derivative contracts that are concluded in Period A</w:t>
      </w:r>
      <w:r>
        <w:rPr>
          <w:rFonts w:ascii="Arial" w:hAnsi="Arial" w:cs="Arial"/>
          <w:color w:val="000000"/>
          <w:sz w:val="22"/>
          <w:szCs w:val="22"/>
          <w:lang w:eastAsia="en-US"/>
        </w:rPr>
        <w:t>,</w:t>
      </w:r>
      <w:r w:rsidRPr="00C7188E">
        <w:rPr>
          <w:rFonts w:ascii="Arial" w:hAnsi="Arial" w:cs="Arial"/>
          <w:color w:val="000000"/>
          <w:sz w:val="22"/>
          <w:szCs w:val="22"/>
          <w:lang w:eastAsia="en-US"/>
        </w:rPr>
        <w:t xml:space="preserve"> ESMA proposed to set the minimum remaining maturity at 4 years and </w:t>
      </w:r>
      <w:r>
        <w:rPr>
          <w:rFonts w:ascii="Arial" w:hAnsi="Arial" w:cs="Arial"/>
          <w:color w:val="000000"/>
          <w:sz w:val="22"/>
          <w:szCs w:val="22"/>
          <w:lang w:eastAsia="en-US"/>
        </w:rPr>
        <w:t>6</w:t>
      </w:r>
      <w:r w:rsidRPr="00C7188E">
        <w:rPr>
          <w:rFonts w:ascii="Arial" w:hAnsi="Arial" w:cs="Arial"/>
          <w:color w:val="000000"/>
          <w:sz w:val="22"/>
          <w:szCs w:val="22"/>
          <w:lang w:eastAsia="en-US"/>
        </w:rPr>
        <w:t xml:space="preserve"> months, based on its assumption that the maximum maturity of the contracts falling under the European </w:t>
      </w:r>
      <w:proofErr w:type="spellStart"/>
      <w:r w:rsidRPr="00C7188E">
        <w:rPr>
          <w:rFonts w:ascii="Arial" w:hAnsi="Arial" w:cs="Arial"/>
          <w:color w:val="000000"/>
          <w:sz w:val="22"/>
          <w:szCs w:val="22"/>
          <w:lang w:eastAsia="en-US"/>
        </w:rPr>
        <w:t>untranched</w:t>
      </w:r>
      <w:proofErr w:type="spellEnd"/>
      <w:r w:rsidRPr="00C7188E">
        <w:rPr>
          <w:rFonts w:ascii="Arial" w:hAnsi="Arial" w:cs="Arial"/>
          <w:color w:val="000000"/>
          <w:sz w:val="22"/>
          <w:szCs w:val="22"/>
          <w:lang w:eastAsia="en-US"/>
        </w:rPr>
        <w:t xml:space="preserve"> index CDS class is “5 years”.</w:t>
      </w:r>
      <w:r w:rsidRPr="00C7188E">
        <w:rPr>
          <w:rStyle w:val="FootnoteReference"/>
          <w:rFonts w:ascii="Arial" w:hAnsi="Arial"/>
          <w:color w:val="000000"/>
          <w:sz w:val="22"/>
          <w:szCs w:val="22"/>
          <w:lang w:eastAsia="en-US"/>
        </w:rPr>
        <w:footnoteReference w:id="47"/>
      </w:r>
      <w:r w:rsidRPr="00C7188E">
        <w:rPr>
          <w:rFonts w:ascii="Arial" w:hAnsi="Arial" w:cs="Arial"/>
          <w:color w:val="000000"/>
          <w:sz w:val="22"/>
          <w:szCs w:val="22"/>
          <w:lang w:eastAsia="en-US"/>
        </w:rPr>
        <w:t xml:space="preserve"> However, ESMA </w:t>
      </w:r>
      <w:r>
        <w:rPr>
          <w:rFonts w:ascii="Arial" w:hAnsi="Arial" w:cs="Arial"/>
          <w:color w:val="000000"/>
          <w:sz w:val="22"/>
          <w:szCs w:val="22"/>
          <w:lang w:eastAsia="en-US"/>
        </w:rPr>
        <w:t>should be aware of</w:t>
      </w:r>
      <w:r w:rsidRPr="00C7188E">
        <w:rPr>
          <w:rFonts w:ascii="Arial" w:hAnsi="Arial" w:cs="Arial"/>
          <w:color w:val="000000"/>
          <w:sz w:val="22"/>
          <w:szCs w:val="22"/>
          <w:lang w:eastAsia="en-US"/>
        </w:rPr>
        <w:t xml:space="preserve"> the fact that, when a new series of the </w:t>
      </w:r>
      <w:r>
        <w:rPr>
          <w:rFonts w:ascii="Arial" w:hAnsi="Arial" w:cs="Arial"/>
          <w:color w:val="000000"/>
          <w:sz w:val="22"/>
          <w:szCs w:val="22"/>
          <w:lang w:eastAsia="en-US"/>
        </w:rPr>
        <w:t>iTraxx</w:t>
      </w:r>
      <w:r w:rsidRPr="00C7188E">
        <w:rPr>
          <w:rFonts w:ascii="Arial" w:hAnsi="Arial" w:cs="Arial"/>
          <w:color w:val="000000"/>
          <w:sz w:val="22"/>
          <w:szCs w:val="22"/>
          <w:lang w:eastAsia="en-US"/>
        </w:rPr>
        <w:t xml:space="preserve"> indices is launched</w:t>
      </w:r>
      <w:r>
        <w:rPr>
          <w:rFonts w:ascii="Arial" w:hAnsi="Arial" w:cs="Arial"/>
          <w:color w:val="000000"/>
          <w:sz w:val="22"/>
          <w:szCs w:val="22"/>
          <w:lang w:eastAsia="en-US"/>
        </w:rPr>
        <w:t xml:space="preserve"> in March or September</w:t>
      </w:r>
      <w:r w:rsidRPr="00C7188E">
        <w:rPr>
          <w:rFonts w:ascii="Arial" w:hAnsi="Arial" w:cs="Arial"/>
          <w:color w:val="000000"/>
          <w:sz w:val="22"/>
          <w:szCs w:val="22"/>
          <w:lang w:eastAsia="en-US"/>
        </w:rPr>
        <w:t>,</w:t>
      </w:r>
      <w:r w:rsidRPr="00C7188E">
        <w:rPr>
          <w:rStyle w:val="FootnoteReference"/>
          <w:rFonts w:ascii="Arial" w:hAnsi="Arial"/>
          <w:color w:val="000000"/>
          <w:sz w:val="22"/>
          <w:szCs w:val="22"/>
          <w:lang w:eastAsia="en-US"/>
        </w:rPr>
        <w:footnoteReference w:id="48"/>
      </w:r>
      <w:r>
        <w:rPr>
          <w:rFonts w:ascii="Arial" w:hAnsi="Arial" w:cs="Arial"/>
          <w:color w:val="000000"/>
          <w:sz w:val="22"/>
          <w:szCs w:val="22"/>
          <w:lang w:eastAsia="en-US"/>
        </w:rPr>
        <w:t xml:space="preserve"> it</w:t>
      </w:r>
      <w:r w:rsidRPr="00C7188E">
        <w:rPr>
          <w:rFonts w:ascii="Arial" w:hAnsi="Arial" w:cs="Arial"/>
          <w:color w:val="000000"/>
          <w:sz w:val="22"/>
          <w:szCs w:val="22"/>
          <w:lang w:eastAsia="en-US"/>
        </w:rPr>
        <w:t xml:space="preserve"> will carry a maturity of 5 years </w:t>
      </w:r>
      <w:r w:rsidRPr="00876009">
        <w:rPr>
          <w:rFonts w:ascii="Arial" w:hAnsi="Arial" w:cs="Arial"/>
          <w:i/>
          <w:color w:val="000000"/>
          <w:sz w:val="22"/>
          <w:szCs w:val="22"/>
          <w:lang w:eastAsia="en-US"/>
        </w:rPr>
        <w:t>and 3 months</w:t>
      </w:r>
      <w:r w:rsidRPr="00C7188E">
        <w:rPr>
          <w:rFonts w:ascii="Arial" w:hAnsi="Arial" w:cs="Arial"/>
          <w:color w:val="000000"/>
          <w:sz w:val="22"/>
          <w:szCs w:val="22"/>
          <w:lang w:eastAsia="en-US"/>
        </w:rPr>
        <w:t>.</w:t>
      </w:r>
      <w:r w:rsidRPr="00C7188E">
        <w:rPr>
          <w:rStyle w:val="FootnoteReference"/>
          <w:rFonts w:ascii="Arial" w:hAnsi="Arial"/>
          <w:color w:val="000000"/>
          <w:sz w:val="22"/>
          <w:szCs w:val="22"/>
          <w:lang w:eastAsia="en-US"/>
        </w:rPr>
        <w:footnoteReference w:id="49"/>
      </w:r>
      <w:r w:rsidRPr="00C7188E">
        <w:rPr>
          <w:rFonts w:ascii="Arial" w:hAnsi="Arial" w:cs="Arial"/>
          <w:color w:val="000000"/>
          <w:sz w:val="22"/>
          <w:szCs w:val="22"/>
          <w:lang w:eastAsia="en-US"/>
        </w:rPr>
        <w:t xml:space="preserve"> To achieve its objective </w:t>
      </w:r>
      <w:r>
        <w:rPr>
          <w:rFonts w:ascii="Arial" w:hAnsi="Arial" w:cs="Arial"/>
          <w:color w:val="000000"/>
          <w:sz w:val="22"/>
          <w:szCs w:val="22"/>
          <w:lang w:eastAsia="en-US"/>
        </w:rPr>
        <w:t xml:space="preserve">that “the minimum remaining maturity is set at a level which ensures that no contract is subject to frontloading” </w:t>
      </w:r>
      <w:r w:rsidRPr="00C7188E">
        <w:rPr>
          <w:rFonts w:ascii="Arial" w:hAnsi="Arial" w:cs="Arial"/>
          <w:color w:val="000000"/>
          <w:sz w:val="22"/>
          <w:szCs w:val="22"/>
          <w:lang w:eastAsia="en-US"/>
        </w:rPr>
        <w:t xml:space="preserve">ESMA </w:t>
      </w:r>
      <w:r>
        <w:rPr>
          <w:rFonts w:ascii="Arial" w:hAnsi="Arial" w:cs="Arial"/>
          <w:color w:val="000000"/>
          <w:sz w:val="22"/>
          <w:szCs w:val="22"/>
          <w:lang w:eastAsia="en-US"/>
        </w:rPr>
        <w:t>should therefore</w:t>
      </w:r>
      <w:r w:rsidRPr="00C7188E">
        <w:rPr>
          <w:rFonts w:ascii="Arial" w:hAnsi="Arial" w:cs="Arial"/>
          <w:color w:val="000000"/>
          <w:sz w:val="22"/>
          <w:szCs w:val="22"/>
          <w:lang w:eastAsia="en-US"/>
        </w:rPr>
        <w:t xml:space="preserve"> set the cutoff maturity </w:t>
      </w:r>
      <w:r>
        <w:rPr>
          <w:rFonts w:ascii="Arial" w:hAnsi="Arial" w:cs="Arial"/>
          <w:color w:val="000000"/>
          <w:sz w:val="22"/>
          <w:szCs w:val="22"/>
          <w:lang w:eastAsia="en-US"/>
        </w:rPr>
        <w:t xml:space="preserve">at </w:t>
      </w:r>
      <w:r w:rsidRPr="00C7188E">
        <w:rPr>
          <w:rFonts w:ascii="Arial" w:hAnsi="Arial" w:cs="Arial"/>
          <w:color w:val="000000"/>
          <w:sz w:val="22"/>
          <w:szCs w:val="22"/>
          <w:lang w:eastAsia="en-US"/>
        </w:rPr>
        <w:t>4 years and 9 months</w:t>
      </w:r>
      <w:r>
        <w:rPr>
          <w:rFonts w:ascii="Arial" w:hAnsi="Arial" w:cs="Arial"/>
          <w:color w:val="000000"/>
          <w:sz w:val="22"/>
          <w:szCs w:val="22"/>
          <w:lang w:eastAsia="en-US"/>
        </w:rPr>
        <w:t>, i.e.</w:t>
      </w:r>
      <w:r w:rsidRPr="00C7188E">
        <w:rPr>
          <w:rFonts w:ascii="Arial" w:hAnsi="Arial" w:cs="Arial"/>
          <w:color w:val="000000"/>
          <w:sz w:val="22"/>
          <w:szCs w:val="22"/>
          <w:lang w:eastAsia="en-US"/>
        </w:rPr>
        <w:t xml:space="preserve"> 5 years and 3 months minus 6 months.</w:t>
      </w:r>
    </w:p>
    <w:p w14:paraId="66385BD2" w14:textId="77777777" w:rsidR="00E6294A" w:rsidRDefault="00E6294A" w:rsidP="00E6294A">
      <w:pPr>
        <w:jc w:val="both"/>
        <w:rPr>
          <w:rFonts w:ascii="Arial" w:hAnsi="Arial" w:cs="Arial"/>
          <w:color w:val="000000"/>
          <w:sz w:val="22"/>
          <w:szCs w:val="22"/>
          <w:lang w:eastAsia="en-US"/>
        </w:rPr>
      </w:pPr>
    </w:p>
    <w:p w14:paraId="1B277CC7" w14:textId="77777777" w:rsidR="00E6294A" w:rsidRPr="00C7188E" w:rsidRDefault="00E6294A" w:rsidP="00E6294A">
      <w:pPr>
        <w:jc w:val="both"/>
        <w:rPr>
          <w:rFonts w:ascii="Arial" w:hAnsi="Arial" w:cs="Arial"/>
          <w:color w:val="000000"/>
          <w:sz w:val="22"/>
          <w:szCs w:val="22"/>
          <w:lang w:eastAsia="en-US"/>
        </w:rPr>
      </w:pPr>
      <w:r w:rsidRPr="00C7188E">
        <w:rPr>
          <w:rFonts w:ascii="Arial" w:hAnsi="Arial" w:cs="Arial"/>
          <w:color w:val="000000"/>
          <w:sz w:val="22"/>
          <w:szCs w:val="22"/>
          <w:lang w:eastAsia="en-US"/>
        </w:rPr>
        <w:t xml:space="preserve">For </w:t>
      </w:r>
      <w:r>
        <w:rPr>
          <w:rFonts w:ascii="Arial" w:hAnsi="Arial" w:cs="Arial"/>
          <w:color w:val="000000"/>
          <w:sz w:val="22"/>
          <w:szCs w:val="22"/>
          <w:lang w:eastAsia="en-US"/>
        </w:rPr>
        <w:t>transactions in the relevant CDS indices that are</w:t>
      </w:r>
      <w:r w:rsidRPr="00C7188E">
        <w:rPr>
          <w:rFonts w:ascii="Arial" w:hAnsi="Arial" w:cs="Arial"/>
          <w:color w:val="000000"/>
          <w:sz w:val="22"/>
          <w:szCs w:val="22"/>
          <w:lang w:eastAsia="en-US"/>
        </w:rPr>
        <w:t xml:space="preserve"> concluded in Period B, ESMA proposed a 6 month minimum maturity </w:t>
      </w:r>
      <w:r>
        <w:rPr>
          <w:rFonts w:ascii="Arial" w:hAnsi="Arial" w:cs="Arial"/>
          <w:color w:val="000000"/>
          <w:sz w:val="22"/>
          <w:szCs w:val="22"/>
          <w:lang w:eastAsia="en-US"/>
        </w:rPr>
        <w:t xml:space="preserve">to determine which CDS index </w:t>
      </w:r>
      <w:r w:rsidRPr="00C7188E">
        <w:rPr>
          <w:rFonts w:ascii="Arial" w:hAnsi="Arial" w:cs="Arial"/>
          <w:color w:val="000000"/>
          <w:sz w:val="22"/>
          <w:szCs w:val="22"/>
          <w:lang w:eastAsia="en-US"/>
        </w:rPr>
        <w:t>transactions</w:t>
      </w:r>
      <w:r>
        <w:rPr>
          <w:rFonts w:ascii="Arial" w:hAnsi="Arial" w:cs="Arial"/>
          <w:color w:val="000000"/>
          <w:sz w:val="22"/>
          <w:szCs w:val="22"/>
          <w:lang w:eastAsia="en-US"/>
        </w:rPr>
        <w:t xml:space="preserve"> must be frontloaded</w:t>
      </w:r>
      <w:r w:rsidRPr="00C7188E">
        <w:rPr>
          <w:rFonts w:ascii="Arial" w:hAnsi="Arial" w:cs="Arial"/>
          <w:color w:val="000000"/>
          <w:sz w:val="22"/>
          <w:szCs w:val="22"/>
          <w:lang w:eastAsia="en-US"/>
        </w:rPr>
        <w:t>.</w:t>
      </w:r>
      <w:r w:rsidRPr="00C7188E">
        <w:rPr>
          <w:rStyle w:val="FootnoteReference"/>
          <w:rFonts w:ascii="Arial" w:hAnsi="Arial"/>
          <w:color w:val="000000"/>
          <w:sz w:val="22"/>
          <w:szCs w:val="22"/>
          <w:lang w:eastAsia="en-US"/>
        </w:rPr>
        <w:footnoteReference w:id="50"/>
      </w:r>
      <w:r w:rsidRPr="00C7188E">
        <w:rPr>
          <w:rFonts w:ascii="Arial" w:hAnsi="Arial" w:cs="Arial"/>
          <w:color w:val="000000"/>
          <w:sz w:val="22"/>
          <w:szCs w:val="22"/>
          <w:lang w:eastAsia="en-US"/>
        </w:rPr>
        <w:t xml:space="preserve"> We believe </w:t>
      </w:r>
      <w:r>
        <w:rPr>
          <w:rFonts w:ascii="Arial" w:hAnsi="Arial" w:cs="Arial"/>
          <w:color w:val="000000"/>
          <w:sz w:val="22"/>
          <w:szCs w:val="22"/>
          <w:lang w:eastAsia="en-US"/>
        </w:rPr>
        <w:t xml:space="preserve">that it would be more appropriate for </w:t>
      </w:r>
      <w:r w:rsidRPr="00C7188E">
        <w:rPr>
          <w:rFonts w:ascii="Arial" w:hAnsi="Arial" w:cs="Arial"/>
          <w:color w:val="000000"/>
          <w:sz w:val="22"/>
          <w:szCs w:val="22"/>
          <w:lang w:eastAsia="en-US"/>
        </w:rPr>
        <w:t xml:space="preserve">ESMA </w:t>
      </w:r>
      <w:r>
        <w:rPr>
          <w:rFonts w:ascii="Arial" w:hAnsi="Arial" w:cs="Arial"/>
          <w:color w:val="000000"/>
          <w:sz w:val="22"/>
          <w:szCs w:val="22"/>
          <w:lang w:eastAsia="en-US"/>
        </w:rPr>
        <w:t>to</w:t>
      </w:r>
      <w:r w:rsidRPr="00C7188E">
        <w:rPr>
          <w:rFonts w:ascii="Arial" w:hAnsi="Arial" w:cs="Arial"/>
          <w:color w:val="000000"/>
          <w:sz w:val="22"/>
          <w:szCs w:val="22"/>
          <w:lang w:eastAsia="en-US"/>
        </w:rPr>
        <w:t xml:space="preserve"> use a longer period. This is because we believe that the cost </w:t>
      </w:r>
      <w:r>
        <w:rPr>
          <w:rFonts w:ascii="Arial" w:hAnsi="Arial" w:cs="Arial"/>
          <w:color w:val="000000"/>
          <w:sz w:val="22"/>
          <w:szCs w:val="22"/>
          <w:lang w:eastAsia="en-US"/>
        </w:rPr>
        <w:t xml:space="preserve">created by </w:t>
      </w:r>
      <w:r w:rsidRPr="00C7188E">
        <w:rPr>
          <w:rFonts w:ascii="Arial" w:hAnsi="Arial" w:cs="Arial"/>
          <w:color w:val="000000"/>
          <w:sz w:val="22"/>
          <w:szCs w:val="22"/>
          <w:lang w:eastAsia="en-US"/>
        </w:rPr>
        <w:t xml:space="preserve">requiring the central clearing of </w:t>
      </w:r>
      <w:r>
        <w:rPr>
          <w:rFonts w:ascii="Arial" w:hAnsi="Arial" w:cs="Arial"/>
          <w:color w:val="000000"/>
          <w:sz w:val="22"/>
          <w:szCs w:val="22"/>
          <w:lang w:eastAsia="en-US"/>
        </w:rPr>
        <w:t>index CDS</w:t>
      </w:r>
      <w:r w:rsidRPr="00C7188E">
        <w:rPr>
          <w:rFonts w:ascii="Arial" w:hAnsi="Arial" w:cs="Arial"/>
          <w:color w:val="000000"/>
          <w:sz w:val="22"/>
          <w:szCs w:val="22"/>
          <w:lang w:eastAsia="en-US"/>
        </w:rPr>
        <w:t xml:space="preserve"> transactions with such short remaining maturity is likely to exceed the benefits from a systemic risk perspective. We therefore recommend for ESMA to set a minimum maturity of at least 12 months</w:t>
      </w:r>
      <w:r>
        <w:rPr>
          <w:rFonts w:ascii="Arial" w:hAnsi="Arial" w:cs="Arial"/>
          <w:color w:val="000000"/>
          <w:sz w:val="22"/>
          <w:szCs w:val="22"/>
          <w:lang w:eastAsia="en-US"/>
        </w:rPr>
        <w:t>. This</w:t>
      </w:r>
      <w:r w:rsidRPr="00C7188E">
        <w:rPr>
          <w:rFonts w:ascii="Arial" w:hAnsi="Arial" w:cs="Arial"/>
          <w:color w:val="000000"/>
          <w:sz w:val="22"/>
          <w:szCs w:val="22"/>
          <w:lang w:eastAsia="en-US"/>
        </w:rPr>
        <w:t xml:space="preserve"> would </w:t>
      </w:r>
      <w:r>
        <w:rPr>
          <w:rFonts w:ascii="Arial" w:hAnsi="Arial" w:cs="Arial"/>
          <w:color w:val="000000"/>
          <w:sz w:val="22"/>
          <w:szCs w:val="22"/>
          <w:lang w:eastAsia="en-US"/>
        </w:rPr>
        <w:t xml:space="preserve">also </w:t>
      </w:r>
      <w:r w:rsidRPr="00C7188E">
        <w:rPr>
          <w:rFonts w:ascii="Arial" w:hAnsi="Arial" w:cs="Arial"/>
          <w:color w:val="000000"/>
          <w:sz w:val="22"/>
          <w:szCs w:val="22"/>
          <w:lang w:eastAsia="en-US"/>
        </w:rPr>
        <w:t xml:space="preserve">be consistent with the </w:t>
      </w:r>
      <w:r>
        <w:rPr>
          <w:rFonts w:ascii="Arial" w:hAnsi="Arial" w:cs="Arial"/>
          <w:color w:val="000000"/>
          <w:sz w:val="22"/>
          <w:szCs w:val="22"/>
          <w:lang w:eastAsia="en-US"/>
        </w:rPr>
        <w:t>feedback</w:t>
      </w:r>
      <w:r w:rsidRPr="00C7188E">
        <w:rPr>
          <w:rFonts w:ascii="Arial" w:hAnsi="Arial" w:cs="Arial"/>
          <w:color w:val="000000"/>
          <w:sz w:val="22"/>
          <w:szCs w:val="22"/>
          <w:lang w:eastAsia="en-US"/>
        </w:rPr>
        <w:t xml:space="preserve"> that ESMA received </w:t>
      </w:r>
      <w:r>
        <w:rPr>
          <w:rFonts w:ascii="Arial" w:hAnsi="Arial" w:cs="Arial"/>
          <w:color w:val="000000"/>
          <w:sz w:val="22"/>
          <w:szCs w:val="22"/>
          <w:lang w:eastAsia="en-US"/>
        </w:rPr>
        <w:t xml:space="preserve">in response </w:t>
      </w:r>
      <w:r w:rsidRPr="00C7188E">
        <w:rPr>
          <w:rFonts w:ascii="Arial" w:hAnsi="Arial" w:cs="Arial"/>
          <w:color w:val="000000"/>
          <w:sz w:val="22"/>
          <w:szCs w:val="22"/>
          <w:lang w:eastAsia="en-US"/>
        </w:rPr>
        <w:t>to its discussion paper.</w:t>
      </w:r>
      <w:r w:rsidRPr="00C7188E">
        <w:rPr>
          <w:rStyle w:val="FootnoteReference"/>
          <w:rFonts w:ascii="Arial" w:hAnsi="Arial"/>
          <w:color w:val="000000"/>
          <w:sz w:val="22"/>
          <w:szCs w:val="22"/>
          <w:lang w:eastAsia="en-US"/>
        </w:rPr>
        <w:footnoteReference w:id="51"/>
      </w:r>
    </w:p>
    <w:p w14:paraId="54EAB0F0" w14:textId="77777777" w:rsidR="00E6294A" w:rsidRDefault="00E6294A" w:rsidP="00E6294A">
      <w:pPr>
        <w:jc w:val="both"/>
        <w:rPr>
          <w:rFonts w:ascii="Arial" w:hAnsi="Arial" w:cs="Arial"/>
          <w:color w:val="000000"/>
          <w:sz w:val="22"/>
          <w:szCs w:val="22"/>
          <w:lang w:eastAsia="en-US"/>
        </w:rPr>
      </w:pPr>
    </w:p>
    <w:p w14:paraId="4A92CE70" w14:textId="77777777" w:rsidR="00E6294A" w:rsidRDefault="00E6294A" w:rsidP="00E6294A">
      <w:pPr>
        <w:jc w:val="both"/>
        <w:rPr>
          <w:rFonts w:ascii="Arial" w:hAnsi="Arial" w:cs="Arial"/>
          <w:color w:val="000000"/>
          <w:sz w:val="22"/>
          <w:szCs w:val="22"/>
          <w:lang w:eastAsia="en-US"/>
        </w:rPr>
      </w:pPr>
      <w:r>
        <w:rPr>
          <w:rFonts w:ascii="Arial" w:hAnsi="Arial" w:cs="Arial"/>
          <w:color w:val="000000"/>
          <w:sz w:val="22"/>
          <w:szCs w:val="22"/>
          <w:lang w:eastAsia="en-US"/>
        </w:rPr>
        <w:t xml:space="preserve">Finally, ESMA should consider </w:t>
      </w:r>
      <w:r w:rsidRPr="00E20CA7">
        <w:rPr>
          <w:rFonts w:ascii="Arial" w:hAnsi="Arial" w:cs="Arial"/>
          <w:color w:val="000000"/>
          <w:sz w:val="22"/>
          <w:szCs w:val="22"/>
          <w:lang w:eastAsia="en-US"/>
        </w:rPr>
        <w:t xml:space="preserve">industry concerns about the legal status of </w:t>
      </w:r>
      <w:r>
        <w:rPr>
          <w:rFonts w:ascii="Arial" w:hAnsi="Arial" w:cs="Arial"/>
          <w:color w:val="000000"/>
          <w:sz w:val="22"/>
          <w:szCs w:val="22"/>
          <w:lang w:eastAsia="en-US"/>
        </w:rPr>
        <w:t xml:space="preserve">derivatives </w:t>
      </w:r>
      <w:r w:rsidRPr="00E20CA7">
        <w:rPr>
          <w:rFonts w:ascii="Arial" w:hAnsi="Arial" w:cs="Arial"/>
          <w:color w:val="000000"/>
          <w:sz w:val="22"/>
          <w:szCs w:val="22"/>
          <w:lang w:eastAsia="en-US"/>
        </w:rPr>
        <w:t xml:space="preserve">transactions that are subject to the frontloading requirement and the potential need to flag </w:t>
      </w:r>
      <w:r>
        <w:rPr>
          <w:rFonts w:ascii="Arial" w:hAnsi="Arial" w:cs="Arial"/>
          <w:color w:val="000000"/>
          <w:sz w:val="22"/>
          <w:szCs w:val="22"/>
          <w:lang w:eastAsia="en-US"/>
        </w:rPr>
        <w:t>them</w:t>
      </w:r>
      <w:r w:rsidRPr="00E20CA7">
        <w:rPr>
          <w:rFonts w:ascii="Arial" w:hAnsi="Arial" w:cs="Arial"/>
          <w:color w:val="000000"/>
          <w:sz w:val="22"/>
          <w:szCs w:val="22"/>
          <w:lang w:eastAsia="en-US"/>
        </w:rPr>
        <w:t xml:space="preserve"> as subject to </w:t>
      </w:r>
      <w:r>
        <w:rPr>
          <w:rFonts w:ascii="Arial" w:hAnsi="Arial" w:cs="Arial"/>
          <w:color w:val="000000"/>
          <w:sz w:val="22"/>
          <w:szCs w:val="22"/>
          <w:lang w:eastAsia="en-US"/>
        </w:rPr>
        <w:t>such</w:t>
      </w:r>
      <w:r w:rsidRPr="00E20CA7">
        <w:rPr>
          <w:rFonts w:ascii="Arial" w:hAnsi="Arial" w:cs="Arial"/>
          <w:color w:val="000000"/>
          <w:sz w:val="22"/>
          <w:szCs w:val="22"/>
          <w:lang w:eastAsia="en-US"/>
        </w:rPr>
        <w:t xml:space="preserve"> requirement as part of the legal confirmation process to ensure </w:t>
      </w:r>
      <w:r>
        <w:rPr>
          <w:rFonts w:ascii="Arial" w:hAnsi="Arial" w:cs="Arial"/>
          <w:color w:val="000000"/>
          <w:sz w:val="22"/>
          <w:szCs w:val="22"/>
          <w:lang w:eastAsia="en-US"/>
        </w:rPr>
        <w:t xml:space="preserve">that </w:t>
      </w:r>
      <w:r w:rsidRPr="00E20CA7">
        <w:rPr>
          <w:rFonts w:ascii="Arial" w:hAnsi="Arial" w:cs="Arial"/>
          <w:color w:val="000000"/>
          <w:sz w:val="22"/>
          <w:szCs w:val="22"/>
          <w:lang w:eastAsia="en-US"/>
        </w:rPr>
        <w:t>parties</w:t>
      </w:r>
      <w:r>
        <w:rPr>
          <w:rFonts w:ascii="Arial" w:hAnsi="Arial" w:cs="Arial"/>
          <w:color w:val="000000"/>
          <w:sz w:val="22"/>
          <w:szCs w:val="22"/>
          <w:lang w:eastAsia="en-US"/>
        </w:rPr>
        <w:t xml:space="preserve"> to the transaction</w:t>
      </w:r>
      <w:r w:rsidRPr="00E20CA7">
        <w:rPr>
          <w:rFonts w:ascii="Arial" w:hAnsi="Arial" w:cs="Arial"/>
          <w:color w:val="000000"/>
          <w:sz w:val="22"/>
          <w:szCs w:val="22"/>
          <w:lang w:eastAsia="en-US"/>
        </w:rPr>
        <w:t xml:space="preserve"> are bound to suitable language regarding the requirement to frontload or terminate the transaction at a later stage. </w:t>
      </w:r>
      <w:r>
        <w:rPr>
          <w:rFonts w:ascii="Arial" w:hAnsi="Arial" w:cs="Arial"/>
          <w:color w:val="000000"/>
          <w:sz w:val="22"/>
          <w:szCs w:val="22"/>
          <w:lang w:eastAsia="en-US"/>
        </w:rPr>
        <w:t>W</w:t>
      </w:r>
      <w:r w:rsidRPr="00E20CA7">
        <w:rPr>
          <w:rFonts w:ascii="Arial" w:hAnsi="Arial" w:cs="Arial"/>
          <w:color w:val="000000"/>
          <w:sz w:val="22"/>
          <w:szCs w:val="22"/>
          <w:lang w:eastAsia="en-US"/>
        </w:rPr>
        <w:t xml:space="preserve">hen </w:t>
      </w:r>
      <w:r>
        <w:rPr>
          <w:rFonts w:ascii="Arial" w:hAnsi="Arial" w:cs="Arial"/>
          <w:color w:val="000000"/>
          <w:sz w:val="22"/>
          <w:szCs w:val="22"/>
          <w:lang w:eastAsia="en-US"/>
        </w:rPr>
        <w:t>considering the timing of frontloading</w:t>
      </w:r>
      <w:r w:rsidRPr="00640DDE">
        <w:rPr>
          <w:rFonts w:ascii="Arial" w:hAnsi="Arial" w:cs="Arial"/>
          <w:color w:val="000000"/>
          <w:sz w:val="22"/>
          <w:szCs w:val="22"/>
          <w:lang w:eastAsia="en-US"/>
        </w:rPr>
        <w:t xml:space="preserve"> </w:t>
      </w:r>
      <w:r w:rsidRPr="00E20CA7">
        <w:rPr>
          <w:rFonts w:ascii="Arial" w:hAnsi="Arial" w:cs="Arial"/>
          <w:color w:val="000000"/>
          <w:sz w:val="22"/>
          <w:szCs w:val="22"/>
          <w:lang w:eastAsia="en-US"/>
        </w:rPr>
        <w:t xml:space="preserve">ESMA </w:t>
      </w:r>
      <w:r>
        <w:rPr>
          <w:rFonts w:ascii="Arial" w:hAnsi="Arial" w:cs="Arial"/>
          <w:color w:val="000000"/>
          <w:sz w:val="22"/>
          <w:szCs w:val="22"/>
          <w:lang w:eastAsia="en-US"/>
        </w:rPr>
        <w:t>should</w:t>
      </w:r>
      <w:r w:rsidRPr="00E20CA7">
        <w:rPr>
          <w:rFonts w:ascii="Arial" w:hAnsi="Arial" w:cs="Arial"/>
          <w:color w:val="000000"/>
          <w:sz w:val="22"/>
          <w:szCs w:val="22"/>
          <w:lang w:eastAsia="en-US"/>
        </w:rPr>
        <w:t xml:space="preserve"> be cognisant of </w:t>
      </w:r>
      <w:r>
        <w:rPr>
          <w:rFonts w:ascii="Arial" w:hAnsi="Arial" w:cs="Arial"/>
          <w:color w:val="000000"/>
          <w:sz w:val="22"/>
          <w:szCs w:val="22"/>
          <w:lang w:eastAsia="en-US"/>
        </w:rPr>
        <w:t>the fact that</w:t>
      </w:r>
      <w:r w:rsidRPr="00E20CA7">
        <w:rPr>
          <w:rFonts w:ascii="Arial" w:hAnsi="Arial" w:cs="Arial"/>
          <w:color w:val="000000"/>
          <w:sz w:val="22"/>
          <w:szCs w:val="22"/>
          <w:lang w:eastAsia="en-US"/>
        </w:rPr>
        <w:t xml:space="preserve"> discussions are not </w:t>
      </w:r>
      <w:r>
        <w:rPr>
          <w:rFonts w:ascii="Arial" w:hAnsi="Arial" w:cs="Arial"/>
          <w:color w:val="000000"/>
          <w:sz w:val="22"/>
          <w:szCs w:val="22"/>
          <w:lang w:eastAsia="en-US"/>
        </w:rPr>
        <w:t>at</w:t>
      </w:r>
      <w:r w:rsidRPr="00E20CA7">
        <w:rPr>
          <w:rFonts w:ascii="Arial" w:hAnsi="Arial" w:cs="Arial"/>
          <w:color w:val="000000"/>
          <w:sz w:val="22"/>
          <w:szCs w:val="22"/>
          <w:lang w:eastAsia="en-US"/>
        </w:rPr>
        <w:t xml:space="preserve"> an advanced stage</w:t>
      </w:r>
      <w:r>
        <w:rPr>
          <w:rFonts w:ascii="Arial" w:hAnsi="Arial" w:cs="Arial"/>
          <w:color w:val="000000"/>
          <w:sz w:val="22"/>
          <w:szCs w:val="22"/>
          <w:lang w:eastAsia="en-US"/>
        </w:rPr>
        <w:t>.</w:t>
      </w:r>
      <w:r w:rsidRPr="00E20CA7">
        <w:rPr>
          <w:rFonts w:cs="Arial"/>
          <w:vertAlign w:val="superscript"/>
        </w:rPr>
        <w:footnoteReference w:id="52"/>
      </w:r>
      <w:r w:rsidRPr="00E20CA7">
        <w:rPr>
          <w:rFonts w:ascii="Arial" w:hAnsi="Arial" w:cs="Arial"/>
          <w:color w:val="000000"/>
          <w:sz w:val="22"/>
          <w:szCs w:val="22"/>
          <w:lang w:eastAsia="en-US"/>
        </w:rPr>
        <w:t xml:space="preserve"> </w:t>
      </w:r>
      <w:r>
        <w:rPr>
          <w:rFonts w:ascii="Arial" w:hAnsi="Arial" w:cs="Arial"/>
          <w:color w:val="000000"/>
          <w:sz w:val="22"/>
          <w:szCs w:val="22"/>
          <w:lang w:eastAsia="en-US"/>
        </w:rPr>
        <w:t xml:space="preserve">Also, even once </w:t>
      </w:r>
      <w:r w:rsidRPr="00E20CA7">
        <w:rPr>
          <w:rFonts w:ascii="Arial" w:hAnsi="Arial" w:cs="Arial"/>
          <w:color w:val="000000"/>
          <w:sz w:val="22"/>
          <w:szCs w:val="22"/>
          <w:lang w:eastAsia="en-US"/>
        </w:rPr>
        <w:t xml:space="preserve">any </w:t>
      </w:r>
      <w:r>
        <w:rPr>
          <w:rFonts w:ascii="Arial" w:hAnsi="Arial" w:cs="Arial"/>
          <w:color w:val="000000"/>
          <w:sz w:val="22"/>
          <w:szCs w:val="22"/>
          <w:lang w:eastAsia="en-US"/>
        </w:rPr>
        <w:t xml:space="preserve">decision had been taken </w:t>
      </w:r>
      <w:r w:rsidRPr="00E20CA7">
        <w:rPr>
          <w:rFonts w:ascii="Arial" w:hAnsi="Arial" w:cs="Arial"/>
          <w:color w:val="000000"/>
          <w:sz w:val="22"/>
          <w:szCs w:val="22"/>
          <w:lang w:eastAsia="en-US"/>
        </w:rPr>
        <w:t>to add a frontloading flag to the confirmation process</w:t>
      </w:r>
      <w:r>
        <w:rPr>
          <w:rFonts w:ascii="Arial" w:hAnsi="Arial" w:cs="Arial"/>
          <w:color w:val="000000"/>
          <w:sz w:val="22"/>
          <w:szCs w:val="22"/>
          <w:lang w:eastAsia="en-US"/>
        </w:rPr>
        <w:t>,</w:t>
      </w:r>
      <w:r w:rsidRPr="00E20CA7">
        <w:rPr>
          <w:rFonts w:ascii="Arial" w:hAnsi="Arial" w:cs="Arial"/>
          <w:color w:val="000000"/>
          <w:sz w:val="22"/>
          <w:szCs w:val="22"/>
          <w:lang w:eastAsia="en-US"/>
        </w:rPr>
        <w:t xml:space="preserve"> </w:t>
      </w:r>
      <w:r>
        <w:rPr>
          <w:rFonts w:ascii="Arial" w:hAnsi="Arial" w:cs="Arial"/>
          <w:color w:val="000000"/>
          <w:sz w:val="22"/>
          <w:szCs w:val="22"/>
          <w:lang w:eastAsia="en-US"/>
        </w:rPr>
        <w:t xml:space="preserve">the relevant </w:t>
      </w:r>
      <w:r w:rsidRPr="00E20CA7">
        <w:rPr>
          <w:rFonts w:ascii="Arial" w:hAnsi="Arial" w:cs="Arial"/>
          <w:color w:val="000000"/>
          <w:sz w:val="22"/>
          <w:szCs w:val="22"/>
          <w:lang w:eastAsia="en-US"/>
        </w:rPr>
        <w:t xml:space="preserve">middleware providers such as MarkitSERV would require </w:t>
      </w:r>
      <w:r>
        <w:rPr>
          <w:rFonts w:ascii="Arial" w:hAnsi="Arial" w:cs="Arial"/>
          <w:color w:val="000000"/>
          <w:sz w:val="22"/>
          <w:szCs w:val="22"/>
          <w:lang w:eastAsia="en-US"/>
        </w:rPr>
        <w:t xml:space="preserve">a sufficient amount of </w:t>
      </w:r>
      <w:r w:rsidRPr="00E20CA7">
        <w:rPr>
          <w:rFonts w:ascii="Arial" w:hAnsi="Arial" w:cs="Arial"/>
          <w:color w:val="000000"/>
          <w:sz w:val="22"/>
          <w:szCs w:val="22"/>
          <w:lang w:eastAsia="en-US"/>
        </w:rPr>
        <w:t xml:space="preserve">time to implement </w:t>
      </w:r>
      <w:r>
        <w:rPr>
          <w:rFonts w:ascii="Arial" w:hAnsi="Arial" w:cs="Arial"/>
          <w:color w:val="000000"/>
          <w:sz w:val="22"/>
          <w:szCs w:val="22"/>
          <w:lang w:eastAsia="en-US"/>
        </w:rPr>
        <w:t>it</w:t>
      </w:r>
      <w:r w:rsidRPr="00E20CA7">
        <w:rPr>
          <w:rFonts w:ascii="Arial" w:hAnsi="Arial" w:cs="Arial"/>
          <w:color w:val="000000"/>
          <w:sz w:val="22"/>
          <w:szCs w:val="22"/>
          <w:lang w:eastAsia="en-US"/>
        </w:rPr>
        <w:t xml:space="preserve">. </w:t>
      </w:r>
    </w:p>
    <w:permEnd w:id="1836743607"/>
    <w:p w14:paraId="20A205E7" w14:textId="086C5CAE" w:rsidR="000E31C3" w:rsidRDefault="000E31C3" w:rsidP="000E31C3">
      <w:r>
        <w:t>&lt;ESMA_QUESTION_7&gt;</w:t>
      </w:r>
    </w:p>
    <w:p w14:paraId="02C9350E" w14:textId="77777777" w:rsidR="000E31C3" w:rsidRDefault="000E31C3" w:rsidP="000E31C3">
      <w:pPr>
        <w:pStyle w:val="Questions"/>
      </w:pPr>
    </w:p>
    <w:p w14:paraId="7FEE5DEF" w14:textId="77777777" w:rsidR="00CB1E65" w:rsidRDefault="00CB1E65" w:rsidP="00CB1E65">
      <w:pPr>
        <w:pStyle w:val="Heading1"/>
        <w:numPr>
          <w:ilvl w:val="0"/>
          <w:numId w:val="0"/>
        </w:numPr>
      </w:pPr>
      <w:bookmarkStart w:id="21" w:name="_Ref389465288"/>
      <w:bookmarkStart w:id="22" w:name="_Toc392599429"/>
      <w:r w:rsidRPr="00B95561">
        <w:lastRenderedPageBreak/>
        <w:t xml:space="preserve">Annex </w:t>
      </w:r>
      <w:fldSimple w:instr=" SEQ Annex \* ROMAN ">
        <w:r w:rsidR="001826B9">
          <w:rPr>
            <w:noProof/>
          </w:rPr>
          <w:t>I</w:t>
        </w:r>
      </w:fldSimple>
      <w:bookmarkEnd w:id="21"/>
      <w:r w:rsidRPr="00B95561">
        <w:t xml:space="preserve"> - Commission mandate to develop technical standards</w:t>
      </w:r>
      <w:bookmarkEnd w:id="22"/>
    </w:p>
    <w:p w14:paraId="7696A38A" w14:textId="77777777" w:rsidR="00CB1E65" w:rsidRPr="00663ADD" w:rsidRDefault="00CB1E65" w:rsidP="00CB1E65"/>
    <w:p w14:paraId="5A801D3C" w14:textId="64F7EF4C" w:rsidR="00CB1E65" w:rsidRDefault="00CB1E65" w:rsidP="00CB1E65">
      <w:pPr>
        <w:pStyle w:val="Heading1"/>
        <w:numPr>
          <w:ilvl w:val="0"/>
          <w:numId w:val="0"/>
        </w:numPr>
      </w:pPr>
      <w:bookmarkStart w:id="23" w:name="_Ref389466688"/>
      <w:bookmarkStart w:id="24" w:name="_Toc392599430"/>
      <w:r w:rsidRPr="009E0D2D">
        <w:t xml:space="preserve">Annex </w:t>
      </w:r>
      <w:fldSimple w:instr=" SEQ Annex \* ROMAN ">
        <w:r w:rsidR="001826B9">
          <w:rPr>
            <w:noProof/>
          </w:rPr>
          <w:t>II</w:t>
        </w:r>
      </w:fldSimple>
      <w:bookmarkEnd w:id="23"/>
      <w:r>
        <w:t xml:space="preserve"> - Draft Regulatory Technical Standards on the Clearing Obligation</w:t>
      </w:r>
      <w:bookmarkEnd w:id="24"/>
    </w:p>
    <w:p w14:paraId="681A9EC1" w14:textId="77777777" w:rsidR="000E31C3" w:rsidRPr="007403B2" w:rsidRDefault="000E31C3" w:rsidP="000E31C3">
      <w:pPr>
        <w:pStyle w:val="Questions"/>
      </w:pPr>
      <w:r w:rsidRPr="007403B2">
        <w:t xml:space="preserve">Question </w:t>
      </w:r>
      <w:fldSimple w:instr=" SEQ Question \* ARABIC ">
        <w:r w:rsidR="001826B9">
          <w:rPr>
            <w:noProof/>
          </w:rPr>
          <w:t>8</w:t>
        </w:r>
      </w:fldSimple>
      <w:r w:rsidRPr="007403B2">
        <w:t>: Please indicate your comments on the draft RTS other than those already made in the previous questions.</w:t>
      </w:r>
    </w:p>
    <w:p w14:paraId="6049389D" w14:textId="77777777" w:rsidR="000E31C3" w:rsidRDefault="000E31C3" w:rsidP="000E31C3"/>
    <w:p w14:paraId="740DCB74" w14:textId="388654A9" w:rsidR="000E31C3" w:rsidRDefault="000E31C3" w:rsidP="000E31C3">
      <w:r>
        <w:t>&lt;ESMA_QUESTION_8&gt;</w:t>
      </w:r>
    </w:p>
    <w:p w14:paraId="50431AF9" w14:textId="77777777" w:rsidR="000E31C3" w:rsidRDefault="000E31C3" w:rsidP="000E31C3">
      <w:permStart w:id="324959834" w:edGrp="everyone"/>
      <w:r>
        <w:t>TYPE YOUR TEXT HERE</w:t>
      </w:r>
    </w:p>
    <w:permEnd w:id="324959834"/>
    <w:p w14:paraId="396EA9A2" w14:textId="3951BFCD" w:rsidR="000E31C3" w:rsidRDefault="000E31C3" w:rsidP="000E31C3">
      <w:r>
        <w:t>&lt;ESMA_QUESTION_8&gt;</w:t>
      </w:r>
    </w:p>
    <w:p w14:paraId="72C5678C" w14:textId="77777777" w:rsidR="00CB1E65" w:rsidRDefault="00CB1E65" w:rsidP="000E31C3"/>
    <w:p w14:paraId="5E0973BA" w14:textId="77777777" w:rsidR="00CB1E65" w:rsidRPr="00CB1E65" w:rsidRDefault="00CB1E65" w:rsidP="00CB1E65">
      <w:bookmarkStart w:id="25" w:name="_Toc392599431"/>
    </w:p>
    <w:p w14:paraId="1A22585A" w14:textId="32F0E18C" w:rsidR="00CB1E65" w:rsidRDefault="00CB1E65" w:rsidP="00CB1E65">
      <w:pPr>
        <w:pStyle w:val="Heading1"/>
        <w:numPr>
          <w:ilvl w:val="0"/>
          <w:numId w:val="0"/>
        </w:numPr>
      </w:pPr>
      <w:r w:rsidRPr="0030524D">
        <w:t xml:space="preserve">Annex </w:t>
      </w:r>
      <w:fldSimple w:instr=" SEQ Annex \* ROMAN ">
        <w:r w:rsidR="001826B9">
          <w:rPr>
            <w:noProof/>
          </w:rPr>
          <w:t>III</w:t>
        </w:r>
      </w:fldSimple>
      <w:r w:rsidRPr="0030524D">
        <w:t xml:space="preserve"> - </w:t>
      </w:r>
      <w:r>
        <w:t>Impact assessment</w:t>
      </w:r>
      <w:bookmarkEnd w:id="25"/>
    </w:p>
    <w:p w14:paraId="3105F269" w14:textId="77777777" w:rsidR="000E31C3" w:rsidRPr="007403B2" w:rsidRDefault="000E31C3" w:rsidP="000E31C3">
      <w:pPr>
        <w:pStyle w:val="Questions"/>
      </w:pPr>
      <w:r w:rsidRPr="007403B2">
        <w:t xml:space="preserve">Question </w:t>
      </w:r>
      <w:fldSimple w:instr=" SEQ Question \* ARABIC ">
        <w:r w:rsidR="001826B9">
          <w:rPr>
            <w:noProof/>
          </w:rPr>
          <w:t>9</w:t>
        </w:r>
      </w:fldSimple>
      <w:r w:rsidRPr="007403B2">
        <w:t>: Please indicate your comments on the Impact Assessment.</w:t>
      </w:r>
    </w:p>
    <w:p w14:paraId="4C316D1A" w14:textId="77777777" w:rsidR="000E31C3" w:rsidRDefault="000E31C3" w:rsidP="000E31C3"/>
    <w:p w14:paraId="1F3358D0" w14:textId="12A00DB2" w:rsidR="000E31C3" w:rsidRDefault="000E31C3" w:rsidP="000E31C3">
      <w:r>
        <w:t>&lt;ESMA_QUESTION_9&gt;</w:t>
      </w:r>
    </w:p>
    <w:p w14:paraId="0FE2D94A" w14:textId="77777777" w:rsidR="000E31C3" w:rsidRDefault="000E31C3" w:rsidP="000E31C3">
      <w:permStart w:id="830879288" w:edGrp="everyone"/>
      <w:r>
        <w:t>TYPE YOUR TEXT HERE</w:t>
      </w:r>
    </w:p>
    <w:permEnd w:id="830879288"/>
    <w:p w14:paraId="0CB6A86E" w14:textId="2B06422E" w:rsidR="000E31C3" w:rsidRDefault="000E31C3" w:rsidP="000E31C3">
      <w:r>
        <w:t>&lt;ESMA_QUESTION_9&gt;</w:t>
      </w:r>
    </w:p>
    <w:p w14:paraId="7DAE9D4A" w14:textId="77777777" w:rsidR="00082AD5" w:rsidRDefault="00082AD5"/>
    <w:sectPr w:rsidR="00082AD5"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FCDE5" w14:textId="77777777" w:rsidR="007D398B" w:rsidRDefault="007D398B">
      <w:r>
        <w:separator/>
      </w:r>
    </w:p>
    <w:p w14:paraId="554A9F75" w14:textId="77777777" w:rsidR="007D398B" w:rsidRDefault="007D398B"/>
    <w:p w14:paraId="2AD44078" w14:textId="77777777" w:rsidR="007D398B" w:rsidRDefault="007D398B"/>
  </w:endnote>
  <w:endnote w:type="continuationSeparator" w:id="0">
    <w:p w14:paraId="1A319364" w14:textId="77777777" w:rsidR="007D398B" w:rsidRDefault="007D398B">
      <w:r>
        <w:continuationSeparator/>
      </w:r>
    </w:p>
    <w:p w14:paraId="7AF01FB8" w14:textId="77777777" w:rsidR="007D398B" w:rsidRDefault="007D398B"/>
    <w:p w14:paraId="68FDBF1E" w14:textId="77777777" w:rsidR="007D398B" w:rsidRDefault="007D3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1A596C">
            <w:rPr>
              <w:noProof/>
            </w:rPr>
            <w:t>7</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Footer"/>
    </w:pPr>
    <w:r>
      <w:fldChar w:fldCharType="begin"/>
    </w:r>
    <w:r>
      <w:instrText xml:space="preserve"> DATE \@ "dddd, dd MMMM yyyy" </w:instrText>
    </w:r>
    <w:r>
      <w:fldChar w:fldCharType="separate"/>
    </w:r>
    <w:r w:rsidR="001A596C">
      <w:rPr>
        <w:noProof/>
      </w:rPr>
      <w:t>Monday, 08 September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E42FD0" w:rsidRDefault="00E42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4FDCC" w14:textId="77777777" w:rsidR="007D398B" w:rsidRDefault="007D398B">
      <w:r>
        <w:separator/>
      </w:r>
    </w:p>
    <w:p w14:paraId="26494571" w14:textId="77777777" w:rsidR="007D398B" w:rsidRDefault="007D398B"/>
  </w:footnote>
  <w:footnote w:type="continuationSeparator" w:id="0">
    <w:p w14:paraId="7E7D074C" w14:textId="77777777" w:rsidR="007D398B" w:rsidRDefault="007D398B">
      <w:r>
        <w:continuationSeparator/>
      </w:r>
    </w:p>
    <w:p w14:paraId="1D8DE260" w14:textId="77777777" w:rsidR="007D398B" w:rsidRDefault="007D398B"/>
    <w:p w14:paraId="673248C6" w14:textId="77777777" w:rsidR="007D398B" w:rsidRDefault="007D398B"/>
  </w:footnote>
  <w:footnote w:id="1">
    <w:p w14:paraId="095B3230" w14:textId="77777777" w:rsidR="00E6294A" w:rsidRPr="00E646D4" w:rsidRDefault="00E6294A" w:rsidP="00E6294A">
      <w:pPr>
        <w:pStyle w:val="FootnoteText"/>
        <w:rPr>
          <w:rFonts w:ascii="Arial" w:hAnsi="Arial" w:cs="Arial"/>
          <w:szCs w:val="16"/>
          <w:lang w:val="en-US"/>
        </w:rPr>
      </w:pPr>
      <w:r w:rsidRPr="00E646D4">
        <w:rPr>
          <w:rStyle w:val="FootnoteReference"/>
          <w:rFonts w:ascii="Arial" w:hAnsi="Arial" w:cs="Arial"/>
          <w:szCs w:val="16"/>
        </w:rPr>
        <w:footnoteRef/>
      </w:r>
      <w:r w:rsidRPr="00E646D4">
        <w:rPr>
          <w:rFonts w:ascii="Arial" w:hAnsi="Arial" w:cs="Arial"/>
          <w:szCs w:val="16"/>
        </w:rPr>
        <w:t xml:space="preserve"> </w:t>
      </w:r>
      <w:r w:rsidRPr="00E646D4">
        <w:rPr>
          <w:rFonts w:ascii="Arial" w:hAnsi="Arial" w:cs="Arial"/>
          <w:szCs w:val="16"/>
          <w:lang w:val="en-US"/>
        </w:rPr>
        <w:t xml:space="preserve">Please see </w:t>
      </w:r>
      <w:hyperlink r:id="rId1" w:history="1">
        <w:r w:rsidRPr="00E646D4">
          <w:rPr>
            <w:rStyle w:val="Hyperlink"/>
            <w:rFonts w:ascii="Arial" w:hAnsi="Arial" w:cs="Arial"/>
            <w:szCs w:val="16"/>
            <w:lang w:val="en-US"/>
          </w:rPr>
          <w:t>www.markit.com</w:t>
        </w:r>
      </w:hyperlink>
      <w:r w:rsidRPr="00E646D4">
        <w:rPr>
          <w:rFonts w:ascii="Arial" w:hAnsi="Arial" w:cs="Arial"/>
          <w:szCs w:val="16"/>
          <w:lang w:val="en-US"/>
        </w:rPr>
        <w:t xml:space="preserve"> for further information. </w:t>
      </w:r>
    </w:p>
  </w:footnote>
  <w:footnote w:id="2">
    <w:p w14:paraId="0AA11D4E" w14:textId="77777777" w:rsidR="00E6294A" w:rsidRPr="00E646D4" w:rsidRDefault="00E6294A" w:rsidP="00E6294A">
      <w:pPr>
        <w:pStyle w:val="Default"/>
        <w:jc w:val="both"/>
        <w:rPr>
          <w:rFonts w:ascii="Arial" w:hAnsi="Arial" w:cs="Arial"/>
          <w:sz w:val="16"/>
          <w:szCs w:val="16"/>
        </w:rPr>
      </w:pPr>
      <w:r w:rsidRPr="00E646D4">
        <w:rPr>
          <w:rStyle w:val="FootnoteReference"/>
          <w:rFonts w:ascii="Arial" w:hAnsi="Arial" w:cs="Arial"/>
          <w:color w:val="auto"/>
          <w:sz w:val="16"/>
          <w:szCs w:val="16"/>
        </w:rPr>
        <w:footnoteRef/>
      </w:r>
      <w:r w:rsidRPr="00E646D4">
        <w:rPr>
          <w:rStyle w:val="FootnoteReference"/>
          <w:rFonts w:ascii="Arial" w:hAnsi="Arial" w:cs="Arial"/>
          <w:color w:val="auto"/>
          <w:sz w:val="16"/>
          <w:szCs w:val="16"/>
        </w:rPr>
        <w:t xml:space="preserve"> </w:t>
      </w:r>
      <w:r w:rsidRPr="00E646D4">
        <w:rPr>
          <w:rFonts w:ascii="Arial" w:hAnsi="Arial" w:cs="Arial"/>
          <w:color w:val="auto"/>
          <w:sz w:val="16"/>
          <w:szCs w:val="16"/>
          <w:lang w:val="en-US"/>
        </w:rPr>
        <w:t>MarkitSERV</w:t>
      </w:r>
      <w:r>
        <w:rPr>
          <w:rFonts w:ascii="Arial" w:hAnsi="Arial" w:cs="Arial"/>
          <w:color w:val="auto"/>
          <w:sz w:val="16"/>
          <w:szCs w:val="16"/>
          <w:lang w:val="en-US"/>
        </w:rPr>
        <w:t>,</w:t>
      </w:r>
      <w:r w:rsidRPr="00E646D4">
        <w:rPr>
          <w:rFonts w:ascii="Arial" w:hAnsi="Arial" w:cs="Arial"/>
          <w:color w:val="auto"/>
          <w:sz w:val="16"/>
          <w:szCs w:val="16"/>
          <w:lang w:val="en-US"/>
        </w:rPr>
        <w:t xml:space="preserve"> a wholly owned subsidiary of Markit Group Limited, provides a single gateway for OTC derivatives trade processing. Please see </w:t>
      </w:r>
      <w:hyperlink r:id="rId2" w:history="1">
        <w:r w:rsidRPr="00DC63B7">
          <w:rPr>
            <w:rStyle w:val="FollowedHyperlink"/>
            <w:rFonts w:ascii="Arial" w:hAnsi="Arial" w:cs="Arial"/>
            <w:sz w:val="16"/>
            <w:szCs w:val="16"/>
          </w:rPr>
          <w:t>www.markitserv.com</w:t>
        </w:r>
      </w:hyperlink>
      <w:r w:rsidRPr="00DC63B7">
        <w:rPr>
          <w:rFonts w:ascii="Arial" w:hAnsi="Arial" w:cs="Arial"/>
          <w:color w:val="auto"/>
          <w:sz w:val="16"/>
          <w:szCs w:val="16"/>
          <w:lang w:val="en-US"/>
        </w:rPr>
        <w:t xml:space="preserve"> </w:t>
      </w:r>
      <w:r w:rsidRPr="00E646D4">
        <w:rPr>
          <w:rFonts w:ascii="Arial" w:hAnsi="Arial" w:cs="Arial"/>
          <w:color w:val="auto"/>
          <w:sz w:val="16"/>
          <w:szCs w:val="16"/>
          <w:lang w:val="en-US"/>
        </w:rPr>
        <w:t>for additional information.</w:t>
      </w:r>
      <w:r w:rsidRPr="00E646D4">
        <w:rPr>
          <w:rFonts w:ascii="Arial" w:eastAsia="Arial" w:hAnsi="Arial" w:cs="Arial"/>
          <w:sz w:val="16"/>
          <w:szCs w:val="16"/>
        </w:rPr>
        <w:t xml:space="preserve">  </w:t>
      </w:r>
    </w:p>
  </w:footnote>
  <w:footnote w:id="3">
    <w:p w14:paraId="61EDDFD9"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Style w:val="FootnoteReference"/>
          <w:rFonts w:ascii="Arial" w:hAnsi="Arial" w:cs="Arial"/>
          <w:szCs w:val="16"/>
        </w:rPr>
        <w:t xml:space="preserve"> </w:t>
      </w:r>
      <w:r w:rsidRPr="00E646D4">
        <w:rPr>
          <w:rFonts w:ascii="Arial" w:hAnsi="Arial" w:cs="Arial"/>
          <w:color w:val="000000"/>
          <w:szCs w:val="16"/>
          <w:lang w:val="en-US"/>
        </w:rPr>
        <w:t xml:space="preserve">Depending on the asset class </w:t>
      </w:r>
      <w:r>
        <w:rPr>
          <w:rFonts w:ascii="Arial" w:hAnsi="Arial" w:cs="Arial"/>
          <w:color w:val="000000"/>
          <w:szCs w:val="16"/>
          <w:lang w:val="en-US"/>
        </w:rPr>
        <w:t>and the</w:t>
      </w:r>
      <w:r w:rsidRPr="00E646D4">
        <w:rPr>
          <w:rFonts w:ascii="Arial" w:hAnsi="Arial" w:cs="Arial"/>
          <w:color w:val="000000"/>
          <w:szCs w:val="16"/>
          <w:lang w:val="en-US"/>
        </w:rPr>
        <w:t xml:space="preserve"> type of execution, different methods will be used to achieve such “agreement”, including affirmation/confirmation or matching.</w:t>
      </w:r>
      <w:r w:rsidRPr="00E646D4">
        <w:rPr>
          <w:rFonts w:ascii="Arial" w:hAnsi="Arial" w:cs="Arial"/>
          <w:szCs w:val="16"/>
        </w:rPr>
        <w:t xml:space="preserve"> </w:t>
      </w:r>
    </w:p>
  </w:footnote>
  <w:footnote w:id="4">
    <w:p w14:paraId="7DB16F9B"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Our processing platforms are currently connected</w:t>
      </w:r>
      <w:r>
        <w:rPr>
          <w:rFonts w:ascii="Arial" w:hAnsi="Arial" w:cs="Arial"/>
          <w:szCs w:val="16"/>
        </w:rPr>
        <w:t xml:space="preserve"> to</w:t>
      </w:r>
      <w:r w:rsidRPr="00E646D4">
        <w:rPr>
          <w:rFonts w:ascii="Arial" w:hAnsi="Arial" w:cs="Arial"/>
          <w:szCs w:val="16"/>
        </w:rPr>
        <w:t>, or are planning to connect to</w:t>
      </w:r>
      <w:r>
        <w:rPr>
          <w:rFonts w:ascii="Arial" w:hAnsi="Arial" w:cs="Arial"/>
          <w:szCs w:val="16"/>
        </w:rPr>
        <w:t>,</w:t>
      </w:r>
      <w:r w:rsidRPr="00E646D4">
        <w:rPr>
          <w:rFonts w:ascii="Arial" w:hAnsi="Arial" w:cs="Arial"/>
          <w:szCs w:val="16"/>
        </w:rPr>
        <w:t xml:space="preserve"> more than 10 CCPs around the globe and in various asset classes.</w:t>
      </w:r>
    </w:p>
  </w:footnote>
  <w:footnote w:id="5">
    <w:p w14:paraId="1B137D1B"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For the reporting of derivatives transactions to Trade Repositories, the MarkitSERV platforms are now live in Europe, the United States, Japan, Hong Kong, Australia, and Singapore.  </w:t>
      </w:r>
    </w:p>
  </w:footnote>
  <w:footnote w:id="6">
    <w:p w14:paraId="55B32895" w14:textId="77777777" w:rsidR="00E6294A" w:rsidRDefault="00E6294A" w:rsidP="00E6294A">
      <w:pPr>
        <w:pStyle w:val="FootnoteText"/>
      </w:pPr>
      <w:r w:rsidRPr="00CC39B0">
        <w:rPr>
          <w:rStyle w:val="FootnoteReference"/>
          <w:rFonts w:ascii="Arial" w:hAnsi="Arial" w:cs="Arial"/>
          <w:szCs w:val="16"/>
        </w:rPr>
        <w:footnoteRef/>
      </w:r>
      <w:r w:rsidRPr="00CC39B0">
        <w:rPr>
          <w:rStyle w:val="FootnoteReference"/>
          <w:rFonts w:ascii="Arial" w:hAnsi="Arial" w:cs="Arial"/>
          <w:szCs w:val="16"/>
        </w:rPr>
        <w:t xml:space="preserve"> </w:t>
      </w:r>
      <w:r w:rsidRPr="00CC39B0">
        <w:rPr>
          <w:rFonts w:ascii="Arial" w:hAnsi="Arial"/>
          <w:szCs w:val="16"/>
        </w:rPr>
        <w:t>Such</w:t>
      </w:r>
      <w:r w:rsidRPr="00CC39B0">
        <w:rPr>
          <w:rFonts w:ascii="Arial" w:hAnsi="Arial" w:cs="Arial"/>
          <w:szCs w:val="16"/>
        </w:rPr>
        <w:t xml:space="preserve"> services that are offered also by various other providers are widely used by participants in the global OTC derivatives markets today and are recognised as tools to increase efficiency, reduce cost, and secure legal certainty. With globally over 1,500 firms using the various MarkitSERV platforms that process, on average, 80,000 OTC derivative transaction processing events every day, our legal, operational, and technological infrastructure plays an important role in supporting the OTC derivatives markets in Europe, North America, and the Asia-Pacific region.</w:t>
      </w:r>
    </w:p>
  </w:footnote>
  <w:footnote w:id="7">
    <w:p w14:paraId="64BE81D9" w14:textId="77777777" w:rsidR="00E6294A" w:rsidRPr="00E646D4" w:rsidRDefault="00E6294A" w:rsidP="00E6294A">
      <w:pPr>
        <w:pStyle w:val="Default"/>
        <w:rPr>
          <w:rFonts w:ascii="Arial" w:hAnsi="Arial" w:cs="Arial"/>
          <w:color w:val="auto"/>
          <w:sz w:val="16"/>
          <w:szCs w:val="16"/>
          <w:lang w:eastAsia="ja-JP"/>
        </w:rPr>
      </w:pPr>
      <w:r w:rsidRPr="00E646D4">
        <w:rPr>
          <w:rStyle w:val="FootnoteReference"/>
          <w:rFonts w:ascii="Arial" w:hAnsi="Arial" w:cs="Arial"/>
          <w:sz w:val="16"/>
          <w:szCs w:val="16"/>
        </w:rPr>
        <w:footnoteRef/>
      </w:r>
      <w:r w:rsidRPr="00E646D4">
        <w:rPr>
          <w:rFonts w:ascii="Arial" w:hAnsi="Arial" w:cs="Arial"/>
          <w:sz w:val="16"/>
          <w:szCs w:val="16"/>
        </w:rPr>
        <w:t xml:space="preserve"> </w:t>
      </w:r>
      <w:r w:rsidRPr="00E646D4">
        <w:rPr>
          <w:rFonts w:ascii="Arial" w:hAnsi="Arial" w:cs="Arial"/>
          <w:sz w:val="16"/>
          <w:szCs w:val="16"/>
          <w:lang w:val="en-US"/>
        </w:rPr>
        <w:t xml:space="preserve"> “</w:t>
      </w:r>
      <w:r w:rsidRPr="00E646D4">
        <w:rPr>
          <w:rFonts w:ascii="Arial" w:hAnsi="Arial" w:cs="Arial"/>
          <w:sz w:val="16"/>
          <w:szCs w:val="16"/>
          <w:lang w:val="en-US" w:eastAsia="en-US"/>
        </w:rPr>
        <w:t xml:space="preserve">However, it may be more problematic that, in case a clearing obligation needs to be removed or suspended because e.g. the level of liquidity on a specific set of contracts has dried out, ESMA does not have another possibility than going through the procedure of modification of the RTS, which is the same as the procedure of issuance of a new RTS.” </w:t>
      </w:r>
      <w:proofErr w:type="gramStart"/>
      <w:r w:rsidRPr="00E646D4">
        <w:rPr>
          <w:rFonts w:ascii="Arial" w:hAnsi="Arial" w:cs="Arial"/>
          <w:sz w:val="16"/>
          <w:szCs w:val="16"/>
        </w:rPr>
        <w:t>ESMA Consultation Paper on the Clearing Obligation under EMIR (no. 1).</w:t>
      </w:r>
      <w:proofErr w:type="gramEnd"/>
      <w:r w:rsidRPr="00E646D4">
        <w:rPr>
          <w:rFonts w:ascii="Arial" w:hAnsi="Arial" w:cs="Arial"/>
          <w:sz w:val="16"/>
          <w:szCs w:val="16"/>
        </w:rPr>
        <w:t xml:space="preserve">  July 11, 2014. </w:t>
      </w:r>
      <w:proofErr w:type="gramStart"/>
      <w:r w:rsidRPr="00E646D4">
        <w:rPr>
          <w:rFonts w:ascii="Arial" w:hAnsi="Arial" w:cs="Arial"/>
          <w:sz w:val="16"/>
          <w:szCs w:val="16"/>
        </w:rPr>
        <w:t>Par. 66.</w:t>
      </w:r>
      <w:proofErr w:type="gramEnd"/>
    </w:p>
  </w:footnote>
  <w:footnote w:id="8">
    <w:p w14:paraId="7B8859A4" w14:textId="77777777" w:rsidR="00E6294A" w:rsidRPr="00AD6CA6" w:rsidRDefault="00E6294A" w:rsidP="00E6294A">
      <w:pPr>
        <w:rPr>
          <w:color w:val="1F497D"/>
          <w:lang w:val="en-US"/>
        </w:rPr>
      </w:pPr>
      <w:r w:rsidRPr="00AD6CA6">
        <w:rPr>
          <w:rStyle w:val="FootnoteReference"/>
          <w:rFonts w:ascii="Arial" w:hAnsi="Arial" w:cs="Arial"/>
          <w:sz w:val="16"/>
          <w:szCs w:val="16"/>
          <w:lang w:eastAsia="en-GB"/>
        </w:rPr>
        <w:footnoteRef/>
      </w:r>
      <w:r w:rsidRPr="00AD6CA6">
        <w:rPr>
          <w:rStyle w:val="FootnoteReference"/>
          <w:rFonts w:ascii="Arial" w:hAnsi="Arial" w:cs="Arial"/>
          <w:sz w:val="16"/>
          <w:szCs w:val="16"/>
          <w:lang w:eastAsia="en-GB"/>
        </w:rPr>
        <w:t xml:space="preserve"> </w:t>
      </w:r>
      <w:r w:rsidRPr="00AD6CA6">
        <w:rPr>
          <w:rFonts w:ascii="Arial" w:hAnsi="Arial" w:cs="Arial"/>
          <w:color w:val="000000"/>
          <w:sz w:val="16"/>
          <w:szCs w:val="16"/>
          <w:lang w:val="en-US" w:eastAsia="en-US"/>
        </w:rPr>
        <w:t>Specifically, the Commodity Exchange Act (“</w:t>
      </w:r>
      <w:hyperlink r:id="rId3" w:history="1">
        <w:r w:rsidRPr="00AD6CA6">
          <w:rPr>
            <w:rFonts w:ascii="Arial" w:hAnsi="Arial" w:cs="Arial"/>
            <w:color w:val="000000"/>
            <w:sz w:val="16"/>
            <w:szCs w:val="16"/>
            <w:lang w:eastAsia="en-US"/>
          </w:rPr>
          <w:t>CEA”) section 2(h</w:t>
        </w:r>
        <w:proofErr w:type="gramStart"/>
        <w:r w:rsidRPr="00AD6CA6">
          <w:rPr>
            <w:rFonts w:ascii="Arial" w:hAnsi="Arial" w:cs="Arial"/>
            <w:color w:val="000000"/>
            <w:sz w:val="16"/>
            <w:szCs w:val="16"/>
            <w:lang w:eastAsia="en-US"/>
          </w:rPr>
          <w:t>)(</w:t>
        </w:r>
        <w:proofErr w:type="gramEnd"/>
        <w:r w:rsidRPr="00AD6CA6">
          <w:rPr>
            <w:rFonts w:ascii="Arial" w:hAnsi="Arial" w:cs="Arial"/>
            <w:color w:val="000000"/>
            <w:sz w:val="16"/>
            <w:szCs w:val="16"/>
            <w:lang w:eastAsia="en-US"/>
          </w:rPr>
          <w:t>3)</w:t>
        </w:r>
      </w:hyperlink>
      <w:r w:rsidRPr="00AD6CA6">
        <w:rPr>
          <w:rFonts w:ascii="Arial" w:hAnsi="Arial" w:cs="Arial"/>
          <w:color w:val="000000"/>
          <w:sz w:val="16"/>
          <w:szCs w:val="16"/>
          <w:lang w:val="en-US" w:eastAsia="en-US"/>
        </w:rPr>
        <w:t xml:space="preserve"> provides for a process to “stay” and then terminate the clearing requirement for a given swap or class of swaps.  </w:t>
      </w:r>
      <w:proofErr w:type="gramStart"/>
      <w:r w:rsidRPr="00AD6CA6">
        <w:rPr>
          <w:rFonts w:ascii="Arial" w:hAnsi="Arial" w:cs="Arial"/>
          <w:color w:val="000000"/>
          <w:sz w:val="16"/>
          <w:szCs w:val="16"/>
          <w:lang w:val="en-US" w:eastAsia="en-US"/>
        </w:rPr>
        <w:t>A counterparty</w:t>
      </w:r>
      <w:proofErr w:type="gramEnd"/>
      <w:r w:rsidRPr="00AD6CA6">
        <w:rPr>
          <w:rFonts w:ascii="Arial" w:hAnsi="Arial" w:cs="Arial"/>
          <w:color w:val="000000"/>
          <w:sz w:val="16"/>
          <w:szCs w:val="16"/>
          <w:lang w:val="en-US" w:eastAsia="en-US"/>
        </w:rPr>
        <w:t xml:space="preserve"> to a swap or the Commission itself may initiate this process.  The process would involve reviewing the relevant swaps under the five factors the CFTC uses to determine whether the clearing requirement is appropriate, e.g., existence of significant notional exposures, trading liquidity, etc.  </w:t>
      </w:r>
      <w:hyperlink r:id="rId4" w:history="1">
        <w:r w:rsidRPr="00AD6CA6">
          <w:rPr>
            <w:rFonts w:ascii="Arial" w:hAnsi="Arial" w:cs="Arial"/>
            <w:color w:val="000000"/>
            <w:sz w:val="16"/>
            <w:szCs w:val="16"/>
            <w:lang w:eastAsia="en-US"/>
          </w:rPr>
          <w:t>CEA section 2(h</w:t>
        </w:r>
        <w:proofErr w:type="gramStart"/>
        <w:r w:rsidRPr="00AD6CA6">
          <w:rPr>
            <w:rFonts w:ascii="Arial" w:hAnsi="Arial" w:cs="Arial"/>
            <w:color w:val="000000"/>
            <w:sz w:val="16"/>
            <w:szCs w:val="16"/>
            <w:lang w:eastAsia="en-US"/>
          </w:rPr>
          <w:t>)(</w:t>
        </w:r>
        <w:proofErr w:type="gramEnd"/>
        <w:r w:rsidRPr="00AD6CA6">
          <w:rPr>
            <w:rFonts w:ascii="Arial" w:hAnsi="Arial" w:cs="Arial"/>
            <w:color w:val="000000"/>
            <w:sz w:val="16"/>
            <w:szCs w:val="16"/>
            <w:lang w:eastAsia="en-US"/>
          </w:rPr>
          <w:t>2)(D)(ii</w:t>
        </w:r>
      </w:hyperlink>
      <w:r w:rsidRPr="00AD6CA6">
        <w:rPr>
          <w:rFonts w:ascii="Arial" w:hAnsi="Arial" w:cs="Arial"/>
          <w:color w:val="000000"/>
          <w:sz w:val="16"/>
          <w:szCs w:val="16"/>
          <w:lang w:val="en-US" w:eastAsia="en-US"/>
        </w:rPr>
        <w:t xml:space="preserve">).  The CFTC has 90 days to determine whether the clearing requirement should be terminated, conditionally or unconditionally, for the relevant swaps.  </w:t>
      </w:r>
      <w:hyperlink r:id="rId5" w:history="1">
        <w:r w:rsidRPr="00AD6CA6">
          <w:rPr>
            <w:rFonts w:ascii="Arial" w:hAnsi="Arial" w:cs="Arial"/>
            <w:color w:val="000000"/>
            <w:sz w:val="16"/>
            <w:szCs w:val="16"/>
            <w:lang w:eastAsia="en-US"/>
          </w:rPr>
          <w:t>CEA section 2(h</w:t>
        </w:r>
        <w:proofErr w:type="gramStart"/>
        <w:r w:rsidRPr="00AD6CA6">
          <w:rPr>
            <w:rFonts w:ascii="Arial" w:hAnsi="Arial" w:cs="Arial"/>
            <w:color w:val="000000"/>
            <w:sz w:val="16"/>
            <w:szCs w:val="16"/>
            <w:lang w:eastAsia="en-US"/>
          </w:rPr>
          <w:t>)(</w:t>
        </w:r>
        <w:proofErr w:type="gramEnd"/>
        <w:r w:rsidRPr="00AD6CA6">
          <w:rPr>
            <w:rFonts w:ascii="Arial" w:hAnsi="Arial" w:cs="Arial"/>
            <w:color w:val="000000"/>
            <w:sz w:val="16"/>
            <w:szCs w:val="16"/>
            <w:lang w:eastAsia="en-US"/>
          </w:rPr>
          <w:t>3)(C</w:t>
        </w:r>
      </w:hyperlink>
      <w:r w:rsidRPr="00AD6CA6">
        <w:rPr>
          <w:rFonts w:ascii="Arial" w:hAnsi="Arial" w:cs="Arial"/>
          <w:color w:val="000000"/>
          <w:sz w:val="16"/>
          <w:szCs w:val="16"/>
          <w:lang w:val="en-US" w:eastAsia="en-US"/>
        </w:rPr>
        <w:t>).</w:t>
      </w:r>
    </w:p>
  </w:footnote>
  <w:footnote w:id="9">
    <w:p w14:paraId="38E3D36D"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Style w:val="FootnoteReference"/>
          <w:rFonts w:ascii="Arial" w:hAnsi="Arial" w:cs="Arial"/>
          <w:szCs w:val="16"/>
        </w:rPr>
        <w:t xml:space="preserve"> </w:t>
      </w:r>
      <w:r w:rsidRPr="00E646D4">
        <w:rPr>
          <w:rFonts w:ascii="Arial" w:hAnsi="Arial" w:cs="Arial"/>
          <w:szCs w:val="16"/>
        </w:rPr>
        <w:t>CP Chapter 3.2</w:t>
      </w:r>
    </w:p>
  </w:footnote>
  <w:footnote w:id="10">
    <w:p w14:paraId="1732D730" w14:textId="77777777" w:rsidR="00E6294A" w:rsidRPr="00A174D3" w:rsidRDefault="00E6294A" w:rsidP="00E6294A">
      <w:pPr>
        <w:pStyle w:val="Default"/>
        <w:rPr>
          <w:rFonts w:ascii="Arial" w:hAnsi="Arial" w:cs="Arial"/>
          <w:color w:val="auto"/>
          <w:sz w:val="18"/>
          <w:szCs w:val="18"/>
          <w:lang w:eastAsia="ja-JP"/>
        </w:rPr>
      </w:pPr>
      <w:r w:rsidRPr="00E646D4">
        <w:rPr>
          <w:rStyle w:val="FootnoteReference"/>
          <w:rFonts w:ascii="Arial" w:hAnsi="Arial" w:cs="Arial"/>
          <w:sz w:val="16"/>
          <w:szCs w:val="16"/>
        </w:rPr>
        <w:footnoteRef/>
      </w:r>
      <w:r w:rsidRPr="00E646D4">
        <w:rPr>
          <w:rFonts w:ascii="Arial" w:hAnsi="Arial" w:cs="Arial"/>
          <w:sz w:val="16"/>
          <w:szCs w:val="16"/>
        </w:rPr>
        <w:t xml:space="preserve"> “</w:t>
      </w:r>
      <w:r w:rsidRPr="00E646D4">
        <w:rPr>
          <w:rFonts w:ascii="Arial" w:hAnsi="Arial" w:cs="Arial"/>
          <w:color w:val="auto"/>
          <w:sz w:val="16"/>
          <w:szCs w:val="16"/>
          <w:lang w:eastAsia="ja-JP"/>
        </w:rPr>
        <w:t xml:space="preserve">Therefore, during the 2015 review of EMIR foreseen by Article 85(1), ESMA will flag that the clearing obligation process may need to be reviewed to take into account the fact that the classes that had been deemed subject to the clearing obligation in the past may no longer satisfy the necessary conditions in the future, and that the time of the procedure to amend the RTS is unsuited to the level of urgency that such a modification may require.” </w:t>
      </w:r>
      <w:proofErr w:type="gramStart"/>
      <w:r w:rsidRPr="00E646D4">
        <w:rPr>
          <w:rFonts w:ascii="Arial" w:hAnsi="Arial" w:cs="Arial"/>
          <w:sz w:val="16"/>
          <w:szCs w:val="16"/>
        </w:rPr>
        <w:t>ESMA Consultation Paper on the Clearing Obligation under EMIR (no. 1).</w:t>
      </w:r>
      <w:proofErr w:type="gramEnd"/>
      <w:r w:rsidRPr="00E646D4">
        <w:rPr>
          <w:rFonts w:ascii="Arial" w:hAnsi="Arial" w:cs="Arial"/>
          <w:sz w:val="16"/>
          <w:szCs w:val="16"/>
        </w:rPr>
        <w:t xml:space="preserve">  July 11, 2014. (“CP1”)  </w:t>
      </w:r>
      <w:proofErr w:type="gramStart"/>
      <w:r w:rsidRPr="00E646D4">
        <w:rPr>
          <w:rFonts w:ascii="Arial" w:hAnsi="Arial" w:cs="Arial"/>
          <w:sz w:val="16"/>
          <w:szCs w:val="16"/>
        </w:rPr>
        <w:t>Par. 67.</w:t>
      </w:r>
      <w:proofErr w:type="gramEnd"/>
    </w:p>
  </w:footnote>
  <w:footnote w:id="11">
    <w:p w14:paraId="30F27C5E" w14:textId="77777777" w:rsidR="00E6294A" w:rsidRPr="004E7078" w:rsidRDefault="00E6294A" w:rsidP="00E6294A">
      <w:pPr>
        <w:pStyle w:val="FootnoteText"/>
        <w:rPr>
          <w:rFonts w:ascii="Arial" w:hAnsi="Arial" w:cs="Arial"/>
          <w:szCs w:val="16"/>
        </w:rPr>
      </w:pPr>
      <w:r w:rsidRPr="004E7078">
        <w:rPr>
          <w:rStyle w:val="FootnoteReference"/>
          <w:rFonts w:ascii="Arial" w:hAnsi="Arial" w:cs="Arial"/>
          <w:szCs w:val="16"/>
        </w:rPr>
        <w:footnoteRef/>
      </w:r>
      <w:r w:rsidRPr="004E7078">
        <w:rPr>
          <w:rFonts w:ascii="Arial" w:hAnsi="Arial" w:cs="Arial"/>
          <w:szCs w:val="16"/>
        </w:rPr>
        <w:t xml:space="preserve"> CP Par. 16</w:t>
      </w:r>
    </w:p>
  </w:footnote>
  <w:footnote w:id="12">
    <w:p w14:paraId="6199ECB3" w14:textId="77777777" w:rsidR="00E6294A" w:rsidRPr="004E7078" w:rsidRDefault="00E6294A" w:rsidP="00E6294A">
      <w:pPr>
        <w:pStyle w:val="FootnoteText"/>
        <w:rPr>
          <w:rFonts w:ascii="Arial" w:hAnsi="Arial" w:cs="Arial"/>
          <w:szCs w:val="16"/>
        </w:rPr>
      </w:pPr>
      <w:r w:rsidRPr="004E7078">
        <w:rPr>
          <w:rStyle w:val="FootnoteReference"/>
          <w:rFonts w:ascii="Arial" w:hAnsi="Arial" w:cs="Arial"/>
          <w:szCs w:val="16"/>
        </w:rPr>
        <w:footnoteRef/>
      </w:r>
      <w:r w:rsidRPr="004E7078">
        <w:rPr>
          <w:rStyle w:val="FootnoteReference"/>
          <w:rFonts w:ascii="Arial" w:hAnsi="Arial" w:cs="Arial"/>
          <w:szCs w:val="16"/>
        </w:rPr>
        <w:t xml:space="preserve"> </w:t>
      </w:r>
      <w:r w:rsidRPr="004E7078">
        <w:rPr>
          <w:rFonts w:ascii="Arial" w:hAnsi="Arial" w:cs="Arial"/>
          <w:szCs w:val="16"/>
        </w:rPr>
        <w:t>Specifically, we note that the</w:t>
      </w:r>
      <w:r>
        <w:rPr>
          <w:rFonts w:ascii="Arial" w:hAnsi="Arial" w:cs="Arial"/>
          <w:szCs w:val="16"/>
        </w:rPr>
        <w:t xml:space="preserve"> CDS</w:t>
      </w:r>
      <w:r w:rsidRPr="004E7078">
        <w:rPr>
          <w:rFonts w:ascii="Arial" w:hAnsi="Arial" w:cs="Arial"/>
          <w:szCs w:val="16"/>
        </w:rPr>
        <w:t xml:space="preserve"> indices </w:t>
      </w:r>
      <w:r>
        <w:rPr>
          <w:rFonts w:ascii="Arial" w:hAnsi="Arial" w:cs="Arial"/>
          <w:szCs w:val="16"/>
        </w:rPr>
        <w:t xml:space="preserve">that ESMA </w:t>
      </w:r>
      <w:r w:rsidRPr="004E7078">
        <w:rPr>
          <w:rFonts w:ascii="Arial" w:hAnsi="Arial" w:cs="Arial"/>
          <w:szCs w:val="16"/>
        </w:rPr>
        <w:t xml:space="preserve">proposed </w:t>
      </w:r>
      <w:r>
        <w:rPr>
          <w:rFonts w:ascii="Arial" w:hAnsi="Arial" w:cs="Arial"/>
          <w:szCs w:val="16"/>
        </w:rPr>
        <w:t>to be subject to the clearing obligation in Europe</w:t>
      </w:r>
      <w:r w:rsidRPr="004E7078">
        <w:rPr>
          <w:rFonts w:ascii="Arial" w:hAnsi="Arial" w:cs="Arial"/>
          <w:szCs w:val="16"/>
        </w:rPr>
        <w:t xml:space="preserve"> </w:t>
      </w:r>
      <w:r>
        <w:rPr>
          <w:rFonts w:ascii="Arial" w:hAnsi="Arial" w:cs="Arial"/>
          <w:szCs w:val="16"/>
        </w:rPr>
        <w:t>are</w:t>
      </w:r>
      <w:r w:rsidRPr="004E7078">
        <w:rPr>
          <w:rFonts w:ascii="Arial" w:hAnsi="Arial" w:cs="Arial"/>
          <w:szCs w:val="16"/>
        </w:rPr>
        <w:t xml:space="preserve"> a subset of th</w:t>
      </w:r>
      <w:r>
        <w:rPr>
          <w:rFonts w:ascii="Arial" w:hAnsi="Arial" w:cs="Arial"/>
          <w:szCs w:val="16"/>
        </w:rPr>
        <w:t>e ones</w:t>
      </w:r>
      <w:r w:rsidRPr="004E7078">
        <w:rPr>
          <w:rFonts w:ascii="Arial" w:hAnsi="Arial" w:cs="Arial"/>
          <w:szCs w:val="16"/>
        </w:rPr>
        <w:t xml:space="preserve"> that are already </w:t>
      </w:r>
      <w:r>
        <w:rPr>
          <w:rFonts w:ascii="Arial" w:hAnsi="Arial" w:cs="Arial"/>
          <w:szCs w:val="16"/>
        </w:rPr>
        <w:t>cleared on a mandatory basis</w:t>
      </w:r>
      <w:r w:rsidRPr="004E7078">
        <w:rPr>
          <w:rFonts w:ascii="Arial" w:hAnsi="Arial" w:cs="Arial"/>
          <w:szCs w:val="16"/>
        </w:rPr>
        <w:t xml:space="preserve"> under rules established by the CFTC in the United States. </w:t>
      </w:r>
      <w:r w:rsidRPr="004E7078">
        <w:rPr>
          <w:rFonts w:ascii="Arial" w:hAnsi="Arial" w:cs="Arial"/>
          <w:i/>
          <w:szCs w:val="16"/>
        </w:rPr>
        <w:t>See</w:t>
      </w:r>
      <w:r w:rsidRPr="004E7078">
        <w:rPr>
          <w:rFonts w:ascii="Arial" w:hAnsi="Arial" w:cs="Arial"/>
          <w:szCs w:val="16"/>
        </w:rPr>
        <w:t xml:space="preserve"> “Clearing Requirement Determination Under Section 2(h) of the CEA.” </w:t>
      </w:r>
      <w:proofErr w:type="gramStart"/>
      <w:r w:rsidRPr="004E7078">
        <w:rPr>
          <w:rFonts w:ascii="Arial" w:hAnsi="Arial" w:cs="Arial"/>
          <w:szCs w:val="16"/>
        </w:rPr>
        <w:t>77 Fed.</w:t>
      </w:r>
      <w:proofErr w:type="gramEnd"/>
      <w:r w:rsidRPr="004E7078">
        <w:rPr>
          <w:rFonts w:ascii="Arial" w:hAnsi="Arial" w:cs="Arial"/>
          <w:szCs w:val="16"/>
        </w:rPr>
        <w:t xml:space="preserve"> </w:t>
      </w:r>
      <w:proofErr w:type="gramStart"/>
      <w:r w:rsidRPr="004E7078">
        <w:rPr>
          <w:rFonts w:ascii="Arial" w:hAnsi="Arial" w:cs="Arial"/>
          <w:szCs w:val="16"/>
        </w:rPr>
        <w:t>Reg. 74284.</w:t>
      </w:r>
      <w:proofErr w:type="gramEnd"/>
      <w:r w:rsidRPr="004E7078">
        <w:rPr>
          <w:rFonts w:ascii="Arial" w:hAnsi="Arial" w:cs="Arial"/>
          <w:szCs w:val="16"/>
        </w:rPr>
        <w:t xml:space="preserve">  (December 13, 2012).  </w:t>
      </w:r>
    </w:p>
  </w:footnote>
  <w:footnote w:id="13">
    <w:p w14:paraId="691A84F6" w14:textId="77777777" w:rsidR="00E6294A" w:rsidRPr="004E7078" w:rsidRDefault="00E6294A" w:rsidP="00E6294A">
      <w:pPr>
        <w:pStyle w:val="FootnoteText"/>
        <w:rPr>
          <w:rFonts w:ascii="Arial" w:hAnsi="Arial" w:cs="Arial"/>
          <w:i/>
          <w:szCs w:val="16"/>
          <w:lang w:val="en-US"/>
        </w:rPr>
      </w:pPr>
      <w:r w:rsidRPr="004E7078">
        <w:rPr>
          <w:rStyle w:val="FootnoteReference"/>
          <w:rFonts w:ascii="Arial" w:hAnsi="Arial" w:cs="Arial"/>
          <w:szCs w:val="16"/>
        </w:rPr>
        <w:footnoteRef/>
      </w:r>
      <w:r w:rsidRPr="004E7078">
        <w:rPr>
          <w:rFonts w:ascii="Arial" w:hAnsi="Arial" w:cs="Arial"/>
          <w:szCs w:val="16"/>
        </w:rPr>
        <w:t xml:space="preserve"> </w:t>
      </w:r>
      <w:r w:rsidRPr="004E7078">
        <w:rPr>
          <w:rFonts w:ascii="Arial" w:hAnsi="Arial" w:cs="Arial"/>
          <w:szCs w:val="16"/>
          <w:lang w:val="en-US"/>
        </w:rPr>
        <w:t xml:space="preserve"> </w:t>
      </w:r>
      <w:r w:rsidRPr="004E7078">
        <w:rPr>
          <w:rFonts w:ascii="Arial" w:hAnsi="Arial" w:cs="Arial"/>
          <w:i/>
          <w:szCs w:val="16"/>
          <w:lang w:val="en-US"/>
        </w:rPr>
        <w:t xml:space="preserve">See </w:t>
      </w:r>
      <w:r w:rsidRPr="00A63043">
        <w:rPr>
          <w:rStyle w:val="Hyperlink"/>
          <w:rFonts w:cs="Arial"/>
          <w:sz w:val="18"/>
          <w:szCs w:val="18"/>
          <w:lang w:eastAsia="ja-JP"/>
        </w:rPr>
        <w:t>http://www2.isda.org/attachment/Njg4NQ==/20140821_ISDA%202014%20Credit%20Definitions%20FAQ_G_O%20(2).pdf</w:t>
      </w:r>
    </w:p>
  </w:footnote>
  <w:footnote w:id="14">
    <w:p w14:paraId="396BCDD3" w14:textId="77777777" w:rsidR="00E6294A" w:rsidRPr="004E7078" w:rsidRDefault="00E6294A" w:rsidP="00E6294A">
      <w:pPr>
        <w:rPr>
          <w:rFonts w:ascii="Arial" w:hAnsi="Arial" w:cs="Arial"/>
          <w:color w:val="1F497D"/>
          <w:sz w:val="16"/>
          <w:szCs w:val="16"/>
        </w:rPr>
      </w:pPr>
      <w:r w:rsidRPr="004E7078">
        <w:rPr>
          <w:rStyle w:val="FootnoteReference"/>
          <w:rFonts w:ascii="Arial" w:hAnsi="Arial" w:cs="Arial"/>
          <w:sz w:val="16"/>
          <w:szCs w:val="16"/>
        </w:rPr>
        <w:footnoteRef/>
      </w:r>
      <w:r w:rsidRPr="004E7078">
        <w:rPr>
          <w:rFonts w:ascii="Arial" w:hAnsi="Arial" w:cs="Arial"/>
          <w:sz w:val="16"/>
          <w:szCs w:val="16"/>
        </w:rPr>
        <w:t xml:space="preserve"> </w:t>
      </w:r>
      <w:r w:rsidRPr="004E7078">
        <w:rPr>
          <w:rFonts w:ascii="Arial" w:hAnsi="Arial" w:cs="Arial"/>
          <w:i/>
          <w:sz w:val="16"/>
          <w:szCs w:val="16"/>
          <w:lang w:val="en-US"/>
        </w:rPr>
        <w:t xml:space="preserve">See </w:t>
      </w:r>
      <w:hyperlink r:id="rId6" w:history="1">
        <w:r w:rsidRPr="004E7078">
          <w:rPr>
            <w:rStyle w:val="Hyperlink"/>
            <w:rFonts w:ascii="Arial" w:hAnsi="Arial" w:cs="Arial"/>
            <w:sz w:val="16"/>
            <w:szCs w:val="16"/>
          </w:rPr>
          <w:t>http://www2.isda.org/asset-classes/credit-derivatives/2014-isda-credit-derivatives-definitions/credit-derivatives-definitions-protocol-and-related-documents/</w:t>
        </w:r>
      </w:hyperlink>
      <w:r w:rsidRPr="004E7078">
        <w:rPr>
          <w:rFonts w:ascii="Arial" w:hAnsi="Arial" w:cs="Arial"/>
          <w:color w:val="1F497D"/>
          <w:sz w:val="16"/>
          <w:szCs w:val="16"/>
        </w:rPr>
        <w:t>.</w:t>
      </w:r>
    </w:p>
  </w:footnote>
  <w:footnote w:id="15">
    <w:p w14:paraId="77C3E62D" w14:textId="77777777" w:rsidR="00E6294A" w:rsidRPr="004E7078" w:rsidRDefault="00E6294A" w:rsidP="00E6294A">
      <w:pPr>
        <w:pStyle w:val="FootnoteText"/>
        <w:rPr>
          <w:rFonts w:ascii="Arial" w:hAnsi="Arial" w:cs="Arial"/>
          <w:szCs w:val="16"/>
        </w:rPr>
      </w:pPr>
      <w:r w:rsidRPr="004E7078">
        <w:rPr>
          <w:rStyle w:val="FootnoteReference"/>
          <w:rFonts w:ascii="Arial" w:hAnsi="Arial" w:cs="Arial"/>
          <w:szCs w:val="16"/>
        </w:rPr>
        <w:footnoteRef/>
      </w:r>
      <w:r w:rsidRPr="004E7078">
        <w:rPr>
          <w:rFonts w:ascii="Arial" w:hAnsi="Arial" w:cs="Arial"/>
          <w:szCs w:val="16"/>
        </w:rPr>
        <w:t xml:space="preserve"> </w:t>
      </w:r>
      <w:proofErr w:type="gramStart"/>
      <w:r w:rsidRPr="004E7078">
        <w:rPr>
          <w:rFonts w:ascii="Arial" w:hAnsi="Arial" w:cs="Arial"/>
          <w:szCs w:val="16"/>
        </w:rPr>
        <w:t xml:space="preserve">For example </w:t>
      </w:r>
      <w:proofErr w:type="spellStart"/>
      <w:r w:rsidRPr="004E7078">
        <w:rPr>
          <w:rFonts w:ascii="Arial" w:hAnsi="Arial" w:cs="Arial"/>
          <w:szCs w:val="16"/>
        </w:rPr>
        <w:t>SovX</w:t>
      </w:r>
      <w:proofErr w:type="spellEnd"/>
      <w:r w:rsidRPr="004E7078">
        <w:rPr>
          <w:rFonts w:ascii="Arial" w:hAnsi="Arial" w:cs="Arial"/>
          <w:szCs w:val="16"/>
        </w:rPr>
        <w:t xml:space="preserve"> Western Europe.</w:t>
      </w:r>
      <w:proofErr w:type="gramEnd"/>
    </w:p>
  </w:footnote>
  <w:footnote w:id="16">
    <w:p w14:paraId="316233FA" w14:textId="77777777" w:rsidR="00E6294A" w:rsidRPr="004E7078" w:rsidRDefault="00E6294A" w:rsidP="00E6294A">
      <w:pPr>
        <w:pStyle w:val="FootnoteText"/>
        <w:rPr>
          <w:rFonts w:ascii="Arial" w:hAnsi="Arial" w:cs="Arial"/>
          <w:szCs w:val="16"/>
          <w:lang w:val="en-US"/>
        </w:rPr>
      </w:pPr>
      <w:r w:rsidRPr="004E7078">
        <w:rPr>
          <w:rStyle w:val="FootnoteReference"/>
          <w:rFonts w:ascii="Arial" w:hAnsi="Arial" w:cs="Arial"/>
          <w:szCs w:val="16"/>
        </w:rPr>
        <w:footnoteRef/>
      </w:r>
      <w:r w:rsidRPr="004E7078">
        <w:rPr>
          <w:rFonts w:ascii="Arial" w:hAnsi="Arial" w:cs="Arial"/>
          <w:szCs w:val="16"/>
        </w:rPr>
        <w:t xml:space="preserve"> </w:t>
      </w:r>
      <w:r w:rsidRPr="004E7078">
        <w:rPr>
          <w:rFonts w:ascii="Arial" w:hAnsi="Arial" w:cs="Arial"/>
          <w:szCs w:val="16"/>
          <w:lang w:val="en-US"/>
        </w:rPr>
        <w:t>In instances where only some constituents of the CDS index basket remain on the 2003 Definitions</w:t>
      </w:r>
      <w:r>
        <w:rPr>
          <w:rFonts w:ascii="Arial" w:hAnsi="Arial" w:cs="Arial"/>
          <w:szCs w:val="16"/>
          <w:lang w:val="en-US"/>
        </w:rPr>
        <w:t xml:space="preserve"> and others switch to the 2014 Definitions</w:t>
      </w:r>
      <w:r w:rsidRPr="004E7078">
        <w:rPr>
          <w:rFonts w:ascii="Arial" w:hAnsi="Arial" w:cs="Arial"/>
          <w:szCs w:val="16"/>
          <w:lang w:val="en-US"/>
        </w:rPr>
        <w:t>.</w:t>
      </w:r>
    </w:p>
  </w:footnote>
  <w:footnote w:id="17">
    <w:p w14:paraId="1F70B964" w14:textId="77777777" w:rsidR="00E6294A" w:rsidRPr="004E7078" w:rsidRDefault="00E6294A" w:rsidP="00E6294A">
      <w:pPr>
        <w:pStyle w:val="FootnoteText"/>
        <w:rPr>
          <w:rFonts w:ascii="Arial" w:hAnsi="Arial" w:cs="Arial"/>
          <w:szCs w:val="16"/>
          <w:lang w:val="en-US"/>
        </w:rPr>
      </w:pPr>
      <w:r w:rsidRPr="004E7078">
        <w:rPr>
          <w:rStyle w:val="FootnoteReference"/>
          <w:rFonts w:ascii="Arial" w:hAnsi="Arial" w:cs="Arial"/>
          <w:szCs w:val="16"/>
        </w:rPr>
        <w:footnoteRef/>
      </w:r>
      <w:r w:rsidRPr="004E7078">
        <w:rPr>
          <w:rFonts w:ascii="Arial" w:hAnsi="Arial" w:cs="Arial"/>
          <w:szCs w:val="16"/>
        </w:rPr>
        <w:t xml:space="preserve"> </w:t>
      </w:r>
      <w:r w:rsidRPr="004E7078">
        <w:rPr>
          <w:rFonts w:ascii="Arial" w:hAnsi="Arial" w:cs="Arial"/>
          <w:szCs w:val="16"/>
          <w:lang w:val="en-US"/>
        </w:rPr>
        <w:t>Launched before September 20, 2014</w:t>
      </w:r>
    </w:p>
  </w:footnote>
  <w:footnote w:id="18">
    <w:p w14:paraId="4284F450" w14:textId="77777777" w:rsidR="00E6294A" w:rsidRPr="004E7078" w:rsidRDefault="00E6294A" w:rsidP="00E6294A">
      <w:pPr>
        <w:pStyle w:val="FootnoteText"/>
        <w:rPr>
          <w:rFonts w:ascii="Arial" w:hAnsi="Arial" w:cs="Arial"/>
          <w:szCs w:val="16"/>
          <w:lang w:val="en-US"/>
        </w:rPr>
      </w:pPr>
      <w:r w:rsidRPr="004E7078">
        <w:rPr>
          <w:rStyle w:val="FootnoteReference"/>
          <w:rFonts w:ascii="Arial" w:hAnsi="Arial" w:cs="Arial"/>
          <w:szCs w:val="16"/>
        </w:rPr>
        <w:footnoteRef/>
      </w:r>
      <w:r w:rsidRPr="004E7078">
        <w:rPr>
          <w:rFonts w:ascii="Arial" w:hAnsi="Arial" w:cs="Arial"/>
          <w:szCs w:val="16"/>
        </w:rPr>
        <w:t xml:space="preserve"> </w:t>
      </w:r>
      <w:r w:rsidRPr="004E7078">
        <w:rPr>
          <w:rFonts w:ascii="Arial" w:hAnsi="Arial" w:cs="Arial"/>
          <w:szCs w:val="16"/>
          <w:lang w:val="en-US"/>
        </w:rPr>
        <w:t>Launched on or after September 20, 2014</w:t>
      </w:r>
    </w:p>
  </w:footnote>
  <w:footnote w:id="19">
    <w:p w14:paraId="019D89BE" w14:textId="77777777" w:rsidR="00E6294A" w:rsidRPr="004E7078" w:rsidRDefault="00E6294A" w:rsidP="00E6294A">
      <w:pPr>
        <w:pStyle w:val="FootnoteText"/>
        <w:rPr>
          <w:rFonts w:ascii="Arial" w:hAnsi="Arial" w:cs="Arial"/>
          <w:szCs w:val="16"/>
          <w:lang w:val="en-US"/>
        </w:rPr>
      </w:pPr>
      <w:r w:rsidRPr="004E7078">
        <w:rPr>
          <w:rStyle w:val="FootnoteReference"/>
          <w:rFonts w:ascii="Arial" w:hAnsi="Arial" w:cs="Arial"/>
          <w:szCs w:val="16"/>
        </w:rPr>
        <w:footnoteRef/>
      </w:r>
      <w:r w:rsidRPr="004E7078">
        <w:rPr>
          <w:rFonts w:ascii="Arial" w:hAnsi="Arial" w:cs="Arial"/>
          <w:szCs w:val="16"/>
        </w:rPr>
        <w:t xml:space="preserve"> The c</w:t>
      </w:r>
      <w:proofErr w:type="spellStart"/>
      <w:r w:rsidRPr="004E7078">
        <w:rPr>
          <w:rFonts w:ascii="Arial" w:hAnsi="Arial" w:cs="Arial"/>
          <w:szCs w:val="16"/>
          <w:lang w:val="en-US"/>
        </w:rPr>
        <w:t>hange</w:t>
      </w:r>
      <w:proofErr w:type="spellEnd"/>
      <w:r w:rsidRPr="004E7078">
        <w:rPr>
          <w:rFonts w:ascii="Arial" w:hAnsi="Arial" w:cs="Arial"/>
          <w:szCs w:val="16"/>
          <w:lang w:val="en-US"/>
        </w:rPr>
        <w:t xml:space="preserve"> from “old” to “new” documentation standard </w:t>
      </w:r>
      <w:r>
        <w:rPr>
          <w:rFonts w:ascii="Arial" w:hAnsi="Arial" w:cs="Arial"/>
          <w:szCs w:val="16"/>
          <w:lang w:val="en-US"/>
        </w:rPr>
        <w:t xml:space="preserve">for existing transactions </w:t>
      </w:r>
      <w:r w:rsidRPr="004E7078">
        <w:rPr>
          <w:rFonts w:ascii="Arial" w:hAnsi="Arial" w:cs="Arial"/>
          <w:szCs w:val="16"/>
          <w:lang w:val="en-US"/>
        </w:rPr>
        <w:t xml:space="preserve">will occur on the basis of counterparties signing up to the ISDA Protocol. </w:t>
      </w:r>
    </w:p>
  </w:footnote>
  <w:footnote w:id="20">
    <w:p w14:paraId="13B9E7FC" w14:textId="77777777" w:rsidR="00E6294A" w:rsidRPr="004E7078" w:rsidRDefault="00E6294A" w:rsidP="00E6294A">
      <w:pPr>
        <w:pStyle w:val="FootnoteText"/>
        <w:rPr>
          <w:rFonts w:ascii="Arial" w:hAnsi="Arial" w:cs="Arial"/>
          <w:szCs w:val="16"/>
          <w:lang w:val="en-US"/>
        </w:rPr>
      </w:pPr>
      <w:r w:rsidRPr="004E7078">
        <w:rPr>
          <w:rStyle w:val="FootnoteReference"/>
          <w:rFonts w:ascii="Arial" w:hAnsi="Arial" w:cs="Arial"/>
          <w:szCs w:val="16"/>
        </w:rPr>
        <w:footnoteRef/>
      </w:r>
      <w:r w:rsidRPr="004E7078">
        <w:rPr>
          <w:rFonts w:ascii="Arial" w:hAnsi="Arial" w:cs="Arial"/>
          <w:szCs w:val="16"/>
        </w:rPr>
        <w:t xml:space="preserve"> </w:t>
      </w:r>
      <w:r w:rsidRPr="004E7078">
        <w:rPr>
          <w:rFonts w:ascii="Arial" w:hAnsi="Arial" w:cs="Arial"/>
          <w:szCs w:val="16"/>
          <w:lang w:val="en-US"/>
        </w:rPr>
        <w:t>For indices that contain exposures to corporates, banks, and insurance companies the new documentation standard for legacy index series will be a mixture of the 2014 and the 2003 CDS Definitions.</w:t>
      </w:r>
    </w:p>
  </w:footnote>
  <w:footnote w:id="21">
    <w:p w14:paraId="5E057D99" w14:textId="77777777" w:rsidR="00E6294A" w:rsidRDefault="00E6294A" w:rsidP="00E6294A">
      <w:pPr>
        <w:pStyle w:val="FootnoteText"/>
      </w:pPr>
      <w:r w:rsidRPr="00791D18">
        <w:rPr>
          <w:rStyle w:val="FootnoteReference"/>
          <w:rFonts w:ascii="Arial" w:hAnsi="Arial" w:cs="Arial"/>
          <w:szCs w:val="16"/>
        </w:rPr>
        <w:footnoteRef/>
      </w:r>
      <w:r w:rsidRPr="00791D18">
        <w:rPr>
          <w:rStyle w:val="FootnoteReference"/>
          <w:rFonts w:ascii="Arial" w:hAnsi="Arial" w:cs="Arial"/>
          <w:szCs w:val="16"/>
        </w:rPr>
        <w:t xml:space="preserve"> </w:t>
      </w:r>
      <w:proofErr w:type="gramStart"/>
      <w:r w:rsidRPr="00791D18">
        <w:rPr>
          <w:rFonts w:ascii="Arial" w:hAnsi="Arial" w:cs="Arial"/>
          <w:szCs w:val="16"/>
          <w:lang w:val="en-US"/>
        </w:rPr>
        <w:t xml:space="preserve">For Series 7 </w:t>
      </w:r>
      <w:r>
        <w:rPr>
          <w:rFonts w:ascii="Arial" w:hAnsi="Arial" w:cs="Arial"/>
          <w:szCs w:val="16"/>
          <w:lang w:val="en-US"/>
        </w:rPr>
        <w:t xml:space="preserve">to 21, whilst Series 1 to 6 will be </w:t>
      </w:r>
      <w:r w:rsidRPr="00791D18">
        <w:rPr>
          <w:rFonts w:ascii="Arial" w:hAnsi="Arial" w:cs="Arial"/>
          <w:szCs w:val="16"/>
          <w:lang w:val="en-US"/>
        </w:rPr>
        <w:t>2014.</w:t>
      </w:r>
      <w:proofErr w:type="gramEnd"/>
    </w:p>
  </w:footnote>
  <w:footnote w:id="22">
    <w:p w14:paraId="13B02DC4" w14:textId="77777777" w:rsidR="00E6294A" w:rsidRDefault="00E6294A" w:rsidP="00E6294A">
      <w:pPr>
        <w:pStyle w:val="FootnoteText"/>
      </w:pPr>
      <w:r w:rsidRPr="00791D18">
        <w:rPr>
          <w:rStyle w:val="FootnoteReference"/>
          <w:rFonts w:ascii="Arial" w:hAnsi="Arial" w:cs="Arial"/>
          <w:szCs w:val="16"/>
        </w:rPr>
        <w:footnoteRef/>
      </w:r>
      <w:r w:rsidRPr="00791D18">
        <w:rPr>
          <w:rStyle w:val="FootnoteReference"/>
          <w:rFonts w:ascii="Arial" w:hAnsi="Arial" w:cs="Arial"/>
          <w:szCs w:val="16"/>
        </w:rPr>
        <w:t xml:space="preserve"> </w:t>
      </w:r>
      <w:r w:rsidRPr="00791D18">
        <w:rPr>
          <w:rFonts w:ascii="Arial" w:hAnsi="Arial" w:cs="Arial"/>
          <w:szCs w:val="16"/>
          <w:lang w:val="en-US"/>
        </w:rPr>
        <w:t xml:space="preserve">For Series 5 to 20, whilst Series 1 to 4 will be </w:t>
      </w:r>
      <w:proofErr w:type="gramStart"/>
      <w:r w:rsidRPr="00791D18">
        <w:rPr>
          <w:rFonts w:ascii="Arial" w:hAnsi="Arial" w:cs="Arial"/>
          <w:szCs w:val="16"/>
          <w:lang w:val="en-US"/>
        </w:rPr>
        <w:t>Mixed</w:t>
      </w:r>
      <w:proofErr w:type="gramEnd"/>
      <w:r w:rsidRPr="00791D18">
        <w:rPr>
          <w:rFonts w:ascii="Arial" w:hAnsi="Arial" w:cs="Arial"/>
          <w:szCs w:val="16"/>
          <w:lang w:val="en-US"/>
        </w:rPr>
        <w:t>.</w:t>
      </w:r>
    </w:p>
  </w:footnote>
  <w:footnote w:id="23">
    <w:p w14:paraId="68D86588" w14:textId="77777777" w:rsidR="00E6294A" w:rsidRPr="004E7078" w:rsidRDefault="00E6294A" w:rsidP="00E6294A">
      <w:pPr>
        <w:pStyle w:val="FootnoteText"/>
        <w:rPr>
          <w:rFonts w:ascii="Arial" w:hAnsi="Arial" w:cs="Arial"/>
          <w:szCs w:val="16"/>
          <w:lang w:val="en-US"/>
        </w:rPr>
      </w:pPr>
      <w:r w:rsidRPr="004E7078">
        <w:rPr>
          <w:rStyle w:val="FootnoteReference"/>
          <w:rFonts w:ascii="Arial" w:hAnsi="Arial" w:cs="Arial"/>
          <w:szCs w:val="16"/>
        </w:rPr>
        <w:footnoteRef/>
      </w:r>
      <w:r w:rsidRPr="004E7078">
        <w:rPr>
          <w:rFonts w:ascii="Arial" w:hAnsi="Arial" w:cs="Arial"/>
          <w:szCs w:val="16"/>
        </w:rPr>
        <w:t xml:space="preserve"> </w:t>
      </w:r>
      <w:proofErr w:type="gramStart"/>
      <w:r w:rsidRPr="004E7078">
        <w:rPr>
          <w:rFonts w:ascii="Arial" w:hAnsi="Arial" w:cs="Arial"/>
          <w:szCs w:val="16"/>
          <w:lang w:val="en-US"/>
        </w:rPr>
        <w:t>iT</w:t>
      </w:r>
      <w:r>
        <w:rPr>
          <w:rFonts w:ascii="Arial" w:hAnsi="Arial" w:cs="Arial"/>
          <w:szCs w:val="16"/>
          <w:lang w:val="en-US"/>
        </w:rPr>
        <w:t>raxx</w:t>
      </w:r>
      <w:proofErr w:type="gramEnd"/>
      <w:r w:rsidRPr="004E7078">
        <w:rPr>
          <w:rFonts w:ascii="Arial" w:hAnsi="Arial" w:cs="Arial"/>
          <w:szCs w:val="16"/>
          <w:lang w:val="en-US"/>
        </w:rPr>
        <w:t xml:space="preserve"> </w:t>
      </w:r>
      <w:proofErr w:type="spellStart"/>
      <w:r w:rsidRPr="004E7078">
        <w:rPr>
          <w:rFonts w:ascii="Arial" w:hAnsi="Arial" w:cs="Arial"/>
          <w:szCs w:val="16"/>
          <w:lang w:val="en-US"/>
        </w:rPr>
        <w:t>HiVol</w:t>
      </w:r>
      <w:proofErr w:type="spellEnd"/>
      <w:r w:rsidRPr="004E7078">
        <w:rPr>
          <w:rFonts w:ascii="Arial" w:hAnsi="Arial" w:cs="Arial"/>
          <w:szCs w:val="16"/>
          <w:lang w:val="en-US"/>
        </w:rPr>
        <w:t xml:space="preserve"> will not be rolled into a new series</w:t>
      </w:r>
      <w:r>
        <w:rPr>
          <w:rFonts w:ascii="Arial" w:hAnsi="Arial" w:cs="Arial"/>
          <w:szCs w:val="16"/>
          <w:lang w:val="en-US"/>
        </w:rPr>
        <w:t xml:space="preserve"> in September 2014</w:t>
      </w:r>
      <w:r w:rsidRPr="004E7078">
        <w:rPr>
          <w:rFonts w:ascii="Arial" w:hAnsi="Arial" w:cs="Arial"/>
          <w:szCs w:val="16"/>
          <w:lang w:val="en-US"/>
        </w:rPr>
        <w:t>.</w:t>
      </w:r>
    </w:p>
  </w:footnote>
  <w:footnote w:id="24">
    <w:p w14:paraId="50BC0E7D" w14:textId="77777777" w:rsidR="00E6294A" w:rsidRPr="00E646D4" w:rsidRDefault="00E6294A" w:rsidP="00E6294A">
      <w:pPr>
        <w:pStyle w:val="PlainText"/>
        <w:rPr>
          <w:rFonts w:ascii="Arial" w:eastAsia="MS Mincho" w:hAnsi="Arial" w:cs="Arial"/>
          <w:sz w:val="16"/>
          <w:szCs w:val="16"/>
          <w:lang w:eastAsia="en-GB"/>
        </w:rPr>
      </w:pPr>
      <w:r w:rsidRPr="00E646D4">
        <w:rPr>
          <w:rStyle w:val="FootnoteReference"/>
          <w:sz w:val="16"/>
          <w:szCs w:val="16"/>
        </w:rPr>
        <w:footnoteRef/>
      </w:r>
      <w:r w:rsidRPr="00E646D4">
        <w:rPr>
          <w:sz w:val="16"/>
          <w:szCs w:val="16"/>
        </w:rPr>
        <w:t xml:space="preserve"> </w:t>
      </w:r>
      <w:r w:rsidRPr="00A6552A">
        <w:rPr>
          <w:rFonts w:ascii="Arial" w:eastAsia="MS Mincho" w:hAnsi="Arial" w:cs="Arial"/>
          <w:sz w:val="16"/>
          <w:szCs w:val="16"/>
          <w:lang w:eastAsia="en-GB"/>
        </w:rPr>
        <w:t xml:space="preserve">Please see </w:t>
      </w:r>
      <w:hyperlink r:id="rId7" w:history="1">
        <w:r w:rsidRPr="00A6552A">
          <w:rPr>
            <w:rStyle w:val="Hyperlink"/>
            <w:rFonts w:cs="Arial"/>
            <w:sz w:val="16"/>
            <w:szCs w:val="16"/>
            <w:lang w:eastAsia="ja-JP"/>
          </w:rPr>
          <w:t>http://www.lchclearnet.com/documents/731485/762470/isda+2014+definitions+paper_final+format+v1.3_1.pdf/83b41645-2a84-45b3-a070-f32810a14579</w:t>
        </w:r>
      </w:hyperlink>
      <w:r w:rsidRPr="00A6552A">
        <w:rPr>
          <w:rStyle w:val="Hyperlink"/>
          <w:rFonts w:cs="Arial"/>
          <w:sz w:val="16"/>
          <w:szCs w:val="16"/>
          <w:lang w:eastAsia="ja-JP"/>
        </w:rPr>
        <w:t xml:space="preserve"> and </w:t>
      </w:r>
      <w:hyperlink r:id="rId8" w:history="1">
        <w:r w:rsidRPr="00A6552A">
          <w:rPr>
            <w:rStyle w:val="Hyperlink"/>
            <w:rFonts w:cs="Arial"/>
            <w:sz w:val="16"/>
            <w:szCs w:val="16"/>
            <w:lang w:eastAsia="ja-JP"/>
          </w:rPr>
          <w:t>https://www.theice.com/publicdocs/futures/2014_ISDA_Definitions.pdf</w:t>
        </w:r>
      </w:hyperlink>
    </w:p>
  </w:footnote>
  <w:footnote w:id="25">
    <w:p w14:paraId="5984A375" w14:textId="77777777" w:rsidR="00E6294A" w:rsidRPr="00E646D4" w:rsidRDefault="00E6294A" w:rsidP="00E6294A">
      <w:pPr>
        <w:pStyle w:val="FootnoteText"/>
        <w:rPr>
          <w:szCs w:val="16"/>
        </w:rPr>
      </w:pPr>
      <w:r w:rsidRPr="00E646D4">
        <w:rPr>
          <w:rStyle w:val="FootnoteReference"/>
          <w:szCs w:val="16"/>
        </w:rPr>
        <w:footnoteRef/>
      </w:r>
      <w:r w:rsidRPr="00E646D4">
        <w:rPr>
          <w:szCs w:val="16"/>
        </w:rPr>
        <w:t xml:space="preserve"> </w:t>
      </w:r>
      <w:proofErr w:type="gramStart"/>
      <w:r w:rsidRPr="00E646D4">
        <w:rPr>
          <w:rFonts w:ascii="Arial" w:hAnsi="Arial" w:cs="Arial"/>
          <w:szCs w:val="16"/>
        </w:rPr>
        <w:t>I.e. from Series 11 onward and with a 5 year maturity.</w:t>
      </w:r>
      <w:proofErr w:type="gramEnd"/>
    </w:p>
  </w:footnote>
  <w:footnote w:id="26">
    <w:p w14:paraId="7C6E70D4" w14:textId="77777777" w:rsidR="00E6294A" w:rsidRDefault="00E6294A" w:rsidP="00E6294A">
      <w:pPr>
        <w:pStyle w:val="FootnoteText"/>
      </w:pPr>
      <w:r w:rsidRPr="00177010">
        <w:rPr>
          <w:rStyle w:val="FootnoteReference"/>
          <w:rFonts w:ascii="Arial" w:hAnsi="Arial" w:cs="Arial"/>
          <w:szCs w:val="16"/>
        </w:rPr>
        <w:footnoteRef/>
      </w:r>
      <w:r w:rsidRPr="00177010">
        <w:rPr>
          <w:rStyle w:val="FootnoteReference"/>
          <w:rFonts w:ascii="Arial" w:hAnsi="Arial" w:cs="Arial"/>
          <w:szCs w:val="16"/>
        </w:rPr>
        <w:t xml:space="preserve"> </w:t>
      </w:r>
      <w:r>
        <w:rPr>
          <w:rFonts w:ascii="Arial" w:hAnsi="Arial" w:cs="Arial"/>
          <w:szCs w:val="16"/>
          <w:lang w:val="en-US"/>
        </w:rPr>
        <w:t>N</w:t>
      </w:r>
      <w:r w:rsidRPr="00177010">
        <w:rPr>
          <w:rFonts w:ascii="Arial" w:hAnsi="Arial" w:cs="Arial"/>
          <w:szCs w:val="16"/>
          <w:lang w:val="en-US"/>
        </w:rPr>
        <w:t xml:space="preserve">amely the level of </w:t>
      </w:r>
      <w:proofErr w:type="spellStart"/>
      <w:r w:rsidRPr="00177010">
        <w:rPr>
          <w:rFonts w:ascii="Arial" w:hAnsi="Arial" w:cs="Arial"/>
          <w:szCs w:val="16"/>
          <w:lang w:val="en-US"/>
        </w:rPr>
        <w:t>standardisation</w:t>
      </w:r>
      <w:proofErr w:type="spellEnd"/>
      <w:r w:rsidRPr="00177010">
        <w:rPr>
          <w:rFonts w:ascii="Arial" w:hAnsi="Arial" w:cs="Arial"/>
          <w:szCs w:val="16"/>
          <w:lang w:val="en-US"/>
        </w:rPr>
        <w:t>, the liquidity, and the availability of reliable pricing data, for the clearing determination for OTC credit derivatives</w:t>
      </w:r>
    </w:p>
  </w:footnote>
  <w:footnote w:id="27">
    <w:p w14:paraId="33EB5ED1"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CP par. 69</w:t>
      </w:r>
    </w:p>
  </w:footnote>
  <w:footnote w:id="28">
    <w:p w14:paraId="67A13DAF"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w:t>
      </w:r>
      <w:proofErr w:type="gramStart"/>
      <w:r w:rsidRPr="00E646D4">
        <w:rPr>
          <w:rFonts w:ascii="Arial" w:hAnsi="Arial" w:cs="Arial"/>
          <w:szCs w:val="16"/>
        </w:rPr>
        <w:t>CP Pars.</w:t>
      </w:r>
      <w:proofErr w:type="gramEnd"/>
      <w:r w:rsidRPr="00E646D4">
        <w:rPr>
          <w:rFonts w:ascii="Arial" w:hAnsi="Arial" w:cs="Arial"/>
          <w:szCs w:val="16"/>
        </w:rPr>
        <w:t xml:space="preserve"> 65-69.</w:t>
      </w:r>
    </w:p>
  </w:footnote>
  <w:footnote w:id="29">
    <w:p w14:paraId="69CA1FEC" w14:textId="77777777" w:rsidR="00E6294A" w:rsidRPr="00A174D3" w:rsidRDefault="00E6294A" w:rsidP="00E6294A">
      <w:pPr>
        <w:pStyle w:val="FootnoteText"/>
        <w:rPr>
          <w:rFonts w:ascii="Arial" w:hAnsi="Arial" w:cs="Arial"/>
          <w:sz w:val="18"/>
          <w:szCs w:val="18"/>
        </w:rPr>
      </w:pPr>
      <w:r w:rsidRPr="00E646D4">
        <w:rPr>
          <w:rStyle w:val="FootnoteReference"/>
          <w:rFonts w:ascii="Arial" w:hAnsi="Arial" w:cs="Arial"/>
          <w:szCs w:val="16"/>
        </w:rPr>
        <w:footnoteRef/>
      </w:r>
      <w:r w:rsidRPr="00E646D4">
        <w:rPr>
          <w:rFonts w:ascii="Arial" w:hAnsi="Arial" w:cs="Arial"/>
          <w:szCs w:val="16"/>
        </w:rPr>
        <w:t xml:space="preserve"> CP Chapter 4.3</w:t>
      </w:r>
    </w:p>
  </w:footnote>
  <w:footnote w:id="30">
    <w:p w14:paraId="0A378538"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ESMA stated that it the phase-in should be designed to “avoid[</w:t>
      </w:r>
      <w:proofErr w:type="spellStart"/>
      <w:r w:rsidRPr="00E646D4">
        <w:rPr>
          <w:rFonts w:ascii="Arial" w:hAnsi="Arial" w:cs="Arial"/>
          <w:szCs w:val="16"/>
        </w:rPr>
        <w:t>ing</w:t>
      </w:r>
      <w:proofErr w:type="spellEnd"/>
      <w:r w:rsidRPr="00E646D4">
        <w:rPr>
          <w:rFonts w:ascii="Arial" w:hAnsi="Arial" w:cs="Arial"/>
          <w:szCs w:val="16"/>
        </w:rPr>
        <w:t>] “bottleneck” situations to the extent possible”. CP par 133.</w:t>
      </w:r>
    </w:p>
  </w:footnote>
  <w:footnote w:id="31">
    <w:p w14:paraId="0EFE58B7"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Style w:val="FootnoteReference"/>
          <w:rFonts w:ascii="Arial" w:hAnsi="Arial" w:cs="Arial"/>
          <w:szCs w:val="16"/>
        </w:rPr>
        <w:t xml:space="preserve"> </w:t>
      </w:r>
      <w:r w:rsidRPr="00E646D4">
        <w:rPr>
          <w:rFonts w:ascii="Arial" w:hAnsi="Arial" w:cs="Arial"/>
          <w:szCs w:val="16"/>
        </w:rPr>
        <w:t xml:space="preserve">Our view is based on the implementation and </w:t>
      </w:r>
      <w:proofErr w:type="spellStart"/>
      <w:r w:rsidRPr="00E646D4">
        <w:rPr>
          <w:rFonts w:ascii="Arial" w:hAnsi="Arial" w:cs="Arial"/>
          <w:szCs w:val="16"/>
        </w:rPr>
        <w:t>onboarding</w:t>
      </w:r>
      <w:proofErr w:type="spellEnd"/>
      <w:r w:rsidRPr="00E646D4">
        <w:rPr>
          <w:rFonts w:ascii="Arial" w:hAnsi="Arial" w:cs="Arial"/>
          <w:szCs w:val="16"/>
        </w:rPr>
        <w:t xml:space="preserve"> </w:t>
      </w:r>
      <w:r>
        <w:rPr>
          <w:rFonts w:ascii="Arial" w:hAnsi="Arial" w:cs="Arial"/>
          <w:szCs w:val="16"/>
        </w:rPr>
        <w:t xml:space="preserve">challenges </w:t>
      </w:r>
      <w:r w:rsidRPr="00E646D4">
        <w:rPr>
          <w:rFonts w:ascii="Arial" w:hAnsi="Arial" w:cs="Arial"/>
          <w:szCs w:val="16"/>
        </w:rPr>
        <w:t xml:space="preserve">associated with the </w:t>
      </w:r>
      <w:r>
        <w:rPr>
          <w:rFonts w:ascii="Arial" w:hAnsi="Arial" w:cs="Arial"/>
          <w:szCs w:val="16"/>
        </w:rPr>
        <w:t xml:space="preserve">start of the </w:t>
      </w:r>
      <w:r w:rsidRPr="00E646D4">
        <w:rPr>
          <w:rFonts w:ascii="Arial" w:hAnsi="Arial" w:cs="Arial"/>
          <w:szCs w:val="16"/>
        </w:rPr>
        <w:t>clearing obligation for “CAT 2” firms in the U</w:t>
      </w:r>
      <w:r>
        <w:rPr>
          <w:rFonts w:ascii="Arial" w:hAnsi="Arial" w:cs="Arial"/>
          <w:szCs w:val="16"/>
        </w:rPr>
        <w:t xml:space="preserve">nited </w:t>
      </w:r>
      <w:r w:rsidRPr="00E646D4">
        <w:rPr>
          <w:rFonts w:ascii="Arial" w:hAnsi="Arial" w:cs="Arial"/>
          <w:szCs w:val="16"/>
        </w:rPr>
        <w:t>S</w:t>
      </w:r>
      <w:r>
        <w:rPr>
          <w:rFonts w:ascii="Arial" w:hAnsi="Arial" w:cs="Arial"/>
          <w:szCs w:val="16"/>
        </w:rPr>
        <w:t>tates</w:t>
      </w:r>
      <w:r w:rsidRPr="00E646D4">
        <w:rPr>
          <w:rFonts w:ascii="Arial" w:hAnsi="Arial" w:cs="Arial"/>
          <w:szCs w:val="16"/>
        </w:rPr>
        <w:t xml:space="preserve">. Specifically, more than 400 </w:t>
      </w:r>
      <w:r>
        <w:rPr>
          <w:rFonts w:ascii="Arial" w:hAnsi="Arial" w:cs="Arial"/>
          <w:szCs w:val="16"/>
        </w:rPr>
        <w:t>firms</w:t>
      </w:r>
      <w:r w:rsidRPr="00E646D4">
        <w:rPr>
          <w:rFonts w:ascii="Arial" w:hAnsi="Arial" w:cs="Arial"/>
          <w:szCs w:val="16"/>
        </w:rPr>
        <w:t xml:space="preserve"> requested to be </w:t>
      </w:r>
      <w:proofErr w:type="spellStart"/>
      <w:r w:rsidRPr="00E646D4">
        <w:rPr>
          <w:rFonts w:ascii="Arial" w:hAnsi="Arial" w:cs="Arial"/>
          <w:szCs w:val="16"/>
        </w:rPr>
        <w:t>onboarded</w:t>
      </w:r>
      <w:proofErr w:type="spellEnd"/>
      <w:r w:rsidRPr="00E646D4">
        <w:rPr>
          <w:rFonts w:ascii="Arial" w:hAnsi="Arial" w:cs="Arial"/>
          <w:szCs w:val="16"/>
        </w:rPr>
        <w:t xml:space="preserve"> to our platforms within the last couple of weeks before the compliance date.</w:t>
      </w:r>
    </w:p>
  </w:footnote>
  <w:footnote w:id="32">
    <w:p w14:paraId="4E9E0DC4"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w:t>
      </w:r>
      <w:r>
        <w:rPr>
          <w:rFonts w:ascii="Arial" w:hAnsi="Arial" w:cs="Arial"/>
          <w:szCs w:val="16"/>
        </w:rPr>
        <w:t xml:space="preserve">For example, Markit Counterparty Manager is a highly secure environment for trading counterparties to manage and share documentation, make regulatory representations and validate compliance with evolving business conduct rules and KYC/AML obligations.  Markit and ISDA offer ISDA Amend as a joint service.  With ISDA Amend, swap dealers and their customers can classify their trading entities as well as amend and share multiple ISDA master agreements using a single online tool.  This helps customers ensure compliance with new requirements related to Dodd Frank and EMIR.  </w:t>
      </w:r>
      <w:r w:rsidRPr="00E646D4">
        <w:rPr>
          <w:rFonts w:ascii="Arial" w:hAnsi="Arial" w:cs="Arial"/>
          <w:szCs w:val="16"/>
        </w:rPr>
        <w:t xml:space="preserve"> </w:t>
      </w:r>
    </w:p>
  </w:footnote>
  <w:footnote w:id="33">
    <w:p w14:paraId="2082F544"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CP Par. 98 and Table 18</w:t>
      </w:r>
    </w:p>
  </w:footnote>
  <w:footnote w:id="34">
    <w:p w14:paraId="5B07FC1B" w14:textId="77777777" w:rsidR="00E6294A" w:rsidRPr="00A174D3" w:rsidRDefault="00E6294A" w:rsidP="00E6294A">
      <w:pPr>
        <w:pStyle w:val="FootnoteText"/>
        <w:rPr>
          <w:rFonts w:ascii="Arial" w:hAnsi="Arial" w:cs="Arial"/>
          <w:sz w:val="18"/>
          <w:szCs w:val="18"/>
        </w:rPr>
      </w:pPr>
      <w:r w:rsidRPr="00E646D4">
        <w:rPr>
          <w:rStyle w:val="FootnoteReference"/>
          <w:rFonts w:ascii="Arial" w:hAnsi="Arial" w:cs="Arial"/>
          <w:szCs w:val="16"/>
        </w:rPr>
        <w:footnoteRef/>
      </w:r>
      <w:r w:rsidRPr="00E646D4">
        <w:rPr>
          <w:rFonts w:ascii="Arial" w:hAnsi="Arial" w:cs="Arial"/>
          <w:szCs w:val="16"/>
        </w:rPr>
        <w:t xml:space="preserve"> CP1 Par. 214, also Par. 156: “indirect client clearing activity remains undeveloped”.</w:t>
      </w:r>
    </w:p>
  </w:footnote>
  <w:footnote w:id="35">
    <w:p w14:paraId="5C5F7FCF"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Style w:val="FootnoteReference"/>
          <w:rFonts w:ascii="Arial" w:hAnsi="Arial" w:cs="Arial"/>
          <w:szCs w:val="16"/>
        </w:rPr>
        <w:t xml:space="preserve"> </w:t>
      </w:r>
      <w:r w:rsidRPr="00E646D4">
        <w:rPr>
          <w:rFonts w:ascii="Arial" w:hAnsi="Arial" w:cs="Arial"/>
          <w:color w:val="000000"/>
          <w:szCs w:val="16"/>
          <w:lang w:val="en-US"/>
        </w:rPr>
        <w:t xml:space="preserve">Criteria 1(b): </w:t>
      </w:r>
      <w:proofErr w:type="spellStart"/>
      <w:r w:rsidRPr="00E646D4">
        <w:rPr>
          <w:rFonts w:ascii="Arial" w:hAnsi="Arial" w:cs="Arial"/>
          <w:color w:val="000000"/>
          <w:szCs w:val="16"/>
          <w:lang w:val="en-US"/>
        </w:rPr>
        <w:t>Standardisation</w:t>
      </w:r>
      <w:proofErr w:type="spellEnd"/>
      <w:r w:rsidRPr="00E646D4">
        <w:rPr>
          <w:rFonts w:ascii="Arial" w:hAnsi="Arial" w:cs="Arial"/>
          <w:color w:val="000000"/>
          <w:szCs w:val="16"/>
          <w:lang w:val="en-US"/>
        </w:rPr>
        <w:t xml:space="preserve"> of the operational processes. </w:t>
      </w:r>
      <w:proofErr w:type="gramStart"/>
      <w:r w:rsidRPr="00E646D4">
        <w:rPr>
          <w:rFonts w:ascii="Arial" w:hAnsi="Arial" w:cs="Arial"/>
          <w:color w:val="000000"/>
          <w:szCs w:val="16"/>
          <w:lang w:val="en-US"/>
        </w:rPr>
        <w:t>CP Pars.</w:t>
      </w:r>
      <w:proofErr w:type="gramEnd"/>
      <w:r w:rsidRPr="00E646D4">
        <w:rPr>
          <w:rFonts w:ascii="Arial" w:hAnsi="Arial" w:cs="Arial"/>
          <w:color w:val="000000"/>
          <w:szCs w:val="16"/>
          <w:lang w:val="en-US"/>
        </w:rPr>
        <w:t xml:space="preserve"> 41-46.</w:t>
      </w:r>
    </w:p>
  </w:footnote>
  <w:footnote w:id="36">
    <w:p w14:paraId="56B70688"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CP Par. 42</w:t>
      </w:r>
    </w:p>
  </w:footnote>
  <w:footnote w:id="37">
    <w:p w14:paraId="4682838C"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CP Par. 46</w:t>
      </w:r>
    </w:p>
  </w:footnote>
  <w:footnote w:id="38">
    <w:p w14:paraId="17FD5A2B"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Style w:val="FootnoteReference"/>
          <w:rFonts w:ascii="Arial" w:hAnsi="Arial" w:cs="Arial"/>
          <w:szCs w:val="16"/>
        </w:rPr>
        <w:t xml:space="preserve"> </w:t>
      </w:r>
      <w:r w:rsidRPr="00E646D4">
        <w:rPr>
          <w:rFonts w:ascii="Arial" w:hAnsi="Arial" w:cs="Arial"/>
          <w:color w:val="000000"/>
          <w:szCs w:val="16"/>
          <w:lang w:val="en-US"/>
        </w:rPr>
        <w:t xml:space="preserve">Chapter 4.3 Determination of the dates from which the clearing obligation takes effect. </w:t>
      </w:r>
      <w:proofErr w:type="gramStart"/>
      <w:r w:rsidRPr="00E646D4">
        <w:rPr>
          <w:rFonts w:ascii="Arial" w:hAnsi="Arial" w:cs="Arial"/>
          <w:color w:val="000000"/>
          <w:szCs w:val="16"/>
          <w:lang w:val="en-US"/>
        </w:rPr>
        <w:t>CP p.52.</w:t>
      </w:r>
      <w:proofErr w:type="gramEnd"/>
    </w:p>
  </w:footnote>
  <w:footnote w:id="39">
    <w:p w14:paraId="6D78E1F6"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Style w:val="FootnoteReference"/>
          <w:rFonts w:ascii="Arial" w:hAnsi="Arial" w:cs="Arial"/>
          <w:szCs w:val="16"/>
        </w:rPr>
        <w:t xml:space="preserve"> </w:t>
      </w:r>
      <w:r w:rsidRPr="00E646D4">
        <w:rPr>
          <w:rFonts w:ascii="Arial" w:hAnsi="Arial" w:cs="Arial"/>
          <w:color w:val="000000"/>
          <w:szCs w:val="16"/>
          <w:lang w:val="en-US"/>
        </w:rPr>
        <w:t xml:space="preserve">See, for example, CP Par. 169 and 180. Also Par. 210 where ESMA points out that within Category 1, some participants “will need to establish connections with other CCPs for some Class+, or with CCPs to which they are already connected but in different asset classes”. </w:t>
      </w:r>
    </w:p>
  </w:footnote>
  <w:footnote w:id="40">
    <w:p w14:paraId="51817900" w14:textId="77777777" w:rsidR="00E6294A" w:rsidRPr="00A174D3" w:rsidRDefault="00E6294A" w:rsidP="00E6294A">
      <w:pPr>
        <w:pStyle w:val="FootnoteText"/>
        <w:rPr>
          <w:rFonts w:ascii="Arial" w:hAnsi="Arial" w:cs="Arial"/>
          <w:sz w:val="18"/>
          <w:szCs w:val="18"/>
        </w:rPr>
      </w:pPr>
      <w:r w:rsidRPr="00E646D4">
        <w:rPr>
          <w:rStyle w:val="FootnoteReference"/>
          <w:rFonts w:ascii="Arial" w:hAnsi="Arial" w:cs="Arial"/>
          <w:szCs w:val="16"/>
        </w:rPr>
        <w:footnoteRef/>
      </w:r>
      <w:r>
        <w:rPr>
          <w:rFonts w:ascii="Arial" w:hAnsi="Arial" w:cs="Arial"/>
          <w:szCs w:val="16"/>
        </w:rPr>
        <w:t xml:space="preserve"> As we </w:t>
      </w:r>
      <w:r w:rsidRPr="00E646D4">
        <w:rPr>
          <w:rFonts w:ascii="Arial" w:hAnsi="Arial" w:cs="Arial"/>
          <w:szCs w:val="16"/>
        </w:rPr>
        <w:t xml:space="preserve">stated in our response to ESMA’s </w:t>
      </w:r>
      <w:r w:rsidRPr="00E646D4">
        <w:rPr>
          <w:rFonts w:ascii="Arial" w:hAnsi="Arial" w:cs="Arial"/>
          <w:color w:val="000000"/>
          <w:szCs w:val="16"/>
          <w:lang w:val="en-US"/>
        </w:rPr>
        <w:t xml:space="preserve">MiFID II/ MiFIR Discussion Paper, available at </w:t>
      </w:r>
      <w:r w:rsidRPr="005240A5">
        <w:rPr>
          <w:rFonts w:ascii="Arial" w:hAnsi="Arial" w:cs="Arial"/>
          <w:color w:val="000000"/>
          <w:szCs w:val="16"/>
          <w:lang w:val="en-US"/>
        </w:rPr>
        <w:t>we</w:t>
      </w:r>
      <w:r w:rsidRPr="00E646D4">
        <w:rPr>
          <w:rFonts w:ascii="Arial" w:hAnsi="Arial" w:cs="Arial"/>
          <w:color w:val="000000"/>
          <w:szCs w:val="16"/>
          <w:lang w:val="en-US"/>
        </w:rPr>
        <w:t xml:space="preserve"> are generally supportive of the access requirements introduced in Articles 35 to 37 of MiFIR as means to increase competition in European financial markets. Recital 40 of MiFIR asserts that "access to </w:t>
      </w:r>
      <w:proofErr w:type="spellStart"/>
      <w:r w:rsidRPr="00E646D4">
        <w:rPr>
          <w:rFonts w:ascii="Arial" w:hAnsi="Arial" w:cs="Arial"/>
          <w:color w:val="000000"/>
          <w:szCs w:val="16"/>
          <w:lang w:val="en-US"/>
        </w:rPr>
        <w:t>licences</w:t>
      </w:r>
      <w:proofErr w:type="spellEnd"/>
      <w:r w:rsidRPr="00E646D4">
        <w:rPr>
          <w:rFonts w:ascii="Arial" w:hAnsi="Arial" w:cs="Arial"/>
          <w:color w:val="000000"/>
          <w:szCs w:val="16"/>
          <w:lang w:val="en-US"/>
        </w:rPr>
        <w:t xml:space="preserve"> is critical to facilitate access between trading venues and CCPs under Articles 35 and 36 of MiFIR as otherwise licensing arrangements could still prevent access between trading venues and CCPs that they have requested access to. The removal of barriers and discriminatory practices is intended to increase competition for clearing and trading of financial instruments in order to lower investment and borrowing costs, eliminate inefficiencies and foster innovation in Union markets”</w:t>
      </w:r>
      <w:r>
        <w:rPr>
          <w:rFonts w:ascii="Arial" w:hAnsi="Arial" w:cs="Arial"/>
          <w:color w:val="000000"/>
          <w:szCs w:val="16"/>
          <w:lang w:val="en-US"/>
        </w:rPr>
        <w:t xml:space="preserve">. </w:t>
      </w:r>
      <w:r w:rsidRPr="00AF56E2">
        <w:rPr>
          <w:rFonts w:ascii="Arial" w:hAnsi="Arial" w:cs="Arial"/>
          <w:i/>
          <w:color w:val="000000"/>
          <w:szCs w:val="16"/>
          <w:lang w:val="en-US"/>
        </w:rPr>
        <w:t>See</w:t>
      </w:r>
      <w:r w:rsidRPr="00AF56E2">
        <w:rPr>
          <w:rStyle w:val="Hyperlink"/>
          <w:rFonts w:ascii="Arial" w:hAnsi="Arial" w:cs="Arial"/>
          <w:szCs w:val="16"/>
        </w:rPr>
        <w:t xml:space="preserve"> </w:t>
      </w:r>
      <w:r w:rsidRPr="005240A5">
        <w:rPr>
          <w:rStyle w:val="Hyperlink"/>
          <w:rFonts w:ascii="Arial" w:hAnsi="Arial" w:cs="Arial"/>
          <w:szCs w:val="16"/>
        </w:rPr>
        <w:t>http://www.esma.europa.eu/system/files/esma_mifid2_dp_markit_replyform.doc.</w:t>
      </w:r>
    </w:p>
  </w:footnote>
  <w:footnote w:id="41">
    <w:p w14:paraId="6F0BDEB9"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“ICE Clear Credit shall ensure that, consistent with the requirements of [Commodity Exchange Act] Section 2(h</w:t>
      </w:r>
      <w:proofErr w:type="gramStart"/>
      <w:r w:rsidRPr="00E646D4">
        <w:rPr>
          <w:rFonts w:ascii="Arial" w:hAnsi="Arial" w:cs="Arial"/>
          <w:szCs w:val="16"/>
        </w:rPr>
        <w:t>)(</w:t>
      </w:r>
      <w:proofErr w:type="gramEnd"/>
      <w:r w:rsidRPr="00E646D4">
        <w:rPr>
          <w:rFonts w:ascii="Arial" w:hAnsi="Arial" w:cs="Arial"/>
          <w:szCs w:val="16"/>
        </w:rPr>
        <w:t xml:space="preserve">1)(B) and Securities Exchange Act Section 3C(a)(2), there shall be open access to the clearing system operated by ICE Clear Credit pursuant to these Rules for all execution venues (including, without limitation, designated contract markets, national securities exchanges, swap execution facilities and security-based swap execution facilities) and trade processing platforms…”  </w:t>
      </w:r>
      <w:proofErr w:type="gramStart"/>
      <w:r w:rsidRPr="00E646D4">
        <w:rPr>
          <w:rFonts w:ascii="Arial" w:hAnsi="Arial" w:cs="Arial"/>
          <w:szCs w:val="16"/>
        </w:rPr>
        <w:t xml:space="preserve">ICC Rulebook, Rule 314, available at </w:t>
      </w:r>
      <w:hyperlink r:id="rId9" w:history="1">
        <w:r w:rsidRPr="00E646D4">
          <w:rPr>
            <w:rStyle w:val="Hyperlink"/>
            <w:rFonts w:ascii="Arial" w:hAnsi="Arial" w:cs="Arial"/>
            <w:szCs w:val="16"/>
          </w:rPr>
          <w:t>https://www.theice.com/publicdocs/clear_credit/ICE_Clear_Credit_Rules.pdf</w:t>
        </w:r>
      </w:hyperlink>
      <w:r w:rsidRPr="00E646D4">
        <w:rPr>
          <w:rFonts w:ascii="Arial" w:hAnsi="Arial" w:cs="Arial"/>
          <w:szCs w:val="16"/>
        </w:rPr>
        <w:t xml:space="preserve"> (last revised Nov. 18, 2013).</w:t>
      </w:r>
      <w:proofErr w:type="gramEnd"/>
      <w:r w:rsidRPr="00E646D4">
        <w:rPr>
          <w:rFonts w:ascii="Arial" w:hAnsi="Arial" w:cs="Arial"/>
          <w:szCs w:val="16"/>
        </w:rPr>
        <w:t xml:space="preserve">  Commodity Exchange Act section 2(h)(1)(B)(ii)(B)’s (as amended by Dodd–Frank Wall Street Reform and Consumer Protection Act (“Dodd-Frank Act”) section 723) open access requirement states that DCOs must “provide for non-discriminatory clearing of a swap (but not a contract of sale of a commodity for future delivery or option on such contract) executed bilaterally or on or through the rules of an unaffiliated designated contract market or swap execution facility.”  </w:t>
      </w:r>
    </w:p>
  </w:footnote>
  <w:footnote w:id="42">
    <w:p w14:paraId="356C445C"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“See CME Rulebook Rule 8H17, available at </w:t>
      </w:r>
      <w:hyperlink r:id="rId10" w:history="1">
        <w:r w:rsidRPr="00E646D4">
          <w:rPr>
            <w:rStyle w:val="Hyperlink"/>
            <w:rFonts w:ascii="Arial" w:hAnsi="Arial" w:cs="Arial"/>
            <w:szCs w:val="16"/>
          </w:rPr>
          <w:t>http://www.cmegroup.com/rulebook/CME/I/8H/8H.pdf</w:t>
        </w:r>
      </w:hyperlink>
      <w:r w:rsidRPr="00E646D4">
        <w:rPr>
          <w:rFonts w:ascii="Arial" w:hAnsi="Arial" w:cs="Arial"/>
          <w:szCs w:val="16"/>
        </w:rPr>
        <w:t xml:space="preserve"> (“CME shall provide open access to its CDS Contract clearing services for any execution venue or trade processing or confirmation service that desires to facilitate the submission of CDS Product transactions to the Clearing House for clearing, subject to the Clearing House’s normal operational requirements applied to all such third-party services[.]”).  See also LCH Rulebook, available at </w:t>
      </w:r>
      <w:hyperlink r:id="rId11" w:history="1">
        <w:r w:rsidRPr="00E646D4">
          <w:rPr>
            <w:rStyle w:val="Hyperlink"/>
            <w:rFonts w:ascii="Arial" w:hAnsi="Arial" w:cs="Arial"/>
            <w:szCs w:val="16"/>
          </w:rPr>
          <w:t>http://www.lchclearnet.com/Images/Voluntary%20Submission%20of%20Rulebook%20and%20Supporting%20Materials_tcm6-62205.pdf</w:t>
        </w:r>
      </w:hyperlink>
      <w:r w:rsidRPr="00E646D4">
        <w:rPr>
          <w:rFonts w:ascii="Arial" w:hAnsi="Arial" w:cs="Arial"/>
          <w:szCs w:val="16"/>
        </w:rPr>
        <w:t xml:space="preserve"> (Definition of “Approved Trade Source System” as “a system or facility, such as an exchange, a clearing house, a swap execution facility, a designated contract market or other similar venue, approved by the Clearing House for executing Transactions and/or presenting such Transactions to the Clearing House.”).   LCH Rule 2A.3.3 provides that “Currently the Approved Trade Source Systems designated by the Clearing House for </w:t>
      </w:r>
      <w:proofErr w:type="spellStart"/>
      <w:r w:rsidRPr="00E646D4">
        <w:rPr>
          <w:rFonts w:ascii="Arial" w:hAnsi="Arial" w:cs="Arial"/>
          <w:szCs w:val="16"/>
        </w:rPr>
        <w:t>SwapClear</w:t>
      </w:r>
      <w:proofErr w:type="spellEnd"/>
      <w:r w:rsidRPr="00E646D4">
        <w:rPr>
          <w:rFonts w:ascii="Arial" w:hAnsi="Arial" w:cs="Arial"/>
          <w:szCs w:val="16"/>
        </w:rPr>
        <w:t xml:space="preserve"> are MarkitWire, Bloomberg and </w:t>
      </w:r>
      <w:proofErr w:type="spellStart"/>
      <w:r w:rsidRPr="00E646D4">
        <w:rPr>
          <w:rFonts w:ascii="Arial" w:hAnsi="Arial" w:cs="Arial"/>
          <w:szCs w:val="16"/>
        </w:rPr>
        <w:t>Tradeweb</w:t>
      </w:r>
      <w:proofErr w:type="spellEnd"/>
      <w:r w:rsidRPr="00E646D4">
        <w:rPr>
          <w:rFonts w:ascii="Arial" w:hAnsi="Arial" w:cs="Arial"/>
          <w:szCs w:val="16"/>
        </w:rPr>
        <w:t xml:space="preserve">. Where the Clearing House approves additional Approved Trade Source Systems, it will notify Clearing Members via a member circular.”  </w:t>
      </w:r>
    </w:p>
  </w:footnote>
  <w:footnote w:id="43">
    <w:p w14:paraId="15875F82"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We note ESMA’s view that, even if “the existence of a single CCP to clear the class does not lead to an automatic exclusion of the that class from the scope of the clearing obligation determination” it “should not be understood as meaning that the number of CCPs clearing the same class is irrelevant for the purpose of determining the classes.” See CP Par. 89. We believe that introducing a clearing obligation in an asset class with only a small number of CCPs creates significant systemic risk issues and the number of CCPs should hence play an important role in ESMA’s clearing determination.</w:t>
      </w:r>
    </w:p>
  </w:footnote>
  <w:footnote w:id="44">
    <w:p w14:paraId="0567A8CA" w14:textId="77777777" w:rsidR="00E6294A" w:rsidRPr="00E646D4" w:rsidRDefault="00E6294A" w:rsidP="00E6294A">
      <w:pPr>
        <w:rPr>
          <w:rFonts w:ascii="Arial" w:hAnsi="Arial" w:cs="Arial"/>
          <w:sz w:val="16"/>
          <w:szCs w:val="16"/>
        </w:rPr>
      </w:pPr>
      <w:r w:rsidRPr="00E646D4">
        <w:rPr>
          <w:rStyle w:val="FootnoteReference"/>
          <w:rFonts w:ascii="Arial" w:hAnsi="Arial" w:cs="Arial"/>
          <w:sz w:val="16"/>
          <w:szCs w:val="16"/>
        </w:rPr>
        <w:footnoteRef/>
      </w:r>
      <w:r w:rsidRPr="00E646D4">
        <w:rPr>
          <w:rFonts w:ascii="Arial" w:hAnsi="Arial" w:cs="Arial"/>
          <w:sz w:val="16"/>
          <w:szCs w:val="16"/>
        </w:rPr>
        <w:t xml:space="preserve"> Regulation (EU) No 648/2012 at (51)</w:t>
      </w:r>
    </w:p>
  </w:footnote>
  <w:footnote w:id="45">
    <w:p w14:paraId="74C30773" w14:textId="77777777" w:rsidR="00E6294A" w:rsidRPr="00E646D4" w:rsidRDefault="00E6294A" w:rsidP="00E6294A">
      <w:pPr>
        <w:pStyle w:val="FootnoteText"/>
        <w:rPr>
          <w:rFonts w:ascii="Arial" w:hAnsi="Arial" w:cs="Arial"/>
          <w:szCs w:val="16"/>
          <w:lang w:val="en-US"/>
        </w:rPr>
      </w:pPr>
      <w:r w:rsidRPr="00E646D4">
        <w:rPr>
          <w:rStyle w:val="FootnoteReference"/>
          <w:rFonts w:ascii="Arial" w:hAnsi="Arial" w:cs="Arial"/>
          <w:szCs w:val="16"/>
        </w:rPr>
        <w:footnoteRef/>
      </w:r>
      <w:r w:rsidRPr="00E646D4">
        <w:rPr>
          <w:rFonts w:ascii="Arial" w:hAnsi="Arial" w:cs="Arial"/>
          <w:szCs w:val="16"/>
        </w:rPr>
        <w:t xml:space="preserve"> Moreover, the relevant new policy changes should be required to be subjected to competent authority review, i.e. any change in policy, practice, or interpretation affecting in any material respect the CCP’s operations should be deemed to be a proposed rule change. </w:t>
      </w:r>
      <w:r w:rsidRPr="00E646D4">
        <w:rPr>
          <w:rFonts w:ascii="Arial" w:hAnsi="Arial" w:cs="Arial"/>
          <w:szCs w:val="16"/>
          <w:lang w:val="en-US"/>
        </w:rPr>
        <w:t>See e.g., SEC Rule 19b-4(c) (</w:t>
      </w:r>
      <w:r w:rsidRPr="00E646D4">
        <w:rPr>
          <w:rFonts w:ascii="Arial" w:hAnsi="Arial" w:cs="Arial"/>
          <w:color w:val="000000"/>
          <w:szCs w:val="16"/>
        </w:rPr>
        <w:t xml:space="preserve">17 CFR 240.9b-4), available at </w:t>
      </w:r>
      <w:hyperlink r:id="rId12" w:history="1">
        <w:r w:rsidRPr="00E646D4">
          <w:rPr>
            <w:rStyle w:val="Hyperlink"/>
            <w:rFonts w:ascii="Arial" w:hAnsi="Arial" w:cs="Arial"/>
            <w:szCs w:val="16"/>
          </w:rPr>
          <w:t>http://www.law.cornell.edu/cfr/text/17/240.19b-4</w:t>
        </w:r>
      </w:hyperlink>
      <w:r w:rsidRPr="00E646D4">
        <w:rPr>
          <w:rFonts w:ascii="Arial" w:hAnsi="Arial" w:cs="Arial"/>
          <w:color w:val="000000"/>
          <w:szCs w:val="16"/>
        </w:rPr>
        <w:t xml:space="preserve">.  </w:t>
      </w:r>
    </w:p>
  </w:footnote>
  <w:footnote w:id="46">
    <w:p w14:paraId="7D068410" w14:textId="77777777" w:rsidR="00E6294A" w:rsidRPr="00A174D3" w:rsidRDefault="00E6294A" w:rsidP="00E6294A">
      <w:pPr>
        <w:pStyle w:val="FootnoteText"/>
        <w:rPr>
          <w:rFonts w:ascii="Arial" w:hAnsi="Arial" w:cs="Arial"/>
          <w:sz w:val="18"/>
          <w:szCs w:val="18"/>
        </w:rPr>
      </w:pPr>
      <w:r w:rsidRPr="00E646D4">
        <w:rPr>
          <w:rStyle w:val="FootnoteReference"/>
          <w:rFonts w:ascii="Arial" w:hAnsi="Arial" w:cs="Arial"/>
          <w:szCs w:val="16"/>
        </w:rPr>
        <w:footnoteRef/>
      </w:r>
      <w:r w:rsidRPr="00E646D4">
        <w:rPr>
          <w:rFonts w:ascii="Arial" w:hAnsi="Arial" w:cs="Arial"/>
          <w:szCs w:val="16"/>
        </w:rPr>
        <w:t xml:space="preserve"> CP Par. 117.</w:t>
      </w:r>
    </w:p>
  </w:footnote>
  <w:footnote w:id="47">
    <w:p w14:paraId="7E0550CC"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CP Par. 118</w:t>
      </w:r>
    </w:p>
  </w:footnote>
  <w:footnote w:id="48">
    <w:p w14:paraId="2CF98D09" w14:textId="77777777" w:rsidR="00E6294A" w:rsidRPr="00E646D4" w:rsidRDefault="00E6294A" w:rsidP="00E6294A">
      <w:pPr>
        <w:rPr>
          <w:rFonts w:ascii="Arial" w:hAnsi="Arial" w:cs="Arial"/>
          <w:sz w:val="16"/>
          <w:szCs w:val="16"/>
        </w:rPr>
      </w:pPr>
      <w:r w:rsidRPr="00E646D4">
        <w:rPr>
          <w:rStyle w:val="FootnoteReference"/>
          <w:rFonts w:ascii="Arial" w:hAnsi="Arial" w:cs="Arial"/>
          <w:sz w:val="16"/>
          <w:szCs w:val="16"/>
        </w:rPr>
        <w:footnoteRef/>
      </w:r>
      <w:r w:rsidRPr="00E646D4">
        <w:rPr>
          <w:rFonts w:ascii="Arial" w:hAnsi="Arial" w:cs="Arial"/>
          <w:sz w:val="16"/>
          <w:szCs w:val="16"/>
        </w:rPr>
        <w:t xml:space="preserve"> This routinely happens twice a year, in March and in September. See </w:t>
      </w:r>
      <w:hyperlink r:id="rId13" w:history="1">
        <w:r w:rsidRPr="00E646D4">
          <w:rPr>
            <w:rStyle w:val="Hyperlink"/>
            <w:rFonts w:ascii="Arial" w:hAnsi="Arial" w:cs="Arial"/>
            <w:sz w:val="16"/>
            <w:szCs w:val="16"/>
          </w:rPr>
          <w:t>http://www.markit.com/en/products/data/indices/credit-and-loan-indices/index-annexes/annexes.page</w:t>
        </w:r>
      </w:hyperlink>
      <w:r w:rsidRPr="00E646D4">
        <w:rPr>
          <w:rFonts w:ascii="Arial" w:hAnsi="Arial" w:cs="Arial"/>
          <w:color w:val="1F497D"/>
          <w:sz w:val="16"/>
          <w:szCs w:val="16"/>
        </w:rPr>
        <w:t xml:space="preserve">? </w:t>
      </w:r>
      <w:proofErr w:type="gramStart"/>
      <w:r w:rsidRPr="00E646D4">
        <w:rPr>
          <w:rFonts w:ascii="Arial" w:hAnsi="Arial" w:cs="Arial"/>
          <w:sz w:val="16"/>
          <w:szCs w:val="16"/>
        </w:rPr>
        <w:t>for</w:t>
      </w:r>
      <w:proofErr w:type="gramEnd"/>
      <w:r w:rsidRPr="00E646D4">
        <w:rPr>
          <w:rFonts w:ascii="Arial" w:hAnsi="Arial" w:cs="Arial"/>
          <w:sz w:val="16"/>
          <w:szCs w:val="16"/>
        </w:rPr>
        <w:t xml:space="preserve"> details.</w:t>
      </w:r>
    </w:p>
  </w:footnote>
  <w:footnote w:id="49">
    <w:p w14:paraId="7CA44D89"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w:t>
      </w:r>
      <w:r w:rsidRPr="00E646D4">
        <w:rPr>
          <w:rFonts w:ascii="Arial" w:hAnsi="Arial" w:cs="Arial"/>
          <w:color w:val="000000"/>
          <w:szCs w:val="16"/>
          <w:lang w:eastAsia="en-US"/>
        </w:rPr>
        <w:t xml:space="preserve">This slightly longer maturity </w:t>
      </w:r>
      <w:r>
        <w:rPr>
          <w:rFonts w:ascii="Arial" w:hAnsi="Arial" w:cs="Arial"/>
          <w:color w:val="000000"/>
          <w:szCs w:val="16"/>
          <w:lang w:eastAsia="en-US"/>
        </w:rPr>
        <w:t>is used</w:t>
      </w:r>
      <w:r w:rsidRPr="00E646D4">
        <w:rPr>
          <w:rFonts w:ascii="Arial" w:hAnsi="Arial" w:cs="Arial"/>
          <w:color w:val="000000"/>
          <w:szCs w:val="16"/>
          <w:lang w:eastAsia="en-US"/>
        </w:rPr>
        <w:t xml:space="preserve"> to ensure that</w:t>
      </w:r>
      <w:r>
        <w:rPr>
          <w:rFonts w:ascii="Arial" w:hAnsi="Arial" w:cs="Arial"/>
          <w:color w:val="000000"/>
          <w:szCs w:val="16"/>
          <w:lang w:eastAsia="en-US"/>
        </w:rPr>
        <w:t>,</w:t>
      </w:r>
      <w:r w:rsidRPr="00E646D4">
        <w:rPr>
          <w:rFonts w:ascii="Arial" w:hAnsi="Arial" w:cs="Arial"/>
          <w:color w:val="000000"/>
          <w:szCs w:val="16"/>
          <w:lang w:eastAsia="en-US"/>
        </w:rPr>
        <w:t xml:space="preserve"> during their </w:t>
      </w:r>
      <w:r>
        <w:rPr>
          <w:rFonts w:ascii="Arial" w:hAnsi="Arial" w:cs="Arial"/>
          <w:color w:val="000000"/>
          <w:szCs w:val="16"/>
          <w:lang w:eastAsia="en-US"/>
        </w:rPr>
        <w:t xml:space="preserve">6 months </w:t>
      </w:r>
      <w:r w:rsidRPr="00E646D4">
        <w:rPr>
          <w:rFonts w:ascii="Arial" w:hAnsi="Arial" w:cs="Arial"/>
          <w:color w:val="000000"/>
          <w:szCs w:val="16"/>
          <w:lang w:eastAsia="en-US"/>
        </w:rPr>
        <w:t>lifetime as on-the-run series</w:t>
      </w:r>
      <w:r>
        <w:rPr>
          <w:rFonts w:ascii="Arial" w:hAnsi="Arial" w:cs="Arial"/>
          <w:color w:val="000000"/>
          <w:szCs w:val="16"/>
          <w:lang w:eastAsia="en-US"/>
        </w:rPr>
        <w:t>,</w:t>
      </w:r>
      <w:r w:rsidRPr="00E646D4">
        <w:rPr>
          <w:rFonts w:ascii="Arial" w:hAnsi="Arial" w:cs="Arial"/>
          <w:color w:val="000000"/>
          <w:szCs w:val="16"/>
          <w:lang w:eastAsia="en-US"/>
        </w:rPr>
        <w:t xml:space="preserve"> these indices are always fairly close to the 5 year maturity point which is the most liquid.</w:t>
      </w:r>
    </w:p>
  </w:footnote>
  <w:footnote w:id="50">
    <w:p w14:paraId="463F749C"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CP Par. 121.</w:t>
      </w:r>
    </w:p>
  </w:footnote>
  <w:footnote w:id="51">
    <w:p w14:paraId="0B695779" w14:textId="77777777" w:rsidR="00E6294A" w:rsidRPr="00E646D4" w:rsidRDefault="00E6294A" w:rsidP="00E6294A">
      <w:pPr>
        <w:pStyle w:val="FootnoteText"/>
        <w:rPr>
          <w:rFonts w:ascii="Arial" w:hAnsi="Arial" w:cs="Arial"/>
          <w:szCs w:val="16"/>
        </w:rPr>
      </w:pPr>
      <w:r w:rsidRPr="00E646D4">
        <w:rPr>
          <w:rStyle w:val="FootnoteReference"/>
          <w:rFonts w:ascii="Arial" w:hAnsi="Arial" w:cs="Arial"/>
          <w:szCs w:val="16"/>
        </w:rPr>
        <w:footnoteRef/>
      </w:r>
      <w:r w:rsidRPr="00E646D4">
        <w:rPr>
          <w:rFonts w:ascii="Arial" w:hAnsi="Arial" w:cs="Arial"/>
          <w:szCs w:val="16"/>
        </w:rPr>
        <w:t xml:space="preserve"> “Among those few responses, the median answer was found to be 12 months”. CP Par. 248</w:t>
      </w:r>
    </w:p>
  </w:footnote>
  <w:footnote w:id="52">
    <w:p w14:paraId="634D656B" w14:textId="77777777" w:rsidR="00E6294A" w:rsidRPr="00A174D3" w:rsidRDefault="00E6294A" w:rsidP="00E6294A">
      <w:pPr>
        <w:jc w:val="both"/>
        <w:rPr>
          <w:rFonts w:ascii="Arial" w:hAnsi="Arial" w:cs="Arial"/>
          <w:color w:val="000000"/>
          <w:sz w:val="18"/>
          <w:szCs w:val="18"/>
          <w:lang w:eastAsia="en-US"/>
        </w:rPr>
      </w:pPr>
      <w:r w:rsidRPr="00E646D4">
        <w:rPr>
          <w:rStyle w:val="FootnoteReference"/>
          <w:rFonts w:ascii="Arial" w:hAnsi="Arial" w:cs="Arial"/>
          <w:sz w:val="16"/>
          <w:szCs w:val="16"/>
        </w:rPr>
        <w:footnoteRef/>
      </w:r>
      <w:r w:rsidRPr="00E646D4">
        <w:rPr>
          <w:rFonts w:ascii="Arial" w:hAnsi="Arial" w:cs="Arial"/>
          <w:sz w:val="16"/>
          <w:szCs w:val="16"/>
        </w:rPr>
        <w:t xml:space="preserve"> Specifically, </w:t>
      </w:r>
      <w:r w:rsidRPr="00E646D4">
        <w:rPr>
          <w:rFonts w:ascii="Arial" w:hAnsi="Arial" w:cs="Arial"/>
          <w:color w:val="000000"/>
          <w:sz w:val="16"/>
          <w:szCs w:val="16"/>
          <w:lang w:eastAsia="en-US"/>
        </w:rPr>
        <w:t xml:space="preserve">ISDA had suggested language to be added to the confirmations </w:t>
      </w:r>
      <w:r>
        <w:rPr>
          <w:rFonts w:ascii="Arial" w:hAnsi="Arial" w:cs="Arial"/>
          <w:color w:val="000000"/>
          <w:sz w:val="16"/>
          <w:szCs w:val="16"/>
          <w:lang w:eastAsia="en-US"/>
        </w:rPr>
        <w:t>to address situations</w:t>
      </w:r>
      <w:r w:rsidRPr="00E646D4">
        <w:rPr>
          <w:rFonts w:ascii="Arial" w:hAnsi="Arial" w:cs="Arial"/>
          <w:color w:val="000000"/>
          <w:sz w:val="16"/>
          <w:szCs w:val="16"/>
          <w:lang w:eastAsia="en-US"/>
        </w:rPr>
        <w:t xml:space="preserve"> where </w:t>
      </w:r>
      <w:proofErr w:type="gramStart"/>
      <w:r>
        <w:rPr>
          <w:rFonts w:ascii="Arial" w:hAnsi="Arial" w:cs="Arial"/>
          <w:color w:val="000000"/>
          <w:sz w:val="16"/>
          <w:szCs w:val="16"/>
          <w:lang w:eastAsia="en-US"/>
        </w:rPr>
        <w:t>a counterparty</w:t>
      </w:r>
      <w:proofErr w:type="gramEnd"/>
      <w:r>
        <w:rPr>
          <w:rFonts w:ascii="Arial" w:hAnsi="Arial" w:cs="Arial"/>
          <w:color w:val="000000"/>
          <w:sz w:val="16"/>
          <w:szCs w:val="16"/>
          <w:lang w:eastAsia="en-US"/>
        </w:rPr>
        <w:t xml:space="preserve"> would not clear the transaction despite the fact that </w:t>
      </w:r>
      <w:r w:rsidRPr="00E646D4">
        <w:rPr>
          <w:rFonts w:ascii="Arial" w:hAnsi="Arial" w:cs="Arial"/>
          <w:color w:val="000000"/>
          <w:sz w:val="16"/>
          <w:szCs w:val="16"/>
          <w:lang w:eastAsia="en-US"/>
        </w:rPr>
        <w:t>it was traded as “</w:t>
      </w:r>
      <w:r>
        <w:rPr>
          <w:rFonts w:ascii="Arial" w:hAnsi="Arial" w:cs="Arial"/>
          <w:color w:val="000000"/>
          <w:sz w:val="16"/>
          <w:szCs w:val="16"/>
          <w:lang w:eastAsia="en-US"/>
        </w:rPr>
        <w:t xml:space="preserve">to be </w:t>
      </w:r>
      <w:r w:rsidRPr="00E646D4">
        <w:rPr>
          <w:rFonts w:ascii="Arial" w:hAnsi="Arial" w:cs="Arial"/>
          <w:color w:val="000000"/>
          <w:sz w:val="16"/>
          <w:szCs w:val="16"/>
          <w:lang w:eastAsia="en-US"/>
        </w:rPr>
        <w:t>frontloaded”.  However, this effort was discontinued sometime last year</w:t>
      </w:r>
      <w:r>
        <w:rPr>
          <w:rFonts w:ascii="Arial" w:hAnsi="Arial" w:cs="Arial"/>
          <w:color w:val="000000"/>
          <w:sz w:val="16"/>
          <w:szCs w:val="16"/>
          <w:lang w:eastAsia="en-US"/>
        </w:rPr>
        <w:t xml:space="preserve">, also because concern about </w:t>
      </w:r>
      <w:r w:rsidRPr="00E646D4">
        <w:rPr>
          <w:rFonts w:ascii="Arial" w:hAnsi="Arial" w:cs="Arial"/>
          <w:color w:val="000000"/>
          <w:sz w:val="16"/>
          <w:szCs w:val="16"/>
          <w:lang w:eastAsia="en-US"/>
        </w:rPr>
        <w:t>its relevance as part of the legal confirmation.</w:t>
      </w:r>
      <w:r w:rsidRPr="00A174D3">
        <w:rPr>
          <w:rFonts w:ascii="Arial" w:hAnsi="Arial" w:cs="Arial"/>
          <w:color w:val="000000"/>
          <w:sz w:val="18"/>
          <w:szCs w:val="18"/>
          <w:lang w:eastAsia="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E42FD0" w:rsidRDefault="00E42FD0">
    <w:pPr>
      <w:pStyle w:val="Header"/>
    </w:pPr>
    <w:r>
      <w:rPr>
        <w:noProof/>
        <w:lang w:eastAsia="en-GB"/>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E42FD0" w:rsidRDefault="00E42FD0">
    <w:pPr>
      <w:pStyle w:val="Header"/>
    </w:pPr>
    <w:r>
      <w:rPr>
        <w:noProof/>
        <w:lang w:eastAsia="en-GB"/>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Header"/>
    </w:pPr>
    <w:r>
      <w:rPr>
        <w:noProof/>
        <w:lang w:eastAsia="en-GB"/>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eastAsia="en-GB"/>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4">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5">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8B92853"/>
    <w:multiLevelType w:val="multilevel"/>
    <w:tmpl w:val="0E44C8E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BF75599"/>
    <w:multiLevelType w:val="hybridMultilevel"/>
    <w:tmpl w:val="3AD0D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3230BE6"/>
    <w:multiLevelType w:val="hybridMultilevel"/>
    <w:tmpl w:val="5F2C86BC"/>
    <w:lvl w:ilvl="0" w:tplc="A240D8D8">
      <w:start w:val="1"/>
      <w:numFmt w:val="bullet"/>
      <w:pStyle w:val="Markit1stbullets"/>
      <w:lvlText w:val=""/>
      <w:lvlJc w:val="left"/>
      <w:pPr>
        <w:tabs>
          <w:tab w:val="num" w:pos="284"/>
        </w:tabs>
        <w:ind w:left="284" w:hanging="284"/>
      </w:pPr>
      <w:rPr>
        <w:rFonts w:ascii="Wingdings" w:hAnsi="Wingdings" w:hint="default"/>
        <w:color w:val="000000"/>
        <w:position w:val="-4"/>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0430551"/>
    <w:multiLevelType w:val="hybridMultilevel"/>
    <w:tmpl w:val="5C36E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2F2119B"/>
    <w:multiLevelType w:val="hybridMultilevel"/>
    <w:tmpl w:val="4A46E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12"/>
  </w:num>
  <w:num w:numId="5">
    <w:abstractNumId w:val="1"/>
  </w:num>
  <w:num w:numId="6">
    <w:abstractNumId w:val="4"/>
  </w:num>
  <w:num w:numId="7">
    <w:abstractNumId w:val="5"/>
  </w:num>
  <w:num w:numId="8">
    <w:abstractNumId w:val="9"/>
  </w:num>
  <w:num w:numId="9">
    <w:abstractNumId w:val="2"/>
  </w:num>
  <w:num w:numId="10">
    <w:abstractNumId w:val="0"/>
  </w:num>
  <w:num w:numId="11">
    <w:abstractNumId w:val="15"/>
  </w:num>
  <w:num w:numId="12">
    <w:abstractNumId w:val="19"/>
  </w:num>
  <w:num w:numId="13">
    <w:abstractNumId w:val="8"/>
  </w:num>
  <w:num w:numId="14">
    <w:abstractNumId w:val="17"/>
  </w:num>
  <w:num w:numId="15">
    <w:abstractNumId w:val="3"/>
  </w:num>
  <w:num w:numId="16">
    <w:abstractNumId w:val="11"/>
  </w:num>
  <w:num w:numId="17">
    <w:abstractNumId w:val="18"/>
  </w:num>
  <w:num w:numId="18">
    <w:abstractNumId w:val="14"/>
  </w:num>
  <w:num w:numId="19">
    <w:abstractNumId w:val="16"/>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12289">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2AD5"/>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31C3"/>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CC3"/>
    <w:rsid w:val="001A459C"/>
    <w:rsid w:val="001A54C7"/>
    <w:rsid w:val="001A54D5"/>
    <w:rsid w:val="001A596C"/>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077A"/>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77A7C"/>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0A0F"/>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5B5"/>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4EE6"/>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2D1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94A"/>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43FA"/>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16"/>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15"/>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15"/>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15"/>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uiPriority w:val="99"/>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uiPriority w:val="99"/>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8"/>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9"/>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13"/>
      </w:numPr>
    </w:pPr>
  </w:style>
  <w:style w:type="paragraph" w:customStyle="1" w:styleId="Style3">
    <w:name w:val="Style3"/>
    <w:basedOn w:val="04BodyText"/>
    <w:link w:val="Style3Char"/>
    <w:qFormat/>
    <w:rsid w:val="00FD70AA"/>
    <w:pPr>
      <w:numPr>
        <w:numId w:val="10"/>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11"/>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12"/>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14"/>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customStyle="1" w:styleId="Markit1stbullets">
    <w:name w:val="Markit 1st bullets"/>
    <w:basedOn w:val="Normal"/>
    <w:uiPriority w:val="99"/>
    <w:rsid w:val="00E6294A"/>
    <w:pPr>
      <w:numPr>
        <w:numId w:val="18"/>
      </w:numPr>
      <w:tabs>
        <w:tab w:val="left" w:pos="0"/>
      </w:tabs>
      <w:spacing w:before="36"/>
      <w:jc w:val="both"/>
    </w:pPr>
    <w:rPr>
      <w:rFonts w:ascii="Arial" w:eastAsia="MS Mincho" w:hAnsi="Arial"/>
      <w:color w:val="000000"/>
      <w:szCs w:val="19"/>
      <w:lang w:eastAsia="ja-JP"/>
    </w:rPr>
  </w:style>
  <w:style w:type="paragraph" w:styleId="PlainText">
    <w:name w:val="Plain Text"/>
    <w:basedOn w:val="Normal"/>
    <w:link w:val="PlainTextChar"/>
    <w:uiPriority w:val="99"/>
    <w:unhideWhenUsed/>
    <w:rsid w:val="00E6294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6294A"/>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16"/>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15"/>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15"/>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15"/>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uiPriority w:val="99"/>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uiPriority w:val="99"/>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8"/>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9"/>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13"/>
      </w:numPr>
    </w:pPr>
  </w:style>
  <w:style w:type="paragraph" w:customStyle="1" w:styleId="Style3">
    <w:name w:val="Style3"/>
    <w:basedOn w:val="04BodyText"/>
    <w:link w:val="Style3Char"/>
    <w:qFormat/>
    <w:rsid w:val="00FD70AA"/>
    <w:pPr>
      <w:numPr>
        <w:numId w:val="10"/>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11"/>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12"/>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14"/>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customStyle="1" w:styleId="Markit1stbullets">
    <w:name w:val="Markit 1st bullets"/>
    <w:basedOn w:val="Normal"/>
    <w:uiPriority w:val="99"/>
    <w:rsid w:val="00E6294A"/>
    <w:pPr>
      <w:numPr>
        <w:numId w:val="18"/>
      </w:numPr>
      <w:tabs>
        <w:tab w:val="left" w:pos="0"/>
      </w:tabs>
      <w:spacing w:before="36"/>
      <w:jc w:val="both"/>
    </w:pPr>
    <w:rPr>
      <w:rFonts w:ascii="Arial" w:eastAsia="MS Mincho" w:hAnsi="Arial"/>
      <w:color w:val="000000"/>
      <w:szCs w:val="19"/>
      <w:lang w:eastAsia="ja-JP"/>
    </w:rPr>
  </w:style>
  <w:style w:type="paragraph" w:styleId="PlainText">
    <w:name w:val="Plain Text"/>
    <w:basedOn w:val="Normal"/>
    <w:link w:val="PlainTextChar"/>
    <w:uiPriority w:val="99"/>
    <w:unhideWhenUsed/>
    <w:rsid w:val="00E6294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6294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theice.com/publicdocs/futures/2014_ISDA_Definitions.pdf" TargetMode="External"/><Relationship Id="rId13" Type="http://schemas.openxmlformats.org/officeDocument/2006/relationships/hyperlink" Target="http://www.markit.com/en/products/data/indices/credit-and-loan-indices/index-annexes/annexes.page" TargetMode="External"/><Relationship Id="rId3" Type="http://schemas.openxmlformats.org/officeDocument/2006/relationships/hyperlink" Target="http://www.law.cornell.edu/uscode/text/7/2" TargetMode="External"/><Relationship Id="rId7" Type="http://schemas.openxmlformats.org/officeDocument/2006/relationships/hyperlink" Target="http://www.lchclearnet.com/documents/731485/762470/isda+2014+definitions+paper_final+format+v1.3_1.pdf/83b41645-2a84-45b3-a070-f32810a14579" TargetMode="External"/><Relationship Id="rId12" Type="http://schemas.openxmlformats.org/officeDocument/2006/relationships/hyperlink" Target="http://www.law.cornell.edu/cfr/text/17/240.19b-4" TargetMode="External"/><Relationship Id="rId2" Type="http://schemas.openxmlformats.org/officeDocument/2006/relationships/hyperlink" Target="http://www.markitserv.com/" TargetMode="External"/><Relationship Id="rId1" Type="http://schemas.openxmlformats.org/officeDocument/2006/relationships/hyperlink" Target="http://www.markit.com" TargetMode="External"/><Relationship Id="rId6" Type="http://schemas.openxmlformats.org/officeDocument/2006/relationships/hyperlink" Target="http://www2.isda.org/asset-classes/credit-derivatives/2014-isda-credit-derivatives-definitions/credit-derivatives-definitions-protocol-and-related-documents/" TargetMode="External"/><Relationship Id="rId11" Type="http://schemas.openxmlformats.org/officeDocument/2006/relationships/hyperlink" Target="http://www.lchclearnet.com/Images/Voluntary%20Submission%20of%20Rulebook%20and%20Supporting%20Materials_tcm6-62205.pdf" TargetMode="External"/><Relationship Id="rId5" Type="http://schemas.openxmlformats.org/officeDocument/2006/relationships/hyperlink" Target="http://www.law.cornell.edu/uscode/text/7/2" TargetMode="External"/><Relationship Id="rId10" Type="http://schemas.openxmlformats.org/officeDocument/2006/relationships/hyperlink" Target="http://www.cmegroup.com/rulebook/CME/I/8H/8H.pdf" TargetMode="External"/><Relationship Id="rId4" Type="http://schemas.openxmlformats.org/officeDocument/2006/relationships/hyperlink" Target="http://www.law.cornell.edu/uscode/text/7/2" TargetMode="External"/><Relationship Id="rId9" Type="http://schemas.openxmlformats.org/officeDocument/2006/relationships/hyperlink" Target="https://www.theice.com/publicdocs/clear_credit/ICE_Clear_Credit_Ru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F2C50"/>
    <w:rsid w:val="008D50B6"/>
    <w:rsid w:val="00984AF4"/>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B2AE-9B7A-4E86-8926-59AE3ECF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0</TotalTime>
  <Pages>16</Pages>
  <Words>4082</Words>
  <Characters>23271</Characters>
  <Application>Microsoft Office Word</Application>
  <DocSecurity>12</DocSecurity>
  <Lines>193</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27299</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marcus.schueler</cp:lastModifiedBy>
  <cp:revision>2</cp:revision>
  <cp:lastPrinted>2014-07-10T08:22:00Z</cp:lastPrinted>
  <dcterms:created xsi:type="dcterms:W3CDTF">2014-09-08T13:28:00Z</dcterms:created>
  <dcterms:modified xsi:type="dcterms:W3CDTF">2014-09-08T13:28:00Z</dcterms:modified>
</cp:coreProperties>
</file>