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54AEB12E" w:rsidR="00C2094B" w:rsidRPr="00AA6DAE" w:rsidRDefault="00C53BC8" w:rsidP="00BC2D1C">
            <w:pPr>
              <w:pStyle w:val="00bDBInfo"/>
            </w:pPr>
            <w:r>
              <w:t>11</w:t>
            </w:r>
            <w:r w:rsidR="00711212">
              <w:t xml:space="preserve"> July 2014</w:t>
            </w:r>
            <w:r w:rsidR="00C2094B" w:rsidRPr="00AA6DAE">
              <w:t>|</w:t>
            </w:r>
            <w:r w:rsidR="00BC2D1C">
              <w:t>2014/800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6F6192C1" w:rsidR="006B3CB5" w:rsidRPr="00791EB4" w:rsidRDefault="00BC2D1C" w:rsidP="0073272F">
            <w:pPr>
              <w:pStyle w:val="01aDBTitle"/>
            </w:pPr>
            <w:r>
              <w:t xml:space="preserve">Reply form to the </w:t>
            </w:r>
            <w:r w:rsidR="006B3CB5">
              <w:t xml:space="preserve">Consultation </w:t>
            </w:r>
            <w:r w:rsidR="0073272F">
              <w:t>Paper</w:t>
            </w:r>
            <w:r>
              <w:t xml:space="preserve"> on the  Clearing Obligation under EMIR (no. 2)</w:t>
            </w:r>
          </w:p>
        </w:tc>
      </w:tr>
      <w:tr w:rsidR="006B3CB5" w:rsidRPr="00315E96" w14:paraId="688F03D2" w14:textId="77777777" w:rsidTr="00200340">
        <w:trPr>
          <w:trHeight w:hRule="exact" w:val="454"/>
        </w:trPr>
        <w:tc>
          <w:tcPr>
            <w:tcW w:w="2325" w:type="dxa"/>
            <w:tcMar>
              <w:top w:w="142" w:type="dxa"/>
            </w:tcMar>
          </w:tcPr>
          <w:p w14:paraId="23AE1602" w14:textId="78EC7ECA"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77143474" w:rsidR="00620D7C" w:rsidRPr="000A3888" w:rsidRDefault="00620D7C" w:rsidP="000C3B6D">
            <w:pPr>
              <w:pStyle w:val="02Date"/>
            </w:pPr>
            <w:r w:rsidRPr="000A3888">
              <w:lastRenderedPageBreak/>
              <w:t xml:space="preserve">Date: </w:t>
            </w:r>
            <w:r w:rsidR="00C53BC8">
              <w:t>11</w:t>
            </w:r>
            <w:r w:rsidR="00711212">
              <w:t xml:space="preserve"> July</w:t>
            </w:r>
            <w:r w:rsidR="00B73315" w:rsidRPr="000A3888">
              <w:t xml:space="preserve"> 2014</w:t>
            </w:r>
          </w:p>
          <w:p w14:paraId="03C851D4" w14:textId="3BFBAC35" w:rsidR="00620D7C" w:rsidRDefault="00BD0C23" w:rsidP="00BC2D1C">
            <w:pPr>
              <w:pStyle w:val="02Date"/>
            </w:pPr>
            <w:r w:rsidRPr="000A3888">
              <w:t>2014</w:t>
            </w:r>
            <w:r w:rsidR="00711212">
              <w:t>/</w:t>
            </w:r>
            <w:r w:rsidR="00BC2D1C">
              <w:t>800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09B45628" w14:textId="4FD23507" w:rsidR="00BC2D1C" w:rsidRDefault="00BC2D1C" w:rsidP="00BC2D1C">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2), published on ESMA’s website.</w:t>
      </w:r>
    </w:p>
    <w:p w14:paraId="6659F0D4" w14:textId="77777777" w:rsidR="00BC2D1C" w:rsidRDefault="00BC2D1C" w:rsidP="00BC2D1C">
      <w:pPr>
        <w:pStyle w:val="04BodyText"/>
      </w:pPr>
      <w:r>
        <w:t>Comments are most helpful if they:</w:t>
      </w:r>
    </w:p>
    <w:p w14:paraId="2378ECFA" w14:textId="77777777" w:rsidR="00BC2D1C" w:rsidRDefault="00BC2D1C" w:rsidP="00FF43FA">
      <w:pPr>
        <w:pStyle w:val="0MyBullet"/>
        <w:numPr>
          <w:ilvl w:val="0"/>
          <w:numId w:val="5"/>
        </w:numPr>
        <w:spacing w:before="0" w:after="0" w:line="360" w:lineRule="auto"/>
        <w:contextualSpacing w:val="0"/>
        <w:jc w:val="both"/>
      </w:pPr>
      <w:r>
        <w:t>respond to the question stated;</w:t>
      </w:r>
    </w:p>
    <w:p w14:paraId="275DEDDF" w14:textId="77777777" w:rsidR="00BC2D1C" w:rsidRDefault="00BC2D1C" w:rsidP="00FF43FA">
      <w:pPr>
        <w:pStyle w:val="0MyBullet"/>
        <w:numPr>
          <w:ilvl w:val="0"/>
          <w:numId w:val="5"/>
        </w:numPr>
        <w:spacing w:before="0" w:after="0" w:line="360" w:lineRule="auto"/>
        <w:contextualSpacing w:val="0"/>
        <w:jc w:val="both"/>
      </w:pPr>
      <w:r>
        <w:t>contain a clear rationale; and</w:t>
      </w:r>
    </w:p>
    <w:p w14:paraId="597B4F77" w14:textId="77777777" w:rsidR="00BC2D1C" w:rsidRDefault="00BC2D1C" w:rsidP="00FF43FA">
      <w:pPr>
        <w:pStyle w:val="0MyBullet"/>
        <w:numPr>
          <w:ilvl w:val="0"/>
          <w:numId w:val="5"/>
        </w:numPr>
        <w:spacing w:before="0" w:after="0" w:line="360" w:lineRule="auto"/>
        <w:contextualSpacing w:val="0"/>
        <w:jc w:val="both"/>
      </w:pPr>
      <w:r>
        <w:t>describe any alternatives ESMA should consider.</w:t>
      </w:r>
    </w:p>
    <w:p w14:paraId="6AA45EB2" w14:textId="77777777" w:rsidR="00BC2D1C" w:rsidRPr="00F44F4C" w:rsidRDefault="00BC2D1C" w:rsidP="00BC2D1C">
      <w:pPr>
        <w:pStyle w:val="04BodyText"/>
      </w:pPr>
      <w:r w:rsidRPr="004E1A0F">
        <w:t>To help you navigate this document more easily, bookmarks are available in “Navigation Pane” for Word 2010 and in “Document Map” for Word 2007.</w:t>
      </w:r>
    </w:p>
    <w:p w14:paraId="3ED1C408" w14:textId="697B351F" w:rsidR="00BC2D1C" w:rsidRPr="009403B0" w:rsidRDefault="00BC2D1C" w:rsidP="00BC2D1C">
      <w:pPr>
        <w:pStyle w:val="04BodyText"/>
        <w:rPr>
          <w:b/>
        </w:rPr>
      </w:pPr>
      <w:r w:rsidRPr="009403B0">
        <w:t xml:space="preserve">ESMA will consider all comments received by </w:t>
      </w:r>
      <w:r w:rsidRPr="009403B0">
        <w:rPr>
          <w:b/>
        </w:rPr>
        <w:t xml:space="preserve">18 </w:t>
      </w:r>
      <w:r>
        <w:rPr>
          <w:b/>
        </w:rPr>
        <w:t xml:space="preserve">September </w:t>
      </w:r>
      <w:r w:rsidRPr="009403B0">
        <w:rPr>
          <w:b/>
        </w:rPr>
        <w:t xml:space="preserve">2014. </w:t>
      </w:r>
    </w:p>
    <w:p w14:paraId="105A39EE" w14:textId="77777777" w:rsidR="00BC2D1C" w:rsidRDefault="00BC2D1C" w:rsidP="00BC2D1C">
      <w:pPr>
        <w:pStyle w:val="04BodyText"/>
      </w:pPr>
      <w:r>
        <w:t xml:space="preserve">All contributions should be submitted online at </w:t>
      </w:r>
      <w:hyperlink r:id="rId12" w:history="1">
        <w:r w:rsidRPr="003A35A5">
          <w:rPr>
            <w:rStyle w:val="Hyperlink"/>
          </w:rPr>
          <w:t>www.esma.europa.eu</w:t>
        </w:r>
      </w:hyperlink>
      <w:r>
        <w:t xml:space="preserve"> under the heading ‘Your input - Consultations’. </w:t>
      </w:r>
    </w:p>
    <w:p w14:paraId="51A00292" w14:textId="77777777" w:rsidR="00FF43FA" w:rsidRPr="009E685C" w:rsidRDefault="00FF43FA" w:rsidP="00FF43FA">
      <w:pPr>
        <w:pStyle w:val="04dBodyTextbold"/>
      </w:pPr>
      <w:r>
        <w:rPr>
          <w:bCs/>
        </w:rPr>
        <w:t>How to use this form to reply</w:t>
      </w:r>
    </w:p>
    <w:p w14:paraId="028F6DFD" w14:textId="77777777" w:rsidR="00FF43FA" w:rsidRDefault="00FF43FA" w:rsidP="00FF43FA">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537B394F" w14:textId="77777777" w:rsidR="00FF43FA" w:rsidRDefault="00FF43FA" w:rsidP="00FF43FA">
      <w:pPr>
        <w:pStyle w:val="04BodyText"/>
      </w:pPr>
      <w:r w:rsidRPr="009E685C">
        <w:t xml:space="preserve">Therefore, in responding </w:t>
      </w:r>
      <w:r>
        <w:t>you are kindly invited to proceed as follows</w:t>
      </w:r>
      <w:r w:rsidRPr="009E685C">
        <w:t>:</w:t>
      </w:r>
    </w:p>
    <w:p w14:paraId="39526099" w14:textId="77777777" w:rsidR="00FF43FA" w:rsidRDefault="00FF43FA" w:rsidP="00FF43FA">
      <w:pPr>
        <w:pStyle w:val="0MyBullet"/>
        <w:numPr>
          <w:ilvl w:val="0"/>
          <w:numId w:val="5"/>
        </w:numPr>
        <w:spacing w:before="0" w:after="0" w:line="360" w:lineRule="auto"/>
        <w:contextualSpacing w:val="0"/>
        <w:jc w:val="both"/>
      </w:pPr>
      <w:r w:rsidRPr="009E685C">
        <w:t xml:space="preserve">use </w:t>
      </w:r>
      <w:r>
        <w:t>this form to reply</w:t>
      </w:r>
      <w:r w:rsidRPr="009E685C">
        <w:t xml:space="preserve"> and send </w:t>
      </w:r>
      <w:r>
        <w:t>your response</w:t>
      </w:r>
      <w:r w:rsidRPr="009E685C">
        <w:t xml:space="preserve"> in Word format;</w:t>
      </w:r>
    </w:p>
    <w:p w14:paraId="28509058" w14:textId="77777777" w:rsidR="00FF43FA" w:rsidRDefault="00FF43FA" w:rsidP="00FF43FA">
      <w:pPr>
        <w:pStyle w:val="0MyBullet"/>
        <w:numPr>
          <w:ilvl w:val="0"/>
          <w:numId w:val="5"/>
        </w:numPr>
        <w:spacing w:before="0" w:after="0" w:line="360" w:lineRule="auto"/>
        <w:contextualSpacing w:val="0"/>
        <w:jc w:val="both"/>
      </w:pPr>
      <w:r>
        <w:t>type your response in the frame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082369D7" w14:textId="3F5C30F3" w:rsidR="00FF43FA" w:rsidRDefault="00FF43FA" w:rsidP="00FF43FA">
      <w:pPr>
        <w:pStyle w:val="0MyBullet"/>
        <w:numPr>
          <w:ilvl w:val="0"/>
          <w:numId w:val="5"/>
        </w:numPr>
        <w:spacing w:before="0" w:after="0" w:line="360" w:lineRule="auto"/>
        <w:contextualSpacing w:val="0"/>
        <w:jc w:val="both"/>
      </w:pPr>
      <w:r w:rsidRPr="009E685C">
        <w:t xml:space="preserve">if </w:t>
      </w:r>
      <w:r>
        <w:t xml:space="preserve">you </w:t>
      </w:r>
      <w:r w:rsidRPr="009E685C">
        <w:t xml:space="preserve">have no response to a question, </w:t>
      </w:r>
      <w:r w:rsidRPr="00FF43FA">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yperlink"/>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AA0857">
      <w:pPr>
        <w:pStyle w:val="Heading1"/>
        <w:numPr>
          <w:ilvl w:val="0"/>
          <w:numId w:val="0"/>
        </w:numPr>
      </w:pPr>
      <w: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BC2D1C" w14:paraId="421DB435" w14:textId="77777777" w:rsidTr="00F84E69">
        <w:tc>
          <w:tcPr>
            <w:tcW w:w="3510" w:type="dxa"/>
          </w:tcPr>
          <w:p w14:paraId="7B4DE6DD" w14:textId="08972641" w:rsidR="00BC2D1C" w:rsidRDefault="00BC2D1C" w:rsidP="00F84E69">
            <w:r>
              <w:t>Name of respondent</w:t>
            </w:r>
          </w:p>
        </w:tc>
        <w:tc>
          <w:tcPr>
            <w:tcW w:w="6118" w:type="dxa"/>
          </w:tcPr>
          <w:p w14:paraId="769EB89F" w14:textId="24AA1B41" w:rsidR="00BC2D1C" w:rsidRDefault="0084566A" w:rsidP="00E62FA2">
            <w:permStart w:id="2025793954" w:edGrp="everyone"/>
            <w:r>
              <w:t>Investment Management Association</w:t>
            </w:r>
            <w:permEnd w:id="2025793954"/>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4BDD3FA1" w:rsidR="00E62FA2" w:rsidRDefault="009A267C"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rsidR="0084566A">
                  <w:t>Yes</w:t>
                </w:r>
                <w:permEnd w:id="678066391"/>
              </w:sdtContent>
            </w:sdt>
          </w:p>
        </w:tc>
      </w:tr>
      <w:tr w:rsidR="00E62FA2" w14:paraId="503B3DE9" w14:textId="77777777" w:rsidTr="00F84E69">
        <w:tc>
          <w:tcPr>
            <w:tcW w:w="3510" w:type="dxa"/>
          </w:tcPr>
          <w:p w14:paraId="4F0B7907" w14:textId="561E2AFC" w:rsidR="00E62FA2" w:rsidRDefault="00E62FA2" w:rsidP="00E62FA2">
            <w:r>
              <w:t>Activity</w:t>
            </w:r>
          </w:p>
        </w:tc>
        <w:tc>
          <w:tcPr>
            <w:tcW w:w="6118" w:type="dxa"/>
          </w:tcPr>
          <w:p w14:paraId="062EE607" w14:textId="5FCC1AF1" w:rsidR="00E62FA2" w:rsidRDefault="009A267C"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rsidR="0084566A">
                  <w:t>Investment Services</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0FF3281F" w:rsidR="00E62FA2" w:rsidRDefault="0084566A" w:rsidP="00E62FA2">
                <w:r>
                  <w:t>UK</w:t>
                </w:r>
              </w:p>
            </w:tc>
            <w:permEnd w:id="837091592" w:displacedByCustomXml="next"/>
          </w:sdtContent>
        </w:sdt>
      </w:tr>
    </w:tbl>
    <w:p w14:paraId="65CEBBFE" w14:textId="73B3DEAD" w:rsidR="00AB1788" w:rsidRDefault="00AB1788" w:rsidP="00AB1788"/>
    <w:p w14:paraId="208712D2" w14:textId="77777777" w:rsidR="000E31C3" w:rsidRDefault="00005941" w:rsidP="00AA0857">
      <w:pPr>
        <w:pStyle w:val="Heading1"/>
        <w:numPr>
          <w:ilvl w:val="0"/>
          <w:numId w:val="0"/>
        </w:numPr>
      </w:pPr>
      <w:r>
        <w:br w:type="page"/>
      </w:r>
      <w:r w:rsidR="000E31C3" w:rsidRPr="004C2CD3">
        <w:lastRenderedPageBreak/>
        <w:t>Introduction</w:t>
      </w:r>
    </w:p>
    <w:p w14:paraId="74B94F78" w14:textId="77777777" w:rsidR="003E7EA2" w:rsidRPr="008203F7" w:rsidRDefault="003E7EA2" w:rsidP="003E7EA2">
      <w:pPr>
        <w:rPr>
          <w:b/>
        </w:rPr>
      </w:pPr>
      <w:r w:rsidRPr="008203F7">
        <w:rPr>
          <w:b/>
        </w:rPr>
        <w:t>Please make your introductory comments below:</w:t>
      </w:r>
    </w:p>
    <w:p w14:paraId="042AA12A" w14:textId="77777777" w:rsidR="003E7EA2" w:rsidRDefault="003E7EA2" w:rsidP="003E7EA2"/>
    <w:p w14:paraId="72757164" w14:textId="77777777" w:rsidR="003E7EA2" w:rsidRDefault="003E7EA2" w:rsidP="003E7EA2">
      <w:r>
        <w:t>&lt;ESMA_COMMENT_1&gt;</w:t>
      </w:r>
    </w:p>
    <w:p w14:paraId="6FDA64AA" w14:textId="77777777" w:rsidR="0084566A" w:rsidRPr="0084566A" w:rsidRDefault="0084566A" w:rsidP="0084566A">
      <w:pPr>
        <w:rPr>
          <w:rFonts w:cs="Arial"/>
          <w:szCs w:val="20"/>
        </w:rPr>
      </w:pPr>
      <w:permStart w:id="1926890795" w:edGrp="everyone"/>
      <w:r w:rsidRPr="0084566A">
        <w:rPr>
          <w:rFonts w:cs="Arial"/>
          <w:szCs w:val="20"/>
        </w:rPr>
        <w:t>The IMA represents the UK-based investment management industry. Our members include independent asset managers, the investment management arms of retail banks, life insurers and investment banks, and the managers of occupational pension schemes. Our members manage investments worth more than £5 trillion for their clients, who are UCITS and other authorised funds, pension funds, insurers, sovereign wealth funds and individuals. Ultimately, much of what they manage belongs to the man in the street through their savings, insurance products and pensions. Their interest in this consultation is therefore in their role as the “buy-side” of the market, accessing capital markets on behalf of their clients.</w:t>
      </w:r>
    </w:p>
    <w:p w14:paraId="2854C379" w14:textId="77777777" w:rsidR="0084566A" w:rsidRPr="0084566A" w:rsidRDefault="0084566A" w:rsidP="0084566A">
      <w:pPr>
        <w:rPr>
          <w:rFonts w:cs="Arial"/>
          <w:szCs w:val="20"/>
        </w:rPr>
      </w:pPr>
    </w:p>
    <w:p w14:paraId="56DBBA38" w14:textId="77777777" w:rsidR="0084566A" w:rsidRPr="0084566A" w:rsidRDefault="0084566A" w:rsidP="0084566A">
      <w:pPr>
        <w:rPr>
          <w:rFonts w:cs="Arial"/>
          <w:szCs w:val="20"/>
        </w:rPr>
      </w:pPr>
      <w:r w:rsidRPr="0084566A">
        <w:rPr>
          <w:rFonts w:cs="Arial"/>
          <w:szCs w:val="20"/>
        </w:rPr>
        <w:t xml:space="preserve">We welcome the opportunity to comment on the Consultation Paper on the Clearing Obligation under EMIR (no.2 – 2014/800). </w:t>
      </w:r>
    </w:p>
    <w:p w14:paraId="4683D833" w14:textId="77777777" w:rsidR="0084566A" w:rsidRPr="0084566A" w:rsidRDefault="0084566A" w:rsidP="0084566A">
      <w:pPr>
        <w:rPr>
          <w:rFonts w:cs="Arial"/>
          <w:szCs w:val="20"/>
        </w:rPr>
      </w:pPr>
    </w:p>
    <w:p w14:paraId="4B09FEE8" w14:textId="77777777" w:rsidR="0084566A" w:rsidRPr="0084566A" w:rsidRDefault="0084566A" w:rsidP="0084566A">
      <w:pPr>
        <w:rPr>
          <w:rFonts w:cs="Arial"/>
          <w:szCs w:val="20"/>
        </w:rPr>
      </w:pPr>
      <w:r w:rsidRPr="0084566A">
        <w:rPr>
          <w:rFonts w:cs="Arial"/>
          <w:szCs w:val="20"/>
        </w:rPr>
        <w:t>We set out below, a summary of our members’ key concerns:</w:t>
      </w:r>
    </w:p>
    <w:p w14:paraId="5984F713" w14:textId="77777777" w:rsidR="0084566A" w:rsidRPr="0084566A" w:rsidRDefault="0084566A" w:rsidP="0084566A">
      <w:pPr>
        <w:rPr>
          <w:rFonts w:cs="Arial"/>
          <w:szCs w:val="20"/>
        </w:rPr>
      </w:pPr>
    </w:p>
    <w:p w14:paraId="5D078A36" w14:textId="77777777" w:rsidR="0084566A" w:rsidRPr="0084566A" w:rsidRDefault="0084566A" w:rsidP="0084566A">
      <w:pPr>
        <w:rPr>
          <w:rFonts w:cs="Arial"/>
          <w:szCs w:val="20"/>
          <w:u w:val="single"/>
        </w:rPr>
      </w:pPr>
      <w:r w:rsidRPr="0084566A">
        <w:rPr>
          <w:rFonts w:cs="Arial"/>
          <w:szCs w:val="20"/>
          <w:u w:val="single"/>
        </w:rPr>
        <w:t>Impact of front-loading and minimum maturity thresholds</w:t>
      </w:r>
    </w:p>
    <w:p w14:paraId="720F5F4C" w14:textId="77777777" w:rsidR="0084566A" w:rsidRDefault="0084566A" w:rsidP="0084566A">
      <w:pPr>
        <w:rPr>
          <w:rFonts w:cs="Arial"/>
          <w:szCs w:val="20"/>
        </w:rPr>
      </w:pPr>
      <w:r w:rsidRPr="0084566A">
        <w:rPr>
          <w:rFonts w:cs="Arial"/>
          <w:szCs w:val="20"/>
        </w:rPr>
        <w:t>We welcome the proposal to effectively limit front-loading to contracts entered into during period B, with a minimum remaining maturity of 6 months, on the date of application of the clearing obligation and we appreciate the lengthy phase-in of 18 months for category 2 counterparties (which will be the majority of our members’ clients). However, we are concerned that the practical impact of the application of the front-loading requirements to contracts with such a low minimum remaining maturity will mean that the phase-in is of little use. A large number of our members’ clients execute long</w:t>
      </w:r>
      <w:r w:rsidRPr="0084566A">
        <w:rPr>
          <w:rFonts w:cs="Arial"/>
          <w:szCs w:val="20"/>
        </w:rPr>
        <w:noBreakHyphen/>
        <w:t xml:space="preserve">dated OTC contracts (with tenors of much greater than six months), often to hedge long-dated liabilities. A minimum remaining maturity of 6 months will in practice mean that the vast majority of OTC contracts subject to mandatory clearing which are executed during the phase-in period will become subject to front-loading. This in turn is likely to lead to pricing uncertainty for a significant number of contracts which could cause market disruption. In addition, the operational impact of such a large front-loading requirement on clients, clearing members and CCPs, would be substantial and would require significant time and resources to implement effectively. </w:t>
      </w:r>
    </w:p>
    <w:p w14:paraId="56765358" w14:textId="77777777" w:rsidR="0084566A" w:rsidRDefault="0084566A" w:rsidP="0084566A">
      <w:pPr>
        <w:rPr>
          <w:rFonts w:cs="Arial"/>
          <w:szCs w:val="20"/>
        </w:rPr>
      </w:pPr>
    </w:p>
    <w:p w14:paraId="054E328E" w14:textId="52C7CFA8" w:rsidR="0084566A" w:rsidRDefault="0084566A" w:rsidP="0084566A">
      <w:pPr>
        <w:rPr>
          <w:rFonts w:cs="Arial"/>
          <w:szCs w:val="20"/>
        </w:rPr>
      </w:pPr>
      <w:r w:rsidRPr="0084566A">
        <w:rPr>
          <w:rFonts w:cs="Arial"/>
          <w:szCs w:val="20"/>
        </w:rPr>
        <w:t>In order to complete the front-loading process by the end of the phase-in period, the process would need to be commenced well in advance of the deadline. In effect, this would significantly reduce the phase-in period in practical terms, for many category 2 counterparties. We suggest that ESMA consider the following two alternative approaches to the front</w:t>
      </w:r>
      <w:r w:rsidRPr="0084566A">
        <w:rPr>
          <w:rFonts w:cs="Arial"/>
          <w:szCs w:val="20"/>
        </w:rPr>
        <w:noBreakHyphen/>
        <w:t>loading and phase-in proposals set out in the consultation paper:</w:t>
      </w:r>
    </w:p>
    <w:p w14:paraId="146845B7" w14:textId="77777777" w:rsidR="0084566A" w:rsidRPr="0084566A" w:rsidRDefault="0084566A" w:rsidP="0084566A">
      <w:pPr>
        <w:rPr>
          <w:rFonts w:cs="Arial"/>
          <w:szCs w:val="20"/>
        </w:rPr>
      </w:pPr>
    </w:p>
    <w:p w14:paraId="23F62B82" w14:textId="77777777" w:rsidR="0084566A" w:rsidRPr="0084566A" w:rsidRDefault="0084566A" w:rsidP="0084566A">
      <w:pPr>
        <w:pStyle w:val="ListParagraph"/>
        <w:numPr>
          <w:ilvl w:val="0"/>
          <w:numId w:val="60"/>
        </w:numPr>
        <w:spacing w:after="200" w:line="276" w:lineRule="auto"/>
        <w:ind w:left="714" w:hanging="357"/>
        <w:contextualSpacing w:val="0"/>
        <w:rPr>
          <w:rFonts w:cs="Arial"/>
          <w:szCs w:val="20"/>
        </w:rPr>
      </w:pPr>
      <w:r w:rsidRPr="0084566A">
        <w:rPr>
          <w:rFonts w:cs="Arial"/>
          <w:szCs w:val="20"/>
          <w:u w:val="single"/>
        </w:rPr>
        <w:t>Option 1:</w:t>
      </w:r>
      <w:r w:rsidRPr="0084566A">
        <w:rPr>
          <w:rFonts w:cs="Arial"/>
          <w:szCs w:val="20"/>
        </w:rPr>
        <w:t xml:space="preserve"> This is our preferred option. Remove the front-loading obligation for category 2 counterparties and reduce the phase-in period for new trades to be cleared, from 18 months to 12 months. This will result in new OTC contracts entering the cleared environment earlier than originally planned, and will reduce the front-loading burden on firms and the pricing uncertainty created in the market.  </w:t>
      </w:r>
    </w:p>
    <w:p w14:paraId="35EFDD5D" w14:textId="77777777" w:rsidR="0084566A" w:rsidRPr="0084566A" w:rsidRDefault="0084566A" w:rsidP="0084566A">
      <w:pPr>
        <w:pStyle w:val="ListParagraph"/>
        <w:numPr>
          <w:ilvl w:val="0"/>
          <w:numId w:val="60"/>
        </w:numPr>
        <w:spacing w:after="200" w:line="276" w:lineRule="auto"/>
        <w:ind w:left="714" w:hanging="357"/>
        <w:contextualSpacing w:val="0"/>
        <w:rPr>
          <w:rFonts w:cs="Arial"/>
          <w:szCs w:val="20"/>
        </w:rPr>
      </w:pPr>
      <w:r w:rsidRPr="0084566A">
        <w:rPr>
          <w:rFonts w:cs="Arial"/>
          <w:szCs w:val="20"/>
          <w:u w:val="single"/>
        </w:rPr>
        <w:t>Option 2:</w:t>
      </w:r>
      <w:r w:rsidRPr="0084566A">
        <w:rPr>
          <w:rFonts w:cs="Arial"/>
          <w:szCs w:val="20"/>
        </w:rPr>
        <w:t xml:space="preserve"> Implement a phase-in for front-loading for category 2 counterparties, so that the front-loading period only commences 12 months after the start of the phase-in period for category 1 counterparties, thus reducing the period of front</w:t>
      </w:r>
      <w:r w:rsidRPr="0084566A">
        <w:rPr>
          <w:rFonts w:cs="Arial"/>
          <w:szCs w:val="20"/>
        </w:rPr>
        <w:noBreakHyphen/>
        <w:t xml:space="preserve">loading for category 2 counterparties, from 18 months to 6 months. This should give firms sufficient time to implement the necessary processes, procedures and documentation to ensure compliance with the clearing obligation, before having to also consider front-loading. This proposal will also reduce the volume of transactions that will need to be front-loaded and therefore the impact of pricing uncertainties as well as the burden and operational risk associated with the process. At the same time, this proposal will still ensure that contracts entered into within 12 months of the start of the clearing obligation, by category 2 counterparties, become subject to central clearing. </w:t>
      </w:r>
    </w:p>
    <w:p w14:paraId="4E0C0908" w14:textId="77777777" w:rsidR="0084566A" w:rsidRDefault="0084566A" w:rsidP="0084566A">
      <w:pPr>
        <w:rPr>
          <w:rFonts w:cs="Arial"/>
          <w:szCs w:val="20"/>
        </w:rPr>
      </w:pPr>
      <w:r w:rsidRPr="0084566A">
        <w:rPr>
          <w:rFonts w:cs="Arial"/>
          <w:szCs w:val="20"/>
        </w:rPr>
        <w:lastRenderedPageBreak/>
        <w:t xml:space="preserve">Further detail is provided in our response to Question 7. </w:t>
      </w:r>
    </w:p>
    <w:p w14:paraId="7F4742C9" w14:textId="77777777" w:rsidR="0084566A" w:rsidRPr="0084566A" w:rsidRDefault="0084566A" w:rsidP="0084566A">
      <w:pPr>
        <w:rPr>
          <w:rFonts w:cs="Arial"/>
          <w:szCs w:val="20"/>
        </w:rPr>
      </w:pPr>
    </w:p>
    <w:p w14:paraId="3EC3665A" w14:textId="77777777" w:rsidR="0084566A" w:rsidRPr="0084566A" w:rsidRDefault="0084566A" w:rsidP="0084566A">
      <w:pPr>
        <w:rPr>
          <w:rFonts w:cs="Arial"/>
          <w:szCs w:val="20"/>
          <w:u w:val="single"/>
        </w:rPr>
      </w:pPr>
      <w:r w:rsidRPr="0084566A">
        <w:rPr>
          <w:rFonts w:cs="Arial"/>
          <w:szCs w:val="20"/>
          <w:u w:val="single"/>
        </w:rPr>
        <w:t>Uncertainty regarding the implementation of the pension exemption</w:t>
      </w:r>
    </w:p>
    <w:p w14:paraId="693A5A7E" w14:textId="77777777" w:rsidR="0084566A" w:rsidRPr="0084566A" w:rsidRDefault="0084566A" w:rsidP="0084566A">
      <w:pPr>
        <w:rPr>
          <w:rFonts w:cs="Arial"/>
          <w:szCs w:val="20"/>
        </w:rPr>
      </w:pPr>
      <w:r w:rsidRPr="0084566A">
        <w:rPr>
          <w:rFonts w:cs="Arial"/>
          <w:szCs w:val="20"/>
        </w:rPr>
        <w:t xml:space="preserve">Under Article 89(1) of EMIR, OTC derivative transactions that are objectively measurable as reducing investment risks directly relating to the financial solvency of pension scheme arrangements as defined in Article 2(10) of EMIR, will not be subject to the clearing obligation. ESMA has clarified in its EMIR Q&amp;As (OTC Question 16) that pension scheme arrangements which are exempt from the clearing obligation will only have to clear contracts executed after the date when the exemption falls away, and there will therefore be no front-loading. In order to ensure certainty in respect of the application of the front-loading requirement, entities need to know whether or not they qualify as a pension scheme arrangement or entity under Article 2(10)(c) and (d) of EMIR. With the proposed front-loading requirements likely to commence in late 2014-early 2015, there is very limited time for entities to receive the certainty they need from ESMA and EIOPA that they are eligible for the pension exemption. If front-loading commences before the pension exemption is clarified and the procedure required by Article 89(2) of EMIR is implemented, then pension scheme entities and arrangements which are not clearly within Article 2(10)(a) or (b) of EMIR and their counterparties will not know whether contracts which they execute, will be required to be front-loaded in due course. This will in turn have a material impact on valuations, and the use of collateral, and is likely to result in funds incurring significant costs and end-investors and pension fund beneficiaries receiving reduced returns on their investment. Further detail is provided in our response to Question 7. </w:t>
      </w:r>
    </w:p>
    <w:p w14:paraId="6BDA19E5" w14:textId="77777777" w:rsidR="0084566A" w:rsidRDefault="0084566A" w:rsidP="0084566A">
      <w:pPr>
        <w:rPr>
          <w:rFonts w:cs="Arial"/>
          <w:szCs w:val="20"/>
          <w:u w:val="single"/>
        </w:rPr>
      </w:pPr>
    </w:p>
    <w:p w14:paraId="7EAE7EC4" w14:textId="77777777" w:rsidR="0084566A" w:rsidRPr="0084566A" w:rsidRDefault="0084566A" w:rsidP="0084566A">
      <w:pPr>
        <w:rPr>
          <w:rFonts w:cs="Arial"/>
          <w:szCs w:val="20"/>
          <w:u w:val="single"/>
        </w:rPr>
      </w:pPr>
      <w:r w:rsidRPr="0084566A">
        <w:rPr>
          <w:rFonts w:cs="Arial"/>
          <w:szCs w:val="20"/>
          <w:u w:val="single"/>
        </w:rPr>
        <w:t>Impact of clearing on risk-reducing trades</w:t>
      </w:r>
    </w:p>
    <w:p w14:paraId="07423418" w14:textId="77777777" w:rsidR="0084566A" w:rsidRPr="0084566A" w:rsidRDefault="0084566A" w:rsidP="0084566A">
      <w:pPr>
        <w:rPr>
          <w:rFonts w:cs="Arial"/>
          <w:szCs w:val="20"/>
        </w:rPr>
      </w:pPr>
      <w:r w:rsidRPr="0084566A">
        <w:rPr>
          <w:rFonts w:cs="Arial"/>
          <w:szCs w:val="20"/>
        </w:rPr>
        <w:t>We believe that any trade that is reducing a pre-existing position under a bilateral trade, and which is intended to be compressed (and is compressed) with the original trade so that the position is partially or fully terminated should not be subject to the clearing obligation. The remaining stub of the original trade where there has been a partial termination or a novation should also not be subject to mandatory clearing. If these trades are subject to clearing, market risk will actually be increased as offsetting trades are cleared and open at a CCP, whilst the original bilateral positions remain open until maturity.</w:t>
      </w:r>
      <w:r w:rsidRPr="0084566A">
        <w:rPr>
          <w:rFonts w:cs="Arial"/>
          <w:b/>
          <w:szCs w:val="20"/>
        </w:rPr>
        <w:t xml:space="preserve"> </w:t>
      </w:r>
      <w:r w:rsidRPr="0084566A">
        <w:rPr>
          <w:rFonts w:cs="Arial"/>
          <w:szCs w:val="20"/>
        </w:rPr>
        <w:t xml:space="preserve">Further detail is provided in our response to Question 8. </w:t>
      </w:r>
      <w:r w:rsidRPr="0084566A">
        <w:rPr>
          <w:rFonts w:cs="Arial"/>
          <w:b/>
          <w:szCs w:val="20"/>
        </w:rPr>
        <w:t xml:space="preserve"> </w:t>
      </w:r>
    </w:p>
    <w:p w14:paraId="11D53F2F" w14:textId="77777777" w:rsidR="0084566A" w:rsidRPr="0084566A" w:rsidRDefault="0084566A" w:rsidP="0084566A">
      <w:pPr>
        <w:rPr>
          <w:rFonts w:cs="Arial"/>
          <w:szCs w:val="20"/>
        </w:rPr>
      </w:pPr>
    </w:p>
    <w:p w14:paraId="3CE5A5F9" w14:textId="77777777" w:rsidR="0084566A" w:rsidRPr="0084566A" w:rsidRDefault="0084566A" w:rsidP="0084566A">
      <w:pPr>
        <w:rPr>
          <w:rFonts w:cs="Arial"/>
          <w:szCs w:val="20"/>
          <w:u w:val="single"/>
        </w:rPr>
      </w:pPr>
      <w:r w:rsidRPr="0084566A">
        <w:rPr>
          <w:rFonts w:cs="Arial"/>
          <w:szCs w:val="20"/>
          <w:u w:val="single"/>
        </w:rPr>
        <w:t>Internationally consistent clearing requirements</w:t>
      </w:r>
    </w:p>
    <w:p w14:paraId="511D0843" w14:textId="77777777" w:rsidR="0084566A" w:rsidRPr="0084566A" w:rsidRDefault="0084566A" w:rsidP="0084566A">
      <w:pPr>
        <w:rPr>
          <w:rFonts w:cs="Arial"/>
          <w:szCs w:val="20"/>
          <w:u w:val="single"/>
        </w:rPr>
      </w:pPr>
    </w:p>
    <w:p w14:paraId="61D2E521" w14:textId="77777777" w:rsidR="0084566A" w:rsidRPr="0084566A" w:rsidRDefault="0084566A" w:rsidP="0084566A">
      <w:pPr>
        <w:rPr>
          <w:rFonts w:cs="Arial"/>
          <w:szCs w:val="20"/>
        </w:rPr>
      </w:pPr>
      <w:r w:rsidRPr="0084566A">
        <w:rPr>
          <w:rFonts w:cs="Arial"/>
          <w:szCs w:val="20"/>
        </w:rPr>
        <w:t xml:space="preserve">If the clearing requirements for specific contracts differ between the EU and other jurisdictions (e.g., the US), this will lead to a need for firms and clients to implement additional processes and procedures to ensure compliance under different sets of legislation, in respect of their global business and investment portfolios. The obligation to clear then becomes a factor in the decision as to whether or not to trade cross-border, which we do not believe was the intention of the regulators. Lack of consistency internationally, could also mean the potential for creating distortions in counterparties’ risk management and hedging processes, which could lead to arbitrage opportunities in international markets. We encourage ESMA and other regulators to work closely together to ensure that the implementation of decisions on mandatory clearing is coordinated at a global level. </w:t>
      </w:r>
    </w:p>
    <w:permEnd w:id="1926890795"/>
    <w:p w14:paraId="5AA849FE" w14:textId="5FF44A4A" w:rsidR="003E7EA2" w:rsidRPr="003E7EA2" w:rsidRDefault="003E7EA2" w:rsidP="003E7EA2">
      <w:r>
        <w:t>&lt;ESMA_COMMENT_1&gt;</w:t>
      </w:r>
    </w:p>
    <w:p w14:paraId="78E9B709" w14:textId="77777777" w:rsidR="000E31C3" w:rsidRDefault="000E31C3" w:rsidP="000E31C3"/>
    <w:p w14:paraId="391FCFAD" w14:textId="77777777" w:rsidR="000E31C3" w:rsidRPr="0058137B" w:rsidRDefault="000E31C3" w:rsidP="00AA0857">
      <w:pPr>
        <w:pStyle w:val="Heading1"/>
      </w:pPr>
      <w:bookmarkStart w:id="1" w:name="_Toc390701574"/>
      <w:bookmarkStart w:id="2" w:name="_Toc392685526"/>
      <w:r w:rsidRPr="0058137B">
        <w:t>The clearing obligation procedure</w:t>
      </w:r>
      <w:bookmarkStart w:id="3" w:name="_Toc390952336"/>
      <w:bookmarkStart w:id="4" w:name="_Toc391310566"/>
      <w:bookmarkStart w:id="5" w:name="_Toc391310591"/>
      <w:bookmarkStart w:id="6" w:name="_Toc391310651"/>
      <w:bookmarkStart w:id="7" w:name="_Toc391313043"/>
      <w:bookmarkEnd w:id="1"/>
      <w:bookmarkEnd w:id="2"/>
      <w:bookmarkEnd w:id="3"/>
      <w:bookmarkEnd w:id="4"/>
      <w:bookmarkEnd w:id="5"/>
      <w:bookmarkEnd w:id="6"/>
      <w:bookmarkEnd w:id="7"/>
    </w:p>
    <w:p w14:paraId="146EFFFC" w14:textId="77777777" w:rsidR="000E31C3" w:rsidRDefault="000E31C3" w:rsidP="000E31C3"/>
    <w:p w14:paraId="015F1BC0" w14:textId="77777777" w:rsidR="000E31C3" w:rsidRPr="007403B2" w:rsidRDefault="000E31C3" w:rsidP="000E31C3">
      <w:pPr>
        <w:pStyle w:val="Questions"/>
      </w:pPr>
      <w:r w:rsidRPr="007403B2">
        <w:t xml:space="preserve">Question </w:t>
      </w:r>
      <w:fldSimple w:instr=" SEQ Question \* ARABIC ">
        <w:r w:rsidR="001826B9">
          <w:rPr>
            <w:noProof/>
          </w:rPr>
          <w:t>1</w:t>
        </w:r>
      </w:fldSimple>
      <w:r w:rsidRPr="007403B2">
        <w:t>: Do you have any comment on the clearing obligation procedure described in Section 1?</w:t>
      </w:r>
    </w:p>
    <w:p w14:paraId="38B846E1" w14:textId="77777777" w:rsidR="000E31C3" w:rsidRDefault="000E31C3" w:rsidP="000E31C3"/>
    <w:p w14:paraId="1083ED13" w14:textId="7A2420EE" w:rsidR="000E31C3" w:rsidRDefault="000E31C3" w:rsidP="000E31C3">
      <w:r>
        <w:t>&lt;ESMA_QUESTION_1&gt;</w:t>
      </w:r>
    </w:p>
    <w:p w14:paraId="05D5A052" w14:textId="77777777" w:rsidR="0084566A" w:rsidRDefault="0084566A" w:rsidP="0084566A">
      <w:pPr>
        <w:widowControl w:val="0"/>
        <w:rPr>
          <w:rFonts w:cs="Arial"/>
        </w:rPr>
      </w:pPr>
      <w:permStart w:id="1564177794" w:edGrp="everyone"/>
      <w:r>
        <w:rPr>
          <w:rFonts w:cs="Arial"/>
        </w:rPr>
        <w:t xml:space="preserve">We support ESMA’s proposal to group the analysis of the notified classes of OTC derivatives in a minimal set of consultation papers that are grouped per asset-class. </w:t>
      </w:r>
    </w:p>
    <w:permEnd w:id="1564177794"/>
    <w:p w14:paraId="705C1D4B" w14:textId="010774AF" w:rsidR="000E31C3" w:rsidRDefault="000E31C3" w:rsidP="000E31C3">
      <w:r>
        <w:t>&lt;ESMA_QUESTION_1&gt;</w:t>
      </w:r>
    </w:p>
    <w:p w14:paraId="18DCC0AE" w14:textId="77777777" w:rsidR="000E31C3" w:rsidRDefault="000E31C3" w:rsidP="000E31C3"/>
    <w:p w14:paraId="67D8A568" w14:textId="77777777" w:rsidR="000E31C3" w:rsidRDefault="000E31C3" w:rsidP="00AA0857">
      <w:pPr>
        <w:pStyle w:val="Heading1"/>
      </w:pPr>
      <w:bookmarkStart w:id="8" w:name="_Ref392685388"/>
      <w:bookmarkStart w:id="9" w:name="_Toc392685527"/>
      <w:r>
        <w:t>Structure of the credit derivatives classes</w:t>
      </w:r>
      <w:bookmarkEnd w:id="8"/>
      <w:bookmarkEnd w:id="9"/>
    </w:p>
    <w:p w14:paraId="7D4E6A95" w14:textId="77777777" w:rsidR="000E31C3" w:rsidRDefault="000E31C3" w:rsidP="000E31C3"/>
    <w:p w14:paraId="445BD43C" w14:textId="2ABB6F5E" w:rsidR="000E31C3" w:rsidRDefault="000E31C3" w:rsidP="000E31C3">
      <w:pPr>
        <w:pStyle w:val="Questions"/>
      </w:pPr>
      <w:r>
        <w:lastRenderedPageBreak/>
        <w:t xml:space="preserve">Question </w:t>
      </w:r>
      <w:fldSimple w:instr=" SEQ Question \* ARABIC ">
        <w:r w:rsidR="001826B9">
          <w:rPr>
            <w:noProof/>
          </w:rPr>
          <w:t>2</w:t>
        </w:r>
      </w:fldSimple>
      <w:r>
        <w:t xml:space="preserve">: </w:t>
      </w:r>
      <w:r w:rsidR="007D65B5" w:rsidRPr="007D65B5">
        <w:t>Do you consider that the proposed structure for the untranched index CDS classes enables counterparties to identify which contracts are subject to the clearing obligation as well as allows international convergence? Please explain.</w:t>
      </w:r>
    </w:p>
    <w:p w14:paraId="11E9D040" w14:textId="77777777" w:rsidR="000E31C3" w:rsidRDefault="000E31C3" w:rsidP="000E31C3"/>
    <w:p w14:paraId="51E6E18B" w14:textId="6DC78FE6" w:rsidR="000E31C3" w:rsidRDefault="000E31C3" w:rsidP="000E31C3">
      <w:r>
        <w:t>&lt;ESMA_QUESTION_2&gt;</w:t>
      </w:r>
    </w:p>
    <w:p w14:paraId="6092520D" w14:textId="77777777" w:rsidR="009A267C" w:rsidRDefault="009A267C" w:rsidP="009A267C">
      <w:pPr>
        <w:widowControl w:val="0"/>
        <w:rPr>
          <w:rFonts w:cs="Arial"/>
        </w:rPr>
      </w:pPr>
      <w:permStart w:id="1575779171" w:edGrp="everyone"/>
      <w:r>
        <w:rPr>
          <w:rFonts w:cs="Arial"/>
        </w:rPr>
        <w:t xml:space="preserve">Whilst we support ESMA’s proposed structure for the credit OTC derivative classes, we are concerned that the draft regulatory technical standards do not adequately reflect the “bottom-up” approach as stated in Paragraph 22 of the consultation paper and specified under </w:t>
      </w:r>
      <w:r w:rsidRPr="00781F69">
        <w:rPr>
          <w:rFonts w:cs="Arial"/>
        </w:rPr>
        <w:t xml:space="preserve">Article 4(1) of EMIR. </w:t>
      </w:r>
      <w:r>
        <w:rPr>
          <w:rFonts w:cs="Arial"/>
        </w:rPr>
        <w:t>EMIR provides that a class of derivatives can only be subject to mandatory clearing when there is a CCP which is authorised or recognised to clear that class. In addition, when assessing the date from which the clearing obligation should take effect (under Article 5(2</w:t>
      </w:r>
      <w:proofErr w:type="gramStart"/>
      <w:r>
        <w:rPr>
          <w:rFonts w:cs="Arial"/>
        </w:rPr>
        <w:t>)(</w:t>
      </w:r>
      <w:proofErr w:type="gramEnd"/>
      <w:r>
        <w:rPr>
          <w:rFonts w:cs="Arial"/>
        </w:rPr>
        <w:t>b) of EMIR), ESMA must take into account t</w:t>
      </w:r>
      <w:r w:rsidRPr="00781F69">
        <w:rPr>
          <w:rFonts w:cs="Arial"/>
        </w:rPr>
        <w:t>he</w:t>
      </w:r>
      <w:r>
        <w:rPr>
          <w:rFonts w:cs="Arial"/>
        </w:rPr>
        <w:t xml:space="preserve"> extent to which a CCP is able to support the expected volume of trades of a particular class of derivatives. Evidence on this is required to be provided to ESMA by national competent authorities when they make their notification under Article 5 of EMIR. We suggest that the draft regulatory technical standards clearly reflect the fact that the classes of derivatives they cover, will only be subject to mandatory clearing, if there is at least one CCP which is authorised or recognised to clear at the time the obligation comes into force. We also suggest that it is made clear in the draft regulatory technical standards that the phase-in periods are based on ESMA’s assessment of the extent to which CCPs will be able to support the expected volume of trades at the relevant phase-in date for each category of counterparty. If ESMA becomes aware that this is not the case during the phase-in period, these timeframes should be reassessed. To enable this to occur, ESMA should include an ability to undertake a further assessment of the actual position of CCPs at the end of each phase-in period to ensure that the timeframe for applying the clearing obligation to each category of counterparty remains appropriate. </w:t>
      </w:r>
    </w:p>
    <w:p w14:paraId="2C7B5E5A" w14:textId="77777777" w:rsidR="009A267C" w:rsidRDefault="009A267C" w:rsidP="009A267C">
      <w:pPr>
        <w:widowControl w:val="0"/>
        <w:rPr>
          <w:rFonts w:cs="Arial"/>
        </w:rPr>
      </w:pPr>
    </w:p>
    <w:p w14:paraId="6862AC5D" w14:textId="77777777" w:rsidR="009A267C" w:rsidRDefault="009A267C" w:rsidP="009A267C">
      <w:pPr>
        <w:widowControl w:val="0"/>
        <w:rPr>
          <w:rFonts w:cs="Arial"/>
        </w:rPr>
      </w:pPr>
      <w:r>
        <w:rPr>
          <w:rFonts w:cs="Arial"/>
        </w:rPr>
        <w:t xml:space="preserve">In addition, we need clarity, as to the treatment of contracts that, having been clearable, subsequently fail to satisfy a given CCP’s normal criteria for clearing contracts. This is because any counterparty that enters into such a contract in good faith, might reasonably expect this contract to remain clearable. However, a CCP should be able to limit itself to clearing those contracts that it can reasonably expect to be able to close out or transfer, as and when default management makes that necessary. This issue very obviously arises in relation to credit indices, where the liquidity typically moves to the new ‘series’ as it becomes the ‘on-the-run’ contract. </w:t>
      </w:r>
      <w:bookmarkStart w:id="10" w:name="_GoBack"/>
      <w:bookmarkEnd w:id="10"/>
    </w:p>
    <w:permEnd w:id="1575779171"/>
    <w:p w14:paraId="195F3EF7" w14:textId="76E5223E" w:rsidR="000E31C3" w:rsidRDefault="000E31C3" w:rsidP="000E31C3">
      <w:r>
        <w:t>&lt;ESMA_QUESTION_2&gt;</w:t>
      </w:r>
    </w:p>
    <w:p w14:paraId="75FF53AF" w14:textId="77777777" w:rsidR="000E31C3" w:rsidRDefault="000E31C3" w:rsidP="000E31C3"/>
    <w:p w14:paraId="5F3A4520" w14:textId="77777777" w:rsidR="000E31C3" w:rsidRPr="00A84770" w:rsidRDefault="000E31C3" w:rsidP="00AA0857">
      <w:pPr>
        <w:pStyle w:val="Heading1"/>
      </w:pPr>
      <w:bookmarkStart w:id="11" w:name="_Toc389466262"/>
      <w:bookmarkStart w:id="12" w:name="_Toc389496893"/>
      <w:bookmarkStart w:id="13" w:name="_Toc392685528"/>
      <w:r>
        <w:t>Determination of the c</w:t>
      </w:r>
      <w:r w:rsidRPr="00A84770">
        <w:t xml:space="preserve">lasses of OTC </w:t>
      </w:r>
      <w:r>
        <w:t>d</w:t>
      </w:r>
      <w:r w:rsidRPr="00A84770">
        <w:t>erivatives to be subject to the clearing obligation</w:t>
      </w:r>
      <w:bookmarkEnd w:id="11"/>
      <w:bookmarkEnd w:id="12"/>
      <w:bookmarkEnd w:id="13"/>
    </w:p>
    <w:p w14:paraId="597AD3AF" w14:textId="77777777" w:rsidR="000E31C3" w:rsidRDefault="000E31C3" w:rsidP="000E31C3"/>
    <w:p w14:paraId="5525AE50" w14:textId="1AB33A70" w:rsidR="00082AD5" w:rsidRDefault="000E31C3" w:rsidP="000E31C3">
      <w:pPr>
        <w:pStyle w:val="Questions"/>
      </w:pPr>
      <w:r>
        <w:t xml:space="preserve">Question </w:t>
      </w:r>
      <w:fldSimple w:instr=" SEQ Question \* ARABIC ">
        <w:r w:rsidR="001826B9">
          <w:rPr>
            <w:noProof/>
          </w:rPr>
          <w:t>3</w:t>
        </w:r>
      </w:fldSimple>
      <w:r>
        <w:t xml:space="preserve">: In view of the criteria set in Article 5(4) of EMIR, do you consider that </w:t>
      </w:r>
      <w:r w:rsidR="00082AD5">
        <w:t xml:space="preserve">this </w:t>
      </w:r>
      <w:r>
        <w:t xml:space="preserve">set of classes </w:t>
      </w:r>
      <w:r w:rsidR="00082AD5">
        <w:t>addresses appropriately the systemic risk associated to credit OTC derivatives</w:t>
      </w:r>
      <w:r>
        <w:t xml:space="preserve">? </w:t>
      </w:r>
    </w:p>
    <w:p w14:paraId="5817D277" w14:textId="219D179E" w:rsidR="000E31C3" w:rsidRDefault="000E31C3" w:rsidP="000E31C3">
      <w:pPr>
        <w:pStyle w:val="Questions"/>
      </w:pPr>
      <w:r>
        <w:t>Given the systemic risk associated to single name CDS, would you argue that they should be a priority for the first determination as well? Please include relevant data or information where applicable.</w:t>
      </w:r>
    </w:p>
    <w:p w14:paraId="24F1FCAB" w14:textId="77777777" w:rsidR="000E31C3" w:rsidRDefault="000E31C3" w:rsidP="000E31C3"/>
    <w:p w14:paraId="7276F300" w14:textId="19EE196A" w:rsidR="000E31C3" w:rsidRDefault="000E31C3" w:rsidP="000E31C3">
      <w:r>
        <w:t>&lt;ESMA_QUESTION_3&gt;</w:t>
      </w:r>
    </w:p>
    <w:p w14:paraId="49966792" w14:textId="77777777" w:rsidR="0084566A" w:rsidRDefault="0084566A" w:rsidP="0084566A">
      <w:pPr>
        <w:widowControl w:val="0"/>
        <w:rPr>
          <w:rFonts w:cs="Arial"/>
        </w:rPr>
      </w:pPr>
      <w:permStart w:id="1419206484" w:edGrp="everyone"/>
      <w:r>
        <w:rPr>
          <w:rFonts w:cs="Arial"/>
        </w:rPr>
        <w:t xml:space="preserve">We agree with the proposed criteria set out in Section 3 of the consultation paper for determining the credit classes of OTC derivatives that should be subject to mandatory clearing. </w:t>
      </w:r>
    </w:p>
    <w:permEnd w:id="1419206484"/>
    <w:p w14:paraId="59A232C2" w14:textId="367812D7" w:rsidR="000E31C3" w:rsidRDefault="000E31C3" w:rsidP="000E31C3">
      <w:r>
        <w:t>&lt;ESMA_QUESTION_3&gt;</w:t>
      </w:r>
    </w:p>
    <w:p w14:paraId="3E8225FA" w14:textId="77777777" w:rsidR="000E31C3" w:rsidRDefault="000E31C3" w:rsidP="000E31C3"/>
    <w:p w14:paraId="69AB40B4" w14:textId="77777777" w:rsidR="003E7EA2" w:rsidRDefault="003E7EA2">
      <w:pPr>
        <w:rPr>
          <w:b/>
        </w:rPr>
      </w:pPr>
      <w:bookmarkStart w:id="14" w:name="_Ref390182009"/>
      <w:bookmarkStart w:id="15" w:name="_Toc392685529"/>
      <w:r>
        <w:br w:type="page"/>
      </w:r>
    </w:p>
    <w:p w14:paraId="3A68E917" w14:textId="77777777" w:rsidR="00AA0857" w:rsidRPr="00AA0857" w:rsidRDefault="000E31C3" w:rsidP="00AA0857">
      <w:pPr>
        <w:pStyle w:val="Heading1"/>
      </w:pPr>
      <w:r w:rsidRPr="00AA0857">
        <w:lastRenderedPageBreak/>
        <w:t>Determination of the dates on which the obligation applies and the categories of counterparties</w:t>
      </w:r>
      <w:bookmarkStart w:id="16" w:name="_Ref392684359"/>
      <w:bookmarkStart w:id="17" w:name="_Ref389061836"/>
      <w:bookmarkEnd w:id="14"/>
      <w:bookmarkEnd w:id="15"/>
    </w:p>
    <w:p w14:paraId="413DF82E" w14:textId="65C2DA0A" w:rsidR="00AA0857" w:rsidRPr="00AA0857" w:rsidRDefault="00AA0857" w:rsidP="00AA0857">
      <w:pPr>
        <w:pStyle w:val="Heading2"/>
      </w:pPr>
      <w:r w:rsidRPr="00AA0857">
        <w:t>Analysis of the criteria relevant for the determination of the dates</w:t>
      </w:r>
      <w:bookmarkEnd w:id="16"/>
      <w:bookmarkEnd w:id="17"/>
    </w:p>
    <w:p w14:paraId="375D529F" w14:textId="77777777" w:rsidR="000E31C3" w:rsidRDefault="000E31C3" w:rsidP="000E31C3"/>
    <w:p w14:paraId="12376D90" w14:textId="6C9A7CB2" w:rsidR="000E31C3" w:rsidRPr="007403B2" w:rsidRDefault="000E31C3" w:rsidP="000E31C3">
      <w:pPr>
        <w:pStyle w:val="Questions"/>
      </w:pPr>
      <w:r w:rsidRPr="007403B2">
        <w:t xml:space="preserve">Question </w:t>
      </w:r>
      <w:fldSimple w:instr=" SEQ Question \* ARABIC ">
        <w:r w:rsidR="001826B9">
          <w:rPr>
            <w:noProof/>
          </w:rPr>
          <w:t>4</w:t>
        </w:r>
      </w:fldSimple>
      <w:r w:rsidRPr="007403B2">
        <w:t>: Do you have any comment on the analysis presented in Section</w:t>
      </w:r>
      <w:r w:rsidR="00082AD5">
        <w:t xml:space="preserve"> 4.1</w:t>
      </w:r>
      <w:r w:rsidRPr="007403B2">
        <w:t>?</w:t>
      </w:r>
    </w:p>
    <w:p w14:paraId="7372F1F2" w14:textId="77777777" w:rsidR="000E31C3" w:rsidRDefault="000E31C3" w:rsidP="000E31C3"/>
    <w:p w14:paraId="1BB8B971" w14:textId="095D2184" w:rsidR="000E31C3" w:rsidRDefault="000E31C3" w:rsidP="000E31C3">
      <w:r>
        <w:t>&lt;ESMA_QUESTION_4&gt;</w:t>
      </w:r>
    </w:p>
    <w:p w14:paraId="49A68D9B" w14:textId="77777777" w:rsidR="0084566A" w:rsidRDefault="0084566A" w:rsidP="0084566A">
      <w:pPr>
        <w:widowControl w:val="0"/>
        <w:rPr>
          <w:rFonts w:cs="Arial"/>
        </w:rPr>
      </w:pPr>
      <w:permStart w:id="327113600" w:edGrp="everyone"/>
      <w:r>
        <w:rPr>
          <w:rFonts w:cs="Arial"/>
        </w:rPr>
        <w:t xml:space="preserve">Section 4.1 includes analysis of the criteria relevant for the determination of the dates for the clearing obligation to apply. We support the criteria that ESMA proposes taking into consideration, which include: a) the expected volume of the relevant class of OTC derivatives; b) whether more than one CCP already clear the same class; and c) the ability of the CCP to handle the expected volume. We especially note the importance of criterion b). </w:t>
      </w:r>
      <w:r w:rsidRPr="00F702FB">
        <w:rPr>
          <w:rFonts w:cs="Arial"/>
        </w:rPr>
        <w:t xml:space="preserve">Where there is only one CCP available, ESMA should assess the potential impact that this has on access generally and the options available to market participants and increase the time frame where they consider that this will result in more CCPs offering to clear the class of derivative in question. This same argument should also apply to the number of clearing members that have access to the authorised CCP(s). Other </w:t>
      </w:r>
      <w:r>
        <w:rPr>
          <w:rFonts w:cs="Arial"/>
        </w:rPr>
        <w:t xml:space="preserve">related </w:t>
      </w:r>
      <w:r w:rsidRPr="00F702FB">
        <w:rPr>
          <w:rFonts w:cs="Arial"/>
        </w:rPr>
        <w:t xml:space="preserve">factors which ESMA may consider, include </w:t>
      </w:r>
      <w:r>
        <w:rPr>
          <w:rFonts w:cs="Arial"/>
        </w:rPr>
        <w:t xml:space="preserve">the </w:t>
      </w:r>
      <w:r w:rsidRPr="00F702FB">
        <w:rPr>
          <w:rFonts w:cs="Arial"/>
        </w:rPr>
        <w:t xml:space="preserve">jurisdictions </w:t>
      </w:r>
      <w:r>
        <w:rPr>
          <w:rFonts w:cs="Arial"/>
        </w:rPr>
        <w:t xml:space="preserve">in which </w:t>
      </w:r>
      <w:r w:rsidRPr="00F702FB">
        <w:rPr>
          <w:rFonts w:cs="Arial"/>
        </w:rPr>
        <w:t>the CCPs operate</w:t>
      </w:r>
      <w:r>
        <w:rPr>
          <w:rFonts w:cs="Arial"/>
        </w:rPr>
        <w:t>;</w:t>
      </w:r>
      <w:r w:rsidRPr="00F702FB">
        <w:rPr>
          <w:rFonts w:cs="Arial"/>
        </w:rPr>
        <w:t xml:space="preserve"> the extent to which the CCP has market share across the OTC clearing market generally and the range of clearing account options (and pricing structures) made available for client clearing.</w:t>
      </w:r>
    </w:p>
    <w:permEnd w:id="327113600"/>
    <w:p w14:paraId="08CE0DDA" w14:textId="15A025E1" w:rsidR="000E31C3" w:rsidRDefault="000E31C3" w:rsidP="000E31C3">
      <w:r>
        <w:t>&lt;ESMA_QUESTION_4&gt;</w:t>
      </w:r>
    </w:p>
    <w:p w14:paraId="3BD9F7F1" w14:textId="77777777" w:rsidR="000E31C3" w:rsidRDefault="000E31C3" w:rsidP="000E31C3"/>
    <w:p w14:paraId="3F4B4019" w14:textId="77777777" w:rsidR="00AA0857" w:rsidRPr="00AA0857" w:rsidRDefault="00AA0857" w:rsidP="00AA0857">
      <w:pPr>
        <w:pStyle w:val="Heading2"/>
      </w:pPr>
      <w:r w:rsidRPr="00AA0857">
        <w:t>Determination of the categories of counterparties (Criteria (d) to (f))</w:t>
      </w:r>
    </w:p>
    <w:p w14:paraId="7A0305E4" w14:textId="77777777" w:rsidR="0033077A" w:rsidRDefault="0033077A" w:rsidP="000E31C3">
      <w:pPr>
        <w:pStyle w:val="Questions"/>
      </w:pPr>
    </w:p>
    <w:p w14:paraId="0B316A87" w14:textId="01D077B7" w:rsidR="00AA0857" w:rsidRDefault="000E31C3" w:rsidP="000E31C3">
      <w:pPr>
        <w:pStyle w:val="Questions"/>
      </w:pPr>
      <w:r w:rsidRPr="007403B2">
        <w:t xml:space="preserve">Question </w:t>
      </w:r>
      <w:fldSimple w:instr=" SEQ Question \* ARABIC ">
        <w:r w:rsidR="001826B9">
          <w:rPr>
            <w:noProof/>
          </w:rPr>
          <w:t>5</w:t>
        </w:r>
      </w:fldSimple>
      <w:r w:rsidRPr="007403B2">
        <w:t>: Do you agree with the proposal to keep the same definition of the categories of counterparties for the credit and the interest rate asset classes? Please explain why and possible alternatives.</w:t>
      </w:r>
    </w:p>
    <w:p w14:paraId="6105FB6E" w14:textId="77777777" w:rsidR="0033077A" w:rsidRDefault="0033077A" w:rsidP="000E31C3"/>
    <w:p w14:paraId="29D1D6B7" w14:textId="7826AD73" w:rsidR="000E31C3" w:rsidRDefault="000E31C3" w:rsidP="000E31C3">
      <w:r>
        <w:t>&lt;ESMA_QUESTION_5&gt;</w:t>
      </w:r>
    </w:p>
    <w:p w14:paraId="510BC511" w14:textId="77777777" w:rsidR="0084566A" w:rsidRDefault="0084566A" w:rsidP="0084566A">
      <w:pPr>
        <w:widowControl w:val="0"/>
        <w:rPr>
          <w:rFonts w:cs="Arial"/>
        </w:rPr>
      </w:pPr>
      <w:permStart w:id="1259478659" w:edGrp="everyone"/>
      <w:r w:rsidRPr="007242DB">
        <w:rPr>
          <w:rFonts w:cs="Arial"/>
        </w:rPr>
        <w:t>We support ESMA’s proposal for the categorisation of counterparties to be identical to the definition of the categories of counterparties for the interest rate asset class. The</w:t>
      </w:r>
      <w:r>
        <w:rPr>
          <w:rFonts w:cs="Arial"/>
        </w:rPr>
        <w:t xml:space="preserve"> consistent approach will assist in a smoother implementation of the clearing obligation procedure for our members. </w:t>
      </w:r>
    </w:p>
    <w:permEnd w:id="1259478659"/>
    <w:p w14:paraId="595FC331" w14:textId="021AE42A" w:rsidR="000E31C3" w:rsidRDefault="000E31C3" w:rsidP="000E31C3">
      <w:r>
        <w:t>&lt;ESMA_QUESTION_5&gt;</w:t>
      </w:r>
    </w:p>
    <w:p w14:paraId="5CAFE2D7" w14:textId="77777777" w:rsidR="000E31C3" w:rsidRDefault="000E31C3" w:rsidP="000E31C3"/>
    <w:p w14:paraId="7DDBBED8" w14:textId="77777777" w:rsidR="00AA0857" w:rsidRPr="00AA0857" w:rsidRDefault="00AA0857" w:rsidP="00AA0857">
      <w:pPr>
        <w:pStyle w:val="Heading2"/>
      </w:pPr>
      <w:bookmarkStart w:id="18" w:name="_Ref389061941"/>
      <w:r w:rsidRPr="00AA0857">
        <w:t xml:space="preserve">Determination of the </w:t>
      </w:r>
      <w:bookmarkEnd w:id="18"/>
      <w:r w:rsidRPr="00AA0857">
        <w:t>dates from which the clearing obligation takes effect</w:t>
      </w:r>
    </w:p>
    <w:p w14:paraId="3D8B91B0" w14:textId="77777777" w:rsidR="0033077A" w:rsidRDefault="0033077A" w:rsidP="000E31C3">
      <w:pPr>
        <w:pStyle w:val="Questions"/>
      </w:pPr>
    </w:p>
    <w:p w14:paraId="4CA91018" w14:textId="629E4C2A" w:rsidR="000E31C3" w:rsidRDefault="000E31C3" w:rsidP="000E31C3">
      <w:pPr>
        <w:pStyle w:val="Questions"/>
      </w:pPr>
      <w:r w:rsidRPr="007403B2">
        <w:t xml:space="preserve">Question </w:t>
      </w:r>
      <w:fldSimple w:instr=" SEQ Question \* ARABIC ">
        <w:r w:rsidR="001826B9">
          <w:rPr>
            <w:noProof/>
          </w:rPr>
          <w:t>6</w:t>
        </w:r>
      </w:fldSimple>
      <w:r w:rsidRPr="007403B2">
        <w:t>: Do you consider that the proposed dates of application ensure a smooth implementation of the clearing obligation? Please explain why and possible alternatives.</w:t>
      </w:r>
    </w:p>
    <w:p w14:paraId="2E60E7E7" w14:textId="77777777" w:rsidR="0033077A" w:rsidRDefault="0033077A" w:rsidP="000E31C3"/>
    <w:p w14:paraId="0CDB500C" w14:textId="2EAEDAF4" w:rsidR="000E31C3" w:rsidRDefault="000E31C3" w:rsidP="000E31C3">
      <w:r>
        <w:t>&lt;ESMA_QUESTION_6&gt;</w:t>
      </w:r>
    </w:p>
    <w:p w14:paraId="7918DA82" w14:textId="77777777" w:rsidR="0084566A" w:rsidRDefault="0084566A" w:rsidP="0084566A">
      <w:pPr>
        <w:widowControl w:val="0"/>
        <w:rPr>
          <w:rFonts w:cs="Arial"/>
        </w:rPr>
      </w:pPr>
      <w:permStart w:id="426457662" w:edGrp="everyone"/>
      <w:r>
        <w:rPr>
          <w:rFonts w:cs="Arial"/>
        </w:rPr>
        <w:t xml:space="preserve">We welcome the lengthy phase-in of 18 months for category 2 counterparties, as this gives our members and their </w:t>
      </w:r>
      <w:proofErr w:type="gramStart"/>
      <w:r>
        <w:rPr>
          <w:rFonts w:cs="Arial"/>
        </w:rPr>
        <w:t>clients</w:t>
      </w:r>
      <w:proofErr w:type="gramEnd"/>
      <w:r>
        <w:rPr>
          <w:rFonts w:cs="Arial"/>
        </w:rPr>
        <w:t xml:space="preserve"> sufficient time to prepare for clearing. </w:t>
      </w:r>
    </w:p>
    <w:p w14:paraId="584E4CFD" w14:textId="77777777" w:rsidR="0084566A" w:rsidRDefault="0084566A" w:rsidP="0084566A">
      <w:pPr>
        <w:widowControl w:val="0"/>
        <w:rPr>
          <w:rFonts w:cs="Arial"/>
        </w:rPr>
      </w:pPr>
    </w:p>
    <w:p w14:paraId="49839740" w14:textId="77777777" w:rsidR="0084566A" w:rsidRDefault="0084566A" w:rsidP="0084566A">
      <w:pPr>
        <w:widowControl w:val="0"/>
        <w:rPr>
          <w:rFonts w:cs="Arial"/>
        </w:rPr>
      </w:pPr>
      <w:r>
        <w:rPr>
          <w:rFonts w:cs="Arial"/>
        </w:rPr>
        <w:t xml:space="preserve">We do have serious concerns about the impact of the proposed front-loading requirements for our members as category 2 counterparties. These concerns and possible alternatives are included in our response to Question 7. </w:t>
      </w:r>
    </w:p>
    <w:permEnd w:id="426457662"/>
    <w:p w14:paraId="4B52D678" w14:textId="0D30F193" w:rsidR="000E31C3" w:rsidRDefault="000E31C3" w:rsidP="000E31C3">
      <w:r>
        <w:t>&lt;ESMA_QUESTION_6&gt;</w:t>
      </w:r>
    </w:p>
    <w:p w14:paraId="43FAA4E4" w14:textId="77777777" w:rsidR="000E31C3" w:rsidRDefault="000E31C3" w:rsidP="000E31C3">
      <w:pPr>
        <w:pStyle w:val="Questions"/>
        <w:rPr>
          <w:b w:val="0"/>
          <w:sz w:val="20"/>
        </w:rPr>
      </w:pPr>
      <w:r>
        <w:br w:type="page"/>
      </w:r>
    </w:p>
    <w:p w14:paraId="61B8CB58" w14:textId="77777777" w:rsidR="000E31C3" w:rsidRDefault="000E31C3" w:rsidP="00AA0857">
      <w:pPr>
        <w:pStyle w:val="Heading1"/>
      </w:pPr>
      <w:bookmarkStart w:id="19" w:name="_Ref390182030"/>
      <w:bookmarkStart w:id="20" w:name="_Toc392685530"/>
      <w:r w:rsidRPr="00A84770">
        <w:lastRenderedPageBreak/>
        <w:t>Remaining maturity</w:t>
      </w:r>
      <w:r>
        <w:t xml:space="preserve"> and frontloading</w:t>
      </w:r>
      <w:bookmarkEnd w:id="19"/>
      <w:bookmarkEnd w:id="20"/>
    </w:p>
    <w:p w14:paraId="095DD89F" w14:textId="77777777" w:rsidR="000E31C3" w:rsidRDefault="000E31C3" w:rsidP="000E31C3"/>
    <w:p w14:paraId="704C0395" w14:textId="7B1450C4" w:rsidR="000E31C3" w:rsidRDefault="000E31C3" w:rsidP="000E31C3">
      <w:pPr>
        <w:pStyle w:val="Questions"/>
      </w:pPr>
      <w:r>
        <w:t xml:space="preserve">Question </w:t>
      </w:r>
      <w:fldSimple w:instr=" SEQ Question \* ARABIC ">
        <w:r w:rsidR="001826B9">
          <w:rPr>
            <w:noProof/>
          </w:rPr>
          <w:t>7</w:t>
        </w:r>
      </w:fldSimple>
      <w:r>
        <w:t>: Do you consider that the proposed approach on frontloading ensures that the uncertainty related to this requirement is sufficiently mitigated, while allowing a meaningful set of contracts to be captured? Please explain why and possible alternatives</w:t>
      </w:r>
      <w:r w:rsidR="00A136F5" w:rsidRPr="00A136F5">
        <w:t xml:space="preserve"> </w:t>
      </w:r>
      <w:r w:rsidR="00A136F5">
        <w:t>compatible with EMIR</w:t>
      </w:r>
      <w:r>
        <w:t>.</w:t>
      </w:r>
    </w:p>
    <w:p w14:paraId="2F325155" w14:textId="77777777" w:rsidR="000E31C3" w:rsidRDefault="000E31C3" w:rsidP="000E31C3"/>
    <w:p w14:paraId="3866FA6D" w14:textId="6CF08233" w:rsidR="000E31C3" w:rsidRDefault="000E31C3" w:rsidP="000E31C3">
      <w:r>
        <w:t>&lt;ESMA_QUESTION_7&gt;</w:t>
      </w:r>
    </w:p>
    <w:p w14:paraId="465C9065" w14:textId="77777777" w:rsidR="0084566A" w:rsidRDefault="0084566A" w:rsidP="0084566A">
      <w:pPr>
        <w:rPr>
          <w:rFonts w:cs="Arial"/>
          <w:u w:val="single"/>
        </w:rPr>
      </w:pPr>
      <w:permStart w:id="1836743607" w:edGrp="everyone"/>
      <w:r w:rsidRPr="009B5332">
        <w:rPr>
          <w:rFonts w:cs="Arial"/>
          <w:u w:val="single"/>
        </w:rPr>
        <w:t>Impact of front-loading and minimum maturity thresholds</w:t>
      </w:r>
      <w:r>
        <w:rPr>
          <w:rFonts w:cs="Arial"/>
          <w:u w:val="single"/>
        </w:rPr>
        <w:t xml:space="preserve"> </w:t>
      </w:r>
    </w:p>
    <w:p w14:paraId="681C451C" w14:textId="77777777" w:rsidR="0084566A" w:rsidRPr="0084566A" w:rsidRDefault="0084566A" w:rsidP="0084566A">
      <w:pPr>
        <w:rPr>
          <w:rFonts w:cs="Arial"/>
          <w:szCs w:val="20"/>
        </w:rPr>
      </w:pPr>
      <w:r w:rsidRPr="0084566A">
        <w:rPr>
          <w:rFonts w:cs="Arial"/>
          <w:szCs w:val="20"/>
        </w:rPr>
        <w:t>Whilst we welcome the proposal to effectively limit front-loading to contracts entered into during period B, and we appreciate the lengthy phase-in of 18 months for category 2 counterparties (which will be the majority of our members’ clients), we are concerned that the practical impact of the application of the front-loading requirements to contracts with such a low minimum remaining maturity will mean that the phase-in is of little use. A large number of our members’ clients execute long</w:t>
      </w:r>
      <w:r w:rsidRPr="0084566A">
        <w:rPr>
          <w:rFonts w:cs="Arial"/>
          <w:szCs w:val="20"/>
        </w:rPr>
        <w:noBreakHyphen/>
        <w:t>dated OTC contracts (with tenors of much greater than six months), often to hedge long-dated liabilities. A minimum remaining maturity of 6 months will in practice mean that the vast majority of OTC contracts subject to mandatory clearing which are executed during the phase-in period will become subject to front-loading. This is likely to cause pricing uncertainty, market disruption and could have a negative impact on financial stability in general. In addition, the operational impact of such a large front-loading requirement on clients, clearing members and CCPs, will be substantial.</w:t>
      </w:r>
    </w:p>
    <w:p w14:paraId="6E113D78" w14:textId="77777777" w:rsidR="0084566A" w:rsidRPr="0084566A" w:rsidRDefault="0084566A" w:rsidP="0084566A">
      <w:pPr>
        <w:rPr>
          <w:rFonts w:cs="Arial"/>
          <w:szCs w:val="20"/>
        </w:rPr>
      </w:pPr>
    </w:p>
    <w:p w14:paraId="1F943BE2" w14:textId="77777777" w:rsidR="0084566A" w:rsidRPr="0084566A" w:rsidRDefault="0084566A" w:rsidP="0084566A">
      <w:pPr>
        <w:rPr>
          <w:rFonts w:cs="Arial"/>
          <w:szCs w:val="20"/>
        </w:rPr>
      </w:pPr>
      <w:r w:rsidRPr="0084566A">
        <w:rPr>
          <w:rFonts w:cs="Arial"/>
          <w:szCs w:val="20"/>
        </w:rPr>
        <w:t>In terms of pricing, even though there will be certainty about which classes of OTC derivatives are to become subject to the clearing obligation; the CCPs currently authorised or recognised to clear those derivatives; and the date on which the obligation is to apply; market participants will still be unable to accurately price trades that are to be cleared at a later date. This is due to the fact that the valuation of swaps is different in the bilateral and cleared world (due to the differences in the approach to eligible collateral and the interest rates used for discounting cash flows). As a result, contracts will be subject to a pricing adjustment at the point that they are front-loaded into a CCP. If this is not accurately reflected at the date of trade inception, one of the parties will suffer a loss when the trade is cleared. However, the pricing of a trade which will be valued on a different basis at a future point in time can be very complicated and there is no agreement on approach. Nor will there be certainty at the trade date on the front-loading date (i.e. the date on which the valuation approach will change) and so it will be difficult for counterparties to even assess when the new approach will take effect in order to accurately price this in at trade date. This means that there will need to be rebalancing payments at the point at which each trade is front-loaded. Such calculations will be complex and potentially hard to agree, especially bearing in mind the large number of trades that will be impacted by the front-loading proposals.</w:t>
      </w:r>
    </w:p>
    <w:p w14:paraId="26702553" w14:textId="77777777" w:rsidR="0084566A" w:rsidRPr="0084566A" w:rsidRDefault="0084566A" w:rsidP="0084566A">
      <w:pPr>
        <w:rPr>
          <w:rFonts w:cs="Arial"/>
          <w:szCs w:val="20"/>
        </w:rPr>
      </w:pPr>
    </w:p>
    <w:p w14:paraId="14CA187B" w14:textId="77777777" w:rsidR="0084566A" w:rsidRPr="0084566A" w:rsidRDefault="0084566A" w:rsidP="0084566A">
      <w:pPr>
        <w:rPr>
          <w:rFonts w:cs="Arial"/>
          <w:szCs w:val="20"/>
        </w:rPr>
      </w:pPr>
      <w:r w:rsidRPr="0084566A">
        <w:rPr>
          <w:rFonts w:cs="Arial"/>
          <w:szCs w:val="20"/>
        </w:rPr>
        <w:t>The operational impact of front-loading such a large volume of contracts will be substantial and will require significant time and resources to implement effectively. In order to complete the front-loading process by the end of the phase-in period, the process will need to be commenced well in advance of the deadline. The structures for client clearing including operational processes and procedures; and legal documentation will need to be in place prior to commencing the front-loading process. In effect, this will significantly reduce the phase-in period in practical terms for many category 2 counterparties. Market participants will also need to establish and agree an appropriate process for moving open contracts into clearing. We urge ESMA to also take on board the lessons learned from the experience of implementing the back-loading requirement in respect of trade reporting which created a huge operational impact for firms and trade repositories, the implications of which still remain. The front</w:t>
      </w:r>
      <w:r w:rsidRPr="0084566A">
        <w:rPr>
          <w:rFonts w:cs="Arial"/>
          <w:szCs w:val="20"/>
        </w:rPr>
        <w:noBreakHyphen/>
        <w:t xml:space="preserve">loading of </w:t>
      </w:r>
      <w:proofErr w:type="spellStart"/>
      <w:r w:rsidRPr="0084566A">
        <w:rPr>
          <w:rFonts w:cs="Arial"/>
          <w:szCs w:val="20"/>
        </w:rPr>
        <w:t>uncleared</w:t>
      </w:r>
      <w:proofErr w:type="spellEnd"/>
      <w:r w:rsidRPr="0084566A">
        <w:rPr>
          <w:rFonts w:cs="Arial"/>
          <w:szCs w:val="20"/>
        </w:rPr>
        <w:t xml:space="preserve"> contracts into a cleared environment is far more complex than the back-loading of trades to trade repositories. </w:t>
      </w:r>
    </w:p>
    <w:p w14:paraId="37549707" w14:textId="77777777" w:rsidR="0084566A" w:rsidRPr="0084566A" w:rsidRDefault="0084566A" w:rsidP="0084566A">
      <w:pPr>
        <w:rPr>
          <w:rFonts w:cs="Arial"/>
          <w:szCs w:val="20"/>
        </w:rPr>
      </w:pPr>
    </w:p>
    <w:p w14:paraId="2819F62F" w14:textId="77777777" w:rsidR="0084566A" w:rsidRPr="0084566A" w:rsidRDefault="0084566A" w:rsidP="0084566A">
      <w:pPr>
        <w:rPr>
          <w:rFonts w:cs="Arial"/>
          <w:szCs w:val="20"/>
        </w:rPr>
      </w:pPr>
      <w:r w:rsidRPr="0084566A">
        <w:rPr>
          <w:rFonts w:cs="Arial"/>
          <w:szCs w:val="20"/>
        </w:rPr>
        <w:t>We suggest that ESMA consider the following two alternative approaches to the front</w:t>
      </w:r>
      <w:r w:rsidRPr="0084566A">
        <w:rPr>
          <w:rFonts w:cs="Arial"/>
          <w:szCs w:val="20"/>
        </w:rPr>
        <w:noBreakHyphen/>
        <w:t>loading and phase-in proposals set out in the consultation paper:</w:t>
      </w:r>
    </w:p>
    <w:p w14:paraId="4332B206" w14:textId="77777777" w:rsidR="0084566A" w:rsidRPr="0084566A" w:rsidRDefault="0084566A" w:rsidP="0084566A">
      <w:pPr>
        <w:rPr>
          <w:rFonts w:cs="Arial"/>
          <w:szCs w:val="20"/>
        </w:rPr>
      </w:pPr>
    </w:p>
    <w:p w14:paraId="07063834" w14:textId="77777777" w:rsidR="0084566A" w:rsidRPr="0084566A" w:rsidRDefault="0084566A" w:rsidP="0084566A">
      <w:pPr>
        <w:pStyle w:val="ListParagraph"/>
        <w:numPr>
          <w:ilvl w:val="0"/>
          <w:numId w:val="60"/>
        </w:numPr>
        <w:spacing w:after="200" w:line="276" w:lineRule="auto"/>
        <w:ind w:left="714" w:hanging="357"/>
        <w:contextualSpacing w:val="0"/>
        <w:rPr>
          <w:rFonts w:cs="Arial"/>
          <w:szCs w:val="20"/>
        </w:rPr>
      </w:pPr>
      <w:r w:rsidRPr="0084566A">
        <w:rPr>
          <w:rFonts w:cs="Arial"/>
          <w:szCs w:val="20"/>
          <w:u w:val="single"/>
        </w:rPr>
        <w:t>Option 1:</w:t>
      </w:r>
      <w:r w:rsidRPr="0084566A">
        <w:rPr>
          <w:rFonts w:cs="Arial"/>
          <w:szCs w:val="20"/>
        </w:rPr>
        <w:t xml:space="preserve"> This is our preferred option. Remove the front-loading obligation for category 2 counterparties and reduce the phase-in period for new trades to be cleared, from 18 months to </w:t>
      </w:r>
      <w:r w:rsidRPr="0084566A">
        <w:rPr>
          <w:rFonts w:cs="Arial"/>
          <w:szCs w:val="20"/>
        </w:rPr>
        <w:lastRenderedPageBreak/>
        <w:t xml:space="preserve">12 months. This will result in new OTC contracts entering the cleared environment earlier than originally planned, and reduces the front-loading burden on firms and the extent of the pricing uncertainty created in the market.  We suggest that ESMA consider our proposal under Option 1, together with our request for a phased-in approach for variation margin requirements for </w:t>
      </w:r>
      <w:proofErr w:type="spellStart"/>
      <w:r w:rsidRPr="0084566A">
        <w:rPr>
          <w:rFonts w:cs="Arial"/>
          <w:szCs w:val="20"/>
        </w:rPr>
        <w:t>uncleared</w:t>
      </w:r>
      <w:proofErr w:type="spellEnd"/>
      <w:r w:rsidRPr="0084566A">
        <w:rPr>
          <w:rFonts w:cs="Arial"/>
          <w:szCs w:val="20"/>
        </w:rPr>
        <w:t xml:space="preserve"> trades</w:t>
      </w:r>
      <w:r w:rsidRPr="0084566A">
        <w:rPr>
          <w:rStyle w:val="FootnoteReference"/>
          <w:rFonts w:cs="Arial"/>
          <w:szCs w:val="20"/>
        </w:rPr>
        <w:footnoteReference w:id="1"/>
      </w:r>
      <w:r w:rsidRPr="0084566A">
        <w:rPr>
          <w:rFonts w:cs="Arial"/>
          <w:szCs w:val="20"/>
        </w:rPr>
        <w:t xml:space="preserve">. This gives buy-side firms sufficient time to implement central clearing requirements before considering requirements for </w:t>
      </w:r>
      <w:proofErr w:type="spellStart"/>
      <w:r w:rsidRPr="0084566A">
        <w:rPr>
          <w:rFonts w:cs="Arial"/>
          <w:szCs w:val="20"/>
        </w:rPr>
        <w:t>uncleared</w:t>
      </w:r>
      <w:proofErr w:type="spellEnd"/>
      <w:r w:rsidRPr="0084566A">
        <w:rPr>
          <w:rFonts w:cs="Arial"/>
          <w:szCs w:val="20"/>
        </w:rPr>
        <w:t xml:space="preserve"> trades.   </w:t>
      </w:r>
    </w:p>
    <w:p w14:paraId="14A6CF2D" w14:textId="77777777" w:rsidR="0084566A" w:rsidRPr="0084566A" w:rsidRDefault="0084566A" w:rsidP="0084566A">
      <w:pPr>
        <w:pStyle w:val="ListParagraph"/>
        <w:numPr>
          <w:ilvl w:val="0"/>
          <w:numId w:val="60"/>
        </w:numPr>
        <w:spacing w:after="200" w:line="276" w:lineRule="auto"/>
        <w:ind w:left="714" w:hanging="357"/>
        <w:contextualSpacing w:val="0"/>
        <w:rPr>
          <w:rFonts w:cs="Arial"/>
          <w:szCs w:val="20"/>
        </w:rPr>
      </w:pPr>
      <w:r w:rsidRPr="0084566A">
        <w:rPr>
          <w:rFonts w:cs="Arial"/>
          <w:szCs w:val="20"/>
          <w:u w:val="single"/>
        </w:rPr>
        <w:t>Option 2:</w:t>
      </w:r>
      <w:r w:rsidRPr="0084566A">
        <w:rPr>
          <w:rFonts w:cs="Arial"/>
          <w:szCs w:val="20"/>
        </w:rPr>
        <w:t xml:space="preserve"> Implement a phase-in for front-loading for category 2 counterparties, so that the front-loading period only commences 12 months after the start of the phase</w:t>
      </w:r>
      <w:r w:rsidRPr="0084566A">
        <w:rPr>
          <w:rFonts w:cs="Arial"/>
          <w:szCs w:val="20"/>
        </w:rPr>
        <w:noBreakHyphen/>
        <w:t>in period for category 1 counterparties, thus reducing the period of front</w:t>
      </w:r>
      <w:r w:rsidRPr="0084566A">
        <w:rPr>
          <w:rFonts w:cs="Arial"/>
          <w:szCs w:val="20"/>
        </w:rPr>
        <w:noBreakHyphen/>
        <w:t xml:space="preserve">loading for category 2 counterparties, from 18 months to 6 months. This should give firms sufficient time to implement the necessary processes, procedures and documentation to ensure compliance with the clearing obligation, before having to also consider front-loading and would also reduce the volume of transactions that will need to be front-loaded and therefore the pricing uncertainty as well as the burden and operational risk associated with the process. At the same time, it will still ensure that contracts entered into within 12 months of the start of the clearing obligation, by category 2 counterparties, become subject to central clearing. </w:t>
      </w:r>
    </w:p>
    <w:p w14:paraId="0AE458CA" w14:textId="77777777" w:rsidR="0084566A" w:rsidRPr="0084566A" w:rsidRDefault="0084566A" w:rsidP="0084566A">
      <w:pPr>
        <w:rPr>
          <w:rFonts w:cs="Arial"/>
          <w:szCs w:val="20"/>
        </w:rPr>
      </w:pPr>
      <w:r w:rsidRPr="0084566A">
        <w:rPr>
          <w:rFonts w:cs="Arial"/>
          <w:szCs w:val="20"/>
        </w:rPr>
        <w:t>We also suggest that the effective date for front-loading, i.e. the start of Period B should be the date when the regulatory technical standards enter into force, as stated in the letter from ESMA to the European Commission of 8 May 2014</w:t>
      </w:r>
      <w:r w:rsidRPr="0084566A">
        <w:rPr>
          <w:rStyle w:val="FootnoteReference"/>
          <w:rFonts w:cs="Arial"/>
          <w:szCs w:val="20"/>
        </w:rPr>
        <w:footnoteReference w:id="2"/>
      </w:r>
      <w:r w:rsidRPr="0084566A">
        <w:rPr>
          <w:rFonts w:cs="Arial"/>
          <w:szCs w:val="20"/>
        </w:rPr>
        <w:t>, rather than the date of publication in the Official Journal. As it is unlikely that the publication date will be announced to market participants ahead of time, they will not have the certainty to be able to anticipate the exact start date of front-loading precisely. However, if the effective start-date for front</w:t>
      </w:r>
      <w:r w:rsidRPr="0084566A">
        <w:rPr>
          <w:rFonts w:cs="Arial"/>
          <w:szCs w:val="20"/>
        </w:rPr>
        <w:noBreakHyphen/>
        <w:t>loading is when the regulatory technical standards enter into force, market participants will have had 20 days advance warning.</w:t>
      </w:r>
    </w:p>
    <w:p w14:paraId="5E66B23C" w14:textId="752EF13B" w:rsidR="0084566A" w:rsidRPr="0084566A" w:rsidRDefault="0084566A" w:rsidP="0084566A">
      <w:pPr>
        <w:rPr>
          <w:rFonts w:cs="Arial"/>
          <w:szCs w:val="20"/>
        </w:rPr>
      </w:pPr>
      <w:r w:rsidRPr="0084566A">
        <w:rPr>
          <w:rFonts w:cs="Arial"/>
          <w:szCs w:val="20"/>
        </w:rPr>
        <w:t xml:space="preserve"> </w:t>
      </w:r>
    </w:p>
    <w:p w14:paraId="24D08D2D" w14:textId="77777777" w:rsidR="0084566A" w:rsidRPr="0084566A" w:rsidRDefault="0084566A" w:rsidP="0084566A">
      <w:pPr>
        <w:rPr>
          <w:rFonts w:cs="Arial"/>
          <w:szCs w:val="20"/>
        </w:rPr>
      </w:pPr>
      <w:r w:rsidRPr="0084566A">
        <w:rPr>
          <w:rFonts w:cs="Arial"/>
          <w:szCs w:val="20"/>
        </w:rPr>
        <w:t>Further, we request that ESMA explicitly clarify that the front-loading requirements apply to third</w:t>
      </w:r>
      <w:r w:rsidRPr="0084566A">
        <w:rPr>
          <w:rFonts w:cs="Arial"/>
          <w:szCs w:val="20"/>
        </w:rPr>
        <w:noBreakHyphen/>
        <w:t xml:space="preserve">country entities in the same manner as the clearing obligation does, where counterparties established in third-countries determine the category of counterparty to which they would belong if they were established in the Union, and hence be subject to the relevant front-loading requirements for that particular counterparty category. </w:t>
      </w:r>
    </w:p>
    <w:p w14:paraId="24E958F3" w14:textId="77777777" w:rsidR="0084566A" w:rsidRPr="0084566A" w:rsidRDefault="0084566A" w:rsidP="0084566A">
      <w:pPr>
        <w:rPr>
          <w:rFonts w:cs="Arial"/>
          <w:szCs w:val="20"/>
        </w:rPr>
      </w:pPr>
    </w:p>
    <w:p w14:paraId="6FC4C7F8" w14:textId="77777777" w:rsidR="0084566A" w:rsidRPr="0084566A" w:rsidRDefault="0084566A" w:rsidP="0084566A">
      <w:pPr>
        <w:rPr>
          <w:rFonts w:cs="Arial"/>
          <w:szCs w:val="20"/>
          <w:u w:val="single"/>
        </w:rPr>
      </w:pPr>
      <w:r w:rsidRPr="0084566A">
        <w:rPr>
          <w:rFonts w:cs="Arial"/>
          <w:szCs w:val="20"/>
          <w:u w:val="single"/>
        </w:rPr>
        <w:t>Uncertainty regarding the implementation of the pension exemption</w:t>
      </w:r>
    </w:p>
    <w:p w14:paraId="6B386004" w14:textId="77777777" w:rsidR="0084566A" w:rsidRPr="0084566A" w:rsidRDefault="0084566A" w:rsidP="0084566A">
      <w:pPr>
        <w:rPr>
          <w:rFonts w:cs="Arial"/>
          <w:b/>
          <w:szCs w:val="20"/>
        </w:rPr>
      </w:pPr>
      <w:r w:rsidRPr="0084566A">
        <w:rPr>
          <w:rFonts w:cs="Arial"/>
          <w:szCs w:val="20"/>
        </w:rPr>
        <w:t>Under Article 89(1) of EMIR, OTC derivative transactions that are objectively measurable as reducing investment risks directly relating to the financial solvency of pension scheme arrangements as defined in Article 2(10) will not be subject to the clearing obligation. ESMA has clarified in its EMIR Q&amp;As (OTC Question 16) that pension scheme arrangements which are exempt from the clearing obligation will only have to clear contracts executed after the date when the exemption falls away, and there will therefore be no front-loading. This means that front</w:t>
      </w:r>
      <w:r w:rsidRPr="0084566A">
        <w:rPr>
          <w:rFonts w:cs="Arial"/>
          <w:szCs w:val="20"/>
        </w:rPr>
        <w:noBreakHyphen/>
        <w:t xml:space="preserve">loading will not apply to such entities (unless they become subject to clearing during a relevant phase-in period). In order to ensure certainty in respect of the application of the front-loading requirement, entities need to know whether or not they qualify as a pension scheme arrangement or entity under Article 2(10)(c) and (d) of EMIR. However, ESMA and EIOPA have yet to confirm the process for competent authorities to provide their list of entities or arrangements to them, or confirm their opinion in respect of the types of entities or arrangements that competent authorities have notified to them under Article 89(2), despite conducting a ‘pilot’ exercise on the pension exemption in </w:t>
      </w:r>
      <w:r w:rsidRPr="0084566A">
        <w:rPr>
          <w:rFonts w:cs="Arial"/>
          <w:szCs w:val="20"/>
        </w:rPr>
        <w:lastRenderedPageBreak/>
        <w:t>October 2013. With the proposed front-loading requirements likely to commence in late 2014-early 2015, there is very limited time for entities to receive the certainty they need from ESMA and EIOPA that they are eligible. If front-loading commences before the pension exemption is clarified and the procedure required by Article 89(2) of EMIR is implemented, then pension scheme entities or arrangements, which are not clearly within Article 2(10)(a) and (b) of EMIR and their counterparties will not know whether contracts which they execute, will be required to be front-loaded in due course. This will in turn have a material impact on valuations and the use of collateral; and is likely to result in funds incurring significant costs; and end-investors and pension fund beneficiaries receiving reduced returns on their investment</w:t>
      </w:r>
      <w:r w:rsidRPr="0084566A">
        <w:rPr>
          <w:rFonts w:cs="Arial"/>
          <w:b/>
          <w:szCs w:val="20"/>
        </w:rPr>
        <w:t xml:space="preserve">. </w:t>
      </w:r>
    </w:p>
    <w:p w14:paraId="27062723" w14:textId="77777777" w:rsidR="0084566A" w:rsidRPr="0084566A" w:rsidRDefault="0084566A" w:rsidP="0084566A">
      <w:pPr>
        <w:rPr>
          <w:rFonts w:cs="Arial"/>
          <w:b/>
          <w:szCs w:val="20"/>
        </w:rPr>
      </w:pPr>
    </w:p>
    <w:p w14:paraId="6CC85B15" w14:textId="77777777" w:rsidR="0084566A" w:rsidRPr="0084566A" w:rsidRDefault="0084566A" w:rsidP="0084566A">
      <w:pPr>
        <w:rPr>
          <w:rFonts w:cs="Arial"/>
          <w:szCs w:val="20"/>
        </w:rPr>
      </w:pPr>
      <w:r w:rsidRPr="0084566A">
        <w:rPr>
          <w:rFonts w:cs="Arial"/>
          <w:szCs w:val="20"/>
          <w:u w:val="single"/>
        </w:rPr>
        <w:t>Non-financial counterparties and front-loading</w:t>
      </w:r>
    </w:p>
    <w:p w14:paraId="5D5B288B" w14:textId="77777777" w:rsidR="0084566A" w:rsidRPr="0084566A" w:rsidRDefault="0084566A" w:rsidP="0084566A">
      <w:pPr>
        <w:rPr>
          <w:rFonts w:cs="Arial"/>
          <w:szCs w:val="20"/>
        </w:rPr>
      </w:pPr>
      <w:r w:rsidRPr="0084566A">
        <w:rPr>
          <w:rFonts w:cs="Arial"/>
          <w:szCs w:val="20"/>
        </w:rPr>
        <w:t xml:space="preserve">Under the current proposals, front-loading is not applicable to contracts for which at least one of the counterparties is a non-financial counterparty. However it is not clear what the process is for a counterparty that shifts from non-financial counterparty to financial counterparty during a front-loading window. . For example, if an AIFM becomes authorised or registered under AIFMD, any AIFs managed by that AIFM would become financial counterparties and so be subject to front-loading. We suggest that ESMA make it clear (either through a recital in the draft regulatory technical standards or in future Q&amp;A) that the front-loading obligation is only applicable to contracts which would, in the absence of a phase-in period, be subject to the clearing obligation at the time the contract was entered into. For example, when an AIFM becomes authorised or registered under AIFMD (and so the AIF becomes a financial counterparty), any contracts entered prior to that point would not be subject to front-loading, even if the change in counterparty status occurred in the middle of a front-loading window that would generally require financial counterparties to front-load during that entire window. </w:t>
      </w:r>
    </w:p>
    <w:permEnd w:id="1836743607"/>
    <w:p w14:paraId="20A205E7" w14:textId="086C5CAE" w:rsidR="000E31C3" w:rsidRDefault="000E31C3" w:rsidP="000E31C3">
      <w:r>
        <w:t>&lt;ESMA_QUESTION_7&gt;</w:t>
      </w:r>
    </w:p>
    <w:p w14:paraId="02C9350E" w14:textId="77777777" w:rsidR="000E31C3" w:rsidRDefault="000E31C3" w:rsidP="000E31C3">
      <w:pPr>
        <w:pStyle w:val="Questions"/>
      </w:pPr>
    </w:p>
    <w:p w14:paraId="7FEE5DEF" w14:textId="77777777" w:rsidR="00CB1E65" w:rsidRDefault="00CB1E65" w:rsidP="00CB1E65">
      <w:pPr>
        <w:pStyle w:val="Heading1"/>
        <w:numPr>
          <w:ilvl w:val="0"/>
          <w:numId w:val="0"/>
        </w:numPr>
      </w:pPr>
      <w:bookmarkStart w:id="21" w:name="_Ref389465288"/>
      <w:bookmarkStart w:id="22" w:name="_Toc392599429"/>
      <w:r w:rsidRPr="00B95561">
        <w:t xml:space="preserve">Annex </w:t>
      </w:r>
      <w:r w:rsidR="009A267C">
        <w:fldChar w:fldCharType="begin"/>
      </w:r>
      <w:r w:rsidR="009A267C">
        <w:instrText xml:space="preserve"> SEQ Annex \* ROMAN </w:instrText>
      </w:r>
      <w:r w:rsidR="009A267C">
        <w:fldChar w:fldCharType="separate"/>
      </w:r>
      <w:r w:rsidR="001826B9">
        <w:rPr>
          <w:noProof/>
        </w:rPr>
        <w:t>I</w:t>
      </w:r>
      <w:r w:rsidR="009A267C">
        <w:rPr>
          <w:noProof/>
        </w:rPr>
        <w:fldChar w:fldCharType="end"/>
      </w:r>
      <w:bookmarkEnd w:id="21"/>
      <w:r w:rsidRPr="00B95561">
        <w:t xml:space="preserve"> - Commission mandate to develop technical standards</w:t>
      </w:r>
      <w:bookmarkEnd w:id="22"/>
    </w:p>
    <w:p w14:paraId="7696A38A" w14:textId="77777777" w:rsidR="00CB1E65" w:rsidRPr="00663ADD" w:rsidRDefault="00CB1E65" w:rsidP="00CB1E65"/>
    <w:p w14:paraId="5A801D3C" w14:textId="64F7EF4C" w:rsidR="00CB1E65" w:rsidRDefault="00CB1E65" w:rsidP="00CB1E65">
      <w:pPr>
        <w:pStyle w:val="Heading1"/>
        <w:numPr>
          <w:ilvl w:val="0"/>
          <w:numId w:val="0"/>
        </w:numPr>
      </w:pPr>
      <w:bookmarkStart w:id="23" w:name="_Ref389466688"/>
      <w:bookmarkStart w:id="24" w:name="_Toc392599430"/>
      <w:r w:rsidRPr="009E0D2D">
        <w:t xml:space="preserve">Annex </w:t>
      </w:r>
      <w:r w:rsidR="009A267C">
        <w:fldChar w:fldCharType="begin"/>
      </w:r>
      <w:r w:rsidR="009A267C">
        <w:instrText xml:space="preserve"> SEQ Annex \* ROMAN </w:instrText>
      </w:r>
      <w:r w:rsidR="009A267C">
        <w:fldChar w:fldCharType="separate"/>
      </w:r>
      <w:r w:rsidR="001826B9">
        <w:rPr>
          <w:noProof/>
        </w:rPr>
        <w:t>II</w:t>
      </w:r>
      <w:r w:rsidR="009A267C">
        <w:rPr>
          <w:noProof/>
        </w:rPr>
        <w:fldChar w:fldCharType="end"/>
      </w:r>
      <w:bookmarkEnd w:id="23"/>
      <w:r>
        <w:t xml:space="preserve"> - Draft Regulatory Technical Standards on the Clearing Obligation</w:t>
      </w:r>
      <w:bookmarkEnd w:id="24"/>
    </w:p>
    <w:p w14:paraId="681A9EC1" w14:textId="77777777" w:rsidR="000E31C3" w:rsidRPr="007403B2" w:rsidRDefault="000E31C3" w:rsidP="000E31C3">
      <w:pPr>
        <w:pStyle w:val="Questions"/>
      </w:pPr>
      <w:r w:rsidRPr="007403B2">
        <w:t xml:space="preserve">Question </w:t>
      </w:r>
      <w:fldSimple w:instr=" SEQ Question \* ARABIC ">
        <w:r w:rsidR="001826B9">
          <w:rPr>
            <w:noProof/>
          </w:rPr>
          <w:t>8</w:t>
        </w:r>
      </w:fldSimple>
      <w:r w:rsidRPr="007403B2">
        <w:t>: Please indicate your comments on the draft RTS other than those already made in the previous questions.</w:t>
      </w:r>
    </w:p>
    <w:p w14:paraId="6049389D" w14:textId="77777777" w:rsidR="000E31C3" w:rsidRDefault="000E31C3" w:rsidP="000E31C3"/>
    <w:p w14:paraId="740DCB74" w14:textId="388654A9" w:rsidR="000E31C3" w:rsidRDefault="000E31C3" w:rsidP="000E31C3">
      <w:r>
        <w:t>&lt;ESMA_QUESTION_8&gt;</w:t>
      </w:r>
    </w:p>
    <w:p w14:paraId="51861F69" w14:textId="77777777" w:rsidR="0084566A" w:rsidRPr="001E4B5C" w:rsidRDefault="0084566A" w:rsidP="0084566A">
      <w:pPr>
        <w:rPr>
          <w:rFonts w:cs="Arial"/>
          <w:u w:val="single"/>
        </w:rPr>
      </w:pPr>
      <w:permStart w:id="324959834" w:edGrp="everyone"/>
      <w:r>
        <w:rPr>
          <w:rFonts w:cs="Arial"/>
          <w:u w:val="single"/>
        </w:rPr>
        <w:t>Impact of clearing on risk-reducing trades</w:t>
      </w:r>
    </w:p>
    <w:p w14:paraId="216FE5E0" w14:textId="77777777" w:rsidR="0084566A" w:rsidRDefault="0084566A" w:rsidP="0084566A">
      <w:pPr>
        <w:widowControl w:val="0"/>
        <w:rPr>
          <w:rFonts w:cs="Arial"/>
        </w:rPr>
      </w:pPr>
      <w:r>
        <w:rPr>
          <w:rFonts w:cs="Arial"/>
        </w:rPr>
        <w:t xml:space="preserve">We believe that any trade that is reducing a pre-existing position under a bilateral trade, and which is intended to be compressed (and is compressed) with the original trade so that the position is partially or fully terminated should not be subject to the clearing obligation. The remaining stub of the original trade where there has been a partial termination or a novation should also not be subject to mandatory clearing. If these trades are subject to clearing, market risk will actually be increased as offsetting trades are cleared and open at a CCP, whilst the original bilateral positions remain open until maturity. Compression is not possible between a cleared and bilateral contract and </w:t>
      </w:r>
      <w:proofErr w:type="spellStart"/>
      <w:r>
        <w:rPr>
          <w:rFonts w:cs="Arial"/>
        </w:rPr>
        <w:t>novating</w:t>
      </w:r>
      <w:proofErr w:type="spellEnd"/>
      <w:r>
        <w:rPr>
          <w:rFonts w:cs="Arial"/>
        </w:rPr>
        <w:t xml:space="preserve"> the bilateral trade to a CCP before compressing, is both problematic and inefficient.</w:t>
      </w:r>
    </w:p>
    <w:permEnd w:id="324959834"/>
    <w:p w14:paraId="396EA9A2" w14:textId="3951BFCD" w:rsidR="000E31C3" w:rsidRDefault="000E31C3" w:rsidP="000E31C3">
      <w:r>
        <w:t>&lt;ESMA_QUESTION_8&gt;</w:t>
      </w:r>
    </w:p>
    <w:p w14:paraId="72C5678C" w14:textId="77777777" w:rsidR="00CB1E65" w:rsidRDefault="00CB1E65" w:rsidP="000E31C3"/>
    <w:p w14:paraId="5E0973BA" w14:textId="77777777" w:rsidR="00CB1E65" w:rsidRPr="00CB1E65" w:rsidRDefault="00CB1E65" w:rsidP="00CB1E65">
      <w:bookmarkStart w:id="25" w:name="_Toc392599431"/>
    </w:p>
    <w:p w14:paraId="1A22585A" w14:textId="32F0E18C" w:rsidR="00CB1E65" w:rsidRDefault="00CB1E65" w:rsidP="00CB1E65">
      <w:pPr>
        <w:pStyle w:val="Heading1"/>
        <w:numPr>
          <w:ilvl w:val="0"/>
          <w:numId w:val="0"/>
        </w:numPr>
      </w:pPr>
      <w:r w:rsidRPr="0030524D">
        <w:t xml:space="preserve">Annex </w:t>
      </w:r>
      <w:r w:rsidR="009A267C">
        <w:fldChar w:fldCharType="begin"/>
      </w:r>
      <w:r w:rsidR="009A267C">
        <w:instrText xml:space="preserve"> SEQ Annex \* ROMAN </w:instrText>
      </w:r>
      <w:r w:rsidR="009A267C">
        <w:fldChar w:fldCharType="separate"/>
      </w:r>
      <w:r w:rsidR="001826B9">
        <w:rPr>
          <w:noProof/>
        </w:rPr>
        <w:t>III</w:t>
      </w:r>
      <w:r w:rsidR="009A267C">
        <w:rPr>
          <w:noProof/>
        </w:rPr>
        <w:fldChar w:fldCharType="end"/>
      </w:r>
      <w:r w:rsidRPr="0030524D">
        <w:t xml:space="preserve"> - </w:t>
      </w:r>
      <w:r>
        <w:t>Impact assessment</w:t>
      </w:r>
      <w:bookmarkEnd w:id="25"/>
    </w:p>
    <w:p w14:paraId="3105F269" w14:textId="77777777" w:rsidR="000E31C3" w:rsidRPr="007403B2" w:rsidRDefault="000E31C3" w:rsidP="000E31C3">
      <w:pPr>
        <w:pStyle w:val="Questions"/>
      </w:pPr>
      <w:r w:rsidRPr="007403B2">
        <w:t xml:space="preserve">Question </w:t>
      </w:r>
      <w:fldSimple w:instr=" SEQ Question \* ARABIC ">
        <w:r w:rsidR="001826B9">
          <w:rPr>
            <w:noProof/>
          </w:rPr>
          <w:t>9</w:t>
        </w:r>
      </w:fldSimple>
      <w:r w:rsidRPr="007403B2">
        <w:t>: Please indicate your comments on the Impact Assessment.</w:t>
      </w:r>
    </w:p>
    <w:p w14:paraId="4C316D1A" w14:textId="77777777" w:rsidR="000E31C3" w:rsidRDefault="000E31C3" w:rsidP="000E31C3"/>
    <w:p w14:paraId="1F3358D0" w14:textId="12A00DB2" w:rsidR="000E31C3" w:rsidRDefault="000E31C3" w:rsidP="000E31C3">
      <w:r>
        <w:t>&lt;ESMA_QUESTION_9&gt;</w:t>
      </w:r>
    </w:p>
    <w:p w14:paraId="112B1BEE" w14:textId="77777777" w:rsidR="0084566A" w:rsidRPr="005A73F3" w:rsidRDefault="0084566A" w:rsidP="0084566A">
      <w:pPr>
        <w:widowControl w:val="0"/>
        <w:rPr>
          <w:rFonts w:cs="Arial"/>
        </w:rPr>
      </w:pPr>
      <w:permStart w:id="830879288" w:edGrp="everyone"/>
      <w:r>
        <w:rPr>
          <w:rFonts w:cs="Arial"/>
        </w:rPr>
        <w:t>No comment.</w:t>
      </w:r>
      <w:r w:rsidRPr="00DA1AFB">
        <w:rPr>
          <w:rFonts w:cs="Arial"/>
          <w:b/>
        </w:rPr>
        <w:t xml:space="preserve"> </w:t>
      </w:r>
    </w:p>
    <w:permEnd w:id="830879288"/>
    <w:p w14:paraId="0CB6A86E" w14:textId="2B06422E" w:rsidR="000E31C3" w:rsidRDefault="000E31C3" w:rsidP="000E31C3">
      <w:r>
        <w:t>&lt;ESMA_QUESTION_9&gt;</w:t>
      </w:r>
    </w:p>
    <w:p w14:paraId="7DAE9D4A" w14:textId="77777777" w:rsidR="00082AD5" w:rsidRDefault="00082AD5"/>
    <w:sectPr w:rsidR="00082AD5" w:rsidSect="00C413FC">
      <w:headerReference w:type="even" r:id="rId14"/>
      <w:headerReference w:type="first" r:id="rId15"/>
      <w:footerReference w:type="first" r:id="rId16"/>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FCDE5" w14:textId="77777777" w:rsidR="007D398B" w:rsidRDefault="007D398B">
      <w:r>
        <w:separator/>
      </w:r>
    </w:p>
    <w:p w14:paraId="554A9F75" w14:textId="77777777" w:rsidR="007D398B" w:rsidRDefault="007D398B"/>
    <w:p w14:paraId="2AD44078" w14:textId="77777777" w:rsidR="007D398B" w:rsidRDefault="007D398B"/>
  </w:endnote>
  <w:endnote w:type="continuationSeparator" w:id="0">
    <w:p w14:paraId="1A319364" w14:textId="77777777" w:rsidR="007D398B" w:rsidRDefault="007D398B">
      <w:r>
        <w:continuationSeparator/>
      </w:r>
    </w:p>
    <w:p w14:paraId="7AF01FB8" w14:textId="77777777" w:rsidR="007D398B" w:rsidRDefault="007D398B"/>
    <w:p w14:paraId="68FDBF1E" w14:textId="77777777" w:rsidR="007D398B" w:rsidRDefault="007D3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42FD0" w:rsidRPr="000C3B6D" w14:paraId="5781BFA7" w14:textId="77777777" w:rsidTr="000C3B6D">
      <w:trPr>
        <w:trHeight w:val="284"/>
      </w:trPr>
      <w:tc>
        <w:tcPr>
          <w:tcW w:w="8460" w:type="dxa"/>
        </w:tcPr>
        <w:p w14:paraId="3B3513CD" w14:textId="77777777" w:rsidR="00E42FD0" w:rsidRPr="000C3B6D" w:rsidRDefault="00E42FD0" w:rsidP="000C3B6D">
          <w:pPr>
            <w:pStyle w:val="00Footer"/>
            <w:rPr>
              <w:lang w:val="fr-FR"/>
            </w:rPr>
          </w:pPr>
        </w:p>
      </w:tc>
      <w:tc>
        <w:tcPr>
          <w:tcW w:w="952" w:type="dxa"/>
        </w:tcPr>
        <w:p w14:paraId="7E457E2E" w14:textId="77777777" w:rsidR="00E42FD0" w:rsidRDefault="00E42FD0" w:rsidP="002C5B2D">
          <w:pPr>
            <w:pStyle w:val="00aPagenumber"/>
          </w:pPr>
          <w:r w:rsidRPr="002C5B2D">
            <w:fldChar w:fldCharType="begin"/>
          </w:r>
          <w:r w:rsidRPr="002C5B2D">
            <w:instrText xml:space="preserve"> PAGE </w:instrText>
          </w:r>
          <w:r w:rsidRPr="002C5B2D">
            <w:fldChar w:fldCharType="separate"/>
          </w:r>
          <w:r w:rsidR="009A267C">
            <w:rPr>
              <w:noProof/>
            </w:rPr>
            <w:t>8</w:t>
          </w:r>
          <w:r w:rsidRPr="002C5B2D">
            <w:fldChar w:fldCharType="end"/>
          </w:r>
        </w:p>
        <w:p w14:paraId="4B069B54" w14:textId="77777777" w:rsidR="00E42FD0" w:rsidRPr="002C5B2D" w:rsidRDefault="00E42FD0" w:rsidP="002C5B2D">
          <w:pPr>
            <w:pStyle w:val="00aPagenumber"/>
          </w:pPr>
        </w:p>
      </w:tc>
    </w:tr>
    <w:tr w:rsidR="00E42FD0" w:rsidRPr="000C3B6D" w14:paraId="72675130" w14:textId="77777777" w:rsidTr="000C3B6D">
      <w:trPr>
        <w:trHeight w:val="284"/>
      </w:trPr>
      <w:tc>
        <w:tcPr>
          <w:tcW w:w="8460" w:type="dxa"/>
        </w:tcPr>
        <w:p w14:paraId="27A25737" w14:textId="3B092D73" w:rsidR="00E42FD0" w:rsidRPr="00E06635" w:rsidRDefault="00E42FD0" w:rsidP="00D82212">
          <w:pPr>
            <w:pStyle w:val="00Footer"/>
          </w:pPr>
        </w:p>
      </w:tc>
      <w:tc>
        <w:tcPr>
          <w:tcW w:w="952" w:type="dxa"/>
        </w:tcPr>
        <w:p w14:paraId="19F8A1E3" w14:textId="77777777" w:rsidR="00E42FD0" w:rsidRPr="002C5B2D" w:rsidRDefault="00E42FD0" w:rsidP="002C5B2D">
          <w:pPr>
            <w:pStyle w:val="00aPagenumber"/>
          </w:pPr>
        </w:p>
      </w:tc>
    </w:tr>
  </w:tbl>
  <w:p w14:paraId="00A28279" w14:textId="0B6A4D99" w:rsidR="00E42FD0" w:rsidRDefault="00E42FD0">
    <w:pPr>
      <w:pStyle w:val="Footer"/>
    </w:pPr>
    <w:r>
      <w:fldChar w:fldCharType="begin"/>
    </w:r>
    <w:r>
      <w:instrText xml:space="preserve"> DATE \@ "dddd, dd MMMM yyyy" </w:instrText>
    </w:r>
    <w:r>
      <w:fldChar w:fldCharType="separate"/>
    </w:r>
    <w:r w:rsidR="004058EC">
      <w:rPr>
        <w:noProof/>
      </w:rPr>
      <w:t>Wednesday, 17 September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42FD0" w:rsidRDefault="00E42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4FDCC" w14:textId="77777777" w:rsidR="007D398B" w:rsidRDefault="007D398B">
      <w:r>
        <w:separator/>
      </w:r>
    </w:p>
    <w:p w14:paraId="26494571" w14:textId="77777777" w:rsidR="007D398B" w:rsidRDefault="007D398B"/>
  </w:footnote>
  <w:footnote w:type="continuationSeparator" w:id="0">
    <w:p w14:paraId="7E7D074C" w14:textId="77777777" w:rsidR="007D398B" w:rsidRDefault="007D398B">
      <w:r>
        <w:continuationSeparator/>
      </w:r>
    </w:p>
    <w:p w14:paraId="1D8DE260" w14:textId="77777777" w:rsidR="007D398B" w:rsidRDefault="007D398B"/>
    <w:p w14:paraId="673248C6" w14:textId="77777777" w:rsidR="007D398B" w:rsidRDefault="007D398B"/>
  </w:footnote>
  <w:footnote w:id="1">
    <w:p w14:paraId="0D2F3657" w14:textId="77777777" w:rsidR="0084566A" w:rsidRDefault="0084566A" w:rsidP="0084566A">
      <w:pPr>
        <w:pStyle w:val="FootnoteText"/>
      </w:pPr>
      <w:r>
        <w:rPr>
          <w:rStyle w:val="FootnoteReference"/>
        </w:rPr>
        <w:footnoteRef/>
      </w:r>
      <w:r>
        <w:t xml:space="preserve"> </w:t>
      </w:r>
      <w:hyperlink r:id="rId1" w:history="1">
        <w:r w:rsidRPr="00383C8E">
          <w:rPr>
            <w:rStyle w:val="Hyperlink"/>
            <w:rFonts w:ascii="Arial" w:hAnsi="Arial" w:cs="Arial"/>
            <w:szCs w:val="16"/>
          </w:rPr>
          <w:t>https://www.eba.europa.eu/regulation-and-policy/market-infrastructures/draft-regulatory-technical-standards-on-risk-mitigation-techniques-for-otc-derivatives-not-cleared-by-a-central-counterparty-ccp-?p_p_auth=Go4J9Xy3&amp;p_p_id=169&amp;p_p_lifecycle=0&amp;p_p_state=maximized&amp;p_p_col_id=column-2&amp;p_p_col_pos=1&amp;p_p_col_count=2&amp;_169_struts_action=%2Fdynamic_data_list_display%2Fview_record&amp;_169_recordId=755219&amp;_169_redirect=https%3A%2F%2Fwww.eba.europa.eu%2Fregulation-and-policy%2Fmarket-infrastructures%2Fdraft-regulatory-technical-standards-on-risk-mitigation-techniques-for-otc-derivatives-not-cleared-by-a-central-counterparty-ccp-%2F-%2Fregulatory-activity%2Fconsultation-paper%2F655146</w:t>
        </w:r>
      </w:hyperlink>
      <w:r>
        <w:t xml:space="preserve"> </w:t>
      </w:r>
    </w:p>
  </w:footnote>
  <w:footnote w:id="2">
    <w:p w14:paraId="674452E9" w14:textId="77777777" w:rsidR="0084566A" w:rsidRPr="007B26B5" w:rsidRDefault="0084566A" w:rsidP="0084566A">
      <w:pPr>
        <w:pStyle w:val="FootnoteText"/>
        <w:rPr>
          <w:rFonts w:ascii="Arial" w:hAnsi="Arial" w:cs="Arial"/>
        </w:rPr>
      </w:pPr>
      <w:r w:rsidRPr="007B26B5">
        <w:rPr>
          <w:rStyle w:val="FootnoteReference"/>
          <w:rFonts w:ascii="Arial" w:hAnsi="Arial" w:cs="Arial"/>
        </w:rPr>
        <w:footnoteRef/>
      </w:r>
      <w:r w:rsidRPr="007B26B5">
        <w:rPr>
          <w:rFonts w:ascii="Arial" w:hAnsi="Arial" w:cs="Arial"/>
        </w:rPr>
        <w:t xml:space="preserve"> http://www.esma.europa.eu/system/files/2014-483_letter_to_european_commission_re_frontloading_requirement_under_emir.pdf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42FD0" w:rsidRDefault="00E42FD0">
    <w:pPr>
      <w:pStyle w:val="Header"/>
    </w:pPr>
    <w:r>
      <w:rPr>
        <w:noProof/>
        <w:lang w:eastAsia="en-GB"/>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42FD0" w:rsidRDefault="00E42FD0">
    <w:pPr>
      <w:pStyle w:val="Header"/>
    </w:pPr>
    <w:r>
      <w:rPr>
        <w:noProof/>
        <w:lang w:eastAsia="en-GB"/>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42FD0" w:rsidRDefault="00E42F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42FD0" w:rsidRPr="00E00C3F" w14:paraId="273E79AB" w14:textId="77777777" w:rsidTr="00641A2C">
      <w:trPr>
        <w:trHeight w:val="284"/>
      </w:trPr>
      <w:tc>
        <w:tcPr>
          <w:tcW w:w="9214" w:type="dxa"/>
        </w:tcPr>
        <w:p w14:paraId="63EB5814" w14:textId="77777777" w:rsidR="00E42FD0" w:rsidRPr="000C3B6D" w:rsidRDefault="00E42FD0" w:rsidP="00641A2C">
          <w:pPr>
            <w:pStyle w:val="Footer"/>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42FD0" w:rsidRPr="00E00C3F" w:rsidRDefault="00E42FD0" w:rsidP="00620D7C">
          <w:pPr>
            <w:pStyle w:val="00aPagenumber"/>
            <w:rPr>
              <w:lang w:val="fr-FR"/>
            </w:rPr>
          </w:pPr>
        </w:p>
      </w:tc>
    </w:tr>
  </w:tbl>
  <w:p w14:paraId="22CE6FDD" w14:textId="77777777" w:rsidR="00E42FD0" w:rsidRPr="00DB46C3" w:rsidRDefault="00E42FD0">
    <w:pPr>
      <w:rPr>
        <w:lang w:val="fr-FR"/>
      </w:rPr>
    </w:pPr>
  </w:p>
  <w:p w14:paraId="64A6237C" w14:textId="77777777" w:rsidR="00E42FD0" w:rsidRDefault="00E42FD0">
    <w:pPr>
      <w:pStyle w:val="Header"/>
    </w:pPr>
    <w:r>
      <w:rPr>
        <w:noProof/>
        <w:lang w:eastAsia="en-GB"/>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eastAsia="en-GB"/>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4C28C6"/>
    <w:multiLevelType w:val="multilevel"/>
    <w:tmpl w:val="E94E1312"/>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11">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2">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1E5749"/>
    <w:multiLevelType w:val="hybridMultilevel"/>
    <w:tmpl w:val="938A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8B92853"/>
    <w:multiLevelType w:val="multilevel"/>
    <w:tmpl w:val="0E44C8E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22"/>
  </w:num>
  <w:num w:numId="3">
    <w:abstractNumId w:val="16"/>
  </w:num>
  <w:num w:numId="4">
    <w:abstractNumId w:val="26"/>
  </w:num>
  <w:num w:numId="5">
    <w:abstractNumId w:val="5"/>
  </w:num>
  <w:num w:numId="6">
    <w:abstractNumId w:val="11"/>
  </w:num>
  <w:num w:numId="7">
    <w:abstractNumId w:val="15"/>
  </w:num>
  <w:num w:numId="8">
    <w:abstractNumId w:val="17"/>
  </w:num>
  <w:num w:numId="9">
    <w:abstractNumId w:val="21"/>
  </w:num>
  <w:num w:numId="10">
    <w:abstractNumId w:val="8"/>
  </w:num>
  <w:num w:numId="11">
    <w:abstractNumId w:val="19"/>
  </w:num>
  <w:num w:numId="12">
    <w:abstractNumId w:val="0"/>
  </w:num>
  <w:num w:numId="13">
    <w:abstractNumId w:val="19"/>
    <w:lvlOverride w:ilvl="0">
      <w:startOverride w:val="1"/>
    </w:lvlOverride>
  </w:num>
  <w:num w:numId="14">
    <w:abstractNumId w:val="27"/>
  </w:num>
  <w:num w:numId="15">
    <w:abstractNumId w:val="28"/>
  </w:num>
  <w:num w:numId="16">
    <w:abstractNumId w:val="19"/>
    <w:lvlOverride w:ilvl="0">
      <w:startOverride w:val="1"/>
    </w:lvlOverride>
  </w:num>
  <w:num w:numId="17">
    <w:abstractNumId w:val="19"/>
    <w:lvlOverride w:ilvl="0">
      <w:startOverride w:val="1"/>
    </w:lvlOverride>
  </w:num>
  <w:num w:numId="18">
    <w:abstractNumId w:val="1"/>
  </w:num>
  <w:num w:numId="19">
    <w:abstractNumId w:val="23"/>
  </w:num>
  <w:num w:numId="20">
    <w:abstractNumId w:val="6"/>
  </w:num>
  <w:num w:numId="21">
    <w:abstractNumId w:val="19"/>
    <w:lvlOverride w:ilvl="0">
      <w:startOverride w:val="1"/>
    </w:lvlOverride>
  </w:num>
  <w:num w:numId="22">
    <w:abstractNumId w:val="32"/>
  </w:num>
  <w:num w:numId="23">
    <w:abstractNumId w:val="35"/>
  </w:num>
  <w:num w:numId="24">
    <w:abstractNumId w:val="19"/>
    <w:lvlOverride w:ilvl="0">
      <w:startOverride w:val="1"/>
    </w:lvlOverride>
  </w:num>
  <w:num w:numId="25">
    <w:abstractNumId w:val="19"/>
    <w:lvlOverride w:ilvl="0">
      <w:startOverride w:val="1"/>
    </w:lvlOverride>
  </w:num>
  <w:num w:numId="26">
    <w:abstractNumId w:val="19"/>
  </w:num>
  <w:num w:numId="27">
    <w:abstractNumId w:val="19"/>
    <w:lvlOverride w:ilvl="0">
      <w:startOverride w:val="1"/>
    </w:lvlOverride>
  </w:num>
  <w:num w:numId="28">
    <w:abstractNumId w:val="19"/>
    <w:lvlOverride w:ilvl="0">
      <w:startOverride w:val="1"/>
    </w:lvlOverride>
  </w:num>
  <w:num w:numId="29">
    <w:abstractNumId w:val="3"/>
  </w:num>
  <w:num w:numId="30">
    <w:abstractNumId w:val="34"/>
  </w:num>
  <w:num w:numId="31">
    <w:abstractNumId w:val="33"/>
    <w:lvlOverride w:ilvl="0">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9"/>
  </w:num>
  <w:num w:numId="35">
    <w:abstractNumId w:val="30"/>
  </w:num>
  <w:num w:numId="36">
    <w:abstractNumId w:val="31"/>
  </w:num>
  <w:num w:numId="37">
    <w:abstractNumId w:val="24"/>
  </w:num>
  <w:num w:numId="38">
    <w:abstractNumId w:val="36"/>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7"/>
  </w:num>
  <w:num w:numId="45">
    <w:abstractNumId w:val="19"/>
    <w:lvlOverride w:ilvl="0">
      <w:startOverride w:val="1"/>
    </w:lvlOverride>
  </w:num>
  <w:num w:numId="46">
    <w:abstractNumId w:val="2"/>
  </w:num>
  <w:num w:numId="47">
    <w:abstractNumId w:val="10"/>
  </w:num>
  <w:num w:numId="48">
    <w:abstractNumId w:val="4"/>
  </w:num>
  <w:num w:numId="49">
    <w:abstractNumId w:val="29"/>
  </w:num>
  <w:num w:numId="50">
    <w:abstractNumId w:val="12"/>
  </w:num>
  <w:num w:numId="51">
    <w:abstractNumId w:val="20"/>
  </w:num>
  <w:num w:numId="52">
    <w:abstractNumId w:val="19"/>
    <w:lvlOverride w:ilvl="0">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LlMJhdXgN8vvQsum/c1GlR6jNoQ=" w:salt="HqhYJjbUiIm6j7uWoiHcog=="/>
  <w:defaultTabStop w:val="709"/>
  <w:hyphenationZone w:val="567"/>
  <w:doNotHyphenateCaps/>
  <w:characterSpacingControl w:val="doNotCompress"/>
  <w:hdrShapeDefaults>
    <o:shapedefaults v:ext="edit" spidmax="12289">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70974"/>
    <w:rsid w:val="00071CE4"/>
    <w:rsid w:val="0007474E"/>
    <w:rsid w:val="00075A90"/>
    <w:rsid w:val="00080976"/>
    <w:rsid w:val="000829E9"/>
    <w:rsid w:val="00082AD5"/>
    <w:rsid w:val="00084648"/>
    <w:rsid w:val="00085B53"/>
    <w:rsid w:val="00085CB4"/>
    <w:rsid w:val="00085E19"/>
    <w:rsid w:val="00086B36"/>
    <w:rsid w:val="000878D1"/>
    <w:rsid w:val="00087A2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31C3"/>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81B3B"/>
    <w:rsid w:val="001826B9"/>
    <w:rsid w:val="00183178"/>
    <w:rsid w:val="001843B5"/>
    <w:rsid w:val="00184B0D"/>
    <w:rsid w:val="001850D9"/>
    <w:rsid w:val="0018532A"/>
    <w:rsid w:val="001875BE"/>
    <w:rsid w:val="00190B8C"/>
    <w:rsid w:val="001931BC"/>
    <w:rsid w:val="001937AD"/>
    <w:rsid w:val="00193908"/>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2962"/>
    <w:rsid w:val="0028331F"/>
    <w:rsid w:val="00283F51"/>
    <w:rsid w:val="00284213"/>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077A"/>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C7E"/>
    <w:rsid w:val="003E6F13"/>
    <w:rsid w:val="003E72C8"/>
    <w:rsid w:val="003E7EA2"/>
    <w:rsid w:val="003F10BE"/>
    <w:rsid w:val="003F1192"/>
    <w:rsid w:val="003F1873"/>
    <w:rsid w:val="003F25BA"/>
    <w:rsid w:val="003F27B5"/>
    <w:rsid w:val="003F2CA8"/>
    <w:rsid w:val="003F2E45"/>
    <w:rsid w:val="003F3FF4"/>
    <w:rsid w:val="003F54EE"/>
    <w:rsid w:val="003F6BFF"/>
    <w:rsid w:val="003F7987"/>
    <w:rsid w:val="004000AE"/>
    <w:rsid w:val="00402CED"/>
    <w:rsid w:val="00403086"/>
    <w:rsid w:val="004034D0"/>
    <w:rsid w:val="004040FF"/>
    <w:rsid w:val="00404F39"/>
    <w:rsid w:val="004058EC"/>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1779"/>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3C8A"/>
    <w:rsid w:val="005D4A86"/>
    <w:rsid w:val="005D5160"/>
    <w:rsid w:val="005E0F86"/>
    <w:rsid w:val="005E18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71D5"/>
    <w:rsid w:val="00697A61"/>
    <w:rsid w:val="006A02D4"/>
    <w:rsid w:val="006A15F3"/>
    <w:rsid w:val="006A1CC4"/>
    <w:rsid w:val="006A22D1"/>
    <w:rsid w:val="006A2CA2"/>
    <w:rsid w:val="006A3FD4"/>
    <w:rsid w:val="006A70DD"/>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10011"/>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7D7"/>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398B"/>
    <w:rsid w:val="007D44F3"/>
    <w:rsid w:val="007D62BA"/>
    <w:rsid w:val="007D65B5"/>
    <w:rsid w:val="007D6BBE"/>
    <w:rsid w:val="007D764C"/>
    <w:rsid w:val="007E1A30"/>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59C"/>
    <w:rsid w:val="0080476E"/>
    <w:rsid w:val="0080527B"/>
    <w:rsid w:val="00806044"/>
    <w:rsid w:val="00806972"/>
    <w:rsid w:val="008075B5"/>
    <w:rsid w:val="008100C9"/>
    <w:rsid w:val="00811530"/>
    <w:rsid w:val="00812403"/>
    <w:rsid w:val="00812FD7"/>
    <w:rsid w:val="0081386E"/>
    <w:rsid w:val="00813D61"/>
    <w:rsid w:val="00815CA3"/>
    <w:rsid w:val="00815EE6"/>
    <w:rsid w:val="00817D2D"/>
    <w:rsid w:val="0082001C"/>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37BA0"/>
    <w:rsid w:val="0084121D"/>
    <w:rsid w:val="00841734"/>
    <w:rsid w:val="008421A0"/>
    <w:rsid w:val="0084566A"/>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4EE6"/>
    <w:rsid w:val="009057FF"/>
    <w:rsid w:val="00905F76"/>
    <w:rsid w:val="00907061"/>
    <w:rsid w:val="009122B8"/>
    <w:rsid w:val="0091344E"/>
    <w:rsid w:val="009158B7"/>
    <w:rsid w:val="00915A84"/>
    <w:rsid w:val="009174A7"/>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67C"/>
    <w:rsid w:val="009A2C91"/>
    <w:rsid w:val="009A597F"/>
    <w:rsid w:val="009B05DE"/>
    <w:rsid w:val="009B0AA2"/>
    <w:rsid w:val="009B198B"/>
    <w:rsid w:val="009B3C87"/>
    <w:rsid w:val="009B49E5"/>
    <w:rsid w:val="009B4ED4"/>
    <w:rsid w:val="009B5D27"/>
    <w:rsid w:val="009B65C7"/>
    <w:rsid w:val="009B67A5"/>
    <w:rsid w:val="009B6DAC"/>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36F5"/>
    <w:rsid w:val="00A15A65"/>
    <w:rsid w:val="00A17066"/>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0857"/>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3559"/>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E25"/>
    <w:rsid w:val="00BB3BBE"/>
    <w:rsid w:val="00BB455B"/>
    <w:rsid w:val="00BB482C"/>
    <w:rsid w:val="00BB6BD1"/>
    <w:rsid w:val="00BB7704"/>
    <w:rsid w:val="00BB77E0"/>
    <w:rsid w:val="00BC073B"/>
    <w:rsid w:val="00BC09D3"/>
    <w:rsid w:val="00BC299C"/>
    <w:rsid w:val="00BC2D1C"/>
    <w:rsid w:val="00BC77BF"/>
    <w:rsid w:val="00BC7CAE"/>
    <w:rsid w:val="00BD01C6"/>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3BC8"/>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1E65"/>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4963"/>
    <w:rsid w:val="00D0669D"/>
    <w:rsid w:val="00D0708C"/>
    <w:rsid w:val="00D07A2A"/>
    <w:rsid w:val="00D07B60"/>
    <w:rsid w:val="00D10EA5"/>
    <w:rsid w:val="00D1190B"/>
    <w:rsid w:val="00D122C2"/>
    <w:rsid w:val="00D12971"/>
    <w:rsid w:val="00D16750"/>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23F7"/>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66E"/>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D57"/>
    <w:rsid w:val="00E32E31"/>
    <w:rsid w:val="00E3337E"/>
    <w:rsid w:val="00E34018"/>
    <w:rsid w:val="00E34A8D"/>
    <w:rsid w:val="00E35BF2"/>
    <w:rsid w:val="00E35CFC"/>
    <w:rsid w:val="00E35F35"/>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EA0"/>
    <w:rsid w:val="00F06211"/>
    <w:rsid w:val="00F06344"/>
    <w:rsid w:val="00F06818"/>
    <w:rsid w:val="00F06962"/>
    <w:rsid w:val="00F0769E"/>
    <w:rsid w:val="00F11E12"/>
    <w:rsid w:val="00F122F1"/>
    <w:rsid w:val="00F16E80"/>
    <w:rsid w:val="00F17D5C"/>
    <w:rsid w:val="00F2081B"/>
    <w:rsid w:val="00F21068"/>
    <w:rsid w:val="00F2134C"/>
    <w:rsid w:val="00F218AE"/>
    <w:rsid w:val="00F21DBB"/>
    <w:rsid w:val="00F2244A"/>
    <w:rsid w:val="00F2551E"/>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0FAA"/>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43FA"/>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Heading2"/>
    <w:next w:val="Normal"/>
    <w:link w:val="Heading1Char"/>
    <w:uiPriority w:val="9"/>
    <w:qFormat/>
    <w:rsid w:val="00AA0857"/>
    <w:pPr>
      <w:numPr>
        <w:ilvl w:val="0"/>
      </w:numPr>
      <w:outlineLvl w:val="0"/>
    </w:pPr>
  </w:style>
  <w:style w:type="paragraph" w:styleId="Heading2">
    <w:name w:val="heading 2"/>
    <w:basedOn w:val="04aNumbering"/>
    <w:next w:val="Normal"/>
    <w:link w:val="Heading2Char"/>
    <w:qFormat/>
    <w:rsid w:val="00AA0857"/>
    <w:pPr>
      <w:numPr>
        <w:ilvl w:val="1"/>
        <w:numId w:val="55"/>
      </w:numPr>
      <w:outlineLvl w:val="1"/>
    </w:pPr>
    <w:rPr>
      <w:b/>
    </w:rPr>
  </w:style>
  <w:style w:type="paragraph" w:styleId="Heading3">
    <w:name w:val="heading 3"/>
    <w:basedOn w:val="Heading2"/>
    <w:next w:val="Normal"/>
    <w:link w:val="Heading3Char"/>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ListParagraph"/>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AA0857"/>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rsid w:val="00AA0857"/>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Heading2"/>
    <w:next w:val="Normal"/>
    <w:link w:val="Heading1Char"/>
    <w:uiPriority w:val="9"/>
    <w:qFormat/>
    <w:rsid w:val="00AA0857"/>
    <w:pPr>
      <w:numPr>
        <w:ilvl w:val="0"/>
      </w:numPr>
      <w:outlineLvl w:val="0"/>
    </w:pPr>
  </w:style>
  <w:style w:type="paragraph" w:styleId="Heading2">
    <w:name w:val="heading 2"/>
    <w:basedOn w:val="04aNumbering"/>
    <w:next w:val="Normal"/>
    <w:link w:val="Heading2Char"/>
    <w:qFormat/>
    <w:rsid w:val="00AA0857"/>
    <w:pPr>
      <w:numPr>
        <w:ilvl w:val="1"/>
        <w:numId w:val="55"/>
      </w:numPr>
      <w:outlineLvl w:val="1"/>
    </w:pPr>
    <w:rPr>
      <w:b/>
    </w:rPr>
  </w:style>
  <w:style w:type="paragraph" w:styleId="Heading3">
    <w:name w:val="heading 3"/>
    <w:basedOn w:val="Heading2"/>
    <w:next w:val="Normal"/>
    <w:link w:val="Heading3Char"/>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ListParagraph"/>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AA0857"/>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rsid w:val="00AA0857"/>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regulation-and-policy/market-infrastructures/draft-regulatory-technical-standards-on-risk-mitigation-techniques-for-otc-derivatives-not-cleared-by-a-central-counterparty-ccp-?p_p_auth=Go4J9Xy3&amp;p_p_id=169&amp;p_p_lifecycle=0&amp;p_p_state=maximized&amp;p_p_col_id=column-2&amp;p_p_col_pos=1&amp;p_p_col_count=2&amp;_169_struts_action=%2Fdynamic_data_list_display%2Fview_record&amp;_169_recordId=755219&amp;_169_redirect=https%3A%2F%2Fwww.eba.europa.eu%2Fregulation-and-policy%2Fmarket-infrastructures%2Fdraft-regulatory-technical-standards-on-risk-mitigation-techniques-for-otc-derivatives-not-cleared-by-a-central-counterparty-ccp-%2F-%2Fregulatory-activity%2Fconsultation-paper%2F6551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cehold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cehold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F2C50"/>
    <w:rsid w:val="008D50B6"/>
    <w:rsid w:val="00984AF4"/>
    <w:rsid w:val="00BD247C"/>
    <w:rsid w:val="00CD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2AEA-020F-4AC7-AACA-32E8EF70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Template>
  <TotalTime>52</TotalTime>
  <Pages>11</Pages>
  <Words>4444</Words>
  <Characters>24653</Characters>
  <Application>Microsoft Office Word</Application>
  <DocSecurity>8</DocSecurity>
  <Lines>205</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20110000</vt:lpstr>
      <vt:lpstr>20110000</vt:lpstr>
    </vt:vector>
  </TitlesOfParts>
  <Company>Oxalide</Company>
  <LinksUpToDate>false</LinksUpToDate>
  <CharactersWithSpaces>29039</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Catherine Phillips</cp:lastModifiedBy>
  <cp:revision>4</cp:revision>
  <cp:lastPrinted>2014-07-10T08:22:00Z</cp:lastPrinted>
  <dcterms:created xsi:type="dcterms:W3CDTF">2014-09-17T08:47:00Z</dcterms:created>
  <dcterms:modified xsi:type="dcterms:W3CDTF">2014-09-17T10:36:00Z</dcterms:modified>
</cp:coreProperties>
</file>