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1"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2"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29"/>
        <w:gridCol w:w="5973"/>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01145F03" w:rsidR="00BC2D1C" w:rsidRDefault="00205D1C" w:rsidP="00E62FA2">
            <w:permStart w:id="2025793954" w:edGrp="everyone"/>
            <w:r>
              <w:t>Federation of European Securities Exchanges (FESE)</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3B7A1564" w:rsidR="00E62FA2" w:rsidRDefault="00A937E4"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205D1C">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358F6B7F" w:rsidR="00E62FA2" w:rsidRDefault="00A937E4"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205D1C">
                  <w:t>Regulated markets/Exchanges/Trading Systems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0D4EF783" w:rsidR="00E62FA2" w:rsidRDefault="00205D1C" w:rsidP="00E62FA2">
                <w:r>
                  <w:t>Europe</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7EAE06E8" w14:textId="77777777" w:rsidR="000E0566" w:rsidRPr="003A1FEF" w:rsidRDefault="000E0566" w:rsidP="000E0566">
      <w:pPr>
        <w:pStyle w:val="NormalWeb"/>
        <w:spacing w:before="0" w:beforeAutospacing="0" w:after="0" w:afterAutospacing="0"/>
        <w:jc w:val="both"/>
        <w:rPr>
          <w:rStyle w:val="text"/>
          <w:rFonts w:ascii="Georgia" w:hAnsi="Georgia" w:cstheme="minorHAnsi"/>
          <w:b/>
          <w:sz w:val="20"/>
          <w:szCs w:val="20"/>
          <w:u w:val="single"/>
        </w:rPr>
      </w:pPr>
      <w:permStart w:id="1926890795" w:edGrp="everyone"/>
      <w:r w:rsidRPr="003A1FEF">
        <w:rPr>
          <w:rStyle w:val="text"/>
          <w:rFonts w:ascii="Georgia" w:hAnsi="Georgia" w:cstheme="minorHAnsi"/>
          <w:b/>
          <w:sz w:val="20"/>
          <w:szCs w:val="20"/>
          <w:u w:val="single"/>
        </w:rPr>
        <w:t>1. General Introduction</w:t>
      </w:r>
    </w:p>
    <w:p w14:paraId="754BFFF8" w14:textId="77777777" w:rsidR="000E0566" w:rsidRPr="00147C7E" w:rsidRDefault="000E0566" w:rsidP="000E0566">
      <w:pPr>
        <w:pStyle w:val="NormalWeb"/>
        <w:spacing w:before="0" w:beforeAutospacing="0" w:after="0" w:afterAutospacing="0"/>
        <w:jc w:val="both"/>
        <w:rPr>
          <w:rStyle w:val="text"/>
          <w:rFonts w:ascii="Georgia" w:hAnsi="Georgia" w:cstheme="minorHAnsi"/>
          <w:sz w:val="20"/>
          <w:szCs w:val="20"/>
        </w:rPr>
      </w:pPr>
      <w:r w:rsidRPr="00147C7E">
        <w:rPr>
          <w:rStyle w:val="text"/>
          <w:rFonts w:ascii="Georgia" w:hAnsi="Georgia" w:cstheme="minorHAnsi"/>
          <w:sz w:val="20"/>
          <w:szCs w:val="20"/>
        </w:rPr>
        <w:t>The Federation of European Securities Exchanges (FESE) represents 41 exchanges active in equities, bonds, derivatives and commodities through 21 full members from 30 countries, as well as 2 Observer Members from European emerging markets. FESE represents public Regulated Markets (RMs), which provide both institutional and retail investors with transparent and neutral price-formation.</w:t>
      </w:r>
    </w:p>
    <w:p w14:paraId="7FA7B983" w14:textId="77777777" w:rsidR="000E0566" w:rsidRPr="00147C7E" w:rsidRDefault="000E0566" w:rsidP="000E0566">
      <w:pPr>
        <w:pStyle w:val="NormalWeb"/>
        <w:spacing w:before="0" w:beforeAutospacing="0" w:after="0" w:afterAutospacing="0"/>
        <w:jc w:val="both"/>
        <w:rPr>
          <w:rFonts w:ascii="Georgia" w:hAnsi="Georgia" w:cstheme="minorHAnsi"/>
          <w:sz w:val="20"/>
          <w:szCs w:val="20"/>
        </w:rPr>
      </w:pPr>
    </w:p>
    <w:p w14:paraId="6084D07F" w14:textId="77777777" w:rsidR="000E0566" w:rsidRPr="00147C7E" w:rsidRDefault="000E0566" w:rsidP="000E0566">
      <w:pPr>
        <w:autoSpaceDE w:val="0"/>
        <w:autoSpaceDN w:val="0"/>
        <w:adjustRightInd w:val="0"/>
        <w:jc w:val="both"/>
        <w:rPr>
          <w:rFonts w:cstheme="minorHAnsi"/>
          <w:szCs w:val="20"/>
        </w:rPr>
      </w:pPr>
      <w:r w:rsidRPr="00147C7E">
        <w:rPr>
          <w:rFonts w:cstheme="minorHAnsi"/>
          <w:szCs w:val="20"/>
        </w:rPr>
        <w:t>At the end of 2013, FESE members had up to 8,950 companies listed on their markets, of which 8% are foreign companies contributing towards the European integration and providing broad and liquid access to Europe’s capital markets. Many of our members also organise specialised markets that allow small and medium sized companies across Europe to access the capital markets; 1,478 companies were listed in these specialised markets/segments in equity, increasing choice for investors and issuers. Through their RM and MTF operations, FESE members are keen to support the European Commission’s objective of creating a single market in capital markets.</w:t>
      </w:r>
    </w:p>
    <w:p w14:paraId="623F865B" w14:textId="77777777" w:rsidR="000E0566" w:rsidRPr="00147C7E" w:rsidRDefault="000E0566" w:rsidP="000E0566">
      <w:pPr>
        <w:jc w:val="both"/>
        <w:rPr>
          <w:rFonts w:cstheme="minorHAnsi"/>
          <w:szCs w:val="20"/>
        </w:rPr>
      </w:pPr>
    </w:p>
    <w:p w14:paraId="3A123251" w14:textId="77777777" w:rsidR="000E0566" w:rsidRDefault="000E0566" w:rsidP="000E0566">
      <w:pPr>
        <w:rPr>
          <w:rFonts w:cstheme="minorHAnsi"/>
          <w:szCs w:val="20"/>
        </w:rPr>
      </w:pPr>
      <w:r w:rsidRPr="00147C7E">
        <w:rPr>
          <w:rFonts w:cstheme="minorHAnsi"/>
          <w:szCs w:val="20"/>
        </w:rPr>
        <w:t>FESE supports efficient, fair, orderly and transparent financial markets that meet the needs of well protected and informed investors and provide a source for companies to raise capital and for investors to hedge their portfolios.</w:t>
      </w:r>
    </w:p>
    <w:p w14:paraId="67211E6C" w14:textId="77777777" w:rsidR="000E0566" w:rsidRPr="00F836B6" w:rsidRDefault="000E0566" w:rsidP="000E0566">
      <w:pPr>
        <w:rPr>
          <w:rFonts w:cstheme="minorHAnsi"/>
          <w:szCs w:val="20"/>
        </w:rPr>
      </w:pPr>
    </w:p>
    <w:p w14:paraId="737B8CC3" w14:textId="797DC110" w:rsidR="00753140" w:rsidRDefault="000E0566" w:rsidP="000E0566">
      <w:pPr>
        <w:rPr>
          <w:rFonts w:cstheme="minorHAnsi"/>
          <w:szCs w:val="20"/>
        </w:rPr>
      </w:pPr>
      <w:r w:rsidRPr="00F836B6">
        <w:rPr>
          <w:rFonts w:cstheme="minorHAnsi"/>
          <w:szCs w:val="20"/>
        </w:rPr>
        <w:t>FESE would also wish</w:t>
      </w:r>
      <w:r w:rsidR="00B062B2">
        <w:rPr>
          <w:rFonts w:cstheme="minorHAnsi"/>
          <w:szCs w:val="20"/>
        </w:rPr>
        <w:t xml:space="preserve"> </w:t>
      </w:r>
      <w:r w:rsidRPr="00F836B6">
        <w:rPr>
          <w:rFonts w:cstheme="minorHAnsi"/>
          <w:szCs w:val="20"/>
        </w:rPr>
        <w:t xml:space="preserve">to state that the questions in this CP that we do not provide a detailed answer on, we are aligned with the response as submitted by the European Association of Clearing Houses (EACH). </w:t>
      </w:r>
    </w:p>
    <w:p w14:paraId="1005091D" w14:textId="77777777" w:rsidR="00753140" w:rsidRDefault="00753140" w:rsidP="000E0566">
      <w:pPr>
        <w:rPr>
          <w:rFonts w:cstheme="minorHAnsi"/>
          <w:szCs w:val="20"/>
        </w:rPr>
      </w:pPr>
    </w:p>
    <w:p w14:paraId="788ED34A" w14:textId="77777777" w:rsidR="00753140" w:rsidRPr="00F836B6" w:rsidRDefault="00753140" w:rsidP="00753140">
      <w:pPr>
        <w:jc w:val="both"/>
        <w:rPr>
          <w:rFonts w:cstheme="minorHAnsi"/>
          <w:b/>
          <w:szCs w:val="20"/>
          <w:u w:val="single"/>
        </w:rPr>
      </w:pPr>
      <w:r w:rsidRPr="00F836B6">
        <w:rPr>
          <w:rFonts w:cstheme="minorHAnsi"/>
          <w:b/>
          <w:szCs w:val="20"/>
          <w:u w:val="single"/>
        </w:rPr>
        <w:t xml:space="preserve">2. Link between </w:t>
      </w:r>
      <w:r w:rsidRPr="00F836B6">
        <w:rPr>
          <w:b/>
          <w:szCs w:val="20"/>
          <w:u w:val="single"/>
        </w:rPr>
        <w:t xml:space="preserve">EMIR Clearing Obligations and MiFIR Trading Obligation </w:t>
      </w:r>
      <w:r w:rsidRPr="00F836B6">
        <w:rPr>
          <w:rFonts w:cstheme="minorHAnsi"/>
          <w:b/>
          <w:szCs w:val="20"/>
          <w:u w:val="single"/>
        </w:rPr>
        <w:t>&amp; Transparency Regime</w:t>
      </w:r>
    </w:p>
    <w:p w14:paraId="78BD6B1B" w14:textId="2699ECE7" w:rsidR="00753140" w:rsidRPr="003342BA" w:rsidRDefault="00753140" w:rsidP="003342BA">
      <w:pPr>
        <w:jc w:val="both"/>
        <w:rPr>
          <w:szCs w:val="20"/>
        </w:rPr>
      </w:pPr>
      <w:r>
        <w:rPr>
          <w:szCs w:val="20"/>
        </w:rPr>
        <w:t xml:space="preserve">As stated in our response to the ESMA </w:t>
      </w:r>
      <w:r w:rsidRPr="00753140">
        <w:rPr>
          <w:szCs w:val="20"/>
        </w:rPr>
        <w:t>Consultation p</w:t>
      </w:r>
      <w:r>
        <w:rPr>
          <w:szCs w:val="20"/>
        </w:rPr>
        <w:t xml:space="preserve">aper on Clearing Obligation no1, </w:t>
      </w:r>
      <w:r w:rsidRPr="006B6BC7">
        <w:rPr>
          <w:szCs w:val="20"/>
        </w:rPr>
        <w:t>FESE urges ESMA to consider the overall impact that its work on the EMIR Clearing Obligation will ultimately have on the final implementation of the MiFIR Trading Obligation</w:t>
      </w:r>
      <w:r w:rsidRPr="006B6BC7">
        <w:rPr>
          <w:rStyle w:val="FootnoteReference"/>
          <w:szCs w:val="20"/>
        </w:rPr>
        <w:footnoteReference w:id="1"/>
      </w:r>
      <w:r w:rsidRPr="006B6BC7">
        <w:rPr>
          <w:szCs w:val="20"/>
        </w:rPr>
        <w:t xml:space="preserve">. </w:t>
      </w:r>
      <w:r w:rsidRPr="006B6BC7">
        <w:rPr>
          <w:rFonts w:cstheme="minorHAnsi"/>
          <w:szCs w:val="20"/>
        </w:rPr>
        <w:t xml:space="preserve">Critically, because of the way the trading obligation is designed, any instrument which does not fall under the scope of the EMIR clearing obligation will not be eligible for the trading obligation. </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fldSimple w:instr=" SEQ Question \* ARABIC ">
        <w:r w:rsidR="00A937E4">
          <w:rPr>
            <w:noProof/>
          </w:rPr>
          <w:t>1</w:t>
        </w:r>
      </w:fldSimple>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488D2A67" w14:textId="77777777" w:rsidR="00E44A9F" w:rsidRPr="003342BA" w:rsidRDefault="00E44A9F" w:rsidP="003342BA">
      <w:pPr>
        <w:jc w:val="both"/>
        <w:rPr>
          <w:rFonts w:eastAsia="Calibri"/>
          <w:sz w:val="24"/>
        </w:rPr>
      </w:pPr>
      <w:permStart w:id="1564177794" w:edGrp="everyone"/>
      <w:r w:rsidRPr="003342BA">
        <w:rPr>
          <w:rFonts w:eastAsia="Calibri"/>
          <w:szCs w:val="20"/>
        </w:rPr>
        <w:t>FESE supports the approach taken by ESMA of grouping the clearing obligation consultation papers per asset classes.  We would also urge ESMA to review a decision not to impose a clearing obligation on a class or sub-class of derivatives on a regular basis.  Paragraph 9  of the consultation paper notes that the clearing obligation will be triggered when an EU CCP is first authorised, when an extension of activity is granted or when a third country CCP is recognised by ESMA. We believe that ESMA should clarify the triggers and procedure for reviewing a decision not to impose a clearing obligation</w:t>
      </w:r>
      <w:r w:rsidRPr="003342BA">
        <w:rPr>
          <w:rFonts w:eastAsia="Calibri"/>
          <w:sz w:val="24"/>
        </w:rPr>
        <w:t>.</w:t>
      </w:r>
    </w:p>
    <w:permEnd w:id="1564177794"/>
    <w:p w14:paraId="705C1D4B" w14:textId="6AA08436"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Heading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lastRenderedPageBreak/>
        <w:t xml:space="preserve">Question </w:t>
      </w:r>
      <w:fldSimple w:instr=" SEQ Question \* ARABIC ">
        <w:r w:rsidR="00A937E4">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12BF05D0" w14:textId="77777777" w:rsidR="00E44A9F" w:rsidRPr="00B062B2" w:rsidRDefault="00E44A9F" w:rsidP="003342BA">
      <w:pPr>
        <w:jc w:val="both"/>
        <w:rPr>
          <w:rFonts w:eastAsiaTheme="minorHAnsi"/>
          <w:bCs/>
          <w:szCs w:val="20"/>
          <w:lang w:eastAsia="en-US"/>
        </w:rPr>
      </w:pPr>
      <w:permStart w:id="1575779171" w:edGrp="everyone"/>
      <w:r w:rsidRPr="00B062B2">
        <w:rPr>
          <w:rFonts w:eastAsiaTheme="minorHAnsi"/>
          <w:bCs/>
          <w:szCs w:val="20"/>
          <w:lang w:eastAsia="en-US"/>
        </w:rPr>
        <w:t>We note that the CDX index series is not included in the range of untranched index CDS contracts proposed to be subject to the clearing obligation.  Whilst this is a natural consequence of the asset classes not currently being notified, it results in a marked difference in the scope of the clearing obligation between EU and the US.  In line with our response to Question 1, we would encourage ESMA to review this situation as soon as a CCP is authorised or registered for such products, in order to enable international convergence.</w:t>
      </w:r>
    </w:p>
    <w:p w14:paraId="454EAD44" w14:textId="77777777" w:rsidR="00E44A9F" w:rsidRPr="00B062B2" w:rsidRDefault="00E44A9F" w:rsidP="003342BA">
      <w:pPr>
        <w:jc w:val="both"/>
        <w:rPr>
          <w:rFonts w:eastAsiaTheme="minorHAnsi"/>
          <w:bCs/>
          <w:szCs w:val="20"/>
          <w:lang w:eastAsia="en-US"/>
        </w:rPr>
      </w:pPr>
    </w:p>
    <w:p w14:paraId="7659E616" w14:textId="77777777" w:rsidR="00E44A9F" w:rsidRPr="00B062B2" w:rsidRDefault="00E44A9F" w:rsidP="003342BA">
      <w:pPr>
        <w:jc w:val="both"/>
        <w:rPr>
          <w:rFonts w:eastAsiaTheme="minorHAnsi"/>
          <w:bCs/>
          <w:szCs w:val="20"/>
          <w:lang w:eastAsia="en-US"/>
        </w:rPr>
      </w:pPr>
      <w:r w:rsidRPr="00B062B2">
        <w:rPr>
          <w:rFonts w:eastAsiaTheme="minorHAnsi"/>
          <w:bCs/>
          <w:szCs w:val="20"/>
          <w:lang w:eastAsia="en-US"/>
        </w:rPr>
        <w:t>ESMA proposes the exclusion of the iTraxx Europe High Volatility index from the scope of the clearing obligation, on the basis of lower volumes than the iTraxx Main and Crossover indices.  FESE agrees with the determination of the CFTC that despite such lower volumes, the iTraxx Europe High Volatility index meets the requisite criteria for inclusion in the clearing obligation.  The inclusion of this product by ESMA in the scope of the clearing obligation in Europe would avoid international divergence.</w:t>
      </w:r>
    </w:p>
    <w:p w14:paraId="71DCD8C5" w14:textId="77777777" w:rsidR="00E44A9F" w:rsidRPr="00B062B2" w:rsidRDefault="00E44A9F" w:rsidP="003342BA">
      <w:pPr>
        <w:jc w:val="both"/>
        <w:rPr>
          <w:rFonts w:eastAsiaTheme="minorHAnsi"/>
          <w:bCs/>
          <w:szCs w:val="20"/>
          <w:lang w:eastAsia="en-US"/>
        </w:rPr>
      </w:pPr>
    </w:p>
    <w:p w14:paraId="4074E44B" w14:textId="6C283401" w:rsidR="00E44A9F" w:rsidRPr="00B062B2" w:rsidRDefault="00E44A9F" w:rsidP="003342BA">
      <w:pPr>
        <w:jc w:val="both"/>
        <w:rPr>
          <w:rFonts w:eastAsiaTheme="minorHAnsi"/>
          <w:bCs/>
          <w:szCs w:val="20"/>
          <w:lang w:eastAsia="en-US"/>
        </w:rPr>
      </w:pPr>
      <w:r w:rsidRPr="00B062B2">
        <w:rPr>
          <w:rFonts w:eastAsiaTheme="minorHAnsi"/>
          <w:bCs/>
          <w:szCs w:val="20"/>
          <w:lang w:eastAsia="en-US"/>
        </w:rPr>
        <w:t>We also note the exclusion of single name CDS and financials indices from the scope of products proposed to be subject to the clearing obligation.  The rationale expressed in paragraph 60 of the Consultation Paper for the exclusion of these products is that ‘</w:t>
      </w:r>
      <w:r w:rsidRPr="00B062B2">
        <w:rPr>
          <w:rFonts w:eastAsiaTheme="minorHAnsi"/>
          <w:bCs/>
          <w:i/>
          <w:szCs w:val="20"/>
          <w:lang w:eastAsia="en-US"/>
        </w:rPr>
        <w:t>the clearing of financials single name CDS or indices can bear wrong-way risk or introduce a correlated risk with the clearing members of the CCP</w:t>
      </w:r>
      <w:r w:rsidRPr="00B062B2">
        <w:rPr>
          <w:rFonts w:eastAsiaTheme="minorHAnsi"/>
          <w:bCs/>
          <w:szCs w:val="20"/>
          <w:lang w:eastAsia="en-US"/>
        </w:rPr>
        <w:t>’.  FESE believes that such issues do indeed need to be carefully taken into account in the clearing methodology, practices and procedures for CCPs in clearing such products, in line with EMIR.  However, once an authorised or registered CCP has put in place such controls, and been accordingly approved to clear such products, there seems to be no reason to exclude either single name CDS or financials indices from the clearing obligation on this basis.  Indeed, FESE believes that despite such products having only been centrally cleared since March 2014, they should be included within the scope of the clearing obligation.</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fldSimple w:instr=" SEQ Question \* ARABIC ">
        <w:r w:rsidR="00A937E4">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5F5E87D0" w14:textId="77777777" w:rsidR="00E44A9F" w:rsidRPr="00B062B2" w:rsidRDefault="00E44A9F" w:rsidP="00E44A9F">
      <w:pPr>
        <w:spacing w:line="276" w:lineRule="auto"/>
        <w:rPr>
          <w:rFonts w:eastAsiaTheme="minorHAnsi"/>
          <w:bCs/>
          <w:szCs w:val="20"/>
          <w:lang w:eastAsia="en-US"/>
        </w:rPr>
      </w:pPr>
      <w:permStart w:id="1419206484" w:edGrp="everyone"/>
      <w:r w:rsidRPr="00B062B2">
        <w:rPr>
          <w:rFonts w:eastAsiaTheme="minorHAnsi"/>
          <w:bCs/>
          <w:szCs w:val="20"/>
          <w:lang w:eastAsia="en-US"/>
        </w:rPr>
        <w:t>See our response to Question 2.</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3" w:name="_Ref390182009"/>
      <w:bookmarkStart w:id="14"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5" w:name="_Ref392684359"/>
      <w:bookmarkStart w:id="16" w:name="_Ref389061836"/>
      <w:bookmarkEnd w:id="13"/>
      <w:bookmarkEnd w:id="14"/>
    </w:p>
    <w:p w14:paraId="413DF82E" w14:textId="65C2DA0A" w:rsidR="00AA0857" w:rsidRPr="00AA0857" w:rsidRDefault="00AA0857" w:rsidP="00AA0857">
      <w:pPr>
        <w:pStyle w:val="Heading2"/>
      </w:pPr>
      <w:r w:rsidRPr="00AA0857">
        <w:t>Analysis of the criteria relevant for the determination of the dates</w:t>
      </w:r>
      <w:bookmarkEnd w:id="15"/>
      <w:bookmarkEnd w:id="16"/>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fldSimple w:instr=" SEQ Question \* ARABIC ">
        <w:r w:rsidR="00A937E4">
          <w:rPr>
            <w:noProof/>
          </w:rPr>
          <w:t>4</w:t>
        </w:r>
      </w:fldSimple>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75D2A098" w14:textId="77777777" w:rsidR="00E44A9F" w:rsidRPr="00B062B2" w:rsidRDefault="00E44A9F" w:rsidP="00B062B2">
      <w:pPr>
        <w:jc w:val="both"/>
        <w:rPr>
          <w:rFonts w:eastAsiaTheme="minorHAnsi"/>
          <w:bCs/>
          <w:szCs w:val="20"/>
          <w:lang w:eastAsia="en-US"/>
        </w:rPr>
      </w:pPr>
      <w:permStart w:id="327113600" w:edGrp="everyone"/>
      <w:r w:rsidRPr="00B062B2">
        <w:rPr>
          <w:rFonts w:eastAsiaTheme="minorHAnsi"/>
          <w:bCs/>
          <w:szCs w:val="20"/>
          <w:lang w:eastAsia="en-US"/>
        </w:rPr>
        <w:t xml:space="preserve">FESE agrees with the analysis, including particularly that there are sufficient clearing members, including those offering client clearing, to sustain the clearing obligation. As noted in paragraph 102 of the Consultation Paper, the market in credit derivatives is substantially smaller than the market in interest rate derivatives, with a significantly lower number of market participants. </w:t>
      </w:r>
    </w:p>
    <w:p w14:paraId="2C67CBB3" w14:textId="77777777" w:rsidR="00E44A9F" w:rsidRPr="00B062B2" w:rsidRDefault="00E44A9F" w:rsidP="00B062B2">
      <w:pPr>
        <w:jc w:val="both"/>
        <w:rPr>
          <w:rFonts w:eastAsiaTheme="minorHAnsi"/>
          <w:b/>
          <w:bCs/>
          <w:szCs w:val="20"/>
          <w:lang w:eastAsia="en-US"/>
        </w:rPr>
      </w:pPr>
    </w:p>
    <w:p w14:paraId="18AEE684" w14:textId="451295FF" w:rsidR="000E31C3" w:rsidRPr="00B062B2" w:rsidRDefault="00E44A9F" w:rsidP="00B062B2">
      <w:pPr>
        <w:jc w:val="both"/>
      </w:pPr>
      <w:r w:rsidRPr="00B062B2">
        <w:rPr>
          <w:rFonts w:eastAsiaTheme="minorHAnsi"/>
          <w:bCs/>
          <w:szCs w:val="20"/>
          <w:lang w:eastAsia="en-US"/>
        </w:rPr>
        <w:t>More generally, FESE agrees with the conclusion set out in paragra</w:t>
      </w:r>
      <w:r w:rsidR="008611E7" w:rsidRPr="00B062B2">
        <w:rPr>
          <w:rFonts w:eastAsiaTheme="minorHAnsi"/>
          <w:bCs/>
          <w:szCs w:val="20"/>
          <w:lang w:eastAsia="en-US"/>
        </w:rPr>
        <w:t>ph 93 of the Consultation Paper</w:t>
      </w:r>
      <w:r w:rsidRPr="00B062B2">
        <w:rPr>
          <w:rFonts w:eastAsiaTheme="minorHAnsi"/>
          <w:bCs/>
          <w:szCs w:val="20"/>
          <w:lang w:eastAsia="en-US"/>
        </w:rPr>
        <w:t xml:space="preserve"> that the number of clearing members is of greater importance than the number of CCPs clearing the class.  FESE further agrees that it is appropriate to focus not on the absolute number of clearing members but the number relative to the number and type of participants in the market.  In this context, the number of CCPs clearing the class is only a material relevant factor in situations where a small number of CCPs would result in a bottleneck for growth of business, or restrict growth in the number of participants in the market.  FESE does not believe that such conditions exist for any of the products under consideration for application of a clearing obligation.</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fldSimple w:instr=" SEQ Question \* ARABIC ">
        <w:r w:rsidR="00A937E4">
          <w:rPr>
            <w:noProof/>
          </w:rPr>
          <w:t>5</w:t>
        </w:r>
      </w:fldSimple>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61BCA7F9" w14:textId="77777777" w:rsidR="00E44A9F" w:rsidRPr="00B062B2" w:rsidRDefault="00E44A9F" w:rsidP="003342BA">
      <w:pPr>
        <w:jc w:val="both"/>
        <w:rPr>
          <w:bCs/>
          <w:szCs w:val="20"/>
        </w:rPr>
      </w:pPr>
      <w:permStart w:id="1259478659" w:edGrp="everyone"/>
      <w:r w:rsidRPr="00B062B2">
        <w:rPr>
          <w:bCs/>
          <w:szCs w:val="20"/>
        </w:rPr>
        <w:t>Yes, FESE believes there are considerable benefits of clarity in maintaining the same categories for the credit and the interest rate asset classes.</w:t>
      </w:r>
    </w:p>
    <w:permEnd w:id="1259478659"/>
    <w:p w14:paraId="595FC331" w14:textId="1D84EB8D"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7" w:name="_Ref389061941"/>
      <w:r w:rsidRPr="00AA0857">
        <w:t xml:space="preserve">Determination of the </w:t>
      </w:r>
      <w:bookmarkEnd w:id="17"/>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fldSimple w:instr=" SEQ Question \* ARABIC ">
        <w:r w:rsidR="00A937E4">
          <w:rPr>
            <w:noProof/>
          </w:rPr>
          <w:t>6</w:t>
        </w:r>
      </w:fldSimple>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5CBCD221" w14:textId="52FDF71C" w:rsidR="00E44A9F" w:rsidRPr="00B062B2" w:rsidRDefault="00E44A9F" w:rsidP="003342BA">
      <w:pPr>
        <w:jc w:val="both"/>
        <w:rPr>
          <w:bCs/>
          <w:szCs w:val="20"/>
        </w:rPr>
      </w:pPr>
      <w:permStart w:id="426457662" w:edGrp="everyone"/>
      <w:r w:rsidRPr="00B062B2">
        <w:rPr>
          <w:bCs/>
          <w:szCs w:val="20"/>
        </w:rPr>
        <w:t>As set out in our response to Question 5, the credit derivatives market has a significantly smaller number of market participants than the int</w:t>
      </w:r>
      <w:r w:rsidR="008611E7" w:rsidRPr="00B062B2">
        <w:rPr>
          <w:bCs/>
          <w:szCs w:val="20"/>
        </w:rPr>
        <w:t xml:space="preserve">erest rate </w:t>
      </w:r>
      <w:bookmarkStart w:id="18" w:name="_GoBack"/>
      <w:bookmarkEnd w:id="18"/>
      <w:r w:rsidR="008611E7" w:rsidRPr="00B062B2">
        <w:rPr>
          <w:bCs/>
          <w:szCs w:val="20"/>
        </w:rPr>
        <w:t xml:space="preserve">derivatives market. </w:t>
      </w:r>
      <w:r w:rsidRPr="00B062B2">
        <w:rPr>
          <w:bCs/>
          <w:szCs w:val="20"/>
        </w:rPr>
        <w:t>FESE would like to highlight that CCPs would be prepared to facilitate a clearing obligation earlier than the proposed dates for the different categories, particularly in relation to the proposed timelines for categories 2 and 3.</w:t>
      </w:r>
    </w:p>
    <w:permEnd w:id="426457662"/>
    <w:p w14:paraId="4B52D678" w14:textId="52D62FE7"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9" w:name="_Ref390182030"/>
      <w:bookmarkStart w:id="20" w:name="_Toc392685530"/>
      <w:r w:rsidRPr="00A84770">
        <w:lastRenderedPageBreak/>
        <w:t>Remaining maturity</w:t>
      </w:r>
      <w:r>
        <w:t xml:space="preserve"> and frontloading</w:t>
      </w:r>
      <w:bookmarkEnd w:id="19"/>
      <w:bookmarkEnd w:id="20"/>
    </w:p>
    <w:p w14:paraId="095DD89F" w14:textId="77777777" w:rsidR="000E31C3" w:rsidRDefault="000E31C3" w:rsidP="000E31C3"/>
    <w:p w14:paraId="704C0395" w14:textId="7B1450C4" w:rsidR="000E31C3" w:rsidRDefault="000E31C3" w:rsidP="000E31C3">
      <w:pPr>
        <w:pStyle w:val="Questions"/>
      </w:pPr>
      <w:r>
        <w:t xml:space="preserve">Question </w:t>
      </w:r>
      <w:fldSimple w:instr=" SEQ Question \* ARABIC ">
        <w:r w:rsidR="00A937E4">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61A20B8D" w14:textId="77777777" w:rsidR="000E31C3" w:rsidRDefault="000E31C3" w:rsidP="000E31C3">
      <w:permStart w:id="1836743607" w:edGrp="everyone"/>
      <w:r>
        <w:t>TYPE YOUR TEXT HERE</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1" w:name="_Ref389465288"/>
      <w:bookmarkStart w:id="22" w:name="_Toc392599429"/>
      <w:r w:rsidRPr="00B95561">
        <w:t xml:space="preserve">Annex </w:t>
      </w:r>
      <w:fldSimple w:instr=" SEQ Annex \* ROMAN ">
        <w:r w:rsidR="00A937E4">
          <w:rPr>
            <w:noProof/>
          </w:rPr>
          <w:t>I</w:t>
        </w:r>
      </w:fldSimple>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3" w:name="_Ref389466688"/>
      <w:bookmarkStart w:id="24" w:name="_Toc392599430"/>
      <w:r w:rsidRPr="009E0D2D">
        <w:t xml:space="preserve">Annex </w:t>
      </w:r>
      <w:fldSimple w:instr=" SEQ Annex \* ROMAN ">
        <w:r w:rsidR="00A937E4">
          <w:rPr>
            <w:noProof/>
          </w:rPr>
          <w:t>II</w:t>
        </w:r>
      </w:fldSimple>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fldSimple w:instr=" SEQ Question \* ARABIC ">
        <w:r w:rsidR="00A937E4">
          <w:rPr>
            <w:noProof/>
          </w:rPr>
          <w:t>8</w:t>
        </w:r>
      </w:fldSimple>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77777777" w:rsidR="000E31C3" w:rsidRDefault="000E31C3" w:rsidP="000E31C3">
      <w:permStart w:id="324959834" w:edGrp="everyone"/>
      <w:r>
        <w:t>TYPE YOUR TEXT HERE</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Heading1"/>
        <w:numPr>
          <w:ilvl w:val="0"/>
          <w:numId w:val="0"/>
        </w:numPr>
      </w:pPr>
      <w:r w:rsidRPr="0030524D">
        <w:t xml:space="preserve">Annex </w:t>
      </w:r>
      <w:fldSimple w:instr=" SEQ Annex \* ROMAN ">
        <w:r w:rsidR="00A937E4">
          <w:rPr>
            <w:noProof/>
          </w:rPr>
          <w:t>III</w:t>
        </w:r>
      </w:fldSimple>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fldSimple w:instr=" SEQ Question \* ARABIC ">
        <w:r w:rsidR="00A937E4">
          <w:rPr>
            <w:noProof/>
          </w:rPr>
          <w:t>9</w:t>
        </w:r>
      </w:fldSimple>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3"/>
      <w:headerReference w:type="first" r:id="rId14"/>
      <w:footerReference w:type="first" r:id="rId15"/>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2C9AD" w14:textId="77777777" w:rsidR="00160C9E" w:rsidRDefault="00160C9E">
      <w:r>
        <w:separator/>
      </w:r>
    </w:p>
    <w:p w14:paraId="23AFD9A0" w14:textId="77777777" w:rsidR="00160C9E" w:rsidRDefault="00160C9E"/>
    <w:p w14:paraId="2C3C988E" w14:textId="77777777" w:rsidR="00160C9E" w:rsidRDefault="00160C9E"/>
  </w:endnote>
  <w:endnote w:type="continuationSeparator" w:id="0">
    <w:p w14:paraId="673FFBC0" w14:textId="77777777" w:rsidR="00160C9E" w:rsidRDefault="00160C9E">
      <w:r>
        <w:continuationSeparator/>
      </w:r>
    </w:p>
    <w:p w14:paraId="1CA9E405" w14:textId="77777777" w:rsidR="00160C9E" w:rsidRDefault="00160C9E"/>
    <w:p w14:paraId="3C9D638A" w14:textId="77777777" w:rsidR="00160C9E" w:rsidRDefault="00160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A937E4">
            <w:rPr>
              <w:noProof/>
            </w:rPr>
            <w:t>7</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A937E4">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856D6" w14:textId="77777777" w:rsidR="00160C9E" w:rsidRDefault="00160C9E">
      <w:r>
        <w:separator/>
      </w:r>
    </w:p>
    <w:p w14:paraId="0EF81AF9" w14:textId="77777777" w:rsidR="00160C9E" w:rsidRDefault="00160C9E"/>
  </w:footnote>
  <w:footnote w:type="continuationSeparator" w:id="0">
    <w:p w14:paraId="3CE88B2F" w14:textId="77777777" w:rsidR="00160C9E" w:rsidRDefault="00160C9E">
      <w:r>
        <w:continuationSeparator/>
      </w:r>
    </w:p>
    <w:p w14:paraId="40305BF9" w14:textId="77777777" w:rsidR="00160C9E" w:rsidRDefault="00160C9E"/>
    <w:p w14:paraId="1A452764" w14:textId="77777777" w:rsidR="00160C9E" w:rsidRDefault="00160C9E"/>
  </w:footnote>
  <w:footnote w:id="1">
    <w:p w14:paraId="0B47F936" w14:textId="77777777" w:rsidR="00753140" w:rsidRPr="00542489" w:rsidRDefault="00753140" w:rsidP="00753140">
      <w:pPr>
        <w:pStyle w:val="FootnoteText"/>
        <w:rPr>
          <w:lang w:val="en-US"/>
        </w:rPr>
      </w:pPr>
      <w:r>
        <w:rPr>
          <w:lang w:val="en-US"/>
        </w:rPr>
        <w:t xml:space="preserve">1. </w:t>
      </w:r>
      <w:r w:rsidRPr="00542489">
        <w:rPr>
          <w:lang w:val="en-US"/>
        </w:rPr>
        <w:t>Regulation (EU) No 648/2012</w:t>
      </w:r>
      <w:r>
        <w:rPr>
          <w:lang w:val="en-US"/>
        </w:rPr>
        <w:t xml:space="preserve">: </w:t>
      </w:r>
      <w:r w:rsidRPr="00542489">
        <w:rPr>
          <w:lang w:val="en-US"/>
        </w:rPr>
        <w:t xml:space="preserve"> </w:t>
      </w:r>
      <w:r>
        <w:rPr>
          <w:lang w:val="en-US"/>
        </w:rPr>
        <w:t>Article 28(1) &amp;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D3A1" w14:textId="77777777" w:rsidR="00E42FD0" w:rsidRDefault="00E42FD0">
    <w:pPr>
      <w:pStyle w:val="Header"/>
    </w:pPr>
    <w:r>
      <w:rPr>
        <w:noProof/>
        <w:lang w:val="fr-BE" w:eastAsia="fr-BE"/>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3DCD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889E" w14:textId="77777777" w:rsidR="00E42FD0" w:rsidRDefault="00E42FD0">
    <w:pPr>
      <w:pStyle w:val="Header"/>
    </w:pPr>
    <w:r>
      <w:rPr>
        <w:noProof/>
        <w:lang w:val="fr-BE" w:eastAsia="fr-BE"/>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val="fr-BE" w:eastAsia="fr-BE"/>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72225"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fr-BE" w:eastAsia="fr-BE"/>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2289">
      <o:colormru v:ext="edit" colors="#2d4491,#28358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67335"/>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566"/>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0C9E"/>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05D1C"/>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2BA"/>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3140"/>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2145"/>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1E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3BEF"/>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BA6"/>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7E4"/>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C61CB"/>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62B2"/>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CE"/>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A9F"/>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502"/>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278EF"/>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4F1C"/>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2d4491,#283583"/>
    </o:shapedefaults>
    <o:shapelayout v:ext="edit">
      <o:idmap v:ext="edit" data="1"/>
    </o:shapelayout>
  </w:shapeDefaults>
  <w:decimalSymbol w:val="."/>
  <w:listSeparator w:val=","/>
  <w14:docId w14:val="09E0EA18"/>
  <w15:docId w15:val="{E55E7F66-1428-494F-A51C-D3AA12B0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0E0566"/>
    <w:pPr>
      <w:spacing w:before="100" w:beforeAutospacing="1" w:after="100" w:afterAutospacing="1"/>
    </w:pPr>
    <w:rPr>
      <w:rFonts w:ascii="Times New Roman" w:hAnsi="Times New Roman"/>
      <w:sz w:val="24"/>
      <w:lang w:eastAsia="en-GB"/>
    </w:rPr>
  </w:style>
  <w:style w:type="character" w:customStyle="1" w:styleId="text">
    <w:name w:val="text"/>
    <w:basedOn w:val="DefaultParagraphFont"/>
    <w:rsid w:val="000E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180B98"/>
    <w:rsid w:val="00253E2D"/>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DA68-3C6C-4F28-909B-5A1E73C2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4</TotalTime>
  <Pages>8</Pages>
  <Words>1872</Words>
  <Characters>10685</Characters>
  <Application>Microsoft Office Word</Application>
  <DocSecurity>8</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12532</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Author</cp:lastModifiedBy>
  <cp:revision>6</cp:revision>
  <cp:lastPrinted>2014-09-18T14:20:00Z</cp:lastPrinted>
  <dcterms:created xsi:type="dcterms:W3CDTF">2014-09-18T14:16:00Z</dcterms:created>
  <dcterms:modified xsi:type="dcterms:W3CDTF">2014-09-18T14:20:00Z</dcterms:modified>
</cp:coreProperties>
</file>