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54AEB12E" w:rsidR="00C2094B" w:rsidRPr="00AA6DAE" w:rsidRDefault="00C53BC8" w:rsidP="00BC2D1C">
            <w:pPr>
              <w:pStyle w:val="00bDBInfo"/>
            </w:pPr>
            <w:r>
              <w:t>11</w:t>
            </w:r>
            <w:r w:rsidR="00711212">
              <w:t xml:space="preserve"> July 2014</w:t>
            </w:r>
            <w:r w:rsidR="00C2094B" w:rsidRPr="00AA6DAE">
              <w:t>|</w:t>
            </w:r>
            <w:r w:rsidR="00BC2D1C">
              <w:t>2014/800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6F6192C1" w:rsidR="006B3CB5" w:rsidRPr="00791EB4" w:rsidRDefault="00BC2D1C" w:rsidP="0073272F">
            <w:pPr>
              <w:pStyle w:val="01aDBTitle"/>
            </w:pPr>
            <w:r>
              <w:t xml:space="preserve">Reply form to the </w:t>
            </w:r>
            <w:r w:rsidR="006B3CB5">
              <w:t xml:space="preserve">Consultation </w:t>
            </w:r>
            <w:r w:rsidR="0073272F">
              <w:t>Paper</w:t>
            </w:r>
            <w:r>
              <w:t xml:space="preserve"> on the  Clearing Obligation under EMIR (no. 2)</w:t>
            </w:r>
          </w:p>
        </w:tc>
      </w:tr>
      <w:tr w:rsidR="006B3CB5" w:rsidRPr="00315E96" w14:paraId="688F03D2" w14:textId="77777777" w:rsidTr="00200340">
        <w:trPr>
          <w:trHeight w:hRule="exact" w:val="454"/>
        </w:trPr>
        <w:tc>
          <w:tcPr>
            <w:tcW w:w="2325" w:type="dxa"/>
            <w:tcMar>
              <w:top w:w="142" w:type="dxa"/>
            </w:tcMar>
          </w:tcPr>
          <w:p w14:paraId="23AE1602" w14:textId="78EC7ECA"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8"/>
          <w:footerReference w:type="default" r:id="rId9"/>
          <w:headerReference w:type="first" r:id="rId1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77143474" w:rsidR="00620D7C" w:rsidRPr="000A3888" w:rsidRDefault="00620D7C" w:rsidP="000C3B6D">
            <w:pPr>
              <w:pStyle w:val="02Date"/>
            </w:pPr>
            <w:r w:rsidRPr="000A3888">
              <w:lastRenderedPageBreak/>
              <w:t xml:space="preserve">Date: </w:t>
            </w:r>
            <w:r w:rsidR="00C53BC8">
              <w:t>11</w:t>
            </w:r>
            <w:r w:rsidR="00711212">
              <w:t xml:space="preserve"> July</w:t>
            </w:r>
            <w:r w:rsidR="00B73315" w:rsidRPr="000A3888">
              <w:t xml:space="preserve"> 2014</w:t>
            </w:r>
          </w:p>
          <w:p w14:paraId="03C851D4" w14:textId="3BFBAC35" w:rsidR="00620D7C" w:rsidRDefault="00BD0C23" w:rsidP="00BC2D1C">
            <w:pPr>
              <w:pStyle w:val="02Date"/>
            </w:pPr>
            <w:r w:rsidRPr="000A3888">
              <w:t>2014</w:t>
            </w:r>
            <w:r w:rsidR="00711212">
              <w:t>/</w:t>
            </w:r>
            <w:r w:rsidR="00BC2D1C">
              <w:t>800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09B45628" w14:textId="4FD23507" w:rsidR="00BC2D1C" w:rsidRDefault="00BC2D1C" w:rsidP="00BC2D1C">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2), published on ESMA’s website.</w:t>
      </w:r>
    </w:p>
    <w:p w14:paraId="6659F0D4" w14:textId="77777777" w:rsidR="00BC2D1C" w:rsidRDefault="00BC2D1C" w:rsidP="00BC2D1C">
      <w:pPr>
        <w:pStyle w:val="04BodyText"/>
      </w:pPr>
      <w:r>
        <w:t>Comments are most helpful if they:</w:t>
      </w:r>
    </w:p>
    <w:p w14:paraId="2378ECFA" w14:textId="77777777" w:rsidR="00BC2D1C" w:rsidRDefault="00BC2D1C" w:rsidP="00FF43FA">
      <w:pPr>
        <w:pStyle w:val="0MyBullet"/>
        <w:numPr>
          <w:ilvl w:val="0"/>
          <w:numId w:val="5"/>
        </w:numPr>
        <w:spacing w:before="0" w:after="0" w:line="360" w:lineRule="auto"/>
        <w:contextualSpacing w:val="0"/>
        <w:jc w:val="both"/>
      </w:pPr>
      <w:r>
        <w:t>respond to the question stated;</w:t>
      </w:r>
    </w:p>
    <w:p w14:paraId="275DEDDF" w14:textId="77777777" w:rsidR="00BC2D1C" w:rsidRDefault="00BC2D1C" w:rsidP="00FF43FA">
      <w:pPr>
        <w:pStyle w:val="0MyBullet"/>
        <w:numPr>
          <w:ilvl w:val="0"/>
          <w:numId w:val="5"/>
        </w:numPr>
        <w:spacing w:before="0" w:after="0" w:line="360" w:lineRule="auto"/>
        <w:contextualSpacing w:val="0"/>
        <w:jc w:val="both"/>
      </w:pPr>
      <w:r>
        <w:t>contain a clear rationale; and</w:t>
      </w:r>
    </w:p>
    <w:p w14:paraId="597B4F77" w14:textId="77777777" w:rsidR="00BC2D1C" w:rsidRDefault="00BC2D1C" w:rsidP="00FF43FA">
      <w:pPr>
        <w:pStyle w:val="0MyBullet"/>
        <w:numPr>
          <w:ilvl w:val="0"/>
          <w:numId w:val="5"/>
        </w:numPr>
        <w:spacing w:before="0" w:after="0" w:line="360" w:lineRule="auto"/>
        <w:contextualSpacing w:val="0"/>
        <w:jc w:val="both"/>
      </w:pPr>
      <w:r>
        <w:t>describe any alternatives ESMA should consider.</w:t>
      </w:r>
    </w:p>
    <w:p w14:paraId="6AA45EB2" w14:textId="77777777" w:rsidR="00BC2D1C" w:rsidRPr="00F44F4C" w:rsidRDefault="00BC2D1C" w:rsidP="00BC2D1C">
      <w:pPr>
        <w:pStyle w:val="04BodyText"/>
      </w:pPr>
      <w:r w:rsidRPr="004E1A0F">
        <w:t>To help you navigate this document more easily, bookmarks are available in “Navigation Pane” for Word 2010 and in “Document Map” for Word 2007.</w:t>
      </w:r>
    </w:p>
    <w:p w14:paraId="3ED1C408" w14:textId="697B351F" w:rsidR="00BC2D1C" w:rsidRPr="009403B0" w:rsidRDefault="00BC2D1C" w:rsidP="00BC2D1C">
      <w:pPr>
        <w:pStyle w:val="04BodyText"/>
        <w:rPr>
          <w:b/>
        </w:rPr>
      </w:pPr>
      <w:r w:rsidRPr="009403B0">
        <w:t xml:space="preserve">ESMA will consider all comments received by </w:t>
      </w:r>
      <w:r w:rsidRPr="009403B0">
        <w:rPr>
          <w:b/>
        </w:rPr>
        <w:t xml:space="preserve">18 </w:t>
      </w:r>
      <w:r>
        <w:rPr>
          <w:b/>
        </w:rPr>
        <w:t xml:space="preserve">September </w:t>
      </w:r>
      <w:r w:rsidRPr="009403B0">
        <w:rPr>
          <w:b/>
        </w:rPr>
        <w:t xml:space="preserve">2014. </w:t>
      </w:r>
    </w:p>
    <w:p w14:paraId="105A39EE" w14:textId="77777777" w:rsidR="00BC2D1C" w:rsidRDefault="00BC2D1C" w:rsidP="00BC2D1C">
      <w:pPr>
        <w:pStyle w:val="04BodyText"/>
      </w:pPr>
      <w:r>
        <w:t xml:space="preserve">All contributions should be submitted online at </w:t>
      </w:r>
      <w:hyperlink r:id="rId11" w:history="1">
        <w:r w:rsidRPr="003A35A5">
          <w:rPr>
            <w:rStyle w:val="Hyperlink"/>
          </w:rPr>
          <w:t>www.esma.europa.eu</w:t>
        </w:r>
      </w:hyperlink>
      <w:r>
        <w:t xml:space="preserve"> under the heading ‘Your input - Consultations’. </w:t>
      </w:r>
    </w:p>
    <w:p w14:paraId="51A00292" w14:textId="77777777" w:rsidR="00FF43FA" w:rsidRPr="009E685C" w:rsidRDefault="00FF43FA" w:rsidP="00FF43FA">
      <w:pPr>
        <w:pStyle w:val="04dBodyTextbold"/>
      </w:pPr>
      <w:r>
        <w:rPr>
          <w:bCs/>
        </w:rPr>
        <w:t>How to use this form to reply</w:t>
      </w:r>
    </w:p>
    <w:p w14:paraId="028F6DFD" w14:textId="77777777" w:rsidR="00FF43FA" w:rsidRDefault="00FF43FA" w:rsidP="00FF43FA">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537B394F" w14:textId="77777777" w:rsidR="00FF43FA" w:rsidRDefault="00FF43FA" w:rsidP="00FF43FA">
      <w:pPr>
        <w:pStyle w:val="04BodyText"/>
      </w:pPr>
      <w:r w:rsidRPr="009E685C">
        <w:t xml:space="preserve">Therefore, in responding </w:t>
      </w:r>
      <w:r>
        <w:t>you are kindly invited to proceed as follows</w:t>
      </w:r>
      <w:r w:rsidRPr="009E685C">
        <w:t>:</w:t>
      </w:r>
    </w:p>
    <w:p w14:paraId="39526099" w14:textId="77777777" w:rsidR="00FF43FA" w:rsidRDefault="00FF43FA" w:rsidP="00FF43FA">
      <w:pPr>
        <w:pStyle w:val="0MyBullet"/>
        <w:numPr>
          <w:ilvl w:val="0"/>
          <w:numId w:val="5"/>
        </w:numPr>
        <w:spacing w:before="0" w:after="0" w:line="360" w:lineRule="auto"/>
        <w:contextualSpacing w:val="0"/>
        <w:jc w:val="both"/>
      </w:pPr>
      <w:r w:rsidRPr="009E685C">
        <w:t xml:space="preserve">use </w:t>
      </w:r>
      <w:r>
        <w:t>this form to reply</w:t>
      </w:r>
      <w:r w:rsidRPr="009E685C">
        <w:t xml:space="preserve"> and send </w:t>
      </w:r>
      <w:r>
        <w:t>your response</w:t>
      </w:r>
      <w:r w:rsidRPr="009E685C">
        <w:t xml:space="preserve"> in Word format;</w:t>
      </w:r>
    </w:p>
    <w:p w14:paraId="28509058" w14:textId="77777777" w:rsidR="00FF43FA" w:rsidRDefault="00FF43FA" w:rsidP="00FF43FA">
      <w:pPr>
        <w:pStyle w:val="0MyBullet"/>
        <w:numPr>
          <w:ilvl w:val="0"/>
          <w:numId w:val="5"/>
        </w:numPr>
        <w:spacing w:before="0" w:after="0" w:line="360" w:lineRule="auto"/>
        <w:contextualSpacing w:val="0"/>
        <w:jc w:val="both"/>
      </w:pPr>
      <w:r>
        <w:t>type your response in the frame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082369D7" w14:textId="3F5C30F3" w:rsidR="00FF43FA" w:rsidRDefault="00FF43FA" w:rsidP="00FF43FA">
      <w:pPr>
        <w:pStyle w:val="0MyBullet"/>
        <w:numPr>
          <w:ilvl w:val="0"/>
          <w:numId w:val="5"/>
        </w:numPr>
        <w:spacing w:before="0" w:after="0" w:line="360" w:lineRule="auto"/>
        <w:contextualSpacing w:val="0"/>
        <w:jc w:val="both"/>
      </w:pPr>
      <w:r w:rsidRPr="009E685C">
        <w:t xml:space="preserve">if </w:t>
      </w:r>
      <w:r>
        <w:t xml:space="preserve">you </w:t>
      </w:r>
      <w:r w:rsidRPr="009E685C">
        <w:t xml:space="preserve">have no response to a question, </w:t>
      </w:r>
      <w:r w:rsidRPr="00FF43FA">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2"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AA0857">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446"/>
        <w:gridCol w:w="5956"/>
      </w:tblGrid>
      <w:tr w:rsidR="00BC2D1C" w14:paraId="421DB435" w14:textId="77777777" w:rsidTr="00F84E69">
        <w:tc>
          <w:tcPr>
            <w:tcW w:w="3510" w:type="dxa"/>
          </w:tcPr>
          <w:p w14:paraId="7B4DE6DD" w14:textId="08972641" w:rsidR="00BC2D1C" w:rsidRDefault="00BC2D1C" w:rsidP="00F84E69">
            <w:r>
              <w:t>Name of respondent</w:t>
            </w:r>
          </w:p>
        </w:tc>
        <w:tc>
          <w:tcPr>
            <w:tcW w:w="6118" w:type="dxa"/>
          </w:tcPr>
          <w:p w14:paraId="769EB89F" w14:textId="74021AB1" w:rsidR="00BC2D1C" w:rsidRDefault="001E445D" w:rsidP="00E62FA2">
            <w:permStart w:id="2025793954" w:edGrp="everyone"/>
            <w:r>
              <w:t>European Association of CCP Clearing Houses (EACH)</w:t>
            </w:r>
            <w:permEnd w:id="2025793954"/>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10BA3B09" w:rsidR="00E62FA2" w:rsidRDefault="003546BB"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1E445D">
                  <w:t>Yes</w:t>
                </w:r>
                <w:permEnd w:id="678066391"/>
              </w:sdtContent>
            </w:sdt>
          </w:p>
        </w:tc>
      </w:tr>
      <w:tr w:rsidR="00E62FA2" w14:paraId="503B3DE9" w14:textId="77777777" w:rsidTr="00F84E69">
        <w:tc>
          <w:tcPr>
            <w:tcW w:w="3510" w:type="dxa"/>
          </w:tcPr>
          <w:p w14:paraId="4F0B7907" w14:textId="561E2AFC" w:rsidR="00E62FA2" w:rsidRDefault="00E62FA2" w:rsidP="00E62FA2">
            <w:r>
              <w:t>Activity</w:t>
            </w:r>
          </w:p>
        </w:tc>
        <w:tc>
          <w:tcPr>
            <w:tcW w:w="6118" w:type="dxa"/>
          </w:tcPr>
          <w:p w14:paraId="062EE607" w14:textId="2FE83445" w:rsidR="00E62FA2" w:rsidRDefault="003546BB"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1E445D">
                  <w:t>Central Counterparty</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4B305F57" w:rsidR="00E62FA2" w:rsidRDefault="001E445D" w:rsidP="00E62FA2">
                <w:r>
                  <w:t>Europe</w:t>
                </w:r>
              </w:p>
            </w:tc>
            <w:permEnd w:id="837091592" w:displacedByCustomXml="next"/>
          </w:sdtContent>
        </w:sdt>
      </w:tr>
    </w:tbl>
    <w:p w14:paraId="65CEBBFE" w14:textId="73B3DEAD" w:rsidR="00AB1788" w:rsidRDefault="00AB1788" w:rsidP="00AB1788"/>
    <w:p w14:paraId="208712D2" w14:textId="77777777" w:rsidR="000E31C3" w:rsidRDefault="00005941" w:rsidP="00AA0857">
      <w:pPr>
        <w:pStyle w:val="Heading1"/>
        <w:numPr>
          <w:ilvl w:val="0"/>
          <w:numId w:val="0"/>
        </w:numPr>
      </w:pPr>
      <w:r>
        <w:br w:type="page"/>
      </w:r>
      <w:r w:rsidR="000E31C3" w:rsidRPr="004C2CD3">
        <w:lastRenderedPageBreak/>
        <w:t>Introduction</w:t>
      </w:r>
    </w:p>
    <w:p w14:paraId="74B94F78" w14:textId="77777777" w:rsidR="003E7EA2" w:rsidRPr="008203F7" w:rsidRDefault="003E7EA2" w:rsidP="003E7EA2">
      <w:pPr>
        <w:rPr>
          <w:b/>
        </w:rPr>
      </w:pPr>
      <w:r w:rsidRPr="008203F7">
        <w:rPr>
          <w:b/>
        </w:rPr>
        <w:t>Please make your introductory comments below:</w:t>
      </w:r>
    </w:p>
    <w:p w14:paraId="042AA12A" w14:textId="77777777" w:rsidR="003E7EA2" w:rsidRDefault="003E7EA2" w:rsidP="003E7EA2"/>
    <w:p w14:paraId="72757164" w14:textId="77777777" w:rsidR="003E7EA2" w:rsidRDefault="003E7EA2" w:rsidP="003E7EA2">
      <w:r>
        <w:t>&lt;ESMA_COMMENT_1&gt;</w:t>
      </w:r>
    </w:p>
    <w:p w14:paraId="1E8BFED1" w14:textId="45F2F261" w:rsidR="003E7EA2" w:rsidRDefault="001E445D" w:rsidP="003E7EA2">
      <w:permStart w:id="1926890795" w:edGrp="everyone"/>
      <w:r w:rsidRPr="001E445D">
        <w:t xml:space="preserve">The European Association of CCP Clearing Houses (EACH) was founded in 1992 and is a Belgian not-for-profit organisation (AISBL) which represents </w:t>
      </w:r>
      <w:r>
        <w:t xml:space="preserve">19 </w:t>
      </w:r>
      <w:r w:rsidRPr="001E445D">
        <w:t>central counterparty clearing houses – or CCPs- in Europe. The membership is open to CCPs based in the European Union and in other European countries. The membership of EACH comprises CCPs incorporated in 1</w:t>
      </w:r>
      <w:r w:rsidR="00144F17">
        <w:t>5</w:t>
      </w:r>
      <w:r w:rsidRPr="001E445D">
        <w:t xml:space="preserve"> European countries.</w:t>
      </w:r>
      <w:r w:rsidR="00144F17">
        <w:t xml:space="preserve"> For more information visit </w:t>
      </w:r>
      <w:hyperlink r:id="rId13" w:history="1">
        <w:r w:rsidR="00144F17" w:rsidRPr="00020651">
          <w:rPr>
            <w:rStyle w:val="Hyperlink"/>
          </w:rPr>
          <w:t>www.eachccp.eu</w:t>
        </w:r>
      </w:hyperlink>
      <w:r w:rsidR="00144F17">
        <w:t xml:space="preserve"> </w:t>
      </w:r>
    </w:p>
    <w:p w14:paraId="0F49703B" w14:textId="77777777" w:rsidR="00144F17" w:rsidRDefault="00144F17" w:rsidP="003E7EA2"/>
    <w:p w14:paraId="689C3712" w14:textId="1F3AEEA4" w:rsidR="00144F17" w:rsidRDefault="00144F17" w:rsidP="003E7EA2">
      <w:r>
        <w:t>We are very glad for the opportunity to respond to this consultation.</w:t>
      </w:r>
    </w:p>
    <w:permEnd w:id="1926890795"/>
    <w:p w14:paraId="5AA849FE" w14:textId="5FF44A4A" w:rsidR="003E7EA2" w:rsidRPr="003E7EA2" w:rsidRDefault="003E7EA2" w:rsidP="003E7EA2">
      <w:r>
        <w:t>&lt;ESMA_COMMENT_1&gt;</w:t>
      </w:r>
    </w:p>
    <w:p w14:paraId="78E9B709" w14:textId="77777777" w:rsidR="000E31C3" w:rsidRDefault="000E31C3" w:rsidP="000E31C3"/>
    <w:p w14:paraId="391FCFAD" w14:textId="77777777" w:rsidR="000E31C3" w:rsidRPr="0058137B" w:rsidRDefault="000E31C3" w:rsidP="00AA0857">
      <w:pPr>
        <w:pStyle w:val="Heading1"/>
      </w:pPr>
      <w:bookmarkStart w:id="1" w:name="_Toc390701574"/>
      <w:bookmarkStart w:id="2" w:name="_Toc392685526"/>
      <w:r w:rsidRPr="0058137B">
        <w:t>The clearing obligation procedure</w:t>
      </w:r>
      <w:bookmarkStart w:id="3" w:name="_Toc390952336"/>
      <w:bookmarkStart w:id="4" w:name="_Toc391310566"/>
      <w:bookmarkStart w:id="5" w:name="_Toc391310591"/>
      <w:bookmarkStart w:id="6" w:name="_Toc391310651"/>
      <w:bookmarkStart w:id="7" w:name="_Toc391313043"/>
      <w:bookmarkEnd w:id="1"/>
      <w:bookmarkEnd w:id="2"/>
      <w:bookmarkEnd w:id="3"/>
      <w:bookmarkEnd w:id="4"/>
      <w:bookmarkEnd w:id="5"/>
      <w:bookmarkEnd w:id="6"/>
      <w:bookmarkEnd w:id="7"/>
    </w:p>
    <w:p w14:paraId="146EFFFC" w14:textId="77777777" w:rsidR="000E31C3" w:rsidRDefault="000E31C3" w:rsidP="000E31C3"/>
    <w:p w14:paraId="015F1BC0" w14:textId="77777777" w:rsidR="000E31C3" w:rsidRPr="007403B2" w:rsidRDefault="000E31C3" w:rsidP="000E31C3">
      <w:pPr>
        <w:pStyle w:val="Questions"/>
      </w:pPr>
      <w:r w:rsidRPr="007403B2">
        <w:t xml:space="preserve">Question </w:t>
      </w:r>
      <w:r w:rsidR="00721342">
        <w:fldChar w:fldCharType="begin"/>
      </w:r>
      <w:r w:rsidR="00721342">
        <w:instrText xml:space="preserve"> SEQ Question \* ARABIC </w:instrText>
      </w:r>
      <w:r w:rsidR="00721342">
        <w:fldChar w:fldCharType="separate"/>
      </w:r>
      <w:r w:rsidR="001826B9">
        <w:rPr>
          <w:noProof/>
        </w:rPr>
        <w:t>1</w:t>
      </w:r>
      <w:r w:rsidR="00721342">
        <w:rPr>
          <w:noProof/>
        </w:rPr>
        <w:fldChar w:fldCharType="end"/>
      </w:r>
      <w:r w:rsidRPr="007403B2">
        <w:t>: Do you have any comment on the clearing obligation procedure described in Section 1?</w:t>
      </w:r>
    </w:p>
    <w:p w14:paraId="38B846E1" w14:textId="77777777" w:rsidR="000E31C3" w:rsidRDefault="000E31C3" w:rsidP="000E31C3"/>
    <w:p w14:paraId="1083ED13" w14:textId="7A2420EE" w:rsidR="000E31C3" w:rsidRDefault="000E31C3" w:rsidP="000E31C3">
      <w:r>
        <w:t>&lt;ESMA_QUESTION_1&gt;</w:t>
      </w:r>
    </w:p>
    <w:p w14:paraId="302AADD9" w14:textId="39AAE2A4" w:rsidR="000E31C3" w:rsidRDefault="001E445D" w:rsidP="000E31C3">
      <w:permStart w:id="1564177794" w:edGrp="everyone"/>
      <w:r w:rsidRPr="001E445D">
        <w:t>EACH supports the approach taken by ESMA of grouping the clearing obligation consultation papers per asset classes.  We would also urge ESMA to review a decision not to impose a clearing obligation on a class or sub-class of derivatives on a regular basis.  Paragraph 9  of the consultation paper notes that the clearing obligation will be triggered when an EU CCP is first authorised, when an extension of activity is granted or when a third country CCP is recognised by ESMA. We believe that ESMA should clarify the triggers and procedure for reviewing a decision not to impose a clearing obligation.</w:t>
      </w:r>
    </w:p>
    <w:permEnd w:id="1564177794"/>
    <w:p w14:paraId="705C1D4B" w14:textId="010774AF" w:rsidR="000E31C3" w:rsidRDefault="000E31C3" w:rsidP="000E31C3">
      <w:r>
        <w:t>&lt;ESMA_QUESTION_1&gt;</w:t>
      </w:r>
    </w:p>
    <w:p w14:paraId="18DCC0AE" w14:textId="77777777" w:rsidR="000E31C3" w:rsidRDefault="000E31C3" w:rsidP="000E31C3"/>
    <w:p w14:paraId="67D8A568" w14:textId="77777777" w:rsidR="000E31C3" w:rsidRDefault="000E31C3" w:rsidP="00AA0857">
      <w:pPr>
        <w:pStyle w:val="Heading1"/>
      </w:pPr>
      <w:bookmarkStart w:id="8" w:name="_Ref392685388"/>
      <w:bookmarkStart w:id="9" w:name="_Toc392685527"/>
      <w:r>
        <w:t>Structure of the credit derivatives classes</w:t>
      </w:r>
      <w:bookmarkEnd w:id="8"/>
      <w:bookmarkEnd w:id="9"/>
    </w:p>
    <w:p w14:paraId="7D4E6A95" w14:textId="77777777" w:rsidR="000E31C3" w:rsidRDefault="000E31C3" w:rsidP="000E31C3"/>
    <w:p w14:paraId="445BD43C" w14:textId="2ABB6F5E" w:rsidR="000E31C3" w:rsidRDefault="000E31C3" w:rsidP="000E31C3">
      <w:pPr>
        <w:pStyle w:val="Questions"/>
      </w:pPr>
      <w:r>
        <w:t xml:space="preserve">Question </w:t>
      </w:r>
      <w:r w:rsidR="00721342">
        <w:fldChar w:fldCharType="begin"/>
      </w:r>
      <w:r w:rsidR="00721342">
        <w:instrText xml:space="preserve"> SEQ Question \* ARABIC </w:instrText>
      </w:r>
      <w:r w:rsidR="00721342">
        <w:fldChar w:fldCharType="separate"/>
      </w:r>
      <w:r w:rsidR="001826B9">
        <w:rPr>
          <w:noProof/>
        </w:rPr>
        <w:t>2</w:t>
      </w:r>
      <w:r w:rsidR="00721342">
        <w:rPr>
          <w:noProof/>
        </w:rPr>
        <w:fldChar w:fldCharType="end"/>
      </w:r>
      <w:r>
        <w:t xml:space="preserve">: </w:t>
      </w:r>
      <w:r w:rsidR="007D65B5" w:rsidRPr="007D65B5">
        <w:t>Do you consider that the proposed structure for the untranched index CDS classes enables counterparties to identify which contracts are subject to the clearing obligation as well as allows international convergence? Please explain.</w:t>
      </w:r>
    </w:p>
    <w:p w14:paraId="11E9D040" w14:textId="77777777" w:rsidR="000E31C3" w:rsidRDefault="000E31C3" w:rsidP="000E31C3"/>
    <w:p w14:paraId="51E6E18B" w14:textId="6DC78FE6" w:rsidR="000E31C3" w:rsidRDefault="000E31C3" w:rsidP="000E31C3">
      <w:r>
        <w:t>&lt;ESMA_QUESTION_2&gt;</w:t>
      </w:r>
    </w:p>
    <w:p w14:paraId="543D1E41" w14:textId="77777777" w:rsidR="001E445D" w:rsidRDefault="001E445D" w:rsidP="001E445D">
      <w:permStart w:id="1575779171" w:edGrp="everyone"/>
      <w:r>
        <w:t xml:space="preserve">We note that the CDX index series is not included in the range of </w:t>
      </w:r>
      <w:proofErr w:type="spellStart"/>
      <w:r>
        <w:t>untranched</w:t>
      </w:r>
      <w:proofErr w:type="spellEnd"/>
      <w:r>
        <w:t xml:space="preserve"> index CDS contracts proposed to be subject to the clearing obligation.  Whilst this is a natural consequence of the asset classes not currently being notified, it results in a marked difference in the scope of the clearing obligation between EU and the US.  In line with our response to Question 1, we would encourage ESMA to review this situation as soon as a CCP is authorised or registered for such products, in order to enable international convergence.</w:t>
      </w:r>
    </w:p>
    <w:p w14:paraId="47BE9774" w14:textId="77777777" w:rsidR="001E445D" w:rsidRDefault="001E445D" w:rsidP="001E445D"/>
    <w:p w14:paraId="2167777A" w14:textId="75C50FEF" w:rsidR="000E31C3" w:rsidRDefault="001E445D" w:rsidP="001E445D">
      <w:r>
        <w:t xml:space="preserve">ESMA proposes the exclusion of the </w:t>
      </w:r>
      <w:proofErr w:type="spellStart"/>
      <w:r>
        <w:t>iTraxx</w:t>
      </w:r>
      <w:proofErr w:type="spellEnd"/>
      <w:r>
        <w:t xml:space="preserve"> Europe High Volatility index from the scope of the clearing obligation, on the basis of lower volumes than the </w:t>
      </w:r>
      <w:proofErr w:type="spellStart"/>
      <w:r>
        <w:t>iTraxx</w:t>
      </w:r>
      <w:proofErr w:type="spellEnd"/>
      <w:r>
        <w:t xml:space="preserve"> Main and Crossover indices.  EACH agrees with the determination of the CFTC that despite such lower volumes, the </w:t>
      </w:r>
      <w:proofErr w:type="spellStart"/>
      <w:r>
        <w:t>iTraxx</w:t>
      </w:r>
      <w:proofErr w:type="spellEnd"/>
      <w:r>
        <w:t xml:space="preserve"> Europe High Volatility index meets the requisite criteria for inclusion in the clearing obligation.  The inclusion of this product by ESMA in the scope of the clearing obligation in Europe would avoid international divergence.</w:t>
      </w:r>
    </w:p>
    <w:p w14:paraId="43B9C9C7" w14:textId="77777777" w:rsidR="000A38E9" w:rsidRDefault="000A38E9" w:rsidP="001E445D"/>
    <w:p w14:paraId="546328F8" w14:textId="4E175115" w:rsidR="000A38E9" w:rsidRDefault="000A38E9" w:rsidP="001E445D">
      <w:r w:rsidRPr="000A38E9">
        <w:rPr>
          <w:bCs/>
        </w:rPr>
        <w:t>We also note the exclusion of financials indices from the scope of products proposed to be subject to the clearing obligation.  The rationale expressed in paragraph 60 of the Consultation Paper for the exclusion of these products is that ‘</w:t>
      </w:r>
      <w:r w:rsidRPr="000A38E9">
        <w:rPr>
          <w:bCs/>
          <w:i/>
        </w:rPr>
        <w:t>the clearing of financials single name CDS or indices can bear wrong-way risk or introduce a correlated risk with the clearing members of the CCP</w:t>
      </w:r>
      <w:r w:rsidRPr="000A38E9">
        <w:rPr>
          <w:bCs/>
        </w:rPr>
        <w:t xml:space="preserve">’.  EACH believes that such issues do indeed need to be carefully taken into account in the clearing methodology, practices and procedures for </w:t>
      </w:r>
      <w:r w:rsidRPr="000A38E9">
        <w:rPr>
          <w:bCs/>
        </w:rPr>
        <w:lastRenderedPageBreak/>
        <w:t>CCPs in clearing such products, in line with EMIR.  However, once an authorised or registered CCP has put in place such controls, and been accordingly approved to clear such products, there seems to be no reason to exclude financials indices from the clearing obligation on this basis.</w:t>
      </w:r>
    </w:p>
    <w:permEnd w:id="1575779171"/>
    <w:p w14:paraId="195F3EF7" w14:textId="76E5223E" w:rsidR="000E31C3" w:rsidRDefault="000E31C3" w:rsidP="000E31C3">
      <w:r>
        <w:t>&lt;ESMA_QUESTION_2&gt;</w:t>
      </w:r>
    </w:p>
    <w:p w14:paraId="75FF53AF" w14:textId="77777777" w:rsidR="000E31C3" w:rsidRDefault="000E31C3" w:rsidP="000E31C3"/>
    <w:p w14:paraId="5F3A4520" w14:textId="77777777" w:rsidR="000E31C3" w:rsidRPr="00A84770" w:rsidRDefault="000E31C3" w:rsidP="00AA0857">
      <w:pPr>
        <w:pStyle w:val="Heading1"/>
      </w:pPr>
      <w:bookmarkStart w:id="10" w:name="_Toc389466262"/>
      <w:bookmarkStart w:id="11" w:name="_Toc389496893"/>
      <w:bookmarkStart w:id="12" w:name="_Toc392685528"/>
      <w:r>
        <w:t>Determination of the c</w:t>
      </w:r>
      <w:r w:rsidRPr="00A84770">
        <w:t xml:space="preserve">lasses of OTC </w:t>
      </w:r>
      <w:r>
        <w:t>d</w:t>
      </w:r>
      <w:r w:rsidRPr="00A84770">
        <w:t>erivatives to be subject to the clearing obligation</w:t>
      </w:r>
      <w:bookmarkEnd w:id="10"/>
      <w:bookmarkEnd w:id="11"/>
      <w:bookmarkEnd w:id="12"/>
    </w:p>
    <w:p w14:paraId="597AD3AF" w14:textId="77777777" w:rsidR="000E31C3" w:rsidRDefault="000E31C3" w:rsidP="000E31C3"/>
    <w:p w14:paraId="5525AE50" w14:textId="1AB33A70" w:rsidR="00082AD5" w:rsidRDefault="000E31C3" w:rsidP="000E31C3">
      <w:pPr>
        <w:pStyle w:val="Questions"/>
      </w:pPr>
      <w:r>
        <w:t xml:space="preserve">Question </w:t>
      </w:r>
      <w:r w:rsidR="00721342">
        <w:fldChar w:fldCharType="begin"/>
      </w:r>
      <w:r w:rsidR="00721342">
        <w:instrText xml:space="preserve"> SEQ Question \* ARABIC </w:instrText>
      </w:r>
      <w:r w:rsidR="00721342">
        <w:fldChar w:fldCharType="separate"/>
      </w:r>
      <w:r w:rsidR="001826B9">
        <w:rPr>
          <w:noProof/>
        </w:rPr>
        <w:t>3</w:t>
      </w:r>
      <w:r w:rsidR="00721342">
        <w:rPr>
          <w:noProof/>
        </w:rPr>
        <w:fldChar w:fldCharType="end"/>
      </w:r>
      <w:r>
        <w:t xml:space="preserve">: In view of the criteria set in Article 5(4) of EMIR, do you consider that </w:t>
      </w:r>
      <w:r w:rsidR="00082AD5">
        <w:t xml:space="preserve">this </w:t>
      </w:r>
      <w:r>
        <w:t xml:space="preserve">set of classes </w:t>
      </w:r>
      <w:r w:rsidR="00082AD5">
        <w:t>addresses appropriately the systemic risk associated to credit OTC derivatives</w:t>
      </w:r>
      <w:r>
        <w:t xml:space="preserve">? </w:t>
      </w:r>
    </w:p>
    <w:p w14:paraId="5817D277" w14:textId="219D179E" w:rsidR="000E31C3" w:rsidRDefault="000E31C3" w:rsidP="000E31C3">
      <w:pPr>
        <w:pStyle w:val="Questions"/>
      </w:pPr>
      <w:r>
        <w:t>Given the systemic risk associated to single name CDS, would you argue that they should be a priority for the first determination as well? Please include relevant data or information where applicable.</w:t>
      </w:r>
    </w:p>
    <w:p w14:paraId="24F1FCAB" w14:textId="77777777" w:rsidR="000E31C3" w:rsidRDefault="000E31C3" w:rsidP="000E31C3"/>
    <w:p w14:paraId="7276F300" w14:textId="19EE196A" w:rsidR="000E31C3" w:rsidRDefault="000E31C3" w:rsidP="000E31C3">
      <w:r>
        <w:t>&lt;ESMA_QUESTION_3&gt;</w:t>
      </w:r>
    </w:p>
    <w:p w14:paraId="585540C2" w14:textId="722C54B4" w:rsidR="000E31C3" w:rsidRDefault="001E445D" w:rsidP="000E31C3">
      <w:permStart w:id="1419206484" w:edGrp="everyone"/>
      <w:r w:rsidRPr="001E445D">
        <w:t>See our response to Question 2</w:t>
      </w:r>
      <w:r>
        <w:t>.</w:t>
      </w:r>
    </w:p>
    <w:permEnd w:id="1419206484"/>
    <w:p w14:paraId="59A232C2" w14:textId="367812D7" w:rsidR="000E31C3" w:rsidRDefault="000E31C3" w:rsidP="000E31C3">
      <w:r>
        <w:t>&lt;ESMA_QUESTION_3&gt;</w:t>
      </w:r>
    </w:p>
    <w:p w14:paraId="3E8225FA" w14:textId="77777777" w:rsidR="000E31C3" w:rsidRDefault="000E31C3" w:rsidP="000E31C3"/>
    <w:p w14:paraId="69AB40B4" w14:textId="77777777" w:rsidR="003E7EA2" w:rsidRDefault="003E7EA2">
      <w:pPr>
        <w:rPr>
          <w:b/>
        </w:rPr>
      </w:pPr>
      <w:bookmarkStart w:id="13" w:name="_Ref390182009"/>
      <w:bookmarkStart w:id="14" w:name="_Toc392685529"/>
      <w:r>
        <w:br w:type="page"/>
      </w:r>
    </w:p>
    <w:p w14:paraId="3A68E917" w14:textId="77777777" w:rsidR="00AA0857" w:rsidRPr="00AA0857" w:rsidRDefault="000E31C3" w:rsidP="00AA0857">
      <w:pPr>
        <w:pStyle w:val="Heading1"/>
      </w:pPr>
      <w:r w:rsidRPr="00AA0857">
        <w:lastRenderedPageBreak/>
        <w:t>Determination of the dates on which the obligation applies and the categories of counterparties</w:t>
      </w:r>
      <w:bookmarkStart w:id="15" w:name="_Ref392684359"/>
      <w:bookmarkStart w:id="16" w:name="_Ref389061836"/>
      <w:bookmarkEnd w:id="13"/>
      <w:bookmarkEnd w:id="14"/>
    </w:p>
    <w:p w14:paraId="413DF82E" w14:textId="65C2DA0A" w:rsidR="00AA0857" w:rsidRPr="00AA0857" w:rsidRDefault="00AA0857" w:rsidP="00AA0857">
      <w:pPr>
        <w:pStyle w:val="Heading2"/>
      </w:pPr>
      <w:r w:rsidRPr="00AA0857">
        <w:t>Analysis of the criteria relevant for the determination of the dates</w:t>
      </w:r>
      <w:bookmarkEnd w:id="15"/>
      <w:bookmarkEnd w:id="16"/>
    </w:p>
    <w:p w14:paraId="375D529F" w14:textId="77777777" w:rsidR="000E31C3" w:rsidRDefault="000E31C3" w:rsidP="000E31C3"/>
    <w:p w14:paraId="12376D90" w14:textId="6C9A7CB2" w:rsidR="000E31C3" w:rsidRPr="007403B2" w:rsidRDefault="000E31C3" w:rsidP="000E31C3">
      <w:pPr>
        <w:pStyle w:val="Questions"/>
      </w:pPr>
      <w:r w:rsidRPr="007403B2">
        <w:t xml:space="preserve">Question </w:t>
      </w:r>
      <w:r w:rsidR="00721342">
        <w:fldChar w:fldCharType="begin"/>
      </w:r>
      <w:r w:rsidR="00721342">
        <w:instrText xml:space="preserve"> SEQ Question \* ARABIC </w:instrText>
      </w:r>
      <w:r w:rsidR="00721342">
        <w:fldChar w:fldCharType="separate"/>
      </w:r>
      <w:r w:rsidR="001826B9">
        <w:rPr>
          <w:noProof/>
        </w:rPr>
        <w:t>4</w:t>
      </w:r>
      <w:r w:rsidR="00721342">
        <w:rPr>
          <w:noProof/>
        </w:rPr>
        <w:fldChar w:fldCharType="end"/>
      </w:r>
      <w:r w:rsidRPr="007403B2">
        <w:t>: Do you have any comment on the analysis presented in Section</w:t>
      </w:r>
      <w:r w:rsidR="00082AD5">
        <w:t xml:space="preserve"> 4.1</w:t>
      </w:r>
      <w:r w:rsidRPr="007403B2">
        <w:t>?</w:t>
      </w:r>
    </w:p>
    <w:p w14:paraId="7372F1F2" w14:textId="77777777" w:rsidR="000E31C3" w:rsidRDefault="000E31C3" w:rsidP="000E31C3"/>
    <w:p w14:paraId="1BB8B971" w14:textId="095D2184" w:rsidR="000E31C3" w:rsidRDefault="000E31C3" w:rsidP="000E31C3">
      <w:r>
        <w:t>&lt;ESMA_QUESTION_4&gt;</w:t>
      </w:r>
    </w:p>
    <w:p w14:paraId="2690C652" w14:textId="77777777" w:rsidR="001E445D" w:rsidRDefault="001E445D" w:rsidP="001E445D">
      <w:permStart w:id="327113600" w:edGrp="everyone"/>
      <w:r>
        <w:t xml:space="preserve">EACH agrees with the analysis, including particularly that there are sufficient clearing members, including those offering client clearing, to sustain the clearing obligation. As noted in paragraph 102 of the Consultation Paper, the market in credit derivatives is substantially smaller than the market in interest rate derivatives, with a significantly lower number of market participants. </w:t>
      </w:r>
    </w:p>
    <w:p w14:paraId="1B1503C5" w14:textId="77777777" w:rsidR="001E445D" w:rsidRDefault="001E445D" w:rsidP="001E445D"/>
    <w:p w14:paraId="18AEE684" w14:textId="103E5717" w:rsidR="000E31C3" w:rsidRDefault="001E445D" w:rsidP="001E445D">
      <w:r>
        <w:t>More generally, EACH agrees with the conclusion set out in paragraph 93 of the Consultation Paper that the number of clearing members is of greater importance than the number of CCPs clearing the class.  EACH further agrees that it is appropriate to focus not on the absolute number of clearing members but the number relative to the number and type of participants in the market.  In this context, the number of CCPs clearing the class is only a material relevant factor in situations where a small number of CCPs would result in a bottleneck for growth of business, or restrict growth in the number of participants in the market.  EACH does not believe that such conditions exist for any of the products under consideration for application of a clearing obligation.</w:t>
      </w:r>
    </w:p>
    <w:permEnd w:id="327113600"/>
    <w:p w14:paraId="08CE0DDA" w14:textId="15A025E1" w:rsidR="000E31C3" w:rsidRDefault="000E31C3" w:rsidP="000E31C3">
      <w:r>
        <w:t>&lt;ESMA_QUESTION_4&gt;</w:t>
      </w:r>
    </w:p>
    <w:p w14:paraId="3BD9F7F1" w14:textId="77777777" w:rsidR="000E31C3" w:rsidRDefault="000E31C3" w:rsidP="000E31C3"/>
    <w:p w14:paraId="3F4B4019" w14:textId="77777777" w:rsidR="00AA0857" w:rsidRPr="00AA0857" w:rsidRDefault="00AA0857" w:rsidP="00AA0857">
      <w:pPr>
        <w:pStyle w:val="Heading2"/>
      </w:pPr>
      <w:r w:rsidRPr="00AA0857">
        <w:t>Determination of the categories of counterparties (Criteria (d) to (f))</w:t>
      </w:r>
    </w:p>
    <w:p w14:paraId="7A0305E4" w14:textId="77777777" w:rsidR="0033077A" w:rsidRDefault="0033077A" w:rsidP="000E31C3">
      <w:pPr>
        <w:pStyle w:val="Questions"/>
      </w:pPr>
    </w:p>
    <w:p w14:paraId="0B316A87" w14:textId="01D077B7" w:rsidR="00AA0857" w:rsidRDefault="000E31C3" w:rsidP="000E31C3">
      <w:pPr>
        <w:pStyle w:val="Questions"/>
      </w:pPr>
      <w:r w:rsidRPr="007403B2">
        <w:t xml:space="preserve">Question </w:t>
      </w:r>
      <w:r w:rsidR="00721342">
        <w:fldChar w:fldCharType="begin"/>
      </w:r>
      <w:r w:rsidR="00721342">
        <w:instrText xml:space="preserve"> SEQ Question \* ARABIC </w:instrText>
      </w:r>
      <w:r w:rsidR="00721342">
        <w:fldChar w:fldCharType="separate"/>
      </w:r>
      <w:r w:rsidR="001826B9">
        <w:rPr>
          <w:noProof/>
        </w:rPr>
        <w:t>5</w:t>
      </w:r>
      <w:r w:rsidR="00721342">
        <w:rPr>
          <w:noProof/>
        </w:rPr>
        <w:fldChar w:fldCharType="end"/>
      </w:r>
      <w:r w:rsidRPr="007403B2">
        <w:t>: Do you agree with the proposal to keep the same definition of the categories of counterparties for the credit and the interest rate asset classes? Please explain why and possible alternatives.</w:t>
      </w:r>
    </w:p>
    <w:p w14:paraId="6105FB6E" w14:textId="77777777" w:rsidR="0033077A" w:rsidRDefault="0033077A" w:rsidP="000E31C3"/>
    <w:p w14:paraId="29D1D6B7" w14:textId="7826AD73" w:rsidR="000E31C3" w:rsidRDefault="000E31C3" w:rsidP="000E31C3">
      <w:r>
        <w:t>&lt;ESMA_QUESTION_5&gt;</w:t>
      </w:r>
    </w:p>
    <w:p w14:paraId="7226E658" w14:textId="32D6F263" w:rsidR="000E31C3" w:rsidRDefault="001E445D" w:rsidP="000E31C3">
      <w:permStart w:id="1259478659" w:edGrp="everyone"/>
      <w:r w:rsidRPr="001E445D">
        <w:t>Yes, EACH believes there are considerable benefits of clarity in maintaining the same categories for the credit and the interest rate asset classes</w:t>
      </w:r>
      <w:r>
        <w:t>.</w:t>
      </w:r>
    </w:p>
    <w:permEnd w:id="1259478659"/>
    <w:p w14:paraId="595FC331" w14:textId="021AE42A" w:rsidR="000E31C3" w:rsidRDefault="000E31C3" w:rsidP="000E31C3">
      <w:r>
        <w:t>&lt;ESMA_QUESTION_5&gt;</w:t>
      </w:r>
    </w:p>
    <w:p w14:paraId="5CAFE2D7" w14:textId="77777777" w:rsidR="000E31C3" w:rsidRDefault="000E31C3" w:rsidP="000E31C3"/>
    <w:p w14:paraId="7DDBBED8" w14:textId="77777777" w:rsidR="00AA0857" w:rsidRPr="00AA0857" w:rsidRDefault="00AA0857" w:rsidP="00AA0857">
      <w:pPr>
        <w:pStyle w:val="Heading2"/>
      </w:pPr>
      <w:bookmarkStart w:id="17" w:name="_Ref389061941"/>
      <w:r w:rsidRPr="00AA0857">
        <w:t xml:space="preserve">Determination of the </w:t>
      </w:r>
      <w:bookmarkEnd w:id="17"/>
      <w:r w:rsidRPr="00AA0857">
        <w:t>dates from which the clearing obligation takes effect</w:t>
      </w:r>
    </w:p>
    <w:p w14:paraId="3D8B91B0" w14:textId="77777777" w:rsidR="0033077A" w:rsidRDefault="0033077A" w:rsidP="000E31C3">
      <w:pPr>
        <w:pStyle w:val="Questions"/>
      </w:pPr>
    </w:p>
    <w:p w14:paraId="4CA91018" w14:textId="629E4C2A" w:rsidR="000E31C3" w:rsidRDefault="000E31C3" w:rsidP="000E31C3">
      <w:pPr>
        <w:pStyle w:val="Questions"/>
      </w:pPr>
      <w:r w:rsidRPr="007403B2">
        <w:t xml:space="preserve">Question </w:t>
      </w:r>
      <w:r w:rsidR="00721342">
        <w:fldChar w:fldCharType="begin"/>
      </w:r>
      <w:r w:rsidR="00721342">
        <w:instrText xml:space="preserve"> SEQ Question \* ARABIC </w:instrText>
      </w:r>
      <w:r w:rsidR="00721342">
        <w:fldChar w:fldCharType="separate"/>
      </w:r>
      <w:r w:rsidR="001826B9">
        <w:rPr>
          <w:noProof/>
        </w:rPr>
        <w:t>6</w:t>
      </w:r>
      <w:r w:rsidR="00721342">
        <w:rPr>
          <w:noProof/>
        </w:rPr>
        <w:fldChar w:fldCharType="end"/>
      </w:r>
      <w:r w:rsidRPr="007403B2">
        <w:t>: Do you consider that the proposed dates of application ensure a smooth implementation of the clearing obligation? Please explain why and possible alternatives.</w:t>
      </w:r>
    </w:p>
    <w:p w14:paraId="2E60E7E7" w14:textId="77777777" w:rsidR="0033077A" w:rsidRDefault="0033077A" w:rsidP="000E31C3"/>
    <w:p w14:paraId="0CDB500C" w14:textId="2EAEDAF4" w:rsidR="000E31C3" w:rsidRDefault="000E31C3" w:rsidP="000E31C3">
      <w:r>
        <w:t>&lt;ESMA_QUESTION_6&gt;</w:t>
      </w:r>
    </w:p>
    <w:p w14:paraId="549AA257" w14:textId="363D26F8" w:rsidR="000E31C3" w:rsidRDefault="001E445D" w:rsidP="000E31C3">
      <w:permStart w:id="426457662" w:edGrp="everyone"/>
      <w:r w:rsidRPr="001E445D">
        <w:t>As set out in our response to Question 5, the credit derivatives market has a significantly smaller number of market participants than the interest rate derivatives market.  EACH would like to highlight that CCPs would be prepared to facilitate a clearing obligation earlier than the proposed dates for the different categories, particularly in relation to the proposed timelines for categories 2 and 3.</w:t>
      </w:r>
    </w:p>
    <w:permEnd w:id="426457662"/>
    <w:p w14:paraId="4B52D678" w14:textId="0D30F193" w:rsidR="000E31C3" w:rsidRDefault="000E31C3" w:rsidP="000E31C3">
      <w:r>
        <w:t>&lt;ESMA_QUESTION_6&gt;</w:t>
      </w:r>
    </w:p>
    <w:p w14:paraId="43FAA4E4" w14:textId="77777777" w:rsidR="000E31C3" w:rsidRDefault="000E31C3" w:rsidP="000E31C3">
      <w:pPr>
        <w:pStyle w:val="Questions"/>
        <w:rPr>
          <w:b w:val="0"/>
          <w:sz w:val="20"/>
        </w:rPr>
      </w:pPr>
      <w:r>
        <w:br w:type="page"/>
      </w:r>
    </w:p>
    <w:p w14:paraId="61B8CB58" w14:textId="77777777" w:rsidR="000E31C3" w:rsidRDefault="000E31C3" w:rsidP="00AA0857">
      <w:pPr>
        <w:pStyle w:val="Heading1"/>
      </w:pPr>
      <w:bookmarkStart w:id="18" w:name="_Ref390182030"/>
      <w:bookmarkStart w:id="19" w:name="_Toc392685530"/>
      <w:r w:rsidRPr="00A84770">
        <w:lastRenderedPageBreak/>
        <w:t>Remaining maturity</w:t>
      </w:r>
      <w:r>
        <w:t xml:space="preserve"> and frontloading</w:t>
      </w:r>
      <w:bookmarkEnd w:id="18"/>
      <w:bookmarkEnd w:id="19"/>
    </w:p>
    <w:p w14:paraId="095DD89F" w14:textId="77777777" w:rsidR="000E31C3" w:rsidRDefault="000E31C3" w:rsidP="000E31C3"/>
    <w:p w14:paraId="704C0395" w14:textId="7B1450C4" w:rsidR="000E31C3" w:rsidRDefault="000E31C3" w:rsidP="000E31C3">
      <w:pPr>
        <w:pStyle w:val="Questions"/>
      </w:pPr>
      <w:r>
        <w:t xml:space="preserve">Question </w:t>
      </w:r>
      <w:r w:rsidR="00721342">
        <w:fldChar w:fldCharType="begin"/>
      </w:r>
      <w:r w:rsidR="00721342">
        <w:instrText xml:space="preserve"> SEQ Question \* ARABIC </w:instrText>
      </w:r>
      <w:r w:rsidR="00721342">
        <w:fldChar w:fldCharType="separate"/>
      </w:r>
      <w:r w:rsidR="001826B9">
        <w:rPr>
          <w:noProof/>
        </w:rPr>
        <w:t>7</w:t>
      </w:r>
      <w:r w:rsidR="00721342">
        <w:rPr>
          <w:noProof/>
        </w:rPr>
        <w:fldChar w:fldCharType="end"/>
      </w:r>
      <w:r>
        <w:t>: Do you consider that the proposed approach on frontloading ensures that the uncertainty related to this requirement is sufficiently mitigated, while allowing a meaningful set of contracts to be captured? Please explain why and possible alternatives</w:t>
      </w:r>
      <w:r w:rsidR="00A136F5" w:rsidRPr="00A136F5">
        <w:t xml:space="preserve"> </w:t>
      </w:r>
      <w:r w:rsidR="00A136F5">
        <w:t>compatible with EMIR</w:t>
      </w:r>
      <w:r>
        <w:t>.</w:t>
      </w:r>
    </w:p>
    <w:p w14:paraId="2F325155" w14:textId="77777777" w:rsidR="000E31C3" w:rsidRDefault="000E31C3" w:rsidP="000E31C3"/>
    <w:p w14:paraId="3866FA6D" w14:textId="6CF08233" w:rsidR="000E31C3" w:rsidRDefault="000E31C3" w:rsidP="000E31C3">
      <w:r>
        <w:t>&lt;ESMA_QUESTION_7&gt;</w:t>
      </w:r>
    </w:p>
    <w:p w14:paraId="61A20B8D" w14:textId="77777777" w:rsidR="000E31C3" w:rsidRDefault="000E31C3" w:rsidP="000E31C3">
      <w:permStart w:id="1836743607" w:edGrp="everyone"/>
      <w:r>
        <w:t>TYPE YOUR TEXT HERE</w:t>
      </w:r>
    </w:p>
    <w:permEnd w:id="1836743607"/>
    <w:p w14:paraId="20A205E7" w14:textId="086C5CAE" w:rsidR="000E31C3" w:rsidRDefault="000E31C3" w:rsidP="000E31C3">
      <w:r>
        <w:t>&lt;ESMA_QUESTION_7&gt;</w:t>
      </w:r>
    </w:p>
    <w:p w14:paraId="02C9350E" w14:textId="77777777" w:rsidR="000E31C3" w:rsidRDefault="000E31C3" w:rsidP="000E31C3">
      <w:pPr>
        <w:pStyle w:val="Questions"/>
      </w:pPr>
    </w:p>
    <w:p w14:paraId="7FEE5DEF" w14:textId="77777777" w:rsidR="00CB1E65" w:rsidRDefault="00CB1E65" w:rsidP="00CB1E65">
      <w:pPr>
        <w:pStyle w:val="Heading1"/>
        <w:numPr>
          <w:ilvl w:val="0"/>
          <w:numId w:val="0"/>
        </w:numPr>
      </w:pPr>
      <w:bookmarkStart w:id="20" w:name="_Ref389465288"/>
      <w:bookmarkStart w:id="21" w:name="_Toc392599429"/>
      <w:r w:rsidRPr="00B95561">
        <w:t xml:space="preserve">Annex </w:t>
      </w:r>
      <w:r w:rsidR="00F23B68">
        <w:fldChar w:fldCharType="begin"/>
      </w:r>
      <w:r w:rsidR="00F23B68">
        <w:instrText xml:space="preserve"> SEQ Annex \* ROMAN </w:instrText>
      </w:r>
      <w:r w:rsidR="00F23B68">
        <w:fldChar w:fldCharType="separate"/>
      </w:r>
      <w:r w:rsidR="001826B9">
        <w:rPr>
          <w:noProof/>
        </w:rPr>
        <w:t>I</w:t>
      </w:r>
      <w:r w:rsidR="00F23B68">
        <w:rPr>
          <w:noProof/>
        </w:rPr>
        <w:fldChar w:fldCharType="end"/>
      </w:r>
      <w:bookmarkEnd w:id="20"/>
      <w:r w:rsidRPr="00B95561">
        <w:t xml:space="preserve"> - Commission mandate to develop technical standards</w:t>
      </w:r>
      <w:bookmarkEnd w:id="21"/>
    </w:p>
    <w:p w14:paraId="7696A38A" w14:textId="77777777" w:rsidR="00CB1E65" w:rsidRPr="00663ADD" w:rsidRDefault="00CB1E65" w:rsidP="00CB1E65"/>
    <w:p w14:paraId="5A801D3C" w14:textId="64F7EF4C" w:rsidR="00CB1E65" w:rsidRDefault="00CB1E65" w:rsidP="00CB1E65">
      <w:pPr>
        <w:pStyle w:val="Heading1"/>
        <w:numPr>
          <w:ilvl w:val="0"/>
          <w:numId w:val="0"/>
        </w:numPr>
      </w:pPr>
      <w:bookmarkStart w:id="22" w:name="_Ref389466688"/>
      <w:bookmarkStart w:id="23" w:name="_Toc392599430"/>
      <w:r w:rsidRPr="009E0D2D">
        <w:t xml:space="preserve">Annex </w:t>
      </w:r>
      <w:r w:rsidR="00F23B68">
        <w:fldChar w:fldCharType="begin"/>
      </w:r>
      <w:r w:rsidR="00F23B68">
        <w:instrText xml:space="preserve"> SEQ Annex \* ROMAN </w:instrText>
      </w:r>
      <w:r w:rsidR="00F23B68">
        <w:fldChar w:fldCharType="separate"/>
      </w:r>
      <w:r w:rsidR="001826B9">
        <w:rPr>
          <w:noProof/>
        </w:rPr>
        <w:t>II</w:t>
      </w:r>
      <w:r w:rsidR="00F23B68">
        <w:rPr>
          <w:noProof/>
        </w:rPr>
        <w:fldChar w:fldCharType="end"/>
      </w:r>
      <w:bookmarkEnd w:id="22"/>
      <w:r>
        <w:t xml:space="preserve"> - Draft Regulatory Technical Standards on the Clearing Obligation</w:t>
      </w:r>
      <w:bookmarkEnd w:id="23"/>
    </w:p>
    <w:p w14:paraId="681A9EC1" w14:textId="77777777" w:rsidR="000E31C3" w:rsidRPr="007403B2" w:rsidRDefault="000E31C3" w:rsidP="000E31C3">
      <w:pPr>
        <w:pStyle w:val="Questions"/>
      </w:pPr>
      <w:r w:rsidRPr="007403B2">
        <w:t xml:space="preserve">Question </w:t>
      </w:r>
      <w:r w:rsidR="00721342">
        <w:fldChar w:fldCharType="begin"/>
      </w:r>
      <w:r w:rsidR="00721342">
        <w:instrText xml:space="preserve"> SEQ Question \* ARABIC </w:instrText>
      </w:r>
      <w:r w:rsidR="00721342">
        <w:fldChar w:fldCharType="separate"/>
      </w:r>
      <w:r w:rsidR="001826B9">
        <w:rPr>
          <w:noProof/>
        </w:rPr>
        <w:t>8</w:t>
      </w:r>
      <w:r w:rsidR="00721342">
        <w:rPr>
          <w:noProof/>
        </w:rPr>
        <w:fldChar w:fldCharType="end"/>
      </w:r>
      <w:r w:rsidRPr="007403B2">
        <w:t>: Please indicate your comments on the draft RTS other than those already made in the previous questions.</w:t>
      </w:r>
    </w:p>
    <w:p w14:paraId="6049389D" w14:textId="77777777" w:rsidR="000E31C3" w:rsidRDefault="000E31C3" w:rsidP="000E31C3"/>
    <w:p w14:paraId="740DCB74" w14:textId="388654A9" w:rsidR="000E31C3" w:rsidRDefault="000E31C3" w:rsidP="000E31C3">
      <w:r>
        <w:t>&lt;ESMA_QUESTION_8&gt;</w:t>
      </w:r>
    </w:p>
    <w:p w14:paraId="50431AF9" w14:textId="77777777" w:rsidR="000E31C3" w:rsidRDefault="000E31C3" w:rsidP="000E31C3">
      <w:permStart w:id="324959834" w:edGrp="everyone"/>
      <w:r>
        <w:t>TYPE YOUR TEXT HERE</w:t>
      </w:r>
    </w:p>
    <w:permEnd w:id="324959834"/>
    <w:p w14:paraId="396EA9A2" w14:textId="3951BFCD" w:rsidR="000E31C3" w:rsidRDefault="000E31C3" w:rsidP="000E31C3">
      <w:r>
        <w:t>&lt;ESMA_QUESTION_8&gt;</w:t>
      </w:r>
    </w:p>
    <w:p w14:paraId="72C5678C" w14:textId="77777777" w:rsidR="00CB1E65" w:rsidRDefault="00CB1E65" w:rsidP="000E31C3"/>
    <w:p w14:paraId="5E0973BA" w14:textId="77777777" w:rsidR="00CB1E65" w:rsidRPr="00CB1E65" w:rsidRDefault="00CB1E65" w:rsidP="00CB1E65">
      <w:bookmarkStart w:id="24" w:name="_Toc392599431"/>
    </w:p>
    <w:p w14:paraId="1A22585A" w14:textId="32F0E18C" w:rsidR="00CB1E65" w:rsidRDefault="00CB1E65" w:rsidP="00CB1E65">
      <w:pPr>
        <w:pStyle w:val="Heading1"/>
        <w:numPr>
          <w:ilvl w:val="0"/>
          <w:numId w:val="0"/>
        </w:numPr>
      </w:pPr>
      <w:r w:rsidRPr="0030524D">
        <w:t xml:space="preserve">Annex </w:t>
      </w:r>
      <w:r w:rsidR="00F23B68">
        <w:fldChar w:fldCharType="begin"/>
      </w:r>
      <w:r w:rsidR="00F23B68">
        <w:instrText xml:space="preserve"> SEQ Annex \* ROMAN </w:instrText>
      </w:r>
      <w:r w:rsidR="00F23B68">
        <w:fldChar w:fldCharType="separate"/>
      </w:r>
      <w:r w:rsidR="001826B9">
        <w:rPr>
          <w:noProof/>
        </w:rPr>
        <w:t>III</w:t>
      </w:r>
      <w:r w:rsidR="00F23B68">
        <w:rPr>
          <w:noProof/>
        </w:rPr>
        <w:fldChar w:fldCharType="end"/>
      </w:r>
      <w:r w:rsidRPr="0030524D">
        <w:t xml:space="preserve"> - </w:t>
      </w:r>
      <w:r>
        <w:t>Impact assessment</w:t>
      </w:r>
      <w:bookmarkEnd w:id="24"/>
    </w:p>
    <w:p w14:paraId="3105F269" w14:textId="77777777" w:rsidR="000E31C3" w:rsidRPr="007403B2" w:rsidRDefault="000E31C3" w:rsidP="000E31C3">
      <w:pPr>
        <w:pStyle w:val="Questions"/>
      </w:pPr>
      <w:r w:rsidRPr="007403B2">
        <w:t xml:space="preserve">Question </w:t>
      </w:r>
      <w:r w:rsidR="00721342">
        <w:fldChar w:fldCharType="begin"/>
      </w:r>
      <w:r w:rsidR="00721342">
        <w:instrText xml:space="preserve"> SEQ Question \* ARABIC </w:instrText>
      </w:r>
      <w:r w:rsidR="00721342">
        <w:fldChar w:fldCharType="separate"/>
      </w:r>
      <w:r w:rsidR="001826B9">
        <w:rPr>
          <w:noProof/>
        </w:rPr>
        <w:t>9</w:t>
      </w:r>
      <w:r w:rsidR="00721342">
        <w:rPr>
          <w:noProof/>
        </w:rPr>
        <w:fldChar w:fldCharType="end"/>
      </w:r>
      <w:r w:rsidRPr="007403B2">
        <w:t>: Please indicate your comments on the Impact Assessment.</w:t>
      </w:r>
    </w:p>
    <w:p w14:paraId="4C316D1A" w14:textId="77777777" w:rsidR="000E31C3" w:rsidRDefault="000E31C3" w:rsidP="000E31C3"/>
    <w:p w14:paraId="1F3358D0" w14:textId="12A00DB2" w:rsidR="000E31C3" w:rsidRDefault="000E31C3" w:rsidP="000E31C3">
      <w:r>
        <w:t>&lt;ESMA_QUESTION_9&gt;</w:t>
      </w:r>
    </w:p>
    <w:p w14:paraId="0FE2D94A" w14:textId="77777777" w:rsidR="000E31C3" w:rsidRDefault="000E31C3" w:rsidP="000E31C3">
      <w:permStart w:id="830879288" w:edGrp="everyone"/>
      <w:r>
        <w:t>TYPE YOUR TEXT HERE</w:t>
      </w:r>
    </w:p>
    <w:permEnd w:id="830879288"/>
    <w:p w14:paraId="0CB6A86E" w14:textId="2B06422E" w:rsidR="000E31C3" w:rsidRDefault="000E31C3" w:rsidP="000E31C3">
      <w:r>
        <w:t>&lt;ESMA_QUESTION_9&gt;</w:t>
      </w:r>
    </w:p>
    <w:p w14:paraId="7DAE9D4A" w14:textId="77777777" w:rsidR="00082AD5" w:rsidRDefault="00082AD5">
      <w:bookmarkStart w:id="25" w:name="_GoBack"/>
      <w:bookmarkEnd w:id="25"/>
    </w:p>
    <w:sectPr w:rsidR="00082AD5" w:rsidSect="00C413FC">
      <w:headerReference w:type="even" r:id="rId14"/>
      <w:headerReference w:type="first" r:id="rId15"/>
      <w:footerReference w:type="first" r:id="rId16"/>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53F2" w14:textId="77777777" w:rsidR="003546BB" w:rsidRDefault="003546BB">
      <w:r>
        <w:separator/>
      </w:r>
    </w:p>
    <w:p w14:paraId="56755131" w14:textId="77777777" w:rsidR="003546BB" w:rsidRDefault="003546BB"/>
    <w:p w14:paraId="6DB89C51" w14:textId="77777777" w:rsidR="003546BB" w:rsidRDefault="003546BB"/>
  </w:endnote>
  <w:endnote w:type="continuationSeparator" w:id="0">
    <w:p w14:paraId="7EBD5D1A" w14:textId="77777777" w:rsidR="003546BB" w:rsidRDefault="003546BB">
      <w:r>
        <w:continuationSeparator/>
      </w:r>
    </w:p>
    <w:p w14:paraId="41A99E63" w14:textId="77777777" w:rsidR="003546BB" w:rsidRDefault="003546BB"/>
    <w:p w14:paraId="232E2431" w14:textId="77777777" w:rsidR="003546BB" w:rsidRDefault="00354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42FD0" w:rsidRPr="000C3B6D" w14:paraId="5781BFA7" w14:textId="77777777" w:rsidTr="000C3B6D">
      <w:trPr>
        <w:trHeight w:val="284"/>
      </w:trPr>
      <w:tc>
        <w:tcPr>
          <w:tcW w:w="8460" w:type="dxa"/>
        </w:tcPr>
        <w:p w14:paraId="3B3513CD" w14:textId="77777777" w:rsidR="00E42FD0" w:rsidRPr="000C3B6D" w:rsidRDefault="00E42FD0" w:rsidP="000C3B6D">
          <w:pPr>
            <w:pStyle w:val="00Footer"/>
            <w:rPr>
              <w:lang w:val="fr-FR"/>
            </w:rPr>
          </w:pPr>
        </w:p>
      </w:tc>
      <w:tc>
        <w:tcPr>
          <w:tcW w:w="952" w:type="dxa"/>
        </w:tcPr>
        <w:p w14:paraId="7E457E2E" w14:textId="77777777" w:rsidR="00E42FD0" w:rsidRDefault="00E42FD0" w:rsidP="002C5B2D">
          <w:pPr>
            <w:pStyle w:val="00aPagenumber"/>
          </w:pPr>
          <w:r w:rsidRPr="002C5B2D">
            <w:fldChar w:fldCharType="begin"/>
          </w:r>
          <w:r w:rsidRPr="002C5B2D">
            <w:instrText xml:space="preserve"> PAGE </w:instrText>
          </w:r>
          <w:r w:rsidRPr="002C5B2D">
            <w:fldChar w:fldCharType="separate"/>
          </w:r>
          <w:r w:rsidR="000A38E9">
            <w:rPr>
              <w:noProof/>
            </w:rPr>
            <w:t>8</w:t>
          </w:r>
          <w:r w:rsidRPr="002C5B2D">
            <w:fldChar w:fldCharType="end"/>
          </w:r>
        </w:p>
        <w:p w14:paraId="4B069B54" w14:textId="77777777" w:rsidR="00E42FD0" w:rsidRPr="002C5B2D" w:rsidRDefault="00E42FD0" w:rsidP="002C5B2D">
          <w:pPr>
            <w:pStyle w:val="00aPagenumber"/>
          </w:pPr>
        </w:p>
      </w:tc>
    </w:tr>
    <w:tr w:rsidR="00E42FD0" w:rsidRPr="000C3B6D" w14:paraId="72675130" w14:textId="77777777" w:rsidTr="000C3B6D">
      <w:trPr>
        <w:trHeight w:val="284"/>
      </w:trPr>
      <w:tc>
        <w:tcPr>
          <w:tcW w:w="8460" w:type="dxa"/>
        </w:tcPr>
        <w:p w14:paraId="27A25737" w14:textId="3B092D73" w:rsidR="00E42FD0" w:rsidRPr="00E06635" w:rsidRDefault="00E42FD0" w:rsidP="00D82212">
          <w:pPr>
            <w:pStyle w:val="00Footer"/>
          </w:pPr>
        </w:p>
      </w:tc>
      <w:tc>
        <w:tcPr>
          <w:tcW w:w="952" w:type="dxa"/>
        </w:tcPr>
        <w:p w14:paraId="19F8A1E3" w14:textId="77777777" w:rsidR="00E42FD0" w:rsidRPr="002C5B2D" w:rsidRDefault="00E42FD0" w:rsidP="002C5B2D">
          <w:pPr>
            <w:pStyle w:val="00aPagenumber"/>
          </w:pPr>
        </w:p>
      </w:tc>
    </w:tr>
  </w:tbl>
  <w:p w14:paraId="00A28279" w14:textId="0B6A4D99" w:rsidR="00E42FD0" w:rsidRDefault="00E42FD0">
    <w:pPr>
      <w:pStyle w:val="Footer"/>
    </w:pPr>
    <w:r>
      <w:fldChar w:fldCharType="begin"/>
    </w:r>
    <w:r>
      <w:instrText xml:space="preserve"> DATE \@ "dddd, dd MMMM yyyy" </w:instrText>
    </w:r>
    <w:r>
      <w:fldChar w:fldCharType="separate"/>
    </w:r>
    <w:r w:rsidR="000A38E9">
      <w:rPr>
        <w:noProof/>
      </w:rPr>
      <w:t>Thursday, 18 September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58D6" w14:textId="77777777" w:rsidR="00E42FD0" w:rsidRDefault="00E42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B8AE9" w14:textId="77777777" w:rsidR="003546BB" w:rsidRDefault="003546BB">
      <w:r>
        <w:separator/>
      </w:r>
    </w:p>
    <w:p w14:paraId="202CDE8B" w14:textId="77777777" w:rsidR="003546BB" w:rsidRDefault="003546BB"/>
  </w:footnote>
  <w:footnote w:type="continuationSeparator" w:id="0">
    <w:p w14:paraId="789B37D2" w14:textId="77777777" w:rsidR="003546BB" w:rsidRDefault="003546BB">
      <w:r>
        <w:continuationSeparator/>
      </w:r>
    </w:p>
    <w:p w14:paraId="75B9669A" w14:textId="77777777" w:rsidR="003546BB" w:rsidRDefault="003546BB"/>
    <w:p w14:paraId="64A210C3" w14:textId="77777777" w:rsidR="003546BB" w:rsidRDefault="003546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1D3A1" w14:textId="77777777" w:rsidR="00E42FD0" w:rsidRDefault="00E42FD0">
    <w:pPr>
      <w:pStyle w:val="Header"/>
    </w:pPr>
    <w:r>
      <w:rPr>
        <w:noProof/>
        <w:lang w:val="en-US" w:eastAsia="en-US"/>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C4610"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889E" w14:textId="77777777" w:rsidR="00E42FD0" w:rsidRDefault="00E42FD0">
    <w:pPr>
      <w:pStyle w:val="Header"/>
    </w:pPr>
    <w:r>
      <w:rPr>
        <w:noProof/>
        <w:lang w:val="en-US" w:eastAsia="en-US"/>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7835" w14:textId="77777777" w:rsidR="00E42FD0" w:rsidRDefault="00E42F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E42FD0" w:rsidRPr="00E00C3F" w14:paraId="273E79AB" w14:textId="77777777" w:rsidTr="00641A2C">
      <w:trPr>
        <w:trHeight w:val="284"/>
      </w:trPr>
      <w:tc>
        <w:tcPr>
          <w:tcW w:w="9214" w:type="dxa"/>
        </w:tcPr>
        <w:p w14:paraId="63EB5814" w14:textId="77777777" w:rsidR="00E42FD0" w:rsidRPr="000C3B6D" w:rsidRDefault="00E42FD0"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E42FD0" w:rsidRPr="00E00C3F" w:rsidRDefault="00E42FD0" w:rsidP="00620D7C">
          <w:pPr>
            <w:pStyle w:val="00aPagenumber"/>
            <w:rPr>
              <w:lang w:val="fr-FR"/>
            </w:rPr>
          </w:pPr>
        </w:p>
      </w:tc>
    </w:tr>
  </w:tbl>
  <w:p w14:paraId="22CE6FDD" w14:textId="77777777" w:rsidR="00E42FD0" w:rsidRPr="00DB46C3" w:rsidRDefault="00E42FD0">
    <w:pPr>
      <w:rPr>
        <w:lang w:val="fr-FR"/>
      </w:rPr>
    </w:pPr>
  </w:p>
  <w:p w14:paraId="64A6237C" w14:textId="77777777" w:rsidR="00E42FD0" w:rsidRDefault="00E42FD0">
    <w:pPr>
      <w:pStyle w:val="Header"/>
    </w:pPr>
    <w:r>
      <w:rPr>
        <w:noProof/>
        <w:lang w:val="en-US" w:eastAsia="en-US"/>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32F0"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en-US" w:eastAsia="en-US"/>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8B92853"/>
    <w:multiLevelType w:val="multilevel"/>
    <w:tmpl w:val="0E44C8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21"/>
  </w:num>
  <w:num w:numId="3">
    <w:abstractNumId w:val="15"/>
  </w:num>
  <w:num w:numId="4">
    <w:abstractNumId w:val="25"/>
  </w:num>
  <w:num w:numId="5">
    <w:abstractNumId w:val="5"/>
  </w:num>
  <w:num w:numId="6">
    <w:abstractNumId w:val="11"/>
  </w:num>
  <w:num w:numId="7">
    <w:abstractNumId w:val="14"/>
  </w:num>
  <w:num w:numId="8">
    <w:abstractNumId w:val="16"/>
  </w:num>
  <w:num w:numId="9">
    <w:abstractNumId w:val="20"/>
  </w:num>
  <w:num w:numId="10">
    <w:abstractNumId w:val="8"/>
  </w:num>
  <w:num w:numId="11">
    <w:abstractNumId w:val="18"/>
  </w:num>
  <w:num w:numId="12">
    <w:abstractNumId w:val="0"/>
  </w:num>
  <w:num w:numId="13">
    <w:abstractNumId w:val="18"/>
    <w:lvlOverride w:ilvl="0">
      <w:startOverride w:val="1"/>
    </w:lvlOverride>
  </w:num>
  <w:num w:numId="14">
    <w:abstractNumId w:val="26"/>
  </w:num>
  <w:num w:numId="15">
    <w:abstractNumId w:val="27"/>
  </w:num>
  <w:num w:numId="16">
    <w:abstractNumId w:val="18"/>
    <w:lvlOverride w:ilvl="0">
      <w:startOverride w:val="1"/>
    </w:lvlOverride>
  </w:num>
  <w:num w:numId="17">
    <w:abstractNumId w:val="18"/>
    <w:lvlOverride w:ilvl="0">
      <w:startOverride w:val="1"/>
    </w:lvlOverride>
  </w:num>
  <w:num w:numId="18">
    <w:abstractNumId w:val="1"/>
  </w:num>
  <w:num w:numId="19">
    <w:abstractNumId w:val="22"/>
  </w:num>
  <w:num w:numId="20">
    <w:abstractNumId w:val="6"/>
  </w:num>
  <w:num w:numId="21">
    <w:abstractNumId w:val="18"/>
    <w:lvlOverride w:ilvl="0">
      <w:startOverride w:val="1"/>
    </w:lvlOverride>
  </w:num>
  <w:num w:numId="22">
    <w:abstractNumId w:val="31"/>
  </w:num>
  <w:num w:numId="23">
    <w:abstractNumId w:val="34"/>
  </w:num>
  <w:num w:numId="24">
    <w:abstractNumId w:val="18"/>
    <w:lvlOverride w:ilvl="0">
      <w:startOverride w:val="1"/>
    </w:lvlOverride>
  </w:num>
  <w:num w:numId="25">
    <w:abstractNumId w:val="18"/>
    <w:lvlOverride w:ilvl="0">
      <w:startOverride w:val="1"/>
    </w:lvlOverride>
  </w:num>
  <w:num w:numId="26">
    <w:abstractNumId w:val="18"/>
  </w:num>
  <w:num w:numId="27">
    <w:abstractNumId w:val="18"/>
    <w:lvlOverride w:ilvl="0">
      <w:startOverride w:val="1"/>
    </w:lvlOverride>
  </w:num>
  <w:num w:numId="28">
    <w:abstractNumId w:val="18"/>
    <w:lvlOverride w:ilvl="0">
      <w:startOverride w:val="1"/>
    </w:lvlOverride>
  </w:num>
  <w:num w:numId="29">
    <w:abstractNumId w:val="3"/>
  </w:num>
  <w:num w:numId="30">
    <w:abstractNumId w:val="33"/>
  </w:num>
  <w:num w:numId="31">
    <w:abstractNumId w:val="32"/>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29"/>
  </w:num>
  <w:num w:numId="36">
    <w:abstractNumId w:val="30"/>
  </w:num>
  <w:num w:numId="37">
    <w:abstractNumId w:val="23"/>
  </w:num>
  <w:num w:numId="38">
    <w:abstractNumId w:val="35"/>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7"/>
  </w:num>
  <w:num w:numId="45">
    <w:abstractNumId w:val="18"/>
    <w:lvlOverride w:ilvl="0">
      <w:startOverride w:val="1"/>
    </w:lvlOverride>
  </w:num>
  <w:num w:numId="46">
    <w:abstractNumId w:val="2"/>
  </w:num>
  <w:num w:numId="47">
    <w:abstractNumId w:val="10"/>
  </w:num>
  <w:num w:numId="48">
    <w:abstractNumId w:val="4"/>
  </w:num>
  <w:num w:numId="49">
    <w:abstractNumId w:val="28"/>
  </w:num>
  <w:num w:numId="50">
    <w:abstractNumId w:val="12"/>
  </w:num>
  <w:num w:numId="51">
    <w:abstractNumId w:val="19"/>
  </w:num>
  <w:num w:numId="52">
    <w:abstractNumId w:val="18"/>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LlMJhdXgN8vvQsum/c1GlR6jNoQ=" w:salt="HqhYJjbUiIm6j7uWoiHcog=="/>
  <w:defaultTabStop w:val="709"/>
  <w:hyphenationZone w:val="567"/>
  <w:doNotHyphenateCaps/>
  <w:characterSpacingControl w:val="doNotCompress"/>
  <w:hdrShapeDefaults>
    <o:shapedefaults v:ext="edit" spidmax="2049">
      <o:colormru v:ext="edit" colors="#2d4491,#28358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EF2"/>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2AD5"/>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38E9"/>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31C3"/>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4F17"/>
    <w:rsid w:val="0014501C"/>
    <w:rsid w:val="00145BEB"/>
    <w:rsid w:val="00147252"/>
    <w:rsid w:val="00147B5A"/>
    <w:rsid w:val="001501FE"/>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26B9"/>
    <w:rsid w:val="00183178"/>
    <w:rsid w:val="001843B5"/>
    <w:rsid w:val="00184B0D"/>
    <w:rsid w:val="001850D9"/>
    <w:rsid w:val="0018532A"/>
    <w:rsid w:val="001875BE"/>
    <w:rsid w:val="00190B8C"/>
    <w:rsid w:val="001931BC"/>
    <w:rsid w:val="001937AD"/>
    <w:rsid w:val="00193908"/>
    <w:rsid w:val="00194451"/>
    <w:rsid w:val="00194BEE"/>
    <w:rsid w:val="0019595E"/>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E2DBA"/>
    <w:rsid w:val="001E3B84"/>
    <w:rsid w:val="001E445D"/>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2F13"/>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077A"/>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6BB"/>
    <w:rsid w:val="00354A6F"/>
    <w:rsid w:val="00355752"/>
    <w:rsid w:val="003609B6"/>
    <w:rsid w:val="00361FD3"/>
    <w:rsid w:val="003638FC"/>
    <w:rsid w:val="00363AC3"/>
    <w:rsid w:val="0036426C"/>
    <w:rsid w:val="0036503F"/>
    <w:rsid w:val="00367FE8"/>
    <w:rsid w:val="0037087F"/>
    <w:rsid w:val="00370AB4"/>
    <w:rsid w:val="0037116A"/>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E7EA2"/>
    <w:rsid w:val="003F10BE"/>
    <w:rsid w:val="003F1192"/>
    <w:rsid w:val="003F1873"/>
    <w:rsid w:val="003F25BA"/>
    <w:rsid w:val="003F27B5"/>
    <w:rsid w:val="003F2CA8"/>
    <w:rsid w:val="003F2E45"/>
    <w:rsid w:val="003F3FF4"/>
    <w:rsid w:val="003F54EE"/>
    <w:rsid w:val="003F6BFF"/>
    <w:rsid w:val="003F7987"/>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3C8A"/>
    <w:rsid w:val="005D4A86"/>
    <w:rsid w:val="005D5160"/>
    <w:rsid w:val="005E0F86"/>
    <w:rsid w:val="005E18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1342"/>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7D7"/>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398B"/>
    <w:rsid w:val="007D44F3"/>
    <w:rsid w:val="007D62BA"/>
    <w:rsid w:val="007D65B5"/>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37BA0"/>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4EE6"/>
    <w:rsid w:val="009057FF"/>
    <w:rsid w:val="00905F76"/>
    <w:rsid w:val="00907061"/>
    <w:rsid w:val="009122B8"/>
    <w:rsid w:val="0091344E"/>
    <w:rsid w:val="009158B7"/>
    <w:rsid w:val="00915A84"/>
    <w:rsid w:val="009174A7"/>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36F5"/>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5BB1"/>
    <w:rsid w:val="00A564CD"/>
    <w:rsid w:val="00A60736"/>
    <w:rsid w:val="00A60BB0"/>
    <w:rsid w:val="00A60E64"/>
    <w:rsid w:val="00A60F50"/>
    <w:rsid w:val="00A61009"/>
    <w:rsid w:val="00A613ED"/>
    <w:rsid w:val="00A61EF6"/>
    <w:rsid w:val="00A62956"/>
    <w:rsid w:val="00A63852"/>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90886"/>
    <w:rsid w:val="00A917C3"/>
    <w:rsid w:val="00A93C0E"/>
    <w:rsid w:val="00A9427D"/>
    <w:rsid w:val="00A94835"/>
    <w:rsid w:val="00A958CA"/>
    <w:rsid w:val="00A95E26"/>
    <w:rsid w:val="00A976C2"/>
    <w:rsid w:val="00AA003B"/>
    <w:rsid w:val="00AA00F2"/>
    <w:rsid w:val="00AA0857"/>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3559"/>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2D1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3BC8"/>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1E65"/>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23F7"/>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D57"/>
    <w:rsid w:val="00E32E31"/>
    <w:rsid w:val="00E3337E"/>
    <w:rsid w:val="00E34018"/>
    <w:rsid w:val="00E34A8D"/>
    <w:rsid w:val="00E35BF2"/>
    <w:rsid w:val="00E35CFC"/>
    <w:rsid w:val="00E35F35"/>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E80"/>
    <w:rsid w:val="00F17D5C"/>
    <w:rsid w:val="00F2081B"/>
    <w:rsid w:val="00F21068"/>
    <w:rsid w:val="00F2134C"/>
    <w:rsid w:val="00F218AE"/>
    <w:rsid w:val="00F21DBB"/>
    <w:rsid w:val="00F2244A"/>
    <w:rsid w:val="00F23B68"/>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3FA"/>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d4491,#283583"/>
    </o:shapedefaults>
    <o:shapelayout v:ext="edit">
      <o:idmap v:ext="edit" data="1"/>
    </o:shapelayout>
  </w:shapeDefaults>
  <w:decimalSymbol w:val="."/>
  <w:listSeparator w:val=","/>
  <w14:docId w14:val="09E0EA18"/>
  <w15:docId w15:val="{4E7ADB01-F3D9-45E5-9005-9FFBBEB1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6D"/>
    <w:rPr>
      <w:rFonts w:ascii="Georgia" w:hAnsi="Georgia"/>
      <w:szCs w:val="24"/>
      <w:lang w:eastAsia="de-DE"/>
    </w:rPr>
  </w:style>
  <w:style w:type="paragraph" w:styleId="Heading1">
    <w:name w:val="heading 1"/>
    <w:basedOn w:val="Heading2"/>
    <w:next w:val="Normal"/>
    <w:link w:val="Heading1Char"/>
    <w:uiPriority w:val="9"/>
    <w:qFormat/>
    <w:rsid w:val="00AA0857"/>
    <w:pPr>
      <w:numPr>
        <w:ilvl w:val="0"/>
      </w:numPr>
      <w:outlineLvl w:val="0"/>
    </w:pPr>
  </w:style>
  <w:style w:type="paragraph" w:styleId="Heading2">
    <w:name w:val="heading 2"/>
    <w:basedOn w:val="04aNumbering"/>
    <w:next w:val="Normal"/>
    <w:link w:val="Heading2Char"/>
    <w:qFormat/>
    <w:rsid w:val="00AA0857"/>
    <w:pPr>
      <w:numPr>
        <w:ilvl w:val="1"/>
        <w:numId w:val="55"/>
      </w:numPr>
      <w:outlineLvl w:val="1"/>
    </w:pPr>
    <w:rPr>
      <w:b/>
    </w:rPr>
  </w:style>
  <w:style w:type="paragraph" w:styleId="Heading3">
    <w:name w:val="heading 3"/>
    <w:basedOn w:val="Heading2"/>
    <w:next w:val="Normal"/>
    <w:link w:val="Heading3Char"/>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ListParagraph"/>
    <w:link w:val="0MyBulletChar"/>
    <w:qFormat/>
    <w:rsid w:val="00DF3BEB"/>
    <w:pPr>
      <w:spacing w:before="120" w:after="120" w:line="276" w:lineRule="auto"/>
      <w:ind w:left="0"/>
    </w:pPr>
  </w:style>
  <w:style w:type="character" w:customStyle="1" w:styleId="0MyBulletChar">
    <w:name w:val="0. My Bullet Char"/>
    <w:link w:val="0MyBullet"/>
    <w:rsid w:val="00DF3BEB"/>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AA0857"/>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spacing w:before="480" w:after="0"/>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rsid w:val="00AA0857"/>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achccp.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50C19"/>
    <w:rsid w:val="000F64E6"/>
    <w:rsid w:val="002E7A9D"/>
    <w:rsid w:val="002F444B"/>
    <w:rsid w:val="00661608"/>
    <w:rsid w:val="006F2C50"/>
    <w:rsid w:val="008D50B6"/>
    <w:rsid w:val="00984AF4"/>
    <w:rsid w:val="00BD247C"/>
    <w:rsid w:val="00CD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B100-33FC-4B76-866D-85D07A08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12</TotalTime>
  <Pages>1</Pages>
  <Words>1610</Words>
  <Characters>9178</Characters>
  <Application>Microsoft Office Word</Application>
  <DocSecurity>8</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10767</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rafael plata</cp:lastModifiedBy>
  <cp:revision>5</cp:revision>
  <cp:lastPrinted>2014-07-10T08:22:00Z</cp:lastPrinted>
  <dcterms:created xsi:type="dcterms:W3CDTF">2014-09-15T16:25:00Z</dcterms:created>
  <dcterms:modified xsi:type="dcterms:W3CDTF">2014-09-18T07:37:00Z</dcterms:modified>
</cp:coreProperties>
</file>