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Lienhypertexte"/>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Lienhypertexte"/>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Titre1"/>
        <w:numPr>
          <w:ilvl w:val="0"/>
          <w:numId w:val="0"/>
        </w:numPr>
      </w:pPr>
      <w:r>
        <w:lastRenderedPageBreak/>
        <w:t>General information about respondent</w:t>
      </w:r>
    </w:p>
    <w:tbl>
      <w:tblPr>
        <w:tblStyle w:val="Grilledutableau"/>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4D398900" w:rsidR="00BC2D1C" w:rsidRDefault="0042602C" w:rsidP="00E62FA2">
            <w:permStart w:id="2025793954" w:edGrp="everyone"/>
            <w:r w:rsidRPr="009B450A">
              <w:rPr>
                <w:lang w:val="fr-FR"/>
              </w:rPr>
              <w:t>AFG,</w:t>
            </w:r>
            <w:r>
              <w:rPr>
                <w:lang w:val="fr-FR"/>
              </w:rPr>
              <w:t xml:space="preserve"> Association Française de la Gestion f</w:t>
            </w:r>
            <w:r w:rsidRPr="009B450A">
              <w:rPr>
                <w:lang w:val="fr-FR"/>
              </w:rPr>
              <w:t>inancière</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299BF893" w:rsidR="00E62FA2" w:rsidRDefault="00C84577"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42602C">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79A50002" w:rsidR="00E62FA2" w:rsidRDefault="00C84577"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42602C">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3B22207C" w:rsidR="00E62FA2" w:rsidRDefault="0042602C" w:rsidP="00E62FA2">
                <w:r>
                  <w:t>France</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Titre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35A2C50F" w14:textId="4A80F516" w:rsidR="000531B3" w:rsidRDefault="000531B3" w:rsidP="004871F2">
      <w:pPr>
        <w:jc w:val="both"/>
      </w:pPr>
      <w:permStart w:id="1926890795" w:edGrp="everyone"/>
      <w:r>
        <w:t>AFG welcomes</w:t>
      </w:r>
      <w:r w:rsidRPr="009F257A">
        <w:t xml:space="preserve"> the opportunity to respond to the ESMA Consultation on </w:t>
      </w:r>
      <w:r>
        <w:t>the Clearing Obligation under EMIR (n°2)</w:t>
      </w:r>
      <w:r w:rsidRPr="009F257A">
        <w:t>.</w:t>
      </w:r>
    </w:p>
    <w:p w14:paraId="406EA545" w14:textId="77777777" w:rsidR="000531B3" w:rsidRDefault="000531B3" w:rsidP="004871F2">
      <w:pPr>
        <w:jc w:val="both"/>
      </w:pPr>
    </w:p>
    <w:p w14:paraId="15C0B1B7" w14:textId="77777777" w:rsidR="00422529" w:rsidRDefault="000531B3" w:rsidP="004871F2">
      <w:pPr>
        <w:jc w:val="both"/>
      </w:pPr>
      <w:r>
        <w:t xml:space="preserve">We would like to remind that our members approve the move towards enhanced financial stability and the resulting compensation obligation of standardized and liquid derivatives. We would like to highlight that the first consequence of the regulatory obligation to compensate is </w:t>
      </w:r>
      <w:r w:rsidRPr="002139E3">
        <w:rPr>
          <w:b/>
        </w:rPr>
        <w:t>an increased obligation on the regulators</w:t>
      </w:r>
      <w:r>
        <w:t xml:space="preserve"> to closely supervise and constantly monitor the approved CCPs in order to prevent any failure on their side that would definitely have a systemic impact.</w:t>
      </w:r>
    </w:p>
    <w:p w14:paraId="47CD5E44" w14:textId="77777777" w:rsidR="00BB0B93" w:rsidRPr="00450689" w:rsidRDefault="00BB0B93" w:rsidP="004871F2">
      <w:pPr>
        <w:jc w:val="both"/>
      </w:pPr>
    </w:p>
    <w:p w14:paraId="3B929815" w14:textId="71050300" w:rsidR="00BB0B93" w:rsidRPr="00450689" w:rsidRDefault="00BB0B93" w:rsidP="00BB0B93">
      <w:pPr>
        <w:jc w:val="both"/>
        <w:rPr>
          <w:b/>
        </w:rPr>
      </w:pPr>
      <w:r w:rsidRPr="00450689">
        <w:rPr>
          <w:b/>
        </w:rPr>
        <w:t>Please see hereafter our general comments:</w:t>
      </w:r>
    </w:p>
    <w:p w14:paraId="7F3377F8" w14:textId="77777777" w:rsidR="004D0FE4" w:rsidRPr="004B5113" w:rsidRDefault="004D0FE4" w:rsidP="0084195F">
      <w:pPr>
        <w:spacing w:line="276" w:lineRule="auto"/>
        <w:jc w:val="both"/>
      </w:pPr>
    </w:p>
    <w:p w14:paraId="07A6A354" w14:textId="77777777" w:rsidR="004D0FE4" w:rsidRPr="004B5113" w:rsidRDefault="004D0FE4" w:rsidP="004D0FE4">
      <w:pPr>
        <w:pStyle w:val="Paragraphedeliste"/>
        <w:numPr>
          <w:ilvl w:val="0"/>
          <w:numId w:val="60"/>
        </w:numPr>
        <w:spacing w:line="276" w:lineRule="auto"/>
        <w:jc w:val="both"/>
        <w:rPr>
          <w:b/>
          <w:u w:val="single"/>
        </w:rPr>
      </w:pPr>
      <w:r w:rsidRPr="004B5113">
        <w:rPr>
          <w:b/>
          <w:u w:val="single"/>
        </w:rPr>
        <w:t xml:space="preserve">2 CCPs at least </w:t>
      </w:r>
    </w:p>
    <w:p w14:paraId="7DE1E22C" w14:textId="7A66601D" w:rsidR="0084195F" w:rsidRPr="004B5113" w:rsidRDefault="004D0FE4" w:rsidP="004B5113">
      <w:pPr>
        <w:spacing w:line="276" w:lineRule="auto"/>
        <w:jc w:val="both"/>
      </w:pPr>
      <w:r w:rsidRPr="004B5113">
        <w:t>Before declaring an obligation to centrally clear a contract, ESMA should make sure that at least 2 CCPs offer a possibility to clear that contract and that they both offer real full segrega</w:t>
      </w:r>
      <w:r w:rsidR="00450689" w:rsidRPr="004B5113">
        <w:t>tion as required in EMIR level1.</w:t>
      </w:r>
    </w:p>
    <w:p w14:paraId="58BD3AE8" w14:textId="77777777" w:rsidR="004D0FE4" w:rsidRPr="004B5113" w:rsidRDefault="004D0FE4" w:rsidP="00450689">
      <w:pPr>
        <w:spacing w:line="276" w:lineRule="auto"/>
        <w:jc w:val="both"/>
      </w:pPr>
    </w:p>
    <w:p w14:paraId="5E770D68" w14:textId="77777777" w:rsidR="004B5113" w:rsidRPr="004B5113" w:rsidRDefault="00BB0B93" w:rsidP="00BB0B93">
      <w:pPr>
        <w:pStyle w:val="Paragraphedeliste"/>
        <w:numPr>
          <w:ilvl w:val="0"/>
          <w:numId w:val="60"/>
        </w:numPr>
        <w:spacing w:line="276" w:lineRule="auto"/>
        <w:jc w:val="both"/>
      </w:pPr>
      <w:r w:rsidRPr="004B5113">
        <w:rPr>
          <w:b/>
          <w:u w:val="single"/>
        </w:rPr>
        <w:t>Phase-in approach for regulated investment funds</w:t>
      </w:r>
      <w:r w:rsidRPr="004B5113">
        <w:t>.</w:t>
      </w:r>
    </w:p>
    <w:p w14:paraId="12463950" w14:textId="50C6BABE" w:rsidR="00BB0B93" w:rsidRPr="004B5113" w:rsidRDefault="00BB0B93" w:rsidP="004B5113">
      <w:pPr>
        <w:spacing w:line="276" w:lineRule="auto"/>
        <w:jc w:val="both"/>
      </w:pPr>
      <w:r w:rsidRPr="004B5113">
        <w:t xml:space="preserve">We agree with ESMA’s proposal and </w:t>
      </w:r>
      <w:r w:rsidRPr="004B5113">
        <w:rPr>
          <w:b/>
        </w:rPr>
        <w:t xml:space="preserve">welcome </w:t>
      </w:r>
      <w:r w:rsidR="004D0FE4" w:rsidRPr="004B5113">
        <w:rPr>
          <w:b/>
        </w:rPr>
        <w:t>a</w:t>
      </w:r>
      <w:r w:rsidRPr="004B5113">
        <w:rPr>
          <w:b/>
        </w:rPr>
        <w:t xml:space="preserve"> phase-in </w:t>
      </w:r>
      <w:r w:rsidR="004D0FE4" w:rsidRPr="004B5113">
        <w:rPr>
          <w:b/>
        </w:rPr>
        <w:t xml:space="preserve">period </w:t>
      </w:r>
      <w:r w:rsidRPr="004B5113">
        <w:rPr>
          <w:b/>
        </w:rPr>
        <w:t xml:space="preserve">of </w:t>
      </w:r>
      <w:r w:rsidR="004D0FE4" w:rsidRPr="004B5113">
        <w:rPr>
          <w:b/>
        </w:rPr>
        <w:t xml:space="preserve">at least </w:t>
      </w:r>
      <w:r w:rsidRPr="004B5113">
        <w:rPr>
          <w:b/>
        </w:rPr>
        <w:t>18 months for category 2 counterparties</w:t>
      </w:r>
      <w:r w:rsidRPr="004B5113">
        <w:t xml:space="preserve"> (e.g. UCITS and AIFs).</w:t>
      </w:r>
      <w:r w:rsidR="004D0FE4" w:rsidRPr="004B5113">
        <w:t xml:space="preserve"> It should not be reduced.</w:t>
      </w:r>
    </w:p>
    <w:p w14:paraId="2B117799" w14:textId="77777777" w:rsidR="00BB0B93" w:rsidRPr="004B5113" w:rsidRDefault="00BB0B93" w:rsidP="00BB0B93">
      <w:pPr>
        <w:pStyle w:val="Paragraphedeliste"/>
      </w:pPr>
    </w:p>
    <w:p w14:paraId="07CE2E61" w14:textId="29D4AEB0" w:rsidR="004D0FE4" w:rsidRPr="004B5113" w:rsidRDefault="004D0FE4" w:rsidP="00BB0B93">
      <w:pPr>
        <w:pStyle w:val="Paragraphedeliste"/>
        <w:numPr>
          <w:ilvl w:val="0"/>
          <w:numId w:val="60"/>
        </w:numPr>
        <w:spacing w:line="276" w:lineRule="auto"/>
        <w:jc w:val="both"/>
        <w:rPr>
          <w:b/>
          <w:u w:val="single"/>
        </w:rPr>
      </w:pPr>
      <w:r w:rsidRPr="004B5113">
        <w:rPr>
          <w:b/>
          <w:u w:val="single"/>
        </w:rPr>
        <w:t>Novation and compression</w:t>
      </w:r>
    </w:p>
    <w:p w14:paraId="6E89CCE4" w14:textId="682C2766" w:rsidR="004D0FE4" w:rsidRPr="004B5113" w:rsidRDefault="004B5113" w:rsidP="004B5113">
      <w:pPr>
        <w:spacing w:line="276" w:lineRule="auto"/>
        <w:jc w:val="both"/>
        <w:rPr>
          <w:b/>
        </w:rPr>
      </w:pPr>
      <w:r w:rsidRPr="004B5113">
        <w:t xml:space="preserve">The </w:t>
      </w:r>
      <w:r w:rsidR="004D0FE4" w:rsidRPr="004B5113">
        <w:t>obligation to compensate should not apply to modifications applied to a previous contract that do not amount to a total novation; in that respect “genuine amendments” should be specifically excluded from the scope of the obligation; transactions entered into with a view to compress an existing contract that is not subject to clearing obligation should also not be obliged to clear with a CCP but kept available for bilateral compression</w:t>
      </w:r>
      <w:r w:rsidRPr="004B5113">
        <w:t>.</w:t>
      </w:r>
    </w:p>
    <w:p w14:paraId="37863546" w14:textId="77777777" w:rsidR="004D0FE4" w:rsidRPr="004B5113" w:rsidRDefault="004D0FE4" w:rsidP="004D0FE4">
      <w:pPr>
        <w:pStyle w:val="Paragraphedeliste"/>
        <w:rPr>
          <w:b/>
          <w:u w:val="single"/>
        </w:rPr>
      </w:pPr>
    </w:p>
    <w:p w14:paraId="393A23FC" w14:textId="1A55D1A5" w:rsidR="004D0FE4" w:rsidRPr="004B5113" w:rsidRDefault="004D0FE4" w:rsidP="00BB0B93">
      <w:pPr>
        <w:pStyle w:val="Paragraphedeliste"/>
        <w:numPr>
          <w:ilvl w:val="0"/>
          <w:numId w:val="60"/>
        </w:numPr>
        <w:spacing w:line="276" w:lineRule="auto"/>
        <w:jc w:val="both"/>
        <w:rPr>
          <w:b/>
          <w:u w:val="single"/>
        </w:rPr>
      </w:pPr>
      <w:r w:rsidRPr="004B5113">
        <w:rPr>
          <w:b/>
          <w:u w:val="single"/>
        </w:rPr>
        <w:t xml:space="preserve">UCITS specific </w:t>
      </w:r>
      <w:r w:rsidR="0084195F" w:rsidRPr="004B5113">
        <w:rPr>
          <w:b/>
          <w:u w:val="single"/>
        </w:rPr>
        <w:t xml:space="preserve">regulatory regime : </w:t>
      </w:r>
      <w:r w:rsidRPr="004B5113">
        <w:rPr>
          <w:b/>
          <w:u w:val="single"/>
        </w:rPr>
        <w:t>close-out clause and cash settlement clause</w:t>
      </w:r>
    </w:p>
    <w:p w14:paraId="762A1B5E" w14:textId="459556F8" w:rsidR="0084195F" w:rsidRPr="004B5113" w:rsidRDefault="004B5113" w:rsidP="004B5113">
      <w:pPr>
        <w:spacing w:line="276" w:lineRule="auto"/>
        <w:jc w:val="both"/>
      </w:pPr>
      <w:r w:rsidRPr="004B5113">
        <w:t xml:space="preserve">AFG would like to recall that </w:t>
      </w:r>
      <w:r w:rsidR="004D0FE4" w:rsidRPr="004B5113">
        <w:t xml:space="preserve">funds that </w:t>
      </w:r>
      <w:r w:rsidRPr="004B5113">
        <w:t>its members</w:t>
      </w:r>
      <w:r w:rsidR="004D0FE4" w:rsidRPr="004B5113">
        <w:t xml:space="preserve"> manage are strictly regulated and </w:t>
      </w:r>
      <w:r w:rsidRPr="004B5113">
        <w:t>AFG</w:t>
      </w:r>
      <w:r w:rsidR="004D0FE4" w:rsidRPr="004B5113">
        <w:t xml:space="preserve"> feel</w:t>
      </w:r>
      <w:r w:rsidRPr="004B5113">
        <w:t>s</w:t>
      </w:r>
      <w:r w:rsidR="004D0FE4" w:rsidRPr="004B5113">
        <w:t xml:space="preserve"> that there are two clauses that should be taken by CCPs in their operational rules in order to enable UCITS to contract CDS: the close out clause and the cash settlement clause allowing funds not to receive loan</w:t>
      </w:r>
      <w:r w:rsidRPr="004B5113">
        <w:t>s in case of an event of credit.</w:t>
      </w:r>
    </w:p>
    <w:p w14:paraId="2692D843" w14:textId="77777777" w:rsidR="00CF4D34" w:rsidRPr="004B5113" w:rsidRDefault="00CF4D34" w:rsidP="0084195F">
      <w:pPr>
        <w:pStyle w:val="Paragraphedeliste"/>
        <w:spacing w:line="276" w:lineRule="auto"/>
        <w:ind w:left="360"/>
        <w:jc w:val="both"/>
      </w:pPr>
    </w:p>
    <w:p w14:paraId="6A7F5390" w14:textId="37688111" w:rsidR="00CF4D34" w:rsidRPr="004B5113" w:rsidRDefault="00CF4D34" w:rsidP="00CF4D34">
      <w:pPr>
        <w:pStyle w:val="Paragraphedeliste"/>
        <w:numPr>
          <w:ilvl w:val="0"/>
          <w:numId w:val="60"/>
        </w:numPr>
        <w:spacing w:line="276" w:lineRule="auto"/>
        <w:jc w:val="both"/>
        <w:rPr>
          <w:b/>
          <w:u w:val="single"/>
        </w:rPr>
      </w:pPr>
      <w:r w:rsidRPr="004B5113">
        <w:rPr>
          <w:b/>
          <w:u w:val="single"/>
        </w:rPr>
        <w:t>Admitted collateral</w:t>
      </w:r>
    </w:p>
    <w:p w14:paraId="016D6BAE" w14:textId="726E484C" w:rsidR="0084195F" w:rsidRPr="004B5113" w:rsidRDefault="00CF4D34" w:rsidP="004B5113">
      <w:pPr>
        <w:spacing w:line="276" w:lineRule="auto"/>
        <w:jc w:val="both"/>
      </w:pPr>
      <w:r w:rsidRPr="004B5113">
        <w:t>We would like to stress again that in the process of CCPs authorisation, the ability to accept a large class of assets as collateral without limiting the scope of eligible collateral beyond the conditions fixed by the relevant European regulation should be taken in account. ESMA should thus investigate the capacity of a CCP to accept all the collateral permitted by the European regulation.</w:t>
      </w:r>
    </w:p>
    <w:p w14:paraId="789AFF3D" w14:textId="77777777" w:rsidR="004D0FE4" w:rsidRPr="004D0FE4" w:rsidRDefault="004D0FE4" w:rsidP="004D0FE4">
      <w:pPr>
        <w:pStyle w:val="Paragraphedeliste"/>
        <w:spacing w:line="276" w:lineRule="auto"/>
        <w:ind w:left="360"/>
        <w:jc w:val="both"/>
        <w:rPr>
          <w:b/>
          <w:color w:val="7030A0"/>
        </w:rPr>
      </w:pPr>
    </w:p>
    <w:p w14:paraId="5825F1A3" w14:textId="163BD8DB" w:rsidR="00BB0B93" w:rsidRPr="001F7244" w:rsidRDefault="00BB0B93" w:rsidP="00BB0B93">
      <w:pPr>
        <w:pStyle w:val="Paragraphedeliste"/>
        <w:numPr>
          <w:ilvl w:val="0"/>
          <w:numId w:val="60"/>
        </w:numPr>
        <w:spacing w:line="276" w:lineRule="auto"/>
        <w:jc w:val="both"/>
        <w:rPr>
          <w:b/>
        </w:rPr>
      </w:pPr>
      <w:r w:rsidRPr="001F7244">
        <w:rPr>
          <w:b/>
          <w:u w:val="single"/>
        </w:rPr>
        <w:t>Front-loading requirement</w:t>
      </w:r>
      <w:r w:rsidR="004B5113" w:rsidRPr="001F7244">
        <w:rPr>
          <w:b/>
          <w:u w:val="single"/>
        </w:rPr>
        <w:t>s</w:t>
      </w:r>
      <w:r w:rsidRPr="001F7244">
        <w:rPr>
          <w:b/>
        </w:rPr>
        <w:t xml:space="preserve">. </w:t>
      </w:r>
    </w:p>
    <w:p w14:paraId="2CA641A1" w14:textId="71CB0F27" w:rsidR="00BB0B93" w:rsidRPr="001F7244" w:rsidRDefault="004B5113" w:rsidP="004B5113">
      <w:pPr>
        <w:spacing w:line="276" w:lineRule="auto"/>
        <w:jc w:val="both"/>
        <w:rPr>
          <w:b/>
        </w:rPr>
      </w:pPr>
      <w:r w:rsidRPr="001F7244">
        <w:t>As already expresses in our response to the first consultation, w</w:t>
      </w:r>
      <w:r w:rsidR="00BB0B93" w:rsidRPr="001F7244">
        <w:t xml:space="preserve">e </w:t>
      </w:r>
      <w:r w:rsidRPr="001F7244">
        <w:t xml:space="preserve">strongly </w:t>
      </w:r>
      <w:r w:rsidR="00BB0B93" w:rsidRPr="001F7244">
        <w:t xml:space="preserve">welcome the proposal to effectively limit front-loading to contracts entered into during period B. The industry is concerned, however, that the practical impact of the application of front loading to contracts with a minimum remaining maturity of 6 months, on the date of application of the clearing obligation will mean that the phase-in will be of little practical use to a large number of category 2 counterparties. We therefore recommend </w:t>
      </w:r>
      <w:r w:rsidR="004D0FE4" w:rsidRPr="001F7244">
        <w:t xml:space="preserve">for CDS clearing </w:t>
      </w:r>
      <w:r w:rsidR="00BB0B93" w:rsidRPr="001F7244">
        <w:t xml:space="preserve">two alternative approaches regarding the implementation of the frontloading </w:t>
      </w:r>
      <w:r w:rsidR="00BB0B93" w:rsidRPr="001F7244">
        <w:lastRenderedPageBreak/>
        <w:t>(</w:t>
      </w:r>
      <w:r w:rsidR="001F7244" w:rsidRPr="001F7244">
        <w:rPr>
          <w:b/>
        </w:rPr>
        <w:t xml:space="preserve">either </w:t>
      </w:r>
      <w:r w:rsidR="00BB0B93" w:rsidRPr="001F7244">
        <w:rPr>
          <w:b/>
        </w:rPr>
        <w:t>remove the frontloading requirement or introduce a phase-in period for the frontloading obligation for category 2 counterparties</w:t>
      </w:r>
      <w:r w:rsidR="00BB0B93" w:rsidRPr="001F7244">
        <w:t>).</w:t>
      </w:r>
    </w:p>
    <w:p w14:paraId="57D2AD35" w14:textId="77777777" w:rsidR="009841D7" w:rsidRPr="001F7244" w:rsidRDefault="009841D7" w:rsidP="009841D7">
      <w:pPr>
        <w:jc w:val="both"/>
      </w:pPr>
    </w:p>
    <w:p w14:paraId="1BA05ED6" w14:textId="72FF3E97" w:rsidR="009841D7" w:rsidRPr="001F7244" w:rsidRDefault="004D0FE4" w:rsidP="004D0FE4">
      <w:pPr>
        <w:pStyle w:val="Paragraphedeliste"/>
        <w:numPr>
          <w:ilvl w:val="0"/>
          <w:numId w:val="60"/>
        </w:numPr>
        <w:jc w:val="both"/>
        <w:rPr>
          <w:b/>
          <w:u w:val="single"/>
        </w:rPr>
      </w:pPr>
      <w:r w:rsidRPr="001F7244">
        <w:rPr>
          <w:b/>
          <w:u w:val="single"/>
        </w:rPr>
        <w:t>Convergence</w:t>
      </w:r>
    </w:p>
    <w:p w14:paraId="4E0A3941" w14:textId="31318EA9" w:rsidR="00450689" w:rsidRPr="001F7244" w:rsidRDefault="001F7244" w:rsidP="001F7244">
      <w:pPr>
        <w:spacing w:line="276" w:lineRule="auto"/>
        <w:jc w:val="both"/>
      </w:pPr>
      <w:r w:rsidRPr="001F7244">
        <w:t xml:space="preserve">Regarding international convergence, we support the approach of ESMA to allow international convergence, however, </w:t>
      </w:r>
      <w:r w:rsidRPr="001F7244">
        <w:t>the European context must be analysed locally</w:t>
      </w:r>
      <w:r>
        <w:t xml:space="preserve"> as</w:t>
      </w:r>
      <w:r w:rsidRPr="001F7244">
        <w:t xml:space="preserve"> we are in presence of different market practices. </w:t>
      </w:r>
      <w:r w:rsidRPr="001F7244">
        <w:t>The EU should not align to foreign practices for the mere reason of simplification</w:t>
      </w:r>
      <w:r w:rsidRPr="001F7244">
        <w:t xml:space="preserve"> and put at risk those</w:t>
      </w:r>
      <w:r>
        <w:t xml:space="preserve"> local</w:t>
      </w:r>
      <w:r w:rsidRPr="001F7244">
        <w:t xml:space="preserve"> market practices that prove to work well.</w:t>
      </w:r>
    </w:p>
    <w:p w14:paraId="081E9C66" w14:textId="77777777" w:rsidR="001F7244" w:rsidRPr="001F7244" w:rsidRDefault="001F7244" w:rsidP="001F7244">
      <w:pPr>
        <w:spacing w:line="276" w:lineRule="auto"/>
        <w:jc w:val="both"/>
      </w:pPr>
    </w:p>
    <w:p w14:paraId="52EC890C" w14:textId="77777777" w:rsidR="00C84577" w:rsidRPr="00C84577" w:rsidRDefault="00C84577" w:rsidP="00C84577">
      <w:pPr>
        <w:pStyle w:val="Paragraphedeliste"/>
        <w:numPr>
          <w:ilvl w:val="0"/>
          <w:numId w:val="60"/>
        </w:numPr>
        <w:jc w:val="both"/>
        <w:rPr>
          <w:b/>
        </w:rPr>
      </w:pPr>
      <w:r w:rsidRPr="00C84577">
        <w:rPr>
          <w:b/>
        </w:rPr>
        <w:t>Status change for bilateral derivatives under the two components of EMIR</w:t>
      </w:r>
    </w:p>
    <w:p w14:paraId="02CADA33" w14:textId="215BDBC3" w:rsidR="00C84577" w:rsidRPr="00C84577" w:rsidRDefault="00C84577" w:rsidP="00C84577">
      <w:pPr>
        <w:jc w:val="both"/>
      </w:pPr>
      <w:r>
        <w:t>We w</w:t>
      </w:r>
      <w:r>
        <w:t xml:space="preserve">ould like to draw regulators’ attention to the dates that are retained for the clearing obligation’s and </w:t>
      </w:r>
      <w:proofErr w:type="spellStart"/>
      <w:r>
        <w:t>frontloading’s</w:t>
      </w:r>
      <w:proofErr w:type="spellEnd"/>
      <w:r>
        <w:t xml:space="preserve"> application in relation to the non-compensated IM+VM ESMA’s requirements. One should </w:t>
      </w:r>
      <w:r w:rsidRPr="00CF4D34">
        <w:t xml:space="preserve">pay attention to the risk of mismatch that would ask us to </w:t>
      </w:r>
      <w:proofErr w:type="spellStart"/>
      <w:r w:rsidRPr="00CF4D34">
        <w:t>onboard</w:t>
      </w:r>
      <w:proofErr w:type="spellEnd"/>
      <w:r w:rsidRPr="00CF4D34">
        <w:t xml:space="preserve"> to CCPs trades that were previously been submitted to the VM+IM requirements. </w:t>
      </w:r>
    </w:p>
    <w:permEnd w:id="1926890795"/>
    <w:p w14:paraId="5AA849FE" w14:textId="1C6E6A7C"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Titre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fldSimple w:instr=" SEQ Question \* ARABIC ">
        <w:r w:rsidR="00AC73A9">
          <w:rPr>
            <w:noProof/>
          </w:rPr>
          <w:t>1</w:t>
        </w:r>
      </w:fldSimple>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4D54BD35" w14:textId="46EB8ACC" w:rsidR="00450689" w:rsidRPr="00450689" w:rsidRDefault="00EE6FAC" w:rsidP="00450689">
      <w:pPr>
        <w:jc w:val="both"/>
      </w:pPr>
      <w:permStart w:id="1564177794" w:edGrp="everyone"/>
      <w:r w:rsidRPr="00450689">
        <w:t>AFG members share ESMA’s view of grouping RTS by asset class and avoid consulting on each class a CCP is authorized to clear.</w:t>
      </w:r>
      <w:r w:rsidR="00450689" w:rsidRPr="00450689">
        <w:t xml:space="preserve"> </w:t>
      </w:r>
      <w:r w:rsidR="00450689" w:rsidRPr="00450689">
        <w:t xml:space="preserve">However, we feel it is difficult to engage in a thorough analysis on </w:t>
      </w:r>
      <w:proofErr w:type="gramStart"/>
      <w:r w:rsidR="00450689" w:rsidRPr="00450689">
        <w:t>CDS  before</w:t>
      </w:r>
      <w:proofErr w:type="gramEnd"/>
      <w:r w:rsidR="00450689" w:rsidRPr="00450689">
        <w:t xml:space="preserve"> full authorization of ICE Clear Europe, the second CCP ready to clear CDSs. </w:t>
      </w:r>
    </w:p>
    <w:p w14:paraId="66D6D2FF" w14:textId="77777777" w:rsidR="004871F2" w:rsidRPr="00450689" w:rsidRDefault="004871F2" w:rsidP="00EE6FAC">
      <w:pPr>
        <w:jc w:val="both"/>
      </w:pPr>
    </w:p>
    <w:p w14:paraId="6F2CAFF3" w14:textId="7EE677E3" w:rsidR="004B5113" w:rsidRPr="004B5113" w:rsidRDefault="00450689" w:rsidP="004B5113">
      <w:pPr>
        <w:jc w:val="both"/>
      </w:pPr>
      <w:r w:rsidRPr="00450689">
        <w:t>In general,</w:t>
      </w:r>
      <w:r w:rsidR="004871F2" w:rsidRPr="00450689">
        <w:t xml:space="preserve"> </w:t>
      </w:r>
      <w:r w:rsidRPr="00450689">
        <w:t>AFG</w:t>
      </w:r>
      <w:r w:rsidR="004871F2" w:rsidRPr="00450689">
        <w:t xml:space="preserve"> consider</w:t>
      </w:r>
      <w:r w:rsidRPr="00450689">
        <w:t>s</w:t>
      </w:r>
      <w:r w:rsidR="004871F2" w:rsidRPr="00450689">
        <w:t xml:space="preserve"> that </w:t>
      </w:r>
      <w:r w:rsidRPr="00450689">
        <w:t>the</w:t>
      </w:r>
      <w:r w:rsidR="004871F2" w:rsidRPr="00450689">
        <w:t xml:space="preserve"> authorisation of clearing a new asset class may be given</w:t>
      </w:r>
      <w:r w:rsidRPr="00450689">
        <w:t xml:space="preserve"> only if 2 </w:t>
      </w:r>
      <w:r w:rsidRPr="00450689">
        <w:t xml:space="preserve">CCPs </w:t>
      </w:r>
      <w:r w:rsidRPr="00450689">
        <w:t xml:space="preserve">have offers available </w:t>
      </w:r>
      <w:r w:rsidR="004871F2" w:rsidRPr="00450689">
        <w:t>on that asset class</w:t>
      </w:r>
      <w:r w:rsidRPr="00450689">
        <w:t>.</w:t>
      </w:r>
      <w:r w:rsidR="004B5113">
        <w:t xml:space="preserve"> </w:t>
      </w:r>
      <w:r w:rsidR="004B5113" w:rsidRPr="004B5113">
        <w:t xml:space="preserve">Before declaring an obligation to centrally clear a contract, ESMA should make sure that at least </w:t>
      </w:r>
      <w:r w:rsidR="004B5113" w:rsidRPr="004B5113">
        <w:rPr>
          <w:b/>
        </w:rPr>
        <w:t xml:space="preserve">2 CCPs </w:t>
      </w:r>
      <w:r w:rsidR="004B5113" w:rsidRPr="004B5113">
        <w:t>offer a possibility to clear that contract and that they both offer real full segregation as required in EMIR level1. Indeed, our members are of the opinion that any authorisation of clearing a new asset class may only be given if 2 CCPs’ offers on that asset class are available to avoid concentration of a market segment with only one CCP and so that portability is possible and competition is offered on the EU market.</w:t>
      </w:r>
    </w:p>
    <w:p w14:paraId="2066E3A2" w14:textId="77777777" w:rsidR="004B5113" w:rsidRPr="004B5113" w:rsidRDefault="004B5113" w:rsidP="004B5113">
      <w:pPr>
        <w:jc w:val="both"/>
      </w:pPr>
    </w:p>
    <w:p w14:paraId="7F783422" w14:textId="6A9249C8" w:rsidR="004B5113" w:rsidRPr="00450689" w:rsidRDefault="004B5113" w:rsidP="00EE6FAC">
      <w:pPr>
        <w:jc w:val="both"/>
      </w:pPr>
      <w:r w:rsidRPr="004B5113">
        <w:t>Moreover, the capacity of clearing members offering clearing services to their client base must be taken into account. We wish to avoid situations where at the introduction of a clearing obligation available, clearing members cannot absorb the strong client demand.</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Titre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fldSimple w:instr=" SEQ Question \* ARABIC ">
        <w:r w:rsidR="00AC73A9">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1842CDC4" w14:textId="1B3C32CE" w:rsidR="004871F2" w:rsidRPr="00450689" w:rsidRDefault="00BB3E17" w:rsidP="00C27A39">
      <w:pPr>
        <w:jc w:val="both"/>
      </w:pPr>
      <w:permStart w:id="1575779171" w:edGrp="everyone"/>
      <w:r>
        <w:t>AFG members consider</w:t>
      </w:r>
      <w:r w:rsidR="00C27A39" w:rsidRPr="00C27A39">
        <w:t xml:space="preserve"> that ESMA’s definition of the </w:t>
      </w:r>
      <w:proofErr w:type="spellStart"/>
      <w:r w:rsidR="00C27A39" w:rsidRPr="00C27A39">
        <w:t>untranched</w:t>
      </w:r>
      <w:proofErr w:type="spellEnd"/>
      <w:r w:rsidR="00C27A39" w:rsidRPr="00C27A39">
        <w:t xml:space="preserve"> ind</w:t>
      </w:r>
      <w:r w:rsidR="00C27A39">
        <w:t xml:space="preserve">ex classes is </w:t>
      </w:r>
      <w:r w:rsidR="00D901CA">
        <w:t xml:space="preserve">rather </w:t>
      </w:r>
      <w:r w:rsidR="00C27A39">
        <w:t xml:space="preserve">clear </w:t>
      </w:r>
      <w:r w:rsidR="00C27A39" w:rsidRPr="00456FDB">
        <w:t>and</w:t>
      </w:r>
      <w:r w:rsidRPr="00456FDB">
        <w:t xml:space="preserve"> </w:t>
      </w:r>
      <w:r w:rsidR="00C27A39" w:rsidRPr="00456FDB">
        <w:t xml:space="preserve">enables </w:t>
      </w:r>
      <w:r w:rsidR="00C27A39" w:rsidRPr="00450689">
        <w:t xml:space="preserve">counterparties to </w:t>
      </w:r>
      <w:r w:rsidR="00D901CA" w:rsidRPr="00450689">
        <w:t xml:space="preserve">reasonably </w:t>
      </w:r>
      <w:r w:rsidR="00C27A39" w:rsidRPr="00450689">
        <w:t xml:space="preserve">identify which </w:t>
      </w:r>
      <w:r w:rsidR="00D901CA" w:rsidRPr="00450689">
        <w:t xml:space="preserve">contracts </w:t>
      </w:r>
      <w:r w:rsidR="00C27A39" w:rsidRPr="00450689">
        <w:t>are subject to the clearing obligation</w:t>
      </w:r>
      <w:proofErr w:type="gramStart"/>
      <w:r w:rsidR="00C27A39" w:rsidRPr="00450689">
        <w:t>.</w:t>
      </w:r>
      <w:r w:rsidR="004871F2" w:rsidRPr="00450689">
        <w:t>.</w:t>
      </w:r>
      <w:proofErr w:type="gramEnd"/>
    </w:p>
    <w:p w14:paraId="12C7BA18" w14:textId="77777777" w:rsidR="009841D7" w:rsidRPr="00450689" w:rsidRDefault="009841D7" w:rsidP="00C27A39">
      <w:pPr>
        <w:jc w:val="both"/>
      </w:pPr>
    </w:p>
    <w:p w14:paraId="441C1A0E" w14:textId="2357477A" w:rsidR="009841D7" w:rsidRPr="00450689" w:rsidRDefault="00450689" w:rsidP="009841D7">
      <w:pPr>
        <w:jc w:val="both"/>
      </w:pPr>
      <w:r w:rsidRPr="00450689">
        <w:t>Our members</w:t>
      </w:r>
      <w:r w:rsidR="009841D7" w:rsidRPr="00450689">
        <w:t xml:space="preserve"> share </w:t>
      </w:r>
      <w:r w:rsidRPr="00450689">
        <w:t xml:space="preserve">the view that, as a principle, </w:t>
      </w:r>
      <w:r w:rsidR="009841D7" w:rsidRPr="00450689">
        <w:t xml:space="preserve">new series should be </w:t>
      </w:r>
      <w:r w:rsidRPr="00450689">
        <w:t>immediately included</w:t>
      </w:r>
      <w:r w:rsidR="009841D7" w:rsidRPr="00450689">
        <w:t xml:space="preserve"> in the obligation to compensate, provided that ESMA would be empowered to suspend, temporarily or definitely, this obligation </w:t>
      </w:r>
      <w:r w:rsidRPr="00450689">
        <w:t>whenever the</w:t>
      </w:r>
      <w:r w:rsidR="009841D7" w:rsidRPr="00450689">
        <w:t xml:space="preserve"> criteria of standardization, liquidity and availability of prices disappear. </w:t>
      </w:r>
    </w:p>
    <w:p w14:paraId="17F41D7F" w14:textId="77777777" w:rsidR="00C27A39" w:rsidRPr="00456FDB" w:rsidRDefault="00C27A39" w:rsidP="00C27A39">
      <w:pPr>
        <w:jc w:val="both"/>
      </w:pPr>
    </w:p>
    <w:p w14:paraId="0B1C601D" w14:textId="665DCC44" w:rsidR="00C27A39" w:rsidRPr="00456FDB" w:rsidRDefault="00C27A39" w:rsidP="00C27A39">
      <w:pPr>
        <w:jc w:val="both"/>
      </w:pPr>
      <w:r w:rsidRPr="00456FDB">
        <w:t xml:space="preserve">However, </w:t>
      </w:r>
      <w:r w:rsidR="00D901CA" w:rsidRPr="00456FDB">
        <w:t>AFG</w:t>
      </w:r>
      <w:r w:rsidRPr="00456FDB">
        <w:t xml:space="preserve"> </w:t>
      </w:r>
      <w:r w:rsidR="00456FDB" w:rsidRPr="00456FDB">
        <w:t>urges</w:t>
      </w:r>
      <w:r w:rsidRPr="00456FDB">
        <w:t xml:space="preserve"> ESMA to take into account </w:t>
      </w:r>
      <w:r w:rsidRPr="00456FDB">
        <w:rPr>
          <w:b/>
        </w:rPr>
        <w:t xml:space="preserve">UCITS </w:t>
      </w:r>
      <w:r w:rsidR="00D901CA" w:rsidRPr="00456FDB">
        <w:rPr>
          <w:b/>
        </w:rPr>
        <w:t>requirements</w:t>
      </w:r>
      <w:r w:rsidR="00D901CA" w:rsidRPr="00456FDB">
        <w:t xml:space="preserve"> </w:t>
      </w:r>
      <w:r w:rsidRPr="00456FDB">
        <w:t xml:space="preserve">when they enter into </w:t>
      </w:r>
      <w:r w:rsidR="00D901CA" w:rsidRPr="00456FDB">
        <w:t>credit derivatives transactions.</w:t>
      </w:r>
      <w:r w:rsidRPr="00456FDB">
        <w:t xml:space="preserve"> </w:t>
      </w:r>
    </w:p>
    <w:p w14:paraId="5F4A5E35" w14:textId="77777777" w:rsidR="00456FDB" w:rsidRPr="00456FDB" w:rsidRDefault="00456FDB" w:rsidP="00C27A39">
      <w:pPr>
        <w:jc w:val="both"/>
      </w:pPr>
    </w:p>
    <w:p w14:paraId="0BB3994A" w14:textId="7C2959B3" w:rsidR="00456FDB" w:rsidRPr="00456FDB" w:rsidRDefault="00D901CA" w:rsidP="00C27A39">
      <w:pPr>
        <w:jc w:val="both"/>
      </w:pPr>
      <w:r w:rsidRPr="00456FDB">
        <w:t xml:space="preserve">Indeed, </w:t>
      </w:r>
      <w:r w:rsidR="00456FDB" w:rsidRPr="00456FDB">
        <w:rPr>
          <w:b/>
        </w:rPr>
        <w:t>UCITS must be in a position to close any OTC transaction they entered in at any time</w:t>
      </w:r>
      <w:r w:rsidR="00456FDB">
        <w:rPr>
          <w:b/>
        </w:rPr>
        <w:t xml:space="preserve"> (close-out clau</w:t>
      </w:r>
      <w:r w:rsidR="00456FDB" w:rsidRPr="00456FDB">
        <w:rPr>
          <w:b/>
        </w:rPr>
        <w:t>se)</w:t>
      </w:r>
      <w:r w:rsidR="00456FDB" w:rsidRPr="00456FDB">
        <w:t>; this is not easy to organize with a CCP except if we traded at first with the clearing broker we use; it looks like UCITS will have to breach either UCITS rules or EMIR rules; we urge ESMA to express a clear position on this point already raised several times.</w:t>
      </w:r>
    </w:p>
    <w:p w14:paraId="6C0EC2EF" w14:textId="77777777" w:rsidR="00456FDB" w:rsidRPr="00456FDB" w:rsidRDefault="00456FDB" w:rsidP="00C27A39">
      <w:pPr>
        <w:jc w:val="both"/>
      </w:pPr>
    </w:p>
    <w:p w14:paraId="0F78D30B" w14:textId="003CE1FB" w:rsidR="00C27A39" w:rsidRPr="00456FDB" w:rsidRDefault="00456FDB" w:rsidP="00C27A39">
      <w:pPr>
        <w:jc w:val="both"/>
      </w:pPr>
      <w:r w:rsidRPr="00456FDB">
        <w:t>Also,</w:t>
      </w:r>
      <w:r w:rsidR="00511A19">
        <w:t xml:space="preserve"> as per</w:t>
      </w:r>
      <w:r w:rsidRPr="00456FDB">
        <w:t xml:space="preserve"> </w:t>
      </w:r>
      <w:r w:rsidR="00511A19" w:rsidRPr="00511A19">
        <w:t xml:space="preserve">article 8.2 </w:t>
      </w:r>
      <w:r w:rsidR="00511A19">
        <w:t>of</w:t>
      </w:r>
      <w:r w:rsidR="00511A19" w:rsidRPr="00511A19">
        <w:t xml:space="preserve"> </w:t>
      </w:r>
      <w:r w:rsidR="00511A19">
        <w:t>D</w:t>
      </w:r>
      <w:r w:rsidR="00511A19" w:rsidRPr="00511A19">
        <w:t xml:space="preserve">irective 2017-16 </w:t>
      </w:r>
      <w:r w:rsidR="00511A19">
        <w:t xml:space="preserve">in </w:t>
      </w:r>
      <w:r w:rsidR="00511A19" w:rsidRPr="00511A19">
        <w:t xml:space="preserve">application article 50 </w:t>
      </w:r>
      <w:r w:rsidR="00511A19">
        <w:t>of</w:t>
      </w:r>
      <w:r w:rsidR="00511A19" w:rsidRPr="00511A19">
        <w:t xml:space="preserve"> </w:t>
      </w:r>
      <w:r w:rsidR="00511A19">
        <w:t>D</w:t>
      </w:r>
      <w:r w:rsidR="00511A19" w:rsidRPr="00511A19">
        <w:t>irective 2009-65</w:t>
      </w:r>
      <w:r w:rsidR="00511A19">
        <w:t>,</w:t>
      </w:r>
      <w:r w:rsidR="00511A19" w:rsidRPr="00511A19">
        <w:t xml:space="preserve"> </w:t>
      </w:r>
      <w:r w:rsidRPr="00456FDB">
        <w:t>UCITS</w:t>
      </w:r>
      <w:r w:rsidR="00511A19">
        <w:rPr>
          <w:rStyle w:val="Appelnotedebasdep"/>
        </w:rPr>
        <w:footnoteReference w:id="1"/>
      </w:r>
      <w:r w:rsidRPr="00456FDB">
        <w:t xml:space="preserve"> are not allowed to acquire loans (as loans are not an eligible asset). T</w:t>
      </w:r>
      <w:r w:rsidR="00C27A39" w:rsidRPr="00456FDB">
        <w:t xml:space="preserve">he credit derivatives transaction’s confirmation includes provisions detailing the procedure applicable in case of default of one of the counterparties. </w:t>
      </w:r>
      <w:r w:rsidRPr="00456FDB">
        <w:t>Or, i</w:t>
      </w:r>
      <w:r w:rsidR="00C27A39" w:rsidRPr="00456FDB">
        <w:t>n t</w:t>
      </w:r>
      <w:r w:rsidR="00BB3E17" w:rsidRPr="00456FDB">
        <w:t>his procedure, if a transaction</w:t>
      </w:r>
      <w:r w:rsidR="00C27A39" w:rsidRPr="00456FDB">
        <w:t xml:space="preserve"> is in default and if it cannot be settled in securities, the </w:t>
      </w:r>
      <w:proofErr w:type="spellStart"/>
      <w:r w:rsidR="00C27A39" w:rsidRPr="00456FDB">
        <w:t>fallback</w:t>
      </w:r>
      <w:proofErr w:type="spellEnd"/>
      <w:r w:rsidR="00C27A39" w:rsidRPr="00456FDB">
        <w:t xml:space="preserve"> settlement method of most credit derivatives is the physical settlement method which may lead to the consequence that loans are the only deliverable obligations. In such situations UCITS could be subject to a contractual obligation eit</w:t>
      </w:r>
      <w:r w:rsidRPr="00456FDB">
        <w:t xml:space="preserve">her to accept or deliver loans. </w:t>
      </w:r>
      <w:r w:rsidR="00C27A39" w:rsidRPr="00456FDB">
        <w:t xml:space="preserve">Consequently and to circumvent this issue, ISDA has developed so-called “Additional Provisions for Credit Derivatives” and prior </w:t>
      </w:r>
      <w:r w:rsidR="00BB3E17" w:rsidRPr="00456FDB">
        <w:t xml:space="preserve">to </w:t>
      </w:r>
      <w:r w:rsidR="00C27A39" w:rsidRPr="00456FDB">
        <w:t xml:space="preserve">their first transaction, UCITS must enter into a bilateral arrangement with their counterparties and execute these Provisions. This ensures that, in case of default of the counterparty of the fund, cash settlement prevails on a physical settlement. </w:t>
      </w:r>
      <w:r w:rsidRPr="00456FDB">
        <w:t xml:space="preserve"> </w:t>
      </w:r>
      <w:r w:rsidR="00C27A39" w:rsidRPr="00456FDB">
        <w:t xml:space="preserve">Therefore, </w:t>
      </w:r>
      <w:r w:rsidR="00C27A39" w:rsidRPr="00456FDB">
        <w:rPr>
          <w:b/>
        </w:rPr>
        <w:t xml:space="preserve">we urge ESMA </w:t>
      </w:r>
      <w:r w:rsidR="00C27A39" w:rsidRPr="00456FDB">
        <w:t>to recognise this situation and</w:t>
      </w:r>
      <w:r w:rsidR="00C27A39" w:rsidRPr="00456FDB">
        <w:rPr>
          <w:b/>
        </w:rPr>
        <w:t xml:space="preserve"> to ensure that the clearing obligation only takes place to </w:t>
      </w:r>
      <w:proofErr w:type="spellStart"/>
      <w:r w:rsidR="00C27A39" w:rsidRPr="00456FDB">
        <w:rPr>
          <w:b/>
        </w:rPr>
        <w:t>Untranched</w:t>
      </w:r>
      <w:proofErr w:type="spellEnd"/>
      <w:r w:rsidR="00C27A39" w:rsidRPr="00456FDB">
        <w:rPr>
          <w:b/>
        </w:rPr>
        <w:t xml:space="preserve"> CDS if at minimum one CCP is able to offer clearing of this product that includes those dedicated provisions</w:t>
      </w:r>
      <w:r w:rsidR="00C27A39" w:rsidRPr="00456FDB">
        <w:t>.</w:t>
      </w:r>
    </w:p>
    <w:p w14:paraId="0A0942EF" w14:textId="77777777" w:rsidR="00C27A39" w:rsidRPr="00456FDB" w:rsidRDefault="00C27A39" w:rsidP="00C27A39">
      <w:pPr>
        <w:jc w:val="both"/>
      </w:pPr>
    </w:p>
    <w:p w14:paraId="5775CF45" w14:textId="2885343C" w:rsidR="001F7244" w:rsidRPr="001F7244" w:rsidRDefault="003F027C" w:rsidP="001F7244">
      <w:pPr>
        <w:jc w:val="both"/>
      </w:pPr>
      <w:r>
        <w:t xml:space="preserve">Regarding </w:t>
      </w:r>
      <w:r w:rsidRPr="008A50F4">
        <w:rPr>
          <w:b/>
        </w:rPr>
        <w:t>international convergence</w:t>
      </w:r>
      <w:r>
        <w:t xml:space="preserve">, </w:t>
      </w:r>
      <w:r w:rsidR="00FF4EED" w:rsidRPr="00FF4EED">
        <w:t>we support the approach of ESMA to a</w:t>
      </w:r>
      <w:r w:rsidR="00FF4EED">
        <w:t>llow international convergence. However, regulators should take due note that we</w:t>
      </w:r>
      <w:r>
        <w:t xml:space="preserve"> are in presence of different </w:t>
      </w:r>
      <w:r w:rsidR="00FF4EED">
        <w:t xml:space="preserve">market practices (different </w:t>
      </w:r>
      <w:r>
        <w:t xml:space="preserve">clearing models, different approaches by instrument, different </w:t>
      </w:r>
      <w:r w:rsidR="008A50F4">
        <w:t>trading platforms between EMIR and Dodd-Franck regulations</w:t>
      </w:r>
      <w:r w:rsidR="00FF4EED">
        <w:t>)</w:t>
      </w:r>
      <w:r w:rsidR="008A50F4">
        <w:t xml:space="preserve">. Ideally, a global approach would be very desirable, but in practice there are a lot of structural difficulties. CCPs mutual recognition is far for taken for granted. The objective is to get closer so as to facilitate day to day operations and avoid case by case side letter writing for counterparties for instance, but convergence should </w:t>
      </w:r>
      <w:r w:rsidR="00FE38FF">
        <w:t>in no case</w:t>
      </w:r>
      <w:r w:rsidR="008A50F4">
        <w:t xml:space="preserve"> mean abandoning European counterparties’ characteristics</w:t>
      </w:r>
      <w:r w:rsidR="008A50F4" w:rsidRPr="008A50F4">
        <w:t xml:space="preserve"> </w:t>
      </w:r>
      <w:r w:rsidR="008A50F4">
        <w:t>that work</w:t>
      </w:r>
      <w:r w:rsidR="008A50F4" w:rsidRPr="008A50F4">
        <w:t xml:space="preserve"> </w:t>
      </w:r>
      <w:r w:rsidR="008A50F4">
        <w:t>well.</w:t>
      </w:r>
      <w:r w:rsidR="001F7244">
        <w:t xml:space="preserve"> </w:t>
      </w:r>
      <w:r w:rsidR="001F7244" w:rsidRPr="001F7244">
        <w:t>T</w:t>
      </w:r>
      <w:r w:rsidR="001F7244" w:rsidRPr="001F7244">
        <w:t xml:space="preserve">he EU should not align to foreign practices for the mere reason of simplification; we consider that the European context must be analysed locally and urge ESMA not to consider equivalence for CCPs which do not offer perfect safety and total segregation, meaning the possibility for the end client to be known from the CCP that would open an account for him </w:t>
      </w:r>
      <w:r w:rsidR="001F7244" w:rsidRPr="001F7244">
        <w:t>and individualise</w:t>
      </w:r>
      <w:r w:rsidR="001F7244" w:rsidRPr="001F7244">
        <w:t xml:space="preserve"> his holdings even if they are administered by a clearing member.</w:t>
      </w:r>
    </w:p>
    <w:permEnd w:id="1575779171"/>
    <w:p w14:paraId="195F3EF7" w14:textId="6EDAE1AA"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Titre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fldSimple w:instr=" SEQ Question \* ARABIC ">
        <w:r w:rsidR="00AC73A9">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224191B9" w14:textId="4519E31C" w:rsidR="00562FBC" w:rsidRPr="006049FE" w:rsidRDefault="00562FBC" w:rsidP="00562FBC">
      <w:pPr>
        <w:jc w:val="both"/>
      </w:pPr>
      <w:permStart w:id="1419206484" w:edGrp="everyone"/>
      <w:r w:rsidRPr="006049FE">
        <w:t>AFG members agree with the proposed criteria described in section 3 of the Consultation Paper.</w:t>
      </w:r>
    </w:p>
    <w:p w14:paraId="488020A7" w14:textId="77777777" w:rsidR="00562FBC" w:rsidRPr="006049FE" w:rsidRDefault="00562FBC" w:rsidP="00562FBC">
      <w:pPr>
        <w:jc w:val="both"/>
      </w:pPr>
    </w:p>
    <w:p w14:paraId="02421876" w14:textId="77777777" w:rsidR="00456FDB" w:rsidRDefault="00456FDB" w:rsidP="00456FDB">
      <w:pPr>
        <w:jc w:val="both"/>
      </w:pPr>
      <w:r w:rsidRPr="00456FDB">
        <w:rPr>
          <w:b/>
        </w:rPr>
        <w:t>Close out clause: UCITS</w:t>
      </w:r>
      <w:r>
        <w:t xml:space="preserve"> must be in a position to close any OTC transaction they entered in at any time; this is not easy to organize with a CCP except if we traded at first with the clearing broker we use; it looks </w:t>
      </w:r>
      <w:r>
        <w:lastRenderedPageBreak/>
        <w:t>like UCITS will have to breach either UCITS rules or EMIR rules; we urge ESMA to express a clear position on this point already raised several times.</w:t>
      </w:r>
    </w:p>
    <w:p w14:paraId="3CB1189F" w14:textId="77777777" w:rsidR="00456FDB" w:rsidRPr="006049FE" w:rsidRDefault="00456FDB" w:rsidP="00456FDB">
      <w:pPr>
        <w:jc w:val="both"/>
      </w:pPr>
    </w:p>
    <w:p w14:paraId="76717437" w14:textId="76DE1EE9" w:rsidR="00562FBC" w:rsidRDefault="00562FBC" w:rsidP="00562FBC">
      <w:pPr>
        <w:jc w:val="both"/>
      </w:pPr>
      <w:r w:rsidRPr="006049FE">
        <w:t>We would however recall the fact that UCITS using a CDS contract are not allowed to receive a loan as payment in a case of a credit event for which no Additional Provision had been executed (see also our reply to question 2).</w:t>
      </w:r>
    </w:p>
    <w:p w14:paraId="3B890E21" w14:textId="77777777" w:rsidR="00456FDB" w:rsidRDefault="00456FDB" w:rsidP="00562FBC">
      <w:pPr>
        <w:jc w:val="both"/>
      </w:pPr>
    </w:p>
    <w:p w14:paraId="453DD52B" w14:textId="34A9C77D" w:rsidR="00456FDB" w:rsidRDefault="00562FBC" w:rsidP="006049FE">
      <w:pPr>
        <w:jc w:val="both"/>
      </w:pPr>
      <w:r w:rsidRPr="006049FE">
        <w:t>We th</w:t>
      </w:r>
      <w:r w:rsidR="00456FDB">
        <w:t>us</w:t>
      </w:r>
      <w:r w:rsidRPr="006049FE">
        <w:t xml:space="preserve"> urge ESMA to ensure that CCP</w:t>
      </w:r>
      <w:r w:rsidR="006049FE" w:rsidRPr="006049FE">
        <w:t>s</w:t>
      </w:r>
      <w:r w:rsidRPr="006049FE">
        <w:t xml:space="preserve"> </w:t>
      </w:r>
      <w:r w:rsidR="006049FE" w:rsidRPr="006049FE">
        <w:t>clearing</w:t>
      </w:r>
      <w:r w:rsidRPr="006049FE">
        <w:t xml:space="preserve"> CDS contracts develop an offer including the required special settlement terms </w:t>
      </w:r>
      <w:r w:rsidR="006049FE" w:rsidRPr="006049FE">
        <w:t xml:space="preserve">that are </w:t>
      </w:r>
      <w:r w:rsidRPr="006049FE">
        <w:t xml:space="preserve">UCITS </w:t>
      </w:r>
      <w:r w:rsidR="006049FE" w:rsidRPr="006049FE">
        <w:t>compliant.</w:t>
      </w:r>
    </w:p>
    <w:p w14:paraId="41C625BE" w14:textId="77777777" w:rsidR="009841D7" w:rsidRDefault="009841D7" w:rsidP="006049FE">
      <w:pPr>
        <w:jc w:val="both"/>
      </w:pPr>
    </w:p>
    <w:p w14:paraId="3FDD5637" w14:textId="52B08EF2" w:rsidR="009841D7" w:rsidRPr="00FF4EED" w:rsidRDefault="00FF4EED" w:rsidP="009841D7">
      <w:pPr>
        <w:jc w:val="both"/>
      </w:pPr>
      <w:r w:rsidRPr="00FF4EED">
        <w:t>Some of our members</w:t>
      </w:r>
      <w:r w:rsidR="009841D7" w:rsidRPr="00FF4EED">
        <w:t xml:space="preserve"> </w:t>
      </w:r>
      <w:r w:rsidRPr="00FF4EED">
        <w:t>challenge</w:t>
      </w:r>
      <w:r w:rsidR="009841D7" w:rsidRPr="00FF4EED">
        <w:t xml:space="preserve"> the idea to start from series 1</w:t>
      </w:r>
      <w:r w:rsidRPr="00FF4EED">
        <w:t>1 to impose mandatory clearing and</w:t>
      </w:r>
      <w:r w:rsidR="009841D7" w:rsidRPr="00FF4EED">
        <w:t xml:space="preserve"> strongly recommend that mandatory compensation apply to series 17 onwards. The more so, that </w:t>
      </w:r>
      <w:r w:rsidRPr="00FF4EED">
        <w:t>on</w:t>
      </w:r>
      <w:r w:rsidR="009841D7" w:rsidRPr="00FF4EED">
        <w:t xml:space="preserve"> the application date there will be 2 or 3 more series.</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Titre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Titre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fldSimple w:instr=" SEQ Question \* ARABIC ">
        <w:r w:rsidR="00AC73A9">
          <w:rPr>
            <w:noProof/>
          </w:rPr>
          <w:t>4</w:t>
        </w:r>
      </w:fldSimple>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100FF2E5" w14:textId="662A3ECA" w:rsidR="000C189E" w:rsidRPr="000C189E" w:rsidRDefault="004B6BB9" w:rsidP="000C189E">
      <w:pPr>
        <w:jc w:val="both"/>
      </w:pPr>
      <w:permStart w:id="327113600" w:edGrp="everyone"/>
      <w:r w:rsidRPr="000C189E">
        <w:t>We generally agree with the analysis presented in Section 4.1.</w:t>
      </w:r>
      <w:r w:rsidR="000C189E" w:rsidRPr="000C189E">
        <w:t xml:space="preserve">  We insist however on the fact that </w:t>
      </w:r>
      <w:r w:rsidR="000C189E" w:rsidRPr="000C189E">
        <w:rPr>
          <w:b/>
        </w:rPr>
        <w:t>ESMA should always verify the existence of at least 2 CCPs offering total segregation service and their quality before deciding a clearing obligation</w:t>
      </w:r>
      <w:r w:rsidR="000C189E" w:rsidRPr="000C189E">
        <w:t>.</w:t>
      </w:r>
    </w:p>
    <w:p w14:paraId="3087D0DD" w14:textId="77777777" w:rsidR="000C189E" w:rsidRPr="000C189E" w:rsidRDefault="000C189E" w:rsidP="000C189E">
      <w:pPr>
        <w:jc w:val="both"/>
      </w:pPr>
    </w:p>
    <w:p w14:paraId="70E37FF5" w14:textId="27833016" w:rsidR="00FF4EED" w:rsidRDefault="000C189E" w:rsidP="00FF4EED">
      <w:pPr>
        <w:jc w:val="both"/>
        <w:rPr>
          <w:color w:val="00B0F0"/>
        </w:rPr>
      </w:pPr>
      <w:r>
        <w:t>This section</w:t>
      </w:r>
      <w:r w:rsidRPr="000C189E">
        <w:t xml:space="preserve"> includes analysis of the criteria relevant for the determination of the dates for the clearing obligation to apply. </w:t>
      </w:r>
      <w:r>
        <w:t>As we have already mentioned for the 1</w:t>
      </w:r>
      <w:r w:rsidRPr="000C189E">
        <w:rPr>
          <w:vertAlign w:val="superscript"/>
        </w:rPr>
        <w:t>st</w:t>
      </w:r>
      <w:r>
        <w:t xml:space="preserve"> consultation, w</w:t>
      </w:r>
      <w:r w:rsidRPr="000C189E">
        <w:t xml:space="preserve">e support the criteria that ESMA proposes taking into consideration, which include: a) the expected volume of the relevant class of OTC derivatives; b) whether more than one CCP already clear the same class; and c) the ability of the CCP to handle the expected volume. We especially note the importance of criterion b). Where there is only one CCP available, ESMA should assess the </w:t>
      </w:r>
      <w:r w:rsidRPr="00FF4EED">
        <w:t>potential impact that this has on access generally and the options available to market participants and increase the timeframe where they consider that this will result in more CCPs offering to clear the class of derivatives in question</w:t>
      </w:r>
      <w:r w:rsidR="00FF4EED" w:rsidRPr="00FF4EED">
        <w:t xml:space="preserve">. </w:t>
      </w:r>
    </w:p>
    <w:p w14:paraId="62CF69F9" w14:textId="77777777" w:rsidR="00FF4EED" w:rsidRDefault="00FF4EED" w:rsidP="000C189E">
      <w:pPr>
        <w:jc w:val="both"/>
      </w:pPr>
    </w:p>
    <w:p w14:paraId="65647996" w14:textId="52A0435C" w:rsidR="000C189E" w:rsidRDefault="000C189E" w:rsidP="000C189E">
      <w:pPr>
        <w:jc w:val="both"/>
      </w:pPr>
      <w:r w:rsidRPr="000C189E">
        <w:t>The same argument should also apply to the number of clearing members that have access to the authorised CCP(s). Other related factors which ESMA may consider, include what jurisdictions the CCPs operate, the extent to which the CCP has market share across the OTC clearing market generally and the range of clearing account options (and pricing structures) made available for client clearing. When discussing the number of CCPs, ESMA rejects the idea that the text implies that there must be some competition between several CCPs before deciding obligation to compensate and takes it as an element when fixing the date from which the clearing obligation would apply; we strongly oppose this view that may lead to a monopoly or, even worst, to the necessity to clear through a CCP which might not meet the standards we expect.</w:t>
      </w:r>
      <w:r w:rsidR="00FF4EED" w:rsidRPr="00FF4EED">
        <w:t xml:space="preserve"> </w:t>
      </w:r>
      <w:r w:rsidR="00FF4EED">
        <w:t>Indeed, o</w:t>
      </w:r>
      <w:r w:rsidR="00FF4EED" w:rsidRPr="00FF4EED">
        <w:t xml:space="preserve">ur </w:t>
      </w:r>
      <w:r w:rsidR="00FF4EED" w:rsidRPr="00FF4EED">
        <w:t>members</w:t>
      </w:r>
      <w:r w:rsidR="00FF4EED" w:rsidRPr="00FF4EED">
        <w:t xml:space="preserve"> could reject to compensate with some CCPs for instance because of  insufficient financial solidity, shareholding creating conflicts of interests, operational difficulties, inappropriate level of segregation, improper default waterfall, high dependency on a limited number of members, low quality of some of the members.</w:t>
      </w:r>
    </w:p>
    <w:p w14:paraId="452DA31E" w14:textId="77777777" w:rsidR="004871F2" w:rsidRPr="00FF4EED" w:rsidRDefault="004871F2" w:rsidP="00FF4EED">
      <w:pPr>
        <w:jc w:val="both"/>
      </w:pPr>
    </w:p>
    <w:p w14:paraId="3468ACF8" w14:textId="224BB0D6" w:rsidR="00FF4EED" w:rsidRPr="00FF4EED" w:rsidRDefault="00FF4EED" w:rsidP="00FF4EED">
      <w:pPr>
        <w:jc w:val="both"/>
      </w:pPr>
      <w:r w:rsidRPr="00FF4EED">
        <w:t xml:space="preserve">In §41 to 46, </w:t>
      </w:r>
      <w:r w:rsidR="00C11B81" w:rsidRPr="00FF4EED">
        <w:t xml:space="preserve">ESMA takes as a guarantee of complete standardization the fact that </w:t>
      </w:r>
      <w:proofErr w:type="gramStart"/>
      <w:r w:rsidR="00C11B81" w:rsidRPr="00FF4EED">
        <w:t>most  CDS</w:t>
      </w:r>
      <w:proofErr w:type="gramEnd"/>
      <w:r w:rsidR="00C11B81" w:rsidRPr="00FF4EED">
        <w:t xml:space="preserve"> trades are confirmed through electronic platforms. In fact the process for CDS is less automated than for IRS. Counterparties must consult the documentation to check the terms of specifications that vary from one master confirmation or one side letter to the other; for example, the “partial cash settlement” clause is not standardized and is always specified when an asset manager trades for the account of a fund; we conclude that phasing in of the obligation t</w:t>
      </w:r>
      <w:r w:rsidRPr="00FF4EED">
        <w:t>o clear CDS must be long enough.</w:t>
      </w:r>
    </w:p>
    <w:permEnd w:id="327113600"/>
    <w:p w14:paraId="08CE0DDA" w14:textId="2EC07F09"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Titre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fldSimple w:instr=" SEQ Question \* ARABIC ">
        <w:r w:rsidR="00AC73A9">
          <w:rPr>
            <w:noProof/>
          </w:rPr>
          <w:t>5</w:t>
        </w:r>
      </w:fldSimple>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35BA1AA9" w14:textId="77777777" w:rsidR="004B6BB9" w:rsidRDefault="004B6BB9" w:rsidP="000E31C3">
      <w:permStart w:id="1259478659" w:edGrp="everyone"/>
      <w:r w:rsidRPr="004B6BB9">
        <w:t>We agree that definition of counterparties for credit and interest rate asset classes should be the same.</w:t>
      </w:r>
    </w:p>
    <w:permEnd w:id="1259478659"/>
    <w:p w14:paraId="595FC331" w14:textId="3F9D8FA6"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Titre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fldSimple w:instr=" SEQ Question \* ARABIC ">
        <w:r w:rsidR="00AC73A9">
          <w:rPr>
            <w:noProof/>
          </w:rPr>
          <w:t>6</w:t>
        </w:r>
      </w:fldSimple>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61CC548E" w14:textId="44C8328B" w:rsidR="004B6BB9" w:rsidRPr="00CF4D34" w:rsidRDefault="004B6BB9" w:rsidP="004321FC">
      <w:pPr>
        <w:jc w:val="both"/>
      </w:pPr>
      <w:permStart w:id="426457662" w:edGrp="everyone"/>
      <w:r w:rsidRPr="004B6BB9">
        <w:t xml:space="preserve">We consider that </w:t>
      </w:r>
      <w:r w:rsidR="004321FC">
        <w:t xml:space="preserve">the final adopted </w:t>
      </w:r>
      <w:r w:rsidRPr="004B6BB9">
        <w:t>dates for asset managers</w:t>
      </w:r>
      <w:r>
        <w:t xml:space="preserve"> should</w:t>
      </w:r>
      <w:r w:rsidRPr="004B6BB9">
        <w:t xml:space="preserve"> ensure a smooth implementation of </w:t>
      </w:r>
      <w:r w:rsidRPr="00CF4D34">
        <w:t xml:space="preserve">the clearing obligation as far as they take into account the delay of the </w:t>
      </w:r>
      <w:proofErr w:type="spellStart"/>
      <w:r w:rsidRPr="00CF4D34">
        <w:t>onboarding</w:t>
      </w:r>
      <w:proofErr w:type="spellEnd"/>
      <w:r w:rsidRPr="00CF4D34">
        <w:t xml:space="preserve"> process with the direct clearing members (DCM), in order to avoid bottleneck. </w:t>
      </w:r>
      <w:proofErr w:type="gramStart"/>
      <w:r w:rsidRPr="00CF4D34">
        <w:t>DCM</w:t>
      </w:r>
      <w:r w:rsidR="004321FC" w:rsidRPr="00CF4D34">
        <w:t>s</w:t>
      </w:r>
      <w:r w:rsidRPr="00CF4D34">
        <w:t xml:space="preserve"> has</w:t>
      </w:r>
      <w:proofErr w:type="gramEnd"/>
      <w:r w:rsidRPr="00CF4D34">
        <w:t xml:space="preserve"> also to finalize as soon as possible their models.</w:t>
      </w:r>
    </w:p>
    <w:p w14:paraId="38F67B1E" w14:textId="0520F5B1" w:rsidR="00CF4D34" w:rsidRPr="00CF4D34" w:rsidRDefault="004B6BB9" w:rsidP="00CF4D34">
      <w:pPr>
        <w:jc w:val="both"/>
      </w:pPr>
      <w:r w:rsidRPr="00CF4D34">
        <w:t xml:space="preserve">We agree with ESMA’s proposal and welcome </w:t>
      </w:r>
      <w:r w:rsidRPr="00CF4D34">
        <w:rPr>
          <w:b/>
        </w:rPr>
        <w:t xml:space="preserve">a phase-in period that </w:t>
      </w:r>
      <w:r w:rsidR="004321FC" w:rsidRPr="00CF4D34">
        <w:rPr>
          <w:b/>
        </w:rPr>
        <w:t xml:space="preserve">runs for </w:t>
      </w:r>
      <w:r w:rsidR="00F8776A" w:rsidRPr="00CF4D34">
        <w:rPr>
          <w:b/>
        </w:rPr>
        <w:t xml:space="preserve">at least </w:t>
      </w:r>
      <w:r w:rsidR="004321FC" w:rsidRPr="00CF4D34">
        <w:rPr>
          <w:b/>
        </w:rPr>
        <w:t>18 months</w:t>
      </w:r>
      <w:r w:rsidR="004321FC" w:rsidRPr="00CF4D34">
        <w:t>.</w:t>
      </w:r>
      <w:r w:rsidR="00F8776A" w:rsidRPr="00CF4D34">
        <w:t xml:space="preserve"> In any case, it should </w:t>
      </w:r>
      <w:r w:rsidR="00CF4D34" w:rsidRPr="00CF4D34">
        <w:t xml:space="preserve">not be less as </w:t>
      </w:r>
      <w:r w:rsidR="00CF4D34" w:rsidRPr="00CF4D34">
        <w:t>current</w:t>
      </w:r>
      <w:r w:rsidR="00CF4D34" w:rsidRPr="00CF4D34">
        <w:t>ly proposed</w:t>
      </w:r>
      <w:r w:rsidR="00CF4D34" w:rsidRPr="00CF4D34">
        <w:t xml:space="preserve"> 12 month period between the first two categories (6 months for CM and 18 months for category 2) is far from excessive knowing that legal </w:t>
      </w:r>
      <w:proofErr w:type="gramStart"/>
      <w:r w:rsidR="00CF4D34" w:rsidRPr="00CF4D34">
        <w:t>teams</w:t>
      </w:r>
      <w:proofErr w:type="gramEnd"/>
      <w:r w:rsidR="00CF4D34" w:rsidRPr="00CF4D34">
        <w:t xml:space="preserve"> active on EMIR contracts are totally overworked on both sides of the negotiating counterparties.</w:t>
      </w:r>
    </w:p>
    <w:p w14:paraId="12B0CE44" w14:textId="4397FDF5" w:rsidR="004321FC" w:rsidRPr="00CF4D34" w:rsidRDefault="004321FC" w:rsidP="004321FC">
      <w:pPr>
        <w:jc w:val="both"/>
      </w:pPr>
    </w:p>
    <w:p w14:paraId="421B263E" w14:textId="13412088" w:rsidR="004321FC" w:rsidRPr="00CF4D34" w:rsidRDefault="004321FC" w:rsidP="004321FC">
      <w:pPr>
        <w:jc w:val="both"/>
      </w:pPr>
      <w:r w:rsidRPr="00CF4D34">
        <w:t>Regulated investment funds need sufficient time to set up new legal and operational arrangements with the clearing members and the CCPs. For example, the assessment and the implementation of the segregation requirements for regulated investment funds take additional time for the investment fund management companies as they have to analyse the complex and different clearing framework agreements by the CCPs knowing if the agreements comply with the European investment fund law. The terms “individual client segregation” and “omnibus client segregation” are not clearly defined which leads to the consequence that each CCP develops, interprets and offers its own segregation model to the financial industry.</w:t>
      </w:r>
    </w:p>
    <w:p w14:paraId="1347B881" w14:textId="77777777" w:rsidR="004871F2" w:rsidRPr="00CF4D34" w:rsidRDefault="004871F2" w:rsidP="004321FC">
      <w:pPr>
        <w:jc w:val="both"/>
      </w:pPr>
    </w:p>
    <w:p w14:paraId="7EE6921A" w14:textId="1F8ED19E" w:rsidR="004871F2" w:rsidRPr="00CF4D34" w:rsidRDefault="004871F2" w:rsidP="004871F2">
      <w:pPr>
        <w:jc w:val="both"/>
      </w:pPr>
      <w:r w:rsidRPr="00CF4D34">
        <w:t xml:space="preserve">We would like to stress again that in the process of CCPs authorisation, the ability to accept a large class of assets as collateral without limiting the scope of eligible collateral beyond the conditions fixed by the relevant European regulation should be taken in account. </w:t>
      </w:r>
      <w:r w:rsidRPr="00CF4D34">
        <w:rPr>
          <w:b/>
        </w:rPr>
        <w:t>ESMA should thus investigate the capacity of a CCP to accept all the collateral permitted by the European regulation.</w:t>
      </w:r>
      <w:r w:rsidRPr="00CF4D34">
        <w:t xml:space="preserve"> </w:t>
      </w:r>
    </w:p>
    <w:p w14:paraId="00278DCF" w14:textId="77777777" w:rsidR="00CF4D34" w:rsidRPr="00CF4D34" w:rsidRDefault="00CF4D34" w:rsidP="004871F2">
      <w:pPr>
        <w:jc w:val="both"/>
      </w:pPr>
    </w:p>
    <w:p w14:paraId="6E7FF0EB" w14:textId="77777777" w:rsidR="004871F2" w:rsidRPr="00CF4D34" w:rsidRDefault="004871F2" w:rsidP="004871F2">
      <w:pPr>
        <w:jc w:val="both"/>
      </w:pPr>
      <w:r w:rsidRPr="00CF4D34">
        <w:t>The existence of a fully segregated offer for the collateral deposited with the CCP is also a key point before deciding of clearing obligation. The quality of the CCP itself should be checked again by ESMA as it is very different to authorise actors to use the services of a CCP or to impose them to go to a specific or a limited number of CCPs that clear a product subject to clearing obligation.</w:t>
      </w:r>
    </w:p>
    <w:p w14:paraId="3D4A62C7" w14:textId="77777777" w:rsidR="004871F2" w:rsidRPr="00CF4D34" w:rsidRDefault="004871F2" w:rsidP="004871F2">
      <w:pPr>
        <w:jc w:val="both"/>
      </w:pPr>
    </w:p>
    <w:p w14:paraId="15EA11BC" w14:textId="62DE02F1" w:rsidR="00C11B81" w:rsidRPr="00CF4D34" w:rsidRDefault="004871F2" w:rsidP="004871F2">
      <w:pPr>
        <w:jc w:val="both"/>
      </w:pPr>
      <w:r w:rsidRPr="00CF4D34">
        <w:t>We consider that the clearing obligation shall be effective before the obligations applicable to the collateral requirement (initial and variation</w:t>
      </w:r>
      <w:r w:rsidR="00CF4D34" w:rsidRPr="00CF4D34">
        <w:t xml:space="preserve"> margins.</w:t>
      </w:r>
    </w:p>
    <w:permEnd w:id="426457662"/>
    <w:p w14:paraId="4B52D678" w14:textId="23E5CDF6"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Titre1"/>
      </w:pPr>
      <w:bookmarkStart w:id="18" w:name="_Ref390182030"/>
      <w:bookmarkStart w:id="19" w:name="_Toc392685530"/>
      <w:r w:rsidRPr="00A84770">
        <w:lastRenderedPageBreak/>
        <w:t>Remaining maturity</w:t>
      </w:r>
      <w:r>
        <w:t xml:space="preserve"> and frontloading</w:t>
      </w:r>
      <w:bookmarkEnd w:id="18"/>
      <w:bookmarkEnd w:id="19"/>
    </w:p>
    <w:p w14:paraId="095DD89F" w14:textId="77777777" w:rsidR="000E31C3" w:rsidRDefault="000E31C3" w:rsidP="000E31C3"/>
    <w:p w14:paraId="704C0395" w14:textId="7B1450C4" w:rsidR="000E31C3" w:rsidRDefault="000E31C3" w:rsidP="000E31C3">
      <w:pPr>
        <w:pStyle w:val="Questions"/>
      </w:pPr>
      <w:r>
        <w:t xml:space="preserve">Question </w:t>
      </w:r>
      <w:fldSimple w:instr=" SEQ Question \* ARABIC ">
        <w:r w:rsidR="00AC73A9">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57B681A2" w14:textId="2640DED2" w:rsidR="00157A43" w:rsidRPr="00323BA3" w:rsidRDefault="00157A43" w:rsidP="00157A43">
      <w:pPr>
        <w:jc w:val="both"/>
        <w:rPr>
          <w:b/>
          <w:i/>
        </w:rPr>
      </w:pPr>
      <w:permStart w:id="1836743607" w:edGrp="everyone"/>
      <w:r w:rsidRPr="00323BA3">
        <w:rPr>
          <w:b/>
          <w:i/>
        </w:rPr>
        <w:t>Novation</w:t>
      </w:r>
      <w:r w:rsidR="00CF4D34">
        <w:rPr>
          <w:b/>
          <w:i/>
        </w:rPr>
        <w:t xml:space="preserve"> and compression</w:t>
      </w:r>
    </w:p>
    <w:p w14:paraId="0F9803EA" w14:textId="77777777" w:rsidR="00157A43" w:rsidRDefault="00157A43" w:rsidP="00157A43">
      <w:pPr>
        <w:jc w:val="both"/>
      </w:pPr>
    </w:p>
    <w:p w14:paraId="55DAD63D" w14:textId="42333370" w:rsidR="00157A43" w:rsidRDefault="00157A43" w:rsidP="00157A43">
      <w:pPr>
        <w:jc w:val="both"/>
        <w:rPr>
          <w:rFonts w:cs="Segoe UI"/>
          <w:szCs w:val="20"/>
          <w:lang w:val="en-US" w:eastAsia="en-GB"/>
        </w:rPr>
      </w:pPr>
      <w:r>
        <w:t xml:space="preserve">As we have already stated for the first CO n°1 consultation, we strongly believe that </w:t>
      </w:r>
      <w:r w:rsidRPr="00602BAA">
        <w:rPr>
          <w:b/>
        </w:rPr>
        <w:t>the definition of ‘novation’ should be clarified</w:t>
      </w:r>
      <w:r>
        <w:t xml:space="preserve">. It is of vital importance that until the publication </w:t>
      </w:r>
      <w:proofErr w:type="gramStart"/>
      <w:r>
        <w:t>of  RTS</w:t>
      </w:r>
      <w:proofErr w:type="gramEnd"/>
      <w:r>
        <w:t xml:space="preserve"> all contracts that would totally alter the economical equilibrium of the initial transaction</w:t>
      </w:r>
      <w:r w:rsidRPr="00602BAA">
        <w:t xml:space="preserve"> </w:t>
      </w:r>
      <w:r>
        <w:t xml:space="preserve">are exempt from clearing obligation. Article 4 (1) of the proposed RTS includes in the scope of clearing obligation ‘OTC derivative contracts entered into or </w:t>
      </w:r>
      <w:r w:rsidRPr="001B68DA">
        <w:t>novated</w:t>
      </w:r>
      <w:r w:rsidRPr="00C768E4">
        <w:rPr>
          <w:b/>
        </w:rPr>
        <w:t xml:space="preserve"> </w:t>
      </w:r>
      <w:r>
        <w:t xml:space="preserve">on or after the date of the RTS publication’. The point of legal certainty and economical equilibrium of OTC derivatives would be totally missed if novation were to be misinterpreted. Novation in that circumstance should not include simple change of parameter such as diminution of the notional amount traded, the modification of a date or the give up of the deal… We would like at least recital 11 to refer to BCBS/IOSCO definition of </w:t>
      </w:r>
      <w:r w:rsidRPr="00157A43">
        <w:rPr>
          <w:b/>
        </w:rPr>
        <w:t>“genuine amendments”</w:t>
      </w:r>
      <w:r>
        <w:t xml:space="preserve"> in order to give a clear understanding of what novation means. (See, BCBS /IOSCO final report on Margin requirement for non- centrally cleared OTC derivatives, September 2013</w:t>
      </w:r>
      <w:proofErr w:type="gramStart"/>
      <w:r>
        <w:t>,  page</w:t>
      </w:r>
      <w:proofErr w:type="gramEnd"/>
      <w:r>
        <w:t xml:space="preserve"> 24 and specially foot note 20 that reads:</w:t>
      </w:r>
      <w:r w:rsidRPr="0085306A">
        <w:rPr>
          <w:rFonts w:ascii="Segoe UI" w:hAnsi="Segoe UI" w:cs="Segoe UI"/>
          <w:sz w:val="16"/>
          <w:szCs w:val="16"/>
          <w:lang w:val="en-US" w:eastAsia="en-GB"/>
        </w:rPr>
        <w:t xml:space="preserve"> </w:t>
      </w:r>
      <w:r w:rsidRPr="0085306A">
        <w:rPr>
          <w:rFonts w:cs="Segoe UI"/>
          <w:i/>
          <w:szCs w:val="20"/>
          <w:lang w:val="en-US" w:eastAsia="en-GB"/>
        </w:rPr>
        <w:t>Genuine amendments to existing derivatives contracts do not qualify as a new derivatives contract. Any amendment that is intended to extend an existing derivatives contract for the purpose of avoiding margin requirements will be considered a new derivatives contract</w:t>
      </w:r>
      <w:r w:rsidRPr="0085306A">
        <w:rPr>
          <w:rFonts w:cs="Segoe UI"/>
          <w:szCs w:val="20"/>
          <w:lang w:val="en-US" w:eastAsia="en-GB"/>
        </w:rPr>
        <w:t>.</w:t>
      </w:r>
      <w:r w:rsidRPr="0085306A">
        <w:t xml:space="preserve"> </w:t>
      </w:r>
      <w:hyperlink r:id="rId14" w:history="1">
        <w:r w:rsidRPr="004E0E8E">
          <w:rPr>
            <w:rStyle w:val="Lienhypertexte"/>
            <w:rFonts w:cs="Segoe UI"/>
            <w:szCs w:val="20"/>
            <w:lang w:val="en-US" w:eastAsia="en-GB"/>
          </w:rPr>
          <w:t>http://www.iosco.org/library/pubdocs/pdf/IOSCOPD423.pdf</w:t>
        </w:r>
      </w:hyperlink>
      <w:r>
        <w:rPr>
          <w:rFonts w:cs="Segoe UI"/>
          <w:szCs w:val="20"/>
          <w:lang w:val="en-US" w:eastAsia="en-GB"/>
        </w:rPr>
        <w:t xml:space="preserve"> </w:t>
      </w:r>
      <w:r w:rsidRPr="0085306A">
        <w:rPr>
          <w:rFonts w:cs="Segoe UI"/>
          <w:szCs w:val="20"/>
          <w:lang w:val="en-US" w:eastAsia="en-GB"/>
        </w:rPr>
        <w:t>)</w:t>
      </w:r>
      <w:r>
        <w:rPr>
          <w:rFonts w:cs="Segoe UI"/>
          <w:szCs w:val="20"/>
          <w:lang w:val="en-US" w:eastAsia="en-GB"/>
        </w:rPr>
        <w:t>.</w:t>
      </w:r>
    </w:p>
    <w:p w14:paraId="25E53D74" w14:textId="77777777" w:rsidR="00C11B81" w:rsidRPr="00CF4D34" w:rsidRDefault="00C11B81" w:rsidP="00157A43">
      <w:pPr>
        <w:jc w:val="both"/>
        <w:rPr>
          <w:rFonts w:cs="Segoe UI"/>
          <w:szCs w:val="20"/>
          <w:lang w:val="en-US" w:eastAsia="en-GB"/>
        </w:rPr>
      </w:pPr>
    </w:p>
    <w:p w14:paraId="3F9474E6" w14:textId="0C1ACD63" w:rsidR="00CF4D34" w:rsidRPr="00CF4D34" w:rsidRDefault="00C11B81" w:rsidP="00CF4D34">
      <w:pPr>
        <w:jc w:val="both"/>
      </w:pPr>
      <w:r w:rsidRPr="00CF4D34">
        <w:t>Furthermore</w:t>
      </w:r>
      <w:r w:rsidR="00CF4D34" w:rsidRPr="00CF4D34">
        <w:t>,</w:t>
      </w:r>
      <w:r w:rsidRPr="00CF4D34">
        <w:t xml:space="preserve"> </w:t>
      </w:r>
      <w:r w:rsidRPr="00CF4D34">
        <w:rPr>
          <w:b/>
        </w:rPr>
        <w:t xml:space="preserve">trades entered into with a view to compress </w:t>
      </w:r>
      <w:proofErr w:type="spellStart"/>
      <w:r w:rsidRPr="00CF4D34">
        <w:rPr>
          <w:b/>
        </w:rPr>
        <w:t>preexisting</w:t>
      </w:r>
      <w:proofErr w:type="spellEnd"/>
      <w:r w:rsidRPr="00CF4D34">
        <w:rPr>
          <w:b/>
        </w:rPr>
        <w:t xml:space="preserve"> trades</w:t>
      </w:r>
      <w:r w:rsidRPr="00CF4D34">
        <w:t xml:space="preserve"> that were not within the scope of the obligation to compensate </w:t>
      </w:r>
      <w:r w:rsidRPr="00CF4D34">
        <w:rPr>
          <w:b/>
        </w:rPr>
        <w:t>should be exempted</w:t>
      </w:r>
      <w:r w:rsidRPr="00CF4D34">
        <w:t xml:space="preserve"> as well; otherwise the result would be an increase of open positions and risk instead of the intended reduction.</w:t>
      </w:r>
      <w:r w:rsidR="00CF4D34" w:rsidRPr="00CF4D34">
        <w:t xml:space="preserve"> Indeed, our members</w:t>
      </w:r>
      <w:r w:rsidR="00CF4D34" w:rsidRPr="00CF4D34">
        <w:t xml:space="preserve"> believe that any trade that is reducing a pre-existing position under a bilateral trade, and which is intended to be compressed (and is compressed) with the original trade so that the position is partially or fully terminated should not be subject to the clearing obligation. Compression is not possible between a cleared and bilateral contract and </w:t>
      </w:r>
      <w:proofErr w:type="spellStart"/>
      <w:r w:rsidR="00CF4D34" w:rsidRPr="00CF4D34">
        <w:t>novating</w:t>
      </w:r>
      <w:proofErr w:type="spellEnd"/>
      <w:r w:rsidR="00CF4D34" w:rsidRPr="00CF4D34">
        <w:t xml:space="preserve"> the bilateral trade to a CCP before compressing, is both problematic and inefficient.</w:t>
      </w:r>
    </w:p>
    <w:p w14:paraId="66734BE0" w14:textId="627D3C7F" w:rsidR="00C11B81" w:rsidRPr="00C11B81" w:rsidRDefault="00C11B81" w:rsidP="00157A43">
      <w:pPr>
        <w:jc w:val="both"/>
        <w:rPr>
          <w:color w:val="00B050"/>
        </w:rPr>
      </w:pPr>
    </w:p>
    <w:p w14:paraId="4759BEC5" w14:textId="77777777" w:rsidR="00157A43" w:rsidRDefault="00157A43" w:rsidP="00157A43">
      <w:pPr>
        <w:jc w:val="both"/>
      </w:pPr>
    </w:p>
    <w:p w14:paraId="58F878E3" w14:textId="77777777" w:rsidR="00157A43" w:rsidRPr="00323BA3" w:rsidRDefault="00157A43" w:rsidP="00157A43">
      <w:pPr>
        <w:jc w:val="both"/>
        <w:rPr>
          <w:b/>
          <w:i/>
        </w:rPr>
      </w:pPr>
      <w:r w:rsidRPr="00323BA3">
        <w:rPr>
          <w:b/>
          <w:i/>
        </w:rPr>
        <w:t>Frontloading</w:t>
      </w:r>
    </w:p>
    <w:p w14:paraId="4F4276D4" w14:textId="77777777" w:rsidR="00157A43" w:rsidRDefault="00157A43" w:rsidP="00157A43">
      <w:pPr>
        <w:jc w:val="both"/>
      </w:pPr>
    </w:p>
    <w:p w14:paraId="43D57F1A" w14:textId="77777777" w:rsidR="00157A43" w:rsidRPr="004321FC" w:rsidRDefault="00157A43" w:rsidP="00157A43">
      <w:pPr>
        <w:jc w:val="both"/>
      </w:pPr>
      <w:r w:rsidRPr="004321FC">
        <w:t>We welcome the proposal to effectively limit front-loading to contracts entered into during period B.</w:t>
      </w:r>
    </w:p>
    <w:p w14:paraId="7079EB59" w14:textId="24F79FF8" w:rsidR="00157A43" w:rsidRPr="004321FC" w:rsidRDefault="00157A43" w:rsidP="00157A43">
      <w:pPr>
        <w:jc w:val="both"/>
      </w:pPr>
      <w:r w:rsidRPr="004321FC">
        <w:t xml:space="preserve">We are </w:t>
      </w:r>
      <w:proofErr w:type="gramStart"/>
      <w:r w:rsidRPr="004321FC">
        <w:t>concerned,</w:t>
      </w:r>
      <w:proofErr w:type="gramEnd"/>
      <w:r w:rsidRPr="004321FC">
        <w:t xml:space="preserve"> however, that the practical impact of the application of the front-loading requirements to contracts with a minimum remaining maturity of 6 months, on the date of application of the clearing obligation will mean that the phase-in will be of little use</w:t>
      </w:r>
      <w:r w:rsidR="004321FC" w:rsidRPr="004321FC">
        <w:t xml:space="preserve"> for these more long dated contracts</w:t>
      </w:r>
      <w:r w:rsidRPr="004321FC">
        <w:t xml:space="preserve">. </w:t>
      </w:r>
    </w:p>
    <w:p w14:paraId="1046AC8C" w14:textId="77777777" w:rsidR="00157A43" w:rsidRDefault="00157A43" w:rsidP="00157A43">
      <w:pPr>
        <w:ind w:left="348"/>
        <w:jc w:val="both"/>
      </w:pPr>
    </w:p>
    <w:p w14:paraId="02562A0A" w14:textId="77777777" w:rsidR="00157A43" w:rsidRDefault="00157A43" w:rsidP="00157A43">
      <w:pPr>
        <w:jc w:val="both"/>
      </w:pPr>
      <w:r>
        <w:t xml:space="preserve">Some of our members’ clients execute long-dated OTC contracts (longer than 6 months), often to hedge long-dated liabilities. A minimum remaining maturity of 6 months will mean that the vast majority of OTC contracts subject to mandatory clearing which are executed during the phase-in period will become subject to front-loading requirements. In addition to the often mentioned pricing impact of front-loading, such a large front loading requirement would have a substantial operational impact on clients, clearing members and CCPs, and would require significant time and resources to be effectively implemented. </w:t>
      </w:r>
    </w:p>
    <w:p w14:paraId="3E97776F" w14:textId="5CDC7BB1" w:rsidR="00157A43" w:rsidRDefault="00157A43" w:rsidP="00157A43">
      <w:pPr>
        <w:jc w:val="both"/>
      </w:pPr>
      <w:r>
        <w:t>In order to complete the front loading process by the end of the phase-in period, the process would have to be initiated well in advance of the deadline. The structures for client clearing (including operational procedures and legal documentation) would have to be in place before starting the front loading process</w:t>
      </w:r>
      <w:r w:rsidRPr="00466AF7">
        <w:rPr>
          <w:b/>
        </w:rPr>
        <w:t>. In practical terms, this would significantly reduce the phase-in period for category 2 counterparties</w:t>
      </w:r>
      <w:r w:rsidR="004321FC">
        <w:rPr>
          <w:b/>
        </w:rPr>
        <w:t xml:space="preserve"> that execute more long dated contracts</w:t>
      </w:r>
      <w:r>
        <w:t>.</w:t>
      </w:r>
    </w:p>
    <w:p w14:paraId="53CDA0D6" w14:textId="77777777" w:rsidR="00157A43" w:rsidRDefault="00157A43" w:rsidP="00157A43">
      <w:pPr>
        <w:ind w:left="348"/>
        <w:jc w:val="both"/>
      </w:pPr>
    </w:p>
    <w:p w14:paraId="12A0157A" w14:textId="77777777" w:rsidR="00157A43" w:rsidRDefault="00157A43" w:rsidP="00157A43">
      <w:pPr>
        <w:jc w:val="both"/>
      </w:pPr>
      <w:r>
        <w:lastRenderedPageBreak/>
        <w:t>Furthermore, market participants will also have to put in place an appropriate process for moving open contracts into clearing. One must remember that the experience of implementing the back-loading requirement in respect of trade reporting had a huge operational impact in terms of imposing retrospective requirements on market participants; and the front-loading of non-cleared contracts into a cleared environment is much more complex than trade reporting!</w:t>
      </w:r>
    </w:p>
    <w:p w14:paraId="226493BB" w14:textId="77777777" w:rsidR="00157A43" w:rsidRDefault="00157A43" w:rsidP="00157A43">
      <w:pPr>
        <w:jc w:val="both"/>
      </w:pPr>
    </w:p>
    <w:p w14:paraId="59B5C30C" w14:textId="77777777" w:rsidR="00157A43" w:rsidRDefault="00157A43" w:rsidP="00157A43">
      <w:pPr>
        <w:jc w:val="both"/>
      </w:pPr>
      <w:r>
        <w:t>For these reasons, we encourage ESMA to consider alternative approaches to the front-loading and phase-in proposals set out in the Consultation Paper. Our members would recommend, in particular, examining the following options:</w:t>
      </w:r>
    </w:p>
    <w:p w14:paraId="2D0899AC" w14:textId="77777777" w:rsidR="00157A43" w:rsidRDefault="00157A43" w:rsidP="00157A43">
      <w:pPr>
        <w:ind w:left="348"/>
        <w:jc w:val="both"/>
      </w:pPr>
    </w:p>
    <w:p w14:paraId="3DFC2E0E" w14:textId="77777777" w:rsidR="00157A43" w:rsidRPr="00323BA3" w:rsidRDefault="00157A43" w:rsidP="00157A43">
      <w:pPr>
        <w:pStyle w:val="Paragraphedeliste"/>
        <w:numPr>
          <w:ilvl w:val="0"/>
          <w:numId w:val="61"/>
        </w:numPr>
        <w:spacing w:line="276" w:lineRule="auto"/>
        <w:jc w:val="both"/>
        <w:rPr>
          <w:u w:val="single"/>
        </w:rPr>
      </w:pPr>
      <w:r w:rsidRPr="009B62D6">
        <w:rPr>
          <w:b/>
          <w:u w:val="single"/>
        </w:rPr>
        <w:t xml:space="preserve">Option </w:t>
      </w:r>
      <w:r>
        <w:rPr>
          <w:b/>
          <w:u w:val="single"/>
        </w:rPr>
        <w:t>1</w:t>
      </w:r>
      <w:r>
        <w:rPr>
          <w:b/>
        </w:rPr>
        <w:t xml:space="preserve">: </w:t>
      </w:r>
      <w:r>
        <w:t xml:space="preserve">remove the front-loading obligation for category 2 counterparties. </w:t>
      </w:r>
    </w:p>
    <w:p w14:paraId="0E7FAF5F" w14:textId="77777777" w:rsidR="00157A43" w:rsidRPr="00323BA3" w:rsidRDefault="00157A43" w:rsidP="00157A43">
      <w:pPr>
        <w:pStyle w:val="Paragraphedeliste"/>
        <w:ind w:left="1068"/>
        <w:jc w:val="both"/>
        <w:rPr>
          <w:u w:val="single"/>
        </w:rPr>
      </w:pPr>
    </w:p>
    <w:p w14:paraId="537792A6" w14:textId="77777777" w:rsidR="00157A43" w:rsidRPr="00323BA3" w:rsidRDefault="00157A43" w:rsidP="00157A43">
      <w:pPr>
        <w:pStyle w:val="Paragraphedeliste"/>
        <w:numPr>
          <w:ilvl w:val="0"/>
          <w:numId w:val="61"/>
        </w:numPr>
        <w:spacing w:line="276" w:lineRule="auto"/>
        <w:jc w:val="both"/>
        <w:rPr>
          <w:u w:val="single"/>
        </w:rPr>
      </w:pPr>
      <w:r w:rsidRPr="00323BA3">
        <w:rPr>
          <w:b/>
          <w:u w:val="single"/>
        </w:rPr>
        <w:t xml:space="preserve">Option </w:t>
      </w:r>
      <w:r>
        <w:rPr>
          <w:b/>
          <w:u w:val="single"/>
        </w:rPr>
        <w:t>2</w:t>
      </w:r>
      <w:r w:rsidRPr="00323BA3">
        <w:t>: implement a phase-in front loading for category 2 counterparties, so that the front-loading period only starts 12 months after the start of the phase-in period for category 1 counterparties. This would give market participants sufficient time to put in place the necessary processes, procedures and documentation to ensure compliance with the clearing obligation, before having to consider also front-loading.</w:t>
      </w:r>
    </w:p>
    <w:p w14:paraId="2D41BA8E" w14:textId="77777777" w:rsidR="00157A43" w:rsidRDefault="00157A43" w:rsidP="00157A43">
      <w:pPr>
        <w:jc w:val="both"/>
      </w:pPr>
    </w:p>
    <w:p w14:paraId="4D9EA1AB" w14:textId="77777777" w:rsidR="00157A43" w:rsidRDefault="00157A43" w:rsidP="00157A43">
      <w:pPr>
        <w:jc w:val="both"/>
      </w:pPr>
      <w:r>
        <w:t>Whatever the option retained by ESMA, we urge ESMA to interpret rules in the same manner in all its jurisdictions.</w:t>
      </w:r>
    </w:p>
    <w:p w14:paraId="59ACECEB" w14:textId="77777777" w:rsidR="00157A43" w:rsidRDefault="00157A43" w:rsidP="00157A43">
      <w:pPr>
        <w:ind w:left="348"/>
        <w:jc w:val="both"/>
      </w:pPr>
    </w:p>
    <w:p w14:paraId="47A4A4AC" w14:textId="0BEC8376" w:rsidR="00157A43" w:rsidRDefault="00157A43" w:rsidP="00CF4D34">
      <w:pPr>
        <w:jc w:val="both"/>
      </w:pPr>
      <w:r>
        <w:t>Lastly, we also suggest that the effective date for front-loading (i.e. the start of period B) should be the date of entry into force of the regulatory technical standards</w:t>
      </w:r>
      <w:r>
        <w:rPr>
          <w:rStyle w:val="Appelnotedebasdep"/>
        </w:rPr>
        <w:footnoteReference w:id="2"/>
      </w:r>
      <w:r>
        <w:t>, rather than the date of publication in the Official journal. Indeed, it is unlikely that the date of publication in the OJCE will be announced in advance to market participants, which means that they would not be in a position to anticipate with precision the exact start date of front-loading requirements. To the contrary, if the effective start date for front loading is the date of entry into force of the RTS, this will give market participants a 20 days advance notice.</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Titre1"/>
        <w:numPr>
          <w:ilvl w:val="0"/>
          <w:numId w:val="0"/>
        </w:numPr>
      </w:pPr>
      <w:bookmarkStart w:id="20" w:name="_Ref389465288"/>
      <w:bookmarkStart w:id="21" w:name="_Toc392599429"/>
      <w:r w:rsidRPr="00B95561">
        <w:t xml:space="preserve">Annex </w:t>
      </w:r>
      <w:fldSimple w:instr=" SEQ Annex \* ROMAN ">
        <w:r w:rsidR="00AC73A9">
          <w:rPr>
            <w:noProof/>
          </w:rPr>
          <w:t>I</w:t>
        </w:r>
      </w:fldSimple>
      <w:bookmarkEnd w:id="20"/>
      <w:r w:rsidRPr="00B95561">
        <w:t xml:space="preserve"> - Commission mandate to develop technical standards</w:t>
      </w:r>
      <w:bookmarkEnd w:id="21"/>
    </w:p>
    <w:p w14:paraId="7696A38A" w14:textId="77777777" w:rsidR="00CB1E65" w:rsidRPr="00663ADD" w:rsidRDefault="00CB1E65" w:rsidP="00CB1E65"/>
    <w:p w14:paraId="5A801D3C" w14:textId="64F7EF4C" w:rsidR="00CB1E65" w:rsidRDefault="00CB1E65" w:rsidP="00CB1E65">
      <w:pPr>
        <w:pStyle w:val="Titre1"/>
        <w:numPr>
          <w:ilvl w:val="0"/>
          <w:numId w:val="0"/>
        </w:numPr>
      </w:pPr>
      <w:bookmarkStart w:id="22" w:name="_Ref389466688"/>
      <w:bookmarkStart w:id="23" w:name="_Toc392599430"/>
      <w:r w:rsidRPr="009E0D2D">
        <w:t xml:space="preserve">Annex </w:t>
      </w:r>
      <w:fldSimple w:instr=" SEQ Annex \* ROMAN ">
        <w:r w:rsidR="00AC73A9">
          <w:rPr>
            <w:noProof/>
          </w:rPr>
          <w:t>II</w:t>
        </w:r>
      </w:fldSimple>
      <w:bookmarkEnd w:id="22"/>
      <w:r>
        <w:t xml:space="preserve"> - Draft Regulatory Technical Standards on the Clearing Obligation</w:t>
      </w:r>
      <w:bookmarkEnd w:id="23"/>
    </w:p>
    <w:p w14:paraId="681A9EC1" w14:textId="77777777" w:rsidR="000E31C3" w:rsidRPr="007403B2" w:rsidRDefault="000E31C3" w:rsidP="000E31C3">
      <w:pPr>
        <w:pStyle w:val="Questions"/>
      </w:pPr>
      <w:r w:rsidRPr="007403B2">
        <w:t xml:space="preserve">Question </w:t>
      </w:r>
      <w:fldSimple w:instr=" SEQ Question \* ARABIC ">
        <w:r w:rsidR="00AC73A9">
          <w:rPr>
            <w:noProof/>
          </w:rPr>
          <w:t>8</w:t>
        </w:r>
      </w:fldSimple>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3CE5279F" w14:textId="77777777" w:rsidR="00CF4D34" w:rsidRPr="003F027C" w:rsidRDefault="00CF4D34" w:rsidP="00C84577">
      <w:pPr>
        <w:jc w:val="both"/>
        <w:rPr>
          <w:b/>
        </w:rPr>
      </w:pPr>
      <w:bookmarkStart w:id="24" w:name="_GoBack"/>
      <w:permStart w:id="324959834" w:edGrp="everyone"/>
      <w:r w:rsidRPr="003F027C">
        <w:rPr>
          <w:b/>
        </w:rPr>
        <w:t>Status change for bilateral derivatives</w:t>
      </w:r>
      <w:r>
        <w:rPr>
          <w:b/>
        </w:rPr>
        <w:t xml:space="preserve"> under the two components of EMIR</w:t>
      </w:r>
    </w:p>
    <w:p w14:paraId="7B477166" w14:textId="77777777" w:rsidR="00CF4D34" w:rsidRDefault="00CF4D34" w:rsidP="00C84577">
      <w:pPr>
        <w:jc w:val="both"/>
      </w:pPr>
    </w:p>
    <w:p w14:paraId="2024CD3A" w14:textId="3A3EA69A" w:rsidR="00C84577" w:rsidRDefault="00CF4D34" w:rsidP="00C84577">
      <w:pPr>
        <w:jc w:val="both"/>
      </w:pPr>
      <w:r>
        <w:t xml:space="preserve">We would like to </w:t>
      </w:r>
      <w:r>
        <w:t>draw</w:t>
      </w:r>
      <w:r>
        <w:t xml:space="preserve"> regulators’ attention to the dates that are retained for the clearing obligation’s and </w:t>
      </w:r>
      <w:proofErr w:type="spellStart"/>
      <w:r>
        <w:t>frontloading’s</w:t>
      </w:r>
      <w:proofErr w:type="spellEnd"/>
      <w:r>
        <w:t xml:space="preserve"> application in relation to the non-compensated IM+VM ESMA’s requirements. One should </w:t>
      </w:r>
      <w:r w:rsidRPr="00CF4D34">
        <w:t xml:space="preserve">pay attention to the risk of mismatch that would ask us to </w:t>
      </w:r>
      <w:proofErr w:type="spellStart"/>
      <w:r w:rsidRPr="00CF4D34">
        <w:t>onboard</w:t>
      </w:r>
      <w:proofErr w:type="spellEnd"/>
      <w:r w:rsidRPr="00CF4D34">
        <w:t xml:space="preserve"> to CCPs trades that were previously been submitted to the VM+IM requirements.</w:t>
      </w:r>
      <w:r w:rsidRPr="00CF4D34">
        <w:t xml:space="preserve"> </w:t>
      </w:r>
    </w:p>
    <w:bookmarkEnd w:id="24"/>
    <w:permEnd w:id="324959834"/>
    <w:p w14:paraId="396EA9A2" w14:textId="1328506E"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Titre1"/>
        <w:numPr>
          <w:ilvl w:val="0"/>
          <w:numId w:val="0"/>
        </w:numPr>
      </w:pPr>
      <w:r w:rsidRPr="0030524D">
        <w:t xml:space="preserve">Annex </w:t>
      </w:r>
      <w:fldSimple w:instr=" SEQ Annex \* ROMAN ">
        <w:r w:rsidR="00AC73A9">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lastRenderedPageBreak/>
        <w:t xml:space="preserve">Question </w:t>
      </w:r>
      <w:fldSimple w:instr=" SEQ Question \* ARABIC ">
        <w:r w:rsidR="00AC73A9">
          <w:rPr>
            <w:noProof/>
          </w:rPr>
          <w:t>9</w:t>
        </w:r>
      </w:fldSimple>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D398B" w:rsidRDefault="007D398B">
      <w:r>
        <w:separator/>
      </w:r>
    </w:p>
    <w:p w14:paraId="554A9F75" w14:textId="77777777" w:rsidR="007D398B" w:rsidRDefault="007D398B"/>
    <w:p w14:paraId="2AD44078" w14:textId="77777777" w:rsidR="007D398B" w:rsidRDefault="007D398B"/>
  </w:endnote>
  <w:endnote w:type="continuationSeparator" w:id="0">
    <w:p w14:paraId="1A319364" w14:textId="77777777" w:rsidR="007D398B" w:rsidRDefault="007D398B">
      <w:r>
        <w:continuationSeparator/>
      </w:r>
    </w:p>
    <w:p w14:paraId="7AF01FB8" w14:textId="77777777" w:rsidR="007D398B" w:rsidRDefault="007D398B"/>
    <w:p w14:paraId="68FDBF1E" w14:textId="77777777" w:rsidR="007D398B" w:rsidRDefault="007D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C84577">
            <w:rPr>
              <w:noProof/>
            </w:rPr>
            <w:t>12</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Pieddepage"/>
    </w:pPr>
    <w:r>
      <w:fldChar w:fldCharType="begin"/>
    </w:r>
    <w:r>
      <w:instrText xml:space="preserve"> DATE \@ "dddd, dd MMMM yyyy" </w:instrText>
    </w:r>
    <w:r>
      <w:fldChar w:fldCharType="separate"/>
    </w:r>
    <w:r w:rsidR="00AC73A9">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D398B" w:rsidRDefault="007D398B">
      <w:r>
        <w:separator/>
      </w:r>
    </w:p>
    <w:p w14:paraId="26494571" w14:textId="77777777" w:rsidR="007D398B" w:rsidRDefault="007D398B"/>
  </w:footnote>
  <w:footnote w:type="continuationSeparator" w:id="0">
    <w:p w14:paraId="7E7D074C" w14:textId="77777777" w:rsidR="007D398B" w:rsidRDefault="007D398B">
      <w:r>
        <w:continuationSeparator/>
      </w:r>
    </w:p>
    <w:p w14:paraId="1D8DE260" w14:textId="77777777" w:rsidR="007D398B" w:rsidRDefault="007D398B"/>
    <w:p w14:paraId="673248C6" w14:textId="77777777" w:rsidR="007D398B" w:rsidRDefault="007D398B"/>
  </w:footnote>
  <w:footnote w:id="1">
    <w:p w14:paraId="3AB5F7B5" w14:textId="3B45F9E4" w:rsidR="00511A19" w:rsidRPr="00511A19" w:rsidRDefault="00511A19">
      <w:pPr>
        <w:pStyle w:val="Notedebasdepage"/>
        <w:rPr>
          <w:lang w:val="en-US"/>
        </w:rPr>
      </w:pPr>
      <w:r>
        <w:rPr>
          <w:rStyle w:val="Appelnotedebasdep"/>
        </w:rPr>
        <w:footnoteRef/>
      </w:r>
      <w:r w:rsidRPr="00511A19">
        <w:rPr>
          <w:lang w:val="en-US"/>
        </w:rPr>
        <w:t xml:space="preserve"> This applies to UCITS and equivalent AIFs under local re</w:t>
      </w:r>
      <w:r>
        <w:rPr>
          <w:lang w:val="en-US"/>
        </w:rPr>
        <w:t>gulation as it is the case in F</w:t>
      </w:r>
      <w:r w:rsidRPr="00511A19">
        <w:rPr>
          <w:lang w:val="en-US"/>
        </w:rPr>
        <w:t xml:space="preserve">rance </w:t>
      </w:r>
      <w:r w:rsidRPr="00511A19">
        <w:rPr>
          <w:i/>
          <w:lang w:val="en-US"/>
        </w:rPr>
        <w:t xml:space="preserve">for </w:t>
      </w:r>
      <w:proofErr w:type="spellStart"/>
      <w:r w:rsidRPr="00511A19">
        <w:rPr>
          <w:i/>
          <w:lang w:val="en-US"/>
        </w:rPr>
        <w:t>Fonds</w:t>
      </w:r>
      <w:proofErr w:type="spellEnd"/>
      <w:r w:rsidRPr="00511A19">
        <w:rPr>
          <w:i/>
          <w:lang w:val="en-US"/>
        </w:rPr>
        <w:t xml:space="preserve"> </w:t>
      </w:r>
      <w:proofErr w:type="spellStart"/>
      <w:r w:rsidRPr="00511A19">
        <w:rPr>
          <w:i/>
          <w:lang w:val="en-US"/>
        </w:rPr>
        <w:t>d’Investissement</w:t>
      </w:r>
      <w:proofErr w:type="spellEnd"/>
      <w:r w:rsidRPr="00511A19">
        <w:rPr>
          <w:i/>
          <w:lang w:val="en-US"/>
        </w:rPr>
        <w:t xml:space="preserve"> à Vocation </w:t>
      </w:r>
      <w:proofErr w:type="spellStart"/>
      <w:r w:rsidRPr="00511A19">
        <w:rPr>
          <w:i/>
          <w:lang w:val="en-US"/>
        </w:rPr>
        <w:t>Générale</w:t>
      </w:r>
      <w:proofErr w:type="spellEnd"/>
      <w:r>
        <w:rPr>
          <w:lang w:val="en-US"/>
        </w:rPr>
        <w:t xml:space="preserve"> as per </w:t>
      </w:r>
      <w:r w:rsidRPr="00511A19">
        <w:rPr>
          <w:lang w:val="en-US"/>
        </w:rPr>
        <w:t xml:space="preserve">article R 214-32-26 </w:t>
      </w:r>
      <w:r>
        <w:rPr>
          <w:lang w:val="en-US"/>
        </w:rPr>
        <w:t>of</w:t>
      </w:r>
      <w:r w:rsidRPr="00511A19">
        <w:rPr>
          <w:lang w:val="en-US"/>
        </w:rPr>
        <w:t xml:space="preserve"> COMOFI</w:t>
      </w:r>
      <w:r>
        <w:rPr>
          <w:lang w:val="en-US"/>
        </w:rPr>
        <w:t>.</w:t>
      </w:r>
    </w:p>
  </w:footnote>
  <w:footnote w:id="2">
    <w:p w14:paraId="53863948" w14:textId="77777777" w:rsidR="00157A43" w:rsidRDefault="00157A43" w:rsidP="00157A43">
      <w:pPr>
        <w:pStyle w:val="Notedebasdepage"/>
        <w:rPr>
          <w:lang w:val="en-US"/>
        </w:rPr>
      </w:pPr>
      <w:r>
        <w:rPr>
          <w:rStyle w:val="Appelnotedebasdep"/>
        </w:rPr>
        <w:footnoteRef/>
      </w:r>
      <w:r w:rsidRPr="00592EF9">
        <w:rPr>
          <w:lang w:val="en-US"/>
        </w:rPr>
        <w:t xml:space="preserve"> As stated in the Letter from ESMA to the European Commission dated of 8 May 2014: </w:t>
      </w:r>
      <w:hyperlink r:id="rId1" w:history="1">
        <w:r w:rsidRPr="007E2D85">
          <w:rPr>
            <w:rStyle w:val="Lienhypertexte"/>
            <w:lang w:val="en-US"/>
          </w:rPr>
          <w:t>http://www.esma.europa.eu/system/files/2014-483_letter_to_european_commission_re_frontloading_requirement_under_emir.pdf</w:t>
        </w:r>
      </w:hyperlink>
    </w:p>
    <w:p w14:paraId="5F507192" w14:textId="77777777" w:rsidR="00157A43" w:rsidRPr="00592EF9" w:rsidRDefault="00157A43" w:rsidP="00157A43">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En-tte"/>
    </w:pPr>
    <w:r>
      <w:rPr>
        <w:noProof/>
        <w:lang w:val="fr-FR" w:eastAsia="fr-FR"/>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En-tte"/>
    </w:pPr>
    <w:r>
      <w:rPr>
        <w:noProof/>
        <w:lang w:val="fr-FR" w:eastAsia="fr-FR"/>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Pieddepage"/>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En-tte"/>
    </w:pPr>
    <w:r>
      <w:rPr>
        <w:noProof/>
        <w:lang w:val="fr-FR" w:eastAsia="fr-FR"/>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fr-FR" w:eastAsia="fr-FR"/>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Titre6"/>
      <w:lvlText w:val="%1.%2.%3.%4.%5.%6"/>
      <w:lvlJc w:val="left"/>
      <w:pPr>
        <w:ind w:left="1294" w:hanging="1152"/>
      </w:pPr>
    </w:lvl>
    <w:lvl w:ilvl="6">
      <w:start w:val="1"/>
      <w:numFmt w:val="decimal"/>
      <w:pStyle w:val="Titre7"/>
      <w:lvlText w:val="%1.%2.%3.%4.%5.%6.%7"/>
      <w:lvlJc w:val="left"/>
      <w:pPr>
        <w:ind w:left="1438" w:hanging="1296"/>
      </w:pPr>
    </w:lvl>
    <w:lvl w:ilvl="7">
      <w:start w:val="1"/>
      <w:numFmt w:val="decimal"/>
      <w:pStyle w:val="Titre8"/>
      <w:lvlText w:val="%1.%2.%3.%4.%5.%6.%7.%8"/>
      <w:lvlJc w:val="left"/>
      <w:pPr>
        <w:ind w:left="1582" w:hanging="1440"/>
      </w:pPr>
    </w:lvl>
    <w:lvl w:ilvl="8">
      <w:start w:val="1"/>
      <w:numFmt w:val="decimal"/>
      <w:pStyle w:val="Titre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pStyle w:val="Titr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8D0328"/>
    <w:multiLevelType w:val="hybridMultilevel"/>
    <w:tmpl w:val="BC188B30"/>
    <w:lvl w:ilvl="0" w:tplc="3CE0E468">
      <w:start w:val="1"/>
      <w:numFmt w:val="decimal"/>
      <w:lvlText w:val="%1."/>
      <w:lvlJc w:val="left"/>
      <w:pPr>
        <w:ind w:left="360" w:hanging="360"/>
      </w:pPr>
      <w:rPr>
        <w:rFonts w:hint="default"/>
        <w:b/>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E73D4C"/>
    <w:multiLevelType w:val="hybridMultilevel"/>
    <w:tmpl w:val="94C0131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6"/>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7"/>
  </w:num>
  <w:num w:numId="15">
    <w:abstractNumId w:val="28"/>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2"/>
  </w:num>
  <w:num w:numId="23">
    <w:abstractNumId w:val="36"/>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30"/>
  </w:num>
  <w:num w:numId="36">
    <w:abstractNumId w:val="31"/>
  </w:num>
  <w:num w:numId="37">
    <w:abstractNumId w:val="23"/>
  </w:num>
  <w:num w:numId="38">
    <w:abstractNumId w:val="37"/>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9"/>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4337">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31B3"/>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6E9"/>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89E"/>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A43"/>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244"/>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027C"/>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529"/>
    <w:rsid w:val="00422BFC"/>
    <w:rsid w:val="00422C5D"/>
    <w:rsid w:val="00424642"/>
    <w:rsid w:val="00425DAC"/>
    <w:rsid w:val="00425EC8"/>
    <w:rsid w:val="0042602C"/>
    <w:rsid w:val="00426432"/>
    <w:rsid w:val="0042717F"/>
    <w:rsid w:val="00430497"/>
    <w:rsid w:val="00431652"/>
    <w:rsid w:val="004321FC"/>
    <w:rsid w:val="00432A91"/>
    <w:rsid w:val="004335CF"/>
    <w:rsid w:val="0043383C"/>
    <w:rsid w:val="00434A74"/>
    <w:rsid w:val="00434EF8"/>
    <w:rsid w:val="00435A3F"/>
    <w:rsid w:val="00437406"/>
    <w:rsid w:val="00437703"/>
    <w:rsid w:val="00437FE6"/>
    <w:rsid w:val="004421E8"/>
    <w:rsid w:val="004443B7"/>
    <w:rsid w:val="00446EEE"/>
    <w:rsid w:val="00450689"/>
    <w:rsid w:val="0045175A"/>
    <w:rsid w:val="00451ED9"/>
    <w:rsid w:val="00452D64"/>
    <w:rsid w:val="00453073"/>
    <w:rsid w:val="00453F26"/>
    <w:rsid w:val="00454832"/>
    <w:rsid w:val="0045503F"/>
    <w:rsid w:val="00456FDB"/>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1F2"/>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5113"/>
    <w:rsid w:val="004B6678"/>
    <w:rsid w:val="004B6BB9"/>
    <w:rsid w:val="004B71C7"/>
    <w:rsid w:val="004B7356"/>
    <w:rsid w:val="004C0882"/>
    <w:rsid w:val="004C1592"/>
    <w:rsid w:val="004C2CD3"/>
    <w:rsid w:val="004C3477"/>
    <w:rsid w:val="004C35BC"/>
    <w:rsid w:val="004C66BD"/>
    <w:rsid w:val="004C6A85"/>
    <w:rsid w:val="004C6E76"/>
    <w:rsid w:val="004C72A0"/>
    <w:rsid w:val="004C75BC"/>
    <w:rsid w:val="004C7B13"/>
    <w:rsid w:val="004C7B33"/>
    <w:rsid w:val="004D0FE4"/>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1A19"/>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2FBC"/>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9FE"/>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195F"/>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0F4"/>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151"/>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1D7"/>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C73A9"/>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0B93"/>
    <w:rsid w:val="00BB14D9"/>
    <w:rsid w:val="00BB1985"/>
    <w:rsid w:val="00BB2139"/>
    <w:rsid w:val="00BB2E25"/>
    <w:rsid w:val="00BB3BBE"/>
    <w:rsid w:val="00BB3E17"/>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1B81"/>
    <w:rsid w:val="00C1202D"/>
    <w:rsid w:val="00C12417"/>
    <w:rsid w:val="00C126E3"/>
    <w:rsid w:val="00C13A29"/>
    <w:rsid w:val="00C13ED7"/>
    <w:rsid w:val="00C14B71"/>
    <w:rsid w:val="00C15333"/>
    <w:rsid w:val="00C175EF"/>
    <w:rsid w:val="00C17B7A"/>
    <w:rsid w:val="00C17E14"/>
    <w:rsid w:val="00C201D3"/>
    <w:rsid w:val="00C2094B"/>
    <w:rsid w:val="00C20D01"/>
    <w:rsid w:val="00C20E69"/>
    <w:rsid w:val="00C22105"/>
    <w:rsid w:val="00C2242C"/>
    <w:rsid w:val="00C22BF4"/>
    <w:rsid w:val="00C24A24"/>
    <w:rsid w:val="00C26CD3"/>
    <w:rsid w:val="00C274F3"/>
    <w:rsid w:val="00C27A39"/>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4577"/>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4D34"/>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1CA"/>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6FAC"/>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8776A"/>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38FF"/>
    <w:rsid w:val="00FE6D3E"/>
    <w:rsid w:val="00FE7A28"/>
    <w:rsid w:val="00FF0A74"/>
    <w:rsid w:val="00FF2067"/>
    <w:rsid w:val="00FF2740"/>
    <w:rsid w:val="00FF32D7"/>
    <w:rsid w:val="00FF39AD"/>
    <w:rsid w:val="00FF4138"/>
    <w:rsid w:val="00FF421C"/>
    <w:rsid w:val="00FF43FA"/>
    <w:rsid w:val="00FF4EED"/>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Titre1">
    <w:name w:val="heading 1"/>
    <w:basedOn w:val="Titre2"/>
    <w:next w:val="Normal"/>
    <w:link w:val="Titre1Car"/>
    <w:uiPriority w:val="9"/>
    <w:qFormat/>
    <w:rsid w:val="00AA0857"/>
    <w:pPr>
      <w:numPr>
        <w:ilvl w:val="0"/>
      </w:numPr>
      <w:outlineLvl w:val="0"/>
    </w:pPr>
  </w:style>
  <w:style w:type="paragraph" w:styleId="Titre2">
    <w:name w:val="heading 2"/>
    <w:basedOn w:val="04aNumbering"/>
    <w:next w:val="Normal"/>
    <w:link w:val="Titre2Car"/>
    <w:qFormat/>
    <w:rsid w:val="00AA0857"/>
    <w:pPr>
      <w:numPr>
        <w:ilvl w:val="1"/>
        <w:numId w:val="55"/>
      </w:numPr>
      <w:outlineLvl w:val="1"/>
    </w:pPr>
    <w:rPr>
      <w:b/>
    </w:rPr>
  </w:style>
  <w:style w:type="paragraph" w:styleId="Titre3">
    <w:name w:val="heading 3"/>
    <w:basedOn w:val="Titre2"/>
    <w:next w:val="Normal"/>
    <w:link w:val="Titre3Car"/>
    <w:qFormat/>
    <w:rsid w:val="00E03F63"/>
    <w:pPr>
      <w:numPr>
        <w:ilvl w:val="2"/>
      </w:numPr>
      <w:outlineLvl w:val="2"/>
    </w:pPr>
  </w:style>
  <w:style w:type="paragraph" w:styleId="Titre4">
    <w:name w:val="heading 4"/>
    <w:basedOn w:val="Titre3"/>
    <w:next w:val="Normal"/>
    <w:qFormat/>
    <w:rsid w:val="003F3FF4"/>
    <w:pPr>
      <w:numPr>
        <w:ilvl w:val="3"/>
      </w:numPr>
      <w:outlineLvl w:val="3"/>
    </w:pPr>
  </w:style>
  <w:style w:type="paragraph" w:styleId="Titre5">
    <w:name w:val="heading 5"/>
    <w:basedOn w:val="Titre4"/>
    <w:next w:val="Normal"/>
    <w:qFormat/>
    <w:rsid w:val="00376487"/>
    <w:pPr>
      <w:numPr>
        <w:ilvl w:val="4"/>
      </w:numPr>
      <w:outlineLvl w:val="4"/>
    </w:pPr>
  </w:style>
  <w:style w:type="paragraph" w:styleId="Titre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Titre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Titre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Titre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rodepage">
    <w:name w:val="page number"/>
    <w:basedOn w:val="Policepardfau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Notedebasdepage">
    <w:name w:val="footnote text"/>
    <w:aliases w:val="Car"/>
    <w:basedOn w:val="Normal"/>
    <w:link w:val="NotedebasdepageCar"/>
    <w:uiPriority w:val="99"/>
    <w:rsid w:val="001725A5"/>
    <w:pPr>
      <w:spacing w:line="200" w:lineRule="exact"/>
    </w:pPr>
    <w:rPr>
      <w:sz w:val="16"/>
      <w:szCs w:val="20"/>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M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xtedebulles">
    <w:name w:val="Balloon Text"/>
    <w:basedOn w:val="Normal"/>
    <w:link w:val="TextedebullesCar"/>
    <w:uiPriority w:val="99"/>
    <w:rsid w:val="0059665F"/>
    <w:rPr>
      <w:rFonts w:ascii="Tahoma" w:hAnsi="Tahoma" w:cs="Tahoma"/>
      <w:sz w:val="16"/>
      <w:szCs w:val="16"/>
    </w:rPr>
  </w:style>
  <w:style w:type="character" w:customStyle="1" w:styleId="TextedebullesCar">
    <w:name w:val="Texte de bulles Car"/>
    <w:basedOn w:val="Policepardfaut"/>
    <w:link w:val="Textedebulles"/>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Policepardfau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NotedebasdepageCar">
    <w:name w:val="Note de bas de page Car"/>
    <w:aliases w:val="Car Car"/>
    <w:link w:val="Notedebasdepage"/>
    <w:uiPriority w:val="99"/>
    <w:rsid w:val="00084648"/>
    <w:rPr>
      <w:rFonts w:ascii="Georgia" w:hAnsi="Georgia"/>
      <w:sz w:val="16"/>
      <w:lang w:eastAsia="de-DE"/>
    </w:rPr>
  </w:style>
  <w:style w:type="paragraph" w:styleId="Lgende">
    <w:name w:val="caption"/>
    <w:basedOn w:val="Normal"/>
    <w:next w:val="Normal"/>
    <w:link w:val="LgendeC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Marquedecommentaire">
    <w:name w:val="annotation reference"/>
    <w:basedOn w:val="Policepardfaut"/>
    <w:uiPriority w:val="99"/>
    <w:rsid w:val="00C61A11"/>
    <w:rPr>
      <w:sz w:val="16"/>
      <w:szCs w:val="16"/>
    </w:rPr>
  </w:style>
  <w:style w:type="paragraph" w:styleId="Commentaire">
    <w:name w:val="annotation text"/>
    <w:basedOn w:val="Normal"/>
    <w:link w:val="CommentaireCar"/>
    <w:uiPriority w:val="99"/>
    <w:rsid w:val="00C61A11"/>
    <w:rPr>
      <w:szCs w:val="20"/>
    </w:rPr>
  </w:style>
  <w:style w:type="character" w:customStyle="1" w:styleId="CommentaireCar">
    <w:name w:val="Commentaire Car"/>
    <w:basedOn w:val="Policepardfaut"/>
    <w:link w:val="Commentaire"/>
    <w:uiPriority w:val="99"/>
    <w:rsid w:val="00C61A11"/>
    <w:rPr>
      <w:rFonts w:ascii="Georgia" w:hAnsi="Georgia"/>
      <w:lang w:eastAsia="de-DE"/>
    </w:rPr>
  </w:style>
  <w:style w:type="paragraph" w:styleId="Objetducommentaire">
    <w:name w:val="annotation subject"/>
    <w:basedOn w:val="Commentaire"/>
    <w:next w:val="Commentaire"/>
    <w:link w:val="ObjetducommentaireCar"/>
    <w:uiPriority w:val="99"/>
    <w:rsid w:val="00C61A11"/>
    <w:rPr>
      <w:b/>
      <w:bCs/>
    </w:rPr>
  </w:style>
  <w:style w:type="character" w:customStyle="1" w:styleId="ObjetducommentaireCar">
    <w:name w:val="Objet du commentaire Car"/>
    <w:basedOn w:val="CommentaireCar"/>
    <w:link w:val="Objetducommentaire"/>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phedeliste"/>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phedeliste">
    <w:name w:val="List Paragraph"/>
    <w:aliases w:val="Paragraphe EI,Paragraphe de liste1,EC"/>
    <w:basedOn w:val="Normal"/>
    <w:link w:val="ParagraphedelisteC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Policepardfau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phedeliste"/>
    <w:qFormat/>
    <w:rsid w:val="00615AA7"/>
    <w:pPr>
      <w:numPr>
        <w:numId w:val="10"/>
      </w:numPr>
      <w:spacing w:before="120" w:after="120" w:line="276" w:lineRule="auto"/>
      <w:jc w:val="both"/>
    </w:pPr>
  </w:style>
  <w:style w:type="character" w:styleId="Lienhypertextesuivivisit">
    <w:name w:val="FollowedHyperlink"/>
    <w:basedOn w:val="Policepardfau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Policepardfaut"/>
    <w:rsid w:val="00DB72CA"/>
  </w:style>
  <w:style w:type="character" w:customStyle="1" w:styleId="Titre3Car">
    <w:name w:val="Titre 3 Car"/>
    <w:basedOn w:val="Policepardfaut"/>
    <w:link w:val="Titre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phedelisteCar">
    <w:name w:val="Paragraphe de liste Car"/>
    <w:aliases w:val="Paragraphe EI Car,Paragraphe de liste1 Car,EC Car"/>
    <w:link w:val="Paragraphedeliste"/>
    <w:uiPriority w:val="34"/>
    <w:rsid w:val="004D19C2"/>
    <w:rPr>
      <w:rFonts w:ascii="Georgia" w:hAnsi="Georgia"/>
      <w:sz w:val="22"/>
      <w:szCs w:val="24"/>
      <w:lang w:eastAsia="de-DE"/>
    </w:rPr>
  </w:style>
  <w:style w:type="character" w:styleId="lev">
    <w:name w:val="Strong"/>
    <w:basedOn w:val="Policepardfau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Notedefin">
    <w:name w:val="endnote text"/>
    <w:basedOn w:val="Normal"/>
    <w:link w:val="NotedefinCar"/>
    <w:rsid w:val="003A5A08"/>
    <w:rPr>
      <w:szCs w:val="20"/>
    </w:rPr>
  </w:style>
  <w:style w:type="character" w:customStyle="1" w:styleId="NotedefinCar">
    <w:name w:val="Note de fin Car"/>
    <w:basedOn w:val="Policepardfaut"/>
    <w:link w:val="Notedefin"/>
    <w:rsid w:val="003A5A08"/>
    <w:rPr>
      <w:rFonts w:ascii="Georgia" w:hAnsi="Georgia"/>
      <w:lang w:eastAsia="de-DE"/>
    </w:rPr>
  </w:style>
  <w:style w:type="character" w:styleId="Appeldenotedefin">
    <w:name w:val="endnote reference"/>
    <w:basedOn w:val="Policepardfau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Policepardfaut"/>
    <w:rsid w:val="00AB592E"/>
  </w:style>
  <w:style w:type="paragraph" w:styleId="TM3">
    <w:name w:val="toc 3"/>
    <w:basedOn w:val="Normal"/>
    <w:next w:val="Normal"/>
    <w:autoRedefine/>
    <w:uiPriority w:val="39"/>
    <w:rsid w:val="0073272F"/>
    <w:pPr>
      <w:spacing w:after="100"/>
      <w:ind w:left="440"/>
    </w:pPr>
  </w:style>
  <w:style w:type="character" w:styleId="Textedelespacerserv">
    <w:name w:val="Placeholder Text"/>
    <w:basedOn w:val="Policepardfau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Explorateurdedocuments">
    <w:name w:val="Document Map"/>
    <w:basedOn w:val="Normal"/>
    <w:link w:val="ExplorateurdedocumentsCar"/>
    <w:uiPriority w:val="99"/>
    <w:rsid w:val="00D77242"/>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rsid w:val="00D77242"/>
    <w:rPr>
      <w:rFonts w:ascii="Lucida Grande" w:hAnsi="Lucida Grande" w:cs="Lucida Grande"/>
      <w:sz w:val="24"/>
      <w:szCs w:val="24"/>
      <w:lang w:eastAsia="de-DE"/>
    </w:rPr>
  </w:style>
  <w:style w:type="paragraph" w:customStyle="1" w:styleId="ANNEX">
    <w:name w:val="ANNEX"/>
    <w:basedOn w:val="Lgende"/>
    <w:link w:val="ANNEXChar"/>
    <w:qFormat/>
    <w:rsid w:val="00E94E78"/>
    <w:pPr>
      <w:jc w:val="left"/>
    </w:pPr>
    <w:rPr>
      <w:sz w:val="28"/>
    </w:rPr>
  </w:style>
  <w:style w:type="character" w:customStyle="1" w:styleId="LgendeCar">
    <w:name w:val="Légende Car"/>
    <w:basedOn w:val="Policepardfaut"/>
    <w:link w:val="Lgende"/>
    <w:rsid w:val="00E94E78"/>
    <w:rPr>
      <w:rFonts w:ascii="Georgia" w:hAnsi="Georgia"/>
      <w:b/>
      <w:bCs/>
      <w:sz w:val="18"/>
      <w:szCs w:val="18"/>
      <w:lang w:eastAsia="de-DE"/>
    </w:rPr>
  </w:style>
  <w:style w:type="character" w:customStyle="1" w:styleId="ANNEXChar">
    <w:name w:val="ANNEX Char"/>
    <w:basedOn w:val="LgendeCar"/>
    <w:link w:val="ANNEX"/>
    <w:rsid w:val="00E94E78"/>
    <w:rPr>
      <w:rFonts w:ascii="Georgia" w:hAnsi="Georgia"/>
      <w:b/>
      <w:bCs/>
      <w:sz w:val="28"/>
      <w:szCs w:val="18"/>
      <w:lang w:eastAsia="de-DE"/>
    </w:rPr>
  </w:style>
  <w:style w:type="paragraph" w:customStyle="1" w:styleId="MyBullet1">
    <w:name w:val="MyBullet"/>
    <w:basedOn w:val="Paragraphedeliste"/>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phedelisteCar"/>
    <w:link w:val="MyBullet1"/>
    <w:rsid w:val="000D6BCE"/>
    <w:rPr>
      <w:rFonts w:ascii="Georgia" w:hAnsi="Georgia"/>
      <w:sz w:val="22"/>
      <w:szCs w:val="24"/>
      <w:lang w:eastAsia="de-DE"/>
    </w:rPr>
  </w:style>
  <w:style w:type="paragraph" w:customStyle="1" w:styleId="myBullet2">
    <w:name w:val="myBullet"/>
    <w:basedOn w:val="Paragraphedeliste"/>
    <w:link w:val="myBulletChar1"/>
    <w:qFormat/>
    <w:rsid w:val="000D6BCE"/>
    <w:pPr>
      <w:numPr>
        <w:numId w:val="23"/>
      </w:numPr>
      <w:spacing w:line="276" w:lineRule="auto"/>
    </w:pPr>
  </w:style>
  <w:style w:type="character" w:customStyle="1" w:styleId="myBulletChar1">
    <w:name w:val="myBullet Char"/>
    <w:basedOn w:val="ParagraphedelisteC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Accentuation">
    <w:name w:val="Emphasis"/>
    <w:basedOn w:val="Policepardfau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re1Car">
    <w:name w:val="Titre 1 Car"/>
    <w:link w:val="Titre1"/>
    <w:uiPriority w:val="9"/>
    <w:rsid w:val="00AA0857"/>
    <w:rPr>
      <w:rFonts w:ascii="Georgia" w:hAnsi="Georgia"/>
      <w:b/>
      <w:szCs w:val="24"/>
      <w:lang w:eastAsia="de-DE"/>
    </w:rPr>
  </w:style>
  <w:style w:type="paragraph" w:styleId="En-ttedetabledesmatires">
    <w:name w:val="TOC Heading"/>
    <w:basedOn w:val="Titre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En-tteCar">
    <w:name w:val="En-tête Car"/>
    <w:link w:val="En-tte"/>
    <w:rsid w:val="00EE5C4E"/>
    <w:rPr>
      <w:rFonts w:ascii="Georgia" w:hAnsi="Georgia"/>
      <w:sz w:val="22"/>
      <w:szCs w:val="24"/>
      <w:lang w:eastAsia="de-DE"/>
    </w:rPr>
  </w:style>
  <w:style w:type="character" w:customStyle="1" w:styleId="PieddepageCar">
    <w:name w:val="Pied de page Car"/>
    <w:link w:val="Pieddepage"/>
    <w:uiPriority w:val="99"/>
    <w:rsid w:val="00EE5C4E"/>
    <w:rPr>
      <w:rFonts w:ascii="Georgia" w:hAnsi="Georgia"/>
      <w:sz w:val="22"/>
      <w:szCs w:val="24"/>
      <w:lang w:eastAsia="de-DE"/>
    </w:rPr>
  </w:style>
  <w:style w:type="character" w:customStyle="1" w:styleId="Titre2Car">
    <w:name w:val="Titre 2 Car"/>
    <w:link w:val="Titre2"/>
    <w:rsid w:val="00AA0857"/>
    <w:rPr>
      <w:rFonts w:ascii="Georgia" w:hAnsi="Georgia"/>
      <w:b/>
      <w:szCs w:val="24"/>
      <w:lang w:eastAsia="de-DE"/>
    </w:rPr>
  </w:style>
  <w:style w:type="table" w:styleId="Grilleclaire-Accent1">
    <w:name w:val="Light Grid Accent 1"/>
    <w:basedOn w:val="Tableau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Policepardfaut"/>
    <w:link w:val="MyUnderline"/>
    <w:rsid w:val="00EE5C4E"/>
    <w:rPr>
      <w:rFonts w:ascii="Georgia" w:hAnsi="Georgia"/>
      <w:b/>
      <w:u w:val="single"/>
      <w:lang w:eastAsia="de-DE"/>
    </w:rPr>
  </w:style>
  <w:style w:type="paragraph" w:customStyle="1" w:styleId="Questions">
    <w:name w:val="Questions"/>
    <w:basedOn w:val="Lgende"/>
    <w:link w:val="QuestionsChar"/>
    <w:qFormat/>
    <w:rsid w:val="005750B3"/>
    <w:pPr>
      <w:jc w:val="both"/>
    </w:pPr>
  </w:style>
  <w:style w:type="character" w:customStyle="1" w:styleId="QuestionsChar">
    <w:name w:val="Questions Char"/>
    <w:basedOn w:val="LgendeCar"/>
    <w:link w:val="Questions"/>
    <w:rsid w:val="005750B3"/>
    <w:rPr>
      <w:rFonts w:ascii="Georgia" w:hAnsi="Georgia"/>
      <w:b/>
      <w:bCs/>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Titre1">
    <w:name w:val="heading 1"/>
    <w:basedOn w:val="Titre2"/>
    <w:next w:val="Normal"/>
    <w:link w:val="Titre1Car"/>
    <w:uiPriority w:val="9"/>
    <w:qFormat/>
    <w:rsid w:val="00AA0857"/>
    <w:pPr>
      <w:numPr>
        <w:ilvl w:val="0"/>
      </w:numPr>
      <w:outlineLvl w:val="0"/>
    </w:pPr>
  </w:style>
  <w:style w:type="paragraph" w:styleId="Titre2">
    <w:name w:val="heading 2"/>
    <w:basedOn w:val="04aNumbering"/>
    <w:next w:val="Normal"/>
    <w:link w:val="Titre2Car"/>
    <w:qFormat/>
    <w:rsid w:val="00AA0857"/>
    <w:pPr>
      <w:numPr>
        <w:ilvl w:val="1"/>
        <w:numId w:val="55"/>
      </w:numPr>
      <w:outlineLvl w:val="1"/>
    </w:pPr>
    <w:rPr>
      <w:b/>
    </w:rPr>
  </w:style>
  <w:style w:type="paragraph" w:styleId="Titre3">
    <w:name w:val="heading 3"/>
    <w:basedOn w:val="Titre2"/>
    <w:next w:val="Normal"/>
    <w:link w:val="Titre3Car"/>
    <w:qFormat/>
    <w:rsid w:val="00E03F63"/>
    <w:pPr>
      <w:numPr>
        <w:ilvl w:val="2"/>
      </w:numPr>
      <w:outlineLvl w:val="2"/>
    </w:pPr>
  </w:style>
  <w:style w:type="paragraph" w:styleId="Titre4">
    <w:name w:val="heading 4"/>
    <w:basedOn w:val="Titre3"/>
    <w:next w:val="Normal"/>
    <w:qFormat/>
    <w:rsid w:val="003F3FF4"/>
    <w:pPr>
      <w:numPr>
        <w:ilvl w:val="3"/>
      </w:numPr>
      <w:outlineLvl w:val="3"/>
    </w:pPr>
  </w:style>
  <w:style w:type="paragraph" w:styleId="Titre5">
    <w:name w:val="heading 5"/>
    <w:basedOn w:val="Titre4"/>
    <w:next w:val="Normal"/>
    <w:qFormat/>
    <w:rsid w:val="00376487"/>
    <w:pPr>
      <w:numPr>
        <w:ilvl w:val="4"/>
      </w:numPr>
      <w:outlineLvl w:val="4"/>
    </w:pPr>
  </w:style>
  <w:style w:type="paragraph" w:styleId="Titre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Titre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Titre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Titre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Numrodepage">
    <w:name w:val="page number"/>
    <w:basedOn w:val="Policepardfau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Notedebasdepage">
    <w:name w:val="footnote text"/>
    <w:aliases w:val="Car"/>
    <w:basedOn w:val="Normal"/>
    <w:link w:val="NotedebasdepageCar"/>
    <w:uiPriority w:val="99"/>
    <w:rsid w:val="001725A5"/>
    <w:pPr>
      <w:spacing w:line="200" w:lineRule="exact"/>
    </w:pPr>
    <w:rPr>
      <w:sz w:val="16"/>
      <w:szCs w:val="20"/>
    </w:rPr>
  </w:style>
  <w:style w:type="character" w:styleId="Appelnotedebasdep">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M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Textedebulles">
    <w:name w:val="Balloon Text"/>
    <w:basedOn w:val="Normal"/>
    <w:link w:val="TextedebullesCar"/>
    <w:uiPriority w:val="99"/>
    <w:rsid w:val="0059665F"/>
    <w:rPr>
      <w:rFonts w:ascii="Tahoma" w:hAnsi="Tahoma" w:cs="Tahoma"/>
      <w:sz w:val="16"/>
      <w:szCs w:val="16"/>
    </w:rPr>
  </w:style>
  <w:style w:type="character" w:customStyle="1" w:styleId="TextedebullesCar">
    <w:name w:val="Texte de bulles Car"/>
    <w:basedOn w:val="Policepardfaut"/>
    <w:link w:val="Textedebulles"/>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Policepardfau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NotedebasdepageCar">
    <w:name w:val="Note de bas de page Car"/>
    <w:aliases w:val="Car Car"/>
    <w:link w:val="Notedebasdepage"/>
    <w:uiPriority w:val="99"/>
    <w:rsid w:val="00084648"/>
    <w:rPr>
      <w:rFonts w:ascii="Georgia" w:hAnsi="Georgia"/>
      <w:sz w:val="16"/>
      <w:lang w:eastAsia="de-DE"/>
    </w:rPr>
  </w:style>
  <w:style w:type="paragraph" w:styleId="Lgende">
    <w:name w:val="caption"/>
    <w:basedOn w:val="Normal"/>
    <w:next w:val="Normal"/>
    <w:link w:val="LgendeC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Marquedecommentaire">
    <w:name w:val="annotation reference"/>
    <w:basedOn w:val="Policepardfaut"/>
    <w:uiPriority w:val="99"/>
    <w:rsid w:val="00C61A11"/>
    <w:rPr>
      <w:sz w:val="16"/>
      <w:szCs w:val="16"/>
    </w:rPr>
  </w:style>
  <w:style w:type="paragraph" w:styleId="Commentaire">
    <w:name w:val="annotation text"/>
    <w:basedOn w:val="Normal"/>
    <w:link w:val="CommentaireCar"/>
    <w:uiPriority w:val="99"/>
    <w:rsid w:val="00C61A11"/>
    <w:rPr>
      <w:szCs w:val="20"/>
    </w:rPr>
  </w:style>
  <w:style w:type="character" w:customStyle="1" w:styleId="CommentaireCar">
    <w:name w:val="Commentaire Car"/>
    <w:basedOn w:val="Policepardfaut"/>
    <w:link w:val="Commentaire"/>
    <w:uiPriority w:val="99"/>
    <w:rsid w:val="00C61A11"/>
    <w:rPr>
      <w:rFonts w:ascii="Georgia" w:hAnsi="Georgia"/>
      <w:lang w:eastAsia="de-DE"/>
    </w:rPr>
  </w:style>
  <w:style w:type="paragraph" w:styleId="Objetducommentaire">
    <w:name w:val="annotation subject"/>
    <w:basedOn w:val="Commentaire"/>
    <w:next w:val="Commentaire"/>
    <w:link w:val="ObjetducommentaireCar"/>
    <w:uiPriority w:val="99"/>
    <w:rsid w:val="00C61A11"/>
    <w:rPr>
      <w:b/>
      <w:bCs/>
    </w:rPr>
  </w:style>
  <w:style w:type="character" w:customStyle="1" w:styleId="ObjetducommentaireCar">
    <w:name w:val="Objet du commentaire Car"/>
    <w:basedOn w:val="CommentaireCar"/>
    <w:link w:val="Objetducommentaire"/>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Paragraphedeliste"/>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Paragraphedeliste">
    <w:name w:val="List Paragraph"/>
    <w:aliases w:val="Paragraphe EI,Paragraphe de liste1,EC"/>
    <w:basedOn w:val="Normal"/>
    <w:link w:val="ParagraphedelisteC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Policepardfau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Paragraphedeliste"/>
    <w:qFormat/>
    <w:rsid w:val="00615AA7"/>
    <w:pPr>
      <w:numPr>
        <w:numId w:val="10"/>
      </w:numPr>
      <w:spacing w:before="120" w:after="120" w:line="276" w:lineRule="auto"/>
      <w:jc w:val="both"/>
    </w:pPr>
  </w:style>
  <w:style w:type="character" w:styleId="Lienhypertextesuivivisit">
    <w:name w:val="FollowedHyperlink"/>
    <w:basedOn w:val="Policepardfau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Policepardfaut"/>
    <w:rsid w:val="00DB72CA"/>
  </w:style>
  <w:style w:type="character" w:customStyle="1" w:styleId="Titre3Car">
    <w:name w:val="Titre 3 Car"/>
    <w:basedOn w:val="Policepardfaut"/>
    <w:link w:val="Titre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ParagraphedelisteCar">
    <w:name w:val="Paragraphe de liste Car"/>
    <w:aliases w:val="Paragraphe EI Car,Paragraphe de liste1 Car,EC Car"/>
    <w:link w:val="Paragraphedeliste"/>
    <w:uiPriority w:val="34"/>
    <w:rsid w:val="004D19C2"/>
    <w:rPr>
      <w:rFonts w:ascii="Georgia" w:hAnsi="Georgia"/>
      <w:sz w:val="22"/>
      <w:szCs w:val="24"/>
      <w:lang w:eastAsia="de-DE"/>
    </w:rPr>
  </w:style>
  <w:style w:type="character" w:styleId="lev">
    <w:name w:val="Strong"/>
    <w:basedOn w:val="Policepardfau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Notedefin">
    <w:name w:val="endnote text"/>
    <w:basedOn w:val="Normal"/>
    <w:link w:val="NotedefinCar"/>
    <w:rsid w:val="003A5A08"/>
    <w:rPr>
      <w:szCs w:val="20"/>
    </w:rPr>
  </w:style>
  <w:style w:type="character" w:customStyle="1" w:styleId="NotedefinCar">
    <w:name w:val="Note de fin Car"/>
    <w:basedOn w:val="Policepardfaut"/>
    <w:link w:val="Notedefin"/>
    <w:rsid w:val="003A5A08"/>
    <w:rPr>
      <w:rFonts w:ascii="Georgia" w:hAnsi="Georgia"/>
      <w:lang w:eastAsia="de-DE"/>
    </w:rPr>
  </w:style>
  <w:style w:type="character" w:styleId="Appeldenotedefin">
    <w:name w:val="endnote reference"/>
    <w:basedOn w:val="Policepardfau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Policepardfaut"/>
    <w:rsid w:val="00AB592E"/>
  </w:style>
  <w:style w:type="paragraph" w:styleId="TM3">
    <w:name w:val="toc 3"/>
    <w:basedOn w:val="Normal"/>
    <w:next w:val="Normal"/>
    <w:autoRedefine/>
    <w:uiPriority w:val="39"/>
    <w:rsid w:val="0073272F"/>
    <w:pPr>
      <w:spacing w:after="100"/>
      <w:ind w:left="440"/>
    </w:pPr>
  </w:style>
  <w:style w:type="character" w:styleId="Textedelespacerserv">
    <w:name w:val="Placeholder Text"/>
    <w:basedOn w:val="Policepardfau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Explorateurdedocuments">
    <w:name w:val="Document Map"/>
    <w:basedOn w:val="Normal"/>
    <w:link w:val="ExplorateurdedocumentsCar"/>
    <w:uiPriority w:val="99"/>
    <w:rsid w:val="00D77242"/>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rsid w:val="00D77242"/>
    <w:rPr>
      <w:rFonts w:ascii="Lucida Grande" w:hAnsi="Lucida Grande" w:cs="Lucida Grande"/>
      <w:sz w:val="24"/>
      <w:szCs w:val="24"/>
      <w:lang w:eastAsia="de-DE"/>
    </w:rPr>
  </w:style>
  <w:style w:type="paragraph" w:customStyle="1" w:styleId="ANNEX">
    <w:name w:val="ANNEX"/>
    <w:basedOn w:val="Lgende"/>
    <w:link w:val="ANNEXChar"/>
    <w:qFormat/>
    <w:rsid w:val="00E94E78"/>
    <w:pPr>
      <w:jc w:val="left"/>
    </w:pPr>
    <w:rPr>
      <w:sz w:val="28"/>
    </w:rPr>
  </w:style>
  <w:style w:type="character" w:customStyle="1" w:styleId="LgendeCar">
    <w:name w:val="Légende Car"/>
    <w:basedOn w:val="Policepardfaut"/>
    <w:link w:val="Lgende"/>
    <w:rsid w:val="00E94E78"/>
    <w:rPr>
      <w:rFonts w:ascii="Georgia" w:hAnsi="Georgia"/>
      <w:b/>
      <w:bCs/>
      <w:sz w:val="18"/>
      <w:szCs w:val="18"/>
      <w:lang w:eastAsia="de-DE"/>
    </w:rPr>
  </w:style>
  <w:style w:type="character" w:customStyle="1" w:styleId="ANNEXChar">
    <w:name w:val="ANNEX Char"/>
    <w:basedOn w:val="LgendeCar"/>
    <w:link w:val="ANNEX"/>
    <w:rsid w:val="00E94E78"/>
    <w:rPr>
      <w:rFonts w:ascii="Georgia" w:hAnsi="Georgia"/>
      <w:b/>
      <w:bCs/>
      <w:sz w:val="28"/>
      <w:szCs w:val="18"/>
      <w:lang w:eastAsia="de-DE"/>
    </w:rPr>
  </w:style>
  <w:style w:type="paragraph" w:customStyle="1" w:styleId="MyBullet1">
    <w:name w:val="MyBullet"/>
    <w:basedOn w:val="Paragraphedeliste"/>
    <w:link w:val="MyBulletChar0"/>
    <w:qFormat/>
    <w:rsid w:val="000D6BCE"/>
    <w:pPr>
      <w:numPr>
        <w:numId w:val="22"/>
      </w:numPr>
      <w:spacing w:before="240" w:line="276" w:lineRule="auto"/>
      <w:ind w:left="1134" w:hanging="425"/>
      <w:jc w:val="both"/>
    </w:pPr>
  </w:style>
  <w:style w:type="character" w:customStyle="1" w:styleId="MyBulletChar0">
    <w:name w:val="MyBullet Char"/>
    <w:basedOn w:val="ParagraphedelisteCar"/>
    <w:link w:val="MyBullet1"/>
    <w:rsid w:val="000D6BCE"/>
    <w:rPr>
      <w:rFonts w:ascii="Georgia" w:hAnsi="Georgia"/>
      <w:sz w:val="22"/>
      <w:szCs w:val="24"/>
      <w:lang w:eastAsia="de-DE"/>
    </w:rPr>
  </w:style>
  <w:style w:type="paragraph" w:customStyle="1" w:styleId="myBullet2">
    <w:name w:val="myBullet"/>
    <w:basedOn w:val="Paragraphedeliste"/>
    <w:link w:val="myBulletChar1"/>
    <w:qFormat/>
    <w:rsid w:val="000D6BCE"/>
    <w:pPr>
      <w:numPr>
        <w:numId w:val="23"/>
      </w:numPr>
      <w:spacing w:line="276" w:lineRule="auto"/>
    </w:pPr>
  </w:style>
  <w:style w:type="character" w:customStyle="1" w:styleId="myBulletChar1">
    <w:name w:val="myBullet Char"/>
    <w:basedOn w:val="ParagraphedelisteC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Accentuation">
    <w:name w:val="Emphasis"/>
    <w:basedOn w:val="Policepardfau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Titre1Car">
    <w:name w:val="Titre 1 Car"/>
    <w:link w:val="Titre1"/>
    <w:uiPriority w:val="9"/>
    <w:rsid w:val="00AA0857"/>
    <w:rPr>
      <w:rFonts w:ascii="Georgia" w:hAnsi="Georgia"/>
      <w:b/>
      <w:szCs w:val="24"/>
      <w:lang w:eastAsia="de-DE"/>
    </w:rPr>
  </w:style>
  <w:style w:type="paragraph" w:styleId="En-ttedetabledesmatires">
    <w:name w:val="TOC Heading"/>
    <w:basedOn w:val="Titre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En-tteCar">
    <w:name w:val="En-tête Car"/>
    <w:link w:val="En-tte"/>
    <w:rsid w:val="00EE5C4E"/>
    <w:rPr>
      <w:rFonts w:ascii="Georgia" w:hAnsi="Georgia"/>
      <w:sz w:val="22"/>
      <w:szCs w:val="24"/>
      <w:lang w:eastAsia="de-DE"/>
    </w:rPr>
  </w:style>
  <w:style w:type="character" w:customStyle="1" w:styleId="PieddepageCar">
    <w:name w:val="Pied de page Car"/>
    <w:link w:val="Pieddepage"/>
    <w:uiPriority w:val="99"/>
    <w:rsid w:val="00EE5C4E"/>
    <w:rPr>
      <w:rFonts w:ascii="Georgia" w:hAnsi="Georgia"/>
      <w:sz w:val="22"/>
      <w:szCs w:val="24"/>
      <w:lang w:eastAsia="de-DE"/>
    </w:rPr>
  </w:style>
  <w:style w:type="character" w:customStyle="1" w:styleId="Titre2Car">
    <w:name w:val="Titre 2 Car"/>
    <w:link w:val="Titre2"/>
    <w:rsid w:val="00AA0857"/>
    <w:rPr>
      <w:rFonts w:ascii="Georgia" w:hAnsi="Georgia"/>
      <w:b/>
      <w:szCs w:val="24"/>
      <w:lang w:eastAsia="de-DE"/>
    </w:rPr>
  </w:style>
  <w:style w:type="table" w:styleId="Grilleclaire-Accent1">
    <w:name w:val="Light Grid Accent 1"/>
    <w:basedOn w:val="Tableau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1">
    <w:name w:val="Light List Accent 1"/>
    <w:basedOn w:val="Tableau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1-Accent1">
    <w:name w:val="Medium Shading 1 Accent 1"/>
    <w:basedOn w:val="Tableau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Policepardfaut"/>
    <w:link w:val="MyUnderline"/>
    <w:rsid w:val="00EE5C4E"/>
    <w:rPr>
      <w:rFonts w:ascii="Georgia" w:hAnsi="Georgia"/>
      <w:b/>
      <w:u w:val="single"/>
      <w:lang w:eastAsia="de-DE"/>
    </w:rPr>
  </w:style>
  <w:style w:type="paragraph" w:customStyle="1" w:styleId="Questions">
    <w:name w:val="Questions"/>
    <w:basedOn w:val="Lgende"/>
    <w:link w:val="QuestionsChar"/>
    <w:qFormat/>
    <w:rsid w:val="005750B3"/>
    <w:pPr>
      <w:jc w:val="both"/>
    </w:pPr>
  </w:style>
  <w:style w:type="character" w:customStyle="1" w:styleId="QuestionsChar">
    <w:name w:val="Questions Char"/>
    <w:basedOn w:val="LgendeC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1971740752">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osco.org/library/pubdocs/pdf/IOSCOPD4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ma.europa.eu/system/files/2014-483_letter_to_european_commission_re_frontloading_requirement_under_em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Textedelespacerserv"/>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Textedelespacerserv"/>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E587-DC84-411D-9C35-E88915FB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99</TotalTime>
  <Pages>13</Pages>
  <Words>4211</Words>
  <Characters>23100</Characters>
  <Application>Microsoft Office Word</Application>
  <DocSecurity>8</DocSecurity>
  <Lines>192</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20110000</vt:lpstr>
      <vt:lpstr>20110000</vt:lpstr>
      <vt:lpstr>20110000</vt:lpstr>
    </vt:vector>
  </TitlesOfParts>
  <Company>Oxalide</Company>
  <LinksUpToDate>false</LinksUpToDate>
  <CharactersWithSpaces>27257</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GURAU AUDIBERT Adina</cp:lastModifiedBy>
  <cp:revision>9</cp:revision>
  <cp:lastPrinted>2014-09-18T10:07:00Z</cp:lastPrinted>
  <dcterms:created xsi:type="dcterms:W3CDTF">2014-09-17T15:39:00Z</dcterms:created>
  <dcterms:modified xsi:type="dcterms:W3CDTF">2014-09-18T11:14:00Z</dcterms:modified>
</cp:coreProperties>
</file>