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60415945" w:rsidR="009403B0" w:rsidRDefault="00F34F9B" w:rsidP="00E62FA2">
            <w:permStart w:id="2105415120" w:edGrp="everyone"/>
            <w:r>
              <w:t>Norges Bank Investment Management</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0DC6ECCB" w:rsidR="00E62FA2" w:rsidRDefault="00767A8B"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3F7F19">
                  <w:t>No</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28040DE8" w:rsidR="00E62FA2" w:rsidRDefault="00767A8B"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E8F5A42" w:rsidR="00E62FA2" w:rsidRDefault="003F7F19" w:rsidP="00E62FA2">
                <w:r>
                  <w:t>Norway</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bookmarkStart w:id="1" w:name="_GoBack"/>
      <w:bookmarkEnd w:id="1"/>
      <w:r>
        <w:br w:type="page"/>
      </w:r>
      <w:bookmarkStart w:id="2" w:name="_Toc392599420"/>
      <w:r w:rsidR="00940A63" w:rsidRPr="004C2CD3">
        <w:lastRenderedPageBreak/>
        <w:t>Introduction</w:t>
      </w:r>
      <w:bookmarkEnd w:id="2"/>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1DCD2355" w14:textId="485EE710" w:rsidR="003F7F19" w:rsidRDefault="003F7F19" w:rsidP="003F7F19">
      <w:permStart w:id="539376010" w:edGrp="everyone"/>
      <w:r>
        <w:t>As a global investor in financial markets we are concerned about systemic risk in the financial system. In our view, an important aspect of financial market regulation is the mitigation of systemic risk and its contributing factors.  One such factor is counterparty risk.  We support ESMA’s efforts to regulate these markets and the trading of OTC derivatives. We intend to mitigate our exposure to counterparty risk further by clearing our interest rate derivatives through central clearing on a voluntary basis.  Accordingly, we are interested in contributing our views regarding ESMA’s consultation.</w:t>
      </w:r>
      <w:r>
        <w:br/>
      </w:r>
    </w:p>
    <w:p w14:paraId="61D14207" w14:textId="563C5BC5" w:rsidR="003F7F19" w:rsidRDefault="003F7F19" w:rsidP="003F7F19">
      <w:r>
        <w:t>Our detailed responses to the Consultation Paper questions are set out below. In addition, we would like to make the following overall comments:</w:t>
      </w:r>
      <w:r>
        <w:br/>
      </w:r>
    </w:p>
    <w:p w14:paraId="33DEF1B1" w14:textId="433841CE" w:rsidR="003F7F19" w:rsidRDefault="003F7F19" w:rsidP="003F7F19">
      <w:r>
        <w:t>•</w:t>
      </w:r>
      <w:r>
        <w:tab/>
        <w:t xml:space="preserve">We support the objective of reducing systemic risk through central clearing of certain OTC derivatives. Central clearing of OTC derivatives can reduce complexity in financial markets, reduce counterparty risk between institutions, and increase transparency, each of which reduces systemic risk in the financial system. For this reason, we agree with the majority of the proposals set out in the Consultation Paper and the overall developments therein. </w:t>
      </w:r>
    </w:p>
    <w:p w14:paraId="0AEAE367" w14:textId="77777777" w:rsidR="003F7F19" w:rsidRDefault="003F7F19" w:rsidP="003F7F19"/>
    <w:p w14:paraId="7022A08F" w14:textId="77777777" w:rsidR="003F7F19" w:rsidRDefault="003F7F19" w:rsidP="003F7F19">
      <w:r>
        <w:t>•</w:t>
      </w:r>
      <w:r>
        <w:tab/>
        <w:t xml:space="preserve">We believe that regulation of financial markets should be targeted and harmonized across jurisdictions, to the extent feasible. We believe adequate regulation requires monitoring and enforcement, yet exemption should be granted where the regulation is ineffective, creates inefficiencies, or unwanted costs. We therefore support ESMA’s proposal that derivatives related to covered bonds are exempted from the clearing obligation.  However, the suggested conditions for the exemption of derivatives related to covered bonds seem unnecessarily complex. We recommend you consider how these conditions can be simplified, reduced or eliminated. </w:t>
      </w:r>
    </w:p>
    <w:p w14:paraId="7B768C5A" w14:textId="77777777" w:rsidR="003F7F19" w:rsidRDefault="003F7F19" w:rsidP="003F7F19"/>
    <w:p w14:paraId="13E29E2C" w14:textId="645004B0" w:rsidR="008203F7" w:rsidRDefault="003F7F19" w:rsidP="003F7F19">
      <w:r>
        <w:t>•</w:t>
      </w:r>
      <w:r>
        <w:tab/>
        <w:t>A consequence of the proposed regulation is that clearing houses become increasingly important in the financial market infrastructure and, as a result, may themselves pose a systemic risk. To mitigate systemic risk related to the</w:t>
      </w:r>
      <w:r w:rsidR="00D12F6F">
        <w:t>se institutions, we believe that</w:t>
      </w:r>
      <w:r>
        <w:t xml:space="preserve"> regulation, supervision and monitoring of clearing houses will be required to avoid some of the disadvantages of central clearing of OTC derivatives. We think particular emphasis needs to be put on collateral requirements, as collateral is a critical component in determining the creditworthiness of a clearing house.</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3" w:name="_Toc392599421"/>
      <w:r>
        <w:tab/>
      </w:r>
      <w:r w:rsidR="00940A63" w:rsidRPr="006D44AF">
        <w:t>The clearing obligation procedure</w:t>
      </w:r>
      <w:bookmarkStart w:id="4" w:name="_Toc391309264"/>
      <w:bookmarkStart w:id="5" w:name="_Toc391312004"/>
      <w:bookmarkStart w:id="6" w:name="_Toc391309265"/>
      <w:bookmarkStart w:id="7" w:name="_Toc391312005"/>
      <w:bookmarkEnd w:id="3"/>
      <w:bookmarkEnd w:id="4"/>
      <w:bookmarkEnd w:id="5"/>
      <w:bookmarkEnd w:id="6"/>
      <w:bookmarkEnd w:id="7"/>
    </w:p>
    <w:p w14:paraId="715188EC" w14:textId="77777777" w:rsidR="00940A63" w:rsidRDefault="00940A63" w:rsidP="00940A63"/>
    <w:p w14:paraId="5FFEB620" w14:textId="51C8E895"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1</w:t>
      </w:r>
      <w:r w:rsidR="00767A8B">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DB47E80" w14:textId="75FE4AFF" w:rsidR="00940A63" w:rsidRDefault="003F7F19" w:rsidP="00940A63">
      <w:permStart w:id="620704481" w:edGrp="everyone"/>
      <w:r w:rsidRPr="00C2317B">
        <w:t>We agree with the procedure described in paragraphs 9 to 14. ESMA’s aim of combining the analysis of the notified classes of OTC derivatives in a minimal set of consultation papers and grouping them per asset-class will be much more efficient than running numerous consultations in parallel. The clearing obligation should focus on those asset classes which are already being cleared by at least two CCPs in sufficient volume (i.e. IRS), which corresponds with ESMA’s approach set out in Table I. IRS (and certain types of index CDS) appear to be better suited for the introduction of a clearing obligation than other types of OTC derivatives. We also believe that the imposition of a clearing obligation should only take place when there is certainty as to the capacity and capability of the relevant CCPs to handle expected volumes and effectively manage default and resolution scenarios.</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8" w:name="_Toc389496892"/>
      <w:bookmarkStart w:id="9" w:name="_Toc392599422"/>
      <w:r>
        <w:lastRenderedPageBreak/>
        <w:tab/>
      </w:r>
      <w:r w:rsidR="00940A63">
        <w:t>Structure of the interest rate derivatives classes</w:t>
      </w:r>
      <w:bookmarkEnd w:id="8"/>
      <w:bookmarkEnd w:id="9"/>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2</w:t>
      </w:r>
      <w:r w:rsidR="00767A8B">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643D1AB8" w14:textId="6B3BA907" w:rsidR="003F7F19" w:rsidRPr="00C2317B" w:rsidRDefault="003F7F19" w:rsidP="003F7F19">
      <w:permStart w:id="1341094284" w:edGrp="everyone"/>
      <w:r w:rsidRPr="00C2317B">
        <w:t>Yes, we think that the main characteristics are adequately captured by the proposed structure. We think it is important that market participants have certainty on the exact scope of the clearing obligation, so their determination in respect of the application of the clearing obligation to an individual transaction should be facilitated by reference to a list of clearable instruments to be published and maintained by ESMA in the public register. See also our response to Q4.</w:t>
      </w:r>
      <w:r>
        <w:br/>
      </w:r>
    </w:p>
    <w:p w14:paraId="6BC97D0A" w14:textId="1736F29E" w:rsidR="00940A63" w:rsidRDefault="003F7F19" w:rsidP="003F7F19">
      <w:r w:rsidRPr="00C2317B">
        <w:t xml:space="preserve">We believe that ESMA’s proposal for OTC derivative classes is similar to that used in other jurisdictions, allowing international convergence, which we </w:t>
      </w:r>
      <w:r>
        <w:t>consider a</w:t>
      </w:r>
      <w:r w:rsidRPr="00C2317B">
        <w:t xml:space="preserve"> positive for the market.</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3</w:t>
      </w:r>
      <w:r w:rsidR="00767A8B">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7DD75493" w14:textId="7E6387DD" w:rsidR="00940A63" w:rsidRDefault="003F7F19" w:rsidP="00940A63">
      <w:permStart w:id="969111728" w:edGrp="everyone"/>
      <w:r w:rsidRPr="00E17AF5">
        <w:rPr>
          <w:iCs/>
        </w:rPr>
        <w:t>We support the initiative to centrally clear interest rate swaps, and believe most swaps should be subject to the clearing obligation. However, we agree with ESMA that derivatives related to covered bonds should be exempted from the clearing obligation. T</w:t>
      </w:r>
      <w:r>
        <w:rPr>
          <w:iCs/>
        </w:rPr>
        <w:t xml:space="preserve">here are several reasons; e.g. </w:t>
      </w:r>
      <w:r w:rsidRPr="00E17AF5">
        <w:rPr>
          <w:iCs/>
        </w:rPr>
        <w:t xml:space="preserve">many derivative contracts related to covered bonds </w:t>
      </w:r>
      <w:r>
        <w:rPr>
          <w:iCs/>
        </w:rPr>
        <w:t xml:space="preserve">will not </w:t>
      </w:r>
      <w:r w:rsidRPr="00E17AF5">
        <w:rPr>
          <w:iCs/>
        </w:rPr>
        <w:t xml:space="preserve">be standard and hence not clearable. In addition, some covered bond programmes in certain jurisdictions structured as single-purpose vehicles would not be subject to the clearing obligation, </w:t>
      </w:r>
      <w:r>
        <w:rPr>
          <w:iCs/>
        </w:rPr>
        <w:t xml:space="preserve">preventing a level </w:t>
      </w:r>
      <w:r w:rsidRPr="00E17AF5">
        <w:rPr>
          <w:iCs/>
        </w:rPr>
        <w:t xml:space="preserve">playing field. Overall, we think that the interest rate derivatives related to the covered bond market would be fairly small and would not represent a systemic risk. On the other hand, the covered bond market is large, and specifically designed to protect the market in a financial crisis. Covered bond programmes already have strict requirements set by regulators and rating agencies for the use of interest rate derivatives to only be used for hedging purposes, as well as other requirements. </w:t>
      </w:r>
      <w:r w:rsidR="00A5029C">
        <w:rPr>
          <w:iCs/>
        </w:rPr>
        <w:br/>
      </w:r>
      <w:r w:rsidR="00A5029C">
        <w:rPr>
          <w:iCs/>
        </w:rPr>
        <w:br/>
      </w:r>
      <w:r w:rsidRPr="00E17AF5">
        <w:rPr>
          <w:iCs/>
        </w:rPr>
        <w:t xml:space="preserve">We also think that it is advisable to limit uncertainty and complexity relating to the </w:t>
      </w:r>
      <w:r w:rsidR="00A5029C">
        <w:rPr>
          <w:iCs/>
        </w:rPr>
        <w:t xml:space="preserve">conditions for </w:t>
      </w:r>
      <w:r w:rsidRPr="00E17AF5">
        <w:rPr>
          <w:iCs/>
        </w:rPr>
        <w:t>clearing obligation exemption for deri</w:t>
      </w:r>
      <w:r w:rsidR="00A5029C">
        <w:rPr>
          <w:iCs/>
        </w:rPr>
        <w:t>vatives linked to covered bonds</w:t>
      </w:r>
      <w:r w:rsidR="00754CBA" w:rsidRPr="00754CBA">
        <w:rPr>
          <w:iCs/>
        </w:rPr>
        <w:t>.</w:t>
      </w:r>
      <w:r w:rsidR="00754CBA">
        <w:rPr>
          <w:iCs/>
        </w:rPr>
        <w:t xml:space="preserve"> </w:t>
      </w:r>
      <w:r w:rsidRPr="00754CBA">
        <w:rPr>
          <w:iCs/>
        </w:rPr>
        <w:t>We recommend</w:t>
      </w:r>
      <w:r>
        <w:t xml:space="preserve"> you consider how these conditions can be simplified, reduced or eliminated</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10" w:name="_Ref392590661"/>
      <w:r>
        <w:t>Public Register</w:t>
      </w:r>
      <w:bookmarkEnd w:id="10"/>
    </w:p>
    <w:p w14:paraId="2D214882" w14:textId="77777777"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4</w:t>
      </w:r>
      <w:r w:rsidR="00767A8B">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1F1AD927" w14:textId="77777777" w:rsidR="003F7F19" w:rsidRPr="00C2317B" w:rsidRDefault="003F7F19" w:rsidP="003F7F19">
      <w:pPr>
        <w:keepNext/>
        <w:keepLines/>
      </w:pPr>
      <w:permStart w:id="884684147" w:edGrp="everyone"/>
      <w:r w:rsidRPr="00C2317B">
        <w:lastRenderedPageBreak/>
        <w:t xml:space="preserve">The proposed approach, based on the categorisation of asset-classes in the RTS combined with further, more detailed specifications to be applied on the level of the public register seems to strike the right balance </w:t>
      </w:r>
      <w:r>
        <w:t>enabling</w:t>
      </w:r>
      <w:r w:rsidRPr="00C2317B">
        <w:t xml:space="preserve"> market participants to identify what is in and out of scope of the clearing obligation. It must be ensured, however, that this set-up provides for the necessary level of legal certainty and flexibility. Market participants need a sufficient amount of time between the modification of the register (i.e. the addition or removal of a Class+ or a subset) and the date of application of a revised clearing obligation in order to be able to prepare for these changes. The phase-in should be longer for significant changes, such as arranging a clearing set-up with a new CCP. The procedure for updating the public register should be clearly defined. If ESMA makes any changes to the register then it should explain what these changes are and make a mark-up against the previous list of clearable instruments available on its website. </w:t>
      </w:r>
    </w:p>
    <w:p w14:paraId="49486CE5" w14:textId="79EE0AA6" w:rsidR="00940A63" w:rsidRDefault="003F7F19" w:rsidP="003F7F19">
      <w:r>
        <w:br/>
      </w:r>
      <w:r w:rsidRPr="00C2317B">
        <w:t xml:space="preserve">We support the view that any clearing obligation for which the scope is co-determined by the public register should only come into force when ESMA has robust operational processes and infrastructure in place to ensure the register is updated on a timely basis. If the removal or suspension of a clearing obligation requires ESMA to go through the issuance of modified RTS then this may cause timing constraints. We therefore support ESMA’s suggestion to further discuss </w:t>
      </w:r>
      <w:r>
        <w:t xml:space="preserve">this </w:t>
      </w:r>
      <w:r w:rsidRPr="00C2317B">
        <w:t>during the 2015 review of EMIR whether the time involved with the amendment of the RTS is suited to the required level of urgency</w:t>
      </w:r>
      <w:r>
        <w:t>.</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1" w:name="_Toc389466262"/>
      <w:bookmarkStart w:id="12" w:name="_Toc389496893"/>
      <w:bookmarkStart w:id="13" w:name="_Toc392599424"/>
      <w:r>
        <w:tab/>
      </w:r>
      <w:r w:rsidR="00940A63">
        <w:t xml:space="preserve">Determination of the </w:t>
      </w:r>
      <w:r>
        <w:t xml:space="preserve">OTC interest rate </w:t>
      </w:r>
      <w:r w:rsidR="00940A63">
        <w:t>c</w:t>
      </w:r>
      <w:r w:rsidR="00940A63" w:rsidRPr="00A84770">
        <w:t>lasses to be subject to the clearing obligation</w:t>
      </w:r>
      <w:bookmarkEnd w:id="11"/>
      <w:bookmarkEnd w:id="12"/>
      <w:bookmarkEnd w:id="13"/>
    </w:p>
    <w:p w14:paraId="6CEB25C8" w14:textId="77777777" w:rsidR="00940A63" w:rsidRDefault="00940A63" w:rsidP="00940A63"/>
    <w:p w14:paraId="42842788" w14:textId="77777777" w:rsidR="00D03FE1"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5</w:t>
      </w:r>
      <w:r w:rsidR="00767A8B">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532FED10" w14:textId="385633D5" w:rsidR="003F7F19" w:rsidRDefault="003F7F19" w:rsidP="003F7F19">
      <w:pPr>
        <w:rPr>
          <w:b/>
        </w:rPr>
      </w:pPr>
      <w:permStart w:id="1417165329" w:edGrp="everyone"/>
      <w:r w:rsidRPr="00C2317B">
        <w:t xml:space="preserve">Yes, we think that the criteria and categories proposed correspond with current market practice as they focus on the interest rates OTC classes which are already being cleared by CCPs in the largest volumes. We support ESMA’s “bottom-up” approach as described in EMIR Article 5(2) as the preferred approach for the identification of the relevant classes of interest rates OTC derivatives. By doing so, the clearing obligation targets actual market activity and volumes and will therefore capture the more liquid and most standardised classes of interest rates OTC derivatives, which are more </w:t>
      </w:r>
      <w:r>
        <w:t xml:space="preserve">suitable </w:t>
      </w:r>
      <w:r w:rsidRPr="00C2317B">
        <w:t>for c</w:t>
      </w:r>
      <w:r>
        <w:t>learing. It is important that E</w:t>
      </w:r>
      <w:r w:rsidRPr="00C2317B">
        <w:t>S</w:t>
      </w:r>
      <w:r>
        <w:t>M</w:t>
      </w:r>
      <w:r w:rsidRPr="00C2317B">
        <w:t>A monitors the interest rates OTC derivatives that are not subject to clearing as well, as these may pose a systemic risk if the volume increases.</w:t>
      </w:r>
      <w:r>
        <w:br/>
      </w:r>
    </w:p>
    <w:p w14:paraId="4B12648A" w14:textId="0CCA60D4" w:rsidR="00940A63" w:rsidRDefault="003F7F19" w:rsidP="003F7F19">
      <w:r w:rsidRPr="00C2317B">
        <w:t xml:space="preserve">Since the initial margin is a critical component in determining the creditworthiness of a CCP, we are of the view that close supervision and monitoring of the IM held by the CCPs are important, even more so for CCPs that are clearing CDS derivatives than for interest rate derivatives. We are also generally concerned with some of the disadvantages of central clearing, such as the risk that CCPs competing for business reduces the IM requirements and basically puts the clearing house at risk. </w:t>
      </w:r>
      <w:r>
        <w:t>A large number of</w:t>
      </w:r>
      <w:r w:rsidRPr="00C2317B">
        <w:t xml:space="preserve"> clearing houses in the European markets also means that overall nett</w:t>
      </w:r>
      <w:r>
        <w:t xml:space="preserve">ing of counterparty risk is not </w:t>
      </w:r>
      <w:r w:rsidRPr="00C2317B">
        <w:t>substantially reduced. On the other hand, the current issue with one clearing house clearing 95 per cent</w:t>
      </w:r>
      <w:r>
        <w:t xml:space="preserve"> </w:t>
      </w:r>
      <w:r w:rsidRPr="00C2317B">
        <w:t xml:space="preserve">of the market clearly is a situation that is not </w:t>
      </w:r>
      <w:r>
        <w:t xml:space="preserve">advisable or sustainable </w:t>
      </w:r>
      <w:r w:rsidRPr="00C2317B">
        <w:t xml:space="preserve">for the longer term, as risk will be </w:t>
      </w:r>
      <w:r>
        <w:t xml:space="preserve">overly </w:t>
      </w:r>
      <w:r w:rsidRPr="00C2317B">
        <w:t xml:space="preserve">concentrated. These examples illustrate </w:t>
      </w:r>
      <w:r>
        <w:t xml:space="preserve">some of </w:t>
      </w:r>
      <w:r w:rsidRPr="00C2317B">
        <w:t>the challenges with the central clearing</w:t>
      </w:r>
      <w:r>
        <w:t xml:space="preserve"> framework that need</w:t>
      </w:r>
      <w:r w:rsidRPr="00C2317B">
        <w:t xml:space="preserve"> to be </w:t>
      </w:r>
      <w:r>
        <w:t>re</w:t>
      </w:r>
      <w:r w:rsidRPr="00C2317B">
        <w:t>solved through sound regulation and monitoring of clearing houses</w:t>
      </w:r>
      <w:r>
        <w:t>.</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4" w:name="_Ref390182009"/>
      <w:bookmarkStart w:id="15"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4"/>
      <w:bookmarkEnd w:id="15"/>
    </w:p>
    <w:p w14:paraId="603B05BB" w14:textId="77777777" w:rsidR="00940A63" w:rsidRDefault="00940A63" w:rsidP="00940A63"/>
    <w:p w14:paraId="5357B245" w14:textId="3067C6FD" w:rsidR="00940A63" w:rsidRDefault="00940A63" w:rsidP="00940A63">
      <w:pPr>
        <w:pStyle w:val="Heading2"/>
      </w:pPr>
      <w:bookmarkStart w:id="16" w:name="_Ref392593104"/>
      <w:bookmarkStart w:id="17" w:name="_Ref389061836"/>
      <w:r>
        <w:t xml:space="preserve">Analysis of the criteria </w:t>
      </w:r>
      <w:bookmarkEnd w:id="16"/>
      <w:bookmarkEnd w:id="17"/>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6</w:t>
      </w:r>
      <w:r w:rsidR="00767A8B">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33262234" w14:textId="77777777" w:rsidR="003F7F19" w:rsidRDefault="003F7F19" w:rsidP="003F7F19">
      <w:permStart w:id="535381076" w:edGrp="everyone"/>
      <w:r w:rsidRPr="000719F2">
        <w:t xml:space="preserve">We think that ESMA has chosen a reasonable approach for determining the time line for implementation of the clearing obligation. </w:t>
      </w:r>
      <w:r>
        <w:t>In our view</w:t>
      </w:r>
      <w:r w:rsidRPr="000719F2">
        <w:t xml:space="preserve"> it is important that there are at least two CCPs available to clear the contracts belonging to a mandatory instrument class. We are generally concerned with concentration of risk</w:t>
      </w:r>
      <w:r>
        <w:t xml:space="preserve">, which could be </w:t>
      </w:r>
      <w:r w:rsidRPr="000719F2">
        <w:t xml:space="preserve">detrimental </w:t>
      </w:r>
      <w:r>
        <w:t>to</w:t>
      </w:r>
      <w:r w:rsidRPr="000719F2">
        <w:t xml:space="preserve"> the market if there are too few CCPs available in the market</w:t>
      </w:r>
      <w:r>
        <w:t>, which could result in market dominance.</w:t>
      </w:r>
    </w:p>
    <w:p w14:paraId="58FAF117" w14:textId="77777777" w:rsidR="003F7F19" w:rsidRPr="000719F2" w:rsidRDefault="003F7F19" w:rsidP="003F7F19"/>
    <w:p w14:paraId="7FED3E6F" w14:textId="4AF15F76" w:rsidR="00940A63" w:rsidRDefault="003F7F19" w:rsidP="003F7F19">
      <w:r>
        <w:t>Similarly, in the determination of the clearing categories and their respective timeline for implementation of the clearing obligation, we think that it is reasonable to take into account the number of clearing members and whether a party already has access to clearing.</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8" w:name="_Ref392593201"/>
      <w:r>
        <w:t>Determination of the categories of counterparties (Criteria (d) to (f))</w:t>
      </w:r>
      <w:bookmarkEnd w:id="18"/>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767A8B">
        <w:fldChar w:fldCharType="begin"/>
      </w:r>
      <w:r w:rsidR="00767A8B">
        <w:instrText xml:space="preserve"> SEQ Question \* </w:instrText>
      </w:r>
      <w:r w:rsidR="00767A8B">
        <w:instrText xml:space="preserve">ARABIC </w:instrText>
      </w:r>
      <w:r w:rsidR="00767A8B">
        <w:fldChar w:fldCharType="separate"/>
      </w:r>
      <w:r w:rsidR="00A63BA9">
        <w:rPr>
          <w:noProof/>
        </w:rPr>
        <w:t>7</w:t>
      </w:r>
      <w:r w:rsidR="00767A8B">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66F12010" w14:textId="77777777" w:rsidR="003F7F19" w:rsidRPr="000719F2" w:rsidRDefault="003F7F19" w:rsidP="003F7F19">
      <w:permStart w:id="1782606567" w:edGrp="everyone"/>
      <w:r w:rsidRPr="000719F2">
        <w:t xml:space="preserve">Yes, the designed categories of counterparties seem to be sufficiently homogeneous. We agree with ESMA’s classification to have the most active market participants start clearing first, as they already have direct access to the CCPs. Those who are the most remote from clearing should be the last in line, as they will need more time to get access to clearing and implement the necessary internal organisational, legal and risk management framework. There should be suitable time for market participants to evaluate and </w:t>
      </w:r>
      <w:r>
        <w:t xml:space="preserve">become accustomed to the </w:t>
      </w:r>
      <w:r w:rsidRPr="000719F2">
        <w:t xml:space="preserve">risk management practices employed by the CCP to ensure assumed risks are within market participants’ acceptable level. </w:t>
      </w:r>
    </w:p>
    <w:p w14:paraId="4B67F0E2" w14:textId="77777777" w:rsidR="003F7F19" w:rsidRPr="000719F2" w:rsidRDefault="003F7F19" w:rsidP="003F7F19"/>
    <w:p w14:paraId="6D90FD98" w14:textId="77777777" w:rsidR="003F7F19" w:rsidRPr="000719F2" w:rsidRDefault="003F7F19" w:rsidP="003F7F19">
      <w:r w:rsidRPr="000719F2">
        <w:t>We believe that ESMA’s categorisation and phased-in implementation are similar to th</w:t>
      </w:r>
      <w:r>
        <w:t>ose</w:t>
      </w:r>
      <w:r w:rsidRPr="000719F2">
        <w:t xml:space="preserve"> used in other jurisdictions, </w:t>
      </w:r>
      <w:r>
        <w:t xml:space="preserve">and we consider that the optimal </w:t>
      </w:r>
      <w:r w:rsidRPr="000719F2">
        <w:t>approach. National legislation and regulations in the various countries, especially in the US and Europe, must be coordinated to avoid the risks of market segregation and market disruption, and to prevent the appearance of a geographical divide, with the market becoming segregated between US and non-US counterparties.</w:t>
      </w:r>
    </w:p>
    <w:p w14:paraId="6E5D94D8" w14:textId="77777777" w:rsidR="003F7F19" w:rsidRPr="000719F2" w:rsidRDefault="003F7F19" w:rsidP="003F7F19"/>
    <w:p w14:paraId="4FA44D54" w14:textId="17242093" w:rsidR="00940A63" w:rsidRDefault="003F7F19" w:rsidP="003F7F19">
      <w:r w:rsidRPr="000719F2">
        <w:t xml:space="preserve">Continued co-ordination and co-operation between the regulators is crucial in order for further regulatory regimes to be declared equivalent, to provide transparency and to create a level playing field internationally, which prevents regulatory arbitrage. The harmonisation of cross-border rules is also important in this respect. Furthermore regulators should share reporting data </w:t>
      </w:r>
      <w:r>
        <w:t xml:space="preserve">among themselves </w:t>
      </w:r>
      <w:r w:rsidRPr="000719F2">
        <w:t>in order to be able to fully understand systemic r</w:t>
      </w:r>
      <w:r>
        <w:t>isk in the global swaps market</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9" w:name="_Ref389061941"/>
      <w:r w:rsidRPr="00E03F63">
        <w:t xml:space="preserve">Determination of the </w:t>
      </w:r>
      <w:bookmarkEnd w:id="19"/>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767A8B">
        <w:fldChar w:fldCharType="begin"/>
      </w:r>
      <w:r w:rsidR="00767A8B">
        <w:instrText xml:space="preserve"> SEQ Ques</w:instrText>
      </w:r>
      <w:r w:rsidR="00767A8B">
        <w:instrText xml:space="preserve">tion \* ARABIC </w:instrText>
      </w:r>
      <w:r w:rsidR="00767A8B">
        <w:fldChar w:fldCharType="separate"/>
      </w:r>
      <w:r w:rsidR="00A63BA9">
        <w:rPr>
          <w:noProof/>
        </w:rPr>
        <w:t>8</w:t>
      </w:r>
      <w:r w:rsidR="00767A8B">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7235527D" w14:textId="77777777" w:rsidR="00940A63" w:rsidRDefault="00940A63" w:rsidP="00940A63">
      <w:permStart w:id="1034450252" w:edGrp="everyone"/>
      <w:r>
        <w:t>TYPE YOUR TEXT HERE</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9</w:t>
      </w:r>
      <w:r w:rsidR="00767A8B">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7F97F81F" w14:textId="46E608E7" w:rsidR="00940A63" w:rsidRDefault="003F7F19" w:rsidP="00940A63">
      <w:permStart w:id="1118569416" w:edGrp="everyone"/>
      <w:r>
        <w:t>Yes, we agree with ESMA’s proposed approach</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10</w:t>
      </w:r>
      <w:r w:rsidR="00767A8B">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12B57918" w:rsidR="00940A63" w:rsidRDefault="003F7F19" w:rsidP="00940A63">
      <w:permStart w:id="692392694" w:edGrp="everyone"/>
      <w:r>
        <w:t xml:space="preserve">We </w:t>
      </w:r>
      <w:r w:rsidRPr="00F84A3C">
        <w:t>have no comments on the analysis on the equity OTC derivative classes presented, and agree with ESMA that equity swaps should not be subject to mandatory clearing now</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11</w:t>
      </w:r>
      <w:r w:rsidR="00767A8B">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77777777" w:rsidR="00940A63" w:rsidRDefault="00940A63" w:rsidP="00940A63">
      <w:permStart w:id="1434612385" w:edGrp="everyone"/>
      <w:r>
        <w:t>TYPE YOUR TEXT HERE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767A8B">
        <w:fldChar w:fldCharType="begin"/>
      </w:r>
      <w:r w:rsidR="00767A8B">
        <w:instrText xml:space="preserve"> SEQ Annex \* ROMAN </w:instrText>
      </w:r>
      <w:r w:rsidR="00767A8B">
        <w:fldChar w:fldCharType="separate"/>
      </w:r>
      <w:r w:rsidR="00A63BA9">
        <w:rPr>
          <w:noProof/>
        </w:rPr>
        <w:t>I</w:t>
      </w:r>
      <w:r w:rsidR="00767A8B">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767A8B">
        <w:fldChar w:fldCharType="begin"/>
      </w:r>
      <w:r w:rsidR="00767A8B">
        <w:instrText xml:space="preserve"> SEQ Annex \* ROMAN </w:instrText>
      </w:r>
      <w:r w:rsidR="00767A8B">
        <w:fldChar w:fldCharType="separate"/>
      </w:r>
      <w:r w:rsidR="00A63BA9">
        <w:rPr>
          <w:noProof/>
        </w:rPr>
        <w:t>II</w:t>
      </w:r>
      <w:r w:rsidR="00767A8B">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12</w:t>
      </w:r>
      <w:r w:rsidR="00767A8B">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76595C50" w14:textId="77777777" w:rsidR="00940A63" w:rsidRDefault="00940A63" w:rsidP="00940A63">
      <w:permStart w:id="2107055715" w:edGrp="everyone"/>
      <w:r>
        <w:t>TYPE YOUR TEXT HERE</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767A8B">
        <w:fldChar w:fldCharType="begin"/>
      </w:r>
      <w:r w:rsidR="00767A8B">
        <w:instrText xml:space="preserve"> SEQ Annex \* ROMAN </w:instrText>
      </w:r>
      <w:r w:rsidR="00767A8B">
        <w:fldChar w:fldCharType="separate"/>
      </w:r>
      <w:r w:rsidR="00A63BA9">
        <w:rPr>
          <w:noProof/>
        </w:rPr>
        <w:t>III</w:t>
      </w:r>
      <w:r w:rsidR="00767A8B">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767A8B">
        <w:fldChar w:fldCharType="begin"/>
      </w:r>
      <w:r w:rsidR="00767A8B">
        <w:instrText xml:space="preserve"> SEQ Question \* ARABIC </w:instrText>
      </w:r>
      <w:r w:rsidR="00767A8B">
        <w:fldChar w:fldCharType="separate"/>
      </w:r>
      <w:r w:rsidR="00A63BA9">
        <w:rPr>
          <w:noProof/>
        </w:rPr>
        <w:t>13</w:t>
      </w:r>
      <w:r w:rsidR="00767A8B">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1151DF87" w14:textId="77777777" w:rsidR="00940A63" w:rsidRDefault="00940A63" w:rsidP="00940A63">
      <w:permStart w:id="1111844381" w:edGrp="everyone"/>
      <w:r>
        <w:t>TYPE YOUR TEXT HERE</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1F3032" w:rsidRDefault="001F3032">
      <w:r>
        <w:separator/>
      </w:r>
    </w:p>
    <w:p w14:paraId="03EA55C2" w14:textId="77777777" w:rsidR="001F3032" w:rsidRDefault="001F3032"/>
    <w:p w14:paraId="4FE8AC46" w14:textId="77777777" w:rsidR="001F3032" w:rsidRDefault="001F3032"/>
  </w:endnote>
  <w:endnote w:type="continuationSeparator" w:id="0">
    <w:p w14:paraId="405524B0" w14:textId="77777777" w:rsidR="001F3032" w:rsidRDefault="001F3032">
      <w:r>
        <w:continuationSeparator/>
      </w:r>
    </w:p>
    <w:p w14:paraId="1D6D5CC4" w14:textId="77777777" w:rsidR="001F3032" w:rsidRDefault="001F3032"/>
    <w:p w14:paraId="078C831A" w14:textId="77777777" w:rsidR="001F3032" w:rsidRDefault="001F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767A8B">
            <w:rPr>
              <w:noProof/>
            </w:rPr>
            <w:t>4</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767A8B">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1F3032" w:rsidRDefault="001F3032">
      <w:r>
        <w:separator/>
      </w:r>
    </w:p>
    <w:p w14:paraId="09CF2D43" w14:textId="77777777" w:rsidR="001F3032" w:rsidRDefault="001F3032"/>
  </w:footnote>
  <w:footnote w:type="continuationSeparator" w:id="0">
    <w:p w14:paraId="0FB1B6E5" w14:textId="77777777" w:rsidR="001F3032" w:rsidRDefault="001F3032">
      <w:r>
        <w:continuationSeparator/>
      </w:r>
    </w:p>
    <w:p w14:paraId="2FC22E82" w14:textId="77777777" w:rsidR="001F3032" w:rsidRDefault="001F3032"/>
    <w:p w14:paraId="477EF75C" w14:textId="77777777" w:rsidR="001F3032" w:rsidRDefault="001F30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zh-TW"/>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zh-TW"/>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zh-TW"/>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zh-TW"/>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6"/>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0"/>
  </w:num>
  <w:num w:numId="23">
    <w:abstractNumId w:val="33"/>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2"/>
  </w:num>
  <w:num w:numId="31">
    <w:abstractNumId w:val="31"/>
    <w:lvlOverride w:ilvl="0">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8"/>
  </w:num>
  <w:num w:numId="36">
    <w:abstractNumId w:val="29"/>
  </w:num>
  <w:num w:numId="37">
    <w:abstractNumId w:val="23"/>
  </w:num>
  <w:num w:numId="38">
    <w:abstractNumId w:val="34"/>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7"/>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18433">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3F7F19"/>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4CBA"/>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67A8B"/>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029C"/>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7D8"/>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2F6F"/>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4F9B"/>
    <w:rsid w:val="00F358C5"/>
    <w:rsid w:val="00F373B5"/>
    <w:rsid w:val="00F40CE0"/>
    <w:rsid w:val="00F428B4"/>
    <w:rsid w:val="00F42A4B"/>
    <w:rsid w:val="00F42A57"/>
    <w:rsid w:val="00F42EA7"/>
    <w:rsid w:val="00F43E3E"/>
    <w:rsid w:val="00F44043"/>
    <w:rsid w:val="00F44B11"/>
    <w:rsid w:val="00F458EF"/>
    <w:rsid w:val="00F45C11"/>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A3A0-3CE7-44EE-8362-5A8704D8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45</TotalTime>
  <Pages>10</Pages>
  <Words>2814</Words>
  <Characters>16294</Characters>
  <Application>Microsoft Office Word</Application>
  <DocSecurity>8</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19070</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Vatnar, John Tore</cp:lastModifiedBy>
  <cp:revision>4</cp:revision>
  <cp:lastPrinted>2014-07-10T08:22:00Z</cp:lastPrinted>
  <dcterms:created xsi:type="dcterms:W3CDTF">2014-08-18T13:17:00Z</dcterms:created>
  <dcterms:modified xsi:type="dcterms:W3CDTF">2014-08-18T15:49:00Z</dcterms:modified>
</cp:coreProperties>
</file>