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197956">
        <w:trPr>
          <w:trHeight w:val="284"/>
        </w:trPr>
        <w:tc>
          <w:tcPr>
            <w:tcW w:w="9412" w:type="dxa"/>
          </w:tcPr>
          <w:p w:rsidR="00197956" w:rsidRDefault="00B26780">
            <w:pPr>
              <w:pStyle w:val="00bDBInfo"/>
            </w:pPr>
            <w:r>
              <w:t>11 July 2014|2014/799 Reply Form</w:t>
            </w:r>
          </w:p>
        </w:tc>
      </w:tr>
    </w:tbl>
    <w:p w:rsidR="00197956" w:rsidRDefault="00197956">
      <w:pPr>
        <w:rPr>
          <w:vanish/>
        </w:rPr>
      </w:pPr>
      <w:bookmarkStart w:id="0" w:name="Dropdown1"/>
    </w:p>
    <w:tbl>
      <w:tblPr>
        <w:tblpPr w:leftFromText="8505" w:vertAnchor="page" w:horzAnchor="page" w:tblpX="1248" w:tblpY="4401"/>
        <w:tblW w:w="9412" w:type="dxa"/>
        <w:tblLayout w:type="fixed"/>
        <w:tblCellMar>
          <w:left w:w="0" w:type="dxa"/>
          <w:right w:w="0" w:type="dxa"/>
        </w:tblCellMar>
        <w:tblLook w:val="01E0" w:firstRow="1" w:lastRow="1" w:firstColumn="1" w:lastColumn="1" w:noHBand="0" w:noVBand="0"/>
      </w:tblPr>
      <w:tblGrid>
        <w:gridCol w:w="9412"/>
      </w:tblGrid>
      <w:tr w:rsidR="00197956">
        <w:trPr>
          <w:trHeight w:hRule="exact" w:val="907"/>
        </w:trPr>
        <w:tc>
          <w:tcPr>
            <w:tcW w:w="2325" w:type="dxa"/>
            <w:vAlign w:val="bottom"/>
          </w:tcPr>
          <w:bookmarkEnd w:id="0"/>
          <w:p w:rsidR="00197956" w:rsidRDefault="00B26780">
            <w:pPr>
              <w:pStyle w:val="01aDBTitle"/>
            </w:pPr>
            <w:r>
              <w:t>Reply form to the Consultation Paper on the Clearing Obligation under EMIR (no. 1)</w:t>
            </w:r>
          </w:p>
        </w:tc>
      </w:tr>
      <w:tr w:rsidR="00197956">
        <w:trPr>
          <w:trHeight w:hRule="exact" w:val="454"/>
        </w:trPr>
        <w:tc>
          <w:tcPr>
            <w:tcW w:w="2325" w:type="dxa"/>
            <w:tcMar>
              <w:top w:w="142" w:type="dxa"/>
            </w:tcMar>
          </w:tcPr>
          <w:p w:rsidR="00197956" w:rsidRDefault="00197956">
            <w:pPr>
              <w:pStyle w:val="01bDBSubtitle"/>
            </w:pPr>
          </w:p>
        </w:tc>
      </w:tr>
    </w:tbl>
    <w:p w:rsidR="00197956" w:rsidRDefault="00197956">
      <w:pPr>
        <w:pStyle w:val="05HeadlinenoIndex"/>
        <w:sectPr w:rsidR="00197956">
          <w:headerReference w:type="default" r:id="rId8"/>
          <w:footerReference w:type="default" r:id="rId9"/>
          <w:headerReference w:type="first" r:id="rId10"/>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197956">
        <w:trPr>
          <w:trHeight w:hRule="exact" w:val="964"/>
        </w:trPr>
        <w:tc>
          <w:tcPr>
            <w:tcW w:w="2325" w:type="dxa"/>
          </w:tcPr>
          <w:p w:rsidR="00197956" w:rsidRDefault="00B26780">
            <w:pPr>
              <w:pStyle w:val="02Date"/>
            </w:pPr>
            <w:r>
              <w:lastRenderedPageBreak/>
              <w:t>Date: 11 July 2014</w:t>
            </w:r>
          </w:p>
          <w:p w:rsidR="00197956" w:rsidRDefault="00B26780">
            <w:pPr>
              <w:pStyle w:val="02Date"/>
            </w:pPr>
            <w:r>
              <w:t>2014/799 Reply Form</w:t>
            </w:r>
          </w:p>
        </w:tc>
      </w:tr>
    </w:tbl>
    <w:p w:rsidR="00197956" w:rsidRDefault="00197956">
      <w:pPr>
        <w:pStyle w:val="05HeadlinenoIndex"/>
      </w:pPr>
    </w:p>
    <w:p w:rsidR="00197956" w:rsidRDefault="00B26780">
      <w:pPr>
        <w:pStyle w:val="05HeadlinenoIndex"/>
      </w:pPr>
      <w:r>
        <w:t xml:space="preserve">Responding to this paper </w:t>
      </w:r>
    </w:p>
    <w:p w:rsidR="00197956" w:rsidRDefault="00B26780">
      <w:pPr>
        <w:pStyle w:val="04BodyText"/>
      </w:pPr>
      <w:r>
        <w:t xml:space="preserve">The European Securities and Markets Authority (ESMA) invites responses to the questions listed in the </w:t>
      </w:r>
      <w:bookmarkStart w:id="1" w:name="_GoBack"/>
      <w:r>
        <w:t>Consultation Paper on the Clearing Obligation</w:t>
      </w:r>
      <w:r>
        <w:t xml:space="preserve"> under EMIR (n0. 1)</w:t>
      </w:r>
      <w:bookmarkEnd w:id="1"/>
      <w:r>
        <w:t>, published on ESMA’s website.</w:t>
      </w:r>
    </w:p>
    <w:p w:rsidR="00197956" w:rsidRDefault="00B26780">
      <w:pPr>
        <w:pStyle w:val="04BodyText"/>
      </w:pPr>
      <w:r>
        <w:t>Comments are most helpful if they:</w:t>
      </w:r>
    </w:p>
    <w:p w:rsidR="00197956" w:rsidRDefault="00B26780">
      <w:pPr>
        <w:pStyle w:val="0MyBullet"/>
      </w:pPr>
      <w:r>
        <w:t>respond to the question stated;</w:t>
      </w:r>
    </w:p>
    <w:p w:rsidR="00197956" w:rsidRDefault="00B26780">
      <w:pPr>
        <w:pStyle w:val="0MyBullet"/>
      </w:pPr>
      <w:r>
        <w:t>contain a clear rationale; and</w:t>
      </w:r>
    </w:p>
    <w:p w:rsidR="00197956" w:rsidRDefault="00B26780">
      <w:pPr>
        <w:pStyle w:val="0MyBullet"/>
      </w:pPr>
      <w:r>
        <w:t>describe any alternatives ESMA should consider.</w:t>
      </w:r>
    </w:p>
    <w:p w:rsidR="00197956" w:rsidRDefault="00B26780">
      <w:pPr>
        <w:pStyle w:val="04BodyText"/>
        <w:spacing w:before="240"/>
      </w:pPr>
      <w:r>
        <w:t>To help you navigate this document more easily, bookmarks ar</w:t>
      </w:r>
      <w:r>
        <w:t>e available in “Navigation Pane” for Word 2010 and in “Document Map” for Word 2007.</w:t>
      </w:r>
    </w:p>
    <w:p w:rsidR="00197956" w:rsidRDefault="00B26780">
      <w:pPr>
        <w:pStyle w:val="04BodyText"/>
        <w:rPr>
          <w:b/>
        </w:rPr>
      </w:pPr>
      <w:r>
        <w:t xml:space="preserve">ESMA will consider all comments received by </w:t>
      </w:r>
      <w:r>
        <w:rPr>
          <w:b/>
        </w:rPr>
        <w:t xml:space="preserve">18 August 2014. </w:t>
      </w:r>
    </w:p>
    <w:p w:rsidR="00197956" w:rsidRDefault="00B26780">
      <w:pPr>
        <w:pStyle w:val="04BodyText"/>
      </w:pPr>
      <w:r>
        <w:t xml:space="preserve">All contributions should be submitted online at </w:t>
      </w:r>
      <w:hyperlink r:id="rId11" w:history="1">
        <w:r>
          <w:rPr>
            <w:rStyle w:val="Hyperlink"/>
          </w:rPr>
          <w:t>www.esma.europa.eu</w:t>
        </w:r>
      </w:hyperlink>
      <w:r>
        <w:t xml:space="preserve"> un</w:t>
      </w:r>
      <w:r>
        <w:t xml:space="preserve">der the heading ‘Your input - Consultations’. </w:t>
      </w:r>
    </w:p>
    <w:p w:rsidR="00197956" w:rsidRDefault="00B26780">
      <w:pPr>
        <w:pStyle w:val="04dBodyTextbold"/>
      </w:pPr>
      <w:r>
        <w:rPr>
          <w:bCs/>
        </w:rPr>
        <w:t>How to use this form to reply</w:t>
      </w:r>
    </w:p>
    <w:p w:rsidR="00197956" w:rsidRDefault="00B26780">
      <w:pPr>
        <w:pStyle w:val="04BodyText"/>
      </w:pPr>
      <w:r>
        <w:t>Please note that, in order to facilitate the analysis of the responses, ESMA will be using an IT tool that does not allow processing of responses which do not follow the formattin</w:t>
      </w:r>
      <w:r>
        <w:t xml:space="preserve">g indications described below. </w:t>
      </w:r>
    </w:p>
    <w:p w:rsidR="00197956" w:rsidRDefault="00B26780">
      <w:pPr>
        <w:pStyle w:val="04BodyText"/>
      </w:pPr>
      <w:r>
        <w:t>Therefore, in responding you are kindly invited to proceed as follows:</w:t>
      </w:r>
    </w:p>
    <w:p w:rsidR="00197956" w:rsidRDefault="00B26780">
      <w:pPr>
        <w:pStyle w:val="0MyBullet"/>
        <w:ind w:left="714" w:hanging="357"/>
      </w:pPr>
      <w:r>
        <w:t>use this form to reply and send your response in Word format;</w:t>
      </w:r>
    </w:p>
    <w:p w:rsidR="00197956" w:rsidRDefault="00B26780">
      <w:pPr>
        <w:pStyle w:val="0MyBullet"/>
        <w:ind w:left="714" w:hanging="357"/>
      </w:pPr>
      <w:r>
        <w:t>type your response in the frame “TYPE YOUR TEXT HERE” and do not remove the tags of type &lt;E</w:t>
      </w:r>
      <w:r>
        <w:t>SMA_QUESTION_1&gt; Your response should be framed by the 2 tags corresponding to the question; and</w:t>
      </w:r>
    </w:p>
    <w:p w:rsidR="00197956" w:rsidRDefault="00B26780">
      <w:pPr>
        <w:pStyle w:val="0MyBullet"/>
        <w:ind w:left="714" w:hanging="357"/>
      </w:pPr>
      <w:r>
        <w:t>if you have no response to a question, do not delete the tags and leave the text “TYPE YOUR TEXT HERE” between the tags.</w:t>
      </w:r>
    </w:p>
    <w:p w:rsidR="00197956" w:rsidRDefault="00B26780">
      <w:pPr>
        <w:pStyle w:val="04dBodyTextbold"/>
      </w:pPr>
      <w:r>
        <w:t>Publication of responses</w:t>
      </w:r>
    </w:p>
    <w:p w:rsidR="00197956" w:rsidRDefault="00B26780">
      <w:pPr>
        <w:pStyle w:val="04BodyText"/>
      </w:pPr>
      <w:r>
        <w:t>All contributi</w:t>
      </w:r>
      <w:r>
        <w:t>ons received will be published following the close of the consultation, unless you request otherwise. Please clearly and prominently indicate in your submission any part you do not wish to be publically disclosed. A standard confidentiality statement in an</w:t>
      </w:r>
      <w:r>
        <w:t xml:space="preserve"> email message will not be treated as a request for non-disclosure. A confidential response may be requested from us in accordance with ESMA’s rules on access to documents. We may consult you if we receive such a request. Any decision we make not to disclo</w:t>
      </w:r>
      <w:r>
        <w:t>se the response is reviewable by ESMA’s Board of Appeal and the European Ombudsman.</w:t>
      </w:r>
    </w:p>
    <w:p w:rsidR="00197956" w:rsidRDefault="00B26780">
      <w:pPr>
        <w:pStyle w:val="04dBodyTextbold"/>
      </w:pPr>
      <w:r>
        <w:lastRenderedPageBreak/>
        <w:t>Data protection</w:t>
      </w:r>
    </w:p>
    <w:p w:rsidR="00197956" w:rsidRDefault="00B26780">
      <w:pPr>
        <w:pStyle w:val="04BodyText"/>
      </w:pPr>
      <w:r>
        <w:t xml:space="preserve">Information on data protection can be found at </w:t>
      </w:r>
      <w:hyperlink r:id="rId12" w:history="1">
        <w:r>
          <w:rPr>
            <w:rStyle w:val="Hyperlink"/>
          </w:rPr>
          <w:t>www.esma.europa.eu</w:t>
        </w:r>
      </w:hyperlink>
      <w:r>
        <w:t xml:space="preserve"> under the heading ‘Legal Notice’.</w:t>
      </w:r>
    </w:p>
    <w:p w:rsidR="00197956" w:rsidRDefault="00B26780">
      <w:pPr>
        <w:pStyle w:val="04dBodyTextbold"/>
      </w:pPr>
      <w:r>
        <w:t>Who should rea</w:t>
      </w:r>
      <w:r>
        <w:t>d this paper</w:t>
      </w:r>
    </w:p>
    <w:p w:rsidR="00197956" w:rsidRDefault="00B26780">
      <w:pPr>
        <w:pStyle w:val="04BodyText"/>
        <w:suppressAutoHyphens/>
        <w:rPr>
          <w:szCs w:val="20"/>
        </w:rPr>
      </w:pPr>
      <w:r>
        <w:rPr>
          <w:szCs w:val="20"/>
        </w:rPr>
        <w:t xml:space="preserve">All interested stakeholders are invited to respond to this consultation paper. In particular, responses are sought from financial and non-financial counterparties of OTC derivatives transactions which will be subject to the clearing </w:t>
      </w:r>
      <w:r>
        <w:rPr>
          <w:szCs w:val="20"/>
        </w:rPr>
        <w:t>obligation, as well as central counterparties (CCPs).</w:t>
      </w:r>
    </w:p>
    <w:p w:rsidR="00197956" w:rsidRDefault="00B26780">
      <w:pPr>
        <w:rPr>
          <w:szCs w:val="20"/>
        </w:rPr>
      </w:pPr>
      <w:r>
        <w:rPr>
          <w:szCs w:val="20"/>
        </w:rPr>
        <w:br w:type="page"/>
      </w:r>
    </w:p>
    <w:p w:rsidR="00197956" w:rsidRDefault="00B26780">
      <w:pPr>
        <w:pStyle w:val="Heading1"/>
        <w:numPr>
          <w:ilvl w:val="0"/>
          <w:numId w:val="0"/>
        </w:numPr>
      </w:pPr>
      <w:r>
        <w:lastRenderedPageBreak/>
        <w:t>General information about respondent</w:t>
      </w:r>
    </w:p>
    <w:tbl>
      <w:tblPr>
        <w:tblStyle w:val="TableGrid"/>
        <w:tblW w:w="0" w:type="auto"/>
        <w:tblLook w:val="04A0" w:firstRow="1" w:lastRow="0" w:firstColumn="1" w:lastColumn="0" w:noHBand="0" w:noVBand="1"/>
      </w:tblPr>
      <w:tblGrid>
        <w:gridCol w:w="3510"/>
        <w:gridCol w:w="6118"/>
      </w:tblGrid>
      <w:tr w:rsidR="00197956">
        <w:tc>
          <w:tcPr>
            <w:tcW w:w="3510" w:type="dxa"/>
          </w:tcPr>
          <w:p w:rsidR="00197956" w:rsidRDefault="00B26780">
            <w:r>
              <w:t>Name of the respondent</w:t>
            </w:r>
          </w:p>
        </w:tc>
        <w:tc>
          <w:tcPr>
            <w:tcW w:w="6118" w:type="dxa"/>
          </w:tcPr>
          <w:p w:rsidR="00197956" w:rsidRDefault="00B26780">
            <w:permStart w:id="1113725691" w:edGrp="everyone"/>
            <w:r>
              <w:t>Stuart J. Kaswell, Executive Vice President, Managing Director &amp; General Counsel</w:t>
            </w:r>
            <w:permEnd w:id="1113725691"/>
          </w:p>
        </w:tc>
      </w:tr>
      <w:tr w:rsidR="00197956">
        <w:tc>
          <w:tcPr>
            <w:tcW w:w="3510" w:type="dxa"/>
          </w:tcPr>
          <w:p w:rsidR="00197956" w:rsidRDefault="00B26780">
            <w:r>
              <w:t>Are you representing an association?</w:t>
            </w:r>
          </w:p>
        </w:tc>
        <w:tc>
          <w:tcPr>
            <w:tcW w:w="6118" w:type="dxa"/>
          </w:tcPr>
          <w:p w:rsidR="00197956" w:rsidRDefault="00B26780">
            <w:sdt>
              <w:sdtPr>
                <w:alias w:val="Association"/>
                <w:tag w:val="Association"/>
                <w:id w:val="-1769143793"/>
                <w:placeholder>
                  <w:docPart w:val="29B3C0A1C36843AB95CE1BDF313CA2A2"/>
                </w:placeholder>
                <w:comboBox>
                  <w:listItem w:displayText="Yes" w:value="Yes"/>
                  <w:listItem w:displayText="No" w:value="No"/>
                </w:comboBox>
              </w:sdtPr>
              <w:sdtEndPr/>
              <w:sdtContent>
                <w:permStart w:id="79432590" w:edGrp="everyone"/>
                <w:r>
                  <w:t>Yes</w:t>
                </w:r>
                <w:permEnd w:id="79432590"/>
              </w:sdtContent>
            </w:sdt>
          </w:p>
        </w:tc>
      </w:tr>
      <w:tr w:rsidR="00197956">
        <w:tc>
          <w:tcPr>
            <w:tcW w:w="3510" w:type="dxa"/>
          </w:tcPr>
          <w:p w:rsidR="00197956" w:rsidRDefault="00B26780">
            <w:r>
              <w:t>Activity</w:t>
            </w:r>
          </w:p>
        </w:tc>
        <w:tc>
          <w:tcPr>
            <w:tcW w:w="6118" w:type="dxa"/>
          </w:tcPr>
          <w:p w:rsidR="00197956" w:rsidRDefault="00B26780">
            <w:sdt>
              <w:sdtPr>
                <w:alias w:val="Activity"/>
                <w:tag w:val="Activity"/>
                <w:id w:val="1654095920"/>
                <w:placeholder>
                  <w:docPart w:val="F0305A30DDBA475F87323578BE1A7B3F"/>
                </w:placeholder>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permStart w:id="1764054841" w:edGrp="everyone"/>
                <w:r>
                  <w:t>Inves</w:t>
                </w:r>
                <w:r>
                  <w:t>tment Services</w:t>
                </w:r>
                <w:permEnd w:id="1764054841"/>
              </w:sdtContent>
            </w:sdt>
          </w:p>
        </w:tc>
      </w:tr>
      <w:tr w:rsidR="00197956">
        <w:tc>
          <w:tcPr>
            <w:tcW w:w="3510" w:type="dxa"/>
          </w:tcPr>
          <w:p w:rsidR="00197956" w:rsidRDefault="00B26780">
            <w:r>
              <w:t>Country/Region</w:t>
            </w:r>
          </w:p>
        </w:tc>
        <w:sdt>
          <w:sdtPr>
            <w:alias w:val="Country"/>
            <w:tag w:val="Country"/>
            <w:id w:val="-1549134410"/>
            <w:placeholder>
              <w:docPart w:val="DefaultPlaceholder_1082065159"/>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1644834844" w:edGrp="everyone" w:displacedByCustomXml="prev"/>
            <w:tc>
              <w:tcPr>
                <w:tcW w:w="6118" w:type="dxa"/>
              </w:tcPr>
              <w:p w:rsidR="00197956" w:rsidRDefault="00B26780">
                <w:r>
                  <w:t>International</w:t>
                </w:r>
              </w:p>
            </w:tc>
            <w:permEnd w:id="1644834844" w:displacedByCustomXml="next"/>
          </w:sdtContent>
        </w:sdt>
      </w:tr>
    </w:tbl>
    <w:p w:rsidR="00197956" w:rsidRDefault="00197956"/>
    <w:p w:rsidR="00197956" w:rsidRDefault="00B26780">
      <w:pPr>
        <w:pStyle w:val="Heading1"/>
        <w:numPr>
          <w:ilvl w:val="0"/>
          <w:numId w:val="0"/>
        </w:numPr>
      </w:pPr>
      <w:r>
        <w:br w:type="page"/>
      </w:r>
      <w:bookmarkStart w:id="2" w:name="_Toc392599420"/>
      <w:r>
        <w:lastRenderedPageBreak/>
        <w:t>Introduction</w:t>
      </w:r>
      <w:bookmarkEnd w:id="2"/>
    </w:p>
    <w:p w:rsidR="00197956" w:rsidRDefault="00197956"/>
    <w:p w:rsidR="00197956" w:rsidRDefault="00B26780">
      <w:pPr>
        <w:rPr>
          <w:b/>
        </w:rPr>
      </w:pPr>
      <w:r>
        <w:rPr>
          <w:b/>
        </w:rPr>
        <w:t>Please make your introductory comments below:</w:t>
      </w:r>
    </w:p>
    <w:p w:rsidR="00197956" w:rsidRDefault="00197956"/>
    <w:p w:rsidR="00197956" w:rsidRDefault="00B26780">
      <w:r>
        <w:t>&lt;ESMA_COMMENT_1&gt;</w:t>
      </w:r>
    </w:p>
    <w:p w:rsidR="00197956" w:rsidRDefault="00B26780">
      <w:pPr>
        <w:jc w:val="both"/>
        <w:rPr>
          <w:rFonts w:asciiTheme="minorHAnsi" w:hAnsiTheme="minorHAnsi" w:cstheme="minorHAnsi"/>
          <w:sz w:val="24"/>
          <w:lang w:val="en-US"/>
        </w:rPr>
      </w:pPr>
      <w:permStart w:id="2054126309" w:edGrp="everyone"/>
      <w:r>
        <w:rPr>
          <w:rFonts w:asciiTheme="minorHAnsi" w:hAnsiTheme="minorHAnsi" w:cstheme="minorHAnsi"/>
          <w:sz w:val="24"/>
          <w:lang w:val="en-US"/>
        </w:rPr>
        <w:t>Managed Funds Association (“</w:t>
      </w:r>
      <w:r>
        <w:rPr>
          <w:rFonts w:asciiTheme="minorHAnsi" w:hAnsiTheme="minorHAnsi" w:cstheme="minorHAnsi"/>
          <w:b/>
          <w:sz w:val="24"/>
          <w:lang w:val="en-US"/>
        </w:rPr>
        <w:t>MFA</w:t>
      </w:r>
      <w:r>
        <w:rPr>
          <w:rFonts w:asciiTheme="minorHAnsi" w:hAnsiTheme="minorHAnsi" w:cstheme="minorHAnsi"/>
          <w:sz w:val="24"/>
          <w:lang w:val="en-US"/>
        </w:rPr>
        <w:t>”) represents the global alternative investment industry and its investors by advocating for so</w:t>
      </w:r>
      <w:r>
        <w:rPr>
          <w:rFonts w:asciiTheme="minorHAnsi" w:hAnsiTheme="minorHAnsi" w:cstheme="minorHAnsi"/>
          <w:sz w:val="24"/>
          <w:lang w:val="en-US"/>
        </w:rPr>
        <w:t xml:space="preserve">und industry practices and public policies that foster efficient, </w:t>
      </w:r>
      <w:proofErr w:type="gramStart"/>
      <w:r>
        <w:rPr>
          <w:rFonts w:asciiTheme="minorHAnsi" w:hAnsiTheme="minorHAnsi" w:cstheme="minorHAnsi"/>
          <w:sz w:val="24"/>
          <w:lang w:val="en-US"/>
        </w:rPr>
        <w:t>transparent,</w:t>
      </w:r>
      <w:proofErr w:type="gramEnd"/>
      <w:r>
        <w:rPr>
          <w:rFonts w:asciiTheme="minorHAnsi" w:hAnsiTheme="minorHAnsi" w:cstheme="minorHAnsi"/>
          <w:sz w:val="24"/>
          <w:lang w:val="en-US"/>
        </w:rPr>
        <w:t xml:space="preserve"> and fair capital markets.  MFA, based in Washington, DC, is an advocacy, education, and communications organization established to enable hedge fund and managed futures firms in</w:t>
      </w:r>
      <w:r>
        <w:rPr>
          <w:rFonts w:asciiTheme="minorHAnsi" w:hAnsiTheme="minorHAnsi" w:cstheme="minorHAnsi"/>
          <w:sz w:val="24"/>
          <w:lang w:val="en-US"/>
        </w:rPr>
        <w:t xml:space="preserve"> the alternative investment industry to participate in public policy discourse, share best practices and learn from peers, and communicate the industry’s contributions to the global economy.  MFA members help pension plans, university endowments, charitabl</w:t>
      </w:r>
      <w:r>
        <w:rPr>
          <w:rFonts w:asciiTheme="minorHAnsi" w:hAnsiTheme="minorHAnsi" w:cstheme="minorHAnsi"/>
          <w:sz w:val="24"/>
          <w:lang w:val="en-US"/>
        </w:rPr>
        <w:t>e organizations, qualified individuals, and other institutional investors to diversify their investments, manage risk, and generate attractive returns</w:t>
      </w:r>
      <w:proofErr w:type="gramStart"/>
      <w:r>
        <w:rPr>
          <w:rFonts w:asciiTheme="minorHAnsi" w:hAnsiTheme="minorHAnsi" w:cstheme="minorHAnsi"/>
          <w:sz w:val="24"/>
          <w:lang w:val="en-US"/>
        </w:rPr>
        <w:t>. MFA has cultivated a global membership and actively engages with regulators and policy makers in Asia, E</w:t>
      </w:r>
      <w:r>
        <w:rPr>
          <w:rFonts w:asciiTheme="minorHAnsi" w:hAnsiTheme="minorHAnsi" w:cstheme="minorHAnsi"/>
          <w:sz w:val="24"/>
          <w:lang w:val="en-US"/>
        </w:rPr>
        <w:t>urope, the Americas, Australia and many other regions where MFA members are market participants.</w:t>
      </w:r>
      <w:proofErr w:type="gramEnd"/>
    </w:p>
    <w:p w:rsidR="00197956" w:rsidRDefault="00197956">
      <w:pPr>
        <w:jc w:val="both"/>
        <w:rPr>
          <w:rFonts w:asciiTheme="minorHAnsi" w:hAnsiTheme="minorHAnsi" w:cstheme="minorHAnsi"/>
        </w:rPr>
      </w:pPr>
    </w:p>
    <w:p w:rsidR="00197956" w:rsidRDefault="00B26780">
      <w:pPr>
        <w:jc w:val="both"/>
        <w:rPr>
          <w:rFonts w:asciiTheme="minorHAnsi" w:hAnsiTheme="minorHAnsi" w:cstheme="minorHAnsi"/>
          <w:sz w:val="24"/>
          <w:lang w:val="en-US"/>
        </w:rPr>
      </w:pPr>
      <w:r>
        <w:rPr>
          <w:rFonts w:asciiTheme="minorHAnsi" w:hAnsiTheme="minorHAnsi" w:cstheme="minorHAnsi"/>
          <w:sz w:val="24"/>
          <w:lang w:val="en-US"/>
        </w:rPr>
        <w:t>MFA welcomes the opportunity to provide comments to the European Securities and Markets Authority (“</w:t>
      </w:r>
      <w:r>
        <w:rPr>
          <w:rFonts w:asciiTheme="minorHAnsi" w:hAnsiTheme="minorHAnsi" w:cstheme="minorHAnsi"/>
          <w:b/>
          <w:sz w:val="24"/>
          <w:lang w:val="en-US"/>
        </w:rPr>
        <w:t>ESMA</w:t>
      </w:r>
      <w:r>
        <w:rPr>
          <w:rFonts w:asciiTheme="minorHAnsi" w:hAnsiTheme="minorHAnsi" w:cstheme="minorHAnsi"/>
          <w:sz w:val="24"/>
          <w:lang w:val="en-US"/>
        </w:rPr>
        <w:t xml:space="preserve">”) on its Consultation Paper on the Clearing </w:t>
      </w:r>
      <w:r>
        <w:rPr>
          <w:rFonts w:asciiTheme="minorHAnsi" w:hAnsiTheme="minorHAnsi" w:cstheme="minorHAnsi"/>
          <w:sz w:val="24"/>
          <w:lang w:val="en-US"/>
        </w:rPr>
        <w:t>Obligation under EMIR (no.1), dated 11 July 2014 (the “</w:t>
      </w:r>
      <w:r>
        <w:rPr>
          <w:rFonts w:asciiTheme="minorHAnsi" w:hAnsiTheme="minorHAnsi" w:cstheme="minorHAnsi"/>
          <w:b/>
          <w:sz w:val="24"/>
          <w:lang w:val="en-US"/>
        </w:rPr>
        <w:t>Consultation Paper</w:t>
      </w:r>
      <w:r>
        <w:rPr>
          <w:rFonts w:asciiTheme="minorHAnsi" w:hAnsiTheme="minorHAnsi" w:cstheme="minorHAnsi"/>
          <w:sz w:val="24"/>
          <w:lang w:val="en-US"/>
        </w:rPr>
        <w:t>”).  MFA strongly supports the goals and efforts of European policymakers to reduce systemic risk in the derivatives market, a core aspect of which is transitioning the over-the-count</w:t>
      </w:r>
      <w:r>
        <w:rPr>
          <w:rFonts w:asciiTheme="minorHAnsi" w:hAnsiTheme="minorHAnsi" w:cstheme="minorHAnsi"/>
          <w:sz w:val="24"/>
          <w:lang w:val="en-US"/>
        </w:rPr>
        <w:t>er (“</w:t>
      </w:r>
      <w:r>
        <w:rPr>
          <w:rFonts w:asciiTheme="minorHAnsi" w:hAnsiTheme="minorHAnsi" w:cstheme="minorHAnsi"/>
          <w:b/>
          <w:sz w:val="24"/>
          <w:lang w:val="en-US"/>
        </w:rPr>
        <w:t>OTC</w:t>
      </w:r>
      <w:r>
        <w:rPr>
          <w:rFonts w:asciiTheme="minorHAnsi" w:hAnsiTheme="minorHAnsi" w:cstheme="minorHAnsi"/>
          <w:sz w:val="24"/>
          <w:lang w:val="en-US"/>
        </w:rPr>
        <w:t>”) derivatives market to greater central clearing.  MFA supports a thoughtful approach to central clearing that ensures that only appropriate products are subject to the clearing obligation.  We believe that such an approach to mandatory clearing w</w:t>
      </w:r>
      <w:r>
        <w:rPr>
          <w:rFonts w:asciiTheme="minorHAnsi" w:hAnsiTheme="minorHAnsi" w:cstheme="minorHAnsi"/>
          <w:sz w:val="24"/>
          <w:lang w:val="en-US"/>
        </w:rPr>
        <w:t>ill: (</w:t>
      </w:r>
      <w:proofErr w:type="spellStart"/>
      <w:r>
        <w:rPr>
          <w:rFonts w:asciiTheme="minorHAnsi" w:hAnsiTheme="minorHAnsi" w:cstheme="minorHAnsi"/>
          <w:sz w:val="24"/>
          <w:lang w:val="en-US"/>
        </w:rPr>
        <w:t>i</w:t>
      </w:r>
      <w:proofErr w:type="spellEnd"/>
      <w:r>
        <w:rPr>
          <w:rFonts w:asciiTheme="minorHAnsi" w:hAnsiTheme="minorHAnsi" w:cstheme="minorHAnsi"/>
          <w:sz w:val="24"/>
          <w:lang w:val="en-US"/>
        </w:rPr>
        <w:t xml:space="preserve">) increase transparency of the derivatives market; (ii) reduce counterparty and operational risk in trading; and (iii) enhance market integrity and oversight.  </w:t>
      </w:r>
    </w:p>
    <w:p w:rsidR="00197956" w:rsidRDefault="00197956">
      <w:pPr>
        <w:jc w:val="both"/>
        <w:rPr>
          <w:rFonts w:asciiTheme="minorHAnsi" w:hAnsiTheme="minorHAnsi" w:cstheme="minorHAnsi"/>
          <w:sz w:val="24"/>
          <w:lang w:val="en-US"/>
        </w:rPr>
      </w:pPr>
    </w:p>
    <w:p w:rsidR="00197956" w:rsidRDefault="00B26780">
      <w:pPr>
        <w:jc w:val="both"/>
        <w:rPr>
          <w:rFonts w:ascii="Times New Roman" w:hAnsi="Times New Roman"/>
          <w:sz w:val="24"/>
          <w:lang w:val="en-US"/>
        </w:rPr>
      </w:pPr>
      <w:r>
        <w:rPr>
          <w:rFonts w:asciiTheme="minorHAnsi" w:hAnsiTheme="minorHAnsi" w:cstheme="minorHAnsi"/>
          <w:sz w:val="24"/>
          <w:lang w:val="en-US"/>
        </w:rPr>
        <w:t xml:space="preserve">In response to the Consultation Paper, MFA emphasizes that it is crucial that ESMA and </w:t>
      </w:r>
      <w:r>
        <w:rPr>
          <w:rFonts w:asciiTheme="minorHAnsi" w:hAnsiTheme="minorHAnsi" w:cstheme="minorHAnsi"/>
          <w:sz w:val="24"/>
          <w:lang w:val="en-US"/>
        </w:rPr>
        <w:t xml:space="preserve">regulators in other jurisdictions </w:t>
      </w:r>
      <w:r>
        <w:rPr>
          <w:rFonts w:asciiTheme="minorHAnsi" w:hAnsiTheme="minorHAnsi" w:cstheme="minorHAnsi"/>
          <w:sz w:val="24"/>
        </w:rPr>
        <w:t xml:space="preserve">focus on promptly resolving outstanding issues related to </w:t>
      </w:r>
      <w:r>
        <w:rPr>
          <w:rFonts w:asciiTheme="minorHAnsi" w:hAnsiTheme="minorHAnsi" w:cstheme="minorHAnsi"/>
          <w:sz w:val="24"/>
          <w:lang w:val="en-US"/>
        </w:rPr>
        <w:t>substituted compliance and equivalence.  Significant uncertainty remains as to the extent to which regulators in different jurisdictions will recognize and give def</w:t>
      </w:r>
      <w:r>
        <w:rPr>
          <w:rFonts w:asciiTheme="minorHAnsi" w:hAnsiTheme="minorHAnsi" w:cstheme="minorHAnsi"/>
          <w:sz w:val="24"/>
          <w:lang w:val="en-US"/>
        </w:rPr>
        <w:t>erence to other equivalent regulatory regimes.  The outcome of regulators’ discussions around these issues will have practical effects on mandatory clearing and the measures market participants will need to employ to comply with the relevant mandatory clea</w:t>
      </w:r>
      <w:r>
        <w:rPr>
          <w:rFonts w:asciiTheme="minorHAnsi" w:hAnsiTheme="minorHAnsi" w:cstheme="minorHAnsi"/>
          <w:sz w:val="24"/>
          <w:lang w:val="en-US"/>
        </w:rPr>
        <w:t>ring requirements.  As a result of this uncertainty, it is difficult, for example, to provide a definitive recommendation on the timing that is appropriate for phase in of mandatory clearing of interest rate OTC derivative classes (“</w:t>
      </w:r>
      <w:r>
        <w:rPr>
          <w:rFonts w:asciiTheme="minorHAnsi" w:hAnsiTheme="minorHAnsi" w:cstheme="minorHAnsi"/>
          <w:b/>
          <w:sz w:val="24"/>
          <w:lang w:val="en-US"/>
        </w:rPr>
        <w:t>IRS</w:t>
      </w:r>
      <w:r>
        <w:rPr>
          <w:rFonts w:asciiTheme="minorHAnsi" w:hAnsiTheme="minorHAnsi" w:cstheme="minorHAnsi"/>
          <w:sz w:val="24"/>
          <w:lang w:val="en-US"/>
        </w:rPr>
        <w:t>”) in the European U</w:t>
      </w:r>
      <w:r>
        <w:rPr>
          <w:rFonts w:asciiTheme="minorHAnsi" w:hAnsiTheme="minorHAnsi" w:cstheme="minorHAnsi"/>
          <w:sz w:val="24"/>
          <w:lang w:val="en-US"/>
        </w:rPr>
        <w:t>nion (the “</w:t>
      </w:r>
      <w:r>
        <w:rPr>
          <w:rFonts w:asciiTheme="minorHAnsi" w:hAnsiTheme="minorHAnsi" w:cstheme="minorHAnsi"/>
          <w:b/>
          <w:sz w:val="24"/>
          <w:lang w:val="en-US"/>
        </w:rPr>
        <w:t>EU</w:t>
      </w:r>
      <w:r>
        <w:rPr>
          <w:rFonts w:asciiTheme="minorHAnsi" w:hAnsiTheme="minorHAnsi" w:cstheme="minorHAnsi"/>
          <w:sz w:val="24"/>
          <w:lang w:val="en-US"/>
        </w:rPr>
        <w:t>”).  Developing such a recommendation requires market participants to make a number of assumptions, including as to the central counterparties (“</w:t>
      </w:r>
      <w:r>
        <w:rPr>
          <w:rFonts w:ascii="Times New Roman" w:hAnsi="Times New Roman"/>
          <w:b/>
          <w:sz w:val="24"/>
          <w:lang w:val="en-US"/>
        </w:rPr>
        <w:t>CCPs</w:t>
      </w:r>
      <w:r>
        <w:rPr>
          <w:rFonts w:ascii="Times New Roman" w:hAnsi="Times New Roman"/>
          <w:sz w:val="24"/>
          <w:lang w:val="en-US"/>
        </w:rPr>
        <w:t>”) through which they will be permitted to clear IRS</w:t>
      </w:r>
      <w:r>
        <w:rPr>
          <w:rFonts w:ascii="Times New Roman" w:hAnsi="Times New Roman"/>
          <w:sz w:val="24"/>
        </w:rPr>
        <w:t xml:space="preserve">.  Therefore, MFA urges prompt resolution </w:t>
      </w:r>
      <w:r>
        <w:rPr>
          <w:rFonts w:ascii="Times New Roman" w:hAnsi="Times New Roman"/>
          <w:sz w:val="24"/>
        </w:rPr>
        <w:t>of the matters that we discuss immediately below and in response to Q8 prior to the commencement of mandatory clearing in the EU.</w:t>
      </w:r>
    </w:p>
    <w:p w:rsidR="00197956" w:rsidRDefault="00197956">
      <w:pPr>
        <w:jc w:val="both"/>
        <w:rPr>
          <w:rFonts w:ascii="Times New Roman" w:hAnsi="Times New Roman"/>
          <w:sz w:val="24"/>
          <w:lang w:val="en-US"/>
        </w:rPr>
      </w:pPr>
    </w:p>
    <w:p w:rsidR="00197956" w:rsidRDefault="00B26780">
      <w:pPr>
        <w:jc w:val="both"/>
        <w:rPr>
          <w:rFonts w:ascii="Times New Roman" w:hAnsi="Times New Roman"/>
          <w:sz w:val="24"/>
          <w:lang w:val="en-US"/>
        </w:rPr>
      </w:pPr>
      <w:r>
        <w:rPr>
          <w:rFonts w:ascii="Times New Roman" w:hAnsi="Times New Roman"/>
          <w:sz w:val="24"/>
          <w:lang w:val="en-US"/>
        </w:rPr>
        <w:t xml:space="preserve">One critical, outstanding issue is that it is necessary for derivatives regulatory reforms in the EU and other jurisdictions </w:t>
      </w:r>
      <w:r>
        <w:rPr>
          <w:rFonts w:ascii="Times New Roman" w:hAnsi="Times New Roman"/>
          <w:sz w:val="24"/>
          <w:lang w:val="en-US"/>
        </w:rPr>
        <w:t xml:space="preserve">to permit access to, and competition among, CCPs.  </w:t>
      </w:r>
      <w:r>
        <w:rPr>
          <w:rFonts w:ascii="Times New Roman" w:hAnsi="Times New Roman"/>
          <w:sz w:val="24"/>
        </w:rPr>
        <w:t xml:space="preserve">In particular, it is </w:t>
      </w:r>
      <w:r>
        <w:rPr>
          <w:rFonts w:ascii="Times New Roman" w:hAnsi="Times New Roman"/>
          <w:sz w:val="24"/>
        </w:rPr>
        <w:lastRenderedPageBreak/>
        <w:t>important that EU and non-EU regulators or policy makers, as applicable, recognize CCPs organized outside their jurisdiction (</w:t>
      </w:r>
      <w:r>
        <w:rPr>
          <w:rFonts w:ascii="Times New Roman" w:hAnsi="Times New Roman"/>
          <w:i/>
          <w:sz w:val="24"/>
        </w:rPr>
        <w:t>i.e.</w:t>
      </w:r>
      <w:r>
        <w:rPr>
          <w:rFonts w:ascii="Times New Roman" w:hAnsi="Times New Roman"/>
          <w:sz w:val="24"/>
        </w:rPr>
        <w:t>, third country CCPs) in due course.</w:t>
      </w:r>
      <w:r>
        <w:rPr>
          <w:rFonts w:ascii="Times New Roman" w:hAnsi="Times New Roman"/>
          <w:sz w:val="24"/>
          <w:lang w:val="en-US"/>
        </w:rPr>
        <w:t xml:space="preserve">  </w:t>
      </w:r>
    </w:p>
    <w:p w:rsidR="00197956" w:rsidRDefault="00197956">
      <w:pPr>
        <w:jc w:val="both"/>
        <w:rPr>
          <w:rFonts w:ascii="Times New Roman" w:hAnsi="Times New Roman"/>
          <w:sz w:val="24"/>
          <w:highlight w:val="yellow"/>
          <w:lang w:val="en-US"/>
        </w:rPr>
      </w:pPr>
    </w:p>
    <w:p w:rsidR="00197956" w:rsidRDefault="00B26780">
      <w:pPr>
        <w:jc w:val="both"/>
        <w:rPr>
          <w:rFonts w:asciiTheme="minorHAnsi" w:hAnsiTheme="minorHAnsi" w:cstheme="minorHAnsi"/>
          <w:sz w:val="24"/>
          <w:lang w:val="en-US"/>
        </w:rPr>
      </w:pPr>
      <w:r>
        <w:rPr>
          <w:rFonts w:ascii="Times New Roman" w:hAnsi="Times New Roman"/>
          <w:sz w:val="24"/>
          <w:lang w:val="en-US"/>
        </w:rPr>
        <w:t xml:space="preserve">Many entities </w:t>
      </w:r>
      <w:r>
        <w:rPr>
          <w:rFonts w:ascii="Times New Roman" w:hAnsi="Times New Roman"/>
          <w:sz w:val="24"/>
          <w:lang w:val="en-US"/>
        </w:rPr>
        <w:t>subject to the European Market Infrastructure Regulation (“</w:t>
      </w:r>
      <w:r>
        <w:rPr>
          <w:rFonts w:ascii="Times New Roman" w:hAnsi="Times New Roman"/>
          <w:b/>
          <w:sz w:val="24"/>
          <w:lang w:val="en-US"/>
        </w:rPr>
        <w:t>EMIR</w:t>
      </w:r>
      <w:r>
        <w:rPr>
          <w:rFonts w:ascii="Times New Roman" w:hAnsi="Times New Roman"/>
          <w:sz w:val="24"/>
          <w:lang w:val="en-US"/>
        </w:rPr>
        <w:t>”) enter into derivative contracts with entities subject to equivalent regulations in other jurisdictions, such as the rules of the U.S. Commodity Futures and Trading Commission (“</w:t>
      </w:r>
      <w:r>
        <w:rPr>
          <w:rFonts w:ascii="Times New Roman" w:hAnsi="Times New Roman"/>
          <w:b/>
          <w:sz w:val="24"/>
          <w:lang w:val="en-US"/>
        </w:rPr>
        <w:t>CFTC</w:t>
      </w:r>
      <w:r>
        <w:rPr>
          <w:rFonts w:ascii="Times New Roman" w:hAnsi="Times New Roman"/>
          <w:sz w:val="24"/>
          <w:lang w:val="en-US"/>
        </w:rPr>
        <w:t>”).  As a</w:t>
      </w:r>
      <w:r>
        <w:rPr>
          <w:rFonts w:ascii="Times New Roman" w:hAnsi="Times New Roman"/>
          <w:sz w:val="24"/>
          <w:lang w:val="en-US"/>
        </w:rPr>
        <w:t xml:space="preserve"> result, as the various jurisdictions implement mandatory clearing, such cross-border derivative contracts may become subject to duplicative or conflicting clearing obligations.  </w:t>
      </w:r>
      <w:proofErr w:type="gramStart"/>
      <w:r>
        <w:rPr>
          <w:rFonts w:ascii="Times New Roman" w:hAnsi="Times New Roman"/>
          <w:sz w:val="24"/>
          <w:lang w:val="en-US"/>
        </w:rPr>
        <w:t>For example, where an entity classified as a financial counterparty</w:t>
      </w:r>
      <w:r>
        <w:rPr>
          <w:rFonts w:asciiTheme="minorHAnsi" w:hAnsiTheme="minorHAnsi" w:cstheme="minorHAnsi"/>
          <w:sz w:val="24"/>
          <w:lang w:val="en-US"/>
        </w:rPr>
        <w:t xml:space="preserve"> (“</w:t>
      </w:r>
      <w:r>
        <w:rPr>
          <w:rFonts w:asciiTheme="minorHAnsi" w:hAnsiTheme="minorHAnsi" w:cstheme="minorHAnsi"/>
          <w:b/>
          <w:sz w:val="24"/>
          <w:lang w:val="en-US"/>
        </w:rPr>
        <w:t>FC</w:t>
      </w:r>
      <w:r>
        <w:rPr>
          <w:rFonts w:asciiTheme="minorHAnsi" w:hAnsiTheme="minorHAnsi" w:cstheme="minorHAnsi"/>
          <w:sz w:val="24"/>
          <w:lang w:val="en-US"/>
        </w:rPr>
        <w:t>”) or</w:t>
      </w:r>
      <w:r>
        <w:rPr>
          <w:rFonts w:asciiTheme="minorHAnsi" w:hAnsiTheme="minorHAnsi" w:cstheme="minorHAnsi"/>
          <w:sz w:val="24"/>
          <w:lang w:val="en-US"/>
        </w:rPr>
        <w:t xml:space="preserve"> a non-financial counterparty (“</w:t>
      </w:r>
      <w:r>
        <w:rPr>
          <w:rFonts w:asciiTheme="minorHAnsi" w:hAnsiTheme="minorHAnsi" w:cstheme="minorHAnsi"/>
          <w:b/>
          <w:sz w:val="24"/>
          <w:lang w:val="en-US"/>
        </w:rPr>
        <w:t>NFC</w:t>
      </w:r>
      <w:r>
        <w:rPr>
          <w:rFonts w:asciiTheme="minorHAnsi" w:hAnsiTheme="minorHAnsi" w:cstheme="minorHAnsi"/>
          <w:sz w:val="24"/>
          <w:lang w:val="en-US"/>
        </w:rPr>
        <w:t>”) exceeding the clearing threshold (“</w:t>
      </w:r>
      <w:r>
        <w:rPr>
          <w:rFonts w:asciiTheme="minorHAnsi" w:hAnsiTheme="minorHAnsi" w:cstheme="minorHAnsi"/>
          <w:b/>
          <w:sz w:val="24"/>
          <w:lang w:val="en-US"/>
        </w:rPr>
        <w:t>NFC+</w:t>
      </w:r>
      <w:r>
        <w:rPr>
          <w:rFonts w:asciiTheme="minorHAnsi" w:hAnsiTheme="minorHAnsi" w:cstheme="minorHAnsi"/>
          <w:sz w:val="24"/>
          <w:lang w:val="en-US"/>
        </w:rPr>
        <w:t>”) is required to clear derivative contracts in accordance with EMIR and its counterparty is required to clear derivative contracts in accordance with the rules of another jurisdi</w:t>
      </w:r>
      <w:r>
        <w:rPr>
          <w:rFonts w:asciiTheme="minorHAnsi" w:hAnsiTheme="minorHAnsi" w:cstheme="minorHAnsi"/>
          <w:sz w:val="24"/>
          <w:lang w:val="en-US"/>
        </w:rPr>
        <w:t>ction, then only if the requirements of the two regimes are not in conflict would clearing the trade be possible.</w:t>
      </w:r>
      <w:proofErr w:type="gramEnd"/>
      <w:r>
        <w:rPr>
          <w:rFonts w:asciiTheme="minorHAnsi" w:hAnsiTheme="minorHAnsi" w:cstheme="minorHAnsi"/>
          <w:sz w:val="24"/>
          <w:lang w:val="en-US"/>
        </w:rPr>
        <w:t xml:space="preserve">  Therefore, one necessary component of resolving any potential conflicts between different clearing obligations is for ESMA to recognize third</w:t>
      </w:r>
      <w:r>
        <w:rPr>
          <w:rFonts w:asciiTheme="minorHAnsi" w:hAnsiTheme="minorHAnsi" w:cstheme="minorHAnsi"/>
          <w:sz w:val="24"/>
          <w:lang w:val="en-US"/>
        </w:rPr>
        <w:t xml:space="preserve"> country CCPs, and thus, permit FCs and NFC+s to clear through the same CCPs through which their non-EU counterparties are permitted to clear.  </w:t>
      </w:r>
    </w:p>
    <w:p w:rsidR="00197956" w:rsidRDefault="00197956">
      <w:pPr>
        <w:jc w:val="both"/>
        <w:rPr>
          <w:rFonts w:asciiTheme="minorHAnsi" w:hAnsiTheme="minorHAnsi" w:cstheme="minorHAnsi"/>
          <w:sz w:val="24"/>
          <w:lang w:val="en-US"/>
        </w:rPr>
      </w:pPr>
    </w:p>
    <w:p w:rsidR="00197956" w:rsidRDefault="00B26780">
      <w:pPr>
        <w:jc w:val="both"/>
        <w:rPr>
          <w:rFonts w:asciiTheme="minorHAnsi" w:hAnsiTheme="minorHAnsi" w:cstheme="minorHAnsi"/>
          <w:sz w:val="24"/>
          <w:lang w:val="en-US"/>
        </w:rPr>
      </w:pPr>
      <w:r>
        <w:rPr>
          <w:rFonts w:asciiTheme="minorHAnsi" w:hAnsiTheme="minorHAnsi" w:cstheme="minorHAnsi"/>
          <w:sz w:val="24"/>
          <w:lang w:val="en-US"/>
        </w:rPr>
        <w:t>Because of the widespread, global implementation of mandatory clearing, recognition of such third country CCPs</w:t>
      </w:r>
      <w:r>
        <w:rPr>
          <w:rFonts w:asciiTheme="minorHAnsi" w:hAnsiTheme="minorHAnsi" w:cstheme="minorHAnsi"/>
          <w:sz w:val="24"/>
          <w:lang w:val="en-US"/>
        </w:rPr>
        <w:t xml:space="preserve"> is important to ensure that market participants have sufficient access to and availability of CCPs organized in EU </w:t>
      </w:r>
      <w:r>
        <w:rPr>
          <w:rFonts w:ascii="Times New Roman" w:hAnsi="Times New Roman"/>
          <w:sz w:val="24"/>
          <w:lang w:val="en-US"/>
        </w:rPr>
        <w:t xml:space="preserve">and non-EU jurisdictions, and that there is sufficient competition among such CCPs.  Otherwise, </w:t>
      </w:r>
      <w:r>
        <w:rPr>
          <w:rFonts w:ascii="Times New Roman" w:hAnsi="Times New Roman"/>
          <w:sz w:val="24"/>
        </w:rPr>
        <w:t>in contravention of EMIR (Recital 14 of EMIR</w:t>
      </w:r>
      <w:r>
        <w:rPr>
          <w:rFonts w:ascii="Times New Roman" w:hAnsi="Times New Roman"/>
          <w:sz w:val="24"/>
        </w:rPr>
        <w:t>),</w:t>
      </w:r>
      <w:r>
        <w:rPr>
          <w:rFonts w:ascii="Times New Roman" w:hAnsi="Times New Roman"/>
          <w:sz w:val="24"/>
          <w:lang w:val="en-US"/>
        </w:rPr>
        <w:t xml:space="preserve"> there is potential that the derivatives market will become fragmented along jurisdictional lines, which could significantly harm the market by, among other things, impeding competition, impairing portability, limiting participant</w:t>
      </w:r>
      <w:r>
        <w:rPr>
          <w:rFonts w:asciiTheme="minorHAnsi" w:hAnsiTheme="minorHAnsi" w:cstheme="minorHAnsi"/>
          <w:sz w:val="24"/>
          <w:lang w:val="en-US"/>
        </w:rPr>
        <w:t xml:space="preserve"> access to clearing, and</w:t>
      </w:r>
      <w:r>
        <w:rPr>
          <w:rFonts w:asciiTheme="minorHAnsi" w:hAnsiTheme="minorHAnsi" w:cstheme="minorHAnsi"/>
          <w:sz w:val="24"/>
          <w:lang w:val="en-US"/>
        </w:rPr>
        <w:t xml:space="preserve"> ultimately creating artificial barriers across the global marketplace and different instrument types.  </w:t>
      </w:r>
    </w:p>
    <w:p w:rsidR="00197956" w:rsidRDefault="00197956">
      <w:pPr>
        <w:jc w:val="both"/>
        <w:rPr>
          <w:rFonts w:asciiTheme="minorHAnsi" w:hAnsiTheme="minorHAnsi" w:cstheme="minorHAnsi"/>
          <w:sz w:val="24"/>
          <w:lang w:val="en-US"/>
        </w:rPr>
      </w:pPr>
    </w:p>
    <w:p w:rsidR="00197956" w:rsidRDefault="00B26780">
      <w:pPr>
        <w:jc w:val="both"/>
        <w:rPr>
          <w:rFonts w:asciiTheme="minorHAnsi" w:hAnsiTheme="minorHAnsi" w:cstheme="minorHAnsi"/>
          <w:sz w:val="24"/>
          <w:lang w:val="en-US"/>
        </w:rPr>
      </w:pPr>
      <w:r>
        <w:rPr>
          <w:rFonts w:asciiTheme="minorHAnsi" w:hAnsiTheme="minorHAnsi" w:cstheme="minorHAnsi"/>
          <w:sz w:val="24"/>
          <w:lang w:val="en-US"/>
        </w:rPr>
        <w:t xml:space="preserve">MFA notes the recent statement by Commissioner Michel </w:t>
      </w:r>
      <w:proofErr w:type="spellStart"/>
      <w:r>
        <w:rPr>
          <w:rFonts w:asciiTheme="minorHAnsi" w:hAnsiTheme="minorHAnsi" w:cstheme="minorHAnsi"/>
          <w:sz w:val="24"/>
          <w:lang w:val="en-US"/>
        </w:rPr>
        <w:t>Barnier</w:t>
      </w:r>
      <w:proofErr w:type="spellEnd"/>
      <w:r>
        <w:rPr>
          <w:rFonts w:asciiTheme="minorHAnsi" w:hAnsiTheme="minorHAnsi" w:cstheme="minorHAnsi"/>
          <w:sz w:val="24"/>
          <w:lang w:val="en-US"/>
        </w:rPr>
        <w:t xml:space="preserve"> that U.S. CCPs will not be included in the first batch of CCPs that ESMA will recognize </w:t>
      </w:r>
      <w:r>
        <w:rPr>
          <w:rFonts w:asciiTheme="minorHAnsi" w:hAnsiTheme="minorHAnsi" w:cstheme="minorHAnsi"/>
          <w:sz w:val="24"/>
          <w:lang w:val="en-US"/>
        </w:rPr>
        <w:t xml:space="preserve">under Article 25 of EMIR.  Rather, Commissioner </w:t>
      </w:r>
      <w:proofErr w:type="spellStart"/>
      <w:r>
        <w:rPr>
          <w:rFonts w:asciiTheme="minorHAnsi" w:hAnsiTheme="minorHAnsi" w:cstheme="minorHAnsi"/>
          <w:sz w:val="24"/>
          <w:lang w:val="en-US"/>
        </w:rPr>
        <w:t>Barnier</w:t>
      </w:r>
      <w:proofErr w:type="spellEnd"/>
      <w:r>
        <w:rPr>
          <w:rFonts w:asciiTheme="minorHAnsi" w:hAnsiTheme="minorHAnsi" w:cstheme="minorHAnsi"/>
          <w:sz w:val="24"/>
          <w:lang w:val="en-US"/>
        </w:rPr>
        <w:t xml:space="preserve"> stated that the European Commission’s (“</w:t>
      </w:r>
      <w:r>
        <w:rPr>
          <w:rFonts w:asciiTheme="minorHAnsi" w:hAnsiTheme="minorHAnsi" w:cstheme="minorHAnsi"/>
          <w:b/>
          <w:sz w:val="24"/>
          <w:lang w:val="en-US"/>
        </w:rPr>
        <w:t>EC</w:t>
      </w:r>
      <w:r>
        <w:rPr>
          <w:rFonts w:asciiTheme="minorHAnsi" w:hAnsiTheme="minorHAnsi" w:cstheme="minorHAnsi"/>
          <w:sz w:val="24"/>
          <w:lang w:val="en-US"/>
        </w:rPr>
        <w:t xml:space="preserve">”) technical talks with the CFTC are progressing well and that he is confident that the two jurisdictions will be able to agree on outcomes-based assessments </w:t>
      </w:r>
      <w:r>
        <w:rPr>
          <w:rFonts w:asciiTheme="minorHAnsi" w:hAnsiTheme="minorHAnsi" w:cstheme="minorHAnsi"/>
          <w:sz w:val="24"/>
          <w:lang w:val="en-US"/>
        </w:rPr>
        <w:t>of rules and on aligning key aspects of margin requirements to avoid arbitrage opportunities (</w:t>
      </w:r>
      <w:hyperlink r:id="rId13" w:history="1">
        <w:r>
          <w:rPr>
            <w:rStyle w:val="Hyperlink"/>
            <w:rFonts w:asciiTheme="minorHAnsi" w:hAnsiTheme="minorHAnsi" w:cstheme="minorHAnsi"/>
            <w:sz w:val="24"/>
            <w:lang w:val="en-US"/>
          </w:rPr>
          <w:t>http://europa.eu/rapid/press-release_STATEMENT-14-211_en.htm</w:t>
        </w:r>
      </w:hyperlink>
      <w:r>
        <w:rPr>
          <w:rFonts w:asciiTheme="minorHAnsi" w:hAnsiTheme="minorHAnsi" w:cstheme="minorHAnsi"/>
          <w:sz w:val="24"/>
          <w:lang w:val="en-US"/>
        </w:rPr>
        <w:t xml:space="preserve">).  </w:t>
      </w:r>
    </w:p>
    <w:p w:rsidR="00197956" w:rsidRDefault="00197956">
      <w:pPr>
        <w:jc w:val="both"/>
        <w:rPr>
          <w:rFonts w:asciiTheme="minorHAnsi" w:hAnsiTheme="minorHAnsi" w:cstheme="minorHAnsi"/>
          <w:sz w:val="24"/>
          <w:lang w:val="en-US"/>
        </w:rPr>
      </w:pPr>
    </w:p>
    <w:p w:rsidR="00197956" w:rsidRDefault="00B26780">
      <w:pPr>
        <w:jc w:val="both"/>
      </w:pPr>
      <w:r>
        <w:rPr>
          <w:rFonts w:asciiTheme="minorHAnsi" w:hAnsiTheme="minorHAnsi" w:cstheme="minorHAnsi"/>
          <w:sz w:val="24"/>
          <w:lang w:val="en-US"/>
        </w:rPr>
        <w:t>MFA strongly suppor</w:t>
      </w:r>
      <w:r>
        <w:rPr>
          <w:rFonts w:asciiTheme="minorHAnsi" w:hAnsiTheme="minorHAnsi" w:cstheme="minorHAnsi"/>
          <w:sz w:val="24"/>
          <w:lang w:val="en-US"/>
        </w:rPr>
        <w:t xml:space="preserve">ts Commissioner </w:t>
      </w:r>
      <w:proofErr w:type="spellStart"/>
      <w:r>
        <w:rPr>
          <w:rFonts w:asciiTheme="minorHAnsi" w:hAnsiTheme="minorHAnsi" w:cstheme="minorHAnsi"/>
          <w:sz w:val="24"/>
          <w:lang w:val="en-US"/>
        </w:rPr>
        <w:t>Barnier’s</w:t>
      </w:r>
      <w:proofErr w:type="spellEnd"/>
      <w:r>
        <w:rPr>
          <w:rFonts w:asciiTheme="minorHAnsi" w:hAnsiTheme="minorHAnsi" w:cstheme="minorHAnsi"/>
          <w:sz w:val="24"/>
          <w:lang w:val="en-US"/>
        </w:rPr>
        <w:t xml:space="preserve"> desire to resolve any outstanding differences such that U.S. CCPs will be included amongst the next batch of CCPs granted recognition by ESMA.  However, in the event of any delay in recognition of U.S. CCPs, we emphasize that it i</w:t>
      </w:r>
      <w:r>
        <w:rPr>
          <w:rFonts w:asciiTheme="minorHAnsi" w:hAnsiTheme="minorHAnsi" w:cstheme="minorHAnsi"/>
          <w:sz w:val="24"/>
          <w:lang w:val="en-US"/>
        </w:rPr>
        <w:t>s of critical importance that the EC grant such recognition prior to a clearing obligation applying under EMIR.  Many market participants that will be subject to the EMIR clearing mandate are already clearing certain contracts under CFTC rules and have exi</w:t>
      </w:r>
      <w:r>
        <w:rPr>
          <w:rFonts w:asciiTheme="minorHAnsi" w:hAnsiTheme="minorHAnsi" w:cstheme="minorHAnsi"/>
          <w:sz w:val="24"/>
          <w:lang w:val="en-US"/>
        </w:rPr>
        <w:t xml:space="preserve">sting contractual arrangements and connectivity with U.S. CCPs.  It would be a significant burden from a cost, </w:t>
      </w:r>
      <w:proofErr w:type="gramStart"/>
      <w:r>
        <w:rPr>
          <w:rFonts w:asciiTheme="minorHAnsi" w:hAnsiTheme="minorHAnsi" w:cstheme="minorHAnsi"/>
          <w:sz w:val="24"/>
          <w:lang w:val="en-US"/>
        </w:rPr>
        <w:t>timing,</w:t>
      </w:r>
      <w:proofErr w:type="gramEnd"/>
      <w:r>
        <w:rPr>
          <w:rFonts w:asciiTheme="minorHAnsi" w:hAnsiTheme="minorHAnsi" w:cstheme="minorHAnsi"/>
          <w:sz w:val="24"/>
          <w:lang w:val="en-US"/>
        </w:rPr>
        <w:t xml:space="preserve"> and clearing readiness perspective for such market participants to have to establish temporary relationships with EU CCPs to be able to c</w:t>
      </w:r>
      <w:r>
        <w:rPr>
          <w:rFonts w:asciiTheme="minorHAnsi" w:hAnsiTheme="minorHAnsi" w:cstheme="minorHAnsi"/>
          <w:sz w:val="24"/>
          <w:lang w:val="en-US"/>
        </w:rPr>
        <w:t>omply with the EMIR clearing obligation.</w:t>
      </w:r>
    </w:p>
    <w:permEnd w:id="2054126309"/>
    <w:p w:rsidR="00197956" w:rsidRDefault="00B26780">
      <w:r>
        <w:t>&lt;ESMA_COMMENT_1&gt;</w:t>
      </w:r>
    </w:p>
    <w:p w:rsidR="00197956" w:rsidRDefault="00197956"/>
    <w:p w:rsidR="00197956" w:rsidRDefault="00B26780">
      <w:pPr>
        <w:pStyle w:val="Heading1"/>
      </w:pPr>
      <w:bookmarkStart w:id="3" w:name="_Toc392599421"/>
      <w:r>
        <w:lastRenderedPageBreak/>
        <w:tab/>
        <w:t>The clearing obligation procedure</w:t>
      </w:r>
      <w:bookmarkStart w:id="4" w:name="_Toc391309264"/>
      <w:bookmarkStart w:id="5" w:name="_Toc391312004"/>
      <w:bookmarkStart w:id="6" w:name="_Toc391309265"/>
      <w:bookmarkStart w:id="7" w:name="_Toc391312005"/>
      <w:bookmarkEnd w:id="3"/>
      <w:bookmarkEnd w:id="4"/>
      <w:bookmarkEnd w:id="5"/>
      <w:bookmarkEnd w:id="6"/>
      <w:bookmarkEnd w:id="7"/>
    </w:p>
    <w:p w:rsidR="00197956" w:rsidRDefault="00197956"/>
    <w:p w:rsidR="00197956" w:rsidRDefault="00B26780">
      <w:pPr>
        <w:pStyle w:val="Questions"/>
      </w:pPr>
      <w:r>
        <w:t xml:space="preserve">Question </w:t>
      </w:r>
      <w:r>
        <w:fldChar w:fldCharType="begin"/>
      </w:r>
      <w:r>
        <w:instrText xml:space="preserve"> SEQ Question \* ARABIC </w:instrText>
      </w:r>
      <w:r>
        <w:fldChar w:fldCharType="separate"/>
      </w:r>
      <w:r>
        <w:rPr>
          <w:noProof/>
        </w:rPr>
        <w:t>1</w:t>
      </w:r>
      <w:r>
        <w:rPr>
          <w:noProof/>
        </w:rPr>
        <w:fldChar w:fldCharType="end"/>
      </w:r>
      <w:r>
        <w:t>: Do you have any comment on the clearing obligation procedure described in Section 1?</w:t>
      </w:r>
    </w:p>
    <w:p w:rsidR="00197956" w:rsidRDefault="00197956"/>
    <w:p w:rsidR="00197956" w:rsidRDefault="00B26780">
      <w:r>
        <w:t>&lt;ESMA_QUESTION_1&gt;</w:t>
      </w:r>
    </w:p>
    <w:p w:rsidR="00197956" w:rsidRDefault="00B26780">
      <w:permStart w:id="1039750828" w:edGrp="everyone"/>
      <w:r>
        <w:t xml:space="preserve">TYPE YOUR TEXT </w:t>
      </w:r>
      <w:r>
        <w:t>HERE</w:t>
      </w:r>
    </w:p>
    <w:permEnd w:id="1039750828"/>
    <w:p w:rsidR="00197956" w:rsidRDefault="00B26780">
      <w:r>
        <w:t>&lt;ESMA_QUESTION_1&gt;</w:t>
      </w:r>
    </w:p>
    <w:p w:rsidR="00197956" w:rsidRDefault="00197956"/>
    <w:p w:rsidR="00197956" w:rsidRDefault="00B26780">
      <w:pPr>
        <w:pStyle w:val="Heading1"/>
      </w:pPr>
      <w:bookmarkStart w:id="8" w:name="_Toc389496892"/>
      <w:bookmarkStart w:id="9" w:name="_Toc392599422"/>
      <w:r>
        <w:tab/>
        <w:t>Structure of the interest rate derivatives classes</w:t>
      </w:r>
      <w:bookmarkEnd w:id="8"/>
      <w:bookmarkEnd w:id="9"/>
    </w:p>
    <w:p w:rsidR="00197956" w:rsidRDefault="00B26780">
      <w:pPr>
        <w:pStyle w:val="Heading2"/>
      </w:pPr>
      <w:r>
        <w:t>Characteristics to be used for interest rate derivative classes</w:t>
      </w:r>
    </w:p>
    <w:p w:rsidR="00197956" w:rsidRDefault="00B26780">
      <w:pPr>
        <w:pStyle w:val="Questions"/>
      </w:pPr>
      <w:r>
        <w:t xml:space="preserve">Question </w:t>
      </w:r>
      <w:r>
        <w:fldChar w:fldCharType="begin"/>
      </w:r>
      <w:r>
        <w:instrText xml:space="preserve"> SEQ Question \* ARABIC </w:instrText>
      </w:r>
      <w:r>
        <w:fldChar w:fldCharType="separate"/>
      </w:r>
      <w:r>
        <w:rPr>
          <w:noProof/>
        </w:rPr>
        <w:t>2</w:t>
      </w:r>
      <w:r>
        <w:rPr>
          <w:noProof/>
        </w:rPr>
        <w:fldChar w:fldCharType="end"/>
      </w:r>
      <w:r>
        <w:t>: Do you consider that the proposed structure defined here for the interest rat</w:t>
      </w:r>
      <w:r>
        <w:t>e OTC derivative classes enables counterparties to identify which contracts fall under the clearing obligation as well as allows international convergence? Please explain.</w:t>
      </w:r>
    </w:p>
    <w:p w:rsidR="00197956" w:rsidRDefault="00197956"/>
    <w:p w:rsidR="00197956" w:rsidRDefault="00B26780">
      <w:r>
        <w:t>&lt;ESMA_QUESTION_2&gt;</w:t>
      </w:r>
    </w:p>
    <w:p w:rsidR="00197956" w:rsidRDefault="00B26780">
      <w:pPr>
        <w:pStyle w:val="BodyText0"/>
        <w:jc w:val="both"/>
        <w:rPr>
          <w:rFonts w:asciiTheme="minorHAnsi" w:hAnsiTheme="minorHAnsi" w:cstheme="minorHAnsi"/>
          <w:b/>
          <w:i/>
          <w:sz w:val="24"/>
          <w:lang w:val="en-US"/>
        </w:rPr>
      </w:pPr>
      <w:permStart w:id="469450686" w:edGrp="everyone"/>
      <w:r>
        <w:rPr>
          <w:rFonts w:asciiTheme="minorHAnsi" w:hAnsiTheme="minorHAnsi" w:cstheme="minorHAnsi"/>
          <w:sz w:val="24"/>
          <w:lang w:val="en-US"/>
        </w:rPr>
        <w:t xml:space="preserve">MFA supports the proposal in the Consultation Paper for dividing </w:t>
      </w:r>
      <w:r>
        <w:rPr>
          <w:rFonts w:asciiTheme="minorHAnsi" w:hAnsiTheme="minorHAnsi" w:cstheme="minorHAnsi"/>
          <w:sz w:val="24"/>
          <w:lang w:val="en-US"/>
        </w:rPr>
        <w:t>IRS into: (</w:t>
      </w:r>
      <w:proofErr w:type="spellStart"/>
      <w:r>
        <w:rPr>
          <w:rFonts w:asciiTheme="minorHAnsi" w:hAnsiTheme="minorHAnsi" w:cstheme="minorHAnsi"/>
          <w:sz w:val="24"/>
          <w:lang w:val="en-US"/>
        </w:rPr>
        <w:t>i</w:t>
      </w:r>
      <w:proofErr w:type="spellEnd"/>
      <w:r>
        <w:rPr>
          <w:rFonts w:asciiTheme="minorHAnsi" w:hAnsiTheme="minorHAnsi" w:cstheme="minorHAnsi"/>
          <w:sz w:val="24"/>
          <w:lang w:val="en-US"/>
        </w:rPr>
        <w:t>) fixed-to-float interest rate swaps; (ii) float-to-float swaps; (iii) forward rate agreements (“</w:t>
      </w:r>
      <w:r>
        <w:rPr>
          <w:rFonts w:asciiTheme="minorHAnsi" w:hAnsiTheme="minorHAnsi" w:cstheme="minorHAnsi"/>
          <w:b/>
          <w:sz w:val="24"/>
          <w:lang w:val="en-US"/>
        </w:rPr>
        <w:t>FRAs</w:t>
      </w:r>
      <w:r>
        <w:rPr>
          <w:rFonts w:asciiTheme="minorHAnsi" w:hAnsiTheme="minorHAnsi" w:cstheme="minorHAnsi"/>
          <w:sz w:val="24"/>
          <w:lang w:val="en-US"/>
        </w:rPr>
        <w:t>”); (iv) overnight index swaps (“</w:t>
      </w:r>
      <w:r>
        <w:rPr>
          <w:rFonts w:asciiTheme="minorHAnsi" w:hAnsiTheme="minorHAnsi" w:cstheme="minorHAnsi"/>
          <w:b/>
          <w:sz w:val="24"/>
          <w:lang w:val="en-US"/>
        </w:rPr>
        <w:t>OIS</w:t>
      </w:r>
      <w:r>
        <w:rPr>
          <w:rFonts w:asciiTheme="minorHAnsi" w:hAnsiTheme="minorHAnsi" w:cstheme="minorHAnsi"/>
          <w:sz w:val="24"/>
          <w:lang w:val="en-US"/>
        </w:rPr>
        <w:t xml:space="preserve">”); and (v) options.  We believe that this structure will enable counterparties to identify in a clear and </w:t>
      </w:r>
      <w:r>
        <w:rPr>
          <w:rFonts w:asciiTheme="minorHAnsi" w:hAnsiTheme="minorHAnsi" w:cstheme="minorHAnsi"/>
          <w:sz w:val="24"/>
          <w:lang w:val="en-US"/>
        </w:rPr>
        <w:t xml:space="preserve">timely </w:t>
      </w:r>
      <w:proofErr w:type="gramStart"/>
      <w:r>
        <w:rPr>
          <w:rFonts w:asciiTheme="minorHAnsi" w:hAnsiTheme="minorHAnsi" w:cstheme="minorHAnsi"/>
          <w:sz w:val="24"/>
          <w:lang w:val="en-US"/>
        </w:rPr>
        <w:t>manner which</w:t>
      </w:r>
      <w:proofErr w:type="gramEnd"/>
      <w:r>
        <w:rPr>
          <w:rFonts w:asciiTheme="minorHAnsi" w:hAnsiTheme="minorHAnsi" w:cstheme="minorHAnsi"/>
          <w:sz w:val="24"/>
          <w:lang w:val="en-US"/>
        </w:rPr>
        <w:t xml:space="preserve"> contracts fall within the clearing obligation. </w:t>
      </w:r>
    </w:p>
    <w:p w:rsidR="00197956" w:rsidRDefault="00197956">
      <w:pPr>
        <w:pStyle w:val="BodyText0"/>
        <w:jc w:val="both"/>
        <w:rPr>
          <w:rFonts w:asciiTheme="minorHAnsi" w:hAnsiTheme="minorHAnsi" w:cstheme="minorHAnsi"/>
          <w:sz w:val="24"/>
          <w:lang w:val="en-US"/>
        </w:rPr>
      </w:pPr>
    </w:p>
    <w:p w:rsidR="00197956" w:rsidRDefault="00B26780">
      <w:pPr>
        <w:pStyle w:val="BodyText0"/>
        <w:jc w:val="both"/>
        <w:rPr>
          <w:rFonts w:asciiTheme="minorHAnsi" w:hAnsiTheme="minorHAnsi" w:cstheme="minorHAnsi"/>
          <w:sz w:val="24"/>
          <w:lang w:val="en-US"/>
        </w:rPr>
      </w:pPr>
      <w:r>
        <w:rPr>
          <w:rFonts w:asciiTheme="minorHAnsi" w:hAnsiTheme="minorHAnsi" w:cstheme="minorHAnsi"/>
          <w:sz w:val="24"/>
          <w:lang w:val="en-US"/>
        </w:rPr>
        <w:t>MFA also welcomes the approach taken by ESMA in replicating the classes of derivative contracts that the CFTC has made subject to mandatory clearing in the U.S.  We believe that this appr</w:t>
      </w:r>
      <w:r>
        <w:rPr>
          <w:rFonts w:asciiTheme="minorHAnsi" w:hAnsiTheme="minorHAnsi" w:cstheme="minorHAnsi"/>
          <w:sz w:val="24"/>
          <w:lang w:val="en-US"/>
        </w:rPr>
        <w:t>oach facilitates international convergence and the smooth implementation of the clearing obligation under EMIR, while reducing the operational burden on firms that operate on a cross-border basis.</w:t>
      </w:r>
    </w:p>
    <w:p w:rsidR="00197956" w:rsidRDefault="00197956">
      <w:pPr>
        <w:pStyle w:val="BodyText0"/>
        <w:jc w:val="both"/>
        <w:rPr>
          <w:rFonts w:asciiTheme="minorHAnsi" w:hAnsiTheme="minorHAnsi" w:cstheme="minorHAnsi"/>
          <w:sz w:val="24"/>
          <w:lang w:val="en-US"/>
        </w:rPr>
      </w:pPr>
    </w:p>
    <w:p w:rsidR="00197956" w:rsidRDefault="00B26780">
      <w:pPr>
        <w:pStyle w:val="BodyText0"/>
        <w:jc w:val="both"/>
        <w:rPr>
          <w:rFonts w:asciiTheme="minorHAnsi" w:hAnsiTheme="minorHAnsi" w:cstheme="minorHAnsi"/>
          <w:sz w:val="24"/>
          <w:lang w:val="en-US"/>
        </w:rPr>
      </w:pPr>
      <w:r>
        <w:rPr>
          <w:rFonts w:asciiTheme="minorHAnsi" w:hAnsiTheme="minorHAnsi" w:cstheme="minorHAnsi"/>
          <w:sz w:val="24"/>
          <w:lang w:val="en-US"/>
        </w:rPr>
        <w:t xml:space="preserve">We note that ESMA has taken a slightly different approach </w:t>
      </w:r>
      <w:r>
        <w:rPr>
          <w:rFonts w:asciiTheme="minorHAnsi" w:hAnsiTheme="minorHAnsi" w:cstheme="minorHAnsi"/>
          <w:sz w:val="24"/>
          <w:lang w:val="en-US"/>
        </w:rPr>
        <w:t>to the CFTC in categorizing notional amounts.  Specifically, in the Consultation Paper, ESMA divides the “notional amount type” characteristic for derivative contracts subject to EMIR mandatory clearing into three categories: “constant”, “variable</w:t>
      </w:r>
      <w:proofErr w:type="gramStart"/>
      <w:r>
        <w:rPr>
          <w:rFonts w:asciiTheme="minorHAnsi" w:hAnsiTheme="minorHAnsi" w:cstheme="minorHAnsi"/>
          <w:sz w:val="24"/>
          <w:lang w:val="en-US"/>
        </w:rPr>
        <w:t>”,</w:t>
      </w:r>
      <w:proofErr w:type="gramEnd"/>
      <w:r>
        <w:rPr>
          <w:rFonts w:asciiTheme="minorHAnsi" w:hAnsiTheme="minorHAnsi" w:cstheme="minorHAnsi"/>
          <w:sz w:val="24"/>
          <w:lang w:val="en-US"/>
        </w:rPr>
        <w:t xml:space="preserve"> and “c</w:t>
      </w:r>
      <w:r>
        <w:rPr>
          <w:rFonts w:asciiTheme="minorHAnsi" w:hAnsiTheme="minorHAnsi" w:cstheme="minorHAnsi"/>
          <w:sz w:val="24"/>
          <w:lang w:val="en-US"/>
        </w:rPr>
        <w:t>onditional”.  A “variable” notional amount refers to a notional amount that varies according to a predetermined schedule and is therefore foreseeable.  A “conditional” notional amount refers to a notional amount that is not a known number or schedule of nu</w:t>
      </w:r>
      <w:r>
        <w:rPr>
          <w:rFonts w:asciiTheme="minorHAnsi" w:hAnsiTheme="minorHAnsi" w:cstheme="minorHAnsi"/>
          <w:sz w:val="24"/>
          <w:lang w:val="en-US"/>
        </w:rPr>
        <w:t>mbers, but may change based on the occurrence of some future event.  In contrast to ESMA’s proposed approach, CFTC rules only distinguish between contracts that have a conditional notional amount and contracts that do not have a conditional notional amount</w:t>
      </w:r>
      <w:r>
        <w:rPr>
          <w:rFonts w:asciiTheme="minorHAnsi" w:hAnsiTheme="minorHAnsi" w:cstheme="minorHAnsi"/>
          <w:sz w:val="24"/>
          <w:lang w:val="en-US"/>
        </w:rPr>
        <w:t xml:space="preserve">. </w:t>
      </w:r>
    </w:p>
    <w:p w:rsidR="00197956" w:rsidRDefault="00197956">
      <w:pPr>
        <w:pStyle w:val="BodyText0"/>
        <w:jc w:val="both"/>
        <w:rPr>
          <w:rFonts w:asciiTheme="minorHAnsi" w:hAnsiTheme="minorHAnsi" w:cstheme="minorHAnsi"/>
          <w:sz w:val="24"/>
          <w:lang w:val="en-US"/>
        </w:rPr>
      </w:pPr>
    </w:p>
    <w:p w:rsidR="00197956" w:rsidRDefault="00B26780">
      <w:pPr>
        <w:jc w:val="both"/>
      </w:pPr>
      <w:r>
        <w:rPr>
          <w:rFonts w:asciiTheme="minorHAnsi" w:hAnsiTheme="minorHAnsi" w:cstheme="minorHAnsi"/>
          <w:sz w:val="24"/>
          <w:lang w:val="en-US"/>
        </w:rPr>
        <w:t>MFA appreciates that the introduction of three notional amount types allows ESMA, in the future, to distinguish contracts with more granularity than the CFTC rules would permit.  However, to assist convergence of the EU and U.S. mandatory clearing regi</w:t>
      </w:r>
      <w:r>
        <w:rPr>
          <w:rFonts w:asciiTheme="minorHAnsi" w:hAnsiTheme="minorHAnsi" w:cstheme="minorHAnsi"/>
          <w:sz w:val="24"/>
          <w:lang w:val="en-US"/>
        </w:rPr>
        <w:t>mes, we encourage ESMA to consider removing this distinction and harmonizing its approach with that of the CFTC.</w:t>
      </w:r>
    </w:p>
    <w:permEnd w:id="469450686"/>
    <w:p w:rsidR="00197956" w:rsidRDefault="00B26780">
      <w:r>
        <w:t>&lt;ESMA_QUESTION_2&gt;</w:t>
      </w:r>
    </w:p>
    <w:p w:rsidR="00197956" w:rsidRDefault="00197956"/>
    <w:p w:rsidR="00197956" w:rsidRDefault="00B26780">
      <w:pPr>
        <w:pStyle w:val="Heading2"/>
      </w:pPr>
      <w:r>
        <w:lastRenderedPageBreak/>
        <w:t>Additional Characteristics needed to cover Covered Bonds derivatives</w:t>
      </w:r>
    </w:p>
    <w:p w:rsidR="00197956" w:rsidRDefault="00B26780">
      <w:pPr>
        <w:pStyle w:val="Questions"/>
      </w:pPr>
      <w:r>
        <w:t xml:space="preserve">Question </w:t>
      </w:r>
      <w:r>
        <w:fldChar w:fldCharType="begin"/>
      </w:r>
      <w:r>
        <w:instrText xml:space="preserve"> SEQ Question \* ARABIC </w:instrText>
      </w:r>
      <w:r>
        <w:fldChar w:fldCharType="separate"/>
      </w:r>
      <w:r>
        <w:rPr>
          <w:noProof/>
        </w:rPr>
        <w:t>3</w:t>
      </w:r>
      <w:r>
        <w:rPr>
          <w:noProof/>
        </w:rPr>
        <w:fldChar w:fldCharType="end"/>
      </w:r>
      <w:r>
        <w:t xml:space="preserve">: Do you consider </w:t>
      </w:r>
      <w:r>
        <w:t>that the proposed approach on covered bonds derivatives ensures that the special characteristics of those contracts are adequately taken into account in the context of the clearing obligation? Please explain why and possible alternatives.</w:t>
      </w:r>
    </w:p>
    <w:p w:rsidR="00197956" w:rsidRDefault="00B26780">
      <w:pPr>
        <w:pStyle w:val="Questions"/>
      </w:pPr>
      <w:r>
        <w:t>Stakeholders (CCP</w:t>
      </w:r>
      <w:r>
        <w:t>s and covered bond derivatives users, in particular) are invited to provide detailed feedback on paragraph 38 above. In particular: what is the nature of the impediments (e.g. legal, technical) that CCPs are facing in this respect, if any? Has there been f</w:t>
      </w:r>
      <w:r>
        <w:t>urther discussions between CCPs and covered bond derivatives users and any progress resulting thereof?</w:t>
      </w:r>
    </w:p>
    <w:p w:rsidR="00197956" w:rsidRDefault="00197956"/>
    <w:p w:rsidR="00197956" w:rsidRDefault="00B26780">
      <w:r>
        <w:t>&lt;ESMA_QUESTION_3&gt;</w:t>
      </w:r>
    </w:p>
    <w:p w:rsidR="00197956" w:rsidRDefault="00B26780">
      <w:permStart w:id="2142837464" w:edGrp="everyone"/>
      <w:r>
        <w:t>TYPE YOUR TEXT HERE</w:t>
      </w:r>
    </w:p>
    <w:permEnd w:id="2142837464"/>
    <w:p w:rsidR="00197956" w:rsidRDefault="00B26780">
      <w:r>
        <w:t>&lt;ESMA_QUESTION_3&gt;</w:t>
      </w:r>
    </w:p>
    <w:p w:rsidR="00197956" w:rsidRDefault="00197956"/>
    <w:p w:rsidR="00197956" w:rsidRDefault="00B26780">
      <w:pPr>
        <w:pStyle w:val="Heading2"/>
      </w:pPr>
      <w:bookmarkStart w:id="10" w:name="_Ref392590661"/>
      <w:r>
        <w:t>Public Register</w:t>
      </w:r>
      <w:bookmarkEnd w:id="10"/>
    </w:p>
    <w:p w:rsidR="00197956" w:rsidRDefault="00B26780">
      <w:pPr>
        <w:pStyle w:val="Questions"/>
      </w:pPr>
      <w:r>
        <w:t xml:space="preserve">Question </w:t>
      </w:r>
      <w:r>
        <w:fldChar w:fldCharType="begin"/>
      </w:r>
      <w:r>
        <w:instrText xml:space="preserve"> SEQ Question \* ARABIC </w:instrText>
      </w:r>
      <w:r>
        <w:fldChar w:fldCharType="separate"/>
      </w:r>
      <w:r>
        <w:rPr>
          <w:noProof/>
        </w:rPr>
        <w:t>4</w:t>
      </w:r>
      <w:r>
        <w:rPr>
          <w:noProof/>
        </w:rPr>
        <w:fldChar w:fldCharType="end"/>
      </w:r>
      <w:r>
        <w:t>: Do you have any comment on the public re</w:t>
      </w:r>
      <w:r>
        <w:t xml:space="preserve">gister described in Section </w:t>
      </w:r>
      <w:r>
        <w:fldChar w:fldCharType="begin"/>
      </w:r>
      <w:r>
        <w:instrText xml:space="preserve"> REF _Ref392590661 \r \h </w:instrText>
      </w:r>
      <w:r>
        <w:fldChar w:fldCharType="separate"/>
      </w:r>
      <w:r>
        <w:t>2.3</w:t>
      </w:r>
      <w:r>
        <w:fldChar w:fldCharType="end"/>
      </w:r>
      <w:r>
        <w:t>?</w:t>
      </w:r>
    </w:p>
    <w:p w:rsidR="00197956" w:rsidRDefault="00197956"/>
    <w:p w:rsidR="00197956" w:rsidRDefault="00B26780">
      <w:r>
        <w:t>&lt;ESMA_QUESTION_4&gt;</w:t>
      </w:r>
    </w:p>
    <w:p w:rsidR="00197956" w:rsidRDefault="00B26780">
      <w:pPr>
        <w:pStyle w:val="BodyText0"/>
        <w:jc w:val="both"/>
        <w:rPr>
          <w:rFonts w:asciiTheme="minorHAnsi" w:hAnsiTheme="minorHAnsi" w:cstheme="minorHAnsi"/>
          <w:sz w:val="24"/>
          <w:lang w:val="en-US"/>
        </w:rPr>
      </w:pPr>
      <w:permStart w:id="638926218" w:edGrp="everyone"/>
      <w:r>
        <w:rPr>
          <w:rFonts w:asciiTheme="minorHAnsi" w:hAnsiTheme="minorHAnsi" w:cstheme="minorHAnsi"/>
          <w:sz w:val="24"/>
          <w:lang w:val="en-US"/>
        </w:rPr>
        <w:t xml:space="preserve">MFA notes that Article 85(1) of EMIR requires the EC to review and prepare a report on EMIR by 17 August 2015. </w:t>
      </w:r>
      <w:r>
        <w:rPr>
          <w:rFonts w:asciiTheme="minorHAnsi" w:hAnsiTheme="minorHAnsi" w:cstheme="minorHAnsi"/>
          <w:sz w:val="24"/>
          <w:lang w:val="en-US"/>
        </w:rPr>
        <w:t xml:space="preserve"> As part of that review, ESMA proposes to note that it may be necessary to review the EMIR clearing process to take into account the practical difficulties ESMA would encounter if it becomes necessary to </w:t>
      </w:r>
      <w:proofErr w:type="spellStart"/>
      <w:r>
        <w:rPr>
          <w:rFonts w:asciiTheme="minorHAnsi" w:hAnsiTheme="minorHAnsi" w:cstheme="minorHAnsi"/>
          <w:sz w:val="24"/>
          <w:lang w:val="en-US"/>
        </w:rPr>
        <w:t>disapply</w:t>
      </w:r>
      <w:proofErr w:type="spellEnd"/>
      <w:r>
        <w:rPr>
          <w:rFonts w:asciiTheme="minorHAnsi" w:hAnsiTheme="minorHAnsi" w:cstheme="minorHAnsi"/>
          <w:sz w:val="24"/>
          <w:lang w:val="en-US"/>
        </w:rPr>
        <w:t xml:space="preserve"> the clearing obligation with respect to a c</w:t>
      </w:r>
      <w:r>
        <w:rPr>
          <w:rFonts w:asciiTheme="minorHAnsi" w:hAnsiTheme="minorHAnsi" w:cstheme="minorHAnsi"/>
          <w:sz w:val="24"/>
          <w:lang w:val="en-US"/>
        </w:rPr>
        <w:t>lass of derivative.  In particular, in the Consultation Paper, ESMA notes that, in such circumstance, it would probably need to act with a level of urgency that the current procedure to amend the regulatory technical standards (“</w:t>
      </w:r>
      <w:r>
        <w:rPr>
          <w:rFonts w:asciiTheme="minorHAnsi" w:hAnsiTheme="minorHAnsi" w:cstheme="minorHAnsi"/>
          <w:b/>
          <w:sz w:val="24"/>
          <w:lang w:val="en-US"/>
        </w:rPr>
        <w:t>RTS</w:t>
      </w:r>
      <w:r>
        <w:rPr>
          <w:rFonts w:asciiTheme="minorHAnsi" w:hAnsiTheme="minorHAnsi" w:cstheme="minorHAnsi"/>
          <w:sz w:val="24"/>
          <w:lang w:val="en-US"/>
        </w:rPr>
        <w:t xml:space="preserve">”) does not envisage. </w:t>
      </w:r>
    </w:p>
    <w:p w:rsidR="00197956" w:rsidRDefault="00197956">
      <w:pPr>
        <w:pStyle w:val="BodyText0"/>
        <w:jc w:val="both"/>
        <w:rPr>
          <w:rFonts w:asciiTheme="minorHAnsi" w:hAnsiTheme="minorHAnsi" w:cstheme="minorHAnsi"/>
          <w:sz w:val="24"/>
          <w:lang w:val="en-US"/>
        </w:rPr>
      </w:pPr>
    </w:p>
    <w:p w:rsidR="00197956" w:rsidRDefault="00B26780">
      <w:pPr>
        <w:jc w:val="both"/>
        <w:rPr>
          <w:rFonts w:asciiTheme="minorHAnsi" w:hAnsiTheme="minorHAnsi" w:cstheme="minorHAnsi"/>
          <w:sz w:val="24"/>
          <w:lang w:val="en-US"/>
        </w:rPr>
      </w:pPr>
      <w:r>
        <w:rPr>
          <w:rFonts w:asciiTheme="minorHAnsi" w:hAnsiTheme="minorHAnsi" w:cstheme="minorHAnsi"/>
          <w:sz w:val="24"/>
          <w:lang w:val="en-US"/>
        </w:rPr>
        <w:t>MFA strongly supports such a review of the EMIR clearing process.  We agree with ESMA that the length of time required for it to produce new RTS in these circumstances would give rise to an undue procedural delay that would likely be detrimental to the der</w:t>
      </w:r>
      <w:r>
        <w:rPr>
          <w:rFonts w:asciiTheme="minorHAnsi" w:hAnsiTheme="minorHAnsi" w:cstheme="minorHAnsi"/>
          <w:sz w:val="24"/>
          <w:lang w:val="en-US"/>
        </w:rPr>
        <w:t>ivatives market.  For example, ESMA would need to be able to act promptly if a contract became insufficiently liquid such that parties could no longer clear the contract, or if the composition of market participants in relation to a contract shifted dramat</w:t>
      </w:r>
      <w:r>
        <w:rPr>
          <w:rFonts w:asciiTheme="minorHAnsi" w:hAnsiTheme="minorHAnsi" w:cstheme="minorHAnsi"/>
          <w:sz w:val="24"/>
          <w:lang w:val="en-US"/>
        </w:rPr>
        <w:t>ically such that there were fewer clearing members for the contract.  In the absence of prompt action by ESMA to remove such contracts from the clearing obligation, market participants might ceases entering into such contracts, which may deny them an oppor</w:t>
      </w:r>
      <w:r>
        <w:rPr>
          <w:rFonts w:asciiTheme="minorHAnsi" w:hAnsiTheme="minorHAnsi" w:cstheme="minorHAnsi"/>
          <w:sz w:val="24"/>
          <w:lang w:val="en-US"/>
        </w:rPr>
        <w:t>tunity to hedge risks.</w:t>
      </w:r>
    </w:p>
    <w:permEnd w:id="638926218"/>
    <w:p w:rsidR="00197956" w:rsidRDefault="00B26780">
      <w:r>
        <w:t>&lt;ESMA_QUESTION_4&gt;</w:t>
      </w:r>
    </w:p>
    <w:p w:rsidR="00197956" w:rsidRDefault="00B26780">
      <w:pPr>
        <w:pStyle w:val="Heading1"/>
      </w:pPr>
      <w:bookmarkStart w:id="11" w:name="_Toc389466262"/>
      <w:bookmarkStart w:id="12" w:name="_Toc389496893"/>
      <w:bookmarkStart w:id="13" w:name="_Toc392599424"/>
      <w:r>
        <w:tab/>
        <w:t>Determination of the OTC interest rate classes to be subject to the clearing obligation</w:t>
      </w:r>
      <w:bookmarkEnd w:id="11"/>
      <w:bookmarkEnd w:id="12"/>
      <w:bookmarkEnd w:id="13"/>
    </w:p>
    <w:p w:rsidR="00197956" w:rsidRDefault="00197956"/>
    <w:p w:rsidR="00197956" w:rsidRDefault="00B26780">
      <w:pPr>
        <w:pStyle w:val="Questions"/>
      </w:pPr>
      <w:r>
        <w:t xml:space="preserve">Question </w:t>
      </w:r>
      <w:r>
        <w:fldChar w:fldCharType="begin"/>
      </w:r>
      <w:r>
        <w:instrText xml:space="preserve"> SEQ Question \* ARABIC </w:instrText>
      </w:r>
      <w:r>
        <w:fldChar w:fldCharType="separate"/>
      </w:r>
      <w:r>
        <w:rPr>
          <w:noProof/>
        </w:rPr>
        <w:t>5</w:t>
      </w:r>
      <w:r>
        <w:rPr>
          <w:noProof/>
        </w:rPr>
        <w:fldChar w:fldCharType="end"/>
      </w:r>
      <w:r>
        <w:t xml:space="preserve">: In view of the criteria set in Article 5(4) of EMIR, do you consider that this set of classes addresses appropriately the systemic risk associated to interest rate OTC derivatives? Please include relevant data or information where applicable. </w:t>
      </w:r>
    </w:p>
    <w:p w:rsidR="00197956" w:rsidRDefault="00B26780">
      <w:pPr>
        <w:pStyle w:val="Questions"/>
      </w:pPr>
      <w:r>
        <w:t>Please inc</w:t>
      </w:r>
      <w:r>
        <w:t>lude relevant data or information where applicable.</w:t>
      </w:r>
    </w:p>
    <w:p w:rsidR="00197956" w:rsidRDefault="00197956"/>
    <w:p w:rsidR="00197956" w:rsidRDefault="00B26780">
      <w:r>
        <w:t>&lt;ESMA_QUESTION_5&gt;</w:t>
      </w:r>
    </w:p>
    <w:p w:rsidR="00197956" w:rsidRDefault="00B26780">
      <w:pPr>
        <w:pStyle w:val="BodyText0"/>
        <w:jc w:val="both"/>
        <w:rPr>
          <w:rFonts w:asciiTheme="minorHAnsi" w:hAnsiTheme="minorHAnsi" w:cstheme="minorHAnsi"/>
          <w:sz w:val="24"/>
          <w:lang w:val="en-US"/>
        </w:rPr>
      </w:pPr>
      <w:permStart w:id="165356439" w:edGrp="everyone"/>
      <w:r>
        <w:rPr>
          <w:rFonts w:asciiTheme="minorHAnsi" w:hAnsiTheme="minorHAnsi" w:cstheme="minorHAnsi"/>
          <w:sz w:val="24"/>
          <w:lang w:val="en-US"/>
        </w:rPr>
        <w:lastRenderedPageBreak/>
        <w:t xml:space="preserve">As noted in our response to Question 2 above, MFA applauds the approach taken by ESMA in aligning the classes of derivative contracts </w:t>
      </w:r>
      <w:proofErr w:type="gramStart"/>
      <w:r>
        <w:rPr>
          <w:rFonts w:asciiTheme="minorHAnsi" w:hAnsiTheme="minorHAnsi" w:cstheme="minorHAnsi"/>
          <w:sz w:val="24"/>
          <w:lang w:val="en-US"/>
        </w:rPr>
        <w:t>that are to be subject to the clearing obligation i</w:t>
      </w:r>
      <w:r>
        <w:rPr>
          <w:rFonts w:asciiTheme="minorHAnsi" w:hAnsiTheme="minorHAnsi" w:cstheme="minorHAnsi"/>
          <w:sz w:val="24"/>
          <w:lang w:val="en-US"/>
        </w:rPr>
        <w:t>n the EU with the classes of derivative contracts that the CFTC has declared subject to its clearing rules in the U.S.</w:t>
      </w:r>
      <w:proofErr w:type="gramEnd"/>
      <w:r>
        <w:rPr>
          <w:rFonts w:asciiTheme="minorHAnsi" w:hAnsiTheme="minorHAnsi" w:cstheme="minorHAnsi"/>
          <w:sz w:val="24"/>
          <w:lang w:val="en-US"/>
        </w:rPr>
        <w:t xml:space="preserve">  MFA believes that, by adopting this approach, ESMA will contribute significantly towards achieving international consistency and smooth </w:t>
      </w:r>
      <w:r>
        <w:rPr>
          <w:rFonts w:asciiTheme="minorHAnsi" w:hAnsiTheme="minorHAnsi" w:cstheme="minorHAnsi"/>
          <w:sz w:val="24"/>
          <w:lang w:val="en-US"/>
        </w:rPr>
        <w:t>implementation of the clearing obligation.</w:t>
      </w:r>
    </w:p>
    <w:p w:rsidR="00197956" w:rsidRDefault="00197956">
      <w:pPr>
        <w:pStyle w:val="BodyText0"/>
        <w:jc w:val="both"/>
        <w:rPr>
          <w:rFonts w:asciiTheme="minorHAnsi" w:hAnsiTheme="minorHAnsi" w:cstheme="minorHAnsi"/>
          <w:sz w:val="24"/>
          <w:lang w:val="en-US"/>
        </w:rPr>
      </w:pPr>
    </w:p>
    <w:p w:rsidR="00197956" w:rsidRDefault="00B26780">
      <w:pPr>
        <w:pStyle w:val="BodyText0"/>
        <w:jc w:val="both"/>
        <w:rPr>
          <w:rFonts w:asciiTheme="minorHAnsi" w:hAnsiTheme="minorHAnsi" w:cstheme="minorHAnsi"/>
          <w:sz w:val="24"/>
          <w:lang w:val="en-US"/>
        </w:rPr>
      </w:pPr>
      <w:r>
        <w:rPr>
          <w:rFonts w:asciiTheme="minorHAnsi" w:hAnsiTheme="minorHAnsi" w:cstheme="minorHAnsi"/>
          <w:sz w:val="24"/>
          <w:lang w:val="en-US"/>
        </w:rPr>
        <w:t>Within the different categories of IRS, MFA wishes to highlight the following areas where the approach taken by ESMA and the approach taken by the CFTC appear to diverge:</w:t>
      </w:r>
    </w:p>
    <w:p w:rsidR="00197956" w:rsidRDefault="00197956">
      <w:pPr>
        <w:pStyle w:val="BodyText0"/>
        <w:jc w:val="both"/>
        <w:rPr>
          <w:rFonts w:asciiTheme="minorHAnsi" w:hAnsiTheme="minorHAnsi" w:cstheme="minorHAnsi"/>
          <w:sz w:val="24"/>
          <w:lang w:val="en-US"/>
        </w:rPr>
      </w:pPr>
    </w:p>
    <w:p w:rsidR="00197956" w:rsidRDefault="00B26780">
      <w:pPr>
        <w:pStyle w:val="BodyText0"/>
        <w:jc w:val="both"/>
        <w:rPr>
          <w:rFonts w:asciiTheme="minorHAnsi" w:hAnsiTheme="minorHAnsi" w:cstheme="minorHAnsi"/>
          <w:sz w:val="24"/>
          <w:lang w:val="en-US"/>
        </w:rPr>
      </w:pPr>
      <w:r>
        <w:rPr>
          <w:rFonts w:asciiTheme="minorHAnsi" w:hAnsiTheme="minorHAnsi" w:cstheme="minorHAnsi"/>
          <w:sz w:val="24"/>
          <w:lang w:val="en-US"/>
        </w:rPr>
        <w:t>(1)</w:t>
      </w:r>
      <w:r>
        <w:rPr>
          <w:rFonts w:asciiTheme="minorHAnsi" w:hAnsiTheme="minorHAnsi" w:cstheme="minorHAnsi"/>
          <w:sz w:val="24"/>
          <w:lang w:val="en-US"/>
        </w:rPr>
        <w:tab/>
      </w:r>
      <w:r>
        <w:rPr>
          <w:rFonts w:asciiTheme="minorHAnsi" w:hAnsiTheme="minorHAnsi" w:cstheme="minorHAnsi"/>
          <w:i/>
          <w:sz w:val="24"/>
          <w:lang w:val="en-US"/>
        </w:rPr>
        <w:t>FRAs</w:t>
      </w:r>
      <w:r>
        <w:rPr>
          <w:rFonts w:asciiTheme="minorHAnsi" w:hAnsiTheme="minorHAnsi" w:cstheme="minorHAnsi"/>
          <w:sz w:val="24"/>
          <w:lang w:val="en-US"/>
        </w:rPr>
        <w:t>: In the Consultation Paper, ESM</w:t>
      </w:r>
      <w:r>
        <w:rPr>
          <w:rFonts w:asciiTheme="minorHAnsi" w:hAnsiTheme="minorHAnsi" w:cstheme="minorHAnsi"/>
          <w:sz w:val="24"/>
          <w:lang w:val="en-US"/>
        </w:rPr>
        <w:t>A proposes that FRAs with a settlement currency of Japanese Yen (“</w:t>
      </w:r>
      <w:r>
        <w:rPr>
          <w:rFonts w:asciiTheme="minorHAnsi" w:hAnsiTheme="minorHAnsi" w:cstheme="minorHAnsi"/>
          <w:b/>
          <w:sz w:val="24"/>
          <w:lang w:val="en-US"/>
        </w:rPr>
        <w:t>JPY</w:t>
      </w:r>
      <w:r>
        <w:rPr>
          <w:rFonts w:asciiTheme="minorHAnsi" w:hAnsiTheme="minorHAnsi" w:cstheme="minorHAnsi"/>
          <w:sz w:val="24"/>
          <w:lang w:val="en-US"/>
        </w:rPr>
        <w:t>”) not be subject to the clearing obligation.  In contrast, the CFTC subjects JPY denominated FRAs to its clearing obligation.  Although MFA appreciates that FRAs denominated in JPY accou</w:t>
      </w:r>
      <w:r>
        <w:rPr>
          <w:rFonts w:asciiTheme="minorHAnsi" w:hAnsiTheme="minorHAnsi" w:cstheme="minorHAnsi"/>
          <w:sz w:val="24"/>
          <w:lang w:val="en-US"/>
        </w:rPr>
        <w:t>nt for a small percentage of the EU FRA market, we believe there would be incremental value in ESMA aligning its approach to JPY denominated FRAs with the approach taken by the CFTC in the U.S.</w:t>
      </w:r>
    </w:p>
    <w:p w:rsidR="00197956" w:rsidRDefault="00197956">
      <w:pPr>
        <w:pStyle w:val="BodyText0"/>
        <w:jc w:val="both"/>
        <w:rPr>
          <w:rFonts w:asciiTheme="minorHAnsi" w:hAnsiTheme="minorHAnsi" w:cstheme="minorHAnsi"/>
          <w:sz w:val="24"/>
          <w:lang w:val="en-US"/>
        </w:rPr>
      </w:pPr>
    </w:p>
    <w:p w:rsidR="00197956" w:rsidRDefault="00B26780">
      <w:pPr>
        <w:pStyle w:val="BodyText0"/>
        <w:jc w:val="both"/>
        <w:rPr>
          <w:rFonts w:asciiTheme="minorHAnsi" w:hAnsiTheme="minorHAnsi" w:cstheme="minorHAnsi"/>
          <w:sz w:val="24"/>
          <w:lang w:val="en-US"/>
        </w:rPr>
      </w:pPr>
      <w:r>
        <w:rPr>
          <w:rFonts w:asciiTheme="minorHAnsi" w:hAnsiTheme="minorHAnsi" w:cstheme="minorHAnsi"/>
          <w:sz w:val="24"/>
          <w:lang w:val="en-US"/>
        </w:rPr>
        <w:t>(2)</w:t>
      </w:r>
      <w:r>
        <w:rPr>
          <w:rFonts w:asciiTheme="minorHAnsi" w:hAnsiTheme="minorHAnsi" w:cstheme="minorHAnsi"/>
          <w:sz w:val="24"/>
          <w:lang w:val="en-US"/>
        </w:rPr>
        <w:tab/>
      </w:r>
      <w:r>
        <w:rPr>
          <w:rFonts w:asciiTheme="minorHAnsi" w:hAnsiTheme="minorHAnsi" w:cstheme="minorHAnsi"/>
          <w:i/>
          <w:sz w:val="24"/>
          <w:lang w:val="en-US"/>
        </w:rPr>
        <w:t>OIS</w:t>
      </w:r>
      <w:r>
        <w:rPr>
          <w:rFonts w:asciiTheme="minorHAnsi" w:hAnsiTheme="minorHAnsi" w:cstheme="minorHAnsi"/>
          <w:sz w:val="24"/>
          <w:lang w:val="en-US"/>
        </w:rPr>
        <w:t xml:space="preserve">: ESMA proposes to subject to the clearing obligation </w:t>
      </w:r>
      <w:r>
        <w:rPr>
          <w:rFonts w:asciiTheme="minorHAnsi" w:hAnsiTheme="minorHAnsi" w:cstheme="minorHAnsi"/>
          <w:sz w:val="24"/>
          <w:lang w:val="en-US"/>
        </w:rPr>
        <w:t>OIS that meet the characteristics specified in the Consultation Paper and have a maturity of between 7 days and 3 years.  In contrast, the CFTC’s clearing obligation only extends to such contracts with a maturity of between 7 days to 2 years.  MFA consider</w:t>
      </w:r>
      <w:r>
        <w:rPr>
          <w:rFonts w:asciiTheme="minorHAnsi" w:hAnsiTheme="minorHAnsi" w:cstheme="minorHAnsi"/>
          <w:sz w:val="24"/>
          <w:lang w:val="en-US"/>
        </w:rPr>
        <w:t>s that the approach taken by ESMA in extending the clearing obligation to encompass certain additional OIS is preferable, given the liquidity of longer-dated OIS.  However, we encourage discussion between regulators to achieve consistency between the diffe</w:t>
      </w:r>
      <w:r>
        <w:rPr>
          <w:rFonts w:asciiTheme="minorHAnsi" w:hAnsiTheme="minorHAnsi" w:cstheme="minorHAnsi"/>
          <w:sz w:val="24"/>
          <w:lang w:val="en-US"/>
        </w:rPr>
        <w:t xml:space="preserve">rent clearing mandates and minimize the divergences that will apply across different jurisdictions. </w:t>
      </w:r>
    </w:p>
    <w:p w:rsidR="00197956" w:rsidRDefault="00197956">
      <w:pPr>
        <w:pStyle w:val="BodyText0"/>
        <w:jc w:val="both"/>
        <w:rPr>
          <w:rFonts w:asciiTheme="minorHAnsi" w:hAnsiTheme="minorHAnsi" w:cstheme="minorHAnsi"/>
          <w:sz w:val="24"/>
          <w:lang w:val="en-US"/>
        </w:rPr>
      </w:pPr>
    </w:p>
    <w:p w:rsidR="00197956" w:rsidRDefault="00B26780">
      <w:pPr>
        <w:pStyle w:val="BodyText0"/>
        <w:jc w:val="both"/>
        <w:rPr>
          <w:rFonts w:asciiTheme="minorHAnsi" w:hAnsiTheme="minorHAnsi" w:cstheme="minorHAnsi"/>
          <w:b/>
          <w:sz w:val="24"/>
          <w:lang w:val="en-US"/>
        </w:rPr>
      </w:pPr>
      <w:r>
        <w:rPr>
          <w:rFonts w:asciiTheme="minorHAnsi" w:hAnsiTheme="minorHAnsi" w:cstheme="minorHAnsi"/>
          <w:sz w:val="24"/>
          <w:lang w:val="en-US"/>
        </w:rPr>
        <w:t xml:space="preserve">Although, as discussed above, we support minimizing the divergences between the EU and U.S. clearing obligations, MFA believes the more significant issue </w:t>
      </w:r>
      <w:r>
        <w:rPr>
          <w:rFonts w:asciiTheme="minorHAnsi" w:hAnsiTheme="minorHAnsi" w:cstheme="minorHAnsi"/>
          <w:sz w:val="24"/>
          <w:lang w:val="en-US"/>
        </w:rPr>
        <w:t>is ensuring that, where these minor differences exist, they do not result in regulatory conflicts that prevent EU and U.S. market participants from trading with each other or require them to establish new contractual arrangements to continue trading.  Ther</w:t>
      </w:r>
      <w:r>
        <w:rPr>
          <w:rFonts w:asciiTheme="minorHAnsi" w:hAnsiTheme="minorHAnsi" w:cstheme="minorHAnsi"/>
          <w:sz w:val="24"/>
          <w:lang w:val="en-US"/>
        </w:rPr>
        <w:t>efore, as we note elsewhere in our response, MFA does not support the imposition of a clearing obligation under EMIR on any category of market participant prior to resolution of the issues discussed in our introductory comments and in our response to Q8 be</w:t>
      </w:r>
      <w:r>
        <w:rPr>
          <w:rFonts w:asciiTheme="minorHAnsi" w:hAnsiTheme="minorHAnsi" w:cstheme="minorHAnsi"/>
          <w:sz w:val="24"/>
          <w:lang w:val="en-US"/>
        </w:rPr>
        <w:t>low.</w:t>
      </w:r>
    </w:p>
    <w:permEnd w:id="165356439"/>
    <w:p w:rsidR="00197956" w:rsidRDefault="00B26780">
      <w:r>
        <w:t>&lt;ESMA_QUESTION_5&gt;</w:t>
      </w:r>
    </w:p>
    <w:p w:rsidR="00197956" w:rsidRDefault="00197956"/>
    <w:p w:rsidR="00197956" w:rsidRDefault="00197956"/>
    <w:p w:rsidR="00197956" w:rsidRDefault="00B26780">
      <w:pPr>
        <w:pStyle w:val="Heading1"/>
      </w:pPr>
      <w:bookmarkStart w:id="14" w:name="_Ref390182009"/>
      <w:bookmarkStart w:id="15" w:name="_Toc392599425"/>
      <w:r>
        <w:tab/>
        <w:t>Determination of the dates on which the obligation applies and the categories of counterparties</w:t>
      </w:r>
      <w:bookmarkEnd w:id="14"/>
      <w:bookmarkEnd w:id="15"/>
    </w:p>
    <w:p w:rsidR="00197956" w:rsidRDefault="00197956"/>
    <w:p w:rsidR="00197956" w:rsidRDefault="00B26780">
      <w:pPr>
        <w:pStyle w:val="Heading2"/>
      </w:pPr>
      <w:bookmarkStart w:id="16" w:name="_Ref392593104"/>
      <w:bookmarkStart w:id="17" w:name="_Ref389061836"/>
      <w:r>
        <w:t xml:space="preserve">Analysis of the criteria </w:t>
      </w:r>
      <w:bookmarkEnd w:id="16"/>
      <w:bookmarkEnd w:id="17"/>
      <w:r>
        <w:t>relevant for the determination of the dates</w:t>
      </w:r>
    </w:p>
    <w:p w:rsidR="00197956" w:rsidRDefault="00197956"/>
    <w:p w:rsidR="00197956" w:rsidRDefault="00B26780">
      <w:pPr>
        <w:pStyle w:val="Questions"/>
      </w:pPr>
      <w:r>
        <w:t xml:space="preserve">Question </w:t>
      </w:r>
      <w:r>
        <w:fldChar w:fldCharType="begin"/>
      </w:r>
      <w:r>
        <w:instrText xml:space="preserve"> SEQ Question \* ARABIC </w:instrText>
      </w:r>
      <w:r>
        <w:fldChar w:fldCharType="separate"/>
      </w:r>
      <w:r>
        <w:rPr>
          <w:noProof/>
        </w:rPr>
        <w:t>6</w:t>
      </w:r>
      <w:r>
        <w:rPr>
          <w:noProof/>
        </w:rPr>
        <w:fldChar w:fldCharType="end"/>
      </w:r>
      <w:r>
        <w:t xml:space="preserve">: Do you have any comment </w:t>
      </w:r>
      <w:r>
        <w:t xml:space="preserve">on the analysis presented in Section </w:t>
      </w:r>
      <w:r>
        <w:fldChar w:fldCharType="begin"/>
      </w:r>
      <w:r>
        <w:instrText xml:space="preserve"> REF _Ref392593104 \r \h </w:instrText>
      </w:r>
      <w:r>
        <w:fldChar w:fldCharType="separate"/>
      </w:r>
      <w:r>
        <w:t>4.1</w:t>
      </w:r>
      <w:r>
        <w:fldChar w:fldCharType="end"/>
      </w:r>
      <w:r>
        <w:t>?</w:t>
      </w:r>
    </w:p>
    <w:p w:rsidR="00197956" w:rsidRDefault="00197956"/>
    <w:p w:rsidR="00197956" w:rsidRDefault="00B26780">
      <w:r>
        <w:t>&lt;ESMA_QUESTION_6&gt;</w:t>
      </w:r>
    </w:p>
    <w:p w:rsidR="00197956" w:rsidRDefault="00B26780">
      <w:permStart w:id="325337846" w:edGrp="everyone"/>
      <w:r>
        <w:t>TYPE YOUR TEXT HERE</w:t>
      </w:r>
    </w:p>
    <w:permEnd w:id="325337846"/>
    <w:p w:rsidR="00197956" w:rsidRDefault="00B26780">
      <w:r>
        <w:t>&lt;ESMA_QUESTION_6&gt;</w:t>
      </w:r>
    </w:p>
    <w:p w:rsidR="00197956" w:rsidRDefault="00197956"/>
    <w:p w:rsidR="00197956" w:rsidRDefault="00B26780">
      <w:pPr>
        <w:pStyle w:val="Heading2"/>
      </w:pPr>
      <w:bookmarkStart w:id="18" w:name="_Ref392593201"/>
      <w:r>
        <w:t xml:space="preserve">Determination of the categories of counterparties (Criteria (d) </w:t>
      </w:r>
      <w:r>
        <w:t>to (f))</w:t>
      </w:r>
      <w:bookmarkEnd w:id="18"/>
    </w:p>
    <w:p w:rsidR="00197956" w:rsidRDefault="00197956"/>
    <w:p w:rsidR="00197956" w:rsidRDefault="00B26780">
      <w:pPr>
        <w:pStyle w:val="Questions"/>
      </w:pPr>
      <w:r>
        <w:t xml:space="preserve">Question </w:t>
      </w:r>
      <w:r>
        <w:fldChar w:fldCharType="begin"/>
      </w:r>
      <w:r>
        <w:instrText xml:space="preserve"> SEQ Question \* ARABIC </w:instrText>
      </w:r>
      <w:r>
        <w:fldChar w:fldCharType="separate"/>
      </w:r>
      <w:r>
        <w:rPr>
          <w:noProof/>
        </w:rPr>
        <w:t>7</w:t>
      </w:r>
      <w:r>
        <w:rPr>
          <w:noProof/>
        </w:rPr>
        <w:fldChar w:fldCharType="end"/>
      </w:r>
      <w:r>
        <w:t xml:space="preserve">: Do you consider that the classification of counterparties presented in Section </w:t>
      </w:r>
      <w:r>
        <w:fldChar w:fldCharType="begin"/>
      </w:r>
      <w:r>
        <w:instrText xml:space="preserve"> REF _Ref392593201 \r \h </w:instrText>
      </w:r>
      <w:r>
        <w:fldChar w:fldCharType="separate"/>
      </w:r>
      <w:r>
        <w:t>4.2</w:t>
      </w:r>
      <w:r>
        <w:fldChar w:fldCharType="end"/>
      </w:r>
      <w:r>
        <w:t xml:space="preserve"> ensures a smooth implementation of the clearing obligation? Please explain why and possible alternatives.</w:t>
      </w:r>
    </w:p>
    <w:p w:rsidR="00197956" w:rsidRDefault="00197956"/>
    <w:p w:rsidR="00197956" w:rsidRDefault="00B26780">
      <w:r>
        <w:t>&lt;ESMA_QUESTION_7&gt;</w:t>
      </w:r>
    </w:p>
    <w:p w:rsidR="00197956" w:rsidRDefault="00B26780">
      <w:pPr>
        <w:pStyle w:val="BodyText0"/>
        <w:jc w:val="both"/>
        <w:rPr>
          <w:rFonts w:asciiTheme="minorHAnsi" w:hAnsiTheme="minorHAnsi" w:cstheme="minorHAnsi"/>
          <w:sz w:val="24"/>
          <w:lang w:val="en-US"/>
        </w:rPr>
      </w:pPr>
      <w:permStart w:id="1927358936" w:edGrp="everyone"/>
      <w:r>
        <w:rPr>
          <w:rFonts w:asciiTheme="minorHAnsi" w:hAnsiTheme="minorHAnsi" w:cstheme="minorHAnsi"/>
          <w:sz w:val="24"/>
          <w:lang w:val="en-US"/>
        </w:rPr>
        <w:t xml:space="preserve">Subject to our response in Question 8 below in relation to the </w:t>
      </w:r>
      <w:r>
        <w:rPr>
          <w:rFonts w:asciiTheme="minorHAnsi" w:hAnsiTheme="minorHAnsi" w:cstheme="minorHAnsi"/>
          <w:sz w:val="24"/>
          <w:lang w:val="en-US"/>
        </w:rPr>
        <w:t>proposed dates of application of the clearing obligation, MFA broadly supports the categories of counterparties proposed by ESMA in Section 4.2 of the Consultation Paper.</w:t>
      </w:r>
    </w:p>
    <w:p w:rsidR="00197956" w:rsidRDefault="00197956">
      <w:pPr>
        <w:pStyle w:val="BodyText0"/>
        <w:jc w:val="both"/>
        <w:rPr>
          <w:rFonts w:asciiTheme="minorHAnsi" w:hAnsiTheme="minorHAnsi" w:cstheme="minorHAnsi"/>
          <w:sz w:val="24"/>
          <w:lang w:val="en-US"/>
        </w:rPr>
      </w:pPr>
    </w:p>
    <w:p w:rsidR="00197956" w:rsidRDefault="00B26780">
      <w:pPr>
        <w:pStyle w:val="BodyText0"/>
        <w:jc w:val="both"/>
        <w:rPr>
          <w:rFonts w:asciiTheme="minorHAnsi" w:hAnsiTheme="minorHAnsi" w:cstheme="minorHAnsi"/>
          <w:sz w:val="24"/>
          <w:lang w:val="en-US"/>
        </w:rPr>
      </w:pPr>
      <w:proofErr w:type="gramStart"/>
      <w:r>
        <w:rPr>
          <w:rFonts w:asciiTheme="minorHAnsi" w:hAnsiTheme="minorHAnsi" w:cstheme="minorHAnsi"/>
          <w:sz w:val="24"/>
          <w:lang w:val="en-US"/>
        </w:rPr>
        <w:t>In particular, MFA supports ESMA’s proposal to include in Category 2: (</w:t>
      </w:r>
      <w:proofErr w:type="spellStart"/>
      <w:r>
        <w:rPr>
          <w:rFonts w:asciiTheme="minorHAnsi" w:hAnsiTheme="minorHAnsi" w:cstheme="minorHAnsi"/>
          <w:sz w:val="24"/>
          <w:lang w:val="en-US"/>
        </w:rPr>
        <w:t>i</w:t>
      </w:r>
      <w:proofErr w:type="spellEnd"/>
      <w:r>
        <w:rPr>
          <w:rFonts w:asciiTheme="minorHAnsi" w:hAnsiTheme="minorHAnsi" w:cstheme="minorHAnsi"/>
          <w:sz w:val="24"/>
          <w:lang w:val="en-US"/>
        </w:rPr>
        <w:t xml:space="preserve">) FCs, (ii) </w:t>
      </w:r>
      <w:r>
        <w:rPr>
          <w:rFonts w:asciiTheme="minorHAnsi" w:hAnsiTheme="minorHAnsi" w:cstheme="minorHAnsi"/>
          <w:sz w:val="24"/>
          <w:lang w:val="en-US"/>
        </w:rPr>
        <w:t>entities that would be classified as FCs if they were established in the EU (“</w:t>
      </w:r>
      <w:r>
        <w:rPr>
          <w:rFonts w:asciiTheme="minorHAnsi" w:hAnsiTheme="minorHAnsi" w:cstheme="minorHAnsi"/>
          <w:b/>
          <w:sz w:val="24"/>
          <w:lang w:val="en-US"/>
        </w:rPr>
        <w:t>Assumed FCs</w:t>
      </w:r>
      <w:r>
        <w:rPr>
          <w:rFonts w:asciiTheme="minorHAnsi" w:hAnsiTheme="minorHAnsi" w:cstheme="minorHAnsi"/>
          <w:sz w:val="24"/>
          <w:lang w:val="en-US"/>
        </w:rPr>
        <w:t>”), (iii) alternative investment funds (“</w:t>
      </w:r>
      <w:r>
        <w:rPr>
          <w:rFonts w:asciiTheme="minorHAnsi" w:hAnsiTheme="minorHAnsi" w:cstheme="minorHAnsi"/>
          <w:b/>
          <w:sz w:val="24"/>
          <w:lang w:val="en-US"/>
        </w:rPr>
        <w:t>AIFs</w:t>
      </w:r>
      <w:r>
        <w:rPr>
          <w:rFonts w:asciiTheme="minorHAnsi" w:hAnsiTheme="minorHAnsi" w:cstheme="minorHAnsi"/>
          <w:sz w:val="24"/>
          <w:lang w:val="en-US"/>
        </w:rPr>
        <w:t>”) qualifying as NFC+s, and (iv) AIFs that would qualify as NFC+s if they were established in the EU (“</w:t>
      </w:r>
      <w:r>
        <w:rPr>
          <w:rFonts w:asciiTheme="minorHAnsi" w:hAnsiTheme="minorHAnsi" w:cstheme="minorHAnsi"/>
          <w:b/>
          <w:sz w:val="24"/>
          <w:lang w:val="en-US"/>
        </w:rPr>
        <w:t>Assumed NFC+s</w:t>
      </w:r>
      <w:r>
        <w:rPr>
          <w:rFonts w:asciiTheme="minorHAnsi" w:hAnsiTheme="minorHAnsi" w:cstheme="minorHAnsi"/>
          <w:sz w:val="24"/>
          <w:lang w:val="en-US"/>
        </w:rPr>
        <w:t>”), in</w:t>
      </w:r>
      <w:r>
        <w:rPr>
          <w:rFonts w:asciiTheme="minorHAnsi" w:hAnsiTheme="minorHAnsi" w:cstheme="minorHAnsi"/>
          <w:sz w:val="24"/>
          <w:lang w:val="en-US"/>
        </w:rPr>
        <w:t xml:space="preserve"> each case provided such entities are not clearing members that fall within Category 1.</w:t>
      </w:r>
      <w:proofErr w:type="gramEnd"/>
      <w:r>
        <w:rPr>
          <w:rFonts w:asciiTheme="minorHAnsi" w:hAnsiTheme="minorHAnsi" w:cstheme="minorHAnsi"/>
          <w:sz w:val="24"/>
          <w:lang w:val="en-US"/>
        </w:rPr>
        <w:t xml:space="preserve">  Certain AIFs established in the EU </w:t>
      </w:r>
      <w:proofErr w:type="gramStart"/>
      <w:r>
        <w:rPr>
          <w:rFonts w:asciiTheme="minorHAnsi" w:hAnsiTheme="minorHAnsi" w:cstheme="minorHAnsi"/>
          <w:sz w:val="24"/>
          <w:lang w:val="en-US"/>
        </w:rPr>
        <w:t>may be classified</w:t>
      </w:r>
      <w:proofErr w:type="gramEnd"/>
      <w:r>
        <w:rPr>
          <w:rFonts w:asciiTheme="minorHAnsi" w:hAnsiTheme="minorHAnsi" w:cstheme="minorHAnsi"/>
          <w:sz w:val="24"/>
          <w:lang w:val="en-US"/>
        </w:rPr>
        <w:t xml:space="preserve"> under EMIR as FCs, whereas others may be categorized as NFCs.  Similarly, certain AIFs established outside the EU </w:t>
      </w:r>
      <w:proofErr w:type="gramStart"/>
      <w:r>
        <w:rPr>
          <w:rFonts w:asciiTheme="minorHAnsi" w:hAnsiTheme="minorHAnsi" w:cstheme="minorHAnsi"/>
          <w:sz w:val="24"/>
          <w:lang w:val="en-US"/>
        </w:rPr>
        <w:t>may be classified</w:t>
      </w:r>
      <w:proofErr w:type="gramEnd"/>
      <w:r>
        <w:rPr>
          <w:rFonts w:asciiTheme="minorHAnsi" w:hAnsiTheme="minorHAnsi" w:cstheme="minorHAnsi"/>
          <w:sz w:val="24"/>
          <w:lang w:val="en-US"/>
        </w:rPr>
        <w:t xml:space="preserve"> as Assumed FCs, whereas others may be classified as Assumed NFC+s.  Therefore, MFA appreciates that ESMA’s proposed structure will properly result in all AIFs within the scope of EMIR’s clearing obligation falling within Category 2, such </w:t>
      </w:r>
      <w:r>
        <w:rPr>
          <w:rFonts w:asciiTheme="minorHAnsi" w:hAnsiTheme="minorHAnsi" w:cstheme="minorHAnsi"/>
          <w:sz w:val="24"/>
          <w:lang w:val="en-US"/>
        </w:rPr>
        <w:t>that all in-scope AIFs are treated in the same manner for purposes of the clearing obligation.  MFA considers it appropriate that the treatment of AIFs be consistent, and welcomes ESMA’s approach accordingly.</w:t>
      </w:r>
    </w:p>
    <w:p w:rsidR="00197956" w:rsidRDefault="00197956">
      <w:pPr>
        <w:pStyle w:val="BodyText0"/>
        <w:jc w:val="both"/>
        <w:rPr>
          <w:rFonts w:asciiTheme="minorHAnsi" w:hAnsiTheme="minorHAnsi" w:cstheme="minorHAnsi"/>
          <w:sz w:val="24"/>
          <w:lang w:val="en-US"/>
        </w:rPr>
      </w:pPr>
    </w:p>
    <w:p w:rsidR="00197956" w:rsidRDefault="00B26780">
      <w:pPr>
        <w:pStyle w:val="BodyText0"/>
        <w:jc w:val="both"/>
        <w:rPr>
          <w:rFonts w:asciiTheme="minorHAnsi" w:hAnsiTheme="minorHAnsi" w:cstheme="minorHAnsi"/>
          <w:sz w:val="24"/>
          <w:lang w:val="en-US"/>
        </w:rPr>
      </w:pPr>
      <w:r>
        <w:rPr>
          <w:rFonts w:asciiTheme="minorHAnsi" w:hAnsiTheme="minorHAnsi" w:cstheme="minorHAnsi"/>
          <w:sz w:val="24"/>
          <w:lang w:val="en-US"/>
        </w:rPr>
        <w:t>In this regard, MFA notes that at paragraph 20</w:t>
      </w:r>
      <w:r>
        <w:rPr>
          <w:rFonts w:asciiTheme="minorHAnsi" w:hAnsiTheme="minorHAnsi" w:cstheme="minorHAnsi"/>
          <w:sz w:val="24"/>
          <w:lang w:val="en-US"/>
        </w:rPr>
        <w:t>4 of the Consultation Paper, ESMA states that non-EU AIFs marketed in the EU by non-EU alternative investment fund managers (“</w:t>
      </w:r>
      <w:r>
        <w:rPr>
          <w:rFonts w:asciiTheme="minorHAnsi" w:hAnsiTheme="minorHAnsi" w:cstheme="minorHAnsi"/>
          <w:b/>
          <w:sz w:val="24"/>
          <w:lang w:val="en-US"/>
        </w:rPr>
        <w:t>AIFMs</w:t>
      </w:r>
      <w:r>
        <w:rPr>
          <w:rFonts w:asciiTheme="minorHAnsi" w:hAnsiTheme="minorHAnsi" w:cstheme="minorHAnsi"/>
          <w:sz w:val="24"/>
          <w:lang w:val="en-US"/>
        </w:rPr>
        <w:t>”) under Article 42 of the Alternative Investment Fund Managers Directive would be classified as Assumed NFC+s.  We believe t</w:t>
      </w:r>
      <w:r>
        <w:rPr>
          <w:rFonts w:asciiTheme="minorHAnsi" w:hAnsiTheme="minorHAnsi" w:cstheme="minorHAnsi"/>
          <w:sz w:val="24"/>
          <w:lang w:val="en-US"/>
        </w:rPr>
        <w:t xml:space="preserve">hat uncertainty currently remains as to how non-EU AIFs managed by non-EU AIFMs </w:t>
      </w:r>
      <w:proofErr w:type="gramStart"/>
      <w:r>
        <w:rPr>
          <w:rFonts w:asciiTheme="minorHAnsi" w:hAnsiTheme="minorHAnsi" w:cstheme="minorHAnsi"/>
          <w:sz w:val="24"/>
          <w:lang w:val="en-US"/>
        </w:rPr>
        <w:t>are classified</w:t>
      </w:r>
      <w:proofErr w:type="gramEnd"/>
      <w:r>
        <w:rPr>
          <w:rFonts w:asciiTheme="minorHAnsi" w:hAnsiTheme="minorHAnsi" w:cstheme="minorHAnsi"/>
          <w:sz w:val="24"/>
          <w:lang w:val="en-US"/>
        </w:rPr>
        <w:t xml:space="preserve"> for purposes of EMIR.  Thus, as ESMA finalizes the RTS and considers the application of the clearing obligation to AIFs, MFA urges ESMA to take into account that</w:t>
      </w:r>
      <w:r>
        <w:rPr>
          <w:rFonts w:asciiTheme="minorHAnsi" w:hAnsiTheme="minorHAnsi" w:cstheme="minorHAnsi"/>
          <w:sz w:val="24"/>
          <w:lang w:val="en-US"/>
        </w:rPr>
        <w:t xml:space="preserve"> currently such non-EU AIFs may fall within the definitions of Assumed FCs or Assumed NFC+s.</w:t>
      </w:r>
    </w:p>
    <w:p w:rsidR="00197956" w:rsidRDefault="00197956">
      <w:pPr>
        <w:pStyle w:val="BodyText0"/>
        <w:jc w:val="both"/>
        <w:rPr>
          <w:rFonts w:asciiTheme="minorHAnsi" w:hAnsiTheme="minorHAnsi" w:cstheme="minorHAnsi"/>
          <w:sz w:val="24"/>
          <w:lang w:val="en-US"/>
        </w:rPr>
      </w:pPr>
    </w:p>
    <w:p w:rsidR="00197956" w:rsidRDefault="00B26780">
      <w:pPr>
        <w:jc w:val="both"/>
      </w:pPr>
      <w:r>
        <w:rPr>
          <w:rFonts w:asciiTheme="minorHAnsi" w:hAnsiTheme="minorHAnsi" w:cstheme="minorHAnsi"/>
          <w:sz w:val="24"/>
          <w:lang w:val="en-US"/>
        </w:rPr>
        <w:t>MFA wishes to comment on one additional aspect of the Consultation Paper in relation to the treatment of AIFs that are NFCs.  At paragraphs 191 to 194 of the Cons</w:t>
      </w:r>
      <w:r>
        <w:rPr>
          <w:rFonts w:asciiTheme="minorHAnsi" w:hAnsiTheme="minorHAnsi" w:cstheme="minorHAnsi"/>
          <w:sz w:val="24"/>
          <w:lang w:val="en-US"/>
        </w:rPr>
        <w:t>ultation Paper, ESMA explicitly recognizes that certain AIFs fall within the NFC definition, but comments that the intention of EMIR when creating the NFC definition was to capture companies engaging in OTC derivative contracts mainly as hedges.  ESMA conc</w:t>
      </w:r>
      <w:r>
        <w:rPr>
          <w:rFonts w:asciiTheme="minorHAnsi" w:hAnsiTheme="minorHAnsi" w:cstheme="minorHAnsi"/>
          <w:sz w:val="24"/>
          <w:lang w:val="en-US"/>
        </w:rPr>
        <w:t xml:space="preserve">ludes that AIFs falling within the NFC category should qualify their OTC derivatives as “non-hedging”.  MFA respectfully wishes to point out to ESMA that this statement is inaccurate because AIFs may enter into OTC derivative contracts that satisfy </w:t>
      </w:r>
      <w:proofErr w:type="gramStart"/>
      <w:r>
        <w:rPr>
          <w:rFonts w:asciiTheme="minorHAnsi" w:hAnsiTheme="minorHAnsi" w:cstheme="minorHAnsi"/>
          <w:sz w:val="24"/>
          <w:lang w:val="en-US"/>
        </w:rPr>
        <w:t>EMIR’s</w:t>
      </w:r>
      <w:proofErr w:type="gramEnd"/>
      <w:r>
        <w:rPr>
          <w:rFonts w:asciiTheme="minorHAnsi" w:hAnsiTheme="minorHAnsi" w:cstheme="minorHAnsi"/>
          <w:sz w:val="24"/>
          <w:lang w:val="en-US"/>
        </w:rPr>
        <w:t xml:space="preserve"> </w:t>
      </w:r>
      <w:r>
        <w:rPr>
          <w:rFonts w:asciiTheme="minorHAnsi" w:hAnsiTheme="minorHAnsi" w:cstheme="minorHAnsi"/>
          <w:sz w:val="24"/>
          <w:lang w:val="en-US"/>
        </w:rPr>
        <w:t xml:space="preserve">“hedging” definition.  For example, an AIF may enter into OTC derivative </w:t>
      </w:r>
      <w:r>
        <w:rPr>
          <w:rFonts w:asciiTheme="minorHAnsi" w:hAnsiTheme="minorHAnsi" w:cstheme="minorHAnsi"/>
          <w:sz w:val="24"/>
          <w:lang w:val="en-US"/>
        </w:rPr>
        <w:lastRenderedPageBreak/>
        <w:t>contracts to hedge foreign exchange risk where the AIF issues units to its investors in a currency that is different from the currency in which the AIF makes investments.  In addition</w:t>
      </w:r>
      <w:r>
        <w:rPr>
          <w:rFonts w:asciiTheme="minorHAnsi" w:hAnsiTheme="minorHAnsi" w:cstheme="minorHAnsi"/>
          <w:sz w:val="24"/>
          <w:lang w:val="en-US"/>
        </w:rPr>
        <w:t xml:space="preserve">, an AIF may borrow amounts in order to fund its business at a floating rate of interest and hedge this borrowing via a fixed/floating IRS to secure a fixed rate of interest.  MFA emphasizes that where an AIF that is an NFC enters into OTC derivatives for </w:t>
      </w:r>
      <w:r>
        <w:rPr>
          <w:rFonts w:asciiTheme="minorHAnsi" w:hAnsiTheme="minorHAnsi" w:cstheme="minorHAnsi"/>
          <w:sz w:val="24"/>
          <w:lang w:val="en-US"/>
        </w:rPr>
        <w:t>hedging purposes, we do not believe that ESMA should prohibit such AIF from benefitting from the hedging exemption applicable to NFCs.</w:t>
      </w:r>
    </w:p>
    <w:permEnd w:id="1927358936"/>
    <w:p w:rsidR="00197956" w:rsidRDefault="00B26780">
      <w:r>
        <w:t>&lt;ESMA_QUESTION_7&gt;</w:t>
      </w:r>
    </w:p>
    <w:p w:rsidR="00197956" w:rsidRDefault="00197956"/>
    <w:p w:rsidR="00197956" w:rsidRDefault="00B26780">
      <w:pPr>
        <w:pStyle w:val="Heading2"/>
      </w:pPr>
      <w:bookmarkStart w:id="19" w:name="_Ref389061941"/>
      <w:r>
        <w:t xml:space="preserve">Determination of the </w:t>
      </w:r>
      <w:bookmarkEnd w:id="19"/>
      <w:r>
        <w:t>dates from which the clearing obligation takes effect</w:t>
      </w:r>
    </w:p>
    <w:p w:rsidR="00197956" w:rsidRDefault="00197956"/>
    <w:p w:rsidR="00197956" w:rsidRDefault="00B26780">
      <w:pPr>
        <w:pStyle w:val="Questions"/>
      </w:pPr>
      <w:r>
        <w:t xml:space="preserve">Question </w:t>
      </w:r>
      <w:r>
        <w:fldChar w:fldCharType="begin"/>
      </w:r>
      <w:r>
        <w:instrText xml:space="preserve"> SEQ Question \</w:instrText>
      </w:r>
      <w:r>
        <w:instrText xml:space="preserve">* ARABIC </w:instrText>
      </w:r>
      <w:r>
        <w:fldChar w:fldCharType="separate"/>
      </w:r>
      <w:r>
        <w:rPr>
          <w:noProof/>
        </w:rPr>
        <w:t>8</w:t>
      </w:r>
      <w:r>
        <w:rPr>
          <w:noProof/>
        </w:rPr>
        <w:fldChar w:fldCharType="end"/>
      </w:r>
      <w:r>
        <w:t>: Do you consider that the proposed dates of application ensure a smooth implementation of the clearing obligation? Please explain why and possible alternatives.</w:t>
      </w:r>
    </w:p>
    <w:p w:rsidR="00197956" w:rsidRDefault="00197956"/>
    <w:p w:rsidR="00197956" w:rsidRDefault="00B26780">
      <w:r>
        <w:t>&lt;ESMA_QUESTION_8&gt;</w:t>
      </w:r>
    </w:p>
    <w:p w:rsidR="00197956" w:rsidRDefault="00B26780">
      <w:pPr>
        <w:pStyle w:val="BodyText0"/>
        <w:jc w:val="both"/>
        <w:rPr>
          <w:rFonts w:asciiTheme="minorHAnsi" w:hAnsiTheme="minorHAnsi" w:cstheme="minorHAnsi"/>
          <w:sz w:val="24"/>
          <w:lang w:val="en-US"/>
        </w:rPr>
      </w:pPr>
      <w:permStart w:id="1248881085" w:edGrp="everyone"/>
      <w:r>
        <w:rPr>
          <w:rFonts w:asciiTheme="minorHAnsi" w:hAnsiTheme="minorHAnsi" w:cstheme="minorHAnsi"/>
          <w:sz w:val="24"/>
          <w:lang w:val="en-US"/>
        </w:rPr>
        <w:t>As noted in our introductory comments, MFA considers it of key i</w:t>
      </w:r>
      <w:r>
        <w:rPr>
          <w:rFonts w:asciiTheme="minorHAnsi" w:hAnsiTheme="minorHAnsi" w:cstheme="minorHAnsi"/>
          <w:sz w:val="24"/>
          <w:lang w:val="en-US"/>
        </w:rPr>
        <w:t>mportance that ESMA and regulators in other jurisdictions promptly resolve any outstanding issues regarding recognition of other countries’ equivalent regulatory regimes.  In particular, MFA believes it is critical that the EC recognize U.S. CCPs as equiva</w:t>
      </w:r>
      <w:r>
        <w:rPr>
          <w:rFonts w:asciiTheme="minorHAnsi" w:hAnsiTheme="minorHAnsi" w:cstheme="minorHAnsi"/>
          <w:sz w:val="24"/>
          <w:lang w:val="en-US"/>
        </w:rPr>
        <w:t>lent pursuant to Article 25 of EMIR prior to the imposition of a clearing obligation on any category of market participant under EMIR.  Our responses below assume that the EC will grant such recognition prior to the entry into force of the relevant RTS, an</w:t>
      </w:r>
      <w:r>
        <w:rPr>
          <w:rFonts w:asciiTheme="minorHAnsi" w:hAnsiTheme="minorHAnsi" w:cstheme="minorHAnsi"/>
          <w:sz w:val="24"/>
          <w:lang w:val="en-US"/>
        </w:rPr>
        <w:t>d in the absence of such recognition, we would have a different view on the implementation process and timeframe.  MFA does not support any phase-in period, which will result in market participants being subject to duplicative clearing obligations in diffe</w:t>
      </w:r>
      <w:r>
        <w:rPr>
          <w:rFonts w:asciiTheme="minorHAnsi" w:hAnsiTheme="minorHAnsi" w:cstheme="minorHAnsi"/>
          <w:sz w:val="24"/>
          <w:lang w:val="en-US"/>
        </w:rPr>
        <w:t>rent jurisdictions.</w:t>
      </w:r>
    </w:p>
    <w:p w:rsidR="00197956" w:rsidRDefault="00197956">
      <w:pPr>
        <w:pStyle w:val="BodyText0"/>
        <w:jc w:val="both"/>
        <w:rPr>
          <w:rFonts w:asciiTheme="minorHAnsi" w:hAnsiTheme="minorHAnsi" w:cstheme="minorHAnsi"/>
          <w:sz w:val="24"/>
          <w:lang w:val="en-US"/>
        </w:rPr>
      </w:pPr>
    </w:p>
    <w:p w:rsidR="00197956" w:rsidRDefault="00B26780">
      <w:pPr>
        <w:pStyle w:val="BodyText0"/>
        <w:jc w:val="both"/>
        <w:rPr>
          <w:rFonts w:asciiTheme="minorHAnsi" w:hAnsiTheme="minorHAnsi" w:cstheme="minorHAnsi"/>
          <w:sz w:val="24"/>
          <w:lang w:val="en-US"/>
        </w:rPr>
      </w:pPr>
      <w:r>
        <w:rPr>
          <w:rFonts w:asciiTheme="minorHAnsi" w:hAnsiTheme="minorHAnsi" w:cstheme="minorHAnsi"/>
          <w:sz w:val="24"/>
          <w:lang w:val="en-US"/>
        </w:rPr>
        <w:t>MFA appreciates that it is not solely the responsibility of ESMA to resolve these issues.  We understand that developing a thoughtful and expedient global solution to this matter necessitates international coordination and harmonizatio</w:t>
      </w:r>
      <w:r>
        <w:rPr>
          <w:rFonts w:asciiTheme="minorHAnsi" w:hAnsiTheme="minorHAnsi" w:cstheme="minorHAnsi"/>
          <w:sz w:val="24"/>
          <w:lang w:val="en-US"/>
        </w:rPr>
        <w:t xml:space="preserve">n of derivatives regulations by not only ESMA but also the CFTC and other non-EU regulators and policy makers.  Therefore, we have made similar comments to the CFTC as well as regulators and policymakers in other jurisdictions.  However, we emphasize this </w:t>
      </w:r>
      <w:r>
        <w:rPr>
          <w:rFonts w:asciiTheme="minorHAnsi" w:hAnsiTheme="minorHAnsi" w:cstheme="minorHAnsi"/>
          <w:sz w:val="24"/>
          <w:lang w:val="en-US"/>
        </w:rPr>
        <w:t>issue in response to the Consultation Paper because without prompt resolution, we are concerned that some market participants will encounter practical obstacles that will make clearing derivatives contracts in the EU impossible and/or undesirable.</w:t>
      </w:r>
    </w:p>
    <w:p w:rsidR="00197956" w:rsidRDefault="00197956">
      <w:pPr>
        <w:pStyle w:val="BodyText0"/>
        <w:jc w:val="both"/>
        <w:rPr>
          <w:rFonts w:asciiTheme="minorHAnsi" w:hAnsiTheme="minorHAnsi" w:cstheme="minorHAnsi"/>
          <w:sz w:val="24"/>
          <w:lang w:val="en-US"/>
        </w:rPr>
      </w:pPr>
    </w:p>
    <w:p w:rsidR="00197956" w:rsidRDefault="00B26780">
      <w:pPr>
        <w:pStyle w:val="BodyText0"/>
        <w:jc w:val="both"/>
        <w:rPr>
          <w:rFonts w:asciiTheme="minorHAnsi" w:hAnsiTheme="minorHAnsi" w:cstheme="minorHAnsi"/>
          <w:sz w:val="24"/>
          <w:lang w:val="en-US"/>
        </w:rPr>
      </w:pPr>
      <w:r>
        <w:rPr>
          <w:rFonts w:asciiTheme="minorHAnsi" w:hAnsiTheme="minorHAnsi" w:cstheme="minorHAnsi"/>
          <w:sz w:val="24"/>
          <w:lang w:val="en-US"/>
        </w:rPr>
        <w:t>Assumin</w:t>
      </w:r>
      <w:r>
        <w:rPr>
          <w:rFonts w:asciiTheme="minorHAnsi" w:hAnsiTheme="minorHAnsi" w:cstheme="minorHAnsi"/>
          <w:sz w:val="24"/>
          <w:lang w:val="en-US"/>
        </w:rPr>
        <w:t>g that the EC will recognize U.S. CCPs prior to entry into force of the RTS, MFA believes that the proposed dates of application of the clearing obligation in the Consultation Paper are not appropriate.  As noted in our joint response (together with The Al</w:t>
      </w:r>
      <w:r>
        <w:rPr>
          <w:rFonts w:asciiTheme="minorHAnsi" w:hAnsiTheme="minorHAnsi" w:cstheme="minorHAnsi"/>
          <w:sz w:val="24"/>
          <w:lang w:val="en-US"/>
        </w:rPr>
        <w:t>ternative Investment Management Association) to ESMA’s discussion paper on the clearing obligation on September 12, 2013 (</w:t>
      </w:r>
      <w:hyperlink r:id="rId14" w:history="1">
        <w:r>
          <w:rPr>
            <w:rStyle w:val="Hyperlink"/>
            <w:rFonts w:asciiTheme="minorHAnsi" w:hAnsiTheme="minorHAnsi" w:cstheme="minorHAnsi"/>
            <w:sz w:val="24"/>
            <w:lang w:val="en-US"/>
          </w:rPr>
          <w:t>https://www.managedfunds.org/wp-content/uploads/2013/09/EU-EMIR-ESMA-DP-Clearing-Obligation-2013-MFA-AIMA-Final-Response.pdf</w:t>
        </w:r>
      </w:hyperlink>
      <w:r>
        <w:rPr>
          <w:rFonts w:asciiTheme="minorHAnsi" w:hAnsiTheme="minorHAnsi" w:cstheme="minorHAnsi"/>
          <w:sz w:val="24"/>
          <w:lang w:val="en-US"/>
        </w:rPr>
        <w:t>, “</w:t>
      </w:r>
      <w:r>
        <w:rPr>
          <w:rFonts w:asciiTheme="minorHAnsi" w:hAnsiTheme="minorHAnsi" w:cstheme="minorHAnsi"/>
          <w:b/>
          <w:sz w:val="24"/>
          <w:lang w:val="en-US"/>
        </w:rPr>
        <w:t>Joint Response</w:t>
      </w:r>
      <w:r>
        <w:rPr>
          <w:rFonts w:asciiTheme="minorHAnsi" w:hAnsiTheme="minorHAnsi" w:cstheme="minorHAnsi"/>
          <w:sz w:val="24"/>
          <w:lang w:val="en-US"/>
        </w:rPr>
        <w:t>”), MFA favors an approach pursuant to which the clearing obligation is phased in with respect to all catego</w:t>
      </w:r>
      <w:r>
        <w:rPr>
          <w:rFonts w:asciiTheme="minorHAnsi" w:hAnsiTheme="minorHAnsi" w:cstheme="minorHAnsi"/>
          <w:sz w:val="24"/>
          <w:lang w:val="en-US"/>
        </w:rPr>
        <w:t xml:space="preserve">ries of counterparties at the same time.  We supported such an approach because we believe that an approach that provides different timescales for different counterparties could give rise to competitive </w:t>
      </w:r>
      <w:proofErr w:type="gramStart"/>
      <w:r>
        <w:rPr>
          <w:rFonts w:asciiTheme="minorHAnsi" w:hAnsiTheme="minorHAnsi" w:cstheme="minorHAnsi"/>
          <w:sz w:val="24"/>
          <w:lang w:val="en-US"/>
        </w:rPr>
        <w:t>distortions,</w:t>
      </w:r>
      <w:proofErr w:type="gramEnd"/>
      <w:r>
        <w:rPr>
          <w:rFonts w:asciiTheme="minorHAnsi" w:hAnsiTheme="minorHAnsi" w:cstheme="minorHAnsi"/>
          <w:sz w:val="24"/>
          <w:lang w:val="en-US"/>
        </w:rPr>
        <w:t xml:space="preserve"> particularly where (as currently propose</w:t>
      </w:r>
      <w:r>
        <w:rPr>
          <w:rFonts w:asciiTheme="minorHAnsi" w:hAnsiTheme="minorHAnsi" w:cstheme="minorHAnsi"/>
          <w:sz w:val="24"/>
          <w:lang w:val="en-US"/>
        </w:rPr>
        <w:t xml:space="preserve">d) clearing members are </w:t>
      </w:r>
      <w:r>
        <w:rPr>
          <w:rFonts w:asciiTheme="minorHAnsi" w:hAnsiTheme="minorHAnsi" w:cstheme="minorHAnsi"/>
          <w:sz w:val="24"/>
          <w:lang w:val="en-US"/>
        </w:rPr>
        <w:lastRenderedPageBreak/>
        <w:t>required to clear ahead of clients.  Such a phase-in could cause CCPs to finalize their clearing offerings based on the initial preferences of clearing members, rather than the full universe of entities that will ultimately be requi</w:t>
      </w:r>
      <w:r>
        <w:rPr>
          <w:rFonts w:asciiTheme="minorHAnsi" w:hAnsiTheme="minorHAnsi" w:cstheme="minorHAnsi"/>
          <w:sz w:val="24"/>
          <w:lang w:val="en-US"/>
        </w:rPr>
        <w:t xml:space="preserve">red to clear under EMIR. </w:t>
      </w:r>
    </w:p>
    <w:p w:rsidR="00197956" w:rsidRDefault="00197956">
      <w:pPr>
        <w:pStyle w:val="BodyText0"/>
        <w:jc w:val="both"/>
        <w:rPr>
          <w:rFonts w:asciiTheme="minorHAnsi" w:hAnsiTheme="minorHAnsi" w:cstheme="minorHAnsi"/>
          <w:sz w:val="24"/>
          <w:lang w:val="en-US"/>
        </w:rPr>
      </w:pPr>
    </w:p>
    <w:p w:rsidR="00197956" w:rsidRDefault="00B26780">
      <w:pPr>
        <w:pStyle w:val="BodyText0"/>
        <w:jc w:val="both"/>
        <w:rPr>
          <w:rFonts w:asciiTheme="minorHAnsi" w:hAnsiTheme="minorHAnsi" w:cstheme="minorHAnsi"/>
          <w:sz w:val="24"/>
          <w:lang w:val="en-US"/>
        </w:rPr>
      </w:pPr>
      <w:r>
        <w:rPr>
          <w:rFonts w:asciiTheme="minorHAnsi" w:hAnsiTheme="minorHAnsi" w:cstheme="minorHAnsi"/>
          <w:sz w:val="24"/>
          <w:lang w:val="en-US"/>
        </w:rPr>
        <w:t xml:space="preserve">We note ESMA’s view, expressed at paragraph 159 of the Consultation </w:t>
      </w:r>
      <w:proofErr w:type="gramStart"/>
      <w:r>
        <w:rPr>
          <w:rFonts w:asciiTheme="minorHAnsi" w:hAnsiTheme="minorHAnsi" w:cstheme="minorHAnsi"/>
          <w:sz w:val="24"/>
          <w:lang w:val="en-US"/>
        </w:rPr>
        <w:t>Paper, that</w:t>
      </w:r>
      <w:proofErr w:type="gramEnd"/>
      <w:r>
        <w:rPr>
          <w:rFonts w:asciiTheme="minorHAnsi" w:hAnsiTheme="minorHAnsi" w:cstheme="minorHAnsi"/>
          <w:sz w:val="24"/>
          <w:lang w:val="en-US"/>
        </w:rPr>
        <w:t xml:space="preserve"> other respondents to the discussion paper did not support this view and that ESMA considers that introducing a single phase-in period would not ensur</w:t>
      </w:r>
      <w:r>
        <w:rPr>
          <w:rFonts w:asciiTheme="minorHAnsi" w:hAnsiTheme="minorHAnsi" w:cstheme="minorHAnsi"/>
          <w:sz w:val="24"/>
          <w:lang w:val="en-US"/>
        </w:rPr>
        <w:t xml:space="preserve">e a smooth implementation of the clearing obligation.  Given ESMA’s position, as an alternative, MFA urges ESMA to consider a shorter timetable with respect to Category 1 and Category 2 entities than is currently envisaged in the Consultation Paper.  Such </w:t>
      </w:r>
      <w:r>
        <w:rPr>
          <w:rFonts w:asciiTheme="minorHAnsi" w:hAnsiTheme="minorHAnsi" w:cstheme="minorHAnsi"/>
          <w:sz w:val="24"/>
          <w:lang w:val="en-US"/>
        </w:rPr>
        <w:t xml:space="preserve">an approach, coupled with the approach to the frontloading obligation that we discuss at Q9 below, would be consistent with the stated aims of the RTS “to ensure an orderly and timely implementation” (see Recital (2)). </w:t>
      </w:r>
    </w:p>
    <w:p w:rsidR="00197956" w:rsidRDefault="00197956">
      <w:pPr>
        <w:pStyle w:val="BodyText0"/>
        <w:jc w:val="both"/>
        <w:rPr>
          <w:rFonts w:asciiTheme="minorHAnsi" w:hAnsiTheme="minorHAnsi" w:cstheme="minorHAnsi"/>
          <w:sz w:val="24"/>
          <w:lang w:val="en-US"/>
        </w:rPr>
      </w:pPr>
    </w:p>
    <w:p w:rsidR="00197956" w:rsidRDefault="00B26780">
      <w:pPr>
        <w:pStyle w:val="BodyText0"/>
        <w:jc w:val="both"/>
        <w:rPr>
          <w:rFonts w:asciiTheme="minorHAnsi" w:hAnsiTheme="minorHAnsi" w:cstheme="minorHAnsi"/>
          <w:sz w:val="24"/>
          <w:lang w:val="en-US"/>
        </w:rPr>
      </w:pPr>
      <w:r>
        <w:rPr>
          <w:rFonts w:asciiTheme="minorHAnsi" w:hAnsiTheme="minorHAnsi" w:cstheme="minorHAnsi"/>
          <w:sz w:val="24"/>
          <w:lang w:val="en-US"/>
        </w:rPr>
        <w:t>In particular, MFA proposes that Ca</w:t>
      </w:r>
      <w:r>
        <w:rPr>
          <w:rFonts w:asciiTheme="minorHAnsi" w:hAnsiTheme="minorHAnsi" w:cstheme="minorHAnsi"/>
          <w:sz w:val="24"/>
          <w:lang w:val="en-US"/>
        </w:rPr>
        <w:t>tegory 1 entities should become subject to the clearing obligation 3 months after the entry into force of the RTS, rather than 6 months after the entry into force of the RTS, as currently proposed.  Given that the relevant clearing members already have acc</w:t>
      </w:r>
      <w:r>
        <w:rPr>
          <w:rFonts w:asciiTheme="minorHAnsi" w:hAnsiTheme="minorHAnsi" w:cstheme="minorHAnsi"/>
          <w:sz w:val="24"/>
          <w:lang w:val="en-US"/>
        </w:rPr>
        <w:t xml:space="preserve">ess to central clearing, currently clear the products in </w:t>
      </w:r>
      <w:proofErr w:type="gramStart"/>
      <w:r>
        <w:rPr>
          <w:rFonts w:asciiTheme="minorHAnsi" w:hAnsiTheme="minorHAnsi" w:cstheme="minorHAnsi"/>
          <w:sz w:val="24"/>
          <w:lang w:val="en-US"/>
        </w:rPr>
        <w:t>question,</w:t>
      </w:r>
      <w:proofErr w:type="gramEnd"/>
      <w:r>
        <w:rPr>
          <w:rFonts w:asciiTheme="minorHAnsi" w:hAnsiTheme="minorHAnsi" w:cstheme="minorHAnsi"/>
          <w:sz w:val="24"/>
          <w:lang w:val="en-US"/>
        </w:rPr>
        <w:t xml:space="preserve"> and have connectivity to the relevant CCPs, MFA does not believe that such clearing members need any additional time to be clearing ready.  Therefore, we think that a 6-month phase-in perio</w:t>
      </w:r>
      <w:r>
        <w:rPr>
          <w:rFonts w:asciiTheme="minorHAnsi" w:hAnsiTheme="minorHAnsi" w:cstheme="minorHAnsi"/>
          <w:sz w:val="24"/>
          <w:lang w:val="en-US"/>
        </w:rPr>
        <w:t>d after the entry into force of the RTS would introduce an unnecessary delay in the establishment of mandatory central clearing in the EU, and that reducing the phase-in period for Category 1 entities to 3 months is more appropriate.</w:t>
      </w:r>
    </w:p>
    <w:p w:rsidR="00197956" w:rsidRDefault="00197956">
      <w:pPr>
        <w:pStyle w:val="BodyText0"/>
        <w:jc w:val="both"/>
        <w:rPr>
          <w:rFonts w:asciiTheme="minorHAnsi" w:hAnsiTheme="minorHAnsi" w:cstheme="minorHAnsi"/>
          <w:sz w:val="24"/>
          <w:lang w:val="en-US"/>
        </w:rPr>
      </w:pPr>
    </w:p>
    <w:p w:rsidR="00197956" w:rsidRDefault="00B26780">
      <w:pPr>
        <w:pStyle w:val="BodyText0"/>
        <w:jc w:val="both"/>
        <w:rPr>
          <w:rFonts w:asciiTheme="minorHAnsi" w:hAnsiTheme="minorHAnsi" w:cstheme="minorHAnsi"/>
          <w:sz w:val="24"/>
          <w:lang w:val="en-US"/>
        </w:rPr>
      </w:pPr>
      <w:r>
        <w:rPr>
          <w:rFonts w:asciiTheme="minorHAnsi" w:hAnsiTheme="minorHAnsi" w:cstheme="minorHAnsi"/>
          <w:sz w:val="24"/>
          <w:lang w:val="en-US"/>
        </w:rPr>
        <w:t>In respect of Category 2 entities, MFA supports ESMA’s determination to include all AIFs in this category.  As mentioned in our response to Q7, we recognize that some AIFs will be FCs/Assumed FCs for purposes of the clearing obligation, while other AIFs wi</w:t>
      </w:r>
      <w:r>
        <w:rPr>
          <w:rFonts w:asciiTheme="minorHAnsi" w:hAnsiTheme="minorHAnsi" w:cstheme="minorHAnsi"/>
          <w:sz w:val="24"/>
          <w:lang w:val="en-US"/>
        </w:rPr>
        <w:t xml:space="preserve">ll be NFCs/Assumed NFCs.  We think that ensuring that all AIFs begin mandatory clearing under EMIR at the same time is appropriate.  </w:t>
      </w:r>
    </w:p>
    <w:p w:rsidR="00197956" w:rsidRDefault="00197956">
      <w:pPr>
        <w:pStyle w:val="BodyText0"/>
        <w:jc w:val="both"/>
        <w:rPr>
          <w:rFonts w:asciiTheme="minorHAnsi" w:hAnsiTheme="minorHAnsi" w:cstheme="minorHAnsi"/>
          <w:sz w:val="24"/>
          <w:lang w:val="en-US"/>
        </w:rPr>
      </w:pPr>
    </w:p>
    <w:p w:rsidR="00197956" w:rsidRDefault="00B26780">
      <w:pPr>
        <w:pStyle w:val="BodyText0"/>
        <w:jc w:val="both"/>
        <w:rPr>
          <w:rFonts w:asciiTheme="minorHAnsi" w:hAnsiTheme="minorHAnsi" w:cstheme="minorHAnsi"/>
          <w:sz w:val="24"/>
          <w:lang w:val="en-US"/>
        </w:rPr>
      </w:pPr>
      <w:r>
        <w:rPr>
          <w:rFonts w:asciiTheme="minorHAnsi" w:hAnsiTheme="minorHAnsi" w:cstheme="minorHAnsi"/>
          <w:sz w:val="24"/>
          <w:lang w:val="en-US"/>
        </w:rPr>
        <w:t>However, MFA considers the proposed 18-month phase-in period following entry into force of the RTS for Category 2 entitie</w:t>
      </w:r>
      <w:r>
        <w:rPr>
          <w:rFonts w:asciiTheme="minorHAnsi" w:hAnsiTheme="minorHAnsi" w:cstheme="minorHAnsi"/>
          <w:sz w:val="24"/>
          <w:lang w:val="en-US"/>
        </w:rPr>
        <w:t xml:space="preserve">s excessively long, and urges ESMA to introduce a shorter, 6-month phase-in period following entry into force of the RTS for such entities.  In our view, such a 6-month period, together with the additional time that will pass prior to the entry into force </w:t>
      </w:r>
      <w:r>
        <w:rPr>
          <w:rFonts w:asciiTheme="minorHAnsi" w:hAnsiTheme="minorHAnsi" w:cstheme="minorHAnsi"/>
          <w:sz w:val="24"/>
          <w:lang w:val="en-US"/>
        </w:rPr>
        <w:t xml:space="preserve">of the RTS, will give Category 2 entities sufficient time to put in place arrangements to clear under EMIR.  As mentioned in our introductory comments, many Category 2 entities are already subject to a clearing obligation in other jurisdictions, and thus, </w:t>
      </w:r>
      <w:r>
        <w:rPr>
          <w:rFonts w:asciiTheme="minorHAnsi" w:hAnsiTheme="minorHAnsi" w:cstheme="minorHAnsi"/>
          <w:sz w:val="24"/>
          <w:lang w:val="en-US"/>
        </w:rPr>
        <w:t>already have connectivity with CCPs and appropriate clearing documentation in place.  Therefore, a 6-month implementation period is appropriate in our view because only a short time will elapse between the application of the clearing obligation with respec</w:t>
      </w:r>
      <w:r>
        <w:rPr>
          <w:rFonts w:asciiTheme="minorHAnsi" w:hAnsiTheme="minorHAnsi" w:cstheme="minorHAnsi"/>
          <w:sz w:val="24"/>
          <w:lang w:val="en-US"/>
        </w:rPr>
        <w:t xml:space="preserve">t to Category 1 entities and the application of the clearing obligation with respect to Category 2 entities. </w:t>
      </w:r>
    </w:p>
    <w:p w:rsidR="00197956" w:rsidRDefault="00197956">
      <w:pPr>
        <w:pStyle w:val="BodyText0"/>
        <w:jc w:val="both"/>
        <w:rPr>
          <w:rFonts w:asciiTheme="minorHAnsi" w:hAnsiTheme="minorHAnsi" w:cstheme="minorHAnsi"/>
          <w:sz w:val="24"/>
          <w:lang w:val="en-US"/>
        </w:rPr>
      </w:pPr>
    </w:p>
    <w:p w:rsidR="00197956" w:rsidRDefault="00B26780">
      <w:pPr>
        <w:pStyle w:val="BodyText0"/>
        <w:jc w:val="both"/>
        <w:rPr>
          <w:rFonts w:asciiTheme="minorHAnsi" w:hAnsiTheme="minorHAnsi" w:cstheme="minorHAnsi"/>
          <w:sz w:val="24"/>
          <w:lang w:val="en-US"/>
        </w:rPr>
      </w:pPr>
      <w:r>
        <w:rPr>
          <w:rFonts w:asciiTheme="minorHAnsi" w:hAnsiTheme="minorHAnsi" w:cstheme="minorHAnsi"/>
          <w:sz w:val="24"/>
          <w:lang w:val="en-US"/>
        </w:rPr>
        <w:t>Such shorter implementation period will incentivize CCPs to give sufficient consideration of the requirements and timing applicable to Category 2</w:t>
      </w:r>
      <w:r>
        <w:rPr>
          <w:rFonts w:asciiTheme="minorHAnsi" w:hAnsiTheme="minorHAnsi" w:cstheme="minorHAnsi"/>
          <w:sz w:val="24"/>
          <w:lang w:val="en-US"/>
        </w:rPr>
        <w:t xml:space="preserve"> entities when finalizing their clearing offerings.  We are concerned that if 12 months were to elapse after the application of the </w:t>
      </w:r>
      <w:r>
        <w:rPr>
          <w:rFonts w:asciiTheme="minorHAnsi" w:hAnsiTheme="minorHAnsi" w:cstheme="minorHAnsi"/>
          <w:sz w:val="24"/>
          <w:lang w:val="en-US"/>
        </w:rPr>
        <w:lastRenderedPageBreak/>
        <w:t>clearing obligation to Category 1 entities before Category 2 entities are subject to a clearing obligation, competitive dist</w:t>
      </w:r>
      <w:r>
        <w:rPr>
          <w:rFonts w:asciiTheme="minorHAnsi" w:hAnsiTheme="minorHAnsi" w:cstheme="minorHAnsi"/>
          <w:sz w:val="24"/>
          <w:lang w:val="en-US"/>
        </w:rPr>
        <w:t>ortions would result from such a split phase-in period.</w:t>
      </w:r>
    </w:p>
    <w:p w:rsidR="00197956" w:rsidRDefault="00197956">
      <w:pPr>
        <w:pStyle w:val="BodyText0"/>
        <w:jc w:val="both"/>
        <w:rPr>
          <w:rFonts w:asciiTheme="minorHAnsi" w:hAnsiTheme="minorHAnsi" w:cstheme="minorHAnsi"/>
          <w:sz w:val="24"/>
          <w:lang w:val="en-US"/>
        </w:rPr>
      </w:pPr>
    </w:p>
    <w:p w:rsidR="00197956" w:rsidRDefault="00B26780">
      <w:pPr>
        <w:pStyle w:val="BodyText0"/>
        <w:jc w:val="both"/>
        <w:rPr>
          <w:rFonts w:asciiTheme="minorHAnsi" w:hAnsiTheme="minorHAnsi" w:cstheme="minorHAnsi"/>
          <w:sz w:val="24"/>
          <w:lang w:val="en-US"/>
        </w:rPr>
      </w:pPr>
      <w:r>
        <w:rPr>
          <w:rFonts w:asciiTheme="minorHAnsi" w:hAnsiTheme="minorHAnsi" w:cstheme="minorHAnsi"/>
          <w:sz w:val="24"/>
          <w:lang w:val="en-US"/>
        </w:rPr>
        <w:t xml:space="preserve">MFA also notes that adoption of the proposed 3- and 6-month phase-in periods discussed above would align ESMA’s phase-in timing with that used by the CFTC in implementing mandatory clearing of swaps </w:t>
      </w:r>
      <w:r>
        <w:rPr>
          <w:rFonts w:asciiTheme="minorHAnsi" w:hAnsiTheme="minorHAnsi" w:cstheme="minorHAnsi"/>
          <w:sz w:val="24"/>
          <w:lang w:val="en-US"/>
        </w:rPr>
        <w:t>in the U.S.  Like ESMA, the CFTC divided market participants into three different categories for purposes of phasing in clearing of swaps.  The CFTC included the most active swap market participants, including clearing members and some AIFs, in the first c</w:t>
      </w:r>
      <w:r>
        <w:rPr>
          <w:rFonts w:asciiTheme="minorHAnsi" w:hAnsiTheme="minorHAnsi" w:cstheme="minorHAnsi"/>
          <w:sz w:val="24"/>
          <w:lang w:val="en-US"/>
        </w:rPr>
        <w:t>ategory and provided a 90-day phase-in period.  In addition, the CFTC incorporated all remaining AIFs into the second category and provided a 180-day phase-in period.  Despite initial concerns from certain market participants about the CFTC’s proposed impl</w:t>
      </w:r>
      <w:r>
        <w:rPr>
          <w:rFonts w:asciiTheme="minorHAnsi" w:hAnsiTheme="minorHAnsi" w:cstheme="minorHAnsi"/>
          <w:sz w:val="24"/>
          <w:lang w:val="en-US"/>
        </w:rPr>
        <w:t>ementation timeframe, all relevant market participants were able to meet the applicable phase-in periods.</w:t>
      </w:r>
    </w:p>
    <w:p w:rsidR="00197956" w:rsidRDefault="00197956">
      <w:pPr>
        <w:pStyle w:val="BodyText0"/>
        <w:jc w:val="both"/>
        <w:rPr>
          <w:rFonts w:asciiTheme="minorHAnsi" w:hAnsiTheme="minorHAnsi" w:cstheme="minorHAnsi"/>
          <w:sz w:val="24"/>
          <w:lang w:val="en-US"/>
        </w:rPr>
      </w:pPr>
    </w:p>
    <w:p w:rsidR="00197956" w:rsidRDefault="00B26780">
      <w:pPr>
        <w:jc w:val="both"/>
      </w:pPr>
      <w:r>
        <w:rPr>
          <w:rFonts w:asciiTheme="minorHAnsi" w:hAnsiTheme="minorHAnsi" w:cstheme="minorHAnsi"/>
          <w:sz w:val="24"/>
          <w:lang w:val="en-US"/>
        </w:rPr>
        <w:t xml:space="preserve">MFA suggests that ESMA consider its proposals with respect to the phase-in periods in conjunction with its proposals in relation to the frontloading </w:t>
      </w:r>
      <w:r>
        <w:rPr>
          <w:rFonts w:asciiTheme="minorHAnsi" w:hAnsiTheme="minorHAnsi" w:cstheme="minorHAnsi"/>
          <w:sz w:val="24"/>
          <w:lang w:val="en-US"/>
        </w:rPr>
        <w:t>period, as discussed in our response to Question 9 below.  As noted below, we believe that shorter phase-in periods are preferable to the application of a frontloading period.</w:t>
      </w:r>
    </w:p>
    <w:permEnd w:id="1248881085"/>
    <w:p w:rsidR="00197956" w:rsidRDefault="00B26780">
      <w:r>
        <w:t>&lt;ESMA_QUESTION_8&gt;</w:t>
      </w:r>
    </w:p>
    <w:p w:rsidR="00197956" w:rsidRDefault="00B26780">
      <w:r>
        <w:br w:type="page"/>
      </w:r>
    </w:p>
    <w:p w:rsidR="00197956" w:rsidRDefault="00B26780">
      <w:pPr>
        <w:pStyle w:val="Heading1"/>
      </w:pPr>
      <w:bookmarkStart w:id="20" w:name="_Toc392599426"/>
      <w:r>
        <w:lastRenderedPageBreak/>
        <w:tab/>
        <w:t>Remaining maturity and frontloading</w:t>
      </w:r>
      <w:bookmarkEnd w:id="20"/>
    </w:p>
    <w:p w:rsidR="00197956" w:rsidRDefault="00197956"/>
    <w:p w:rsidR="00197956" w:rsidRDefault="00197956"/>
    <w:p w:rsidR="00197956" w:rsidRDefault="00B26780">
      <w:pPr>
        <w:pStyle w:val="Questions"/>
      </w:pPr>
      <w:r>
        <w:t xml:space="preserve">Question </w:t>
      </w:r>
      <w:r>
        <w:fldChar w:fldCharType="begin"/>
      </w:r>
      <w:r>
        <w:instrText xml:space="preserve"> SEQ Quest</w:instrText>
      </w:r>
      <w:r>
        <w:instrText xml:space="preserve">ion \* ARABIC </w:instrText>
      </w:r>
      <w:r>
        <w:fldChar w:fldCharType="separate"/>
      </w:r>
      <w:r>
        <w:rPr>
          <w:noProof/>
        </w:rPr>
        <w:t>9</w:t>
      </w:r>
      <w:r>
        <w:rPr>
          <w:noProof/>
        </w:rPr>
        <w:fldChar w:fldCharType="end"/>
      </w:r>
      <w:r>
        <w:t>: Do you consider that the proposed approach on frontloading and the minimum remaining maturity ensures that the uncertainty related to this requirement is sufficiently mitigated, while allowing a meaningful set of contracts to be captured?</w:t>
      </w:r>
      <w:r>
        <w:t xml:space="preserve"> If not, please explain why and provide possible alternatives compatible with EMIR.</w:t>
      </w:r>
    </w:p>
    <w:p w:rsidR="00197956" w:rsidRDefault="00197956"/>
    <w:p w:rsidR="00197956" w:rsidRDefault="00B26780">
      <w:r>
        <w:t>&lt;ESMA_QUESTION_9&gt;</w:t>
      </w:r>
    </w:p>
    <w:p w:rsidR="00197956" w:rsidRDefault="00B26780">
      <w:pPr>
        <w:pStyle w:val="BodyText0"/>
        <w:jc w:val="both"/>
        <w:rPr>
          <w:rFonts w:asciiTheme="minorHAnsi" w:hAnsiTheme="minorHAnsi" w:cstheme="minorHAnsi"/>
          <w:sz w:val="24"/>
          <w:lang w:val="en-US"/>
        </w:rPr>
      </w:pPr>
      <w:permStart w:id="2072870259" w:edGrp="everyone"/>
      <w:r>
        <w:rPr>
          <w:rFonts w:asciiTheme="minorHAnsi" w:hAnsiTheme="minorHAnsi" w:cstheme="minorHAnsi"/>
          <w:sz w:val="24"/>
          <w:lang w:val="en-US"/>
        </w:rPr>
        <w:t>MFA strongly supports ESMA’s proposed approach to the frontloading obligation with respect to Period A.</w:t>
      </w:r>
    </w:p>
    <w:p w:rsidR="00197956" w:rsidRDefault="00197956">
      <w:pPr>
        <w:pStyle w:val="BodyText0"/>
        <w:jc w:val="both"/>
        <w:rPr>
          <w:rFonts w:asciiTheme="minorHAnsi" w:hAnsiTheme="minorHAnsi" w:cstheme="minorHAnsi"/>
          <w:sz w:val="24"/>
          <w:lang w:val="en-US"/>
        </w:rPr>
      </w:pPr>
    </w:p>
    <w:p w:rsidR="00197956" w:rsidRDefault="00B26780">
      <w:pPr>
        <w:pStyle w:val="BodyText0"/>
        <w:jc w:val="both"/>
        <w:rPr>
          <w:rFonts w:asciiTheme="minorHAnsi" w:hAnsiTheme="minorHAnsi" w:cstheme="minorHAnsi"/>
          <w:sz w:val="24"/>
          <w:lang w:val="en-US"/>
        </w:rPr>
      </w:pPr>
      <w:r>
        <w:rPr>
          <w:rFonts w:asciiTheme="minorHAnsi" w:hAnsiTheme="minorHAnsi" w:cstheme="minorHAnsi"/>
          <w:sz w:val="24"/>
          <w:lang w:val="en-US"/>
        </w:rPr>
        <w:t>As MFA expressed in the Joint Response, we had s</w:t>
      </w:r>
      <w:r>
        <w:rPr>
          <w:rFonts w:asciiTheme="minorHAnsi" w:hAnsiTheme="minorHAnsi" w:cstheme="minorHAnsi"/>
          <w:sz w:val="24"/>
          <w:lang w:val="en-US"/>
        </w:rPr>
        <w:t>trong concerns about the potential inclusion of a frontloading obligation and the possible broad application of frontloading to the EU derivatives market.  As a result, we strongly support the thoughtful approach taken by ESMA with respect to this issue in</w:t>
      </w:r>
      <w:r>
        <w:rPr>
          <w:rFonts w:asciiTheme="minorHAnsi" w:hAnsiTheme="minorHAnsi" w:cstheme="minorHAnsi"/>
          <w:sz w:val="24"/>
          <w:lang w:val="en-US"/>
        </w:rPr>
        <w:t xml:space="preserve"> the Consultation Paper.  In particular, MFA supports ESMA’s approach to contracts concluded during Period A (</w:t>
      </w:r>
      <w:r>
        <w:rPr>
          <w:rFonts w:asciiTheme="minorHAnsi" w:hAnsiTheme="minorHAnsi" w:cstheme="minorHAnsi"/>
          <w:i/>
          <w:sz w:val="24"/>
          <w:lang w:val="en-US"/>
        </w:rPr>
        <w:t>i.e.</w:t>
      </w:r>
      <w:r>
        <w:rPr>
          <w:rFonts w:asciiTheme="minorHAnsi" w:hAnsiTheme="minorHAnsi" w:cstheme="minorHAnsi"/>
          <w:sz w:val="24"/>
          <w:lang w:val="en-US"/>
        </w:rPr>
        <w:t>, the period between the relevant notification of the classes of derivatives to ESMA and the publication of the RTS), such that the minimum re</w:t>
      </w:r>
      <w:r>
        <w:rPr>
          <w:rFonts w:asciiTheme="minorHAnsi" w:hAnsiTheme="minorHAnsi" w:cstheme="minorHAnsi"/>
          <w:sz w:val="24"/>
          <w:lang w:val="en-US"/>
        </w:rPr>
        <w:t>maining maturity of such contracts is set at a level that ensures that no contract is subject to frontloading.  We believe that this approach will achieve legal certainty during Period A and eliminate the difficulties associated with frontloading during Pe</w:t>
      </w:r>
      <w:r>
        <w:rPr>
          <w:rFonts w:asciiTheme="minorHAnsi" w:hAnsiTheme="minorHAnsi" w:cstheme="minorHAnsi"/>
          <w:sz w:val="24"/>
          <w:lang w:val="en-US"/>
        </w:rPr>
        <w:t>riod A (</w:t>
      </w:r>
      <w:r>
        <w:rPr>
          <w:rFonts w:asciiTheme="minorHAnsi" w:hAnsiTheme="minorHAnsi" w:cstheme="minorHAnsi"/>
          <w:i/>
          <w:sz w:val="24"/>
          <w:lang w:val="en-US"/>
        </w:rPr>
        <w:t>i.e.</w:t>
      </w:r>
      <w:r>
        <w:rPr>
          <w:rFonts w:asciiTheme="minorHAnsi" w:hAnsiTheme="minorHAnsi" w:cstheme="minorHAnsi"/>
          <w:sz w:val="24"/>
          <w:lang w:val="en-US"/>
        </w:rPr>
        <w:t>, pricing uncertainty and consequent market uncertainty).</w:t>
      </w:r>
    </w:p>
    <w:p w:rsidR="00197956" w:rsidRDefault="00197956">
      <w:pPr>
        <w:pStyle w:val="BodyText0"/>
        <w:jc w:val="both"/>
        <w:rPr>
          <w:rFonts w:asciiTheme="minorHAnsi" w:hAnsiTheme="minorHAnsi" w:cstheme="minorHAnsi"/>
          <w:sz w:val="24"/>
          <w:lang w:val="en-US"/>
        </w:rPr>
      </w:pPr>
    </w:p>
    <w:p w:rsidR="00197956" w:rsidRDefault="00B26780">
      <w:pPr>
        <w:pStyle w:val="BodyText0"/>
        <w:jc w:val="both"/>
        <w:rPr>
          <w:rFonts w:asciiTheme="minorHAnsi" w:hAnsiTheme="minorHAnsi" w:cstheme="minorHAnsi"/>
          <w:sz w:val="24"/>
          <w:lang w:val="en-US"/>
        </w:rPr>
      </w:pPr>
      <w:r>
        <w:rPr>
          <w:rFonts w:asciiTheme="minorHAnsi" w:hAnsiTheme="minorHAnsi" w:cstheme="minorHAnsi"/>
          <w:sz w:val="24"/>
          <w:lang w:val="en-US"/>
        </w:rPr>
        <w:t>MFA continues to have concerns in relation to the application of the frontloading obligation to contracts concluded during Period B (</w:t>
      </w:r>
      <w:r>
        <w:rPr>
          <w:rFonts w:asciiTheme="minorHAnsi" w:hAnsiTheme="minorHAnsi" w:cstheme="minorHAnsi"/>
          <w:i/>
          <w:sz w:val="24"/>
          <w:lang w:val="en-US"/>
        </w:rPr>
        <w:t>i.e.</w:t>
      </w:r>
      <w:r>
        <w:rPr>
          <w:rFonts w:asciiTheme="minorHAnsi" w:hAnsiTheme="minorHAnsi" w:cstheme="minorHAnsi"/>
          <w:sz w:val="24"/>
          <w:lang w:val="en-US"/>
        </w:rPr>
        <w:t xml:space="preserve">, the period between the publication of the RTS </w:t>
      </w:r>
      <w:r>
        <w:rPr>
          <w:rFonts w:asciiTheme="minorHAnsi" w:hAnsiTheme="minorHAnsi" w:cstheme="minorHAnsi"/>
          <w:sz w:val="24"/>
          <w:lang w:val="en-US"/>
        </w:rPr>
        <w:t xml:space="preserve">and the date on which the clearing obligation begins to apply).  Although parties will have legal certainty as to which contracts will ultimately be subject to the frontloading obligation, such contracts will be priced for a certain </w:t>
      </w:r>
      <w:proofErr w:type="gramStart"/>
      <w:r>
        <w:rPr>
          <w:rFonts w:asciiTheme="minorHAnsi" w:hAnsiTheme="minorHAnsi" w:cstheme="minorHAnsi"/>
          <w:sz w:val="24"/>
          <w:lang w:val="en-US"/>
        </w:rPr>
        <w:t>period of time</w:t>
      </w:r>
      <w:proofErr w:type="gramEnd"/>
      <w:r>
        <w:rPr>
          <w:rFonts w:asciiTheme="minorHAnsi" w:hAnsiTheme="minorHAnsi" w:cstheme="minorHAnsi"/>
          <w:sz w:val="24"/>
          <w:lang w:val="en-US"/>
        </w:rPr>
        <w:t xml:space="preserve"> as </w:t>
      </w:r>
      <w:proofErr w:type="spellStart"/>
      <w:r>
        <w:rPr>
          <w:rFonts w:asciiTheme="minorHAnsi" w:hAnsiTheme="minorHAnsi" w:cstheme="minorHAnsi"/>
          <w:sz w:val="24"/>
          <w:lang w:val="en-US"/>
        </w:rPr>
        <w:t>uncle</w:t>
      </w:r>
      <w:r>
        <w:rPr>
          <w:rFonts w:asciiTheme="minorHAnsi" w:hAnsiTheme="minorHAnsi" w:cstheme="minorHAnsi"/>
          <w:sz w:val="24"/>
          <w:lang w:val="en-US"/>
        </w:rPr>
        <w:t>ared</w:t>
      </w:r>
      <w:proofErr w:type="spellEnd"/>
      <w:r>
        <w:rPr>
          <w:rFonts w:asciiTheme="minorHAnsi" w:hAnsiTheme="minorHAnsi" w:cstheme="minorHAnsi"/>
          <w:sz w:val="24"/>
          <w:lang w:val="en-US"/>
        </w:rPr>
        <w:t xml:space="preserve"> trades, and then, upon commencement of the clearing obligation for such trades, would have to be priced as cleared trades.  MFA is concerned that, accordingly, the frontloading obligation in Period B will result in fractured markets and a troubling la</w:t>
      </w:r>
      <w:r>
        <w:rPr>
          <w:rFonts w:asciiTheme="minorHAnsi" w:hAnsiTheme="minorHAnsi" w:cstheme="minorHAnsi"/>
          <w:sz w:val="24"/>
          <w:lang w:val="en-US"/>
        </w:rPr>
        <w:t xml:space="preserve">ck of transparent pricing being available during such interim period. </w:t>
      </w:r>
    </w:p>
    <w:p w:rsidR="00197956" w:rsidRDefault="00197956">
      <w:pPr>
        <w:pStyle w:val="BodyText0"/>
        <w:jc w:val="both"/>
        <w:rPr>
          <w:rFonts w:asciiTheme="minorHAnsi" w:hAnsiTheme="minorHAnsi" w:cstheme="minorHAnsi"/>
          <w:sz w:val="24"/>
          <w:lang w:val="en-US"/>
        </w:rPr>
      </w:pPr>
    </w:p>
    <w:p w:rsidR="00197956" w:rsidRDefault="00B26780">
      <w:pPr>
        <w:pStyle w:val="BodyText0"/>
        <w:jc w:val="both"/>
        <w:rPr>
          <w:rFonts w:asciiTheme="minorHAnsi" w:hAnsiTheme="minorHAnsi" w:cstheme="minorHAnsi"/>
          <w:sz w:val="24"/>
          <w:lang w:val="en-US"/>
        </w:rPr>
      </w:pPr>
      <w:r>
        <w:rPr>
          <w:rFonts w:asciiTheme="minorHAnsi" w:hAnsiTheme="minorHAnsi" w:cstheme="minorHAnsi"/>
          <w:sz w:val="24"/>
          <w:lang w:val="en-US"/>
        </w:rPr>
        <w:t>MFA supports the approach taken by ESMA to excluding contracts from the frontloading obligation that are concluded between in-scope entities where at least one of the parties is an NFC</w:t>
      </w:r>
      <w:r>
        <w:rPr>
          <w:rFonts w:asciiTheme="minorHAnsi" w:hAnsiTheme="minorHAnsi" w:cstheme="minorHAnsi"/>
          <w:sz w:val="24"/>
          <w:lang w:val="en-US"/>
        </w:rPr>
        <w:t>+/Assumed NFC+.  However, we are concerned that a necessary consequence of this approach is that AIFs that are NFC+s/Assumed NFC+s will be treated differently than AIFs that are FCs/Assumed FCs because AIFs that are FCs/Assumed FCs remain subject to the fr</w:t>
      </w:r>
      <w:r>
        <w:rPr>
          <w:rFonts w:asciiTheme="minorHAnsi" w:hAnsiTheme="minorHAnsi" w:cstheme="minorHAnsi"/>
          <w:sz w:val="24"/>
          <w:lang w:val="en-US"/>
        </w:rPr>
        <w:t>ontloading obligation during Period B.  As with the phase-in of the clearing obligation, MFA does not see any justification for applying the clearing obligation to such entities differently.</w:t>
      </w:r>
    </w:p>
    <w:p w:rsidR="00197956" w:rsidRDefault="00197956">
      <w:pPr>
        <w:pStyle w:val="BodyText0"/>
        <w:jc w:val="both"/>
        <w:rPr>
          <w:rFonts w:asciiTheme="minorHAnsi" w:hAnsiTheme="minorHAnsi" w:cstheme="minorHAnsi"/>
          <w:sz w:val="24"/>
          <w:lang w:val="en-US"/>
        </w:rPr>
      </w:pPr>
    </w:p>
    <w:p w:rsidR="00197956" w:rsidRDefault="00B26780">
      <w:pPr>
        <w:jc w:val="both"/>
      </w:pPr>
      <w:r>
        <w:rPr>
          <w:rFonts w:asciiTheme="minorHAnsi" w:hAnsiTheme="minorHAnsi" w:cstheme="minorHAnsi"/>
          <w:sz w:val="24"/>
          <w:lang w:val="en-US"/>
        </w:rPr>
        <w:t>As a result, MFA urges ESMA to consider modifying its approach t</w:t>
      </w:r>
      <w:r>
        <w:rPr>
          <w:rFonts w:asciiTheme="minorHAnsi" w:hAnsiTheme="minorHAnsi" w:cstheme="minorHAnsi"/>
          <w:sz w:val="24"/>
          <w:lang w:val="en-US"/>
        </w:rPr>
        <w:t>o Period B, such that ESMA treats the minimum remaining maturity of contracts concluded during this period in the same way as in Period A.  Taking such a position would effectively result in no contracts being subject to frontloading.  However, at the same</w:t>
      </w:r>
      <w:r>
        <w:rPr>
          <w:rFonts w:asciiTheme="minorHAnsi" w:hAnsiTheme="minorHAnsi" w:cstheme="minorHAnsi"/>
          <w:sz w:val="24"/>
          <w:lang w:val="en-US"/>
        </w:rPr>
        <w:t xml:space="preserve"> time, we would support ESMA reducing the phase-in </w:t>
      </w:r>
      <w:r>
        <w:rPr>
          <w:rFonts w:asciiTheme="minorHAnsi" w:hAnsiTheme="minorHAnsi" w:cstheme="minorHAnsi"/>
          <w:sz w:val="24"/>
          <w:lang w:val="en-US"/>
        </w:rPr>
        <w:lastRenderedPageBreak/>
        <w:t>periods in accordance with our suggestions at Question 8 above.  Due to our concerns about the impact of frontloading on pricing of derivatives contracts, MFA believes that accelerating the timeframe for p</w:t>
      </w:r>
      <w:r>
        <w:rPr>
          <w:rFonts w:asciiTheme="minorHAnsi" w:hAnsiTheme="minorHAnsi" w:cstheme="minorHAnsi"/>
          <w:sz w:val="24"/>
          <w:lang w:val="en-US"/>
        </w:rPr>
        <w:t>hase in of the clearing obligation, rather than requiring frontloading during Period B, is a more appropriate way to ensure clearing of the proposed IRS.  Such an approach would have the benefit of: (</w:t>
      </w:r>
      <w:proofErr w:type="spellStart"/>
      <w:r>
        <w:rPr>
          <w:rFonts w:asciiTheme="minorHAnsi" w:hAnsiTheme="minorHAnsi" w:cstheme="minorHAnsi"/>
          <w:sz w:val="24"/>
          <w:lang w:val="en-US"/>
        </w:rPr>
        <w:t>i</w:t>
      </w:r>
      <w:proofErr w:type="spellEnd"/>
      <w:r>
        <w:rPr>
          <w:rFonts w:asciiTheme="minorHAnsi" w:hAnsiTheme="minorHAnsi" w:cstheme="minorHAnsi"/>
          <w:sz w:val="24"/>
          <w:lang w:val="en-US"/>
        </w:rPr>
        <w:t>) eliminating the difficulties associated with frontloa</w:t>
      </w:r>
      <w:r>
        <w:rPr>
          <w:rFonts w:asciiTheme="minorHAnsi" w:hAnsiTheme="minorHAnsi" w:cstheme="minorHAnsi"/>
          <w:sz w:val="24"/>
          <w:lang w:val="en-US"/>
        </w:rPr>
        <w:t>ding, as described above; (ii) ensuring that all in-scope AIFs are subject to the same treatment with respect to all aspects of the clearing obligation; and (iii) result in the clearing obligation applying to Category 1 and Category 2 entities at an earlie</w:t>
      </w:r>
      <w:r>
        <w:rPr>
          <w:rFonts w:asciiTheme="minorHAnsi" w:hAnsiTheme="minorHAnsi" w:cstheme="minorHAnsi"/>
          <w:sz w:val="24"/>
          <w:lang w:val="en-US"/>
        </w:rPr>
        <w:t>r date.</w:t>
      </w:r>
    </w:p>
    <w:permEnd w:id="2072870259"/>
    <w:p w:rsidR="00197956" w:rsidRDefault="00B26780">
      <w:r>
        <w:t>&lt;ESMA_QUESTION_9&gt;</w:t>
      </w:r>
    </w:p>
    <w:p w:rsidR="00197956" w:rsidRDefault="00197956"/>
    <w:p w:rsidR="00197956" w:rsidRDefault="00197956"/>
    <w:p w:rsidR="00197956" w:rsidRDefault="00B26780">
      <w:pPr>
        <w:pStyle w:val="Heading1"/>
      </w:pPr>
      <w:bookmarkStart w:id="21" w:name="_Ref390182025"/>
      <w:bookmarkStart w:id="22" w:name="_Toc392599427"/>
      <w:r>
        <w:tab/>
        <w:t>OTC equity derivative classes that are proposed not to be subject to the clearing obligation</w:t>
      </w:r>
      <w:bookmarkEnd w:id="21"/>
      <w:bookmarkEnd w:id="22"/>
    </w:p>
    <w:p w:rsidR="00197956" w:rsidRDefault="00197956"/>
    <w:p w:rsidR="00197956" w:rsidRDefault="00197956"/>
    <w:p w:rsidR="00197956" w:rsidRDefault="00B26780">
      <w:pPr>
        <w:pStyle w:val="Questions"/>
      </w:pPr>
      <w:r>
        <w:t xml:space="preserve">Question </w:t>
      </w:r>
      <w:r>
        <w:fldChar w:fldCharType="begin"/>
      </w:r>
      <w:r>
        <w:instrText xml:space="preserve"> SEQ Question \* ARABIC </w:instrText>
      </w:r>
      <w:r>
        <w:fldChar w:fldCharType="separate"/>
      </w:r>
      <w:r>
        <w:rPr>
          <w:noProof/>
        </w:rPr>
        <w:t>10</w:t>
      </w:r>
      <w:r>
        <w:rPr>
          <w:noProof/>
        </w:rPr>
        <w:fldChar w:fldCharType="end"/>
      </w:r>
      <w:r>
        <w:t xml:space="preserve">: Do you have any comment on the analysis on the Equity OTC derivative classes presented in Section </w:t>
      </w:r>
      <w:r>
        <w:fldChar w:fldCharType="begin"/>
      </w:r>
      <w:r>
        <w:instrText xml:space="preserve"> REF _Ref390182025 \r \h </w:instrText>
      </w:r>
      <w:r>
        <w:fldChar w:fldCharType="separate"/>
      </w:r>
      <w:r>
        <w:t>6</w:t>
      </w:r>
      <w:r>
        <w:fldChar w:fldCharType="end"/>
      </w:r>
      <w:r>
        <w:t>?</w:t>
      </w:r>
    </w:p>
    <w:p w:rsidR="00197956" w:rsidRDefault="00197956"/>
    <w:p w:rsidR="00197956" w:rsidRDefault="00B26780">
      <w:r>
        <w:t>&lt;ESMA_QUESTION_10&gt;</w:t>
      </w:r>
    </w:p>
    <w:p w:rsidR="00197956" w:rsidRDefault="00B26780">
      <w:pPr>
        <w:pStyle w:val="BodyText0"/>
        <w:jc w:val="both"/>
        <w:rPr>
          <w:rFonts w:asciiTheme="minorHAnsi" w:hAnsiTheme="minorHAnsi" w:cstheme="minorHAnsi"/>
          <w:sz w:val="24"/>
          <w:lang w:val="en-US"/>
        </w:rPr>
      </w:pPr>
      <w:permStart w:id="891171934" w:edGrp="everyone"/>
      <w:r>
        <w:rPr>
          <w:rFonts w:asciiTheme="minorHAnsi" w:hAnsiTheme="minorHAnsi" w:cstheme="minorHAnsi"/>
          <w:sz w:val="24"/>
          <w:lang w:val="en-US"/>
        </w:rPr>
        <w:t>MFA supports ESMA’s decision not to subj</w:t>
      </w:r>
      <w:r>
        <w:rPr>
          <w:rFonts w:asciiTheme="minorHAnsi" w:hAnsiTheme="minorHAnsi" w:cstheme="minorHAnsi"/>
          <w:sz w:val="24"/>
          <w:lang w:val="en-US"/>
        </w:rPr>
        <w:t xml:space="preserve">ect to the clearing obligation the classes of equity OTC derivatives currently cleared by Nasdaq OMX Clearing AB and </w:t>
      </w:r>
      <w:proofErr w:type="spellStart"/>
      <w:r>
        <w:rPr>
          <w:rFonts w:asciiTheme="minorHAnsi" w:hAnsiTheme="minorHAnsi" w:cstheme="minorHAnsi"/>
          <w:sz w:val="24"/>
          <w:lang w:val="en-US"/>
        </w:rPr>
        <w:t>LCH.Clearnet</w:t>
      </w:r>
      <w:proofErr w:type="spellEnd"/>
      <w:r>
        <w:rPr>
          <w:rFonts w:asciiTheme="minorHAnsi" w:hAnsiTheme="minorHAnsi" w:cstheme="minorHAnsi"/>
          <w:sz w:val="24"/>
          <w:lang w:val="en-US"/>
        </w:rPr>
        <w:t xml:space="preserve"> Ltd.  The size of the OTC equity market that the two CCPs are authorized to clear </w:t>
      </w:r>
      <w:proofErr w:type="gramStart"/>
      <w:r>
        <w:rPr>
          <w:rFonts w:asciiTheme="minorHAnsi" w:hAnsiTheme="minorHAnsi" w:cstheme="minorHAnsi"/>
          <w:sz w:val="24"/>
          <w:lang w:val="en-US"/>
        </w:rPr>
        <w:t>is</w:t>
      </w:r>
      <w:proofErr w:type="gramEnd"/>
      <w:r>
        <w:rPr>
          <w:rFonts w:asciiTheme="minorHAnsi" w:hAnsiTheme="minorHAnsi" w:cstheme="minorHAnsi"/>
          <w:sz w:val="24"/>
          <w:lang w:val="en-US"/>
        </w:rPr>
        <w:t xml:space="preserve"> relatively limited and the clearing of OT</w:t>
      </w:r>
      <w:r>
        <w:rPr>
          <w:rFonts w:asciiTheme="minorHAnsi" w:hAnsiTheme="minorHAnsi" w:cstheme="minorHAnsi"/>
          <w:sz w:val="24"/>
          <w:lang w:val="en-US"/>
        </w:rPr>
        <w:t xml:space="preserve">C equity derivatives is not well established.  Therefore, we agree with ESMA’s assessment that these classes of derivatives are of less systemic importance than the other classes of derivatives that ESMA is currently considering subjecting to the clearing </w:t>
      </w:r>
      <w:r>
        <w:rPr>
          <w:rFonts w:asciiTheme="minorHAnsi" w:hAnsiTheme="minorHAnsi" w:cstheme="minorHAnsi"/>
          <w:sz w:val="24"/>
          <w:lang w:val="en-US"/>
        </w:rPr>
        <w:t>obligation.</w:t>
      </w:r>
    </w:p>
    <w:p w:rsidR="00197956" w:rsidRDefault="00197956">
      <w:pPr>
        <w:pStyle w:val="BodyText0"/>
        <w:jc w:val="both"/>
        <w:rPr>
          <w:rFonts w:asciiTheme="minorHAnsi" w:hAnsiTheme="minorHAnsi" w:cstheme="minorHAnsi"/>
          <w:sz w:val="24"/>
          <w:lang w:val="en-US"/>
        </w:rPr>
      </w:pPr>
    </w:p>
    <w:p w:rsidR="00197956" w:rsidRDefault="00B26780">
      <w:pPr>
        <w:jc w:val="both"/>
      </w:pPr>
      <w:r>
        <w:rPr>
          <w:rFonts w:asciiTheme="minorHAnsi" w:hAnsiTheme="minorHAnsi" w:cstheme="minorHAnsi"/>
          <w:sz w:val="24"/>
          <w:lang w:val="en-US"/>
        </w:rPr>
        <w:t>Furthermore, MFA supports ESMA’s exclusion of these classes of derivatives from the clearing obligation given that they are not subject to the CFTC’s clearing obligation.  We agree with ESMA that there will be time at a later stage to re-asses</w:t>
      </w:r>
      <w:r>
        <w:rPr>
          <w:rFonts w:asciiTheme="minorHAnsi" w:hAnsiTheme="minorHAnsi" w:cstheme="minorHAnsi"/>
          <w:sz w:val="24"/>
          <w:lang w:val="en-US"/>
        </w:rPr>
        <w:t xml:space="preserve">s the suitability of the clearing obligation for these asset classes, as the industry continues to work towards developing CCP solutions for clearing more bespoke equity derivative products.  Given the importance of international convergence in this area, </w:t>
      </w:r>
      <w:r>
        <w:rPr>
          <w:rFonts w:asciiTheme="minorHAnsi" w:hAnsiTheme="minorHAnsi" w:cstheme="minorHAnsi"/>
          <w:sz w:val="24"/>
          <w:lang w:val="en-US"/>
        </w:rPr>
        <w:t>we believe that it would be appropriate to reassess these classes of derivatives if, at a later date, the CFTC or U.S. Securities and Exchange Commission choose to require mandatory clearing of these classes of derivatives.  We appreciate that any such rea</w:t>
      </w:r>
      <w:r>
        <w:rPr>
          <w:rFonts w:asciiTheme="minorHAnsi" w:hAnsiTheme="minorHAnsi" w:cstheme="minorHAnsi"/>
          <w:sz w:val="24"/>
          <w:lang w:val="en-US"/>
        </w:rPr>
        <w:t>ssessment would necessarily need to occur within the framework permitted by EMIR for including additional classes of derivatives in the clearing obligation.</w:t>
      </w:r>
    </w:p>
    <w:permEnd w:id="891171934"/>
    <w:p w:rsidR="00197956" w:rsidRDefault="00B26780">
      <w:r>
        <w:t>&lt;ESMA_QUESTION_10&gt;</w:t>
      </w:r>
    </w:p>
    <w:p w:rsidR="00197956" w:rsidRDefault="00197956"/>
    <w:p w:rsidR="00197956" w:rsidRDefault="00197956"/>
    <w:p w:rsidR="00197956" w:rsidRDefault="00B26780">
      <w:pPr>
        <w:pStyle w:val="Heading1"/>
      </w:pPr>
      <w:bookmarkStart w:id="23" w:name="_Ref392593404"/>
      <w:bookmarkStart w:id="24" w:name="_Toc392599428"/>
      <w:r>
        <w:tab/>
        <w:t>OTC Interest rate future and option classes that are proposed not to be subje</w:t>
      </w:r>
      <w:r>
        <w:t>ct to the clearing obligation</w:t>
      </w:r>
      <w:bookmarkEnd w:id="23"/>
      <w:bookmarkEnd w:id="24"/>
    </w:p>
    <w:p w:rsidR="00197956" w:rsidRDefault="00197956"/>
    <w:p w:rsidR="00197956" w:rsidRDefault="00B26780">
      <w:pPr>
        <w:pStyle w:val="Questions"/>
      </w:pPr>
      <w:r>
        <w:t xml:space="preserve">Question </w:t>
      </w:r>
      <w:r>
        <w:fldChar w:fldCharType="begin"/>
      </w:r>
      <w:r>
        <w:instrText xml:space="preserve"> SEQ Question \* ARABIC </w:instrText>
      </w:r>
      <w:r>
        <w:fldChar w:fldCharType="separate"/>
      </w:r>
      <w:r>
        <w:rPr>
          <w:noProof/>
        </w:rPr>
        <w:t>11</w:t>
      </w:r>
      <w:r>
        <w:rPr>
          <w:noProof/>
        </w:rPr>
        <w:fldChar w:fldCharType="end"/>
      </w:r>
      <w:r>
        <w:t xml:space="preserve">: Do you have any comment on the analysis on the OTC Interest rate future and options derivative classes presented in Section </w:t>
      </w:r>
      <w:r>
        <w:fldChar w:fldCharType="begin"/>
      </w:r>
      <w:r>
        <w:instrText xml:space="preserve"> REF _Ref392593404 \r \h </w:instrText>
      </w:r>
      <w:r>
        <w:fldChar w:fldCharType="separate"/>
      </w:r>
      <w:r>
        <w:t>7</w:t>
      </w:r>
      <w:r>
        <w:fldChar w:fldCharType="end"/>
      </w:r>
      <w:r>
        <w:t>?</w:t>
      </w:r>
    </w:p>
    <w:p w:rsidR="00197956" w:rsidRDefault="00197956"/>
    <w:p w:rsidR="00197956" w:rsidRDefault="00B26780">
      <w:r>
        <w:t>&lt;ESMA_QUESTION_11&gt;</w:t>
      </w:r>
    </w:p>
    <w:p w:rsidR="00197956" w:rsidRDefault="00B26780">
      <w:pPr>
        <w:jc w:val="both"/>
        <w:rPr>
          <w:rFonts w:asciiTheme="minorHAnsi" w:hAnsiTheme="minorHAnsi" w:cstheme="minorHAnsi"/>
          <w:sz w:val="24"/>
          <w:lang w:val="en-US"/>
        </w:rPr>
      </w:pPr>
      <w:permStart w:id="2107508031" w:edGrp="everyone"/>
      <w:r>
        <w:rPr>
          <w:rFonts w:asciiTheme="minorHAnsi" w:hAnsiTheme="minorHAnsi" w:cstheme="minorHAnsi"/>
          <w:sz w:val="24"/>
          <w:lang w:val="en-US"/>
        </w:rPr>
        <w:t xml:space="preserve">MFA supports ESMA’s decision not to subject to the clearing obligation certain additional interest rate future and option classes that Nasdaq OMX Clearing AB and </w:t>
      </w:r>
      <w:proofErr w:type="spellStart"/>
      <w:r>
        <w:rPr>
          <w:rFonts w:asciiTheme="minorHAnsi" w:hAnsiTheme="minorHAnsi" w:cstheme="minorHAnsi"/>
          <w:sz w:val="24"/>
          <w:lang w:val="en-US"/>
        </w:rPr>
        <w:t>LCH.Clearnet</w:t>
      </w:r>
      <w:proofErr w:type="spellEnd"/>
      <w:r>
        <w:rPr>
          <w:rFonts w:asciiTheme="minorHAnsi" w:hAnsiTheme="minorHAnsi" w:cstheme="minorHAnsi"/>
          <w:sz w:val="24"/>
          <w:lang w:val="en-US"/>
        </w:rPr>
        <w:t xml:space="preserve"> Ltd. </w:t>
      </w:r>
      <w:proofErr w:type="gramStart"/>
      <w:r>
        <w:rPr>
          <w:rFonts w:asciiTheme="minorHAnsi" w:hAnsiTheme="minorHAnsi" w:cstheme="minorHAnsi"/>
          <w:sz w:val="24"/>
          <w:lang w:val="en-US"/>
        </w:rPr>
        <w:t>are authorized</w:t>
      </w:r>
      <w:proofErr w:type="gramEnd"/>
      <w:r>
        <w:rPr>
          <w:rFonts w:asciiTheme="minorHAnsi" w:hAnsiTheme="minorHAnsi" w:cstheme="minorHAnsi"/>
          <w:sz w:val="24"/>
          <w:lang w:val="en-US"/>
        </w:rPr>
        <w:t xml:space="preserve"> to clea</w:t>
      </w:r>
      <w:r>
        <w:rPr>
          <w:rFonts w:asciiTheme="minorHAnsi" w:hAnsiTheme="minorHAnsi" w:cstheme="minorHAnsi"/>
          <w:sz w:val="24"/>
          <w:lang w:val="en-US"/>
        </w:rPr>
        <w:t>r, as described at section 7.1 of the Consultation Paper.  We believe that, for the sake of international convergence, it is important that the categories of derivatives subject to mandatory clearing in the EU and other jurisdictions be as similar as possi</w:t>
      </w:r>
      <w:r>
        <w:rPr>
          <w:rFonts w:asciiTheme="minorHAnsi" w:hAnsiTheme="minorHAnsi" w:cstheme="minorHAnsi"/>
          <w:sz w:val="24"/>
          <w:lang w:val="en-US"/>
        </w:rPr>
        <w:t>ble, and these derivatives are currently not subject to the mandatory clearing rules of the CFTC.  We would welcome a reassessment of this position if the CFTC’s position changes such that it subjects these derivatives to the clearing obligation at a later</w:t>
      </w:r>
      <w:r>
        <w:rPr>
          <w:rFonts w:asciiTheme="minorHAnsi" w:hAnsiTheme="minorHAnsi" w:cstheme="minorHAnsi"/>
          <w:sz w:val="24"/>
          <w:lang w:val="en-US"/>
        </w:rPr>
        <w:t xml:space="preserve"> stage.</w:t>
      </w:r>
    </w:p>
    <w:permEnd w:id="2107508031"/>
    <w:p w:rsidR="00197956" w:rsidRDefault="00B26780">
      <w:r>
        <w:t>&lt;ESMA_QUESTION_11&gt;</w:t>
      </w:r>
    </w:p>
    <w:p w:rsidR="00197956" w:rsidRDefault="00197956"/>
    <w:p w:rsidR="00197956" w:rsidRDefault="00197956"/>
    <w:p w:rsidR="00197956" w:rsidRDefault="00B26780">
      <w:pPr>
        <w:pStyle w:val="Heading1"/>
        <w:numPr>
          <w:ilvl w:val="0"/>
          <w:numId w:val="0"/>
        </w:numPr>
      </w:pPr>
      <w:bookmarkStart w:id="25" w:name="_Ref389465288"/>
      <w:bookmarkStart w:id="26" w:name="_Toc392599429"/>
      <w:r>
        <w:t xml:space="preserve">Annex </w:t>
      </w:r>
      <w:r>
        <w:fldChar w:fldCharType="begin"/>
      </w:r>
      <w:r>
        <w:instrText xml:space="preserve"> SEQ Annex \* ROMAN </w:instrText>
      </w:r>
      <w:r>
        <w:fldChar w:fldCharType="separate"/>
      </w:r>
      <w:r>
        <w:rPr>
          <w:noProof/>
        </w:rPr>
        <w:t>I</w:t>
      </w:r>
      <w:r>
        <w:rPr>
          <w:noProof/>
        </w:rPr>
        <w:fldChar w:fldCharType="end"/>
      </w:r>
      <w:bookmarkEnd w:id="25"/>
      <w:r>
        <w:t xml:space="preserve"> - Commission mandate to develop technical standards</w:t>
      </w:r>
      <w:bookmarkEnd w:id="26"/>
    </w:p>
    <w:p w:rsidR="00197956" w:rsidRDefault="00197956"/>
    <w:p w:rsidR="00197956" w:rsidRDefault="00B26780">
      <w:pPr>
        <w:pStyle w:val="Heading1"/>
        <w:numPr>
          <w:ilvl w:val="0"/>
          <w:numId w:val="0"/>
        </w:numPr>
      </w:pPr>
      <w:bookmarkStart w:id="27" w:name="_Ref389466688"/>
      <w:bookmarkStart w:id="28" w:name="_Toc392599430"/>
      <w:r>
        <w:t xml:space="preserve">Annex </w:t>
      </w:r>
      <w:r>
        <w:fldChar w:fldCharType="begin"/>
      </w:r>
      <w:r>
        <w:instrText xml:space="preserve"> SEQ Annex \* ROMAN </w:instrText>
      </w:r>
      <w:r>
        <w:fldChar w:fldCharType="separate"/>
      </w:r>
      <w:r>
        <w:rPr>
          <w:noProof/>
        </w:rPr>
        <w:t>II</w:t>
      </w:r>
      <w:r>
        <w:rPr>
          <w:noProof/>
        </w:rPr>
        <w:fldChar w:fldCharType="end"/>
      </w:r>
      <w:bookmarkEnd w:id="27"/>
      <w:r>
        <w:t xml:space="preserve"> - Draft Regulatory Technical Standards on the Clearing Obligation</w:t>
      </w:r>
      <w:bookmarkEnd w:id="28"/>
    </w:p>
    <w:p w:rsidR="00197956" w:rsidRDefault="00B26780">
      <w:pPr>
        <w:pStyle w:val="Questions"/>
      </w:pPr>
      <w:r>
        <w:t xml:space="preserve">Question </w:t>
      </w:r>
      <w:r>
        <w:fldChar w:fldCharType="begin"/>
      </w:r>
      <w:r>
        <w:instrText xml:space="preserve"> SEQ Question \* ARABIC </w:instrText>
      </w:r>
      <w:r>
        <w:fldChar w:fldCharType="separate"/>
      </w:r>
      <w:r>
        <w:rPr>
          <w:noProof/>
        </w:rPr>
        <w:t>12</w:t>
      </w:r>
      <w:r>
        <w:rPr>
          <w:noProof/>
        </w:rPr>
        <w:fldChar w:fldCharType="end"/>
      </w:r>
      <w:r>
        <w:t xml:space="preserve">: </w:t>
      </w:r>
      <w:r>
        <w:t>Please indicate your comments on the draft RTS other than those already made in the previous questions.</w:t>
      </w:r>
    </w:p>
    <w:p w:rsidR="00197956" w:rsidRDefault="00197956"/>
    <w:p w:rsidR="00197956" w:rsidRDefault="00B26780">
      <w:r>
        <w:t>&lt;ESMA_QUESTION_12&gt;</w:t>
      </w:r>
    </w:p>
    <w:p w:rsidR="00197956" w:rsidRDefault="00B26780">
      <w:pPr>
        <w:jc w:val="both"/>
      </w:pPr>
      <w:permStart w:id="1268415454" w:edGrp="everyone"/>
      <w:r>
        <w:rPr>
          <w:rFonts w:asciiTheme="minorHAnsi" w:hAnsiTheme="minorHAnsi" w:cstheme="minorHAnsi"/>
          <w:sz w:val="24"/>
          <w:lang w:val="en-US"/>
        </w:rPr>
        <w:t>MFA respectfully notes a minor typographical error at Article 4(2</w:t>
      </w:r>
      <w:proofErr w:type="gramStart"/>
      <w:r>
        <w:rPr>
          <w:rFonts w:asciiTheme="minorHAnsi" w:hAnsiTheme="minorHAnsi" w:cstheme="minorHAnsi"/>
          <w:sz w:val="24"/>
          <w:lang w:val="en-US"/>
        </w:rPr>
        <w:t>)(</w:t>
      </w:r>
      <w:proofErr w:type="gramEnd"/>
      <w:r>
        <w:rPr>
          <w:rFonts w:asciiTheme="minorHAnsi" w:hAnsiTheme="minorHAnsi" w:cstheme="minorHAnsi"/>
          <w:sz w:val="24"/>
          <w:lang w:val="en-US"/>
        </w:rPr>
        <w:t>d) of the draft RTS: “2 year” should read “2 years”.</w:t>
      </w:r>
    </w:p>
    <w:permEnd w:id="1268415454"/>
    <w:p w:rsidR="00197956" w:rsidRDefault="00B26780">
      <w:r>
        <w:t>&lt;ESMA_QUESTI</w:t>
      </w:r>
      <w:r>
        <w:t>ON_12&gt;</w:t>
      </w:r>
    </w:p>
    <w:p w:rsidR="00197956" w:rsidRDefault="00197956"/>
    <w:p w:rsidR="00197956" w:rsidRDefault="00197956"/>
    <w:p w:rsidR="00197956" w:rsidRDefault="00B26780">
      <w:pPr>
        <w:pStyle w:val="Heading1"/>
        <w:numPr>
          <w:ilvl w:val="0"/>
          <w:numId w:val="0"/>
        </w:numPr>
      </w:pPr>
      <w:bookmarkStart w:id="29" w:name="_Toc392599431"/>
      <w:r>
        <w:t xml:space="preserve">Annex </w:t>
      </w:r>
      <w:r>
        <w:fldChar w:fldCharType="begin"/>
      </w:r>
      <w:r>
        <w:instrText xml:space="preserve"> SEQ Annex \* ROMAN </w:instrText>
      </w:r>
      <w:r>
        <w:fldChar w:fldCharType="separate"/>
      </w:r>
      <w:r>
        <w:rPr>
          <w:noProof/>
        </w:rPr>
        <w:t>III</w:t>
      </w:r>
      <w:r>
        <w:rPr>
          <w:noProof/>
        </w:rPr>
        <w:fldChar w:fldCharType="end"/>
      </w:r>
      <w:r>
        <w:t xml:space="preserve"> - Impact assessment</w:t>
      </w:r>
      <w:bookmarkEnd w:id="29"/>
    </w:p>
    <w:p w:rsidR="00197956" w:rsidRDefault="00B26780">
      <w:pPr>
        <w:pStyle w:val="Questions"/>
      </w:pPr>
      <w:r>
        <w:t xml:space="preserve">Question </w:t>
      </w:r>
      <w:r>
        <w:fldChar w:fldCharType="begin"/>
      </w:r>
      <w:r>
        <w:instrText xml:space="preserve"> SEQ Question \* ARABIC </w:instrText>
      </w:r>
      <w:r>
        <w:fldChar w:fldCharType="separate"/>
      </w:r>
      <w:r>
        <w:rPr>
          <w:noProof/>
        </w:rPr>
        <w:t>13</w:t>
      </w:r>
      <w:r>
        <w:rPr>
          <w:noProof/>
        </w:rPr>
        <w:fldChar w:fldCharType="end"/>
      </w:r>
      <w:r>
        <w:t>: Please indicate your comments on the CBA.</w:t>
      </w:r>
    </w:p>
    <w:p w:rsidR="00197956" w:rsidRDefault="00197956"/>
    <w:p w:rsidR="00197956" w:rsidRDefault="00B26780">
      <w:r>
        <w:t>&lt;ESMA_QUESTION_13&gt;</w:t>
      </w:r>
    </w:p>
    <w:p w:rsidR="00197956" w:rsidRDefault="00B26780">
      <w:permStart w:id="1636641253" w:edGrp="everyone"/>
      <w:r>
        <w:t>TYPE YOUR TEXT HERE</w:t>
      </w:r>
    </w:p>
    <w:permEnd w:id="1636641253"/>
    <w:p w:rsidR="00197956" w:rsidRDefault="00B26780">
      <w:r>
        <w:t>&lt;ESMA_QUESTION_13&gt;</w:t>
      </w:r>
    </w:p>
    <w:sectPr w:rsidR="00197956">
      <w:headerReference w:type="even" r:id="rId15"/>
      <w:headerReference w:type="first" r:id="rId16"/>
      <w:footerReference w:type="first" r:id="rId17"/>
      <w:pgSz w:w="11906" w:h="16838" w:code="9"/>
      <w:pgMar w:top="2552" w:right="1247" w:bottom="1361"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7956" w:rsidRDefault="00B26780">
      <w:r>
        <w:separator/>
      </w:r>
    </w:p>
    <w:p w:rsidR="00197956" w:rsidRDefault="00197956"/>
    <w:p w:rsidR="00197956" w:rsidRDefault="00197956"/>
  </w:endnote>
  <w:endnote w:type="continuationSeparator" w:id="0">
    <w:p w:rsidR="00197956" w:rsidRDefault="00B26780">
      <w:r>
        <w:continuationSeparator/>
      </w:r>
    </w:p>
    <w:p w:rsidR="00197956" w:rsidRDefault="00197956"/>
    <w:p w:rsidR="00197956" w:rsidRDefault="001979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197956">
      <w:trPr>
        <w:trHeight w:val="284"/>
      </w:trPr>
      <w:tc>
        <w:tcPr>
          <w:tcW w:w="8460" w:type="dxa"/>
        </w:tcPr>
        <w:p w:rsidR="00197956" w:rsidRDefault="00197956">
          <w:pPr>
            <w:pStyle w:val="00Footer"/>
            <w:rPr>
              <w:lang w:val="fr-FR"/>
            </w:rPr>
          </w:pPr>
        </w:p>
      </w:tc>
      <w:tc>
        <w:tcPr>
          <w:tcW w:w="952" w:type="dxa"/>
        </w:tcPr>
        <w:p w:rsidR="00197956" w:rsidRDefault="00B26780">
          <w:pPr>
            <w:pStyle w:val="00aPagenumber"/>
          </w:pPr>
          <w:r>
            <w:fldChar w:fldCharType="begin"/>
          </w:r>
          <w:r>
            <w:instrText xml:space="preserve"> PAGE </w:instrText>
          </w:r>
          <w:r>
            <w:fldChar w:fldCharType="separate"/>
          </w:r>
          <w:r>
            <w:rPr>
              <w:noProof/>
            </w:rPr>
            <w:t>16</w:t>
          </w:r>
          <w:r>
            <w:rPr>
              <w:noProof/>
            </w:rPr>
            <w:fldChar w:fldCharType="end"/>
          </w:r>
        </w:p>
        <w:p w:rsidR="00197956" w:rsidRDefault="00197956">
          <w:pPr>
            <w:pStyle w:val="00aPagenumber"/>
          </w:pPr>
        </w:p>
      </w:tc>
    </w:tr>
    <w:tr w:rsidR="00197956">
      <w:trPr>
        <w:trHeight w:val="284"/>
      </w:trPr>
      <w:tc>
        <w:tcPr>
          <w:tcW w:w="8460" w:type="dxa"/>
        </w:tcPr>
        <w:p w:rsidR="00197956" w:rsidRDefault="00197956">
          <w:pPr>
            <w:pStyle w:val="00Footer"/>
          </w:pPr>
        </w:p>
      </w:tc>
      <w:tc>
        <w:tcPr>
          <w:tcW w:w="952" w:type="dxa"/>
        </w:tcPr>
        <w:p w:rsidR="00197956" w:rsidRDefault="00197956">
          <w:pPr>
            <w:pStyle w:val="00aPagenumber"/>
          </w:pPr>
        </w:p>
      </w:tc>
    </w:tr>
  </w:tbl>
  <w:p w:rsidR="00197956" w:rsidRDefault="00B26780">
    <w:pPr>
      <w:pStyle w:val="Footer"/>
    </w:pPr>
    <w:r>
      <w:fldChar w:fldCharType="begin"/>
    </w:r>
    <w:r>
      <w:instrText xml:space="preserve"> DATE \@ "dddd, dd MMMM yyyy" </w:instrText>
    </w:r>
    <w:r>
      <w:fldChar w:fldCharType="separate"/>
    </w:r>
    <w:r>
      <w:rPr>
        <w:noProof/>
      </w:rPr>
      <w:t>Monday, 18 August 2014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956" w:rsidRDefault="001979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7956" w:rsidRDefault="00B26780">
      <w:r>
        <w:separator/>
      </w:r>
    </w:p>
    <w:p w:rsidR="00197956" w:rsidRDefault="00197956"/>
  </w:footnote>
  <w:footnote w:type="continuationSeparator" w:id="0">
    <w:p w:rsidR="00197956" w:rsidRDefault="00B26780">
      <w:r>
        <w:continuationSeparator/>
      </w:r>
    </w:p>
    <w:p w:rsidR="00197956" w:rsidRDefault="00197956"/>
    <w:p w:rsidR="00197956" w:rsidRDefault="0019795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956" w:rsidRDefault="00B26780">
    <w:pPr>
      <w:pStyle w:val="Header"/>
    </w:pPr>
    <w:r>
      <w:rPr>
        <w:noProof/>
        <w:lang w:val="en-US" w:eastAsia="en-US"/>
      </w:rPr>
      <w:drawing>
        <wp:anchor distT="0" distB="0" distL="114300" distR="114300" simplePos="0" relativeHeight="251660288"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3" name="Picture 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anchor>
      </w:drawing>
    </w:r>
    <w:r>
      <w:rPr>
        <w:noProof/>
        <w:lang w:eastAsia="en-GB"/>
      </w:rPr>
      <w:pict>
        <v:line id="Line 16" o:spid="_x0000_s14338"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956" w:rsidRDefault="00B26780">
    <w:pPr>
      <w:pStyle w:val="Header"/>
    </w:pPr>
    <w:r>
      <w:rPr>
        <w:noProof/>
        <w:lang w:val="en-US" w:eastAsia="en-US"/>
      </w:rPr>
      <w:drawing>
        <wp:anchor distT="0" distB="0" distL="114300" distR="114300" simplePos="0" relativeHeight="251659264"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4"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anchor>
      </w:drawing>
    </w:r>
    <w:r>
      <w:rPr>
        <w:noProof/>
        <w:lang w:val="en-US" w:eastAsia="en-US"/>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5" name="Picture 5"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956" w:rsidRDefault="00197956"/>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214"/>
      <w:gridCol w:w="198"/>
    </w:tblGrid>
    <w:tr w:rsidR="00197956">
      <w:trPr>
        <w:trHeight w:val="284"/>
      </w:trPr>
      <w:tc>
        <w:tcPr>
          <w:tcW w:w="9214" w:type="dxa"/>
        </w:tcPr>
        <w:p w:rsidR="00197956" w:rsidRDefault="00B26780">
          <w:pPr>
            <w:pStyle w:val="Footer"/>
            <w:rPr>
              <w:lang w:val="fr-FR"/>
            </w:rPr>
          </w:pPr>
          <w:r>
            <w:rPr>
              <w:color w:val="3E3F90"/>
              <w:sz w:val="16"/>
              <w:szCs w:val="16"/>
              <w:lang w:val="es-ES_tradnl"/>
            </w:rPr>
            <w:t xml:space="preserve">ESMA • CS 60747 – 103 rue de Grenelle • 75345 Paris </w:t>
          </w:r>
          <w:r>
            <w:rPr>
              <w:color w:val="3E3F90"/>
              <w:sz w:val="16"/>
              <w:szCs w:val="16"/>
              <w:lang w:val="es-ES_tradnl"/>
            </w:rPr>
            <w:t xml:space="preserve">Cedex 07 • France • Tel. </w:t>
          </w:r>
          <w:r>
            <w:rPr>
              <w:color w:val="3E3F90"/>
              <w:sz w:val="16"/>
              <w:szCs w:val="16"/>
              <w:lang w:val="fr-FR"/>
            </w:rPr>
            <w:t>+33 (0) 1 58 36 43 21 • www.esma.europa.eu</w:t>
          </w:r>
        </w:p>
      </w:tc>
      <w:tc>
        <w:tcPr>
          <w:tcW w:w="198" w:type="dxa"/>
        </w:tcPr>
        <w:p w:rsidR="00197956" w:rsidRDefault="00197956">
          <w:pPr>
            <w:pStyle w:val="00aPagenumber"/>
            <w:rPr>
              <w:lang w:val="fr-FR"/>
            </w:rPr>
          </w:pPr>
        </w:p>
      </w:tc>
    </w:tr>
  </w:tbl>
  <w:p w:rsidR="00197956" w:rsidRDefault="00197956">
    <w:pPr>
      <w:rPr>
        <w:lang w:val="fr-FR"/>
      </w:rPr>
    </w:pPr>
  </w:p>
  <w:p w:rsidR="00197956" w:rsidRDefault="00B26780">
    <w:pPr>
      <w:pStyle w:val="Header"/>
    </w:pPr>
    <w:r>
      <w:rPr>
        <w:noProof/>
        <w:lang w:eastAsia="en-GB"/>
      </w:rPr>
      <w:pict>
        <v:line id="Line 20" o:spid="_x0000_s14337"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" strokecolor="#283583" strokeweight="1pt">
          <w10:wrap anchorx="page" anchory="page"/>
        </v:line>
      </w:pict>
    </w:r>
    <w:r>
      <w:rPr>
        <w:noProof/>
        <w:lang w:val="en-US" w:eastAsia="en-US"/>
      </w:rPr>
      <w:drawing>
        <wp:anchor distT="0" distB="0" distL="114300" distR="114300" simplePos="0" relativeHeight="251657216" behindDoc="0" locked="0" layoutInCell="1" allowOverlap="1">
          <wp:simplePos x="0" y="0"/>
          <wp:positionH relativeFrom="page">
            <wp:posOffset>791845</wp:posOffset>
          </wp:positionH>
          <wp:positionV relativeFrom="page">
            <wp:posOffset>612140</wp:posOffset>
          </wp:positionV>
          <wp:extent cx="2209800" cy="904875"/>
          <wp:effectExtent l="0" t="0" r="0" b="9525"/>
          <wp:wrapNone/>
          <wp:docPr id="19" name="Picture 19"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5E7A"/>
    <w:multiLevelType w:val="hybridMultilevel"/>
    <w:tmpl w:val="399C7AA6"/>
    <w:lvl w:ilvl="0" w:tplc="C7B283DC">
      <w:start w:val="1"/>
      <w:numFmt w:val="decimal"/>
      <w:pStyle w:val="Style3"/>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2716AB2"/>
    <w:multiLevelType w:val="hybridMultilevel"/>
    <w:tmpl w:val="E9086C3E"/>
    <w:lvl w:ilvl="0" w:tplc="3DC4FE0E">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B40CDB"/>
    <w:multiLevelType w:val="multilevel"/>
    <w:tmpl w:val="212CDBD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A563D17"/>
    <w:multiLevelType w:val="hybridMultilevel"/>
    <w:tmpl w:val="C6A09F1A"/>
    <w:lvl w:ilvl="0" w:tplc="3F74BB04">
      <w:start w:val="3"/>
      <w:numFmt w:val="lowerRoman"/>
      <w:lvlText w:val="%1."/>
      <w:lvlJc w:val="right"/>
      <w:pPr>
        <w:tabs>
          <w:tab w:val="num" w:pos="2160"/>
        </w:tabs>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2656B2"/>
    <w:multiLevelType w:val="hybridMultilevel"/>
    <w:tmpl w:val="479CAEDA"/>
    <w:lvl w:ilvl="0" w:tplc="DCF41B3C">
      <w:start w:val="5"/>
      <w:numFmt w:val="bullet"/>
      <w:lvlText w:val="-"/>
      <w:lvlJc w:val="left"/>
      <w:pPr>
        <w:ind w:left="720" w:hanging="360"/>
      </w:pPr>
      <w:rPr>
        <w:rFonts w:ascii="Georgia" w:eastAsia="Times New Roman" w:hAnsi="Georg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DA34FE7"/>
    <w:multiLevelType w:val="hybridMultilevel"/>
    <w:tmpl w:val="595E013A"/>
    <w:lvl w:ilvl="0" w:tplc="66821E4C">
      <w:start w:val="1"/>
      <w:numFmt w:val="bullet"/>
      <w:pStyle w:val="0MyBullet"/>
      <w:lvlText w:val=""/>
      <w:lvlJc w:val="left"/>
      <w:pPr>
        <w:ind w:left="720" w:hanging="360"/>
      </w:pPr>
      <w:rPr>
        <w:rFonts w:ascii="Symbol" w:hAnsi="Symbol" w:hint="default"/>
      </w:rPr>
    </w:lvl>
    <w:lvl w:ilvl="1" w:tplc="04090003" w:tentative="1">
      <w:start w:val="1"/>
      <w:numFmt w:val="bullet"/>
      <w:pStyle w:val="Bulle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445BB4"/>
    <w:multiLevelType w:val="hybridMultilevel"/>
    <w:tmpl w:val="B7D8639A"/>
    <w:lvl w:ilvl="0" w:tplc="81B0B2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D0A2696A">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1DB3C44"/>
    <w:multiLevelType w:val="hybridMultilevel"/>
    <w:tmpl w:val="7E3E9808"/>
    <w:lvl w:ilvl="0" w:tplc="0407001B">
      <w:start w:val="1"/>
      <w:numFmt w:val="lowerRoman"/>
      <w:lvlText w:val="%1."/>
      <w:lvlJc w:val="right"/>
      <w:pPr>
        <w:tabs>
          <w:tab w:val="num" w:pos="2160"/>
        </w:tabs>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60293F"/>
    <w:multiLevelType w:val="hybridMultilevel"/>
    <w:tmpl w:val="7B7CDDA8"/>
    <w:lvl w:ilvl="0" w:tplc="FF5E7E2C">
      <w:start w:val="1"/>
      <w:numFmt w:val="bullet"/>
      <w:pStyle w:val="my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77C2D36"/>
    <w:multiLevelType w:val="multilevel"/>
    <w:tmpl w:val="40988096"/>
    <w:lvl w:ilvl="0">
      <w:start w:val="2"/>
      <w:numFmt w:val="decimal"/>
      <w:lvlText w:val="%1."/>
      <w:lvlJc w:val="left"/>
      <w:pPr>
        <w:ind w:left="720" w:hanging="360"/>
      </w:pPr>
      <w:rPr>
        <w:rFonts w:ascii="Times New Roman" w:hAnsi="Times New Roman" w:cs="Times New Roman" w:hint="default"/>
        <w:b w:val="0"/>
        <w:sz w:val="24"/>
        <w:szCs w:val="24"/>
      </w:rPr>
    </w:lvl>
    <w:lvl w:ilvl="1">
      <w:start w:val="1"/>
      <w:numFmt w:val="lowerLetter"/>
      <w:lvlText w:val="(%2)"/>
      <w:lvlJc w:val="left"/>
      <w:pPr>
        <w:ind w:left="1418" w:hanging="425"/>
      </w:pPr>
      <w:rPr>
        <w:rFonts w:hint="default"/>
      </w:rPr>
    </w:lvl>
    <w:lvl w:ilvl="2">
      <w:start w:val="1"/>
      <w:numFmt w:val="lowerRoman"/>
      <w:lvlText w:val="(%3)"/>
      <w:lvlJc w:val="right"/>
      <w:pPr>
        <w:ind w:left="187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204C28C6"/>
    <w:multiLevelType w:val="multilevel"/>
    <w:tmpl w:val="E94E1312"/>
    <w:lvl w:ilvl="0">
      <w:start w:val="1"/>
      <w:numFmt w:val="decimal"/>
      <w:pStyle w:val="Heading1"/>
      <w:lvlText w:val="%1"/>
      <w:lvlJc w:val="left"/>
      <w:pPr>
        <w:ind w:left="574" w:hanging="432"/>
      </w:pPr>
    </w:lvl>
    <w:lvl w:ilvl="1">
      <w:start w:val="1"/>
      <w:numFmt w:val="decimal"/>
      <w:pStyle w:val="Heading2"/>
      <w:lvlText w:val="%1.%2"/>
      <w:lvlJc w:val="left"/>
      <w:pPr>
        <w:ind w:left="718" w:hanging="576"/>
      </w:pPr>
    </w:lvl>
    <w:lvl w:ilvl="2">
      <w:start w:val="1"/>
      <w:numFmt w:val="decimal"/>
      <w:pStyle w:val="Heading3"/>
      <w:lvlText w:val="%1.%2.%3"/>
      <w:lvlJc w:val="left"/>
      <w:pPr>
        <w:ind w:left="862" w:hanging="720"/>
      </w:pPr>
    </w:lvl>
    <w:lvl w:ilvl="3">
      <w:start w:val="1"/>
      <w:numFmt w:val="decimal"/>
      <w:pStyle w:val="Heading4"/>
      <w:lvlText w:val="%1.%2.%3.%4"/>
      <w:lvlJc w:val="left"/>
      <w:pPr>
        <w:ind w:left="1006" w:hanging="864"/>
      </w:pPr>
    </w:lvl>
    <w:lvl w:ilvl="4">
      <w:start w:val="1"/>
      <w:numFmt w:val="decimal"/>
      <w:pStyle w:val="Heading5"/>
      <w:lvlText w:val="%1.%2.%3.%4.%5"/>
      <w:lvlJc w:val="left"/>
      <w:pPr>
        <w:ind w:left="1150" w:hanging="1008"/>
      </w:pPr>
    </w:lvl>
    <w:lvl w:ilvl="5">
      <w:start w:val="1"/>
      <w:numFmt w:val="decimal"/>
      <w:pStyle w:val="Heading6"/>
      <w:lvlText w:val="%1.%2.%3.%4.%5.%6"/>
      <w:lvlJc w:val="left"/>
      <w:pPr>
        <w:ind w:left="1294" w:hanging="1152"/>
      </w:pPr>
    </w:lvl>
    <w:lvl w:ilvl="6">
      <w:start w:val="1"/>
      <w:numFmt w:val="decimal"/>
      <w:pStyle w:val="Heading7"/>
      <w:lvlText w:val="%1.%2.%3.%4.%5.%6.%7"/>
      <w:lvlJc w:val="left"/>
      <w:pPr>
        <w:ind w:left="1438" w:hanging="1296"/>
      </w:pPr>
    </w:lvl>
    <w:lvl w:ilvl="7">
      <w:start w:val="1"/>
      <w:numFmt w:val="decimal"/>
      <w:pStyle w:val="Heading8"/>
      <w:lvlText w:val="%1.%2.%3.%4.%5.%6.%7.%8"/>
      <w:lvlJc w:val="left"/>
      <w:pPr>
        <w:ind w:left="1582" w:hanging="1440"/>
      </w:pPr>
    </w:lvl>
    <w:lvl w:ilvl="8">
      <w:start w:val="1"/>
      <w:numFmt w:val="decimal"/>
      <w:pStyle w:val="Heading9"/>
      <w:lvlText w:val="%1.%2.%3.%4.%5.%6.%7.%8.%9"/>
      <w:lvlJc w:val="left"/>
      <w:pPr>
        <w:ind w:left="1726" w:hanging="1584"/>
      </w:pPr>
    </w:lvl>
  </w:abstractNum>
  <w:abstractNum w:abstractNumId="11">
    <w:nsid w:val="2CE45378"/>
    <w:multiLevelType w:val="multilevel"/>
    <w:tmpl w:val="A0289056"/>
    <w:lvl w:ilvl="0">
      <w:start w:val="1"/>
      <w:numFmt w:val="decimal"/>
      <w:pStyle w:val="Level1"/>
      <w:lvlText w:val="%1"/>
      <w:lvlJc w:val="left"/>
      <w:pPr>
        <w:tabs>
          <w:tab w:val="num" w:pos="680"/>
        </w:tabs>
        <w:ind w:left="680" w:hanging="680"/>
      </w:pPr>
      <w:rPr>
        <w:rFonts w:ascii="Times New Roman" w:hAnsi="Times New Roman" w:cs="Times New Roman" w:hint="default"/>
        <w:b/>
        <w:i w:val="0"/>
        <w:sz w:val="24"/>
        <w:szCs w:val="24"/>
      </w:rPr>
    </w:lvl>
    <w:lvl w:ilvl="1">
      <w:start w:val="1"/>
      <w:numFmt w:val="decimal"/>
      <w:pStyle w:val="Level2"/>
      <w:lvlText w:val="%1.%2"/>
      <w:lvlJc w:val="left"/>
      <w:pPr>
        <w:tabs>
          <w:tab w:val="num" w:pos="680"/>
        </w:tabs>
        <w:ind w:left="680" w:hanging="680"/>
      </w:pPr>
      <w:rPr>
        <w:rFonts w:ascii="Times New Roman" w:hAnsi="Times New Roman" w:cs="Times New Roman" w:hint="default"/>
        <w:b/>
        <w:i w:val="0"/>
        <w:color w:val="auto"/>
        <w:sz w:val="21"/>
      </w:rPr>
    </w:lvl>
    <w:lvl w:ilvl="2">
      <w:start w:val="1"/>
      <w:numFmt w:val="decimal"/>
      <w:pStyle w:val="Level3"/>
      <w:lvlText w:val="%1.%2.%3"/>
      <w:lvlJc w:val="left"/>
      <w:pPr>
        <w:tabs>
          <w:tab w:val="num" w:pos="1361"/>
        </w:tabs>
        <w:ind w:left="1361" w:hanging="681"/>
      </w:pPr>
      <w:rPr>
        <w:b/>
        <w:i w:val="0"/>
        <w:sz w:val="17"/>
      </w:rPr>
    </w:lvl>
    <w:lvl w:ilvl="3">
      <w:start w:val="1"/>
      <w:numFmt w:val="lowerRoman"/>
      <w:pStyle w:val="Level4"/>
      <w:lvlText w:val="(%4)"/>
      <w:lvlJc w:val="left"/>
      <w:pPr>
        <w:tabs>
          <w:tab w:val="num" w:pos="2041"/>
        </w:tabs>
        <w:ind w:left="2041" w:hanging="680"/>
      </w:pPr>
    </w:lvl>
    <w:lvl w:ilvl="4">
      <w:start w:val="1"/>
      <w:numFmt w:val="lowerLetter"/>
      <w:pStyle w:val="Level5"/>
      <w:lvlText w:val="(%5)"/>
      <w:lvlJc w:val="left"/>
      <w:pPr>
        <w:tabs>
          <w:tab w:val="num" w:pos="2608"/>
        </w:tabs>
        <w:ind w:left="2608" w:hanging="567"/>
      </w:pPr>
    </w:lvl>
    <w:lvl w:ilvl="5">
      <w:start w:val="1"/>
      <w:numFmt w:val="upperRoman"/>
      <w:pStyle w:val="Level6"/>
      <w:lvlText w:val="(%6)"/>
      <w:lvlJc w:val="left"/>
      <w:pPr>
        <w:tabs>
          <w:tab w:val="num" w:pos="3288"/>
        </w:tabs>
        <w:ind w:left="3288" w:hanging="680"/>
      </w:pPr>
    </w:lvl>
    <w:lvl w:ilvl="6">
      <w:start w:val="1"/>
      <w:numFmt w:val="none"/>
      <w:lvlText w:val=""/>
      <w:lvlJc w:val="left"/>
      <w:pPr>
        <w:tabs>
          <w:tab w:val="num" w:pos="3288"/>
        </w:tabs>
        <w:ind w:left="3288" w:hanging="680"/>
      </w:pPr>
    </w:lvl>
    <w:lvl w:ilvl="7">
      <w:start w:val="1"/>
      <w:numFmt w:val="none"/>
      <w:lvlText w:val=""/>
      <w:lvlJc w:val="left"/>
      <w:pPr>
        <w:tabs>
          <w:tab w:val="num" w:pos="3288"/>
        </w:tabs>
        <w:ind w:left="3288" w:hanging="680"/>
      </w:pPr>
    </w:lvl>
    <w:lvl w:ilvl="8">
      <w:start w:val="1"/>
      <w:numFmt w:val="none"/>
      <w:lvlText w:val=""/>
      <w:lvlJc w:val="left"/>
      <w:pPr>
        <w:tabs>
          <w:tab w:val="num" w:pos="3288"/>
        </w:tabs>
        <w:ind w:left="3288" w:hanging="680"/>
      </w:pPr>
    </w:lvl>
  </w:abstractNum>
  <w:abstractNum w:abstractNumId="12">
    <w:nsid w:val="2D80373B"/>
    <w:multiLevelType w:val="hybridMultilevel"/>
    <w:tmpl w:val="47144DFA"/>
    <w:lvl w:ilvl="0" w:tplc="6FEC31F2">
      <w:numFmt w:val="bullet"/>
      <w:lvlText w:val="-"/>
      <w:lvlJc w:val="left"/>
      <w:pPr>
        <w:ind w:left="720" w:hanging="360"/>
      </w:pPr>
      <w:rPr>
        <w:rFonts w:ascii="Georgia" w:eastAsia="Times New Roman" w:hAnsi="Georg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1D56A4C"/>
    <w:multiLevelType w:val="multilevel"/>
    <w:tmpl w:val="639841C2"/>
    <w:lvl w:ilvl="0">
      <w:start w:val="1"/>
      <w:numFmt w:val="decimal"/>
      <w:lvlText w:val="%1."/>
      <w:lvlJc w:val="left"/>
      <w:pPr>
        <w:ind w:left="720" w:hanging="360"/>
      </w:pPr>
      <w:rPr>
        <w:rFonts w:ascii="Times New Roman" w:hAnsi="Times New Roman" w:cs="Times New Roman" w:hint="default"/>
        <w:b w:val="0"/>
        <w:sz w:val="24"/>
        <w:szCs w:val="24"/>
      </w:rPr>
    </w:lvl>
    <w:lvl w:ilvl="1">
      <w:start w:val="1"/>
      <w:numFmt w:val="lowerLetter"/>
      <w:lvlText w:val="(%2)"/>
      <w:lvlJc w:val="left"/>
      <w:pPr>
        <w:ind w:left="1866" w:hanging="873"/>
      </w:pPr>
      <w:rPr>
        <w:rFonts w:hint="default"/>
      </w:rPr>
    </w:lvl>
    <w:lvl w:ilvl="2">
      <w:start w:val="1"/>
      <w:numFmt w:val="lowerRoman"/>
      <w:lvlText w:val="(%3)"/>
      <w:lvlJc w:val="right"/>
      <w:pPr>
        <w:ind w:left="187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341D6808"/>
    <w:multiLevelType w:val="hybridMultilevel"/>
    <w:tmpl w:val="5E647ACE"/>
    <w:lvl w:ilvl="0" w:tplc="C4268646">
      <w:start w:val="1"/>
      <w:numFmt w:val="bullet"/>
      <w:pStyle w:val="MyBullet0"/>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85C6A9A"/>
    <w:multiLevelType w:val="hybridMultilevel"/>
    <w:tmpl w:val="C4E64628"/>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nsid w:val="3C5F3A15"/>
    <w:multiLevelType w:val="hybridMultilevel"/>
    <w:tmpl w:val="55AAE488"/>
    <w:lvl w:ilvl="0" w:tplc="BAF871F6">
      <w:start w:val="1"/>
      <w:numFmt w:val="bullet"/>
      <w:lvlText w:val=""/>
      <w:lvlJc w:val="left"/>
      <w:pPr>
        <w:ind w:left="720" w:hanging="360"/>
      </w:pPr>
      <w:rPr>
        <w:rFonts w:ascii="Symbol" w:hAnsi="Symbol" w:hint="default"/>
      </w:rPr>
    </w:lvl>
    <w:lvl w:ilvl="1" w:tplc="24A63E20">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3F846409"/>
    <w:multiLevelType w:val="hybridMultilevel"/>
    <w:tmpl w:val="0040E744"/>
    <w:lvl w:ilvl="0" w:tplc="C98A692E">
      <w:start w:val="1"/>
      <w:numFmt w:val="lowerLetter"/>
      <w:pStyle w:val="Style2"/>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126208D"/>
    <w:multiLevelType w:val="hybridMultilevel"/>
    <w:tmpl w:val="D0C6D1FE"/>
    <w:lvl w:ilvl="0" w:tplc="5FAE3566">
      <w:numFmt w:val="bullet"/>
      <w:lvlText w:val="-"/>
      <w:lvlJc w:val="left"/>
      <w:pPr>
        <w:ind w:left="720" w:hanging="360"/>
      </w:pPr>
      <w:rPr>
        <w:rFonts w:ascii="Georgia" w:eastAsia="Times New Roman" w:hAnsi="Georgia" w:cs="Georg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3BA713F"/>
    <w:multiLevelType w:val="hybridMultilevel"/>
    <w:tmpl w:val="AEA697D2"/>
    <w:lvl w:ilvl="0" w:tplc="BD561B72">
      <w:start w:val="1"/>
      <w:numFmt w:val="decimal"/>
      <w:pStyle w:val="1MyNor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4261A85"/>
    <w:multiLevelType w:val="hybridMultilevel"/>
    <w:tmpl w:val="46FA329C"/>
    <w:lvl w:ilvl="0" w:tplc="004A5D92">
      <w:start w:val="1"/>
      <w:numFmt w:val="decimal"/>
      <w:pStyle w:val="04aNumbering"/>
      <w:lvlText w:val="%1."/>
      <w:lvlJc w:val="left"/>
      <w:pPr>
        <w:tabs>
          <w:tab w:val="num" w:pos="4679"/>
        </w:tabs>
        <w:ind w:left="4679" w:hanging="284"/>
      </w:pPr>
      <w:rPr>
        <w:rFonts w:ascii="Georgia" w:hAnsi="Georgia" w:cs="Times New Roman" w:hint="default"/>
        <w:b w:val="0"/>
        <w:sz w:val="20"/>
        <w:szCs w:val="20"/>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nsid w:val="445F34D8"/>
    <w:multiLevelType w:val="hybridMultilevel"/>
    <w:tmpl w:val="1ACC5824"/>
    <w:lvl w:ilvl="0" w:tplc="D0A2696A">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nsid w:val="48507401"/>
    <w:multiLevelType w:val="multilevel"/>
    <w:tmpl w:val="AB2C4B44"/>
    <w:lvl w:ilvl="0">
      <w:start w:val="2"/>
      <w:numFmt w:val="decimal"/>
      <w:lvlText w:val="%1."/>
      <w:lvlJc w:val="left"/>
      <w:pPr>
        <w:ind w:left="720" w:hanging="360"/>
      </w:pPr>
      <w:rPr>
        <w:rFonts w:ascii="Times New Roman" w:hAnsi="Times New Roman" w:cs="Times New Roman" w:hint="default"/>
        <w:b w:val="0"/>
        <w:sz w:val="24"/>
        <w:szCs w:val="24"/>
      </w:rPr>
    </w:lvl>
    <w:lvl w:ilvl="1">
      <w:start w:val="1"/>
      <w:numFmt w:val="lowerLetter"/>
      <w:lvlText w:val="(%2)"/>
      <w:lvlJc w:val="left"/>
      <w:pPr>
        <w:ind w:left="1418" w:hanging="425"/>
      </w:pPr>
      <w:rPr>
        <w:rFonts w:hint="default"/>
      </w:rPr>
    </w:lvl>
    <w:lvl w:ilvl="2">
      <w:start w:val="1"/>
      <w:numFmt w:val="lowerRoman"/>
      <w:lvlText w:val="(%3)"/>
      <w:lvlJc w:val="right"/>
      <w:pPr>
        <w:ind w:left="187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53260F13"/>
    <w:multiLevelType w:val="multilevel"/>
    <w:tmpl w:val="D652C102"/>
    <w:lvl w:ilvl="0">
      <w:start w:val="2"/>
      <w:numFmt w:val="upperRoman"/>
      <w:pStyle w:val="05cHeadline1"/>
      <w:lvlText w:val="%1."/>
      <w:lvlJc w:val="left"/>
      <w:pPr>
        <w:tabs>
          <w:tab w:val="num" w:pos="567"/>
        </w:tabs>
        <w:ind w:left="567" w:hanging="567"/>
      </w:pPr>
      <w:rPr>
        <w:rFonts w:ascii="Georgia" w:hAnsi="Georgia" w:hint="default"/>
        <w:b/>
        <w:i w:val="0"/>
        <w:sz w:val="20"/>
      </w:rPr>
    </w:lvl>
    <w:lvl w:ilvl="1">
      <w:start w:val="2"/>
      <w:numFmt w:val="decimal"/>
      <w:lvlText w:val="%2."/>
      <w:lvlJc w:val="left"/>
      <w:pPr>
        <w:tabs>
          <w:tab w:val="num" w:pos="567"/>
        </w:tabs>
        <w:ind w:left="567" w:hanging="283"/>
      </w:pPr>
      <w:rPr>
        <w:rFonts w:hint="default"/>
        <w:b w:val="0"/>
        <w:i w:val="0"/>
        <w:sz w:val="20"/>
      </w:rPr>
    </w:lvl>
    <w:lvl w:ilvl="2">
      <w:start w:val="2"/>
      <w:numFmt w:val="upperRoman"/>
      <w:lvlText w:val="%3.%2"/>
      <w:lvlJc w:val="left"/>
      <w:pPr>
        <w:tabs>
          <w:tab w:val="num" w:pos="567"/>
        </w:tabs>
        <w:ind w:left="567" w:hanging="283"/>
      </w:pPr>
      <w:rPr>
        <w:rFonts w:ascii="Georgia" w:hAnsi="Georgia"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5DD586E"/>
    <w:multiLevelType w:val="hybridMultilevel"/>
    <w:tmpl w:val="7278CED4"/>
    <w:lvl w:ilvl="0" w:tplc="3DC4FE0E">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B52283F"/>
    <w:multiLevelType w:val="hybridMultilevel"/>
    <w:tmpl w:val="672224AE"/>
    <w:lvl w:ilvl="0" w:tplc="909EA5C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DE55501"/>
    <w:multiLevelType w:val="hybridMultilevel"/>
    <w:tmpl w:val="790AE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0394246"/>
    <w:multiLevelType w:val="multilevel"/>
    <w:tmpl w:val="76E01130"/>
    <w:lvl w:ilvl="0">
      <w:start w:val="1"/>
      <w:numFmt w:val="decimal"/>
      <w:lvlText w:val="%1."/>
      <w:lvlJc w:val="left"/>
      <w:pPr>
        <w:ind w:left="720" w:hanging="360"/>
      </w:pPr>
      <w:rPr>
        <w:rFonts w:ascii="Times New Roman" w:hAnsi="Times New Roman" w:cs="Times New Roman" w:hint="default"/>
        <w:b w:val="0"/>
        <w:sz w:val="24"/>
        <w:szCs w:val="24"/>
      </w:rPr>
    </w:lvl>
    <w:lvl w:ilvl="1">
      <w:start w:val="1"/>
      <w:numFmt w:val="lowerLetter"/>
      <w:lvlText w:val="(%2)"/>
      <w:lvlJc w:val="left"/>
      <w:pPr>
        <w:ind w:left="1866" w:hanging="873"/>
      </w:pPr>
      <w:rPr>
        <w:rFonts w:hint="default"/>
      </w:rPr>
    </w:lvl>
    <w:lvl w:ilvl="2">
      <w:start w:val="1"/>
      <w:numFmt w:val="lowerRoman"/>
      <w:lvlText w:val="(%3)"/>
      <w:lvlJc w:val="right"/>
      <w:pPr>
        <w:ind w:left="187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644630C0"/>
    <w:multiLevelType w:val="multilevel"/>
    <w:tmpl w:val="27EE29C4"/>
    <w:lvl w:ilvl="0">
      <w:start w:val="2"/>
      <w:numFmt w:val="decimal"/>
      <w:lvlText w:val="%1."/>
      <w:lvlJc w:val="left"/>
      <w:pPr>
        <w:ind w:left="720" w:hanging="360"/>
      </w:pPr>
      <w:rPr>
        <w:rFonts w:ascii="Times New Roman" w:hAnsi="Times New Roman" w:cs="Times New Roman" w:hint="default"/>
        <w:b w:val="0"/>
        <w:sz w:val="24"/>
        <w:szCs w:val="24"/>
      </w:rPr>
    </w:lvl>
    <w:lvl w:ilvl="1">
      <w:start w:val="1"/>
      <w:numFmt w:val="lowerLetter"/>
      <w:lvlText w:val="(%2)"/>
      <w:lvlJc w:val="left"/>
      <w:pPr>
        <w:ind w:left="1866" w:hanging="873"/>
      </w:pPr>
      <w:rPr>
        <w:rFonts w:hint="default"/>
      </w:rPr>
    </w:lvl>
    <w:lvl w:ilvl="2">
      <w:start w:val="1"/>
      <w:numFmt w:val="lowerRoman"/>
      <w:lvlText w:val="(%3)"/>
      <w:lvlJc w:val="right"/>
      <w:pPr>
        <w:ind w:left="187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649B6065"/>
    <w:multiLevelType w:val="hybridMultilevel"/>
    <w:tmpl w:val="FF8C57BE"/>
    <w:lvl w:ilvl="0" w:tplc="68C003EC">
      <w:start w:val="1"/>
      <w:numFmt w:val="bullet"/>
      <w:pStyle w:val="MyBullet1"/>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nsid w:val="65DC6E5B"/>
    <w:multiLevelType w:val="multilevel"/>
    <w:tmpl w:val="EC261902"/>
    <w:lvl w:ilvl="0">
      <w:start w:val="1"/>
      <w:numFmt w:val="decimal"/>
      <w:lvlText w:val="%1."/>
      <w:lvlJc w:val="left"/>
      <w:pPr>
        <w:ind w:left="720" w:hanging="360"/>
      </w:pPr>
      <w:rPr>
        <w:rFonts w:ascii="Times New Roman" w:hAnsi="Times New Roman" w:cs="Times New Roman" w:hint="default"/>
        <w:b w:val="0"/>
        <w:sz w:val="24"/>
        <w:szCs w:val="24"/>
      </w:rPr>
    </w:lvl>
    <w:lvl w:ilvl="1">
      <w:start w:val="1"/>
      <w:numFmt w:val="lowerLetter"/>
      <w:lvlText w:val="(%2)"/>
      <w:lvlJc w:val="left"/>
      <w:pPr>
        <w:ind w:left="1866" w:hanging="873"/>
      </w:pPr>
      <w:rPr>
        <w:rFonts w:hint="default"/>
      </w:rPr>
    </w:lvl>
    <w:lvl w:ilvl="2">
      <w:start w:val="1"/>
      <w:numFmt w:val="lowerRoman"/>
      <w:lvlText w:val="(%3)"/>
      <w:lvlJc w:val="right"/>
      <w:pPr>
        <w:ind w:left="187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nsid w:val="70E009F1"/>
    <w:multiLevelType w:val="hybridMultilevel"/>
    <w:tmpl w:val="326E0842"/>
    <w:lvl w:ilvl="0" w:tplc="35DE07E0">
      <w:start w:val="1"/>
      <w:numFmt w:val="decimal"/>
      <w:pStyle w:val="Recital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AF26E6B"/>
    <w:multiLevelType w:val="hybridMultilevel"/>
    <w:tmpl w:val="ED825812"/>
    <w:lvl w:ilvl="0" w:tplc="3F481CE0">
      <w:start w:val="1"/>
      <w:numFmt w:val="bullet"/>
      <w:pStyle w:val="myBullet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F5947FD"/>
    <w:multiLevelType w:val="multilevel"/>
    <w:tmpl w:val="5C20B6BC"/>
    <w:lvl w:ilvl="0">
      <w:start w:val="2"/>
      <w:numFmt w:val="decimal"/>
      <w:lvlText w:val="%1."/>
      <w:lvlJc w:val="left"/>
      <w:pPr>
        <w:ind w:left="720" w:hanging="360"/>
      </w:pPr>
      <w:rPr>
        <w:rFonts w:ascii="Times New Roman" w:hAnsi="Times New Roman" w:cs="Times New Roman" w:hint="default"/>
        <w:b w:val="0"/>
        <w:sz w:val="24"/>
        <w:szCs w:val="24"/>
      </w:rPr>
    </w:lvl>
    <w:lvl w:ilvl="1">
      <w:start w:val="1"/>
      <w:numFmt w:val="lowerLetter"/>
      <w:lvlText w:val="(%2)"/>
      <w:lvlJc w:val="left"/>
      <w:pPr>
        <w:ind w:left="1418" w:hanging="425"/>
      </w:pPr>
      <w:rPr>
        <w:rFonts w:hint="default"/>
      </w:rPr>
    </w:lvl>
    <w:lvl w:ilvl="2">
      <w:start w:val="1"/>
      <w:numFmt w:val="lowerRoman"/>
      <w:lvlText w:val="(%3)"/>
      <w:lvlJc w:val="right"/>
      <w:pPr>
        <w:ind w:left="187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7"/>
  </w:num>
  <w:num w:numId="2">
    <w:abstractNumId w:val="21"/>
  </w:num>
  <w:num w:numId="3">
    <w:abstractNumId w:val="15"/>
  </w:num>
  <w:num w:numId="4">
    <w:abstractNumId w:val="24"/>
  </w:num>
  <w:num w:numId="5">
    <w:abstractNumId w:val="5"/>
  </w:num>
  <w:num w:numId="6">
    <w:abstractNumId w:val="11"/>
  </w:num>
  <w:num w:numId="7">
    <w:abstractNumId w:val="14"/>
  </w:num>
  <w:num w:numId="8">
    <w:abstractNumId w:val="16"/>
  </w:num>
  <w:num w:numId="9">
    <w:abstractNumId w:val="20"/>
  </w:num>
  <w:num w:numId="10">
    <w:abstractNumId w:val="8"/>
  </w:num>
  <w:num w:numId="11">
    <w:abstractNumId w:val="18"/>
  </w:num>
  <w:num w:numId="12">
    <w:abstractNumId w:val="0"/>
  </w:num>
  <w:num w:numId="13">
    <w:abstractNumId w:val="18"/>
    <w:lvlOverride w:ilvl="0">
      <w:startOverride w:val="1"/>
    </w:lvlOverride>
  </w:num>
  <w:num w:numId="14">
    <w:abstractNumId w:val="25"/>
  </w:num>
  <w:num w:numId="15">
    <w:abstractNumId w:val="26"/>
  </w:num>
  <w:num w:numId="16">
    <w:abstractNumId w:val="18"/>
    <w:lvlOverride w:ilvl="0">
      <w:startOverride w:val="1"/>
    </w:lvlOverride>
  </w:num>
  <w:num w:numId="17">
    <w:abstractNumId w:val="18"/>
    <w:lvlOverride w:ilvl="0">
      <w:startOverride w:val="1"/>
    </w:lvlOverride>
  </w:num>
  <w:num w:numId="18">
    <w:abstractNumId w:val="1"/>
  </w:num>
  <w:num w:numId="19">
    <w:abstractNumId w:val="22"/>
  </w:num>
  <w:num w:numId="20">
    <w:abstractNumId w:val="6"/>
  </w:num>
  <w:num w:numId="21">
    <w:abstractNumId w:val="18"/>
    <w:lvlOverride w:ilvl="0">
      <w:startOverride w:val="1"/>
    </w:lvlOverride>
  </w:num>
  <w:num w:numId="22">
    <w:abstractNumId w:val="30"/>
  </w:num>
  <w:num w:numId="23">
    <w:abstractNumId w:val="33"/>
  </w:num>
  <w:num w:numId="24">
    <w:abstractNumId w:val="18"/>
    <w:lvlOverride w:ilvl="0">
      <w:startOverride w:val="1"/>
    </w:lvlOverride>
  </w:num>
  <w:num w:numId="25">
    <w:abstractNumId w:val="18"/>
    <w:lvlOverride w:ilvl="0">
      <w:startOverride w:val="1"/>
    </w:lvlOverride>
  </w:num>
  <w:num w:numId="26">
    <w:abstractNumId w:val="18"/>
  </w:num>
  <w:num w:numId="27">
    <w:abstractNumId w:val="18"/>
    <w:lvlOverride w:ilvl="0">
      <w:startOverride w:val="1"/>
    </w:lvlOverride>
  </w:num>
  <w:num w:numId="28">
    <w:abstractNumId w:val="18"/>
    <w:lvlOverride w:ilvl="0">
      <w:startOverride w:val="1"/>
    </w:lvlOverride>
  </w:num>
  <w:num w:numId="29">
    <w:abstractNumId w:val="3"/>
  </w:num>
  <w:num w:numId="30">
    <w:abstractNumId w:val="32"/>
  </w:num>
  <w:num w:numId="31">
    <w:abstractNumId w:val="31"/>
    <w:lvlOverride w:ilvl="0">
      <w:startOverride w:val="1"/>
    </w:lvlOverride>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9"/>
  </w:num>
  <w:num w:numId="35">
    <w:abstractNumId w:val="28"/>
  </w:num>
  <w:num w:numId="36">
    <w:abstractNumId w:val="29"/>
  </w:num>
  <w:num w:numId="37">
    <w:abstractNumId w:val="23"/>
  </w:num>
  <w:num w:numId="38">
    <w:abstractNumId w:val="34"/>
  </w:num>
  <w:num w:numId="39">
    <w:abstractNumId w:val="18"/>
    <w:lvlOverride w:ilvl="0">
      <w:startOverride w:val="1"/>
    </w:lvlOverride>
  </w:num>
  <w:num w:numId="40">
    <w:abstractNumId w:val="18"/>
    <w:lvlOverride w:ilvl="0">
      <w:startOverride w:val="1"/>
    </w:lvlOverride>
  </w:num>
  <w:num w:numId="41">
    <w:abstractNumId w:val="18"/>
    <w:lvlOverride w:ilvl="0">
      <w:startOverride w:val="1"/>
    </w:lvlOverride>
  </w:num>
  <w:num w:numId="42">
    <w:abstractNumId w:val="18"/>
    <w:lvlOverride w:ilvl="0">
      <w:startOverride w:val="1"/>
    </w:lvlOverride>
  </w:num>
  <w:num w:numId="43">
    <w:abstractNumId w:val="18"/>
    <w:lvlOverride w:ilvl="0">
      <w:startOverride w:val="1"/>
    </w:lvlOverride>
  </w:num>
  <w:num w:numId="44">
    <w:abstractNumId w:val="7"/>
  </w:num>
  <w:num w:numId="45">
    <w:abstractNumId w:val="18"/>
    <w:lvlOverride w:ilvl="0">
      <w:startOverride w:val="1"/>
    </w:lvlOverride>
  </w:num>
  <w:num w:numId="46">
    <w:abstractNumId w:val="2"/>
  </w:num>
  <w:num w:numId="47">
    <w:abstractNumId w:val="10"/>
  </w:num>
  <w:num w:numId="48">
    <w:abstractNumId w:val="4"/>
  </w:num>
  <w:num w:numId="49">
    <w:abstractNumId w:val="27"/>
  </w:num>
  <w:num w:numId="50">
    <w:abstractNumId w:val="12"/>
  </w:num>
  <w:num w:numId="51">
    <w:abstractNumId w:val="19"/>
  </w:num>
  <w:num w:numId="52">
    <w:abstractNumId w:val="18"/>
    <w:lvlOverride w:ilvl="0">
      <w:startOverride w:val="1"/>
    </w:lvlOverride>
  </w:num>
  <w:num w:numId="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5"/>
  </w:num>
  <w:num w:numId="56">
    <w:abstractNumId w:val="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NotTrackFormatting/>
  <w:documentProtection w:edit="readOnly" w:enforcement="1" w:cryptProviderType="rsaFull" w:cryptAlgorithmClass="hash" w:cryptAlgorithmType="typeAny" w:cryptAlgorithmSid="4" w:cryptSpinCount="100000" w:hash="trL95fgL1zKwo4I9HULZ7CGszCQ=" w:salt="Dmy4ivUnOPRfU9aDH0+ZyQ=="/>
  <w:defaultTabStop w:val="709"/>
  <w:hyphenationZone w:val="567"/>
  <w:doNotHyphenateCaps/>
  <w:characterSpacingControl w:val="doNotCompress"/>
  <w:hdrShapeDefaults>
    <o:shapedefaults v:ext="edit" spidmax="14339">
      <o:colormru v:ext="edit" colors="#2d4491,#283583"/>
    </o:shapedefaults>
    <o:shapelayout v:ext="edit">
      <o:idmap v:ext="edit" data="14"/>
    </o:shapelayout>
  </w:hdrShapeDefaults>
  <w:footnotePr>
    <w:footnote w:id="-1"/>
    <w:footnote w:id="0"/>
  </w:footnotePr>
  <w:endnotePr>
    <w:endnote w:id="-1"/>
    <w:endnote w:id="0"/>
  </w:endnotePr>
  <w:compat>
    <w:compatSetting w:name="compatibilityMode" w:uri="http://schemas.microsoft.com/office/word" w:val="12"/>
  </w:compat>
  <w:docVars>
    <w:docVar w:name="DocIDRemoved" w:val="True"/>
  </w:docVars>
  <w:rsids>
    <w:rsidRoot w:val="00197956"/>
    <w:rsid w:val="00197956"/>
    <w:rsid w:val="00B2678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9">
      <o:colormru v:ext="edit" colors="#2d4491,#283583"/>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Title" w:qFormat="1"/>
    <w:lsdException w:name="Body Text" w:qFormat="1"/>
    <w:lsdException w:name="Subtitle" w:qFormat="1"/>
    <w:lsdException w:name="Hyperlink" w:uiPriority="99"/>
    <w:lsdException w:name="Strong" w:uiPriority="22" w:qFormat="1"/>
    <w:lsdException w:name="Emphasis" w:qFormat="1"/>
    <w:lsdException w:name="Document Map"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Georgia" w:hAnsi="Georgia"/>
      <w:szCs w:val="24"/>
      <w:lang w:eastAsia="de-DE"/>
    </w:rPr>
  </w:style>
  <w:style w:type="paragraph" w:styleId="Heading1">
    <w:name w:val="heading 1"/>
    <w:basedOn w:val="05cHeadline1"/>
    <w:next w:val="Normal"/>
    <w:link w:val="Heading1Char"/>
    <w:uiPriority w:val="9"/>
    <w:qFormat/>
    <w:pPr>
      <w:numPr>
        <w:numId w:val="47"/>
      </w:numPr>
      <w:outlineLvl w:val="0"/>
    </w:pPr>
  </w:style>
  <w:style w:type="paragraph" w:styleId="Heading2">
    <w:name w:val="heading 2"/>
    <w:basedOn w:val="04aNumbering"/>
    <w:next w:val="Normal"/>
    <w:link w:val="Heading2Char"/>
    <w:uiPriority w:val="9"/>
    <w:qFormat/>
    <w:pPr>
      <w:numPr>
        <w:ilvl w:val="1"/>
        <w:numId w:val="47"/>
      </w:numPr>
      <w:outlineLvl w:val="1"/>
    </w:pPr>
    <w:rPr>
      <w:b/>
    </w:rPr>
  </w:style>
  <w:style w:type="paragraph" w:styleId="Heading3">
    <w:name w:val="heading 3"/>
    <w:basedOn w:val="Heading2"/>
    <w:next w:val="Normal"/>
    <w:link w:val="Heading3Char"/>
    <w:uiPriority w:val="9"/>
    <w:qFormat/>
    <w:pPr>
      <w:numPr>
        <w:ilvl w:val="2"/>
      </w:numPr>
      <w:outlineLvl w:val="2"/>
    </w:pPr>
  </w:style>
  <w:style w:type="paragraph" w:styleId="Heading4">
    <w:name w:val="heading 4"/>
    <w:basedOn w:val="Heading3"/>
    <w:next w:val="Normal"/>
    <w:qFormat/>
    <w:pPr>
      <w:numPr>
        <w:ilvl w:val="3"/>
      </w:numPr>
      <w:outlineLvl w:val="3"/>
    </w:pPr>
  </w:style>
  <w:style w:type="paragraph" w:styleId="Heading5">
    <w:name w:val="heading 5"/>
    <w:basedOn w:val="Heading4"/>
    <w:next w:val="Normal"/>
    <w:qFormat/>
    <w:pPr>
      <w:numPr>
        <w:ilvl w:val="4"/>
      </w:numPr>
      <w:outlineLvl w:val="4"/>
    </w:pPr>
  </w:style>
  <w:style w:type="paragraph" w:styleId="Heading6">
    <w:name w:val="heading 6"/>
    <w:basedOn w:val="Normal"/>
    <w:next w:val="Normal"/>
    <w:qFormat/>
    <w:pPr>
      <w:numPr>
        <w:ilvl w:val="5"/>
        <w:numId w:val="47"/>
      </w:numPr>
      <w:spacing w:before="240" w:after="60"/>
      <w:outlineLvl w:val="5"/>
    </w:pPr>
    <w:rPr>
      <w:rFonts w:ascii="Times New Roman" w:hAnsi="Times New Roman"/>
      <w:b/>
      <w:bCs/>
      <w:szCs w:val="22"/>
    </w:rPr>
  </w:style>
  <w:style w:type="paragraph" w:styleId="Heading7">
    <w:name w:val="heading 7"/>
    <w:basedOn w:val="Normal"/>
    <w:next w:val="Normal"/>
    <w:qFormat/>
    <w:pPr>
      <w:numPr>
        <w:ilvl w:val="6"/>
        <w:numId w:val="47"/>
      </w:numPr>
      <w:spacing w:before="240" w:after="60"/>
      <w:outlineLvl w:val="6"/>
    </w:pPr>
    <w:rPr>
      <w:rFonts w:ascii="Times New Roman" w:hAnsi="Times New Roman"/>
    </w:rPr>
  </w:style>
  <w:style w:type="paragraph" w:styleId="Heading8">
    <w:name w:val="heading 8"/>
    <w:basedOn w:val="Normal"/>
    <w:next w:val="Normal"/>
    <w:qFormat/>
    <w:pPr>
      <w:numPr>
        <w:ilvl w:val="7"/>
        <w:numId w:val="47"/>
      </w:numPr>
      <w:spacing w:before="240" w:after="60"/>
      <w:outlineLvl w:val="7"/>
    </w:pPr>
    <w:rPr>
      <w:rFonts w:ascii="Times New Roman" w:hAnsi="Times New Roman"/>
      <w:i/>
      <w:iCs/>
    </w:rPr>
  </w:style>
  <w:style w:type="paragraph" w:styleId="Heading9">
    <w:name w:val="heading 9"/>
    <w:basedOn w:val="Normal"/>
    <w:next w:val="Normal"/>
    <w:qFormat/>
    <w:pPr>
      <w:numPr>
        <w:ilvl w:val="8"/>
        <w:numId w:val="47"/>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table" w:styleId="TableGrid">
    <w:name w:val="Table Grid"/>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pPr>
      <w:spacing w:line="200" w:lineRule="exact"/>
    </w:pPr>
    <w:rPr>
      <w:color w:val="2D4190"/>
      <w:sz w:val="16"/>
    </w:rPr>
  </w:style>
  <w:style w:type="paragraph" w:customStyle="1" w:styleId="05aTitle">
    <w:name w:val="05a_Title"/>
    <w:basedOn w:val="Normal"/>
    <w:pPr>
      <w:spacing w:line="340" w:lineRule="exact"/>
    </w:pPr>
    <w:rPr>
      <w:b/>
      <w:color w:val="000000"/>
      <w:sz w:val="28"/>
    </w:rPr>
  </w:style>
  <w:style w:type="paragraph" w:customStyle="1" w:styleId="02Date">
    <w:name w:val="02_Date"/>
    <w:basedOn w:val="Normal"/>
    <w:pPr>
      <w:spacing w:line="220" w:lineRule="exact"/>
    </w:pPr>
    <w:rPr>
      <w:sz w:val="17"/>
    </w:rPr>
  </w:style>
  <w:style w:type="paragraph" w:customStyle="1" w:styleId="00aPagenumber">
    <w:name w:val="00a_Page number"/>
    <w:basedOn w:val="00Footer"/>
    <w:pPr>
      <w:spacing w:line="280" w:lineRule="atLeast"/>
      <w:jc w:val="right"/>
    </w:pPr>
    <w:rPr>
      <w:color w:val="000000"/>
      <w:sz w:val="20"/>
    </w:rPr>
  </w:style>
  <w:style w:type="paragraph" w:customStyle="1" w:styleId="04BodyText">
    <w:name w:val="04_Body Text"/>
    <w:basedOn w:val="Normal"/>
    <w:link w:val="04BodyTextChar"/>
    <w:pPr>
      <w:spacing w:after="250" w:line="276" w:lineRule="auto"/>
      <w:jc w:val="both"/>
    </w:pPr>
  </w:style>
  <w:style w:type="paragraph" w:customStyle="1" w:styleId="05HeadlinenoIndex">
    <w:name w:val="05_Headline no Index"/>
    <w:basedOn w:val="04BodyText"/>
    <w:pPr>
      <w:spacing w:line="300" w:lineRule="exact"/>
    </w:pPr>
    <w:rPr>
      <w:b/>
      <w:sz w:val="24"/>
    </w:rPr>
  </w:style>
  <w:style w:type="paragraph" w:customStyle="1" w:styleId="05cHeadline1">
    <w:name w:val="05c_Headline 1"/>
    <w:basedOn w:val="05HeadlinenoIndex"/>
    <w:next w:val="04BodyText"/>
    <w:pPr>
      <w:keepNext/>
      <w:numPr>
        <w:numId w:val="4"/>
      </w:numPr>
      <w:tabs>
        <w:tab w:val="clear" w:pos="567"/>
        <w:tab w:val="left" w:pos="284"/>
        <w:tab w:val="left" w:pos="397"/>
      </w:tabs>
      <w:spacing w:after="280" w:line="280" w:lineRule="exact"/>
      <w:ind w:left="284" w:hanging="284"/>
    </w:pPr>
    <w:rPr>
      <w:sz w:val="20"/>
    </w:rPr>
  </w:style>
  <w:style w:type="paragraph" w:customStyle="1" w:styleId="04aNumbering">
    <w:name w:val="04a_Numbering"/>
    <w:basedOn w:val="04BodyText"/>
    <w:link w:val="04aNumberingChar"/>
    <w:uiPriority w:val="99"/>
    <w:pPr>
      <w:numPr>
        <w:numId w:val="2"/>
      </w:numPr>
    </w:pPr>
  </w:style>
  <w:style w:type="character" w:styleId="PageNumber">
    <w:name w:val="page number"/>
    <w:basedOn w:val="DefaultParagraphFont"/>
    <w:semiHidden/>
  </w:style>
  <w:style w:type="paragraph" w:customStyle="1" w:styleId="00bDBInfo">
    <w:name w:val="00b_DB_Info"/>
    <w:basedOn w:val="00aPagenumber"/>
    <w:rPr>
      <w:color w:val="FFFFFF"/>
    </w:rPr>
  </w:style>
  <w:style w:type="paragraph" w:customStyle="1" w:styleId="01aDBTitle">
    <w:name w:val="01a_DB_Title"/>
    <w:basedOn w:val="05aTitle"/>
    <w:pPr>
      <w:spacing w:line="400" w:lineRule="exact"/>
      <w:jc w:val="right"/>
    </w:pPr>
    <w:rPr>
      <w:color w:val="2D4190"/>
      <w:sz w:val="40"/>
    </w:rPr>
  </w:style>
  <w:style w:type="paragraph" w:customStyle="1" w:styleId="01bDBSubtitle">
    <w:name w:val="01b_DB_Subtitle"/>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pPr>
      <w:tabs>
        <w:tab w:val="left" w:pos="510"/>
        <w:tab w:val="right" w:leader="underscore" w:pos="9412"/>
      </w:tabs>
      <w:spacing w:line="250" w:lineRule="exact"/>
    </w:pPr>
  </w:style>
  <w:style w:type="paragraph" w:customStyle="1" w:styleId="04fBodytextblue">
    <w:name w:val="04f_Body text blue"/>
    <w:basedOn w:val="04BodyText"/>
    <w:pPr>
      <w:pBdr>
        <w:bottom w:val="single" w:sz="4" w:space="12" w:color="283583"/>
      </w:pBdr>
    </w:pPr>
    <w:rPr>
      <w:color w:val="2D4190"/>
    </w:rPr>
  </w:style>
  <w:style w:type="character" w:styleId="Hyperlink">
    <w:name w:val="Hyperlink"/>
    <w:uiPriority w:val="99"/>
    <w:rPr>
      <w:color w:val="0000FF"/>
      <w:u w:val="single"/>
    </w:rPr>
  </w:style>
  <w:style w:type="paragraph" w:customStyle="1" w:styleId="04bList">
    <w:name w:val="04b_List"/>
    <w:basedOn w:val="04BodyText"/>
    <w:pPr>
      <w:numPr>
        <w:numId w:val="3"/>
      </w:numPr>
    </w:pPr>
  </w:style>
  <w:style w:type="paragraph" w:customStyle="1" w:styleId="04eBodytextleft">
    <w:name w:val="04e_Body text left"/>
    <w:basedOn w:val="04BodyText"/>
    <w:pPr>
      <w:spacing w:after="0"/>
      <w:jc w:val="left"/>
    </w:pPr>
  </w:style>
  <w:style w:type="paragraph" w:customStyle="1" w:styleId="05eHeadline2">
    <w:name w:val="05e_Headline 2"/>
    <w:pPr>
      <w:tabs>
        <w:tab w:val="left" w:pos="397"/>
      </w:tabs>
      <w:spacing w:after="250" w:line="250" w:lineRule="exact"/>
    </w:pPr>
    <w:rPr>
      <w:rFonts w:ascii="Georgia" w:hAnsi="Georgia" w:cs="Arial"/>
      <w:bCs/>
      <w:iCs/>
      <w:lang w:eastAsia="de-DE"/>
    </w:rPr>
  </w:style>
  <w:style w:type="paragraph" w:styleId="FootnoteText">
    <w:name w:val="footnote text"/>
    <w:aliases w:val="Car"/>
    <w:basedOn w:val="Normal"/>
    <w:link w:val="FootnoteTextChar"/>
    <w:pPr>
      <w:spacing w:line="200" w:lineRule="exact"/>
    </w:pPr>
    <w:rPr>
      <w:sz w:val="16"/>
      <w:szCs w:val="20"/>
    </w:rPr>
  </w:style>
  <w:style w:type="character" w:styleId="FootnoteReference">
    <w:name w:val="footnote reference"/>
    <w:aliases w:val="BVI fnr,Footnote Reference Superscript,SUPERS,Footnote symbol,(Footnote Reference),Footnote reference number,note TESI,EN Footnote Reference,Voetnootverwijzing,Times 10 Point,Exposant 3 Point,Appel note de bas de"/>
    <w:rPr>
      <w:vertAlign w:val="superscript"/>
    </w:rPr>
  </w:style>
  <w:style w:type="paragraph" w:styleId="TOC2">
    <w:name w:val="toc 2"/>
    <w:basedOn w:val="Normal"/>
    <w:next w:val="Normal"/>
    <w:autoRedefine/>
    <w:uiPriority w:val="39"/>
    <w:pPr>
      <w:ind w:left="220"/>
    </w:pPr>
  </w:style>
  <w:style w:type="paragraph" w:customStyle="1" w:styleId="05bHeadline1black">
    <w:name w:val="05b_Headline 1 black"/>
    <w:basedOn w:val="05dHeadline1blue"/>
    <w:pPr>
      <w:pBdr>
        <w:top w:val="none" w:sz="0" w:space="0" w:color="auto"/>
      </w:pBdr>
    </w:pPr>
    <w:rPr>
      <w:color w:val="000000"/>
    </w:rPr>
  </w:style>
  <w:style w:type="paragraph" w:customStyle="1" w:styleId="03Headbold">
    <w:name w:val="03_Head_bold"/>
    <w:basedOn w:val="04BodyText"/>
    <w:pPr>
      <w:tabs>
        <w:tab w:val="left" w:pos="414"/>
        <w:tab w:val="left" w:pos="454"/>
      </w:tabs>
      <w:spacing w:after="0" w:line="240" w:lineRule="auto"/>
    </w:pPr>
    <w:rPr>
      <w:b/>
    </w:rPr>
  </w:style>
  <w:style w:type="paragraph" w:customStyle="1" w:styleId="03aHead">
    <w:name w:val="03a_Head"/>
    <w:basedOn w:val="03Headbold"/>
    <w:rPr>
      <w:b w:val="0"/>
    </w:rPr>
  </w:style>
  <w:style w:type="paragraph" w:customStyle="1" w:styleId="04dBodyTextbold">
    <w:name w:val="04d_Body Text bold"/>
    <w:basedOn w:val="04BodyText"/>
    <w:pPr>
      <w:tabs>
        <w:tab w:val="left" w:pos="414"/>
      </w:tabs>
    </w:pPr>
    <w:rPr>
      <w:b/>
    </w:rPr>
  </w:style>
  <w:style w:type="paragraph" w:customStyle="1" w:styleId="06InfoTitle">
    <w:name w:val="06_Info_Title"/>
    <w:basedOn w:val="Normal"/>
    <w:link w:val="06InfoTitleZchn"/>
    <w:pPr>
      <w:spacing w:after="40"/>
      <w:jc w:val="both"/>
    </w:pPr>
    <w:rPr>
      <w:b/>
      <w:sz w:val="24"/>
    </w:rPr>
  </w:style>
  <w:style w:type="character" w:customStyle="1" w:styleId="06InfoTitleZchn">
    <w:name w:val="06_Info_Title Zchn"/>
    <w:link w:val="06InfoTitle"/>
    <w:rPr>
      <w:rFonts w:ascii="Georgia" w:hAnsi="Georgia"/>
      <w:b/>
      <w:sz w:val="24"/>
      <w:szCs w:val="24"/>
      <w:lang w:val="en-GB" w:eastAsia="de-DE" w:bidi="ar-SA"/>
    </w:rPr>
  </w:style>
  <w:style w:type="paragraph" w:customStyle="1" w:styleId="06aInfoTitle">
    <w:name w:val="06a_Info_Title"/>
    <w:basedOn w:val="06InfoTitle"/>
    <w:link w:val="06aInfoTitleZchn"/>
    <w:rPr>
      <w:sz w:val="16"/>
    </w:rPr>
  </w:style>
  <w:style w:type="character" w:customStyle="1" w:styleId="06aInfoTitleZchn">
    <w:name w:val="06a_Info_Title Zchn"/>
    <w:link w:val="06aInfoTitle"/>
    <w:rPr>
      <w:rFonts w:ascii="Georgia" w:hAnsi="Georgia"/>
      <w:b w:val="0"/>
      <w:sz w:val="16"/>
      <w:szCs w:val="24"/>
      <w:lang w:val="en-GB" w:eastAsia="de-DE" w:bidi="ar-SA"/>
    </w:rPr>
  </w:style>
  <w:style w:type="paragraph" w:customStyle="1" w:styleId="04cA">
    <w:name w:val="04c_A"/>
    <w:aliases w:val="B,C"/>
    <w:pPr>
      <w:tabs>
        <w:tab w:val="num" w:pos="907"/>
      </w:tabs>
      <w:spacing w:line="276" w:lineRule="auto"/>
      <w:ind w:left="340" w:firstLine="227"/>
    </w:pPr>
    <w:rPr>
      <w:rFonts w:ascii="Georgia" w:hAnsi="Georgia"/>
      <w:szCs w:val="24"/>
      <w:lang w:eastAsia="de-DE"/>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eastAsia="de-DE"/>
    </w:rPr>
  </w:style>
  <w:style w:type="paragraph" w:customStyle="1" w:styleId="MyNormal">
    <w:name w:val="MyNormal"/>
    <w:basedOn w:val="04aNumbering"/>
    <w:link w:val="MyNormalChar"/>
    <w:qFormat/>
    <w:pPr>
      <w:tabs>
        <w:tab w:val="clear" w:pos="4679"/>
      </w:tabs>
      <w:ind w:left="567" w:hanging="567"/>
    </w:pPr>
  </w:style>
  <w:style w:type="paragraph" w:customStyle="1" w:styleId="Level1">
    <w:name w:val="Level 1"/>
    <w:basedOn w:val="Normal"/>
    <w:pPr>
      <w:numPr>
        <w:numId w:val="6"/>
      </w:numPr>
    </w:pPr>
  </w:style>
  <w:style w:type="character" w:customStyle="1" w:styleId="04BodyTextChar">
    <w:name w:val="04_Body Text Char"/>
    <w:basedOn w:val="DefaultParagraphFont"/>
    <w:link w:val="04BodyText"/>
    <w:rPr>
      <w:rFonts w:ascii="Georgia" w:hAnsi="Georgia"/>
      <w:szCs w:val="24"/>
      <w:lang w:eastAsia="de-DE"/>
    </w:rPr>
  </w:style>
  <w:style w:type="character" w:customStyle="1" w:styleId="04aNumberingChar">
    <w:name w:val="04a_Numbering Char"/>
    <w:basedOn w:val="04BodyTextChar"/>
    <w:link w:val="04aNumbering"/>
    <w:uiPriority w:val="99"/>
    <w:rPr>
      <w:rFonts w:ascii="Georgia" w:hAnsi="Georgia"/>
      <w:szCs w:val="24"/>
      <w:lang w:eastAsia="de-DE"/>
    </w:rPr>
  </w:style>
  <w:style w:type="character" w:customStyle="1" w:styleId="MyNormalChar">
    <w:name w:val="MyNormal Char"/>
    <w:basedOn w:val="04aNumberingChar"/>
    <w:link w:val="MyNormal"/>
    <w:rPr>
      <w:rFonts w:ascii="Georgia" w:hAnsi="Georgia"/>
      <w:szCs w:val="24"/>
      <w:lang w:eastAsia="de-DE"/>
    </w:rPr>
  </w:style>
  <w:style w:type="paragraph" w:customStyle="1" w:styleId="Level2">
    <w:name w:val="Level 2"/>
    <w:basedOn w:val="Normal"/>
    <w:pPr>
      <w:numPr>
        <w:ilvl w:val="1"/>
        <w:numId w:val="6"/>
      </w:numPr>
    </w:pPr>
  </w:style>
  <w:style w:type="paragraph" w:customStyle="1" w:styleId="Level3">
    <w:name w:val="Level 3"/>
    <w:basedOn w:val="Normal"/>
    <w:pPr>
      <w:numPr>
        <w:ilvl w:val="2"/>
        <w:numId w:val="6"/>
      </w:numPr>
    </w:pPr>
  </w:style>
  <w:style w:type="paragraph" w:customStyle="1" w:styleId="Level4">
    <w:name w:val="Level 4"/>
    <w:basedOn w:val="Normal"/>
    <w:pPr>
      <w:numPr>
        <w:ilvl w:val="3"/>
        <w:numId w:val="6"/>
      </w:numPr>
    </w:pPr>
  </w:style>
  <w:style w:type="paragraph" w:customStyle="1" w:styleId="Level5">
    <w:name w:val="Level 5"/>
    <w:basedOn w:val="Normal"/>
    <w:pPr>
      <w:numPr>
        <w:ilvl w:val="4"/>
        <w:numId w:val="6"/>
      </w:numPr>
    </w:pPr>
  </w:style>
  <w:style w:type="paragraph" w:customStyle="1" w:styleId="Level6">
    <w:name w:val="Level 6"/>
    <w:basedOn w:val="Normal"/>
    <w:pPr>
      <w:numPr>
        <w:ilvl w:val="5"/>
        <w:numId w:val="6"/>
      </w:numPr>
    </w:pPr>
  </w:style>
  <w:style w:type="paragraph" w:customStyle="1" w:styleId="MyBullet0">
    <w:name w:val="My Bullet"/>
    <w:basedOn w:val="05aTitle"/>
    <w:link w:val="MyBulletChar"/>
    <w:qFormat/>
    <w:pPr>
      <w:numPr>
        <w:numId w:val="7"/>
      </w:numPr>
      <w:spacing w:line="276" w:lineRule="auto"/>
      <w:jc w:val="both"/>
    </w:pPr>
    <w:rPr>
      <w:b w:val="0"/>
      <w:sz w:val="20"/>
      <w:szCs w:val="20"/>
    </w:rPr>
  </w:style>
  <w:style w:type="character" w:customStyle="1" w:styleId="MyBulletChar">
    <w:name w:val="My Bullet Char"/>
    <w:link w:val="MyBullet0"/>
    <w:rPr>
      <w:rFonts w:ascii="Georgia" w:hAnsi="Georgia"/>
      <w:color w:val="000000"/>
      <w:lang w:eastAsia="de-DE"/>
    </w:rPr>
  </w:style>
  <w:style w:type="character" w:customStyle="1" w:styleId="FootnoteTextChar">
    <w:name w:val="Footnote Text Char"/>
    <w:aliases w:val="Car Char"/>
    <w:link w:val="FootnoteText"/>
    <w:uiPriority w:val="99"/>
    <w:rPr>
      <w:rFonts w:ascii="Georgia" w:hAnsi="Georgia"/>
      <w:sz w:val="16"/>
      <w:lang w:eastAsia="de-DE"/>
    </w:rPr>
  </w:style>
  <w:style w:type="paragraph" w:styleId="Caption">
    <w:name w:val="caption"/>
    <w:basedOn w:val="Normal"/>
    <w:next w:val="Normal"/>
    <w:link w:val="CaptionChar"/>
    <w:unhideWhenUsed/>
    <w:qFormat/>
    <w:pPr>
      <w:spacing w:after="200"/>
      <w:jc w:val="center"/>
    </w:pPr>
    <w:rPr>
      <w:b/>
      <w:bCs/>
      <w:sz w:val="18"/>
      <w:szCs w:val="18"/>
    </w:rPr>
  </w:style>
  <w:style w:type="paragraph" w:customStyle="1" w:styleId="CM1">
    <w:name w:val="CM1"/>
    <w:basedOn w:val="Normal"/>
    <w:next w:val="Normal"/>
    <w:uiPriority w:val="99"/>
    <w:pPr>
      <w:autoSpaceDE w:val="0"/>
      <w:autoSpaceDN w:val="0"/>
      <w:adjustRightInd w:val="0"/>
    </w:pPr>
    <w:rPr>
      <w:rFonts w:ascii="EUAlbertina" w:hAnsi="EUAlbertina"/>
      <w:sz w:val="24"/>
      <w:lang w:eastAsia="en-GB"/>
    </w:rPr>
  </w:style>
  <w:style w:type="paragraph" w:customStyle="1" w:styleId="CM3">
    <w:name w:val="CM3"/>
    <w:basedOn w:val="Normal"/>
    <w:next w:val="Normal"/>
    <w:uiPriority w:val="99"/>
    <w:pPr>
      <w:autoSpaceDE w:val="0"/>
      <w:autoSpaceDN w:val="0"/>
      <w:adjustRightInd w:val="0"/>
    </w:pPr>
    <w:rPr>
      <w:rFonts w:ascii="EUAlbertina" w:hAnsi="EUAlbertina"/>
      <w:sz w:val="24"/>
      <w:lang w:eastAsia="en-GB"/>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szCs w:val="20"/>
    </w:rPr>
  </w:style>
  <w:style w:type="character" w:customStyle="1" w:styleId="CommentTextChar">
    <w:name w:val="Comment Text Char"/>
    <w:basedOn w:val="DefaultParagraphFont"/>
    <w:link w:val="CommentText"/>
    <w:uiPriority w:val="99"/>
    <w:rPr>
      <w:rFonts w:ascii="Georgia" w:hAnsi="Georgia"/>
      <w:lang w:eastAsia="de-DE"/>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Georgia" w:hAnsi="Georgia"/>
      <w:b/>
      <w:bCs/>
      <w:lang w:eastAsia="de-DE"/>
    </w:rPr>
  </w:style>
  <w:style w:type="paragraph" w:customStyle="1" w:styleId="Style1">
    <w:name w:val="Style1"/>
    <w:basedOn w:val="MyBullet0"/>
    <w:link w:val="Style1Char"/>
    <w:qFormat/>
    <w:pPr>
      <w:numPr>
        <w:numId w:val="0"/>
      </w:numPr>
    </w:pPr>
    <w:rPr>
      <w:b/>
      <w:i/>
      <w:color w:val="00B050"/>
    </w:rPr>
  </w:style>
  <w:style w:type="character" w:customStyle="1" w:styleId="Style1Char">
    <w:name w:val="Style1 Char"/>
    <w:basedOn w:val="MyBulletChar"/>
    <w:link w:val="Style1"/>
    <w:rPr>
      <w:rFonts w:ascii="Georgia" w:hAnsi="Georgia"/>
      <w:b/>
      <w:i/>
      <w:color w:val="00B050"/>
      <w:lang w:eastAsia="de-DE"/>
    </w:rPr>
  </w:style>
  <w:style w:type="paragraph" w:customStyle="1" w:styleId="0MyBullet">
    <w:name w:val="0. My Bullet"/>
    <w:basedOn w:val="04bList"/>
    <w:link w:val="0MyBulletChar"/>
    <w:qFormat/>
    <w:pPr>
      <w:numPr>
        <w:numId w:val="5"/>
      </w:numPr>
      <w:spacing w:after="0" w:line="360" w:lineRule="auto"/>
    </w:pPr>
  </w:style>
  <w:style w:type="character" w:customStyle="1" w:styleId="0MyBulletChar">
    <w:name w:val="0. My Bullet Char"/>
    <w:link w:val="0MyBullet"/>
    <w:rPr>
      <w:rFonts w:ascii="Georgia" w:hAnsi="Georgia"/>
      <w:szCs w:val="24"/>
      <w:lang w:eastAsia="de-DE"/>
    </w:rPr>
  </w:style>
  <w:style w:type="paragraph" w:customStyle="1" w:styleId="Bullet2">
    <w:name w:val="Bullet 2"/>
    <w:basedOn w:val="0MyBullet"/>
    <w:qFormat/>
    <w:pPr>
      <w:numPr>
        <w:ilvl w:val="1"/>
      </w:numPr>
      <w:tabs>
        <w:tab w:val="num" w:pos="720"/>
      </w:tabs>
      <w:ind w:left="720"/>
    </w:pPr>
  </w:style>
  <w:style w:type="paragraph" w:styleId="ListParagraph">
    <w:name w:val="List Paragraph"/>
    <w:aliases w:val="Paragraphe EI,Paragraphe de liste1,EC,Paragraphe de liste"/>
    <w:basedOn w:val="Normal"/>
    <w:link w:val="ListParagraphChar"/>
    <w:uiPriority w:val="34"/>
    <w:qFormat/>
    <w:pPr>
      <w:ind w:left="720"/>
      <w:contextualSpacing/>
    </w:pPr>
  </w:style>
  <w:style w:type="paragraph" w:customStyle="1" w:styleId="1MyNormal">
    <w:name w:val="1. My Normal"/>
    <w:basedOn w:val="Normal"/>
    <w:link w:val="1MyNormalChar"/>
    <w:qFormat/>
    <w:pPr>
      <w:numPr>
        <w:numId w:val="9"/>
      </w:numPr>
      <w:spacing w:before="120" w:after="240" w:line="276" w:lineRule="auto"/>
      <w:ind w:left="0" w:hanging="567"/>
      <w:jc w:val="both"/>
    </w:pPr>
  </w:style>
  <w:style w:type="character" w:customStyle="1" w:styleId="1MyNormalChar">
    <w:name w:val="1. My Normal Char"/>
    <w:basedOn w:val="DefaultParagraphFont"/>
    <w:link w:val="1MyNormal"/>
    <w:rPr>
      <w:rFonts w:ascii="Georgia" w:hAnsi="Georgia"/>
      <w:szCs w:val="24"/>
      <w:lang w:eastAsia="de-DE"/>
    </w:rPr>
  </w:style>
  <w:style w:type="paragraph" w:customStyle="1" w:styleId="footnote">
    <w:name w:val="footnote"/>
    <w:basedOn w:val="CM1"/>
    <w:link w:val="footnoteChar"/>
    <w:qFormat/>
    <w:pPr>
      <w:spacing w:before="200" w:after="200"/>
    </w:pPr>
    <w:rPr>
      <w:rFonts w:ascii="Georgia" w:hAnsi="Georgia"/>
      <w:sz w:val="18"/>
      <w:szCs w:val="20"/>
    </w:rPr>
  </w:style>
  <w:style w:type="character" w:customStyle="1" w:styleId="footnoteChar">
    <w:name w:val="footnote Char"/>
    <w:link w:val="footnote"/>
    <w:rPr>
      <w:rFonts w:ascii="Georgia" w:hAnsi="Georgia"/>
      <w:sz w:val="18"/>
    </w:rPr>
  </w:style>
  <w:style w:type="paragraph" w:customStyle="1" w:styleId="Default">
    <w:name w:val="Default"/>
    <w:pPr>
      <w:autoSpaceDE w:val="0"/>
      <w:autoSpaceDN w:val="0"/>
      <w:adjustRightInd w:val="0"/>
    </w:pPr>
    <w:rPr>
      <w:color w:val="000000"/>
      <w:sz w:val="24"/>
      <w:szCs w:val="24"/>
    </w:rPr>
  </w:style>
  <w:style w:type="paragraph" w:customStyle="1" w:styleId="Underlines">
    <w:name w:val="Underlines"/>
    <w:basedOn w:val="MyNormal"/>
    <w:link w:val="UnderlinesChar"/>
    <w:qFormat/>
    <w:pPr>
      <w:numPr>
        <w:numId w:val="0"/>
      </w:numPr>
    </w:pPr>
    <w:rPr>
      <w:szCs w:val="20"/>
      <w:u w:val="single"/>
    </w:rPr>
  </w:style>
  <w:style w:type="character" w:customStyle="1" w:styleId="UnderlinesChar">
    <w:name w:val="Underlines Char"/>
    <w:basedOn w:val="MyNormalChar"/>
    <w:link w:val="Underlines"/>
    <w:rPr>
      <w:rFonts w:ascii="Georgia" w:hAnsi="Georgia"/>
      <w:szCs w:val="24"/>
      <w:u w:val="single"/>
      <w:lang w:eastAsia="de-DE"/>
    </w:rPr>
  </w:style>
  <w:style w:type="paragraph" w:customStyle="1" w:styleId="mybullet">
    <w:name w:val="my_bullet"/>
    <w:basedOn w:val="ListParagraph"/>
    <w:qFormat/>
    <w:pPr>
      <w:numPr>
        <w:numId w:val="10"/>
      </w:numPr>
      <w:spacing w:before="120" w:after="120" w:line="276" w:lineRule="auto"/>
      <w:jc w:val="both"/>
    </w:pPr>
  </w:style>
  <w:style w:type="character" w:styleId="FollowedHyperlink">
    <w:name w:val="FollowedHyperlink"/>
    <w:basedOn w:val="DefaultParagraphFont"/>
    <w:rPr>
      <w:color w:val="800080" w:themeColor="followedHyperlink"/>
      <w:u w:val="single"/>
    </w:rPr>
  </w:style>
  <w:style w:type="paragraph" w:customStyle="1" w:styleId="05Headline1">
    <w:name w:val="05_Headline 1"/>
    <w:basedOn w:val="04BodyText"/>
    <w:pPr>
      <w:spacing w:line="300" w:lineRule="exact"/>
    </w:pPr>
    <w:rPr>
      <w:b/>
      <w:sz w:val="24"/>
    </w:rPr>
  </w:style>
  <w:style w:type="character" w:customStyle="1" w:styleId="st">
    <w:name w:val="st"/>
    <w:basedOn w:val="DefaultParagraphFont"/>
  </w:style>
  <w:style w:type="character" w:customStyle="1" w:styleId="Heading3Char">
    <w:name w:val="Heading 3 Char"/>
    <w:basedOn w:val="DefaultParagraphFont"/>
    <w:link w:val="Heading3"/>
    <w:uiPriority w:val="9"/>
    <w:rPr>
      <w:rFonts w:ascii="Georgia" w:hAnsi="Georgia"/>
      <w:b/>
      <w:szCs w:val="24"/>
      <w:lang w:eastAsia="de-DE"/>
    </w:rPr>
  </w:style>
  <w:style w:type="paragraph" w:customStyle="1" w:styleId="Normalsanspara">
    <w:name w:val="Normal sans para"/>
    <w:basedOn w:val="1MyNormal"/>
    <w:link w:val="NormalsansparaChar"/>
    <w:qFormat/>
    <w:pPr>
      <w:numPr>
        <w:numId w:val="0"/>
      </w:numPr>
    </w:pPr>
    <w:rPr>
      <w:szCs w:val="20"/>
      <w:u w:val="single"/>
    </w:rPr>
  </w:style>
  <w:style w:type="character" w:customStyle="1" w:styleId="NormalsansparaChar">
    <w:name w:val="Normal sans para Char"/>
    <w:link w:val="Normalsanspara"/>
    <w:rPr>
      <w:rFonts w:ascii="Georgia" w:hAnsi="Georgia"/>
      <w:u w:val="single"/>
      <w:lang w:eastAsia="de-DE"/>
    </w:rPr>
  </w:style>
  <w:style w:type="paragraph" w:customStyle="1" w:styleId="Style2">
    <w:name w:val="Style2"/>
    <w:basedOn w:val="04BodyText"/>
    <w:link w:val="Style2Char"/>
    <w:qFormat/>
    <w:pPr>
      <w:numPr>
        <w:numId w:val="26"/>
      </w:numPr>
    </w:pPr>
  </w:style>
  <w:style w:type="paragraph" w:customStyle="1" w:styleId="Style3">
    <w:name w:val="Style3"/>
    <w:basedOn w:val="04BodyText"/>
    <w:link w:val="Style3Char"/>
    <w:qFormat/>
    <w:pPr>
      <w:numPr>
        <w:numId w:val="12"/>
      </w:numPr>
      <w:ind w:left="426" w:hanging="426"/>
    </w:pPr>
  </w:style>
  <w:style w:type="character" w:customStyle="1" w:styleId="Style2Char">
    <w:name w:val="Style2 Char"/>
    <w:basedOn w:val="04BodyTextChar"/>
    <w:link w:val="Style2"/>
    <w:rPr>
      <w:rFonts w:ascii="Georgia" w:hAnsi="Georgia"/>
      <w:szCs w:val="24"/>
      <w:lang w:eastAsia="de-DE"/>
    </w:rPr>
  </w:style>
  <w:style w:type="character" w:customStyle="1" w:styleId="Style3Char">
    <w:name w:val="Style3 Char"/>
    <w:basedOn w:val="04BodyTextChar"/>
    <w:link w:val="Style3"/>
    <w:rPr>
      <w:rFonts w:ascii="Georgia" w:hAnsi="Georgia"/>
      <w:szCs w:val="24"/>
      <w:lang w:eastAsia="de-DE"/>
    </w:rPr>
  </w:style>
  <w:style w:type="character" w:customStyle="1" w:styleId="ListParagraphChar">
    <w:name w:val="List Paragraph Char"/>
    <w:aliases w:val="Paragraphe EI Char,Paragraphe de liste1 Char,EC Char,Paragraphe de liste Char"/>
    <w:link w:val="ListParagraph"/>
    <w:uiPriority w:val="34"/>
    <w:rPr>
      <w:rFonts w:ascii="Georgia" w:hAnsi="Georgia"/>
      <w:sz w:val="22"/>
      <w:szCs w:val="24"/>
      <w:lang w:eastAsia="de-DE"/>
    </w:rPr>
  </w:style>
  <w:style w:type="character" w:styleId="Strong">
    <w:name w:val="Strong"/>
    <w:basedOn w:val="DefaultParagraphFont"/>
    <w:uiPriority w:val="22"/>
    <w:qFormat/>
    <w:rPr>
      <w:b/>
      <w:bCs/>
    </w:rPr>
  </w:style>
  <w:style w:type="paragraph" w:customStyle="1" w:styleId="04aNumeration">
    <w:name w:val="04a_Numeration"/>
    <w:basedOn w:val="04BodyText"/>
    <w:link w:val="04aNumerationChar"/>
    <w:pPr>
      <w:tabs>
        <w:tab w:val="num" w:pos="284"/>
      </w:tabs>
      <w:ind w:left="284" w:hanging="284"/>
    </w:pPr>
  </w:style>
  <w:style w:type="character" w:customStyle="1" w:styleId="04aNumerationChar">
    <w:name w:val="04a_Numeration Char"/>
    <w:basedOn w:val="04BodyTextChar"/>
    <w:link w:val="04aNumeration"/>
    <w:rPr>
      <w:rFonts w:ascii="Georgia" w:hAnsi="Georgia"/>
      <w:szCs w:val="24"/>
      <w:lang w:eastAsia="de-DE"/>
    </w:rPr>
  </w:style>
  <w:style w:type="paragraph" w:styleId="EndnoteText">
    <w:name w:val="endnote text"/>
    <w:basedOn w:val="Normal"/>
    <w:link w:val="EndnoteTextChar"/>
    <w:rPr>
      <w:szCs w:val="20"/>
    </w:rPr>
  </w:style>
  <w:style w:type="character" w:customStyle="1" w:styleId="EndnoteTextChar">
    <w:name w:val="Endnote Text Char"/>
    <w:basedOn w:val="DefaultParagraphFont"/>
    <w:link w:val="EndnoteText"/>
    <w:rPr>
      <w:rFonts w:ascii="Georgia" w:hAnsi="Georgia"/>
      <w:lang w:eastAsia="de-DE"/>
    </w:rPr>
  </w:style>
  <w:style w:type="character" w:styleId="EndnoteReference">
    <w:name w:val="endnote reference"/>
    <w:basedOn w:val="DefaultParagraphFont"/>
    <w:rPr>
      <w:vertAlign w:val="superscript"/>
    </w:rPr>
  </w:style>
  <w:style w:type="paragraph" w:customStyle="1" w:styleId="MYNORMAL0">
    <w:name w:val="MYNORMAL"/>
    <w:basedOn w:val="04aNumbering"/>
    <w:link w:val="MYNORMALChar0"/>
    <w:qFormat/>
    <w:pPr>
      <w:tabs>
        <w:tab w:val="clear" w:pos="4679"/>
      </w:tabs>
      <w:ind w:left="567" w:hanging="567"/>
    </w:pPr>
  </w:style>
  <w:style w:type="character" w:customStyle="1" w:styleId="MYNORMALChar0">
    <w:name w:val="MYNORMAL Char"/>
    <w:basedOn w:val="04aNumberingChar"/>
    <w:link w:val="MYNORMAL0"/>
    <w:rPr>
      <w:rFonts w:ascii="Georgia" w:hAnsi="Georgia"/>
      <w:szCs w:val="24"/>
      <w:lang w:eastAsia="de-DE"/>
    </w:rPr>
  </w:style>
  <w:style w:type="paragraph" w:customStyle="1" w:styleId="myNormal1">
    <w:name w:val="myNormal"/>
    <w:basedOn w:val="04aNumbering"/>
    <w:link w:val="myNormalChar1"/>
    <w:qFormat/>
  </w:style>
  <w:style w:type="character" w:customStyle="1" w:styleId="myNormalChar1">
    <w:name w:val="myNormal Char"/>
    <w:basedOn w:val="04aNumberingChar"/>
    <w:link w:val="myNormal1"/>
    <w:rPr>
      <w:rFonts w:ascii="Georgia" w:hAnsi="Georgia"/>
      <w:szCs w:val="24"/>
      <w:lang w:eastAsia="de-DE"/>
    </w:rPr>
  </w:style>
  <w:style w:type="character" w:customStyle="1" w:styleId="apple-converted-space">
    <w:name w:val="apple-converted-space"/>
    <w:basedOn w:val="DefaultParagraphFont"/>
  </w:style>
  <w:style w:type="paragraph" w:styleId="TOC3">
    <w:name w:val="toc 3"/>
    <w:basedOn w:val="Normal"/>
    <w:next w:val="Normal"/>
    <w:autoRedefine/>
    <w:uiPriority w:val="39"/>
    <w:pPr>
      <w:spacing w:after="100"/>
      <w:ind w:left="440"/>
    </w:pPr>
  </w:style>
  <w:style w:type="character" w:styleId="PlaceholderText">
    <w:name w:val="Placeholder Text"/>
    <w:basedOn w:val="DefaultParagraphFont"/>
    <w:uiPriority w:val="99"/>
    <w:semiHidden/>
    <w:rPr>
      <w:color w:val="808080"/>
    </w:rPr>
  </w:style>
  <w:style w:type="paragraph" w:customStyle="1" w:styleId="MyAStyle">
    <w:name w:val="MyAStyle"/>
    <w:basedOn w:val="Normal"/>
    <w:link w:val="MyAStyleChar"/>
    <w:qFormat/>
    <w:pPr>
      <w:spacing w:before="120" w:after="120"/>
      <w:ind w:left="1134" w:hanging="425"/>
      <w:jc w:val="both"/>
    </w:pPr>
    <w:rPr>
      <w:rFonts w:ascii="Times New Roman" w:hAnsi="Times New Roman"/>
      <w:noProof/>
      <w:color w:val="000000"/>
      <w:sz w:val="24"/>
      <w:lang w:eastAsia="en-US"/>
    </w:rPr>
  </w:style>
  <w:style w:type="paragraph" w:customStyle="1" w:styleId="MyStyleII">
    <w:name w:val="MyStyleII"/>
    <w:basedOn w:val="MyAStyle"/>
    <w:link w:val="MyStyleIIChar"/>
    <w:qFormat/>
    <w:pPr>
      <w:ind w:left="1985" w:hanging="284"/>
    </w:pPr>
  </w:style>
  <w:style w:type="paragraph" w:styleId="Revision">
    <w:name w:val="Revision"/>
    <w:hidden/>
    <w:uiPriority w:val="99"/>
    <w:semiHidden/>
    <w:rPr>
      <w:rFonts w:ascii="Georgia" w:hAnsi="Georgia"/>
      <w:sz w:val="22"/>
      <w:szCs w:val="24"/>
      <w:lang w:eastAsia="de-DE"/>
    </w:rPr>
  </w:style>
  <w:style w:type="character" w:customStyle="1" w:styleId="MyAStyleChar">
    <w:name w:val="MyAStyle Char"/>
    <w:link w:val="MyAStyle"/>
    <w:rPr>
      <w:noProof/>
      <w:color w:val="000000"/>
      <w:sz w:val="24"/>
      <w:szCs w:val="24"/>
      <w:lang w:eastAsia="en-US"/>
    </w:rPr>
  </w:style>
  <w:style w:type="paragraph" w:styleId="DocumentMap">
    <w:name w:val="Document Map"/>
    <w:basedOn w:val="Normal"/>
    <w:link w:val="DocumentMapChar"/>
    <w:uiPriority w:val="99"/>
    <w:rPr>
      <w:rFonts w:ascii="Lucida Grande" w:hAnsi="Lucida Grande" w:cs="Lucida Grande"/>
      <w:sz w:val="24"/>
    </w:rPr>
  </w:style>
  <w:style w:type="character" w:customStyle="1" w:styleId="DocumentMapChar">
    <w:name w:val="Document Map Char"/>
    <w:basedOn w:val="DefaultParagraphFont"/>
    <w:link w:val="DocumentMap"/>
    <w:uiPriority w:val="99"/>
    <w:rPr>
      <w:rFonts w:ascii="Lucida Grande" w:hAnsi="Lucida Grande" w:cs="Lucida Grande"/>
      <w:sz w:val="24"/>
      <w:szCs w:val="24"/>
      <w:lang w:eastAsia="de-DE"/>
    </w:rPr>
  </w:style>
  <w:style w:type="paragraph" w:customStyle="1" w:styleId="ANNEX">
    <w:name w:val="ANNEX"/>
    <w:basedOn w:val="Caption"/>
    <w:link w:val="ANNEXChar"/>
    <w:qFormat/>
    <w:pPr>
      <w:jc w:val="left"/>
    </w:pPr>
    <w:rPr>
      <w:sz w:val="28"/>
    </w:rPr>
  </w:style>
  <w:style w:type="character" w:customStyle="1" w:styleId="CaptionChar">
    <w:name w:val="Caption Char"/>
    <w:basedOn w:val="DefaultParagraphFont"/>
    <w:link w:val="Caption"/>
    <w:rPr>
      <w:rFonts w:ascii="Georgia" w:hAnsi="Georgia"/>
      <w:b/>
      <w:bCs/>
      <w:sz w:val="18"/>
      <w:szCs w:val="18"/>
      <w:lang w:eastAsia="de-DE"/>
    </w:rPr>
  </w:style>
  <w:style w:type="character" w:customStyle="1" w:styleId="ANNEXChar">
    <w:name w:val="ANNEX Char"/>
    <w:basedOn w:val="CaptionChar"/>
    <w:link w:val="ANNEX"/>
    <w:rPr>
      <w:rFonts w:ascii="Georgia" w:hAnsi="Georgia"/>
      <w:b/>
      <w:bCs/>
      <w:sz w:val="28"/>
      <w:szCs w:val="18"/>
      <w:lang w:eastAsia="de-DE"/>
    </w:rPr>
  </w:style>
  <w:style w:type="paragraph" w:customStyle="1" w:styleId="MyBullet1">
    <w:name w:val="MyBullet"/>
    <w:basedOn w:val="ListParagraph"/>
    <w:link w:val="MyBulletChar0"/>
    <w:qFormat/>
    <w:pPr>
      <w:numPr>
        <w:numId w:val="22"/>
      </w:numPr>
      <w:spacing w:before="240" w:line="276" w:lineRule="auto"/>
      <w:ind w:left="1134" w:hanging="425"/>
      <w:jc w:val="both"/>
    </w:pPr>
  </w:style>
  <w:style w:type="character" w:customStyle="1" w:styleId="MyBulletChar0">
    <w:name w:val="MyBullet Char"/>
    <w:basedOn w:val="ListParagraphChar"/>
    <w:link w:val="MyBullet1"/>
    <w:rPr>
      <w:rFonts w:ascii="Georgia" w:hAnsi="Georgia"/>
      <w:sz w:val="22"/>
      <w:szCs w:val="24"/>
      <w:lang w:eastAsia="de-DE"/>
    </w:rPr>
  </w:style>
  <w:style w:type="paragraph" w:customStyle="1" w:styleId="myBullet2">
    <w:name w:val="myBullet"/>
    <w:basedOn w:val="ListParagraph"/>
    <w:link w:val="myBulletChar1"/>
    <w:qFormat/>
    <w:pPr>
      <w:numPr>
        <w:numId w:val="23"/>
      </w:numPr>
      <w:spacing w:line="276" w:lineRule="auto"/>
    </w:pPr>
  </w:style>
  <w:style w:type="character" w:customStyle="1" w:styleId="myBulletChar1">
    <w:name w:val="myBullet Char"/>
    <w:basedOn w:val="ListParagraphChar"/>
    <w:link w:val="myBullet2"/>
    <w:rPr>
      <w:rFonts w:ascii="Georgia" w:hAnsi="Georgia"/>
      <w:sz w:val="22"/>
      <w:szCs w:val="24"/>
      <w:lang w:eastAsia="de-DE"/>
    </w:rPr>
  </w:style>
  <w:style w:type="paragraph" w:customStyle="1" w:styleId="myMINItable">
    <w:name w:val="my MINI table"/>
    <w:basedOn w:val="MyNormal"/>
    <w:link w:val="myMINItableChar"/>
    <w:qFormat/>
    <w:pPr>
      <w:numPr>
        <w:numId w:val="0"/>
      </w:numPr>
      <w:spacing w:before="120" w:after="120"/>
      <w:ind w:left="113"/>
    </w:pPr>
    <w:rPr>
      <w:sz w:val="18"/>
      <w:szCs w:val="18"/>
    </w:rPr>
  </w:style>
  <w:style w:type="character" w:customStyle="1" w:styleId="myMINItableChar">
    <w:name w:val="my MINI table Char"/>
    <w:link w:val="myMINItable"/>
    <w:rPr>
      <w:rFonts w:ascii="Georgia" w:hAnsi="Georgia"/>
      <w:sz w:val="18"/>
      <w:szCs w:val="18"/>
      <w:lang w:eastAsia="de-DE"/>
    </w:rPr>
  </w:style>
  <w:style w:type="paragraph" w:customStyle="1" w:styleId="TOCHeading1">
    <w:name w:val="TOC Heading1"/>
    <w:basedOn w:val="Normal"/>
    <w:next w:val="Normal"/>
    <w:qFormat/>
    <w:pPr>
      <w:spacing w:before="120" w:after="240"/>
      <w:jc w:val="center"/>
    </w:pPr>
    <w:rPr>
      <w:rFonts w:ascii="Times New Roman" w:hAnsi="Times New Roman"/>
      <w:b/>
      <w:sz w:val="28"/>
      <w:lang w:eastAsia="en-US"/>
    </w:rPr>
  </w:style>
  <w:style w:type="paragraph" w:customStyle="1" w:styleId="Datedadoption">
    <w:name w:val="Date d'adoption"/>
    <w:basedOn w:val="Normal"/>
    <w:next w:val="Titreobjet"/>
    <w:pPr>
      <w:spacing w:before="360"/>
      <w:jc w:val="center"/>
    </w:pPr>
    <w:rPr>
      <w:rFonts w:ascii="Times New Roman" w:hAnsi="Times New Roman"/>
      <w:b/>
      <w:sz w:val="24"/>
      <w:lang w:eastAsia="en-US"/>
    </w:rPr>
  </w:style>
  <w:style w:type="paragraph" w:customStyle="1" w:styleId="Titreobjet">
    <w:name w:val="Titre objet"/>
    <w:basedOn w:val="Normal"/>
    <w:next w:val="Normal"/>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pPr>
      <w:spacing w:before="360"/>
      <w:jc w:val="center"/>
    </w:pPr>
    <w:rPr>
      <w:rFonts w:ascii="Times New Roman" w:hAnsi="Times New Roman"/>
      <w:b/>
      <w:sz w:val="24"/>
      <w:lang w:eastAsia="en-US"/>
    </w:rPr>
  </w:style>
  <w:style w:type="paragraph" w:customStyle="1" w:styleId="Recital">
    <w:name w:val="Recital"/>
    <w:basedOn w:val="Style2"/>
    <w:link w:val="RecitalChar"/>
    <w:qFormat/>
  </w:style>
  <w:style w:type="paragraph" w:customStyle="1" w:styleId="Recital1">
    <w:name w:val="Recital 1"/>
    <w:basedOn w:val="Recital"/>
    <w:link w:val="Recital1Char"/>
    <w:qFormat/>
    <w:pPr>
      <w:numPr>
        <w:numId w:val="30"/>
      </w:numPr>
      <w:ind w:hanging="720"/>
    </w:pPr>
    <w:rPr>
      <w:rFonts w:ascii="Times New Roman" w:hAnsi="Times New Roman"/>
      <w:sz w:val="24"/>
    </w:rPr>
  </w:style>
  <w:style w:type="character" w:customStyle="1" w:styleId="RecitalChar">
    <w:name w:val="Recital Char"/>
    <w:basedOn w:val="Style2Char"/>
    <w:link w:val="Recital"/>
    <w:rPr>
      <w:rFonts w:ascii="Georgia" w:hAnsi="Georgia"/>
      <w:szCs w:val="24"/>
      <w:lang w:eastAsia="de-DE"/>
    </w:rPr>
  </w:style>
  <w:style w:type="paragraph" w:customStyle="1" w:styleId="Formuledadoption">
    <w:name w:val="Formule d'adoption"/>
    <w:basedOn w:val="Normal"/>
    <w:next w:val="Normal"/>
    <w:pPr>
      <w:keepNext/>
      <w:spacing w:before="120" w:after="120"/>
      <w:jc w:val="both"/>
    </w:pPr>
    <w:rPr>
      <w:rFonts w:ascii="Times New Roman" w:hAnsi="Times New Roman"/>
      <w:sz w:val="24"/>
      <w:lang w:eastAsia="en-US"/>
    </w:rPr>
  </w:style>
  <w:style w:type="character" w:customStyle="1" w:styleId="Recital1Char">
    <w:name w:val="Recital 1 Char"/>
    <w:basedOn w:val="RecitalChar"/>
    <w:link w:val="Recital1"/>
    <w:rPr>
      <w:rFonts w:ascii="Georgia" w:hAnsi="Georgia"/>
      <w:sz w:val="24"/>
      <w:szCs w:val="24"/>
      <w:lang w:eastAsia="de-DE"/>
    </w:rPr>
  </w:style>
  <w:style w:type="paragraph" w:customStyle="1" w:styleId="DatedadoptionPagedecouverture">
    <w:name w:val="Date d'adoption (Page de couverture)"/>
    <w:basedOn w:val="Datedadoption"/>
    <w:next w:val="Normal"/>
  </w:style>
  <w:style w:type="character" w:styleId="Emphasis">
    <w:name w:val="Emphasis"/>
    <w:basedOn w:val="DefaultParagraphFont"/>
    <w:qFormat/>
    <w:rPr>
      <w:i/>
      <w:iCs/>
    </w:rPr>
  </w:style>
  <w:style w:type="character" w:customStyle="1" w:styleId="MyStyleIIChar">
    <w:name w:val="MyStyleII Char"/>
    <w:link w:val="MyStyleII"/>
    <w:rPr>
      <w:noProof/>
      <w:color w:val="000000"/>
      <w:sz w:val="24"/>
      <w:szCs w:val="24"/>
      <w:lang w:eastAsia="en-US"/>
    </w:rPr>
  </w:style>
  <w:style w:type="paragraph" w:customStyle="1" w:styleId="ManualNumPar3">
    <w:name w:val="Manual NumPar 3"/>
    <w:basedOn w:val="Normal"/>
    <w:next w:val="Normal"/>
    <w:pPr>
      <w:spacing w:before="120" w:after="120"/>
      <w:ind w:left="850" w:hanging="850"/>
      <w:jc w:val="both"/>
    </w:pPr>
    <w:rPr>
      <w:rFonts w:ascii="Times New Roman" w:hAnsi="Times New Roman"/>
      <w:sz w:val="24"/>
      <w:lang w:eastAsia="en-US"/>
    </w:rPr>
  </w:style>
  <w:style w:type="paragraph" w:customStyle="1" w:styleId="Institutionquisigne">
    <w:name w:val="Institution qui signe"/>
    <w:basedOn w:val="Normal"/>
    <w:next w:val="Personnequisigne"/>
    <w:pPr>
      <w:keepNext/>
      <w:tabs>
        <w:tab w:val="left" w:pos="4252"/>
      </w:tabs>
      <w:spacing w:before="720"/>
      <w:jc w:val="both"/>
    </w:pPr>
    <w:rPr>
      <w:rFonts w:ascii="Times New Roman" w:hAnsi="Times New Roman"/>
      <w:i/>
      <w:sz w:val="24"/>
      <w:lang w:eastAsia="en-US"/>
    </w:rPr>
  </w:style>
  <w:style w:type="paragraph" w:customStyle="1" w:styleId="Personnequisigne">
    <w:name w:val="Personne qui signe"/>
    <w:basedOn w:val="Normal"/>
    <w:next w:val="Institutionquisigne"/>
    <w:pPr>
      <w:tabs>
        <w:tab w:val="left" w:pos="4252"/>
      </w:tabs>
    </w:pPr>
    <w:rPr>
      <w:rFonts w:ascii="Times New Roman" w:hAnsi="Times New Roman"/>
      <w:i/>
      <w:sz w:val="24"/>
      <w:lang w:eastAsia="en-US"/>
    </w:rPr>
  </w:style>
  <w:style w:type="paragraph" w:customStyle="1" w:styleId="05aHeadline2">
    <w:name w:val="05a_Headline 2"/>
    <w:basedOn w:val="05Headline1"/>
    <w:next w:val="04BodyText"/>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pPr>
      <w:pBdr>
        <w:bottom w:val="single" w:sz="4" w:space="12" w:color="283583"/>
      </w:pBdr>
    </w:pPr>
    <w:rPr>
      <w:color w:val="2D4190"/>
    </w:rPr>
  </w:style>
  <w:style w:type="paragraph" w:customStyle="1" w:styleId="04cBodytextleft">
    <w:name w:val="04c_Body text left"/>
    <w:basedOn w:val="04BodyText"/>
    <w:pPr>
      <w:spacing w:after="0"/>
      <w:jc w:val="left"/>
    </w:pPr>
  </w:style>
  <w:style w:type="paragraph" w:customStyle="1" w:styleId="Style04RunningTextBold">
    <w:name w:val="Style 04_Running Text + Bold"/>
    <w:basedOn w:val="04BodyText"/>
    <w:pPr>
      <w:keepNext/>
    </w:pPr>
    <w:rPr>
      <w:b/>
      <w:bCs/>
    </w:rPr>
  </w:style>
  <w:style w:type="character" w:customStyle="1" w:styleId="Heading1Char">
    <w:name w:val="Heading 1 Char"/>
    <w:link w:val="Heading1"/>
    <w:uiPriority w:val="9"/>
    <w:rPr>
      <w:rFonts w:ascii="Georgia" w:hAnsi="Georgia"/>
      <w:b/>
      <w:szCs w:val="24"/>
      <w:lang w:eastAsia="de-DE"/>
    </w:rPr>
  </w:style>
  <w:style w:type="paragraph" w:styleId="TOCHeading">
    <w:name w:val="TOC Heading"/>
    <w:basedOn w:val="Heading1"/>
    <w:next w:val="Normal"/>
    <w:uiPriority w:val="39"/>
    <w:semiHidden/>
    <w:unhideWhenUsed/>
    <w:qFormat/>
    <w:pPr>
      <w:keepLines/>
      <w:tabs>
        <w:tab w:val="clear" w:pos="284"/>
        <w:tab w:val="clear" w:pos="397"/>
      </w:tabs>
      <w:spacing w:before="480" w:after="0" w:line="276" w:lineRule="auto"/>
      <w:ind w:left="432"/>
      <w:jc w:val="left"/>
      <w:outlineLvl w:val="9"/>
    </w:pPr>
    <w:rPr>
      <w:rFonts w:ascii="Cambria" w:hAnsi="Cambria"/>
      <w:bCs/>
      <w:color w:val="365F91"/>
      <w:sz w:val="28"/>
      <w:szCs w:val="28"/>
      <w:lang w:val="pl-PL" w:eastAsia="en-US"/>
    </w:rPr>
  </w:style>
  <w:style w:type="character" w:customStyle="1" w:styleId="HeaderChar">
    <w:name w:val="Header Char"/>
    <w:link w:val="Header"/>
    <w:rPr>
      <w:rFonts w:ascii="Georgia" w:hAnsi="Georgia"/>
      <w:sz w:val="22"/>
      <w:szCs w:val="24"/>
      <w:lang w:eastAsia="de-DE"/>
    </w:rPr>
  </w:style>
  <w:style w:type="character" w:customStyle="1" w:styleId="FooterChar">
    <w:name w:val="Footer Char"/>
    <w:link w:val="Footer"/>
    <w:uiPriority w:val="99"/>
    <w:rPr>
      <w:rFonts w:ascii="Georgia" w:hAnsi="Georgia"/>
      <w:sz w:val="22"/>
      <w:szCs w:val="24"/>
      <w:lang w:eastAsia="de-DE"/>
    </w:rPr>
  </w:style>
  <w:style w:type="character" w:customStyle="1" w:styleId="Heading2Char">
    <w:name w:val="Heading 2 Char"/>
    <w:link w:val="Heading2"/>
    <w:uiPriority w:val="9"/>
    <w:rPr>
      <w:rFonts w:ascii="Georgia" w:hAnsi="Georgia"/>
      <w:b/>
      <w:szCs w:val="24"/>
      <w:lang w:eastAsia="de-DE"/>
    </w:rPr>
  </w:style>
  <w:style w:type="table" w:customStyle="1" w:styleId="LightGrid-Accent11">
    <w:name w:val="Light Grid - Accent 11"/>
    <w:basedOn w:val="TableNormal"/>
    <w:uiPriority w:val="62"/>
    <w:rPr>
      <w:rFonts w:ascii="Calibri" w:hAnsi="Calibr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List-Accent11">
    <w:name w:val="Light List - Accent 11"/>
    <w:basedOn w:val="TableNormal"/>
    <w:uiPriority w:val="61"/>
    <w:rPr>
      <w:rFonts w:ascii="Calibri" w:hAnsi="Calibr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1-Accent11">
    <w:name w:val="Medium Shading 1 - Accent 11"/>
    <w:basedOn w:val="TableNormal"/>
    <w:uiPriority w:val="6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bodytext">
    <w:name w:val="bodytext"/>
    <w:basedOn w:val="Normal"/>
    <w:pPr>
      <w:spacing w:after="120" w:line="420" w:lineRule="atLeast"/>
    </w:pPr>
    <w:rPr>
      <w:rFonts w:ascii="Times New Roman" w:hAnsi="Times New Roman"/>
      <w:sz w:val="24"/>
      <w:lang w:eastAsia="en-GB"/>
    </w:rPr>
  </w:style>
  <w:style w:type="paragraph" w:customStyle="1" w:styleId="MyUnderline">
    <w:name w:val="MyUnderline"/>
    <w:basedOn w:val="Normal"/>
    <w:link w:val="MyUnderlineChar"/>
    <w:qFormat/>
    <w:pPr>
      <w:spacing w:before="240" w:after="240"/>
      <w:jc w:val="both"/>
    </w:pPr>
    <w:rPr>
      <w:b/>
      <w:szCs w:val="20"/>
      <w:u w:val="single"/>
    </w:rPr>
  </w:style>
  <w:style w:type="character" w:customStyle="1" w:styleId="MyUnderlineChar">
    <w:name w:val="MyUnderline Char"/>
    <w:basedOn w:val="DefaultParagraphFont"/>
    <w:link w:val="MyUnderline"/>
    <w:rPr>
      <w:rFonts w:ascii="Georgia" w:hAnsi="Georgia"/>
      <w:b/>
      <w:u w:val="single"/>
      <w:lang w:eastAsia="de-DE"/>
    </w:rPr>
  </w:style>
  <w:style w:type="paragraph" w:customStyle="1" w:styleId="Questions">
    <w:name w:val="Questions"/>
    <w:basedOn w:val="Caption"/>
    <w:link w:val="QuestionsChar"/>
    <w:qFormat/>
    <w:pPr>
      <w:jc w:val="both"/>
    </w:pPr>
  </w:style>
  <w:style w:type="character" w:customStyle="1" w:styleId="QuestionsChar">
    <w:name w:val="Questions Char"/>
    <w:basedOn w:val="CaptionChar"/>
    <w:link w:val="Questions"/>
    <w:rPr>
      <w:rFonts w:ascii="Georgia" w:hAnsi="Georgia"/>
      <w:b/>
      <w:bCs/>
      <w:sz w:val="18"/>
      <w:szCs w:val="18"/>
      <w:lang w:eastAsia="de-DE"/>
    </w:rPr>
  </w:style>
  <w:style w:type="paragraph" w:styleId="NormalWeb">
    <w:name w:val="Normal (Web)"/>
    <w:basedOn w:val="Normal"/>
    <w:uiPriority w:val="99"/>
    <w:unhideWhenUsed/>
    <w:pPr>
      <w:spacing w:before="100" w:beforeAutospacing="1" w:after="100" w:afterAutospacing="1"/>
    </w:pPr>
    <w:rPr>
      <w:rFonts w:ascii="Times New Roman" w:hAnsi="Times New Roman"/>
      <w:sz w:val="24"/>
      <w:lang w:eastAsia="en-GB"/>
    </w:rPr>
  </w:style>
  <w:style w:type="paragraph" w:styleId="BodyText0">
    <w:name w:val="Body Text"/>
    <w:basedOn w:val="Normal"/>
    <w:link w:val="BodyTextChar"/>
    <w:qFormat/>
  </w:style>
  <w:style w:type="character" w:customStyle="1" w:styleId="BodyTextChar">
    <w:name w:val="Body Text Char"/>
    <w:basedOn w:val="DefaultParagraphFont"/>
    <w:link w:val="BodyText0"/>
    <w:rPr>
      <w:rFonts w:ascii="Georgia" w:hAnsi="Georgia"/>
      <w:szCs w:val="24"/>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Document Map"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446D"/>
    <w:rPr>
      <w:rFonts w:ascii="Georgia" w:hAnsi="Georgia"/>
      <w:szCs w:val="24"/>
      <w:lang w:eastAsia="de-DE"/>
    </w:rPr>
  </w:style>
  <w:style w:type="paragraph" w:styleId="Heading1">
    <w:name w:val="heading 1"/>
    <w:basedOn w:val="05cHeadline1"/>
    <w:next w:val="Normal"/>
    <w:link w:val="Heading1Char"/>
    <w:uiPriority w:val="9"/>
    <w:qFormat/>
    <w:rsid w:val="004C2CD3"/>
    <w:pPr>
      <w:numPr>
        <w:numId w:val="47"/>
      </w:numPr>
      <w:outlineLvl w:val="0"/>
    </w:pPr>
  </w:style>
  <w:style w:type="paragraph" w:styleId="Heading2">
    <w:name w:val="heading 2"/>
    <w:basedOn w:val="04aNumbering"/>
    <w:next w:val="Normal"/>
    <w:link w:val="Heading2Char"/>
    <w:uiPriority w:val="9"/>
    <w:qFormat/>
    <w:rsid w:val="00412C4C"/>
    <w:pPr>
      <w:numPr>
        <w:ilvl w:val="1"/>
        <w:numId w:val="47"/>
      </w:numPr>
      <w:outlineLvl w:val="1"/>
    </w:pPr>
    <w:rPr>
      <w:b/>
    </w:rPr>
  </w:style>
  <w:style w:type="paragraph" w:styleId="Heading3">
    <w:name w:val="heading 3"/>
    <w:basedOn w:val="Heading2"/>
    <w:next w:val="Normal"/>
    <w:link w:val="Heading3Char"/>
    <w:uiPriority w:val="9"/>
    <w:qFormat/>
    <w:rsid w:val="00E03F63"/>
    <w:pPr>
      <w:numPr>
        <w:ilvl w:val="2"/>
      </w:numPr>
      <w:outlineLvl w:val="2"/>
    </w:pPr>
  </w:style>
  <w:style w:type="paragraph" w:styleId="Heading4">
    <w:name w:val="heading 4"/>
    <w:basedOn w:val="Heading3"/>
    <w:next w:val="Normal"/>
    <w:qFormat/>
    <w:rsid w:val="003F3FF4"/>
    <w:pPr>
      <w:numPr>
        <w:ilvl w:val="3"/>
      </w:numPr>
      <w:outlineLvl w:val="3"/>
    </w:pPr>
  </w:style>
  <w:style w:type="paragraph" w:styleId="Heading5">
    <w:name w:val="heading 5"/>
    <w:basedOn w:val="Heading4"/>
    <w:next w:val="Normal"/>
    <w:qFormat/>
    <w:rsid w:val="00376487"/>
    <w:pPr>
      <w:numPr>
        <w:ilvl w:val="4"/>
      </w:numPr>
      <w:outlineLvl w:val="4"/>
    </w:pPr>
  </w:style>
  <w:style w:type="paragraph" w:styleId="Heading6">
    <w:name w:val="heading 6"/>
    <w:basedOn w:val="Normal"/>
    <w:next w:val="Normal"/>
    <w:qFormat/>
    <w:rsid w:val="003609B6"/>
    <w:pPr>
      <w:numPr>
        <w:ilvl w:val="5"/>
        <w:numId w:val="47"/>
      </w:numPr>
      <w:spacing w:before="240" w:after="60"/>
      <w:outlineLvl w:val="5"/>
    </w:pPr>
    <w:rPr>
      <w:rFonts w:ascii="Times New Roman" w:hAnsi="Times New Roman"/>
      <w:b/>
      <w:bCs/>
      <w:szCs w:val="22"/>
    </w:rPr>
  </w:style>
  <w:style w:type="paragraph" w:styleId="Heading7">
    <w:name w:val="heading 7"/>
    <w:basedOn w:val="Normal"/>
    <w:next w:val="Normal"/>
    <w:qFormat/>
    <w:rsid w:val="003609B6"/>
    <w:pPr>
      <w:numPr>
        <w:ilvl w:val="6"/>
        <w:numId w:val="47"/>
      </w:numPr>
      <w:spacing w:before="240" w:after="60"/>
      <w:outlineLvl w:val="6"/>
    </w:pPr>
    <w:rPr>
      <w:rFonts w:ascii="Times New Roman" w:hAnsi="Times New Roman"/>
    </w:rPr>
  </w:style>
  <w:style w:type="paragraph" w:styleId="Heading8">
    <w:name w:val="heading 8"/>
    <w:basedOn w:val="Normal"/>
    <w:next w:val="Normal"/>
    <w:qFormat/>
    <w:rsid w:val="003609B6"/>
    <w:pPr>
      <w:numPr>
        <w:ilvl w:val="7"/>
        <w:numId w:val="47"/>
      </w:numPr>
      <w:spacing w:before="240" w:after="60"/>
      <w:outlineLvl w:val="7"/>
    </w:pPr>
    <w:rPr>
      <w:rFonts w:ascii="Times New Roman" w:hAnsi="Times New Roman"/>
      <w:i/>
      <w:iCs/>
    </w:rPr>
  </w:style>
  <w:style w:type="paragraph" w:styleId="Heading9">
    <w:name w:val="heading 9"/>
    <w:basedOn w:val="Normal"/>
    <w:next w:val="Normal"/>
    <w:qFormat/>
    <w:rsid w:val="003609B6"/>
    <w:pPr>
      <w:numPr>
        <w:ilvl w:val="8"/>
        <w:numId w:val="47"/>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uiPriority w:val="99"/>
    <w:rsid w:val="005B64CB"/>
    <w:pPr>
      <w:tabs>
        <w:tab w:val="center" w:pos="4536"/>
        <w:tab w:val="right" w:pos="9072"/>
      </w:tabs>
    </w:pPr>
  </w:style>
  <w:style w:type="table" w:styleId="TableGrid">
    <w:name w:val="Table Grid"/>
    <w:basedOn w:val="TableNormal"/>
    <w:semiHidden/>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clear" w:pos="567"/>
        <w:tab w:val="left" w:pos="284"/>
        <w:tab w:val="left" w:pos="397"/>
      </w:tabs>
      <w:spacing w:after="280" w:line="280" w:lineRule="exact"/>
      <w:ind w:left="284" w:hanging="284"/>
    </w:pPr>
    <w:rPr>
      <w:sz w:val="20"/>
    </w:rPr>
  </w:style>
  <w:style w:type="paragraph" w:customStyle="1" w:styleId="04aNumbering">
    <w:name w:val="04a_Numbering"/>
    <w:basedOn w:val="04BodyText"/>
    <w:link w:val="04aNumberingChar"/>
    <w:uiPriority w:val="99"/>
    <w:rsid w:val="00D75603"/>
    <w:pPr>
      <w:numPr>
        <w:numId w:val="2"/>
      </w:numPr>
    </w:pPr>
  </w:style>
  <w:style w:type="character" w:styleId="PageNumber">
    <w:name w:val="page number"/>
    <w:basedOn w:val="DefaultParagraphFont"/>
    <w:semiHidden/>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tabs>
        <w:tab w:val="left" w:pos="397"/>
      </w:tabs>
      <w:spacing w:after="250" w:line="250" w:lineRule="exact"/>
    </w:pPr>
    <w:rPr>
      <w:rFonts w:ascii="Georgia" w:hAnsi="Georgia" w:cs="Arial"/>
      <w:bCs/>
      <w:iCs/>
      <w:lang w:eastAsia="de-DE"/>
    </w:rPr>
  </w:style>
  <w:style w:type="paragraph" w:styleId="FootnoteText">
    <w:name w:val="footnote text"/>
    <w:aliases w:val="Car"/>
    <w:basedOn w:val="Normal"/>
    <w:link w:val="FootnoteTextChar"/>
    <w:rsid w:val="001725A5"/>
    <w:pPr>
      <w:spacing w:line="200" w:lineRule="exact"/>
    </w:pPr>
    <w:rPr>
      <w:sz w:val="16"/>
      <w:szCs w:val="20"/>
    </w:rPr>
  </w:style>
  <w:style w:type="character" w:styleId="FootnoteReference">
    <w:name w:val="footnote reference"/>
    <w:aliases w:val="BVI fnr,Footnote Reference Superscript,SUPERS,Footnote symbol,(Footnote Reference),Footnote reference number,note TESI,EN Footnote Reference,Voetnootverwijzing,Times 10 Point,Exposant 3 Point,Appel note de bas de"/>
    <w:rsid w:val="00C274F3"/>
    <w:rPr>
      <w:vertAlign w:val="superscript"/>
    </w:rPr>
  </w:style>
  <w:style w:type="paragraph" w:styleId="TOC2">
    <w:name w:val="toc 2"/>
    <w:basedOn w:val="Normal"/>
    <w:next w:val="Normal"/>
    <w:autoRedefine/>
    <w:uiPriority w:val="39"/>
    <w:rsid w:val="002A46E8"/>
    <w:pPr>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val="0"/>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styleId="BalloonText">
    <w:name w:val="Balloon Text"/>
    <w:basedOn w:val="Normal"/>
    <w:link w:val="BalloonTextChar"/>
    <w:uiPriority w:val="99"/>
    <w:rsid w:val="0059665F"/>
    <w:rPr>
      <w:rFonts w:ascii="Tahoma" w:hAnsi="Tahoma" w:cs="Tahoma"/>
      <w:sz w:val="16"/>
      <w:szCs w:val="16"/>
    </w:rPr>
  </w:style>
  <w:style w:type="character" w:customStyle="1" w:styleId="BalloonTextChar">
    <w:name w:val="Balloon Text Char"/>
    <w:basedOn w:val="DefaultParagraphFont"/>
    <w:link w:val="BalloonText"/>
    <w:uiPriority w:val="99"/>
    <w:rsid w:val="0059665F"/>
    <w:rPr>
      <w:rFonts w:ascii="Tahoma" w:hAnsi="Tahoma" w:cs="Tahoma"/>
      <w:sz w:val="16"/>
      <w:szCs w:val="16"/>
      <w:lang w:eastAsia="de-DE"/>
    </w:rPr>
  </w:style>
  <w:style w:type="paragraph" w:customStyle="1" w:styleId="MyNormal">
    <w:name w:val="MyNormal"/>
    <w:basedOn w:val="04aNumbering"/>
    <w:link w:val="MyNormalChar"/>
    <w:qFormat/>
    <w:rsid w:val="001A12FC"/>
    <w:pPr>
      <w:tabs>
        <w:tab w:val="clear" w:pos="4679"/>
      </w:tabs>
      <w:ind w:left="567" w:hanging="567"/>
    </w:pPr>
  </w:style>
  <w:style w:type="paragraph" w:customStyle="1" w:styleId="Level1">
    <w:name w:val="Level 1"/>
    <w:basedOn w:val="Normal"/>
    <w:rsid w:val="00A84770"/>
    <w:pPr>
      <w:numPr>
        <w:numId w:val="6"/>
      </w:numPr>
    </w:pPr>
  </w:style>
  <w:style w:type="character" w:customStyle="1" w:styleId="04BodyTextChar">
    <w:name w:val="04_Body Text Char"/>
    <w:basedOn w:val="DefaultParagraphFont"/>
    <w:link w:val="04BodyText"/>
    <w:rsid w:val="00E00C3F"/>
    <w:rPr>
      <w:rFonts w:ascii="Georgia" w:hAnsi="Georgia"/>
      <w:szCs w:val="24"/>
      <w:lang w:eastAsia="de-DE"/>
    </w:rPr>
  </w:style>
  <w:style w:type="character" w:customStyle="1" w:styleId="04aNumberingChar">
    <w:name w:val="04a_Numbering Char"/>
    <w:basedOn w:val="04BodyTextChar"/>
    <w:link w:val="04aNumbering"/>
    <w:uiPriority w:val="99"/>
    <w:rsid w:val="00E00C3F"/>
    <w:rPr>
      <w:rFonts w:ascii="Georgia" w:hAnsi="Georgia"/>
      <w:szCs w:val="24"/>
      <w:lang w:eastAsia="de-DE"/>
    </w:rPr>
  </w:style>
  <w:style w:type="character" w:customStyle="1" w:styleId="MyNormalChar">
    <w:name w:val="MyNormal Char"/>
    <w:basedOn w:val="04aNumberingChar"/>
    <w:link w:val="MyNormal"/>
    <w:rsid w:val="001A12FC"/>
    <w:rPr>
      <w:rFonts w:ascii="Georgia" w:hAnsi="Georgia"/>
      <w:szCs w:val="24"/>
      <w:lang w:eastAsia="de-DE"/>
    </w:rPr>
  </w:style>
  <w:style w:type="paragraph" w:customStyle="1" w:styleId="Level2">
    <w:name w:val="Level 2"/>
    <w:basedOn w:val="Normal"/>
    <w:rsid w:val="00A84770"/>
    <w:pPr>
      <w:numPr>
        <w:ilvl w:val="1"/>
        <w:numId w:val="6"/>
      </w:numPr>
    </w:pPr>
  </w:style>
  <w:style w:type="paragraph" w:customStyle="1" w:styleId="Level3">
    <w:name w:val="Level 3"/>
    <w:basedOn w:val="Normal"/>
    <w:rsid w:val="00A84770"/>
    <w:pPr>
      <w:numPr>
        <w:ilvl w:val="2"/>
        <w:numId w:val="6"/>
      </w:numPr>
    </w:pPr>
  </w:style>
  <w:style w:type="paragraph" w:customStyle="1" w:styleId="Level4">
    <w:name w:val="Level 4"/>
    <w:basedOn w:val="Normal"/>
    <w:rsid w:val="00A84770"/>
    <w:pPr>
      <w:numPr>
        <w:ilvl w:val="3"/>
        <w:numId w:val="6"/>
      </w:numPr>
    </w:pPr>
  </w:style>
  <w:style w:type="paragraph" w:customStyle="1" w:styleId="Level5">
    <w:name w:val="Level 5"/>
    <w:basedOn w:val="Normal"/>
    <w:rsid w:val="00A84770"/>
    <w:pPr>
      <w:numPr>
        <w:ilvl w:val="4"/>
        <w:numId w:val="6"/>
      </w:numPr>
    </w:pPr>
  </w:style>
  <w:style w:type="paragraph" w:customStyle="1" w:styleId="Level6">
    <w:name w:val="Level 6"/>
    <w:basedOn w:val="Normal"/>
    <w:rsid w:val="00A84770"/>
    <w:pPr>
      <w:numPr>
        <w:ilvl w:val="5"/>
        <w:numId w:val="6"/>
      </w:numPr>
    </w:pPr>
  </w:style>
  <w:style w:type="paragraph" w:customStyle="1" w:styleId="MyBullet0">
    <w:name w:val="My Bullet"/>
    <w:basedOn w:val="05aTitle"/>
    <w:link w:val="MyBulletChar"/>
    <w:qFormat/>
    <w:rsid w:val="00DF3BEB"/>
    <w:pPr>
      <w:numPr>
        <w:numId w:val="7"/>
      </w:numPr>
      <w:spacing w:line="276" w:lineRule="auto"/>
      <w:jc w:val="both"/>
    </w:pPr>
    <w:rPr>
      <w:b w:val="0"/>
      <w:sz w:val="20"/>
      <w:szCs w:val="20"/>
    </w:rPr>
  </w:style>
  <w:style w:type="character" w:customStyle="1" w:styleId="MyBulletChar">
    <w:name w:val="My Bullet Char"/>
    <w:link w:val="MyBullet0"/>
    <w:rsid w:val="00DF3BEB"/>
    <w:rPr>
      <w:rFonts w:ascii="Georgia" w:hAnsi="Georgia"/>
      <w:color w:val="000000"/>
      <w:lang w:eastAsia="de-DE"/>
    </w:rPr>
  </w:style>
  <w:style w:type="character" w:customStyle="1" w:styleId="FootnoteTextChar">
    <w:name w:val="Footnote Text Char"/>
    <w:aliases w:val="Car Char"/>
    <w:link w:val="FootnoteText"/>
    <w:uiPriority w:val="99"/>
    <w:rsid w:val="00084648"/>
    <w:rPr>
      <w:rFonts w:ascii="Georgia" w:hAnsi="Georgia"/>
      <w:sz w:val="16"/>
      <w:lang w:eastAsia="de-DE"/>
    </w:rPr>
  </w:style>
  <w:style w:type="paragraph" w:styleId="Caption">
    <w:name w:val="caption"/>
    <w:basedOn w:val="Normal"/>
    <w:next w:val="Normal"/>
    <w:link w:val="CaptionChar"/>
    <w:unhideWhenUsed/>
    <w:qFormat/>
    <w:rsid w:val="009E7A88"/>
    <w:pPr>
      <w:spacing w:after="200"/>
      <w:jc w:val="center"/>
    </w:pPr>
    <w:rPr>
      <w:b/>
      <w:bCs/>
      <w:sz w:val="18"/>
      <w:szCs w:val="18"/>
    </w:rPr>
  </w:style>
  <w:style w:type="paragraph" w:customStyle="1" w:styleId="CM1">
    <w:name w:val="CM1"/>
    <w:basedOn w:val="Normal"/>
    <w:next w:val="Normal"/>
    <w:uiPriority w:val="99"/>
    <w:rsid w:val="008B637C"/>
    <w:pPr>
      <w:autoSpaceDE w:val="0"/>
      <w:autoSpaceDN w:val="0"/>
      <w:adjustRightInd w:val="0"/>
    </w:pPr>
    <w:rPr>
      <w:rFonts w:ascii="EUAlbertina" w:hAnsi="EUAlbertina"/>
      <w:sz w:val="24"/>
      <w:lang w:eastAsia="en-GB"/>
    </w:rPr>
  </w:style>
  <w:style w:type="paragraph" w:customStyle="1" w:styleId="CM3">
    <w:name w:val="CM3"/>
    <w:basedOn w:val="Normal"/>
    <w:next w:val="Normal"/>
    <w:uiPriority w:val="99"/>
    <w:rsid w:val="008B637C"/>
    <w:pPr>
      <w:autoSpaceDE w:val="0"/>
      <w:autoSpaceDN w:val="0"/>
      <w:adjustRightInd w:val="0"/>
    </w:pPr>
    <w:rPr>
      <w:rFonts w:ascii="EUAlbertina" w:hAnsi="EUAlbertina"/>
      <w:sz w:val="24"/>
      <w:lang w:eastAsia="en-GB"/>
    </w:rPr>
  </w:style>
  <w:style w:type="character" w:styleId="CommentReference">
    <w:name w:val="annotation reference"/>
    <w:basedOn w:val="DefaultParagraphFont"/>
    <w:uiPriority w:val="99"/>
    <w:rsid w:val="00C61A11"/>
    <w:rPr>
      <w:sz w:val="16"/>
      <w:szCs w:val="16"/>
    </w:rPr>
  </w:style>
  <w:style w:type="paragraph" w:styleId="CommentText">
    <w:name w:val="annotation text"/>
    <w:basedOn w:val="Normal"/>
    <w:link w:val="CommentTextChar"/>
    <w:uiPriority w:val="99"/>
    <w:rsid w:val="00C61A11"/>
    <w:rPr>
      <w:szCs w:val="20"/>
    </w:rPr>
  </w:style>
  <w:style w:type="character" w:customStyle="1" w:styleId="CommentTextChar">
    <w:name w:val="Comment Text Char"/>
    <w:basedOn w:val="DefaultParagraphFont"/>
    <w:link w:val="CommentText"/>
    <w:uiPriority w:val="99"/>
    <w:rsid w:val="00C61A11"/>
    <w:rPr>
      <w:rFonts w:ascii="Georgia" w:hAnsi="Georgia"/>
      <w:lang w:eastAsia="de-DE"/>
    </w:rPr>
  </w:style>
  <w:style w:type="paragraph" w:styleId="CommentSubject">
    <w:name w:val="annotation subject"/>
    <w:basedOn w:val="CommentText"/>
    <w:next w:val="CommentText"/>
    <w:link w:val="CommentSubjectChar"/>
    <w:uiPriority w:val="99"/>
    <w:rsid w:val="00C61A11"/>
    <w:rPr>
      <w:b/>
      <w:bCs/>
    </w:rPr>
  </w:style>
  <w:style w:type="character" w:customStyle="1" w:styleId="CommentSubjectChar">
    <w:name w:val="Comment Subject Char"/>
    <w:basedOn w:val="CommentTextChar"/>
    <w:link w:val="CommentSubject"/>
    <w:uiPriority w:val="99"/>
    <w:rsid w:val="00C61A11"/>
    <w:rPr>
      <w:rFonts w:ascii="Georgia" w:hAnsi="Georgia"/>
      <w:b/>
      <w:bCs/>
      <w:lang w:eastAsia="de-DE"/>
    </w:rPr>
  </w:style>
  <w:style w:type="paragraph" w:customStyle="1" w:styleId="Style1">
    <w:name w:val="Style1"/>
    <w:basedOn w:val="MyBullet0"/>
    <w:link w:val="Style1Char"/>
    <w:qFormat/>
    <w:rsid w:val="0018532A"/>
    <w:pPr>
      <w:numPr>
        <w:numId w:val="0"/>
      </w:numPr>
    </w:pPr>
    <w:rPr>
      <w:b/>
      <w:i/>
      <w:color w:val="00B050"/>
    </w:rPr>
  </w:style>
  <w:style w:type="character" w:customStyle="1" w:styleId="Style1Char">
    <w:name w:val="Style1 Char"/>
    <w:basedOn w:val="MyBulletChar"/>
    <w:link w:val="Style1"/>
    <w:rsid w:val="0018532A"/>
    <w:rPr>
      <w:rFonts w:ascii="Georgia" w:hAnsi="Georgia"/>
      <w:b/>
      <w:i/>
      <w:color w:val="00B050"/>
      <w:lang w:eastAsia="de-DE"/>
    </w:rPr>
  </w:style>
  <w:style w:type="paragraph" w:customStyle="1" w:styleId="0MyBullet">
    <w:name w:val="0. My Bullet"/>
    <w:basedOn w:val="04bList"/>
    <w:link w:val="0MyBulletChar"/>
    <w:qFormat/>
    <w:rsid w:val="00F1632C"/>
    <w:pPr>
      <w:numPr>
        <w:numId w:val="5"/>
      </w:numPr>
      <w:spacing w:after="0" w:line="360" w:lineRule="auto"/>
    </w:pPr>
  </w:style>
  <w:style w:type="character" w:customStyle="1" w:styleId="0MyBulletChar">
    <w:name w:val="0. My Bullet Char"/>
    <w:link w:val="0MyBullet"/>
    <w:rsid w:val="00F1632C"/>
    <w:rPr>
      <w:rFonts w:ascii="Georgia" w:hAnsi="Georgia"/>
      <w:szCs w:val="24"/>
      <w:lang w:eastAsia="de-DE"/>
    </w:rPr>
  </w:style>
  <w:style w:type="paragraph" w:customStyle="1" w:styleId="Bullet2">
    <w:name w:val="Bullet 2"/>
    <w:basedOn w:val="0MyBullet"/>
    <w:qFormat/>
    <w:rsid w:val="00DF3BEB"/>
    <w:pPr>
      <w:numPr>
        <w:ilvl w:val="1"/>
      </w:numPr>
      <w:tabs>
        <w:tab w:val="num" w:pos="720"/>
      </w:tabs>
      <w:ind w:left="720"/>
    </w:pPr>
  </w:style>
  <w:style w:type="paragraph" w:styleId="ListParagraph">
    <w:name w:val="List Paragraph"/>
    <w:aliases w:val="Paragraphe EI,Paragraphe de liste1,EC,Paragraphe de liste"/>
    <w:basedOn w:val="Normal"/>
    <w:link w:val="ListParagraphChar"/>
    <w:uiPriority w:val="34"/>
    <w:qFormat/>
    <w:rsid w:val="00DF3BEB"/>
    <w:pPr>
      <w:ind w:left="720"/>
      <w:contextualSpacing/>
    </w:pPr>
  </w:style>
  <w:style w:type="paragraph" w:customStyle="1" w:styleId="1MyNormal">
    <w:name w:val="1. My Normal"/>
    <w:basedOn w:val="Normal"/>
    <w:link w:val="1MyNormalChar"/>
    <w:qFormat/>
    <w:rsid w:val="00522AA8"/>
    <w:pPr>
      <w:numPr>
        <w:numId w:val="9"/>
      </w:numPr>
      <w:spacing w:before="120" w:after="240" w:line="276" w:lineRule="auto"/>
      <w:ind w:left="0" w:hanging="567"/>
      <w:jc w:val="both"/>
    </w:pPr>
  </w:style>
  <w:style w:type="character" w:customStyle="1" w:styleId="1MyNormalChar">
    <w:name w:val="1. My Normal Char"/>
    <w:basedOn w:val="DefaultParagraphFont"/>
    <w:link w:val="1MyNormal"/>
    <w:rsid w:val="00522AA8"/>
    <w:rPr>
      <w:rFonts w:ascii="Georgia" w:hAnsi="Georgia"/>
      <w:szCs w:val="24"/>
      <w:lang w:eastAsia="de-DE"/>
    </w:rPr>
  </w:style>
  <w:style w:type="paragraph" w:customStyle="1" w:styleId="footnote">
    <w:name w:val="footnote"/>
    <w:basedOn w:val="CM1"/>
    <w:link w:val="footnoteChar"/>
    <w:qFormat/>
    <w:rsid w:val="00483AAB"/>
    <w:pPr>
      <w:spacing w:before="200" w:after="200"/>
    </w:pPr>
    <w:rPr>
      <w:rFonts w:ascii="Georgia" w:hAnsi="Georgia"/>
      <w:sz w:val="18"/>
      <w:szCs w:val="20"/>
    </w:rPr>
  </w:style>
  <w:style w:type="character" w:customStyle="1" w:styleId="footnoteChar">
    <w:name w:val="footnote Char"/>
    <w:link w:val="footnote"/>
    <w:rsid w:val="00483AAB"/>
    <w:rPr>
      <w:rFonts w:ascii="Georgia" w:hAnsi="Georgia"/>
      <w:sz w:val="18"/>
    </w:rPr>
  </w:style>
  <w:style w:type="paragraph" w:customStyle="1" w:styleId="Default">
    <w:name w:val="Default"/>
    <w:rsid w:val="00CC4F8F"/>
    <w:pPr>
      <w:autoSpaceDE w:val="0"/>
      <w:autoSpaceDN w:val="0"/>
      <w:adjustRightInd w:val="0"/>
    </w:pPr>
    <w:rPr>
      <w:color w:val="000000"/>
      <w:sz w:val="24"/>
      <w:szCs w:val="24"/>
    </w:rPr>
  </w:style>
  <w:style w:type="paragraph" w:customStyle="1" w:styleId="Underlines">
    <w:name w:val="Underlines"/>
    <w:basedOn w:val="MyNormal"/>
    <w:link w:val="UnderlinesChar"/>
    <w:qFormat/>
    <w:rsid w:val="000A3313"/>
    <w:pPr>
      <w:numPr>
        <w:numId w:val="0"/>
      </w:numPr>
    </w:pPr>
    <w:rPr>
      <w:szCs w:val="20"/>
      <w:u w:val="single"/>
    </w:rPr>
  </w:style>
  <w:style w:type="character" w:customStyle="1" w:styleId="UnderlinesChar">
    <w:name w:val="Underlines Char"/>
    <w:basedOn w:val="MyNormalChar"/>
    <w:link w:val="Underlines"/>
    <w:rsid w:val="000A3313"/>
    <w:rPr>
      <w:rFonts w:ascii="Georgia" w:hAnsi="Georgia"/>
      <w:szCs w:val="24"/>
      <w:u w:val="single"/>
      <w:lang w:eastAsia="de-DE"/>
    </w:rPr>
  </w:style>
  <w:style w:type="paragraph" w:customStyle="1" w:styleId="mybullet">
    <w:name w:val="my_bullet"/>
    <w:basedOn w:val="ListParagraph"/>
    <w:qFormat/>
    <w:rsid w:val="00615AA7"/>
    <w:pPr>
      <w:numPr>
        <w:numId w:val="10"/>
      </w:numPr>
      <w:spacing w:before="120" w:after="120" w:line="276" w:lineRule="auto"/>
      <w:jc w:val="both"/>
    </w:pPr>
  </w:style>
  <w:style w:type="character" w:styleId="FollowedHyperlink">
    <w:name w:val="FollowedHyperlink"/>
    <w:basedOn w:val="DefaultParagraphFont"/>
    <w:rsid w:val="00615AA7"/>
    <w:rPr>
      <w:color w:val="800080" w:themeColor="followedHyperlink"/>
      <w:u w:val="single"/>
    </w:rPr>
  </w:style>
  <w:style w:type="paragraph" w:customStyle="1" w:styleId="05Headline1">
    <w:name w:val="05_Headline 1"/>
    <w:basedOn w:val="04BodyText"/>
    <w:rsid w:val="00DB72CA"/>
    <w:pPr>
      <w:spacing w:line="300" w:lineRule="exact"/>
    </w:pPr>
    <w:rPr>
      <w:b/>
      <w:sz w:val="24"/>
    </w:rPr>
  </w:style>
  <w:style w:type="character" w:customStyle="1" w:styleId="st">
    <w:name w:val="st"/>
    <w:basedOn w:val="DefaultParagraphFont"/>
    <w:rsid w:val="00DB72CA"/>
  </w:style>
  <w:style w:type="character" w:customStyle="1" w:styleId="Heading3Char">
    <w:name w:val="Heading 3 Char"/>
    <w:basedOn w:val="DefaultParagraphFont"/>
    <w:link w:val="Heading3"/>
    <w:uiPriority w:val="9"/>
    <w:rsid w:val="00C43890"/>
    <w:rPr>
      <w:rFonts w:ascii="Georgia" w:hAnsi="Georgia"/>
      <w:b/>
      <w:szCs w:val="24"/>
      <w:lang w:eastAsia="de-DE"/>
    </w:rPr>
  </w:style>
  <w:style w:type="paragraph" w:customStyle="1" w:styleId="Normalsanspara">
    <w:name w:val="Normal sans para"/>
    <w:basedOn w:val="1MyNormal"/>
    <w:link w:val="NormalsansparaChar"/>
    <w:qFormat/>
    <w:rsid w:val="00ED0E32"/>
    <w:pPr>
      <w:numPr>
        <w:numId w:val="0"/>
      </w:numPr>
    </w:pPr>
    <w:rPr>
      <w:szCs w:val="20"/>
      <w:u w:val="single"/>
    </w:rPr>
  </w:style>
  <w:style w:type="character" w:customStyle="1" w:styleId="NormalsansparaChar">
    <w:name w:val="Normal sans para Char"/>
    <w:link w:val="Normalsanspara"/>
    <w:rsid w:val="00ED0E32"/>
    <w:rPr>
      <w:rFonts w:ascii="Georgia" w:hAnsi="Georgia"/>
      <w:u w:val="single"/>
      <w:lang w:eastAsia="de-DE"/>
    </w:rPr>
  </w:style>
  <w:style w:type="paragraph" w:customStyle="1" w:styleId="Style2">
    <w:name w:val="Style2"/>
    <w:basedOn w:val="04BodyText"/>
    <w:link w:val="Style2Char"/>
    <w:qFormat/>
    <w:rsid w:val="00BE4C34"/>
    <w:pPr>
      <w:numPr>
        <w:numId w:val="26"/>
      </w:numPr>
    </w:pPr>
  </w:style>
  <w:style w:type="paragraph" w:customStyle="1" w:styleId="Style3">
    <w:name w:val="Style3"/>
    <w:basedOn w:val="04BodyText"/>
    <w:link w:val="Style3Char"/>
    <w:qFormat/>
    <w:rsid w:val="00FD70AA"/>
    <w:pPr>
      <w:numPr>
        <w:numId w:val="12"/>
      </w:numPr>
      <w:ind w:left="426" w:hanging="426"/>
    </w:pPr>
  </w:style>
  <w:style w:type="character" w:customStyle="1" w:styleId="Style2Char">
    <w:name w:val="Style2 Char"/>
    <w:basedOn w:val="04BodyTextChar"/>
    <w:link w:val="Style2"/>
    <w:rsid w:val="00BE4C34"/>
    <w:rPr>
      <w:rFonts w:ascii="Georgia" w:hAnsi="Georgia"/>
      <w:szCs w:val="24"/>
      <w:lang w:eastAsia="de-DE"/>
    </w:rPr>
  </w:style>
  <w:style w:type="character" w:customStyle="1" w:styleId="Style3Char">
    <w:name w:val="Style3 Char"/>
    <w:basedOn w:val="04BodyTextChar"/>
    <w:link w:val="Style3"/>
    <w:rsid w:val="00FD70AA"/>
    <w:rPr>
      <w:rFonts w:ascii="Georgia" w:hAnsi="Georgia"/>
      <w:szCs w:val="24"/>
      <w:lang w:eastAsia="de-DE"/>
    </w:rPr>
  </w:style>
  <w:style w:type="character" w:customStyle="1" w:styleId="ListParagraphChar">
    <w:name w:val="List Paragraph Char"/>
    <w:aliases w:val="Paragraphe EI Char,Paragraphe de liste1 Char,EC Char,Paragraphe de liste Char"/>
    <w:link w:val="ListParagraph"/>
    <w:uiPriority w:val="34"/>
    <w:rsid w:val="004D19C2"/>
    <w:rPr>
      <w:rFonts w:ascii="Georgia" w:hAnsi="Georgia"/>
      <w:sz w:val="22"/>
      <w:szCs w:val="24"/>
      <w:lang w:eastAsia="de-DE"/>
    </w:rPr>
  </w:style>
  <w:style w:type="character" w:styleId="Strong">
    <w:name w:val="Strong"/>
    <w:basedOn w:val="DefaultParagraphFont"/>
    <w:uiPriority w:val="22"/>
    <w:qFormat/>
    <w:rsid w:val="00A1073B"/>
    <w:rPr>
      <w:b/>
      <w:bCs/>
    </w:rPr>
  </w:style>
  <w:style w:type="paragraph" w:customStyle="1" w:styleId="04aNumeration">
    <w:name w:val="04a_Numeration"/>
    <w:basedOn w:val="04BodyText"/>
    <w:link w:val="04aNumerationChar"/>
    <w:rsid w:val="00036907"/>
    <w:pPr>
      <w:tabs>
        <w:tab w:val="num" w:pos="284"/>
      </w:tabs>
      <w:ind w:left="284" w:hanging="284"/>
    </w:pPr>
  </w:style>
  <w:style w:type="character" w:customStyle="1" w:styleId="04aNumerationChar">
    <w:name w:val="04a_Numeration Char"/>
    <w:basedOn w:val="04BodyTextChar"/>
    <w:link w:val="04aNumeration"/>
    <w:rsid w:val="00036907"/>
    <w:rPr>
      <w:rFonts w:ascii="Georgia" w:hAnsi="Georgia"/>
      <w:szCs w:val="24"/>
      <w:lang w:eastAsia="de-DE"/>
    </w:rPr>
  </w:style>
  <w:style w:type="paragraph" w:styleId="EndnoteText">
    <w:name w:val="endnote text"/>
    <w:basedOn w:val="Normal"/>
    <w:link w:val="EndnoteTextChar"/>
    <w:rsid w:val="003A5A08"/>
    <w:rPr>
      <w:szCs w:val="20"/>
    </w:rPr>
  </w:style>
  <w:style w:type="character" w:customStyle="1" w:styleId="EndnoteTextChar">
    <w:name w:val="Endnote Text Char"/>
    <w:basedOn w:val="DefaultParagraphFont"/>
    <w:link w:val="EndnoteText"/>
    <w:rsid w:val="003A5A08"/>
    <w:rPr>
      <w:rFonts w:ascii="Georgia" w:hAnsi="Georgia"/>
      <w:lang w:eastAsia="de-DE"/>
    </w:rPr>
  </w:style>
  <w:style w:type="character" w:styleId="EndnoteReference">
    <w:name w:val="endnote reference"/>
    <w:basedOn w:val="DefaultParagraphFont"/>
    <w:rsid w:val="003A5A08"/>
    <w:rPr>
      <w:vertAlign w:val="superscript"/>
    </w:rPr>
  </w:style>
  <w:style w:type="paragraph" w:customStyle="1" w:styleId="MYNORMAL0">
    <w:name w:val="MYNORMAL"/>
    <w:basedOn w:val="04aNumbering"/>
    <w:link w:val="MYNORMALChar0"/>
    <w:qFormat/>
    <w:rsid w:val="00230601"/>
    <w:pPr>
      <w:tabs>
        <w:tab w:val="clear" w:pos="4679"/>
      </w:tabs>
      <w:ind w:left="567" w:hanging="567"/>
    </w:pPr>
  </w:style>
  <w:style w:type="character" w:customStyle="1" w:styleId="MYNORMALChar0">
    <w:name w:val="MYNORMAL Char"/>
    <w:basedOn w:val="04aNumberingChar"/>
    <w:link w:val="MYNORMAL0"/>
    <w:rsid w:val="00230601"/>
    <w:rPr>
      <w:rFonts w:ascii="Georgia" w:hAnsi="Georgia"/>
      <w:szCs w:val="24"/>
      <w:lang w:eastAsia="de-DE"/>
    </w:rPr>
  </w:style>
  <w:style w:type="paragraph" w:customStyle="1" w:styleId="myNormal1">
    <w:name w:val="myNormal"/>
    <w:basedOn w:val="04aNumbering"/>
    <w:link w:val="myNormalChar1"/>
    <w:qFormat/>
    <w:rsid w:val="006537A8"/>
  </w:style>
  <w:style w:type="character" w:customStyle="1" w:styleId="myNormalChar1">
    <w:name w:val="myNormal Char"/>
    <w:basedOn w:val="04aNumberingChar"/>
    <w:link w:val="myNormal1"/>
    <w:rsid w:val="006537A8"/>
    <w:rPr>
      <w:rFonts w:ascii="Georgia" w:hAnsi="Georgia"/>
      <w:szCs w:val="24"/>
      <w:lang w:eastAsia="de-DE"/>
    </w:rPr>
  </w:style>
  <w:style w:type="character" w:customStyle="1" w:styleId="apple-converted-space">
    <w:name w:val="apple-converted-space"/>
    <w:basedOn w:val="DefaultParagraphFont"/>
    <w:rsid w:val="00AB592E"/>
  </w:style>
  <w:style w:type="paragraph" w:styleId="TOC3">
    <w:name w:val="toc 3"/>
    <w:basedOn w:val="Normal"/>
    <w:next w:val="Normal"/>
    <w:autoRedefine/>
    <w:uiPriority w:val="39"/>
    <w:rsid w:val="0073272F"/>
    <w:pPr>
      <w:spacing w:after="100"/>
      <w:ind w:left="440"/>
    </w:pPr>
  </w:style>
  <w:style w:type="character" w:styleId="PlaceholderText">
    <w:name w:val="Placeholder Text"/>
    <w:basedOn w:val="DefaultParagraphFont"/>
    <w:uiPriority w:val="99"/>
    <w:semiHidden/>
    <w:rsid w:val="00E06635"/>
    <w:rPr>
      <w:color w:val="808080"/>
    </w:rPr>
  </w:style>
  <w:style w:type="paragraph" w:customStyle="1" w:styleId="MyAStyle">
    <w:name w:val="MyAStyle"/>
    <w:basedOn w:val="Normal"/>
    <w:link w:val="MyAStyleChar"/>
    <w:qFormat/>
    <w:rsid w:val="00A076B0"/>
    <w:pPr>
      <w:spacing w:before="120" w:after="120"/>
      <w:ind w:left="1134" w:hanging="425"/>
      <w:jc w:val="both"/>
    </w:pPr>
    <w:rPr>
      <w:rFonts w:ascii="Times New Roman" w:hAnsi="Times New Roman"/>
      <w:noProof/>
      <w:color w:val="000000"/>
      <w:sz w:val="24"/>
      <w:lang w:eastAsia="en-US"/>
    </w:rPr>
  </w:style>
  <w:style w:type="paragraph" w:customStyle="1" w:styleId="MyStyleII">
    <w:name w:val="MyStyleII"/>
    <w:basedOn w:val="MyAStyle"/>
    <w:link w:val="MyStyleIIChar"/>
    <w:qFormat/>
    <w:rsid w:val="00A076B0"/>
    <w:pPr>
      <w:ind w:left="1985" w:hanging="284"/>
    </w:pPr>
  </w:style>
  <w:style w:type="paragraph" w:styleId="Revision">
    <w:name w:val="Revision"/>
    <w:hidden/>
    <w:uiPriority w:val="99"/>
    <w:semiHidden/>
    <w:rsid w:val="00D821E8"/>
    <w:rPr>
      <w:rFonts w:ascii="Georgia" w:hAnsi="Georgia"/>
      <w:sz w:val="22"/>
      <w:szCs w:val="24"/>
      <w:lang w:eastAsia="de-DE"/>
    </w:rPr>
  </w:style>
  <w:style w:type="character" w:customStyle="1" w:styleId="MyAStyleChar">
    <w:name w:val="MyAStyle Char"/>
    <w:link w:val="MyAStyle"/>
    <w:rsid w:val="004D1D07"/>
    <w:rPr>
      <w:noProof/>
      <w:color w:val="000000"/>
      <w:sz w:val="24"/>
      <w:szCs w:val="24"/>
      <w:lang w:eastAsia="en-US"/>
    </w:rPr>
  </w:style>
  <w:style w:type="paragraph" w:styleId="DocumentMap">
    <w:name w:val="Document Map"/>
    <w:basedOn w:val="Normal"/>
    <w:link w:val="DocumentMapChar"/>
    <w:uiPriority w:val="99"/>
    <w:rsid w:val="00D77242"/>
    <w:rPr>
      <w:rFonts w:ascii="Lucida Grande" w:hAnsi="Lucida Grande" w:cs="Lucida Grande"/>
      <w:sz w:val="24"/>
    </w:rPr>
  </w:style>
  <w:style w:type="character" w:customStyle="1" w:styleId="DocumentMapChar">
    <w:name w:val="Document Map Char"/>
    <w:basedOn w:val="DefaultParagraphFont"/>
    <w:link w:val="DocumentMap"/>
    <w:uiPriority w:val="99"/>
    <w:rsid w:val="00D77242"/>
    <w:rPr>
      <w:rFonts w:ascii="Lucida Grande" w:hAnsi="Lucida Grande" w:cs="Lucida Grande"/>
      <w:sz w:val="24"/>
      <w:szCs w:val="24"/>
      <w:lang w:eastAsia="de-DE"/>
    </w:rPr>
  </w:style>
  <w:style w:type="paragraph" w:customStyle="1" w:styleId="ANNEX">
    <w:name w:val="ANNEX"/>
    <w:basedOn w:val="Caption"/>
    <w:link w:val="ANNEXChar"/>
    <w:qFormat/>
    <w:rsid w:val="00E94E78"/>
    <w:pPr>
      <w:jc w:val="left"/>
    </w:pPr>
    <w:rPr>
      <w:sz w:val="28"/>
    </w:rPr>
  </w:style>
  <w:style w:type="character" w:customStyle="1" w:styleId="CaptionChar">
    <w:name w:val="Caption Char"/>
    <w:basedOn w:val="DefaultParagraphFont"/>
    <w:link w:val="Caption"/>
    <w:rsid w:val="00E94E78"/>
    <w:rPr>
      <w:rFonts w:ascii="Georgia" w:hAnsi="Georgia"/>
      <w:b/>
      <w:bCs/>
      <w:sz w:val="18"/>
      <w:szCs w:val="18"/>
      <w:lang w:eastAsia="de-DE"/>
    </w:rPr>
  </w:style>
  <w:style w:type="character" w:customStyle="1" w:styleId="ANNEXChar">
    <w:name w:val="ANNEX Char"/>
    <w:basedOn w:val="CaptionChar"/>
    <w:link w:val="ANNEX"/>
    <w:rsid w:val="00E94E78"/>
    <w:rPr>
      <w:rFonts w:ascii="Georgia" w:hAnsi="Georgia"/>
      <w:b/>
      <w:bCs/>
      <w:sz w:val="28"/>
      <w:szCs w:val="18"/>
      <w:lang w:eastAsia="de-DE"/>
    </w:rPr>
  </w:style>
  <w:style w:type="paragraph" w:customStyle="1" w:styleId="MyBullet1">
    <w:name w:val="MyBullet"/>
    <w:basedOn w:val="ListParagraph"/>
    <w:link w:val="MyBulletChar0"/>
    <w:qFormat/>
    <w:rsid w:val="000D6BCE"/>
    <w:pPr>
      <w:numPr>
        <w:numId w:val="22"/>
      </w:numPr>
      <w:spacing w:before="240" w:line="276" w:lineRule="auto"/>
      <w:ind w:left="1134" w:hanging="425"/>
      <w:jc w:val="both"/>
    </w:pPr>
  </w:style>
  <w:style w:type="character" w:customStyle="1" w:styleId="MyBulletChar0">
    <w:name w:val="MyBullet Char"/>
    <w:basedOn w:val="ListParagraphChar"/>
    <w:link w:val="MyBullet1"/>
    <w:rsid w:val="000D6BCE"/>
    <w:rPr>
      <w:rFonts w:ascii="Georgia" w:hAnsi="Georgia"/>
      <w:sz w:val="22"/>
      <w:szCs w:val="24"/>
      <w:lang w:eastAsia="de-DE"/>
    </w:rPr>
  </w:style>
  <w:style w:type="paragraph" w:customStyle="1" w:styleId="myBullet2">
    <w:name w:val="myBullet"/>
    <w:basedOn w:val="ListParagraph"/>
    <w:link w:val="myBulletChar1"/>
    <w:qFormat/>
    <w:rsid w:val="000D6BCE"/>
    <w:pPr>
      <w:numPr>
        <w:numId w:val="23"/>
      </w:numPr>
      <w:spacing w:line="276" w:lineRule="auto"/>
    </w:pPr>
  </w:style>
  <w:style w:type="character" w:customStyle="1" w:styleId="myBulletChar1">
    <w:name w:val="myBullet Char"/>
    <w:basedOn w:val="ListParagraphChar"/>
    <w:link w:val="myBullet2"/>
    <w:rsid w:val="000D6BCE"/>
    <w:rPr>
      <w:rFonts w:ascii="Georgia" w:hAnsi="Georgia"/>
      <w:sz w:val="22"/>
      <w:szCs w:val="24"/>
      <w:lang w:eastAsia="de-DE"/>
    </w:rPr>
  </w:style>
  <w:style w:type="paragraph" w:customStyle="1" w:styleId="myMINItable">
    <w:name w:val="my MINI table"/>
    <w:basedOn w:val="MyNormal"/>
    <w:link w:val="myMINItableChar"/>
    <w:qFormat/>
    <w:rsid w:val="008241A9"/>
    <w:pPr>
      <w:numPr>
        <w:numId w:val="0"/>
      </w:numPr>
      <w:spacing w:before="120" w:after="120"/>
      <w:ind w:left="113"/>
    </w:pPr>
    <w:rPr>
      <w:sz w:val="18"/>
      <w:szCs w:val="18"/>
    </w:rPr>
  </w:style>
  <w:style w:type="character" w:customStyle="1" w:styleId="myMINItableChar">
    <w:name w:val="my MINI table Char"/>
    <w:link w:val="myMINItable"/>
    <w:rsid w:val="008241A9"/>
    <w:rPr>
      <w:rFonts w:ascii="Georgia" w:hAnsi="Georgia"/>
      <w:sz w:val="18"/>
      <w:szCs w:val="18"/>
      <w:lang w:eastAsia="de-DE"/>
    </w:rPr>
  </w:style>
  <w:style w:type="paragraph" w:customStyle="1" w:styleId="TOCHeading1">
    <w:name w:val="TOC Heading1"/>
    <w:basedOn w:val="Normal"/>
    <w:next w:val="Normal"/>
    <w:qFormat/>
    <w:rsid w:val="004E0BAC"/>
    <w:pPr>
      <w:spacing w:before="120" w:after="240"/>
      <w:jc w:val="center"/>
    </w:pPr>
    <w:rPr>
      <w:rFonts w:ascii="Times New Roman" w:hAnsi="Times New Roman"/>
      <w:b/>
      <w:sz w:val="28"/>
      <w:lang w:eastAsia="en-US"/>
    </w:rPr>
  </w:style>
  <w:style w:type="paragraph" w:customStyle="1" w:styleId="Datedadoption">
    <w:name w:val="Date d'adoption"/>
    <w:basedOn w:val="Normal"/>
    <w:next w:val="Titreobjet"/>
    <w:rsid w:val="004E0BAC"/>
    <w:pPr>
      <w:spacing w:before="360"/>
      <w:jc w:val="center"/>
    </w:pPr>
    <w:rPr>
      <w:rFonts w:ascii="Times New Roman" w:hAnsi="Times New Roman"/>
      <w:b/>
      <w:sz w:val="24"/>
      <w:lang w:eastAsia="en-US"/>
    </w:rPr>
  </w:style>
  <w:style w:type="paragraph" w:customStyle="1" w:styleId="Titreobjet">
    <w:name w:val="Titre objet"/>
    <w:basedOn w:val="Normal"/>
    <w:next w:val="Normal"/>
    <w:rsid w:val="004E0BAC"/>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4E0BAC"/>
    <w:pPr>
      <w:spacing w:before="360"/>
      <w:jc w:val="center"/>
    </w:pPr>
    <w:rPr>
      <w:rFonts w:ascii="Times New Roman" w:hAnsi="Times New Roman"/>
      <w:b/>
      <w:sz w:val="24"/>
      <w:lang w:eastAsia="en-US"/>
    </w:rPr>
  </w:style>
  <w:style w:type="paragraph" w:customStyle="1" w:styleId="Recital">
    <w:name w:val="Recital"/>
    <w:basedOn w:val="Style2"/>
    <w:link w:val="RecitalChar"/>
    <w:qFormat/>
    <w:rsid w:val="00435A3F"/>
  </w:style>
  <w:style w:type="paragraph" w:customStyle="1" w:styleId="Recital1">
    <w:name w:val="Recital 1"/>
    <w:basedOn w:val="Recital"/>
    <w:link w:val="Recital1Char"/>
    <w:qFormat/>
    <w:rsid w:val="00435A3F"/>
    <w:pPr>
      <w:numPr>
        <w:numId w:val="30"/>
      </w:numPr>
      <w:ind w:hanging="720"/>
    </w:pPr>
    <w:rPr>
      <w:rFonts w:ascii="Times New Roman" w:hAnsi="Times New Roman"/>
      <w:sz w:val="24"/>
    </w:rPr>
  </w:style>
  <w:style w:type="character" w:customStyle="1" w:styleId="RecitalChar">
    <w:name w:val="Recital Char"/>
    <w:basedOn w:val="Style2Char"/>
    <w:link w:val="Recital"/>
    <w:rsid w:val="00435A3F"/>
    <w:rPr>
      <w:rFonts w:ascii="Georgia" w:hAnsi="Georgia"/>
      <w:szCs w:val="24"/>
      <w:lang w:eastAsia="de-DE"/>
    </w:rPr>
  </w:style>
  <w:style w:type="paragraph" w:customStyle="1" w:styleId="Formuledadoption">
    <w:name w:val="Formule d'adoption"/>
    <w:basedOn w:val="Normal"/>
    <w:next w:val="Normal"/>
    <w:rsid w:val="006808FD"/>
    <w:pPr>
      <w:keepNext/>
      <w:spacing w:before="120" w:after="120"/>
      <w:jc w:val="both"/>
    </w:pPr>
    <w:rPr>
      <w:rFonts w:ascii="Times New Roman" w:hAnsi="Times New Roman"/>
      <w:sz w:val="24"/>
      <w:lang w:eastAsia="en-US"/>
    </w:rPr>
  </w:style>
  <w:style w:type="character" w:customStyle="1" w:styleId="Recital1Char">
    <w:name w:val="Recital 1 Char"/>
    <w:basedOn w:val="RecitalChar"/>
    <w:link w:val="Recital1"/>
    <w:rsid w:val="00435A3F"/>
    <w:rPr>
      <w:rFonts w:ascii="Georgia" w:hAnsi="Georgia"/>
      <w:sz w:val="24"/>
      <w:szCs w:val="24"/>
      <w:lang w:eastAsia="de-DE"/>
    </w:rPr>
  </w:style>
  <w:style w:type="paragraph" w:customStyle="1" w:styleId="DatedadoptionPagedecouverture">
    <w:name w:val="Date d'adoption (Page de couverture)"/>
    <w:basedOn w:val="Datedadoption"/>
    <w:next w:val="Normal"/>
    <w:rsid w:val="006808FD"/>
  </w:style>
  <w:style w:type="character" w:styleId="Emphasis">
    <w:name w:val="Emphasis"/>
    <w:basedOn w:val="DefaultParagraphFont"/>
    <w:qFormat/>
    <w:rsid w:val="006808FD"/>
    <w:rPr>
      <w:i/>
      <w:iCs/>
    </w:rPr>
  </w:style>
  <w:style w:type="character" w:customStyle="1" w:styleId="MyStyleIIChar">
    <w:name w:val="MyStyleII Char"/>
    <w:link w:val="MyStyleII"/>
    <w:rsid w:val="00126153"/>
    <w:rPr>
      <w:noProof/>
      <w:color w:val="000000"/>
      <w:sz w:val="24"/>
      <w:szCs w:val="24"/>
      <w:lang w:eastAsia="en-US"/>
    </w:rPr>
  </w:style>
  <w:style w:type="paragraph" w:customStyle="1" w:styleId="ManualNumPar3">
    <w:name w:val="Manual NumPar 3"/>
    <w:basedOn w:val="Normal"/>
    <w:next w:val="Normal"/>
    <w:rsid w:val="00B75E82"/>
    <w:pPr>
      <w:spacing w:before="120" w:after="120"/>
      <w:ind w:left="850" w:hanging="850"/>
      <w:jc w:val="both"/>
    </w:pPr>
    <w:rPr>
      <w:rFonts w:ascii="Times New Roman" w:hAnsi="Times New Roman"/>
      <w:sz w:val="24"/>
      <w:lang w:eastAsia="en-US"/>
    </w:rPr>
  </w:style>
  <w:style w:type="paragraph" w:customStyle="1" w:styleId="Institutionquisigne">
    <w:name w:val="Institution qui signe"/>
    <w:basedOn w:val="Normal"/>
    <w:next w:val="Personnequisigne"/>
    <w:rsid w:val="00715557"/>
    <w:pPr>
      <w:keepNext/>
      <w:tabs>
        <w:tab w:val="left" w:pos="4252"/>
      </w:tabs>
      <w:spacing w:before="720"/>
      <w:jc w:val="both"/>
    </w:pPr>
    <w:rPr>
      <w:rFonts w:ascii="Times New Roman" w:hAnsi="Times New Roman"/>
      <w:i/>
      <w:sz w:val="24"/>
      <w:lang w:eastAsia="en-US"/>
    </w:rPr>
  </w:style>
  <w:style w:type="paragraph" w:customStyle="1" w:styleId="Personnequisigne">
    <w:name w:val="Personne qui signe"/>
    <w:basedOn w:val="Normal"/>
    <w:next w:val="Institutionquisigne"/>
    <w:rsid w:val="00715557"/>
    <w:pPr>
      <w:tabs>
        <w:tab w:val="left" w:pos="4252"/>
      </w:tabs>
    </w:pPr>
    <w:rPr>
      <w:rFonts w:ascii="Times New Roman" w:hAnsi="Times New Roman"/>
      <w:i/>
      <w:sz w:val="24"/>
      <w:lang w:eastAsia="en-US"/>
    </w:rPr>
  </w:style>
  <w:style w:type="paragraph" w:customStyle="1" w:styleId="05aHeadline2">
    <w:name w:val="05a_Headline 2"/>
    <w:basedOn w:val="05Headline1"/>
    <w:next w:val="04BodyText"/>
    <w:rsid w:val="00EE5C4E"/>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EE5C4E"/>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EE5C4E"/>
    <w:pPr>
      <w:pBdr>
        <w:bottom w:val="single" w:sz="4" w:space="12" w:color="283583"/>
      </w:pBdr>
    </w:pPr>
    <w:rPr>
      <w:color w:val="2D4190"/>
    </w:rPr>
  </w:style>
  <w:style w:type="paragraph" w:customStyle="1" w:styleId="04cBodytextleft">
    <w:name w:val="04c_Body text left"/>
    <w:basedOn w:val="04BodyText"/>
    <w:rsid w:val="00EE5C4E"/>
    <w:pPr>
      <w:spacing w:after="0"/>
      <w:jc w:val="left"/>
    </w:pPr>
  </w:style>
  <w:style w:type="paragraph" w:customStyle="1" w:styleId="Style04RunningTextBold">
    <w:name w:val="Style 04_Running Text + Bold"/>
    <w:basedOn w:val="04BodyText"/>
    <w:rsid w:val="00EE5C4E"/>
    <w:pPr>
      <w:keepNext/>
    </w:pPr>
    <w:rPr>
      <w:b/>
      <w:bCs/>
    </w:rPr>
  </w:style>
  <w:style w:type="character" w:customStyle="1" w:styleId="Heading1Char">
    <w:name w:val="Heading 1 Char"/>
    <w:link w:val="Heading1"/>
    <w:uiPriority w:val="9"/>
    <w:rsid w:val="00EE5C4E"/>
    <w:rPr>
      <w:rFonts w:ascii="Georgia" w:hAnsi="Georgia"/>
      <w:b/>
      <w:szCs w:val="24"/>
      <w:lang w:eastAsia="de-DE"/>
    </w:rPr>
  </w:style>
  <w:style w:type="paragraph" w:styleId="TOCHeading">
    <w:name w:val="TOC Heading"/>
    <w:basedOn w:val="Heading1"/>
    <w:next w:val="Normal"/>
    <w:uiPriority w:val="39"/>
    <w:semiHidden/>
    <w:unhideWhenUsed/>
    <w:qFormat/>
    <w:rsid w:val="00EE5C4E"/>
    <w:pPr>
      <w:keepLines/>
      <w:tabs>
        <w:tab w:val="clear" w:pos="284"/>
        <w:tab w:val="clear" w:pos="397"/>
      </w:tabs>
      <w:spacing w:before="480" w:after="0" w:line="276" w:lineRule="auto"/>
      <w:ind w:left="432"/>
      <w:jc w:val="left"/>
      <w:outlineLvl w:val="9"/>
    </w:pPr>
    <w:rPr>
      <w:rFonts w:ascii="Cambria" w:hAnsi="Cambria"/>
      <w:bCs/>
      <w:color w:val="365F91"/>
      <w:sz w:val="28"/>
      <w:szCs w:val="28"/>
      <w:lang w:val="pl-PL" w:eastAsia="en-US"/>
    </w:rPr>
  </w:style>
  <w:style w:type="character" w:customStyle="1" w:styleId="HeaderChar">
    <w:name w:val="Header Char"/>
    <w:link w:val="Header"/>
    <w:rsid w:val="00EE5C4E"/>
    <w:rPr>
      <w:rFonts w:ascii="Georgia" w:hAnsi="Georgia"/>
      <w:sz w:val="22"/>
      <w:szCs w:val="24"/>
      <w:lang w:eastAsia="de-DE"/>
    </w:rPr>
  </w:style>
  <w:style w:type="character" w:customStyle="1" w:styleId="FooterChar">
    <w:name w:val="Footer Char"/>
    <w:link w:val="Footer"/>
    <w:uiPriority w:val="99"/>
    <w:rsid w:val="00EE5C4E"/>
    <w:rPr>
      <w:rFonts w:ascii="Georgia" w:hAnsi="Georgia"/>
      <w:sz w:val="22"/>
      <w:szCs w:val="24"/>
      <w:lang w:eastAsia="de-DE"/>
    </w:rPr>
  </w:style>
  <w:style w:type="character" w:customStyle="1" w:styleId="Heading2Char">
    <w:name w:val="Heading 2 Char"/>
    <w:link w:val="Heading2"/>
    <w:uiPriority w:val="9"/>
    <w:rsid w:val="00EE5C4E"/>
    <w:rPr>
      <w:rFonts w:ascii="Georgia" w:hAnsi="Georgia"/>
      <w:b/>
      <w:szCs w:val="24"/>
      <w:lang w:eastAsia="de-DE"/>
    </w:rPr>
  </w:style>
  <w:style w:type="table" w:styleId="LightGrid-Accent11">
    <w:name w:val="Light Grid Accent 1"/>
    <w:basedOn w:val="TableNormal"/>
    <w:uiPriority w:val="62"/>
    <w:rsid w:val="00EE5C4E"/>
    <w:rPr>
      <w:rFonts w:ascii="Calibri" w:hAnsi="Calibr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List-Accent11">
    <w:name w:val="Light List Accent 1"/>
    <w:basedOn w:val="TableNormal"/>
    <w:uiPriority w:val="61"/>
    <w:rsid w:val="00EE5C4E"/>
    <w:rPr>
      <w:rFonts w:ascii="Calibri" w:hAnsi="Calibr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1-Accent11">
    <w:name w:val="Medium Shading 1 Accent 1"/>
    <w:basedOn w:val="TableNormal"/>
    <w:uiPriority w:val="63"/>
    <w:rsid w:val="00EE5C4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bodytext">
    <w:name w:val="bodytext"/>
    <w:basedOn w:val="Normal"/>
    <w:rsid w:val="00EE5C4E"/>
    <w:pPr>
      <w:spacing w:after="120" w:line="420" w:lineRule="atLeast"/>
    </w:pPr>
    <w:rPr>
      <w:rFonts w:ascii="Times New Roman" w:hAnsi="Times New Roman"/>
      <w:sz w:val="24"/>
      <w:lang w:eastAsia="en-GB"/>
    </w:rPr>
  </w:style>
  <w:style w:type="paragraph" w:customStyle="1" w:styleId="MyUnderline">
    <w:name w:val="MyUnderline"/>
    <w:basedOn w:val="Normal"/>
    <w:link w:val="MyUnderlineChar"/>
    <w:qFormat/>
    <w:rsid w:val="00EE5C4E"/>
    <w:pPr>
      <w:spacing w:before="240" w:after="240"/>
      <w:jc w:val="both"/>
    </w:pPr>
    <w:rPr>
      <w:b/>
      <w:szCs w:val="20"/>
      <w:u w:val="single"/>
    </w:rPr>
  </w:style>
  <w:style w:type="character" w:customStyle="1" w:styleId="MyUnderlineChar">
    <w:name w:val="MyUnderline Char"/>
    <w:basedOn w:val="DefaultParagraphFont"/>
    <w:link w:val="MyUnderline"/>
    <w:rsid w:val="00EE5C4E"/>
    <w:rPr>
      <w:rFonts w:ascii="Georgia" w:hAnsi="Georgia"/>
      <w:b/>
      <w:u w:val="single"/>
      <w:lang w:eastAsia="de-DE"/>
    </w:rPr>
  </w:style>
  <w:style w:type="paragraph" w:customStyle="1" w:styleId="Questions">
    <w:name w:val="Questions"/>
    <w:basedOn w:val="Caption"/>
    <w:link w:val="QuestionsChar"/>
    <w:qFormat/>
    <w:rsid w:val="005750B3"/>
    <w:pPr>
      <w:jc w:val="both"/>
    </w:pPr>
  </w:style>
  <w:style w:type="character" w:customStyle="1" w:styleId="QuestionsChar">
    <w:name w:val="Questions Char"/>
    <w:basedOn w:val="CaptionChar"/>
    <w:link w:val="Questions"/>
    <w:rsid w:val="005750B3"/>
    <w:rPr>
      <w:rFonts w:ascii="Georgia" w:hAnsi="Georgia"/>
      <w:b/>
      <w:bCs/>
      <w:sz w:val="18"/>
      <w:szCs w:val="18"/>
      <w:lang w:eastAsia="de-DE"/>
    </w:rPr>
  </w:style>
  <w:style w:type="paragraph" w:styleId="NormalWeb">
    <w:name w:val="Normal (Web)"/>
    <w:basedOn w:val="Normal"/>
    <w:uiPriority w:val="99"/>
    <w:unhideWhenUsed/>
    <w:rsid w:val="009E685C"/>
    <w:pPr>
      <w:spacing w:before="100" w:beforeAutospacing="1" w:after="100" w:afterAutospacing="1"/>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5159">
      <w:bodyDiv w:val="1"/>
      <w:marLeft w:val="0"/>
      <w:marRight w:val="0"/>
      <w:marTop w:val="0"/>
      <w:marBottom w:val="0"/>
      <w:divBdr>
        <w:top w:val="none" w:sz="0" w:space="0" w:color="auto"/>
        <w:left w:val="none" w:sz="0" w:space="0" w:color="auto"/>
        <w:bottom w:val="none" w:sz="0" w:space="0" w:color="auto"/>
        <w:right w:val="none" w:sz="0" w:space="0" w:color="auto"/>
      </w:divBdr>
    </w:div>
    <w:div w:id="30494419">
      <w:bodyDiv w:val="1"/>
      <w:marLeft w:val="0"/>
      <w:marRight w:val="0"/>
      <w:marTop w:val="0"/>
      <w:marBottom w:val="0"/>
      <w:divBdr>
        <w:top w:val="none" w:sz="0" w:space="0" w:color="auto"/>
        <w:left w:val="none" w:sz="0" w:space="0" w:color="auto"/>
        <w:bottom w:val="none" w:sz="0" w:space="0" w:color="auto"/>
        <w:right w:val="none" w:sz="0" w:space="0" w:color="auto"/>
      </w:divBdr>
    </w:div>
    <w:div w:id="50467441">
      <w:bodyDiv w:val="1"/>
      <w:marLeft w:val="0"/>
      <w:marRight w:val="0"/>
      <w:marTop w:val="0"/>
      <w:marBottom w:val="0"/>
      <w:divBdr>
        <w:top w:val="none" w:sz="0" w:space="0" w:color="auto"/>
        <w:left w:val="none" w:sz="0" w:space="0" w:color="auto"/>
        <w:bottom w:val="none" w:sz="0" w:space="0" w:color="auto"/>
        <w:right w:val="none" w:sz="0" w:space="0" w:color="auto"/>
      </w:divBdr>
    </w:div>
    <w:div w:id="322707649">
      <w:bodyDiv w:val="1"/>
      <w:marLeft w:val="0"/>
      <w:marRight w:val="0"/>
      <w:marTop w:val="0"/>
      <w:marBottom w:val="0"/>
      <w:divBdr>
        <w:top w:val="none" w:sz="0" w:space="0" w:color="auto"/>
        <w:left w:val="none" w:sz="0" w:space="0" w:color="auto"/>
        <w:bottom w:val="none" w:sz="0" w:space="0" w:color="auto"/>
        <w:right w:val="none" w:sz="0" w:space="0" w:color="auto"/>
      </w:divBdr>
    </w:div>
    <w:div w:id="355544930">
      <w:bodyDiv w:val="1"/>
      <w:marLeft w:val="0"/>
      <w:marRight w:val="0"/>
      <w:marTop w:val="0"/>
      <w:marBottom w:val="0"/>
      <w:divBdr>
        <w:top w:val="none" w:sz="0" w:space="0" w:color="auto"/>
        <w:left w:val="none" w:sz="0" w:space="0" w:color="auto"/>
        <w:bottom w:val="none" w:sz="0" w:space="0" w:color="auto"/>
        <w:right w:val="none" w:sz="0" w:space="0" w:color="auto"/>
      </w:divBdr>
    </w:div>
    <w:div w:id="460459230">
      <w:bodyDiv w:val="1"/>
      <w:marLeft w:val="0"/>
      <w:marRight w:val="0"/>
      <w:marTop w:val="0"/>
      <w:marBottom w:val="0"/>
      <w:divBdr>
        <w:top w:val="none" w:sz="0" w:space="0" w:color="auto"/>
        <w:left w:val="none" w:sz="0" w:space="0" w:color="auto"/>
        <w:bottom w:val="none" w:sz="0" w:space="0" w:color="auto"/>
        <w:right w:val="none" w:sz="0" w:space="0" w:color="auto"/>
      </w:divBdr>
    </w:div>
    <w:div w:id="958608826">
      <w:bodyDiv w:val="1"/>
      <w:marLeft w:val="0"/>
      <w:marRight w:val="0"/>
      <w:marTop w:val="0"/>
      <w:marBottom w:val="0"/>
      <w:divBdr>
        <w:top w:val="none" w:sz="0" w:space="0" w:color="auto"/>
        <w:left w:val="none" w:sz="0" w:space="0" w:color="auto"/>
        <w:bottom w:val="none" w:sz="0" w:space="0" w:color="auto"/>
        <w:right w:val="none" w:sz="0" w:space="0" w:color="auto"/>
      </w:divBdr>
    </w:div>
    <w:div w:id="959147217">
      <w:bodyDiv w:val="1"/>
      <w:marLeft w:val="0"/>
      <w:marRight w:val="0"/>
      <w:marTop w:val="0"/>
      <w:marBottom w:val="0"/>
      <w:divBdr>
        <w:top w:val="none" w:sz="0" w:space="0" w:color="auto"/>
        <w:left w:val="none" w:sz="0" w:space="0" w:color="auto"/>
        <w:bottom w:val="none" w:sz="0" w:space="0" w:color="auto"/>
        <w:right w:val="none" w:sz="0" w:space="0" w:color="auto"/>
      </w:divBdr>
    </w:div>
    <w:div w:id="1032726713">
      <w:bodyDiv w:val="1"/>
      <w:marLeft w:val="0"/>
      <w:marRight w:val="0"/>
      <w:marTop w:val="0"/>
      <w:marBottom w:val="0"/>
      <w:divBdr>
        <w:top w:val="none" w:sz="0" w:space="0" w:color="auto"/>
        <w:left w:val="none" w:sz="0" w:space="0" w:color="auto"/>
        <w:bottom w:val="none" w:sz="0" w:space="0" w:color="auto"/>
        <w:right w:val="none" w:sz="0" w:space="0" w:color="auto"/>
      </w:divBdr>
    </w:div>
    <w:div w:id="1059206368">
      <w:bodyDiv w:val="1"/>
      <w:marLeft w:val="0"/>
      <w:marRight w:val="0"/>
      <w:marTop w:val="0"/>
      <w:marBottom w:val="0"/>
      <w:divBdr>
        <w:top w:val="none" w:sz="0" w:space="0" w:color="auto"/>
        <w:left w:val="none" w:sz="0" w:space="0" w:color="auto"/>
        <w:bottom w:val="none" w:sz="0" w:space="0" w:color="auto"/>
        <w:right w:val="none" w:sz="0" w:space="0" w:color="auto"/>
      </w:divBdr>
    </w:div>
    <w:div w:id="1143542853">
      <w:bodyDiv w:val="1"/>
      <w:marLeft w:val="0"/>
      <w:marRight w:val="0"/>
      <w:marTop w:val="0"/>
      <w:marBottom w:val="0"/>
      <w:divBdr>
        <w:top w:val="none" w:sz="0" w:space="0" w:color="auto"/>
        <w:left w:val="none" w:sz="0" w:space="0" w:color="auto"/>
        <w:bottom w:val="none" w:sz="0" w:space="0" w:color="auto"/>
        <w:right w:val="none" w:sz="0" w:space="0" w:color="auto"/>
      </w:divBdr>
    </w:div>
    <w:div w:id="1187141380">
      <w:bodyDiv w:val="1"/>
      <w:marLeft w:val="0"/>
      <w:marRight w:val="0"/>
      <w:marTop w:val="0"/>
      <w:marBottom w:val="0"/>
      <w:divBdr>
        <w:top w:val="none" w:sz="0" w:space="0" w:color="auto"/>
        <w:left w:val="none" w:sz="0" w:space="0" w:color="auto"/>
        <w:bottom w:val="none" w:sz="0" w:space="0" w:color="auto"/>
        <w:right w:val="none" w:sz="0" w:space="0" w:color="auto"/>
      </w:divBdr>
    </w:div>
    <w:div w:id="1227686941">
      <w:bodyDiv w:val="1"/>
      <w:marLeft w:val="0"/>
      <w:marRight w:val="0"/>
      <w:marTop w:val="0"/>
      <w:marBottom w:val="0"/>
      <w:divBdr>
        <w:top w:val="none" w:sz="0" w:space="0" w:color="auto"/>
        <w:left w:val="none" w:sz="0" w:space="0" w:color="auto"/>
        <w:bottom w:val="none" w:sz="0" w:space="0" w:color="auto"/>
        <w:right w:val="none" w:sz="0" w:space="0" w:color="auto"/>
      </w:divBdr>
    </w:div>
    <w:div w:id="1238327554">
      <w:bodyDiv w:val="1"/>
      <w:marLeft w:val="0"/>
      <w:marRight w:val="0"/>
      <w:marTop w:val="0"/>
      <w:marBottom w:val="0"/>
      <w:divBdr>
        <w:top w:val="none" w:sz="0" w:space="0" w:color="auto"/>
        <w:left w:val="none" w:sz="0" w:space="0" w:color="auto"/>
        <w:bottom w:val="none" w:sz="0" w:space="0" w:color="auto"/>
        <w:right w:val="none" w:sz="0" w:space="0" w:color="auto"/>
      </w:divBdr>
      <w:divsChild>
        <w:div w:id="2040622582">
          <w:marLeft w:val="0"/>
          <w:marRight w:val="0"/>
          <w:marTop w:val="0"/>
          <w:marBottom w:val="0"/>
          <w:divBdr>
            <w:top w:val="none" w:sz="0" w:space="0" w:color="auto"/>
            <w:left w:val="none" w:sz="0" w:space="0" w:color="auto"/>
            <w:bottom w:val="none" w:sz="0" w:space="0" w:color="auto"/>
            <w:right w:val="none" w:sz="0" w:space="0" w:color="auto"/>
          </w:divBdr>
        </w:div>
        <w:div w:id="248082178">
          <w:marLeft w:val="0"/>
          <w:marRight w:val="0"/>
          <w:marTop w:val="0"/>
          <w:marBottom w:val="0"/>
          <w:divBdr>
            <w:top w:val="none" w:sz="0" w:space="0" w:color="auto"/>
            <w:left w:val="none" w:sz="0" w:space="0" w:color="auto"/>
            <w:bottom w:val="none" w:sz="0" w:space="0" w:color="auto"/>
            <w:right w:val="none" w:sz="0" w:space="0" w:color="auto"/>
          </w:divBdr>
        </w:div>
        <w:div w:id="1013218456">
          <w:marLeft w:val="0"/>
          <w:marRight w:val="0"/>
          <w:marTop w:val="0"/>
          <w:marBottom w:val="0"/>
          <w:divBdr>
            <w:top w:val="none" w:sz="0" w:space="0" w:color="auto"/>
            <w:left w:val="none" w:sz="0" w:space="0" w:color="auto"/>
            <w:bottom w:val="none" w:sz="0" w:space="0" w:color="auto"/>
            <w:right w:val="none" w:sz="0" w:space="0" w:color="auto"/>
          </w:divBdr>
        </w:div>
        <w:div w:id="2022390621">
          <w:marLeft w:val="0"/>
          <w:marRight w:val="0"/>
          <w:marTop w:val="0"/>
          <w:marBottom w:val="0"/>
          <w:divBdr>
            <w:top w:val="none" w:sz="0" w:space="0" w:color="auto"/>
            <w:left w:val="none" w:sz="0" w:space="0" w:color="auto"/>
            <w:bottom w:val="none" w:sz="0" w:space="0" w:color="auto"/>
            <w:right w:val="none" w:sz="0" w:space="0" w:color="auto"/>
          </w:divBdr>
        </w:div>
        <w:div w:id="2069450515">
          <w:marLeft w:val="0"/>
          <w:marRight w:val="0"/>
          <w:marTop w:val="0"/>
          <w:marBottom w:val="0"/>
          <w:divBdr>
            <w:top w:val="none" w:sz="0" w:space="0" w:color="auto"/>
            <w:left w:val="none" w:sz="0" w:space="0" w:color="auto"/>
            <w:bottom w:val="none" w:sz="0" w:space="0" w:color="auto"/>
            <w:right w:val="none" w:sz="0" w:space="0" w:color="auto"/>
          </w:divBdr>
        </w:div>
        <w:div w:id="686950062">
          <w:marLeft w:val="0"/>
          <w:marRight w:val="0"/>
          <w:marTop w:val="0"/>
          <w:marBottom w:val="0"/>
          <w:divBdr>
            <w:top w:val="none" w:sz="0" w:space="0" w:color="auto"/>
            <w:left w:val="none" w:sz="0" w:space="0" w:color="auto"/>
            <w:bottom w:val="none" w:sz="0" w:space="0" w:color="auto"/>
            <w:right w:val="none" w:sz="0" w:space="0" w:color="auto"/>
          </w:divBdr>
        </w:div>
        <w:div w:id="1501771831">
          <w:marLeft w:val="0"/>
          <w:marRight w:val="0"/>
          <w:marTop w:val="0"/>
          <w:marBottom w:val="0"/>
          <w:divBdr>
            <w:top w:val="none" w:sz="0" w:space="0" w:color="auto"/>
            <w:left w:val="none" w:sz="0" w:space="0" w:color="auto"/>
            <w:bottom w:val="none" w:sz="0" w:space="0" w:color="auto"/>
            <w:right w:val="none" w:sz="0" w:space="0" w:color="auto"/>
          </w:divBdr>
        </w:div>
        <w:div w:id="647562936">
          <w:marLeft w:val="0"/>
          <w:marRight w:val="0"/>
          <w:marTop w:val="0"/>
          <w:marBottom w:val="0"/>
          <w:divBdr>
            <w:top w:val="none" w:sz="0" w:space="0" w:color="auto"/>
            <w:left w:val="none" w:sz="0" w:space="0" w:color="auto"/>
            <w:bottom w:val="none" w:sz="0" w:space="0" w:color="auto"/>
            <w:right w:val="none" w:sz="0" w:space="0" w:color="auto"/>
          </w:divBdr>
        </w:div>
        <w:div w:id="951521817">
          <w:marLeft w:val="0"/>
          <w:marRight w:val="0"/>
          <w:marTop w:val="0"/>
          <w:marBottom w:val="0"/>
          <w:divBdr>
            <w:top w:val="none" w:sz="0" w:space="0" w:color="auto"/>
            <w:left w:val="none" w:sz="0" w:space="0" w:color="auto"/>
            <w:bottom w:val="none" w:sz="0" w:space="0" w:color="auto"/>
            <w:right w:val="none" w:sz="0" w:space="0" w:color="auto"/>
          </w:divBdr>
        </w:div>
        <w:div w:id="1616600407">
          <w:marLeft w:val="0"/>
          <w:marRight w:val="0"/>
          <w:marTop w:val="0"/>
          <w:marBottom w:val="0"/>
          <w:divBdr>
            <w:top w:val="none" w:sz="0" w:space="0" w:color="auto"/>
            <w:left w:val="none" w:sz="0" w:space="0" w:color="auto"/>
            <w:bottom w:val="none" w:sz="0" w:space="0" w:color="auto"/>
            <w:right w:val="none" w:sz="0" w:space="0" w:color="auto"/>
          </w:divBdr>
        </w:div>
        <w:div w:id="1714571584">
          <w:marLeft w:val="0"/>
          <w:marRight w:val="0"/>
          <w:marTop w:val="0"/>
          <w:marBottom w:val="0"/>
          <w:divBdr>
            <w:top w:val="none" w:sz="0" w:space="0" w:color="auto"/>
            <w:left w:val="none" w:sz="0" w:space="0" w:color="auto"/>
            <w:bottom w:val="none" w:sz="0" w:space="0" w:color="auto"/>
            <w:right w:val="none" w:sz="0" w:space="0" w:color="auto"/>
          </w:divBdr>
        </w:div>
      </w:divsChild>
    </w:div>
    <w:div w:id="1408531991">
      <w:bodyDiv w:val="1"/>
      <w:marLeft w:val="0"/>
      <w:marRight w:val="0"/>
      <w:marTop w:val="0"/>
      <w:marBottom w:val="0"/>
      <w:divBdr>
        <w:top w:val="none" w:sz="0" w:space="0" w:color="auto"/>
        <w:left w:val="none" w:sz="0" w:space="0" w:color="auto"/>
        <w:bottom w:val="none" w:sz="0" w:space="0" w:color="auto"/>
        <w:right w:val="none" w:sz="0" w:space="0" w:color="auto"/>
      </w:divBdr>
    </w:div>
    <w:div w:id="1422530114">
      <w:bodyDiv w:val="1"/>
      <w:marLeft w:val="0"/>
      <w:marRight w:val="0"/>
      <w:marTop w:val="0"/>
      <w:marBottom w:val="0"/>
      <w:divBdr>
        <w:top w:val="none" w:sz="0" w:space="0" w:color="auto"/>
        <w:left w:val="none" w:sz="0" w:space="0" w:color="auto"/>
        <w:bottom w:val="none" w:sz="0" w:space="0" w:color="auto"/>
        <w:right w:val="none" w:sz="0" w:space="0" w:color="auto"/>
      </w:divBdr>
    </w:div>
    <w:div w:id="1489665777">
      <w:bodyDiv w:val="1"/>
      <w:marLeft w:val="0"/>
      <w:marRight w:val="0"/>
      <w:marTop w:val="0"/>
      <w:marBottom w:val="0"/>
      <w:divBdr>
        <w:top w:val="none" w:sz="0" w:space="0" w:color="auto"/>
        <w:left w:val="none" w:sz="0" w:space="0" w:color="auto"/>
        <w:bottom w:val="none" w:sz="0" w:space="0" w:color="auto"/>
        <w:right w:val="none" w:sz="0" w:space="0" w:color="auto"/>
      </w:divBdr>
    </w:div>
    <w:div w:id="1612591031">
      <w:bodyDiv w:val="1"/>
      <w:marLeft w:val="0"/>
      <w:marRight w:val="0"/>
      <w:marTop w:val="0"/>
      <w:marBottom w:val="0"/>
      <w:divBdr>
        <w:top w:val="none" w:sz="0" w:space="0" w:color="auto"/>
        <w:left w:val="none" w:sz="0" w:space="0" w:color="auto"/>
        <w:bottom w:val="none" w:sz="0" w:space="0" w:color="auto"/>
        <w:right w:val="none" w:sz="0" w:space="0" w:color="auto"/>
      </w:divBdr>
    </w:div>
    <w:div w:id="1694106863">
      <w:bodyDiv w:val="1"/>
      <w:marLeft w:val="0"/>
      <w:marRight w:val="0"/>
      <w:marTop w:val="0"/>
      <w:marBottom w:val="0"/>
      <w:divBdr>
        <w:top w:val="none" w:sz="0" w:space="0" w:color="auto"/>
        <w:left w:val="none" w:sz="0" w:space="0" w:color="auto"/>
        <w:bottom w:val="none" w:sz="0" w:space="0" w:color="auto"/>
        <w:right w:val="none" w:sz="0" w:space="0" w:color="auto"/>
      </w:divBdr>
    </w:div>
    <w:div w:id="1701321273">
      <w:bodyDiv w:val="1"/>
      <w:marLeft w:val="0"/>
      <w:marRight w:val="0"/>
      <w:marTop w:val="0"/>
      <w:marBottom w:val="0"/>
      <w:divBdr>
        <w:top w:val="none" w:sz="0" w:space="0" w:color="auto"/>
        <w:left w:val="none" w:sz="0" w:space="0" w:color="auto"/>
        <w:bottom w:val="none" w:sz="0" w:space="0" w:color="auto"/>
        <w:right w:val="none" w:sz="0" w:space="0" w:color="auto"/>
      </w:divBdr>
    </w:div>
    <w:div w:id="1786384946">
      <w:bodyDiv w:val="1"/>
      <w:marLeft w:val="0"/>
      <w:marRight w:val="0"/>
      <w:marTop w:val="0"/>
      <w:marBottom w:val="0"/>
      <w:divBdr>
        <w:top w:val="none" w:sz="0" w:space="0" w:color="auto"/>
        <w:left w:val="none" w:sz="0" w:space="0" w:color="auto"/>
        <w:bottom w:val="none" w:sz="0" w:space="0" w:color="auto"/>
        <w:right w:val="none" w:sz="0" w:space="0" w:color="auto"/>
      </w:divBdr>
    </w:div>
    <w:div w:id="1961960390">
      <w:bodyDiv w:val="1"/>
      <w:marLeft w:val="0"/>
      <w:marRight w:val="0"/>
      <w:marTop w:val="0"/>
      <w:marBottom w:val="0"/>
      <w:divBdr>
        <w:top w:val="none" w:sz="0" w:space="0" w:color="auto"/>
        <w:left w:val="none" w:sz="0" w:space="0" w:color="auto"/>
        <w:bottom w:val="none" w:sz="0" w:space="0" w:color="auto"/>
        <w:right w:val="none" w:sz="0" w:space="0" w:color="auto"/>
      </w:divBdr>
    </w:div>
    <w:div w:id="2012564195">
      <w:bodyDiv w:val="1"/>
      <w:marLeft w:val="0"/>
      <w:marRight w:val="0"/>
      <w:marTop w:val="0"/>
      <w:marBottom w:val="0"/>
      <w:divBdr>
        <w:top w:val="none" w:sz="0" w:space="0" w:color="auto"/>
        <w:left w:val="none" w:sz="0" w:space="0" w:color="auto"/>
        <w:bottom w:val="none" w:sz="0" w:space="0" w:color="auto"/>
        <w:right w:val="none" w:sz="0" w:space="0" w:color="auto"/>
      </w:divBdr>
    </w:div>
    <w:div w:id="204944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europa.eu/rapid/press-release_STATEMENT-14-211_en.htm"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esma.europa.eu"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sma.europa.eu"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managedfunds.org/wp-content/uploads/2013/09/EU-EMIR-ESMA-DP-Clearing-Obligation-2013-MFA-AIMA-Final-Respons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T:\ESMA%20templates%202013\External%20documents\2013-0000%20Repor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02331CB5-FD25-45E8-8B7F-BB6FD4362B4D}"/>
      </w:docPartPr>
      <w:docPartBody>
        <w:p w:rsidR="00CE21BF" w:rsidRDefault="00CE21BF">
          <w:r>
            <w:rPr>
              <w:rStyle w:val="PlaceholderText"/>
            </w:rPr>
            <w:t>Choose an item.</w:t>
          </w:r>
        </w:p>
      </w:docPartBody>
    </w:docPart>
    <w:docPart>
      <w:docPartPr>
        <w:name w:val="29B3C0A1C36843AB95CE1BDF313CA2A2"/>
        <w:category>
          <w:name w:val="General"/>
          <w:gallery w:val="placeholder"/>
        </w:category>
        <w:types>
          <w:type w:val="bbPlcHdr"/>
        </w:types>
        <w:behaviors>
          <w:behavior w:val="content"/>
        </w:behaviors>
        <w:guid w:val="{6BD31672-A8F4-44C9-9EE9-974F2BB379BB}"/>
      </w:docPartPr>
      <w:docPartBody>
        <w:p w:rsidR="00CE21BF" w:rsidRDefault="00CE21BF">
          <w:pPr>
            <w:pStyle w:val="29B3C0A1C36843AB95CE1BDF313CA2A2"/>
          </w:pPr>
          <w:r>
            <w:rPr>
              <w:rStyle w:val="PlaceholderText"/>
            </w:rPr>
            <w:t>Choose an item.</w:t>
          </w:r>
        </w:p>
      </w:docPartBody>
    </w:docPart>
    <w:docPart>
      <w:docPartPr>
        <w:name w:val="F0305A30DDBA475F87323578BE1A7B3F"/>
        <w:category>
          <w:name w:val="General"/>
          <w:gallery w:val="placeholder"/>
        </w:category>
        <w:types>
          <w:type w:val="bbPlcHdr"/>
        </w:types>
        <w:behaviors>
          <w:behavior w:val="content"/>
        </w:behaviors>
        <w:guid w:val="{8279ABAC-8030-4011-90A5-E35ABABD83C4}"/>
      </w:docPartPr>
      <w:docPartBody>
        <w:p w:rsidR="00CE21BF" w:rsidRDefault="00CE21BF">
          <w:pPr>
            <w:pStyle w:val="F0305A30DDBA475F87323578BE1A7B3F"/>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20"/>
  <w:characterSpacingControl w:val="doNotCompress"/>
  <w:compat>
    <w:useFELayout/>
    <w:compatSetting w:name="compatibilityMode" w:uri="http://schemas.microsoft.com/office/word" w:val="12"/>
  </w:compat>
  <w:rsids>
    <w:rsidRoot w:val="00CE21BF"/>
    <w:rsid w:val="00CE21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1608"/>
    <w:rPr>
      <w:color w:val="808080"/>
    </w:rPr>
  </w:style>
  <w:style w:type="paragraph" w:customStyle="1" w:styleId="29B3C0A1C36843AB95CE1BDF313CA2A2">
    <w:name w:val="29B3C0A1C36843AB95CE1BDF313CA2A2"/>
    <w:rsid w:val="000F64E6"/>
  </w:style>
  <w:style w:type="paragraph" w:customStyle="1" w:styleId="F0305A30DDBA475F87323578BE1A7B3F">
    <w:name w:val="F0305A30DDBA475F87323578BE1A7B3F"/>
    <w:rsid w:val="000F64E6"/>
  </w:style>
  <w:style w:type="paragraph" w:customStyle="1" w:styleId="AF14B81484EA47B29E0A99CBEEA2E36B">
    <w:name w:val="AF14B81484EA47B29E0A99CBEEA2E36B"/>
    <w:rsid w:val="00661608"/>
  </w:style>
  <w:style w:type="paragraph" w:customStyle="1" w:styleId="C7F06E0889454C2CB09A353212013518">
    <w:name w:val="C7F06E0889454C2CB09A353212013518"/>
    <w:rsid w:val="0066160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2013-0000 Report Template.dotx</Template>
  <TotalTime>0</TotalTime>
  <Pages>16</Pages>
  <Words>5475</Words>
  <Characters>31536</Characters>
  <Application>Microsoft Office Word</Application>
  <DocSecurity>12</DocSecurity>
  <Lines>262</Lines>
  <Paragraphs>73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20110000</vt:lpstr>
      <vt:lpstr>20110000</vt:lpstr>
    </vt:vector>
  </TitlesOfParts>
  <Company>Oxalide</Company>
  <LinksUpToDate>false</LinksUpToDate>
  <CharactersWithSpaces>36938</CharactersWithSpaces>
  <SharedDoc>false</SharedDoc>
  <HLinks>
    <vt:vector size="12" baseType="variant">
      <vt:variant>
        <vt:i4>3932286</vt:i4>
      </vt:variant>
      <vt:variant>
        <vt:i4>17</vt:i4>
      </vt:variant>
      <vt:variant>
        <vt:i4>0</vt:i4>
      </vt:variant>
      <vt:variant>
        <vt:i4>5</vt:i4>
      </vt:variant>
      <vt:variant>
        <vt:lpwstr>http://www.esma.europa.eu/</vt:lpwstr>
      </vt:variant>
      <vt:variant>
        <vt:lpwstr/>
      </vt:variant>
      <vt:variant>
        <vt:i4>3932286</vt:i4>
      </vt:variant>
      <vt:variant>
        <vt:i4>14</vt:i4>
      </vt:variant>
      <vt:variant>
        <vt:i4>0</vt:i4>
      </vt:variant>
      <vt:variant>
        <vt:i4>5</vt:i4>
      </vt:variant>
      <vt:variant>
        <vt:lpwstr>http://www.esma.europa.eu/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20110000</dc:title>
  <dc:creator>Chloe</dc:creator>
  <cp:lastModifiedBy>King, Carlotta</cp:lastModifiedBy>
  <cp:revision>2</cp:revision>
  <cp:lastPrinted>2014-08-17T10:39:00Z</cp:lastPrinted>
  <dcterms:created xsi:type="dcterms:W3CDTF">2014-08-18T13:10:00Z</dcterms:created>
  <dcterms:modified xsi:type="dcterms:W3CDTF">2014-08-18T13:10:00Z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450674079</vt:i4>
  </property>
  <property fmtid="{D5CDD505-2E9C-101B-9397-08002B2CF9AE}" pid="3" name="_NewReviewCycle">
    <vt:lpwstr/>
  </property>
  <property fmtid="{D5CDD505-2E9C-101B-9397-08002B2CF9AE}" pid="4" name="_EmailSubject">
    <vt:lpwstr>EMIR Clearing - Final MFA Responses</vt:lpwstr>
  </property>
  <property fmtid="{D5CDD505-2E9C-101B-9397-08002B2CF9AE}" pid="5" name="_AuthorEmail">
    <vt:lpwstr>hcheyne@sidley.com</vt:lpwstr>
  </property>
  <property fmtid="{D5CDD505-2E9C-101B-9397-08002B2CF9AE}" pid="6" name="_AuthorEmailDisplayName">
    <vt:lpwstr>Cheyne, Heather</vt:lpwstr>
  </property>
  <property fmtid="{D5CDD505-2E9C-101B-9397-08002B2CF9AE}" pid="7" name="_ReviewingToolsShownOnce">
    <vt:lpwstr/>
  </property>
</Properties>
</file>