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A6DAE" w14:paraId="62AC8328" w14:textId="77777777" w:rsidTr="000C3B6D">
        <w:trPr>
          <w:trHeight w:val="284"/>
        </w:trPr>
        <w:tc>
          <w:tcPr>
            <w:tcW w:w="9412" w:type="dxa"/>
          </w:tcPr>
          <w:p w14:paraId="0A365D78" w14:textId="0BBB9ABF" w:rsidR="00C2094B" w:rsidRPr="00AA6DAE" w:rsidRDefault="005D255E" w:rsidP="00696C23">
            <w:pPr>
              <w:pStyle w:val="00bDBInfo"/>
            </w:pPr>
            <w:r>
              <w:t>11</w:t>
            </w:r>
            <w:r w:rsidR="00711212">
              <w:t xml:space="preserve"> July 2014</w:t>
            </w:r>
            <w:r w:rsidR="00C2094B" w:rsidRPr="00AA6DAE">
              <w:t>|</w:t>
            </w:r>
            <w:r w:rsidR="007102FB">
              <w:t>2014/</w:t>
            </w:r>
            <w:r w:rsidR="00696C23">
              <w:t>799 Reply Form</w:t>
            </w:r>
          </w:p>
        </w:tc>
      </w:tr>
    </w:tbl>
    <w:p w14:paraId="0F308913" w14:textId="77777777" w:rsidR="000361B3" w:rsidRPr="000361B3" w:rsidRDefault="000361B3" w:rsidP="000361B3">
      <w:pPr>
        <w:rPr>
          <w:vanish/>
        </w:rPr>
      </w:pPr>
      <w:bookmarkStart w:id="0" w:name="Dropdown1"/>
    </w:p>
    <w:tbl>
      <w:tblPr>
        <w:tblpPr w:leftFromText="8505" w:vertAnchor="page" w:horzAnchor="page" w:tblpX="1248" w:tblpY="4401"/>
        <w:tblW w:w="9412" w:type="dxa"/>
        <w:tblLayout w:type="fixed"/>
        <w:tblCellMar>
          <w:left w:w="0" w:type="dxa"/>
          <w:right w:w="0" w:type="dxa"/>
        </w:tblCellMar>
        <w:tblLook w:val="01E0" w:firstRow="1" w:lastRow="1" w:firstColumn="1" w:lastColumn="1" w:noHBand="0" w:noVBand="0"/>
      </w:tblPr>
      <w:tblGrid>
        <w:gridCol w:w="9412"/>
      </w:tblGrid>
      <w:tr w:rsidR="006B3CB5" w14:paraId="384E01F6" w14:textId="77777777" w:rsidTr="00200340">
        <w:trPr>
          <w:trHeight w:hRule="exact" w:val="907"/>
        </w:trPr>
        <w:tc>
          <w:tcPr>
            <w:tcW w:w="2325" w:type="dxa"/>
            <w:vAlign w:val="bottom"/>
          </w:tcPr>
          <w:bookmarkEnd w:id="0"/>
          <w:p w14:paraId="540754D3" w14:textId="1634F203" w:rsidR="006B3CB5" w:rsidRPr="00791EB4" w:rsidRDefault="00696C23" w:rsidP="0073272F">
            <w:pPr>
              <w:pStyle w:val="01aDBTitle"/>
            </w:pPr>
            <w:r>
              <w:t xml:space="preserve">Reply form to the </w:t>
            </w:r>
            <w:r w:rsidR="006B3CB5">
              <w:t xml:space="preserve">Consultation </w:t>
            </w:r>
            <w:r w:rsidR="0073272F">
              <w:t>Paper</w:t>
            </w:r>
            <w:r>
              <w:t xml:space="preserve"> on the Clearing Obligation under EMIR (no. 1)</w:t>
            </w:r>
          </w:p>
        </w:tc>
      </w:tr>
      <w:tr w:rsidR="006B3CB5" w:rsidRPr="00315E96" w14:paraId="688F03D2" w14:textId="77777777" w:rsidTr="00200340">
        <w:trPr>
          <w:trHeight w:hRule="exact" w:val="454"/>
        </w:trPr>
        <w:tc>
          <w:tcPr>
            <w:tcW w:w="2325" w:type="dxa"/>
            <w:tcMar>
              <w:top w:w="142" w:type="dxa"/>
            </w:tcMar>
          </w:tcPr>
          <w:p w14:paraId="23AE1602" w14:textId="08351BCF" w:rsidR="006B3CB5" w:rsidRPr="00060F72" w:rsidRDefault="006B3CB5" w:rsidP="00F358C5">
            <w:pPr>
              <w:pStyle w:val="01bDBSubtitle"/>
            </w:pPr>
          </w:p>
        </w:tc>
      </w:tr>
    </w:tbl>
    <w:p w14:paraId="519278DD" w14:textId="4074DFF8" w:rsidR="00620D7C" w:rsidRDefault="00620D7C" w:rsidP="00C00012">
      <w:pPr>
        <w:pStyle w:val="05HeadlinenoIndex"/>
        <w:sectPr w:rsidR="00620D7C" w:rsidSect="006E3C72">
          <w:headerReference w:type="default" r:id="rId8"/>
          <w:footerReference w:type="default" r:id="rId9"/>
          <w:headerReference w:type="first" r:id="rId10"/>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14:paraId="36F7DBE7" w14:textId="77777777" w:rsidTr="000C3B6D">
        <w:trPr>
          <w:trHeight w:hRule="exact" w:val="964"/>
        </w:trPr>
        <w:tc>
          <w:tcPr>
            <w:tcW w:w="2325" w:type="dxa"/>
          </w:tcPr>
          <w:p w14:paraId="7B338D80" w14:textId="5A1188F1" w:rsidR="00620D7C" w:rsidRPr="000A3888" w:rsidRDefault="00620D7C" w:rsidP="000C3B6D">
            <w:pPr>
              <w:pStyle w:val="02Date"/>
            </w:pPr>
            <w:r w:rsidRPr="000A3888">
              <w:lastRenderedPageBreak/>
              <w:t xml:space="preserve">Date: </w:t>
            </w:r>
            <w:r w:rsidR="00696C23">
              <w:t>1</w:t>
            </w:r>
            <w:r w:rsidR="005D255E">
              <w:t>1</w:t>
            </w:r>
            <w:r w:rsidR="00711212">
              <w:t xml:space="preserve"> July</w:t>
            </w:r>
            <w:r w:rsidR="00B73315" w:rsidRPr="000A3888">
              <w:t xml:space="preserve"> 2014</w:t>
            </w:r>
          </w:p>
          <w:p w14:paraId="03C851D4" w14:textId="778304D7" w:rsidR="00620D7C" w:rsidRDefault="00BD0C23" w:rsidP="00696C23">
            <w:pPr>
              <w:pStyle w:val="02Date"/>
            </w:pPr>
            <w:r w:rsidRPr="000A3888">
              <w:t>2014</w:t>
            </w:r>
            <w:r w:rsidR="00711212">
              <w:t>/</w:t>
            </w:r>
            <w:r w:rsidR="00696C23">
              <w:t>799 Reply Form</w:t>
            </w:r>
          </w:p>
        </w:tc>
      </w:tr>
    </w:tbl>
    <w:p w14:paraId="5DBBF4FF" w14:textId="77777777" w:rsidR="00DF759F" w:rsidRDefault="00DF759F" w:rsidP="00D3175A">
      <w:pPr>
        <w:pStyle w:val="05HeadlinenoIndex"/>
      </w:pPr>
    </w:p>
    <w:p w14:paraId="0EB2D0CD" w14:textId="77777777" w:rsidR="00AA6DAE" w:rsidRDefault="00DF759F" w:rsidP="00DF759F">
      <w:pPr>
        <w:pStyle w:val="05HeadlinenoIndex"/>
      </w:pPr>
      <w:r>
        <w:t xml:space="preserve">Responding to this paper </w:t>
      </w:r>
    </w:p>
    <w:p w14:paraId="2C1FB77D" w14:textId="0768E7E0" w:rsidR="009403B0" w:rsidRDefault="009403B0" w:rsidP="009403B0">
      <w:pPr>
        <w:pStyle w:val="04BodyText"/>
      </w:pPr>
      <w:r w:rsidRPr="00321CD3">
        <w:t>The European Securities and Markets Autho</w:t>
      </w:r>
      <w:r>
        <w:t>rity (ESMA) invites responses</w:t>
      </w:r>
      <w:r w:rsidRPr="00321CD3">
        <w:t xml:space="preserve"> </w:t>
      </w:r>
      <w:r>
        <w:t xml:space="preserve">to </w:t>
      </w:r>
      <w:r w:rsidRPr="00321CD3">
        <w:t xml:space="preserve">the questions listed in </w:t>
      </w:r>
      <w:r>
        <w:t>the Consultation Paper on the Clearing Obligation under EMIR (n0. 1), published on ESMA</w:t>
      </w:r>
      <w:r w:rsidR="00194117">
        <w:t>’s</w:t>
      </w:r>
      <w:r>
        <w:t xml:space="preserve"> website.</w:t>
      </w:r>
    </w:p>
    <w:p w14:paraId="4D2D04AB" w14:textId="77777777" w:rsidR="009403B0" w:rsidRDefault="009403B0" w:rsidP="009403B0">
      <w:pPr>
        <w:pStyle w:val="04BodyText"/>
      </w:pPr>
      <w:r>
        <w:t>Comments are most helpful if they:</w:t>
      </w:r>
    </w:p>
    <w:p w14:paraId="5318EEDC" w14:textId="77777777" w:rsidR="009403B0" w:rsidRPr="00F1632C" w:rsidRDefault="009403B0" w:rsidP="00F1632C">
      <w:pPr>
        <w:pStyle w:val="0MyBullet"/>
      </w:pPr>
      <w:r w:rsidRPr="00F1632C">
        <w:t>respond to the question stated;</w:t>
      </w:r>
    </w:p>
    <w:p w14:paraId="7FECF7B5" w14:textId="77777777" w:rsidR="009403B0" w:rsidRPr="00F1632C" w:rsidRDefault="009403B0" w:rsidP="00F1632C">
      <w:pPr>
        <w:pStyle w:val="0MyBullet"/>
      </w:pPr>
      <w:r w:rsidRPr="00F1632C">
        <w:t>contain a clear rationale; and</w:t>
      </w:r>
    </w:p>
    <w:p w14:paraId="40E7D3EA" w14:textId="77777777" w:rsidR="009403B0" w:rsidRPr="00F1632C" w:rsidRDefault="009403B0" w:rsidP="00F1632C">
      <w:pPr>
        <w:pStyle w:val="0MyBullet"/>
      </w:pPr>
      <w:r w:rsidRPr="00F1632C">
        <w:t>describe any alternatives ESMA should consider.</w:t>
      </w:r>
    </w:p>
    <w:p w14:paraId="15184490" w14:textId="77777777" w:rsidR="009403B0" w:rsidRPr="00F44F4C" w:rsidRDefault="009403B0" w:rsidP="00F1632C">
      <w:pPr>
        <w:pStyle w:val="04BodyText"/>
        <w:spacing w:before="240"/>
      </w:pPr>
      <w:r w:rsidRPr="004E1A0F">
        <w:t>To help you navigate this document more easily, bookmarks are available in “Navigation Pane” for Word 2010 and in “Document Map” for Word 2007.</w:t>
      </w:r>
    </w:p>
    <w:p w14:paraId="5F0B109E" w14:textId="77777777" w:rsidR="009403B0" w:rsidRPr="009403B0" w:rsidRDefault="009403B0" w:rsidP="009403B0">
      <w:pPr>
        <w:pStyle w:val="04BodyText"/>
        <w:rPr>
          <w:b/>
        </w:rPr>
      </w:pPr>
      <w:r w:rsidRPr="009403B0">
        <w:t xml:space="preserve">ESMA will consider all comments received by </w:t>
      </w:r>
      <w:r w:rsidRPr="009403B0">
        <w:rPr>
          <w:b/>
        </w:rPr>
        <w:t xml:space="preserve">18 August 2014. </w:t>
      </w:r>
    </w:p>
    <w:p w14:paraId="253FFA93" w14:textId="2390B33C" w:rsidR="009403B0" w:rsidRDefault="009403B0" w:rsidP="009403B0">
      <w:pPr>
        <w:pStyle w:val="04BodyText"/>
      </w:pPr>
      <w:r>
        <w:t xml:space="preserve">All contributions should be submitted online at </w:t>
      </w:r>
      <w:hyperlink r:id="rId11" w:history="1">
        <w:r w:rsidRPr="003A35A5">
          <w:rPr>
            <w:rStyle w:val="Hyperlink"/>
          </w:rPr>
          <w:t>www.esma.europa.eu</w:t>
        </w:r>
      </w:hyperlink>
      <w:r>
        <w:t xml:space="preserve"> under the heading ‘Your input - Consultations’. </w:t>
      </w:r>
    </w:p>
    <w:p w14:paraId="4660F4C4" w14:textId="5090F726" w:rsidR="009E685C" w:rsidRPr="009E685C" w:rsidRDefault="009E685C" w:rsidP="009E685C">
      <w:pPr>
        <w:pStyle w:val="04dBodyTextbold"/>
      </w:pPr>
      <w:r>
        <w:rPr>
          <w:bCs/>
        </w:rPr>
        <w:t>How to use this form to reply</w:t>
      </w:r>
    </w:p>
    <w:p w14:paraId="5DB2C82A" w14:textId="6466546E" w:rsidR="009E685C" w:rsidRDefault="009E685C" w:rsidP="009E685C">
      <w:pPr>
        <w:pStyle w:val="04BodyText"/>
      </w:pPr>
      <w:r w:rsidRPr="009E685C">
        <w:t xml:space="preserve">Please note that, in order to facilitate </w:t>
      </w:r>
      <w:r>
        <w:t xml:space="preserve">the </w:t>
      </w:r>
      <w:r w:rsidRPr="009E685C">
        <w:t xml:space="preserve">analysis of the responses, ESMA will be using an IT tool that does not allow processing of responses which do not follow the formatting indications described below. </w:t>
      </w:r>
    </w:p>
    <w:p w14:paraId="684F5386" w14:textId="75D2C2B7" w:rsidR="009E685C" w:rsidRDefault="009E685C" w:rsidP="009E685C">
      <w:pPr>
        <w:pStyle w:val="04BodyText"/>
      </w:pPr>
      <w:r w:rsidRPr="009E685C">
        <w:t xml:space="preserve">Therefore, in responding </w:t>
      </w:r>
      <w:r>
        <w:t>you are kindly invited to proceed as follows</w:t>
      </w:r>
      <w:r w:rsidRPr="009E685C">
        <w:t>:</w:t>
      </w:r>
    </w:p>
    <w:p w14:paraId="33B506D5" w14:textId="3AA66C3D" w:rsidR="009E685C" w:rsidRDefault="009E685C" w:rsidP="00F1632C">
      <w:pPr>
        <w:pStyle w:val="0MyBullet"/>
        <w:ind w:left="714" w:hanging="357"/>
      </w:pPr>
      <w:r w:rsidRPr="009E685C">
        <w:t xml:space="preserve">use </w:t>
      </w:r>
      <w:r>
        <w:t>this form to reply</w:t>
      </w:r>
      <w:r w:rsidRPr="009E685C">
        <w:t xml:space="preserve"> and send </w:t>
      </w:r>
      <w:r>
        <w:t>your response</w:t>
      </w:r>
      <w:r w:rsidRPr="009E685C">
        <w:t xml:space="preserve"> in Word format;</w:t>
      </w:r>
    </w:p>
    <w:p w14:paraId="781F6AE9" w14:textId="02D7FBAB" w:rsidR="009E685C" w:rsidRDefault="009E685C" w:rsidP="00F1632C">
      <w:pPr>
        <w:pStyle w:val="0MyBullet"/>
        <w:ind w:left="714" w:hanging="357"/>
      </w:pPr>
      <w:r>
        <w:t>type your response in the fram</w:t>
      </w:r>
      <w:r w:rsidR="00E1116F">
        <w:t>e</w:t>
      </w:r>
      <w:r>
        <w:t xml:space="preserve"> “</w:t>
      </w:r>
      <w:r w:rsidRPr="009E685C">
        <w:t>TYPE YOUR TEXT HERE</w:t>
      </w:r>
      <w:r>
        <w:t xml:space="preserve">” and do </w:t>
      </w:r>
      <w:r w:rsidRPr="009E685C">
        <w:t xml:space="preserve">not remove the tags of type &lt;ESMA_QUESTION_1&gt; </w:t>
      </w:r>
      <w:r>
        <w:t xml:space="preserve">Your </w:t>
      </w:r>
      <w:r w:rsidRPr="009E685C">
        <w:t xml:space="preserve">response </w:t>
      </w:r>
      <w:r>
        <w:t xml:space="preserve">should </w:t>
      </w:r>
      <w:r w:rsidRPr="009E685C">
        <w:t>be framed by the 2 tags corresponding to the question; and</w:t>
      </w:r>
    </w:p>
    <w:p w14:paraId="109AED28" w14:textId="06524FF8" w:rsidR="009E685C" w:rsidRPr="009E685C" w:rsidRDefault="009E685C" w:rsidP="00F1632C">
      <w:pPr>
        <w:pStyle w:val="0MyBullet"/>
        <w:ind w:left="714" w:hanging="357"/>
      </w:pPr>
      <w:r w:rsidRPr="009E685C">
        <w:t xml:space="preserve">if </w:t>
      </w:r>
      <w:r>
        <w:t xml:space="preserve">you </w:t>
      </w:r>
      <w:r w:rsidRPr="009E685C">
        <w:t xml:space="preserve">have no response to a question, </w:t>
      </w:r>
      <w:r w:rsidRPr="00F1632C">
        <w:t>do not delete the tags</w:t>
      </w:r>
      <w:r w:rsidRPr="009E685C">
        <w:t xml:space="preserve"> and leave the text “TYPE YOUR TEXT HERE” between the tags.</w:t>
      </w:r>
    </w:p>
    <w:p w14:paraId="3AB0C7A3" w14:textId="77777777" w:rsidR="00DF759F" w:rsidRDefault="00DF759F" w:rsidP="00DF759F">
      <w:pPr>
        <w:pStyle w:val="04dBodyTextbold"/>
      </w:pPr>
      <w:r>
        <w:t>Publication of responses</w:t>
      </w:r>
    </w:p>
    <w:p w14:paraId="2AE7901B" w14:textId="68DDC563" w:rsidR="00DF759F" w:rsidRDefault="00DF759F" w:rsidP="00DF759F">
      <w:pPr>
        <w:pStyle w:val="04BodyText"/>
      </w:pPr>
      <w:r>
        <w:t>All contributions received will be published following the close of the consultation</w:t>
      </w:r>
      <w:r w:rsidR="00B25023">
        <w:t>, unless you request otherwise.</w:t>
      </w:r>
      <w:r>
        <w:t xml:space="preserv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0903820" w14:textId="77777777" w:rsidR="00DF759F" w:rsidRDefault="00DF759F" w:rsidP="00DF759F">
      <w:pPr>
        <w:pStyle w:val="04dBodyTextbold"/>
      </w:pPr>
      <w:r>
        <w:lastRenderedPageBreak/>
        <w:t>Data protection</w:t>
      </w:r>
    </w:p>
    <w:p w14:paraId="07C5CEB6" w14:textId="77777777" w:rsidR="00DF759F" w:rsidRDefault="00DF759F" w:rsidP="00DF759F">
      <w:pPr>
        <w:pStyle w:val="04BodyText"/>
      </w:pPr>
      <w:r>
        <w:t xml:space="preserve">Information on data protection can be found at </w:t>
      </w:r>
      <w:hyperlink r:id="rId12" w:history="1">
        <w:r w:rsidR="00157C5D" w:rsidRPr="003A35A5">
          <w:rPr>
            <w:rStyle w:val="Hyperlink"/>
          </w:rPr>
          <w:t>www.esma.europa.eu</w:t>
        </w:r>
      </w:hyperlink>
      <w:r w:rsidR="00157C5D">
        <w:t xml:space="preserve"> </w:t>
      </w:r>
      <w:r>
        <w:t>under the heading ‘</w:t>
      </w:r>
      <w:r w:rsidR="006C105D">
        <w:t>Legal Notice</w:t>
      </w:r>
      <w:r>
        <w:t>’.</w:t>
      </w:r>
    </w:p>
    <w:p w14:paraId="4A97E09A" w14:textId="77777777" w:rsidR="00DF759F" w:rsidRDefault="00DF759F" w:rsidP="00DF759F">
      <w:pPr>
        <w:pStyle w:val="04dBodyTextbold"/>
      </w:pPr>
      <w:r>
        <w:t>Who should read this paper</w:t>
      </w:r>
    </w:p>
    <w:p w14:paraId="1C7E4709" w14:textId="5B003C15" w:rsidR="00A21A30" w:rsidRDefault="00B25023" w:rsidP="00B25023">
      <w:pPr>
        <w:pStyle w:val="04BodyText"/>
        <w:suppressAutoHyphens/>
        <w:rPr>
          <w:szCs w:val="20"/>
        </w:rPr>
      </w:pPr>
      <w:r w:rsidRPr="001235B1">
        <w:rPr>
          <w:szCs w:val="20"/>
        </w:rPr>
        <w:t xml:space="preserve">All interested stakeholders are invited to respond to this </w:t>
      </w:r>
      <w:r>
        <w:rPr>
          <w:szCs w:val="20"/>
        </w:rPr>
        <w:t>consultation</w:t>
      </w:r>
      <w:r w:rsidRPr="001235B1">
        <w:rPr>
          <w:szCs w:val="20"/>
        </w:rPr>
        <w:t xml:space="preserve"> paper. In particular, responses are sought from financial and non-financial counterparties of OTC derivatives transactions</w:t>
      </w:r>
      <w:r>
        <w:rPr>
          <w:szCs w:val="20"/>
        </w:rPr>
        <w:t xml:space="preserve"> which will be subject to the clearing obligation, as well as</w:t>
      </w:r>
      <w:r w:rsidRPr="001235B1">
        <w:rPr>
          <w:szCs w:val="20"/>
        </w:rPr>
        <w:t xml:space="preserve"> central counterparties (CCPs).</w:t>
      </w:r>
    </w:p>
    <w:p w14:paraId="330DE59E" w14:textId="77777777" w:rsidR="00A21A30" w:rsidRDefault="00A21A30">
      <w:pPr>
        <w:rPr>
          <w:szCs w:val="20"/>
        </w:rPr>
      </w:pPr>
      <w:r>
        <w:rPr>
          <w:szCs w:val="20"/>
        </w:rPr>
        <w:br w:type="page"/>
      </w:r>
    </w:p>
    <w:p w14:paraId="451FE908" w14:textId="60D7E795" w:rsidR="00AB1788" w:rsidRDefault="00AB1788" w:rsidP="00005941">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448"/>
        <w:gridCol w:w="5954"/>
      </w:tblGrid>
      <w:tr w:rsidR="009403B0" w14:paraId="35328A8F" w14:textId="77777777" w:rsidTr="00F84E69">
        <w:tc>
          <w:tcPr>
            <w:tcW w:w="3510" w:type="dxa"/>
          </w:tcPr>
          <w:p w14:paraId="183AF1CA" w14:textId="7E9F69D6" w:rsidR="009403B0" w:rsidRDefault="009403B0" w:rsidP="00F84E69">
            <w:r>
              <w:t>Name of the respondent</w:t>
            </w:r>
          </w:p>
        </w:tc>
        <w:tc>
          <w:tcPr>
            <w:tcW w:w="6118" w:type="dxa"/>
          </w:tcPr>
          <w:p w14:paraId="285A8F27" w14:textId="44B299D4" w:rsidR="009403B0" w:rsidRDefault="00186EE1" w:rsidP="00E62FA2">
            <w:permStart w:id="2105415120" w:edGrp="everyone"/>
            <w:r>
              <w:t>EFAMA</w:t>
            </w:r>
            <w:permEnd w:id="2105415120"/>
          </w:p>
        </w:tc>
      </w:tr>
      <w:tr w:rsidR="00E62FA2" w14:paraId="056A0341" w14:textId="77777777" w:rsidTr="00F84E69">
        <w:tc>
          <w:tcPr>
            <w:tcW w:w="3510" w:type="dxa"/>
          </w:tcPr>
          <w:p w14:paraId="0AA20822" w14:textId="4D291B23" w:rsidR="00E62FA2" w:rsidRDefault="00F84E69" w:rsidP="00F84E69">
            <w:r>
              <w:t xml:space="preserve">Are you representing an </w:t>
            </w:r>
            <w:r w:rsidR="00E62FA2">
              <w:t>association?</w:t>
            </w:r>
          </w:p>
        </w:tc>
        <w:tc>
          <w:tcPr>
            <w:tcW w:w="6118" w:type="dxa"/>
          </w:tcPr>
          <w:p w14:paraId="051EB09C" w14:textId="0EC38AAE" w:rsidR="00E62FA2" w:rsidRDefault="00F17A3C" w:rsidP="00E62FA2">
            <w:sdt>
              <w:sdtPr>
                <w:alias w:val="Association"/>
                <w:tag w:val="Association"/>
                <w:id w:val="-1769143793"/>
                <w:placeholder>
                  <w:docPart w:val="29B3C0A1C36843AB95CE1BDF313CA2A2"/>
                </w:placeholder>
                <w:comboBox>
                  <w:listItem w:displayText="Yes" w:value="Yes"/>
                  <w:listItem w:displayText="No" w:value="No"/>
                </w:comboBox>
              </w:sdtPr>
              <w:sdtEndPr/>
              <w:sdtContent>
                <w:permStart w:id="678066391" w:edGrp="everyone"/>
                <w:r w:rsidR="00186EE1">
                  <w:t>Yes</w:t>
                </w:r>
                <w:permEnd w:id="678066391"/>
              </w:sdtContent>
            </w:sdt>
          </w:p>
        </w:tc>
      </w:tr>
      <w:tr w:rsidR="00E62FA2" w14:paraId="503B3DE9" w14:textId="77777777" w:rsidTr="00F84E69">
        <w:tc>
          <w:tcPr>
            <w:tcW w:w="3510" w:type="dxa"/>
          </w:tcPr>
          <w:p w14:paraId="4F0B7907" w14:textId="1DC44A1C" w:rsidR="00E62FA2" w:rsidRDefault="00E62FA2" w:rsidP="00E62FA2">
            <w:r>
              <w:t>Activity</w:t>
            </w:r>
          </w:p>
        </w:tc>
        <w:tc>
          <w:tcPr>
            <w:tcW w:w="6118" w:type="dxa"/>
          </w:tcPr>
          <w:p w14:paraId="062EE607" w14:textId="22C2C85B" w:rsidR="00E62FA2" w:rsidRDefault="00F17A3C" w:rsidP="00E62FA2">
            <w:sdt>
              <w:sdtPr>
                <w:alias w:val="Activity"/>
                <w:tag w:val="Activity"/>
                <w:id w:val="1654095920"/>
                <w:placeholder>
                  <w:docPart w:val="F0305A30DDBA475F87323578BE1A7B3F"/>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7802985" w:edGrp="everyone"/>
                <w:r w:rsidR="00186EE1">
                  <w:t>Investment Services</w:t>
                </w:r>
                <w:permEnd w:id="77802985"/>
              </w:sdtContent>
            </w:sdt>
          </w:p>
        </w:tc>
      </w:tr>
      <w:tr w:rsidR="00E62FA2" w14:paraId="01514E1B" w14:textId="77777777" w:rsidTr="00F84E69">
        <w:tc>
          <w:tcPr>
            <w:tcW w:w="3510" w:type="dxa"/>
          </w:tcPr>
          <w:p w14:paraId="0BC2E34C" w14:textId="258A9A46" w:rsidR="00E62FA2" w:rsidRDefault="00E62FA2" w:rsidP="00E62FA2">
            <w:r>
              <w:t>Country/Region</w:t>
            </w:r>
          </w:p>
        </w:tc>
        <w:sdt>
          <w:sdtPr>
            <w:alias w:val="Country"/>
            <w:tag w:val="Country"/>
            <w:id w:val="-1549134410"/>
            <w:placeholder>
              <w:docPart w:val="DefaultPlaceholder_108206515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37091592" w:edGrp="everyone" w:displacedByCustomXml="prev"/>
            <w:tc>
              <w:tcPr>
                <w:tcW w:w="6118" w:type="dxa"/>
              </w:tcPr>
              <w:p w14:paraId="4E96914E" w14:textId="70BE0F27" w:rsidR="00E62FA2" w:rsidRDefault="00186EE1" w:rsidP="00E62FA2">
                <w:r>
                  <w:t>Europe</w:t>
                </w:r>
              </w:p>
            </w:tc>
            <w:permEnd w:id="837091592" w:displacedByCustomXml="next"/>
          </w:sdtContent>
        </w:sdt>
      </w:tr>
    </w:tbl>
    <w:p w14:paraId="65CEBBFE" w14:textId="73B3DEAD" w:rsidR="00AB1788" w:rsidRDefault="00AB1788" w:rsidP="00AB1788"/>
    <w:p w14:paraId="01106A00" w14:textId="77777777" w:rsidR="00940A63" w:rsidRDefault="00005941" w:rsidP="00940A63">
      <w:pPr>
        <w:pStyle w:val="Heading1"/>
        <w:numPr>
          <w:ilvl w:val="0"/>
          <w:numId w:val="0"/>
        </w:numPr>
      </w:pPr>
      <w:r>
        <w:br w:type="page"/>
      </w:r>
      <w:bookmarkStart w:id="1" w:name="_Toc392599420"/>
      <w:r w:rsidR="00940A63" w:rsidRPr="004C2CD3">
        <w:lastRenderedPageBreak/>
        <w:t>Introduction</w:t>
      </w:r>
      <w:bookmarkEnd w:id="1"/>
    </w:p>
    <w:p w14:paraId="17BF385A" w14:textId="77777777" w:rsidR="008203F7" w:rsidRDefault="008203F7" w:rsidP="008203F7"/>
    <w:p w14:paraId="1DE18D6B" w14:textId="15600D01" w:rsidR="008203F7" w:rsidRPr="008203F7" w:rsidRDefault="008203F7" w:rsidP="008203F7">
      <w:pPr>
        <w:rPr>
          <w:b/>
        </w:rPr>
      </w:pPr>
      <w:r w:rsidRPr="008203F7">
        <w:rPr>
          <w:b/>
        </w:rPr>
        <w:t>Please make your introductory comments below:</w:t>
      </w:r>
    </w:p>
    <w:p w14:paraId="4F51EF8E" w14:textId="77777777" w:rsidR="008203F7" w:rsidRDefault="008203F7" w:rsidP="008203F7"/>
    <w:p w14:paraId="7B840C8E" w14:textId="6968F3AD" w:rsidR="008203F7" w:rsidRDefault="008203F7" w:rsidP="008203F7">
      <w:r>
        <w:t>&lt;ESMA_COMMENT_1&gt;</w:t>
      </w:r>
    </w:p>
    <w:p w14:paraId="0E403B1B" w14:textId="77777777" w:rsidR="00186EE1" w:rsidRPr="00E471DB" w:rsidRDefault="00186EE1" w:rsidP="00186EE1">
      <w:pPr>
        <w:rPr>
          <w:lang w:val="en-US"/>
        </w:rPr>
      </w:pPr>
      <w:permStart w:id="539376010" w:edGrp="everyone"/>
      <w:r w:rsidRPr="00E471DB">
        <w:rPr>
          <w:lang w:val="en-US"/>
        </w:rPr>
        <w:t xml:space="preserve">EFAMA is the representative association for the European investment management industry. EFAMA represents through its 27 member associations and 62 corporate members almost EUR 17 trillion in assets under management of which EUR 10.2 trillion managed by 55,000 investment funds at end March 2014. Just over 35,600 of these funds were UCITS (Undertakings for Collective Investments in Transferable Securities) funds. For more information about EFAMA, please visit </w:t>
      </w:r>
      <w:hyperlink r:id="rId13" w:history="1">
        <w:r w:rsidRPr="00E471DB">
          <w:rPr>
            <w:rStyle w:val="Hyperlink"/>
            <w:lang w:val="en-US"/>
          </w:rPr>
          <w:t>www.efama.org</w:t>
        </w:r>
      </w:hyperlink>
    </w:p>
    <w:p w14:paraId="51283567" w14:textId="77777777" w:rsidR="00186EE1" w:rsidRDefault="00186EE1" w:rsidP="00186EE1">
      <w:pPr>
        <w:jc w:val="both"/>
      </w:pPr>
      <w:r>
        <w:t>Despite the short deadline, we welcome</w:t>
      </w:r>
      <w:r w:rsidRPr="009F257A">
        <w:t xml:space="preserve"> the opportunity to respond to the ESMA Consultation on </w:t>
      </w:r>
      <w:r>
        <w:t>the Clearing Obligation under EMIR (n°1)</w:t>
      </w:r>
      <w:r w:rsidRPr="009F257A">
        <w:t>.</w:t>
      </w:r>
    </w:p>
    <w:p w14:paraId="0E958BE9" w14:textId="77777777" w:rsidR="00186EE1" w:rsidRDefault="00186EE1" w:rsidP="00186EE1">
      <w:pPr>
        <w:jc w:val="both"/>
      </w:pPr>
    </w:p>
    <w:p w14:paraId="1A2514CE" w14:textId="77777777" w:rsidR="00186EE1" w:rsidRPr="009F257A" w:rsidRDefault="00186EE1" w:rsidP="00186EE1">
      <w:pPr>
        <w:jc w:val="both"/>
      </w:pPr>
    </w:p>
    <w:p w14:paraId="1B9BEE4B" w14:textId="77777777" w:rsidR="00186EE1" w:rsidRDefault="00186EE1" w:rsidP="00186EE1">
      <w:pPr>
        <w:jc w:val="both"/>
        <w:rPr>
          <w:b/>
        </w:rPr>
      </w:pPr>
      <w:r w:rsidRPr="009F257A">
        <w:rPr>
          <w:b/>
        </w:rPr>
        <w:t>Executive summary</w:t>
      </w:r>
      <w:r>
        <w:rPr>
          <w:b/>
        </w:rPr>
        <w:t xml:space="preserve"> </w:t>
      </w:r>
    </w:p>
    <w:p w14:paraId="4811635A" w14:textId="77777777" w:rsidR="00186EE1" w:rsidRPr="009F257A" w:rsidRDefault="00186EE1" w:rsidP="00186EE1">
      <w:pPr>
        <w:jc w:val="both"/>
      </w:pPr>
    </w:p>
    <w:p w14:paraId="5E1D3EB2" w14:textId="16949CE7" w:rsidR="00186EE1" w:rsidRPr="00AA7AF5" w:rsidRDefault="00186EE1" w:rsidP="00186EE1">
      <w:pPr>
        <w:pStyle w:val="ListParagraph"/>
        <w:numPr>
          <w:ilvl w:val="0"/>
          <w:numId w:val="57"/>
        </w:numPr>
        <w:spacing w:line="276" w:lineRule="auto"/>
        <w:ind w:left="360"/>
        <w:jc w:val="both"/>
      </w:pPr>
      <w:r w:rsidRPr="00AA7AF5">
        <w:rPr>
          <w:b/>
          <w:u w:val="single"/>
        </w:rPr>
        <w:t>Clearing obligation procedure</w:t>
      </w:r>
      <w:r>
        <w:rPr>
          <w:b/>
        </w:rPr>
        <w:t xml:space="preserve">. </w:t>
      </w:r>
      <w:r w:rsidRPr="00AA7AF5">
        <w:t xml:space="preserve">EFAMA </w:t>
      </w:r>
      <w:r>
        <w:t>welcomes</w:t>
      </w:r>
      <w:r w:rsidRPr="00AA7AF5">
        <w:t xml:space="preserve"> the proposal made by ESMA for the clearing obligation procedure, </w:t>
      </w:r>
      <w:r w:rsidR="00A871A1">
        <w:t>and generally agrees with</w:t>
      </w:r>
      <w:r w:rsidRPr="00AA7AF5">
        <w:t xml:space="preserve"> the proposed structure for the interest rate OTC derivative classes</w:t>
      </w:r>
      <w:r w:rsidR="00A871A1">
        <w:t xml:space="preserve"> (see however our detailed reply to Question 2 of the Consultation Paper for further details)</w:t>
      </w:r>
      <w:r>
        <w:rPr>
          <w:b/>
        </w:rPr>
        <w:t>.</w:t>
      </w:r>
    </w:p>
    <w:p w14:paraId="22FB2C0D" w14:textId="77777777" w:rsidR="00186EE1" w:rsidRPr="00AA7AF5" w:rsidRDefault="00186EE1" w:rsidP="00186EE1">
      <w:pPr>
        <w:pStyle w:val="ListParagraph"/>
        <w:ind w:left="360"/>
        <w:jc w:val="both"/>
      </w:pPr>
    </w:p>
    <w:p w14:paraId="18D5AC17" w14:textId="77777777" w:rsidR="00186EE1" w:rsidRDefault="00186EE1" w:rsidP="00186EE1">
      <w:pPr>
        <w:pStyle w:val="ListParagraph"/>
        <w:numPr>
          <w:ilvl w:val="0"/>
          <w:numId w:val="57"/>
        </w:numPr>
        <w:spacing w:line="276" w:lineRule="auto"/>
        <w:ind w:left="360"/>
        <w:jc w:val="both"/>
      </w:pPr>
      <w:r w:rsidRPr="00AA7AF5">
        <w:rPr>
          <w:b/>
          <w:u w:val="single"/>
        </w:rPr>
        <w:t>Phase-in approach for regulated investment funds</w:t>
      </w:r>
      <w:r>
        <w:t xml:space="preserve">. </w:t>
      </w:r>
      <w:r w:rsidRPr="00AA7AF5">
        <w:t xml:space="preserve">We strongly agree with ESMA’s proposal and </w:t>
      </w:r>
      <w:r w:rsidRPr="00AA7AF5">
        <w:rPr>
          <w:b/>
        </w:rPr>
        <w:t>welcome the lengthy phase-in of 18 months for category 2 counterparties</w:t>
      </w:r>
      <w:r w:rsidRPr="00AA7AF5">
        <w:t xml:space="preserve"> (e.g. UCITS and AIFs), as this gives our members sufficient time to prepare for clearing</w:t>
      </w:r>
      <w:r>
        <w:t xml:space="preserve"> (see our reply to Question 8 of the Consultation Paper)</w:t>
      </w:r>
      <w:r w:rsidRPr="00AA7AF5">
        <w:t>.</w:t>
      </w:r>
    </w:p>
    <w:p w14:paraId="5837BF21" w14:textId="77777777" w:rsidR="00186EE1" w:rsidRPr="00AA7AF5" w:rsidRDefault="00186EE1" w:rsidP="00186EE1">
      <w:pPr>
        <w:pStyle w:val="ListParagraph"/>
      </w:pPr>
    </w:p>
    <w:p w14:paraId="6DAC277B" w14:textId="77777777" w:rsidR="00186EE1" w:rsidRPr="00D76C1D" w:rsidRDefault="00186EE1" w:rsidP="00186EE1">
      <w:pPr>
        <w:pStyle w:val="ListParagraph"/>
        <w:numPr>
          <w:ilvl w:val="0"/>
          <w:numId w:val="57"/>
        </w:numPr>
        <w:spacing w:line="276" w:lineRule="auto"/>
        <w:ind w:left="360"/>
        <w:jc w:val="both"/>
        <w:rPr>
          <w:b/>
        </w:rPr>
      </w:pPr>
      <w:r w:rsidRPr="00AA7AF5">
        <w:rPr>
          <w:b/>
          <w:u w:val="single"/>
        </w:rPr>
        <w:t>Front-loading requirements</w:t>
      </w:r>
      <w:r w:rsidRPr="00AA7AF5">
        <w:rPr>
          <w:b/>
        </w:rPr>
        <w:t xml:space="preserve">. </w:t>
      </w:r>
      <w:r w:rsidRPr="00AA7AF5">
        <w:t>We welcome the proposal to effectively limit front-loading to contracts entered into during period B.</w:t>
      </w:r>
      <w:r w:rsidRPr="00AA7AF5">
        <w:rPr>
          <w:b/>
        </w:rPr>
        <w:t xml:space="preserve"> We are concerned, however, that the practical impact of the</w:t>
      </w:r>
      <w:r>
        <w:rPr>
          <w:b/>
        </w:rPr>
        <w:t xml:space="preserve"> application of front loading to contracts </w:t>
      </w:r>
      <w:r w:rsidRPr="00785E52">
        <w:rPr>
          <w:b/>
        </w:rPr>
        <w:t>with a minimum remaining maturity of 6 months, on the date of application of the clearing obligation</w:t>
      </w:r>
      <w:r w:rsidRPr="00AA7AF5">
        <w:rPr>
          <w:b/>
        </w:rPr>
        <w:t xml:space="preserve"> will mean that the phase-in will be of little </w:t>
      </w:r>
      <w:r>
        <w:rPr>
          <w:b/>
        </w:rPr>
        <w:t xml:space="preserve">practical </w:t>
      </w:r>
      <w:r w:rsidRPr="00AA7AF5">
        <w:rPr>
          <w:b/>
        </w:rPr>
        <w:t>use</w:t>
      </w:r>
      <w:r>
        <w:rPr>
          <w:b/>
        </w:rPr>
        <w:t xml:space="preserve"> to a large number of category 2 counterparties. </w:t>
      </w:r>
      <w:r>
        <w:t>We therefore recommend alternative approaches to ESMA (see our reply to Question 9 of the Consultation Paper).</w:t>
      </w:r>
    </w:p>
    <w:p w14:paraId="0073995E" w14:textId="77777777" w:rsidR="00186EE1" w:rsidRPr="00D76C1D" w:rsidRDefault="00186EE1" w:rsidP="00186EE1">
      <w:pPr>
        <w:pStyle w:val="ListParagraph"/>
        <w:rPr>
          <w:b/>
        </w:rPr>
      </w:pPr>
    </w:p>
    <w:p w14:paraId="6DCF4C0A" w14:textId="77777777" w:rsidR="00186EE1" w:rsidRPr="00D76C1D" w:rsidRDefault="00186EE1" w:rsidP="00186EE1">
      <w:pPr>
        <w:pStyle w:val="ListParagraph"/>
        <w:numPr>
          <w:ilvl w:val="0"/>
          <w:numId w:val="57"/>
        </w:numPr>
        <w:spacing w:after="200" w:line="276" w:lineRule="auto"/>
        <w:ind w:left="360"/>
        <w:jc w:val="both"/>
      </w:pPr>
      <w:r>
        <w:rPr>
          <w:b/>
          <w:u w:val="single"/>
        </w:rPr>
        <w:t>Public register</w:t>
      </w:r>
      <w:r>
        <w:t xml:space="preserve">. </w:t>
      </w:r>
      <w:r w:rsidRPr="00D76C1D">
        <w:t xml:space="preserve">EFAMA </w:t>
      </w:r>
      <w:r>
        <w:t>supports the principle of</w:t>
      </w:r>
      <w:r w:rsidRPr="00D76C1D">
        <w:t xml:space="preserve"> a public register </w:t>
      </w:r>
      <w:r>
        <w:t xml:space="preserve">available </w:t>
      </w:r>
      <w:r w:rsidRPr="00D76C1D">
        <w:t xml:space="preserve">on </w:t>
      </w:r>
      <w:r>
        <w:t>ESMA’s</w:t>
      </w:r>
      <w:r w:rsidRPr="00D76C1D">
        <w:t xml:space="preserve"> website. Such register will indeed enable all market participants (including investment fund management companies) to access in a timely manner all relevant data belonging to a class of OTC derivative contracts which is subject to </w:t>
      </w:r>
      <w:r>
        <w:t xml:space="preserve">the </w:t>
      </w:r>
      <w:r w:rsidRPr="00D76C1D">
        <w:t>clearing obligation. This will also help reducing research costs incurred by market participants who will no longer have to conduct their own research for each authorized or registered CCP.</w:t>
      </w:r>
      <w:r>
        <w:t xml:space="preserve"> </w:t>
      </w:r>
      <w:r w:rsidRPr="00D76C1D">
        <w:t>We have some concerns, however, on the practical implications of the public register process, in particular in cases where derivative classes should be removed from the register</w:t>
      </w:r>
      <w:r>
        <w:t xml:space="preserve"> (see our reply to Question 4 for further details).</w:t>
      </w:r>
    </w:p>
    <w:permEnd w:id="539376010"/>
    <w:p w14:paraId="0ED26C21" w14:textId="4B75D022" w:rsidR="008203F7" w:rsidRPr="008203F7" w:rsidRDefault="008203F7" w:rsidP="008203F7">
      <w:r>
        <w:t>&lt;ESMA_COMMENT_1&gt;</w:t>
      </w:r>
    </w:p>
    <w:p w14:paraId="6DBF3C84" w14:textId="77777777" w:rsidR="00940A63" w:rsidRDefault="00940A63" w:rsidP="00940A63"/>
    <w:p w14:paraId="5C818ED6" w14:textId="1A516A94" w:rsidR="00940A63" w:rsidRPr="006D44AF" w:rsidRDefault="00E363D7" w:rsidP="00940A63">
      <w:pPr>
        <w:pStyle w:val="Heading1"/>
      </w:pPr>
      <w:bookmarkStart w:id="2" w:name="_Toc392599421"/>
      <w:r>
        <w:tab/>
      </w:r>
      <w:r w:rsidR="00940A63" w:rsidRPr="006D44AF">
        <w:t>The clearing obligation procedure</w:t>
      </w:r>
      <w:bookmarkStart w:id="3" w:name="_Toc391309264"/>
      <w:bookmarkStart w:id="4" w:name="_Toc391312004"/>
      <w:bookmarkStart w:id="5" w:name="_Toc391309265"/>
      <w:bookmarkStart w:id="6" w:name="_Toc391312005"/>
      <w:bookmarkEnd w:id="2"/>
      <w:bookmarkEnd w:id="3"/>
      <w:bookmarkEnd w:id="4"/>
      <w:bookmarkEnd w:id="5"/>
      <w:bookmarkEnd w:id="6"/>
    </w:p>
    <w:p w14:paraId="715188EC" w14:textId="77777777" w:rsidR="00940A63" w:rsidRDefault="00940A63" w:rsidP="00940A63"/>
    <w:p w14:paraId="5FFEB620" w14:textId="51C8E895" w:rsidR="00940A63" w:rsidRDefault="00940A63" w:rsidP="00940A63">
      <w:pPr>
        <w:pStyle w:val="Questions"/>
      </w:pPr>
      <w:r>
        <w:t xml:space="preserve">Question </w:t>
      </w:r>
      <w:r w:rsidR="00F17A3C">
        <w:fldChar w:fldCharType="begin"/>
      </w:r>
      <w:r w:rsidR="00F17A3C">
        <w:instrText xml:space="preserve"> SEQ Question \* ARABIC </w:instrText>
      </w:r>
      <w:r w:rsidR="00F17A3C">
        <w:fldChar w:fldCharType="separate"/>
      </w:r>
      <w:r w:rsidR="00A63BA9">
        <w:rPr>
          <w:noProof/>
        </w:rPr>
        <w:t>1</w:t>
      </w:r>
      <w:r w:rsidR="00F17A3C">
        <w:rPr>
          <w:noProof/>
        </w:rPr>
        <w:fldChar w:fldCharType="end"/>
      </w:r>
      <w:r>
        <w:t>: Do you have any comment on the clearing obligation procedure described in Section 1?</w:t>
      </w:r>
    </w:p>
    <w:p w14:paraId="499DD526" w14:textId="77777777" w:rsidR="00940A63" w:rsidRDefault="00940A63" w:rsidP="00940A63"/>
    <w:p w14:paraId="4706DF62" w14:textId="55BCD5F7" w:rsidR="00940A63" w:rsidRDefault="00940A63" w:rsidP="00940A63">
      <w:r>
        <w:t>&lt;ESMA_QUESTION_1&gt;</w:t>
      </w:r>
    </w:p>
    <w:p w14:paraId="0BAB6F28" w14:textId="77777777" w:rsidR="00186EE1" w:rsidRDefault="00186EE1" w:rsidP="00186EE1">
      <w:pPr>
        <w:pStyle w:val="ListParagraph"/>
        <w:ind w:left="360"/>
        <w:jc w:val="both"/>
      </w:pPr>
      <w:permStart w:id="620704481" w:edGrp="everyone"/>
      <w:r>
        <w:lastRenderedPageBreak/>
        <w:t>We have no particular comments on the clearing obligation procedures described in Section 1 of the Consultation Paper</w:t>
      </w:r>
      <w:r w:rsidRPr="009F257A">
        <w:t>.</w:t>
      </w:r>
      <w:r>
        <w:t xml:space="preserve"> We are supportive of ESMA’s approach consisting in grouping the analysis of the notified classes of OTC derivatives in a minimal set of consultation papers, grouped by asset classes.</w:t>
      </w:r>
    </w:p>
    <w:permEnd w:id="620704481"/>
    <w:p w14:paraId="24B7925F" w14:textId="2D3B4E7E" w:rsidR="00E363D7" w:rsidRDefault="00940A63" w:rsidP="00940A63">
      <w:r>
        <w:t>&lt;ESMA_QUESTION_1&gt;</w:t>
      </w:r>
    </w:p>
    <w:p w14:paraId="31770DB2" w14:textId="77777777" w:rsidR="00E363D7" w:rsidRDefault="00E363D7" w:rsidP="00940A63"/>
    <w:p w14:paraId="62FFF351" w14:textId="4A050D8E" w:rsidR="00940A63" w:rsidRDefault="00E363D7" w:rsidP="00940A63">
      <w:pPr>
        <w:pStyle w:val="Heading1"/>
      </w:pPr>
      <w:bookmarkStart w:id="7" w:name="_Toc389496892"/>
      <w:bookmarkStart w:id="8" w:name="_Toc392599422"/>
      <w:r>
        <w:tab/>
      </w:r>
      <w:r w:rsidR="00940A63">
        <w:t>Structure of the interest rate derivatives classes</w:t>
      </w:r>
      <w:bookmarkEnd w:id="7"/>
      <w:bookmarkEnd w:id="8"/>
    </w:p>
    <w:p w14:paraId="2A31F28E" w14:textId="27525E42" w:rsidR="00940A63" w:rsidRDefault="00940A63" w:rsidP="00940A63">
      <w:pPr>
        <w:pStyle w:val="Heading2"/>
      </w:pPr>
      <w:r>
        <w:t>Characteristics to be used for interest rate derivative classes</w:t>
      </w:r>
    </w:p>
    <w:p w14:paraId="5932EDFA" w14:textId="3FC1F6D2" w:rsidR="00940A63" w:rsidRDefault="00940A63" w:rsidP="00940A63">
      <w:pPr>
        <w:pStyle w:val="Questions"/>
      </w:pPr>
      <w:r>
        <w:t xml:space="preserve">Question </w:t>
      </w:r>
      <w:r w:rsidR="00F17A3C">
        <w:fldChar w:fldCharType="begin"/>
      </w:r>
      <w:r w:rsidR="00F17A3C">
        <w:instrText xml:space="preserve"> SEQ Question \* ARABIC </w:instrText>
      </w:r>
      <w:r w:rsidR="00F17A3C">
        <w:fldChar w:fldCharType="separate"/>
      </w:r>
      <w:r w:rsidR="00A63BA9">
        <w:rPr>
          <w:noProof/>
        </w:rPr>
        <w:t>2</w:t>
      </w:r>
      <w:r w:rsidR="00F17A3C">
        <w:rPr>
          <w:noProof/>
        </w:rPr>
        <w:fldChar w:fldCharType="end"/>
      </w:r>
      <w:r>
        <w:t>: Do you consider that the proposed structure defined here for the interest rate OTC derivative classes enables counterparties to identify which contracts fall under the clearing obligation as well as allows international convergence? Please explain.</w:t>
      </w:r>
    </w:p>
    <w:p w14:paraId="11E07919" w14:textId="77777777" w:rsidR="00940A63" w:rsidRDefault="00940A63" w:rsidP="00940A63"/>
    <w:p w14:paraId="6B926F6C" w14:textId="2EAE8135" w:rsidR="00940A63" w:rsidRDefault="00940A63" w:rsidP="00940A63">
      <w:r>
        <w:t>&lt;ESMA_QUESTION_2&gt;</w:t>
      </w:r>
    </w:p>
    <w:p w14:paraId="3A994310" w14:textId="74DE3B43" w:rsidR="009404A2" w:rsidRDefault="00186EE1" w:rsidP="00186EE1">
      <w:pPr>
        <w:pStyle w:val="ListParagraph"/>
        <w:ind w:left="360"/>
        <w:jc w:val="both"/>
      </w:pPr>
      <w:permStart w:id="1341094284" w:edGrp="everyone"/>
      <w:r>
        <w:t xml:space="preserve">EFAMA </w:t>
      </w:r>
      <w:r w:rsidR="00A871A1">
        <w:t xml:space="preserve">generally </w:t>
      </w:r>
      <w:r>
        <w:t xml:space="preserve">agrees with the proposed structure of the interest rate OTC derivatives classes. </w:t>
      </w:r>
    </w:p>
    <w:p w14:paraId="56949055" w14:textId="77777777" w:rsidR="009404A2" w:rsidRDefault="009404A2" w:rsidP="00186EE1">
      <w:pPr>
        <w:pStyle w:val="ListParagraph"/>
        <w:ind w:left="360"/>
        <w:jc w:val="both"/>
      </w:pPr>
    </w:p>
    <w:p w14:paraId="443DFEF9" w14:textId="4964EC6B" w:rsidR="00186EE1" w:rsidRDefault="00186EE1" w:rsidP="00186EE1">
      <w:pPr>
        <w:pStyle w:val="ListParagraph"/>
        <w:ind w:left="360"/>
        <w:jc w:val="both"/>
      </w:pPr>
      <w:r>
        <w:t xml:space="preserve">However, </w:t>
      </w:r>
      <w:r w:rsidRPr="00F55655">
        <w:t>we are concerned that the dra</w:t>
      </w:r>
      <w:r>
        <w:t>ft RTS do not adequately reflec</w:t>
      </w:r>
      <w:r w:rsidRPr="00F55655">
        <w:t>t</w:t>
      </w:r>
      <w:r>
        <w:t xml:space="preserve"> </w:t>
      </w:r>
      <w:r w:rsidRPr="00F55655">
        <w:t>the proposed</w:t>
      </w:r>
      <w:r>
        <w:t xml:space="preserve"> structure as outlined in the consultation paper (CP)</w:t>
      </w:r>
      <w:r w:rsidRPr="00F55655">
        <w:t>. The CP (para</w:t>
      </w:r>
      <w:r>
        <w:t>graph</w:t>
      </w:r>
      <w:r w:rsidRPr="00F55655">
        <w:t xml:space="preserve"> 22) stat</w:t>
      </w:r>
      <w:r>
        <w:t>es that derivative contracts tha</w:t>
      </w:r>
      <w:r w:rsidRPr="00F55655">
        <w:t xml:space="preserve">t are (1) supported by CCPs and </w:t>
      </w:r>
      <w:r>
        <w:t>(2) have their seven characteristic</w:t>
      </w:r>
      <w:r w:rsidRPr="00F55655">
        <w:t>s</w:t>
      </w:r>
      <w:r>
        <w:t xml:space="preserve"> </w:t>
      </w:r>
      <w:r w:rsidRPr="00F55655">
        <w:t xml:space="preserve">meeting the scope of classes defined in section 3.2.4 (also in Annex I of the draft RTS) will need to be cleared. However the RTS only refers to the second part of the test. </w:t>
      </w:r>
    </w:p>
    <w:p w14:paraId="1FA4E506" w14:textId="77777777" w:rsidR="00D738CB" w:rsidRDefault="00D738CB" w:rsidP="00186EE1">
      <w:pPr>
        <w:pStyle w:val="ListParagraph"/>
        <w:ind w:left="360"/>
        <w:jc w:val="both"/>
      </w:pPr>
    </w:p>
    <w:p w14:paraId="47E6B76D" w14:textId="33AA0E9E" w:rsidR="00D738CB" w:rsidRDefault="009404A2" w:rsidP="00186EE1">
      <w:pPr>
        <w:pStyle w:val="ListParagraph"/>
        <w:ind w:left="360"/>
        <w:jc w:val="both"/>
      </w:pPr>
      <w:r>
        <w:t xml:space="preserve">As it stands, it is our understanding that all transactions on IRS listed in tables 1 to 4 attached to the draft RTS would be subject to mandatory clearing, provided that at least one of the approved CCPs can clear it. If such was the case, market participants would be forced </w:t>
      </w:r>
      <w:r w:rsidR="0004248A">
        <w:t>to do their own analysis on the offer of the CCPs (with more detail than what would be available in the central public register published by ESMA).</w:t>
      </w:r>
    </w:p>
    <w:p w14:paraId="74C7E506" w14:textId="77777777" w:rsidR="0004248A" w:rsidRDefault="0004248A" w:rsidP="00186EE1">
      <w:pPr>
        <w:pStyle w:val="ListParagraph"/>
        <w:ind w:left="360"/>
        <w:jc w:val="both"/>
      </w:pPr>
    </w:p>
    <w:p w14:paraId="09F00604" w14:textId="3FCEA95A" w:rsidR="0004248A" w:rsidRDefault="0004248A" w:rsidP="00186EE1">
      <w:pPr>
        <w:pStyle w:val="ListParagraph"/>
        <w:ind w:left="360"/>
        <w:jc w:val="both"/>
      </w:pPr>
      <w:r w:rsidRPr="00F55655">
        <w:t xml:space="preserve">We suggest that ESMA include an explicit reference to the first part of the ‘two-step test’ that appropriately reflects the detailed terms that CCPs use to determine whether a contract can be cleared. This will minimise the burden on counterparties having to undertake their own analysis </w:t>
      </w:r>
      <w:r>
        <w:t>(</w:t>
      </w:r>
      <w:r w:rsidRPr="00F55655">
        <w:t>on a trade-by-trade basis</w:t>
      </w:r>
      <w:r>
        <w:t>) of whet</w:t>
      </w:r>
      <w:r w:rsidRPr="00F55655">
        <w:t>h</w:t>
      </w:r>
      <w:r>
        <w:t>er an author</w:t>
      </w:r>
      <w:r w:rsidRPr="00F55655">
        <w:t>ised or recognised CCP is able to clear a particular contract.</w:t>
      </w:r>
    </w:p>
    <w:p w14:paraId="7643AB6C" w14:textId="77777777" w:rsidR="0004248A" w:rsidRDefault="0004248A" w:rsidP="00186EE1">
      <w:pPr>
        <w:pStyle w:val="ListParagraph"/>
        <w:ind w:left="360"/>
        <w:jc w:val="both"/>
      </w:pPr>
    </w:p>
    <w:p w14:paraId="0F1040CE" w14:textId="14DF99F1" w:rsidR="00985147" w:rsidRPr="00F55655" w:rsidRDefault="0004248A" w:rsidP="00985147">
      <w:pPr>
        <w:pStyle w:val="ListParagraph"/>
        <w:ind w:left="360"/>
        <w:jc w:val="both"/>
      </w:pPr>
      <w:r>
        <w:t xml:space="preserve">Furthermore, the draft RTS could be interpreted as to mean that if one CCP introduces a new flexibility that enables it to clear a particular IRS that used to be ‘unclearable’ before, it might lead to an immediate obligation to clear, without prior regulatory analysis and </w:t>
      </w:r>
      <w:r w:rsidR="004D1860">
        <w:t>announcement</w:t>
      </w:r>
      <w:r>
        <w:t>. This would clearly be very problematic and we therefore</w:t>
      </w:r>
      <w:r w:rsidR="004D1860">
        <w:t xml:space="preserve"> request the draft RTS to confirm that, within a class, new contracts will not be subject to clearing obligation without prior consultation </w:t>
      </w:r>
      <w:r>
        <w:t xml:space="preserve"> </w:t>
      </w:r>
      <w:r w:rsidR="004D1860">
        <w:t xml:space="preserve">and a new RTS defining </w:t>
      </w:r>
      <w:r w:rsidR="00985147">
        <w:t>the extension of the clearing obligation and determining the dates for the implementation, as well as the conditions for a potential front loading.</w:t>
      </w:r>
    </w:p>
    <w:permEnd w:id="1341094284"/>
    <w:p w14:paraId="2BCEDDBF" w14:textId="4395EBAA" w:rsidR="00940A63" w:rsidRDefault="00940A63" w:rsidP="00940A63">
      <w:r>
        <w:t>&lt;ESMA_QUESTION_2&gt;</w:t>
      </w:r>
    </w:p>
    <w:p w14:paraId="3A1DBEA1" w14:textId="77777777" w:rsidR="00940A63" w:rsidRDefault="00940A63" w:rsidP="00940A63"/>
    <w:p w14:paraId="4DA903A9" w14:textId="0054CDFA" w:rsidR="00940A63" w:rsidRDefault="00940A63" w:rsidP="00940A63">
      <w:pPr>
        <w:pStyle w:val="Heading2"/>
      </w:pPr>
      <w:r>
        <w:t>Additional Characteristics needed to cover Covered Bonds derivatives</w:t>
      </w:r>
    </w:p>
    <w:p w14:paraId="07ACFAA0" w14:textId="12177F61" w:rsidR="00940A63" w:rsidRDefault="00940A63" w:rsidP="00940A63">
      <w:pPr>
        <w:pStyle w:val="Questions"/>
      </w:pPr>
      <w:r>
        <w:t xml:space="preserve">Question </w:t>
      </w:r>
      <w:r w:rsidR="00F17A3C">
        <w:fldChar w:fldCharType="begin"/>
      </w:r>
      <w:r w:rsidR="00F17A3C">
        <w:instrText xml:space="preserve"> SEQ Question \* ARABIC </w:instrText>
      </w:r>
      <w:r w:rsidR="00F17A3C">
        <w:fldChar w:fldCharType="separate"/>
      </w:r>
      <w:r w:rsidR="00A63BA9">
        <w:rPr>
          <w:noProof/>
        </w:rPr>
        <w:t>3</w:t>
      </w:r>
      <w:r w:rsidR="00F17A3C">
        <w:rPr>
          <w:noProof/>
        </w:rPr>
        <w:fldChar w:fldCharType="end"/>
      </w:r>
      <w:r>
        <w:t>: Do you consider that the proposed approach on covered bonds derivatives ensures that the special characteristics of those contracts are adequately taken into account in the context of the clearing obligation? Please explain why and possible alternatives.</w:t>
      </w:r>
    </w:p>
    <w:p w14:paraId="1161C49C" w14:textId="68A93E25" w:rsidR="00940A63" w:rsidRPr="00525EBD" w:rsidRDefault="00940A63" w:rsidP="00940A63">
      <w:pPr>
        <w:pStyle w:val="Questions"/>
      </w:pPr>
      <w:r>
        <w:t xml:space="preserve">Stakeholders (CCPs and covered bond derivatives users, in particular) are invited to provide detailed feedback on paragraph </w:t>
      </w:r>
      <w:r w:rsidR="00A63BA9">
        <w:t xml:space="preserve">38 </w:t>
      </w:r>
      <w:r>
        <w:t>above. In particular: what is the nature of the impediments (e.g. legal, technical) that CCPs are facing in this respect, if any? Has there been further discussions between CCPs and covered bond derivatives users and any progress resulting thereof?</w:t>
      </w:r>
    </w:p>
    <w:p w14:paraId="6EC0442D" w14:textId="77777777" w:rsidR="00940A63" w:rsidRDefault="00940A63" w:rsidP="00940A63"/>
    <w:p w14:paraId="61045254" w14:textId="4E8F311E" w:rsidR="00940A63" w:rsidRDefault="00940A63" w:rsidP="00940A63">
      <w:r>
        <w:t>&lt;ESMA_QUESTION_3&gt;</w:t>
      </w:r>
    </w:p>
    <w:p w14:paraId="4BBCAE64" w14:textId="77777777" w:rsidR="00186EE1" w:rsidRDefault="00186EE1" w:rsidP="00186EE1">
      <w:pPr>
        <w:ind w:left="348"/>
        <w:jc w:val="both"/>
      </w:pPr>
      <w:permStart w:id="969111728" w:edGrp="everyone"/>
      <w:r w:rsidRPr="009F257A">
        <w:t xml:space="preserve">We </w:t>
      </w:r>
      <w:r>
        <w:t>have no particular comments on this question.</w:t>
      </w:r>
    </w:p>
    <w:permEnd w:id="969111728"/>
    <w:p w14:paraId="48D49977" w14:textId="7637EB50" w:rsidR="00940A63" w:rsidRDefault="00940A63" w:rsidP="00940A63">
      <w:r>
        <w:lastRenderedPageBreak/>
        <w:t>&lt;ESMA_QUESTION_3&gt;</w:t>
      </w:r>
    </w:p>
    <w:p w14:paraId="1F10530F" w14:textId="77777777" w:rsidR="00940A63" w:rsidRDefault="00940A63" w:rsidP="00940A63"/>
    <w:p w14:paraId="064C0325" w14:textId="18270D70" w:rsidR="00940A63" w:rsidRDefault="00940A63" w:rsidP="00940A63">
      <w:pPr>
        <w:pStyle w:val="Heading2"/>
      </w:pPr>
      <w:bookmarkStart w:id="9" w:name="_Ref392590661"/>
      <w:r>
        <w:t>Public Register</w:t>
      </w:r>
      <w:bookmarkEnd w:id="9"/>
    </w:p>
    <w:p w14:paraId="2D214882" w14:textId="77777777" w:rsidR="00940A63" w:rsidRDefault="00940A63" w:rsidP="00940A63">
      <w:pPr>
        <w:pStyle w:val="Questions"/>
      </w:pPr>
      <w:r>
        <w:t xml:space="preserve">Question </w:t>
      </w:r>
      <w:r w:rsidR="00F17A3C">
        <w:fldChar w:fldCharType="begin"/>
      </w:r>
      <w:r w:rsidR="00F17A3C">
        <w:instrText xml:space="preserve"> SEQ Question \* ARABIC </w:instrText>
      </w:r>
      <w:r w:rsidR="00F17A3C">
        <w:fldChar w:fldCharType="separate"/>
      </w:r>
      <w:r w:rsidR="00A63BA9">
        <w:rPr>
          <w:noProof/>
        </w:rPr>
        <w:t>4</w:t>
      </w:r>
      <w:r w:rsidR="00F17A3C">
        <w:rPr>
          <w:noProof/>
        </w:rPr>
        <w:fldChar w:fldCharType="end"/>
      </w:r>
      <w:r>
        <w:t xml:space="preserve">: Do you have any comment on the public register described in Section </w:t>
      </w:r>
      <w:r>
        <w:fldChar w:fldCharType="begin"/>
      </w:r>
      <w:r>
        <w:instrText xml:space="preserve"> REF _Ref392590661 \r \h </w:instrText>
      </w:r>
      <w:r>
        <w:fldChar w:fldCharType="separate"/>
      </w:r>
      <w:r w:rsidR="00A63BA9">
        <w:t>2.3</w:t>
      </w:r>
      <w:r>
        <w:fldChar w:fldCharType="end"/>
      </w:r>
      <w:r>
        <w:t>?</w:t>
      </w:r>
    </w:p>
    <w:p w14:paraId="70E76131" w14:textId="77777777" w:rsidR="00940A63" w:rsidRDefault="00940A63" w:rsidP="00940A63"/>
    <w:p w14:paraId="778876F4" w14:textId="198F5DE6" w:rsidR="00940A63" w:rsidRDefault="00940A63" w:rsidP="00940A63">
      <w:r>
        <w:t>&lt;ESMA_QUESTION_4&gt;</w:t>
      </w:r>
    </w:p>
    <w:p w14:paraId="1198656E" w14:textId="77777777" w:rsidR="00186EE1" w:rsidRDefault="00186EE1" w:rsidP="00186EE1">
      <w:pPr>
        <w:ind w:left="348"/>
        <w:jc w:val="both"/>
      </w:pPr>
      <w:permStart w:id="884684147" w:edGrp="everyone"/>
      <w:r>
        <w:t>EFAMA supports the principle of a public register available on ESMA’s website. Such register will indeed enable all market participants (including investment fund management companies) to access in a timely manner all relevant data belonging to a class of OTC derivative contracts which is subject to clearing obligation. This will also help reducing research costs incurred by market participants who will no longer have to conduct their own research for each authorized or registered CCP.</w:t>
      </w:r>
    </w:p>
    <w:p w14:paraId="1E77D919" w14:textId="77777777" w:rsidR="00186EE1" w:rsidRDefault="00186EE1" w:rsidP="00186EE1">
      <w:pPr>
        <w:ind w:left="348"/>
        <w:jc w:val="both"/>
      </w:pPr>
    </w:p>
    <w:p w14:paraId="76D04708" w14:textId="77777777" w:rsidR="00186EE1" w:rsidRDefault="00186EE1" w:rsidP="00186EE1">
      <w:pPr>
        <w:ind w:left="348"/>
        <w:jc w:val="both"/>
      </w:pPr>
      <w:r>
        <w:t xml:space="preserve">We have some concerns, however, on the practical implications of the public register process, in particular in cases where derivative classes should be removed from the register: </w:t>
      </w:r>
    </w:p>
    <w:p w14:paraId="2F41EB87" w14:textId="77777777" w:rsidR="00186EE1" w:rsidRDefault="00186EE1" w:rsidP="00186EE1">
      <w:pPr>
        <w:ind w:left="348"/>
        <w:jc w:val="both"/>
      </w:pPr>
    </w:p>
    <w:p w14:paraId="0EF569FF" w14:textId="77777777" w:rsidR="00186EE1" w:rsidRDefault="00186EE1" w:rsidP="00186EE1">
      <w:pPr>
        <w:pStyle w:val="ListParagraph"/>
        <w:numPr>
          <w:ilvl w:val="0"/>
          <w:numId w:val="58"/>
        </w:numPr>
        <w:spacing w:line="276" w:lineRule="auto"/>
        <w:jc w:val="both"/>
      </w:pPr>
      <w:r>
        <w:t xml:space="preserve">We fully support the principle that the introduction of a clearing obligation for a new contract within a class of derivative should be implemented with an appropriate phase-in period which gives market participants sufficient time to adapt to the new legal and operational arrangements. </w:t>
      </w:r>
    </w:p>
    <w:p w14:paraId="77F007D7" w14:textId="77777777" w:rsidR="00186EE1" w:rsidRDefault="00186EE1" w:rsidP="00186EE1">
      <w:pPr>
        <w:pStyle w:val="ListParagraph"/>
        <w:ind w:left="1068"/>
        <w:jc w:val="both"/>
      </w:pPr>
    </w:p>
    <w:p w14:paraId="4E69C9C0" w14:textId="77777777" w:rsidR="00186EE1" w:rsidRDefault="00186EE1" w:rsidP="00186EE1">
      <w:pPr>
        <w:pStyle w:val="ListParagraph"/>
        <w:numPr>
          <w:ilvl w:val="0"/>
          <w:numId w:val="58"/>
        </w:numPr>
        <w:spacing w:line="276" w:lineRule="auto"/>
        <w:jc w:val="both"/>
      </w:pPr>
      <w:r>
        <w:t>We also agree that the addition of new derivative classes to the public register should be undertaken within the regulatory framework of issuing new Regulatory Technical Standards (including the public consultation of stakeholders prior to the adoption of those RTS). This allows stakeholders to provide feedback in a timely and transparent manner.</w:t>
      </w:r>
    </w:p>
    <w:p w14:paraId="4B6DB453" w14:textId="77777777" w:rsidR="00186EE1" w:rsidRDefault="00186EE1" w:rsidP="00186EE1">
      <w:pPr>
        <w:pStyle w:val="ListParagraph"/>
        <w:ind w:left="1068"/>
        <w:jc w:val="both"/>
      </w:pPr>
    </w:p>
    <w:p w14:paraId="49486CE5" w14:textId="0F2DD8B7" w:rsidR="00940A63" w:rsidRDefault="00186EE1" w:rsidP="00186EE1">
      <w:pPr>
        <w:pStyle w:val="ListParagraph"/>
        <w:numPr>
          <w:ilvl w:val="0"/>
          <w:numId w:val="58"/>
        </w:numPr>
        <w:spacing w:line="276" w:lineRule="auto"/>
        <w:jc w:val="both"/>
      </w:pPr>
      <w:r>
        <w:t>To the contrary, we disagree with the same process being applied in cases where derivative classes should be removed from the register and, therefore, no longer be subject to the clearing obligation. In our view, ESMA should be able to remove quickly a clearing obligation in case of unexpected market circumstances, in particular in instances where the CCPs may impose extremely high margin requirements. Even though we understand the legal constraints highlighted by ESMA in terms of amending existing RTS, and the proposal to review the removal process as part of the overall 2015 EMIR review, we urge ESMA to consider alternatives to a full consultation process, which is not expressly prescribed by the Level 1 text of EMIR. In our view, the removal of a clearing obligation need not be treated in the same manner as the imposition of a clearing obligation, and the absence of a full consultation process in that case would not be detrimental to those who wish to continue to clear such contracts. One option for ESMA could be to provide in each set of RTS imposing the clearing obligation, a mechanism for removing a class of contracts, if the criteria set out in Article 7 of the Commission Delegated Regulation n° 149/2013 are no longer fulfilled, or for the obligation to be removed in certain extreme circumstances, pending a full consultation process.</w:t>
      </w:r>
    </w:p>
    <w:permEnd w:id="884684147"/>
    <w:p w14:paraId="7A866993" w14:textId="4A35ACC6" w:rsidR="00940A63" w:rsidRDefault="00940A63" w:rsidP="00940A63">
      <w:r>
        <w:t>&lt;ESMA_QUESTION_4&gt;</w:t>
      </w:r>
    </w:p>
    <w:p w14:paraId="770625A6" w14:textId="417B4685" w:rsidR="00940A63" w:rsidRDefault="00E363D7" w:rsidP="00940A63">
      <w:pPr>
        <w:pStyle w:val="Heading1"/>
      </w:pPr>
      <w:bookmarkStart w:id="10" w:name="_Toc389466262"/>
      <w:bookmarkStart w:id="11" w:name="_Toc389496893"/>
      <w:bookmarkStart w:id="12" w:name="_Toc392599424"/>
      <w:r>
        <w:tab/>
      </w:r>
      <w:r w:rsidR="00940A63">
        <w:t xml:space="preserve">Determination of the </w:t>
      </w:r>
      <w:r>
        <w:t xml:space="preserve">OTC interest rate </w:t>
      </w:r>
      <w:r w:rsidR="00940A63">
        <w:t>c</w:t>
      </w:r>
      <w:r w:rsidR="00940A63" w:rsidRPr="00A84770">
        <w:t>lasses to be subject to the clearing obligation</w:t>
      </w:r>
      <w:bookmarkEnd w:id="10"/>
      <w:bookmarkEnd w:id="11"/>
      <w:bookmarkEnd w:id="12"/>
    </w:p>
    <w:p w14:paraId="6CEB25C8" w14:textId="77777777" w:rsidR="00940A63" w:rsidRDefault="00940A63" w:rsidP="00940A63"/>
    <w:p w14:paraId="42842788" w14:textId="77777777" w:rsidR="00D03FE1" w:rsidRDefault="00940A63" w:rsidP="00940A63">
      <w:pPr>
        <w:pStyle w:val="Questions"/>
      </w:pPr>
      <w:r>
        <w:t xml:space="preserve">Question </w:t>
      </w:r>
      <w:r w:rsidR="00F17A3C">
        <w:fldChar w:fldCharType="begin"/>
      </w:r>
      <w:r w:rsidR="00F17A3C">
        <w:instrText xml:space="preserve"> SEQ Question \* ARABIC </w:instrText>
      </w:r>
      <w:r w:rsidR="00F17A3C">
        <w:fldChar w:fldCharType="separate"/>
      </w:r>
      <w:r w:rsidR="00A63BA9">
        <w:rPr>
          <w:noProof/>
        </w:rPr>
        <w:t>5</w:t>
      </w:r>
      <w:r w:rsidR="00F17A3C">
        <w:rPr>
          <w:noProof/>
        </w:rPr>
        <w:fldChar w:fldCharType="end"/>
      </w:r>
      <w:r>
        <w:t xml:space="preserve">: </w:t>
      </w:r>
      <w:r w:rsidR="00D03FE1">
        <w:t xml:space="preserve">In view of the criteria set in Article 5(4) of EMIR, do you consider that this set of classes addresses appropriately the systemic risk associated to interest rate OTC derivatives? Please include relevant data or information where applicable. </w:t>
      </w:r>
    </w:p>
    <w:p w14:paraId="1415631E" w14:textId="62ED6F29" w:rsidR="00940A63" w:rsidRDefault="00940A63" w:rsidP="00940A63">
      <w:pPr>
        <w:pStyle w:val="Questions"/>
      </w:pPr>
      <w:r>
        <w:t>Please include relevant data or information where applicable.</w:t>
      </w:r>
    </w:p>
    <w:p w14:paraId="13883A50" w14:textId="77777777" w:rsidR="00940A63" w:rsidRDefault="00940A63" w:rsidP="00940A63"/>
    <w:p w14:paraId="6C31BC51" w14:textId="00DC9B5B" w:rsidR="00940A63" w:rsidRDefault="00940A63" w:rsidP="00940A63">
      <w:r>
        <w:lastRenderedPageBreak/>
        <w:t>&lt;ESMA_QUESTION_5&gt;</w:t>
      </w:r>
    </w:p>
    <w:p w14:paraId="5A3413E6" w14:textId="77777777" w:rsidR="00186EE1" w:rsidRDefault="00186EE1" w:rsidP="00186EE1">
      <w:pPr>
        <w:ind w:left="348"/>
        <w:jc w:val="both"/>
      </w:pPr>
      <w:permStart w:id="1417165329" w:edGrp="everyone"/>
      <w:r>
        <w:t>We agree with the proposed criteria described in section 3 of the Consultation Paper.</w:t>
      </w:r>
    </w:p>
    <w:permEnd w:id="1417165329"/>
    <w:p w14:paraId="1BA7D861" w14:textId="0C82F14D" w:rsidR="00940A63" w:rsidRDefault="00940A63" w:rsidP="00940A63">
      <w:r>
        <w:t>&lt;ESMA_QUESTION_5&gt;</w:t>
      </w:r>
    </w:p>
    <w:p w14:paraId="276960BA" w14:textId="77777777" w:rsidR="00E363D7" w:rsidRDefault="00E363D7" w:rsidP="00940A63"/>
    <w:p w14:paraId="10B081BC" w14:textId="77777777" w:rsidR="00E363D7" w:rsidRDefault="00E363D7" w:rsidP="00940A63"/>
    <w:p w14:paraId="489A3DA0" w14:textId="6112AE3E" w:rsidR="00940A63" w:rsidRDefault="00E363D7" w:rsidP="00940A63">
      <w:pPr>
        <w:pStyle w:val="Heading1"/>
      </w:pPr>
      <w:bookmarkStart w:id="13" w:name="_Ref390182009"/>
      <w:bookmarkStart w:id="14" w:name="_Toc392599425"/>
      <w:r>
        <w:tab/>
      </w:r>
      <w:r w:rsidR="00940A63" w:rsidRPr="00412C4C">
        <w:t xml:space="preserve">Determination of the </w:t>
      </w:r>
      <w:r w:rsidR="00940A63">
        <w:t xml:space="preserve">dates on which the obligation applies and </w:t>
      </w:r>
      <w:r w:rsidR="00940A63" w:rsidRPr="00412C4C">
        <w:t>the categories of counterparties</w:t>
      </w:r>
      <w:bookmarkEnd w:id="13"/>
      <w:bookmarkEnd w:id="14"/>
    </w:p>
    <w:p w14:paraId="603B05BB" w14:textId="77777777" w:rsidR="00940A63" w:rsidRDefault="00940A63" w:rsidP="00940A63"/>
    <w:p w14:paraId="5357B245" w14:textId="3067C6FD" w:rsidR="00940A63" w:rsidRDefault="00940A63" w:rsidP="00940A63">
      <w:pPr>
        <w:pStyle w:val="Heading2"/>
      </w:pPr>
      <w:bookmarkStart w:id="15" w:name="_Ref392593104"/>
      <w:bookmarkStart w:id="16" w:name="_Ref389061836"/>
      <w:r>
        <w:t xml:space="preserve">Analysis of the criteria </w:t>
      </w:r>
      <w:bookmarkEnd w:id="15"/>
      <w:bookmarkEnd w:id="16"/>
      <w:r w:rsidR="007102FB">
        <w:t>relevant for the determination of the dates</w:t>
      </w:r>
    </w:p>
    <w:p w14:paraId="665EEB03" w14:textId="77777777" w:rsidR="00940A63" w:rsidRDefault="00940A63" w:rsidP="00940A63"/>
    <w:p w14:paraId="626ACC25" w14:textId="77777777" w:rsidR="00940A63" w:rsidRPr="00284213" w:rsidRDefault="00940A63" w:rsidP="00940A63">
      <w:pPr>
        <w:pStyle w:val="Questions"/>
      </w:pPr>
      <w:r>
        <w:t xml:space="preserve">Question </w:t>
      </w:r>
      <w:r w:rsidR="00F17A3C">
        <w:fldChar w:fldCharType="begin"/>
      </w:r>
      <w:r w:rsidR="00F17A3C">
        <w:instrText xml:space="preserve"> SEQ Question \* ARABIC </w:instrText>
      </w:r>
      <w:r w:rsidR="00F17A3C">
        <w:fldChar w:fldCharType="separate"/>
      </w:r>
      <w:r w:rsidR="00A63BA9">
        <w:rPr>
          <w:noProof/>
        </w:rPr>
        <w:t>6</w:t>
      </w:r>
      <w:r w:rsidR="00F17A3C">
        <w:rPr>
          <w:noProof/>
        </w:rPr>
        <w:fldChar w:fldCharType="end"/>
      </w:r>
      <w:r>
        <w:t xml:space="preserve">: Do you have any comment on the analysis presented in Section </w:t>
      </w:r>
      <w:r>
        <w:fldChar w:fldCharType="begin"/>
      </w:r>
      <w:r>
        <w:instrText xml:space="preserve"> REF _Ref392593104 \r \h </w:instrText>
      </w:r>
      <w:r>
        <w:fldChar w:fldCharType="separate"/>
      </w:r>
      <w:r w:rsidR="00A63BA9">
        <w:t>4.1</w:t>
      </w:r>
      <w:r>
        <w:fldChar w:fldCharType="end"/>
      </w:r>
      <w:r>
        <w:t>?</w:t>
      </w:r>
    </w:p>
    <w:p w14:paraId="3626A386" w14:textId="77777777" w:rsidR="00940A63" w:rsidRDefault="00940A63" w:rsidP="00940A63"/>
    <w:p w14:paraId="035C1DBB" w14:textId="599B20AD" w:rsidR="00940A63" w:rsidRDefault="00940A63" w:rsidP="00940A63">
      <w:r>
        <w:t>&lt;ESMA_QUESTION_6&gt;</w:t>
      </w:r>
    </w:p>
    <w:p w14:paraId="728FD41F" w14:textId="77777777" w:rsidR="00186EE1" w:rsidRDefault="00186EE1" w:rsidP="00186EE1">
      <w:pPr>
        <w:ind w:left="348"/>
        <w:jc w:val="both"/>
      </w:pPr>
      <w:permStart w:id="535381076" w:edGrp="everyone"/>
      <w:r>
        <w:t>We generally agree with the analysis presented in Section 4.1. Based on our experience, the client clearing offerings provided both at the level of the CCPs and of the clearing members are sufficiently broad to support the introduction of the clearing obligation for the OTC interest rate classes as foreseen for regulated investment funds in the Consultation Paper.</w:t>
      </w:r>
    </w:p>
    <w:permEnd w:id="535381076"/>
    <w:p w14:paraId="4B812EAC" w14:textId="7DFA0DF4" w:rsidR="00940A63" w:rsidRDefault="00940A63" w:rsidP="00940A63">
      <w:r>
        <w:t>&lt;ESMA_QUESTION_6&gt;</w:t>
      </w:r>
    </w:p>
    <w:p w14:paraId="35E84A30" w14:textId="77777777" w:rsidR="00940A63" w:rsidRDefault="00940A63" w:rsidP="00940A63"/>
    <w:p w14:paraId="2B72D4C7" w14:textId="77777777" w:rsidR="00940A63" w:rsidRPr="00E03F63" w:rsidRDefault="00940A63" w:rsidP="00940A63">
      <w:pPr>
        <w:pStyle w:val="Heading2"/>
      </w:pPr>
      <w:bookmarkStart w:id="17" w:name="_Ref392593201"/>
      <w:r>
        <w:t>Determination of the categories of counterparties (Criteria (d) to (f))</w:t>
      </w:r>
      <w:bookmarkEnd w:id="17"/>
    </w:p>
    <w:p w14:paraId="6F5998C0" w14:textId="77777777" w:rsidR="00940A63" w:rsidRDefault="00940A63" w:rsidP="00940A63"/>
    <w:p w14:paraId="5B46025F" w14:textId="77777777" w:rsidR="00940A63" w:rsidRPr="00301767" w:rsidRDefault="00940A63" w:rsidP="00940A63">
      <w:pPr>
        <w:pStyle w:val="Questions"/>
      </w:pPr>
      <w:r w:rsidRPr="004A3DCD">
        <w:t xml:space="preserve">Question </w:t>
      </w:r>
      <w:r w:rsidR="00F17A3C">
        <w:fldChar w:fldCharType="begin"/>
      </w:r>
      <w:r w:rsidR="00F17A3C">
        <w:instrText xml:space="preserve"> SEQ Question \* ARABIC </w:instrText>
      </w:r>
      <w:r w:rsidR="00F17A3C">
        <w:fldChar w:fldCharType="separate"/>
      </w:r>
      <w:r w:rsidR="00A63BA9">
        <w:rPr>
          <w:noProof/>
        </w:rPr>
        <w:t>7</w:t>
      </w:r>
      <w:r w:rsidR="00F17A3C">
        <w:rPr>
          <w:noProof/>
        </w:rPr>
        <w:fldChar w:fldCharType="end"/>
      </w:r>
      <w:r>
        <w:t>: Do you consider that the</w:t>
      </w:r>
      <w:r w:rsidRPr="004A3DCD">
        <w:t xml:space="preserve"> classification of counterparties </w:t>
      </w:r>
      <w:r>
        <w:t xml:space="preserve">presented in Section </w:t>
      </w:r>
      <w:r>
        <w:fldChar w:fldCharType="begin"/>
      </w:r>
      <w:r>
        <w:instrText xml:space="preserve"> REF _Ref392593201 \r \h </w:instrText>
      </w:r>
      <w:r>
        <w:fldChar w:fldCharType="separate"/>
      </w:r>
      <w:r w:rsidR="00A63BA9">
        <w:t>4.2</w:t>
      </w:r>
      <w:r>
        <w:fldChar w:fldCharType="end"/>
      </w:r>
      <w:r>
        <w:t xml:space="preserve"> </w:t>
      </w:r>
      <w:r w:rsidRPr="004A3DCD">
        <w:t>ensures a smooth implementation of the clearing obligation? Please explain why and possible alternatives.</w:t>
      </w:r>
    </w:p>
    <w:p w14:paraId="27D5E3AF" w14:textId="77777777" w:rsidR="00940A63" w:rsidRDefault="00940A63" w:rsidP="00940A63"/>
    <w:p w14:paraId="538C7D00" w14:textId="10088ECF" w:rsidR="00940A63" w:rsidRDefault="00940A63" w:rsidP="00940A63">
      <w:r>
        <w:t>&lt;ESMA_QUESTION_7&gt;</w:t>
      </w:r>
    </w:p>
    <w:p w14:paraId="5A35717B" w14:textId="77777777" w:rsidR="00186EE1" w:rsidRDefault="00186EE1" w:rsidP="00186EE1">
      <w:pPr>
        <w:ind w:left="348"/>
        <w:jc w:val="both"/>
      </w:pPr>
      <w:permStart w:id="1782606567" w:edGrp="everyone"/>
      <w:r>
        <w:t xml:space="preserve">Yes. We support ESMA’s proposed categorisation of counterparties, which reflects Option B proposal put forth in the Discussion Paper on the clearing obligation. </w:t>
      </w:r>
    </w:p>
    <w:permEnd w:id="1782606567"/>
    <w:p w14:paraId="6D3771AB" w14:textId="4F53A6A0" w:rsidR="00940A63" w:rsidRDefault="00940A63" w:rsidP="00940A63">
      <w:r>
        <w:t>&lt;ESMA_QUESTION_7&gt;</w:t>
      </w:r>
    </w:p>
    <w:p w14:paraId="0310AB61" w14:textId="77777777" w:rsidR="00940A63" w:rsidRDefault="00940A63" w:rsidP="00940A63"/>
    <w:p w14:paraId="318B5E43" w14:textId="77777777" w:rsidR="00940A63" w:rsidRDefault="00940A63" w:rsidP="00940A63">
      <w:pPr>
        <w:pStyle w:val="Heading2"/>
      </w:pPr>
      <w:bookmarkStart w:id="18" w:name="_Ref389061941"/>
      <w:r w:rsidRPr="00E03F63">
        <w:t xml:space="preserve">Determination of the </w:t>
      </w:r>
      <w:bookmarkEnd w:id="18"/>
      <w:r>
        <w:t>dates from which the clearing obligation takes effect</w:t>
      </w:r>
    </w:p>
    <w:p w14:paraId="4AAC08C2" w14:textId="77777777" w:rsidR="00940A63" w:rsidRDefault="00940A63" w:rsidP="00940A63"/>
    <w:p w14:paraId="44D8D1D8" w14:textId="77777777" w:rsidR="00940A63" w:rsidRDefault="00940A63" w:rsidP="00940A63">
      <w:pPr>
        <w:pStyle w:val="Questions"/>
      </w:pPr>
      <w:r>
        <w:t xml:space="preserve">Question </w:t>
      </w:r>
      <w:r w:rsidR="00F17A3C">
        <w:fldChar w:fldCharType="begin"/>
      </w:r>
      <w:r w:rsidR="00F17A3C">
        <w:instrText xml:space="preserve"> SEQ Question \* ARABIC </w:instrText>
      </w:r>
      <w:r w:rsidR="00F17A3C">
        <w:fldChar w:fldCharType="separate"/>
      </w:r>
      <w:r w:rsidR="00A63BA9">
        <w:rPr>
          <w:noProof/>
        </w:rPr>
        <w:t>8</w:t>
      </w:r>
      <w:r w:rsidR="00F17A3C">
        <w:rPr>
          <w:noProof/>
        </w:rPr>
        <w:fldChar w:fldCharType="end"/>
      </w:r>
      <w:r>
        <w:t>: Do you consider that the proposed dates of application ensure a smooth implementation of the clearing obligation? Please explain why and possible alternatives.</w:t>
      </w:r>
    </w:p>
    <w:p w14:paraId="4CF71D5D" w14:textId="77777777" w:rsidR="00940A63" w:rsidRDefault="00940A63" w:rsidP="00940A63"/>
    <w:p w14:paraId="3F2E6714" w14:textId="53481097" w:rsidR="00940A63" w:rsidRDefault="00940A63" w:rsidP="00940A63">
      <w:r>
        <w:t>&lt;ESMA_QUESTION_8&gt;</w:t>
      </w:r>
    </w:p>
    <w:p w14:paraId="432C48AD" w14:textId="77777777" w:rsidR="00186EE1" w:rsidRDefault="00186EE1" w:rsidP="00186EE1">
      <w:pPr>
        <w:ind w:left="348"/>
        <w:jc w:val="both"/>
      </w:pPr>
      <w:permStart w:id="1034450252" w:edGrp="everyone"/>
      <w:r>
        <w:t xml:space="preserve">We strongly agree with ESMA’s proposal and welcome the lengthy phase-in of 18 months for category 2 counterparties (e.g. UCITS and AIFs), as this gives our members sufficient time to prepare for clearing. </w:t>
      </w:r>
    </w:p>
    <w:p w14:paraId="14ECDAFC" w14:textId="77777777" w:rsidR="00186EE1" w:rsidRDefault="00186EE1" w:rsidP="00186EE1">
      <w:pPr>
        <w:ind w:left="348"/>
        <w:jc w:val="both"/>
      </w:pPr>
    </w:p>
    <w:p w14:paraId="5D99A99F" w14:textId="77777777" w:rsidR="00186EE1" w:rsidRDefault="00186EE1" w:rsidP="00186EE1">
      <w:pPr>
        <w:ind w:left="348"/>
        <w:jc w:val="both"/>
      </w:pPr>
      <w:r>
        <w:t>Regulated investment funds need sufficient time to put in place new legal and operational arrangements with the clearing members and the CCPs. For instance, the implementation of the segregation requirements for regulated funds takes additional time given that fund management companies have to conduct an analysis of the various complex framework agreements with the CCP in order to determine if such agreements are in compliance with the European investment fund law.</w:t>
      </w:r>
    </w:p>
    <w:permEnd w:id="1034450252"/>
    <w:p w14:paraId="02AA78A7" w14:textId="45544043" w:rsidR="00940A63" w:rsidRDefault="00940A63" w:rsidP="00940A63">
      <w:r>
        <w:t>&lt;ESMA_QUESTION_8&gt;</w:t>
      </w:r>
    </w:p>
    <w:p w14:paraId="60E36014" w14:textId="77777777" w:rsidR="00940A63" w:rsidRDefault="00940A63" w:rsidP="00940A63">
      <w:r>
        <w:br w:type="page"/>
      </w:r>
    </w:p>
    <w:p w14:paraId="0DE9CF10" w14:textId="24B36B3A" w:rsidR="00940A63" w:rsidRDefault="00E363D7" w:rsidP="00940A63">
      <w:pPr>
        <w:pStyle w:val="Heading1"/>
      </w:pPr>
      <w:bookmarkStart w:id="19" w:name="_Toc392599426"/>
      <w:r>
        <w:lastRenderedPageBreak/>
        <w:tab/>
      </w:r>
      <w:r w:rsidR="00940A63" w:rsidRPr="00A84770">
        <w:t>Remaining maturity</w:t>
      </w:r>
      <w:r w:rsidR="00940A63">
        <w:t xml:space="preserve"> and frontloading</w:t>
      </w:r>
      <w:bookmarkEnd w:id="19"/>
    </w:p>
    <w:p w14:paraId="5DB96397" w14:textId="77777777" w:rsidR="00940A63" w:rsidRDefault="00940A63" w:rsidP="00940A63"/>
    <w:p w14:paraId="4E75356A" w14:textId="77777777" w:rsidR="00940A63" w:rsidRDefault="00940A63" w:rsidP="00940A63"/>
    <w:p w14:paraId="018F0B83" w14:textId="049266A2" w:rsidR="00940A63" w:rsidRDefault="00940A63" w:rsidP="00940A63">
      <w:pPr>
        <w:pStyle w:val="Questions"/>
      </w:pPr>
      <w:r>
        <w:t xml:space="preserve">Question </w:t>
      </w:r>
      <w:r w:rsidR="00F17A3C">
        <w:fldChar w:fldCharType="begin"/>
      </w:r>
      <w:r w:rsidR="00F17A3C">
        <w:instrText xml:space="preserve"> SEQ Question \* ARAB</w:instrText>
      </w:r>
      <w:r w:rsidR="00F17A3C">
        <w:instrText xml:space="preserve">IC </w:instrText>
      </w:r>
      <w:r w:rsidR="00F17A3C">
        <w:fldChar w:fldCharType="separate"/>
      </w:r>
      <w:r w:rsidR="00A63BA9">
        <w:rPr>
          <w:noProof/>
        </w:rPr>
        <w:t>9</w:t>
      </w:r>
      <w:r w:rsidR="00F17A3C">
        <w:rPr>
          <w:noProof/>
        </w:rPr>
        <w:fldChar w:fldCharType="end"/>
      </w:r>
      <w:r>
        <w:t>: Do you consider that the proposed approach on frontloading and the minimum remaining maturity ensures that the uncertainty related to this requirement is sufficiently mitigated, while allowing a meaningful set of contracts to be captured? If not, please explain why and provide possible alternatives compatible with EMIR.</w:t>
      </w:r>
    </w:p>
    <w:p w14:paraId="67B9588F" w14:textId="77777777" w:rsidR="00940A63" w:rsidRDefault="00940A63" w:rsidP="00940A63"/>
    <w:p w14:paraId="4C875A17" w14:textId="3CA2735D" w:rsidR="00940A63" w:rsidRDefault="00940A63" w:rsidP="00940A63">
      <w:r>
        <w:t>&lt;ESMA_QUESTION_9&gt;</w:t>
      </w:r>
    </w:p>
    <w:p w14:paraId="0B80252A" w14:textId="77777777" w:rsidR="0091764C" w:rsidRDefault="0091764C" w:rsidP="0091764C">
      <w:pPr>
        <w:ind w:left="348"/>
        <w:jc w:val="both"/>
      </w:pPr>
      <w:permStart w:id="1118569416" w:edGrp="everyone"/>
      <w:r>
        <w:t>We welcome the proposal to effectively limit front-loading to contracts entered into during period B.</w:t>
      </w:r>
    </w:p>
    <w:p w14:paraId="43425C01" w14:textId="77777777" w:rsidR="0091764C" w:rsidRDefault="0091764C" w:rsidP="0091764C">
      <w:pPr>
        <w:ind w:left="348"/>
        <w:jc w:val="both"/>
        <w:rPr>
          <w:b/>
        </w:rPr>
      </w:pPr>
    </w:p>
    <w:p w14:paraId="09B4CE88" w14:textId="77777777" w:rsidR="0091764C" w:rsidRDefault="0091764C" w:rsidP="0091764C">
      <w:pPr>
        <w:ind w:left="348"/>
        <w:jc w:val="both"/>
      </w:pPr>
      <w:r w:rsidRPr="00324662">
        <w:rPr>
          <w:b/>
        </w:rPr>
        <w:t>We are concerned, however, that the practical impact of</w:t>
      </w:r>
      <w:r>
        <w:rPr>
          <w:b/>
        </w:rPr>
        <w:t xml:space="preserve"> the application of</w:t>
      </w:r>
      <w:r w:rsidRPr="00324662">
        <w:rPr>
          <w:b/>
        </w:rPr>
        <w:t xml:space="preserve"> the front-loading requirements</w:t>
      </w:r>
      <w:r>
        <w:rPr>
          <w:b/>
        </w:rPr>
        <w:t xml:space="preserve"> to </w:t>
      </w:r>
      <w:r w:rsidRPr="00785E52">
        <w:rPr>
          <w:b/>
        </w:rPr>
        <w:t>contracts with a minimum remaining maturity of 6 months, on the date of application of the clearing obligation</w:t>
      </w:r>
      <w:r w:rsidRPr="00324662">
        <w:rPr>
          <w:b/>
        </w:rPr>
        <w:t xml:space="preserve"> will mean that the phase-in will be of little use</w:t>
      </w:r>
      <w:r>
        <w:t xml:space="preserve">. </w:t>
      </w:r>
    </w:p>
    <w:p w14:paraId="7863EFD3" w14:textId="77777777" w:rsidR="0091764C" w:rsidRDefault="0091764C" w:rsidP="0091764C">
      <w:pPr>
        <w:ind w:left="348"/>
        <w:jc w:val="both"/>
      </w:pPr>
    </w:p>
    <w:p w14:paraId="2CF4693D" w14:textId="77777777" w:rsidR="0091764C" w:rsidRDefault="0091764C" w:rsidP="0091764C">
      <w:pPr>
        <w:ind w:left="348"/>
        <w:jc w:val="both"/>
      </w:pPr>
      <w:r>
        <w:t xml:space="preserve">Some of our members’ clients execute long-dated OTC contracts (longer than 6 months), often to hedge long-dated liabilities. A minimum remaining maturity of 6 months will mean that the vast majority of OTC contracts subject to mandatory clearing which are executed during the phase-in period will become subject to front-loading requirements. In addition to the often mentioned pricing impact of front-loading, such a large front loading requirement would have a substantial operational impact on clients, clearing members and CCPs, and would require significant time and resources to be effectively implemented. </w:t>
      </w:r>
    </w:p>
    <w:p w14:paraId="37761F1B" w14:textId="77777777" w:rsidR="0091764C" w:rsidRDefault="0091764C" w:rsidP="0091764C">
      <w:pPr>
        <w:ind w:left="348"/>
        <w:jc w:val="both"/>
      </w:pPr>
      <w:r>
        <w:t>In order to complete the front loading process by the end of the phase-in period, the process would have to be initiated well in advance of the deadline. The structures for client clearing (including operational procedures and legal documentation) would have to be in place before starting the front loading process</w:t>
      </w:r>
      <w:r w:rsidRPr="00466AF7">
        <w:rPr>
          <w:b/>
        </w:rPr>
        <w:t>. In practical terms, this would significantly reduce the phase-in period for many category 2 counterparties</w:t>
      </w:r>
      <w:r>
        <w:t>.</w:t>
      </w:r>
    </w:p>
    <w:p w14:paraId="49940F66" w14:textId="77777777" w:rsidR="0091764C" w:rsidRDefault="0091764C" w:rsidP="0091764C">
      <w:pPr>
        <w:ind w:left="348"/>
        <w:jc w:val="both"/>
      </w:pPr>
    </w:p>
    <w:p w14:paraId="501F858F" w14:textId="77777777" w:rsidR="0091764C" w:rsidRDefault="0091764C" w:rsidP="0091764C">
      <w:pPr>
        <w:ind w:left="348"/>
        <w:jc w:val="both"/>
      </w:pPr>
      <w:r>
        <w:t>Furthermore, market participants will also have to put in place an appropriate process for moving open contracts into clearing. One must remember that the experience of implementing the back-loading requirement in respect of trade reporting had a huge operational impact in terms of imposing retrospective requirements on market participants; and the front-loading of non-cleared contracts into a cleared environment is much more complex than trade reporting.</w:t>
      </w:r>
    </w:p>
    <w:p w14:paraId="6453A00E" w14:textId="77777777" w:rsidR="0091764C" w:rsidRDefault="0091764C" w:rsidP="0091764C">
      <w:pPr>
        <w:ind w:left="348"/>
        <w:jc w:val="both"/>
      </w:pPr>
    </w:p>
    <w:p w14:paraId="77302282" w14:textId="69728CF6" w:rsidR="0091764C" w:rsidRDefault="0091764C" w:rsidP="0091764C">
      <w:pPr>
        <w:ind w:left="348"/>
        <w:jc w:val="both"/>
      </w:pPr>
      <w:r>
        <w:t xml:space="preserve">For these reasons, </w:t>
      </w:r>
      <w:r w:rsidR="00D738CB">
        <w:t xml:space="preserve">some </w:t>
      </w:r>
      <w:r w:rsidR="00196752">
        <w:t>EFAMA</w:t>
      </w:r>
      <w:r w:rsidR="00D738CB">
        <w:t xml:space="preserve"> members would</w:t>
      </w:r>
      <w:r>
        <w:t xml:space="preserve"> encourage ESMA to consider alternative approaches to the front-loading and phase-in proposals set out in the Consultation Paper. </w:t>
      </w:r>
    </w:p>
    <w:p w14:paraId="0CA8C4E0" w14:textId="77777777" w:rsidR="0091764C" w:rsidRDefault="0091764C" w:rsidP="0091764C">
      <w:pPr>
        <w:ind w:left="348"/>
        <w:jc w:val="both"/>
      </w:pPr>
    </w:p>
    <w:p w14:paraId="41956B5D" w14:textId="2E915ECE" w:rsidR="0091764C" w:rsidRDefault="00196752" w:rsidP="0091764C">
      <w:pPr>
        <w:ind w:left="348"/>
        <w:jc w:val="both"/>
      </w:pPr>
      <w:r>
        <w:t>Those members</w:t>
      </w:r>
      <w:r w:rsidR="0091764C">
        <w:t xml:space="preserve"> would recommend, in particular, examining the following alternative options (by order of preference):</w:t>
      </w:r>
    </w:p>
    <w:p w14:paraId="1C44AC26" w14:textId="77777777" w:rsidR="0091764C" w:rsidRDefault="0091764C" w:rsidP="0091764C">
      <w:pPr>
        <w:ind w:left="348"/>
        <w:jc w:val="both"/>
      </w:pPr>
    </w:p>
    <w:p w14:paraId="118CEDB9" w14:textId="31979419" w:rsidR="0091764C" w:rsidRPr="00780B6E" w:rsidRDefault="0091764C" w:rsidP="0091764C">
      <w:pPr>
        <w:pStyle w:val="ListParagraph"/>
        <w:numPr>
          <w:ilvl w:val="0"/>
          <w:numId w:val="59"/>
        </w:numPr>
        <w:spacing w:line="276" w:lineRule="auto"/>
        <w:jc w:val="both"/>
        <w:rPr>
          <w:u w:val="single"/>
        </w:rPr>
      </w:pPr>
      <w:r w:rsidRPr="009B62D6">
        <w:rPr>
          <w:b/>
          <w:u w:val="single"/>
        </w:rPr>
        <w:t>Option 1</w:t>
      </w:r>
      <w:r>
        <w:rPr>
          <w:b/>
        </w:rPr>
        <w:t xml:space="preserve">: </w:t>
      </w:r>
      <w:r>
        <w:t>remove the front-loading obligation for category 2 counterparties and</w:t>
      </w:r>
      <w:r w:rsidR="00F17A3C">
        <w:t xml:space="preserve">, if considered </w:t>
      </w:r>
      <w:bookmarkStart w:id="20" w:name="_GoBack"/>
      <w:bookmarkEnd w:id="20"/>
      <w:r w:rsidR="00F17A3C">
        <w:t>necessary,</w:t>
      </w:r>
      <w:r>
        <w:t xml:space="preserve"> reduce the phase-in period for new trades to be cleared, from 18 to 12 months. This is the preferred option and would result in new OTC contracts entering the cleared environment earlier than originally planned as well as reducing the front-loading burden on firms. </w:t>
      </w:r>
    </w:p>
    <w:p w14:paraId="6688835C" w14:textId="77777777" w:rsidR="0091764C" w:rsidRPr="00780B6E" w:rsidRDefault="0091764C" w:rsidP="0091764C">
      <w:pPr>
        <w:pStyle w:val="ListParagraph"/>
        <w:ind w:left="1068"/>
        <w:jc w:val="both"/>
        <w:rPr>
          <w:u w:val="single"/>
        </w:rPr>
      </w:pPr>
    </w:p>
    <w:p w14:paraId="1E244042" w14:textId="3E7F932D" w:rsidR="0091764C" w:rsidRPr="009B62D6" w:rsidRDefault="0091764C" w:rsidP="0091764C">
      <w:pPr>
        <w:pStyle w:val="ListParagraph"/>
        <w:numPr>
          <w:ilvl w:val="0"/>
          <w:numId w:val="59"/>
        </w:numPr>
        <w:spacing w:line="276" w:lineRule="auto"/>
        <w:jc w:val="both"/>
        <w:rPr>
          <w:u w:val="single"/>
        </w:rPr>
      </w:pPr>
      <w:r>
        <w:rPr>
          <w:b/>
          <w:u w:val="single"/>
        </w:rPr>
        <w:t>Option 2</w:t>
      </w:r>
      <w:r>
        <w:t>: implement a phase-in front loading for category 2 counterparties, so that the front-loading period only starts 12 months after the start of the phase-in period for category 1 counterparties. This would give market participants sufficient time to put in place the necessary processes, procedures and documentation to ensure compliance with the clearing obligation, before having to consider also front-loading.</w:t>
      </w:r>
    </w:p>
    <w:p w14:paraId="6FC1E3AA" w14:textId="77777777" w:rsidR="0091764C" w:rsidRDefault="0091764C" w:rsidP="0091764C">
      <w:pPr>
        <w:ind w:left="348"/>
        <w:jc w:val="both"/>
      </w:pPr>
    </w:p>
    <w:p w14:paraId="7C47D9BB" w14:textId="188C74C6" w:rsidR="0091764C" w:rsidRDefault="0091764C" w:rsidP="0091764C">
      <w:pPr>
        <w:ind w:left="348"/>
        <w:jc w:val="both"/>
      </w:pPr>
      <w:r>
        <w:lastRenderedPageBreak/>
        <w:t>Lastly, we also suggest that the effective date for front-loading (i.e. the start of period B) should be the date of entry into force of the regulatory technical standards</w:t>
      </w:r>
      <w:r>
        <w:rPr>
          <w:vertAlign w:val="superscript"/>
        </w:rPr>
        <w:t>1</w:t>
      </w:r>
      <w:r>
        <w:t>, rather than the date of publication in the Official journal. Indeed, it is unlikely that the date of publication in the OJCE will be announced in advance to market participants, which means that they would not be in a position to anticipate with precision the exact start date of front-loading requirements. To the contrary, if the effective start date for front loading is the date of entry into force of the RTS, this will give market participants a 20 days advance notice.</w:t>
      </w:r>
    </w:p>
    <w:p w14:paraId="6B78C734" w14:textId="77777777" w:rsidR="0091764C" w:rsidRDefault="0091764C" w:rsidP="0091764C">
      <w:pPr>
        <w:ind w:left="348"/>
        <w:jc w:val="both"/>
      </w:pPr>
    </w:p>
    <w:p w14:paraId="137F01DE" w14:textId="77777777" w:rsidR="0091764C" w:rsidRDefault="0091764C" w:rsidP="0091764C">
      <w:pPr>
        <w:ind w:left="348"/>
        <w:jc w:val="both"/>
      </w:pPr>
      <w:r>
        <w:rPr>
          <w:b/>
        </w:rPr>
        <w:t>Non-financial counterparties and front-loading</w:t>
      </w:r>
    </w:p>
    <w:p w14:paraId="2DDBEED2" w14:textId="2A1F2A66" w:rsidR="0091764C" w:rsidRDefault="0091764C" w:rsidP="0091764C">
      <w:pPr>
        <w:ind w:left="348"/>
        <w:jc w:val="both"/>
      </w:pPr>
      <w:r w:rsidRPr="00192FC0">
        <w:t>Under the current proposals, front-loading is not applicable to contracts for which at least one of the counterparties is a non-financial counterparty. However it is not clear what the process is for a counterparty that shifts from non-financial counterparty to financial counterparty during a front-loading window. For example, if an AIFM becomes authorised or registered under AIFMD, any AIFs managed by that AIFM would become financial counterparties and so be subject to front-loading. We suggest that ESMA make it clear (either through a recital in the draft regulatory technical standards or in future Q&amp;A) that the front-loading obligation is only applicable to contracts which would, in the absence of a phase-in period, be subject to the clearing obligation at the time the contract was entered into. For example, when an AIFM becomes authorised or registered under AIFMD (and so becomes a financial counterparty), any contracts entered prior to that point would not be subject to front-loading, even if the change in counterparty status occurred in the middle of a front-loading window that would generally require financial counterparties to front-</w:t>
      </w:r>
      <w:r>
        <w:t>load during that entire window.</w:t>
      </w:r>
    </w:p>
    <w:p w14:paraId="7C6C60D5" w14:textId="77777777" w:rsidR="0091764C" w:rsidRDefault="0091764C" w:rsidP="0091764C">
      <w:pPr>
        <w:ind w:left="348"/>
        <w:jc w:val="both"/>
      </w:pPr>
    </w:p>
    <w:p w14:paraId="5F68941D" w14:textId="2CB7AECA" w:rsidR="0091764C" w:rsidRPr="0091764C" w:rsidRDefault="0091764C" w:rsidP="0091764C">
      <w:pPr>
        <w:pStyle w:val="FootnoteText"/>
        <w:ind w:left="426"/>
        <w:rPr>
          <w:lang w:val="en-US"/>
        </w:rPr>
      </w:pPr>
      <w:r>
        <w:rPr>
          <w:vertAlign w:val="superscript"/>
        </w:rPr>
        <w:t>1</w:t>
      </w:r>
      <w:r w:rsidRPr="00592EF9">
        <w:rPr>
          <w:lang w:val="en-US"/>
        </w:rPr>
        <w:t xml:space="preserve"> As stated in the Letter from ESMA to the European Commission dated of 8 May 2014: </w:t>
      </w:r>
      <w:hyperlink r:id="rId14" w:history="1">
        <w:r w:rsidRPr="007E2D85">
          <w:rPr>
            <w:rStyle w:val="Hyperlink"/>
            <w:lang w:val="en-US"/>
          </w:rPr>
          <w:t>http://www.esma.europa.eu/system/files/2014-483_letter_to_european_commission_re_frontloading_requirement_under_emir.pdf</w:t>
        </w:r>
      </w:hyperlink>
    </w:p>
    <w:permEnd w:id="1118569416"/>
    <w:p w14:paraId="0416C051" w14:textId="4465A497" w:rsidR="00940A63" w:rsidRDefault="00940A63" w:rsidP="00940A63">
      <w:r>
        <w:t>&lt;ESMA_QUESTION_9&gt;</w:t>
      </w:r>
    </w:p>
    <w:p w14:paraId="216DB460" w14:textId="77777777" w:rsidR="00372176" w:rsidRDefault="00372176" w:rsidP="00940A63"/>
    <w:p w14:paraId="08AD8C30" w14:textId="77777777" w:rsidR="00372176" w:rsidRDefault="00372176" w:rsidP="00940A63"/>
    <w:p w14:paraId="62CFC206" w14:textId="0ABA2016" w:rsidR="00940A63" w:rsidRDefault="00E363D7" w:rsidP="00940A63">
      <w:pPr>
        <w:pStyle w:val="Heading1"/>
      </w:pPr>
      <w:bookmarkStart w:id="21" w:name="_Ref390182025"/>
      <w:bookmarkStart w:id="22" w:name="_Toc392599427"/>
      <w:r>
        <w:tab/>
      </w:r>
      <w:r w:rsidR="00940A63">
        <w:t>OTC equity derivative classes that are proposed not to be subject to the clearing obligation</w:t>
      </w:r>
      <w:bookmarkEnd w:id="21"/>
      <w:bookmarkEnd w:id="22"/>
    </w:p>
    <w:p w14:paraId="57533885" w14:textId="77777777" w:rsidR="00940A63" w:rsidRDefault="00940A63" w:rsidP="00940A63"/>
    <w:p w14:paraId="2C5AEABB" w14:textId="77777777" w:rsidR="00940A63" w:rsidRDefault="00940A63" w:rsidP="00940A63"/>
    <w:p w14:paraId="36EBC932" w14:textId="77777777" w:rsidR="00940A63" w:rsidRDefault="00940A63" w:rsidP="00940A63">
      <w:pPr>
        <w:pStyle w:val="Questions"/>
      </w:pPr>
      <w:r>
        <w:t xml:space="preserve">Question </w:t>
      </w:r>
      <w:r w:rsidR="00F17A3C">
        <w:fldChar w:fldCharType="begin"/>
      </w:r>
      <w:r w:rsidR="00F17A3C">
        <w:instrText xml:space="preserve"> SEQ Question \* ARABIC </w:instrText>
      </w:r>
      <w:r w:rsidR="00F17A3C">
        <w:fldChar w:fldCharType="separate"/>
      </w:r>
      <w:r w:rsidR="00A63BA9">
        <w:rPr>
          <w:noProof/>
        </w:rPr>
        <w:t>10</w:t>
      </w:r>
      <w:r w:rsidR="00F17A3C">
        <w:rPr>
          <w:noProof/>
        </w:rPr>
        <w:fldChar w:fldCharType="end"/>
      </w:r>
      <w:r>
        <w:t xml:space="preserve">: Do you have any comment on the analysis on the Equity OTC derivative classes presented in Section </w:t>
      </w:r>
      <w:r>
        <w:fldChar w:fldCharType="begin"/>
      </w:r>
      <w:r>
        <w:instrText xml:space="preserve"> REF _Ref390182025 \r \h </w:instrText>
      </w:r>
      <w:r>
        <w:fldChar w:fldCharType="separate"/>
      </w:r>
      <w:r w:rsidR="00A63BA9">
        <w:t>6</w:t>
      </w:r>
      <w:r>
        <w:fldChar w:fldCharType="end"/>
      </w:r>
      <w:r>
        <w:t>?</w:t>
      </w:r>
    </w:p>
    <w:p w14:paraId="0E926506" w14:textId="77777777" w:rsidR="00940A63" w:rsidRDefault="00940A63" w:rsidP="00940A63"/>
    <w:p w14:paraId="213A5333" w14:textId="56B7C0F0" w:rsidR="00940A63" w:rsidRDefault="00940A63" w:rsidP="00940A63">
      <w:r>
        <w:t>&lt;ESMA_QUESTION_10&gt;</w:t>
      </w:r>
    </w:p>
    <w:p w14:paraId="0C15B50E" w14:textId="77777777" w:rsidR="0091764C" w:rsidRDefault="0091764C" w:rsidP="0091764C">
      <w:pPr>
        <w:ind w:left="348"/>
        <w:jc w:val="both"/>
      </w:pPr>
      <w:permStart w:id="692392694" w:edGrp="everyone"/>
      <w:r>
        <w:t>We support ESMA’s proposal not to submit any equity OTC derivatives classes to the clearing obligation. We look forward to responding to any future consultation paper on the appropriate structure of equity classes in subsequent clearing obligation determinations.</w:t>
      </w:r>
    </w:p>
    <w:permEnd w:id="692392694"/>
    <w:p w14:paraId="0C6A5A52" w14:textId="391D937E" w:rsidR="00940A63" w:rsidRDefault="00940A63" w:rsidP="00940A63">
      <w:r>
        <w:t>&lt;ESMA_QUESTION_10&gt;</w:t>
      </w:r>
    </w:p>
    <w:p w14:paraId="04E7C197" w14:textId="77777777" w:rsidR="00372176" w:rsidRDefault="00372176" w:rsidP="00940A63"/>
    <w:p w14:paraId="49FA8184" w14:textId="77777777" w:rsidR="00372176" w:rsidRDefault="00372176" w:rsidP="00940A63"/>
    <w:p w14:paraId="1194C1EC" w14:textId="1FB35339" w:rsidR="00940A63" w:rsidRDefault="00E363D7" w:rsidP="00940A63">
      <w:pPr>
        <w:pStyle w:val="Heading1"/>
      </w:pPr>
      <w:bookmarkStart w:id="23" w:name="_Ref392593404"/>
      <w:bookmarkStart w:id="24" w:name="_Toc392599428"/>
      <w:r>
        <w:tab/>
      </w:r>
      <w:r w:rsidR="00940A63">
        <w:t>OTC Interest rate future and option classes that are proposed not to be subject to the clearing obligation</w:t>
      </w:r>
      <w:bookmarkEnd w:id="23"/>
      <w:bookmarkEnd w:id="24"/>
    </w:p>
    <w:p w14:paraId="72A30021" w14:textId="77777777" w:rsidR="00940A63" w:rsidRDefault="00940A63" w:rsidP="00940A63"/>
    <w:p w14:paraId="7248E467" w14:textId="77777777" w:rsidR="00940A63" w:rsidRPr="00FE73ED" w:rsidRDefault="00940A63" w:rsidP="00940A63">
      <w:pPr>
        <w:pStyle w:val="Questions"/>
      </w:pPr>
      <w:r>
        <w:t xml:space="preserve">Question </w:t>
      </w:r>
      <w:r w:rsidR="00F17A3C">
        <w:fldChar w:fldCharType="begin"/>
      </w:r>
      <w:r w:rsidR="00F17A3C">
        <w:instrText xml:space="preserve"> SEQ Question \* ARABIC </w:instrText>
      </w:r>
      <w:r w:rsidR="00F17A3C">
        <w:fldChar w:fldCharType="separate"/>
      </w:r>
      <w:r w:rsidR="00A63BA9">
        <w:rPr>
          <w:noProof/>
        </w:rPr>
        <w:t>11</w:t>
      </w:r>
      <w:r w:rsidR="00F17A3C">
        <w:rPr>
          <w:noProof/>
        </w:rPr>
        <w:fldChar w:fldCharType="end"/>
      </w:r>
      <w:r>
        <w:t xml:space="preserve">: Do you have any comment on the analysis on the OTC Interest rate future and options derivative classes presented in Section </w:t>
      </w:r>
      <w:r>
        <w:fldChar w:fldCharType="begin"/>
      </w:r>
      <w:r>
        <w:instrText xml:space="preserve"> REF _Ref392593404 \r \h </w:instrText>
      </w:r>
      <w:r>
        <w:fldChar w:fldCharType="separate"/>
      </w:r>
      <w:r w:rsidR="00A63BA9">
        <w:t>7</w:t>
      </w:r>
      <w:r>
        <w:fldChar w:fldCharType="end"/>
      </w:r>
      <w:r>
        <w:t>?</w:t>
      </w:r>
    </w:p>
    <w:p w14:paraId="716F2B57" w14:textId="77777777" w:rsidR="00940A63" w:rsidRDefault="00940A63" w:rsidP="00940A63"/>
    <w:p w14:paraId="50DEA669" w14:textId="3632D80B" w:rsidR="00940A63" w:rsidRDefault="00940A63" w:rsidP="00940A63">
      <w:r>
        <w:t>&lt;ESMA_QUESTION_11&gt;</w:t>
      </w:r>
    </w:p>
    <w:p w14:paraId="333F7EEA" w14:textId="77777777" w:rsidR="0091764C" w:rsidRDefault="0091764C" w:rsidP="0091764C">
      <w:pPr>
        <w:ind w:left="348"/>
        <w:jc w:val="both"/>
      </w:pPr>
      <w:permStart w:id="1434612385" w:edGrp="everyone"/>
      <w:r>
        <w:t>We support ESMA’s proposal not to subject the OTC interest rate future and option classes to the clearing obligation at this stage.</w:t>
      </w:r>
    </w:p>
    <w:permEnd w:id="1434612385"/>
    <w:p w14:paraId="6BEE8DC5" w14:textId="579700E6" w:rsidR="00940A63" w:rsidRDefault="00940A63" w:rsidP="00940A63">
      <w:r>
        <w:t>&lt;ESMA_QUESTION_11&gt;</w:t>
      </w:r>
    </w:p>
    <w:p w14:paraId="45A09D1A" w14:textId="77777777" w:rsidR="00663ADD" w:rsidRDefault="00663ADD" w:rsidP="00940A63"/>
    <w:p w14:paraId="3DB7BB3F" w14:textId="77777777" w:rsidR="00663ADD" w:rsidRDefault="00663ADD" w:rsidP="00940A63"/>
    <w:p w14:paraId="79A86067" w14:textId="77777777" w:rsidR="00663ADD" w:rsidRDefault="00663ADD" w:rsidP="00663ADD">
      <w:pPr>
        <w:pStyle w:val="Heading1"/>
        <w:numPr>
          <w:ilvl w:val="0"/>
          <w:numId w:val="0"/>
        </w:numPr>
      </w:pPr>
      <w:bookmarkStart w:id="25" w:name="_Ref389465288"/>
      <w:bookmarkStart w:id="26" w:name="_Toc392599429"/>
      <w:r w:rsidRPr="00B95561">
        <w:t xml:space="preserve">Annex </w:t>
      </w:r>
      <w:r w:rsidR="00F17A3C">
        <w:fldChar w:fldCharType="begin"/>
      </w:r>
      <w:r w:rsidR="00F17A3C">
        <w:instrText xml:space="preserve"> SEQ Annex \* ROMAN </w:instrText>
      </w:r>
      <w:r w:rsidR="00F17A3C">
        <w:fldChar w:fldCharType="separate"/>
      </w:r>
      <w:r w:rsidR="00A63BA9">
        <w:rPr>
          <w:noProof/>
        </w:rPr>
        <w:t>I</w:t>
      </w:r>
      <w:r w:rsidR="00F17A3C">
        <w:rPr>
          <w:noProof/>
        </w:rPr>
        <w:fldChar w:fldCharType="end"/>
      </w:r>
      <w:bookmarkEnd w:id="25"/>
      <w:r w:rsidRPr="00B95561">
        <w:t xml:space="preserve"> - Commission mandate to develop technical standards</w:t>
      </w:r>
      <w:bookmarkEnd w:id="26"/>
    </w:p>
    <w:p w14:paraId="6CB282DD" w14:textId="77777777" w:rsidR="00663ADD" w:rsidRPr="00663ADD" w:rsidRDefault="00663ADD" w:rsidP="00663ADD"/>
    <w:p w14:paraId="70654F84" w14:textId="7941CF16" w:rsidR="00663ADD" w:rsidRDefault="00663ADD" w:rsidP="00663ADD">
      <w:pPr>
        <w:pStyle w:val="Heading1"/>
        <w:numPr>
          <w:ilvl w:val="0"/>
          <w:numId w:val="0"/>
        </w:numPr>
      </w:pPr>
      <w:bookmarkStart w:id="27" w:name="_Ref389466688"/>
      <w:bookmarkStart w:id="28" w:name="_Toc392599430"/>
      <w:r w:rsidRPr="009E0D2D">
        <w:t xml:space="preserve">Annex </w:t>
      </w:r>
      <w:r w:rsidR="00F17A3C">
        <w:fldChar w:fldCharType="begin"/>
      </w:r>
      <w:r w:rsidR="00F17A3C">
        <w:instrText xml:space="preserve"> SEQ Annex \* ROMAN </w:instrText>
      </w:r>
      <w:r w:rsidR="00F17A3C">
        <w:fldChar w:fldCharType="separate"/>
      </w:r>
      <w:r w:rsidR="00A63BA9">
        <w:rPr>
          <w:noProof/>
        </w:rPr>
        <w:t>II</w:t>
      </w:r>
      <w:r w:rsidR="00F17A3C">
        <w:rPr>
          <w:noProof/>
        </w:rPr>
        <w:fldChar w:fldCharType="end"/>
      </w:r>
      <w:bookmarkEnd w:id="27"/>
      <w:r>
        <w:t xml:space="preserve"> - Draft Regulatory Technical Standards on the Clearing Obligation</w:t>
      </w:r>
      <w:bookmarkEnd w:id="28"/>
    </w:p>
    <w:p w14:paraId="39C1A30C" w14:textId="77777777" w:rsidR="00940A63" w:rsidRDefault="00940A63" w:rsidP="00940A63">
      <w:pPr>
        <w:pStyle w:val="Questions"/>
      </w:pPr>
      <w:r>
        <w:t xml:space="preserve">Question </w:t>
      </w:r>
      <w:r w:rsidR="00F17A3C">
        <w:fldChar w:fldCharType="begin"/>
      </w:r>
      <w:r w:rsidR="00F17A3C">
        <w:instrText xml:space="preserve"> SEQ Question \* ARABIC </w:instrText>
      </w:r>
      <w:r w:rsidR="00F17A3C">
        <w:fldChar w:fldCharType="separate"/>
      </w:r>
      <w:r w:rsidR="00A63BA9">
        <w:rPr>
          <w:noProof/>
        </w:rPr>
        <w:t>12</w:t>
      </w:r>
      <w:r w:rsidR="00F17A3C">
        <w:rPr>
          <w:noProof/>
        </w:rPr>
        <w:fldChar w:fldCharType="end"/>
      </w:r>
      <w:r>
        <w:t>: Please indicate your comments on the draft RTS other than those already made in the previous questions.</w:t>
      </w:r>
    </w:p>
    <w:p w14:paraId="5498CD2A" w14:textId="77777777" w:rsidR="00940A63" w:rsidRDefault="00940A63" w:rsidP="00940A63"/>
    <w:p w14:paraId="05039AE1" w14:textId="46482EAB" w:rsidR="00940A63" w:rsidRDefault="00940A63" w:rsidP="00940A63">
      <w:r>
        <w:t>&lt;ESMA_QUESTION_12&gt;</w:t>
      </w:r>
    </w:p>
    <w:p w14:paraId="78F4C8CF" w14:textId="77777777" w:rsidR="0091764C" w:rsidRDefault="0091764C" w:rsidP="0091764C">
      <w:pPr>
        <w:ind w:left="348"/>
        <w:jc w:val="both"/>
      </w:pPr>
      <w:permStart w:id="2107055715" w:edGrp="everyone"/>
      <w:r>
        <w:t>We have no additional comments to make on the draft RTS.</w:t>
      </w:r>
    </w:p>
    <w:permEnd w:id="2107055715"/>
    <w:p w14:paraId="5D375A34" w14:textId="53EA2DCD" w:rsidR="00940A63" w:rsidRDefault="00940A63" w:rsidP="00940A63">
      <w:r>
        <w:t>&lt;ESMA_QUESTION_12&gt;</w:t>
      </w:r>
    </w:p>
    <w:p w14:paraId="29ECC286" w14:textId="77777777" w:rsidR="00663ADD" w:rsidRDefault="00663ADD" w:rsidP="00940A63"/>
    <w:p w14:paraId="7AEF4620" w14:textId="77777777" w:rsidR="00663ADD" w:rsidRDefault="00663ADD" w:rsidP="00940A63"/>
    <w:p w14:paraId="17534C80" w14:textId="118AE7A5" w:rsidR="00663ADD" w:rsidRPr="00FE73ED" w:rsidRDefault="00663ADD" w:rsidP="00663ADD">
      <w:pPr>
        <w:pStyle w:val="Heading1"/>
        <w:numPr>
          <w:ilvl w:val="0"/>
          <w:numId w:val="0"/>
        </w:numPr>
      </w:pPr>
      <w:bookmarkStart w:id="29" w:name="_Toc392599431"/>
      <w:r w:rsidRPr="0030524D">
        <w:t xml:space="preserve">Annex </w:t>
      </w:r>
      <w:r w:rsidR="00F17A3C">
        <w:fldChar w:fldCharType="begin"/>
      </w:r>
      <w:r w:rsidR="00F17A3C">
        <w:instrText xml:space="preserve"> SEQ Annex \* ROMAN </w:instrText>
      </w:r>
      <w:r w:rsidR="00F17A3C">
        <w:fldChar w:fldCharType="separate"/>
      </w:r>
      <w:r w:rsidR="00A63BA9">
        <w:rPr>
          <w:noProof/>
        </w:rPr>
        <w:t>III</w:t>
      </w:r>
      <w:r w:rsidR="00F17A3C">
        <w:rPr>
          <w:noProof/>
        </w:rPr>
        <w:fldChar w:fldCharType="end"/>
      </w:r>
      <w:r w:rsidRPr="0030524D">
        <w:t xml:space="preserve"> - </w:t>
      </w:r>
      <w:r>
        <w:t>Impact assessment</w:t>
      </w:r>
      <w:bookmarkEnd w:id="29"/>
    </w:p>
    <w:p w14:paraId="08CCB0EB" w14:textId="77777777" w:rsidR="00940A63" w:rsidRDefault="00940A63" w:rsidP="00940A63">
      <w:pPr>
        <w:pStyle w:val="Questions"/>
      </w:pPr>
      <w:r>
        <w:t xml:space="preserve">Question </w:t>
      </w:r>
      <w:r w:rsidR="00F17A3C">
        <w:fldChar w:fldCharType="begin"/>
      </w:r>
      <w:r w:rsidR="00F17A3C">
        <w:instrText xml:space="preserve"> SEQ Question \* ARABIC </w:instrText>
      </w:r>
      <w:r w:rsidR="00F17A3C">
        <w:fldChar w:fldCharType="separate"/>
      </w:r>
      <w:r w:rsidR="00A63BA9">
        <w:rPr>
          <w:noProof/>
        </w:rPr>
        <w:t>13</w:t>
      </w:r>
      <w:r w:rsidR="00F17A3C">
        <w:rPr>
          <w:noProof/>
        </w:rPr>
        <w:fldChar w:fldCharType="end"/>
      </w:r>
      <w:r>
        <w:t>: Please indicate your comments on the CBA.</w:t>
      </w:r>
    </w:p>
    <w:p w14:paraId="2FABE650" w14:textId="77777777" w:rsidR="00940A63" w:rsidRDefault="00940A63" w:rsidP="00940A63"/>
    <w:p w14:paraId="70AF54B7" w14:textId="4B392787" w:rsidR="00940A63" w:rsidRDefault="00940A63" w:rsidP="00940A63">
      <w:r>
        <w:t>&lt;ESMA_QUESTION_13&gt;</w:t>
      </w:r>
    </w:p>
    <w:p w14:paraId="66C5E75F" w14:textId="77777777" w:rsidR="0091764C" w:rsidRDefault="0091764C" w:rsidP="0091764C">
      <w:pPr>
        <w:ind w:left="348"/>
        <w:jc w:val="both"/>
      </w:pPr>
      <w:permStart w:id="1111844381" w:edGrp="everyone"/>
      <w:r>
        <w:t>We have no particular comments to make on the CBA.</w:t>
      </w:r>
    </w:p>
    <w:permEnd w:id="1111844381"/>
    <w:p w14:paraId="2B4396E3" w14:textId="38DE5DE5" w:rsidR="00B25023" w:rsidRPr="00A21A30" w:rsidRDefault="00940A63" w:rsidP="00A21A30">
      <w:r>
        <w:t>&lt;ESMA_QUESTION_13&gt;</w:t>
      </w:r>
    </w:p>
    <w:sectPr w:rsidR="00B25023" w:rsidRPr="00A21A30" w:rsidSect="00C413FC">
      <w:headerReference w:type="even" r:id="rId15"/>
      <w:headerReference w:type="first" r:id="rId16"/>
      <w:footerReference w:type="first" r:id="rId17"/>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800FB" w14:textId="77777777" w:rsidR="00186EE1" w:rsidRDefault="00186EE1">
      <w:r>
        <w:separator/>
      </w:r>
    </w:p>
    <w:p w14:paraId="03EA55C2" w14:textId="77777777" w:rsidR="00186EE1" w:rsidRDefault="00186EE1"/>
    <w:p w14:paraId="4FE8AC46" w14:textId="77777777" w:rsidR="00186EE1" w:rsidRDefault="00186EE1"/>
  </w:endnote>
  <w:endnote w:type="continuationSeparator" w:id="0">
    <w:p w14:paraId="405524B0" w14:textId="77777777" w:rsidR="00186EE1" w:rsidRDefault="00186EE1">
      <w:r>
        <w:continuationSeparator/>
      </w:r>
    </w:p>
    <w:p w14:paraId="1D6D5CC4" w14:textId="77777777" w:rsidR="00186EE1" w:rsidRDefault="00186EE1"/>
    <w:p w14:paraId="078C831A" w14:textId="77777777" w:rsidR="00186EE1" w:rsidRDefault="00186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86EE1" w:rsidRPr="000C3B6D" w14:paraId="5781BFA7" w14:textId="77777777" w:rsidTr="000C3B6D">
      <w:trPr>
        <w:trHeight w:val="284"/>
      </w:trPr>
      <w:tc>
        <w:tcPr>
          <w:tcW w:w="8460" w:type="dxa"/>
        </w:tcPr>
        <w:p w14:paraId="3B3513CD" w14:textId="77777777" w:rsidR="00186EE1" w:rsidRPr="000C3B6D" w:rsidRDefault="00186EE1" w:rsidP="000C3B6D">
          <w:pPr>
            <w:pStyle w:val="00Footer"/>
            <w:rPr>
              <w:lang w:val="fr-FR"/>
            </w:rPr>
          </w:pPr>
        </w:p>
      </w:tc>
      <w:tc>
        <w:tcPr>
          <w:tcW w:w="952" w:type="dxa"/>
        </w:tcPr>
        <w:p w14:paraId="7E457E2E" w14:textId="77777777" w:rsidR="00186EE1" w:rsidRDefault="00186EE1" w:rsidP="002C5B2D">
          <w:pPr>
            <w:pStyle w:val="00aPagenumber"/>
          </w:pPr>
          <w:r w:rsidRPr="002C5B2D">
            <w:fldChar w:fldCharType="begin"/>
          </w:r>
          <w:r w:rsidRPr="002C5B2D">
            <w:instrText xml:space="preserve"> PAGE </w:instrText>
          </w:r>
          <w:r w:rsidRPr="002C5B2D">
            <w:fldChar w:fldCharType="separate"/>
          </w:r>
          <w:r w:rsidR="00F17A3C">
            <w:rPr>
              <w:noProof/>
            </w:rPr>
            <w:t>11</w:t>
          </w:r>
          <w:r w:rsidRPr="002C5B2D">
            <w:fldChar w:fldCharType="end"/>
          </w:r>
        </w:p>
        <w:p w14:paraId="4B069B54" w14:textId="77777777" w:rsidR="00186EE1" w:rsidRPr="002C5B2D" w:rsidRDefault="00186EE1" w:rsidP="002C5B2D">
          <w:pPr>
            <w:pStyle w:val="00aPagenumber"/>
          </w:pPr>
        </w:p>
      </w:tc>
    </w:tr>
    <w:tr w:rsidR="00186EE1" w:rsidRPr="000C3B6D" w14:paraId="72675130" w14:textId="77777777" w:rsidTr="000C3B6D">
      <w:trPr>
        <w:trHeight w:val="284"/>
      </w:trPr>
      <w:tc>
        <w:tcPr>
          <w:tcW w:w="8460" w:type="dxa"/>
        </w:tcPr>
        <w:p w14:paraId="27A25737" w14:textId="3B092D73" w:rsidR="00186EE1" w:rsidRPr="00E06635" w:rsidRDefault="00186EE1" w:rsidP="00D82212">
          <w:pPr>
            <w:pStyle w:val="00Footer"/>
          </w:pPr>
        </w:p>
      </w:tc>
      <w:tc>
        <w:tcPr>
          <w:tcW w:w="952" w:type="dxa"/>
        </w:tcPr>
        <w:p w14:paraId="19F8A1E3" w14:textId="77777777" w:rsidR="00186EE1" w:rsidRPr="002C5B2D" w:rsidRDefault="00186EE1" w:rsidP="002C5B2D">
          <w:pPr>
            <w:pStyle w:val="00aPagenumber"/>
          </w:pPr>
        </w:p>
      </w:tc>
    </w:tr>
  </w:tbl>
  <w:p w14:paraId="00A28279" w14:textId="0B6A4D99" w:rsidR="00186EE1" w:rsidRDefault="00186EE1">
    <w:pPr>
      <w:pStyle w:val="Footer"/>
    </w:pPr>
    <w:r>
      <w:fldChar w:fldCharType="begin"/>
    </w:r>
    <w:r>
      <w:instrText xml:space="preserve"> DATE \@ "dddd, dd MMMM yyyy" </w:instrText>
    </w:r>
    <w:r>
      <w:fldChar w:fldCharType="separate"/>
    </w:r>
    <w:r w:rsidR="001D4990">
      <w:rPr>
        <w:noProof/>
      </w:rPr>
      <w:t>Monday, 18 August 2014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58D6" w14:textId="77777777" w:rsidR="00186EE1" w:rsidRDefault="00186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8A2ED" w14:textId="77777777" w:rsidR="00186EE1" w:rsidRDefault="00186EE1">
      <w:r>
        <w:separator/>
      </w:r>
    </w:p>
    <w:p w14:paraId="09CF2D43" w14:textId="77777777" w:rsidR="00186EE1" w:rsidRDefault="00186EE1"/>
  </w:footnote>
  <w:footnote w:type="continuationSeparator" w:id="0">
    <w:p w14:paraId="0FB1B6E5" w14:textId="77777777" w:rsidR="00186EE1" w:rsidRDefault="00186EE1">
      <w:r>
        <w:continuationSeparator/>
      </w:r>
    </w:p>
    <w:p w14:paraId="2FC22E82" w14:textId="77777777" w:rsidR="00186EE1" w:rsidRDefault="00186EE1"/>
    <w:p w14:paraId="477EF75C" w14:textId="77777777" w:rsidR="00186EE1" w:rsidRDefault="00186E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1D3A1" w14:textId="77777777" w:rsidR="00186EE1" w:rsidRDefault="00186EE1">
    <w:pPr>
      <w:pStyle w:val="Header"/>
    </w:pPr>
    <w:r>
      <w:rPr>
        <w:noProof/>
        <w:lang w:val="en-US" w:eastAsia="en-US"/>
      </w:rPr>
      <w:drawing>
        <wp:anchor distT="0" distB="0" distL="114300" distR="114300" simplePos="0" relativeHeight="251660288" behindDoc="0" locked="0" layoutInCell="1" allowOverlap="1" wp14:anchorId="3EED9FFE" wp14:editId="3D1FB6B4">
          <wp:simplePos x="0" y="0"/>
          <wp:positionH relativeFrom="page">
            <wp:posOffset>791845</wp:posOffset>
          </wp:positionH>
          <wp:positionV relativeFrom="page">
            <wp:posOffset>612140</wp:posOffset>
          </wp:positionV>
          <wp:extent cx="561975" cy="561975"/>
          <wp:effectExtent l="0" t="0" r="9525" b="9525"/>
          <wp:wrapNone/>
          <wp:docPr id="3" name="Picture 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6192" behindDoc="0" locked="0" layoutInCell="1" allowOverlap="1" wp14:anchorId="04B0F2A8" wp14:editId="1359D3A7">
              <wp:simplePos x="0" y="0"/>
              <wp:positionH relativeFrom="page">
                <wp:posOffset>1548130</wp:posOffset>
              </wp:positionH>
              <wp:positionV relativeFrom="page">
                <wp:posOffset>612140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760BD"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5889E" w14:textId="77777777" w:rsidR="00186EE1" w:rsidRDefault="00186EE1">
    <w:pPr>
      <w:pStyle w:val="Header"/>
    </w:pPr>
    <w:r>
      <w:rPr>
        <w:noProof/>
        <w:lang w:val="en-US" w:eastAsia="en-US"/>
      </w:rPr>
      <w:drawing>
        <wp:anchor distT="0" distB="0" distL="114300" distR="114300" simplePos="0" relativeHeight="251659264" behindDoc="0" locked="0" layoutInCell="1" allowOverlap="1" wp14:anchorId="78195F1E" wp14:editId="3E9E757F">
          <wp:simplePos x="0" y="0"/>
          <wp:positionH relativeFrom="page">
            <wp:posOffset>377825</wp:posOffset>
          </wp:positionH>
          <wp:positionV relativeFrom="page">
            <wp:posOffset>377825</wp:posOffset>
          </wp:positionV>
          <wp:extent cx="2209800" cy="904875"/>
          <wp:effectExtent l="0" t="0" r="0" b="9525"/>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70A7F8F3" wp14:editId="341C588D">
          <wp:simplePos x="0" y="0"/>
          <wp:positionH relativeFrom="page">
            <wp:posOffset>0</wp:posOffset>
          </wp:positionH>
          <wp:positionV relativeFrom="page">
            <wp:posOffset>3895725</wp:posOffset>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67835" w14:textId="77777777" w:rsidR="00186EE1" w:rsidRDefault="00186EE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214"/>
      <w:gridCol w:w="198"/>
    </w:tblGrid>
    <w:tr w:rsidR="00186EE1" w:rsidRPr="00E00C3F" w14:paraId="273E79AB" w14:textId="77777777" w:rsidTr="00641A2C">
      <w:trPr>
        <w:trHeight w:val="284"/>
      </w:trPr>
      <w:tc>
        <w:tcPr>
          <w:tcW w:w="9214" w:type="dxa"/>
        </w:tcPr>
        <w:p w14:paraId="63EB5814" w14:textId="77777777" w:rsidR="00186EE1" w:rsidRPr="000C3B6D" w:rsidRDefault="00186EE1" w:rsidP="00641A2C">
          <w:pPr>
            <w:pStyle w:val="Footer"/>
            <w:rPr>
              <w:lang w:val="fr-FR"/>
            </w:rPr>
          </w:pPr>
          <w:r w:rsidRPr="00741C8F">
            <w:rPr>
              <w:color w:val="3E3F90"/>
              <w:sz w:val="16"/>
              <w:szCs w:val="16"/>
              <w:lang w:val="es-ES_tradnl"/>
            </w:rPr>
            <w:t xml:space="preserve">ESMA • CS 60747 – 103 rue de Grenelle • 75345 Paris Cedex 07 • France • Tel. </w:t>
          </w:r>
          <w:r w:rsidRPr="00E00C3F">
            <w:rPr>
              <w:color w:val="3E3F90"/>
              <w:sz w:val="16"/>
              <w:szCs w:val="16"/>
              <w:lang w:val="fr-FR"/>
            </w:rPr>
            <w:t>+33 (0) 1 58 36 43 21 • www.esma.europa.eu</w:t>
          </w:r>
        </w:p>
      </w:tc>
      <w:tc>
        <w:tcPr>
          <w:tcW w:w="198" w:type="dxa"/>
        </w:tcPr>
        <w:p w14:paraId="569EDAD8" w14:textId="77777777" w:rsidR="00186EE1" w:rsidRPr="00E00C3F" w:rsidRDefault="00186EE1" w:rsidP="00620D7C">
          <w:pPr>
            <w:pStyle w:val="00aPagenumber"/>
            <w:rPr>
              <w:lang w:val="fr-FR"/>
            </w:rPr>
          </w:pPr>
        </w:p>
      </w:tc>
    </w:tr>
  </w:tbl>
  <w:p w14:paraId="22CE6FDD" w14:textId="77777777" w:rsidR="00186EE1" w:rsidRPr="00DB46C3" w:rsidRDefault="00186EE1">
    <w:pPr>
      <w:rPr>
        <w:lang w:val="fr-FR"/>
      </w:rPr>
    </w:pPr>
  </w:p>
  <w:p w14:paraId="64A6237C" w14:textId="77777777" w:rsidR="00186EE1" w:rsidRDefault="00186EE1">
    <w:pPr>
      <w:pStyle w:val="Header"/>
    </w:pPr>
    <w:r>
      <w:rPr>
        <w:noProof/>
        <w:lang w:val="en-US" w:eastAsia="en-US"/>
      </w:rPr>
      <mc:AlternateContent>
        <mc:Choice Requires="wps">
          <w:drawing>
            <wp:anchor distT="0" distB="0" distL="114300" distR="114300" simplePos="0" relativeHeight="251658240" behindDoc="0" locked="0" layoutInCell="1" allowOverlap="1" wp14:anchorId="4D924238" wp14:editId="7F03393A">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DE6CA"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val="en-US" w:eastAsia="en-US"/>
      </w:rPr>
      <w:drawing>
        <wp:anchor distT="0" distB="0" distL="114300" distR="114300" simplePos="0" relativeHeight="251657216" behindDoc="0" locked="0" layoutInCell="1" allowOverlap="1" wp14:anchorId="39B772F0" wp14:editId="4DC1273F">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5E7A"/>
    <w:multiLevelType w:val="hybridMultilevel"/>
    <w:tmpl w:val="399C7AA6"/>
    <w:lvl w:ilvl="0" w:tplc="C7B283DC">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16AB2"/>
    <w:multiLevelType w:val="hybridMultilevel"/>
    <w:tmpl w:val="E9086C3E"/>
    <w:lvl w:ilvl="0" w:tplc="3DC4FE0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40CDB"/>
    <w:multiLevelType w:val="multilevel"/>
    <w:tmpl w:val="212CDB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563D17"/>
    <w:multiLevelType w:val="hybridMultilevel"/>
    <w:tmpl w:val="C6A09F1A"/>
    <w:lvl w:ilvl="0" w:tplc="3F74BB04">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656B2"/>
    <w:multiLevelType w:val="hybridMultilevel"/>
    <w:tmpl w:val="479CAEDA"/>
    <w:lvl w:ilvl="0" w:tplc="DCF41B3C">
      <w:start w:val="5"/>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595E013A"/>
    <w:lvl w:ilvl="0" w:tplc="66821E4C">
      <w:start w:val="1"/>
      <w:numFmt w:val="bullet"/>
      <w:pStyle w:val="0MyBullet"/>
      <w:lvlText w:val=""/>
      <w:lvlJc w:val="left"/>
      <w:pPr>
        <w:ind w:left="720" w:hanging="360"/>
      </w:pPr>
      <w:rPr>
        <w:rFonts w:ascii="Symbol" w:hAnsi="Symbol" w:hint="default"/>
      </w:rPr>
    </w:lvl>
    <w:lvl w:ilvl="1" w:tplc="04090003" w:tentative="1">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BB4"/>
    <w:multiLevelType w:val="hybridMultilevel"/>
    <w:tmpl w:val="B7D8639A"/>
    <w:lvl w:ilvl="0" w:tplc="81B0B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D0A2696A">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B3C44"/>
    <w:multiLevelType w:val="hybridMultilevel"/>
    <w:tmpl w:val="7E3E9808"/>
    <w:lvl w:ilvl="0" w:tplc="0407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0293F"/>
    <w:multiLevelType w:val="hybridMultilevel"/>
    <w:tmpl w:val="7B7CDDA8"/>
    <w:lvl w:ilvl="0" w:tplc="FF5E7E2C">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36"/>
    <w:multiLevelType w:val="multilevel"/>
    <w:tmpl w:val="40988096"/>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04C28C6"/>
    <w:multiLevelType w:val="multilevel"/>
    <w:tmpl w:val="E94E1312"/>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11">
    <w:nsid w:val="2CE45378"/>
    <w:multiLevelType w:val="multilevel"/>
    <w:tmpl w:val="A0289056"/>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pStyle w:val="Level2"/>
      <w:lvlText w:val="%1.%2"/>
      <w:lvlJc w:val="left"/>
      <w:pPr>
        <w:tabs>
          <w:tab w:val="num" w:pos="680"/>
        </w:tabs>
        <w:ind w:left="680" w:hanging="680"/>
      </w:pPr>
      <w:rPr>
        <w:rFonts w:ascii="Times New Roman" w:hAnsi="Times New Roman" w:cs="Times New Roman" w:hint="default"/>
        <w:b/>
        <w:i w:val="0"/>
        <w:color w:val="auto"/>
        <w:sz w:val="21"/>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12">
    <w:nsid w:val="2D80373B"/>
    <w:multiLevelType w:val="hybridMultilevel"/>
    <w:tmpl w:val="47144DFA"/>
    <w:lvl w:ilvl="0" w:tplc="6FEC31F2">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D56A4C"/>
    <w:multiLevelType w:val="multilevel"/>
    <w:tmpl w:val="639841C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1D6808"/>
    <w:multiLevelType w:val="hybridMultilevel"/>
    <w:tmpl w:val="5E647ACE"/>
    <w:lvl w:ilvl="0" w:tplc="C4268646">
      <w:start w:val="1"/>
      <w:numFmt w:val="bullet"/>
      <w:pStyle w:val="MyBullet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AFA3F7E"/>
    <w:multiLevelType w:val="hybridMultilevel"/>
    <w:tmpl w:val="228E246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3C5F3A15"/>
    <w:multiLevelType w:val="hybridMultilevel"/>
    <w:tmpl w:val="55AAE488"/>
    <w:lvl w:ilvl="0" w:tplc="BAF871F6">
      <w:start w:val="1"/>
      <w:numFmt w:val="bullet"/>
      <w:lvlText w:val=""/>
      <w:lvlJc w:val="left"/>
      <w:pPr>
        <w:ind w:left="720" w:hanging="360"/>
      </w:pPr>
      <w:rPr>
        <w:rFonts w:ascii="Symbol" w:hAnsi="Symbol" w:hint="default"/>
      </w:rPr>
    </w:lvl>
    <w:lvl w:ilvl="1" w:tplc="24A63E20">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F846409"/>
    <w:multiLevelType w:val="hybridMultilevel"/>
    <w:tmpl w:val="0040E744"/>
    <w:lvl w:ilvl="0" w:tplc="C98A692E">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26208D"/>
    <w:multiLevelType w:val="hybridMultilevel"/>
    <w:tmpl w:val="D0C6D1FE"/>
    <w:lvl w:ilvl="0" w:tplc="5FAE3566">
      <w:numFmt w:val="bullet"/>
      <w:lvlText w:val="-"/>
      <w:lvlJc w:val="left"/>
      <w:pPr>
        <w:ind w:left="720" w:hanging="360"/>
      </w:pPr>
      <w:rPr>
        <w:rFonts w:ascii="Georgia" w:eastAsia="Times New Roman"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BA713F"/>
    <w:multiLevelType w:val="hybridMultilevel"/>
    <w:tmpl w:val="AEA697D2"/>
    <w:lvl w:ilvl="0" w:tplc="BD561B72">
      <w:start w:val="1"/>
      <w:numFmt w:val="decimal"/>
      <w:pStyle w:val="1My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261A85"/>
    <w:multiLevelType w:val="hybridMultilevel"/>
    <w:tmpl w:val="46FA329C"/>
    <w:lvl w:ilvl="0" w:tplc="004A5D92">
      <w:start w:val="1"/>
      <w:numFmt w:val="decimal"/>
      <w:pStyle w:val="04aNumbering"/>
      <w:lvlText w:val="%1."/>
      <w:lvlJc w:val="left"/>
      <w:pPr>
        <w:tabs>
          <w:tab w:val="num" w:pos="4679"/>
        </w:tabs>
        <w:ind w:left="4679" w:hanging="284"/>
      </w:pPr>
      <w:rPr>
        <w:rFonts w:ascii="Georgia" w:hAnsi="Georgia" w:cs="Times New Roman" w:hint="default"/>
        <w:b w:val="0"/>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445F34D8"/>
    <w:multiLevelType w:val="hybridMultilevel"/>
    <w:tmpl w:val="1ACC5824"/>
    <w:lvl w:ilvl="0" w:tplc="D0A2696A">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8507401"/>
    <w:multiLevelType w:val="multilevel"/>
    <w:tmpl w:val="AB2C4B4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C8D0328"/>
    <w:multiLevelType w:val="hybridMultilevel"/>
    <w:tmpl w:val="A1500FD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53260F13"/>
    <w:multiLevelType w:val="multilevel"/>
    <w:tmpl w:val="D652C102"/>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2"/>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5DD586E"/>
    <w:multiLevelType w:val="hybridMultilevel"/>
    <w:tmpl w:val="7278CED4"/>
    <w:lvl w:ilvl="0" w:tplc="3DC4FE0E">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DE55501"/>
    <w:multiLevelType w:val="hybridMultilevel"/>
    <w:tmpl w:val="790A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394246"/>
    <w:multiLevelType w:val="multilevel"/>
    <w:tmpl w:val="76E01130"/>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44630C0"/>
    <w:multiLevelType w:val="multilevel"/>
    <w:tmpl w:val="27EE29C4"/>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49B6065"/>
    <w:multiLevelType w:val="hybridMultilevel"/>
    <w:tmpl w:val="FF8C57BE"/>
    <w:lvl w:ilvl="0" w:tplc="68C003EC">
      <w:start w:val="1"/>
      <w:numFmt w:val="bullet"/>
      <w:pStyle w:val="My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5DC6E5B"/>
    <w:multiLevelType w:val="multilevel"/>
    <w:tmpl w:val="EC26190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866" w:hanging="873"/>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0E009F1"/>
    <w:multiLevelType w:val="hybridMultilevel"/>
    <w:tmpl w:val="326E0842"/>
    <w:lvl w:ilvl="0" w:tplc="35DE07E0">
      <w:start w:val="1"/>
      <w:numFmt w:val="decimal"/>
      <w:pStyle w:val="Recital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E73D4C"/>
    <w:multiLevelType w:val="hybridMultilevel"/>
    <w:tmpl w:val="94C0131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nsid w:val="7AF26E6B"/>
    <w:multiLevelType w:val="hybridMultilevel"/>
    <w:tmpl w:val="ED825812"/>
    <w:lvl w:ilvl="0" w:tplc="3F481CE0">
      <w:start w:val="1"/>
      <w:numFmt w:val="bullet"/>
      <w:pStyle w:val="my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5947FD"/>
    <w:multiLevelType w:val="multilevel"/>
    <w:tmpl w:val="5C20B6BC"/>
    <w:lvl w:ilvl="0">
      <w:start w:val="2"/>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18" w:hanging="425"/>
      </w:pPr>
      <w:rPr>
        <w:rFonts w:hint="default"/>
      </w:rPr>
    </w:lvl>
    <w:lvl w:ilvl="2">
      <w:start w:val="1"/>
      <w:numFmt w:val="lowerRoman"/>
      <w:lvlText w:val="(%3)"/>
      <w:lvlJc w:val="righ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22"/>
  </w:num>
  <w:num w:numId="3">
    <w:abstractNumId w:val="15"/>
  </w:num>
  <w:num w:numId="4">
    <w:abstractNumId w:val="26"/>
  </w:num>
  <w:num w:numId="5">
    <w:abstractNumId w:val="5"/>
  </w:num>
  <w:num w:numId="6">
    <w:abstractNumId w:val="11"/>
  </w:num>
  <w:num w:numId="7">
    <w:abstractNumId w:val="14"/>
  </w:num>
  <w:num w:numId="8">
    <w:abstractNumId w:val="17"/>
  </w:num>
  <w:num w:numId="9">
    <w:abstractNumId w:val="21"/>
  </w:num>
  <w:num w:numId="10">
    <w:abstractNumId w:val="8"/>
  </w:num>
  <w:num w:numId="11">
    <w:abstractNumId w:val="19"/>
  </w:num>
  <w:num w:numId="12">
    <w:abstractNumId w:val="0"/>
  </w:num>
  <w:num w:numId="13">
    <w:abstractNumId w:val="19"/>
    <w:lvlOverride w:ilvl="0">
      <w:startOverride w:val="1"/>
    </w:lvlOverride>
  </w:num>
  <w:num w:numId="14">
    <w:abstractNumId w:val="27"/>
  </w:num>
  <w:num w:numId="15">
    <w:abstractNumId w:val="28"/>
  </w:num>
  <w:num w:numId="16">
    <w:abstractNumId w:val="19"/>
    <w:lvlOverride w:ilvl="0">
      <w:startOverride w:val="1"/>
    </w:lvlOverride>
  </w:num>
  <w:num w:numId="17">
    <w:abstractNumId w:val="19"/>
    <w:lvlOverride w:ilvl="0">
      <w:startOverride w:val="1"/>
    </w:lvlOverride>
  </w:num>
  <w:num w:numId="18">
    <w:abstractNumId w:val="1"/>
  </w:num>
  <w:num w:numId="19">
    <w:abstractNumId w:val="23"/>
  </w:num>
  <w:num w:numId="20">
    <w:abstractNumId w:val="6"/>
  </w:num>
  <w:num w:numId="21">
    <w:abstractNumId w:val="19"/>
    <w:lvlOverride w:ilvl="0">
      <w:startOverride w:val="1"/>
    </w:lvlOverride>
  </w:num>
  <w:num w:numId="22">
    <w:abstractNumId w:val="32"/>
  </w:num>
  <w:num w:numId="23">
    <w:abstractNumId w:val="36"/>
  </w:num>
  <w:num w:numId="24">
    <w:abstractNumId w:val="19"/>
    <w:lvlOverride w:ilvl="0">
      <w:startOverride w:val="1"/>
    </w:lvlOverride>
  </w:num>
  <w:num w:numId="25">
    <w:abstractNumId w:val="19"/>
    <w:lvlOverride w:ilvl="0">
      <w:startOverride w:val="1"/>
    </w:lvlOverride>
  </w:num>
  <w:num w:numId="26">
    <w:abstractNumId w:val="19"/>
  </w:num>
  <w:num w:numId="27">
    <w:abstractNumId w:val="19"/>
    <w:lvlOverride w:ilvl="0">
      <w:startOverride w:val="1"/>
    </w:lvlOverride>
  </w:num>
  <w:num w:numId="28">
    <w:abstractNumId w:val="19"/>
    <w:lvlOverride w:ilvl="0">
      <w:startOverride w:val="1"/>
    </w:lvlOverride>
  </w:num>
  <w:num w:numId="29">
    <w:abstractNumId w:val="3"/>
  </w:num>
  <w:num w:numId="30">
    <w:abstractNumId w:val="34"/>
  </w:num>
  <w:num w:numId="31">
    <w:abstractNumId w:val="33"/>
    <w:lvlOverride w:ilvl="0">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9"/>
  </w:num>
  <w:num w:numId="35">
    <w:abstractNumId w:val="30"/>
  </w:num>
  <w:num w:numId="36">
    <w:abstractNumId w:val="31"/>
  </w:num>
  <w:num w:numId="37">
    <w:abstractNumId w:val="24"/>
  </w:num>
  <w:num w:numId="38">
    <w:abstractNumId w:val="37"/>
  </w:num>
  <w:num w:numId="39">
    <w:abstractNumId w:val="19"/>
    <w:lvlOverride w:ilvl="0">
      <w:startOverride w:val="1"/>
    </w:lvlOverride>
  </w:num>
  <w:num w:numId="40">
    <w:abstractNumId w:val="19"/>
    <w:lvlOverride w:ilvl="0">
      <w:startOverride w:val="1"/>
    </w:lvlOverride>
  </w:num>
  <w:num w:numId="41">
    <w:abstractNumId w:val="19"/>
    <w:lvlOverride w:ilvl="0">
      <w:startOverride w:val="1"/>
    </w:lvlOverride>
  </w:num>
  <w:num w:numId="42">
    <w:abstractNumId w:val="19"/>
    <w:lvlOverride w:ilvl="0">
      <w:startOverride w:val="1"/>
    </w:lvlOverride>
  </w:num>
  <w:num w:numId="43">
    <w:abstractNumId w:val="19"/>
    <w:lvlOverride w:ilvl="0">
      <w:startOverride w:val="1"/>
    </w:lvlOverride>
  </w:num>
  <w:num w:numId="44">
    <w:abstractNumId w:val="7"/>
  </w:num>
  <w:num w:numId="45">
    <w:abstractNumId w:val="19"/>
    <w:lvlOverride w:ilvl="0">
      <w:startOverride w:val="1"/>
    </w:lvlOverride>
  </w:num>
  <w:num w:numId="46">
    <w:abstractNumId w:val="2"/>
  </w:num>
  <w:num w:numId="47">
    <w:abstractNumId w:val="10"/>
  </w:num>
  <w:num w:numId="48">
    <w:abstractNumId w:val="4"/>
  </w:num>
  <w:num w:numId="49">
    <w:abstractNumId w:val="29"/>
  </w:num>
  <w:num w:numId="50">
    <w:abstractNumId w:val="12"/>
  </w:num>
  <w:num w:numId="51">
    <w:abstractNumId w:val="20"/>
  </w:num>
  <w:num w:numId="52">
    <w:abstractNumId w:val="19"/>
    <w:lvlOverride w:ilvl="0">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5"/>
  </w:num>
  <w:num w:numId="57">
    <w:abstractNumId w:val="25"/>
  </w:num>
  <w:num w:numId="58">
    <w:abstractNumId w:val="16"/>
  </w:num>
  <w:num w:numId="59">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1" w:cryptProviderType="rsaFull" w:cryptAlgorithmClass="hash" w:cryptAlgorithmType="typeAny" w:cryptAlgorithmSid="4" w:cryptSpinCount="100000" w:hash="trL95fgL1zKwo4I9HULZ7CGszCQ=" w:salt="Dmy4ivUnOPRfU9aDH0+ZyQ=="/>
  <w:defaultTabStop w:val="709"/>
  <w:hyphenationZone w:val="567"/>
  <w:doNotHyphenateCaps/>
  <w:characterSpacingControl w:val="doNotCompress"/>
  <w:hdrShapeDefaults>
    <o:shapedefaults v:ext="edit" spidmax="20481">
      <o:colormru v:ext="edit" colors="#2d4491,#28358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52"/>
    <w:rsid w:val="0000108D"/>
    <w:rsid w:val="0000125B"/>
    <w:rsid w:val="000018E5"/>
    <w:rsid w:val="00003066"/>
    <w:rsid w:val="00003AEB"/>
    <w:rsid w:val="000055FE"/>
    <w:rsid w:val="000057A4"/>
    <w:rsid w:val="00005941"/>
    <w:rsid w:val="00011F51"/>
    <w:rsid w:val="00012A14"/>
    <w:rsid w:val="000134E9"/>
    <w:rsid w:val="000141D6"/>
    <w:rsid w:val="0001488F"/>
    <w:rsid w:val="00014A4B"/>
    <w:rsid w:val="0001774B"/>
    <w:rsid w:val="000214DE"/>
    <w:rsid w:val="000218D6"/>
    <w:rsid w:val="00022F80"/>
    <w:rsid w:val="0002436D"/>
    <w:rsid w:val="000259C1"/>
    <w:rsid w:val="00027154"/>
    <w:rsid w:val="000274DB"/>
    <w:rsid w:val="0002767B"/>
    <w:rsid w:val="00027950"/>
    <w:rsid w:val="00030909"/>
    <w:rsid w:val="00030E3E"/>
    <w:rsid w:val="0003444F"/>
    <w:rsid w:val="00034E6C"/>
    <w:rsid w:val="00036175"/>
    <w:rsid w:val="000361B3"/>
    <w:rsid w:val="00036907"/>
    <w:rsid w:val="0003741B"/>
    <w:rsid w:val="0004082A"/>
    <w:rsid w:val="000410E9"/>
    <w:rsid w:val="0004248A"/>
    <w:rsid w:val="00042EF2"/>
    <w:rsid w:val="000436AB"/>
    <w:rsid w:val="0004389E"/>
    <w:rsid w:val="000439DE"/>
    <w:rsid w:val="0004481F"/>
    <w:rsid w:val="00045FB1"/>
    <w:rsid w:val="00047DD8"/>
    <w:rsid w:val="00050083"/>
    <w:rsid w:val="00051992"/>
    <w:rsid w:val="00051BC9"/>
    <w:rsid w:val="0005505F"/>
    <w:rsid w:val="000561C0"/>
    <w:rsid w:val="000576D7"/>
    <w:rsid w:val="000606DD"/>
    <w:rsid w:val="00060F72"/>
    <w:rsid w:val="00062997"/>
    <w:rsid w:val="00062EAD"/>
    <w:rsid w:val="00070974"/>
    <w:rsid w:val="00071CE4"/>
    <w:rsid w:val="0007474E"/>
    <w:rsid w:val="00075A90"/>
    <w:rsid w:val="00080976"/>
    <w:rsid w:val="000829E9"/>
    <w:rsid w:val="00084648"/>
    <w:rsid w:val="00085B53"/>
    <w:rsid w:val="00085CB4"/>
    <w:rsid w:val="00085E19"/>
    <w:rsid w:val="00086B36"/>
    <w:rsid w:val="000878D1"/>
    <w:rsid w:val="00087A2B"/>
    <w:rsid w:val="00090459"/>
    <w:rsid w:val="00091A20"/>
    <w:rsid w:val="000925FF"/>
    <w:rsid w:val="000932E0"/>
    <w:rsid w:val="00094A6B"/>
    <w:rsid w:val="00094DD3"/>
    <w:rsid w:val="000951B7"/>
    <w:rsid w:val="00095B96"/>
    <w:rsid w:val="00095EDE"/>
    <w:rsid w:val="000A0199"/>
    <w:rsid w:val="000A0671"/>
    <w:rsid w:val="000A1837"/>
    <w:rsid w:val="000A2127"/>
    <w:rsid w:val="000A3313"/>
    <w:rsid w:val="000A3561"/>
    <w:rsid w:val="000A3888"/>
    <w:rsid w:val="000A58B6"/>
    <w:rsid w:val="000A7B53"/>
    <w:rsid w:val="000B12AB"/>
    <w:rsid w:val="000B275C"/>
    <w:rsid w:val="000B2DB1"/>
    <w:rsid w:val="000B6023"/>
    <w:rsid w:val="000B6715"/>
    <w:rsid w:val="000C0AC8"/>
    <w:rsid w:val="000C1456"/>
    <w:rsid w:val="000C1A7D"/>
    <w:rsid w:val="000C1CFC"/>
    <w:rsid w:val="000C1E28"/>
    <w:rsid w:val="000C22A9"/>
    <w:rsid w:val="000C2477"/>
    <w:rsid w:val="000C2B6A"/>
    <w:rsid w:val="000C3B6D"/>
    <w:rsid w:val="000C6BFE"/>
    <w:rsid w:val="000D0120"/>
    <w:rsid w:val="000D0936"/>
    <w:rsid w:val="000D2DE4"/>
    <w:rsid w:val="000D629F"/>
    <w:rsid w:val="000D69CA"/>
    <w:rsid w:val="000D6BCE"/>
    <w:rsid w:val="000D76EE"/>
    <w:rsid w:val="000E00A1"/>
    <w:rsid w:val="000E0CE1"/>
    <w:rsid w:val="000E2124"/>
    <w:rsid w:val="000E4841"/>
    <w:rsid w:val="000E4D6A"/>
    <w:rsid w:val="000E5A66"/>
    <w:rsid w:val="000F2386"/>
    <w:rsid w:val="000F30B4"/>
    <w:rsid w:val="000F36BC"/>
    <w:rsid w:val="000F4B12"/>
    <w:rsid w:val="000F5D58"/>
    <w:rsid w:val="00101C7D"/>
    <w:rsid w:val="00101E86"/>
    <w:rsid w:val="00101FD5"/>
    <w:rsid w:val="00103FA2"/>
    <w:rsid w:val="001046BF"/>
    <w:rsid w:val="001065D7"/>
    <w:rsid w:val="00106E60"/>
    <w:rsid w:val="0010755D"/>
    <w:rsid w:val="00107651"/>
    <w:rsid w:val="00110C5F"/>
    <w:rsid w:val="001111E3"/>
    <w:rsid w:val="00111525"/>
    <w:rsid w:val="0011167D"/>
    <w:rsid w:val="00112892"/>
    <w:rsid w:val="00112AB9"/>
    <w:rsid w:val="00113A30"/>
    <w:rsid w:val="00114377"/>
    <w:rsid w:val="00115C28"/>
    <w:rsid w:val="00117B62"/>
    <w:rsid w:val="00120C41"/>
    <w:rsid w:val="001222F8"/>
    <w:rsid w:val="00123D39"/>
    <w:rsid w:val="0012451C"/>
    <w:rsid w:val="0012566F"/>
    <w:rsid w:val="00126153"/>
    <w:rsid w:val="00126A56"/>
    <w:rsid w:val="00127304"/>
    <w:rsid w:val="00127E07"/>
    <w:rsid w:val="001302B3"/>
    <w:rsid w:val="00130D4A"/>
    <w:rsid w:val="00130F41"/>
    <w:rsid w:val="001313B7"/>
    <w:rsid w:val="00133121"/>
    <w:rsid w:val="00134E54"/>
    <w:rsid w:val="00135F2B"/>
    <w:rsid w:val="001364BC"/>
    <w:rsid w:val="00136F17"/>
    <w:rsid w:val="001376DE"/>
    <w:rsid w:val="00137B16"/>
    <w:rsid w:val="001431AE"/>
    <w:rsid w:val="00143B87"/>
    <w:rsid w:val="0014501C"/>
    <w:rsid w:val="00145BEB"/>
    <w:rsid w:val="00147252"/>
    <w:rsid w:val="00147B5A"/>
    <w:rsid w:val="001501FE"/>
    <w:rsid w:val="00152165"/>
    <w:rsid w:val="00152987"/>
    <w:rsid w:val="00153B8A"/>
    <w:rsid w:val="00153DE9"/>
    <w:rsid w:val="0015624B"/>
    <w:rsid w:val="00157C5D"/>
    <w:rsid w:val="00161F32"/>
    <w:rsid w:val="001632B2"/>
    <w:rsid w:val="00163C2A"/>
    <w:rsid w:val="001641BB"/>
    <w:rsid w:val="0016552B"/>
    <w:rsid w:val="00165C12"/>
    <w:rsid w:val="00165D8E"/>
    <w:rsid w:val="00166895"/>
    <w:rsid w:val="001678BB"/>
    <w:rsid w:val="00167A86"/>
    <w:rsid w:val="001722BD"/>
    <w:rsid w:val="001725A5"/>
    <w:rsid w:val="00172681"/>
    <w:rsid w:val="001728BA"/>
    <w:rsid w:val="00172AC3"/>
    <w:rsid w:val="00172F13"/>
    <w:rsid w:val="00174FD9"/>
    <w:rsid w:val="00175B4C"/>
    <w:rsid w:val="0017616A"/>
    <w:rsid w:val="001762D4"/>
    <w:rsid w:val="00181B3B"/>
    <w:rsid w:val="00183178"/>
    <w:rsid w:val="001843B5"/>
    <w:rsid w:val="00184B0D"/>
    <w:rsid w:val="001850D9"/>
    <w:rsid w:val="0018532A"/>
    <w:rsid w:val="00186EE1"/>
    <w:rsid w:val="001875BE"/>
    <w:rsid w:val="00190B8C"/>
    <w:rsid w:val="001931BC"/>
    <w:rsid w:val="001937AD"/>
    <w:rsid w:val="00193908"/>
    <w:rsid w:val="00194117"/>
    <w:rsid w:val="00194451"/>
    <w:rsid w:val="00194BEE"/>
    <w:rsid w:val="0019595E"/>
    <w:rsid w:val="00196752"/>
    <w:rsid w:val="001A12FC"/>
    <w:rsid w:val="001A334C"/>
    <w:rsid w:val="001A33E0"/>
    <w:rsid w:val="001A3CC3"/>
    <w:rsid w:val="001A459C"/>
    <w:rsid w:val="001A54C7"/>
    <w:rsid w:val="001A54D5"/>
    <w:rsid w:val="001A5DFE"/>
    <w:rsid w:val="001A7AF6"/>
    <w:rsid w:val="001B0363"/>
    <w:rsid w:val="001B1BC3"/>
    <w:rsid w:val="001B2338"/>
    <w:rsid w:val="001B4AFB"/>
    <w:rsid w:val="001B4FD7"/>
    <w:rsid w:val="001B6315"/>
    <w:rsid w:val="001B6AE4"/>
    <w:rsid w:val="001B6F2E"/>
    <w:rsid w:val="001C186A"/>
    <w:rsid w:val="001C1A59"/>
    <w:rsid w:val="001C2D4D"/>
    <w:rsid w:val="001C793F"/>
    <w:rsid w:val="001C7C4A"/>
    <w:rsid w:val="001D17BE"/>
    <w:rsid w:val="001D2C22"/>
    <w:rsid w:val="001D4440"/>
    <w:rsid w:val="001D4550"/>
    <w:rsid w:val="001D4990"/>
    <w:rsid w:val="001E2DBA"/>
    <w:rsid w:val="001E3B84"/>
    <w:rsid w:val="001E450B"/>
    <w:rsid w:val="001E5D1C"/>
    <w:rsid w:val="001E6096"/>
    <w:rsid w:val="001F231A"/>
    <w:rsid w:val="001F2E67"/>
    <w:rsid w:val="001F3032"/>
    <w:rsid w:val="001F44A4"/>
    <w:rsid w:val="001F44DA"/>
    <w:rsid w:val="001F7F86"/>
    <w:rsid w:val="0020025C"/>
    <w:rsid w:val="00200340"/>
    <w:rsid w:val="00201DC6"/>
    <w:rsid w:val="00202164"/>
    <w:rsid w:val="002047CD"/>
    <w:rsid w:val="002051F1"/>
    <w:rsid w:val="0020582D"/>
    <w:rsid w:val="00205869"/>
    <w:rsid w:val="0021025C"/>
    <w:rsid w:val="002107B8"/>
    <w:rsid w:val="002119AA"/>
    <w:rsid w:val="0021335E"/>
    <w:rsid w:val="00213415"/>
    <w:rsid w:val="00213992"/>
    <w:rsid w:val="00213CFC"/>
    <w:rsid w:val="0021404A"/>
    <w:rsid w:val="00214C06"/>
    <w:rsid w:val="00214FB4"/>
    <w:rsid w:val="00215429"/>
    <w:rsid w:val="00216856"/>
    <w:rsid w:val="00217359"/>
    <w:rsid w:val="00217F8E"/>
    <w:rsid w:val="002205FA"/>
    <w:rsid w:val="002217BF"/>
    <w:rsid w:val="00221C62"/>
    <w:rsid w:val="0022211E"/>
    <w:rsid w:val="00223E9C"/>
    <w:rsid w:val="00224A36"/>
    <w:rsid w:val="00226959"/>
    <w:rsid w:val="002273C3"/>
    <w:rsid w:val="00227A66"/>
    <w:rsid w:val="00230601"/>
    <w:rsid w:val="00232535"/>
    <w:rsid w:val="00233B08"/>
    <w:rsid w:val="00233C3B"/>
    <w:rsid w:val="0023417B"/>
    <w:rsid w:val="00234668"/>
    <w:rsid w:val="00235299"/>
    <w:rsid w:val="0023660D"/>
    <w:rsid w:val="00240651"/>
    <w:rsid w:val="00240803"/>
    <w:rsid w:val="00241EF3"/>
    <w:rsid w:val="00243225"/>
    <w:rsid w:val="0024465E"/>
    <w:rsid w:val="002457B9"/>
    <w:rsid w:val="002458CB"/>
    <w:rsid w:val="002464E4"/>
    <w:rsid w:val="002501CA"/>
    <w:rsid w:val="00250D4C"/>
    <w:rsid w:val="00251048"/>
    <w:rsid w:val="00251806"/>
    <w:rsid w:val="00251C40"/>
    <w:rsid w:val="00252D09"/>
    <w:rsid w:val="002534F6"/>
    <w:rsid w:val="00255C97"/>
    <w:rsid w:val="00256D8C"/>
    <w:rsid w:val="002578BD"/>
    <w:rsid w:val="00257B23"/>
    <w:rsid w:val="00261D04"/>
    <w:rsid w:val="00261D56"/>
    <w:rsid w:val="00262153"/>
    <w:rsid w:val="002630C3"/>
    <w:rsid w:val="002637FD"/>
    <w:rsid w:val="0026461C"/>
    <w:rsid w:val="002648CE"/>
    <w:rsid w:val="00264EA2"/>
    <w:rsid w:val="00270EBF"/>
    <w:rsid w:val="00271385"/>
    <w:rsid w:val="00271EB8"/>
    <w:rsid w:val="00273A9A"/>
    <w:rsid w:val="00275566"/>
    <w:rsid w:val="00276164"/>
    <w:rsid w:val="002764C5"/>
    <w:rsid w:val="00280613"/>
    <w:rsid w:val="0028084A"/>
    <w:rsid w:val="00281053"/>
    <w:rsid w:val="00282962"/>
    <w:rsid w:val="0028331F"/>
    <w:rsid w:val="00283F51"/>
    <w:rsid w:val="00284213"/>
    <w:rsid w:val="00286742"/>
    <w:rsid w:val="00287689"/>
    <w:rsid w:val="00287D51"/>
    <w:rsid w:val="00290EF4"/>
    <w:rsid w:val="00291B40"/>
    <w:rsid w:val="00291C7B"/>
    <w:rsid w:val="00292D1F"/>
    <w:rsid w:val="002935C4"/>
    <w:rsid w:val="00293BE7"/>
    <w:rsid w:val="00293EAC"/>
    <w:rsid w:val="002A0AB5"/>
    <w:rsid w:val="002A2454"/>
    <w:rsid w:val="002A46E8"/>
    <w:rsid w:val="002A602E"/>
    <w:rsid w:val="002A6EF9"/>
    <w:rsid w:val="002B03A9"/>
    <w:rsid w:val="002B1CB0"/>
    <w:rsid w:val="002B1F0B"/>
    <w:rsid w:val="002B3CBA"/>
    <w:rsid w:val="002B3CC5"/>
    <w:rsid w:val="002B3DEF"/>
    <w:rsid w:val="002B4828"/>
    <w:rsid w:val="002B4FAA"/>
    <w:rsid w:val="002B5608"/>
    <w:rsid w:val="002B7A16"/>
    <w:rsid w:val="002C00E9"/>
    <w:rsid w:val="002C0282"/>
    <w:rsid w:val="002C0748"/>
    <w:rsid w:val="002C209E"/>
    <w:rsid w:val="002C380B"/>
    <w:rsid w:val="002C3EDB"/>
    <w:rsid w:val="002C4930"/>
    <w:rsid w:val="002C52C7"/>
    <w:rsid w:val="002C5B2D"/>
    <w:rsid w:val="002C68EC"/>
    <w:rsid w:val="002D20E5"/>
    <w:rsid w:val="002D21F0"/>
    <w:rsid w:val="002D281F"/>
    <w:rsid w:val="002D386B"/>
    <w:rsid w:val="002D502D"/>
    <w:rsid w:val="002D57C4"/>
    <w:rsid w:val="002D5CCA"/>
    <w:rsid w:val="002D6E5C"/>
    <w:rsid w:val="002D739A"/>
    <w:rsid w:val="002D7B65"/>
    <w:rsid w:val="002E0267"/>
    <w:rsid w:val="002E1B22"/>
    <w:rsid w:val="002E27EA"/>
    <w:rsid w:val="002E3097"/>
    <w:rsid w:val="002E38FD"/>
    <w:rsid w:val="002E3F1E"/>
    <w:rsid w:val="002E4454"/>
    <w:rsid w:val="002E4486"/>
    <w:rsid w:val="002E48CA"/>
    <w:rsid w:val="002E63AB"/>
    <w:rsid w:val="002E6926"/>
    <w:rsid w:val="002E733B"/>
    <w:rsid w:val="002F170E"/>
    <w:rsid w:val="002F2259"/>
    <w:rsid w:val="002F2403"/>
    <w:rsid w:val="002F6C5A"/>
    <w:rsid w:val="002F70BE"/>
    <w:rsid w:val="002F7132"/>
    <w:rsid w:val="00301DBC"/>
    <w:rsid w:val="00303D1A"/>
    <w:rsid w:val="00304A71"/>
    <w:rsid w:val="0030524D"/>
    <w:rsid w:val="003056DD"/>
    <w:rsid w:val="00307BFF"/>
    <w:rsid w:val="003110A0"/>
    <w:rsid w:val="00312675"/>
    <w:rsid w:val="00312BBB"/>
    <w:rsid w:val="00313A00"/>
    <w:rsid w:val="00313B78"/>
    <w:rsid w:val="00313BF0"/>
    <w:rsid w:val="00313E5B"/>
    <w:rsid w:val="00314013"/>
    <w:rsid w:val="00315746"/>
    <w:rsid w:val="003173C8"/>
    <w:rsid w:val="0032062F"/>
    <w:rsid w:val="00323807"/>
    <w:rsid w:val="00323D01"/>
    <w:rsid w:val="003254C3"/>
    <w:rsid w:val="00325E95"/>
    <w:rsid w:val="00325F48"/>
    <w:rsid w:val="00326346"/>
    <w:rsid w:val="00326AD4"/>
    <w:rsid w:val="00331244"/>
    <w:rsid w:val="003323A8"/>
    <w:rsid w:val="00332D8D"/>
    <w:rsid w:val="00332DBE"/>
    <w:rsid w:val="00333000"/>
    <w:rsid w:val="0033477E"/>
    <w:rsid w:val="00335020"/>
    <w:rsid w:val="00335739"/>
    <w:rsid w:val="00335792"/>
    <w:rsid w:val="003359A8"/>
    <w:rsid w:val="00336553"/>
    <w:rsid w:val="003377A6"/>
    <w:rsid w:val="003411EA"/>
    <w:rsid w:val="00341B25"/>
    <w:rsid w:val="00342204"/>
    <w:rsid w:val="00342215"/>
    <w:rsid w:val="003427FD"/>
    <w:rsid w:val="00342E07"/>
    <w:rsid w:val="0034387B"/>
    <w:rsid w:val="003439EA"/>
    <w:rsid w:val="0034590E"/>
    <w:rsid w:val="00345950"/>
    <w:rsid w:val="00346DAD"/>
    <w:rsid w:val="0034721E"/>
    <w:rsid w:val="00351CB5"/>
    <w:rsid w:val="003522B2"/>
    <w:rsid w:val="00352970"/>
    <w:rsid w:val="00354A6F"/>
    <w:rsid w:val="00355752"/>
    <w:rsid w:val="003609B6"/>
    <w:rsid w:val="00361FD3"/>
    <w:rsid w:val="003638FC"/>
    <w:rsid w:val="00363AC3"/>
    <w:rsid w:val="0036426C"/>
    <w:rsid w:val="0036503F"/>
    <w:rsid w:val="00367FE8"/>
    <w:rsid w:val="0037087F"/>
    <w:rsid w:val="00370AB4"/>
    <w:rsid w:val="0037116A"/>
    <w:rsid w:val="00372176"/>
    <w:rsid w:val="003742EC"/>
    <w:rsid w:val="0037501C"/>
    <w:rsid w:val="00376195"/>
    <w:rsid w:val="00376367"/>
    <w:rsid w:val="00376487"/>
    <w:rsid w:val="003776BB"/>
    <w:rsid w:val="00377F35"/>
    <w:rsid w:val="003803D2"/>
    <w:rsid w:val="00381154"/>
    <w:rsid w:val="00381226"/>
    <w:rsid w:val="0038123E"/>
    <w:rsid w:val="003822DA"/>
    <w:rsid w:val="00382BCE"/>
    <w:rsid w:val="003831A6"/>
    <w:rsid w:val="00385C1E"/>
    <w:rsid w:val="0039168D"/>
    <w:rsid w:val="003917B3"/>
    <w:rsid w:val="00393455"/>
    <w:rsid w:val="0039409B"/>
    <w:rsid w:val="003972C9"/>
    <w:rsid w:val="003A3B8A"/>
    <w:rsid w:val="003A4923"/>
    <w:rsid w:val="003A5A08"/>
    <w:rsid w:val="003A74E7"/>
    <w:rsid w:val="003A7F9C"/>
    <w:rsid w:val="003B0444"/>
    <w:rsid w:val="003B0BAC"/>
    <w:rsid w:val="003B381A"/>
    <w:rsid w:val="003B47AF"/>
    <w:rsid w:val="003B5491"/>
    <w:rsid w:val="003C079C"/>
    <w:rsid w:val="003C0B08"/>
    <w:rsid w:val="003C1C8D"/>
    <w:rsid w:val="003C2908"/>
    <w:rsid w:val="003C2A20"/>
    <w:rsid w:val="003C462F"/>
    <w:rsid w:val="003C54BD"/>
    <w:rsid w:val="003C6F09"/>
    <w:rsid w:val="003D0DD6"/>
    <w:rsid w:val="003D423A"/>
    <w:rsid w:val="003D43A7"/>
    <w:rsid w:val="003D4C0C"/>
    <w:rsid w:val="003D503B"/>
    <w:rsid w:val="003D605E"/>
    <w:rsid w:val="003D71BE"/>
    <w:rsid w:val="003D72FD"/>
    <w:rsid w:val="003E0B98"/>
    <w:rsid w:val="003E0F84"/>
    <w:rsid w:val="003E3118"/>
    <w:rsid w:val="003E3ACA"/>
    <w:rsid w:val="003E63C3"/>
    <w:rsid w:val="003E6C7E"/>
    <w:rsid w:val="003E6F13"/>
    <w:rsid w:val="003E72C8"/>
    <w:rsid w:val="003F10BE"/>
    <w:rsid w:val="003F1192"/>
    <w:rsid w:val="003F1873"/>
    <w:rsid w:val="003F25BA"/>
    <w:rsid w:val="003F27B5"/>
    <w:rsid w:val="003F2CA8"/>
    <w:rsid w:val="003F2E45"/>
    <w:rsid w:val="003F3FF4"/>
    <w:rsid w:val="003F54EE"/>
    <w:rsid w:val="003F6BFF"/>
    <w:rsid w:val="003F7987"/>
    <w:rsid w:val="003F7C2A"/>
    <w:rsid w:val="004000AE"/>
    <w:rsid w:val="00402CED"/>
    <w:rsid w:val="00403086"/>
    <w:rsid w:val="004034D0"/>
    <w:rsid w:val="004040FF"/>
    <w:rsid w:val="00404F39"/>
    <w:rsid w:val="00406587"/>
    <w:rsid w:val="00407C05"/>
    <w:rsid w:val="00410240"/>
    <w:rsid w:val="00411146"/>
    <w:rsid w:val="0041198D"/>
    <w:rsid w:val="00411C55"/>
    <w:rsid w:val="00412C4C"/>
    <w:rsid w:val="00413DB4"/>
    <w:rsid w:val="0041429A"/>
    <w:rsid w:val="00417DD8"/>
    <w:rsid w:val="00417EF7"/>
    <w:rsid w:val="004200D9"/>
    <w:rsid w:val="0042044B"/>
    <w:rsid w:val="00420B9A"/>
    <w:rsid w:val="00422BFC"/>
    <w:rsid w:val="00422C5D"/>
    <w:rsid w:val="00424642"/>
    <w:rsid w:val="00425DAC"/>
    <w:rsid w:val="00425EC8"/>
    <w:rsid w:val="00426432"/>
    <w:rsid w:val="0042717F"/>
    <w:rsid w:val="00430497"/>
    <w:rsid w:val="00431652"/>
    <w:rsid w:val="00432A91"/>
    <w:rsid w:val="004335CF"/>
    <w:rsid w:val="0043383C"/>
    <w:rsid w:val="00434A74"/>
    <w:rsid w:val="00434EF8"/>
    <w:rsid w:val="00435A3F"/>
    <w:rsid w:val="00437406"/>
    <w:rsid w:val="00437703"/>
    <w:rsid w:val="00437FE6"/>
    <w:rsid w:val="004421E8"/>
    <w:rsid w:val="004443B7"/>
    <w:rsid w:val="00446EEE"/>
    <w:rsid w:val="0045175A"/>
    <w:rsid w:val="00451ED9"/>
    <w:rsid w:val="00452D64"/>
    <w:rsid w:val="00453073"/>
    <w:rsid w:val="00453F26"/>
    <w:rsid w:val="00454832"/>
    <w:rsid w:val="0045503F"/>
    <w:rsid w:val="00460A2A"/>
    <w:rsid w:val="00461DE4"/>
    <w:rsid w:val="0046283C"/>
    <w:rsid w:val="004628D2"/>
    <w:rsid w:val="0046376D"/>
    <w:rsid w:val="00463B19"/>
    <w:rsid w:val="004645E6"/>
    <w:rsid w:val="00464717"/>
    <w:rsid w:val="00466AE5"/>
    <w:rsid w:val="0046777F"/>
    <w:rsid w:val="00467BA5"/>
    <w:rsid w:val="00470ABD"/>
    <w:rsid w:val="00472EAE"/>
    <w:rsid w:val="00473585"/>
    <w:rsid w:val="00474C5A"/>
    <w:rsid w:val="00475B8E"/>
    <w:rsid w:val="00475DBC"/>
    <w:rsid w:val="00476014"/>
    <w:rsid w:val="00477378"/>
    <w:rsid w:val="00481135"/>
    <w:rsid w:val="004814BB"/>
    <w:rsid w:val="00482542"/>
    <w:rsid w:val="00483AAB"/>
    <w:rsid w:val="00484A3D"/>
    <w:rsid w:val="00487126"/>
    <w:rsid w:val="00487A91"/>
    <w:rsid w:val="00490029"/>
    <w:rsid w:val="004901E5"/>
    <w:rsid w:val="004903D4"/>
    <w:rsid w:val="004903E1"/>
    <w:rsid w:val="00490B0F"/>
    <w:rsid w:val="00492D7C"/>
    <w:rsid w:val="00494737"/>
    <w:rsid w:val="004953D0"/>
    <w:rsid w:val="004963FF"/>
    <w:rsid w:val="00496B39"/>
    <w:rsid w:val="00497750"/>
    <w:rsid w:val="00497B44"/>
    <w:rsid w:val="004A116E"/>
    <w:rsid w:val="004A2D9A"/>
    <w:rsid w:val="004A36BA"/>
    <w:rsid w:val="004A5898"/>
    <w:rsid w:val="004A65CD"/>
    <w:rsid w:val="004A694D"/>
    <w:rsid w:val="004B0787"/>
    <w:rsid w:val="004B07B6"/>
    <w:rsid w:val="004B0CB1"/>
    <w:rsid w:val="004B21AB"/>
    <w:rsid w:val="004B3688"/>
    <w:rsid w:val="004B6678"/>
    <w:rsid w:val="004B71C7"/>
    <w:rsid w:val="004B7356"/>
    <w:rsid w:val="004C0882"/>
    <w:rsid w:val="004C1592"/>
    <w:rsid w:val="004C2CD3"/>
    <w:rsid w:val="004C35BC"/>
    <w:rsid w:val="004C66BD"/>
    <w:rsid w:val="004C6A85"/>
    <w:rsid w:val="004C6E76"/>
    <w:rsid w:val="004C72A0"/>
    <w:rsid w:val="004C75BC"/>
    <w:rsid w:val="004C7B13"/>
    <w:rsid w:val="004C7B33"/>
    <w:rsid w:val="004D1860"/>
    <w:rsid w:val="004D19C2"/>
    <w:rsid w:val="004D1D07"/>
    <w:rsid w:val="004D20B1"/>
    <w:rsid w:val="004D3DAF"/>
    <w:rsid w:val="004E0372"/>
    <w:rsid w:val="004E0BAC"/>
    <w:rsid w:val="004E200B"/>
    <w:rsid w:val="004E272A"/>
    <w:rsid w:val="004E2E91"/>
    <w:rsid w:val="004E5D05"/>
    <w:rsid w:val="004E62B8"/>
    <w:rsid w:val="004E64D8"/>
    <w:rsid w:val="004E6AE6"/>
    <w:rsid w:val="004E6CCE"/>
    <w:rsid w:val="004E6DDC"/>
    <w:rsid w:val="004E7150"/>
    <w:rsid w:val="004E7EA3"/>
    <w:rsid w:val="004F210C"/>
    <w:rsid w:val="004F4698"/>
    <w:rsid w:val="004F4812"/>
    <w:rsid w:val="004F4E1F"/>
    <w:rsid w:val="004F509F"/>
    <w:rsid w:val="00500BE3"/>
    <w:rsid w:val="00503A3E"/>
    <w:rsid w:val="00505BBA"/>
    <w:rsid w:val="005077F7"/>
    <w:rsid w:val="005109BB"/>
    <w:rsid w:val="00510A9D"/>
    <w:rsid w:val="005132EC"/>
    <w:rsid w:val="00516783"/>
    <w:rsid w:val="00517EF8"/>
    <w:rsid w:val="0052076A"/>
    <w:rsid w:val="00520A34"/>
    <w:rsid w:val="00520A57"/>
    <w:rsid w:val="00521AF8"/>
    <w:rsid w:val="00522586"/>
    <w:rsid w:val="00522A87"/>
    <w:rsid w:val="00522AA8"/>
    <w:rsid w:val="00522D8E"/>
    <w:rsid w:val="00523668"/>
    <w:rsid w:val="005252DD"/>
    <w:rsid w:val="005258B8"/>
    <w:rsid w:val="00525EBD"/>
    <w:rsid w:val="005344E2"/>
    <w:rsid w:val="00535477"/>
    <w:rsid w:val="005356B4"/>
    <w:rsid w:val="005360C2"/>
    <w:rsid w:val="0053723A"/>
    <w:rsid w:val="00537811"/>
    <w:rsid w:val="00540A2A"/>
    <w:rsid w:val="00542A28"/>
    <w:rsid w:val="00542DC8"/>
    <w:rsid w:val="0054354E"/>
    <w:rsid w:val="005441D4"/>
    <w:rsid w:val="0054461C"/>
    <w:rsid w:val="00544B31"/>
    <w:rsid w:val="00544EA9"/>
    <w:rsid w:val="00545878"/>
    <w:rsid w:val="00545B8B"/>
    <w:rsid w:val="00547369"/>
    <w:rsid w:val="00550808"/>
    <w:rsid w:val="00550F4E"/>
    <w:rsid w:val="005529A3"/>
    <w:rsid w:val="005530B6"/>
    <w:rsid w:val="00554A05"/>
    <w:rsid w:val="00554A69"/>
    <w:rsid w:val="00554AF4"/>
    <w:rsid w:val="00554E67"/>
    <w:rsid w:val="005561B2"/>
    <w:rsid w:val="0056154F"/>
    <w:rsid w:val="0056220E"/>
    <w:rsid w:val="0056462B"/>
    <w:rsid w:val="00564875"/>
    <w:rsid w:val="0056501C"/>
    <w:rsid w:val="00565663"/>
    <w:rsid w:val="00571779"/>
    <w:rsid w:val="00574709"/>
    <w:rsid w:val="00574D0D"/>
    <w:rsid w:val="005750B3"/>
    <w:rsid w:val="00575694"/>
    <w:rsid w:val="005765C0"/>
    <w:rsid w:val="005778DE"/>
    <w:rsid w:val="00580B3F"/>
    <w:rsid w:val="0058129A"/>
    <w:rsid w:val="00581BF2"/>
    <w:rsid w:val="00583D1C"/>
    <w:rsid w:val="00585394"/>
    <w:rsid w:val="00586027"/>
    <w:rsid w:val="0058703B"/>
    <w:rsid w:val="00587601"/>
    <w:rsid w:val="00591E6E"/>
    <w:rsid w:val="0059238B"/>
    <w:rsid w:val="0059393A"/>
    <w:rsid w:val="005946E6"/>
    <w:rsid w:val="00594FB8"/>
    <w:rsid w:val="0059665F"/>
    <w:rsid w:val="005A2114"/>
    <w:rsid w:val="005A2220"/>
    <w:rsid w:val="005A2968"/>
    <w:rsid w:val="005A2D8A"/>
    <w:rsid w:val="005A3644"/>
    <w:rsid w:val="005A3BDF"/>
    <w:rsid w:val="005A60D4"/>
    <w:rsid w:val="005A6198"/>
    <w:rsid w:val="005A647F"/>
    <w:rsid w:val="005A726C"/>
    <w:rsid w:val="005A77B0"/>
    <w:rsid w:val="005B0C90"/>
    <w:rsid w:val="005B128A"/>
    <w:rsid w:val="005B1D5E"/>
    <w:rsid w:val="005B20AA"/>
    <w:rsid w:val="005B27A0"/>
    <w:rsid w:val="005B337B"/>
    <w:rsid w:val="005B372A"/>
    <w:rsid w:val="005B4309"/>
    <w:rsid w:val="005B5076"/>
    <w:rsid w:val="005B64CB"/>
    <w:rsid w:val="005B6AAA"/>
    <w:rsid w:val="005B7554"/>
    <w:rsid w:val="005B7D00"/>
    <w:rsid w:val="005B7DCC"/>
    <w:rsid w:val="005C1169"/>
    <w:rsid w:val="005C11AB"/>
    <w:rsid w:val="005C1898"/>
    <w:rsid w:val="005C3301"/>
    <w:rsid w:val="005C354F"/>
    <w:rsid w:val="005C3F06"/>
    <w:rsid w:val="005D0258"/>
    <w:rsid w:val="005D0CF5"/>
    <w:rsid w:val="005D255E"/>
    <w:rsid w:val="005D3C8A"/>
    <w:rsid w:val="005D4A86"/>
    <w:rsid w:val="005D5160"/>
    <w:rsid w:val="005E0F86"/>
    <w:rsid w:val="005E22A8"/>
    <w:rsid w:val="005E479A"/>
    <w:rsid w:val="005E53BB"/>
    <w:rsid w:val="005E55E4"/>
    <w:rsid w:val="005E5606"/>
    <w:rsid w:val="005E58F1"/>
    <w:rsid w:val="005E647F"/>
    <w:rsid w:val="005F19F8"/>
    <w:rsid w:val="005F25CE"/>
    <w:rsid w:val="005F32A4"/>
    <w:rsid w:val="005F42B7"/>
    <w:rsid w:val="005F60DC"/>
    <w:rsid w:val="005F70E5"/>
    <w:rsid w:val="005F72A9"/>
    <w:rsid w:val="00600817"/>
    <w:rsid w:val="00600FE2"/>
    <w:rsid w:val="00602253"/>
    <w:rsid w:val="006023E1"/>
    <w:rsid w:val="006024AC"/>
    <w:rsid w:val="00604CEB"/>
    <w:rsid w:val="00604DED"/>
    <w:rsid w:val="00605290"/>
    <w:rsid w:val="00605655"/>
    <w:rsid w:val="00606E98"/>
    <w:rsid w:val="0060784B"/>
    <w:rsid w:val="00607ED9"/>
    <w:rsid w:val="00611484"/>
    <w:rsid w:val="0061263A"/>
    <w:rsid w:val="00612A31"/>
    <w:rsid w:val="00613373"/>
    <w:rsid w:val="00613DCE"/>
    <w:rsid w:val="0061404E"/>
    <w:rsid w:val="00614F25"/>
    <w:rsid w:val="00615AA7"/>
    <w:rsid w:val="00616C33"/>
    <w:rsid w:val="0061795D"/>
    <w:rsid w:val="0062012D"/>
    <w:rsid w:val="00620D7C"/>
    <w:rsid w:val="00622DA2"/>
    <w:rsid w:val="006233DA"/>
    <w:rsid w:val="006236A5"/>
    <w:rsid w:val="00623809"/>
    <w:rsid w:val="00623A9F"/>
    <w:rsid w:val="00624819"/>
    <w:rsid w:val="00624B7D"/>
    <w:rsid w:val="0062700A"/>
    <w:rsid w:val="00627A3D"/>
    <w:rsid w:val="00630EB5"/>
    <w:rsid w:val="006320A1"/>
    <w:rsid w:val="00632C0F"/>
    <w:rsid w:val="00632FC5"/>
    <w:rsid w:val="00633D16"/>
    <w:rsid w:val="00634B64"/>
    <w:rsid w:val="00635A3F"/>
    <w:rsid w:val="006373D6"/>
    <w:rsid w:val="006375C7"/>
    <w:rsid w:val="006375D6"/>
    <w:rsid w:val="0064088F"/>
    <w:rsid w:val="0064182C"/>
    <w:rsid w:val="00641A2C"/>
    <w:rsid w:val="00641B6C"/>
    <w:rsid w:val="00643947"/>
    <w:rsid w:val="00645D26"/>
    <w:rsid w:val="00646F17"/>
    <w:rsid w:val="006476F7"/>
    <w:rsid w:val="00647C6A"/>
    <w:rsid w:val="00651EFA"/>
    <w:rsid w:val="006520E9"/>
    <w:rsid w:val="006521F3"/>
    <w:rsid w:val="006524D5"/>
    <w:rsid w:val="00652BBD"/>
    <w:rsid w:val="00652D1A"/>
    <w:rsid w:val="006537A8"/>
    <w:rsid w:val="006558B3"/>
    <w:rsid w:val="0065595F"/>
    <w:rsid w:val="00656800"/>
    <w:rsid w:val="00657197"/>
    <w:rsid w:val="00657F31"/>
    <w:rsid w:val="00660165"/>
    <w:rsid w:val="006606CC"/>
    <w:rsid w:val="006609E4"/>
    <w:rsid w:val="00662557"/>
    <w:rsid w:val="006630CF"/>
    <w:rsid w:val="006638D4"/>
    <w:rsid w:val="00663ADD"/>
    <w:rsid w:val="0066413E"/>
    <w:rsid w:val="00665103"/>
    <w:rsid w:val="00665ECF"/>
    <w:rsid w:val="00667831"/>
    <w:rsid w:val="00670273"/>
    <w:rsid w:val="00670CFB"/>
    <w:rsid w:val="0067114E"/>
    <w:rsid w:val="00671819"/>
    <w:rsid w:val="006725A0"/>
    <w:rsid w:val="00672B0F"/>
    <w:rsid w:val="0067471C"/>
    <w:rsid w:val="00674852"/>
    <w:rsid w:val="00677FAD"/>
    <w:rsid w:val="006808FD"/>
    <w:rsid w:val="00680E19"/>
    <w:rsid w:val="00680E42"/>
    <w:rsid w:val="006828BD"/>
    <w:rsid w:val="0068392F"/>
    <w:rsid w:val="006857D2"/>
    <w:rsid w:val="0068590D"/>
    <w:rsid w:val="00685CE8"/>
    <w:rsid w:val="006869FB"/>
    <w:rsid w:val="00690C50"/>
    <w:rsid w:val="006911C0"/>
    <w:rsid w:val="0069142B"/>
    <w:rsid w:val="006914AB"/>
    <w:rsid w:val="0069201D"/>
    <w:rsid w:val="00693A98"/>
    <w:rsid w:val="00694C31"/>
    <w:rsid w:val="0069578B"/>
    <w:rsid w:val="00696525"/>
    <w:rsid w:val="00696C23"/>
    <w:rsid w:val="006971D5"/>
    <w:rsid w:val="00697A61"/>
    <w:rsid w:val="006A02D4"/>
    <w:rsid w:val="006A15F3"/>
    <w:rsid w:val="006A1CC4"/>
    <w:rsid w:val="006A22D1"/>
    <w:rsid w:val="006A2CA2"/>
    <w:rsid w:val="006A3FD4"/>
    <w:rsid w:val="006A70DD"/>
    <w:rsid w:val="006B121F"/>
    <w:rsid w:val="006B1613"/>
    <w:rsid w:val="006B194A"/>
    <w:rsid w:val="006B2349"/>
    <w:rsid w:val="006B2D40"/>
    <w:rsid w:val="006B381B"/>
    <w:rsid w:val="006B3870"/>
    <w:rsid w:val="006B3CB5"/>
    <w:rsid w:val="006B4025"/>
    <w:rsid w:val="006B419C"/>
    <w:rsid w:val="006B6AFE"/>
    <w:rsid w:val="006B6E44"/>
    <w:rsid w:val="006B7287"/>
    <w:rsid w:val="006B7F2E"/>
    <w:rsid w:val="006C0640"/>
    <w:rsid w:val="006C105D"/>
    <w:rsid w:val="006C1F59"/>
    <w:rsid w:val="006C30C9"/>
    <w:rsid w:val="006C38DD"/>
    <w:rsid w:val="006C3D76"/>
    <w:rsid w:val="006C5E96"/>
    <w:rsid w:val="006C737A"/>
    <w:rsid w:val="006C7709"/>
    <w:rsid w:val="006D00D3"/>
    <w:rsid w:val="006D11E7"/>
    <w:rsid w:val="006D3429"/>
    <w:rsid w:val="006D5C7C"/>
    <w:rsid w:val="006D6002"/>
    <w:rsid w:val="006D72AA"/>
    <w:rsid w:val="006D7736"/>
    <w:rsid w:val="006E2A23"/>
    <w:rsid w:val="006E3871"/>
    <w:rsid w:val="006E3C6F"/>
    <w:rsid w:val="006E3C72"/>
    <w:rsid w:val="006E473C"/>
    <w:rsid w:val="006E5939"/>
    <w:rsid w:val="006F2191"/>
    <w:rsid w:val="006F2C3C"/>
    <w:rsid w:val="006F6CEB"/>
    <w:rsid w:val="00700247"/>
    <w:rsid w:val="00701051"/>
    <w:rsid w:val="00703D56"/>
    <w:rsid w:val="00704092"/>
    <w:rsid w:val="007043B0"/>
    <w:rsid w:val="0070543B"/>
    <w:rsid w:val="00706613"/>
    <w:rsid w:val="00706E1F"/>
    <w:rsid w:val="00710011"/>
    <w:rsid w:val="007102FB"/>
    <w:rsid w:val="00710519"/>
    <w:rsid w:val="00710E53"/>
    <w:rsid w:val="00711212"/>
    <w:rsid w:val="0071251F"/>
    <w:rsid w:val="007133E4"/>
    <w:rsid w:val="00713F66"/>
    <w:rsid w:val="00714154"/>
    <w:rsid w:val="00714C2A"/>
    <w:rsid w:val="00715557"/>
    <w:rsid w:val="00715E08"/>
    <w:rsid w:val="007164CD"/>
    <w:rsid w:val="00716774"/>
    <w:rsid w:val="007175E5"/>
    <w:rsid w:val="00717F8B"/>
    <w:rsid w:val="007225C2"/>
    <w:rsid w:val="007239C6"/>
    <w:rsid w:val="00724002"/>
    <w:rsid w:val="00724237"/>
    <w:rsid w:val="00724C18"/>
    <w:rsid w:val="00725339"/>
    <w:rsid w:val="00725D6E"/>
    <w:rsid w:val="00730944"/>
    <w:rsid w:val="00730A7C"/>
    <w:rsid w:val="00730C40"/>
    <w:rsid w:val="00731E13"/>
    <w:rsid w:val="0073272F"/>
    <w:rsid w:val="00733017"/>
    <w:rsid w:val="007341F5"/>
    <w:rsid w:val="00735606"/>
    <w:rsid w:val="00741121"/>
    <w:rsid w:val="0074171D"/>
    <w:rsid w:val="00744401"/>
    <w:rsid w:val="007448F4"/>
    <w:rsid w:val="00745B6D"/>
    <w:rsid w:val="00745C9F"/>
    <w:rsid w:val="00745CE3"/>
    <w:rsid w:val="0074682A"/>
    <w:rsid w:val="0074726F"/>
    <w:rsid w:val="0074795A"/>
    <w:rsid w:val="00747FE2"/>
    <w:rsid w:val="00750EFE"/>
    <w:rsid w:val="00751A7F"/>
    <w:rsid w:val="0075201D"/>
    <w:rsid w:val="0075268F"/>
    <w:rsid w:val="00752D4F"/>
    <w:rsid w:val="0075409F"/>
    <w:rsid w:val="0075584A"/>
    <w:rsid w:val="00755986"/>
    <w:rsid w:val="0075683E"/>
    <w:rsid w:val="00760B08"/>
    <w:rsid w:val="007618D4"/>
    <w:rsid w:val="00761C0D"/>
    <w:rsid w:val="007639AF"/>
    <w:rsid w:val="00764281"/>
    <w:rsid w:val="0076436D"/>
    <w:rsid w:val="0076576B"/>
    <w:rsid w:val="0076582F"/>
    <w:rsid w:val="007668E2"/>
    <w:rsid w:val="00766F4D"/>
    <w:rsid w:val="007674F6"/>
    <w:rsid w:val="007676E8"/>
    <w:rsid w:val="0077088B"/>
    <w:rsid w:val="00770E61"/>
    <w:rsid w:val="007725D8"/>
    <w:rsid w:val="00773A5F"/>
    <w:rsid w:val="007778F9"/>
    <w:rsid w:val="0078326D"/>
    <w:rsid w:val="00783649"/>
    <w:rsid w:val="00783D7D"/>
    <w:rsid w:val="00783E2C"/>
    <w:rsid w:val="00784592"/>
    <w:rsid w:val="00784EA6"/>
    <w:rsid w:val="00785728"/>
    <w:rsid w:val="00785DFF"/>
    <w:rsid w:val="007917E3"/>
    <w:rsid w:val="00791EB4"/>
    <w:rsid w:val="0079266D"/>
    <w:rsid w:val="00795A88"/>
    <w:rsid w:val="007969E8"/>
    <w:rsid w:val="00796DAB"/>
    <w:rsid w:val="007971A7"/>
    <w:rsid w:val="00797297"/>
    <w:rsid w:val="007A04DB"/>
    <w:rsid w:val="007A076C"/>
    <w:rsid w:val="007A0FA0"/>
    <w:rsid w:val="007A2ED3"/>
    <w:rsid w:val="007A326C"/>
    <w:rsid w:val="007A330F"/>
    <w:rsid w:val="007A441C"/>
    <w:rsid w:val="007A4F92"/>
    <w:rsid w:val="007A61CE"/>
    <w:rsid w:val="007A7BB5"/>
    <w:rsid w:val="007B069D"/>
    <w:rsid w:val="007B18EE"/>
    <w:rsid w:val="007B269B"/>
    <w:rsid w:val="007B2956"/>
    <w:rsid w:val="007B3F08"/>
    <w:rsid w:val="007B51D1"/>
    <w:rsid w:val="007B74A8"/>
    <w:rsid w:val="007B7A27"/>
    <w:rsid w:val="007C0A05"/>
    <w:rsid w:val="007C20BD"/>
    <w:rsid w:val="007C2E4E"/>
    <w:rsid w:val="007C379B"/>
    <w:rsid w:val="007C49C0"/>
    <w:rsid w:val="007C7233"/>
    <w:rsid w:val="007C760C"/>
    <w:rsid w:val="007C7AED"/>
    <w:rsid w:val="007C7E73"/>
    <w:rsid w:val="007D1153"/>
    <w:rsid w:val="007D31AB"/>
    <w:rsid w:val="007D44F3"/>
    <w:rsid w:val="007D62BA"/>
    <w:rsid w:val="007D6BBE"/>
    <w:rsid w:val="007D764C"/>
    <w:rsid w:val="007E1A30"/>
    <w:rsid w:val="007E4BD2"/>
    <w:rsid w:val="007E4F35"/>
    <w:rsid w:val="007E7544"/>
    <w:rsid w:val="007E7D4B"/>
    <w:rsid w:val="007E7DD4"/>
    <w:rsid w:val="007F13BF"/>
    <w:rsid w:val="007F365C"/>
    <w:rsid w:val="007F621C"/>
    <w:rsid w:val="007F6315"/>
    <w:rsid w:val="007F6558"/>
    <w:rsid w:val="007F6932"/>
    <w:rsid w:val="007F6C73"/>
    <w:rsid w:val="007F7619"/>
    <w:rsid w:val="007F7C86"/>
    <w:rsid w:val="00801033"/>
    <w:rsid w:val="00801627"/>
    <w:rsid w:val="00801E8A"/>
    <w:rsid w:val="00802322"/>
    <w:rsid w:val="0080239C"/>
    <w:rsid w:val="00802933"/>
    <w:rsid w:val="0080359C"/>
    <w:rsid w:val="0080476E"/>
    <w:rsid w:val="0080527B"/>
    <w:rsid w:val="00806044"/>
    <w:rsid w:val="00806972"/>
    <w:rsid w:val="008075B5"/>
    <w:rsid w:val="008100C9"/>
    <w:rsid w:val="00811530"/>
    <w:rsid w:val="00812403"/>
    <w:rsid w:val="00812FD7"/>
    <w:rsid w:val="0081386E"/>
    <w:rsid w:val="00813D61"/>
    <w:rsid w:val="00815CA3"/>
    <w:rsid w:val="00815EE6"/>
    <w:rsid w:val="00817D2D"/>
    <w:rsid w:val="0082001C"/>
    <w:rsid w:val="008203F7"/>
    <w:rsid w:val="00821747"/>
    <w:rsid w:val="00822DBF"/>
    <w:rsid w:val="008241A9"/>
    <w:rsid w:val="00824DAE"/>
    <w:rsid w:val="008273F8"/>
    <w:rsid w:val="00827439"/>
    <w:rsid w:val="00827B0D"/>
    <w:rsid w:val="00830123"/>
    <w:rsid w:val="00831077"/>
    <w:rsid w:val="00832188"/>
    <w:rsid w:val="00833619"/>
    <w:rsid w:val="0083497C"/>
    <w:rsid w:val="00835098"/>
    <w:rsid w:val="00835BFB"/>
    <w:rsid w:val="008363AE"/>
    <w:rsid w:val="0084121D"/>
    <w:rsid w:val="00841734"/>
    <w:rsid w:val="008421A0"/>
    <w:rsid w:val="00846484"/>
    <w:rsid w:val="00846E62"/>
    <w:rsid w:val="00850A52"/>
    <w:rsid w:val="00850B68"/>
    <w:rsid w:val="00851CCD"/>
    <w:rsid w:val="0085262F"/>
    <w:rsid w:val="00852854"/>
    <w:rsid w:val="00852C03"/>
    <w:rsid w:val="00854A37"/>
    <w:rsid w:val="008550A0"/>
    <w:rsid w:val="0085590C"/>
    <w:rsid w:val="008560D7"/>
    <w:rsid w:val="008603ED"/>
    <w:rsid w:val="00861027"/>
    <w:rsid w:val="00861321"/>
    <w:rsid w:val="00862679"/>
    <w:rsid w:val="008631FE"/>
    <w:rsid w:val="00863C6B"/>
    <w:rsid w:val="00863C6E"/>
    <w:rsid w:val="00865E0C"/>
    <w:rsid w:val="00866673"/>
    <w:rsid w:val="00867ECE"/>
    <w:rsid w:val="00870A0A"/>
    <w:rsid w:val="0087115A"/>
    <w:rsid w:val="008722B0"/>
    <w:rsid w:val="00872430"/>
    <w:rsid w:val="00872BA2"/>
    <w:rsid w:val="00872BCA"/>
    <w:rsid w:val="00872D09"/>
    <w:rsid w:val="00872D61"/>
    <w:rsid w:val="00872E16"/>
    <w:rsid w:val="00873B53"/>
    <w:rsid w:val="00873D9A"/>
    <w:rsid w:val="00875914"/>
    <w:rsid w:val="008759AC"/>
    <w:rsid w:val="00877700"/>
    <w:rsid w:val="00883367"/>
    <w:rsid w:val="00884C47"/>
    <w:rsid w:val="008862B2"/>
    <w:rsid w:val="00886AC0"/>
    <w:rsid w:val="0088759B"/>
    <w:rsid w:val="008878BF"/>
    <w:rsid w:val="00890BE6"/>
    <w:rsid w:val="00891153"/>
    <w:rsid w:val="00893291"/>
    <w:rsid w:val="00893E40"/>
    <w:rsid w:val="00895372"/>
    <w:rsid w:val="00895B22"/>
    <w:rsid w:val="008962E4"/>
    <w:rsid w:val="00896DB4"/>
    <w:rsid w:val="008A1424"/>
    <w:rsid w:val="008A14B9"/>
    <w:rsid w:val="008A1B7F"/>
    <w:rsid w:val="008A2207"/>
    <w:rsid w:val="008A2585"/>
    <w:rsid w:val="008A28BA"/>
    <w:rsid w:val="008A2F22"/>
    <w:rsid w:val="008A4E95"/>
    <w:rsid w:val="008A4EBF"/>
    <w:rsid w:val="008A5404"/>
    <w:rsid w:val="008B1888"/>
    <w:rsid w:val="008B2174"/>
    <w:rsid w:val="008B3CCD"/>
    <w:rsid w:val="008B4C28"/>
    <w:rsid w:val="008B50AC"/>
    <w:rsid w:val="008B637C"/>
    <w:rsid w:val="008B6A18"/>
    <w:rsid w:val="008B7DFD"/>
    <w:rsid w:val="008C1F40"/>
    <w:rsid w:val="008C2A81"/>
    <w:rsid w:val="008C38B6"/>
    <w:rsid w:val="008C3994"/>
    <w:rsid w:val="008C3DA2"/>
    <w:rsid w:val="008C4BDC"/>
    <w:rsid w:val="008C7803"/>
    <w:rsid w:val="008D22AE"/>
    <w:rsid w:val="008D4032"/>
    <w:rsid w:val="008D41DC"/>
    <w:rsid w:val="008D6DFF"/>
    <w:rsid w:val="008D70F6"/>
    <w:rsid w:val="008D770D"/>
    <w:rsid w:val="008E10D5"/>
    <w:rsid w:val="008E14B4"/>
    <w:rsid w:val="008E1D51"/>
    <w:rsid w:val="008E25DD"/>
    <w:rsid w:val="008E32FF"/>
    <w:rsid w:val="008E3604"/>
    <w:rsid w:val="008E3623"/>
    <w:rsid w:val="008E5C5B"/>
    <w:rsid w:val="008E698C"/>
    <w:rsid w:val="008F085A"/>
    <w:rsid w:val="008F0B77"/>
    <w:rsid w:val="008F22A2"/>
    <w:rsid w:val="008F248D"/>
    <w:rsid w:val="008F321C"/>
    <w:rsid w:val="008F3ED6"/>
    <w:rsid w:val="008F4B2C"/>
    <w:rsid w:val="008F6300"/>
    <w:rsid w:val="00903B8E"/>
    <w:rsid w:val="0090402B"/>
    <w:rsid w:val="009057FF"/>
    <w:rsid w:val="00905F76"/>
    <w:rsid w:val="00907061"/>
    <w:rsid w:val="009122B8"/>
    <w:rsid w:val="0091344E"/>
    <w:rsid w:val="009158B7"/>
    <w:rsid w:val="00915A84"/>
    <w:rsid w:val="009174A7"/>
    <w:rsid w:val="0091764C"/>
    <w:rsid w:val="00922C90"/>
    <w:rsid w:val="0092488D"/>
    <w:rsid w:val="00926225"/>
    <w:rsid w:val="0092674C"/>
    <w:rsid w:val="00926C0D"/>
    <w:rsid w:val="009279DC"/>
    <w:rsid w:val="00927A35"/>
    <w:rsid w:val="009314C2"/>
    <w:rsid w:val="00932B4F"/>
    <w:rsid w:val="00932EA4"/>
    <w:rsid w:val="00933FFE"/>
    <w:rsid w:val="009341E2"/>
    <w:rsid w:val="009347F3"/>
    <w:rsid w:val="00934D8C"/>
    <w:rsid w:val="00934F79"/>
    <w:rsid w:val="00937168"/>
    <w:rsid w:val="009371DC"/>
    <w:rsid w:val="00937E42"/>
    <w:rsid w:val="00940239"/>
    <w:rsid w:val="009403B0"/>
    <w:rsid w:val="009404A2"/>
    <w:rsid w:val="00940A63"/>
    <w:rsid w:val="00940A77"/>
    <w:rsid w:val="00940D5E"/>
    <w:rsid w:val="00941096"/>
    <w:rsid w:val="00941B7F"/>
    <w:rsid w:val="00942F7B"/>
    <w:rsid w:val="0094429D"/>
    <w:rsid w:val="00944CE1"/>
    <w:rsid w:val="00944E13"/>
    <w:rsid w:val="00946741"/>
    <w:rsid w:val="009478AE"/>
    <w:rsid w:val="00947CE2"/>
    <w:rsid w:val="009503E5"/>
    <w:rsid w:val="00950DD7"/>
    <w:rsid w:val="00950F71"/>
    <w:rsid w:val="009522AE"/>
    <w:rsid w:val="009558D9"/>
    <w:rsid w:val="00955E7A"/>
    <w:rsid w:val="009560B3"/>
    <w:rsid w:val="00956219"/>
    <w:rsid w:val="0095653D"/>
    <w:rsid w:val="0095745E"/>
    <w:rsid w:val="009605F2"/>
    <w:rsid w:val="00961301"/>
    <w:rsid w:val="00962315"/>
    <w:rsid w:val="00962CEF"/>
    <w:rsid w:val="00962E56"/>
    <w:rsid w:val="009636FC"/>
    <w:rsid w:val="009638F5"/>
    <w:rsid w:val="009674ED"/>
    <w:rsid w:val="0096757A"/>
    <w:rsid w:val="009676A0"/>
    <w:rsid w:val="00967C9D"/>
    <w:rsid w:val="00967CE2"/>
    <w:rsid w:val="00970BED"/>
    <w:rsid w:val="00970D3F"/>
    <w:rsid w:val="00970DAA"/>
    <w:rsid w:val="009711D4"/>
    <w:rsid w:val="00973431"/>
    <w:rsid w:val="0097606C"/>
    <w:rsid w:val="00977959"/>
    <w:rsid w:val="00980460"/>
    <w:rsid w:val="00980845"/>
    <w:rsid w:val="0098092B"/>
    <w:rsid w:val="00983D8F"/>
    <w:rsid w:val="00983EFA"/>
    <w:rsid w:val="009840BA"/>
    <w:rsid w:val="00984D92"/>
    <w:rsid w:val="00985147"/>
    <w:rsid w:val="00985663"/>
    <w:rsid w:val="00985F64"/>
    <w:rsid w:val="00986358"/>
    <w:rsid w:val="00990DAF"/>
    <w:rsid w:val="0099288A"/>
    <w:rsid w:val="00993286"/>
    <w:rsid w:val="00993465"/>
    <w:rsid w:val="009940B6"/>
    <w:rsid w:val="00994621"/>
    <w:rsid w:val="009947FF"/>
    <w:rsid w:val="0099544B"/>
    <w:rsid w:val="009973D5"/>
    <w:rsid w:val="0099757C"/>
    <w:rsid w:val="009A0A1C"/>
    <w:rsid w:val="009A10ED"/>
    <w:rsid w:val="009A23AE"/>
    <w:rsid w:val="009A2C91"/>
    <w:rsid w:val="009A597F"/>
    <w:rsid w:val="009B05DE"/>
    <w:rsid w:val="009B0AA2"/>
    <w:rsid w:val="009B198B"/>
    <w:rsid w:val="009B3C87"/>
    <w:rsid w:val="009B49E5"/>
    <w:rsid w:val="009B4ED4"/>
    <w:rsid w:val="009B5D27"/>
    <w:rsid w:val="009B65C7"/>
    <w:rsid w:val="009B67A5"/>
    <w:rsid w:val="009B6DAC"/>
    <w:rsid w:val="009B6E87"/>
    <w:rsid w:val="009B7834"/>
    <w:rsid w:val="009B7E22"/>
    <w:rsid w:val="009C0B02"/>
    <w:rsid w:val="009C13BC"/>
    <w:rsid w:val="009C163B"/>
    <w:rsid w:val="009C17F7"/>
    <w:rsid w:val="009C1EE8"/>
    <w:rsid w:val="009C2D8E"/>
    <w:rsid w:val="009C366E"/>
    <w:rsid w:val="009C56F9"/>
    <w:rsid w:val="009C71AC"/>
    <w:rsid w:val="009D0093"/>
    <w:rsid w:val="009D2705"/>
    <w:rsid w:val="009D3022"/>
    <w:rsid w:val="009D7118"/>
    <w:rsid w:val="009D7838"/>
    <w:rsid w:val="009D7A75"/>
    <w:rsid w:val="009D7D9E"/>
    <w:rsid w:val="009E0B05"/>
    <w:rsid w:val="009E0D2D"/>
    <w:rsid w:val="009E16CC"/>
    <w:rsid w:val="009E23C0"/>
    <w:rsid w:val="009E2620"/>
    <w:rsid w:val="009E3D2D"/>
    <w:rsid w:val="009E4875"/>
    <w:rsid w:val="009E685C"/>
    <w:rsid w:val="009E7A88"/>
    <w:rsid w:val="009E7F62"/>
    <w:rsid w:val="009F1AF5"/>
    <w:rsid w:val="009F1DDB"/>
    <w:rsid w:val="009F21AC"/>
    <w:rsid w:val="009F3785"/>
    <w:rsid w:val="009F37E6"/>
    <w:rsid w:val="009F7669"/>
    <w:rsid w:val="009F786C"/>
    <w:rsid w:val="00A0083C"/>
    <w:rsid w:val="00A044BB"/>
    <w:rsid w:val="00A05156"/>
    <w:rsid w:val="00A06340"/>
    <w:rsid w:val="00A076B0"/>
    <w:rsid w:val="00A1073B"/>
    <w:rsid w:val="00A10CBE"/>
    <w:rsid w:val="00A112CA"/>
    <w:rsid w:val="00A11305"/>
    <w:rsid w:val="00A1159D"/>
    <w:rsid w:val="00A122C0"/>
    <w:rsid w:val="00A1326E"/>
    <w:rsid w:val="00A15A65"/>
    <w:rsid w:val="00A17066"/>
    <w:rsid w:val="00A17582"/>
    <w:rsid w:val="00A204FC"/>
    <w:rsid w:val="00A21734"/>
    <w:rsid w:val="00A21A30"/>
    <w:rsid w:val="00A23A63"/>
    <w:rsid w:val="00A23B5A"/>
    <w:rsid w:val="00A243E4"/>
    <w:rsid w:val="00A24E85"/>
    <w:rsid w:val="00A258C9"/>
    <w:rsid w:val="00A260DB"/>
    <w:rsid w:val="00A27054"/>
    <w:rsid w:val="00A27908"/>
    <w:rsid w:val="00A30E7B"/>
    <w:rsid w:val="00A31C14"/>
    <w:rsid w:val="00A32D2C"/>
    <w:rsid w:val="00A33DE3"/>
    <w:rsid w:val="00A346F6"/>
    <w:rsid w:val="00A359DF"/>
    <w:rsid w:val="00A36A26"/>
    <w:rsid w:val="00A40272"/>
    <w:rsid w:val="00A415B5"/>
    <w:rsid w:val="00A44C0B"/>
    <w:rsid w:val="00A45377"/>
    <w:rsid w:val="00A4572B"/>
    <w:rsid w:val="00A46D2E"/>
    <w:rsid w:val="00A46D5E"/>
    <w:rsid w:val="00A54514"/>
    <w:rsid w:val="00A54CC4"/>
    <w:rsid w:val="00A55BB1"/>
    <w:rsid w:val="00A564CD"/>
    <w:rsid w:val="00A60736"/>
    <w:rsid w:val="00A60BB0"/>
    <w:rsid w:val="00A60E64"/>
    <w:rsid w:val="00A60F50"/>
    <w:rsid w:val="00A61009"/>
    <w:rsid w:val="00A613ED"/>
    <w:rsid w:val="00A61EF6"/>
    <w:rsid w:val="00A62956"/>
    <w:rsid w:val="00A63852"/>
    <w:rsid w:val="00A63BA9"/>
    <w:rsid w:val="00A63C96"/>
    <w:rsid w:val="00A6523E"/>
    <w:rsid w:val="00A65805"/>
    <w:rsid w:val="00A668A6"/>
    <w:rsid w:val="00A66B31"/>
    <w:rsid w:val="00A6720D"/>
    <w:rsid w:val="00A7058D"/>
    <w:rsid w:val="00A70C48"/>
    <w:rsid w:val="00A70EE6"/>
    <w:rsid w:val="00A7120F"/>
    <w:rsid w:val="00A72199"/>
    <w:rsid w:val="00A72AAF"/>
    <w:rsid w:val="00A734FE"/>
    <w:rsid w:val="00A771E9"/>
    <w:rsid w:val="00A77F3D"/>
    <w:rsid w:val="00A806EE"/>
    <w:rsid w:val="00A80A02"/>
    <w:rsid w:val="00A81A73"/>
    <w:rsid w:val="00A81E9D"/>
    <w:rsid w:val="00A82612"/>
    <w:rsid w:val="00A8344A"/>
    <w:rsid w:val="00A83F40"/>
    <w:rsid w:val="00A84770"/>
    <w:rsid w:val="00A8635A"/>
    <w:rsid w:val="00A871A1"/>
    <w:rsid w:val="00A90886"/>
    <w:rsid w:val="00A917C3"/>
    <w:rsid w:val="00A93C0E"/>
    <w:rsid w:val="00A9427D"/>
    <w:rsid w:val="00A94835"/>
    <w:rsid w:val="00A958CA"/>
    <w:rsid w:val="00A95E26"/>
    <w:rsid w:val="00A976C2"/>
    <w:rsid w:val="00AA003B"/>
    <w:rsid w:val="00AA00F2"/>
    <w:rsid w:val="00AA2751"/>
    <w:rsid w:val="00AA52E8"/>
    <w:rsid w:val="00AA557A"/>
    <w:rsid w:val="00AA574F"/>
    <w:rsid w:val="00AA6711"/>
    <w:rsid w:val="00AA6DAE"/>
    <w:rsid w:val="00AA76C2"/>
    <w:rsid w:val="00AA78CA"/>
    <w:rsid w:val="00AA7B5C"/>
    <w:rsid w:val="00AB09F0"/>
    <w:rsid w:val="00AB1788"/>
    <w:rsid w:val="00AB1EFF"/>
    <w:rsid w:val="00AB2119"/>
    <w:rsid w:val="00AB3881"/>
    <w:rsid w:val="00AB4408"/>
    <w:rsid w:val="00AB4B7B"/>
    <w:rsid w:val="00AB4D6D"/>
    <w:rsid w:val="00AB592E"/>
    <w:rsid w:val="00AB6030"/>
    <w:rsid w:val="00AB6B5E"/>
    <w:rsid w:val="00AC0024"/>
    <w:rsid w:val="00AC047F"/>
    <w:rsid w:val="00AC2601"/>
    <w:rsid w:val="00AC50C8"/>
    <w:rsid w:val="00AC52E7"/>
    <w:rsid w:val="00AC5BE7"/>
    <w:rsid w:val="00AD0CB4"/>
    <w:rsid w:val="00AD227F"/>
    <w:rsid w:val="00AD4901"/>
    <w:rsid w:val="00AD506C"/>
    <w:rsid w:val="00AD63E3"/>
    <w:rsid w:val="00AD64E2"/>
    <w:rsid w:val="00AD674F"/>
    <w:rsid w:val="00AE084F"/>
    <w:rsid w:val="00AE1393"/>
    <w:rsid w:val="00AE1750"/>
    <w:rsid w:val="00AE2769"/>
    <w:rsid w:val="00AE3199"/>
    <w:rsid w:val="00AE3BC6"/>
    <w:rsid w:val="00AE4EBF"/>
    <w:rsid w:val="00AE4F41"/>
    <w:rsid w:val="00AE511C"/>
    <w:rsid w:val="00AE59D8"/>
    <w:rsid w:val="00AE7020"/>
    <w:rsid w:val="00AF0F65"/>
    <w:rsid w:val="00AF1DEE"/>
    <w:rsid w:val="00AF1E87"/>
    <w:rsid w:val="00AF1E94"/>
    <w:rsid w:val="00AF5CD8"/>
    <w:rsid w:val="00AF6538"/>
    <w:rsid w:val="00AF7534"/>
    <w:rsid w:val="00B005C3"/>
    <w:rsid w:val="00B02DFC"/>
    <w:rsid w:val="00B050C3"/>
    <w:rsid w:val="00B05B25"/>
    <w:rsid w:val="00B072D5"/>
    <w:rsid w:val="00B106A0"/>
    <w:rsid w:val="00B10A7D"/>
    <w:rsid w:val="00B10D13"/>
    <w:rsid w:val="00B10D3B"/>
    <w:rsid w:val="00B11C75"/>
    <w:rsid w:val="00B12945"/>
    <w:rsid w:val="00B12BC8"/>
    <w:rsid w:val="00B12C1E"/>
    <w:rsid w:val="00B14B3A"/>
    <w:rsid w:val="00B1554E"/>
    <w:rsid w:val="00B176CF"/>
    <w:rsid w:val="00B17DC8"/>
    <w:rsid w:val="00B17EDC"/>
    <w:rsid w:val="00B17F88"/>
    <w:rsid w:val="00B20819"/>
    <w:rsid w:val="00B21DB9"/>
    <w:rsid w:val="00B22277"/>
    <w:rsid w:val="00B2470A"/>
    <w:rsid w:val="00B24CF5"/>
    <w:rsid w:val="00B25023"/>
    <w:rsid w:val="00B2659C"/>
    <w:rsid w:val="00B26BD2"/>
    <w:rsid w:val="00B26FD7"/>
    <w:rsid w:val="00B270AB"/>
    <w:rsid w:val="00B32D12"/>
    <w:rsid w:val="00B33657"/>
    <w:rsid w:val="00B33EC5"/>
    <w:rsid w:val="00B35546"/>
    <w:rsid w:val="00B36E1C"/>
    <w:rsid w:val="00B36EED"/>
    <w:rsid w:val="00B370BF"/>
    <w:rsid w:val="00B41DDD"/>
    <w:rsid w:val="00B4229A"/>
    <w:rsid w:val="00B42A49"/>
    <w:rsid w:val="00B4401C"/>
    <w:rsid w:val="00B44802"/>
    <w:rsid w:val="00B44FFA"/>
    <w:rsid w:val="00B450DC"/>
    <w:rsid w:val="00B47695"/>
    <w:rsid w:val="00B5192D"/>
    <w:rsid w:val="00B51E79"/>
    <w:rsid w:val="00B525C0"/>
    <w:rsid w:val="00B54BD9"/>
    <w:rsid w:val="00B550CE"/>
    <w:rsid w:val="00B5643B"/>
    <w:rsid w:val="00B619E4"/>
    <w:rsid w:val="00B61C6F"/>
    <w:rsid w:val="00B61D0B"/>
    <w:rsid w:val="00B62CB1"/>
    <w:rsid w:val="00B62DEF"/>
    <w:rsid w:val="00B63340"/>
    <w:rsid w:val="00B63341"/>
    <w:rsid w:val="00B6443B"/>
    <w:rsid w:val="00B64CF3"/>
    <w:rsid w:val="00B73315"/>
    <w:rsid w:val="00B73492"/>
    <w:rsid w:val="00B75746"/>
    <w:rsid w:val="00B75B9E"/>
    <w:rsid w:val="00B75E82"/>
    <w:rsid w:val="00B77ADA"/>
    <w:rsid w:val="00B77ED0"/>
    <w:rsid w:val="00B77F64"/>
    <w:rsid w:val="00B80568"/>
    <w:rsid w:val="00B80DFC"/>
    <w:rsid w:val="00B81AE6"/>
    <w:rsid w:val="00B824DC"/>
    <w:rsid w:val="00B84307"/>
    <w:rsid w:val="00B84E2F"/>
    <w:rsid w:val="00B85661"/>
    <w:rsid w:val="00B86896"/>
    <w:rsid w:val="00B91B86"/>
    <w:rsid w:val="00B91BDD"/>
    <w:rsid w:val="00B91E24"/>
    <w:rsid w:val="00B93783"/>
    <w:rsid w:val="00B95561"/>
    <w:rsid w:val="00B970B7"/>
    <w:rsid w:val="00B97FEF"/>
    <w:rsid w:val="00BA04B7"/>
    <w:rsid w:val="00BA24E3"/>
    <w:rsid w:val="00BA40F9"/>
    <w:rsid w:val="00BA5828"/>
    <w:rsid w:val="00BA6AC3"/>
    <w:rsid w:val="00BA754A"/>
    <w:rsid w:val="00BB14D9"/>
    <w:rsid w:val="00BB1985"/>
    <w:rsid w:val="00BB2139"/>
    <w:rsid w:val="00BB2E25"/>
    <w:rsid w:val="00BB3BBE"/>
    <w:rsid w:val="00BB455B"/>
    <w:rsid w:val="00BB482C"/>
    <w:rsid w:val="00BB6BD1"/>
    <w:rsid w:val="00BB7704"/>
    <w:rsid w:val="00BB77E0"/>
    <w:rsid w:val="00BC073B"/>
    <w:rsid w:val="00BC09D3"/>
    <w:rsid w:val="00BC299C"/>
    <w:rsid w:val="00BC77BF"/>
    <w:rsid w:val="00BC7CAE"/>
    <w:rsid w:val="00BD01C6"/>
    <w:rsid w:val="00BD0C23"/>
    <w:rsid w:val="00BD22A3"/>
    <w:rsid w:val="00BD3A01"/>
    <w:rsid w:val="00BD4995"/>
    <w:rsid w:val="00BD4A5F"/>
    <w:rsid w:val="00BE0377"/>
    <w:rsid w:val="00BE0820"/>
    <w:rsid w:val="00BE0A97"/>
    <w:rsid w:val="00BE3879"/>
    <w:rsid w:val="00BE4C34"/>
    <w:rsid w:val="00BE6618"/>
    <w:rsid w:val="00BE6C72"/>
    <w:rsid w:val="00BE72DE"/>
    <w:rsid w:val="00BE77D3"/>
    <w:rsid w:val="00BE7C5F"/>
    <w:rsid w:val="00BF0138"/>
    <w:rsid w:val="00BF1CB5"/>
    <w:rsid w:val="00BF1F92"/>
    <w:rsid w:val="00BF2B34"/>
    <w:rsid w:val="00BF328F"/>
    <w:rsid w:val="00BF3667"/>
    <w:rsid w:val="00BF518C"/>
    <w:rsid w:val="00BF546E"/>
    <w:rsid w:val="00BF6871"/>
    <w:rsid w:val="00BF71BB"/>
    <w:rsid w:val="00C00012"/>
    <w:rsid w:val="00C00E2A"/>
    <w:rsid w:val="00C01223"/>
    <w:rsid w:val="00C021D3"/>
    <w:rsid w:val="00C0457B"/>
    <w:rsid w:val="00C049CA"/>
    <w:rsid w:val="00C05105"/>
    <w:rsid w:val="00C068D7"/>
    <w:rsid w:val="00C06DE3"/>
    <w:rsid w:val="00C077E2"/>
    <w:rsid w:val="00C108AA"/>
    <w:rsid w:val="00C11445"/>
    <w:rsid w:val="00C11905"/>
    <w:rsid w:val="00C1202D"/>
    <w:rsid w:val="00C12417"/>
    <w:rsid w:val="00C126E3"/>
    <w:rsid w:val="00C13A29"/>
    <w:rsid w:val="00C13ED7"/>
    <w:rsid w:val="00C14B71"/>
    <w:rsid w:val="00C175EF"/>
    <w:rsid w:val="00C17B7A"/>
    <w:rsid w:val="00C17E14"/>
    <w:rsid w:val="00C201D3"/>
    <w:rsid w:val="00C2094B"/>
    <w:rsid w:val="00C20D01"/>
    <w:rsid w:val="00C20E69"/>
    <w:rsid w:val="00C22105"/>
    <w:rsid w:val="00C2242C"/>
    <w:rsid w:val="00C22BF4"/>
    <w:rsid w:val="00C24A24"/>
    <w:rsid w:val="00C26CD3"/>
    <w:rsid w:val="00C274F3"/>
    <w:rsid w:val="00C27F83"/>
    <w:rsid w:val="00C3079A"/>
    <w:rsid w:val="00C316F7"/>
    <w:rsid w:val="00C31DF0"/>
    <w:rsid w:val="00C321F3"/>
    <w:rsid w:val="00C33BCF"/>
    <w:rsid w:val="00C33FAB"/>
    <w:rsid w:val="00C34480"/>
    <w:rsid w:val="00C34596"/>
    <w:rsid w:val="00C34781"/>
    <w:rsid w:val="00C34ABE"/>
    <w:rsid w:val="00C35454"/>
    <w:rsid w:val="00C366FA"/>
    <w:rsid w:val="00C371A5"/>
    <w:rsid w:val="00C40B88"/>
    <w:rsid w:val="00C40D98"/>
    <w:rsid w:val="00C40EAC"/>
    <w:rsid w:val="00C412DA"/>
    <w:rsid w:val="00C413FC"/>
    <w:rsid w:val="00C43890"/>
    <w:rsid w:val="00C43A33"/>
    <w:rsid w:val="00C46630"/>
    <w:rsid w:val="00C47762"/>
    <w:rsid w:val="00C50879"/>
    <w:rsid w:val="00C50BC8"/>
    <w:rsid w:val="00C52025"/>
    <w:rsid w:val="00C54743"/>
    <w:rsid w:val="00C54AEC"/>
    <w:rsid w:val="00C54F5B"/>
    <w:rsid w:val="00C557EC"/>
    <w:rsid w:val="00C56438"/>
    <w:rsid w:val="00C6009F"/>
    <w:rsid w:val="00C60417"/>
    <w:rsid w:val="00C6046F"/>
    <w:rsid w:val="00C60C22"/>
    <w:rsid w:val="00C61A11"/>
    <w:rsid w:val="00C62665"/>
    <w:rsid w:val="00C6325B"/>
    <w:rsid w:val="00C638C2"/>
    <w:rsid w:val="00C63B5F"/>
    <w:rsid w:val="00C63E5C"/>
    <w:rsid w:val="00C65250"/>
    <w:rsid w:val="00C65A74"/>
    <w:rsid w:val="00C672B0"/>
    <w:rsid w:val="00C67B13"/>
    <w:rsid w:val="00C706DC"/>
    <w:rsid w:val="00C7283B"/>
    <w:rsid w:val="00C73524"/>
    <w:rsid w:val="00C73D87"/>
    <w:rsid w:val="00C7422C"/>
    <w:rsid w:val="00C74BF0"/>
    <w:rsid w:val="00C753F5"/>
    <w:rsid w:val="00C75ED1"/>
    <w:rsid w:val="00C7665F"/>
    <w:rsid w:val="00C76F48"/>
    <w:rsid w:val="00C80780"/>
    <w:rsid w:val="00C807B0"/>
    <w:rsid w:val="00C829FB"/>
    <w:rsid w:val="00C83C0F"/>
    <w:rsid w:val="00C85A17"/>
    <w:rsid w:val="00C85E52"/>
    <w:rsid w:val="00C86B0E"/>
    <w:rsid w:val="00C86F96"/>
    <w:rsid w:val="00C8716C"/>
    <w:rsid w:val="00C87A28"/>
    <w:rsid w:val="00C9004C"/>
    <w:rsid w:val="00C909C6"/>
    <w:rsid w:val="00C92132"/>
    <w:rsid w:val="00C92302"/>
    <w:rsid w:val="00C92B21"/>
    <w:rsid w:val="00C92D97"/>
    <w:rsid w:val="00C93948"/>
    <w:rsid w:val="00C94D4C"/>
    <w:rsid w:val="00C970EA"/>
    <w:rsid w:val="00C97317"/>
    <w:rsid w:val="00C9770F"/>
    <w:rsid w:val="00CA012C"/>
    <w:rsid w:val="00CA12A8"/>
    <w:rsid w:val="00CA1357"/>
    <w:rsid w:val="00CA2B2E"/>
    <w:rsid w:val="00CA3440"/>
    <w:rsid w:val="00CA3A1E"/>
    <w:rsid w:val="00CA3DA1"/>
    <w:rsid w:val="00CA41DF"/>
    <w:rsid w:val="00CA42DD"/>
    <w:rsid w:val="00CA48AE"/>
    <w:rsid w:val="00CA5630"/>
    <w:rsid w:val="00CA7407"/>
    <w:rsid w:val="00CB10D0"/>
    <w:rsid w:val="00CB201D"/>
    <w:rsid w:val="00CB23D8"/>
    <w:rsid w:val="00CB3499"/>
    <w:rsid w:val="00CB4321"/>
    <w:rsid w:val="00CB4D73"/>
    <w:rsid w:val="00CB56B4"/>
    <w:rsid w:val="00CC1B0F"/>
    <w:rsid w:val="00CC26B8"/>
    <w:rsid w:val="00CC2D82"/>
    <w:rsid w:val="00CC3DD1"/>
    <w:rsid w:val="00CC4F8F"/>
    <w:rsid w:val="00CC66DA"/>
    <w:rsid w:val="00CC6AF2"/>
    <w:rsid w:val="00CD061F"/>
    <w:rsid w:val="00CD1FAE"/>
    <w:rsid w:val="00CD1FF0"/>
    <w:rsid w:val="00CD4EB0"/>
    <w:rsid w:val="00CD558A"/>
    <w:rsid w:val="00CE1985"/>
    <w:rsid w:val="00CE1E83"/>
    <w:rsid w:val="00CE30C1"/>
    <w:rsid w:val="00CE3D6E"/>
    <w:rsid w:val="00CE4094"/>
    <w:rsid w:val="00CE5688"/>
    <w:rsid w:val="00CE5921"/>
    <w:rsid w:val="00CE5A6E"/>
    <w:rsid w:val="00CE653F"/>
    <w:rsid w:val="00CE674F"/>
    <w:rsid w:val="00CE6F87"/>
    <w:rsid w:val="00CE6FC6"/>
    <w:rsid w:val="00CE76FA"/>
    <w:rsid w:val="00CE7F9D"/>
    <w:rsid w:val="00CF0578"/>
    <w:rsid w:val="00CF16D1"/>
    <w:rsid w:val="00CF1B08"/>
    <w:rsid w:val="00CF30DD"/>
    <w:rsid w:val="00CF4707"/>
    <w:rsid w:val="00CF5276"/>
    <w:rsid w:val="00CF5C6A"/>
    <w:rsid w:val="00CF63C7"/>
    <w:rsid w:val="00CF6A01"/>
    <w:rsid w:val="00CF6FD7"/>
    <w:rsid w:val="00D03A30"/>
    <w:rsid w:val="00D03FE1"/>
    <w:rsid w:val="00D04963"/>
    <w:rsid w:val="00D0669D"/>
    <w:rsid w:val="00D0708C"/>
    <w:rsid w:val="00D07A2A"/>
    <w:rsid w:val="00D07B60"/>
    <w:rsid w:val="00D10EA5"/>
    <w:rsid w:val="00D1190B"/>
    <w:rsid w:val="00D122C2"/>
    <w:rsid w:val="00D12971"/>
    <w:rsid w:val="00D16750"/>
    <w:rsid w:val="00D2065D"/>
    <w:rsid w:val="00D218A2"/>
    <w:rsid w:val="00D2330B"/>
    <w:rsid w:val="00D24CDE"/>
    <w:rsid w:val="00D2552B"/>
    <w:rsid w:val="00D2579C"/>
    <w:rsid w:val="00D26A35"/>
    <w:rsid w:val="00D30694"/>
    <w:rsid w:val="00D3175A"/>
    <w:rsid w:val="00D3187C"/>
    <w:rsid w:val="00D323E4"/>
    <w:rsid w:val="00D32C65"/>
    <w:rsid w:val="00D37E42"/>
    <w:rsid w:val="00D40491"/>
    <w:rsid w:val="00D41B50"/>
    <w:rsid w:val="00D4266B"/>
    <w:rsid w:val="00D42823"/>
    <w:rsid w:val="00D42D1D"/>
    <w:rsid w:val="00D448BA"/>
    <w:rsid w:val="00D50200"/>
    <w:rsid w:val="00D51C89"/>
    <w:rsid w:val="00D526FC"/>
    <w:rsid w:val="00D52D09"/>
    <w:rsid w:val="00D53066"/>
    <w:rsid w:val="00D531FB"/>
    <w:rsid w:val="00D538A8"/>
    <w:rsid w:val="00D54E50"/>
    <w:rsid w:val="00D55DA6"/>
    <w:rsid w:val="00D56776"/>
    <w:rsid w:val="00D56BD3"/>
    <w:rsid w:val="00D57017"/>
    <w:rsid w:val="00D607FD"/>
    <w:rsid w:val="00D611EF"/>
    <w:rsid w:val="00D64AE6"/>
    <w:rsid w:val="00D65484"/>
    <w:rsid w:val="00D65B68"/>
    <w:rsid w:val="00D679E4"/>
    <w:rsid w:val="00D67B8F"/>
    <w:rsid w:val="00D723FF"/>
    <w:rsid w:val="00D738CB"/>
    <w:rsid w:val="00D741B7"/>
    <w:rsid w:val="00D7443D"/>
    <w:rsid w:val="00D74DEB"/>
    <w:rsid w:val="00D75603"/>
    <w:rsid w:val="00D75AB4"/>
    <w:rsid w:val="00D76908"/>
    <w:rsid w:val="00D76E8D"/>
    <w:rsid w:val="00D77242"/>
    <w:rsid w:val="00D77EEE"/>
    <w:rsid w:val="00D77F2C"/>
    <w:rsid w:val="00D8050B"/>
    <w:rsid w:val="00D80899"/>
    <w:rsid w:val="00D81107"/>
    <w:rsid w:val="00D81155"/>
    <w:rsid w:val="00D821E8"/>
    <w:rsid w:val="00D82212"/>
    <w:rsid w:val="00D823C4"/>
    <w:rsid w:val="00D86981"/>
    <w:rsid w:val="00D872C5"/>
    <w:rsid w:val="00D87CDE"/>
    <w:rsid w:val="00D87D7F"/>
    <w:rsid w:val="00D909EE"/>
    <w:rsid w:val="00D90A8E"/>
    <w:rsid w:val="00D91010"/>
    <w:rsid w:val="00D916A6"/>
    <w:rsid w:val="00D9186D"/>
    <w:rsid w:val="00D926A1"/>
    <w:rsid w:val="00D92B15"/>
    <w:rsid w:val="00D92C91"/>
    <w:rsid w:val="00D943AA"/>
    <w:rsid w:val="00D9547C"/>
    <w:rsid w:val="00D95B8F"/>
    <w:rsid w:val="00D97832"/>
    <w:rsid w:val="00DA0004"/>
    <w:rsid w:val="00DA0CDE"/>
    <w:rsid w:val="00DA1B77"/>
    <w:rsid w:val="00DA372F"/>
    <w:rsid w:val="00DA39AD"/>
    <w:rsid w:val="00DA3B39"/>
    <w:rsid w:val="00DA3D3F"/>
    <w:rsid w:val="00DA4648"/>
    <w:rsid w:val="00DA4809"/>
    <w:rsid w:val="00DA53A9"/>
    <w:rsid w:val="00DA573E"/>
    <w:rsid w:val="00DA60E3"/>
    <w:rsid w:val="00DA6917"/>
    <w:rsid w:val="00DA6926"/>
    <w:rsid w:val="00DB026D"/>
    <w:rsid w:val="00DB10F6"/>
    <w:rsid w:val="00DB16AC"/>
    <w:rsid w:val="00DB32A1"/>
    <w:rsid w:val="00DB3B93"/>
    <w:rsid w:val="00DB4358"/>
    <w:rsid w:val="00DB46C3"/>
    <w:rsid w:val="00DB5364"/>
    <w:rsid w:val="00DB5742"/>
    <w:rsid w:val="00DB72CA"/>
    <w:rsid w:val="00DB7829"/>
    <w:rsid w:val="00DB7851"/>
    <w:rsid w:val="00DB7BC6"/>
    <w:rsid w:val="00DC187E"/>
    <w:rsid w:val="00DC1B8C"/>
    <w:rsid w:val="00DC1C89"/>
    <w:rsid w:val="00DC1CE5"/>
    <w:rsid w:val="00DC1F10"/>
    <w:rsid w:val="00DC2796"/>
    <w:rsid w:val="00DC49B8"/>
    <w:rsid w:val="00DC5293"/>
    <w:rsid w:val="00DC62E9"/>
    <w:rsid w:val="00DC69C0"/>
    <w:rsid w:val="00DC7AF1"/>
    <w:rsid w:val="00DD1861"/>
    <w:rsid w:val="00DD2352"/>
    <w:rsid w:val="00DD3026"/>
    <w:rsid w:val="00DD3A8A"/>
    <w:rsid w:val="00DD4157"/>
    <w:rsid w:val="00DD5011"/>
    <w:rsid w:val="00DD7287"/>
    <w:rsid w:val="00DD78DE"/>
    <w:rsid w:val="00DE1183"/>
    <w:rsid w:val="00DE1318"/>
    <w:rsid w:val="00DE2E24"/>
    <w:rsid w:val="00DE3008"/>
    <w:rsid w:val="00DF0A22"/>
    <w:rsid w:val="00DF1A3A"/>
    <w:rsid w:val="00DF1C37"/>
    <w:rsid w:val="00DF1D76"/>
    <w:rsid w:val="00DF3BEB"/>
    <w:rsid w:val="00DF6363"/>
    <w:rsid w:val="00DF68D0"/>
    <w:rsid w:val="00DF759F"/>
    <w:rsid w:val="00E00762"/>
    <w:rsid w:val="00E00C3F"/>
    <w:rsid w:val="00E00DE0"/>
    <w:rsid w:val="00E01597"/>
    <w:rsid w:val="00E0176E"/>
    <w:rsid w:val="00E0272A"/>
    <w:rsid w:val="00E02FE7"/>
    <w:rsid w:val="00E03F63"/>
    <w:rsid w:val="00E0569C"/>
    <w:rsid w:val="00E06635"/>
    <w:rsid w:val="00E069B1"/>
    <w:rsid w:val="00E074BC"/>
    <w:rsid w:val="00E109A2"/>
    <w:rsid w:val="00E1116F"/>
    <w:rsid w:val="00E1166E"/>
    <w:rsid w:val="00E128CD"/>
    <w:rsid w:val="00E1464A"/>
    <w:rsid w:val="00E15EF1"/>
    <w:rsid w:val="00E16FB5"/>
    <w:rsid w:val="00E174BE"/>
    <w:rsid w:val="00E17517"/>
    <w:rsid w:val="00E21EC1"/>
    <w:rsid w:val="00E21F84"/>
    <w:rsid w:val="00E22788"/>
    <w:rsid w:val="00E22E5C"/>
    <w:rsid w:val="00E231FB"/>
    <w:rsid w:val="00E232DD"/>
    <w:rsid w:val="00E23D28"/>
    <w:rsid w:val="00E245D3"/>
    <w:rsid w:val="00E253EB"/>
    <w:rsid w:val="00E2585D"/>
    <w:rsid w:val="00E2654D"/>
    <w:rsid w:val="00E27264"/>
    <w:rsid w:val="00E2753A"/>
    <w:rsid w:val="00E31D7C"/>
    <w:rsid w:val="00E32E31"/>
    <w:rsid w:val="00E3337E"/>
    <w:rsid w:val="00E34018"/>
    <w:rsid w:val="00E34A8D"/>
    <w:rsid w:val="00E35BF2"/>
    <w:rsid w:val="00E35CFC"/>
    <w:rsid w:val="00E35F35"/>
    <w:rsid w:val="00E363D7"/>
    <w:rsid w:val="00E36936"/>
    <w:rsid w:val="00E375B5"/>
    <w:rsid w:val="00E41F32"/>
    <w:rsid w:val="00E424D2"/>
    <w:rsid w:val="00E42FD0"/>
    <w:rsid w:val="00E44B80"/>
    <w:rsid w:val="00E4643D"/>
    <w:rsid w:val="00E4739A"/>
    <w:rsid w:val="00E5078B"/>
    <w:rsid w:val="00E5258B"/>
    <w:rsid w:val="00E526DF"/>
    <w:rsid w:val="00E529D6"/>
    <w:rsid w:val="00E54EE6"/>
    <w:rsid w:val="00E550A0"/>
    <w:rsid w:val="00E561E8"/>
    <w:rsid w:val="00E56C2C"/>
    <w:rsid w:val="00E571AC"/>
    <w:rsid w:val="00E57F8E"/>
    <w:rsid w:val="00E60EB3"/>
    <w:rsid w:val="00E628AD"/>
    <w:rsid w:val="00E62FA2"/>
    <w:rsid w:val="00E6446D"/>
    <w:rsid w:val="00E658D6"/>
    <w:rsid w:val="00E6647F"/>
    <w:rsid w:val="00E70F49"/>
    <w:rsid w:val="00E72CC6"/>
    <w:rsid w:val="00E734EE"/>
    <w:rsid w:val="00E76637"/>
    <w:rsid w:val="00E76955"/>
    <w:rsid w:val="00E76C32"/>
    <w:rsid w:val="00E80561"/>
    <w:rsid w:val="00E81008"/>
    <w:rsid w:val="00E8203A"/>
    <w:rsid w:val="00E82679"/>
    <w:rsid w:val="00E82FA9"/>
    <w:rsid w:val="00E8429B"/>
    <w:rsid w:val="00E85112"/>
    <w:rsid w:val="00E854A4"/>
    <w:rsid w:val="00E85F55"/>
    <w:rsid w:val="00E9150E"/>
    <w:rsid w:val="00E92A82"/>
    <w:rsid w:val="00E939E5"/>
    <w:rsid w:val="00E93BA0"/>
    <w:rsid w:val="00E94252"/>
    <w:rsid w:val="00E94E78"/>
    <w:rsid w:val="00E96CA3"/>
    <w:rsid w:val="00E97E72"/>
    <w:rsid w:val="00EA07F5"/>
    <w:rsid w:val="00EA0C0C"/>
    <w:rsid w:val="00EA332B"/>
    <w:rsid w:val="00EA4BDB"/>
    <w:rsid w:val="00EA5D72"/>
    <w:rsid w:val="00EA6175"/>
    <w:rsid w:val="00EB3DB8"/>
    <w:rsid w:val="00EB4B6A"/>
    <w:rsid w:val="00EB5BE3"/>
    <w:rsid w:val="00EB6BBE"/>
    <w:rsid w:val="00EC0F3A"/>
    <w:rsid w:val="00EC0FA4"/>
    <w:rsid w:val="00EC1DC7"/>
    <w:rsid w:val="00EC5463"/>
    <w:rsid w:val="00EC62A4"/>
    <w:rsid w:val="00EC6F7D"/>
    <w:rsid w:val="00ED0D34"/>
    <w:rsid w:val="00ED0E32"/>
    <w:rsid w:val="00ED176E"/>
    <w:rsid w:val="00ED19D7"/>
    <w:rsid w:val="00ED264C"/>
    <w:rsid w:val="00ED3560"/>
    <w:rsid w:val="00ED479C"/>
    <w:rsid w:val="00ED53A0"/>
    <w:rsid w:val="00ED5A88"/>
    <w:rsid w:val="00ED6BA4"/>
    <w:rsid w:val="00EE1AA1"/>
    <w:rsid w:val="00EE20D6"/>
    <w:rsid w:val="00EE213B"/>
    <w:rsid w:val="00EE408B"/>
    <w:rsid w:val="00EE5C4E"/>
    <w:rsid w:val="00EE706D"/>
    <w:rsid w:val="00EE7095"/>
    <w:rsid w:val="00EE76F2"/>
    <w:rsid w:val="00EE7B0E"/>
    <w:rsid w:val="00EF0D7C"/>
    <w:rsid w:val="00EF3430"/>
    <w:rsid w:val="00EF40E2"/>
    <w:rsid w:val="00EF4D34"/>
    <w:rsid w:val="00EF5157"/>
    <w:rsid w:val="00EF5ADE"/>
    <w:rsid w:val="00EF5D92"/>
    <w:rsid w:val="00EF6607"/>
    <w:rsid w:val="00EF67BD"/>
    <w:rsid w:val="00EF69EF"/>
    <w:rsid w:val="00EF6B28"/>
    <w:rsid w:val="00F0229E"/>
    <w:rsid w:val="00F04BCD"/>
    <w:rsid w:val="00F05240"/>
    <w:rsid w:val="00F05EA0"/>
    <w:rsid w:val="00F06211"/>
    <w:rsid w:val="00F06344"/>
    <w:rsid w:val="00F06818"/>
    <w:rsid w:val="00F06962"/>
    <w:rsid w:val="00F0769E"/>
    <w:rsid w:val="00F11E12"/>
    <w:rsid w:val="00F122F1"/>
    <w:rsid w:val="00F1632C"/>
    <w:rsid w:val="00F16E80"/>
    <w:rsid w:val="00F17A3C"/>
    <w:rsid w:val="00F17D5C"/>
    <w:rsid w:val="00F2081B"/>
    <w:rsid w:val="00F21068"/>
    <w:rsid w:val="00F2134C"/>
    <w:rsid w:val="00F218AE"/>
    <w:rsid w:val="00F21DBB"/>
    <w:rsid w:val="00F2244A"/>
    <w:rsid w:val="00F2551E"/>
    <w:rsid w:val="00F3002B"/>
    <w:rsid w:val="00F302E9"/>
    <w:rsid w:val="00F30BC9"/>
    <w:rsid w:val="00F31D86"/>
    <w:rsid w:val="00F324A5"/>
    <w:rsid w:val="00F32996"/>
    <w:rsid w:val="00F32FF7"/>
    <w:rsid w:val="00F358C5"/>
    <w:rsid w:val="00F373B5"/>
    <w:rsid w:val="00F40CE0"/>
    <w:rsid w:val="00F428B4"/>
    <w:rsid w:val="00F42A4B"/>
    <w:rsid w:val="00F42A57"/>
    <w:rsid w:val="00F42EA7"/>
    <w:rsid w:val="00F43E3E"/>
    <w:rsid w:val="00F44043"/>
    <w:rsid w:val="00F44B11"/>
    <w:rsid w:val="00F458EF"/>
    <w:rsid w:val="00F4782F"/>
    <w:rsid w:val="00F508A8"/>
    <w:rsid w:val="00F50E22"/>
    <w:rsid w:val="00F514DE"/>
    <w:rsid w:val="00F51AC3"/>
    <w:rsid w:val="00F52C55"/>
    <w:rsid w:val="00F53569"/>
    <w:rsid w:val="00F53755"/>
    <w:rsid w:val="00F53956"/>
    <w:rsid w:val="00F541F0"/>
    <w:rsid w:val="00F5475B"/>
    <w:rsid w:val="00F56078"/>
    <w:rsid w:val="00F563C0"/>
    <w:rsid w:val="00F5771D"/>
    <w:rsid w:val="00F57FEF"/>
    <w:rsid w:val="00F60644"/>
    <w:rsid w:val="00F6313E"/>
    <w:rsid w:val="00F65342"/>
    <w:rsid w:val="00F6634D"/>
    <w:rsid w:val="00F7033D"/>
    <w:rsid w:val="00F71B9D"/>
    <w:rsid w:val="00F7203B"/>
    <w:rsid w:val="00F73E58"/>
    <w:rsid w:val="00F73E6B"/>
    <w:rsid w:val="00F74054"/>
    <w:rsid w:val="00F74A44"/>
    <w:rsid w:val="00F7542C"/>
    <w:rsid w:val="00F7598F"/>
    <w:rsid w:val="00F75E14"/>
    <w:rsid w:val="00F76B59"/>
    <w:rsid w:val="00F7713C"/>
    <w:rsid w:val="00F81B90"/>
    <w:rsid w:val="00F81E05"/>
    <w:rsid w:val="00F84643"/>
    <w:rsid w:val="00F8481A"/>
    <w:rsid w:val="00F84D4C"/>
    <w:rsid w:val="00F84E69"/>
    <w:rsid w:val="00F8733B"/>
    <w:rsid w:val="00F874C5"/>
    <w:rsid w:val="00F9074F"/>
    <w:rsid w:val="00F92160"/>
    <w:rsid w:val="00F9260D"/>
    <w:rsid w:val="00F92727"/>
    <w:rsid w:val="00F9530C"/>
    <w:rsid w:val="00F95553"/>
    <w:rsid w:val="00F96A70"/>
    <w:rsid w:val="00F96E0D"/>
    <w:rsid w:val="00FA0013"/>
    <w:rsid w:val="00FA1275"/>
    <w:rsid w:val="00FA1905"/>
    <w:rsid w:val="00FA1B28"/>
    <w:rsid w:val="00FA33FC"/>
    <w:rsid w:val="00FA44EF"/>
    <w:rsid w:val="00FA4F58"/>
    <w:rsid w:val="00FA5596"/>
    <w:rsid w:val="00FA5971"/>
    <w:rsid w:val="00FA6878"/>
    <w:rsid w:val="00FA77C1"/>
    <w:rsid w:val="00FB08C2"/>
    <w:rsid w:val="00FB283A"/>
    <w:rsid w:val="00FB2F0D"/>
    <w:rsid w:val="00FB6FB0"/>
    <w:rsid w:val="00FC25A5"/>
    <w:rsid w:val="00FC40BC"/>
    <w:rsid w:val="00FC4D60"/>
    <w:rsid w:val="00FC506C"/>
    <w:rsid w:val="00FD13EA"/>
    <w:rsid w:val="00FD140D"/>
    <w:rsid w:val="00FD146B"/>
    <w:rsid w:val="00FD158E"/>
    <w:rsid w:val="00FD1FE4"/>
    <w:rsid w:val="00FD3C1E"/>
    <w:rsid w:val="00FD492A"/>
    <w:rsid w:val="00FD5EC4"/>
    <w:rsid w:val="00FD6AED"/>
    <w:rsid w:val="00FD70AA"/>
    <w:rsid w:val="00FE0465"/>
    <w:rsid w:val="00FE04C7"/>
    <w:rsid w:val="00FE1C3B"/>
    <w:rsid w:val="00FE1CE5"/>
    <w:rsid w:val="00FE1DEC"/>
    <w:rsid w:val="00FE249B"/>
    <w:rsid w:val="00FE2B4F"/>
    <w:rsid w:val="00FE6D3E"/>
    <w:rsid w:val="00FE7A28"/>
    <w:rsid w:val="00FF0A74"/>
    <w:rsid w:val="00FF2067"/>
    <w:rsid w:val="00FF2740"/>
    <w:rsid w:val="00FF32D7"/>
    <w:rsid w:val="00FF39AD"/>
    <w:rsid w:val="00FF4138"/>
    <w:rsid w:val="00FF421C"/>
    <w:rsid w:val="00FF4E1E"/>
    <w:rsid w:val="00FF54F5"/>
    <w:rsid w:val="00FF5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ru v:ext="edit" colors="#2d4491,#283583"/>
    </o:shapedefaults>
    <o:shapelayout v:ext="edit">
      <o:idmap v:ext="edit" data="1"/>
    </o:shapelayout>
  </w:shapeDefaults>
  <w:decimalSymbol w:val=","/>
  <w:listSeparator w:val=";"/>
  <w14:docId w14:val="09E0EA18"/>
  <w15:docId w15:val="{CBFA9A38-90C8-485A-8EC1-039BEAF1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46D"/>
    <w:rPr>
      <w:rFonts w:ascii="Georgia" w:hAnsi="Georgia"/>
      <w:szCs w:val="24"/>
      <w:lang w:eastAsia="de-DE"/>
    </w:rPr>
  </w:style>
  <w:style w:type="paragraph" w:styleId="Heading1">
    <w:name w:val="heading 1"/>
    <w:basedOn w:val="05cHeadline1"/>
    <w:next w:val="Normal"/>
    <w:link w:val="Heading1Char"/>
    <w:uiPriority w:val="9"/>
    <w:qFormat/>
    <w:rsid w:val="004C2CD3"/>
    <w:pPr>
      <w:numPr>
        <w:numId w:val="47"/>
      </w:numPr>
      <w:outlineLvl w:val="0"/>
    </w:pPr>
  </w:style>
  <w:style w:type="paragraph" w:styleId="Heading2">
    <w:name w:val="heading 2"/>
    <w:basedOn w:val="04aNumbering"/>
    <w:next w:val="Normal"/>
    <w:link w:val="Heading2Char"/>
    <w:uiPriority w:val="9"/>
    <w:qFormat/>
    <w:rsid w:val="00412C4C"/>
    <w:pPr>
      <w:numPr>
        <w:ilvl w:val="1"/>
        <w:numId w:val="47"/>
      </w:numPr>
      <w:outlineLvl w:val="1"/>
    </w:pPr>
    <w:rPr>
      <w:b/>
    </w:rPr>
  </w:style>
  <w:style w:type="paragraph" w:styleId="Heading3">
    <w:name w:val="heading 3"/>
    <w:basedOn w:val="Heading2"/>
    <w:next w:val="Normal"/>
    <w:link w:val="Heading3Char"/>
    <w:uiPriority w:val="9"/>
    <w:qFormat/>
    <w:rsid w:val="00E03F63"/>
    <w:pPr>
      <w:numPr>
        <w:ilvl w:val="2"/>
      </w:numPr>
      <w:outlineLvl w:val="2"/>
    </w:pPr>
  </w:style>
  <w:style w:type="paragraph" w:styleId="Heading4">
    <w:name w:val="heading 4"/>
    <w:basedOn w:val="Heading3"/>
    <w:next w:val="Normal"/>
    <w:qFormat/>
    <w:rsid w:val="003F3FF4"/>
    <w:pPr>
      <w:numPr>
        <w:ilvl w:val="3"/>
      </w:numPr>
      <w:outlineLvl w:val="3"/>
    </w:pPr>
  </w:style>
  <w:style w:type="paragraph" w:styleId="Heading5">
    <w:name w:val="heading 5"/>
    <w:basedOn w:val="Heading4"/>
    <w:next w:val="Normal"/>
    <w:qFormat/>
    <w:rsid w:val="00376487"/>
    <w:pPr>
      <w:numPr>
        <w:ilvl w:val="4"/>
      </w:numPr>
      <w:outlineLvl w:val="4"/>
    </w:pPr>
  </w:style>
  <w:style w:type="paragraph" w:styleId="Heading6">
    <w:name w:val="heading 6"/>
    <w:basedOn w:val="Normal"/>
    <w:next w:val="Normal"/>
    <w:qFormat/>
    <w:rsid w:val="003609B6"/>
    <w:pPr>
      <w:numPr>
        <w:ilvl w:val="5"/>
        <w:numId w:val="47"/>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47"/>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47"/>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4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semiHidden/>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link w:val="04aNumberingChar"/>
    <w:uiPriority w:val="99"/>
    <w:rsid w:val="00D75603"/>
    <w:pPr>
      <w:numPr>
        <w:numId w:val="2"/>
      </w:numPr>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tabs>
        <w:tab w:val="left" w:pos="397"/>
      </w:tabs>
      <w:spacing w:after="250" w:line="250" w:lineRule="exact"/>
    </w:pPr>
    <w:rPr>
      <w:rFonts w:ascii="Georgia" w:hAnsi="Georgia" w:cs="Arial"/>
      <w:bCs/>
      <w:iCs/>
      <w:lang w:eastAsia="de-DE"/>
    </w:rPr>
  </w:style>
  <w:style w:type="paragraph" w:styleId="FootnoteText">
    <w:name w:val="footnote text"/>
    <w:aliases w:val="Car"/>
    <w:basedOn w:val="Normal"/>
    <w:link w:val="FootnoteTextChar"/>
    <w:uiPriority w:val="99"/>
    <w:rsid w:val="001725A5"/>
    <w:pPr>
      <w:spacing w:line="200" w:lineRule="exact"/>
    </w:pPr>
    <w:rPr>
      <w:sz w:val="16"/>
      <w:szCs w:val="20"/>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
    <w:uiPriority w:val="99"/>
    <w:rsid w:val="00C274F3"/>
    <w:rPr>
      <w:vertAlign w:val="superscript"/>
    </w:rPr>
  </w:style>
  <w:style w:type="paragraph" w:styleId="TOC2">
    <w:name w:val="toc 2"/>
    <w:basedOn w:val="Normal"/>
    <w:next w:val="Normal"/>
    <w:autoRedefine/>
    <w:uiPriority w:val="39"/>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val="0"/>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styleId="BalloonText">
    <w:name w:val="Balloon Text"/>
    <w:basedOn w:val="Normal"/>
    <w:link w:val="BalloonTextChar"/>
    <w:uiPriority w:val="99"/>
    <w:rsid w:val="0059665F"/>
    <w:rPr>
      <w:rFonts w:ascii="Tahoma" w:hAnsi="Tahoma" w:cs="Tahoma"/>
      <w:sz w:val="16"/>
      <w:szCs w:val="16"/>
    </w:rPr>
  </w:style>
  <w:style w:type="character" w:customStyle="1" w:styleId="BalloonTextChar">
    <w:name w:val="Balloon Text Char"/>
    <w:basedOn w:val="DefaultParagraphFont"/>
    <w:link w:val="BalloonText"/>
    <w:uiPriority w:val="99"/>
    <w:rsid w:val="0059665F"/>
    <w:rPr>
      <w:rFonts w:ascii="Tahoma" w:hAnsi="Tahoma" w:cs="Tahoma"/>
      <w:sz w:val="16"/>
      <w:szCs w:val="16"/>
      <w:lang w:eastAsia="de-DE"/>
    </w:rPr>
  </w:style>
  <w:style w:type="paragraph" w:customStyle="1" w:styleId="MyNormal">
    <w:name w:val="MyNormal"/>
    <w:basedOn w:val="04aNumbering"/>
    <w:link w:val="MyNormalChar"/>
    <w:qFormat/>
    <w:rsid w:val="001A12FC"/>
    <w:pPr>
      <w:tabs>
        <w:tab w:val="clear" w:pos="4679"/>
      </w:tabs>
      <w:ind w:left="567" w:hanging="567"/>
    </w:pPr>
  </w:style>
  <w:style w:type="paragraph" w:customStyle="1" w:styleId="Level1">
    <w:name w:val="Level 1"/>
    <w:basedOn w:val="Normal"/>
    <w:rsid w:val="00A84770"/>
    <w:pPr>
      <w:numPr>
        <w:numId w:val="6"/>
      </w:numPr>
    </w:pPr>
  </w:style>
  <w:style w:type="character" w:customStyle="1" w:styleId="04BodyTextChar">
    <w:name w:val="04_Body Text Char"/>
    <w:basedOn w:val="DefaultParagraphFont"/>
    <w:link w:val="04BodyText"/>
    <w:rsid w:val="00E00C3F"/>
    <w:rPr>
      <w:rFonts w:ascii="Georgia" w:hAnsi="Georgia"/>
      <w:szCs w:val="24"/>
      <w:lang w:eastAsia="de-DE"/>
    </w:rPr>
  </w:style>
  <w:style w:type="character" w:customStyle="1" w:styleId="04aNumberingChar">
    <w:name w:val="04a_Numbering Char"/>
    <w:basedOn w:val="04BodyTextChar"/>
    <w:link w:val="04aNumbering"/>
    <w:uiPriority w:val="99"/>
    <w:rsid w:val="00E00C3F"/>
    <w:rPr>
      <w:rFonts w:ascii="Georgia" w:hAnsi="Georgia"/>
      <w:szCs w:val="24"/>
      <w:lang w:eastAsia="de-DE"/>
    </w:rPr>
  </w:style>
  <w:style w:type="character" w:customStyle="1" w:styleId="MyNormalChar">
    <w:name w:val="MyNormal Char"/>
    <w:basedOn w:val="04aNumberingChar"/>
    <w:link w:val="MyNormal"/>
    <w:rsid w:val="001A12FC"/>
    <w:rPr>
      <w:rFonts w:ascii="Georgia" w:hAnsi="Georgia"/>
      <w:szCs w:val="24"/>
      <w:lang w:eastAsia="de-DE"/>
    </w:rPr>
  </w:style>
  <w:style w:type="paragraph" w:customStyle="1" w:styleId="Level2">
    <w:name w:val="Level 2"/>
    <w:basedOn w:val="Normal"/>
    <w:rsid w:val="00A84770"/>
    <w:pPr>
      <w:numPr>
        <w:ilvl w:val="1"/>
        <w:numId w:val="6"/>
      </w:numPr>
    </w:pPr>
  </w:style>
  <w:style w:type="paragraph" w:customStyle="1" w:styleId="Level3">
    <w:name w:val="Level 3"/>
    <w:basedOn w:val="Normal"/>
    <w:rsid w:val="00A84770"/>
    <w:pPr>
      <w:numPr>
        <w:ilvl w:val="2"/>
        <w:numId w:val="6"/>
      </w:numPr>
    </w:pPr>
  </w:style>
  <w:style w:type="paragraph" w:customStyle="1" w:styleId="Level4">
    <w:name w:val="Level 4"/>
    <w:basedOn w:val="Normal"/>
    <w:rsid w:val="00A84770"/>
    <w:pPr>
      <w:numPr>
        <w:ilvl w:val="3"/>
        <w:numId w:val="6"/>
      </w:numPr>
    </w:pPr>
  </w:style>
  <w:style w:type="paragraph" w:customStyle="1" w:styleId="Level5">
    <w:name w:val="Level 5"/>
    <w:basedOn w:val="Normal"/>
    <w:rsid w:val="00A84770"/>
    <w:pPr>
      <w:numPr>
        <w:ilvl w:val="4"/>
        <w:numId w:val="6"/>
      </w:numPr>
    </w:pPr>
  </w:style>
  <w:style w:type="paragraph" w:customStyle="1" w:styleId="Level6">
    <w:name w:val="Level 6"/>
    <w:basedOn w:val="Normal"/>
    <w:rsid w:val="00A84770"/>
    <w:pPr>
      <w:numPr>
        <w:ilvl w:val="5"/>
        <w:numId w:val="6"/>
      </w:numPr>
    </w:pPr>
  </w:style>
  <w:style w:type="paragraph" w:customStyle="1" w:styleId="MyBullet0">
    <w:name w:val="My Bullet"/>
    <w:basedOn w:val="05aTitle"/>
    <w:link w:val="MyBulletChar"/>
    <w:qFormat/>
    <w:rsid w:val="00DF3BEB"/>
    <w:pPr>
      <w:numPr>
        <w:numId w:val="7"/>
      </w:numPr>
      <w:spacing w:line="276" w:lineRule="auto"/>
      <w:jc w:val="both"/>
    </w:pPr>
    <w:rPr>
      <w:b w:val="0"/>
      <w:sz w:val="20"/>
      <w:szCs w:val="20"/>
    </w:rPr>
  </w:style>
  <w:style w:type="character" w:customStyle="1" w:styleId="MyBulletChar">
    <w:name w:val="My Bullet Char"/>
    <w:link w:val="MyBullet0"/>
    <w:rsid w:val="00DF3BEB"/>
    <w:rPr>
      <w:rFonts w:ascii="Georgia" w:hAnsi="Georgia"/>
      <w:color w:val="000000"/>
      <w:lang w:eastAsia="de-DE"/>
    </w:rPr>
  </w:style>
  <w:style w:type="character" w:customStyle="1" w:styleId="FootnoteTextChar">
    <w:name w:val="Footnote Text Char"/>
    <w:aliases w:val="Car Char"/>
    <w:link w:val="FootnoteText"/>
    <w:uiPriority w:val="99"/>
    <w:rsid w:val="00084648"/>
    <w:rPr>
      <w:rFonts w:ascii="Georgia" w:hAnsi="Georgia"/>
      <w:sz w:val="16"/>
      <w:lang w:eastAsia="de-DE"/>
    </w:rPr>
  </w:style>
  <w:style w:type="paragraph" w:styleId="Caption">
    <w:name w:val="caption"/>
    <w:basedOn w:val="Normal"/>
    <w:next w:val="Normal"/>
    <w:link w:val="CaptionChar"/>
    <w:unhideWhenUsed/>
    <w:qFormat/>
    <w:rsid w:val="009E7A88"/>
    <w:pPr>
      <w:spacing w:after="200"/>
      <w:jc w:val="center"/>
    </w:pPr>
    <w:rPr>
      <w:b/>
      <w:bCs/>
      <w:sz w:val="18"/>
      <w:szCs w:val="18"/>
    </w:rPr>
  </w:style>
  <w:style w:type="paragraph" w:customStyle="1" w:styleId="CM1">
    <w:name w:val="CM1"/>
    <w:basedOn w:val="Normal"/>
    <w:next w:val="Normal"/>
    <w:uiPriority w:val="99"/>
    <w:rsid w:val="008B637C"/>
    <w:pPr>
      <w:autoSpaceDE w:val="0"/>
      <w:autoSpaceDN w:val="0"/>
      <w:adjustRightInd w:val="0"/>
    </w:pPr>
    <w:rPr>
      <w:rFonts w:ascii="EUAlbertina" w:hAnsi="EUAlbertina"/>
      <w:sz w:val="24"/>
      <w:lang w:eastAsia="en-GB"/>
    </w:rPr>
  </w:style>
  <w:style w:type="paragraph" w:customStyle="1" w:styleId="CM3">
    <w:name w:val="CM3"/>
    <w:basedOn w:val="Normal"/>
    <w:next w:val="Normal"/>
    <w:uiPriority w:val="99"/>
    <w:rsid w:val="008B637C"/>
    <w:pPr>
      <w:autoSpaceDE w:val="0"/>
      <w:autoSpaceDN w:val="0"/>
      <w:adjustRightInd w:val="0"/>
    </w:pPr>
    <w:rPr>
      <w:rFonts w:ascii="EUAlbertina" w:hAnsi="EUAlbertina"/>
      <w:sz w:val="24"/>
      <w:lang w:eastAsia="en-GB"/>
    </w:rPr>
  </w:style>
  <w:style w:type="character" w:styleId="CommentReference">
    <w:name w:val="annotation reference"/>
    <w:basedOn w:val="DefaultParagraphFont"/>
    <w:uiPriority w:val="99"/>
    <w:rsid w:val="00C61A11"/>
    <w:rPr>
      <w:sz w:val="16"/>
      <w:szCs w:val="16"/>
    </w:rPr>
  </w:style>
  <w:style w:type="paragraph" w:styleId="CommentText">
    <w:name w:val="annotation text"/>
    <w:basedOn w:val="Normal"/>
    <w:link w:val="CommentTextChar"/>
    <w:uiPriority w:val="99"/>
    <w:rsid w:val="00C61A11"/>
    <w:rPr>
      <w:szCs w:val="20"/>
    </w:rPr>
  </w:style>
  <w:style w:type="character" w:customStyle="1" w:styleId="CommentTextChar">
    <w:name w:val="Comment Text Char"/>
    <w:basedOn w:val="DefaultParagraphFont"/>
    <w:link w:val="CommentText"/>
    <w:uiPriority w:val="99"/>
    <w:rsid w:val="00C61A11"/>
    <w:rPr>
      <w:rFonts w:ascii="Georgia" w:hAnsi="Georgia"/>
      <w:lang w:eastAsia="de-DE"/>
    </w:rPr>
  </w:style>
  <w:style w:type="paragraph" w:styleId="CommentSubject">
    <w:name w:val="annotation subject"/>
    <w:basedOn w:val="CommentText"/>
    <w:next w:val="CommentText"/>
    <w:link w:val="CommentSubjectChar"/>
    <w:uiPriority w:val="99"/>
    <w:rsid w:val="00C61A11"/>
    <w:rPr>
      <w:b/>
      <w:bCs/>
    </w:rPr>
  </w:style>
  <w:style w:type="character" w:customStyle="1" w:styleId="CommentSubjectChar">
    <w:name w:val="Comment Subject Char"/>
    <w:basedOn w:val="CommentTextChar"/>
    <w:link w:val="CommentSubject"/>
    <w:uiPriority w:val="99"/>
    <w:rsid w:val="00C61A11"/>
    <w:rPr>
      <w:rFonts w:ascii="Georgia" w:hAnsi="Georgia"/>
      <w:b/>
      <w:bCs/>
      <w:lang w:eastAsia="de-DE"/>
    </w:rPr>
  </w:style>
  <w:style w:type="paragraph" w:customStyle="1" w:styleId="Style1">
    <w:name w:val="Style1"/>
    <w:basedOn w:val="MyBullet0"/>
    <w:link w:val="Style1Char"/>
    <w:qFormat/>
    <w:rsid w:val="0018532A"/>
    <w:pPr>
      <w:numPr>
        <w:numId w:val="0"/>
      </w:numPr>
    </w:pPr>
    <w:rPr>
      <w:b/>
      <w:i/>
      <w:color w:val="00B050"/>
    </w:rPr>
  </w:style>
  <w:style w:type="character" w:customStyle="1" w:styleId="Style1Char">
    <w:name w:val="Style1 Char"/>
    <w:basedOn w:val="MyBulletChar"/>
    <w:link w:val="Style1"/>
    <w:rsid w:val="0018532A"/>
    <w:rPr>
      <w:rFonts w:ascii="Georgia" w:hAnsi="Georgia"/>
      <w:b/>
      <w:i/>
      <w:color w:val="00B050"/>
      <w:lang w:eastAsia="de-DE"/>
    </w:rPr>
  </w:style>
  <w:style w:type="paragraph" w:customStyle="1" w:styleId="0MyBullet">
    <w:name w:val="0. My Bullet"/>
    <w:basedOn w:val="04bList"/>
    <w:link w:val="0MyBulletChar"/>
    <w:qFormat/>
    <w:rsid w:val="00F1632C"/>
    <w:pPr>
      <w:numPr>
        <w:numId w:val="5"/>
      </w:numPr>
      <w:spacing w:after="0" w:line="360" w:lineRule="auto"/>
    </w:pPr>
  </w:style>
  <w:style w:type="character" w:customStyle="1" w:styleId="0MyBulletChar">
    <w:name w:val="0. My Bullet Char"/>
    <w:link w:val="0MyBullet"/>
    <w:rsid w:val="00F1632C"/>
    <w:rPr>
      <w:rFonts w:ascii="Georgia" w:hAnsi="Georgia"/>
      <w:szCs w:val="24"/>
      <w:lang w:eastAsia="de-DE"/>
    </w:rPr>
  </w:style>
  <w:style w:type="paragraph" w:customStyle="1" w:styleId="Bullet2">
    <w:name w:val="Bullet 2"/>
    <w:basedOn w:val="0MyBullet"/>
    <w:qFormat/>
    <w:rsid w:val="00DF3BEB"/>
    <w:pPr>
      <w:numPr>
        <w:ilvl w:val="1"/>
      </w:numPr>
      <w:tabs>
        <w:tab w:val="num" w:pos="720"/>
      </w:tabs>
      <w:ind w:left="720"/>
    </w:pPr>
  </w:style>
  <w:style w:type="paragraph" w:styleId="ListParagraph">
    <w:name w:val="List Paragraph"/>
    <w:aliases w:val="Paragraphe EI,Paragraphe de liste1,EC,Paragraphe de liste"/>
    <w:basedOn w:val="Normal"/>
    <w:link w:val="ListParagraphChar"/>
    <w:uiPriority w:val="34"/>
    <w:qFormat/>
    <w:rsid w:val="00DF3BEB"/>
    <w:pPr>
      <w:ind w:left="720"/>
      <w:contextualSpacing/>
    </w:pPr>
  </w:style>
  <w:style w:type="paragraph" w:customStyle="1" w:styleId="1MyNormal">
    <w:name w:val="1. My Normal"/>
    <w:basedOn w:val="Normal"/>
    <w:link w:val="1MyNormalChar"/>
    <w:qFormat/>
    <w:rsid w:val="00522AA8"/>
    <w:pPr>
      <w:numPr>
        <w:numId w:val="9"/>
      </w:numPr>
      <w:spacing w:before="120" w:after="240" w:line="276" w:lineRule="auto"/>
      <w:ind w:left="0" w:hanging="567"/>
      <w:jc w:val="both"/>
    </w:pPr>
  </w:style>
  <w:style w:type="character" w:customStyle="1" w:styleId="1MyNormalChar">
    <w:name w:val="1. My Normal Char"/>
    <w:basedOn w:val="DefaultParagraphFont"/>
    <w:link w:val="1MyNormal"/>
    <w:rsid w:val="00522AA8"/>
    <w:rPr>
      <w:rFonts w:ascii="Georgia" w:hAnsi="Georgia"/>
      <w:szCs w:val="24"/>
      <w:lang w:eastAsia="de-DE"/>
    </w:rPr>
  </w:style>
  <w:style w:type="paragraph" w:customStyle="1" w:styleId="footnote">
    <w:name w:val="footnote"/>
    <w:basedOn w:val="CM1"/>
    <w:link w:val="footnoteChar"/>
    <w:qFormat/>
    <w:rsid w:val="00483AAB"/>
    <w:pPr>
      <w:spacing w:before="200" w:after="200"/>
    </w:pPr>
    <w:rPr>
      <w:rFonts w:ascii="Georgia" w:hAnsi="Georgia"/>
      <w:sz w:val="18"/>
      <w:szCs w:val="20"/>
    </w:rPr>
  </w:style>
  <w:style w:type="character" w:customStyle="1" w:styleId="footnoteChar">
    <w:name w:val="footnote Char"/>
    <w:link w:val="footnote"/>
    <w:rsid w:val="00483AAB"/>
    <w:rPr>
      <w:rFonts w:ascii="Georgia" w:hAnsi="Georgia"/>
      <w:sz w:val="18"/>
    </w:rPr>
  </w:style>
  <w:style w:type="paragraph" w:customStyle="1" w:styleId="Default">
    <w:name w:val="Default"/>
    <w:rsid w:val="00CC4F8F"/>
    <w:pPr>
      <w:autoSpaceDE w:val="0"/>
      <w:autoSpaceDN w:val="0"/>
      <w:adjustRightInd w:val="0"/>
    </w:pPr>
    <w:rPr>
      <w:color w:val="000000"/>
      <w:sz w:val="24"/>
      <w:szCs w:val="24"/>
    </w:rPr>
  </w:style>
  <w:style w:type="paragraph" w:customStyle="1" w:styleId="Underlines">
    <w:name w:val="Underlines"/>
    <w:basedOn w:val="MyNormal"/>
    <w:link w:val="UnderlinesChar"/>
    <w:qFormat/>
    <w:rsid w:val="000A3313"/>
    <w:pPr>
      <w:numPr>
        <w:numId w:val="0"/>
      </w:numPr>
    </w:pPr>
    <w:rPr>
      <w:szCs w:val="20"/>
      <w:u w:val="single"/>
    </w:rPr>
  </w:style>
  <w:style w:type="character" w:customStyle="1" w:styleId="UnderlinesChar">
    <w:name w:val="Underlines Char"/>
    <w:basedOn w:val="MyNormalChar"/>
    <w:link w:val="Underlines"/>
    <w:rsid w:val="000A3313"/>
    <w:rPr>
      <w:rFonts w:ascii="Georgia" w:hAnsi="Georgia"/>
      <w:szCs w:val="24"/>
      <w:u w:val="single"/>
      <w:lang w:eastAsia="de-DE"/>
    </w:rPr>
  </w:style>
  <w:style w:type="paragraph" w:customStyle="1" w:styleId="mybullet">
    <w:name w:val="my_bullet"/>
    <w:basedOn w:val="ListParagraph"/>
    <w:qFormat/>
    <w:rsid w:val="00615AA7"/>
    <w:pPr>
      <w:numPr>
        <w:numId w:val="10"/>
      </w:numPr>
      <w:spacing w:before="120" w:after="120" w:line="276" w:lineRule="auto"/>
      <w:jc w:val="both"/>
    </w:pPr>
  </w:style>
  <w:style w:type="character" w:styleId="FollowedHyperlink">
    <w:name w:val="FollowedHyperlink"/>
    <w:basedOn w:val="DefaultParagraphFont"/>
    <w:rsid w:val="00615AA7"/>
    <w:rPr>
      <w:color w:val="800080" w:themeColor="followedHyperlink"/>
      <w:u w:val="single"/>
    </w:rPr>
  </w:style>
  <w:style w:type="paragraph" w:customStyle="1" w:styleId="05Headline1">
    <w:name w:val="05_Headline 1"/>
    <w:basedOn w:val="04BodyText"/>
    <w:rsid w:val="00DB72CA"/>
    <w:pPr>
      <w:spacing w:line="300" w:lineRule="exact"/>
    </w:pPr>
    <w:rPr>
      <w:b/>
      <w:sz w:val="24"/>
    </w:rPr>
  </w:style>
  <w:style w:type="character" w:customStyle="1" w:styleId="st">
    <w:name w:val="st"/>
    <w:basedOn w:val="DefaultParagraphFont"/>
    <w:rsid w:val="00DB72CA"/>
  </w:style>
  <w:style w:type="character" w:customStyle="1" w:styleId="Heading3Char">
    <w:name w:val="Heading 3 Char"/>
    <w:basedOn w:val="DefaultParagraphFont"/>
    <w:link w:val="Heading3"/>
    <w:uiPriority w:val="9"/>
    <w:rsid w:val="00C43890"/>
    <w:rPr>
      <w:rFonts w:ascii="Georgia" w:hAnsi="Georgia"/>
      <w:b/>
      <w:szCs w:val="24"/>
      <w:lang w:eastAsia="de-DE"/>
    </w:rPr>
  </w:style>
  <w:style w:type="paragraph" w:customStyle="1" w:styleId="Normalsanspara">
    <w:name w:val="Normal sans para"/>
    <w:basedOn w:val="1MyNormal"/>
    <w:link w:val="NormalsansparaChar"/>
    <w:qFormat/>
    <w:rsid w:val="00ED0E32"/>
    <w:pPr>
      <w:numPr>
        <w:numId w:val="0"/>
      </w:numPr>
    </w:pPr>
    <w:rPr>
      <w:szCs w:val="20"/>
      <w:u w:val="single"/>
    </w:rPr>
  </w:style>
  <w:style w:type="character" w:customStyle="1" w:styleId="NormalsansparaChar">
    <w:name w:val="Normal sans para Char"/>
    <w:link w:val="Normalsanspara"/>
    <w:rsid w:val="00ED0E32"/>
    <w:rPr>
      <w:rFonts w:ascii="Georgia" w:hAnsi="Georgia"/>
      <w:u w:val="single"/>
      <w:lang w:eastAsia="de-DE"/>
    </w:rPr>
  </w:style>
  <w:style w:type="paragraph" w:customStyle="1" w:styleId="Style2">
    <w:name w:val="Style2"/>
    <w:basedOn w:val="04BodyText"/>
    <w:link w:val="Style2Char"/>
    <w:qFormat/>
    <w:rsid w:val="00BE4C34"/>
    <w:pPr>
      <w:numPr>
        <w:numId w:val="26"/>
      </w:numPr>
    </w:pPr>
  </w:style>
  <w:style w:type="paragraph" w:customStyle="1" w:styleId="Style3">
    <w:name w:val="Style3"/>
    <w:basedOn w:val="04BodyText"/>
    <w:link w:val="Style3Char"/>
    <w:qFormat/>
    <w:rsid w:val="00FD70AA"/>
    <w:pPr>
      <w:numPr>
        <w:numId w:val="12"/>
      </w:numPr>
      <w:ind w:left="426" w:hanging="426"/>
    </w:pPr>
  </w:style>
  <w:style w:type="character" w:customStyle="1" w:styleId="Style2Char">
    <w:name w:val="Style2 Char"/>
    <w:basedOn w:val="04BodyTextChar"/>
    <w:link w:val="Style2"/>
    <w:rsid w:val="00BE4C34"/>
    <w:rPr>
      <w:rFonts w:ascii="Georgia" w:hAnsi="Georgia"/>
      <w:szCs w:val="24"/>
      <w:lang w:eastAsia="de-DE"/>
    </w:rPr>
  </w:style>
  <w:style w:type="character" w:customStyle="1" w:styleId="Style3Char">
    <w:name w:val="Style3 Char"/>
    <w:basedOn w:val="04BodyTextChar"/>
    <w:link w:val="Style3"/>
    <w:rsid w:val="00FD70AA"/>
    <w:rPr>
      <w:rFonts w:ascii="Georgia" w:hAnsi="Georgia"/>
      <w:szCs w:val="24"/>
      <w:lang w:eastAsia="de-DE"/>
    </w:rPr>
  </w:style>
  <w:style w:type="character" w:customStyle="1" w:styleId="ListParagraphChar">
    <w:name w:val="List Paragraph Char"/>
    <w:aliases w:val="Paragraphe EI Char,Paragraphe de liste1 Char,EC Char,Paragraphe de liste Char"/>
    <w:link w:val="ListParagraph"/>
    <w:uiPriority w:val="34"/>
    <w:rsid w:val="004D19C2"/>
    <w:rPr>
      <w:rFonts w:ascii="Georgia" w:hAnsi="Georgia"/>
      <w:sz w:val="22"/>
      <w:szCs w:val="24"/>
      <w:lang w:eastAsia="de-DE"/>
    </w:rPr>
  </w:style>
  <w:style w:type="character" w:styleId="Strong">
    <w:name w:val="Strong"/>
    <w:basedOn w:val="DefaultParagraphFont"/>
    <w:uiPriority w:val="22"/>
    <w:qFormat/>
    <w:rsid w:val="00A1073B"/>
    <w:rPr>
      <w:b/>
      <w:bCs/>
    </w:rPr>
  </w:style>
  <w:style w:type="paragraph" w:customStyle="1" w:styleId="04aNumeration">
    <w:name w:val="04a_Numeration"/>
    <w:basedOn w:val="04BodyText"/>
    <w:link w:val="04aNumerationChar"/>
    <w:rsid w:val="00036907"/>
    <w:pPr>
      <w:tabs>
        <w:tab w:val="num" w:pos="284"/>
      </w:tabs>
      <w:ind w:left="284" w:hanging="284"/>
    </w:pPr>
  </w:style>
  <w:style w:type="character" w:customStyle="1" w:styleId="04aNumerationChar">
    <w:name w:val="04a_Numeration Char"/>
    <w:basedOn w:val="04BodyTextChar"/>
    <w:link w:val="04aNumeration"/>
    <w:rsid w:val="00036907"/>
    <w:rPr>
      <w:rFonts w:ascii="Georgia" w:hAnsi="Georgia"/>
      <w:szCs w:val="24"/>
      <w:lang w:eastAsia="de-DE"/>
    </w:rPr>
  </w:style>
  <w:style w:type="paragraph" w:styleId="EndnoteText">
    <w:name w:val="endnote text"/>
    <w:basedOn w:val="Normal"/>
    <w:link w:val="EndnoteTextChar"/>
    <w:rsid w:val="003A5A08"/>
    <w:rPr>
      <w:szCs w:val="20"/>
    </w:rPr>
  </w:style>
  <w:style w:type="character" w:customStyle="1" w:styleId="EndnoteTextChar">
    <w:name w:val="Endnote Text Char"/>
    <w:basedOn w:val="DefaultParagraphFont"/>
    <w:link w:val="EndnoteText"/>
    <w:rsid w:val="003A5A08"/>
    <w:rPr>
      <w:rFonts w:ascii="Georgia" w:hAnsi="Georgia"/>
      <w:lang w:eastAsia="de-DE"/>
    </w:rPr>
  </w:style>
  <w:style w:type="character" w:styleId="EndnoteReference">
    <w:name w:val="endnote reference"/>
    <w:basedOn w:val="DefaultParagraphFont"/>
    <w:rsid w:val="003A5A08"/>
    <w:rPr>
      <w:vertAlign w:val="superscript"/>
    </w:rPr>
  </w:style>
  <w:style w:type="paragraph" w:customStyle="1" w:styleId="MYNORMAL0">
    <w:name w:val="MYNORMAL"/>
    <w:basedOn w:val="04aNumbering"/>
    <w:link w:val="MYNORMALChar0"/>
    <w:qFormat/>
    <w:rsid w:val="00230601"/>
    <w:pPr>
      <w:tabs>
        <w:tab w:val="clear" w:pos="4679"/>
      </w:tabs>
      <w:ind w:left="567" w:hanging="567"/>
    </w:pPr>
  </w:style>
  <w:style w:type="character" w:customStyle="1" w:styleId="MYNORMALChar0">
    <w:name w:val="MYNORMAL Char"/>
    <w:basedOn w:val="04aNumberingChar"/>
    <w:link w:val="MYNORMAL0"/>
    <w:rsid w:val="00230601"/>
    <w:rPr>
      <w:rFonts w:ascii="Georgia" w:hAnsi="Georgia"/>
      <w:szCs w:val="24"/>
      <w:lang w:eastAsia="de-DE"/>
    </w:rPr>
  </w:style>
  <w:style w:type="paragraph" w:customStyle="1" w:styleId="myNormal1">
    <w:name w:val="myNormal"/>
    <w:basedOn w:val="04aNumbering"/>
    <w:link w:val="myNormalChar1"/>
    <w:qFormat/>
    <w:rsid w:val="006537A8"/>
  </w:style>
  <w:style w:type="character" w:customStyle="1" w:styleId="myNormalChar1">
    <w:name w:val="myNormal Char"/>
    <w:basedOn w:val="04aNumberingChar"/>
    <w:link w:val="myNormal1"/>
    <w:rsid w:val="006537A8"/>
    <w:rPr>
      <w:rFonts w:ascii="Georgia" w:hAnsi="Georgia"/>
      <w:szCs w:val="24"/>
      <w:lang w:eastAsia="de-DE"/>
    </w:rPr>
  </w:style>
  <w:style w:type="character" w:customStyle="1" w:styleId="apple-converted-space">
    <w:name w:val="apple-converted-space"/>
    <w:basedOn w:val="DefaultParagraphFont"/>
    <w:rsid w:val="00AB592E"/>
  </w:style>
  <w:style w:type="paragraph" w:styleId="TOC3">
    <w:name w:val="toc 3"/>
    <w:basedOn w:val="Normal"/>
    <w:next w:val="Normal"/>
    <w:autoRedefine/>
    <w:uiPriority w:val="39"/>
    <w:rsid w:val="0073272F"/>
    <w:pPr>
      <w:spacing w:after="100"/>
      <w:ind w:left="440"/>
    </w:pPr>
  </w:style>
  <w:style w:type="character" w:styleId="PlaceholderText">
    <w:name w:val="Placeholder Text"/>
    <w:basedOn w:val="DefaultParagraphFont"/>
    <w:uiPriority w:val="99"/>
    <w:semiHidden/>
    <w:rsid w:val="00E06635"/>
    <w:rPr>
      <w:color w:val="808080"/>
    </w:rPr>
  </w:style>
  <w:style w:type="paragraph" w:customStyle="1" w:styleId="MyAStyle">
    <w:name w:val="MyAStyle"/>
    <w:basedOn w:val="Normal"/>
    <w:link w:val="MyAStyleChar"/>
    <w:qFormat/>
    <w:rsid w:val="00A076B0"/>
    <w:pPr>
      <w:spacing w:before="120" w:after="120"/>
      <w:ind w:left="1134" w:hanging="425"/>
      <w:jc w:val="both"/>
    </w:pPr>
    <w:rPr>
      <w:rFonts w:ascii="Times New Roman" w:hAnsi="Times New Roman"/>
      <w:noProof/>
      <w:color w:val="000000"/>
      <w:sz w:val="24"/>
      <w:lang w:eastAsia="en-US"/>
    </w:rPr>
  </w:style>
  <w:style w:type="paragraph" w:customStyle="1" w:styleId="MyStyleII">
    <w:name w:val="MyStyleII"/>
    <w:basedOn w:val="MyAStyle"/>
    <w:link w:val="MyStyleIIChar"/>
    <w:qFormat/>
    <w:rsid w:val="00A076B0"/>
    <w:pPr>
      <w:ind w:left="1985" w:hanging="284"/>
    </w:pPr>
  </w:style>
  <w:style w:type="paragraph" w:styleId="Revision">
    <w:name w:val="Revision"/>
    <w:hidden/>
    <w:uiPriority w:val="99"/>
    <w:semiHidden/>
    <w:rsid w:val="00D821E8"/>
    <w:rPr>
      <w:rFonts w:ascii="Georgia" w:hAnsi="Georgia"/>
      <w:sz w:val="22"/>
      <w:szCs w:val="24"/>
      <w:lang w:eastAsia="de-DE"/>
    </w:rPr>
  </w:style>
  <w:style w:type="character" w:customStyle="1" w:styleId="MyAStyleChar">
    <w:name w:val="MyAStyle Char"/>
    <w:link w:val="MyAStyle"/>
    <w:rsid w:val="004D1D07"/>
    <w:rPr>
      <w:noProof/>
      <w:color w:val="000000"/>
      <w:sz w:val="24"/>
      <w:szCs w:val="24"/>
      <w:lang w:eastAsia="en-US"/>
    </w:rPr>
  </w:style>
  <w:style w:type="paragraph" w:styleId="DocumentMap">
    <w:name w:val="Document Map"/>
    <w:basedOn w:val="Normal"/>
    <w:link w:val="DocumentMapChar"/>
    <w:uiPriority w:val="99"/>
    <w:rsid w:val="00D77242"/>
    <w:rPr>
      <w:rFonts w:ascii="Lucida Grande" w:hAnsi="Lucida Grande" w:cs="Lucida Grande"/>
      <w:sz w:val="24"/>
    </w:rPr>
  </w:style>
  <w:style w:type="character" w:customStyle="1" w:styleId="DocumentMapChar">
    <w:name w:val="Document Map Char"/>
    <w:basedOn w:val="DefaultParagraphFont"/>
    <w:link w:val="DocumentMap"/>
    <w:uiPriority w:val="99"/>
    <w:rsid w:val="00D77242"/>
    <w:rPr>
      <w:rFonts w:ascii="Lucida Grande" w:hAnsi="Lucida Grande" w:cs="Lucida Grande"/>
      <w:sz w:val="24"/>
      <w:szCs w:val="24"/>
      <w:lang w:eastAsia="de-DE"/>
    </w:rPr>
  </w:style>
  <w:style w:type="paragraph" w:customStyle="1" w:styleId="ANNEX">
    <w:name w:val="ANNEX"/>
    <w:basedOn w:val="Caption"/>
    <w:link w:val="ANNEXChar"/>
    <w:qFormat/>
    <w:rsid w:val="00E94E78"/>
    <w:pPr>
      <w:jc w:val="left"/>
    </w:pPr>
    <w:rPr>
      <w:sz w:val="28"/>
    </w:rPr>
  </w:style>
  <w:style w:type="character" w:customStyle="1" w:styleId="CaptionChar">
    <w:name w:val="Caption Char"/>
    <w:basedOn w:val="DefaultParagraphFont"/>
    <w:link w:val="Caption"/>
    <w:rsid w:val="00E94E78"/>
    <w:rPr>
      <w:rFonts w:ascii="Georgia" w:hAnsi="Georgia"/>
      <w:b/>
      <w:bCs/>
      <w:sz w:val="18"/>
      <w:szCs w:val="18"/>
      <w:lang w:eastAsia="de-DE"/>
    </w:rPr>
  </w:style>
  <w:style w:type="character" w:customStyle="1" w:styleId="ANNEXChar">
    <w:name w:val="ANNEX Char"/>
    <w:basedOn w:val="CaptionChar"/>
    <w:link w:val="ANNEX"/>
    <w:rsid w:val="00E94E78"/>
    <w:rPr>
      <w:rFonts w:ascii="Georgia" w:hAnsi="Georgia"/>
      <w:b/>
      <w:bCs/>
      <w:sz w:val="28"/>
      <w:szCs w:val="18"/>
      <w:lang w:eastAsia="de-DE"/>
    </w:rPr>
  </w:style>
  <w:style w:type="paragraph" w:customStyle="1" w:styleId="MyBullet1">
    <w:name w:val="MyBullet"/>
    <w:basedOn w:val="ListParagraph"/>
    <w:link w:val="MyBulletChar0"/>
    <w:qFormat/>
    <w:rsid w:val="000D6BCE"/>
    <w:pPr>
      <w:numPr>
        <w:numId w:val="22"/>
      </w:numPr>
      <w:spacing w:before="240" w:line="276" w:lineRule="auto"/>
      <w:ind w:left="1134" w:hanging="425"/>
      <w:jc w:val="both"/>
    </w:pPr>
  </w:style>
  <w:style w:type="character" w:customStyle="1" w:styleId="MyBulletChar0">
    <w:name w:val="MyBullet Char"/>
    <w:basedOn w:val="ListParagraphChar"/>
    <w:link w:val="MyBullet1"/>
    <w:rsid w:val="000D6BCE"/>
    <w:rPr>
      <w:rFonts w:ascii="Georgia" w:hAnsi="Georgia"/>
      <w:sz w:val="22"/>
      <w:szCs w:val="24"/>
      <w:lang w:eastAsia="de-DE"/>
    </w:rPr>
  </w:style>
  <w:style w:type="paragraph" w:customStyle="1" w:styleId="myBullet2">
    <w:name w:val="myBullet"/>
    <w:basedOn w:val="ListParagraph"/>
    <w:link w:val="myBulletChar1"/>
    <w:qFormat/>
    <w:rsid w:val="000D6BCE"/>
    <w:pPr>
      <w:numPr>
        <w:numId w:val="23"/>
      </w:numPr>
      <w:spacing w:line="276" w:lineRule="auto"/>
    </w:pPr>
  </w:style>
  <w:style w:type="character" w:customStyle="1" w:styleId="myBulletChar1">
    <w:name w:val="myBullet Char"/>
    <w:basedOn w:val="ListParagraphChar"/>
    <w:link w:val="myBullet2"/>
    <w:rsid w:val="000D6BCE"/>
    <w:rPr>
      <w:rFonts w:ascii="Georgia" w:hAnsi="Georgia"/>
      <w:sz w:val="22"/>
      <w:szCs w:val="24"/>
      <w:lang w:eastAsia="de-DE"/>
    </w:rPr>
  </w:style>
  <w:style w:type="paragraph" w:customStyle="1" w:styleId="myMINItable">
    <w:name w:val="my MINI table"/>
    <w:basedOn w:val="MyNormal"/>
    <w:link w:val="myMINItableChar"/>
    <w:qFormat/>
    <w:rsid w:val="008241A9"/>
    <w:pPr>
      <w:numPr>
        <w:numId w:val="0"/>
      </w:numPr>
      <w:spacing w:before="120" w:after="120"/>
      <w:ind w:left="113"/>
    </w:pPr>
    <w:rPr>
      <w:sz w:val="18"/>
      <w:szCs w:val="18"/>
    </w:rPr>
  </w:style>
  <w:style w:type="character" w:customStyle="1" w:styleId="myMINItableChar">
    <w:name w:val="my MINI table Char"/>
    <w:link w:val="myMINItable"/>
    <w:rsid w:val="008241A9"/>
    <w:rPr>
      <w:rFonts w:ascii="Georgia" w:hAnsi="Georgia"/>
      <w:sz w:val="18"/>
      <w:szCs w:val="18"/>
      <w:lang w:eastAsia="de-DE"/>
    </w:rPr>
  </w:style>
  <w:style w:type="paragraph" w:customStyle="1" w:styleId="TOCHeading1">
    <w:name w:val="TOC Heading1"/>
    <w:basedOn w:val="Normal"/>
    <w:next w:val="Normal"/>
    <w:qFormat/>
    <w:rsid w:val="004E0BAC"/>
    <w:pPr>
      <w:spacing w:before="120" w:after="240"/>
      <w:jc w:val="center"/>
    </w:pPr>
    <w:rPr>
      <w:rFonts w:ascii="Times New Roman" w:hAnsi="Times New Roman"/>
      <w:b/>
      <w:sz w:val="28"/>
      <w:lang w:eastAsia="en-US"/>
    </w:rPr>
  </w:style>
  <w:style w:type="paragraph" w:customStyle="1" w:styleId="Datedadoption">
    <w:name w:val="Date d'adoption"/>
    <w:basedOn w:val="Normal"/>
    <w:next w:val="Titreobjet"/>
    <w:rsid w:val="004E0BAC"/>
    <w:pPr>
      <w:spacing w:before="360"/>
      <w:jc w:val="center"/>
    </w:pPr>
    <w:rPr>
      <w:rFonts w:ascii="Times New Roman" w:hAnsi="Times New Roman"/>
      <w:b/>
      <w:sz w:val="24"/>
      <w:lang w:eastAsia="en-US"/>
    </w:rPr>
  </w:style>
  <w:style w:type="paragraph" w:customStyle="1" w:styleId="Titreobjet">
    <w:name w:val="Titre objet"/>
    <w:basedOn w:val="Normal"/>
    <w:next w:val="Normal"/>
    <w:rsid w:val="004E0BAC"/>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4E0BAC"/>
    <w:pPr>
      <w:spacing w:before="360"/>
      <w:jc w:val="center"/>
    </w:pPr>
    <w:rPr>
      <w:rFonts w:ascii="Times New Roman" w:hAnsi="Times New Roman"/>
      <w:b/>
      <w:sz w:val="24"/>
      <w:lang w:eastAsia="en-US"/>
    </w:rPr>
  </w:style>
  <w:style w:type="paragraph" w:customStyle="1" w:styleId="Recital">
    <w:name w:val="Recital"/>
    <w:basedOn w:val="Style2"/>
    <w:link w:val="RecitalChar"/>
    <w:qFormat/>
    <w:rsid w:val="00435A3F"/>
  </w:style>
  <w:style w:type="paragraph" w:customStyle="1" w:styleId="Recital1">
    <w:name w:val="Recital 1"/>
    <w:basedOn w:val="Recital"/>
    <w:link w:val="Recital1Char"/>
    <w:qFormat/>
    <w:rsid w:val="00435A3F"/>
    <w:pPr>
      <w:numPr>
        <w:numId w:val="30"/>
      </w:numPr>
      <w:ind w:hanging="720"/>
    </w:pPr>
    <w:rPr>
      <w:rFonts w:ascii="Times New Roman" w:hAnsi="Times New Roman"/>
      <w:sz w:val="24"/>
    </w:rPr>
  </w:style>
  <w:style w:type="character" w:customStyle="1" w:styleId="RecitalChar">
    <w:name w:val="Recital Char"/>
    <w:basedOn w:val="Style2Char"/>
    <w:link w:val="Recital"/>
    <w:rsid w:val="00435A3F"/>
    <w:rPr>
      <w:rFonts w:ascii="Georgia" w:hAnsi="Georgia"/>
      <w:szCs w:val="24"/>
      <w:lang w:eastAsia="de-DE"/>
    </w:rPr>
  </w:style>
  <w:style w:type="paragraph" w:customStyle="1" w:styleId="Formuledadoption">
    <w:name w:val="Formule d'adoption"/>
    <w:basedOn w:val="Normal"/>
    <w:next w:val="Normal"/>
    <w:rsid w:val="006808FD"/>
    <w:pPr>
      <w:keepNext/>
      <w:spacing w:before="120" w:after="120"/>
      <w:jc w:val="both"/>
    </w:pPr>
    <w:rPr>
      <w:rFonts w:ascii="Times New Roman" w:hAnsi="Times New Roman"/>
      <w:sz w:val="24"/>
      <w:lang w:eastAsia="en-US"/>
    </w:rPr>
  </w:style>
  <w:style w:type="character" w:customStyle="1" w:styleId="Recital1Char">
    <w:name w:val="Recital 1 Char"/>
    <w:basedOn w:val="RecitalChar"/>
    <w:link w:val="Recital1"/>
    <w:rsid w:val="00435A3F"/>
    <w:rPr>
      <w:rFonts w:ascii="Georgia" w:hAnsi="Georgia"/>
      <w:sz w:val="24"/>
      <w:szCs w:val="24"/>
      <w:lang w:eastAsia="de-DE"/>
    </w:rPr>
  </w:style>
  <w:style w:type="paragraph" w:customStyle="1" w:styleId="DatedadoptionPagedecouverture">
    <w:name w:val="Date d'adoption (Page de couverture)"/>
    <w:basedOn w:val="Datedadoption"/>
    <w:next w:val="Normal"/>
    <w:rsid w:val="006808FD"/>
  </w:style>
  <w:style w:type="character" w:styleId="Emphasis">
    <w:name w:val="Emphasis"/>
    <w:basedOn w:val="DefaultParagraphFont"/>
    <w:qFormat/>
    <w:rsid w:val="006808FD"/>
    <w:rPr>
      <w:i/>
      <w:iCs/>
    </w:rPr>
  </w:style>
  <w:style w:type="character" w:customStyle="1" w:styleId="MyStyleIIChar">
    <w:name w:val="MyStyleII Char"/>
    <w:link w:val="MyStyleII"/>
    <w:rsid w:val="00126153"/>
    <w:rPr>
      <w:noProof/>
      <w:color w:val="000000"/>
      <w:sz w:val="24"/>
      <w:szCs w:val="24"/>
      <w:lang w:eastAsia="en-US"/>
    </w:rPr>
  </w:style>
  <w:style w:type="paragraph" w:customStyle="1" w:styleId="ManualNumPar3">
    <w:name w:val="Manual NumPar 3"/>
    <w:basedOn w:val="Normal"/>
    <w:next w:val="Normal"/>
    <w:rsid w:val="00B75E82"/>
    <w:pPr>
      <w:spacing w:before="120" w:after="120"/>
      <w:ind w:left="850" w:hanging="850"/>
      <w:jc w:val="both"/>
    </w:pPr>
    <w:rPr>
      <w:rFonts w:ascii="Times New Roman" w:hAnsi="Times New Roman"/>
      <w:sz w:val="24"/>
      <w:lang w:eastAsia="en-US"/>
    </w:rPr>
  </w:style>
  <w:style w:type="paragraph" w:customStyle="1" w:styleId="Institutionquisigne">
    <w:name w:val="Institution qui signe"/>
    <w:basedOn w:val="Normal"/>
    <w:next w:val="Personnequisigne"/>
    <w:rsid w:val="00715557"/>
    <w:pPr>
      <w:keepNext/>
      <w:tabs>
        <w:tab w:val="left" w:pos="4252"/>
      </w:tabs>
      <w:spacing w:before="720"/>
      <w:jc w:val="both"/>
    </w:pPr>
    <w:rPr>
      <w:rFonts w:ascii="Times New Roman" w:hAnsi="Times New Roman"/>
      <w:i/>
      <w:sz w:val="24"/>
      <w:lang w:eastAsia="en-US"/>
    </w:rPr>
  </w:style>
  <w:style w:type="paragraph" w:customStyle="1" w:styleId="Personnequisigne">
    <w:name w:val="Personne qui signe"/>
    <w:basedOn w:val="Normal"/>
    <w:next w:val="Institutionquisigne"/>
    <w:rsid w:val="00715557"/>
    <w:pPr>
      <w:tabs>
        <w:tab w:val="left" w:pos="4252"/>
      </w:tabs>
    </w:pPr>
    <w:rPr>
      <w:rFonts w:ascii="Times New Roman" w:hAnsi="Times New Roman"/>
      <w:i/>
      <w:sz w:val="24"/>
      <w:lang w:eastAsia="en-US"/>
    </w:rPr>
  </w:style>
  <w:style w:type="paragraph" w:customStyle="1" w:styleId="05aHeadline2">
    <w:name w:val="05a_Headline 2"/>
    <w:basedOn w:val="05Headline1"/>
    <w:next w:val="04BodyText"/>
    <w:rsid w:val="00EE5C4E"/>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EE5C4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EE5C4E"/>
    <w:pPr>
      <w:pBdr>
        <w:bottom w:val="single" w:sz="4" w:space="12" w:color="283583"/>
      </w:pBdr>
    </w:pPr>
    <w:rPr>
      <w:color w:val="2D4190"/>
    </w:rPr>
  </w:style>
  <w:style w:type="paragraph" w:customStyle="1" w:styleId="04cBodytextleft">
    <w:name w:val="04c_Body text left"/>
    <w:basedOn w:val="04BodyText"/>
    <w:rsid w:val="00EE5C4E"/>
    <w:pPr>
      <w:spacing w:after="0"/>
      <w:jc w:val="left"/>
    </w:pPr>
  </w:style>
  <w:style w:type="paragraph" w:customStyle="1" w:styleId="Style04RunningTextBold">
    <w:name w:val="Style 04_Running Text + Bold"/>
    <w:basedOn w:val="04BodyText"/>
    <w:rsid w:val="00EE5C4E"/>
    <w:pPr>
      <w:keepNext/>
    </w:pPr>
    <w:rPr>
      <w:b/>
      <w:bCs/>
    </w:rPr>
  </w:style>
  <w:style w:type="character" w:customStyle="1" w:styleId="Heading1Char">
    <w:name w:val="Heading 1 Char"/>
    <w:link w:val="Heading1"/>
    <w:uiPriority w:val="9"/>
    <w:rsid w:val="00EE5C4E"/>
    <w:rPr>
      <w:rFonts w:ascii="Georgia" w:hAnsi="Georgia"/>
      <w:b/>
      <w:szCs w:val="24"/>
      <w:lang w:eastAsia="de-DE"/>
    </w:rPr>
  </w:style>
  <w:style w:type="paragraph" w:styleId="TOCHeading">
    <w:name w:val="TOC Heading"/>
    <w:basedOn w:val="Heading1"/>
    <w:next w:val="Normal"/>
    <w:uiPriority w:val="39"/>
    <w:semiHidden/>
    <w:unhideWhenUsed/>
    <w:qFormat/>
    <w:rsid w:val="00EE5C4E"/>
    <w:pPr>
      <w:keepLines/>
      <w:tabs>
        <w:tab w:val="clear" w:pos="284"/>
        <w:tab w:val="clear" w:pos="397"/>
      </w:tabs>
      <w:spacing w:before="480" w:after="0" w:line="276" w:lineRule="auto"/>
      <w:ind w:left="432"/>
      <w:jc w:val="left"/>
      <w:outlineLvl w:val="9"/>
    </w:pPr>
    <w:rPr>
      <w:rFonts w:ascii="Cambria" w:hAnsi="Cambria"/>
      <w:bCs/>
      <w:color w:val="365F91"/>
      <w:sz w:val="28"/>
      <w:szCs w:val="28"/>
      <w:lang w:val="pl-PL" w:eastAsia="en-US"/>
    </w:rPr>
  </w:style>
  <w:style w:type="character" w:customStyle="1" w:styleId="HeaderChar">
    <w:name w:val="Header Char"/>
    <w:link w:val="Header"/>
    <w:rsid w:val="00EE5C4E"/>
    <w:rPr>
      <w:rFonts w:ascii="Georgia" w:hAnsi="Georgia"/>
      <w:sz w:val="22"/>
      <w:szCs w:val="24"/>
      <w:lang w:eastAsia="de-DE"/>
    </w:rPr>
  </w:style>
  <w:style w:type="character" w:customStyle="1" w:styleId="FooterChar">
    <w:name w:val="Footer Char"/>
    <w:link w:val="Footer"/>
    <w:uiPriority w:val="99"/>
    <w:rsid w:val="00EE5C4E"/>
    <w:rPr>
      <w:rFonts w:ascii="Georgia" w:hAnsi="Georgia"/>
      <w:sz w:val="22"/>
      <w:szCs w:val="24"/>
      <w:lang w:eastAsia="de-DE"/>
    </w:rPr>
  </w:style>
  <w:style w:type="character" w:customStyle="1" w:styleId="Heading2Char">
    <w:name w:val="Heading 2 Char"/>
    <w:link w:val="Heading2"/>
    <w:uiPriority w:val="9"/>
    <w:rsid w:val="00EE5C4E"/>
    <w:rPr>
      <w:rFonts w:ascii="Georgia" w:hAnsi="Georgia"/>
      <w:b/>
      <w:szCs w:val="24"/>
      <w:lang w:eastAsia="de-DE"/>
    </w:rPr>
  </w:style>
  <w:style w:type="table" w:styleId="LightGrid-Accent1">
    <w:name w:val="Light Grid Accent 1"/>
    <w:basedOn w:val="TableNormal"/>
    <w:uiPriority w:val="62"/>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EE5C4E"/>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E5C4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text">
    <w:name w:val="bodytext"/>
    <w:basedOn w:val="Normal"/>
    <w:rsid w:val="00EE5C4E"/>
    <w:pPr>
      <w:spacing w:after="120" w:line="420" w:lineRule="atLeast"/>
    </w:pPr>
    <w:rPr>
      <w:rFonts w:ascii="Times New Roman" w:hAnsi="Times New Roman"/>
      <w:sz w:val="24"/>
      <w:lang w:eastAsia="en-GB"/>
    </w:rPr>
  </w:style>
  <w:style w:type="paragraph" w:customStyle="1" w:styleId="MyUnderline">
    <w:name w:val="MyUnderline"/>
    <w:basedOn w:val="Normal"/>
    <w:link w:val="MyUnderlineChar"/>
    <w:qFormat/>
    <w:rsid w:val="00EE5C4E"/>
    <w:pPr>
      <w:spacing w:before="240" w:after="240"/>
      <w:jc w:val="both"/>
    </w:pPr>
    <w:rPr>
      <w:b/>
      <w:szCs w:val="20"/>
      <w:u w:val="single"/>
    </w:rPr>
  </w:style>
  <w:style w:type="character" w:customStyle="1" w:styleId="MyUnderlineChar">
    <w:name w:val="MyUnderline Char"/>
    <w:basedOn w:val="DefaultParagraphFont"/>
    <w:link w:val="MyUnderline"/>
    <w:rsid w:val="00EE5C4E"/>
    <w:rPr>
      <w:rFonts w:ascii="Georgia" w:hAnsi="Georgia"/>
      <w:b/>
      <w:u w:val="single"/>
      <w:lang w:eastAsia="de-DE"/>
    </w:rPr>
  </w:style>
  <w:style w:type="paragraph" w:customStyle="1" w:styleId="Questions">
    <w:name w:val="Questions"/>
    <w:basedOn w:val="Caption"/>
    <w:link w:val="QuestionsChar"/>
    <w:qFormat/>
    <w:rsid w:val="005750B3"/>
    <w:pPr>
      <w:jc w:val="both"/>
    </w:pPr>
  </w:style>
  <w:style w:type="character" w:customStyle="1" w:styleId="QuestionsChar">
    <w:name w:val="Questions Char"/>
    <w:basedOn w:val="CaptionChar"/>
    <w:link w:val="Questions"/>
    <w:rsid w:val="005750B3"/>
    <w:rPr>
      <w:rFonts w:ascii="Georgia" w:hAnsi="Georgia"/>
      <w:b/>
      <w:bCs/>
      <w:sz w:val="18"/>
      <w:szCs w:val="18"/>
      <w:lang w:eastAsia="de-DE"/>
    </w:rPr>
  </w:style>
  <w:style w:type="paragraph" w:styleId="NormalWeb">
    <w:name w:val="Normal (Web)"/>
    <w:basedOn w:val="Normal"/>
    <w:uiPriority w:val="99"/>
    <w:unhideWhenUsed/>
    <w:rsid w:val="009E685C"/>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5159">
      <w:bodyDiv w:val="1"/>
      <w:marLeft w:val="0"/>
      <w:marRight w:val="0"/>
      <w:marTop w:val="0"/>
      <w:marBottom w:val="0"/>
      <w:divBdr>
        <w:top w:val="none" w:sz="0" w:space="0" w:color="auto"/>
        <w:left w:val="none" w:sz="0" w:space="0" w:color="auto"/>
        <w:bottom w:val="none" w:sz="0" w:space="0" w:color="auto"/>
        <w:right w:val="none" w:sz="0" w:space="0" w:color="auto"/>
      </w:divBdr>
    </w:div>
    <w:div w:id="30494419">
      <w:bodyDiv w:val="1"/>
      <w:marLeft w:val="0"/>
      <w:marRight w:val="0"/>
      <w:marTop w:val="0"/>
      <w:marBottom w:val="0"/>
      <w:divBdr>
        <w:top w:val="none" w:sz="0" w:space="0" w:color="auto"/>
        <w:left w:val="none" w:sz="0" w:space="0" w:color="auto"/>
        <w:bottom w:val="none" w:sz="0" w:space="0" w:color="auto"/>
        <w:right w:val="none" w:sz="0" w:space="0" w:color="auto"/>
      </w:divBdr>
    </w:div>
    <w:div w:id="50467441">
      <w:bodyDiv w:val="1"/>
      <w:marLeft w:val="0"/>
      <w:marRight w:val="0"/>
      <w:marTop w:val="0"/>
      <w:marBottom w:val="0"/>
      <w:divBdr>
        <w:top w:val="none" w:sz="0" w:space="0" w:color="auto"/>
        <w:left w:val="none" w:sz="0" w:space="0" w:color="auto"/>
        <w:bottom w:val="none" w:sz="0" w:space="0" w:color="auto"/>
        <w:right w:val="none" w:sz="0" w:space="0" w:color="auto"/>
      </w:divBdr>
    </w:div>
    <w:div w:id="322707649">
      <w:bodyDiv w:val="1"/>
      <w:marLeft w:val="0"/>
      <w:marRight w:val="0"/>
      <w:marTop w:val="0"/>
      <w:marBottom w:val="0"/>
      <w:divBdr>
        <w:top w:val="none" w:sz="0" w:space="0" w:color="auto"/>
        <w:left w:val="none" w:sz="0" w:space="0" w:color="auto"/>
        <w:bottom w:val="none" w:sz="0" w:space="0" w:color="auto"/>
        <w:right w:val="none" w:sz="0" w:space="0" w:color="auto"/>
      </w:divBdr>
    </w:div>
    <w:div w:id="355544930">
      <w:bodyDiv w:val="1"/>
      <w:marLeft w:val="0"/>
      <w:marRight w:val="0"/>
      <w:marTop w:val="0"/>
      <w:marBottom w:val="0"/>
      <w:divBdr>
        <w:top w:val="none" w:sz="0" w:space="0" w:color="auto"/>
        <w:left w:val="none" w:sz="0" w:space="0" w:color="auto"/>
        <w:bottom w:val="none" w:sz="0" w:space="0" w:color="auto"/>
        <w:right w:val="none" w:sz="0" w:space="0" w:color="auto"/>
      </w:divBdr>
    </w:div>
    <w:div w:id="460459230">
      <w:bodyDiv w:val="1"/>
      <w:marLeft w:val="0"/>
      <w:marRight w:val="0"/>
      <w:marTop w:val="0"/>
      <w:marBottom w:val="0"/>
      <w:divBdr>
        <w:top w:val="none" w:sz="0" w:space="0" w:color="auto"/>
        <w:left w:val="none" w:sz="0" w:space="0" w:color="auto"/>
        <w:bottom w:val="none" w:sz="0" w:space="0" w:color="auto"/>
        <w:right w:val="none" w:sz="0" w:space="0" w:color="auto"/>
      </w:divBdr>
    </w:div>
    <w:div w:id="958608826">
      <w:bodyDiv w:val="1"/>
      <w:marLeft w:val="0"/>
      <w:marRight w:val="0"/>
      <w:marTop w:val="0"/>
      <w:marBottom w:val="0"/>
      <w:divBdr>
        <w:top w:val="none" w:sz="0" w:space="0" w:color="auto"/>
        <w:left w:val="none" w:sz="0" w:space="0" w:color="auto"/>
        <w:bottom w:val="none" w:sz="0" w:space="0" w:color="auto"/>
        <w:right w:val="none" w:sz="0" w:space="0" w:color="auto"/>
      </w:divBdr>
    </w:div>
    <w:div w:id="959147217">
      <w:bodyDiv w:val="1"/>
      <w:marLeft w:val="0"/>
      <w:marRight w:val="0"/>
      <w:marTop w:val="0"/>
      <w:marBottom w:val="0"/>
      <w:divBdr>
        <w:top w:val="none" w:sz="0" w:space="0" w:color="auto"/>
        <w:left w:val="none" w:sz="0" w:space="0" w:color="auto"/>
        <w:bottom w:val="none" w:sz="0" w:space="0" w:color="auto"/>
        <w:right w:val="none" w:sz="0" w:space="0" w:color="auto"/>
      </w:divBdr>
    </w:div>
    <w:div w:id="1032726713">
      <w:bodyDiv w:val="1"/>
      <w:marLeft w:val="0"/>
      <w:marRight w:val="0"/>
      <w:marTop w:val="0"/>
      <w:marBottom w:val="0"/>
      <w:divBdr>
        <w:top w:val="none" w:sz="0" w:space="0" w:color="auto"/>
        <w:left w:val="none" w:sz="0" w:space="0" w:color="auto"/>
        <w:bottom w:val="none" w:sz="0" w:space="0" w:color="auto"/>
        <w:right w:val="none" w:sz="0" w:space="0" w:color="auto"/>
      </w:divBdr>
    </w:div>
    <w:div w:id="1059206368">
      <w:bodyDiv w:val="1"/>
      <w:marLeft w:val="0"/>
      <w:marRight w:val="0"/>
      <w:marTop w:val="0"/>
      <w:marBottom w:val="0"/>
      <w:divBdr>
        <w:top w:val="none" w:sz="0" w:space="0" w:color="auto"/>
        <w:left w:val="none" w:sz="0" w:space="0" w:color="auto"/>
        <w:bottom w:val="none" w:sz="0" w:space="0" w:color="auto"/>
        <w:right w:val="none" w:sz="0" w:space="0" w:color="auto"/>
      </w:divBdr>
    </w:div>
    <w:div w:id="1143542853">
      <w:bodyDiv w:val="1"/>
      <w:marLeft w:val="0"/>
      <w:marRight w:val="0"/>
      <w:marTop w:val="0"/>
      <w:marBottom w:val="0"/>
      <w:divBdr>
        <w:top w:val="none" w:sz="0" w:space="0" w:color="auto"/>
        <w:left w:val="none" w:sz="0" w:space="0" w:color="auto"/>
        <w:bottom w:val="none" w:sz="0" w:space="0" w:color="auto"/>
        <w:right w:val="none" w:sz="0" w:space="0" w:color="auto"/>
      </w:divBdr>
    </w:div>
    <w:div w:id="1187141380">
      <w:bodyDiv w:val="1"/>
      <w:marLeft w:val="0"/>
      <w:marRight w:val="0"/>
      <w:marTop w:val="0"/>
      <w:marBottom w:val="0"/>
      <w:divBdr>
        <w:top w:val="none" w:sz="0" w:space="0" w:color="auto"/>
        <w:left w:val="none" w:sz="0" w:space="0" w:color="auto"/>
        <w:bottom w:val="none" w:sz="0" w:space="0" w:color="auto"/>
        <w:right w:val="none" w:sz="0" w:space="0" w:color="auto"/>
      </w:divBdr>
    </w:div>
    <w:div w:id="1227686941">
      <w:bodyDiv w:val="1"/>
      <w:marLeft w:val="0"/>
      <w:marRight w:val="0"/>
      <w:marTop w:val="0"/>
      <w:marBottom w:val="0"/>
      <w:divBdr>
        <w:top w:val="none" w:sz="0" w:space="0" w:color="auto"/>
        <w:left w:val="none" w:sz="0" w:space="0" w:color="auto"/>
        <w:bottom w:val="none" w:sz="0" w:space="0" w:color="auto"/>
        <w:right w:val="none" w:sz="0" w:space="0" w:color="auto"/>
      </w:divBdr>
    </w:div>
    <w:div w:id="1238327554">
      <w:bodyDiv w:val="1"/>
      <w:marLeft w:val="0"/>
      <w:marRight w:val="0"/>
      <w:marTop w:val="0"/>
      <w:marBottom w:val="0"/>
      <w:divBdr>
        <w:top w:val="none" w:sz="0" w:space="0" w:color="auto"/>
        <w:left w:val="none" w:sz="0" w:space="0" w:color="auto"/>
        <w:bottom w:val="none" w:sz="0" w:space="0" w:color="auto"/>
        <w:right w:val="none" w:sz="0" w:space="0" w:color="auto"/>
      </w:divBdr>
      <w:divsChild>
        <w:div w:id="2040622582">
          <w:marLeft w:val="0"/>
          <w:marRight w:val="0"/>
          <w:marTop w:val="0"/>
          <w:marBottom w:val="0"/>
          <w:divBdr>
            <w:top w:val="none" w:sz="0" w:space="0" w:color="auto"/>
            <w:left w:val="none" w:sz="0" w:space="0" w:color="auto"/>
            <w:bottom w:val="none" w:sz="0" w:space="0" w:color="auto"/>
            <w:right w:val="none" w:sz="0" w:space="0" w:color="auto"/>
          </w:divBdr>
        </w:div>
        <w:div w:id="248082178">
          <w:marLeft w:val="0"/>
          <w:marRight w:val="0"/>
          <w:marTop w:val="0"/>
          <w:marBottom w:val="0"/>
          <w:divBdr>
            <w:top w:val="none" w:sz="0" w:space="0" w:color="auto"/>
            <w:left w:val="none" w:sz="0" w:space="0" w:color="auto"/>
            <w:bottom w:val="none" w:sz="0" w:space="0" w:color="auto"/>
            <w:right w:val="none" w:sz="0" w:space="0" w:color="auto"/>
          </w:divBdr>
        </w:div>
        <w:div w:id="1013218456">
          <w:marLeft w:val="0"/>
          <w:marRight w:val="0"/>
          <w:marTop w:val="0"/>
          <w:marBottom w:val="0"/>
          <w:divBdr>
            <w:top w:val="none" w:sz="0" w:space="0" w:color="auto"/>
            <w:left w:val="none" w:sz="0" w:space="0" w:color="auto"/>
            <w:bottom w:val="none" w:sz="0" w:space="0" w:color="auto"/>
            <w:right w:val="none" w:sz="0" w:space="0" w:color="auto"/>
          </w:divBdr>
        </w:div>
        <w:div w:id="2022390621">
          <w:marLeft w:val="0"/>
          <w:marRight w:val="0"/>
          <w:marTop w:val="0"/>
          <w:marBottom w:val="0"/>
          <w:divBdr>
            <w:top w:val="none" w:sz="0" w:space="0" w:color="auto"/>
            <w:left w:val="none" w:sz="0" w:space="0" w:color="auto"/>
            <w:bottom w:val="none" w:sz="0" w:space="0" w:color="auto"/>
            <w:right w:val="none" w:sz="0" w:space="0" w:color="auto"/>
          </w:divBdr>
        </w:div>
        <w:div w:id="2069450515">
          <w:marLeft w:val="0"/>
          <w:marRight w:val="0"/>
          <w:marTop w:val="0"/>
          <w:marBottom w:val="0"/>
          <w:divBdr>
            <w:top w:val="none" w:sz="0" w:space="0" w:color="auto"/>
            <w:left w:val="none" w:sz="0" w:space="0" w:color="auto"/>
            <w:bottom w:val="none" w:sz="0" w:space="0" w:color="auto"/>
            <w:right w:val="none" w:sz="0" w:space="0" w:color="auto"/>
          </w:divBdr>
        </w:div>
        <w:div w:id="686950062">
          <w:marLeft w:val="0"/>
          <w:marRight w:val="0"/>
          <w:marTop w:val="0"/>
          <w:marBottom w:val="0"/>
          <w:divBdr>
            <w:top w:val="none" w:sz="0" w:space="0" w:color="auto"/>
            <w:left w:val="none" w:sz="0" w:space="0" w:color="auto"/>
            <w:bottom w:val="none" w:sz="0" w:space="0" w:color="auto"/>
            <w:right w:val="none" w:sz="0" w:space="0" w:color="auto"/>
          </w:divBdr>
        </w:div>
        <w:div w:id="1501771831">
          <w:marLeft w:val="0"/>
          <w:marRight w:val="0"/>
          <w:marTop w:val="0"/>
          <w:marBottom w:val="0"/>
          <w:divBdr>
            <w:top w:val="none" w:sz="0" w:space="0" w:color="auto"/>
            <w:left w:val="none" w:sz="0" w:space="0" w:color="auto"/>
            <w:bottom w:val="none" w:sz="0" w:space="0" w:color="auto"/>
            <w:right w:val="none" w:sz="0" w:space="0" w:color="auto"/>
          </w:divBdr>
        </w:div>
        <w:div w:id="647562936">
          <w:marLeft w:val="0"/>
          <w:marRight w:val="0"/>
          <w:marTop w:val="0"/>
          <w:marBottom w:val="0"/>
          <w:divBdr>
            <w:top w:val="none" w:sz="0" w:space="0" w:color="auto"/>
            <w:left w:val="none" w:sz="0" w:space="0" w:color="auto"/>
            <w:bottom w:val="none" w:sz="0" w:space="0" w:color="auto"/>
            <w:right w:val="none" w:sz="0" w:space="0" w:color="auto"/>
          </w:divBdr>
        </w:div>
        <w:div w:id="951521817">
          <w:marLeft w:val="0"/>
          <w:marRight w:val="0"/>
          <w:marTop w:val="0"/>
          <w:marBottom w:val="0"/>
          <w:divBdr>
            <w:top w:val="none" w:sz="0" w:space="0" w:color="auto"/>
            <w:left w:val="none" w:sz="0" w:space="0" w:color="auto"/>
            <w:bottom w:val="none" w:sz="0" w:space="0" w:color="auto"/>
            <w:right w:val="none" w:sz="0" w:space="0" w:color="auto"/>
          </w:divBdr>
        </w:div>
        <w:div w:id="1616600407">
          <w:marLeft w:val="0"/>
          <w:marRight w:val="0"/>
          <w:marTop w:val="0"/>
          <w:marBottom w:val="0"/>
          <w:divBdr>
            <w:top w:val="none" w:sz="0" w:space="0" w:color="auto"/>
            <w:left w:val="none" w:sz="0" w:space="0" w:color="auto"/>
            <w:bottom w:val="none" w:sz="0" w:space="0" w:color="auto"/>
            <w:right w:val="none" w:sz="0" w:space="0" w:color="auto"/>
          </w:divBdr>
        </w:div>
        <w:div w:id="1714571584">
          <w:marLeft w:val="0"/>
          <w:marRight w:val="0"/>
          <w:marTop w:val="0"/>
          <w:marBottom w:val="0"/>
          <w:divBdr>
            <w:top w:val="none" w:sz="0" w:space="0" w:color="auto"/>
            <w:left w:val="none" w:sz="0" w:space="0" w:color="auto"/>
            <w:bottom w:val="none" w:sz="0" w:space="0" w:color="auto"/>
            <w:right w:val="none" w:sz="0" w:space="0" w:color="auto"/>
          </w:divBdr>
        </w:div>
      </w:divsChild>
    </w:div>
    <w:div w:id="1408531991">
      <w:bodyDiv w:val="1"/>
      <w:marLeft w:val="0"/>
      <w:marRight w:val="0"/>
      <w:marTop w:val="0"/>
      <w:marBottom w:val="0"/>
      <w:divBdr>
        <w:top w:val="none" w:sz="0" w:space="0" w:color="auto"/>
        <w:left w:val="none" w:sz="0" w:space="0" w:color="auto"/>
        <w:bottom w:val="none" w:sz="0" w:space="0" w:color="auto"/>
        <w:right w:val="none" w:sz="0" w:space="0" w:color="auto"/>
      </w:divBdr>
    </w:div>
    <w:div w:id="1422530114">
      <w:bodyDiv w:val="1"/>
      <w:marLeft w:val="0"/>
      <w:marRight w:val="0"/>
      <w:marTop w:val="0"/>
      <w:marBottom w:val="0"/>
      <w:divBdr>
        <w:top w:val="none" w:sz="0" w:space="0" w:color="auto"/>
        <w:left w:val="none" w:sz="0" w:space="0" w:color="auto"/>
        <w:bottom w:val="none" w:sz="0" w:space="0" w:color="auto"/>
        <w:right w:val="none" w:sz="0" w:space="0" w:color="auto"/>
      </w:divBdr>
    </w:div>
    <w:div w:id="1489665777">
      <w:bodyDiv w:val="1"/>
      <w:marLeft w:val="0"/>
      <w:marRight w:val="0"/>
      <w:marTop w:val="0"/>
      <w:marBottom w:val="0"/>
      <w:divBdr>
        <w:top w:val="none" w:sz="0" w:space="0" w:color="auto"/>
        <w:left w:val="none" w:sz="0" w:space="0" w:color="auto"/>
        <w:bottom w:val="none" w:sz="0" w:space="0" w:color="auto"/>
        <w:right w:val="none" w:sz="0" w:space="0" w:color="auto"/>
      </w:divBdr>
    </w:div>
    <w:div w:id="1612591031">
      <w:bodyDiv w:val="1"/>
      <w:marLeft w:val="0"/>
      <w:marRight w:val="0"/>
      <w:marTop w:val="0"/>
      <w:marBottom w:val="0"/>
      <w:divBdr>
        <w:top w:val="none" w:sz="0" w:space="0" w:color="auto"/>
        <w:left w:val="none" w:sz="0" w:space="0" w:color="auto"/>
        <w:bottom w:val="none" w:sz="0" w:space="0" w:color="auto"/>
        <w:right w:val="none" w:sz="0" w:space="0" w:color="auto"/>
      </w:divBdr>
    </w:div>
    <w:div w:id="1694106863">
      <w:bodyDiv w:val="1"/>
      <w:marLeft w:val="0"/>
      <w:marRight w:val="0"/>
      <w:marTop w:val="0"/>
      <w:marBottom w:val="0"/>
      <w:divBdr>
        <w:top w:val="none" w:sz="0" w:space="0" w:color="auto"/>
        <w:left w:val="none" w:sz="0" w:space="0" w:color="auto"/>
        <w:bottom w:val="none" w:sz="0" w:space="0" w:color="auto"/>
        <w:right w:val="none" w:sz="0" w:space="0" w:color="auto"/>
      </w:divBdr>
    </w:div>
    <w:div w:id="1701321273">
      <w:bodyDiv w:val="1"/>
      <w:marLeft w:val="0"/>
      <w:marRight w:val="0"/>
      <w:marTop w:val="0"/>
      <w:marBottom w:val="0"/>
      <w:divBdr>
        <w:top w:val="none" w:sz="0" w:space="0" w:color="auto"/>
        <w:left w:val="none" w:sz="0" w:space="0" w:color="auto"/>
        <w:bottom w:val="none" w:sz="0" w:space="0" w:color="auto"/>
        <w:right w:val="none" w:sz="0" w:space="0" w:color="auto"/>
      </w:divBdr>
    </w:div>
    <w:div w:id="1786384946">
      <w:bodyDiv w:val="1"/>
      <w:marLeft w:val="0"/>
      <w:marRight w:val="0"/>
      <w:marTop w:val="0"/>
      <w:marBottom w:val="0"/>
      <w:divBdr>
        <w:top w:val="none" w:sz="0" w:space="0" w:color="auto"/>
        <w:left w:val="none" w:sz="0" w:space="0" w:color="auto"/>
        <w:bottom w:val="none" w:sz="0" w:space="0" w:color="auto"/>
        <w:right w:val="none" w:sz="0" w:space="0" w:color="auto"/>
      </w:divBdr>
    </w:div>
    <w:div w:id="1961960390">
      <w:bodyDiv w:val="1"/>
      <w:marLeft w:val="0"/>
      <w:marRight w:val="0"/>
      <w:marTop w:val="0"/>
      <w:marBottom w:val="0"/>
      <w:divBdr>
        <w:top w:val="none" w:sz="0" w:space="0" w:color="auto"/>
        <w:left w:val="none" w:sz="0" w:space="0" w:color="auto"/>
        <w:bottom w:val="none" w:sz="0" w:space="0" w:color="auto"/>
        <w:right w:val="none" w:sz="0" w:space="0" w:color="auto"/>
      </w:divBdr>
    </w:div>
    <w:div w:id="2012564195">
      <w:bodyDiv w:val="1"/>
      <w:marLeft w:val="0"/>
      <w:marRight w:val="0"/>
      <w:marTop w:val="0"/>
      <w:marBottom w:val="0"/>
      <w:divBdr>
        <w:top w:val="none" w:sz="0" w:space="0" w:color="auto"/>
        <w:left w:val="none" w:sz="0" w:space="0" w:color="auto"/>
        <w:bottom w:val="none" w:sz="0" w:space="0" w:color="auto"/>
        <w:right w:val="none" w:sz="0" w:space="0" w:color="auto"/>
      </w:divBdr>
    </w:div>
    <w:div w:id="20494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fa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ma.europa.eu/system/files/2014-483_letter_to_european_commission_re_frontloading_requirement_under_emi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3\External%20documents\2013-0000%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02331CB5-FD25-45E8-8B7F-BB6FD4362B4D}"/>
      </w:docPartPr>
      <w:docPartBody>
        <w:p w:rsidR="00661608" w:rsidRDefault="000F64E6">
          <w:r w:rsidRPr="000E3791">
            <w:rPr>
              <w:rStyle w:val="PlaceholderText"/>
            </w:rPr>
            <w:t>Choose an item.</w:t>
          </w:r>
        </w:p>
      </w:docPartBody>
    </w:docPart>
    <w:docPart>
      <w:docPartPr>
        <w:name w:val="29B3C0A1C36843AB95CE1BDF313CA2A2"/>
        <w:category>
          <w:name w:val="General"/>
          <w:gallery w:val="placeholder"/>
        </w:category>
        <w:types>
          <w:type w:val="bbPlcHdr"/>
        </w:types>
        <w:behaviors>
          <w:behavior w:val="content"/>
        </w:behaviors>
        <w:guid w:val="{6BD31672-A8F4-44C9-9EE9-974F2BB379BB}"/>
      </w:docPartPr>
      <w:docPartBody>
        <w:p w:rsidR="00661608" w:rsidRDefault="000F64E6" w:rsidP="000F64E6">
          <w:pPr>
            <w:pStyle w:val="29B3C0A1C36843AB95CE1BDF313CA2A2"/>
          </w:pPr>
          <w:r w:rsidRPr="000E3791">
            <w:rPr>
              <w:rStyle w:val="PlaceholderText"/>
            </w:rPr>
            <w:t>Choose an item.</w:t>
          </w:r>
        </w:p>
      </w:docPartBody>
    </w:docPart>
    <w:docPart>
      <w:docPartPr>
        <w:name w:val="F0305A30DDBA475F87323578BE1A7B3F"/>
        <w:category>
          <w:name w:val="General"/>
          <w:gallery w:val="placeholder"/>
        </w:category>
        <w:types>
          <w:type w:val="bbPlcHdr"/>
        </w:types>
        <w:behaviors>
          <w:behavior w:val="content"/>
        </w:behaviors>
        <w:guid w:val="{8279ABAC-8030-4011-90A5-E35ABABD83C4}"/>
      </w:docPartPr>
      <w:docPartBody>
        <w:p w:rsidR="00661608" w:rsidRDefault="000F64E6" w:rsidP="000F64E6">
          <w:pPr>
            <w:pStyle w:val="F0305A30DDBA475F87323578BE1A7B3F"/>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4D"/>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E6"/>
    <w:rsid w:val="000F64E6"/>
    <w:rsid w:val="00661608"/>
    <w:rsid w:val="006F2C50"/>
    <w:rsid w:val="008D50B6"/>
    <w:rsid w:val="00BD247C"/>
    <w:rsid w:val="00CD4DC1"/>
    <w:rsid w:val="00F06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608"/>
    <w:rPr>
      <w:color w:val="808080"/>
    </w:rPr>
  </w:style>
  <w:style w:type="paragraph" w:customStyle="1" w:styleId="29B3C0A1C36843AB95CE1BDF313CA2A2">
    <w:name w:val="29B3C0A1C36843AB95CE1BDF313CA2A2"/>
    <w:rsid w:val="000F64E6"/>
  </w:style>
  <w:style w:type="paragraph" w:customStyle="1" w:styleId="F0305A30DDBA475F87323578BE1A7B3F">
    <w:name w:val="F0305A30DDBA475F87323578BE1A7B3F"/>
    <w:rsid w:val="000F64E6"/>
  </w:style>
  <w:style w:type="paragraph" w:customStyle="1" w:styleId="AF14B81484EA47B29E0A99CBEEA2E36B">
    <w:name w:val="AF14B81484EA47B29E0A99CBEEA2E36B"/>
    <w:rsid w:val="00661608"/>
  </w:style>
  <w:style w:type="paragraph" w:customStyle="1" w:styleId="C7F06E0889454C2CB09A353212013518">
    <w:name w:val="C7F06E0889454C2CB09A353212013518"/>
    <w:rsid w:val="006616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46BC8-609F-4EDB-92C4-38D8C35C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2013-0000 Report Template</Template>
  <TotalTime>133</TotalTime>
  <Pages>11</Pages>
  <Words>3329</Words>
  <Characters>18981</Characters>
  <Application>Microsoft Office Word</Application>
  <DocSecurity>8</DocSecurity>
  <Lines>158</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Oxalide</Company>
  <LinksUpToDate>false</LinksUpToDate>
  <CharactersWithSpaces>22266</CharactersWithSpaces>
  <SharedDoc>false</SharedDoc>
  <HLinks>
    <vt:vector size="12" baseType="variant">
      <vt:variant>
        <vt:i4>3932286</vt:i4>
      </vt:variant>
      <vt:variant>
        <vt:i4>17</vt:i4>
      </vt:variant>
      <vt:variant>
        <vt:i4>0</vt:i4>
      </vt:variant>
      <vt:variant>
        <vt:i4>5</vt:i4>
      </vt:variant>
      <vt:variant>
        <vt:lpwstr>http://www.esma.europa.eu/</vt:lpwstr>
      </vt:variant>
      <vt:variant>
        <vt:lpwstr/>
      </vt:variant>
      <vt:variant>
        <vt:i4>3932286</vt:i4>
      </vt:variant>
      <vt:variant>
        <vt:i4>14</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Chloe</dc:creator>
  <cp:lastModifiedBy>Vincent Ingham</cp:lastModifiedBy>
  <cp:revision>14</cp:revision>
  <cp:lastPrinted>2014-07-10T08:22:00Z</cp:lastPrinted>
  <dcterms:created xsi:type="dcterms:W3CDTF">2014-08-18T08:36:00Z</dcterms:created>
  <dcterms:modified xsi:type="dcterms:W3CDTF">2014-08-18T14:46:00Z</dcterms:modified>
</cp:coreProperties>
</file>