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2" w:rightFromText="142" w:vertAnchor="page" w:horzAnchor="page" w:tblpX="1248" w:tblpY="15820"/>
        <w:tblOverlap w:val="never"/>
        <w:tblW w:w="9412" w:type="dxa"/>
        <w:tblCellMar>
          <w:left w:w="0" w:type="dxa"/>
          <w:right w:w="0" w:type="dxa"/>
        </w:tblCellMar>
        <w:tblLook w:val="01E0"/>
      </w:tblPr>
      <w:tblGrid>
        <w:gridCol w:w="9412"/>
      </w:tblGrid>
      <w:tr w:rsidR="00C2094B" w:rsidRPr="00AA6DAE" w:rsidTr="000C3B6D">
        <w:trPr>
          <w:trHeight w:val="284"/>
        </w:trPr>
        <w:tc>
          <w:tcPr>
            <w:tcW w:w="9412" w:type="dxa"/>
          </w:tcPr>
          <w:p w:rsidR="00C2094B" w:rsidRPr="00AA6DAE" w:rsidRDefault="005D255E" w:rsidP="00696C23">
            <w:pPr>
              <w:pStyle w:val="00bDBInfo"/>
            </w:pPr>
            <w:r>
              <w:t>11</w:t>
            </w:r>
            <w:r w:rsidR="00711212">
              <w:t xml:space="preserve"> July 2014</w:t>
            </w:r>
            <w:r w:rsidR="00C2094B" w:rsidRPr="00AA6DAE">
              <w:t>|</w:t>
            </w:r>
            <w:r w:rsidR="007102FB">
              <w:t>2014/</w:t>
            </w:r>
            <w:r w:rsidR="00696C23">
              <w:t>799 Reply Form</w:t>
            </w:r>
          </w:p>
        </w:tc>
      </w:tr>
    </w:tbl>
    <w:p w:rsidR="000361B3" w:rsidRPr="000361B3" w:rsidRDefault="000361B3" w:rsidP="000361B3">
      <w:pPr>
        <w:rPr>
          <w:vanish/>
        </w:rPr>
      </w:pPr>
      <w:bookmarkStart w:id="0" w:name="Dropdown1"/>
    </w:p>
    <w:tbl>
      <w:tblPr>
        <w:tblpPr w:leftFromText="8505" w:vertAnchor="page" w:horzAnchor="page" w:tblpX="1248" w:tblpY="4401"/>
        <w:tblW w:w="9412" w:type="dxa"/>
        <w:tblLayout w:type="fixed"/>
        <w:tblCellMar>
          <w:left w:w="0" w:type="dxa"/>
          <w:right w:w="0" w:type="dxa"/>
        </w:tblCellMar>
        <w:tblLook w:val="01E0"/>
      </w:tblPr>
      <w:tblGrid>
        <w:gridCol w:w="9412"/>
      </w:tblGrid>
      <w:tr w:rsidR="006B3CB5" w:rsidTr="00200340">
        <w:trPr>
          <w:trHeight w:hRule="exact" w:val="907"/>
        </w:trPr>
        <w:tc>
          <w:tcPr>
            <w:tcW w:w="2325" w:type="dxa"/>
            <w:vAlign w:val="bottom"/>
          </w:tcPr>
          <w:bookmarkEnd w:id="0"/>
          <w:p w:rsidR="006B3CB5" w:rsidRPr="00791EB4" w:rsidRDefault="00696C23" w:rsidP="0073272F">
            <w:pPr>
              <w:pStyle w:val="01aDBTitle"/>
            </w:pPr>
            <w:r>
              <w:t xml:space="preserve">Reply form to the </w:t>
            </w:r>
            <w:r w:rsidR="006B3CB5">
              <w:t xml:space="preserve">Consultation </w:t>
            </w:r>
            <w:r w:rsidR="0073272F">
              <w:t>Paper</w:t>
            </w:r>
            <w:r>
              <w:t xml:space="preserve"> on the Clearing Obligation under EMIR (no. 1)</w:t>
            </w:r>
          </w:p>
        </w:tc>
      </w:tr>
      <w:tr w:rsidR="006B3CB5" w:rsidRPr="00315E96" w:rsidTr="00200340">
        <w:trPr>
          <w:trHeight w:hRule="exact" w:val="454"/>
        </w:trPr>
        <w:tc>
          <w:tcPr>
            <w:tcW w:w="2325" w:type="dxa"/>
            <w:tcMar>
              <w:top w:w="142" w:type="dxa"/>
            </w:tcMar>
          </w:tcPr>
          <w:p w:rsidR="006B3CB5" w:rsidRPr="00060F72" w:rsidRDefault="006B3CB5" w:rsidP="00F358C5">
            <w:pPr>
              <w:pStyle w:val="01bDBSubtitle"/>
            </w:pPr>
          </w:p>
        </w:tc>
      </w:tr>
    </w:tbl>
    <w:p w:rsidR="00620D7C" w:rsidRDefault="00620D7C" w:rsidP="00C00012">
      <w:pPr>
        <w:pStyle w:val="05HeadlinenoIndex"/>
        <w:sectPr w:rsidR="00620D7C" w:rsidSect="006E3C72">
          <w:headerReference w:type="default" r:id="rId8"/>
          <w:footerReference w:type="default" r:id="rId9"/>
          <w:headerReference w:type="first" r:id="rId10"/>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tblPr>
      <w:tblGrid>
        <w:gridCol w:w="2325"/>
      </w:tblGrid>
      <w:tr w:rsidR="00620D7C" w:rsidTr="000C3B6D">
        <w:trPr>
          <w:trHeight w:hRule="exact" w:val="964"/>
        </w:trPr>
        <w:tc>
          <w:tcPr>
            <w:tcW w:w="2325" w:type="dxa"/>
          </w:tcPr>
          <w:p w:rsidR="00620D7C" w:rsidRPr="000A3888" w:rsidRDefault="00620D7C" w:rsidP="000C3B6D">
            <w:pPr>
              <w:pStyle w:val="02Date"/>
            </w:pPr>
            <w:bookmarkStart w:id="1" w:name="_GoBack"/>
            <w:r w:rsidRPr="000A3888">
              <w:lastRenderedPageBreak/>
              <w:t xml:space="preserve">Date: </w:t>
            </w:r>
            <w:r w:rsidR="00696C23">
              <w:t>1</w:t>
            </w:r>
            <w:r w:rsidR="005D255E">
              <w:t>1</w:t>
            </w:r>
            <w:r w:rsidR="00711212">
              <w:t xml:space="preserve"> July</w:t>
            </w:r>
            <w:r w:rsidR="00B73315" w:rsidRPr="000A3888">
              <w:t xml:space="preserve"> 2014</w:t>
            </w:r>
          </w:p>
          <w:p w:rsidR="00620D7C" w:rsidRDefault="00BD0C23" w:rsidP="00696C23">
            <w:pPr>
              <w:pStyle w:val="02Date"/>
            </w:pPr>
            <w:r w:rsidRPr="000A3888">
              <w:t>2014</w:t>
            </w:r>
            <w:r w:rsidR="00711212">
              <w:t>/</w:t>
            </w:r>
            <w:r w:rsidR="00696C23">
              <w:t>799 Reply Form</w:t>
            </w:r>
          </w:p>
        </w:tc>
      </w:tr>
      <w:bookmarkEnd w:id="1"/>
    </w:tbl>
    <w:p w:rsidR="00DF759F" w:rsidRDefault="00DF759F" w:rsidP="00D3175A">
      <w:pPr>
        <w:pStyle w:val="05HeadlinenoIndex"/>
      </w:pPr>
    </w:p>
    <w:p w:rsidR="00AA6DAE" w:rsidRDefault="00DF759F" w:rsidP="00DF759F">
      <w:pPr>
        <w:pStyle w:val="05HeadlinenoIndex"/>
      </w:pPr>
      <w:r>
        <w:t xml:space="preserve">Responding to this paper </w:t>
      </w:r>
    </w:p>
    <w:p w:rsidR="009403B0" w:rsidRDefault="009403B0" w:rsidP="009403B0">
      <w:pPr>
        <w:pStyle w:val="04BodyText"/>
      </w:pPr>
      <w:r w:rsidRPr="00321CD3">
        <w:t>The European Securities and Markets Autho</w:t>
      </w:r>
      <w:r>
        <w:t>rity (ESMA) invites responses</w:t>
      </w:r>
      <w:r w:rsidRPr="00321CD3">
        <w:t xml:space="preserve"> </w:t>
      </w:r>
      <w:r>
        <w:t xml:space="preserve">to </w:t>
      </w:r>
      <w:r w:rsidRPr="00321CD3">
        <w:t xml:space="preserve">the questions listed in </w:t>
      </w:r>
      <w:r>
        <w:t>the Consultation Paper on the Clearing Obligation under EMIR (n0. 1), published on ESMA</w:t>
      </w:r>
      <w:r w:rsidR="00194117">
        <w:t>’s</w:t>
      </w:r>
      <w:r>
        <w:t xml:space="preserve"> website.</w:t>
      </w:r>
    </w:p>
    <w:p w:rsidR="009403B0" w:rsidRDefault="009403B0" w:rsidP="009403B0">
      <w:pPr>
        <w:pStyle w:val="04BodyText"/>
      </w:pPr>
      <w:r>
        <w:t>Comments are most helpful if they:</w:t>
      </w:r>
    </w:p>
    <w:p w:rsidR="009403B0" w:rsidRPr="00F1632C" w:rsidRDefault="009403B0" w:rsidP="00F1632C">
      <w:pPr>
        <w:pStyle w:val="0MyBullet"/>
      </w:pPr>
      <w:r w:rsidRPr="00F1632C">
        <w:t>respond to the question stated;</w:t>
      </w:r>
    </w:p>
    <w:p w:rsidR="009403B0" w:rsidRPr="00F1632C" w:rsidRDefault="009403B0" w:rsidP="00F1632C">
      <w:pPr>
        <w:pStyle w:val="0MyBullet"/>
      </w:pPr>
      <w:r w:rsidRPr="00F1632C">
        <w:t>contain a clear rationale; and</w:t>
      </w:r>
    </w:p>
    <w:p w:rsidR="009403B0" w:rsidRPr="00F1632C" w:rsidRDefault="009403B0" w:rsidP="00F1632C">
      <w:pPr>
        <w:pStyle w:val="0MyBullet"/>
      </w:pPr>
      <w:r w:rsidRPr="00F1632C">
        <w:t>describe any alternatives ESMA should consider.</w:t>
      </w:r>
    </w:p>
    <w:p w:rsidR="009403B0" w:rsidRPr="00F44F4C" w:rsidRDefault="009403B0" w:rsidP="00F1632C">
      <w:pPr>
        <w:pStyle w:val="04BodyText"/>
        <w:spacing w:before="240"/>
      </w:pPr>
      <w:r w:rsidRPr="004E1A0F">
        <w:t>To help you navigate this document more easily, bookmarks are available in “Navigation Pane” for Word 2010 and in “Document Map” for Word 2007.</w:t>
      </w:r>
    </w:p>
    <w:p w:rsidR="009403B0" w:rsidRPr="009403B0" w:rsidRDefault="009403B0" w:rsidP="009403B0">
      <w:pPr>
        <w:pStyle w:val="04BodyText"/>
        <w:rPr>
          <w:b/>
        </w:rPr>
      </w:pPr>
      <w:r w:rsidRPr="009403B0">
        <w:t xml:space="preserve">ESMA will consider all comments received by </w:t>
      </w:r>
      <w:r w:rsidRPr="009403B0">
        <w:rPr>
          <w:b/>
        </w:rPr>
        <w:t xml:space="preserve">18 August 2014. </w:t>
      </w:r>
    </w:p>
    <w:p w:rsidR="009403B0" w:rsidRDefault="009403B0" w:rsidP="009403B0">
      <w:pPr>
        <w:pStyle w:val="04BodyText"/>
      </w:pPr>
      <w:r>
        <w:t xml:space="preserve">All contributions should be submitted online at </w:t>
      </w:r>
      <w:hyperlink r:id="rId11" w:history="1">
        <w:r w:rsidRPr="003A35A5">
          <w:rPr>
            <w:rStyle w:val="Hyperlink"/>
          </w:rPr>
          <w:t>www.esma.europa.eu</w:t>
        </w:r>
      </w:hyperlink>
      <w:r>
        <w:t xml:space="preserve"> under the heading ‘Your input - Consultations’. </w:t>
      </w:r>
    </w:p>
    <w:p w:rsidR="009E685C" w:rsidRPr="009E685C" w:rsidRDefault="009E685C" w:rsidP="009E685C">
      <w:pPr>
        <w:pStyle w:val="04dBodyTextbold"/>
      </w:pPr>
      <w:r>
        <w:rPr>
          <w:bCs/>
        </w:rPr>
        <w:t>How to use this form to reply</w:t>
      </w:r>
    </w:p>
    <w:p w:rsidR="009E685C" w:rsidRDefault="009E685C" w:rsidP="009E685C">
      <w:pPr>
        <w:pStyle w:val="04BodyText"/>
      </w:pPr>
      <w:r w:rsidRPr="009E685C">
        <w:t xml:space="preserve">Please note that, in order to facilitate </w:t>
      </w:r>
      <w:r>
        <w:t xml:space="preserve">the </w:t>
      </w:r>
      <w:r w:rsidRPr="009E685C">
        <w:t xml:space="preserve">analysis of the responses, ESMA will be using an IT tool that does not allow processing of responses which do not follow the formatting indications described below. </w:t>
      </w:r>
    </w:p>
    <w:p w:rsidR="009E685C" w:rsidRDefault="009E685C" w:rsidP="009E685C">
      <w:pPr>
        <w:pStyle w:val="04BodyText"/>
      </w:pPr>
      <w:r w:rsidRPr="009E685C">
        <w:t xml:space="preserve">Therefore, in responding </w:t>
      </w:r>
      <w:r>
        <w:t>you are kindly invited to proceed as follows</w:t>
      </w:r>
      <w:r w:rsidRPr="009E685C">
        <w:t>:</w:t>
      </w:r>
    </w:p>
    <w:p w:rsidR="009E685C" w:rsidRDefault="009E685C" w:rsidP="00F1632C">
      <w:pPr>
        <w:pStyle w:val="0MyBullet"/>
        <w:ind w:left="714" w:hanging="357"/>
      </w:pPr>
      <w:r w:rsidRPr="009E685C">
        <w:t xml:space="preserve">use </w:t>
      </w:r>
      <w:r>
        <w:t>this form to reply</w:t>
      </w:r>
      <w:r w:rsidRPr="009E685C">
        <w:t xml:space="preserve"> and send </w:t>
      </w:r>
      <w:r>
        <w:t>your response</w:t>
      </w:r>
      <w:r w:rsidRPr="009E685C">
        <w:t xml:space="preserve"> in Word format;</w:t>
      </w:r>
    </w:p>
    <w:p w:rsidR="009E685C" w:rsidRDefault="009E685C" w:rsidP="00F1632C">
      <w:pPr>
        <w:pStyle w:val="0MyBullet"/>
        <w:ind w:left="714" w:hanging="357"/>
      </w:pPr>
      <w:r>
        <w:t>type your response in the fram</w:t>
      </w:r>
      <w:r w:rsidR="00E1116F">
        <w:t>e</w:t>
      </w:r>
      <w:r>
        <w:t xml:space="preserve"> “</w:t>
      </w:r>
      <w:r w:rsidRPr="009E685C">
        <w:t>TYPE YOUR TEXT HERE</w:t>
      </w:r>
      <w:r>
        <w:t xml:space="preserve">” and do </w:t>
      </w:r>
      <w:r w:rsidRPr="009E685C">
        <w:t xml:space="preserve">not remove the tags of type &lt;ESMA_QUESTION_1&gt; </w:t>
      </w:r>
      <w:r>
        <w:t xml:space="preserve">Your </w:t>
      </w:r>
      <w:r w:rsidRPr="009E685C">
        <w:t xml:space="preserve">response </w:t>
      </w:r>
      <w:r>
        <w:t xml:space="preserve">should </w:t>
      </w:r>
      <w:r w:rsidRPr="009E685C">
        <w:t>be framed by the 2 tags corresponding to the question; and</w:t>
      </w:r>
    </w:p>
    <w:p w:rsidR="009E685C" w:rsidRPr="009E685C" w:rsidRDefault="009E685C" w:rsidP="00F1632C">
      <w:pPr>
        <w:pStyle w:val="0MyBullet"/>
        <w:ind w:left="714" w:hanging="357"/>
      </w:pPr>
      <w:r w:rsidRPr="009E685C">
        <w:t xml:space="preserve">if </w:t>
      </w:r>
      <w:r>
        <w:t xml:space="preserve">you </w:t>
      </w:r>
      <w:r w:rsidRPr="009E685C">
        <w:t xml:space="preserve">have no response to a question, </w:t>
      </w:r>
      <w:r w:rsidRPr="00F1632C">
        <w:t>do not delete the tags</w:t>
      </w:r>
      <w:r w:rsidRPr="009E685C">
        <w:t xml:space="preserve"> and leave the text “TYPE YOUR TEXT HERE” between the tags.</w:t>
      </w:r>
    </w:p>
    <w:p w:rsidR="00DF759F" w:rsidRDefault="00DF759F" w:rsidP="00DF759F">
      <w:pPr>
        <w:pStyle w:val="04dBodyTextbold"/>
      </w:pPr>
      <w:r>
        <w:t>Publication of responses</w:t>
      </w:r>
    </w:p>
    <w:p w:rsidR="00DF759F" w:rsidRDefault="00DF759F" w:rsidP="00DF759F">
      <w:pPr>
        <w:pStyle w:val="04BodyText"/>
      </w:pPr>
      <w:r>
        <w:t>All contributions received will be published following the close of the consultation</w:t>
      </w:r>
      <w:r w:rsidR="00B25023">
        <w:t>, unless you request otherwise.</w:t>
      </w:r>
      <w:r>
        <w:t xml:space="preserv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rsidR="00DF759F" w:rsidRDefault="00DF759F" w:rsidP="00DF759F">
      <w:pPr>
        <w:pStyle w:val="04dBodyTextbold"/>
      </w:pPr>
      <w:r>
        <w:lastRenderedPageBreak/>
        <w:t>Data protection</w:t>
      </w:r>
    </w:p>
    <w:p w:rsidR="00DF759F" w:rsidRDefault="00DF759F" w:rsidP="00DF759F">
      <w:pPr>
        <w:pStyle w:val="04BodyText"/>
      </w:pPr>
      <w:r>
        <w:t xml:space="preserve">Information on data protection can be found at </w:t>
      </w:r>
      <w:hyperlink r:id="rId12" w:history="1">
        <w:r w:rsidR="00157C5D" w:rsidRPr="003A35A5">
          <w:rPr>
            <w:rStyle w:val="Hyperlink"/>
          </w:rPr>
          <w:t>www.esma.europa.eu</w:t>
        </w:r>
      </w:hyperlink>
      <w:r w:rsidR="00157C5D">
        <w:t xml:space="preserve"> </w:t>
      </w:r>
      <w:r>
        <w:t>under the heading ‘</w:t>
      </w:r>
      <w:r w:rsidR="006C105D">
        <w:t>Legal Notice</w:t>
      </w:r>
      <w:r>
        <w:t>’.</w:t>
      </w:r>
    </w:p>
    <w:p w:rsidR="00DF759F" w:rsidRDefault="00DF759F" w:rsidP="00DF759F">
      <w:pPr>
        <w:pStyle w:val="04dBodyTextbold"/>
      </w:pPr>
      <w:r>
        <w:t>Who should read this paper</w:t>
      </w:r>
    </w:p>
    <w:p w:rsidR="00A21A30" w:rsidRDefault="00B25023" w:rsidP="00B25023">
      <w:pPr>
        <w:pStyle w:val="04BodyText"/>
        <w:suppressAutoHyphens/>
        <w:rPr>
          <w:szCs w:val="20"/>
        </w:rPr>
      </w:pPr>
      <w:r w:rsidRPr="001235B1">
        <w:rPr>
          <w:szCs w:val="20"/>
        </w:rPr>
        <w:t xml:space="preserve">All interested stakeholders are invited to respond to this </w:t>
      </w:r>
      <w:r>
        <w:rPr>
          <w:szCs w:val="20"/>
        </w:rPr>
        <w:t>consultation</w:t>
      </w:r>
      <w:r w:rsidRPr="001235B1">
        <w:rPr>
          <w:szCs w:val="20"/>
        </w:rPr>
        <w:t xml:space="preserve"> paper. In particular, responses are sought from financial and non-financial counterparties of OTC derivatives transactions</w:t>
      </w:r>
      <w:r>
        <w:rPr>
          <w:szCs w:val="20"/>
        </w:rPr>
        <w:t xml:space="preserve"> which will be subject to the clearing obligation, as well as</w:t>
      </w:r>
      <w:r w:rsidRPr="001235B1">
        <w:rPr>
          <w:szCs w:val="20"/>
        </w:rPr>
        <w:t xml:space="preserve"> central counterparties (CCPs).</w:t>
      </w:r>
    </w:p>
    <w:p w:rsidR="00A21A30" w:rsidRDefault="00A21A30">
      <w:pPr>
        <w:rPr>
          <w:szCs w:val="20"/>
        </w:rPr>
      </w:pPr>
      <w:r>
        <w:rPr>
          <w:szCs w:val="20"/>
        </w:rPr>
        <w:br w:type="page"/>
      </w:r>
    </w:p>
    <w:p w:rsidR="00AB1788" w:rsidRDefault="00AB1788" w:rsidP="00005941">
      <w:pPr>
        <w:pStyle w:val="Heading1"/>
        <w:numPr>
          <w:ilvl w:val="0"/>
          <w:numId w:val="0"/>
        </w:numPr>
      </w:pPr>
      <w:r>
        <w:lastRenderedPageBreak/>
        <w:t>General information about respondent</w:t>
      </w:r>
    </w:p>
    <w:tbl>
      <w:tblPr>
        <w:tblStyle w:val="TableGrid"/>
        <w:tblW w:w="0" w:type="auto"/>
        <w:tblLook w:val="04A0"/>
      </w:tblPr>
      <w:tblGrid>
        <w:gridCol w:w="3510"/>
        <w:gridCol w:w="6118"/>
      </w:tblGrid>
      <w:tr w:rsidR="009403B0" w:rsidTr="00F84E69">
        <w:tc>
          <w:tcPr>
            <w:tcW w:w="3510" w:type="dxa"/>
          </w:tcPr>
          <w:p w:rsidR="009403B0" w:rsidRDefault="009403B0" w:rsidP="00F84E69">
            <w:r>
              <w:t>Name of the respondent</w:t>
            </w:r>
          </w:p>
        </w:tc>
        <w:tc>
          <w:tcPr>
            <w:tcW w:w="6118" w:type="dxa"/>
          </w:tcPr>
          <w:p w:rsidR="009403B0" w:rsidRDefault="00535DBB" w:rsidP="00E62FA2">
            <w:permStart w:id="0" w:edGrp="everyone"/>
            <w:r>
              <w:t>Barclays Bank PLC</w:t>
            </w:r>
            <w:permEnd w:id="0"/>
          </w:p>
        </w:tc>
      </w:tr>
      <w:tr w:rsidR="00E62FA2" w:rsidTr="00F84E69">
        <w:tc>
          <w:tcPr>
            <w:tcW w:w="3510" w:type="dxa"/>
          </w:tcPr>
          <w:p w:rsidR="00E62FA2" w:rsidRDefault="00F84E69" w:rsidP="00F84E69">
            <w:r>
              <w:t xml:space="preserve">Are you representing an </w:t>
            </w:r>
            <w:r w:rsidR="00E62FA2">
              <w:t>association?</w:t>
            </w:r>
          </w:p>
        </w:tc>
        <w:tc>
          <w:tcPr>
            <w:tcW w:w="6118" w:type="dxa"/>
          </w:tcPr>
          <w:p w:rsidR="00E62FA2" w:rsidRDefault="00824EE5" w:rsidP="00E62FA2">
            <w:sdt>
              <w:sdtPr>
                <w:alias w:val="Association"/>
                <w:tag w:val="Association"/>
                <w:id w:val="-1769143793"/>
                <w:placeholder>
                  <w:docPart w:val="29B3C0A1C36843AB95CE1BDF313CA2A2"/>
                </w:placeholder>
                <w:comboBox>
                  <w:listItem w:displayText="Yes" w:value="Yes"/>
                  <w:listItem w:displayText="No" w:value="No"/>
                </w:comboBox>
              </w:sdtPr>
              <w:sdtContent>
                <w:permStart w:id="1" w:edGrp="everyone"/>
                <w:r w:rsidR="00AE666B">
                  <w:t>No</w:t>
                </w:r>
                <w:permEnd w:id="1"/>
              </w:sdtContent>
            </w:sdt>
          </w:p>
        </w:tc>
      </w:tr>
      <w:tr w:rsidR="00E62FA2" w:rsidTr="00F84E69">
        <w:tc>
          <w:tcPr>
            <w:tcW w:w="3510" w:type="dxa"/>
          </w:tcPr>
          <w:p w:rsidR="00E62FA2" w:rsidRDefault="00E62FA2" w:rsidP="00E62FA2">
            <w:r>
              <w:t>Activity</w:t>
            </w:r>
          </w:p>
        </w:tc>
        <w:tc>
          <w:tcPr>
            <w:tcW w:w="6118" w:type="dxa"/>
          </w:tcPr>
          <w:p w:rsidR="00E62FA2" w:rsidRDefault="00824EE5" w:rsidP="00E62FA2">
            <w:sdt>
              <w:sdtPr>
                <w:alias w:val="Activity"/>
                <w:tag w:val="Activity"/>
                <w:id w:val="1654095920"/>
                <w:placeholder>
                  <w:docPart w:val="F0305A30DDBA475F87323578BE1A7B3F"/>
                </w:placeholde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permStart w:id="2" w:edGrp="everyone"/>
                <w:r w:rsidR="00AE666B">
                  <w:t>Banking sector</w:t>
                </w:r>
                <w:permEnd w:id="2"/>
              </w:sdtContent>
            </w:sdt>
          </w:p>
        </w:tc>
      </w:tr>
      <w:tr w:rsidR="00E62FA2" w:rsidTr="00F84E69">
        <w:tc>
          <w:tcPr>
            <w:tcW w:w="3510" w:type="dxa"/>
          </w:tcPr>
          <w:p w:rsidR="00E62FA2" w:rsidRDefault="00E62FA2" w:rsidP="00E62FA2">
            <w:r>
              <w:t>Country/Region</w:t>
            </w:r>
          </w:p>
        </w:tc>
        <w:sdt>
          <w:sdtPr>
            <w:alias w:val="Country"/>
            <w:tag w:val="Country"/>
            <w:id w:val="-1549134410"/>
            <w:placeholder>
              <w:docPart w:val="DefaultPlaceholder_1082065159"/>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3" w:edGrp="everyone" w:displacedByCustomXml="prev"/>
            <w:tc>
              <w:tcPr>
                <w:tcW w:w="6118" w:type="dxa"/>
              </w:tcPr>
              <w:p w:rsidR="00E62FA2" w:rsidRDefault="00257269" w:rsidP="00E62FA2">
                <w:r>
                  <w:t>International</w:t>
                </w:r>
              </w:p>
            </w:tc>
            <w:permEnd w:id="3" w:displacedByCustomXml="next"/>
          </w:sdtContent>
        </w:sdt>
      </w:tr>
    </w:tbl>
    <w:p w:rsidR="00AB1788" w:rsidRDefault="00AB1788" w:rsidP="00AB1788"/>
    <w:p w:rsidR="00940A63" w:rsidRDefault="00005941" w:rsidP="00940A63">
      <w:pPr>
        <w:pStyle w:val="Heading1"/>
        <w:numPr>
          <w:ilvl w:val="0"/>
          <w:numId w:val="0"/>
        </w:numPr>
      </w:pPr>
      <w:r>
        <w:br w:type="page"/>
      </w:r>
      <w:bookmarkStart w:id="2" w:name="_Toc392599420"/>
      <w:r w:rsidR="00940A63" w:rsidRPr="004C2CD3">
        <w:lastRenderedPageBreak/>
        <w:t>Introduction</w:t>
      </w:r>
      <w:bookmarkEnd w:id="2"/>
    </w:p>
    <w:p w:rsidR="008203F7" w:rsidRDefault="008203F7" w:rsidP="008203F7"/>
    <w:p w:rsidR="008203F7" w:rsidRPr="008203F7" w:rsidRDefault="008203F7" w:rsidP="008203F7">
      <w:pPr>
        <w:rPr>
          <w:b/>
        </w:rPr>
      </w:pPr>
      <w:r w:rsidRPr="008203F7">
        <w:rPr>
          <w:b/>
        </w:rPr>
        <w:t>Please make your introductory comments below:</w:t>
      </w:r>
    </w:p>
    <w:p w:rsidR="008203F7" w:rsidRDefault="008203F7" w:rsidP="008203F7"/>
    <w:p w:rsidR="008203F7" w:rsidRDefault="008203F7" w:rsidP="008203F7">
      <w:r>
        <w:t>&lt;ESMA_COMMENT_1&gt;</w:t>
      </w:r>
    </w:p>
    <w:p w:rsidR="00DF09ED" w:rsidRPr="00174B93" w:rsidRDefault="00DF09ED" w:rsidP="00DF09ED">
      <w:pPr>
        <w:pStyle w:val="BarclaysBodyCopy"/>
        <w:rPr>
          <w:rFonts w:ascii="Georgia" w:eastAsia="Times New Roman" w:hAnsi="Georgia"/>
          <w:color w:val="auto"/>
          <w:sz w:val="20"/>
          <w:lang w:val="en-GB" w:eastAsia="de-DE"/>
        </w:rPr>
      </w:pPr>
      <w:permStart w:id="4" w:edGrp="everyone"/>
      <w:r w:rsidRPr="00174B93">
        <w:rPr>
          <w:rFonts w:ascii="Georgia" w:eastAsia="Times New Roman" w:hAnsi="Georgia"/>
          <w:color w:val="auto"/>
          <w:sz w:val="20"/>
          <w:lang w:val="en-GB" w:eastAsia="de-DE"/>
        </w:rPr>
        <w:t xml:space="preserve">Barclays Bank PLC (“Barclays”, “we”, “our”) welcomes the opportunity to comment on the European Securities and Markets Authority’s (“ESMA”) consultation paper no. 1 on the clearing obligation under Regulation (EU) No 648/2012 (“EMIR”) and the accompanying draft Regulatory Technical Standards (“RTS”) as required under EMIR Article 5(2). </w:t>
      </w:r>
    </w:p>
    <w:p w:rsidR="00DF09ED" w:rsidRPr="00174B93" w:rsidRDefault="00DF09ED" w:rsidP="00DF09ED">
      <w:pPr>
        <w:pStyle w:val="BarclaysBodyCopy"/>
        <w:rPr>
          <w:rFonts w:ascii="Georgia" w:eastAsia="Times New Roman" w:hAnsi="Georgia"/>
          <w:color w:val="auto"/>
          <w:sz w:val="20"/>
          <w:lang w:val="en-GB" w:eastAsia="de-DE"/>
        </w:rPr>
      </w:pPr>
    </w:p>
    <w:p w:rsidR="00DF09ED" w:rsidRDefault="009321A3" w:rsidP="00DF09ED">
      <w:pPr>
        <w:pStyle w:val="BarclaysBodyCopy"/>
        <w:rPr>
          <w:rFonts w:ascii="Georgia" w:eastAsia="Times New Roman" w:hAnsi="Georgia"/>
          <w:color w:val="auto"/>
          <w:sz w:val="20"/>
          <w:lang w:val="en-GB" w:eastAsia="de-DE"/>
        </w:rPr>
      </w:pPr>
      <w:r>
        <w:rPr>
          <w:rFonts w:ascii="Georgia" w:eastAsia="Times New Roman" w:hAnsi="Georgia"/>
          <w:color w:val="auto"/>
          <w:sz w:val="20"/>
          <w:lang w:val="en-GB" w:eastAsia="de-DE"/>
        </w:rPr>
        <w:t>Barclays</w:t>
      </w:r>
      <w:r w:rsidR="00DF09ED" w:rsidRPr="00174B93">
        <w:rPr>
          <w:rFonts w:ascii="Georgia" w:eastAsia="Times New Roman" w:hAnsi="Georgia"/>
          <w:color w:val="auto"/>
          <w:sz w:val="20"/>
          <w:lang w:val="en-GB" w:eastAsia="de-DE"/>
        </w:rPr>
        <w:t xml:space="preserve"> is an established volume leader</w:t>
      </w:r>
      <w:r>
        <w:rPr>
          <w:rFonts w:ascii="Georgia" w:eastAsia="Times New Roman" w:hAnsi="Georgia"/>
          <w:color w:val="auto"/>
          <w:sz w:val="20"/>
          <w:lang w:val="en-GB" w:eastAsia="de-DE"/>
        </w:rPr>
        <w:t xml:space="preserve"> and provider in OTC clearing services and derivatives intermediation</w:t>
      </w:r>
      <w:r w:rsidR="00DF09ED" w:rsidRPr="00174B93">
        <w:rPr>
          <w:rFonts w:ascii="Georgia" w:eastAsia="Times New Roman" w:hAnsi="Georgia"/>
          <w:color w:val="auto"/>
          <w:sz w:val="20"/>
          <w:lang w:val="en-GB" w:eastAsia="de-DE"/>
        </w:rPr>
        <w:t xml:space="preserve">. We have consistently taken the lead in implementing innovative solutions for Rates and Credit </w:t>
      </w:r>
      <w:r w:rsidR="007B2851">
        <w:rPr>
          <w:rFonts w:ascii="Georgia" w:eastAsia="Times New Roman" w:hAnsi="Georgia"/>
          <w:color w:val="auto"/>
          <w:sz w:val="20"/>
          <w:lang w:val="en-GB" w:eastAsia="de-DE"/>
        </w:rPr>
        <w:t>clearing</w:t>
      </w:r>
      <w:r w:rsidR="00DF09ED" w:rsidRPr="00174B93">
        <w:rPr>
          <w:rFonts w:ascii="Georgia" w:eastAsia="Times New Roman" w:hAnsi="Georgia"/>
          <w:color w:val="auto"/>
          <w:sz w:val="20"/>
          <w:lang w:val="en-GB" w:eastAsia="de-DE"/>
        </w:rPr>
        <w:t xml:space="preserve"> and have been at the forefront of OTC clearing developments. We clear </w:t>
      </w:r>
      <w:r w:rsidR="007B2851">
        <w:rPr>
          <w:rFonts w:ascii="Georgia" w:eastAsia="Times New Roman" w:hAnsi="Georgia"/>
          <w:color w:val="auto"/>
          <w:sz w:val="20"/>
          <w:lang w:val="en-GB" w:eastAsia="de-DE"/>
        </w:rPr>
        <w:t>for a broad</w:t>
      </w:r>
      <w:r w:rsidR="00DF09ED" w:rsidRPr="00174B93">
        <w:rPr>
          <w:rFonts w:ascii="Georgia" w:eastAsia="Times New Roman" w:hAnsi="Georgia"/>
          <w:color w:val="auto"/>
          <w:sz w:val="20"/>
          <w:lang w:val="en-GB" w:eastAsia="de-DE"/>
        </w:rPr>
        <w:t xml:space="preserve"> spectrum of client</w:t>
      </w:r>
      <w:r>
        <w:rPr>
          <w:rFonts w:ascii="Georgia" w:eastAsia="Times New Roman" w:hAnsi="Georgia"/>
          <w:color w:val="auto"/>
          <w:sz w:val="20"/>
          <w:lang w:val="en-GB" w:eastAsia="de-DE"/>
        </w:rPr>
        <w:t>s,</w:t>
      </w:r>
      <w:r w:rsidR="00DF09ED" w:rsidRPr="00174B93">
        <w:rPr>
          <w:rFonts w:ascii="Georgia" w:eastAsia="Times New Roman" w:hAnsi="Georgia"/>
          <w:color w:val="auto"/>
          <w:sz w:val="20"/>
          <w:lang w:val="en-GB" w:eastAsia="de-DE"/>
        </w:rPr>
        <w:t xml:space="preserve"> including asset managers, hedge funds, banks, insurance companies, pension funds and government entities. </w:t>
      </w:r>
      <w:r w:rsidR="007B2851">
        <w:rPr>
          <w:rFonts w:ascii="Georgia" w:eastAsia="Times New Roman" w:hAnsi="Georgia"/>
          <w:color w:val="auto"/>
          <w:sz w:val="20"/>
          <w:lang w:val="en-GB" w:eastAsia="de-DE"/>
        </w:rPr>
        <w:t>We adopt an active voice</w:t>
      </w:r>
      <w:r w:rsidR="00DF09ED" w:rsidRPr="00174B93">
        <w:rPr>
          <w:rFonts w:ascii="Georgia" w:eastAsia="Times New Roman" w:hAnsi="Georgia"/>
          <w:color w:val="auto"/>
          <w:sz w:val="20"/>
          <w:lang w:val="en-GB" w:eastAsia="de-DE"/>
        </w:rPr>
        <w:t xml:space="preserve"> in global regulatory advo</w:t>
      </w:r>
      <w:r w:rsidR="00107094">
        <w:rPr>
          <w:rFonts w:ascii="Georgia" w:eastAsia="Times New Roman" w:hAnsi="Georgia"/>
          <w:color w:val="auto"/>
          <w:sz w:val="20"/>
          <w:lang w:val="en-GB" w:eastAsia="de-DE"/>
        </w:rPr>
        <w:t>cacy</w:t>
      </w:r>
      <w:r w:rsidR="005D504A">
        <w:rPr>
          <w:rFonts w:ascii="Georgia" w:eastAsia="Times New Roman" w:hAnsi="Georgia"/>
          <w:color w:val="auto"/>
          <w:sz w:val="20"/>
          <w:lang w:val="en-GB" w:eastAsia="de-DE"/>
        </w:rPr>
        <w:t>,</w:t>
      </w:r>
      <w:r w:rsidR="00107094">
        <w:rPr>
          <w:rFonts w:ascii="Georgia" w:eastAsia="Times New Roman" w:hAnsi="Georgia"/>
          <w:color w:val="auto"/>
          <w:sz w:val="20"/>
          <w:lang w:val="en-GB" w:eastAsia="de-DE"/>
        </w:rPr>
        <w:t xml:space="preserve"> </w:t>
      </w:r>
      <w:r w:rsidR="005D504A">
        <w:rPr>
          <w:rFonts w:ascii="Georgia" w:eastAsia="Times New Roman" w:hAnsi="Georgia"/>
          <w:color w:val="auto"/>
          <w:sz w:val="20"/>
          <w:lang w:val="en-GB" w:eastAsia="de-DE"/>
        </w:rPr>
        <w:t xml:space="preserve">which we feel is </w:t>
      </w:r>
      <w:r w:rsidR="00DF09ED" w:rsidRPr="00174B93">
        <w:rPr>
          <w:rFonts w:ascii="Georgia" w:eastAsia="Times New Roman" w:hAnsi="Georgia"/>
          <w:color w:val="auto"/>
          <w:sz w:val="20"/>
          <w:lang w:val="en-GB" w:eastAsia="de-DE"/>
        </w:rPr>
        <w:t>in our and the industry’s</w:t>
      </w:r>
      <w:r w:rsidR="00E17D2D">
        <w:rPr>
          <w:rFonts w:ascii="Georgia" w:eastAsia="Times New Roman" w:hAnsi="Georgia"/>
          <w:color w:val="auto"/>
          <w:sz w:val="20"/>
          <w:lang w:val="en-GB" w:eastAsia="de-DE"/>
        </w:rPr>
        <w:t xml:space="preserve"> best interests</w:t>
      </w:r>
      <w:r w:rsidR="005D504A">
        <w:rPr>
          <w:rFonts w:ascii="Georgia" w:eastAsia="Times New Roman" w:hAnsi="Georgia"/>
          <w:color w:val="auto"/>
          <w:sz w:val="20"/>
          <w:lang w:val="en-GB" w:eastAsia="de-DE"/>
        </w:rPr>
        <w:t>,</w:t>
      </w:r>
      <w:r w:rsidR="00E17D2D">
        <w:rPr>
          <w:rFonts w:ascii="Georgia" w:eastAsia="Times New Roman" w:hAnsi="Georgia"/>
          <w:color w:val="auto"/>
          <w:sz w:val="20"/>
          <w:lang w:val="en-GB" w:eastAsia="de-DE"/>
        </w:rPr>
        <w:t xml:space="preserve"> in order to </w:t>
      </w:r>
      <w:r w:rsidR="00DF09ED" w:rsidRPr="00174B93">
        <w:rPr>
          <w:rFonts w:ascii="Georgia" w:eastAsia="Times New Roman" w:hAnsi="Georgia"/>
          <w:color w:val="auto"/>
          <w:sz w:val="20"/>
          <w:lang w:val="en-GB" w:eastAsia="de-DE"/>
        </w:rPr>
        <w:t>maximise operational and economic efficiency for all market participants in respect of both house and client trading</w:t>
      </w:r>
      <w:r w:rsidR="007B2851">
        <w:rPr>
          <w:rFonts w:ascii="Georgia" w:eastAsia="Times New Roman" w:hAnsi="Georgia"/>
          <w:color w:val="auto"/>
          <w:sz w:val="20"/>
          <w:lang w:val="en-GB" w:eastAsia="de-DE"/>
        </w:rPr>
        <w:t>.</w:t>
      </w:r>
    </w:p>
    <w:p w:rsidR="007B2851" w:rsidRPr="00174B93" w:rsidRDefault="007B2851" w:rsidP="00DF09ED">
      <w:pPr>
        <w:pStyle w:val="BarclaysBodyCopy"/>
        <w:rPr>
          <w:rFonts w:ascii="Georgia" w:eastAsia="Times New Roman" w:hAnsi="Georgia"/>
          <w:color w:val="auto"/>
          <w:sz w:val="20"/>
          <w:lang w:val="en-GB" w:eastAsia="de-DE"/>
        </w:rPr>
      </w:pPr>
    </w:p>
    <w:p w:rsidR="00DF09ED" w:rsidRPr="00174B93" w:rsidRDefault="005D504A" w:rsidP="00DF09ED">
      <w:pPr>
        <w:pStyle w:val="BarclaysBodyCopy"/>
        <w:rPr>
          <w:rFonts w:ascii="Georgia" w:eastAsia="Times New Roman" w:hAnsi="Georgia"/>
          <w:color w:val="auto"/>
          <w:sz w:val="20"/>
          <w:lang w:val="en-GB" w:eastAsia="de-DE"/>
        </w:rPr>
      </w:pPr>
      <w:r>
        <w:rPr>
          <w:rFonts w:ascii="Georgia" w:eastAsia="Times New Roman" w:hAnsi="Georgia"/>
          <w:color w:val="auto"/>
          <w:sz w:val="20"/>
          <w:lang w:val="en-GB" w:eastAsia="de-DE"/>
        </w:rPr>
        <w:t>As a general matter w</w:t>
      </w:r>
      <w:r w:rsidR="00DF09ED" w:rsidRPr="00174B93">
        <w:rPr>
          <w:rFonts w:ascii="Georgia" w:eastAsia="Times New Roman" w:hAnsi="Georgia"/>
          <w:color w:val="auto"/>
          <w:sz w:val="20"/>
          <w:lang w:val="en-GB" w:eastAsia="de-DE"/>
        </w:rPr>
        <w:t>e are supportive of the International Swaps and Derivatives Association’s (“ISDA”) response</w:t>
      </w:r>
      <w:r w:rsidR="00686FF6" w:rsidRPr="00174B93">
        <w:rPr>
          <w:rFonts w:ascii="Georgia" w:eastAsia="Times New Roman" w:hAnsi="Georgia"/>
          <w:color w:val="auto"/>
          <w:sz w:val="20"/>
          <w:lang w:val="en-GB" w:eastAsia="de-DE"/>
        </w:rPr>
        <w:t xml:space="preserve"> </w:t>
      </w:r>
      <w:r w:rsidR="007B2851">
        <w:rPr>
          <w:rFonts w:ascii="Georgia" w:eastAsia="Times New Roman" w:hAnsi="Georgia"/>
          <w:color w:val="auto"/>
          <w:sz w:val="20"/>
          <w:lang w:val="en-GB" w:eastAsia="de-DE"/>
        </w:rPr>
        <w:t>to this consultation</w:t>
      </w:r>
      <w:r>
        <w:rPr>
          <w:rFonts w:ascii="Georgia" w:eastAsia="Times New Roman" w:hAnsi="Georgia"/>
          <w:color w:val="auto"/>
          <w:sz w:val="20"/>
          <w:lang w:val="en-GB" w:eastAsia="de-DE"/>
        </w:rPr>
        <w:t xml:space="preserve">. </w:t>
      </w:r>
      <w:r w:rsidR="007B2851">
        <w:rPr>
          <w:rFonts w:ascii="Georgia" w:eastAsia="Times New Roman" w:hAnsi="Georgia"/>
          <w:color w:val="auto"/>
          <w:sz w:val="20"/>
          <w:lang w:val="en-GB" w:eastAsia="de-DE"/>
        </w:rPr>
        <w:t xml:space="preserve"> In our response, we have sought to r</w:t>
      </w:r>
      <w:r w:rsidR="00DF09ED" w:rsidRPr="00174B93">
        <w:rPr>
          <w:rFonts w:ascii="Georgia" w:eastAsia="Times New Roman" w:hAnsi="Georgia"/>
          <w:color w:val="auto"/>
          <w:sz w:val="20"/>
          <w:lang w:val="en-GB" w:eastAsia="de-DE"/>
        </w:rPr>
        <w:t xml:space="preserve">einforce certain themes, principles and positions in </w:t>
      </w:r>
      <w:r w:rsidR="007B2851">
        <w:rPr>
          <w:rFonts w:ascii="Georgia" w:eastAsia="Times New Roman" w:hAnsi="Georgia"/>
          <w:color w:val="auto"/>
          <w:sz w:val="20"/>
          <w:lang w:val="en-GB" w:eastAsia="de-DE"/>
        </w:rPr>
        <w:t xml:space="preserve">the ISDA </w:t>
      </w:r>
      <w:r w:rsidR="00DF09ED" w:rsidRPr="00174B93">
        <w:rPr>
          <w:rFonts w:ascii="Georgia" w:eastAsia="Times New Roman" w:hAnsi="Georgia"/>
          <w:color w:val="auto"/>
          <w:sz w:val="20"/>
          <w:lang w:val="en-GB" w:eastAsia="de-DE"/>
        </w:rPr>
        <w:t xml:space="preserve">response by offering practical insight drawn from our perspective as a global derivatives dealer, as well as a clearing member on a number of CCPs that are, or are expected to be, authorised or recognised under EMIR. In particular we wish to highlight risks that stem from either </w:t>
      </w:r>
      <w:r w:rsidR="007B2851">
        <w:rPr>
          <w:rFonts w:ascii="Georgia" w:eastAsia="Times New Roman" w:hAnsi="Georgia"/>
          <w:color w:val="auto"/>
          <w:sz w:val="20"/>
          <w:lang w:val="en-GB" w:eastAsia="de-DE"/>
        </w:rPr>
        <w:t xml:space="preserve">(1) </w:t>
      </w:r>
      <w:r w:rsidR="00DF09ED" w:rsidRPr="00174B93">
        <w:rPr>
          <w:rFonts w:ascii="Georgia" w:eastAsia="Times New Roman" w:hAnsi="Georgia"/>
          <w:color w:val="auto"/>
          <w:sz w:val="20"/>
          <w:lang w:val="en-GB" w:eastAsia="de-DE"/>
        </w:rPr>
        <w:t>the</w:t>
      </w:r>
      <w:r w:rsidR="00686FF6" w:rsidRPr="00174B93">
        <w:rPr>
          <w:rFonts w:ascii="Georgia" w:eastAsia="Times New Roman" w:hAnsi="Georgia"/>
          <w:color w:val="auto"/>
          <w:sz w:val="20"/>
          <w:lang w:val="en-GB" w:eastAsia="de-DE"/>
        </w:rPr>
        <w:t xml:space="preserve"> significant</w:t>
      </w:r>
      <w:r w:rsidR="00DF09ED" w:rsidRPr="00174B93">
        <w:rPr>
          <w:rFonts w:ascii="Georgia" w:eastAsia="Times New Roman" w:hAnsi="Georgia"/>
          <w:color w:val="auto"/>
          <w:sz w:val="20"/>
          <w:lang w:val="en-GB" w:eastAsia="de-DE"/>
        </w:rPr>
        <w:t xml:space="preserve"> difficulty of firms to </w:t>
      </w:r>
      <w:r w:rsidR="00686FF6" w:rsidRPr="00174B93">
        <w:rPr>
          <w:rFonts w:ascii="Georgia" w:eastAsia="Times New Roman" w:hAnsi="Georgia"/>
          <w:color w:val="auto"/>
          <w:sz w:val="20"/>
          <w:lang w:val="en-GB" w:eastAsia="de-DE"/>
        </w:rPr>
        <w:t xml:space="preserve">operationally </w:t>
      </w:r>
      <w:r w:rsidR="00DF09ED" w:rsidRPr="00174B93">
        <w:rPr>
          <w:rFonts w:ascii="Georgia" w:eastAsia="Times New Roman" w:hAnsi="Georgia"/>
          <w:color w:val="auto"/>
          <w:sz w:val="20"/>
          <w:lang w:val="en-GB" w:eastAsia="de-DE"/>
        </w:rPr>
        <w:t xml:space="preserve">comply with the current draft RTS, </w:t>
      </w:r>
      <w:r w:rsidR="007B2851">
        <w:rPr>
          <w:rFonts w:ascii="Georgia" w:eastAsia="Times New Roman" w:hAnsi="Georgia"/>
          <w:color w:val="auto"/>
          <w:sz w:val="20"/>
          <w:lang w:val="en-GB" w:eastAsia="de-DE"/>
        </w:rPr>
        <w:t xml:space="preserve">(2) </w:t>
      </w:r>
      <w:r w:rsidR="00DF09ED" w:rsidRPr="00174B93">
        <w:rPr>
          <w:rFonts w:ascii="Georgia" w:eastAsia="Times New Roman" w:hAnsi="Georgia"/>
          <w:color w:val="auto"/>
          <w:sz w:val="20"/>
          <w:lang w:val="en-GB" w:eastAsia="de-DE"/>
        </w:rPr>
        <w:t>the advocacy for global convergence of rules in order to reduce regulatory arbitrage or</w:t>
      </w:r>
      <w:r w:rsidR="007B2851">
        <w:rPr>
          <w:rFonts w:ascii="Georgia" w:eastAsia="Times New Roman" w:hAnsi="Georgia"/>
          <w:color w:val="auto"/>
          <w:sz w:val="20"/>
          <w:lang w:val="en-GB" w:eastAsia="de-DE"/>
        </w:rPr>
        <w:t xml:space="preserve"> (3)</w:t>
      </w:r>
      <w:r w:rsidR="00DF09ED" w:rsidRPr="00174B93">
        <w:rPr>
          <w:rFonts w:ascii="Georgia" w:eastAsia="Times New Roman" w:hAnsi="Georgia"/>
          <w:color w:val="auto"/>
          <w:sz w:val="20"/>
          <w:lang w:val="en-GB" w:eastAsia="de-DE"/>
        </w:rPr>
        <w:t xml:space="preserve"> unintended impacts on the systemic resiliency of the market infrastructure. </w:t>
      </w:r>
    </w:p>
    <w:p w:rsidR="00DF09ED" w:rsidRPr="00174B93" w:rsidRDefault="00DF09ED" w:rsidP="00DF09ED">
      <w:pPr>
        <w:pStyle w:val="BarclaysBodyCopy"/>
        <w:rPr>
          <w:rFonts w:ascii="Georgia" w:eastAsia="Times New Roman" w:hAnsi="Georgia"/>
          <w:color w:val="auto"/>
          <w:sz w:val="20"/>
          <w:lang w:val="en-GB" w:eastAsia="de-DE"/>
        </w:rPr>
      </w:pPr>
    </w:p>
    <w:p w:rsidR="00535DBB" w:rsidRPr="00174B93" w:rsidRDefault="00DF09ED" w:rsidP="00DF09ED">
      <w:r w:rsidRPr="00174B93">
        <w:t xml:space="preserve">Implementing the RTS will affect all parts of our firm given our size, market participation and likely </w:t>
      </w:r>
      <w:r w:rsidR="007B2851">
        <w:t xml:space="preserve">categorisation as a </w:t>
      </w:r>
      <w:r w:rsidRPr="00174B93">
        <w:t>Category 1 clearing member for all classes of derivatives</w:t>
      </w:r>
      <w:r w:rsidR="007B2851">
        <w:t>. Consequently</w:t>
      </w:r>
      <w:r w:rsidR="00535DBB" w:rsidRPr="00174B93">
        <w:t>:</w:t>
      </w:r>
    </w:p>
    <w:p w:rsidR="00535DBB" w:rsidRPr="00174B93" w:rsidRDefault="00535DBB" w:rsidP="00DF09ED"/>
    <w:p w:rsidR="00535DBB" w:rsidRPr="00535DBB" w:rsidRDefault="00DF09ED" w:rsidP="00715121">
      <w:pPr>
        <w:pStyle w:val="ListParagraph"/>
        <w:numPr>
          <w:ilvl w:val="0"/>
          <w:numId w:val="16"/>
        </w:numPr>
      </w:pPr>
      <w:r w:rsidRPr="00174B93">
        <w:t>Updates will be needed to our front office processes and p</w:t>
      </w:r>
      <w:r w:rsidR="00535DBB" w:rsidRPr="00174B93">
        <w:t>rocedures</w:t>
      </w:r>
      <w:r w:rsidR="009409B9">
        <w:t>.</w:t>
      </w:r>
    </w:p>
    <w:p w:rsidR="00535DBB" w:rsidRPr="00535DBB" w:rsidRDefault="00535DBB" w:rsidP="00715121">
      <w:pPr>
        <w:pStyle w:val="ListParagraph"/>
        <w:numPr>
          <w:ilvl w:val="0"/>
          <w:numId w:val="16"/>
        </w:numPr>
      </w:pPr>
      <w:r w:rsidRPr="00174B93">
        <w:t xml:space="preserve">Systems will require new designs and technical builds to incorporate each required data point to determine if and when we have an obligation, which lifecycle events need to be captured, which products meet the 7 criteria as set out in the RTS and </w:t>
      </w:r>
      <w:r w:rsidR="007B2851">
        <w:t>counterparty</w:t>
      </w:r>
      <w:r w:rsidR="00686FF6" w:rsidRPr="00174B93">
        <w:t xml:space="preserve"> category classifications</w:t>
      </w:r>
      <w:r w:rsidR="009409B9">
        <w:t>.</w:t>
      </w:r>
    </w:p>
    <w:p w:rsidR="008203F7" w:rsidRPr="00686FF6" w:rsidRDefault="007B2851" w:rsidP="00715121">
      <w:pPr>
        <w:pStyle w:val="ListParagraph"/>
        <w:numPr>
          <w:ilvl w:val="0"/>
          <w:numId w:val="16"/>
        </w:numPr>
      </w:pPr>
      <w:r>
        <w:t>Updates to our c</w:t>
      </w:r>
      <w:r w:rsidR="00686FF6" w:rsidRPr="00174B93">
        <w:t xml:space="preserve">apital calculation models </w:t>
      </w:r>
      <w:r>
        <w:t>will be required to</w:t>
      </w:r>
      <w:r w:rsidR="00686FF6" w:rsidRPr="00174B93">
        <w:t xml:space="preserve"> incorporate the necessary information following the upstream system amendments</w:t>
      </w:r>
      <w:r w:rsidR="009409B9">
        <w:t>.</w:t>
      </w:r>
    </w:p>
    <w:p w:rsidR="00686FF6" w:rsidRPr="00174B93" w:rsidRDefault="00686FF6" w:rsidP="00686FF6"/>
    <w:p w:rsidR="00686FF6" w:rsidRPr="00174B93" w:rsidRDefault="00240508" w:rsidP="00686FF6">
      <w:r w:rsidRPr="00174B93">
        <w:t>As result of the above, we have the following significant concerns which will be explained in more depth in the relevant question:</w:t>
      </w:r>
    </w:p>
    <w:p w:rsidR="00240508" w:rsidRPr="00174B93" w:rsidRDefault="00240508" w:rsidP="00686FF6"/>
    <w:p w:rsidR="00240508" w:rsidRPr="00174B93" w:rsidRDefault="00240508" w:rsidP="00715121">
      <w:pPr>
        <w:pStyle w:val="BarclaysBodyCopy"/>
        <w:numPr>
          <w:ilvl w:val="0"/>
          <w:numId w:val="17"/>
        </w:numPr>
        <w:rPr>
          <w:rFonts w:ascii="Georgia" w:eastAsia="Times New Roman" w:hAnsi="Georgia"/>
          <w:i/>
          <w:color w:val="auto"/>
          <w:sz w:val="20"/>
          <w:lang w:val="en-GB" w:eastAsia="de-DE"/>
        </w:rPr>
      </w:pPr>
      <w:r w:rsidRPr="00174B93">
        <w:rPr>
          <w:rFonts w:ascii="Georgia" w:eastAsia="Times New Roman" w:hAnsi="Georgia"/>
          <w:i/>
          <w:color w:val="auto"/>
          <w:sz w:val="20"/>
          <w:lang w:val="en-GB" w:eastAsia="de-DE"/>
        </w:rPr>
        <w:t>Procedural Implementation of each RTS</w:t>
      </w:r>
    </w:p>
    <w:p w:rsidR="00240508" w:rsidRPr="00174B93" w:rsidRDefault="00240508" w:rsidP="00240508">
      <w:pPr>
        <w:pStyle w:val="BarclaysBodyCopy"/>
        <w:ind w:left="720"/>
        <w:rPr>
          <w:rFonts w:ascii="Georgia" w:eastAsia="Times New Roman" w:hAnsi="Georgia"/>
          <w:color w:val="auto"/>
          <w:sz w:val="20"/>
          <w:lang w:val="en-GB" w:eastAsia="de-DE"/>
        </w:rPr>
      </w:pPr>
      <w:r w:rsidRPr="00174B93">
        <w:rPr>
          <w:rFonts w:ascii="Georgia" w:eastAsia="Times New Roman" w:hAnsi="Georgia"/>
          <w:color w:val="auto"/>
          <w:sz w:val="20"/>
          <w:lang w:val="en-GB" w:eastAsia="de-DE"/>
        </w:rPr>
        <w:t xml:space="preserve">We are highly supportive of the ISDA approach </w:t>
      </w:r>
      <w:r w:rsidR="005D504A">
        <w:rPr>
          <w:rFonts w:ascii="Georgia" w:eastAsia="Times New Roman" w:hAnsi="Georgia"/>
          <w:color w:val="auto"/>
          <w:sz w:val="20"/>
          <w:lang w:val="en-GB" w:eastAsia="de-DE"/>
        </w:rPr>
        <w:t xml:space="preserve">2(b) </w:t>
      </w:r>
      <w:r w:rsidRPr="00174B93">
        <w:rPr>
          <w:rFonts w:ascii="Georgia" w:eastAsia="Times New Roman" w:hAnsi="Georgia"/>
          <w:color w:val="auto"/>
          <w:sz w:val="20"/>
          <w:lang w:val="en-GB" w:eastAsia="de-DE"/>
        </w:rPr>
        <w:t>as explained in their response to question 1 that creates a standard RTS from which the subsequent asset classes can be added as an annex. This approach creates consistency across key definitions and the application of important concepts such as frontloading. It also significantly mitigate</w:t>
      </w:r>
      <w:r w:rsidR="005D504A">
        <w:rPr>
          <w:rFonts w:ascii="Georgia" w:eastAsia="Times New Roman" w:hAnsi="Georgia"/>
          <w:color w:val="auto"/>
          <w:sz w:val="20"/>
          <w:lang w:val="en-GB" w:eastAsia="de-DE"/>
        </w:rPr>
        <w:t>s</w:t>
      </w:r>
      <w:r w:rsidRPr="00174B93">
        <w:rPr>
          <w:rFonts w:ascii="Georgia" w:eastAsia="Times New Roman" w:hAnsi="Georgia"/>
          <w:color w:val="auto"/>
          <w:sz w:val="20"/>
          <w:lang w:val="en-GB" w:eastAsia="de-DE"/>
        </w:rPr>
        <w:t xml:space="preserve"> the chance that a counterparty will switch from one classification to a</w:t>
      </w:r>
      <w:r w:rsidR="005D504A">
        <w:rPr>
          <w:rFonts w:ascii="Georgia" w:eastAsia="Times New Roman" w:hAnsi="Georgia"/>
          <w:color w:val="auto"/>
          <w:sz w:val="20"/>
          <w:lang w:val="en-GB" w:eastAsia="de-DE"/>
        </w:rPr>
        <w:t>nother in the middle of a phase-</w:t>
      </w:r>
      <w:r w:rsidRPr="00174B93">
        <w:rPr>
          <w:rFonts w:ascii="Georgia" w:eastAsia="Times New Roman" w:hAnsi="Georgia"/>
          <w:color w:val="auto"/>
          <w:sz w:val="20"/>
          <w:lang w:val="en-GB" w:eastAsia="de-DE"/>
        </w:rPr>
        <w:t>in</w:t>
      </w:r>
      <w:r w:rsidR="005D504A">
        <w:rPr>
          <w:rFonts w:ascii="Georgia" w:eastAsia="Times New Roman" w:hAnsi="Georgia"/>
          <w:color w:val="auto"/>
          <w:sz w:val="20"/>
          <w:lang w:val="en-GB" w:eastAsia="de-DE"/>
        </w:rPr>
        <w:t xml:space="preserve">. </w:t>
      </w:r>
      <w:r w:rsidR="009409B9">
        <w:rPr>
          <w:rFonts w:ascii="Georgia" w:eastAsia="Times New Roman" w:hAnsi="Georgia"/>
          <w:color w:val="auto"/>
          <w:sz w:val="20"/>
          <w:lang w:val="en-GB" w:eastAsia="de-DE"/>
        </w:rPr>
        <w:t xml:space="preserve">ISDA proposal 2(b) </w:t>
      </w:r>
      <w:r w:rsidRPr="00174B93">
        <w:rPr>
          <w:rFonts w:ascii="Georgia" w:eastAsia="Times New Roman" w:hAnsi="Georgia"/>
          <w:color w:val="auto"/>
          <w:sz w:val="20"/>
          <w:lang w:val="en-GB" w:eastAsia="de-DE"/>
        </w:rPr>
        <w:t xml:space="preserve">is an asset class based model and redefines the Class+ from a cumulative definition across all high level classes to a single high level class (e.g. interest rate derivatives). </w:t>
      </w:r>
    </w:p>
    <w:p w:rsidR="00240508" w:rsidRPr="00174B93" w:rsidRDefault="00240508" w:rsidP="00240508">
      <w:pPr>
        <w:pStyle w:val="BarclaysBodyCopy"/>
        <w:ind w:left="720"/>
        <w:rPr>
          <w:rFonts w:ascii="Georgia" w:eastAsia="Times New Roman" w:hAnsi="Georgia"/>
          <w:color w:val="auto"/>
          <w:sz w:val="20"/>
          <w:lang w:val="en-GB" w:eastAsia="de-DE"/>
        </w:rPr>
      </w:pPr>
    </w:p>
    <w:p w:rsidR="00240508" w:rsidRPr="00174B93" w:rsidRDefault="00240508" w:rsidP="00715121">
      <w:pPr>
        <w:pStyle w:val="BarclaysBodyCopy"/>
        <w:numPr>
          <w:ilvl w:val="0"/>
          <w:numId w:val="17"/>
        </w:numPr>
        <w:rPr>
          <w:rFonts w:ascii="Georgia" w:eastAsia="Times New Roman" w:hAnsi="Georgia"/>
          <w:i/>
          <w:color w:val="auto"/>
          <w:sz w:val="20"/>
          <w:lang w:val="en-GB" w:eastAsia="de-DE"/>
        </w:rPr>
      </w:pPr>
      <w:r w:rsidRPr="00174B93">
        <w:rPr>
          <w:rFonts w:ascii="Georgia" w:eastAsia="Times New Roman" w:hAnsi="Georgia"/>
          <w:i/>
          <w:color w:val="auto"/>
          <w:sz w:val="20"/>
          <w:lang w:val="en-GB" w:eastAsia="de-DE"/>
        </w:rPr>
        <w:t>Removal of a class of derivatives from the clearing obligation</w:t>
      </w:r>
    </w:p>
    <w:p w:rsidR="00240508" w:rsidRPr="00174B93" w:rsidRDefault="00240508" w:rsidP="00240508">
      <w:pPr>
        <w:pStyle w:val="BarclaysBodyCopy"/>
        <w:ind w:left="720"/>
        <w:rPr>
          <w:rFonts w:ascii="Georgia" w:eastAsia="Times New Roman" w:hAnsi="Georgia"/>
          <w:color w:val="auto"/>
          <w:sz w:val="20"/>
          <w:lang w:val="en-GB" w:eastAsia="de-DE"/>
        </w:rPr>
      </w:pPr>
      <w:r w:rsidRPr="00174B93">
        <w:rPr>
          <w:rFonts w:ascii="Georgia" w:eastAsia="Times New Roman" w:hAnsi="Georgia"/>
          <w:color w:val="auto"/>
          <w:sz w:val="20"/>
          <w:lang w:val="en-GB" w:eastAsia="de-DE"/>
        </w:rPr>
        <w:t xml:space="preserve">We have significant concerns </w:t>
      </w:r>
      <w:r w:rsidR="003977C2">
        <w:rPr>
          <w:rFonts w:ascii="Georgia" w:eastAsia="Times New Roman" w:hAnsi="Georgia"/>
          <w:color w:val="auto"/>
          <w:sz w:val="20"/>
          <w:lang w:val="en-GB" w:eastAsia="de-DE"/>
        </w:rPr>
        <w:t xml:space="preserve">deriving from </w:t>
      </w:r>
      <w:r w:rsidR="00E17D2D">
        <w:rPr>
          <w:rFonts w:ascii="Georgia" w:eastAsia="Times New Roman" w:hAnsi="Georgia"/>
          <w:color w:val="auto"/>
          <w:sz w:val="20"/>
          <w:lang w:val="en-GB" w:eastAsia="de-DE"/>
        </w:rPr>
        <w:t>the inability of ESMA to remove a class of derivatives from the clearing obligation. Global c</w:t>
      </w:r>
      <w:r w:rsidRPr="00174B93">
        <w:rPr>
          <w:rFonts w:ascii="Georgia" w:eastAsia="Times New Roman" w:hAnsi="Georgia"/>
          <w:color w:val="auto"/>
          <w:sz w:val="20"/>
          <w:lang w:val="en-GB" w:eastAsia="de-DE"/>
        </w:rPr>
        <w:t>apital requirements coming into force may limit clearing member options in handling situations th</w:t>
      </w:r>
      <w:r w:rsidR="00F55452" w:rsidRPr="00174B93">
        <w:rPr>
          <w:rFonts w:ascii="Georgia" w:eastAsia="Times New Roman" w:hAnsi="Georgia"/>
          <w:color w:val="auto"/>
          <w:sz w:val="20"/>
          <w:lang w:val="en-GB" w:eastAsia="de-DE"/>
        </w:rPr>
        <w:t>at</w:t>
      </w:r>
      <w:r w:rsidRPr="00174B93">
        <w:rPr>
          <w:rFonts w:ascii="Georgia" w:eastAsia="Times New Roman" w:hAnsi="Georgia"/>
          <w:color w:val="auto"/>
          <w:sz w:val="20"/>
          <w:lang w:val="en-GB" w:eastAsia="de-DE"/>
        </w:rPr>
        <w:t xml:space="preserve"> necessitate the removal of a class of derivatives and </w:t>
      </w:r>
      <w:r w:rsidRPr="00174B93">
        <w:rPr>
          <w:rFonts w:ascii="Georgia" w:eastAsia="Times New Roman" w:hAnsi="Georgia"/>
          <w:color w:val="auto"/>
          <w:sz w:val="20"/>
          <w:lang w:val="en-GB" w:eastAsia="de-DE"/>
        </w:rPr>
        <w:lastRenderedPageBreak/>
        <w:t>the inability to remove an obligation could result in significant market disruption and liquidation.</w:t>
      </w:r>
      <w:r w:rsidR="00BA19A1" w:rsidRPr="00174B93">
        <w:rPr>
          <w:rFonts w:ascii="Georgia" w:eastAsia="Times New Roman" w:hAnsi="Georgia"/>
          <w:color w:val="auto"/>
          <w:sz w:val="20"/>
          <w:lang w:val="en-GB" w:eastAsia="de-DE"/>
        </w:rPr>
        <w:t xml:space="preserve"> We will elaborate on these concerns as</w:t>
      </w:r>
      <w:r w:rsidR="00F55452" w:rsidRPr="00174B93">
        <w:rPr>
          <w:rFonts w:ascii="Georgia" w:eastAsia="Times New Roman" w:hAnsi="Georgia"/>
          <w:color w:val="auto"/>
          <w:sz w:val="20"/>
          <w:lang w:val="en-GB" w:eastAsia="de-DE"/>
        </w:rPr>
        <w:t xml:space="preserve"> </w:t>
      </w:r>
      <w:r w:rsidR="00BA19A1" w:rsidRPr="00174B93">
        <w:rPr>
          <w:rFonts w:ascii="Georgia" w:eastAsia="Times New Roman" w:hAnsi="Georgia"/>
          <w:color w:val="auto"/>
          <w:sz w:val="20"/>
          <w:lang w:val="en-GB" w:eastAsia="de-DE"/>
        </w:rPr>
        <w:t>part of our response to question</w:t>
      </w:r>
      <w:r w:rsidR="008958C3">
        <w:rPr>
          <w:rFonts w:ascii="Georgia" w:eastAsia="Times New Roman" w:hAnsi="Georgia"/>
          <w:color w:val="auto"/>
          <w:sz w:val="20"/>
          <w:lang w:val="en-GB" w:eastAsia="de-DE"/>
        </w:rPr>
        <w:t>s</w:t>
      </w:r>
      <w:r w:rsidR="00BA19A1" w:rsidRPr="00174B93">
        <w:rPr>
          <w:rFonts w:ascii="Georgia" w:eastAsia="Times New Roman" w:hAnsi="Georgia"/>
          <w:color w:val="auto"/>
          <w:sz w:val="20"/>
          <w:lang w:val="en-GB" w:eastAsia="de-DE"/>
        </w:rPr>
        <w:t xml:space="preserve"> four</w:t>
      </w:r>
      <w:r w:rsidR="00E17D2D">
        <w:rPr>
          <w:rFonts w:ascii="Georgia" w:eastAsia="Times New Roman" w:hAnsi="Georgia"/>
          <w:color w:val="auto"/>
          <w:sz w:val="20"/>
          <w:lang w:val="en-GB" w:eastAsia="de-DE"/>
        </w:rPr>
        <w:t xml:space="preserve"> and six</w:t>
      </w:r>
      <w:r w:rsidR="00BA19A1" w:rsidRPr="00174B93">
        <w:rPr>
          <w:rFonts w:ascii="Georgia" w:eastAsia="Times New Roman" w:hAnsi="Georgia"/>
          <w:color w:val="auto"/>
          <w:sz w:val="20"/>
          <w:lang w:val="en-GB" w:eastAsia="de-DE"/>
        </w:rPr>
        <w:t>.</w:t>
      </w:r>
    </w:p>
    <w:p w:rsidR="00BA19A1" w:rsidRPr="00174B93" w:rsidRDefault="00BA19A1" w:rsidP="00E17D2D">
      <w:pPr>
        <w:pStyle w:val="BarclaysBodyCopy"/>
        <w:rPr>
          <w:rFonts w:ascii="Georgia" w:eastAsia="Times New Roman" w:hAnsi="Georgia"/>
          <w:color w:val="auto"/>
          <w:sz w:val="20"/>
          <w:lang w:val="en-GB" w:eastAsia="de-DE"/>
        </w:rPr>
      </w:pPr>
    </w:p>
    <w:p w:rsidR="00240508" w:rsidRPr="00174B93" w:rsidRDefault="00240508" w:rsidP="00715121">
      <w:pPr>
        <w:pStyle w:val="BarclaysBodyCopy"/>
        <w:numPr>
          <w:ilvl w:val="0"/>
          <w:numId w:val="17"/>
        </w:numPr>
        <w:rPr>
          <w:rFonts w:ascii="Georgia" w:eastAsia="Times New Roman" w:hAnsi="Georgia"/>
          <w:i/>
          <w:color w:val="auto"/>
          <w:sz w:val="20"/>
          <w:lang w:val="en-GB" w:eastAsia="de-DE"/>
        </w:rPr>
      </w:pPr>
      <w:r w:rsidRPr="00174B93">
        <w:rPr>
          <w:rFonts w:ascii="Georgia" w:eastAsia="Times New Roman" w:hAnsi="Georgia"/>
          <w:i/>
          <w:color w:val="auto"/>
          <w:sz w:val="20"/>
          <w:lang w:val="en-GB" w:eastAsia="de-DE"/>
        </w:rPr>
        <w:t xml:space="preserve">Criteria for the number of CCPs </w:t>
      </w:r>
      <w:r w:rsidR="007A2A53">
        <w:rPr>
          <w:rFonts w:ascii="Georgia" w:eastAsia="Times New Roman" w:hAnsi="Georgia"/>
          <w:i/>
          <w:color w:val="auto"/>
          <w:sz w:val="20"/>
          <w:lang w:val="en-GB" w:eastAsia="de-DE"/>
        </w:rPr>
        <w:t xml:space="preserve">and Clearing Members </w:t>
      </w:r>
      <w:r w:rsidR="008958C3">
        <w:rPr>
          <w:rFonts w:ascii="Georgia" w:eastAsia="Times New Roman" w:hAnsi="Georgia"/>
          <w:i/>
          <w:color w:val="auto"/>
          <w:sz w:val="20"/>
          <w:lang w:val="en-GB" w:eastAsia="de-DE"/>
        </w:rPr>
        <w:t xml:space="preserve">(CM) </w:t>
      </w:r>
      <w:r w:rsidRPr="00174B93">
        <w:rPr>
          <w:rFonts w:ascii="Georgia" w:eastAsia="Times New Roman" w:hAnsi="Georgia"/>
          <w:i/>
          <w:color w:val="auto"/>
          <w:sz w:val="20"/>
          <w:lang w:val="en-GB" w:eastAsia="de-DE"/>
        </w:rPr>
        <w:t>that clear a product</w:t>
      </w:r>
    </w:p>
    <w:p w:rsidR="007A2A53" w:rsidRPr="00174B93" w:rsidRDefault="00BA19A1" w:rsidP="007A2A53">
      <w:pPr>
        <w:pStyle w:val="BarclaysBodyCopy"/>
        <w:ind w:left="720"/>
        <w:rPr>
          <w:rFonts w:ascii="Georgia" w:eastAsia="Times New Roman" w:hAnsi="Georgia"/>
          <w:color w:val="auto"/>
          <w:sz w:val="20"/>
          <w:lang w:val="en-GB" w:eastAsia="de-DE"/>
        </w:rPr>
      </w:pPr>
      <w:r w:rsidRPr="00174B93">
        <w:rPr>
          <w:rFonts w:ascii="Georgia" w:eastAsia="Times New Roman" w:hAnsi="Georgia"/>
          <w:color w:val="auto"/>
          <w:sz w:val="20"/>
          <w:lang w:val="en-GB" w:eastAsia="de-DE"/>
        </w:rPr>
        <w:t xml:space="preserve">We </w:t>
      </w:r>
      <w:r w:rsidR="007A2A53">
        <w:rPr>
          <w:rFonts w:ascii="Georgia" w:eastAsia="Times New Roman" w:hAnsi="Georgia"/>
          <w:color w:val="auto"/>
          <w:sz w:val="20"/>
          <w:lang w:val="en-GB" w:eastAsia="de-DE"/>
        </w:rPr>
        <w:t xml:space="preserve">are supportive of the ISDA response in strongly considering that at least two CCPs </w:t>
      </w:r>
      <w:r w:rsidRPr="00174B93">
        <w:rPr>
          <w:rFonts w:ascii="Georgia" w:eastAsia="Times New Roman" w:hAnsi="Georgia"/>
          <w:color w:val="auto"/>
          <w:sz w:val="20"/>
          <w:lang w:val="en-GB" w:eastAsia="de-DE"/>
        </w:rPr>
        <w:t>clear</w:t>
      </w:r>
      <w:r w:rsidR="007A2A53">
        <w:rPr>
          <w:rFonts w:ascii="Georgia" w:eastAsia="Times New Roman" w:hAnsi="Georgia"/>
          <w:color w:val="auto"/>
          <w:sz w:val="20"/>
          <w:lang w:val="en-GB" w:eastAsia="de-DE"/>
        </w:rPr>
        <w:t xml:space="preserve"> a class of derivatives</w:t>
      </w:r>
      <w:r w:rsidRPr="00174B93">
        <w:rPr>
          <w:rFonts w:ascii="Georgia" w:eastAsia="Times New Roman" w:hAnsi="Georgia"/>
          <w:color w:val="auto"/>
          <w:sz w:val="20"/>
          <w:lang w:val="en-GB" w:eastAsia="de-DE"/>
        </w:rPr>
        <w:t xml:space="preserve"> </w:t>
      </w:r>
      <w:r w:rsidR="007A2A53">
        <w:rPr>
          <w:rFonts w:ascii="Georgia" w:eastAsia="Times New Roman" w:hAnsi="Georgia"/>
          <w:color w:val="auto"/>
          <w:sz w:val="20"/>
          <w:lang w:val="en-GB" w:eastAsia="de-DE"/>
        </w:rPr>
        <w:t xml:space="preserve">before importing a clearing </w:t>
      </w:r>
      <w:r w:rsidRPr="00174B93">
        <w:rPr>
          <w:rFonts w:ascii="Georgia" w:eastAsia="Times New Roman" w:hAnsi="Georgia"/>
          <w:color w:val="auto"/>
          <w:sz w:val="20"/>
          <w:lang w:val="en-GB" w:eastAsia="de-DE"/>
        </w:rPr>
        <w:t>obligation</w:t>
      </w:r>
      <w:r w:rsidR="007A2A53">
        <w:rPr>
          <w:rFonts w:ascii="Georgia" w:eastAsia="Times New Roman" w:hAnsi="Georgia"/>
          <w:color w:val="auto"/>
          <w:sz w:val="20"/>
          <w:lang w:val="en-GB" w:eastAsia="de-DE"/>
        </w:rPr>
        <w:t xml:space="preserve">. </w:t>
      </w:r>
      <w:r w:rsidRPr="00174B93">
        <w:rPr>
          <w:rFonts w:ascii="Georgia" w:eastAsia="Times New Roman" w:hAnsi="Georgia"/>
          <w:color w:val="auto"/>
          <w:sz w:val="20"/>
          <w:lang w:val="en-GB" w:eastAsia="de-DE"/>
        </w:rPr>
        <w:t xml:space="preserve"> </w:t>
      </w:r>
      <w:r w:rsidR="007A2A53">
        <w:rPr>
          <w:rFonts w:ascii="Georgia" w:eastAsia="Times New Roman" w:hAnsi="Georgia"/>
          <w:color w:val="auto"/>
          <w:sz w:val="20"/>
          <w:lang w:val="en-GB" w:eastAsia="de-DE"/>
        </w:rPr>
        <w:t>However in considering this, we note that this brings another challenge not addressed in the section 4.1 analysis as it relates to when a CCP has its authorisation or recognition revoke</w:t>
      </w:r>
      <w:r w:rsidR="008958C3">
        <w:rPr>
          <w:rFonts w:ascii="Georgia" w:eastAsia="Times New Roman" w:hAnsi="Georgia"/>
          <w:color w:val="auto"/>
          <w:sz w:val="20"/>
          <w:lang w:val="en-GB" w:eastAsia="de-DE"/>
        </w:rPr>
        <w:t>d</w:t>
      </w:r>
      <w:r w:rsidR="007A2A53">
        <w:rPr>
          <w:rFonts w:ascii="Georgia" w:eastAsia="Times New Roman" w:hAnsi="Georgia"/>
          <w:color w:val="auto"/>
          <w:sz w:val="20"/>
          <w:lang w:val="en-GB" w:eastAsia="de-DE"/>
        </w:rPr>
        <w:t>. P</w:t>
      </w:r>
      <w:r w:rsidR="00240508" w:rsidRPr="00174B93">
        <w:rPr>
          <w:rFonts w:ascii="Georgia" w:eastAsia="Times New Roman" w:hAnsi="Georgia"/>
          <w:color w:val="auto"/>
          <w:sz w:val="20"/>
          <w:lang w:val="en-GB" w:eastAsia="de-DE"/>
        </w:rPr>
        <w:t xml:space="preserve">rudentially regulated firms could face significant capital requirements </w:t>
      </w:r>
      <w:r w:rsidRPr="00174B93">
        <w:rPr>
          <w:rFonts w:ascii="Georgia" w:eastAsia="Times New Roman" w:hAnsi="Georgia"/>
          <w:color w:val="auto"/>
          <w:sz w:val="20"/>
          <w:lang w:val="en-GB" w:eastAsia="de-DE"/>
        </w:rPr>
        <w:t xml:space="preserve">and challenges in carrying positions that are </w:t>
      </w:r>
      <w:r w:rsidR="003977C2">
        <w:rPr>
          <w:rFonts w:ascii="Georgia" w:eastAsia="Times New Roman" w:hAnsi="Georgia"/>
          <w:color w:val="auto"/>
          <w:sz w:val="20"/>
          <w:lang w:val="en-GB" w:eastAsia="de-DE"/>
        </w:rPr>
        <w:t>held with a non-</w:t>
      </w:r>
      <w:r w:rsidRPr="00174B93">
        <w:rPr>
          <w:rFonts w:ascii="Georgia" w:eastAsia="Times New Roman" w:hAnsi="Georgia"/>
          <w:color w:val="auto"/>
          <w:sz w:val="20"/>
          <w:lang w:val="en-GB" w:eastAsia="de-DE"/>
        </w:rPr>
        <w:t>qualifying CCP</w:t>
      </w:r>
      <w:r w:rsidR="008958C3">
        <w:rPr>
          <w:rFonts w:ascii="Georgia" w:eastAsia="Times New Roman" w:hAnsi="Georgia"/>
          <w:color w:val="auto"/>
          <w:sz w:val="20"/>
          <w:lang w:val="en-GB" w:eastAsia="de-DE"/>
        </w:rPr>
        <w:t xml:space="preserve"> as per the Capital R</w:t>
      </w:r>
      <w:r w:rsidR="003977C2">
        <w:rPr>
          <w:rFonts w:ascii="Georgia" w:eastAsia="Times New Roman" w:hAnsi="Georgia"/>
          <w:color w:val="auto"/>
          <w:sz w:val="20"/>
          <w:lang w:val="en-GB" w:eastAsia="de-DE"/>
        </w:rPr>
        <w:t>equirements Regulation and Directive (“CRR” and “CRDIV”)</w:t>
      </w:r>
      <w:r w:rsidRPr="00174B93">
        <w:rPr>
          <w:rFonts w:ascii="Georgia" w:eastAsia="Times New Roman" w:hAnsi="Georgia"/>
          <w:color w:val="auto"/>
          <w:sz w:val="20"/>
          <w:lang w:val="en-GB" w:eastAsia="de-DE"/>
        </w:rPr>
        <w:t xml:space="preserve">. </w:t>
      </w:r>
      <w:r w:rsidR="007A2A53">
        <w:rPr>
          <w:rFonts w:ascii="Georgia" w:eastAsia="Times New Roman" w:hAnsi="Georgia"/>
          <w:color w:val="auto"/>
          <w:sz w:val="20"/>
          <w:lang w:val="en-GB" w:eastAsia="de-DE"/>
        </w:rPr>
        <w:t>Due to these</w:t>
      </w:r>
      <w:r w:rsidR="007A2A53" w:rsidRPr="00174B93">
        <w:rPr>
          <w:rFonts w:ascii="Georgia" w:eastAsia="Times New Roman" w:hAnsi="Georgia"/>
          <w:color w:val="auto"/>
          <w:sz w:val="20"/>
          <w:lang w:val="en-GB" w:eastAsia="de-DE"/>
        </w:rPr>
        <w:t xml:space="preserve"> capital regulations, the composition of CMs may change over time and an active and ongoing review of the quantity and financial resource capacity of those CMs is critical to understanding the capacity for the infrastructure to handle a clearing obligation. We elaborate on these concerns in our response to question six.</w:t>
      </w:r>
      <w:r w:rsidR="008958C3">
        <w:rPr>
          <w:rFonts w:ascii="Georgia" w:eastAsia="Times New Roman" w:hAnsi="Georgia"/>
          <w:color w:val="auto"/>
          <w:sz w:val="20"/>
          <w:lang w:val="en-GB" w:eastAsia="de-DE"/>
        </w:rPr>
        <w:t xml:space="preserve"> </w:t>
      </w:r>
    </w:p>
    <w:permEnd w:id="4"/>
    <w:p w:rsidR="008203F7" w:rsidRPr="008203F7" w:rsidRDefault="008203F7" w:rsidP="008203F7">
      <w:r>
        <w:t>&lt;ESMA_COMMENT_1&gt;</w:t>
      </w:r>
    </w:p>
    <w:p w:rsidR="00940A63" w:rsidRDefault="00940A63" w:rsidP="00940A63"/>
    <w:p w:rsidR="00940A63" w:rsidRPr="006D44AF" w:rsidRDefault="00E363D7" w:rsidP="00940A63">
      <w:pPr>
        <w:pStyle w:val="Heading1"/>
      </w:pPr>
      <w:bookmarkStart w:id="3" w:name="_Toc392599421"/>
      <w:r>
        <w:tab/>
      </w:r>
      <w:r w:rsidR="00940A63" w:rsidRPr="006D44AF">
        <w:t>The clearing obligation procedure</w:t>
      </w:r>
      <w:bookmarkStart w:id="4" w:name="_Toc391309264"/>
      <w:bookmarkStart w:id="5" w:name="_Toc391312004"/>
      <w:bookmarkStart w:id="6" w:name="_Toc391309265"/>
      <w:bookmarkStart w:id="7" w:name="_Toc391312005"/>
      <w:bookmarkEnd w:id="3"/>
      <w:bookmarkEnd w:id="4"/>
      <w:bookmarkEnd w:id="5"/>
      <w:bookmarkEnd w:id="6"/>
      <w:bookmarkEnd w:id="7"/>
    </w:p>
    <w:p w:rsidR="00940A63" w:rsidRDefault="00940A63" w:rsidP="00940A63"/>
    <w:p w:rsidR="00940A63" w:rsidRDefault="00940A63" w:rsidP="00940A63">
      <w:pPr>
        <w:pStyle w:val="Questions"/>
      </w:pPr>
      <w:r>
        <w:t xml:space="preserve">Question </w:t>
      </w:r>
      <w:fldSimple w:instr=" SEQ Question \* ARABIC ">
        <w:r w:rsidR="00A63BA9">
          <w:rPr>
            <w:noProof/>
          </w:rPr>
          <w:t>1</w:t>
        </w:r>
      </w:fldSimple>
      <w:r>
        <w:t>: Do you have any comment on the clearing obligation procedure described in Section 1?</w:t>
      </w:r>
    </w:p>
    <w:p w:rsidR="00940A63" w:rsidRDefault="00940A63" w:rsidP="00940A63"/>
    <w:p w:rsidR="00940A63" w:rsidRDefault="00940A63" w:rsidP="00940A63">
      <w:r>
        <w:t>&lt;ESMA_QUESTION_1&gt;</w:t>
      </w:r>
    </w:p>
    <w:p w:rsidR="001B26F6" w:rsidRDefault="00966CF3" w:rsidP="00940A63">
      <w:permStart w:id="5" w:edGrp="everyone"/>
      <w:r>
        <w:t xml:space="preserve">Barclays strongly endorses ISDA proposal </w:t>
      </w:r>
      <w:r w:rsidR="00D06705">
        <w:t xml:space="preserve">2(b) </w:t>
      </w:r>
      <w:r>
        <w:t xml:space="preserve">with respect to the way in which ESMA could introduce the clearing obligation on an asset class basis through the development of a standard RTS from which each asset class is added as an annex. Doing so would allow ESMA to bring certainty to cross asset definitions (i.e. counterparty classifications, </w:t>
      </w:r>
      <w:r w:rsidR="008958C3">
        <w:t>phase-in</w:t>
      </w:r>
      <w:r>
        <w:t xml:space="preserve"> treatment, recital clarifications, </w:t>
      </w:r>
      <w:r w:rsidR="00775814">
        <w:t>and frontloading applicability) while maintaining the ability for the industry to suggest, and for ESMA to adopt, a separate RTS should a particular class be deemed sufficiently different.</w:t>
      </w:r>
      <w:r w:rsidR="00B63BF4">
        <w:t xml:space="preserve"> </w:t>
      </w:r>
    </w:p>
    <w:p w:rsidR="001B26F6" w:rsidRDefault="001B26F6" w:rsidP="00940A63"/>
    <w:p w:rsidR="00940A63" w:rsidRDefault="00B63BF4" w:rsidP="00940A63">
      <w:r>
        <w:t xml:space="preserve">This approach also significantly mitigates concerns that a counterparty could switch </w:t>
      </w:r>
      <w:r w:rsidR="001B26F6">
        <w:t xml:space="preserve">category </w:t>
      </w:r>
      <w:r>
        <w:t>classification</w:t>
      </w:r>
      <w:r w:rsidR="001B26F6">
        <w:t xml:space="preserve">s in the middle of a </w:t>
      </w:r>
      <w:r w:rsidR="008958C3">
        <w:t>phase-in</w:t>
      </w:r>
      <w:r w:rsidR="001B26F6">
        <w:t xml:space="preserve"> period. The current draft RTS details the concept of a Class+ which would be a cumulative approach to defining the products subject to a clearing obligation. By assessing counterparty classification across all asset classes as oppose</w:t>
      </w:r>
      <w:r w:rsidR="003977C2">
        <w:t>d</w:t>
      </w:r>
      <w:r w:rsidR="001B26F6">
        <w:t xml:space="preserve"> to each asset class individually raises legal uncertainty as to when a particular counterparty’s obligation comes into effect. We would, in this particular context, welcome all policy intentions of ESMA to bring further legal certainty to the enforceability of obligations by adopting proposal 2(b) in the ISDA response.</w:t>
      </w:r>
    </w:p>
    <w:permEnd w:id="5"/>
    <w:p w:rsidR="00E363D7" w:rsidRDefault="00940A63" w:rsidP="00940A63">
      <w:r>
        <w:t>&lt;ESMA_QUESTION_1&gt;</w:t>
      </w:r>
    </w:p>
    <w:p w:rsidR="00E363D7" w:rsidRDefault="00E363D7" w:rsidP="00940A63"/>
    <w:p w:rsidR="00940A63" w:rsidRDefault="00E363D7" w:rsidP="00940A63">
      <w:pPr>
        <w:pStyle w:val="Heading1"/>
      </w:pPr>
      <w:bookmarkStart w:id="8" w:name="_Toc389496892"/>
      <w:bookmarkStart w:id="9" w:name="_Toc392599422"/>
      <w:r>
        <w:tab/>
      </w:r>
      <w:r w:rsidR="00940A63">
        <w:t>Structure of the interest rate derivatives classes</w:t>
      </w:r>
      <w:bookmarkEnd w:id="8"/>
      <w:bookmarkEnd w:id="9"/>
    </w:p>
    <w:p w:rsidR="00940A63" w:rsidRDefault="00940A63" w:rsidP="00940A63">
      <w:pPr>
        <w:pStyle w:val="Heading2"/>
      </w:pPr>
      <w:r>
        <w:t>Characteristics to be used for interest rate derivative classes</w:t>
      </w:r>
    </w:p>
    <w:p w:rsidR="00940A63" w:rsidRDefault="00940A63" w:rsidP="00940A63">
      <w:pPr>
        <w:pStyle w:val="Questions"/>
      </w:pPr>
      <w:r>
        <w:t xml:space="preserve">Question </w:t>
      </w:r>
      <w:fldSimple w:instr=" SEQ Question \* ARABIC ">
        <w:r w:rsidR="00A63BA9">
          <w:rPr>
            <w:noProof/>
          </w:rPr>
          <w:t>2</w:t>
        </w:r>
      </w:fldSimple>
      <w:r>
        <w:t>: Do you consider that the proposed structure defined here for the interest rate OTC derivative classes enables counterparties to identify which contracts fall under the clearing obligation as well as allows international convergence? Please explain.</w:t>
      </w:r>
    </w:p>
    <w:p w:rsidR="00940A63" w:rsidRDefault="00940A63" w:rsidP="00940A63"/>
    <w:p w:rsidR="00940A63" w:rsidRDefault="00940A63" w:rsidP="00940A63">
      <w:r>
        <w:t>&lt;ESMA_QUESTION_2&gt;</w:t>
      </w:r>
    </w:p>
    <w:p w:rsidR="00940A63" w:rsidRDefault="001B26F6" w:rsidP="00940A63">
      <w:permStart w:id="6" w:edGrp="everyone"/>
      <w:r>
        <w:t>Barclays endorses the ISDA response with respect to the two step approach that clarified a product would not be subject to the clearing obligation if no CCP can clear it, notwithstanding that it may meet all other product definition criteria of the class of OTC derivatives subject to the obligation. In</w:t>
      </w:r>
      <w:r w:rsidR="00246AFA">
        <w:t>corporating this test explicitly will mitigate the</w:t>
      </w:r>
      <w:r w:rsidR="008958C3">
        <w:t xml:space="preserve"> concern that there would be no</w:t>
      </w:r>
      <w:r w:rsidR="00246AFA">
        <w:t>where to clear a product, resulting in an inability to trade it at all.</w:t>
      </w:r>
    </w:p>
    <w:p w:rsidR="00246AFA" w:rsidRDefault="00246AFA" w:rsidP="00940A63"/>
    <w:p w:rsidR="00246AFA" w:rsidRDefault="00246AFA" w:rsidP="00940A63">
      <w:r>
        <w:lastRenderedPageBreak/>
        <w:t>We also share the same concerns as ISDA relating to w</w:t>
      </w:r>
      <w:r w:rsidR="00F55452">
        <w:t>hen only 1 CCP clears a product, in addition to concerns relating to the requirement to factor in third country CCPs. We will more fully explain our concerns in the response to question six given it relates specifically to ESMA’s section 4.1 analysis of clearing members.</w:t>
      </w:r>
      <w:r>
        <w:t xml:space="preserve"> </w:t>
      </w:r>
    </w:p>
    <w:permEnd w:id="6"/>
    <w:p w:rsidR="00940A63" w:rsidRDefault="00940A63" w:rsidP="00940A63">
      <w:r>
        <w:t>&lt;ESMA_QUESTION_2&gt;</w:t>
      </w:r>
    </w:p>
    <w:p w:rsidR="00940A63" w:rsidRDefault="00940A63" w:rsidP="00940A63"/>
    <w:p w:rsidR="00940A63" w:rsidRDefault="00940A63" w:rsidP="00940A63">
      <w:pPr>
        <w:pStyle w:val="Heading2"/>
      </w:pPr>
      <w:r>
        <w:t>Additional Characteristics needed to cover Covered Bonds derivatives</w:t>
      </w:r>
    </w:p>
    <w:p w:rsidR="00940A63" w:rsidRDefault="00940A63" w:rsidP="00940A63">
      <w:pPr>
        <w:pStyle w:val="Questions"/>
      </w:pPr>
      <w:r>
        <w:t xml:space="preserve">Question </w:t>
      </w:r>
      <w:fldSimple w:instr=" SEQ Question \* ARABIC ">
        <w:r w:rsidR="00A63BA9">
          <w:rPr>
            <w:noProof/>
          </w:rPr>
          <w:t>3</w:t>
        </w:r>
      </w:fldSimple>
      <w:r>
        <w:t>: Do you consider that the proposed approach on covered bonds derivatives ensures that the special characteristics of those contracts are adequately taken into account in the context of the clearing obligation? Please explain why and possible alternatives.</w:t>
      </w:r>
    </w:p>
    <w:p w:rsidR="00940A63" w:rsidRPr="00525EBD" w:rsidRDefault="00940A63" w:rsidP="00940A63">
      <w:pPr>
        <w:pStyle w:val="Questions"/>
      </w:pPr>
      <w:r>
        <w:t xml:space="preserve">Stakeholders (CCPs and covered bond derivatives users, in particular) are invited to provide detailed feedback on paragraph </w:t>
      </w:r>
      <w:r w:rsidR="00A63BA9">
        <w:t xml:space="preserve">38 </w:t>
      </w:r>
      <w:r>
        <w:t>above. In particular: what is the nature of the impediments (e.g. legal, technical) that CCPs are facing in this respect, if any? Has there been further discussions between CCPs and covered bond derivatives users and any progress resulting thereof?</w:t>
      </w:r>
    </w:p>
    <w:p w:rsidR="00940A63" w:rsidRDefault="00940A63" w:rsidP="00940A63"/>
    <w:p w:rsidR="00940A63" w:rsidRDefault="00940A63" w:rsidP="00940A63">
      <w:r>
        <w:t>&lt;ESMA_QUESTION_3&gt;</w:t>
      </w:r>
    </w:p>
    <w:p w:rsidR="00940A63" w:rsidRDefault="00F55452" w:rsidP="00940A63">
      <w:permStart w:id="7" w:edGrp="everyone"/>
      <w:r>
        <w:t xml:space="preserve">We support the positions of </w:t>
      </w:r>
      <w:r w:rsidR="00F64976">
        <w:t>both the ISDA</w:t>
      </w:r>
      <w:r>
        <w:t xml:space="preserve"> and European Covered Bond Council (“ECBC”) responses.</w:t>
      </w:r>
    </w:p>
    <w:permEnd w:id="7"/>
    <w:p w:rsidR="00940A63" w:rsidRDefault="00940A63" w:rsidP="00940A63">
      <w:r>
        <w:t>&lt;ESMA_QUESTION_3&gt;</w:t>
      </w:r>
    </w:p>
    <w:p w:rsidR="00940A63" w:rsidRDefault="00940A63" w:rsidP="00940A63"/>
    <w:p w:rsidR="00940A63" w:rsidRDefault="00940A63" w:rsidP="00940A63">
      <w:pPr>
        <w:pStyle w:val="Heading2"/>
      </w:pPr>
      <w:bookmarkStart w:id="10" w:name="_Ref392590661"/>
      <w:r>
        <w:t>Public Register</w:t>
      </w:r>
      <w:bookmarkEnd w:id="10"/>
    </w:p>
    <w:p w:rsidR="00940A63" w:rsidRDefault="00940A63" w:rsidP="00940A63">
      <w:pPr>
        <w:pStyle w:val="Questions"/>
      </w:pPr>
      <w:r>
        <w:t xml:space="preserve">Question </w:t>
      </w:r>
      <w:fldSimple w:instr=" SEQ Question \* ARABIC ">
        <w:r w:rsidR="00A63BA9">
          <w:rPr>
            <w:noProof/>
          </w:rPr>
          <w:t>4</w:t>
        </w:r>
      </w:fldSimple>
      <w:r>
        <w:t xml:space="preserve">: Do you have any comment on the public register described in Section </w:t>
      </w:r>
      <w:r w:rsidR="00824EE5">
        <w:fldChar w:fldCharType="begin"/>
      </w:r>
      <w:r>
        <w:instrText xml:space="preserve"> REF _Ref392590661 \r \h </w:instrText>
      </w:r>
      <w:r w:rsidR="00824EE5">
        <w:fldChar w:fldCharType="separate"/>
      </w:r>
      <w:r w:rsidR="00A63BA9">
        <w:t>2.3</w:t>
      </w:r>
      <w:r w:rsidR="00824EE5">
        <w:fldChar w:fldCharType="end"/>
      </w:r>
      <w:r>
        <w:t>?</w:t>
      </w:r>
    </w:p>
    <w:p w:rsidR="00940A63" w:rsidRDefault="00940A63" w:rsidP="00940A63"/>
    <w:p w:rsidR="00940A63" w:rsidRDefault="00940A63" w:rsidP="00940A63">
      <w:r>
        <w:t>&lt;ESMA_QUESTION_4&gt;</w:t>
      </w:r>
    </w:p>
    <w:p w:rsidR="00940A63" w:rsidRDefault="00F30DC3" w:rsidP="00940A63">
      <w:permStart w:id="8" w:edGrp="everyone"/>
      <w:r>
        <w:t>We support t</w:t>
      </w:r>
      <w:r w:rsidR="00A21970">
        <w:t xml:space="preserve">he positions of the ISDA response for both the inclusion and removal of a class of derivatives. </w:t>
      </w:r>
    </w:p>
    <w:p w:rsidR="00A21970" w:rsidRDefault="00A21970" w:rsidP="00940A63"/>
    <w:p w:rsidR="00A21970" w:rsidRDefault="00A21970" w:rsidP="00940A63">
      <w:r>
        <w:t>We would like to stress the importance of the concerns highlighted for the removal of a clearing obligation. We envisage a number of scena</w:t>
      </w:r>
      <w:r w:rsidR="00A56FA0">
        <w:t>rios</w:t>
      </w:r>
      <w:r>
        <w:t xml:space="preserve"> </w:t>
      </w:r>
      <w:r w:rsidR="003977C2">
        <w:t xml:space="preserve">where the inability to remove a class subject to the clearing obligation could be highly disruptive to the market, </w:t>
      </w:r>
      <w:r>
        <w:t>particularly in times of market stress where the quality and financial resource capacity of the clearing me</w:t>
      </w:r>
      <w:r w:rsidR="003977C2">
        <w:t>mber infrastructure is degraded</w:t>
      </w:r>
      <w:r>
        <w:t xml:space="preserve">. </w:t>
      </w:r>
      <w:r w:rsidR="003977C2">
        <w:t>Global c</w:t>
      </w:r>
      <w:r w:rsidRPr="00A21970">
        <w:t>apital requirements coming into force may limit clea</w:t>
      </w:r>
      <w:r>
        <w:t>ring member options in handling a significant change in the overall clearing member composition of a particular CCP. Clearing members may not be in a position</w:t>
      </w:r>
      <w:r w:rsidR="0065657D">
        <w:t xml:space="preserve"> to absorb large volumes of cleared derivatives in the event </w:t>
      </w:r>
      <w:r w:rsidR="0080333E">
        <w:t xml:space="preserve">that </w:t>
      </w:r>
      <w:r w:rsidR="0065657D">
        <w:t xml:space="preserve">another clearing member defaults. The inability for </w:t>
      </w:r>
      <w:r w:rsidR="005B7A15">
        <w:t>institutions</w:t>
      </w:r>
      <w:r w:rsidR="0065657D">
        <w:t xml:space="preserve"> to convert this into bilateral flow</w:t>
      </w:r>
      <w:r w:rsidR="003977C2">
        <w:t xml:space="preserve">, as they may be </w:t>
      </w:r>
      <w:r w:rsidR="00883A20">
        <w:t>unable to find a clearer,</w:t>
      </w:r>
      <w:r w:rsidR="0065657D">
        <w:t xml:space="preserve"> may leave </w:t>
      </w:r>
      <w:r w:rsidR="00883A20">
        <w:t xml:space="preserve">them </w:t>
      </w:r>
      <w:r w:rsidR="0065657D">
        <w:t>exposed and un</w:t>
      </w:r>
      <w:r w:rsidR="007D6787">
        <w:t>-</w:t>
      </w:r>
      <w:r w:rsidR="0065657D">
        <w:t xml:space="preserve">hedged </w:t>
      </w:r>
      <w:r w:rsidR="00883A20">
        <w:t>due to the necessity to liquidate these positions.</w:t>
      </w:r>
      <w:r>
        <w:t xml:space="preserve"> </w:t>
      </w:r>
    </w:p>
    <w:p w:rsidR="00A21970" w:rsidRDefault="00A21970" w:rsidP="003977C2">
      <w:pPr>
        <w:tabs>
          <w:tab w:val="left" w:pos="2717"/>
        </w:tabs>
      </w:pPr>
    </w:p>
    <w:p w:rsidR="00A21970" w:rsidRDefault="00A21970" w:rsidP="00940A63">
      <w:r>
        <w:t xml:space="preserve">We </w:t>
      </w:r>
      <w:r w:rsidR="0065657D">
        <w:t xml:space="preserve">also </w:t>
      </w:r>
      <w:r>
        <w:t>note that EMIR Article 5(6) is only triggered when there is neither</w:t>
      </w:r>
      <w:r w:rsidR="0065657D">
        <w:t xml:space="preserve"> an authorised nor recognised CCP that clear</w:t>
      </w:r>
      <w:r w:rsidR="00A56FA0">
        <w:t>s</w:t>
      </w:r>
      <w:r w:rsidR="0065657D">
        <w:t xml:space="preserve"> a particular class of derivatives. As a result, </w:t>
      </w:r>
      <w:r w:rsidR="00A56FA0">
        <w:t xml:space="preserve">if a CCP’s authorisation is revoked and </w:t>
      </w:r>
      <w:r w:rsidR="0065657D">
        <w:t xml:space="preserve">that CCP clears a large proportion or majority of a particular class, </w:t>
      </w:r>
      <w:r w:rsidR="006A0A90">
        <w:t xml:space="preserve">then </w:t>
      </w:r>
      <w:r w:rsidR="0065657D">
        <w:t xml:space="preserve">Article 5(6) </w:t>
      </w:r>
      <w:r w:rsidR="006A0A90">
        <w:t>is</w:t>
      </w:r>
      <w:r w:rsidR="00A56FA0">
        <w:t xml:space="preserve"> not trigger</w:t>
      </w:r>
      <w:r w:rsidR="0065657D">
        <w:t xml:space="preserve"> </w:t>
      </w:r>
      <w:r w:rsidR="006A0A90">
        <w:t>where</w:t>
      </w:r>
      <w:r w:rsidR="0065657D">
        <w:t xml:space="preserve"> any </w:t>
      </w:r>
      <w:r w:rsidR="00A56FA0">
        <w:t xml:space="preserve">other </w:t>
      </w:r>
      <w:r w:rsidR="0065657D">
        <w:t xml:space="preserve">CCP globally clear that class of derivatives, </w:t>
      </w:r>
      <w:r w:rsidR="00A56FA0">
        <w:t>regardless of the operational capacity of the other CCP or the</w:t>
      </w:r>
      <w:r w:rsidR="0065657D">
        <w:t xml:space="preserve"> </w:t>
      </w:r>
      <w:r w:rsidR="006A0A90">
        <w:t xml:space="preserve">financial resource capacity of its </w:t>
      </w:r>
      <w:r w:rsidR="0065657D">
        <w:t>clearing member</w:t>
      </w:r>
      <w:r w:rsidR="006A0A90">
        <w:t>s</w:t>
      </w:r>
      <w:r w:rsidR="0065657D">
        <w:t xml:space="preserve"> to take on </w:t>
      </w:r>
      <w:r w:rsidR="0080333E">
        <w:t>the volume of transactions</w:t>
      </w:r>
      <w:r w:rsidR="00174B93">
        <w:t>.</w:t>
      </w:r>
    </w:p>
    <w:permEnd w:id="8"/>
    <w:p w:rsidR="00940A63" w:rsidRDefault="00940A63" w:rsidP="00940A63">
      <w:r>
        <w:t>&lt;ESMA_QUESTION_4&gt;</w:t>
      </w:r>
    </w:p>
    <w:p w:rsidR="00940A63" w:rsidRDefault="00E363D7" w:rsidP="00940A63">
      <w:pPr>
        <w:pStyle w:val="Heading1"/>
      </w:pPr>
      <w:bookmarkStart w:id="11" w:name="_Toc389466262"/>
      <w:bookmarkStart w:id="12" w:name="_Toc389496893"/>
      <w:bookmarkStart w:id="13" w:name="_Toc392599424"/>
      <w:r>
        <w:tab/>
      </w:r>
      <w:r w:rsidR="00940A63">
        <w:t xml:space="preserve">Determination of the </w:t>
      </w:r>
      <w:r>
        <w:t xml:space="preserve">OTC interest rate </w:t>
      </w:r>
      <w:r w:rsidR="00940A63">
        <w:t>c</w:t>
      </w:r>
      <w:r w:rsidR="00940A63" w:rsidRPr="00A84770">
        <w:t>lasses to be subject to the clearing obligation</w:t>
      </w:r>
      <w:bookmarkEnd w:id="11"/>
      <w:bookmarkEnd w:id="12"/>
      <w:bookmarkEnd w:id="13"/>
    </w:p>
    <w:p w:rsidR="00940A63" w:rsidRDefault="00940A63" w:rsidP="00940A63"/>
    <w:p w:rsidR="00D03FE1" w:rsidRDefault="00940A63" w:rsidP="00940A63">
      <w:pPr>
        <w:pStyle w:val="Questions"/>
      </w:pPr>
      <w:r>
        <w:t xml:space="preserve">Question </w:t>
      </w:r>
      <w:fldSimple w:instr=" SEQ Question \* ARABIC ">
        <w:r w:rsidR="00A63BA9">
          <w:rPr>
            <w:noProof/>
          </w:rPr>
          <w:t>5</w:t>
        </w:r>
      </w:fldSimple>
      <w:r>
        <w:t xml:space="preserve">: </w:t>
      </w:r>
      <w:r w:rsidR="00D03FE1">
        <w:t xml:space="preserve">In view of the criteria set in Article 5(4) of EMIR, do you consider that this set of classes addresses appropriately the systemic risk associated to interest rate OTC derivatives? Please include relevant data or information where applicable. </w:t>
      </w:r>
    </w:p>
    <w:p w:rsidR="00940A63" w:rsidRDefault="00940A63" w:rsidP="00940A63">
      <w:pPr>
        <w:pStyle w:val="Questions"/>
      </w:pPr>
      <w:r>
        <w:t>Please include relevant data or information where applicable.</w:t>
      </w:r>
    </w:p>
    <w:p w:rsidR="00940A63" w:rsidRDefault="00940A63" w:rsidP="00940A63"/>
    <w:p w:rsidR="00940A63" w:rsidRDefault="00940A63" w:rsidP="00940A63">
      <w:r>
        <w:t>&lt;ESMA_QUESTION_5&gt;</w:t>
      </w:r>
    </w:p>
    <w:p w:rsidR="00940A63" w:rsidRDefault="00174B93" w:rsidP="00940A63">
      <w:permStart w:id="9" w:edGrp="everyone"/>
      <w:r>
        <w:lastRenderedPageBreak/>
        <w:t>We support the position of the ISDA response.</w:t>
      </w:r>
    </w:p>
    <w:permEnd w:id="9"/>
    <w:p w:rsidR="00940A63" w:rsidRDefault="00940A63" w:rsidP="00940A63">
      <w:r>
        <w:t>&lt;ESMA_QUESTION_5&gt;</w:t>
      </w:r>
    </w:p>
    <w:p w:rsidR="00E363D7" w:rsidRDefault="00E363D7" w:rsidP="00940A63"/>
    <w:p w:rsidR="00E363D7" w:rsidRDefault="00E363D7" w:rsidP="00940A63"/>
    <w:p w:rsidR="00940A63" w:rsidRDefault="00E363D7" w:rsidP="00940A63">
      <w:pPr>
        <w:pStyle w:val="Heading1"/>
      </w:pPr>
      <w:bookmarkStart w:id="14" w:name="_Ref390182009"/>
      <w:bookmarkStart w:id="15" w:name="_Toc392599425"/>
      <w:r>
        <w:tab/>
      </w:r>
      <w:r w:rsidR="00940A63" w:rsidRPr="00412C4C">
        <w:t xml:space="preserve">Determination of the </w:t>
      </w:r>
      <w:r w:rsidR="00940A63">
        <w:t xml:space="preserve">dates on which the obligation applies and </w:t>
      </w:r>
      <w:r w:rsidR="00940A63" w:rsidRPr="00412C4C">
        <w:t>the categories of counterparties</w:t>
      </w:r>
      <w:bookmarkEnd w:id="14"/>
      <w:bookmarkEnd w:id="15"/>
    </w:p>
    <w:p w:rsidR="00940A63" w:rsidRDefault="00940A63" w:rsidP="00940A63"/>
    <w:p w:rsidR="00940A63" w:rsidRDefault="00940A63" w:rsidP="00940A63">
      <w:pPr>
        <w:pStyle w:val="Heading2"/>
      </w:pPr>
      <w:bookmarkStart w:id="16" w:name="_Ref392593104"/>
      <w:bookmarkStart w:id="17" w:name="_Ref389061836"/>
      <w:r>
        <w:t xml:space="preserve">Analysis of the criteria </w:t>
      </w:r>
      <w:bookmarkEnd w:id="16"/>
      <w:bookmarkEnd w:id="17"/>
      <w:r w:rsidR="007102FB">
        <w:t>relevant for the determination of the dates</w:t>
      </w:r>
    </w:p>
    <w:p w:rsidR="00940A63" w:rsidRDefault="00940A63" w:rsidP="00940A63"/>
    <w:p w:rsidR="00940A63" w:rsidRPr="00284213" w:rsidRDefault="00940A63" w:rsidP="00940A63">
      <w:pPr>
        <w:pStyle w:val="Questions"/>
      </w:pPr>
      <w:r>
        <w:t xml:space="preserve">Question </w:t>
      </w:r>
      <w:fldSimple w:instr=" SEQ Question \* ARABIC ">
        <w:r w:rsidR="00A63BA9">
          <w:rPr>
            <w:noProof/>
          </w:rPr>
          <w:t>6</w:t>
        </w:r>
      </w:fldSimple>
      <w:r>
        <w:t xml:space="preserve">: Do you have any comment on the analysis presented in Section </w:t>
      </w:r>
      <w:r w:rsidR="00824EE5">
        <w:fldChar w:fldCharType="begin"/>
      </w:r>
      <w:r>
        <w:instrText xml:space="preserve"> REF _Ref392593104 \r \h </w:instrText>
      </w:r>
      <w:r w:rsidR="00824EE5">
        <w:fldChar w:fldCharType="separate"/>
      </w:r>
      <w:r w:rsidR="00A63BA9">
        <w:t>4.1</w:t>
      </w:r>
      <w:r w:rsidR="00824EE5">
        <w:fldChar w:fldCharType="end"/>
      </w:r>
      <w:r>
        <w:t>?</w:t>
      </w:r>
    </w:p>
    <w:p w:rsidR="00940A63" w:rsidRDefault="00940A63" w:rsidP="00940A63"/>
    <w:p w:rsidR="00940A63" w:rsidRDefault="00940A63" w:rsidP="00940A63">
      <w:r>
        <w:t>&lt;ESMA_QUESTION_6&gt;</w:t>
      </w:r>
    </w:p>
    <w:p w:rsidR="00873276" w:rsidRDefault="00873276" w:rsidP="00873276">
      <w:permStart w:id="10" w:edGrp="everyone"/>
      <w:r>
        <w:t>Barclays broadly supports the ISDA response and would like to highlight some key points that are of particular importance to prudentially regulated firms relating to the both the number of CCPs and the number of clearing members.</w:t>
      </w:r>
    </w:p>
    <w:p w:rsidR="00873276" w:rsidRDefault="00873276" w:rsidP="00873276"/>
    <w:p w:rsidR="00873276" w:rsidRDefault="00873276" w:rsidP="00873276">
      <w:r>
        <w:t>The analysis in section 4.1 seems to</w:t>
      </w:r>
      <w:r w:rsidR="00C566F7">
        <w:t>:</w:t>
      </w:r>
      <w:r>
        <w:t xml:space="preserve"> </w:t>
      </w:r>
    </w:p>
    <w:p w:rsidR="00C566F7" w:rsidRDefault="00C566F7" w:rsidP="00873276"/>
    <w:p w:rsidR="00873276" w:rsidRDefault="00873276" w:rsidP="00873276">
      <w:pPr>
        <w:pStyle w:val="ListParagraph"/>
        <w:numPr>
          <w:ilvl w:val="0"/>
          <w:numId w:val="21"/>
        </w:numPr>
      </w:pPr>
      <w:r>
        <w:t xml:space="preserve">Focus on the number of clearing members without regard for the capacity of those clearing </w:t>
      </w:r>
      <w:r w:rsidR="006A0A90">
        <w:t>members to clear. We note that p</w:t>
      </w:r>
      <w:r>
        <w:t xml:space="preserve">aragraphs 147 – 157 </w:t>
      </w:r>
      <w:r w:rsidR="006A0A90">
        <w:t xml:space="preserve">of the consultation paper </w:t>
      </w:r>
      <w:r>
        <w:t>reference the quantity of overall clearing members per class and a breakdown of those that offer client clearing services. This analysis may not be sufficient</w:t>
      </w:r>
      <w:r w:rsidR="006A0A90">
        <w:t xml:space="preserve">ly granular going forward </w:t>
      </w:r>
      <w:r>
        <w:t>and we would support an ongoing review of clearing member balance sheet capacity in order to prevent situations where there is an implicit financial resource limit that is lower than the expected holistic volume of transactions, particularly in stressed market conditions.</w:t>
      </w:r>
    </w:p>
    <w:p w:rsidR="00873276" w:rsidRDefault="00873276" w:rsidP="00873276">
      <w:pPr>
        <w:pStyle w:val="ListParagraph"/>
        <w:numPr>
          <w:ilvl w:val="0"/>
          <w:numId w:val="21"/>
        </w:numPr>
      </w:pPr>
      <w:r>
        <w:t xml:space="preserve">Does not explicitly address the potential scenario of the loss of recognition or authorisation of a CCP considered important in the decision for a mandatory clearing obligation. </w:t>
      </w:r>
    </w:p>
    <w:p w:rsidR="00F66B0C" w:rsidRDefault="00F66B0C" w:rsidP="00940A63"/>
    <w:p w:rsidR="004975C8" w:rsidRDefault="00F66B0C" w:rsidP="00940A63">
      <w:r>
        <w:t xml:space="preserve">With respect to the analysis on </w:t>
      </w:r>
      <w:r w:rsidR="0080333E">
        <w:t xml:space="preserve">the </w:t>
      </w:r>
      <w:r>
        <w:t xml:space="preserve">number of CCPs as per Article 5(5)(b), whilst we appreciate that the EMIR Level 1 text does not allow ESMA to find a class of derivatives </w:t>
      </w:r>
      <w:r w:rsidR="004975C8">
        <w:t>un</w:t>
      </w:r>
      <w:r w:rsidR="007D6787">
        <w:t>suitable for</w:t>
      </w:r>
      <w:r>
        <w:t xml:space="preserve"> the clearing obligation on the sole basis </w:t>
      </w:r>
      <w:r w:rsidR="007D6787">
        <w:t>that a single CCP clears that</w:t>
      </w:r>
      <w:r>
        <w:t xml:space="preserve"> particular class of derivatives, </w:t>
      </w:r>
      <w:r w:rsidR="007D6787">
        <w:t>we have significant concerns where an obligation i</w:t>
      </w:r>
      <w:r w:rsidR="004975C8">
        <w:t xml:space="preserve">s imposed if that were the case. </w:t>
      </w:r>
    </w:p>
    <w:p w:rsidR="004975C8" w:rsidRDefault="004975C8" w:rsidP="00940A63"/>
    <w:p w:rsidR="004975C8" w:rsidRDefault="00873276" w:rsidP="00940A63">
      <w:r>
        <w:t xml:space="preserve">While we are supportive of the ISDA advocacy with regard to in the inclusion of two or more CCPs to clear a given product, it does also present an additional challenge on the loss of a CCP’s authorisation or recognition. The remaining </w:t>
      </w:r>
      <w:r w:rsidR="00883A20">
        <w:t>CCP may be asked or required to clear an unexpected amount of volume. Consequently, t</w:t>
      </w:r>
      <w:r w:rsidR="007D6787">
        <w:t xml:space="preserve">here is a risk that </w:t>
      </w:r>
      <w:r w:rsidR="00883A20">
        <w:t>if</w:t>
      </w:r>
      <w:r w:rsidR="007D6787">
        <w:t xml:space="preserve"> only </w:t>
      </w:r>
      <w:r>
        <w:t>two</w:t>
      </w:r>
      <w:r w:rsidR="007D6787">
        <w:t xml:space="preserve"> CCP</w:t>
      </w:r>
      <w:r>
        <w:t>s</w:t>
      </w:r>
      <w:r w:rsidR="007D6787">
        <w:t xml:space="preserve"> </w:t>
      </w:r>
      <w:r w:rsidR="00883A20">
        <w:t>clear</w:t>
      </w:r>
      <w:r w:rsidR="007D6787">
        <w:t xml:space="preserve"> a product, the revocation of </w:t>
      </w:r>
      <w:r>
        <w:t>one</w:t>
      </w:r>
      <w:r w:rsidR="007D6787">
        <w:t xml:space="preserve"> CCP’s authorisation or recognition would mean a prudentially regulated firm under CRR/CRDIV would be required to calculate </w:t>
      </w:r>
      <w:r w:rsidR="004975C8">
        <w:t>the</w:t>
      </w:r>
      <w:r w:rsidR="007D6787">
        <w:t xml:space="preserve"> exposure</w:t>
      </w:r>
      <w:r w:rsidR="006A0A90">
        <w:t xml:space="preserve"> under punitive non-</w:t>
      </w:r>
      <w:r>
        <w:t xml:space="preserve">qualifying </w:t>
      </w:r>
      <w:r w:rsidR="007D6787">
        <w:t>CCP capital requirements</w:t>
      </w:r>
      <w:r>
        <w:t xml:space="preserve"> and be forced to </w:t>
      </w:r>
      <w:r w:rsidR="005B7A15">
        <w:t>open up an account with remaining CCP for any future business. The RTS should clarify via recital that t</w:t>
      </w:r>
      <w:r w:rsidR="005B7A15" w:rsidRPr="005B7A15">
        <w:t>o mitigate the impact where a CCP has its authorisation or recognition revoked, a clearing member may liquidate its positions on the unauthorised or unrecognised CCP to the extent a clearing obligation is still in force.</w:t>
      </w:r>
      <w:r w:rsidR="007D6787">
        <w:t xml:space="preserve"> </w:t>
      </w:r>
    </w:p>
    <w:p w:rsidR="004975C8" w:rsidRDefault="004975C8" w:rsidP="00940A63"/>
    <w:p w:rsidR="00FF2D55" w:rsidRDefault="005B7A15" w:rsidP="004975C8">
      <w:r>
        <w:t xml:space="preserve">We would also note there may be </w:t>
      </w:r>
      <w:r w:rsidR="006A0A90">
        <w:t>constraints</w:t>
      </w:r>
      <w:r>
        <w:t xml:space="preserve"> with </w:t>
      </w:r>
      <w:r w:rsidR="007D6787">
        <w:t xml:space="preserve">the </w:t>
      </w:r>
      <w:r w:rsidR="004975C8">
        <w:t xml:space="preserve">operational capacity of the </w:t>
      </w:r>
      <w:r>
        <w:t xml:space="preserve">remaining </w:t>
      </w:r>
      <w:r w:rsidR="004975C8">
        <w:t xml:space="preserve">CCP and the </w:t>
      </w:r>
      <w:r w:rsidR="007D6787">
        <w:t xml:space="preserve">financial resource capacity of </w:t>
      </w:r>
      <w:r w:rsidR="006A0A90">
        <w:t>its</w:t>
      </w:r>
      <w:r w:rsidR="004975C8">
        <w:t xml:space="preserve"> </w:t>
      </w:r>
      <w:r w:rsidR="007D6787">
        <w:t>clearing members</w:t>
      </w:r>
      <w:r>
        <w:t>. These points</w:t>
      </w:r>
      <w:r w:rsidR="007D6787">
        <w:t xml:space="preserve"> should be assessed to understand the ability of the</w:t>
      </w:r>
      <w:r w:rsidR="0080333E">
        <w:t xml:space="preserve"> </w:t>
      </w:r>
      <w:r>
        <w:t>remaining</w:t>
      </w:r>
      <w:r w:rsidR="007D6787">
        <w:t xml:space="preserve"> authorised or recognised CCP to absorb the </w:t>
      </w:r>
      <w:r w:rsidR="004975C8">
        <w:t>clearing flow. Under capital requirements that come into force over the coming years, the quantity and relative size of clearing members is likely to change.</w:t>
      </w:r>
      <w:r>
        <w:t xml:space="preserve"> We are seeing changes to clearing member composition today.</w:t>
      </w:r>
    </w:p>
    <w:permEnd w:id="10"/>
    <w:p w:rsidR="00940A63" w:rsidRDefault="00940A63" w:rsidP="00940A63">
      <w:r>
        <w:t>&lt;ESMA_QUESTION_6&gt;</w:t>
      </w:r>
    </w:p>
    <w:p w:rsidR="00940A63" w:rsidRDefault="00940A63" w:rsidP="00940A63"/>
    <w:p w:rsidR="00940A63" w:rsidRPr="00E03F63" w:rsidRDefault="00940A63" w:rsidP="00940A63">
      <w:pPr>
        <w:pStyle w:val="Heading2"/>
      </w:pPr>
      <w:bookmarkStart w:id="18" w:name="_Ref392593201"/>
      <w:r>
        <w:t>Determination of the categories of counterparties (Criteria (d) to (f))</w:t>
      </w:r>
      <w:bookmarkEnd w:id="18"/>
    </w:p>
    <w:p w:rsidR="00940A63" w:rsidRDefault="00940A63" w:rsidP="00940A63"/>
    <w:p w:rsidR="00940A63" w:rsidRPr="00301767" w:rsidRDefault="00940A63" w:rsidP="00940A63">
      <w:pPr>
        <w:pStyle w:val="Questions"/>
      </w:pPr>
      <w:r w:rsidRPr="004A3DCD">
        <w:t xml:space="preserve">Question </w:t>
      </w:r>
      <w:fldSimple w:instr=" SEQ Question \* ARABIC ">
        <w:r w:rsidR="00A63BA9">
          <w:rPr>
            <w:noProof/>
          </w:rPr>
          <w:t>7</w:t>
        </w:r>
      </w:fldSimple>
      <w:r>
        <w:t>: Do you consider that the</w:t>
      </w:r>
      <w:r w:rsidRPr="004A3DCD">
        <w:t xml:space="preserve"> classification of counterparties </w:t>
      </w:r>
      <w:r>
        <w:t xml:space="preserve">presented in Section </w:t>
      </w:r>
      <w:r w:rsidR="00824EE5">
        <w:fldChar w:fldCharType="begin"/>
      </w:r>
      <w:r>
        <w:instrText xml:space="preserve"> REF _Ref392593201 \r \h </w:instrText>
      </w:r>
      <w:r w:rsidR="00824EE5">
        <w:fldChar w:fldCharType="separate"/>
      </w:r>
      <w:r w:rsidR="00A63BA9">
        <w:t>4.2</w:t>
      </w:r>
      <w:r w:rsidR="00824EE5">
        <w:fldChar w:fldCharType="end"/>
      </w:r>
      <w:r>
        <w:t xml:space="preserve"> </w:t>
      </w:r>
      <w:r w:rsidRPr="004A3DCD">
        <w:t>ensures a smooth implementation of the clearing obligation? Please explain why and possible alternatives.</w:t>
      </w:r>
    </w:p>
    <w:p w:rsidR="00940A63" w:rsidRDefault="00940A63" w:rsidP="00940A63"/>
    <w:p w:rsidR="00940A63" w:rsidRDefault="00940A63" w:rsidP="00940A63">
      <w:r>
        <w:t>&lt;ESMA_QUESTION_7&gt;</w:t>
      </w:r>
    </w:p>
    <w:p w:rsidR="00940A63" w:rsidRDefault="00FF2D55" w:rsidP="00940A63">
      <w:permStart w:id="11" w:edGrp="everyone"/>
      <w:r>
        <w:t xml:space="preserve">We </w:t>
      </w:r>
      <w:r w:rsidR="006A0A90">
        <w:t xml:space="preserve">strongly </w:t>
      </w:r>
      <w:r>
        <w:t>endorse the ISDA proposal</w:t>
      </w:r>
      <w:r w:rsidR="00715121">
        <w:t xml:space="preserve">, particularly </w:t>
      </w:r>
      <w:r w:rsidR="00F315E5">
        <w:t xml:space="preserve">with respect to </w:t>
      </w:r>
      <w:r w:rsidR="006A0A90">
        <w:t>counterparty</w:t>
      </w:r>
      <w:r w:rsidR="00F315E5">
        <w:t xml:space="preserve"> classification and its tie into frontloading. We feel t</w:t>
      </w:r>
      <w:r>
        <w:t>he removal of the frontloading obligation for category 2 counterparties</w:t>
      </w:r>
      <w:r w:rsidR="00F315E5">
        <w:t xml:space="preserve"> and the reduction of the </w:t>
      </w:r>
      <w:r w:rsidR="008958C3">
        <w:t>phase-in</w:t>
      </w:r>
      <w:r w:rsidR="00F315E5">
        <w:t xml:space="preserve"> for these counterparties from 18 months to 9 months is a more appropriate way </w:t>
      </w:r>
      <w:r w:rsidR="00D20657">
        <w:t xml:space="preserve">both </w:t>
      </w:r>
      <w:r w:rsidR="00F315E5">
        <w:t>to encourage clearing sooner and to ensure the effectiveness of the phase-in as articulated in the ISDA response.</w:t>
      </w:r>
    </w:p>
    <w:p w:rsidR="00F315E5" w:rsidRDefault="00F315E5" w:rsidP="00940A63"/>
    <w:p w:rsidR="00EB7C2D" w:rsidRDefault="000863C8" w:rsidP="00940A63">
      <w:r>
        <w:t>We also agree with the ISDA proposal to include a three year phase-in for cross border inter-affiliate trades, during which the clearing obligation and the frontloading requirement will not apply</w:t>
      </w:r>
      <w:r w:rsidR="00D20657">
        <w:t>. We believe this is consistent with the</w:t>
      </w:r>
      <w:r w:rsidRPr="00174B93">
        <w:t xml:space="preserve"> policy intent </w:t>
      </w:r>
      <w:r w:rsidR="00D20657">
        <w:t>of</w:t>
      </w:r>
      <w:r w:rsidRPr="00174B93">
        <w:t xml:space="preserve"> EMIR Article 3 and the intragroup exemption to fac</w:t>
      </w:r>
      <w:r>
        <w:t xml:space="preserve">ilitate this type of flow. Firms may be unable to avail themselves of the exemption simply as a result of an absence of any equivalence decision having been reached, however likely that </w:t>
      </w:r>
      <w:r w:rsidR="00D20657">
        <w:t xml:space="preserve">equivalence </w:t>
      </w:r>
      <w:r>
        <w:t xml:space="preserve">may be for a particular regime. These trades should not be prejudiced by the delayed </w:t>
      </w:r>
      <w:r w:rsidR="00D20657">
        <w:t>timing</w:t>
      </w:r>
      <w:r>
        <w:t xml:space="preserve"> of those assessments.</w:t>
      </w:r>
    </w:p>
    <w:p w:rsidR="00EB7C2D" w:rsidRDefault="00EB7C2D" w:rsidP="00940A63"/>
    <w:p w:rsidR="00940A63" w:rsidRDefault="00EB7C2D" w:rsidP="00940A63">
      <w:r>
        <w:t>Barclays also strongly endorses the ISDA proposal to create counterparty classifications on a</w:t>
      </w:r>
      <w:r w:rsidR="00D20657">
        <w:t>n</w:t>
      </w:r>
      <w:r>
        <w:t xml:space="preserve"> asset class basis rather than a cumulative basis as currently envisaged by the class+ approach. </w:t>
      </w:r>
      <w:permEnd w:id="11"/>
      <w:r w:rsidR="00940A63">
        <w:t>&lt;ESMA_QUESTION_7&gt;</w:t>
      </w:r>
    </w:p>
    <w:p w:rsidR="00940A63" w:rsidRDefault="00940A63" w:rsidP="00940A63"/>
    <w:p w:rsidR="00940A63" w:rsidRDefault="00940A63" w:rsidP="00940A63">
      <w:pPr>
        <w:pStyle w:val="Heading2"/>
      </w:pPr>
      <w:bookmarkStart w:id="19" w:name="_Ref389061941"/>
      <w:r w:rsidRPr="00E03F63">
        <w:t xml:space="preserve">Determination of the </w:t>
      </w:r>
      <w:bookmarkEnd w:id="19"/>
      <w:r>
        <w:t>dates from which the clearing obligation takes effect</w:t>
      </w:r>
    </w:p>
    <w:p w:rsidR="00940A63" w:rsidRDefault="00940A63" w:rsidP="00940A63"/>
    <w:p w:rsidR="00940A63" w:rsidRDefault="00940A63" w:rsidP="00940A63">
      <w:pPr>
        <w:pStyle w:val="Questions"/>
      </w:pPr>
      <w:r>
        <w:t xml:space="preserve">Question </w:t>
      </w:r>
      <w:fldSimple w:instr=" SEQ Question \* ARABIC ">
        <w:r w:rsidR="00A63BA9">
          <w:rPr>
            <w:noProof/>
          </w:rPr>
          <w:t>8</w:t>
        </w:r>
      </w:fldSimple>
      <w:r>
        <w:t>: Do you consider that the proposed dates of application ensure a smooth implementation of the clearing obligation? Please explain why and possible alternatives.</w:t>
      </w:r>
    </w:p>
    <w:p w:rsidR="00940A63" w:rsidRDefault="00940A63" w:rsidP="00940A63"/>
    <w:p w:rsidR="00940A63" w:rsidRDefault="00940A63" w:rsidP="00940A63">
      <w:r>
        <w:t>&lt;ESMA_QUESTION_8&gt;</w:t>
      </w:r>
    </w:p>
    <w:p w:rsidR="00940A63" w:rsidRDefault="00D20657" w:rsidP="00940A63">
      <w:permStart w:id="12" w:edGrp="everyone"/>
      <w:r>
        <w:t xml:space="preserve">We do not consider that the proposed dates of application will ensure a smooth implementation of the clearing obligation. </w:t>
      </w:r>
      <w:r w:rsidR="00FD5614">
        <w:t>As per our response to question</w:t>
      </w:r>
      <w:r>
        <w:t>s</w:t>
      </w:r>
      <w:r w:rsidR="00FD5614">
        <w:t xml:space="preserve"> 7 and 9, we feel that the proposed dates of application with respect to the frontloading obligations undermine the effectiveness of the implementation. </w:t>
      </w:r>
      <w:r w:rsidR="001C6C55">
        <w:t>We endorse the corresponding ISDA responses and in particular, we</w:t>
      </w:r>
      <w:r w:rsidR="00FD5614" w:rsidRPr="00FD5614">
        <w:t xml:space="preserve"> believe that the phase-in period for Category 2 counterparties should be reduced to 9 months</w:t>
      </w:r>
      <w:r w:rsidR="00FD5614">
        <w:t xml:space="preserve"> in conjunction with the removal of the frontloading </w:t>
      </w:r>
      <w:r>
        <w:t>obligation</w:t>
      </w:r>
      <w:r w:rsidR="00FD5614">
        <w:t xml:space="preserve">. </w:t>
      </w:r>
    </w:p>
    <w:permEnd w:id="12"/>
    <w:p w:rsidR="00940A63" w:rsidRDefault="00940A63" w:rsidP="00940A63">
      <w:r>
        <w:t>&lt;ESMA_QUESTION_8&gt;</w:t>
      </w:r>
    </w:p>
    <w:p w:rsidR="00940A63" w:rsidRDefault="00940A63" w:rsidP="00940A63">
      <w:r>
        <w:br w:type="page"/>
      </w:r>
    </w:p>
    <w:p w:rsidR="00940A63" w:rsidRDefault="00E363D7" w:rsidP="00940A63">
      <w:pPr>
        <w:pStyle w:val="Heading1"/>
      </w:pPr>
      <w:bookmarkStart w:id="20" w:name="_Toc392599426"/>
      <w:r>
        <w:lastRenderedPageBreak/>
        <w:tab/>
      </w:r>
      <w:r w:rsidR="00940A63" w:rsidRPr="00A84770">
        <w:t>Remaining maturity</w:t>
      </w:r>
      <w:r w:rsidR="00940A63">
        <w:t xml:space="preserve"> and frontloading</w:t>
      </w:r>
      <w:bookmarkEnd w:id="20"/>
    </w:p>
    <w:p w:rsidR="00940A63" w:rsidRDefault="00940A63" w:rsidP="00940A63"/>
    <w:p w:rsidR="00940A63" w:rsidRDefault="00940A63" w:rsidP="00940A63"/>
    <w:p w:rsidR="00940A63" w:rsidRDefault="00940A63" w:rsidP="00940A63">
      <w:pPr>
        <w:pStyle w:val="Questions"/>
      </w:pPr>
      <w:r>
        <w:t xml:space="preserve">Question </w:t>
      </w:r>
      <w:fldSimple w:instr=" SEQ Question \* ARABIC ">
        <w:r w:rsidR="00A63BA9">
          <w:rPr>
            <w:noProof/>
          </w:rPr>
          <w:t>9</w:t>
        </w:r>
      </w:fldSimple>
      <w:r>
        <w:t>: Do you consider that the proposed approach on frontloading and the minimum remaining maturity ensures that the uncertainty related to this requirement is sufficiently mitigated, while allowing a meaningful set of contracts to be captured? If not, please explain why and provide possible alternatives compatible with EMIR.</w:t>
      </w:r>
    </w:p>
    <w:p w:rsidR="00940A63" w:rsidRDefault="00940A63" w:rsidP="00940A63"/>
    <w:p w:rsidR="00940A63" w:rsidRDefault="00940A63" w:rsidP="00940A63">
      <w:r>
        <w:t>&lt;ESMA_QUESTION_9&gt;</w:t>
      </w:r>
    </w:p>
    <w:p w:rsidR="0022599B" w:rsidRDefault="0022599B" w:rsidP="00873276">
      <w:permStart w:id="13" w:edGrp="everyone"/>
      <w:r>
        <w:t>Period A</w:t>
      </w:r>
    </w:p>
    <w:p w:rsidR="0022599B" w:rsidRDefault="0022599B" w:rsidP="00873276"/>
    <w:p w:rsidR="0022599B" w:rsidRPr="0022599B" w:rsidRDefault="0022599B" w:rsidP="0022599B">
      <w:pPr>
        <w:pStyle w:val="BodyText0"/>
        <w:rPr>
          <w:rFonts w:ascii="Georgia" w:eastAsia="Times New Roman" w:hAnsi="Georgia"/>
          <w:sz w:val="20"/>
          <w:lang w:eastAsia="de-DE" w:bidi="ar-SA"/>
        </w:rPr>
      </w:pPr>
      <w:r w:rsidRPr="0022599B">
        <w:rPr>
          <w:rFonts w:ascii="Georgia" w:eastAsia="Times New Roman" w:hAnsi="Georgia"/>
          <w:sz w:val="20"/>
          <w:lang w:eastAsia="de-DE" w:bidi="ar-SA"/>
        </w:rPr>
        <w:t xml:space="preserve">Subject to one modification, we support the proposed approach on frontloading and the minimum remaining maturity for contracts entered into or novated during Period A.  </w:t>
      </w:r>
    </w:p>
    <w:p w:rsidR="0022599B" w:rsidRPr="0022599B" w:rsidRDefault="0022599B" w:rsidP="0022599B">
      <w:pPr>
        <w:pStyle w:val="BodyText0"/>
        <w:rPr>
          <w:rFonts w:ascii="Georgia" w:eastAsia="Times New Roman" w:hAnsi="Georgia"/>
          <w:sz w:val="20"/>
          <w:lang w:eastAsia="de-DE" w:bidi="ar-SA"/>
        </w:rPr>
      </w:pPr>
      <w:r w:rsidRPr="0022599B">
        <w:rPr>
          <w:rFonts w:ascii="Georgia" w:eastAsia="Times New Roman" w:hAnsi="Georgia"/>
          <w:sz w:val="20"/>
          <w:lang w:eastAsia="de-DE" w:bidi="ar-SA"/>
        </w:rPr>
        <w:t xml:space="preserve">We recommend, as a matter of legal certainty, that Period A should be set as the period between the notification of a class of derivatives to ESMA and the date of entry into force of the RTS introducing the clearing obligation for that class of derivatives (which is also the reference date for the test as to whether an entity falls within Category 1). It should not, as the current drafting of the RTS mandates, end on the date the RTS is published in the Official Journal. The consequential impact of this change, as described below, is that Period B should commence on the date of entry into force of the RTS. </w:t>
      </w:r>
    </w:p>
    <w:p w:rsidR="0022599B" w:rsidRDefault="0022599B" w:rsidP="0022599B">
      <w:r>
        <w:t>This recommendation is in line with ESMA's proposal on frontloading to the Commission in its letter dated 8 May 2014 (ESMA/2014/483) and supported by the Commission in its return letter dated 8 July 2014 (JC/tb D(2014) 2392454). As recognised by ESMA and the Commission, the principle of legal certainty requires that parties know sufficiently in advance when the frontloading obligation will start. This cannot be achieved by using the date of publication in the Official Journal as publication does not happen at a pre-defined date and time. This means that publication on a particular day will not be known until after the event. In particular, this creates uncertainty about the potential retroactive application of the frontloading requirement to transactions entered into during the hours before publication in the Official Journal.</w:t>
      </w:r>
    </w:p>
    <w:p w:rsidR="0022599B" w:rsidRDefault="0022599B" w:rsidP="00873276"/>
    <w:p w:rsidR="0022599B" w:rsidRDefault="0022599B" w:rsidP="00873276">
      <w:r>
        <w:t>Period B</w:t>
      </w:r>
    </w:p>
    <w:p w:rsidR="0022599B" w:rsidRDefault="0022599B" w:rsidP="00873276"/>
    <w:p w:rsidR="00715121" w:rsidRPr="00715121" w:rsidRDefault="00A3264B" w:rsidP="00873276">
      <w:r>
        <w:t xml:space="preserve">We do not feel that the proposed approach to frontloading ensures that the uncertainty related to this requirement is sufficiently mitigated. </w:t>
      </w:r>
      <w:r w:rsidR="00715121" w:rsidRPr="00715121">
        <w:t>Barclays believes that the frontloading requirement (as it applies to contracts entered into or novated on or after the date of publication of the RTS in the Official Journal of the European Union and before the clearing obligation takes effect – known as Period B) combined with the determination of the Category 2 counterparty classification and the associated 18-month phase-in period, has the potential to cause pricing uncertainty, market disruption and have a negative</w:t>
      </w:r>
      <w:r w:rsidR="00790647">
        <w:t xml:space="preserve"> impact on financial stability</w:t>
      </w:r>
      <w:r w:rsidR="00715121" w:rsidRPr="00715121">
        <w:t>. As a result, counterparties are compelled to clear at an earlier time than anticipate</w:t>
      </w:r>
      <w:r w:rsidR="001C6C55">
        <w:t xml:space="preserve">d by the various phase-in </w:t>
      </w:r>
      <w:r>
        <w:t>periods</w:t>
      </w:r>
      <w:r w:rsidR="00715121" w:rsidRPr="00715121">
        <w:t xml:space="preserve"> and this would undermine the effort to ensure, through the use of such phase-in periods, the readiness for clearing of different counterparty types.</w:t>
      </w:r>
    </w:p>
    <w:p w:rsidR="00715121" w:rsidRPr="00715121" w:rsidRDefault="00715121" w:rsidP="00873276"/>
    <w:p w:rsidR="00715121" w:rsidRPr="00715121" w:rsidRDefault="00715121" w:rsidP="00873276">
      <w:pPr>
        <w:pStyle w:val="BodyText0"/>
        <w:jc w:val="left"/>
        <w:rPr>
          <w:rFonts w:ascii="Georgia" w:eastAsia="Times New Roman" w:hAnsi="Georgia"/>
          <w:sz w:val="20"/>
          <w:lang w:eastAsia="de-DE" w:bidi="ar-SA"/>
        </w:rPr>
      </w:pPr>
      <w:r w:rsidRPr="00715121">
        <w:rPr>
          <w:rFonts w:ascii="Georgia" w:eastAsia="Times New Roman" w:hAnsi="Georgia"/>
          <w:sz w:val="20"/>
          <w:lang w:eastAsia="de-DE" w:bidi="ar-SA"/>
        </w:rPr>
        <w:t xml:space="preserve">Because of the uncertainty and market disruption that will arise from the frontloading requirement for Category 2 counterparties during the 18 month phase-in period, the frontloading requirement should not be imposed on Category 2 counterparties. This can be achieved by setting the minimum remaining maturity of contracts entered into during the phase-in period (where at least one counterparty to the contract is a Category 2 counterparty) using the approach proposed by ESMA for Period A, thus excluding Category 2 counterparties from the frontloading requirement. </w:t>
      </w:r>
    </w:p>
    <w:p w:rsidR="00715121" w:rsidRPr="00715121" w:rsidRDefault="00715121" w:rsidP="00873276">
      <w:pPr>
        <w:pStyle w:val="BodyText0"/>
        <w:jc w:val="left"/>
        <w:rPr>
          <w:rFonts w:ascii="Georgia" w:eastAsia="Times New Roman" w:hAnsi="Georgia"/>
          <w:sz w:val="20"/>
          <w:lang w:eastAsia="de-DE" w:bidi="ar-SA"/>
        </w:rPr>
      </w:pPr>
      <w:r w:rsidRPr="00715121">
        <w:rPr>
          <w:rFonts w:ascii="Georgia" w:eastAsia="Times New Roman" w:hAnsi="Georgia"/>
          <w:sz w:val="20"/>
          <w:lang w:eastAsia="de-DE" w:bidi="ar-SA"/>
        </w:rPr>
        <w:t xml:space="preserve">To ensure that Category 2 counterparties are encouraged to establish clearing arrangements as soon as possible, the phase-in period for Category 2 counterparties should be shortened to 9 months. As a practical consideration, the length of the phase-in period should be set to avoid an end-date which falls at the end of </w:t>
      </w:r>
      <w:r w:rsidRPr="00715121">
        <w:rPr>
          <w:rFonts w:ascii="Georgia" w:eastAsia="Times New Roman" w:hAnsi="Georgia"/>
          <w:sz w:val="20"/>
          <w:lang w:eastAsia="de-DE" w:bidi="ar-SA"/>
        </w:rPr>
        <w:lastRenderedPageBreak/>
        <w:t>the calendar year. A shortened phase-in period will counterbalance the lack of a frontloading requirement for Category 2 counterparties.</w:t>
      </w:r>
    </w:p>
    <w:p w:rsidR="00715121" w:rsidRDefault="00715121" w:rsidP="00873276">
      <w:r w:rsidRPr="00715121">
        <w:t>The frontloading period should only apply to contracts entered into or novated between two Category 1 counterparties. These counterparties will already be clearing members as of the date of entry into force of the RTS and clearing over the vast majority of c</w:t>
      </w:r>
      <w:r w:rsidR="006C71FC">
        <w:t>learable inter-dealer business.</w:t>
      </w:r>
    </w:p>
    <w:p w:rsidR="0022599B" w:rsidRDefault="0022599B" w:rsidP="00873276"/>
    <w:p w:rsidR="0022599B" w:rsidRPr="00715121" w:rsidRDefault="0022599B" w:rsidP="00873276">
      <w:r>
        <w:t xml:space="preserve">As detailed in the industry response, we concur with the pricing issues that will occur as a result of the application of frontloading. </w:t>
      </w:r>
    </w:p>
    <w:p w:rsidR="00715121" w:rsidRPr="00715121" w:rsidRDefault="00715121" w:rsidP="00873276"/>
    <w:p w:rsidR="00940A63" w:rsidRDefault="0022599B" w:rsidP="00940A63">
      <w:r>
        <w:t xml:space="preserve">Concurrently, there is also the </w:t>
      </w:r>
      <w:r w:rsidR="00715121" w:rsidRPr="00715121">
        <w:t>risk that some counterparties may not have been able to put clearing arrangements in place by the time the clearing obligation takes effect, in combination with pricing and valuation uncertainty, could force very large numbers of contracts to be required to be terminated or assigned.  This requirement would arise simultaneously at the clearing obligation application date for all trades remaining uncleared, causing major disruption and having a detrimental effect on the stability of financial markets.  The legal and operational process surrounding this mass termination exercise would be considerable, with dealers being requested to provide potentially thousands of independent valuations, and would be exacerbated by the feedback loop from pricing uncertainty which would introduce an element of contention into the calculation of close-out amounts</w:t>
      </w:r>
      <w:r w:rsidR="00715121" w:rsidRPr="007E7C81">
        <w:rPr>
          <w:rFonts w:ascii="Times New Roman" w:hAnsi="Times New Roman"/>
        </w:rPr>
        <w:t>.</w:t>
      </w:r>
      <w:permEnd w:id="13"/>
      <w:r w:rsidR="00940A63">
        <w:t>&lt;ESMA_QUESTION_9&gt;</w:t>
      </w:r>
    </w:p>
    <w:p w:rsidR="00372176" w:rsidRDefault="00372176" w:rsidP="00940A63"/>
    <w:p w:rsidR="00372176" w:rsidRDefault="00372176" w:rsidP="00940A63"/>
    <w:p w:rsidR="00940A63" w:rsidRDefault="00E363D7" w:rsidP="00940A63">
      <w:pPr>
        <w:pStyle w:val="Heading1"/>
      </w:pPr>
      <w:bookmarkStart w:id="21" w:name="_Ref390182025"/>
      <w:bookmarkStart w:id="22" w:name="_Toc392599427"/>
      <w:r>
        <w:tab/>
      </w:r>
      <w:r w:rsidR="00940A63">
        <w:t>OTC equity derivative classes that are proposed not to be subject to the clearing obligation</w:t>
      </w:r>
      <w:bookmarkEnd w:id="21"/>
      <w:bookmarkEnd w:id="22"/>
    </w:p>
    <w:p w:rsidR="00940A63" w:rsidRDefault="00940A63" w:rsidP="00940A63"/>
    <w:p w:rsidR="00940A63" w:rsidRDefault="00940A63" w:rsidP="00940A63"/>
    <w:p w:rsidR="00940A63" w:rsidRDefault="00940A63" w:rsidP="00940A63">
      <w:pPr>
        <w:pStyle w:val="Questions"/>
      </w:pPr>
      <w:r>
        <w:t xml:space="preserve">Question </w:t>
      </w:r>
      <w:fldSimple w:instr=" SEQ Question \* ARABIC ">
        <w:r w:rsidR="00A63BA9">
          <w:rPr>
            <w:noProof/>
          </w:rPr>
          <w:t>10</w:t>
        </w:r>
      </w:fldSimple>
      <w:r>
        <w:t xml:space="preserve">: Do you have any comment on the analysis on the Equity OTC derivative classes presented in Section </w:t>
      </w:r>
      <w:r w:rsidR="00824EE5">
        <w:fldChar w:fldCharType="begin"/>
      </w:r>
      <w:r>
        <w:instrText xml:space="preserve"> REF _Ref390182025 \r \h </w:instrText>
      </w:r>
      <w:r w:rsidR="00824EE5">
        <w:fldChar w:fldCharType="separate"/>
      </w:r>
      <w:r w:rsidR="00A63BA9">
        <w:t>6</w:t>
      </w:r>
      <w:r w:rsidR="00824EE5">
        <w:fldChar w:fldCharType="end"/>
      </w:r>
      <w:r>
        <w:t>?</w:t>
      </w:r>
    </w:p>
    <w:p w:rsidR="00940A63" w:rsidRDefault="00940A63" w:rsidP="00940A63"/>
    <w:p w:rsidR="00940A63" w:rsidRDefault="00940A63" w:rsidP="00940A63">
      <w:r>
        <w:t>&lt;ESMA_QUESTION_10&gt;</w:t>
      </w:r>
    </w:p>
    <w:p w:rsidR="00940A63" w:rsidRDefault="00174B93" w:rsidP="00940A63">
      <w:permStart w:id="14" w:edGrp="everyone"/>
      <w:r>
        <w:t>We support the position of the ISDA response.</w:t>
      </w:r>
    </w:p>
    <w:permEnd w:id="14"/>
    <w:p w:rsidR="00940A63" w:rsidRDefault="00940A63" w:rsidP="00940A63">
      <w:r>
        <w:t>&lt;ESMA_QUESTION_10&gt;</w:t>
      </w:r>
    </w:p>
    <w:p w:rsidR="00372176" w:rsidRDefault="00372176" w:rsidP="00940A63"/>
    <w:p w:rsidR="00372176" w:rsidRDefault="00372176" w:rsidP="00940A63"/>
    <w:p w:rsidR="00940A63" w:rsidRDefault="00E363D7" w:rsidP="00940A63">
      <w:pPr>
        <w:pStyle w:val="Heading1"/>
      </w:pPr>
      <w:bookmarkStart w:id="23" w:name="_Ref392593404"/>
      <w:bookmarkStart w:id="24" w:name="_Toc392599428"/>
      <w:r>
        <w:tab/>
      </w:r>
      <w:r w:rsidR="00940A63">
        <w:t>OTC Interest rate future and option classes that are proposed not to be subject to the clearing obligation</w:t>
      </w:r>
      <w:bookmarkEnd w:id="23"/>
      <w:bookmarkEnd w:id="24"/>
    </w:p>
    <w:p w:rsidR="00940A63" w:rsidRDefault="00940A63" w:rsidP="00940A63"/>
    <w:p w:rsidR="00940A63" w:rsidRPr="00FE73ED" w:rsidRDefault="00940A63" w:rsidP="00940A63">
      <w:pPr>
        <w:pStyle w:val="Questions"/>
      </w:pPr>
      <w:r>
        <w:t xml:space="preserve">Question </w:t>
      </w:r>
      <w:fldSimple w:instr=" SEQ Question \* ARABIC ">
        <w:r w:rsidR="00A63BA9">
          <w:rPr>
            <w:noProof/>
          </w:rPr>
          <w:t>11</w:t>
        </w:r>
      </w:fldSimple>
      <w:r>
        <w:t xml:space="preserve">: Do you have any comment on the analysis on the OTC Interest rate future and options derivative classes presented in Section </w:t>
      </w:r>
      <w:r w:rsidR="00824EE5">
        <w:fldChar w:fldCharType="begin"/>
      </w:r>
      <w:r>
        <w:instrText xml:space="preserve"> REF _Ref392593404 \r \h </w:instrText>
      </w:r>
      <w:r w:rsidR="00824EE5">
        <w:fldChar w:fldCharType="separate"/>
      </w:r>
      <w:r w:rsidR="00A63BA9">
        <w:t>7</w:t>
      </w:r>
      <w:r w:rsidR="00824EE5">
        <w:fldChar w:fldCharType="end"/>
      </w:r>
      <w:r>
        <w:t>?</w:t>
      </w:r>
    </w:p>
    <w:p w:rsidR="00940A63" w:rsidRDefault="00940A63" w:rsidP="00940A63"/>
    <w:p w:rsidR="00940A63" w:rsidRDefault="00940A63" w:rsidP="00940A63">
      <w:r>
        <w:t>&lt;ESMA_QUESTION_11&gt;</w:t>
      </w:r>
    </w:p>
    <w:p w:rsidR="00174B93" w:rsidRDefault="00174B93" w:rsidP="00174B93">
      <w:permStart w:id="15" w:edGrp="everyone"/>
      <w:r>
        <w:t>We support the position of the ISDA response.</w:t>
      </w:r>
    </w:p>
    <w:permEnd w:id="15"/>
    <w:p w:rsidR="00940A63" w:rsidRDefault="00940A63" w:rsidP="00940A63">
      <w:r>
        <w:t>&lt;ESMA_QUESTION_11&gt;</w:t>
      </w:r>
    </w:p>
    <w:p w:rsidR="00663ADD" w:rsidRDefault="00663ADD" w:rsidP="00940A63"/>
    <w:p w:rsidR="00663ADD" w:rsidRDefault="00663ADD" w:rsidP="00940A63"/>
    <w:p w:rsidR="00663ADD" w:rsidRDefault="00663ADD" w:rsidP="00663ADD">
      <w:pPr>
        <w:pStyle w:val="Heading1"/>
        <w:numPr>
          <w:ilvl w:val="0"/>
          <w:numId w:val="0"/>
        </w:numPr>
      </w:pPr>
      <w:bookmarkStart w:id="25" w:name="_Ref389465288"/>
      <w:bookmarkStart w:id="26" w:name="_Toc392599429"/>
      <w:r w:rsidRPr="00B95561">
        <w:t xml:space="preserve">Annex </w:t>
      </w:r>
      <w:r w:rsidR="00824EE5">
        <w:fldChar w:fldCharType="begin"/>
      </w:r>
      <w:r w:rsidR="00707FEA">
        <w:instrText xml:space="preserve"> SEQ Annex \* ROMAN </w:instrText>
      </w:r>
      <w:r w:rsidR="00824EE5">
        <w:fldChar w:fldCharType="separate"/>
      </w:r>
      <w:r w:rsidR="00A63BA9">
        <w:rPr>
          <w:noProof/>
        </w:rPr>
        <w:t>I</w:t>
      </w:r>
      <w:r w:rsidR="00824EE5">
        <w:rPr>
          <w:noProof/>
        </w:rPr>
        <w:fldChar w:fldCharType="end"/>
      </w:r>
      <w:bookmarkEnd w:id="25"/>
      <w:r w:rsidRPr="00B95561">
        <w:t xml:space="preserve"> - Commission mandate to develop technical standards</w:t>
      </w:r>
      <w:bookmarkEnd w:id="26"/>
    </w:p>
    <w:p w:rsidR="00663ADD" w:rsidRPr="00663ADD" w:rsidRDefault="00663ADD" w:rsidP="00663ADD"/>
    <w:p w:rsidR="00663ADD" w:rsidRDefault="00663ADD" w:rsidP="00663ADD">
      <w:pPr>
        <w:pStyle w:val="Heading1"/>
        <w:numPr>
          <w:ilvl w:val="0"/>
          <w:numId w:val="0"/>
        </w:numPr>
      </w:pPr>
      <w:bookmarkStart w:id="27" w:name="_Ref389466688"/>
      <w:bookmarkStart w:id="28" w:name="_Toc392599430"/>
      <w:r w:rsidRPr="009E0D2D">
        <w:t xml:space="preserve">Annex </w:t>
      </w:r>
      <w:r w:rsidR="00824EE5">
        <w:fldChar w:fldCharType="begin"/>
      </w:r>
      <w:r w:rsidR="00707FEA">
        <w:instrText xml:space="preserve"> SEQ Annex \* ROMAN </w:instrText>
      </w:r>
      <w:r w:rsidR="00824EE5">
        <w:fldChar w:fldCharType="separate"/>
      </w:r>
      <w:r w:rsidR="00A63BA9">
        <w:rPr>
          <w:noProof/>
        </w:rPr>
        <w:t>II</w:t>
      </w:r>
      <w:r w:rsidR="00824EE5">
        <w:rPr>
          <w:noProof/>
        </w:rPr>
        <w:fldChar w:fldCharType="end"/>
      </w:r>
      <w:bookmarkEnd w:id="27"/>
      <w:r>
        <w:t xml:space="preserve"> - Draft Regulatory Technical Standards on the Clearing Obligation</w:t>
      </w:r>
      <w:bookmarkEnd w:id="28"/>
    </w:p>
    <w:p w:rsidR="00940A63" w:rsidRDefault="00940A63" w:rsidP="00940A63">
      <w:pPr>
        <w:pStyle w:val="Questions"/>
      </w:pPr>
      <w:r>
        <w:t xml:space="preserve">Question </w:t>
      </w:r>
      <w:fldSimple w:instr=" SEQ Question \* ARABIC ">
        <w:r w:rsidR="00A63BA9">
          <w:rPr>
            <w:noProof/>
          </w:rPr>
          <w:t>12</w:t>
        </w:r>
      </w:fldSimple>
      <w:r>
        <w:t>: Please indicate your comments on the draft RTS other than those already made in the previous questions.</w:t>
      </w:r>
    </w:p>
    <w:p w:rsidR="00940A63" w:rsidRDefault="00940A63" w:rsidP="00940A63"/>
    <w:p w:rsidR="00940A63" w:rsidRDefault="00940A63" w:rsidP="00940A63">
      <w:r>
        <w:t>&lt;ESMA_QUESTION_12&gt;</w:t>
      </w:r>
    </w:p>
    <w:p w:rsidR="00715121" w:rsidRDefault="00715121" w:rsidP="00715121">
      <w:permStart w:id="16" w:edGrp="everyone"/>
      <w:r>
        <w:t xml:space="preserve">We </w:t>
      </w:r>
      <w:r w:rsidR="0084564E">
        <w:t xml:space="preserve">strongly </w:t>
      </w:r>
      <w:r>
        <w:t>support the positions of the ISDA response</w:t>
      </w:r>
      <w:r w:rsidR="00D20657">
        <w:t>,</w:t>
      </w:r>
      <w:r>
        <w:t xml:space="preserve"> with particular emphasis on </w:t>
      </w:r>
      <w:r w:rsidR="00D20657">
        <w:t xml:space="preserve">the need to provide an appropriate exemption for </w:t>
      </w:r>
      <w:r>
        <w:t>compression based activity</w:t>
      </w:r>
      <w:r w:rsidR="00D20657">
        <w:t xml:space="preserve"> or other risk-reducing processes.</w:t>
      </w:r>
      <w:r>
        <w:t xml:space="preserve"> </w:t>
      </w:r>
      <w:r w:rsidR="0084564E">
        <w:t>In addition we support t</w:t>
      </w:r>
      <w:r>
        <w:t xml:space="preserve">hat lifecycle events (e.g. fund allocations, swaption exercises) </w:t>
      </w:r>
      <w:r w:rsidR="0084564E">
        <w:t xml:space="preserve">should </w:t>
      </w:r>
      <w:r>
        <w:t xml:space="preserve">be treated in the interest of international convergence with the CFTC. </w:t>
      </w:r>
    </w:p>
    <w:permEnd w:id="16"/>
    <w:p w:rsidR="00940A63" w:rsidRDefault="00940A63" w:rsidP="00940A63">
      <w:r>
        <w:t>&lt;ESMA_QUESTION_12&gt;</w:t>
      </w:r>
    </w:p>
    <w:p w:rsidR="00663ADD" w:rsidRDefault="00663ADD" w:rsidP="00940A63"/>
    <w:p w:rsidR="00663ADD" w:rsidRDefault="00663ADD" w:rsidP="00940A63"/>
    <w:p w:rsidR="00663ADD" w:rsidRPr="00FE73ED" w:rsidRDefault="00663ADD" w:rsidP="00663ADD">
      <w:pPr>
        <w:pStyle w:val="Heading1"/>
        <w:numPr>
          <w:ilvl w:val="0"/>
          <w:numId w:val="0"/>
        </w:numPr>
      </w:pPr>
      <w:bookmarkStart w:id="29" w:name="_Toc392599431"/>
      <w:r w:rsidRPr="0030524D">
        <w:t xml:space="preserve">Annex </w:t>
      </w:r>
      <w:r w:rsidR="00824EE5">
        <w:fldChar w:fldCharType="begin"/>
      </w:r>
      <w:r w:rsidR="00707FEA">
        <w:instrText xml:space="preserve"> SEQ Annex \* ROMAN </w:instrText>
      </w:r>
      <w:r w:rsidR="00824EE5">
        <w:fldChar w:fldCharType="separate"/>
      </w:r>
      <w:r w:rsidR="00A63BA9">
        <w:rPr>
          <w:noProof/>
        </w:rPr>
        <w:t>III</w:t>
      </w:r>
      <w:r w:rsidR="00824EE5">
        <w:rPr>
          <w:noProof/>
        </w:rPr>
        <w:fldChar w:fldCharType="end"/>
      </w:r>
      <w:r w:rsidRPr="0030524D">
        <w:t xml:space="preserve"> - </w:t>
      </w:r>
      <w:r>
        <w:t>Impact assessment</w:t>
      </w:r>
      <w:bookmarkEnd w:id="29"/>
    </w:p>
    <w:p w:rsidR="00940A63" w:rsidRDefault="00940A63" w:rsidP="00940A63">
      <w:pPr>
        <w:pStyle w:val="Questions"/>
      </w:pPr>
      <w:r>
        <w:t xml:space="preserve">Question </w:t>
      </w:r>
      <w:fldSimple w:instr=" SEQ Question \* ARABIC ">
        <w:r w:rsidR="00A63BA9">
          <w:rPr>
            <w:noProof/>
          </w:rPr>
          <w:t>13</w:t>
        </w:r>
      </w:fldSimple>
      <w:r>
        <w:t>: Please indicate your comments on the CBA.</w:t>
      </w:r>
    </w:p>
    <w:p w:rsidR="00940A63" w:rsidRDefault="00940A63" w:rsidP="00940A63"/>
    <w:p w:rsidR="00940A63" w:rsidRDefault="00940A63" w:rsidP="00940A63">
      <w:r>
        <w:t>&lt;ESMA_QUESTION_13&gt;</w:t>
      </w:r>
    </w:p>
    <w:p w:rsidR="00940A63" w:rsidRDefault="00940A63" w:rsidP="00940A63">
      <w:permStart w:id="17" w:edGrp="everyone"/>
      <w:r>
        <w:t>TYPE YOUR TEXT HERE</w:t>
      </w:r>
    </w:p>
    <w:permEnd w:id="17"/>
    <w:p w:rsidR="00B25023" w:rsidRPr="00A21A30" w:rsidRDefault="00940A63" w:rsidP="00A21A30">
      <w:r>
        <w:t>&lt;ESMA_QUESTION_13&gt;</w:t>
      </w:r>
    </w:p>
    <w:sectPr w:rsidR="00B25023" w:rsidRPr="00A21A30" w:rsidSect="00C413FC">
      <w:headerReference w:type="even" r:id="rId13"/>
      <w:headerReference w:type="first" r:id="rId14"/>
      <w:footerReference w:type="first" r:id="rId15"/>
      <w:pgSz w:w="11906" w:h="16838" w:code="9"/>
      <w:pgMar w:top="2552" w:right="1247" w:bottom="1361" w:left="124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599B" w:rsidRDefault="0022599B">
      <w:r>
        <w:separator/>
      </w:r>
    </w:p>
    <w:p w:rsidR="0022599B" w:rsidRDefault="0022599B"/>
    <w:p w:rsidR="0022599B" w:rsidRDefault="0022599B"/>
  </w:endnote>
  <w:endnote w:type="continuationSeparator" w:id="0">
    <w:p w:rsidR="0022599B" w:rsidRDefault="0022599B">
      <w:r>
        <w:continuationSeparator/>
      </w:r>
    </w:p>
    <w:p w:rsidR="0022599B" w:rsidRDefault="0022599B"/>
    <w:p w:rsidR="0022599B" w:rsidRDefault="0022599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A00002BF" w:usb1="68C7FCFB" w:usb2="00000010" w:usb3="00000000" w:csb0="0002009F" w:csb1="00000000"/>
  </w:font>
  <w:font w:name="Expert Sans Regular">
    <w:panose1 w:val="00000500000000000000"/>
    <w:charset w:val="00"/>
    <w:family w:val="auto"/>
    <w:notTrueType/>
    <w:pitch w:val="variable"/>
    <w:sig w:usb0="00000083" w:usb1="00000000" w:usb2="00000000" w:usb3="00000000" w:csb0="00000009" w:csb1="00000000"/>
  </w:font>
  <w:font w:name="SimSun">
    <w:altName w:val="宋体"/>
    <w:panose1 w:val="02010600030101010101"/>
    <w:charset w:val="86"/>
    <w:family w:val="auto"/>
    <w:pitch w:val="variable"/>
    <w:sig w:usb0="00000003" w:usb1="080E0000" w:usb2="00000010"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22599B" w:rsidRPr="000C3B6D" w:rsidTr="000C3B6D">
      <w:trPr>
        <w:trHeight w:val="284"/>
      </w:trPr>
      <w:tc>
        <w:tcPr>
          <w:tcW w:w="8460" w:type="dxa"/>
        </w:tcPr>
        <w:p w:rsidR="0022599B" w:rsidRPr="000C3B6D" w:rsidRDefault="0022599B" w:rsidP="000C3B6D">
          <w:pPr>
            <w:pStyle w:val="00Footer"/>
            <w:rPr>
              <w:lang w:val="fr-FR"/>
            </w:rPr>
          </w:pPr>
        </w:p>
      </w:tc>
      <w:tc>
        <w:tcPr>
          <w:tcW w:w="952" w:type="dxa"/>
        </w:tcPr>
        <w:p w:rsidR="0022599B" w:rsidRDefault="0022599B" w:rsidP="002C5B2D">
          <w:pPr>
            <w:pStyle w:val="00aPagenumber"/>
          </w:pPr>
          <w:fldSimple w:instr=" PAGE ">
            <w:r w:rsidR="00257269">
              <w:rPr>
                <w:noProof/>
              </w:rPr>
              <w:t>4</w:t>
            </w:r>
          </w:fldSimple>
        </w:p>
        <w:p w:rsidR="0022599B" w:rsidRPr="002C5B2D" w:rsidRDefault="0022599B" w:rsidP="002C5B2D">
          <w:pPr>
            <w:pStyle w:val="00aPagenumber"/>
          </w:pPr>
        </w:p>
      </w:tc>
    </w:tr>
    <w:tr w:rsidR="0022599B" w:rsidRPr="000C3B6D" w:rsidTr="000C3B6D">
      <w:trPr>
        <w:trHeight w:val="284"/>
      </w:trPr>
      <w:tc>
        <w:tcPr>
          <w:tcW w:w="8460" w:type="dxa"/>
        </w:tcPr>
        <w:p w:rsidR="0022599B" w:rsidRPr="00E06635" w:rsidRDefault="0022599B" w:rsidP="00D82212">
          <w:pPr>
            <w:pStyle w:val="00Footer"/>
          </w:pPr>
        </w:p>
      </w:tc>
      <w:tc>
        <w:tcPr>
          <w:tcW w:w="952" w:type="dxa"/>
        </w:tcPr>
        <w:p w:rsidR="0022599B" w:rsidRPr="002C5B2D" w:rsidRDefault="0022599B" w:rsidP="002C5B2D">
          <w:pPr>
            <w:pStyle w:val="00aPagenumber"/>
          </w:pPr>
        </w:p>
      </w:tc>
    </w:tr>
  </w:tbl>
  <w:p w:rsidR="0022599B" w:rsidRDefault="0022599B">
    <w:pPr>
      <w:pStyle w:val="Footer"/>
    </w:pPr>
    <w:fldSimple w:instr=" DATE \@ &quot;dddd, dd MMMM yyyy&quot; ">
      <w:r w:rsidR="00257269">
        <w:rPr>
          <w:noProof/>
        </w:rPr>
        <w:t>Monday, 18 August 2014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99B" w:rsidRDefault="002259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599B" w:rsidRDefault="0022599B">
      <w:r>
        <w:separator/>
      </w:r>
    </w:p>
    <w:p w:rsidR="0022599B" w:rsidRDefault="0022599B"/>
  </w:footnote>
  <w:footnote w:type="continuationSeparator" w:id="0">
    <w:p w:rsidR="0022599B" w:rsidRDefault="0022599B">
      <w:r>
        <w:continuationSeparator/>
      </w:r>
    </w:p>
    <w:p w:rsidR="0022599B" w:rsidRDefault="0022599B"/>
    <w:p w:rsidR="0022599B" w:rsidRDefault="0022599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99B" w:rsidRDefault="0022599B">
    <w:pPr>
      <w:pStyle w:val="Header"/>
    </w:pPr>
    <w:r>
      <w:rPr>
        <w:noProof/>
        <w:lang w:val="en-US" w:eastAsia="en-US"/>
      </w:rPr>
      <w:drawing>
        <wp:anchor distT="0" distB="0" distL="114300" distR="114300" simplePos="0" relativeHeight="251660288"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3" name="Picture 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1975" cy="561975"/>
                  </a:xfrm>
                  <a:prstGeom prst="rect">
                    <a:avLst/>
                  </a:prstGeom>
                  <a:noFill/>
                </pic:spPr>
              </pic:pic>
            </a:graphicData>
          </a:graphic>
        </wp:anchor>
      </w:drawing>
    </w:r>
    <w:r>
      <w:rPr>
        <w:noProof/>
        <w:lang w:val="en-US" w:eastAsia="en-US"/>
      </w:rPr>
      <w:pict>
        <v:line id="Line 16" o:spid="_x0000_s1638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99B" w:rsidRDefault="0022599B">
    <w:pPr>
      <w:pStyle w:val="Header"/>
    </w:pPr>
    <w:r>
      <w:rPr>
        <w:noProof/>
        <w:lang w:val="en-US" w:eastAsia="en-US"/>
      </w:rPr>
      <w:drawing>
        <wp:anchor distT="0" distB="0" distL="114300" distR="114300" simplePos="0" relativeHeight="251659264"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4"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9800" cy="904875"/>
                  </a:xfrm>
                  <a:prstGeom prst="rect">
                    <a:avLst/>
                  </a:prstGeom>
                  <a:noFill/>
                </pic:spPr>
              </pic:pic>
            </a:graphicData>
          </a:graphic>
        </wp:anchor>
      </w:drawing>
    </w:r>
    <w:r>
      <w:rPr>
        <w:noProof/>
        <w:lang w:val="en-US" w:eastAsia="en-US"/>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5" name="Picture 5"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60310" cy="6800850"/>
                  </a:xfrm>
                  <a:prstGeom prst="rect">
                    <a:avLst/>
                  </a:prstGeom>
                  <a:noFill/>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99B" w:rsidRDefault="0022599B"/>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9214"/>
      <w:gridCol w:w="198"/>
    </w:tblGrid>
    <w:tr w:rsidR="0022599B" w:rsidRPr="00E00C3F" w:rsidTr="00641A2C">
      <w:trPr>
        <w:trHeight w:val="284"/>
      </w:trPr>
      <w:tc>
        <w:tcPr>
          <w:tcW w:w="9214" w:type="dxa"/>
        </w:tcPr>
        <w:p w:rsidR="0022599B" w:rsidRPr="000C3B6D" w:rsidRDefault="0022599B" w:rsidP="00641A2C">
          <w:pPr>
            <w:pStyle w:val="Footer"/>
            <w:rPr>
              <w:lang w:val="fr-FR"/>
            </w:rPr>
          </w:pPr>
          <w:r w:rsidRPr="00741C8F">
            <w:rPr>
              <w:color w:val="3E3F90"/>
              <w:sz w:val="16"/>
              <w:szCs w:val="16"/>
              <w:lang w:val="es-ES_tradnl"/>
            </w:rPr>
            <w:t xml:space="preserve">ESMA • CS 60747 – 103 rue de Grenelle • 75345 Paris Cedex 07 • France • Tel. </w:t>
          </w:r>
          <w:r w:rsidRPr="00E00C3F">
            <w:rPr>
              <w:color w:val="3E3F90"/>
              <w:sz w:val="16"/>
              <w:szCs w:val="16"/>
              <w:lang w:val="fr-FR"/>
            </w:rPr>
            <w:t>+33 (0) 1 58 36 43 21 • www.esma.europa.eu</w:t>
          </w:r>
        </w:p>
      </w:tc>
      <w:tc>
        <w:tcPr>
          <w:tcW w:w="198" w:type="dxa"/>
        </w:tcPr>
        <w:p w:rsidR="0022599B" w:rsidRPr="00E00C3F" w:rsidRDefault="0022599B" w:rsidP="00620D7C">
          <w:pPr>
            <w:pStyle w:val="00aPagenumber"/>
            <w:rPr>
              <w:lang w:val="fr-FR"/>
            </w:rPr>
          </w:pPr>
        </w:p>
      </w:tc>
    </w:tr>
  </w:tbl>
  <w:p w:rsidR="0022599B" w:rsidRPr="00DB46C3" w:rsidRDefault="0022599B">
    <w:pPr>
      <w:rPr>
        <w:lang w:val="fr-FR"/>
      </w:rPr>
    </w:pPr>
  </w:p>
  <w:p w:rsidR="0022599B" w:rsidRDefault="0022599B">
    <w:pPr>
      <w:pStyle w:val="Header"/>
    </w:pPr>
    <w:r>
      <w:rPr>
        <w:noProof/>
        <w:lang w:val="en-US" w:eastAsia="en-US"/>
      </w:rPr>
      <w:pict>
        <v:line id="Line 20" o:spid="_x0000_s16385"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" strokecolor="#283583" strokeweight="1pt">
          <w10:wrap anchorx="page" anchory="page"/>
        </v:line>
      </w:pict>
    </w:r>
    <w:r>
      <w:rPr>
        <w:noProof/>
        <w:lang w:val="en-US" w:eastAsia="en-US"/>
      </w:rPr>
      <w:drawing>
        <wp:anchor distT="0" distB="0" distL="114300" distR="114300" simplePos="0" relativeHeight="251657216"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9" name="Picture 19"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sma_8_V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9800" cy="90487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85E7A"/>
    <w:multiLevelType w:val="hybridMultilevel"/>
    <w:tmpl w:val="399C7AA6"/>
    <w:lvl w:ilvl="0" w:tplc="C7B283DC">
      <w:start w:val="1"/>
      <w:numFmt w:val="decimal"/>
      <w:pStyle w:val="Style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A34FE7"/>
    <w:multiLevelType w:val="hybridMultilevel"/>
    <w:tmpl w:val="595E013A"/>
    <w:lvl w:ilvl="0" w:tplc="66821E4C">
      <w:start w:val="1"/>
      <w:numFmt w:val="bullet"/>
      <w:pStyle w:val="0MyBullet"/>
      <w:lvlText w:val=""/>
      <w:lvlJc w:val="left"/>
      <w:pPr>
        <w:ind w:left="720" w:hanging="360"/>
      </w:pPr>
      <w:rPr>
        <w:rFonts w:ascii="Symbol" w:hAnsi="Symbol" w:hint="default"/>
      </w:rPr>
    </w:lvl>
    <w:lvl w:ilvl="1" w:tplc="04090003" w:tentative="1">
      <w:start w:val="1"/>
      <w:numFmt w:val="bullet"/>
      <w:pStyle w:val="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60293F"/>
    <w:multiLevelType w:val="hybridMultilevel"/>
    <w:tmpl w:val="7B7CDDA8"/>
    <w:lvl w:ilvl="0" w:tplc="FF5E7E2C">
      <w:start w:val="1"/>
      <w:numFmt w:val="bullet"/>
      <w:pStyle w:val="my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04C28C6"/>
    <w:multiLevelType w:val="multilevel"/>
    <w:tmpl w:val="E94E1312"/>
    <w:lvl w:ilvl="0">
      <w:start w:val="1"/>
      <w:numFmt w:val="decimal"/>
      <w:pStyle w:val="Heading1"/>
      <w:lvlText w:val="%1"/>
      <w:lvlJc w:val="left"/>
      <w:pPr>
        <w:ind w:left="574" w:hanging="432"/>
      </w:pPr>
    </w:lvl>
    <w:lvl w:ilvl="1">
      <w:start w:val="1"/>
      <w:numFmt w:val="decimal"/>
      <w:pStyle w:val="Heading2"/>
      <w:lvlText w:val="%1.%2"/>
      <w:lvlJc w:val="left"/>
      <w:pPr>
        <w:ind w:left="718" w:hanging="576"/>
      </w:pPr>
    </w:lvl>
    <w:lvl w:ilvl="2">
      <w:start w:val="1"/>
      <w:numFmt w:val="decimal"/>
      <w:pStyle w:val="Heading3"/>
      <w:lvlText w:val="%1.%2.%3"/>
      <w:lvlJc w:val="left"/>
      <w:pPr>
        <w:ind w:left="862" w:hanging="720"/>
      </w:pPr>
    </w:lvl>
    <w:lvl w:ilvl="3">
      <w:start w:val="1"/>
      <w:numFmt w:val="decimal"/>
      <w:pStyle w:val="Heading4"/>
      <w:lvlText w:val="%1.%2.%3.%4"/>
      <w:lvlJc w:val="left"/>
      <w:pPr>
        <w:ind w:left="1006" w:hanging="864"/>
      </w:pPr>
    </w:lvl>
    <w:lvl w:ilvl="4">
      <w:start w:val="1"/>
      <w:numFmt w:val="decimal"/>
      <w:pStyle w:val="Heading5"/>
      <w:lvlText w:val="%1.%2.%3.%4.%5"/>
      <w:lvlJc w:val="left"/>
      <w:pPr>
        <w:ind w:left="1150" w:hanging="1008"/>
      </w:pPr>
    </w:lvl>
    <w:lvl w:ilvl="5">
      <w:start w:val="1"/>
      <w:numFmt w:val="decimal"/>
      <w:pStyle w:val="Heading6"/>
      <w:lvlText w:val="%1.%2.%3.%4.%5.%6"/>
      <w:lvlJc w:val="left"/>
      <w:pPr>
        <w:ind w:left="1294" w:hanging="1152"/>
      </w:pPr>
    </w:lvl>
    <w:lvl w:ilvl="6">
      <w:start w:val="1"/>
      <w:numFmt w:val="decimal"/>
      <w:pStyle w:val="Heading7"/>
      <w:lvlText w:val="%1.%2.%3.%4.%5.%6.%7"/>
      <w:lvlJc w:val="left"/>
      <w:pPr>
        <w:ind w:left="1438" w:hanging="1296"/>
      </w:pPr>
    </w:lvl>
    <w:lvl w:ilvl="7">
      <w:start w:val="1"/>
      <w:numFmt w:val="decimal"/>
      <w:pStyle w:val="Heading8"/>
      <w:lvlText w:val="%1.%2.%3.%4.%5.%6.%7.%8"/>
      <w:lvlJc w:val="left"/>
      <w:pPr>
        <w:ind w:left="1582" w:hanging="1440"/>
      </w:pPr>
    </w:lvl>
    <w:lvl w:ilvl="8">
      <w:start w:val="1"/>
      <w:numFmt w:val="decimal"/>
      <w:pStyle w:val="Heading9"/>
      <w:lvlText w:val="%1.%2.%3.%4.%5.%6.%7.%8.%9"/>
      <w:lvlJc w:val="left"/>
      <w:pPr>
        <w:ind w:left="1726" w:hanging="1584"/>
      </w:pPr>
    </w:lvl>
  </w:abstractNum>
  <w:abstractNum w:abstractNumId="4">
    <w:nsid w:val="24B0372A"/>
    <w:multiLevelType w:val="hybridMultilevel"/>
    <w:tmpl w:val="69BA9B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6109F1"/>
    <w:multiLevelType w:val="hybridMultilevel"/>
    <w:tmpl w:val="52CA7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CE45378"/>
    <w:multiLevelType w:val="multilevel"/>
    <w:tmpl w:val="A0289056"/>
    <w:lvl w:ilvl="0">
      <w:start w:val="1"/>
      <w:numFmt w:val="decimal"/>
      <w:pStyle w:val="Level1"/>
      <w:lvlText w:val="%1"/>
      <w:lvlJc w:val="left"/>
      <w:pPr>
        <w:tabs>
          <w:tab w:val="num" w:pos="680"/>
        </w:tabs>
        <w:ind w:left="680" w:hanging="680"/>
      </w:pPr>
      <w:rPr>
        <w:rFonts w:ascii="Times New Roman" w:hAnsi="Times New Roman" w:cs="Times New Roman" w:hint="default"/>
        <w:b/>
        <w:i w:val="0"/>
        <w:sz w:val="24"/>
        <w:szCs w:val="24"/>
      </w:rPr>
    </w:lvl>
    <w:lvl w:ilvl="1">
      <w:start w:val="1"/>
      <w:numFmt w:val="decimal"/>
      <w:pStyle w:val="Level2"/>
      <w:lvlText w:val="%1.%2"/>
      <w:lvlJc w:val="left"/>
      <w:pPr>
        <w:tabs>
          <w:tab w:val="num" w:pos="680"/>
        </w:tabs>
        <w:ind w:left="680" w:hanging="680"/>
      </w:pPr>
      <w:rPr>
        <w:rFonts w:ascii="Times New Roman" w:hAnsi="Times New Roman" w:cs="Times New Roman" w:hint="default"/>
        <w:b/>
        <w:i w:val="0"/>
        <w:color w:val="auto"/>
        <w:sz w:val="21"/>
      </w:rPr>
    </w:lvl>
    <w:lvl w:ilvl="2">
      <w:start w:val="1"/>
      <w:numFmt w:val="decimal"/>
      <w:pStyle w:val="Level3"/>
      <w:lvlText w:val="%1.%2.%3"/>
      <w:lvlJc w:val="left"/>
      <w:pPr>
        <w:tabs>
          <w:tab w:val="num" w:pos="1361"/>
        </w:tabs>
        <w:ind w:left="1361" w:hanging="681"/>
      </w:pPr>
      <w:rPr>
        <w:b/>
        <w:i w:val="0"/>
        <w:sz w:val="17"/>
      </w:rPr>
    </w:lvl>
    <w:lvl w:ilvl="3">
      <w:start w:val="1"/>
      <w:numFmt w:val="lowerRoman"/>
      <w:pStyle w:val="Level4"/>
      <w:lvlText w:val="(%4)"/>
      <w:lvlJc w:val="left"/>
      <w:pPr>
        <w:tabs>
          <w:tab w:val="num" w:pos="2041"/>
        </w:tabs>
        <w:ind w:left="2041" w:hanging="680"/>
      </w:pPr>
    </w:lvl>
    <w:lvl w:ilvl="4">
      <w:start w:val="1"/>
      <w:numFmt w:val="lowerLetter"/>
      <w:pStyle w:val="Level5"/>
      <w:lvlText w:val="(%5)"/>
      <w:lvlJc w:val="left"/>
      <w:pPr>
        <w:tabs>
          <w:tab w:val="num" w:pos="2608"/>
        </w:tabs>
        <w:ind w:left="2608" w:hanging="567"/>
      </w:pPr>
    </w:lvl>
    <w:lvl w:ilvl="5">
      <w:start w:val="1"/>
      <w:numFmt w:val="upperRoman"/>
      <w:pStyle w:val="Level6"/>
      <w:lvlText w:val="(%6)"/>
      <w:lvlJc w:val="left"/>
      <w:pPr>
        <w:tabs>
          <w:tab w:val="num" w:pos="3288"/>
        </w:tabs>
        <w:ind w:left="3288" w:hanging="680"/>
      </w:pPr>
    </w:lvl>
    <w:lvl w:ilvl="6">
      <w:start w:val="1"/>
      <w:numFmt w:val="none"/>
      <w:lvlText w:val=""/>
      <w:lvlJc w:val="left"/>
      <w:pPr>
        <w:tabs>
          <w:tab w:val="num" w:pos="3288"/>
        </w:tabs>
        <w:ind w:left="3288" w:hanging="680"/>
      </w:pPr>
    </w:lvl>
    <w:lvl w:ilvl="7">
      <w:start w:val="1"/>
      <w:numFmt w:val="none"/>
      <w:lvlText w:val=""/>
      <w:lvlJc w:val="left"/>
      <w:pPr>
        <w:tabs>
          <w:tab w:val="num" w:pos="3288"/>
        </w:tabs>
        <w:ind w:left="3288" w:hanging="680"/>
      </w:pPr>
    </w:lvl>
    <w:lvl w:ilvl="8">
      <w:start w:val="1"/>
      <w:numFmt w:val="none"/>
      <w:lvlText w:val=""/>
      <w:lvlJc w:val="left"/>
      <w:pPr>
        <w:tabs>
          <w:tab w:val="num" w:pos="3288"/>
        </w:tabs>
        <w:ind w:left="3288" w:hanging="680"/>
      </w:pPr>
    </w:lvl>
  </w:abstractNum>
  <w:abstractNum w:abstractNumId="7">
    <w:nsid w:val="341D6808"/>
    <w:multiLevelType w:val="hybridMultilevel"/>
    <w:tmpl w:val="5E647ACE"/>
    <w:lvl w:ilvl="0" w:tplc="C4268646">
      <w:start w:val="1"/>
      <w:numFmt w:val="bullet"/>
      <w:pStyle w:val="MyBullet0"/>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85C6A9A"/>
    <w:multiLevelType w:val="hybridMultilevel"/>
    <w:tmpl w:val="C4E64628"/>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nsid w:val="3F846409"/>
    <w:multiLevelType w:val="hybridMultilevel"/>
    <w:tmpl w:val="0040E744"/>
    <w:lvl w:ilvl="0" w:tplc="C98A692E">
      <w:start w:val="1"/>
      <w:numFmt w:val="lowerLetter"/>
      <w:pStyle w:val="Style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3BA713F"/>
    <w:multiLevelType w:val="hybridMultilevel"/>
    <w:tmpl w:val="AEA697D2"/>
    <w:lvl w:ilvl="0" w:tplc="BD561B72">
      <w:start w:val="1"/>
      <w:numFmt w:val="decimal"/>
      <w:pStyle w:val="1MyNor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4261A85"/>
    <w:multiLevelType w:val="hybridMultilevel"/>
    <w:tmpl w:val="46FA329C"/>
    <w:lvl w:ilvl="0" w:tplc="004A5D92">
      <w:start w:val="1"/>
      <w:numFmt w:val="decimal"/>
      <w:pStyle w:val="04aNumbering"/>
      <w:lvlText w:val="%1."/>
      <w:lvlJc w:val="left"/>
      <w:pPr>
        <w:tabs>
          <w:tab w:val="num" w:pos="4679"/>
        </w:tabs>
        <w:ind w:left="4679" w:hanging="284"/>
      </w:pPr>
      <w:rPr>
        <w:rFonts w:ascii="Georgia" w:hAnsi="Georgia" w:cs="Times New Roman" w:hint="default"/>
        <w:b w:val="0"/>
        <w:sz w:val="20"/>
        <w:szCs w:val="20"/>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nsid w:val="50CB4729"/>
    <w:multiLevelType w:val="hybridMultilevel"/>
    <w:tmpl w:val="45728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260F13"/>
    <w:multiLevelType w:val="multilevel"/>
    <w:tmpl w:val="D652C102"/>
    <w:lvl w:ilvl="0">
      <w:start w:val="2"/>
      <w:numFmt w:val="upperRoman"/>
      <w:pStyle w:val="05cHeadline1"/>
      <w:lvlText w:val="%1."/>
      <w:lvlJc w:val="left"/>
      <w:pPr>
        <w:tabs>
          <w:tab w:val="num" w:pos="567"/>
        </w:tabs>
        <w:ind w:left="567" w:hanging="567"/>
      </w:pPr>
      <w:rPr>
        <w:rFonts w:ascii="Georgia" w:hAnsi="Georgia" w:hint="default"/>
        <w:b/>
        <w:i w:val="0"/>
        <w:sz w:val="20"/>
      </w:rPr>
    </w:lvl>
    <w:lvl w:ilvl="1">
      <w:start w:val="2"/>
      <w:numFmt w:val="decimal"/>
      <w:lvlText w:val="%2."/>
      <w:lvlJc w:val="left"/>
      <w:pPr>
        <w:tabs>
          <w:tab w:val="num" w:pos="567"/>
        </w:tabs>
        <w:ind w:left="567" w:hanging="283"/>
      </w:pPr>
      <w:rPr>
        <w:rFonts w:hint="default"/>
        <w:b w:val="0"/>
        <w:i w:val="0"/>
        <w:sz w:val="20"/>
      </w:rPr>
    </w:lvl>
    <w:lvl w:ilvl="2">
      <w:start w:val="2"/>
      <w:numFmt w:val="upperRoman"/>
      <w:lvlText w:val="%3.%2"/>
      <w:lvlJc w:val="left"/>
      <w:pPr>
        <w:tabs>
          <w:tab w:val="num" w:pos="567"/>
        </w:tabs>
        <w:ind w:left="567" w:hanging="283"/>
      </w:pPr>
      <w:rPr>
        <w:rFonts w:ascii="Georgia" w:hAnsi="Georgia"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649B6065"/>
    <w:multiLevelType w:val="hybridMultilevel"/>
    <w:tmpl w:val="FF8C57BE"/>
    <w:lvl w:ilvl="0" w:tplc="68C003EC">
      <w:start w:val="1"/>
      <w:numFmt w:val="bullet"/>
      <w:pStyle w:val="MyBullet1"/>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70E009F1"/>
    <w:multiLevelType w:val="hybridMultilevel"/>
    <w:tmpl w:val="326E0842"/>
    <w:lvl w:ilvl="0" w:tplc="35DE07E0">
      <w:start w:val="1"/>
      <w:numFmt w:val="decimal"/>
      <w:pStyle w:val="Recital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1B17320"/>
    <w:multiLevelType w:val="hybridMultilevel"/>
    <w:tmpl w:val="AA1A1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731365A8"/>
    <w:multiLevelType w:val="hybridMultilevel"/>
    <w:tmpl w:val="097048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7F7218C"/>
    <w:multiLevelType w:val="hybridMultilevel"/>
    <w:tmpl w:val="5C083840"/>
    <w:lvl w:ilvl="0" w:tplc="48B26C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AF26E6B"/>
    <w:multiLevelType w:val="hybridMultilevel"/>
    <w:tmpl w:val="ED825812"/>
    <w:lvl w:ilvl="0" w:tplc="3F481CE0">
      <w:start w:val="1"/>
      <w:numFmt w:val="bullet"/>
      <w:pStyle w:val="my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8"/>
  </w:num>
  <w:num w:numId="4">
    <w:abstractNumId w:val="14"/>
  </w:num>
  <w:num w:numId="5">
    <w:abstractNumId w:val="1"/>
  </w:num>
  <w:num w:numId="6">
    <w:abstractNumId w:val="6"/>
  </w:num>
  <w:num w:numId="7">
    <w:abstractNumId w:val="7"/>
  </w:num>
  <w:num w:numId="8">
    <w:abstractNumId w:val="11"/>
  </w:num>
  <w:num w:numId="9">
    <w:abstractNumId w:val="2"/>
  </w:num>
  <w:num w:numId="10">
    <w:abstractNumId w:val="0"/>
  </w:num>
  <w:num w:numId="11">
    <w:abstractNumId w:val="15"/>
  </w:num>
  <w:num w:numId="12">
    <w:abstractNumId w:val="20"/>
  </w:num>
  <w:num w:numId="13">
    <w:abstractNumId w:val="10"/>
  </w:num>
  <w:num w:numId="14">
    <w:abstractNumId w:val="16"/>
  </w:num>
  <w:num w:numId="15">
    <w:abstractNumId w:val="3"/>
  </w:num>
  <w:num w:numId="16">
    <w:abstractNumId w:val="13"/>
  </w:num>
  <w:num w:numId="17">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5"/>
  </w:num>
  <w:num w:numId="20">
    <w:abstractNumId w:val="19"/>
  </w:num>
  <w:num w:numId="21">
    <w:abstractNumId w:val="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stylePaneFormatFilter w:val="1F01"/>
  <w:doNotTrackFormatting/>
  <w:documentProtection w:edit="readOnly" w:enforcement="1" w:cryptProviderType="rsaFull" w:cryptAlgorithmClass="hash" w:cryptAlgorithmType="typeAny" w:cryptAlgorithmSid="4" w:cryptSpinCount="100000" w:hash="trL95fgL1zKwo4I9HULZ7CGszCQ=" w:salt="Dmy4ivUnOPRfU9aDH0+ZyQ=="/>
  <w:defaultTabStop w:val="709"/>
  <w:hyphenationZone w:val="567"/>
  <w:doNotHyphenateCaps/>
  <w:characterSpacingControl w:val="doNotCompress"/>
  <w:hdrShapeDefaults>
    <o:shapedefaults v:ext="edit" spidmax="16387">
      <o:colormru v:ext="edit" colors="#2d4491,#283583"/>
    </o:shapedefaults>
    <o:shapelayout v:ext="edit">
      <o:idmap v:ext="edit" data="16"/>
    </o:shapelayout>
  </w:hdrShapeDefaults>
  <w:footnotePr>
    <w:footnote w:id="-1"/>
    <w:footnote w:id="0"/>
  </w:footnotePr>
  <w:endnotePr>
    <w:endnote w:id="-1"/>
    <w:endnote w:id="0"/>
  </w:endnotePr>
  <w:compat/>
  <w:rsids>
    <w:rsidRoot w:val="00E94252"/>
    <w:rsid w:val="0000108D"/>
    <w:rsid w:val="0000125B"/>
    <w:rsid w:val="000018E5"/>
    <w:rsid w:val="00003066"/>
    <w:rsid w:val="00003AEB"/>
    <w:rsid w:val="000055FE"/>
    <w:rsid w:val="000057A4"/>
    <w:rsid w:val="00005941"/>
    <w:rsid w:val="00011F51"/>
    <w:rsid w:val="00012A14"/>
    <w:rsid w:val="000134E9"/>
    <w:rsid w:val="000141D6"/>
    <w:rsid w:val="0001488F"/>
    <w:rsid w:val="00014A4B"/>
    <w:rsid w:val="0001774B"/>
    <w:rsid w:val="000214DE"/>
    <w:rsid w:val="000218D6"/>
    <w:rsid w:val="00022F80"/>
    <w:rsid w:val="0002436D"/>
    <w:rsid w:val="000259C1"/>
    <w:rsid w:val="00027154"/>
    <w:rsid w:val="000274DB"/>
    <w:rsid w:val="0002767B"/>
    <w:rsid w:val="00027950"/>
    <w:rsid w:val="00030909"/>
    <w:rsid w:val="00030E3E"/>
    <w:rsid w:val="0003444F"/>
    <w:rsid w:val="00034E6C"/>
    <w:rsid w:val="00036175"/>
    <w:rsid w:val="000361B3"/>
    <w:rsid w:val="00036907"/>
    <w:rsid w:val="0003741B"/>
    <w:rsid w:val="0004082A"/>
    <w:rsid w:val="000410E9"/>
    <w:rsid w:val="00042EF2"/>
    <w:rsid w:val="0004389E"/>
    <w:rsid w:val="000439DE"/>
    <w:rsid w:val="0004481F"/>
    <w:rsid w:val="00045FB1"/>
    <w:rsid w:val="00047DD8"/>
    <w:rsid w:val="00050083"/>
    <w:rsid w:val="00051992"/>
    <w:rsid w:val="00051BC9"/>
    <w:rsid w:val="0005505F"/>
    <w:rsid w:val="000561C0"/>
    <w:rsid w:val="000576D7"/>
    <w:rsid w:val="000606DD"/>
    <w:rsid w:val="00060F72"/>
    <w:rsid w:val="00062997"/>
    <w:rsid w:val="00062EAD"/>
    <w:rsid w:val="00070974"/>
    <w:rsid w:val="00071CE4"/>
    <w:rsid w:val="0007474E"/>
    <w:rsid w:val="00075A90"/>
    <w:rsid w:val="00080976"/>
    <w:rsid w:val="000829E9"/>
    <w:rsid w:val="00084648"/>
    <w:rsid w:val="00085B53"/>
    <w:rsid w:val="00085CB4"/>
    <w:rsid w:val="00085E19"/>
    <w:rsid w:val="000863C8"/>
    <w:rsid w:val="00086B36"/>
    <w:rsid w:val="000878D1"/>
    <w:rsid w:val="00087A2B"/>
    <w:rsid w:val="00090459"/>
    <w:rsid w:val="00091A20"/>
    <w:rsid w:val="000925FF"/>
    <w:rsid w:val="000932E0"/>
    <w:rsid w:val="00094A6B"/>
    <w:rsid w:val="00094D97"/>
    <w:rsid w:val="00094DD3"/>
    <w:rsid w:val="000951B7"/>
    <w:rsid w:val="00095B96"/>
    <w:rsid w:val="00095EDE"/>
    <w:rsid w:val="000A0199"/>
    <w:rsid w:val="000A0671"/>
    <w:rsid w:val="000A1837"/>
    <w:rsid w:val="000A2127"/>
    <w:rsid w:val="000A3313"/>
    <w:rsid w:val="000A3561"/>
    <w:rsid w:val="000A3888"/>
    <w:rsid w:val="000A58B6"/>
    <w:rsid w:val="000A7B53"/>
    <w:rsid w:val="000B12AB"/>
    <w:rsid w:val="000B275C"/>
    <w:rsid w:val="000B2DB1"/>
    <w:rsid w:val="000B6023"/>
    <w:rsid w:val="000B6715"/>
    <w:rsid w:val="000C0AC8"/>
    <w:rsid w:val="000C1456"/>
    <w:rsid w:val="000C1A7D"/>
    <w:rsid w:val="000C1CFC"/>
    <w:rsid w:val="000C1E28"/>
    <w:rsid w:val="000C22A9"/>
    <w:rsid w:val="000C2477"/>
    <w:rsid w:val="000C2B6A"/>
    <w:rsid w:val="000C3B6D"/>
    <w:rsid w:val="000C6BFE"/>
    <w:rsid w:val="000D0120"/>
    <w:rsid w:val="000D0936"/>
    <w:rsid w:val="000D2DE4"/>
    <w:rsid w:val="000D629F"/>
    <w:rsid w:val="000D69CA"/>
    <w:rsid w:val="000D6BCE"/>
    <w:rsid w:val="000D76EE"/>
    <w:rsid w:val="000E00A1"/>
    <w:rsid w:val="000E0CE1"/>
    <w:rsid w:val="000E2124"/>
    <w:rsid w:val="000E4841"/>
    <w:rsid w:val="000E4D6A"/>
    <w:rsid w:val="000E5A66"/>
    <w:rsid w:val="000F2386"/>
    <w:rsid w:val="000F30B4"/>
    <w:rsid w:val="000F36BC"/>
    <w:rsid w:val="000F4B12"/>
    <w:rsid w:val="000F5D58"/>
    <w:rsid w:val="00101C7D"/>
    <w:rsid w:val="00101E86"/>
    <w:rsid w:val="00101FD5"/>
    <w:rsid w:val="00103FA2"/>
    <w:rsid w:val="001046BF"/>
    <w:rsid w:val="001065D7"/>
    <w:rsid w:val="00106E60"/>
    <w:rsid w:val="00107094"/>
    <w:rsid w:val="0010755D"/>
    <w:rsid w:val="00107651"/>
    <w:rsid w:val="00110C5F"/>
    <w:rsid w:val="001111E3"/>
    <w:rsid w:val="00111525"/>
    <w:rsid w:val="0011167D"/>
    <w:rsid w:val="00112892"/>
    <w:rsid w:val="00112AB9"/>
    <w:rsid w:val="00113A30"/>
    <w:rsid w:val="00114377"/>
    <w:rsid w:val="00115C28"/>
    <w:rsid w:val="00117B62"/>
    <w:rsid w:val="00120C41"/>
    <w:rsid w:val="001222F8"/>
    <w:rsid w:val="00123D39"/>
    <w:rsid w:val="0012451C"/>
    <w:rsid w:val="0012566F"/>
    <w:rsid w:val="00126153"/>
    <w:rsid w:val="00126A56"/>
    <w:rsid w:val="00127304"/>
    <w:rsid w:val="00127E07"/>
    <w:rsid w:val="001302B3"/>
    <w:rsid w:val="00130D4A"/>
    <w:rsid w:val="00130F41"/>
    <w:rsid w:val="001313B7"/>
    <w:rsid w:val="00133121"/>
    <w:rsid w:val="00134E54"/>
    <w:rsid w:val="00135F2B"/>
    <w:rsid w:val="001364BC"/>
    <w:rsid w:val="00136F17"/>
    <w:rsid w:val="001376DE"/>
    <w:rsid w:val="00137B16"/>
    <w:rsid w:val="001431AE"/>
    <w:rsid w:val="00143B87"/>
    <w:rsid w:val="0014501C"/>
    <w:rsid w:val="00145BEB"/>
    <w:rsid w:val="00147252"/>
    <w:rsid w:val="00147B5A"/>
    <w:rsid w:val="001501FE"/>
    <w:rsid w:val="00152987"/>
    <w:rsid w:val="00153B8A"/>
    <w:rsid w:val="00153DE9"/>
    <w:rsid w:val="0015624B"/>
    <w:rsid w:val="00157C5D"/>
    <w:rsid w:val="00161F32"/>
    <w:rsid w:val="001632B2"/>
    <w:rsid w:val="00163C2A"/>
    <w:rsid w:val="001641BB"/>
    <w:rsid w:val="0016552B"/>
    <w:rsid w:val="00165C12"/>
    <w:rsid w:val="00165D8E"/>
    <w:rsid w:val="00166895"/>
    <w:rsid w:val="001678BB"/>
    <w:rsid w:val="00167A86"/>
    <w:rsid w:val="00171D2C"/>
    <w:rsid w:val="001722BD"/>
    <w:rsid w:val="001725A5"/>
    <w:rsid w:val="00172681"/>
    <w:rsid w:val="001728BA"/>
    <w:rsid w:val="00172AC3"/>
    <w:rsid w:val="00172F13"/>
    <w:rsid w:val="001745DA"/>
    <w:rsid w:val="00174B93"/>
    <w:rsid w:val="00174FD9"/>
    <w:rsid w:val="00175B4C"/>
    <w:rsid w:val="0017616A"/>
    <w:rsid w:val="001762D4"/>
    <w:rsid w:val="00181B3B"/>
    <w:rsid w:val="00183178"/>
    <w:rsid w:val="001843B5"/>
    <w:rsid w:val="00184B0D"/>
    <w:rsid w:val="001850D9"/>
    <w:rsid w:val="0018532A"/>
    <w:rsid w:val="001875BE"/>
    <w:rsid w:val="00190B8C"/>
    <w:rsid w:val="001931BC"/>
    <w:rsid w:val="001937AD"/>
    <w:rsid w:val="00193908"/>
    <w:rsid w:val="00194117"/>
    <w:rsid w:val="00194451"/>
    <w:rsid w:val="00194BEE"/>
    <w:rsid w:val="0019595E"/>
    <w:rsid w:val="001A12FC"/>
    <w:rsid w:val="001A334C"/>
    <w:rsid w:val="001A33E0"/>
    <w:rsid w:val="001A3CC3"/>
    <w:rsid w:val="001A459C"/>
    <w:rsid w:val="001A54C7"/>
    <w:rsid w:val="001A54D5"/>
    <w:rsid w:val="001A5DFE"/>
    <w:rsid w:val="001A7AF6"/>
    <w:rsid w:val="001B0363"/>
    <w:rsid w:val="001B1BC3"/>
    <w:rsid w:val="001B2338"/>
    <w:rsid w:val="001B26F6"/>
    <w:rsid w:val="001B4AFB"/>
    <w:rsid w:val="001B4FD7"/>
    <w:rsid w:val="001B6315"/>
    <w:rsid w:val="001B6AE4"/>
    <w:rsid w:val="001B6F2E"/>
    <w:rsid w:val="001C186A"/>
    <w:rsid w:val="001C1A59"/>
    <w:rsid w:val="001C2D4D"/>
    <w:rsid w:val="001C6C55"/>
    <w:rsid w:val="001C793F"/>
    <w:rsid w:val="001C7C4A"/>
    <w:rsid w:val="001D17BE"/>
    <w:rsid w:val="001D2C22"/>
    <w:rsid w:val="001D4440"/>
    <w:rsid w:val="001D4550"/>
    <w:rsid w:val="001E2DBA"/>
    <w:rsid w:val="001E3B84"/>
    <w:rsid w:val="001E450B"/>
    <w:rsid w:val="001E5D1C"/>
    <w:rsid w:val="001E6096"/>
    <w:rsid w:val="001F231A"/>
    <w:rsid w:val="001F2E67"/>
    <w:rsid w:val="001F3032"/>
    <w:rsid w:val="001F44A4"/>
    <w:rsid w:val="001F44DA"/>
    <w:rsid w:val="001F7F86"/>
    <w:rsid w:val="0020025C"/>
    <w:rsid w:val="00200340"/>
    <w:rsid w:val="00201DC6"/>
    <w:rsid w:val="00202164"/>
    <w:rsid w:val="002047CD"/>
    <w:rsid w:val="002051F1"/>
    <w:rsid w:val="0020582D"/>
    <w:rsid w:val="00205869"/>
    <w:rsid w:val="00206600"/>
    <w:rsid w:val="0021025C"/>
    <w:rsid w:val="002107B8"/>
    <w:rsid w:val="002119AA"/>
    <w:rsid w:val="0021335E"/>
    <w:rsid w:val="00213415"/>
    <w:rsid w:val="00213992"/>
    <w:rsid w:val="00213CFC"/>
    <w:rsid w:val="0021404A"/>
    <w:rsid w:val="00214C06"/>
    <w:rsid w:val="00214FB4"/>
    <w:rsid w:val="00215429"/>
    <w:rsid w:val="00216856"/>
    <w:rsid w:val="00217359"/>
    <w:rsid w:val="00217F8E"/>
    <w:rsid w:val="002205FA"/>
    <w:rsid w:val="002217BF"/>
    <w:rsid w:val="00221C62"/>
    <w:rsid w:val="0022211E"/>
    <w:rsid w:val="00223E9C"/>
    <w:rsid w:val="00224A36"/>
    <w:rsid w:val="0022599B"/>
    <w:rsid w:val="00226959"/>
    <w:rsid w:val="002273C3"/>
    <w:rsid w:val="00227A66"/>
    <w:rsid w:val="00230601"/>
    <w:rsid w:val="00232535"/>
    <w:rsid w:val="00233B08"/>
    <w:rsid w:val="00233C3B"/>
    <w:rsid w:val="0023417B"/>
    <w:rsid w:val="00234668"/>
    <w:rsid w:val="00235299"/>
    <w:rsid w:val="0023660D"/>
    <w:rsid w:val="00240508"/>
    <w:rsid w:val="00240651"/>
    <w:rsid w:val="00240803"/>
    <w:rsid w:val="00241EF3"/>
    <w:rsid w:val="00243225"/>
    <w:rsid w:val="0024465E"/>
    <w:rsid w:val="002457B9"/>
    <w:rsid w:val="002458CB"/>
    <w:rsid w:val="002464E4"/>
    <w:rsid w:val="00246AFA"/>
    <w:rsid w:val="002501CA"/>
    <w:rsid w:val="00250D4C"/>
    <w:rsid w:val="00251048"/>
    <w:rsid w:val="00251806"/>
    <w:rsid w:val="00251C40"/>
    <w:rsid w:val="00252D09"/>
    <w:rsid w:val="002534F6"/>
    <w:rsid w:val="00255C97"/>
    <w:rsid w:val="00256D8C"/>
    <w:rsid w:val="00257269"/>
    <w:rsid w:val="002578BD"/>
    <w:rsid w:val="00257B23"/>
    <w:rsid w:val="00261D04"/>
    <w:rsid w:val="00261D56"/>
    <w:rsid w:val="00262153"/>
    <w:rsid w:val="002630C3"/>
    <w:rsid w:val="002637FD"/>
    <w:rsid w:val="0026461C"/>
    <w:rsid w:val="002648CE"/>
    <w:rsid w:val="00264EA2"/>
    <w:rsid w:val="00270EBF"/>
    <w:rsid w:val="00271385"/>
    <w:rsid w:val="00271EB8"/>
    <w:rsid w:val="00273A9A"/>
    <w:rsid w:val="00275566"/>
    <w:rsid w:val="00276164"/>
    <w:rsid w:val="002764C5"/>
    <w:rsid w:val="00280613"/>
    <w:rsid w:val="0028084A"/>
    <w:rsid w:val="00281053"/>
    <w:rsid w:val="00282962"/>
    <w:rsid w:val="0028331F"/>
    <w:rsid w:val="00283F51"/>
    <w:rsid w:val="00284213"/>
    <w:rsid w:val="00286742"/>
    <w:rsid w:val="00287689"/>
    <w:rsid w:val="00287D51"/>
    <w:rsid w:val="00290EF4"/>
    <w:rsid w:val="00291B40"/>
    <w:rsid w:val="00291C7B"/>
    <w:rsid w:val="002935C4"/>
    <w:rsid w:val="00293BE7"/>
    <w:rsid w:val="00293EAC"/>
    <w:rsid w:val="002A0AB5"/>
    <w:rsid w:val="002A2454"/>
    <w:rsid w:val="002A46E8"/>
    <w:rsid w:val="002A602E"/>
    <w:rsid w:val="002A6EF9"/>
    <w:rsid w:val="002B03A9"/>
    <w:rsid w:val="002B1CB0"/>
    <w:rsid w:val="002B1F0B"/>
    <w:rsid w:val="002B3CBA"/>
    <w:rsid w:val="002B3CC5"/>
    <w:rsid w:val="002B3DEF"/>
    <w:rsid w:val="002B4828"/>
    <w:rsid w:val="002B4FAA"/>
    <w:rsid w:val="002B5608"/>
    <w:rsid w:val="002B7A16"/>
    <w:rsid w:val="002C00E9"/>
    <w:rsid w:val="002C0282"/>
    <w:rsid w:val="002C0748"/>
    <w:rsid w:val="002C209E"/>
    <w:rsid w:val="002C380B"/>
    <w:rsid w:val="002C3EDB"/>
    <w:rsid w:val="002C4930"/>
    <w:rsid w:val="002C52C7"/>
    <w:rsid w:val="002C5B2D"/>
    <w:rsid w:val="002C68EC"/>
    <w:rsid w:val="002D20E5"/>
    <w:rsid w:val="002D21F0"/>
    <w:rsid w:val="002D281F"/>
    <w:rsid w:val="002D386B"/>
    <w:rsid w:val="002D502D"/>
    <w:rsid w:val="002D57C4"/>
    <w:rsid w:val="002D5CCA"/>
    <w:rsid w:val="002D6E5C"/>
    <w:rsid w:val="002D739A"/>
    <w:rsid w:val="002D7B65"/>
    <w:rsid w:val="002E0267"/>
    <w:rsid w:val="002E1B22"/>
    <w:rsid w:val="002E27EA"/>
    <w:rsid w:val="002E3097"/>
    <w:rsid w:val="002E38FD"/>
    <w:rsid w:val="002E3F1E"/>
    <w:rsid w:val="002E4454"/>
    <w:rsid w:val="002E4486"/>
    <w:rsid w:val="002E48CA"/>
    <w:rsid w:val="002E63AB"/>
    <w:rsid w:val="002E6926"/>
    <w:rsid w:val="002E733B"/>
    <w:rsid w:val="002F170E"/>
    <w:rsid w:val="002F2259"/>
    <w:rsid w:val="002F2403"/>
    <w:rsid w:val="002F6C5A"/>
    <w:rsid w:val="002F70BE"/>
    <w:rsid w:val="002F7132"/>
    <w:rsid w:val="00301DBC"/>
    <w:rsid w:val="00303D1A"/>
    <w:rsid w:val="00304A71"/>
    <w:rsid w:val="0030524D"/>
    <w:rsid w:val="003056DD"/>
    <w:rsid w:val="00307BFF"/>
    <w:rsid w:val="003110A0"/>
    <w:rsid w:val="00312675"/>
    <w:rsid w:val="00312BBB"/>
    <w:rsid w:val="00313A00"/>
    <w:rsid w:val="00313B78"/>
    <w:rsid w:val="00313BF0"/>
    <w:rsid w:val="00313E5B"/>
    <w:rsid w:val="00314013"/>
    <w:rsid w:val="00315746"/>
    <w:rsid w:val="003173C8"/>
    <w:rsid w:val="0032062F"/>
    <w:rsid w:val="00323807"/>
    <w:rsid w:val="00323D01"/>
    <w:rsid w:val="003254C3"/>
    <w:rsid w:val="00325E95"/>
    <w:rsid w:val="00325F48"/>
    <w:rsid w:val="00326346"/>
    <w:rsid w:val="00326AD4"/>
    <w:rsid w:val="00331244"/>
    <w:rsid w:val="003323A8"/>
    <w:rsid w:val="00332D8D"/>
    <w:rsid w:val="00332DBE"/>
    <w:rsid w:val="00333000"/>
    <w:rsid w:val="0033477E"/>
    <w:rsid w:val="00335020"/>
    <w:rsid w:val="00335739"/>
    <w:rsid w:val="00335792"/>
    <w:rsid w:val="003359A8"/>
    <w:rsid w:val="00336553"/>
    <w:rsid w:val="003377A6"/>
    <w:rsid w:val="003411EA"/>
    <w:rsid w:val="00341B25"/>
    <w:rsid w:val="00342204"/>
    <w:rsid w:val="00342215"/>
    <w:rsid w:val="003427FD"/>
    <w:rsid w:val="00342E07"/>
    <w:rsid w:val="0034387B"/>
    <w:rsid w:val="003439EA"/>
    <w:rsid w:val="0034590E"/>
    <w:rsid w:val="00345950"/>
    <w:rsid w:val="00346DAD"/>
    <w:rsid w:val="0034721E"/>
    <w:rsid w:val="00351CB5"/>
    <w:rsid w:val="003522B2"/>
    <w:rsid w:val="00352970"/>
    <w:rsid w:val="00354A6F"/>
    <w:rsid w:val="00355752"/>
    <w:rsid w:val="003609B6"/>
    <w:rsid w:val="00361FD3"/>
    <w:rsid w:val="003638FC"/>
    <w:rsid w:val="00363AC3"/>
    <w:rsid w:val="0036426C"/>
    <w:rsid w:val="0036503F"/>
    <w:rsid w:val="00367FE8"/>
    <w:rsid w:val="0037087F"/>
    <w:rsid w:val="00370AB4"/>
    <w:rsid w:val="0037116A"/>
    <w:rsid w:val="00372176"/>
    <w:rsid w:val="003742EC"/>
    <w:rsid w:val="0037501C"/>
    <w:rsid w:val="00376195"/>
    <w:rsid w:val="00376367"/>
    <w:rsid w:val="00376487"/>
    <w:rsid w:val="003776BB"/>
    <w:rsid w:val="00377F35"/>
    <w:rsid w:val="003803D2"/>
    <w:rsid w:val="00381154"/>
    <w:rsid w:val="00381226"/>
    <w:rsid w:val="0038123E"/>
    <w:rsid w:val="003822DA"/>
    <w:rsid w:val="00382BCE"/>
    <w:rsid w:val="003831A6"/>
    <w:rsid w:val="00385C1E"/>
    <w:rsid w:val="0039168D"/>
    <w:rsid w:val="003917B3"/>
    <w:rsid w:val="00393455"/>
    <w:rsid w:val="0039409B"/>
    <w:rsid w:val="003972C9"/>
    <w:rsid w:val="003977C2"/>
    <w:rsid w:val="003A3B8A"/>
    <w:rsid w:val="003A4923"/>
    <w:rsid w:val="003A5A08"/>
    <w:rsid w:val="003A74E7"/>
    <w:rsid w:val="003A7F9C"/>
    <w:rsid w:val="003B0444"/>
    <w:rsid w:val="003B0BAC"/>
    <w:rsid w:val="003B381A"/>
    <w:rsid w:val="003B47AF"/>
    <w:rsid w:val="003B5491"/>
    <w:rsid w:val="003C079C"/>
    <w:rsid w:val="003C0B08"/>
    <w:rsid w:val="003C1C8D"/>
    <w:rsid w:val="003C2908"/>
    <w:rsid w:val="003C2A20"/>
    <w:rsid w:val="003C2A2D"/>
    <w:rsid w:val="003C462F"/>
    <w:rsid w:val="003C54BD"/>
    <w:rsid w:val="003C6F09"/>
    <w:rsid w:val="003D0DD6"/>
    <w:rsid w:val="003D423A"/>
    <w:rsid w:val="003D43A7"/>
    <w:rsid w:val="003D4C0C"/>
    <w:rsid w:val="003D503B"/>
    <w:rsid w:val="003D605E"/>
    <w:rsid w:val="003D71BE"/>
    <w:rsid w:val="003D72FD"/>
    <w:rsid w:val="003E0B98"/>
    <w:rsid w:val="003E0F84"/>
    <w:rsid w:val="003E3118"/>
    <w:rsid w:val="003E3ACA"/>
    <w:rsid w:val="003E63C3"/>
    <w:rsid w:val="003E6C7E"/>
    <w:rsid w:val="003E6F13"/>
    <w:rsid w:val="003E72C8"/>
    <w:rsid w:val="003F10BE"/>
    <w:rsid w:val="003F1192"/>
    <w:rsid w:val="003F1873"/>
    <w:rsid w:val="003F25BA"/>
    <w:rsid w:val="003F27B5"/>
    <w:rsid w:val="003F2CA8"/>
    <w:rsid w:val="003F2E45"/>
    <w:rsid w:val="003F3FF4"/>
    <w:rsid w:val="003F54EE"/>
    <w:rsid w:val="003F6BFF"/>
    <w:rsid w:val="003F7987"/>
    <w:rsid w:val="003F7C2A"/>
    <w:rsid w:val="004000AE"/>
    <w:rsid w:val="00402CED"/>
    <w:rsid w:val="00403086"/>
    <w:rsid w:val="004034D0"/>
    <w:rsid w:val="004040FF"/>
    <w:rsid w:val="00404F39"/>
    <w:rsid w:val="00406587"/>
    <w:rsid w:val="00407C05"/>
    <w:rsid w:val="00410240"/>
    <w:rsid w:val="00411146"/>
    <w:rsid w:val="0041198D"/>
    <w:rsid w:val="00411C55"/>
    <w:rsid w:val="00412C4C"/>
    <w:rsid w:val="00413DB4"/>
    <w:rsid w:val="0041429A"/>
    <w:rsid w:val="00417DD8"/>
    <w:rsid w:val="00417EF7"/>
    <w:rsid w:val="004200D9"/>
    <w:rsid w:val="0042044B"/>
    <w:rsid w:val="00420B9A"/>
    <w:rsid w:val="00422BFC"/>
    <w:rsid w:val="00422C5D"/>
    <w:rsid w:val="00424642"/>
    <w:rsid w:val="00425DAC"/>
    <w:rsid w:val="00425EC8"/>
    <w:rsid w:val="00426432"/>
    <w:rsid w:val="0042717F"/>
    <w:rsid w:val="00430497"/>
    <w:rsid w:val="00431652"/>
    <w:rsid w:val="00432A91"/>
    <w:rsid w:val="004335CF"/>
    <w:rsid w:val="0043383C"/>
    <w:rsid w:val="00434A74"/>
    <w:rsid w:val="00434EF8"/>
    <w:rsid w:val="00435A3F"/>
    <w:rsid w:val="00437406"/>
    <w:rsid w:val="00437703"/>
    <w:rsid w:val="00437FE6"/>
    <w:rsid w:val="004421E8"/>
    <w:rsid w:val="004443B7"/>
    <w:rsid w:val="00446EEE"/>
    <w:rsid w:val="0045175A"/>
    <w:rsid w:val="00451ED9"/>
    <w:rsid w:val="00452D64"/>
    <w:rsid w:val="00453073"/>
    <w:rsid w:val="00453F26"/>
    <w:rsid w:val="00454832"/>
    <w:rsid w:val="0045503F"/>
    <w:rsid w:val="00460A2A"/>
    <w:rsid w:val="00461DE4"/>
    <w:rsid w:val="0046283C"/>
    <w:rsid w:val="004628D2"/>
    <w:rsid w:val="0046376D"/>
    <w:rsid w:val="00463B19"/>
    <w:rsid w:val="004645E6"/>
    <w:rsid w:val="00464717"/>
    <w:rsid w:val="00466AE5"/>
    <w:rsid w:val="0046777F"/>
    <w:rsid w:val="00467BA5"/>
    <w:rsid w:val="00470ABD"/>
    <w:rsid w:val="00472EAE"/>
    <w:rsid w:val="00473585"/>
    <w:rsid w:val="00474C5A"/>
    <w:rsid w:val="00475B8E"/>
    <w:rsid w:val="00475DBC"/>
    <w:rsid w:val="00476014"/>
    <w:rsid w:val="00477378"/>
    <w:rsid w:val="00481135"/>
    <w:rsid w:val="004814BB"/>
    <w:rsid w:val="00482542"/>
    <w:rsid w:val="00483AAB"/>
    <w:rsid w:val="00484A3D"/>
    <w:rsid w:val="00487126"/>
    <w:rsid w:val="00487A91"/>
    <w:rsid w:val="00490029"/>
    <w:rsid w:val="004901E5"/>
    <w:rsid w:val="004903D4"/>
    <w:rsid w:val="004903E1"/>
    <w:rsid w:val="00490B0F"/>
    <w:rsid w:val="00492D7C"/>
    <w:rsid w:val="00494737"/>
    <w:rsid w:val="004953D0"/>
    <w:rsid w:val="004963FF"/>
    <w:rsid w:val="00496B39"/>
    <w:rsid w:val="004975C8"/>
    <w:rsid w:val="00497750"/>
    <w:rsid w:val="00497B44"/>
    <w:rsid w:val="004A116E"/>
    <w:rsid w:val="004A2D9A"/>
    <w:rsid w:val="004A36BA"/>
    <w:rsid w:val="004A5898"/>
    <w:rsid w:val="004A65CD"/>
    <w:rsid w:val="004A694D"/>
    <w:rsid w:val="004B0787"/>
    <w:rsid w:val="004B07B6"/>
    <w:rsid w:val="004B0CB1"/>
    <w:rsid w:val="004B21AB"/>
    <w:rsid w:val="004B3688"/>
    <w:rsid w:val="004B6678"/>
    <w:rsid w:val="004B71C7"/>
    <w:rsid w:val="004B7356"/>
    <w:rsid w:val="004C0882"/>
    <w:rsid w:val="004C1592"/>
    <w:rsid w:val="004C2CD3"/>
    <w:rsid w:val="004C35BC"/>
    <w:rsid w:val="004C66BD"/>
    <w:rsid w:val="004C6A85"/>
    <w:rsid w:val="004C6E76"/>
    <w:rsid w:val="004C72A0"/>
    <w:rsid w:val="004C75BC"/>
    <w:rsid w:val="004C7B13"/>
    <w:rsid w:val="004C7B33"/>
    <w:rsid w:val="004D19C2"/>
    <w:rsid w:val="004D1D07"/>
    <w:rsid w:val="004D20B1"/>
    <w:rsid w:val="004D3DAF"/>
    <w:rsid w:val="004D4AEB"/>
    <w:rsid w:val="004E0372"/>
    <w:rsid w:val="004E0BAC"/>
    <w:rsid w:val="004E200B"/>
    <w:rsid w:val="004E272A"/>
    <w:rsid w:val="004E2E91"/>
    <w:rsid w:val="004E5D05"/>
    <w:rsid w:val="004E62B8"/>
    <w:rsid w:val="004E64D8"/>
    <w:rsid w:val="004E6AE6"/>
    <w:rsid w:val="004E6CCE"/>
    <w:rsid w:val="004E6DDC"/>
    <w:rsid w:val="004E7150"/>
    <w:rsid w:val="004E7EA3"/>
    <w:rsid w:val="004F210C"/>
    <w:rsid w:val="004F4698"/>
    <w:rsid w:val="004F4812"/>
    <w:rsid w:val="004F4E1F"/>
    <w:rsid w:val="004F509F"/>
    <w:rsid w:val="00500BE3"/>
    <w:rsid w:val="00503A3E"/>
    <w:rsid w:val="00505BBA"/>
    <w:rsid w:val="005077F7"/>
    <w:rsid w:val="005109BB"/>
    <w:rsid w:val="00510A9D"/>
    <w:rsid w:val="005132EC"/>
    <w:rsid w:val="00516783"/>
    <w:rsid w:val="00517EF8"/>
    <w:rsid w:val="0052076A"/>
    <w:rsid w:val="00520A34"/>
    <w:rsid w:val="00520A57"/>
    <w:rsid w:val="00521AF8"/>
    <w:rsid w:val="00522586"/>
    <w:rsid w:val="00522A87"/>
    <w:rsid w:val="00522AA8"/>
    <w:rsid w:val="00522D8E"/>
    <w:rsid w:val="00523668"/>
    <w:rsid w:val="005252DD"/>
    <w:rsid w:val="005258B8"/>
    <w:rsid w:val="00525EBD"/>
    <w:rsid w:val="005344E2"/>
    <w:rsid w:val="00535477"/>
    <w:rsid w:val="005356B4"/>
    <w:rsid w:val="00535DBB"/>
    <w:rsid w:val="005360C2"/>
    <w:rsid w:val="0053723A"/>
    <w:rsid w:val="00537811"/>
    <w:rsid w:val="00540A2A"/>
    <w:rsid w:val="00542A28"/>
    <w:rsid w:val="00542DC8"/>
    <w:rsid w:val="0054354E"/>
    <w:rsid w:val="005441D4"/>
    <w:rsid w:val="0054461C"/>
    <w:rsid w:val="00544B31"/>
    <w:rsid w:val="00544EA9"/>
    <w:rsid w:val="00545878"/>
    <w:rsid w:val="00545B8B"/>
    <w:rsid w:val="00547369"/>
    <w:rsid w:val="00550808"/>
    <w:rsid w:val="00550F4E"/>
    <w:rsid w:val="005529A3"/>
    <w:rsid w:val="005530B6"/>
    <w:rsid w:val="00554A05"/>
    <w:rsid w:val="00554A69"/>
    <w:rsid w:val="00554AF4"/>
    <w:rsid w:val="00554E67"/>
    <w:rsid w:val="005561B2"/>
    <w:rsid w:val="0056154F"/>
    <w:rsid w:val="0056220E"/>
    <w:rsid w:val="0056462B"/>
    <w:rsid w:val="00564875"/>
    <w:rsid w:val="0056501C"/>
    <w:rsid w:val="00565663"/>
    <w:rsid w:val="00571779"/>
    <w:rsid w:val="00574709"/>
    <w:rsid w:val="00574D0D"/>
    <w:rsid w:val="005750B3"/>
    <w:rsid w:val="00575694"/>
    <w:rsid w:val="005765C0"/>
    <w:rsid w:val="005778DE"/>
    <w:rsid w:val="00580B3F"/>
    <w:rsid w:val="0058129A"/>
    <w:rsid w:val="00581BF2"/>
    <w:rsid w:val="00583D1C"/>
    <w:rsid w:val="00585394"/>
    <w:rsid w:val="00586027"/>
    <w:rsid w:val="0058703B"/>
    <w:rsid w:val="00587601"/>
    <w:rsid w:val="00591E6E"/>
    <w:rsid w:val="0059238B"/>
    <w:rsid w:val="0059393A"/>
    <w:rsid w:val="005946E6"/>
    <w:rsid w:val="00594FB8"/>
    <w:rsid w:val="0059665F"/>
    <w:rsid w:val="005A2114"/>
    <w:rsid w:val="005A2220"/>
    <w:rsid w:val="005A2968"/>
    <w:rsid w:val="005A2D8A"/>
    <w:rsid w:val="005A3644"/>
    <w:rsid w:val="005A3BDF"/>
    <w:rsid w:val="005A60D4"/>
    <w:rsid w:val="005A6198"/>
    <w:rsid w:val="005A647F"/>
    <w:rsid w:val="005A726C"/>
    <w:rsid w:val="005A77B0"/>
    <w:rsid w:val="005B0C90"/>
    <w:rsid w:val="005B128A"/>
    <w:rsid w:val="005B1D5E"/>
    <w:rsid w:val="005B20AA"/>
    <w:rsid w:val="005B27A0"/>
    <w:rsid w:val="005B337B"/>
    <w:rsid w:val="005B372A"/>
    <w:rsid w:val="005B4309"/>
    <w:rsid w:val="005B5076"/>
    <w:rsid w:val="005B64CB"/>
    <w:rsid w:val="005B6AAA"/>
    <w:rsid w:val="005B7554"/>
    <w:rsid w:val="005B7A15"/>
    <w:rsid w:val="005B7D00"/>
    <w:rsid w:val="005B7DCC"/>
    <w:rsid w:val="005C1169"/>
    <w:rsid w:val="005C11AB"/>
    <w:rsid w:val="005C1898"/>
    <w:rsid w:val="005C3301"/>
    <w:rsid w:val="005C354F"/>
    <w:rsid w:val="005C3F06"/>
    <w:rsid w:val="005D0258"/>
    <w:rsid w:val="005D0CF5"/>
    <w:rsid w:val="005D255E"/>
    <w:rsid w:val="005D3C8A"/>
    <w:rsid w:val="005D4A86"/>
    <w:rsid w:val="005D504A"/>
    <w:rsid w:val="005D5160"/>
    <w:rsid w:val="005E0F86"/>
    <w:rsid w:val="005E22A8"/>
    <w:rsid w:val="005E479A"/>
    <w:rsid w:val="005E53BB"/>
    <w:rsid w:val="005E55E4"/>
    <w:rsid w:val="005E5606"/>
    <w:rsid w:val="005E58F1"/>
    <w:rsid w:val="005E647F"/>
    <w:rsid w:val="005F19F8"/>
    <w:rsid w:val="005F25CE"/>
    <w:rsid w:val="005F32A4"/>
    <w:rsid w:val="005F42B7"/>
    <w:rsid w:val="005F60DC"/>
    <w:rsid w:val="005F70E5"/>
    <w:rsid w:val="005F72A9"/>
    <w:rsid w:val="00600817"/>
    <w:rsid w:val="00600FE2"/>
    <w:rsid w:val="00602253"/>
    <w:rsid w:val="006023E1"/>
    <w:rsid w:val="006024AC"/>
    <w:rsid w:val="00604CEB"/>
    <w:rsid w:val="00604DED"/>
    <w:rsid w:val="00605290"/>
    <w:rsid w:val="00605655"/>
    <w:rsid w:val="00606E98"/>
    <w:rsid w:val="0060784B"/>
    <w:rsid w:val="00607ED9"/>
    <w:rsid w:val="00611484"/>
    <w:rsid w:val="0061263A"/>
    <w:rsid w:val="00612A31"/>
    <w:rsid w:val="00613373"/>
    <w:rsid w:val="00613DCE"/>
    <w:rsid w:val="0061404E"/>
    <w:rsid w:val="00614F25"/>
    <w:rsid w:val="00615AA7"/>
    <w:rsid w:val="00616C33"/>
    <w:rsid w:val="0061795D"/>
    <w:rsid w:val="0062012D"/>
    <w:rsid w:val="00620D7C"/>
    <w:rsid w:val="00621356"/>
    <w:rsid w:val="00622DA2"/>
    <w:rsid w:val="006233DA"/>
    <w:rsid w:val="006236A5"/>
    <w:rsid w:val="00623809"/>
    <w:rsid w:val="00623A9F"/>
    <w:rsid w:val="00624819"/>
    <w:rsid w:val="00624B7D"/>
    <w:rsid w:val="0062700A"/>
    <w:rsid w:val="00627A3D"/>
    <w:rsid w:val="00630EB5"/>
    <w:rsid w:val="006320A1"/>
    <w:rsid w:val="00632C0F"/>
    <w:rsid w:val="00632FC5"/>
    <w:rsid w:val="00633D16"/>
    <w:rsid w:val="00634B64"/>
    <w:rsid w:val="00635A3F"/>
    <w:rsid w:val="006373D6"/>
    <w:rsid w:val="006375C7"/>
    <w:rsid w:val="006375D6"/>
    <w:rsid w:val="0064088F"/>
    <w:rsid w:val="0064182C"/>
    <w:rsid w:val="00641A2C"/>
    <w:rsid w:val="00641B6C"/>
    <w:rsid w:val="00643947"/>
    <w:rsid w:val="00645D26"/>
    <w:rsid w:val="00646F17"/>
    <w:rsid w:val="006476F7"/>
    <w:rsid w:val="00647C6A"/>
    <w:rsid w:val="00651EFA"/>
    <w:rsid w:val="006520E9"/>
    <w:rsid w:val="006521F3"/>
    <w:rsid w:val="006524D5"/>
    <w:rsid w:val="00652BBD"/>
    <w:rsid w:val="00652D1A"/>
    <w:rsid w:val="006537A8"/>
    <w:rsid w:val="006558B3"/>
    <w:rsid w:val="0065595F"/>
    <w:rsid w:val="0065657D"/>
    <w:rsid w:val="00656800"/>
    <w:rsid w:val="00657197"/>
    <w:rsid w:val="00657F31"/>
    <w:rsid w:val="00660165"/>
    <w:rsid w:val="006606CC"/>
    <w:rsid w:val="006609E4"/>
    <w:rsid w:val="00662557"/>
    <w:rsid w:val="006630CF"/>
    <w:rsid w:val="006638D4"/>
    <w:rsid w:val="00663ADD"/>
    <w:rsid w:val="0066413E"/>
    <w:rsid w:val="00665103"/>
    <w:rsid w:val="00665ECF"/>
    <w:rsid w:val="00667831"/>
    <w:rsid w:val="00670273"/>
    <w:rsid w:val="00670CFB"/>
    <w:rsid w:val="0067114E"/>
    <w:rsid w:val="00671819"/>
    <w:rsid w:val="006725A0"/>
    <w:rsid w:val="00672B0F"/>
    <w:rsid w:val="0067471C"/>
    <w:rsid w:val="00674852"/>
    <w:rsid w:val="00677FAD"/>
    <w:rsid w:val="006808FD"/>
    <w:rsid w:val="00680E19"/>
    <w:rsid w:val="00680E42"/>
    <w:rsid w:val="006828BD"/>
    <w:rsid w:val="0068392F"/>
    <w:rsid w:val="006857D2"/>
    <w:rsid w:val="0068590D"/>
    <w:rsid w:val="00685CE8"/>
    <w:rsid w:val="006869FB"/>
    <w:rsid w:val="00686FF6"/>
    <w:rsid w:val="00690C50"/>
    <w:rsid w:val="006911C0"/>
    <w:rsid w:val="0069142B"/>
    <w:rsid w:val="006914AB"/>
    <w:rsid w:val="0069201D"/>
    <w:rsid w:val="00693A98"/>
    <w:rsid w:val="00694C31"/>
    <w:rsid w:val="0069578B"/>
    <w:rsid w:val="00696525"/>
    <w:rsid w:val="00696C23"/>
    <w:rsid w:val="006971D5"/>
    <w:rsid w:val="00697A61"/>
    <w:rsid w:val="006A02D4"/>
    <w:rsid w:val="006A0A90"/>
    <w:rsid w:val="006A15F3"/>
    <w:rsid w:val="006A1CC4"/>
    <w:rsid w:val="006A22D1"/>
    <w:rsid w:val="006A2CA2"/>
    <w:rsid w:val="006A3FD4"/>
    <w:rsid w:val="006A70DD"/>
    <w:rsid w:val="006B04F0"/>
    <w:rsid w:val="006B121F"/>
    <w:rsid w:val="006B1613"/>
    <w:rsid w:val="006B194A"/>
    <w:rsid w:val="006B2349"/>
    <w:rsid w:val="006B2D40"/>
    <w:rsid w:val="006B381B"/>
    <w:rsid w:val="006B3870"/>
    <w:rsid w:val="006B3CB5"/>
    <w:rsid w:val="006B4025"/>
    <w:rsid w:val="006B419C"/>
    <w:rsid w:val="006B6AFE"/>
    <w:rsid w:val="006B6E44"/>
    <w:rsid w:val="006B7287"/>
    <w:rsid w:val="006B7F2E"/>
    <w:rsid w:val="006C0640"/>
    <w:rsid w:val="006C105D"/>
    <w:rsid w:val="006C1F59"/>
    <w:rsid w:val="006C30C9"/>
    <w:rsid w:val="006C38DD"/>
    <w:rsid w:val="006C3D76"/>
    <w:rsid w:val="006C5E96"/>
    <w:rsid w:val="006C71FC"/>
    <w:rsid w:val="006C737A"/>
    <w:rsid w:val="006C7709"/>
    <w:rsid w:val="006D00D3"/>
    <w:rsid w:val="006D11E7"/>
    <w:rsid w:val="006D3429"/>
    <w:rsid w:val="006D5C7C"/>
    <w:rsid w:val="006D6002"/>
    <w:rsid w:val="006D72AA"/>
    <w:rsid w:val="006D7736"/>
    <w:rsid w:val="006E2A23"/>
    <w:rsid w:val="006E3871"/>
    <w:rsid w:val="006E3C6F"/>
    <w:rsid w:val="006E3C72"/>
    <w:rsid w:val="006E473C"/>
    <w:rsid w:val="006E5939"/>
    <w:rsid w:val="006F2191"/>
    <w:rsid w:val="006F2C3C"/>
    <w:rsid w:val="006F6CEB"/>
    <w:rsid w:val="00700247"/>
    <w:rsid w:val="00701051"/>
    <w:rsid w:val="00703D56"/>
    <w:rsid w:val="00704092"/>
    <w:rsid w:val="007043B0"/>
    <w:rsid w:val="0070543B"/>
    <w:rsid w:val="00706613"/>
    <w:rsid w:val="00706E1F"/>
    <w:rsid w:val="00707FEA"/>
    <w:rsid w:val="00710011"/>
    <w:rsid w:val="007102FB"/>
    <w:rsid w:val="00710519"/>
    <w:rsid w:val="00710E53"/>
    <w:rsid w:val="00711212"/>
    <w:rsid w:val="0071251F"/>
    <w:rsid w:val="007133E4"/>
    <w:rsid w:val="00713F66"/>
    <w:rsid w:val="00714154"/>
    <w:rsid w:val="00714C2A"/>
    <w:rsid w:val="00715121"/>
    <w:rsid w:val="00715557"/>
    <w:rsid w:val="00715E08"/>
    <w:rsid w:val="007164CD"/>
    <w:rsid w:val="00716774"/>
    <w:rsid w:val="007175E5"/>
    <w:rsid w:val="00717F8B"/>
    <w:rsid w:val="007225C2"/>
    <w:rsid w:val="007239C6"/>
    <w:rsid w:val="00724002"/>
    <w:rsid w:val="00724237"/>
    <w:rsid w:val="00724C18"/>
    <w:rsid w:val="00725339"/>
    <w:rsid w:val="00725D6E"/>
    <w:rsid w:val="00730944"/>
    <w:rsid w:val="00730A7C"/>
    <w:rsid w:val="00730C40"/>
    <w:rsid w:val="00731E13"/>
    <w:rsid w:val="0073272F"/>
    <w:rsid w:val="00733017"/>
    <w:rsid w:val="007341F5"/>
    <w:rsid w:val="00735606"/>
    <w:rsid w:val="00741121"/>
    <w:rsid w:val="0074171D"/>
    <w:rsid w:val="00744401"/>
    <w:rsid w:val="007448F4"/>
    <w:rsid w:val="00745B6D"/>
    <w:rsid w:val="00745C9F"/>
    <w:rsid w:val="00745CE3"/>
    <w:rsid w:val="0074682A"/>
    <w:rsid w:val="0074726F"/>
    <w:rsid w:val="0074795A"/>
    <w:rsid w:val="00747FE2"/>
    <w:rsid w:val="00750EFE"/>
    <w:rsid w:val="00751A7F"/>
    <w:rsid w:val="0075201D"/>
    <w:rsid w:val="0075268F"/>
    <w:rsid w:val="00752D4F"/>
    <w:rsid w:val="0075409F"/>
    <w:rsid w:val="0075584A"/>
    <w:rsid w:val="00755986"/>
    <w:rsid w:val="0075683E"/>
    <w:rsid w:val="00760B08"/>
    <w:rsid w:val="007618D4"/>
    <w:rsid w:val="00761C0D"/>
    <w:rsid w:val="007639AF"/>
    <w:rsid w:val="00764281"/>
    <w:rsid w:val="0076436D"/>
    <w:rsid w:val="0076576B"/>
    <w:rsid w:val="0076582F"/>
    <w:rsid w:val="007668E2"/>
    <w:rsid w:val="00766F4D"/>
    <w:rsid w:val="007674F6"/>
    <w:rsid w:val="007676E8"/>
    <w:rsid w:val="0077088B"/>
    <w:rsid w:val="00770E61"/>
    <w:rsid w:val="00773A5F"/>
    <w:rsid w:val="00775814"/>
    <w:rsid w:val="007778F9"/>
    <w:rsid w:val="0078326D"/>
    <w:rsid w:val="00783649"/>
    <w:rsid w:val="00783D7D"/>
    <w:rsid w:val="00783E2C"/>
    <w:rsid w:val="00784592"/>
    <w:rsid w:val="00784EA6"/>
    <w:rsid w:val="00785728"/>
    <w:rsid w:val="00785DFF"/>
    <w:rsid w:val="00790647"/>
    <w:rsid w:val="007917E3"/>
    <w:rsid w:val="00791EB4"/>
    <w:rsid w:val="0079266D"/>
    <w:rsid w:val="00795A88"/>
    <w:rsid w:val="007969E8"/>
    <w:rsid w:val="00796DAB"/>
    <w:rsid w:val="007971A7"/>
    <w:rsid w:val="00797297"/>
    <w:rsid w:val="007A04DB"/>
    <w:rsid w:val="007A076C"/>
    <w:rsid w:val="007A0FA0"/>
    <w:rsid w:val="007A2A53"/>
    <w:rsid w:val="007A2ED3"/>
    <w:rsid w:val="007A326C"/>
    <w:rsid w:val="007A330F"/>
    <w:rsid w:val="007A441C"/>
    <w:rsid w:val="007A4F92"/>
    <w:rsid w:val="007A61CE"/>
    <w:rsid w:val="007A7BB5"/>
    <w:rsid w:val="007B069D"/>
    <w:rsid w:val="007B18EE"/>
    <w:rsid w:val="007B269B"/>
    <w:rsid w:val="007B2851"/>
    <w:rsid w:val="007B2956"/>
    <w:rsid w:val="007B3F08"/>
    <w:rsid w:val="007B51D1"/>
    <w:rsid w:val="007B74A8"/>
    <w:rsid w:val="007B7A27"/>
    <w:rsid w:val="007C0A05"/>
    <w:rsid w:val="007C20BD"/>
    <w:rsid w:val="007C2E4E"/>
    <w:rsid w:val="007C379B"/>
    <w:rsid w:val="007C49C0"/>
    <w:rsid w:val="007C7233"/>
    <w:rsid w:val="007C760C"/>
    <w:rsid w:val="007C7AED"/>
    <w:rsid w:val="007C7E73"/>
    <w:rsid w:val="007D1153"/>
    <w:rsid w:val="007D31AB"/>
    <w:rsid w:val="007D44F3"/>
    <w:rsid w:val="007D62BA"/>
    <w:rsid w:val="007D6787"/>
    <w:rsid w:val="007D6BBE"/>
    <w:rsid w:val="007D764C"/>
    <w:rsid w:val="007E1A30"/>
    <w:rsid w:val="007E4BD2"/>
    <w:rsid w:val="007E4F35"/>
    <w:rsid w:val="007E7544"/>
    <w:rsid w:val="007E7D4B"/>
    <w:rsid w:val="007E7DD4"/>
    <w:rsid w:val="007F13BF"/>
    <w:rsid w:val="007F365C"/>
    <w:rsid w:val="007F621C"/>
    <w:rsid w:val="007F6315"/>
    <w:rsid w:val="007F6558"/>
    <w:rsid w:val="007F6932"/>
    <w:rsid w:val="007F6C73"/>
    <w:rsid w:val="007F7619"/>
    <w:rsid w:val="007F7C86"/>
    <w:rsid w:val="00801033"/>
    <w:rsid w:val="00801627"/>
    <w:rsid w:val="00801E8A"/>
    <w:rsid w:val="00802322"/>
    <w:rsid w:val="0080239C"/>
    <w:rsid w:val="00802933"/>
    <w:rsid w:val="0080333E"/>
    <w:rsid w:val="0080359C"/>
    <w:rsid w:val="0080476E"/>
    <w:rsid w:val="0080527B"/>
    <w:rsid w:val="00806044"/>
    <w:rsid w:val="00806972"/>
    <w:rsid w:val="008075B5"/>
    <w:rsid w:val="008100C9"/>
    <w:rsid w:val="00811530"/>
    <w:rsid w:val="00812403"/>
    <w:rsid w:val="00812FD7"/>
    <w:rsid w:val="0081386E"/>
    <w:rsid w:val="00813D61"/>
    <w:rsid w:val="00815CA3"/>
    <w:rsid w:val="00815EE6"/>
    <w:rsid w:val="00817D2D"/>
    <w:rsid w:val="0082001C"/>
    <w:rsid w:val="008203F7"/>
    <w:rsid w:val="00821747"/>
    <w:rsid w:val="00822DBF"/>
    <w:rsid w:val="008241A9"/>
    <w:rsid w:val="00824DAE"/>
    <w:rsid w:val="00824EE5"/>
    <w:rsid w:val="008273F8"/>
    <w:rsid w:val="00827439"/>
    <w:rsid w:val="00827B0D"/>
    <w:rsid w:val="00830123"/>
    <w:rsid w:val="00831077"/>
    <w:rsid w:val="00832188"/>
    <w:rsid w:val="00833619"/>
    <w:rsid w:val="0083497C"/>
    <w:rsid w:val="00835098"/>
    <w:rsid w:val="00835BFB"/>
    <w:rsid w:val="008363AE"/>
    <w:rsid w:val="0084121D"/>
    <w:rsid w:val="00841734"/>
    <w:rsid w:val="008421A0"/>
    <w:rsid w:val="0084564E"/>
    <w:rsid w:val="00846484"/>
    <w:rsid w:val="00846E62"/>
    <w:rsid w:val="00850A52"/>
    <w:rsid w:val="00850B68"/>
    <w:rsid w:val="00851CCD"/>
    <w:rsid w:val="0085262F"/>
    <w:rsid w:val="00852854"/>
    <w:rsid w:val="00852C03"/>
    <w:rsid w:val="00854A37"/>
    <w:rsid w:val="008550A0"/>
    <w:rsid w:val="0085590C"/>
    <w:rsid w:val="008560D7"/>
    <w:rsid w:val="008603ED"/>
    <w:rsid w:val="00861027"/>
    <w:rsid w:val="00861321"/>
    <w:rsid w:val="00862679"/>
    <w:rsid w:val="008631FE"/>
    <w:rsid w:val="00863C6B"/>
    <w:rsid w:val="00863C6E"/>
    <w:rsid w:val="00865E0C"/>
    <w:rsid w:val="00866673"/>
    <w:rsid w:val="00867ECE"/>
    <w:rsid w:val="00870A0A"/>
    <w:rsid w:val="008722B0"/>
    <w:rsid w:val="00872430"/>
    <w:rsid w:val="00872BA2"/>
    <w:rsid w:val="00872BCA"/>
    <w:rsid w:val="00872D09"/>
    <w:rsid w:val="00872D61"/>
    <w:rsid w:val="00872E16"/>
    <w:rsid w:val="00873276"/>
    <w:rsid w:val="00873B53"/>
    <w:rsid w:val="00873D9A"/>
    <w:rsid w:val="00875914"/>
    <w:rsid w:val="008759AC"/>
    <w:rsid w:val="00877700"/>
    <w:rsid w:val="00883367"/>
    <w:rsid w:val="00883A20"/>
    <w:rsid w:val="00884C47"/>
    <w:rsid w:val="008862B2"/>
    <w:rsid w:val="00886AC0"/>
    <w:rsid w:val="0088759B"/>
    <w:rsid w:val="008878BF"/>
    <w:rsid w:val="00890BE6"/>
    <w:rsid w:val="00891153"/>
    <w:rsid w:val="00891EA7"/>
    <w:rsid w:val="00893291"/>
    <w:rsid w:val="00893E40"/>
    <w:rsid w:val="00895372"/>
    <w:rsid w:val="008958C3"/>
    <w:rsid w:val="00895B22"/>
    <w:rsid w:val="008962E4"/>
    <w:rsid w:val="00896DB4"/>
    <w:rsid w:val="008A1424"/>
    <w:rsid w:val="008A14B9"/>
    <w:rsid w:val="008A1B7F"/>
    <w:rsid w:val="008A2207"/>
    <w:rsid w:val="008A2585"/>
    <w:rsid w:val="008A28BA"/>
    <w:rsid w:val="008A2F22"/>
    <w:rsid w:val="008A4E95"/>
    <w:rsid w:val="008A4EBF"/>
    <w:rsid w:val="008A5404"/>
    <w:rsid w:val="008B1888"/>
    <w:rsid w:val="008B2174"/>
    <w:rsid w:val="008B3CCD"/>
    <w:rsid w:val="008B4C28"/>
    <w:rsid w:val="008B50AC"/>
    <w:rsid w:val="008B637C"/>
    <w:rsid w:val="008B6A18"/>
    <w:rsid w:val="008B7DFD"/>
    <w:rsid w:val="008C1F40"/>
    <w:rsid w:val="008C2A81"/>
    <w:rsid w:val="008C38B6"/>
    <w:rsid w:val="008C3994"/>
    <w:rsid w:val="008C3DA2"/>
    <w:rsid w:val="008C4BDC"/>
    <w:rsid w:val="008C7803"/>
    <w:rsid w:val="008D22AE"/>
    <w:rsid w:val="008D4032"/>
    <w:rsid w:val="008D41DC"/>
    <w:rsid w:val="008D6DFF"/>
    <w:rsid w:val="008D70F6"/>
    <w:rsid w:val="008D770D"/>
    <w:rsid w:val="008E10D5"/>
    <w:rsid w:val="008E14B4"/>
    <w:rsid w:val="008E1D51"/>
    <w:rsid w:val="008E25DD"/>
    <w:rsid w:val="008E32FF"/>
    <w:rsid w:val="008E3604"/>
    <w:rsid w:val="008E3623"/>
    <w:rsid w:val="008E5C5B"/>
    <w:rsid w:val="008E698C"/>
    <w:rsid w:val="008F085A"/>
    <w:rsid w:val="008F0B77"/>
    <w:rsid w:val="008F22A2"/>
    <w:rsid w:val="008F248D"/>
    <w:rsid w:val="008F321C"/>
    <w:rsid w:val="008F3ED6"/>
    <w:rsid w:val="008F4B2C"/>
    <w:rsid w:val="008F6300"/>
    <w:rsid w:val="00903B8E"/>
    <w:rsid w:val="0090402B"/>
    <w:rsid w:val="009057FF"/>
    <w:rsid w:val="00905F76"/>
    <w:rsid w:val="00907061"/>
    <w:rsid w:val="009122B8"/>
    <w:rsid w:val="0091344E"/>
    <w:rsid w:val="009158B7"/>
    <w:rsid w:val="00915A84"/>
    <w:rsid w:val="009174A7"/>
    <w:rsid w:val="00922C90"/>
    <w:rsid w:val="0092488D"/>
    <w:rsid w:val="00926225"/>
    <w:rsid w:val="0092674C"/>
    <w:rsid w:val="00926C0D"/>
    <w:rsid w:val="009279DC"/>
    <w:rsid w:val="00927A35"/>
    <w:rsid w:val="009314C2"/>
    <w:rsid w:val="009321A3"/>
    <w:rsid w:val="00932B4F"/>
    <w:rsid w:val="00932EA4"/>
    <w:rsid w:val="00933FFE"/>
    <w:rsid w:val="009341E2"/>
    <w:rsid w:val="009347F3"/>
    <w:rsid w:val="00934D8C"/>
    <w:rsid w:val="00934F79"/>
    <w:rsid w:val="00937168"/>
    <w:rsid w:val="009371DC"/>
    <w:rsid w:val="00937E42"/>
    <w:rsid w:val="00940239"/>
    <w:rsid w:val="009403B0"/>
    <w:rsid w:val="009409B9"/>
    <w:rsid w:val="00940A63"/>
    <w:rsid w:val="00940A77"/>
    <w:rsid w:val="00940D5E"/>
    <w:rsid w:val="00941096"/>
    <w:rsid w:val="00941B7F"/>
    <w:rsid w:val="00942F7B"/>
    <w:rsid w:val="0094429D"/>
    <w:rsid w:val="00944CE1"/>
    <w:rsid w:val="00944E13"/>
    <w:rsid w:val="00946741"/>
    <w:rsid w:val="009478AE"/>
    <w:rsid w:val="00947CE2"/>
    <w:rsid w:val="009503E5"/>
    <w:rsid w:val="00950DD7"/>
    <w:rsid w:val="00950F71"/>
    <w:rsid w:val="009522AE"/>
    <w:rsid w:val="009558D9"/>
    <w:rsid w:val="00955E7A"/>
    <w:rsid w:val="009560B3"/>
    <w:rsid w:val="00956219"/>
    <w:rsid w:val="0095653D"/>
    <w:rsid w:val="0095745E"/>
    <w:rsid w:val="009605F2"/>
    <w:rsid w:val="00961301"/>
    <w:rsid w:val="00962315"/>
    <w:rsid w:val="00962CEF"/>
    <w:rsid w:val="00962E56"/>
    <w:rsid w:val="009636FC"/>
    <w:rsid w:val="009638F5"/>
    <w:rsid w:val="00966CF3"/>
    <w:rsid w:val="009674ED"/>
    <w:rsid w:val="0096757A"/>
    <w:rsid w:val="009676A0"/>
    <w:rsid w:val="00967C9D"/>
    <w:rsid w:val="00967CE2"/>
    <w:rsid w:val="00970BED"/>
    <w:rsid w:val="00970D3F"/>
    <w:rsid w:val="00970DAA"/>
    <w:rsid w:val="009711D4"/>
    <w:rsid w:val="00973431"/>
    <w:rsid w:val="0097606C"/>
    <w:rsid w:val="00977959"/>
    <w:rsid w:val="00980460"/>
    <w:rsid w:val="00980845"/>
    <w:rsid w:val="0098092B"/>
    <w:rsid w:val="00983D8F"/>
    <w:rsid w:val="00983EFA"/>
    <w:rsid w:val="009840BA"/>
    <w:rsid w:val="00984D92"/>
    <w:rsid w:val="00985663"/>
    <w:rsid w:val="00985F64"/>
    <w:rsid w:val="00986358"/>
    <w:rsid w:val="00990DAF"/>
    <w:rsid w:val="0099288A"/>
    <w:rsid w:val="00993286"/>
    <w:rsid w:val="00993465"/>
    <w:rsid w:val="009940B6"/>
    <w:rsid w:val="00994621"/>
    <w:rsid w:val="009947FF"/>
    <w:rsid w:val="0099544B"/>
    <w:rsid w:val="009973D5"/>
    <w:rsid w:val="0099757C"/>
    <w:rsid w:val="009A0A1C"/>
    <w:rsid w:val="009A10ED"/>
    <w:rsid w:val="009A23AE"/>
    <w:rsid w:val="009A2C91"/>
    <w:rsid w:val="009A597F"/>
    <w:rsid w:val="009B05DE"/>
    <w:rsid w:val="009B0AA2"/>
    <w:rsid w:val="009B198B"/>
    <w:rsid w:val="009B3C87"/>
    <w:rsid w:val="009B49E5"/>
    <w:rsid w:val="009B4ED4"/>
    <w:rsid w:val="009B5D27"/>
    <w:rsid w:val="009B65C7"/>
    <w:rsid w:val="009B67A5"/>
    <w:rsid w:val="009B6DAC"/>
    <w:rsid w:val="009B6E87"/>
    <w:rsid w:val="009B7834"/>
    <w:rsid w:val="009B7E22"/>
    <w:rsid w:val="009C0B02"/>
    <w:rsid w:val="009C13BC"/>
    <w:rsid w:val="009C163B"/>
    <w:rsid w:val="009C17F7"/>
    <w:rsid w:val="009C1EE8"/>
    <w:rsid w:val="009C2D8E"/>
    <w:rsid w:val="009C366E"/>
    <w:rsid w:val="009C56F9"/>
    <w:rsid w:val="009C71AC"/>
    <w:rsid w:val="009D0093"/>
    <w:rsid w:val="009D2705"/>
    <w:rsid w:val="009D3022"/>
    <w:rsid w:val="009D7118"/>
    <w:rsid w:val="009D7838"/>
    <w:rsid w:val="009D7A75"/>
    <w:rsid w:val="009D7D9E"/>
    <w:rsid w:val="009E0B05"/>
    <w:rsid w:val="009E0D2D"/>
    <w:rsid w:val="009E16CC"/>
    <w:rsid w:val="009E23C0"/>
    <w:rsid w:val="009E2620"/>
    <w:rsid w:val="009E3D2D"/>
    <w:rsid w:val="009E4875"/>
    <w:rsid w:val="009E685C"/>
    <w:rsid w:val="009E7A88"/>
    <w:rsid w:val="009E7F62"/>
    <w:rsid w:val="009F1AF5"/>
    <w:rsid w:val="009F1DDB"/>
    <w:rsid w:val="009F21AC"/>
    <w:rsid w:val="009F3785"/>
    <w:rsid w:val="009F37E6"/>
    <w:rsid w:val="009F7669"/>
    <w:rsid w:val="009F786C"/>
    <w:rsid w:val="00A0083C"/>
    <w:rsid w:val="00A044BB"/>
    <w:rsid w:val="00A05156"/>
    <w:rsid w:val="00A06340"/>
    <w:rsid w:val="00A076B0"/>
    <w:rsid w:val="00A1073B"/>
    <w:rsid w:val="00A10CBE"/>
    <w:rsid w:val="00A112CA"/>
    <w:rsid w:val="00A11305"/>
    <w:rsid w:val="00A1159D"/>
    <w:rsid w:val="00A122C0"/>
    <w:rsid w:val="00A1326E"/>
    <w:rsid w:val="00A15A65"/>
    <w:rsid w:val="00A17066"/>
    <w:rsid w:val="00A17582"/>
    <w:rsid w:val="00A204FC"/>
    <w:rsid w:val="00A21734"/>
    <w:rsid w:val="00A21970"/>
    <w:rsid w:val="00A21A30"/>
    <w:rsid w:val="00A23A63"/>
    <w:rsid w:val="00A23B5A"/>
    <w:rsid w:val="00A243E4"/>
    <w:rsid w:val="00A24E85"/>
    <w:rsid w:val="00A258C9"/>
    <w:rsid w:val="00A260DB"/>
    <w:rsid w:val="00A27054"/>
    <w:rsid w:val="00A27908"/>
    <w:rsid w:val="00A30E7B"/>
    <w:rsid w:val="00A31C14"/>
    <w:rsid w:val="00A3264B"/>
    <w:rsid w:val="00A32D2C"/>
    <w:rsid w:val="00A33DE3"/>
    <w:rsid w:val="00A346F6"/>
    <w:rsid w:val="00A359DF"/>
    <w:rsid w:val="00A36A26"/>
    <w:rsid w:val="00A40272"/>
    <w:rsid w:val="00A415B5"/>
    <w:rsid w:val="00A44C0B"/>
    <w:rsid w:val="00A45377"/>
    <w:rsid w:val="00A4572B"/>
    <w:rsid w:val="00A46D2E"/>
    <w:rsid w:val="00A46D5E"/>
    <w:rsid w:val="00A54514"/>
    <w:rsid w:val="00A55BB1"/>
    <w:rsid w:val="00A564CD"/>
    <w:rsid w:val="00A56FA0"/>
    <w:rsid w:val="00A60736"/>
    <w:rsid w:val="00A60BB0"/>
    <w:rsid w:val="00A60E64"/>
    <w:rsid w:val="00A60F50"/>
    <w:rsid w:val="00A61009"/>
    <w:rsid w:val="00A613ED"/>
    <w:rsid w:val="00A61EF6"/>
    <w:rsid w:val="00A62956"/>
    <w:rsid w:val="00A63852"/>
    <w:rsid w:val="00A63BA9"/>
    <w:rsid w:val="00A63C96"/>
    <w:rsid w:val="00A6523E"/>
    <w:rsid w:val="00A65805"/>
    <w:rsid w:val="00A668A6"/>
    <w:rsid w:val="00A66B31"/>
    <w:rsid w:val="00A6720D"/>
    <w:rsid w:val="00A7058D"/>
    <w:rsid w:val="00A70C48"/>
    <w:rsid w:val="00A70EE6"/>
    <w:rsid w:val="00A7120F"/>
    <w:rsid w:val="00A72199"/>
    <w:rsid w:val="00A72AAF"/>
    <w:rsid w:val="00A734FE"/>
    <w:rsid w:val="00A771E9"/>
    <w:rsid w:val="00A77F3D"/>
    <w:rsid w:val="00A806EE"/>
    <w:rsid w:val="00A80A02"/>
    <w:rsid w:val="00A81A73"/>
    <w:rsid w:val="00A81E9D"/>
    <w:rsid w:val="00A82612"/>
    <w:rsid w:val="00A8344A"/>
    <w:rsid w:val="00A83F40"/>
    <w:rsid w:val="00A84770"/>
    <w:rsid w:val="00A8635A"/>
    <w:rsid w:val="00A90886"/>
    <w:rsid w:val="00A917C3"/>
    <w:rsid w:val="00A93C0E"/>
    <w:rsid w:val="00A9427D"/>
    <w:rsid w:val="00A94835"/>
    <w:rsid w:val="00A958CA"/>
    <w:rsid w:val="00A95E26"/>
    <w:rsid w:val="00A976C2"/>
    <w:rsid w:val="00AA003B"/>
    <w:rsid w:val="00AA00F2"/>
    <w:rsid w:val="00AA2751"/>
    <w:rsid w:val="00AA52E8"/>
    <w:rsid w:val="00AA557A"/>
    <w:rsid w:val="00AA574F"/>
    <w:rsid w:val="00AA6711"/>
    <w:rsid w:val="00AA6DAE"/>
    <w:rsid w:val="00AA76C2"/>
    <w:rsid w:val="00AA78CA"/>
    <w:rsid w:val="00AA7B5C"/>
    <w:rsid w:val="00AB07F5"/>
    <w:rsid w:val="00AB09F0"/>
    <w:rsid w:val="00AB1788"/>
    <w:rsid w:val="00AB1EFF"/>
    <w:rsid w:val="00AB2119"/>
    <w:rsid w:val="00AB3881"/>
    <w:rsid w:val="00AB4408"/>
    <w:rsid w:val="00AB4B7B"/>
    <w:rsid w:val="00AB4D6D"/>
    <w:rsid w:val="00AB592E"/>
    <w:rsid w:val="00AB6030"/>
    <w:rsid w:val="00AB6B5E"/>
    <w:rsid w:val="00AC0024"/>
    <w:rsid w:val="00AC047F"/>
    <w:rsid w:val="00AC2601"/>
    <w:rsid w:val="00AC50C8"/>
    <w:rsid w:val="00AC52E7"/>
    <w:rsid w:val="00AC5BE7"/>
    <w:rsid w:val="00AD0CB4"/>
    <w:rsid w:val="00AD227F"/>
    <w:rsid w:val="00AD4901"/>
    <w:rsid w:val="00AD506C"/>
    <w:rsid w:val="00AD63E3"/>
    <w:rsid w:val="00AD64E2"/>
    <w:rsid w:val="00AD674F"/>
    <w:rsid w:val="00AE084F"/>
    <w:rsid w:val="00AE1393"/>
    <w:rsid w:val="00AE1750"/>
    <w:rsid w:val="00AE2769"/>
    <w:rsid w:val="00AE3199"/>
    <w:rsid w:val="00AE3BC6"/>
    <w:rsid w:val="00AE4EBF"/>
    <w:rsid w:val="00AE4F41"/>
    <w:rsid w:val="00AE511C"/>
    <w:rsid w:val="00AE59D8"/>
    <w:rsid w:val="00AE666B"/>
    <w:rsid w:val="00AE7020"/>
    <w:rsid w:val="00AF0F65"/>
    <w:rsid w:val="00AF1DEE"/>
    <w:rsid w:val="00AF1E87"/>
    <w:rsid w:val="00AF1E94"/>
    <w:rsid w:val="00AF4B70"/>
    <w:rsid w:val="00AF5CD8"/>
    <w:rsid w:val="00AF6538"/>
    <w:rsid w:val="00AF7534"/>
    <w:rsid w:val="00B005C3"/>
    <w:rsid w:val="00B02DFC"/>
    <w:rsid w:val="00B050C3"/>
    <w:rsid w:val="00B05B25"/>
    <w:rsid w:val="00B072D5"/>
    <w:rsid w:val="00B106A0"/>
    <w:rsid w:val="00B10A7D"/>
    <w:rsid w:val="00B10D13"/>
    <w:rsid w:val="00B10D3B"/>
    <w:rsid w:val="00B11C75"/>
    <w:rsid w:val="00B12945"/>
    <w:rsid w:val="00B12BC8"/>
    <w:rsid w:val="00B12C1E"/>
    <w:rsid w:val="00B14B3A"/>
    <w:rsid w:val="00B1554E"/>
    <w:rsid w:val="00B176CF"/>
    <w:rsid w:val="00B17DC8"/>
    <w:rsid w:val="00B17EDC"/>
    <w:rsid w:val="00B17F88"/>
    <w:rsid w:val="00B20819"/>
    <w:rsid w:val="00B21DB9"/>
    <w:rsid w:val="00B22277"/>
    <w:rsid w:val="00B2470A"/>
    <w:rsid w:val="00B24CF5"/>
    <w:rsid w:val="00B25023"/>
    <w:rsid w:val="00B2659C"/>
    <w:rsid w:val="00B26BD2"/>
    <w:rsid w:val="00B26FD7"/>
    <w:rsid w:val="00B270AB"/>
    <w:rsid w:val="00B32D12"/>
    <w:rsid w:val="00B33657"/>
    <w:rsid w:val="00B33EC5"/>
    <w:rsid w:val="00B35546"/>
    <w:rsid w:val="00B36E1C"/>
    <w:rsid w:val="00B36EED"/>
    <w:rsid w:val="00B370BF"/>
    <w:rsid w:val="00B41DDD"/>
    <w:rsid w:val="00B4229A"/>
    <w:rsid w:val="00B42A49"/>
    <w:rsid w:val="00B4401C"/>
    <w:rsid w:val="00B44802"/>
    <w:rsid w:val="00B44FFA"/>
    <w:rsid w:val="00B450DC"/>
    <w:rsid w:val="00B47695"/>
    <w:rsid w:val="00B5192D"/>
    <w:rsid w:val="00B51E79"/>
    <w:rsid w:val="00B525C0"/>
    <w:rsid w:val="00B54BD9"/>
    <w:rsid w:val="00B550CE"/>
    <w:rsid w:val="00B5643B"/>
    <w:rsid w:val="00B619E4"/>
    <w:rsid w:val="00B61C6F"/>
    <w:rsid w:val="00B61D0B"/>
    <w:rsid w:val="00B62CB1"/>
    <w:rsid w:val="00B62DEF"/>
    <w:rsid w:val="00B63340"/>
    <w:rsid w:val="00B63341"/>
    <w:rsid w:val="00B63BF4"/>
    <w:rsid w:val="00B6443B"/>
    <w:rsid w:val="00B64CF3"/>
    <w:rsid w:val="00B73315"/>
    <w:rsid w:val="00B73492"/>
    <w:rsid w:val="00B75746"/>
    <w:rsid w:val="00B75B9E"/>
    <w:rsid w:val="00B75E82"/>
    <w:rsid w:val="00B77ADA"/>
    <w:rsid w:val="00B77ED0"/>
    <w:rsid w:val="00B77F64"/>
    <w:rsid w:val="00B80568"/>
    <w:rsid w:val="00B80DFC"/>
    <w:rsid w:val="00B81AE6"/>
    <w:rsid w:val="00B824DC"/>
    <w:rsid w:val="00B84307"/>
    <w:rsid w:val="00B84E2F"/>
    <w:rsid w:val="00B85661"/>
    <w:rsid w:val="00B86896"/>
    <w:rsid w:val="00B91B86"/>
    <w:rsid w:val="00B91BDD"/>
    <w:rsid w:val="00B91E24"/>
    <w:rsid w:val="00B93783"/>
    <w:rsid w:val="00B95561"/>
    <w:rsid w:val="00B970B7"/>
    <w:rsid w:val="00B97FEF"/>
    <w:rsid w:val="00BA04B7"/>
    <w:rsid w:val="00BA19A1"/>
    <w:rsid w:val="00BA24E3"/>
    <w:rsid w:val="00BA40F9"/>
    <w:rsid w:val="00BA5828"/>
    <w:rsid w:val="00BA6AC3"/>
    <w:rsid w:val="00BA754A"/>
    <w:rsid w:val="00BB14D9"/>
    <w:rsid w:val="00BB1985"/>
    <w:rsid w:val="00BB2139"/>
    <w:rsid w:val="00BB2E25"/>
    <w:rsid w:val="00BB3BBE"/>
    <w:rsid w:val="00BB455B"/>
    <w:rsid w:val="00BB482C"/>
    <w:rsid w:val="00BB6BD1"/>
    <w:rsid w:val="00BB7704"/>
    <w:rsid w:val="00BB77E0"/>
    <w:rsid w:val="00BC073B"/>
    <w:rsid w:val="00BC09D3"/>
    <w:rsid w:val="00BC299C"/>
    <w:rsid w:val="00BC77BF"/>
    <w:rsid w:val="00BC7CAE"/>
    <w:rsid w:val="00BD01C6"/>
    <w:rsid w:val="00BD0C23"/>
    <w:rsid w:val="00BD22A3"/>
    <w:rsid w:val="00BD3A01"/>
    <w:rsid w:val="00BD4995"/>
    <w:rsid w:val="00BD4A5F"/>
    <w:rsid w:val="00BE0377"/>
    <w:rsid w:val="00BE0820"/>
    <w:rsid w:val="00BE0A97"/>
    <w:rsid w:val="00BE3879"/>
    <w:rsid w:val="00BE4C34"/>
    <w:rsid w:val="00BE6618"/>
    <w:rsid w:val="00BE6C72"/>
    <w:rsid w:val="00BE72DE"/>
    <w:rsid w:val="00BE77D3"/>
    <w:rsid w:val="00BE7C5F"/>
    <w:rsid w:val="00BF0138"/>
    <w:rsid w:val="00BF1CB5"/>
    <w:rsid w:val="00BF1F92"/>
    <w:rsid w:val="00BF2B34"/>
    <w:rsid w:val="00BF328F"/>
    <w:rsid w:val="00BF3667"/>
    <w:rsid w:val="00BF518C"/>
    <w:rsid w:val="00BF546E"/>
    <w:rsid w:val="00BF6871"/>
    <w:rsid w:val="00BF71BB"/>
    <w:rsid w:val="00C00012"/>
    <w:rsid w:val="00C00E2A"/>
    <w:rsid w:val="00C01223"/>
    <w:rsid w:val="00C021D3"/>
    <w:rsid w:val="00C0457B"/>
    <w:rsid w:val="00C0496D"/>
    <w:rsid w:val="00C049CA"/>
    <w:rsid w:val="00C05105"/>
    <w:rsid w:val="00C068D7"/>
    <w:rsid w:val="00C06DE3"/>
    <w:rsid w:val="00C077E2"/>
    <w:rsid w:val="00C108AA"/>
    <w:rsid w:val="00C11445"/>
    <w:rsid w:val="00C11905"/>
    <w:rsid w:val="00C1202D"/>
    <w:rsid w:val="00C12417"/>
    <w:rsid w:val="00C126E3"/>
    <w:rsid w:val="00C13A29"/>
    <w:rsid w:val="00C13ED7"/>
    <w:rsid w:val="00C14B71"/>
    <w:rsid w:val="00C175EF"/>
    <w:rsid w:val="00C17B7A"/>
    <w:rsid w:val="00C17E14"/>
    <w:rsid w:val="00C201D3"/>
    <w:rsid w:val="00C2094B"/>
    <w:rsid w:val="00C20D01"/>
    <w:rsid w:val="00C20E69"/>
    <w:rsid w:val="00C22105"/>
    <w:rsid w:val="00C2242C"/>
    <w:rsid w:val="00C22BF4"/>
    <w:rsid w:val="00C24A24"/>
    <w:rsid w:val="00C26CD3"/>
    <w:rsid w:val="00C274F3"/>
    <w:rsid w:val="00C27F83"/>
    <w:rsid w:val="00C3079A"/>
    <w:rsid w:val="00C316F7"/>
    <w:rsid w:val="00C31DF0"/>
    <w:rsid w:val="00C321F3"/>
    <w:rsid w:val="00C33BCF"/>
    <w:rsid w:val="00C33FAB"/>
    <w:rsid w:val="00C34480"/>
    <w:rsid w:val="00C34596"/>
    <w:rsid w:val="00C34781"/>
    <w:rsid w:val="00C34ABE"/>
    <w:rsid w:val="00C35454"/>
    <w:rsid w:val="00C366FA"/>
    <w:rsid w:val="00C371A5"/>
    <w:rsid w:val="00C40B88"/>
    <w:rsid w:val="00C40D98"/>
    <w:rsid w:val="00C40EAC"/>
    <w:rsid w:val="00C412DA"/>
    <w:rsid w:val="00C413FC"/>
    <w:rsid w:val="00C43890"/>
    <w:rsid w:val="00C43A33"/>
    <w:rsid w:val="00C46630"/>
    <w:rsid w:val="00C47762"/>
    <w:rsid w:val="00C50879"/>
    <w:rsid w:val="00C50BC8"/>
    <w:rsid w:val="00C52025"/>
    <w:rsid w:val="00C54743"/>
    <w:rsid w:val="00C54AEC"/>
    <w:rsid w:val="00C54F5B"/>
    <w:rsid w:val="00C557EC"/>
    <w:rsid w:val="00C56438"/>
    <w:rsid w:val="00C566F7"/>
    <w:rsid w:val="00C6009F"/>
    <w:rsid w:val="00C60417"/>
    <w:rsid w:val="00C6046F"/>
    <w:rsid w:val="00C60C22"/>
    <w:rsid w:val="00C61A11"/>
    <w:rsid w:val="00C62665"/>
    <w:rsid w:val="00C6325B"/>
    <w:rsid w:val="00C638C2"/>
    <w:rsid w:val="00C63B5F"/>
    <w:rsid w:val="00C63E5C"/>
    <w:rsid w:val="00C65250"/>
    <w:rsid w:val="00C65A74"/>
    <w:rsid w:val="00C672B0"/>
    <w:rsid w:val="00C67B13"/>
    <w:rsid w:val="00C706DC"/>
    <w:rsid w:val="00C7283B"/>
    <w:rsid w:val="00C73524"/>
    <w:rsid w:val="00C73D87"/>
    <w:rsid w:val="00C7422C"/>
    <w:rsid w:val="00C74BF0"/>
    <w:rsid w:val="00C753F5"/>
    <w:rsid w:val="00C75ED1"/>
    <w:rsid w:val="00C7665F"/>
    <w:rsid w:val="00C76F48"/>
    <w:rsid w:val="00C80780"/>
    <w:rsid w:val="00C807B0"/>
    <w:rsid w:val="00C829FB"/>
    <w:rsid w:val="00C83C0F"/>
    <w:rsid w:val="00C85A17"/>
    <w:rsid w:val="00C85E52"/>
    <w:rsid w:val="00C86B0E"/>
    <w:rsid w:val="00C86F96"/>
    <w:rsid w:val="00C8716C"/>
    <w:rsid w:val="00C87A28"/>
    <w:rsid w:val="00C9004C"/>
    <w:rsid w:val="00C909C6"/>
    <w:rsid w:val="00C92132"/>
    <w:rsid w:val="00C92302"/>
    <w:rsid w:val="00C92B21"/>
    <w:rsid w:val="00C92D97"/>
    <w:rsid w:val="00C93948"/>
    <w:rsid w:val="00C94D4C"/>
    <w:rsid w:val="00C951A0"/>
    <w:rsid w:val="00C970EA"/>
    <w:rsid w:val="00C97317"/>
    <w:rsid w:val="00C9770F"/>
    <w:rsid w:val="00CA012C"/>
    <w:rsid w:val="00CA12A8"/>
    <w:rsid w:val="00CA1357"/>
    <w:rsid w:val="00CA2B2E"/>
    <w:rsid w:val="00CA3440"/>
    <w:rsid w:val="00CA3A1E"/>
    <w:rsid w:val="00CA3DA1"/>
    <w:rsid w:val="00CA41DF"/>
    <w:rsid w:val="00CA42DD"/>
    <w:rsid w:val="00CA48AE"/>
    <w:rsid w:val="00CA5630"/>
    <w:rsid w:val="00CA7407"/>
    <w:rsid w:val="00CB10D0"/>
    <w:rsid w:val="00CB201D"/>
    <w:rsid w:val="00CB23D8"/>
    <w:rsid w:val="00CB3499"/>
    <w:rsid w:val="00CB4321"/>
    <w:rsid w:val="00CB4D73"/>
    <w:rsid w:val="00CB56B4"/>
    <w:rsid w:val="00CC1B0F"/>
    <w:rsid w:val="00CC26B8"/>
    <w:rsid w:val="00CC2D82"/>
    <w:rsid w:val="00CC3DD1"/>
    <w:rsid w:val="00CC4F8F"/>
    <w:rsid w:val="00CC66DA"/>
    <w:rsid w:val="00CC6AF2"/>
    <w:rsid w:val="00CD061F"/>
    <w:rsid w:val="00CD1FAE"/>
    <w:rsid w:val="00CD1FF0"/>
    <w:rsid w:val="00CD4EB0"/>
    <w:rsid w:val="00CD558A"/>
    <w:rsid w:val="00CE1985"/>
    <w:rsid w:val="00CE1E83"/>
    <w:rsid w:val="00CE30C1"/>
    <w:rsid w:val="00CE3D6E"/>
    <w:rsid w:val="00CE4094"/>
    <w:rsid w:val="00CE5688"/>
    <w:rsid w:val="00CE5921"/>
    <w:rsid w:val="00CE5A6E"/>
    <w:rsid w:val="00CE653F"/>
    <w:rsid w:val="00CE674F"/>
    <w:rsid w:val="00CE6F87"/>
    <w:rsid w:val="00CE6FC6"/>
    <w:rsid w:val="00CE76FA"/>
    <w:rsid w:val="00CE7F9D"/>
    <w:rsid w:val="00CF0578"/>
    <w:rsid w:val="00CF16D1"/>
    <w:rsid w:val="00CF1B08"/>
    <w:rsid w:val="00CF30DD"/>
    <w:rsid w:val="00CF4707"/>
    <w:rsid w:val="00CF5276"/>
    <w:rsid w:val="00CF5C6A"/>
    <w:rsid w:val="00CF63C7"/>
    <w:rsid w:val="00CF6A01"/>
    <w:rsid w:val="00CF6FD7"/>
    <w:rsid w:val="00D03A30"/>
    <w:rsid w:val="00D03FE1"/>
    <w:rsid w:val="00D04963"/>
    <w:rsid w:val="00D0669D"/>
    <w:rsid w:val="00D06705"/>
    <w:rsid w:val="00D0708C"/>
    <w:rsid w:val="00D07A2A"/>
    <w:rsid w:val="00D07B60"/>
    <w:rsid w:val="00D10EA5"/>
    <w:rsid w:val="00D1190B"/>
    <w:rsid w:val="00D122C2"/>
    <w:rsid w:val="00D12971"/>
    <w:rsid w:val="00D16750"/>
    <w:rsid w:val="00D20657"/>
    <w:rsid w:val="00D2065D"/>
    <w:rsid w:val="00D218A2"/>
    <w:rsid w:val="00D2330B"/>
    <w:rsid w:val="00D24CDE"/>
    <w:rsid w:val="00D2552B"/>
    <w:rsid w:val="00D2579C"/>
    <w:rsid w:val="00D26A35"/>
    <w:rsid w:val="00D30694"/>
    <w:rsid w:val="00D3175A"/>
    <w:rsid w:val="00D3187C"/>
    <w:rsid w:val="00D323E4"/>
    <w:rsid w:val="00D32C65"/>
    <w:rsid w:val="00D37E42"/>
    <w:rsid w:val="00D40491"/>
    <w:rsid w:val="00D41B50"/>
    <w:rsid w:val="00D4266B"/>
    <w:rsid w:val="00D42823"/>
    <w:rsid w:val="00D42D1D"/>
    <w:rsid w:val="00D448BA"/>
    <w:rsid w:val="00D50200"/>
    <w:rsid w:val="00D51C89"/>
    <w:rsid w:val="00D526FC"/>
    <w:rsid w:val="00D52D09"/>
    <w:rsid w:val="00D53066"/>
    <w:rsid w:val="00D531FB"/>
    <w:rsid w:val="00D538A8"/>
    <w:rsid w:val="00D54E50"/>
    <w:rsid w:val="00D55DA6"/>
    <w:rsid w:val="00D56776"/>
    <w:rsid w:val="00D56BD3"/>
    <w:rsid w:val="00D57017"/>
    <w:rsid w:val="00D607FD"/>
    <w:rsid w:val="00D611EF"/>
    <w:rsid w:val="00D64AE6"/>
    <w:rsid w:val="00D65484"/>
    <w:rsid w:val="00D65B68"/>
    <w:rsid w:val="00D679E4"/>
    <w:rsid w:val="00D67B8F"/>
    <w:rsid w:val="00D723FF"/>
    <w:rsid w:val="00D741B7"/>
    <w:rsid w:val="00D7443D"/>
    <w:rsid w:val="00D74DEB"/>
    <w:rsid w:val="00D75603"/>
    <w:rsid w:val="00D75AB4"/>
    <w:rsid w:val="00D76908"/>
    <w:rsid w:val="00D76E8D"/>
    <w:rsid w:val="00D77242"/>
    <w:rsid w:val="00D77EEE"/>
    <w:rsid w:val="00D77F2C"/>
    <w:rsid w:val="00D8050B"/>
    <w:rsid w:val="00D80899"/>
    <w:rsid w:val="00D81107"/>
    <w:rsid w:val="00D81155"/>
    <w:rsid w:val="00D821E8"/>
    <w:rsid w:val="00D82212"/>
    <w:rsid w:val="00D823C4"/>
    <w:rsid w:val="00D86981"/>
    <w:rsid w:val="00D872C5"/>
    <w:rsid w:val="00D87CDE"/>
    <w:rsid w:val="00D87D7F"/>
    <w:rsid w:val="00D909EE"/>
    <w:rsid w:val="00D90A8E"/>
    <w:rsid w:val="00D91010"/>
    <w:rsid w:val="00D916A6"/>
    <w:rsid w:val="00D9186D"/>
    <w:rsid w:val="00D926A1"/>
    <w:rsid w:val="00D92B15"/>
    <w:rsid w:val="00D92C91"/>
    <w:rsid w:val="00D943AA"/>
    <w:rsid w:val="00D9547C"/>
    <w:rsid w:val="00D95B8F"/>
    <w:rsid w:val="00D97832"/>
    <w:rsid w:val="00DA0004"/>
    <w:rsid w:val="00DA0CDE"/>
    <w:rsid w:val="00DA1B77"/>
    <w:rsid w:val="00DA372F"/>
    <w:rsid w:val="00DA39AD"/>
    <w:rsid w:val="00DA3B39"/>
    <w:rsid w:val="00DA3D3F"/>
    <w:rsid w:val="00DA4648"/>
    <w:rsid w:val="00DA4809"/>
    <w:rsid w:val="00DA53A9"/>
    <w:rsid w:val="00DA573E"/>
    <w:rsid w:val="00DA60E3"/>
    <w:rsid w:val="00DA6917"/>
    <w:rsid w:val="00DA6926"/>
    <w:rsid w:val="00DB026D"/>
    <w:rsid w:val="00DB10F6"/>
    <w:rsid w:val="00DB16AC"/>
    <w:rsid w:val="00DB32A1"/>
    <w:rsid w:val="00DB3B93"/>
    <w:rsid w:val="00DB4358"/>
    <w:rsid w:val="00DB46C3"/>
    <w:rsid w:val="00DB5364"/>
    <w:rsid w:val="00DB5742"/>
    <w:rsid w:val="00DB72CA"/>
    <w:rsid w:val="00DB7829"/>
    <w:rsid w:val="00DB7851"/>
    <w:rsid w:val="00DB7BC6"/>
    <w:rsid w:val="00DC187E"/>
    <w:rsid w:val="00DC1B8C"/>
    <w:rsid w:val="00DC1C89"/>
    <w:rsid w:val="00DC1CE5"/>
    <w:rsid w:val="00DC1F10"/>
    <w:rsid w:val="00DC2796"/>
    <w:rsid w:val="00DC49B8"/>
    <w:rsid w:val="00DC5293"/>
    <w:rsid w:val="00DC62E9"/>
    <w:rsid w:val="00DC69C0"/>
    <w:rsid w:val="00DC7AF1"/>
    <w:rsid w:val="00DD1861"/>
    <w:rsid w:val="00DD2352"/>
    <w:rsid w:val="00DD3026"/>
    <w:rsid w:val="00DD3A8A"/>
    <w:rsid w:val="00DD4157"/>
    <w:rsid w:val="00DD5011"/>
    <w:rsid w:val="00DD7287"/>
    <w:rsid w:val="00DD78DE"/>
    <w:rsid w:val="00DE1183"/>
    <w:rsid w:val="00DE1318"/>
    <w:rsid w:val="00DE2E24"/>
    <w:rsid w:val="00DE3008"/>
    <w:rsid w:val="00DF09ED"/>
    <w:rsid w:val="00DF0A22"/>
    <w:rsid w:val="00DF1A3A"/>
    <w:rsid w:val="00DF1C37"/>
    <w:rsid w:val="00DF1D76"/>
    <w:rsid w:val="00DF3BEB"/>
    <w:rsid w:val="00DF6363"/>
    <w:rsid w:val="00DF68D0"/>
    <w:rsid w:val="00DF759F"/>
    <w:rsid w:val="00E00762"/>
    <w:rsid w:val="00E00C3F"/>
    <w:rsid w:val="00E00DE0"/>
    <w:rsid w:val="00E01597"/>
    <w:rsid w:val="00E0176E"/>
    <w:rsid w:val="00E0272A"/>
    <w:rsid w:val="00E02FE7"/>
    <w:rsid w:val="00E03F63"/>
    <w:rsid w:val="00E0569C"/>
    <w:rsid w:val="00E06635"/>
    <w:rsid w:val="00E069B1"/>
    <w:rsid w:val="00E074BC"/>
    <w:rsid w:val="00E109A2"/>
    <w:rsid w:val="00E1116F"/>
    <w:rsid w:val="00E1166E"/>
    <w:rsid w:val="00E128CD"/>
    <w:rsid w:val="00E1464A"/>
    <w:rsid w:val="00E15EF1"/>
    <w:rsid w:val="00E16FB5"/>
    <w:rsid w:val="00E174BE"/>
    <w:rsid w:val="00E17517"/>
    <w:rsid w:val="00E17D2D"/>
    <w:rsid w:val="00E21EC1"/>
    <w:rsid w:val="00E21F84"/>
    <w:rsid w:val="00E22788"/>
    <w:rsid w:val="00E22E5C"/>
    <w:rsid w:val="00E231FB"/>
    <w:rsid w:val="00E232DD"/>
    <w:rsid w:val="00E23D28"/>
    <w:rsid w:val="00E245D3"/>
    <w:rsid w:val="00E253EB"/>
    <w:rsid w:val="00E2585D"/>
    <w:rsid w:val="00E2654D"/>
    <w:rsid w:val="00E27264"/>
    <w:rsid w:val="00E2753A"/>
    <w:rsid w:val="00E31D7C"/>
    <w:rsid w:val="00E32E31"/>
    <w:rsid w:val="00E3337E"/>
    <w:rsid w:val="00E34018"/>
    <w:rsid w:val="00E34A8D"/>
    <w:rsid w:val="00E35BF2"/>
    <w:rsid w:val="00E35CFC"/>
    <w:rsid w:val="00E35F35"/>
    <w:rsid w:val="00E363D7"/>
    <w:rsid w:val="00E36936"/>
    <w:rsid w:val="00E375B5"/>
    <w:rsid w:val="00E41F32"/>
    <w:rsid w:val="00E424D2"/>
    <w:rsid w:val="00E42FD0"/>
    <w:rsid w:val="00E44B80"/>
    <w:rsid w:val="00E4643D"/>
    <w:rsid w:val="00E4739A"/>
    <w:rsid w:val="00E5078B"/>
    <w:rsid w:val="00E5258B"/>
    <w:rsid w:val="00E526DF"/>
    <w:rsid w:val="00E529D6"/>
    <w:rsid w:val="00E54EE6"/>
    <w:rsid w:val="00E550A0"/>
    <w:rsid w:val="00E561E8"/>
    <w:rsid w:val="00E56C2C"/>
    <w:rsid w:val="00E571AC"/>
    <w:rsid w:val="00E57F8E"/>
    <w:rsid w:val="00E60EB3"/>
    <w:rsid w:val="00E628AD"/>
    <w:rsid w:val="00E62FA2"/>
    <w:rsid w:val="00E6446D"/>
    <w:rsid w:val="00E658D6"/>
    <w:rsid w:val="00E6647F"/>
    <w:rsid w:val="00E70F49"/>
    <w:rsid w:val="00E72CC6"/>
    <w:rsid w:val="00E734EE"/>
    <w:rsid w:val="00E76637"/>
    <w:rsid w:val="00E76955"/>
    <w:rsid w:val="00E80561"/>
    <w:rsid w:val="00E81008"/>
    <w:rsid w:val="00E8203A"/>
    <w:rsid w:val="00E82679"/>
    <w:rsid w:val="00E82FA9"/>
    <w:rsid w:val="00E8429B"/>
    <w:rsid w:val="00E85112"/>
    <w:rsid w:val="00E854A4"/>
    <w:rsid w:val="00E85F55"/>
    <w:rsid w:val="00E9150E"/>
    <w:rsid w:val="00E92A82"/>
    <w:rsid w:val="00E939E5"/>
    <w:rsid w:val="00E93BA0"/>
    <w:rsid w:val="00E94252"/>
    <w:rsid w:val="00E94E78"/>
    <w:rsid w:val="00E96CA3"/>
    <w:rsid w:val="00E97E72"/>
    <w:rsid w:val="00EA07F5"/>
    <w:rsid w:val="00EA0C0C"/>
    <w:rsid w:val="00EA332B"/>
    <w:rsid w:val="00EA4BDB"/>
    <w:rsid w:val="00EA5D72"/>
    <w:rsid w:val="00EA6175"/>
    <w:rsid w:val="00EB3DB8"/>
    <w:rsid w:val="00EB4B6A"/>
    <w:rsid w:val="00EB5BE3"/>
    <w:rsid w:val="00EB6BBE"/>
    <w:rsid w:val="00EB7C2D"/>
    <w:rsid w:val="00EC0F3A"/>
    <w:rsid w:val="00EC0FA4"/>
    <w:rsid w:val="00EC1DC7"/>
    <w:rsid w:val="00EC5463"/>
    <w:rsid w:val="00EC62A4"/>
    <w:rsid w:val="00EC6F7D"/>
    <w:rsid w:val="00ED0D34"/>
    <w:rsid w:val="00ED0E32"/>
    <w:rsid w:val="00ED176E"/>
    <w:rsid w:val="00ED19D7"/>
    <w:rsid w:val="00ED264C"/>
    <w:rsid w:val="00ED3560"/>
    <w:rsid w:val="00ED479C"/>
    <w:rsid w:val="00ED53A0"/>
    <w:rsid w:val="00ED5A88"/>
    <w:rsid w:val="00ED6BA4"/>
    <w:rsid w:val="00EE1AA1"/>
    <w:rsid w:val="00EE20D6"/>
    <w:rsid w:val="00EE213B"/>
    <w:rsid w:val="00EE408B"/>
    <w:rsid w:val="00EE5C4E"/>
    <w:rsid w:val="00EE706D"/>
    <w:rsid w:val="00EE7095"/>
    <w:rsid w:val="00EE76F2"/>
    <w:rsid w:val="00EE7B0E"/>
    <w:rsid w:val="00EF0D7C"/>
    <w:rsid w:val="00EF3430"/>
    <w:rsid w:val="00EF40E2"/>
    <w:rsid w:val="00EF4D34"/>
    <w:rsid w:val="00EF5157"/>
    <w:rsid w:val="00EF5ADE"/>
    <w:rsid w:val="00EF5D92"/>
    <w:rsid w:val="00EF6607"/>
    <w:rsid w:val="00EF67BD"/>
    <w:rsid w:val="00EF69EF"/>
    <w:rsid w:val="00EF6B28"/>
    <w:rsid w:val="00F0229E"/>
    <w:rsid w:val="00F04BCD"/>
    <w:rsid w:val="00F05240"/>
    <w:rsid w:val="00F05EA0"/>
    <w:rsid w:val="00F06211"/>
    <w:rsid w:val="00F06344"/>
    <w:rsid w:val="00F06818"/>
    <w:rsid w:val="00F06962"/>
    <w:rsid w:val="00F0769E"/>
    <w:rsid w:val="00F11E12"/>
    <w:rsid w:val="00F122F1"/>
    <w:rsid w:val="00F1632C"/>
    <w:rsid w:val="00F16E80"/>
    <w:rsid w:val="00F17D5C"/>
    <w:rsid w:val="00F2081B"/>
    <w:rsid w:val="00F21068"/>
    <w:rsid w:val="00F2134C"/>
    <w:rsid w:val="00F218AE"/>
    <w:rsid w:val="00F21DBB"/>
    <w:rsid w:val="00F2244A"/>
    <w:rsid w:val="00F2551E"/>
    <w:rsid w:val="00F3002B"/>
    <w:rsid w:val="00F302E9"/>
    <w:rsid w:val="00F30BC9"/>
    <w:rsid w:val="00F30DC3"/>
    <w:rsid w:val="00F315E5"/>
    <w:rsid w:val="00F31D86"/>
    <w:rsid w:val="00F324A5"/>
    <w:rsid w:val="00F32996"/>
    <w:rsid w:val="00F32FF7"/>
    <w:rsid w:val="00F358C5"/>
    <w:rsid w:val="00F373B5"/>
    <w:rsid w:val="00F40CE0"/>
    <w:rsid w:val="00F428B4"/>
    <w:rsid w:val="00F42A4B"/>
    <w:rsid w:val="00F42A57"/>
    <w:rsid w:val="00F42EA7"/>
    <w:rsid w:val="00F43E3E"/>
    <w:rsid w:val="00F44043"/>
    <w:rsid w:val="00F44B11"/>
    <w:rsid w:val="00F458EF"/>
    <w:rsid w:val="00F4782F"/>
    <w:rsid w:val="00F508A8"/>
    <w:rsid w:val="00F50E22"/>
    <w:rsid w:val="00F514DE"/>
    <w:rsid w:val="00F51AC3"/>
    <w:rsid w:val="00F52C55"/>
    <w:rsid w:val="00F53569"/>
    <w:rsid w:val="00F53755"/>
    <w:rsid w:val="00F53956"/>
    <w:rsid w:val="00F541F0"/>
    <w:rsid w:val="00F5475B"/>
    <w:rsid w:val="00F548AC"/>
    <w:rsid w:val="00F55452"/>
    <w:rsid w:val="00F56078"/>
    <w:rsid w:val="00F563C0"/>
    <w:rsid w:val="00F5771D"/>
    <w:rsid w:val="00F57FEF"/>
    <w:rsid w:val="00F60644"/>
    <w:rsid w:val="00F6313E"/>
    <w:rsid w:val="00F64976"/>
    <w:rsid w:val="00F65342"/>
    <w:rsid w:val="00F6634D"/>
    <w:rsid w:val="00F66B0C"/>
    <w:rsid w:val="00F7033D"/>
    <w:rsid w:val="00F71B9D"/>
    <w:rsid w:val="00F7203B"/>
    <w:rsid w:val="00F73E58"/>
    <w:rsid w:val="00F73E6B"/>
    <w:rsid w:val="00F74054"/>
    <w:rsid w:val="00F74A44"/>
    <w:rsid w:val="00F7542C"/>
    <w:rsid w:val="00F7598F"/>
    <w:rsid w:val="00F75E14"/>
    <w:rsid w:val="00F76B59"/>
    <w:rsid w:val="00F7713C"/>
    <w:rsid w:val="00F81B90"/>
    <w:rsid w:val="00F81E05"/>
    <w:rsid w:val="00F84643"/>
    <w:rsid w:val="00F8481A"/>
    <w:rsid w:val="00F84D4C"/>
    <w:rsid w:val="00F84E69"/>
    <w:rsid w:val="00F8733B"/>
    <w:rsid w:val="00F874C5"/>
    <w:rsid w:val="00F9074F"/>
    <w:rsid w:val="00F92160"/>
    <w:rsid w:val="00F9260D"/>
    <w:rsid w:val="00F92727"/>
    <w:rsid w:val="00F9530C"/>
    <w:rsid w:val="00F95553"/>
    <w:rsid w:val="00F96A70"/>
    <w:rsid w:val="00F96E0D"/>
    <w:rsid w:val="00FA0013"/>
    <w:rsid w:val="00FA1275"/>
    <w:rsid w:val="00FA1905"/>
    <w:rsid w:val="00FA1B28"/>
    <w:rsid w:val="00FA33FC"/>
    <w:rsid w:val="00FA44EF"/>
    <w:rsid w:val="00FA4F58"/>
    <w:rsid w:val="00FA5596"/>
    <w:rsid w:val="00FA5971"/>
    <w:rsid w:val="00FA6878"/>
    <w:rsid w:val="00FA77C1"/>
    <w:rsid w:val="00FB08C2"/>
    <w:rsid w:val="00FB283A"/>
    <w:rsid w:val="00FB2F0D"/>
    <w:rsid w:val="00FB6FB0"/>
    <w:rsid w:val="00FC25A5"/>
    <w:rsid w:val="00FC40BC"/>
    <w:rsid w:val="00FC4D60"/>
    <w:rsid w:val="00FC506C"/>
    <w:rsid w:val="00FD13EA"/>
    <w:rsid w:val="00FD140D"/>
    <w:rsid w:val="00FD146B"/>
    <w:rsid w:val="00FD158E"/>
    <w:rsid w:val="00FD1FE4"/>
    <w:rsid w:val="00FD3C1E"/>
    <w:rsid w:val="00FD492A"/>
    <w:rsid w:val="00FD5614"/>
    <w:rsid w:val="00FD5EC4"/>
    <w:rsid w:val="00FD6AED"/>
    <w:rsid w:val="00FD70AA"/>
    <w:rsid w:val="00FE0465"/>
    <w:rsid w:val="00FE04C7"/>
    <w:rsid w:val="00FE1C3B"/>
    <w:rsid w:val="00FE1CE5"/>
    <w:rsid w:val="00FE1DEC"/>
    <w:rsid w:val="00FE249B"/>
    <w:rsid w:val="00FE2B4F"/>
    <w:rsid w:val="00FE6D3E"/>
    <w:rsid w:val="00FE7A28"/>
    <w:rsid w:val="00FF0A74"/>
    <w:rsid w:val="00FF2067"/>
    <w:rsid w:val="00FF2740"/>
    <w:rsid w:val="00FF2D55"/>
    <w:rsid w:val="00FF32D7"/>
    <w:rsid w:val="00FF39AD"/>
    <w:rsid w:val="00FF4138"/>
    <w:rsid w:val="00FF421C"/>
    <w:rsid w:val="00FF54F5"/>
    <w:rsid w:val="00FF5D2F"/>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7">
      <o:colormru v:ext="edit" colors="#2d4491,#28358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Document Map"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446D"/>
    <w:rPr>
      <w:rFonts w:ascii="Georgia" w:hAnsi="Georgia"/>
      <w:szCs w:val="24"/>
      <w:lang w:eastAsia="de-DE"/>
    </w:rPr>
  </w:style>
  <w:style w:type="paragraph" w:styleId="Heading1">
    <w:name w:val="heading 1"/>
    <w:basedOn w:val="05cHeadline1"/>
    <w:next w:val="Normal"/>
    <w:link w:val="Heading1Char"/>
    <w:uiPriority w:val="9"/>
    <w:qFormat/>
    <w:rsid w:val="004C2CD3"/>
    <w:pPr>
      <w:numPr>
        <w:numId w:val="15"/>
      </w:numPr>
      <w:outlineLvl w:val="0"/>
    </w:pPr>
  </w:style>
  <w:style w:type="paragraph" w:styleId="Heading2">
    <w:name w:val="heading 2"/>
    <w:basedOn w:val="04aNumbering"/>
    <w:next w:val="Normal"/>
    <w:link w:val="Heading2Char"/>
    <w:uiPriority w:val="9"/>
    <w:qFormat/>
    <w:rsid w:val="00412C4C"/>
    <w:pPr>
      <w:numPr>
        <w:ilvl w:val="1"/>
        <w:numId w:val="15"/>
      </w:numPr>
      <w:outlineLvl w:val="1"/>
    </w:pPr>
    <w:rPr>
      <w:b/>
    </w:rPr>
  </w:style>
  <w:style w:type="paragraph" w:styleId="Heading3">
    <w:name w:val="heading 3"/>
    <w:basedOn w:val="Heading2"/>
    <w:next w:val="Normal"/>
    <w:link w:val="Heading3Char"/>
    <w:uiPriority w:val="9"/>
    <w:qFormat/>
    <w:rsid w:val="00E03F63"/>
    <w:pPr>
      <w:numPr>
        <w:ilvl w:val="2"/>
      </w:numPr>
      <w:outlineLvl w:val="2"/>
    </w:pPr>
  </w:style>
  <w:style w:type="paragraph" w:styleId="Heading4">
    <w:name w:val="heading 4"/>
    <w:basedOn w:val="Heading3"/>
    <w:next w:val="Normal"/>
    <w:qFormat/>
    <w:rsid w:val="003F3FF4"/>
    <w:pPr>
      <w:numPr>
        <w:ilvl w:val="3"/>
      </w:numPr>
      <w:outlineLvl w:val="3"/>
    </w:pPr>
  </w:style>
  <w:style w:type="paragraph" w:styleId="Heading5">
    <w:name w:val="heading 5"/>
    <w:basedOn w:val="Heading4"/>
    <w:next w:val="Normal"/>
    <w:qFormat/>
    <w:rsid w:val="00376487"/>
    <w:pPr>
      <w:numPr>
        <w:ilvl w:val="4"/>
      </w:numPr>
      <w:outlineLvl w:val="4"/>
    </w:pPr>
  </w:style>
  <w:style w:type="paragraph" w:styleId="Heading6">
    <w:name w:val="heading 6"/>
    <w:basedOn w:val="Normal"/>
    <w:next w:val="Normal"/>
    <w:qFormat/>
    <w:rsid w:val="003609B6"/>
    <w:pPr>
      <w:numPr>
        <w:ilvl w:val="5"/>
        <w:numId w:val="15"/>
      </w:numPr>
      <w:spacing w:before="240" w:after="60"/>
      <w:outlineLvl w:val="5"/>
    </w:pPr>
    <w:rPr>
      <w:rFonts w:ascii="Times New Roman" w:hAnsi="Times New Roman"/>
      <w:b/>
      <w:bCs/>
      <w:szCs w:val="22"/>
    </w:rPr>
  </w:style>
  <w:style w:type="paragraph" w:styleId="Heading7">
    <w:name w:val="heading 7"/>
    <w:basedOn w:val="Normal"/>
    <w:next w:val="Normal"/>
    <w:qFormat/>
    <w:rsid w:val="003609B6"/>
    <w:pPr>
      <w:numPr>
        <w:ilvl w:val="6"/>
        <w:numId w:val="15"/>
      </w:numPr>
      <w:spacing w:before="240" w:after="60"/>
      <w:outlineLvl w:val="6"/>
    </w:pPr>
    <w:rPr>
      <w:rFonts w:ascii="Times New Roman" w:hAnsi="Times New Roman"/>
    </w:rPr>
  </w:style>
  <w:style w:type="paragraph" w:styleId="Heading8">
    <w:name w:val="heading 8"/>
    <w:basedOn w:val="Normal"/>
    <w:next w:val="Normal"/>
    <w:qFormat/>
    <w:rsid w:val="003609B6"/>
    <w:pPr>
      <w:numPr>
        <w:ilvl w:val="7"/>
        <w:numId w:val="15"/>
      </w:numPr>
      <w:spacing w:before="240" w:after="60"/>
      <w:outlineLvl w:val="7"/>
    </w:pPr>
    <w:rPr>
      <w:rFonts w:ascii="Times New Roman" w:hAnsi="Times New Roman"/>
      <w:i/>
      <w:iCs/>
    </w:rPr>
  </w:style>
  <w:style w:type="paragraph" w:styleId="Heading9">
    <w:name w:val="heading 9"/>
    <w:basedOn w:val="Normal"/>
    <w:next w:val="Normal"/>
    <w:qFormat/>
    <w:rsid w:val="003609B6"/>
    <w:pPr>
      <w:numPr>
        <w:ilvl w:val="8"/>
        <w:numId w:val="15"/>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uiPriority w:val="99"/>
    <w:rsid w:val="005B64CB"/>
    <w:pPr>
      <w:tabs>
        <w:tab w:val="center" w:pos="4536"/>
        <w:tab w:val="right" w:pos="9072"/>
      </w:tabs>
    </w:pPr>
  </w:style>
  <w:style w:type="table" w:styleId="TableGrid">
    <w:name w:val="Table Grid"/>
    <w:basedOn w:val="TableNormal"/>
    <w:semiHidden/>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clear" w:pos="567"/>
        <w:tab w:val="left" w:pos="284"/>
        <w:tab w:val="left" w:pos="397"/>
      </w:tabs>
      <w:spacing w:after="280" w:line="280" w:lineRule="exact"/>
      <w:ind w:left="284" w:hanging="284"/>
    </w:pPr>
    <w:rPr>
      <w:sz w:val="20"/>
    </w:rPr>
  </w:style>
  <w:style w:type="paragraph" w:customStyle="1" w:styleId="04aNumbering">
    <w:name w:val="04a_Numbering"/>
    <w:basedOn w:val="04BodyText"/>
    <w:link w:val="04aNumberingChar"/>
    <w:uiPriority w:val="99"/>
    <w:rsid w:val="00D75603"/>
    <w:pPr>
      <w:numPr>
        <w:numId w:val="2"/>
      </w:numPr>
    </w:pPr>
  </w:style>
  <w:style w:type="character" w:styleId="PageNumber">
    <w:name w:val="page number"/>
    <w:basedOn w:val="DefaultParagraphFont"/>
    <w:semiHidden/>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tabs>
        <w:tab w:val="left" w:pos="397"/>
      </w:tabs>
      <w:spacing w:after="250" w:line="250" w:lineRule="exact"/>
    </w:pPr>
    <w:rPr>
      <w:rFonts w:ascii="Georgia" w:hAnsi="Georgia" w:cs="Arial"/>
      <w:bCs/>
      <w:iCs/>
      <w:lang w:eastAsia="de-DE"/>
    </w:rPr>
  </w:style>
  <w:style w:type="paragraph" w:styleId="FootnoteText">
    <w:name w:val="footnote text"/>
    <w:aliases w:val="Car"/>
    <w:basedOn w:val="Normal"/>
    <w:link w:val="FootnoteTextChar"/>
    <w:rsid w:val="001725A5"/>
    <w:pPr>
      <w:spacing w:line="200" w:lineRule="exact"/>
    </w:pPr>
    <w:rPr>
      <w:sz w:val="16"/>
      <w:szCs w:val="20"/>
    </w:rPr>
  </w:style>
  <w:style w:type="character" w:styleId="FootnoteReference">
    <w:name w:val="footnote reference"/>
    <w:aliases w:val="BVI fnr,Footnote Reference Superscript,SUPERS,Footnote symbol,(Footnote Reference),Footnote reference number,note TESI,EN Footnote Reference,Voetnootverwijzing,Times 10 Point,Exposant 3 Point,Appel note de bas de"/>
    <w:rsid w:val="00C274F3"/>
    <w:rPr>
      <w:vertAlign w:val="superscript"/>
    </w:rPr>
  </w:style>
  <w:style w:type="paragraph" w:styleId="TOC2">
    <w:name w:val="toc 2"/>
    <w:basedOn w:val="Normal"/>
    <w:next w:val="Normal"/>
    <w:autoRedefine/>
    <w:uiPriority w:val="39"/>
    <w:rsid w:val="002A46E8"/>
    <w:pPr>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val="0"/>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styleId="BalloonText">
    <w:name w:val="Balloon Text"/>
    <w:basedOn w:val="Normal"/>
    <w:link w:val="BalloonTextChar"/>
    <w:uiPriority w:val="99"/>
    <w:rsid w:val="0059665F"/>
    <w:rPr>
      <w:rFonts w:ascii="Tahoma" w:hAnsi="Tahoma" w:cs="Tahoma"/>
      <w:sz w:val="16"/>
      <w:szCs w:val="16"/>
    </w:rPr>
  </w:style>
  <w:style w:type="character" w:customStyle="1" w:styleId="BalloonTextChar">
    <w:name w:val="Balloon Text Char"/>
    <w:basedOn w:val="DefaultParagraphFont"/>
    <w:link w:val="BalloonText"/>
    <w:uiPriority w:val="99"/>
    <w:rsid w:val="0059665F"/>
    <w:rPr>
      <w:rFonts w:ascii="Tahoma" w:hAnsi="Tahoma" w:cs="Tahoma"/>
      <w:sz w:val="16"/>
      <w:szCs w:val="16"/>
      <w:lang w:eastAsia="de-DE"/>
    </w:rPr>
  </w:style>
  <w:style w:type="paragraph" w:customStyle="1" w:styleId="MyNormal">
    <w:name w:val="MyNormal"/>
    <w:basedOn w:val="04aNumbering"/>
    <w:link w:val="MyNormalChar"/>
    <w:qFormat/>
    <w:rsid w:val="001A12FC"/>
    <w:pPr>
      <w:tabs>
        <w:tab w:val="clear" w:pos="4679"/>
      </w:tabs>
      <w:ind w:left="567" w:hanging="567"/>
    </w:pPr>
  </w:style>
  <w:style w:type="paragraph" w:customStyle="1" w:styleId="Level1">
    <w:name w:val="Level 1"/>
    <w:basedOn w:val="Normal"/>
    <w:rsid w:val="00A84770"/>
    <w:pPr>
      <w:numPr>
        <w:numId w:val="6"/>
      </w:numPr>
    </w:pPr>
  </w:style>
  <w:style w:type="character" w:customStyle="1" w:styleId="04BodyTextChar">
    <w:name w:val="04_Body Text Char"/>
    <w:basedOn w:val="DefaultParagraphFont"/>
    <w:link w:val="04BodyText"/>
    <w:rsid w:val="00E00C3F"/>
    <w:rPr>
      <w:rFonts w:ascii="Georgia" w:hAnsi="Georgia"/>
      <w:szCs w:val="24"/>
      <w:lang w:eastAsia="de-DE"/>
    </w:rPr>
  </w:style>
  <w:style w:type="character" w:customStyle="1" w:styleId="04aNumberingChar">
    <w:name w:val="04a_Numbering Char"/>
    <w:basedOn w:val="04BodyTextChar"/>
    <w:link w:val="04aNumbering"/>
    <w:uiPriority w:val="99"/>
    <w:rsid w:val="00E00C3F"/>
  </w:style>
  <w:style w:type="character" w:customStyle="1" w:styleId="MyNormalChar">
    <w:name w:val="MyNormal Char"/>
    <w:basedOn w:val="04aNumberingChar"/>
    <w:link w:val="MyNormal"/>
    <w:rsid w:val="001A12FC"/>
  </w:style>
  <w:style w:type="paragraph" w:customStyle="1" w:styleId="Level2">
    <w:name w:val="Level 2"/>
    <w:basedOn w:val="Normal"/>
    <w:rsid w:val="00A84770"/>
    <w:pPr>
      <w:numPr>
        <w:ilvl w:val="1"/>
        <w:numId w:val="6"/>
      </w:numPr>
    </w:pPr>
  </w:style>
  <w:style w:type="paragraph" w:customStyle="1" w:styleId="Level3">
    <w:name w:val="Level 3"/>
    <w:basedOn w:val="Normal"/>
    <w:rsid w:val="00A84770"/>
    <w:pPr>
      <w:numPr>
        <w:ilvl w:val="2"/>
        <w:numId w:val="6"/>
      </w:numPr>
    </w:pPr>
  </w:style>
  <w:style w:type="paragraph" w:customStyle="1" w:styleId="Level4">
    <w:name w:val="Level 4"/>
    <w:basedOn w:val="Normal"/>
    <w:rsid w:val="00A84770"/>
    <w:pPr>
      <w:numPr>
        <w:ilvl w:val="3"/>
        <w:numId w:val="6"/>
      </w:numPr>
    </w:pPr>
  </w:style>
  <w:style w:type="paragraph" w:customStyle="1" w:styleId="Level5">
    <w:name w:val="Level 5"/>
    <w:basedOn w:val="Normal"/>
    <w:rsid w:val="00A84770"/>
    <w:pPr>
      <w:numPr>
        <w:ilvl w:val="4"/>
        <w:numId w:val="6"/>
      </w:numPr>
    </w:pPr>
  </w:style>
  <w:style w:type="paragraph" w:customStyle="1" w:styleId="Level6">
    <w:name w:val="Level 6"/>
    <w:basedOn w:val="Normal"/>
    <w:rsid w:val="00A84770"/>
    <w:pPr>
      <w:numPr>
        <w:ilvl w:val="5"/>
        <w:numId w:val="6"/>
      </w:numPr>
    </w:pPr>
  </w:style>
  <w:style w:type="paragraph" w:customStyle="1" w:styleId="MyBullet0">
    <w:name w:val="My Bullet"/>
    <w:basedOn w:val="05aTitle"/>
    <w:link w:val="MyBulletChar"/>
    <w:qFormat/>
    <w:rsid w:val="00DF3BEB"/>
    <w:pPr>
      <w:numPr>
        <w:numId w:val="7"/>
      </w:numPr>
      <w:spacing w:line="276" w:lineRule="auto"/>
      <w:jc w:val="both"/>
    </w:pPr>
    <w:rPr>
      <w:b w:val="0"/>
      <w:sz w:val="20"/>
      <w:szCs w:val="20"/>
    </w:rPr>
  </w:style>
  <w:style w:type="character" w:customStyle="1" w:styleId="MyBulletChar">
    <w:name w:val="My Bullet Char"/>
    <w:link w:val="MyBullet0"/>
    <w:rsid w:val="00DF3BEB"/>
    <w:rPr>
      <w:rFonts w:ascii="Georgia" w:hAnsi="Georgia"/>
      <w:color w:val="000000"/>
      <w:lang w:eastAsia="de-DE"/>
    </w:rPr>
  </w:style>
  <w:style w:type="character" w:customStyle="1" w:styleId="FootnoteTextChar">
    <w:name w:val="Footnote Text Char"/>
    <w:aliases w:val="Car Char"/>
    <w:link w:val="FootnoteText"/>
    <w:uiPriority w:val="99"/>
    <w:rsid w:val="00084648"/>
    <w:rPr>
      <w:rFonts w:ascii="Georgia" w:hAnsi="Georgia"/>
      <w:sz w:val="16"/>
      <w:lang w:eastAsia="de-DE"/>
    </w:rPr>
  </w:style>
  <w:style w:type="paragraph" w:styleId="Caption">
    <w:name w:val="caption"/>
    <w:basedOn w:val="Normal"/>
    <w:next w:val="Normal"/>
    <w:link w:val="CaptionChar"/>
    <w:unhideWhenUsed/>
    <w:qFormat/>
    <w:rsid w:val="009E7A88"/>
    <w:pPr>
      <w:spacing w:after="200"/>
      <w:jc w:val="center"/>
    </w:pPr>
    <w:rPr>
      <w:b/>
      <w:bCs/>
      <w:sz w:val="18"/>
      <w:szCs w:val="18"/>
    </w:rPr>
  </w:style>
  <w:style w:type="paragraph" w:customStyle="1" w:styleId="CM1">
    <w:name w:val="CM1"/>
    <w:basedOn w:val="Normal"/>
    <w:next w:val="Normal"/>
    <w:uiPriority w:val="99"/>
    <w:rsid w:val="008B637C"/>
    <w:pPr>
      <w:autoSpaceDE w:val="0"/>
      <w:autoSpaceDN w:val="0"/>
      <w:adjustRightInd w:val="0"/>
    </w:pPr>
    <w:rPr>
      <w:rFonts w:ascii="EUAlbertina" w:hAnsi="EUAlbertina"/>
      <w:sz w:val="24"/>
      <w:lang w:eastAsia="en-GB"/>
    </w:rPr>
  </w:style>
  <w:style w:type="paragraph" w:customStyle="1" w:styleId="CM3">
    <w:name w:val="CM3"/>
    <w:basedOn w:val="Normal"/>
    <w:next w:val="Normal"/>
    <w:uiPriority w:val="99"/>
    <w:rsid w:val="008B637C"/>
    <w:pPr>
      <w:autoSpaceDE w:val="0"/>
      <w:autoSpaceDN w:val="0"/>
      <w:adjustRightInd w:val="0"/>
    </w:pPr>
    <w:rPr>
      <w:rFonts w:ascii="EUAlbertina" w:hAnsi="EUAlbertina"/>
      <w:sz w:val="24"/>
      <w:lang w:eastAsia="en-GB"/>
    </w:rPr>
  </w:style>
  <w:style w:type="character" w:styleId="CommentReference">
    <w:name w:val="annotation reference"/>
    <w:basedOn w:val="DefaultParagraphFont"/>
    <w:rsid w:val="00C61A11"/>
    <w:rPr>
      <w:sz w:val="16"/>
      <w:szCs w:val="16"/>
    </w:rPr>
  </w:style>
  <w:style w:type="paragraph" w:styleId="CommentText">
    <w:name w:val="annotation text"/>
    <w:basedOn w:val="Normal"/>
    <w:link w:val="CommentTextChar"/>
    <w:rsid w:val="00C61A11"/>
    <w:rPr>
      <w:szCs w:val="20"/>
    </w:rPr>
  </w:style>
  <w:style w:type="character" w:customStyle="1" w:styleId="CommentTextChar">
    <w:name w:val="Comment Text Char"/>
    <w:basedOn w:val="DefaultParagraphFont"/>
    <w:link w:val="CommentText"/>
    <w:rsid w:val="00C61A11"/>
    <w:rPr>
      <w:rFonts w:ascii="Georgia" w:hAnsi="Georgia"/>
      <w:lang w:eastAsia="de-DE"/>
    </w:rPr>
  </w:style>
  <w:style w:type="paragraph" w:styleId="CommentSubject">
    <w:name w:val="annotation subject"/>
    <w:basedOn w:val="CommentText"/>
    <w:next w:val="CommentText"/>
    <w:link w:val="CommentSubjectChar"/>
    <w:uiPriority w:val="99"/>
    <w:rsid w:val="00C61A11"/>
    <w:rPr>
      <w:b/>
      <w:bCs/>
    </w:rPr>
  </w:style>
  <w:style w:type="character" w:customStyle="1" w:styleId="CommentSubjectChar">
    <w:name w:val="Comment Subject Char"/>
    <w:basedOn w:val="CommentTextChar"/>
    <w:link w:val="CommentSubject"/>
    <w:uiPriority w:val="99"/>
    <w:rsid w:val="00C61A11"/>
    <w:rPr>
      <w:rFonts w:ascii="Georgia" w:hAnsi="Georgia"/>
      <w:b/>
      <w:bCs/>
      <w:lang w:eastAsia="de-DE"/>
    </w:rPr>
  </w:style>
  <w:style w:type="paragraph" w:customStyle="1" w:styleId="Style1">
    <w:name w:val="Style1"/>
    <w:basedOn w:val="MyBullet0"/>
    <w:link w:val="Style1Char"/>
    <w:qFormat/>
    <w:rsid w:val="0018532A"/>
    <w:pPr>
      <w:numPr>
        <w:numId w:val="0"/>
      </w:numPr>
    </w:pPr>
    <w:rPr>
      <w:b/>
      <w:i/>
      <w:color w:val="00B050"/>
    </w:rPr>
  </w:style>
  <w:style w:type="character" w:customStyle="1" w:styleId="Style1Char">
    <w:name w:val="Style1 Char"/>
    <w:basedOn w:val="MyBulletChar"/>
    <w:link w:val="Style1"/>
    <w:rsid w:val="0018532A"/>
    <w:rPr>
      <w:rFonts w:ascii="Georgia" w:hAnsi="Georgia"/>
      <w:b/>
      <w:i/>
      <w:color w:val="00B050"/>
      <w:lang w:eastAsia="de-DE"/>
    </w:rPr>
  </w:style>
  <w:style w:type="paragraph" w:customStyle="1" w:styleId="0MyBullet">
    <w:name w:val="0. My Bullet"/>
    <w:basedOn w:val="04bList"/>
    <w:link w:val="0MyBulletChar"/>
    <w:qFormat/>
    <w:rsid w:val="00F1632C"/>
    <w:pPr>
      <w:numPr>
        <w:numId w:val="5"/>
      </w:numPr>
      <w:spacing w:after="0" w:line="360" w:lineRule="auto"/>
    </w:pPr>
  </w:style>
  <w:style w:type="character" w:customStyle="1" w:styleId="0MyBulletChar">
    <w:name w:val="0. My Bullet Char"/>
    <w:link w:val="0MyBullet"/>
    <w:rsid w:val="00F1632C"/>
    <w:rPr>
      <w:rFonts w:ascii="Georgia" w:hAnsi="Georgia"/>
      <w:szCs w:val="24"/>
      <w:lang w:eastAsia="de-DE"/>
    </w:rPr>
  </w:style>
  <w:style w:type="paragraph" w:customStyle="1" w:styleId="Bullet2">
    <w:name w:val="Bullet 2"/>
    <w:basedOn w:val="0MyBullet"/>
    <w:qFormat/>
    <w:rsid w:val="00DF3BEB"/>
    <w:pPr>
      <w:numPr>
        <w:ilvl w:val="1"/>
      </w:numPr>
      <w:tabs>
        <w:tab w:val="num" w:pos="720"/>
      </w:tabs>
      <w:ind w:left="720"/>
    </w:pPr>
  </w:style>
  <w:style w:type="paragraph" w:styleId="ListParagraph">
    <w:name w:val="List Paragraph"/>
    <w:aliases w:val="Paragraphe EI,Paragraphe de liste1,EC,Paragraphe de liste"/>
    <w:basedOn w:val="Normal"/>
    <w:link w:val="ListParagraphChar"/>
    <w:uiPriority w:val="34"/>
    <w:qFormat/>
    <w:rsid w:val="00DF3BEB"/>
    <w:pPr>
      <w:ind w:left="720"/>
      <w:contextualSpacing/>
    </w:pPr>
  </w:style>
  <w:style w:type="paragraph" w:customStyle="1" w:styleId="1MyNormal">
    <w:name w:val="1. My Normal"/>
    <w:basedOn w:val="Normal"/>
    <w:link w:val="1MyNormalChar"/>
    <w:qFormat/>
    <w:rsid w:val="00522AA8"/>
    <w:pPr>
      <w:numPr>
        <w:numId w:val="8"/>
      </w:numPr>
      <w:spacing w:before="120" w:after="240" w:line="276" w:lineRule="auto"/>
      <w:ind w:left="0" w:hanging="567"/>
      <w:jc w:val="both"/>
    </w:pPr>
  </w:style>
  <w:style w:type="character" w:customStyle="1" w:styleId="1MyNormalChar">
    <w:name w:val="1. My Normal Char"/>
    <w:basedOn w:val="DefaultParagraphFont"/>
    <w:link w:val="1MyNormal"/>
    <w:rsid w:val="00522AA8"/>
    <w:rPr>
      <w:rFonts w:ascii="Georgia" w:hAnsi="Georgia"/>
      <w:szCs w:val="24"/>
      <w:lang w:eastAsia="de-DE"/>
    </w:rPr>
  </w:style>
  <w:style w:type="paragraph" w:customStyle="1" w:styleId="footnote">
    <w:name w:val="footnote"/>
    <w:basedOn w:val="CM1"/>
    <w:link w:val="footnoteChar"/>
    <w:qFormat/>
    <w:rsid w:val="00483AAB"/>
    <w:pPr>
      <w:spacing w:before="200" w:after="200"/>
    </w:pPr>
    <w:rPr>
      <w:rFonts w:ascii="Georgia" w:hAnsi="Georgia"/>
      <w:sz w:val="18"/>
      <w:szCs w:val="20"/>
    </w:rPr>
  </w:style>
  <w:style w:type="character" w:customStyle="1" w:styleId="footnoteChar">
    <w:name w:val="footnote Char"/>
    <w:link w:val="footnote"/>
    <w:rsid w:val="00483AAB"/>
    <w:rPr>
      <w:rFonts w:ascii="Georgia" w:hAnsi="Georgia"/>
      <w:sz w:val="18"/>
    </w:rPr>
  </w:style>
  <w:style w:type="paragraph" w:customStyle="1" w:styleId="Default">
    <w:name w:val="Default"/>
    <w:rsid w:val="00CC4F8F"/>
    <w:pPr>
      <w:autoSpaceDE w:val="0"/>
      <w:autoSpaceDN w:val="0"/>
      <w:adjustRightInd w:val="0"/>
    </w:pPr>
    <w:rPr>
      <w:color w:val="000000"/>
      <w:sz w:val="24"/>
      <w:szCs w:val="24"/>
    </w:rPr>
  </w:style>
  <w:style w:type="paragraph" w:customStyle="1" w:styleId="Underlines">
    <w:name w:val="Underlines"/>
    <w:basedOn w:val="MyNormal"/>
    <w:link w:val="UnderlinesChar"/>
    <w:qFormat/>
    <w:rsid w:val="000A3313"/>
    <w:pPr>
      <w:numPr>
        <w:numId w:val="0"/>
      </w:numPr>
    </w:pPr>
    <w:rPr>
      <w:szCs w:val="20"/>
      <w:u w:val="single"/>
    </w:rPr>
  </w:style>
  <w:style w:type="character" w:customStyle="1" w:styleId="UnderlinesChar">
    <w:name w:val="Underlines Char"/>
    <w:basedOn w:val="MyNormalChar"/>
    <w:link w:val="Underlines"/>
    <w:rsid w:val="000A3313"/>
    <w:rPr>
      <w:rFonts w:ascii="Georgia" w:hAnsi="Georgia"/>
      <w:szCs w:val="24"/>
      <w:u w:val="single"/>
      <w:lang w:eastAsia="de-DE"/>
    </w:rPr>
  </w:style>
  <w:style w:type="paragraph" w:customStyle="1" w:styleId="mybullet">
    <w:name w:val="my_bullet"/>
    <w:basedOn w:val="ListParagraph"/>
    <w:qFormat/>
    <w:rsid w:val="00615AA7"/>
    <w:pPr>
      <w:numPr>
        <w:numId w:val="9"/>
      </w:numPr>
      <w:spacing w:before="120" w:after="120" w:line="276" w:lineRule="auto"/>
      <w:jc w:val="both"/>
    </w:pPr>
  </w:style>
  <w:style w:type="character" w:styleId="FollowedHyperlink">
    <w:name w:val="FollowedHyperlink"/>
    <w:basedOn w:val="DefaultParagraphFont"/>
    <w:rsid w:val="00615AA7"/>
    <w:rPr>
      <w:color w:val="800080" w:themeColor="followedHyperlink"/>
      <w:u w:val="single"/>
    </w:rPr>
  </w:style>
  <w:style w:type="paragraph" w:customStyle="1" w:styleId="05Headline1">
    <w:name w:val="05_Headline 1"/>
    <w:basedOn w:val="04BodyText"/>
    <w:rsid w:val="00DB72CA"/>
    <w:pPr>
      <w:spacing w:line="300" w:lineRule="exact"/>
    </w:pPr>
    <w:rPr>
      <w:b/>
      <w:sz w:val="24"/>
    </w:rPr>
  </w:style>
  <w:style w:type="character" w:customStyle="1" w:styleId="st">
    <w:name w:val="st"/>
    <w:basedOn w:val="DefaultParagraphFont"/>
    <w:rsid w:val="00DB72CA"/>
  </w:style>
  <w:style w:type="character" w:customStyle="1" w:styleId="Heading3Char">
    <w:name w:val="Heading 3 Char"/>
    <w:basedOn w:val="DefaultParagraphFont"/>
    <w:link w:val="Heading3"/>
    <w:uiPriority w:val="9"/>
    <w:rsid w:val="00C43890"/>
    <w:rPr>
      <w:rFonts w:ascii="Georgia" w:hAnsi="Georgia"/>
      <w:b/>
      <w:szCs w:val="24"/>
      <w:lang w:eastAsia="de-DE"/>
    </w:rPr>
  </w:style>
  <w:style w:type="paragraph" w:customStyle="1" w:styleId="Normalsanspara">
    <w:name w:val="Normal sans para"/>
    <w:basedOn w:val="1MyNormal"/>
    <w:link w:val="NormalsansparaChar"/>
    <w:qFormat/>
    <w:rsid w:val="00ED0E32"/>
    <w:pPr>
      <w:numPr>
        <w:numId w:val="0"/>
      </w:numPr>
    </w:pPr>
    <w:rPr>
      <w:szCs w:val="20"/>
      <w:u w:val="single"/>
    </w:rPr>
  </w:style>
  <w:style w:type="character" w:customStyle="1" w:styleId="NormalsansparaChar">
    <w:name w:val="Normal sans para Char"/>
    <w:link w:val="Normalsanspara"/>
    <w:rsid w:val="00ED0E32"/>
    <w:rPr>
      <w:rFonts w:ascii="Georgia" w:hAnsi="Georgia"/>
      <w:u w:val="single"/>
      <w:lang w:eastAsia="de-DE"/>
    </w:rPr>
  </w:style>
  <w:style w:type="paragraph" w:customStyle="1" w:styleId="Style2">
    <w:name w:val="Style2"/>
    <w:basedOn w:val="04BodyText"/>
    <w:link w:val="Style2Char"/>
    <w:qFormat/>
    <w:rsid w:val="00BE4C34"/>
    <w:pPr>
      <w:numPr>
        <w:numId w:val="13"/>
      </w:numPr>
    </w:pPr>
  </w:style>
  <w:style w:type="paragraph" w:customStyle="1" w:styleId="Style3">
    <w:name w:val="Style3"/>
    <w:basedOn w:val="04BodyText"/>
    <w:link w:val="Style3Char"/>
    <w:qFormat/>
    <w:rsid w:val="00FD70AA"/>
    <w:pPr>
      <w:numPr>
        <w:numId w:val="10"/>
      </w:numPr>
      <w:ind w:left="426" w:hanging="426"/>
    </w:pPr>
  </w:style>
  <w:style w:type="character" w:customStyle="1" w:styleId="Style2Char">
    <w:name w:val="Style2 Char"/>
    <w:basedOn w:val="04BodyTextChar"/>
    <w:link w:val="Style2"/>
    <w:rsid w:val="00BE4C34"/>
  </w:style>
  <w:style w:type="character" w:customStyle="1" w:styleId="Style3Char">
    <w:name w:val="Style3 Char"/>
    <w:basedOn w:val="04BodyTextChar"/>
    <w:link w:val="Style3"/>
    <w:rsid w:val="00FD70AA"/>
  </w:style>
  <w:style w:type="character" w:customStyle="1" w:styleId="ListParagraphChar">
    <w:name w:val="List Paragraph Char"/>
    <w:aliases w:val="Paragraphe EI Char,Paragraphe de liste1 Char,EC Char,Paragraphe de liste Char"/>
    <w:link w:val="ListParagraph"/>
    <w:uiPriority w:val="34"/>
    <w:rsid w:val="004D19C2"/>
    <w:rPr>
      <w:rFonts w:ascii="Georgia" w:hAnsi="Georgia"/>
      <w:sz w:val="22"/>
      <w:szCs w:val="24"/>
      <w:lang w:eastAsia="de-DE"/>
    </w:rPr>
  </w:style>
  <w:style w:type="character" w:styleId="Strong">
    <w:name w:val="Strong"/>
    <w:basedOn w:val="DefaultParagraphFont"/>
    <w:uiPriority w:val="22"/>
    <w:qFormat/>
    <w:rsid w:val="00A1073B"/>
    <w:rPr>
      <w:b/>
      <w:bCs/>
    </w:rPr>
  </w:style>
  <w:style w:type="paragraph" w:customStyle="1" w:styleId="04aNumeration">
    <w:name w:val="04a_Numeration"/>
    <w:basedOn w:val="04BodyText"/>
    <w:link w:val="04aNumerationChar"/>
    <w:rsid w:val="00036907"/>
    <w:pPr>
      <w:tabs>
        <w:tab w:val="num" w:pos="284"/>
      </w:tabs>
      <w:ind w:left="284" w:hanging="284"/>
    </w:pPr>
  </w:style>
  <w:style w:type="character" w:customStyle="1" w:styleId="04aNumerationChar">
    <w:name w:val="04a_Numeration Char"/>
    <w:basedOn w:val="04BodyTextChar"/>
    <w:link w:val="04aNumeration"/>
    <w:rsid w:val="00036907"/>
    <w:rPr>
      <w:rFonts w:ascii="Georgia" w:hAnsi="Georgia"/>
      <w:szCs w:val="24"/>
      <w:lang w:eastAsia="de-DE"/>
    </w:rPr>
  </w:style>
  <w:style w:type="paragraph" w:styleId="EndnoteText">
    <w:name w:val="endnote text"/>
    <w:basedOn w:val="Normal"/>
    <w:link w:val="EndnoteTextChar"/>
    <w:rsid w:val="003A5A08"/>
    <w:rPr>
      <w:szCs w:val="20"/>
    </w:rPr>
  </w:style>
  <w:style w:type="character" w:customStyle="1" w:styleId="EndnoteTextChar">
    <w:name w:val="Endnote Text Char"/>
    <w:basedOn w:val="DefaultParagraphFont"/>
    <w:link w:val="EndnoteText"/>
    <w:rsid w:val="003A5A08"/>
    <w:rPr>
      <w:rFonts w:ascii="Georgia" w:hAnsi="Georgia"/>
      <w:lang w:eastAsia="de-DE"/>
    </w:rPr>
  </w:style>
  <w:style w:type="character" w:styleId="EndnoteReference">
    <w:name w:val="endnote reference"/>
    <w:basedOn w:val="DefaultParagraphFont"/>
    <w:rsid w:val="003A5A08"/>
    <w:rPr>
      <w:vertAlign w:val="superscript"/>
    </w:rPr>
  </w:style>
  <w:style w:type="paragraph" w:customStyle="1" w:styleId="MYNORMAL0">
    <w:name w:val="MYNORMAL"/>
    <w:basedOn w:val="04aNumbering"/>
    <w:link w:val="MYNORMALChar0"/>
    <w:qFormat/>
    <w:rsid w:val="00230601"/>
    <w:pPr>
      <w:tabs>
        <w:tab w:val="clear" w:pos="4679"/>
      </w:tabs>
      <w:ind w:left="567" w:hanging="567"/>
    </w:pPr>
  </w:style>
  <w:style w:type="character" w:customStyle="1" w:styleId="MYNORMALChar0">
    <w:name w:val="MYNORMAL Char"/>
    <w:basedOn w:val="04aNumberingChar"/>
    <w:link w:val="MYNORMAL0"/>
    <w:rsid w:val="00230601"/>
  </w:style>
  <w:style w:type="paragraph" w:customStyle="1" w:styleId="myNormal1">
    <w:name w:val="myNormal"/>
    <w:basedOn w:val="04aNumbering"/>
    <w:link w:val="myNormalChar1"/>
    <w:qFormat/>
    <w:rsid w:val="006537A8"/>
  </w:style>
  <w:style w:type="character" w:customStyle="1" w:styleId="myNormalChar1">
    <w:name w:val="myNormal Char"/>
    <w:basedOn w:val="04aNumberingChar"/>
    <w:link w:val="myNormal1"/>
    <w:rsid w:val="006537A8"/>
  </w:style>
  <w:style w:type="character" w:customStyle="1" w:styleId="apple-converted-space">
    <w:name w:val="apple-converted-space"/>
    <w:basedOn w:val="DefaultParagraphFont"/>
    <w:rsid w:val="00AB592E"/>
  </w:style>
  <w:style w:type="paragraph" w:styleId="TOC3">
    <w:name w:val="toc 3"/>
    <w:basedOn w:val="Normal"/>
    <w:next w:val="Normal"/>
    <w:autoRedefine/>
    <w:uiPriority w:val="39"/>
    <w:rsid w:val="0073272F"/>
    <w:pPr>
      <w:spacing w:after="100"/>
      <w:ind w:left="440"/>
    </w:pPr>
  </w:style>
  <w:style w:type="character" w:styleId="PlaceholderText">
    <w:name w:val="Placeholder Text"/>
    <w:basedOn w:val="DefaultParagraphFont"/>
    <w:uiPriority w:val="99"/>
    <w:semiHidden/>
    <w:rsid w:val="00E06635"/>
    <w:rPr>
      <w:color w:val="808080"/>
    </w:rPr>
  </w:style>
  <w:style w:type="paragraph" w:customStyle="1" w:styleId="MyAStyle">
    <w:name w:val="MyAStyle"/>
    <w:basedOn w:val="Normal"/>
    <w:link w:val="MyAStyleChar"/>
    <w:qFormat/>
    <w:rsid w:val="00A076B0"/>
    <w:pPr>
      <w:spacing w:before="120" w:after="120"/>
      <w:ind w:left="1134" w:hanging="425"/>
      <w:jc w:val="both"/>
    </w:pPr>
    <w:rPr>
      <w:rFonts w:ascii="Times New Roman" w:hAnsi="Times New Roman"/>
      <w:noProof/>
      <w:color w:val="000000"/>
      <w:sz w:val="24"/>
      <w:lang w:eastAsia="en-US"/>
    </w:rPr>
  </w:style>
  <w:style w:type="paragraph" w:customStyle="1" w:styleId="MyStyleII">
    <w:name w:val="MyStyleII"/>
    <w:basedOn w:val="MyAStyle"/>
    <w:link w:val="MyStyleIIChar"/>
    <w:qFormat/>
    <w:rsid w:val="00A076B0"/>
    <w:pPr>
      <w:ind w:left="1985" w:hanging="284"/>
    </w:pPr>
  </w:style>
  <w:style w:type="paragraph" w:styleId="Revision">
    <w:name w:val="Revision"/>
    <w:hidden/>
    <w:uiPriority w:val="99"/>
    <w:semiHidden/>
    <w:rsid w:val="00D821E8"/>
    <w:rPr>
      <w:rFonts w:ascii="Georgia" w:hAnsi="Georgia"/>
      <w:sz w:val="22"/>
      <w:szCs w:val="24"/>
      <w:lang w:eastAsia="de-DE"/>
    </w:rPr>
  </w:style>
  <w:style w:type="character" w:customStyle="1" w:styleId="MyAStyleChar">
    <w:name w:val="MyAStyle Char"/>
    <w:link w:val="MyAStyle"/>
    <w:rsid w:val="004D1D07"/>
    <w:rPr>
      <w:noProof/>
      <w:color w:val="000000"/>
      <w:sz w:val="24"/>
      <w:szCs w:val="24"/>
      <w:lang w:eastAsia="en-US"/>
    </w:rPr>
  </w:style>
  <w:style w:type="paragraph" w:styleId="DocumentMap">
    <w:name w:val="Document Map"/>
    <w:basedOn w:val="Normal"/>
    <w:link w:val="DocumentMapChar"/>
    <w:uiPriority w:val="99"/>
    <w:rsid w:val="00D77242"/>
    <w:rPr>
      <w:rFonts w:ascii="Lucida Grande" w:hAnsi="Lucida Grande" w:cs="Lucida Grande"/>
      <w:sz w:val="24"/>
    </w:rPr>
  </w:style>
  <w:style w:type="character" w:customStyle="1" w:styleId="DocumentMapChar">
    <w:name w:val="Document Map Char"/>
    <w:basedOn w:val="DefaultParagraphFont"/>
    <w:link w:val="DocumentMap"/>
    <w:uiPriority w:val="99"/>
    <w:rsid w:val="00D77242"/>
    <w:rPr>
      <w:rFonts w:ascii="Lucida Grande" w:hAnsi="Lucida Grande" w:cs="Lucida Grande"/>
      <w:sz w:val="24"/>
      <w:szCs w:val="24"/>
      <w:lang w:eastAsia="de-DE"/>
    </w:rPr>
  </w:style>
  <w:style w:type="paragraph" w:customStyle="1" w:styleId="ANNEX">
    <w:name w:val="ANNEX"/>
    <w:basedOn w:val="Caption"/>
    <w:link w:val="ANNEXChar"/>
    <w:qFormat/>
    <w:rsid w:val="00E94E78"/>
    <w:pPr>
      <w:jc w:val="left"/>
    </w:pPr>
    <w:rPr>
      <w:sz w:val="28"/>
    </w:rPr>
  </w:style>
  <w:style w:type="character" w:customStyle="1" w:styleId="CaptionChar">
    <w:name w:val="Caption Char"/>
    <w:basedOn w:val="DefaultParagraphFont"/>
    <w:link w:val="Caption"/>
    <w:rsid w:val="00E94E78"/>
    <w:rPr>
      <w:rFonts w:ascii="Georgia" w:hAnsi="Georgia"/>
      <w:b/>
      <w:bCs/>
      <w:sz w:val="18"/>
      <w:szCs w:val="18"/>
      <w:lang w:eastAsia="de-DE"/>
    </w:rPr>
  </w:style>
  <w:style w:type="character" w:customStyle="1" w:styleId="ANNEXChar">
    <w:name w:val="ANNEX Char"/>
    <w:basedOn w:val="CaptionChar"/>
    <w:link w:val="ANNEX"/>
    <w:rsid w:val="00E94E78"/>
    <w:rPr>
      <w:rFonts w:ascii="Georgia" w:hAnsi="Georgia"/>
      <w:b/>
      <w:bCs/>
      <w:sz w:val="28"/>
      <w:szCs w:val="18"/>
      <w:lang w:eastAsia="de-DE"/>
    </w:rPr>
  </w:style>
  <w:style w:type="paragraph" w:customStyle="1" w:styleId="MyBullet1">
    <w:name w:val="MyBullet"/>
    <w:basedOn w:val="ListParagraph"/>
    <w:link w:val="MyBulletChar0"/>
    <w:qFormat/>
    <w:rsid w:val="000D6BCE"/>
    <w:pPr>
      <w:numPr>
        <w:numId w:val="11"/>
      </w:numPr>
      <w:spacing w:before="240" w:line="276" w:lineRule="auto"/>
      <w:ind w:left="1134" w:hanging="425"/>
      <w:jc w:val="both"/>
    </w:pPr>
  </w:style>
  <w:style w:type="character" w:customStyle="1" w:styleId="MyBulletChar0">
    <w:name w:val="MyBullet Char"/>
    <w:basedOn w:val="ListParagraphChar"/>
    <w:link w:val="MyBullet1"/>
    <w:rsid w:val="000D6BCE"/>
  </w:style>
  <w:style w:type="paragraph" w:customStyle="1" w:styleId="myBullet2">
    <w:name w:val="myBullet"/>
    <w:basedOn w:val="ListParagraph"/>
    <w:link w:val="myBulletChar1"/>
    <w:qFormat/>
    <w:rsid w:val="000D6BCE"/>
    <w:pPr>
      <w:numPr>
        <w:numId w:val="12"/>
      </w:numPr>
      <w:spacing w:line="276" w:lineRule="auto"/>
    </w:pPr>
  </w:style>
  <w:style w:type="character" w:customStyle="1" w:styleId="myBulletChar1">
    <w:name w:val="myBullet Char"/>
    <w:basedOn w:val="ListParagraphChar"/>
    <w:link w:val="myBullet2"/>
    <w:rsid w:val="000D6BCE"/>
  </w:style>
  <w:style w:type="paragraph" w:customStyle="1" w:styleId="myMINItable">
    <w:name w:val="my MINI table"/>
    <w:basedOn w:val="MyNormal"/>
    <w:link w:val="myMINItableChar"/>
    <w:qFormat/>
    <w:rsid w:val="008241A9"/>
    <w:pPr>
      <w:numPr>
        <w:numId w:val="0"/>
      </w:numPr>
      <w:spacing w:before="120" w:after="120"/>
      <w:ind w:left="113"/>
    </w:pPr>
    <w:rPr>
      <w:sz w:val="18"/>
      <w:szCs w:val="18"/>
    </w:rPr>
  </w:style>
  <w:style w:type="character" w:customStyle="1" w:styleId="myMINItableChar">
    <w:name w:val="my MINI table Char"/>
    <w:link w:val="myMINItable"/>
    <w:rsid w:val="008241A9"/>
    <w:rPr>
      <w:rFonts w:ascii="Georgia" w:hAnsi="Georgia"/>
      <w:sz w:val="18"/>
      <w:szCs w:val="18"/>
      <w:lang w:eastAsia="de-DE"/>
    </w:rPr>
  </w:style>
  <w:style w:type="paragraph" w:customStyle="1" w:styleId="TOCHeading1">
    <w:name w:val="TOC Heading1"/>
    <w:basedOn w:val="Normal"/>
    <w:next w:val="Normal"/>
    <w:qFormat/>
    <w:rsid w:val="004E0BAC"/>
    <w:pPr>
      <w:spacing w:before="120" w:after="240"/>
      <w:jc w:val="center"/>
    </w:pPr>
    <w:rPr>
      <w:rFonts w:ascii="Times New Roman" w:hAnsi="Times New Roman"/>
      <w:b/>
      <w:sz w:val="28"/>
      <w:lang w:eastAsia="en-US"/>
    </w:rPr>
  </w:style>
  <w:style w:type="paragraph" w:customStyle="1" w:styleId="Datedadoption">
    <w:name w:val="Date d'adoption"/>
    <w:basedOn w:val="Normal"/>
    <w:next w:val="Titreobjet"/>
    <w:rsid w:val="004E0BAC"/>
    <w:pPr>
      <w:spacing w:before="360"/>
      <w:jc w:val="center"/>
    </w:pPr>
    <w:rPr>
      <w:rFonts w:ascii="Times New Roman" w:hAnsi="Times New Roman"/>
      <w:b/>
      <w:sz w:val="24"/>
      <w:lang w:eastAsia="en-US"/>
    </w:rPr>
  </w:style>
  <w:style w:type="paragraph" w:customStyle="1" w:styleId="Titreobjet">
    <w:name w:val="Titre objet"/>
    <w:basedOn w:val="Normal"/>
    <w:next w:val="Normal"/>
    <w:rsid w:val="004E0BAC"/>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4E0BAC"/>
    <w:pPr>
      <w:spacing w:before="360"/>
      <w:jc w:val="center"/>
    </w:pPr>
    <w:rPr>
      <w:rFonts w:ascii="Times New Roman" w:hAnsi="Times New Roman"/>
      <w:b/>
      <w:sz w:val="24"/>
      <w:lang w:eastAsia="en-US"/>
    </w:rPr>
  </w:style>
  <w:style w:type="paragraph" w:customStyle="1" w:styleId="Recital">
    <w:name w:val="Recital"/>
    <w:basedOn w:val="Style2"/>
    <w:link w:val="RecitalChar"/>
    <w:qFormat/>
    <w:rsid w:val="00435A3F"/>
  </w:style>
  <w:style w:type="paragraph" w:customStyle="1" w:styleId="Recital1">
    <w:name w:val="Recital 1"/>
    <w:basedOn w:val="Recital"/>
    <w:link w:val="Recital1Char"/>
    <w:qFormat/>
    <w:rsid w:val="00435A3F"/>
    <w:pPr>
      <w:numPr>
        <w:numId w:val="14"/>
      </w:numPr>
      <w:ind w:hanging="720"/>
    </w:pPr>
    <w:rPr>
      <w:rFonts w:ascii="Times New Roman" w:hAnsi="Times New Roman"/>
      <w:sz w:val="24"/>
    </w:rPr>
  </w:style>
  <w:style w:type="character" w:customStyle="1" w:styleId="RecitalChar">
    <w:name w:val="Recital Char"/>
    <w:basedOn w:val="Style2Char"/>
    <w:link w:val="Recital"/>
    <w:rsid w:val="00435A3F"/>
  </w:style>
  <w:style w:type="paragraph" w:customStyle="1" w:styleId="Formuledadoption">
    <w:name w:val="Formule d'adoption"/>
    <w:basedOn w:val="Normal"/>
    <w:next w:val="Normal"/>
    <w:rsid w:val="006808FD"/>
    <w:pPr>
      <w:keepNext/>
      <w:spacing w:before="120" w:after="120"/>
      <w:jc w:val="both"/>
    </w:pPr>
    <w:rPr>
      <w:rFonts w:ascii="Times New Roman" w:hAnsi="Times New Roman"/>
      <w:sz w:val="24"/>
      <w:lang w:eastAsia="en-US"/>
    </w:rPr>
  </w:style>
  <w:style w:type="character" w:customStyle="1" w:styleId="Recital1Char">
    <w:name w:val="Recital 1 Char"/>
    <w:basedOn w:val="RecitalChar"/>
    <w:link w:val="Recital1"/>
    <w:rsid w:val="00435A3F"/>
    <w:rPr>
      <w:sz w:val="24"/>
    </w:rPr>
  </w:style>
  <w:style w:type="paragraph" w:customStyle="1" w:styleId="DatedadoptionPagedecouverture">
    <w:name w:val="Date d'adoption (Page de couverture)"/>
    <w:basedOn w:val="Datedadoption"/>
    <w:next w:val="Normal"/>
    <w:rsid w:val="006808FD"/>
  </w:style>
  <w:style w:type="character" w:styleId="Emphasis">
    <w:name w:val="Emphasis"/>
    <w:basedOn w:val="DefaultParagraphFont"/>
    <w:qFormat/>
    <w:rsid w:val="006808FD"/>
    <w:rPr>
      <w:i/>
      <w:iCs/>
    </w:rPr>
  </w:style>
  <w:style w:type="character" w:customStyle="1" w:styleId="MyStyleIIChar">
    <w:name w:val="MyStyleII Char"/>
    <w:link w:val="MyStyleII"/>
    <w:rsid w:val="00126153"/>
    <w:rPr>
      <w:noProof/>
      <w:color w:val="000000"/>
      <w:sz w:val="24"/>
      <w:szCs w:val="24"/>
      <w:lang w:eastAsia="en-US"/>
    </w:rPr>
  </w:style>
  <w:style w:type="paragraph" w:customStyle="1" w:styleId="ManualNumPar3">
    <w:name w:val="Manual NumPar 3"/>
    <w:basedOn w:val="Normal"/>
    <w:next w:val="Normal"/>
    <w:rsid w:val="00B75E82"/>
    <w:pPr>
      <w:spacing w:before="120" w:after="120"/>
      <w:ind w:left="850" w:hanging="850"/>
      <w:jc w:val="both"/>
    </w:pPr>
    <w:rPr>
      <w:rFonts w:ascii="Times New Roman" w:hAnsi="Times New Roman"/>
      <w:sz w:val="24"/>
      <w:lang w:eastAsia="en-US"/>
    </w:rPr>
  </w:style>
  <w:style w:type="paragraph" w:customStyle="1" w:styleId="Institutionquisigne">
    <w:name w:val="Institution qui signe"/>
    <w:basedOn w:val="Normal"/>
    <w:next w:val="Personnequisigne"/>
    <w:rsid w:val="00715557"/>
    <w:pPr>
      <w:keepNext/>
      <w:tabs>
        <w:tab w:val="left" w:pos="4252"/>
      </w:tabs>
      <w:spacing w:before="720"/>
      <w:jc w:val="both"/>
    </w:pPr>
    <w:rPr>
      <w:rFonts w:ascii="Times New Roman" w:hAnsi="Times New Roman"/>
      <w:i/>
      <w:sz w:val="24"/>
      <w:lang w:eastAsia="en-US"/>
    </w:rPr>
  </w:style>
  <w:style w:type="paragraph" w:customStyle="1" w:styleId="Personnequisigne">
    <w:name w:val="Personne qui signe"/>
    <w:basedOn w:val="Normal"/>
    <w:next w:val="Institutionquisigne"/>
    <w:rsid w:val="00715557"/>
    <w:pPr>
      <w:tabs>
        <w:tab w:val="left" w:pos="4252"/>
      </w:tabs>
    </w:pPr>
    <w:rPr>
      <w:rFonts w:ascii="Times New Roman" w:hAnsi="Times New Roman"/>
      <w:i/>
      <w:sz w:val="24"/>
      <w:lang w:eastAsia="en-US"/>
    </w:rPr>
  </w:style>
  <w:style w:type="paragraph" w:customStyle="1" w:styleId="05aHeadline2">
    <w:name w:val="05a_Headline 2"/>
    <w:basedOn w:val="05Headline1"/>
    <w:next w:val="04BodyText"/>
    <w:rsid w:val="00EE5C4E"/>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EE5C4E"/>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EE5C4E"/>
    <w:pPr>
      <w:pBdr>
        <w:bottom w:val="single" w:sz="4" w:space="12" w:color="283583"/>
      </w:pBdr>
    </w:pPr>
    <w:rPr>
      <w:color w:val="2D4190"/>
    </w:rPr>
  </w:style>
  <w:style w:type="paragraph" w:customStyle="1" w:styleId="04cBodytextleft">
    <w:name w:val="04c_Body text left"/>
    <w:basedOn w:val="04BodyText"/>
    <w:rsid w:val="00EE5C4E"/>
    <w:pPr>
      <w:spacing w:after="0"/>
      <w:jc w:val="left"/>
    </w:pPr>
  </w:style>
  <w:style w:type="paragraph" w:customStyle="1" w:styleId="Style04RunningTextBold">
    <w:name w:val="Style 04_Running Text + Bold"/>
    <w:basedOn w:val="04BodyText"/>
    <w:rsid w:val="00EE5C4E"/>
    <w:pPr>
      <w:keepNext/>
    </w:pPr>
    <w:rPr>
      <w:b/>
      <w:bCs/>
    </w:rPr>
  </w:style>
  <w:style w:type="character" w:customStyle="1" w:styleId="Heading1Char">
    <w:name w:val="Heading 1 Char"/>
    <w:link w:val="Heading1"/>
    <w:uiPriority w:val="9"/>
    <w:rsid w:val="00EE5C4E"/>
    <w:rPr>
      <w:rFonts w:ascii="Georgia" w:hAnsi="Georgia"/>
      <w:b/>
      <w:szCs w:val="24"/>
      <w:lang w:eastAsia="de-DE"/>
    </w:rPr>
  </w:style>
  <w:style w:type="paragraph" w:styleId="TOCHeading">
    <w:name w:val="TOC Heading"/>
    <w:basedOn w:val="Heading1"/>
    <w:next w:val="Normal"/>
    <w:uiPriority w:val="39"/>
    <w:semiHidden/>
    <w:unhideWhenUsed/>
    <w:qFormat/>
    <w:rsid w:val="00EE5C4E"/>
    <w:pPr>
      <w:keepLines/>
      <w:tabs>
        <w:tab w:val="clear" w:pos="284"/>
        <w:tab w:val="clear" w:pos="397"/>
      </w:tabs>
      <w:spacing w:before="480" w:after="0" w:line="276" w:lineRule="auto"/>
      <w:ind w:left="432"/>
      <w:jc w:val="left"/>
      <w:outlineLvl w:val="9"/>
    </w:pPr>
    <w:rPr>
      <w:rFonts w:ascii="Cambria" w:hAnsi="Cambria"/>
      <w:bCs/>
      <w:color w:val="365F91"/>
      <w:sz w:val="28"/>
      <w:szCs w:val="28"/>
      <w:lang w:val="pl-PL" w:eastAsia="en-US"/>
    </w:rPr>
  </w:style>
  <w:style w:type="character" w:customStyle="1" w:styleId="HeaderChar">
    <w:name w:val="Header Char"/>
    <w:link w:val="Header"/>
    <w:rsid w:val="00EE5C4E"/>
    <w:rPr>
      <w:rFonts w:ascii="Georgia" w:hAnsi="Georgia"/>
      <w:sz w:val="22"/>
      <w:szCs w:val="24"/>
      <w:lang w:eastAsia="de-DE"/>
    </w:rPr>
  </w:style>
  <w:style w:type="character" w:customStyle="1" w:styleId="FooterChar">
    <w:name w:val="Footer Char"/>
    <w:link w:val="Footer"/>
    <w:uiPriority w:val="99"/>
    <w:rsid w:val="00EE5C4E"/>
    <w:rPr>
      <w:rFonts w:ascii="Georgia" w:hAnsi="Georgia"/>
      <w:sz w:val="22"/>
      <w:szCs w:val="24"/>
      <w:lang w:eastAsia="de-DE"/>
    </w:rPr>
  </w:style>
  <w:style w:type="character" w:customStyle="1" w:styleId="Heading2Char">
    <w:name w:val="Heading 2 Char"/>
    <w:link w:val="Heading2"/>
    <w:uiPriority w:val="9"/>
    <w:rsid w:val="00EE5C4E"/>
    <w:rPr>
      <w:rFonts w:ascii="Georgia" w:hAnsi="Georgia"/>
      <w:b/>
      <w:szCs w:val="24"/>
      <w:lang w:eastAsia="de-DE"/>
    </w:rPr>
  </w:style>
  <w:style w:type="table" w:styleId="LightGrid-Accent1">
    <w:name w:val="Light Grid Accent 1"/>
    <w:basedOn w:val="TableNormal"/>
    <w:uiPriority w:val="62"/>
    <w:rsid w:val="00EE5C4E"/>
    <w:rPr>
      <w:rFonts w:ascii="Calibri" w:hAnsi="Calibr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Accent1">
    <w:name w:val="Light List Accent 1"/>
    <w:basedOn w:val="TableNormal"/>
    <w:uiPriority w:val="61"/>
    <w:rsid w:val="00EE5C4E"/>
    <w:rPr>
      <w:rFonts w:ascii="Calibri" w:hAnsi="Calibr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EE5C4E"/>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odytext">
    <w:name w:val="bodytext"/>
    <w:basedOn w:val="Normal"/>
    <w:rsid w:val="00EE5C4E"/>
    <w:pPr>
      <w:spacing w:after="120" w:line="420" w:lineRule="atLeast"/>
    </w:pPr>
    <w:rPr>
      <w:rFonts w:ascii="Times New Roman" w:hAnsi="Times New Roman"/>
      <w:sz w:val="24"/>
      <w:lang w:eastAsia="en-GB"/>
    </w:rPr>
  </w:style>
  <w:style w:type="paragraph" w:customStyle="1" w:styleId="MyUnderline">
    <w:name w:val="MyUnderline"/>
    <w:basedOn w:val="Normal"/>
    <w:link w:val="MyUnderlineChar"/>
    <w:qFormat/>
    <w:rsid w:val="00EE5C4E"/>
    <w:pPr>
      <w:spacing w:before="240" w:after="240"/>
      <w:jc w:val="both"/>
    </w:pPr>
    <w:rPr>
      <w:b/>
      <w:szCs w:val="20"/>
      <w:u w:val="single"/>
    </w:rPr>
  </w:style>
  <w:style w:type="character" w:customStyle="1" w:styleId="MyUnderlineChar">
    <w:name w:val="MyUnderline Char"/>
    <w:basedOn w:val="DefaultParagraphFont"/>
    <w:link w:val="MyUnderline"/>
    <w:rsid w:val="00EE5C4E"/>
    <w:rPr>
      <w:rFonts w:ascii="Georgia" w:hAnsi="Georgia"/>
      <w:b/>
      <w:u w:val="single"/>
      <w:lang w:eastAsia="de-DE"/>
    </w:rPr>
  </w:style>
  <w:style w:type="paragraph" w:customStyle="1" w:styleId="Questions">
    <w:name w:val="Questions"/>
    <w:basedOn w:val="Caption"/>
    <w:link w:val="QuestionsChar"/>
    <w:qFormat/>
    <w:rsid w:val="005750B3"/>
    <w:pPr>
      <w:jc w:val="both"/>
    </w:pPr>
  </w:style>
  <w:style w:type="character" w:customStyle="1" w:styleId="QuestionsChar">
    <w:name w:val="Questions Char"/>
    <w:basedOn w:val="CaptionChar"/>
    <w:link w:val="Questions"/>
    <w:rsid w:val="005750B3"/>
    <w:rPr>
      <w:rFonts w:ascii="Georgia" w:hAnsi="Georgia"/>
      <w:b/>
      <w:bCs/>
      <w:sz w:val="18"/>
      <w:szCs w:val="18"/>
      <w:lang w:eastAsia="de-DE"/>
    </w:rPr>
  </w:style>
  <w:style w:type="paragraph" w:styleId="NormalWeb">
    <w:name w:val="Normal (Web)"/>
    <w:basedOn w:val="Normal"/>
    <w:uiPriority w:val="99"/>
    <w:unhideWhenUsed/>
    <w:rsid w:val="009E685C"/>
    <w:pPr>
      <w:spacing w:before="100" w:beforeAutospacing="1" w:after="100" w:afterAutospacing="1"/>
    </w:pPr>
    <w:rPr>
      <w:rFonts w:ascii="Times New Roman" w:hAnsi="Times New Roman"/>
      <w:sz w:val="24"/>
      <w:lang w:eastAsia="en-GB"/>
    </w:rPr>
  </w:style>
  <w:style w:type="paragraph" w:customStyle="1" w:styleId="BarclaysBodyCopy">
    <w:name w:val="Barclays Body Copy"/>
    <w:basedOn w:val="Normal"/>
    <w:qFormat/>
    <w:rsid w:val="00DF09ED"/>
    <w:pPr>
      <w:spacing w:line="240" w:lineRule="exact"/>
    </w:pPr>
    <w:rPr>
      <w:rFonts w:ascii="Expert Sans Regular" w:eastAsia="Cambria" w:hAnsi="Expert Sans Regular"/>
      <w:color w:val="58595B"/>
      <w:sz w:val="18"/>
      <w:lang w:val="en-US" w:eastAsia="en-US"/>
    </w:rPr>
  </w:style>
  <w:style w:type="paragraph" w:styleId="BodyText0">
    <w:name w:val="Body Text"/>
    <w:basedOn w:val="Normal"/>
    <w:link w:val="BodyTextChar"/>
    <w:rsid w:val="00715121"/>
    <w:pPr>
      <w:spacing w:after="240"/>
      <w:jc w:val="both"/>
    </w:pPr>
    <w:rPr>
      <w:rFonts w:ascii="Times New Roman" w:eastAsia="SimSun" w:hAnsi="Times New Roman"/>
      <w:sz w:val="24"/>
      <w:lang w:eastAsia="en-GB" w:bidi="ar-AE"/>
    </w:rPr>
  </w:style>
  <w:style w:type="character" w:customStyle="1" w:styleId="BodyTextChar">
    <w:name w:val="Body Text Char"/>
    <w:basedOn w:val="DefaultParagraphFont"/>
    <w:link w:val="BodyText0"/>
    <w:rsid w:val="00715121"/>
    <w:rPr>
      <w:rFonts w:eastAsia="SimSun"/>
      <w:sz w:val="24"/>
      <w:szCs w:val="24"/>
      <w:lang w:bidi="ar-A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Document Map"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446D"/>
    <w:rPr>
      <w:rFonts w:ascii="Georgia" w:hAnsi="Georgia"/>
      <w:szCs w:val="24"/>
      <w:lang w:eastAsia="de-DE"/>
    </w:rPr>
  </w:style>
  <w:style w:type="paragraph" w:styleId="Heading1">
    <w:name w:val="heading 1"/>
    <w:basedOn w:val="05cHeadline1"/>
    <w:next w:val="Normal"/>
    <w:link w:val="Heading1Char"/>
    <w:uiPriority w:val="9"/>
    <w:qFormat/>
    <w:rsid w:val="004C2CD3"/>
    <w:pPr>
      <w:numPr>
        <w:numId w:val="47"/>
      </w:numPr>
      <w:outlineLvl w:val="0"/>
    </w:pPr>
  </w:style>
  <w:style w:type="paragraph" w:styleId="Heading2">
    <w:name w:val="heading 2"/>
    <w:basedOn w:val="04aNumbering"/>
    <w:next w:val="Normal"/>
    <w:link w:val="Heading2Char"/>
    <w:uiPriority w:val="9"/>
    <w:qFormat/>
    <w:rsid w:val="00412C4C"/>
    <w:pPr>
      <w:numPr>
        <w:ilvl w:val="1"/>
        <w:numId w:val="47"/>
      </w:numPr>
      <w:outlineLvl w:val="1"/>
    </w:pPr>
    <w:rPr>
      <w:b/>
    </w:rPr>
  </w:style>
  <w:style w:type="paragraph" w:styleId="Heading3">
    <w:name w:val="heading 3"/>
    <w:basedOn w:val="Heading2"/>
    <w:next w:val="Normal"/>
    <w:link w:val="Heading3Char"/>
    <w:uiPriority w:val="9"/>
    <w:qFormat/>
    <w:rsid w:val="00E03F63"/>
    <w:pPr>
      <w:numPr>
        <w:ilvl w:val="2"/>
      </w:numPr>
      <w:outlineLvl w:val="2"/>
    </w:pPr>
  </w:style>
  <w:style w:type="paragraph" w:styleId="Heading4">
    <w:name w:val="heading 4"/>
    <w:basedOn w:val="Heading3"/>
    <w:next w:val="Normal"/>
    <w:qFormat/>
    <w:rsid w:val="003F3FF4"/>
    <w:pPr>
      <w:numPr>
        <w:ilvl w:val="3"/>
      </w:numPr>
      <w:outlineLvl w:val="3"/>
    </w:pPr>
  </w:style>
  <w:style w:type="paragraph" w:styleId="Heading5">
    <w:name w:val="heading 5"/>
    <w:basedOn w:val="Heading4"/>
    <w:next w:val="Normal"/>
    <w:qFormat/>
    <w:rsid w:val="00376487"/>
    <w:pPr>
      <w:numPr>
        <w:ilvl w:val="4"/>
      </w:numPr>
      <w:outlineLvl w:val="4"/>
    </w:pPr>
  </w:style>
  <w:style w:type="paragraph" w:styleId="Heading6">
    <w:name w:val="heading 6"/>
    <w:basedOn w:val="Normal"/>
    <w:next w:val="Normal"/>
    <w:qFormat/>
    <w:rsid w:val="003609B6"/>
    <w:pPr>
      <w:numPr>
        <w:ilvl w:val="5"/>
        <w:numId w:val="47"/>
      </w:numPr>
      <w:spacing w:before="240" w:after="60"/>
      <w:outlineLvl w:val="5"/>
    </w:pPr>
    <w:rPr>
      <w:rFonts w:ascii="Times New Roman" w:hAnsi="Times New Roman"/>
      <w:b/>
      <w:bCs/>
      <w:szCs w:val="22"/>
    </w:rPr>
  </w:style>
  <w:style w:type="paragraph" w:styleId="Heading7">
    <w:name w:val="heading 7"/>
    <w:basedOn w:val="Normal"/>
    <w:next w:val="Normal"/>
    <w:qFormat/>
    <w:rsid w:val="003609B6"/>
    <w:pPr>
      <w:numPr>
        <w:ilvl w:val="6"/>
        <w:numId w:val="47"/>
      </w:numPr>
      <w:spacing w:before="240" w:after="60"/>
      <w:outlineLvl w:val="6"/>
    </w:pPr>
    <w:rPr>
      <w:rFonts w:ascii="Times New Roman" w:hAnsi="Times New Roman"/>
    </w:rPr>
  </w:style>
  <w:style w:type="paragraph" w:styleId="Heading8">
    <w:name w:val="heading 8"/>
    <w:basedOn w:val="Normal"/>
    <w:next w:val="Normal"/>
    <w:qFormat/>
    <w:rsid w:val="003609B6"/>
    <w:pPr>
      <w:numPr>
        <w:ilvl w:val="7"/>
        <w:numId w:val="47"/>
      </w:numPr>
      <w:spacing w:before="240" w:after="60"/>
      <w:outlineLvl w:val="7"/>
    </w:pPr>
    <w:rPr>
      <w:rFonts w:ascii="Times New Roman" w:hAnsi="Times New Roman"/>
      <w:i/>
      <w:iCs/>
    </w:rPr>
  </w:style>
  <w:style w:type="paragraph" w:styleId="Heading9">
    <w:name w:val="heading 9"/>
    <w:basedOn w:val="Normal"/>
    <w:next w:val="Normal"/>
    <w:qFormat/>
    <w:rsid w:val="003609B6"/>
    <w:pPr>
      <w:numPr>
        <w:ilvl w:val="8"/>
        <w:numId w:val="47"/>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uiPriority w:val="99"/>
    <w:rsid w:val="005B64CB"/>
    <w:pPr>
      <w:tabs>
        <w:tab w:val="center" w:pos="4536"/>
        <w:tab w:val="right" w:pos="9072"/>
      </w:tabs>
    </w:pPr>
  </w:style>
  <w:style w:type="table" w:styleId="TableGrid">
    <w:name w:val="Table Grid"/>
    <w:basedOn w:val="TableNormal"/>
    <w:semiHidden/>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clear" w:pos="567"/>
        <w:tab w:val="left" w:pos="284"/>
        <w:tab w:val="left" w:pos="397"/>
      </w:tabs>
      <w:spacing w:after="280" w:line="280" w:lineRule="exact"/>
      <w:ind w:left="284" w:hanging="284"/>
    </w:pPr>
    <w:rPr>
      <w:sz w:val="20"/>
    </w:rPr>
  </w:style>
  <w:style w:type="paragraph" w:customStyle="1" w:styleId="04aNumbering">
    <w:name w:val="04a_Numbering"/>
    <w:basedOn w:val="04BodyText"/>
    <w:link w:val="04aNumberingChar"/>
    <w:uiPriority w:val="99"/>
    <w:rsid w:val="00D75603"/>
    <w:pPr>
      <w:numPr>
        <w:numId w:val="2"/>
      </w:numPr>
    </w:pPr>
  </w:style>
  <w:style w:type="character" w:styleId="PageNumber">
    <w:name w:val="page number"/>
    <w:basedOn w:val="DefaultParagraphFont"/>
    <w:semiHidden/>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tabs>
        <w:tab w:val="left" w:pos="397"/>
      </w:tabs>
      <w:spacing w:after="250" w:line="250" w:lineRule="exact"/>
    </w:pPr>
    <w:rPr>
      <w:rFonts w:ascii="Georgia" w:hAnsi="Georgia" w:cs="Arial"/>
      <w:bCs/>
      <w:iCs/>
      <w:lang w:eastAsia="de-DE"/>
    </w:rPr>
  </w:style>
  <w:style w:type="paragraph" w:styleId="FootnoteText">
    <w:name w:val="footnote text"/>
    <w:aliases w:val="Car"/>
    <w:basedOn w:val="Normal"/>
    <w:link w:val="FootnoteTextChar"/>
    <w:rsid w:val="001725A5"/>
    <w:pPr>
      <w:spacing w:line="200" w:lineRule="exact"/>
    </w:pPr>
    <w:rPr>
      <w:sz w:val="16"/>
      <w:szCs w:val="20"/>
    </w:rPr>
  </w:style>
  <w:style w:type="character" w:styleId="FootnoteReference">
    <w:name w:val="footnote reference"/>
    <w:aliases w:val="BVI fnr,Footnote Reference Superscript,SUPERS,Footnote symbol,(Footnote Reference),Footnote reference number,note TESI,EN Footnote Reference,Voetnootverwijzing,Times 10 Point,Exposant 3 Point,Appel note de bas de"/>
    <w:rsid w:val="00C274F3"/>
    <w:rPr>
      <w:vertAlign w:val="superscript"/>
    </w:rPr>
  </w:style>
  <w:style w:type="paragraph" w:styleId="TOC2">
    <w:name w:val="toc 2"/>
    <w:basedOn w:val="Normal"/>
    <w:next w:val="Normal"/>
    <w:autoRedefine/>
    <w:uiPriority w:val="39"/>
    <w:rsid w:val="002A46E8"/>
    <w:pPr>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val="0"/>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styleId="BalloonText">
    <w:name w:val="Balloon Text"/>
    <w:basedOn w:val="Normal"/>
    <w:link w:val="BalloonTextChar"/>
    <w:uiPriority w:val="99"/>
    <w:rsid w:val="0059665F"/>
    <w:rPr>
      <w:rFonts w:ascii="Tahoma" w:hAnsi="Tahoma" w:cs="Tahoma"/>
      <w:sz w:val="16"/>
      <w:szCs w:val="16"/>
    </w:rPr>
  </w:style>
  <w:style w:type="character" w:customStyle="1" w:styleId="BalloonTextChar">
    <w:name w:val="Balloon Text Char"/>
    <w:basedOn w:val="DefaultParagraphFont"/>
    <w:link w:val="BalloonText"/>
    <w:uiPriority w:val="99"/>
    <w:rsid w:val="0059665F"/>
    <w:rPr>
      <w:rFonts w:ascii="Tahoma" w:hAnsi="Tahoma" w:cs="Tahoma"/>
      <w:sz w:val="16"/>
      <w:szCs w:val="16"/>
      <w:lang w:eastAsia="de-DE"/>
    </w:rPr>
  </w:style>
  <w:style w:type="paragraph" w:customStyle="1" w:styleId="MyNormal">
    <w:name w:val="MyNormal"/>
    <w:basedOn w:val="04aNumbering"/>
    <w:link w:val="MyNormalChar"/>
    <w:qFormat/>
    <w:rsid w:val="001A12FC"/>
    <w:pPr>
      <w:tabs>
        <w:tab w:val="clear" w:pos="4679"/>
      </w:tabs>
      <w:ind w:left="567" w:hanging="567"/>
    </w:pPr>
  </w:style>
  <w:style w:type="paragraph" w:customStyle="1" w:styleId="Level1">
    <w:name w:val="Level 1"/>
    <w:basedOn w:val="Normal"/>
    <w:rsid w:val="00A84770"/>
    <w:pPr>
      <w:numPr>
        <w:numId w:val="6"/>
      </w:numPr>
    </w:pPr>
  </w:style>
  <w:style w:type="character" w:customStyle="1" w:styleId="04BodyTextChar">
    <w:name w:val="04_Body Text Char"/>
    <w:basedOn w:val="DefaultParagraphFont"/>
    <w:link w:val="04BodyText"/>
    <w:rsid w:val="00E00C3F"/>
    <w:rPr>
      <w:rFonts w:ascii="Georgia" w:hAnsi="Georgia"/>
      <w:szCs w:val="24"/>
      <w:lang w:eastAsia="de-DE"/>
    </w:rPr>
  </w:style>
  <w:style w:type="character" w:customStyle="1" w:styleId="04aNumberingChar">
    <w:name w:val="04a_Numbering Char"/>
    <w:basedOn w:val="04BodyTextChar"/>
    <w:link w:val="04aNumbering"/>
    <w:uiPriority w:val="99"/>
    <w:rsid w:val="00E00C3F"/>
    <w:rPr>
      <w:rFonts w:ascii="Georgia" w:hAnsi="Georgia"/>
      <w:szCs w:val="24"/>
      <w:lang w:eastAsia="de-DE"/>
    </w:rPr>
  </w:style>
  <w:style w:type="character" w:customStyle="1" w:styleId="MyNormalChar">
    <w:name w:val="MyNormal Char"/>
    <w:basedOn w:val="04aNumberingChar"/>
    <w:link w:val="MyNormal"/>
    <w:rsid w:val="001A12FC"/>
    <w:rPr>
      <w:rFonts w:ascii="Georgia" w:hAnsi="Georgia"/>
      <w:szCs w:val="24"/>
      <w:lang w:eastAsia="de-DE"/>
    </w:rPr>
  </w:style>
  <w:style w:type="paragraph" w:customStyle="1" w:styleId="Level2">
    <w:name w:val="Level 2"/>
    <w:basedOn w:val="Normal"/>
    <w:rsid w:val="00A84770"/>
    <w:pPr>
      <w:numPr>
        <w:ilvl w:val="1"/>
        <w:numId w:val="6"/>
      </w:numPr>
    </w:pPr>
  </w:style>
  <w:style w:type="paragraph" w:customStyle="1" w:styleId="Level3">
    <w:name w:val="Level 3"/>
    <w:basedOn w:val="Normal"/>
    <w:rsid w:val="00A84770"/>
    <w:pPr>
      <w:numPr>
        <w:ilvl w:val="2"/>
        <w:numId w:val="6"/>
      </w:numPr>
    </w:pPr>
  </w:style>
  <w:style w:type="paragraph" w:customStyle="1" w:styleId="Level4">
    <w:name w:val="Level 4"/>
    <w:basedOn w:val="Normal"/>
    <w:rsid w:val="00A84770"/>
    <w:pPr>
      <w:numPr>
        <w:ilvl w:val="3"/>
        <w:numId w:val="6"/>
      </w:numPr>
    </w:pPr>
  </w:style>
  <w:style w:type="paragraph" w:customStyle="1" w:styleId="Level5">
    <w:name w:val="Level 5"/>
    <w:basedOn w:val="Normal"/>
    <w:rsid w:val="00A84770"/>
    <w:pPr>
      <w:numPr>
        <w:ilvl w:val="4"/>
        <w:numId w:val="6"/>
      </w:numPr>
    </w:pPr>
  </w:style>
  <w:style w:type="paragraph" w:customStyle="1" w:styleId="Level6">
    <w:name w:val="Level 6"/>
    <w:basedOn w:val="Normal"/>
    <w:rsid w:val="00A84770"/>
    <w:pPr>
      <w:numPr>
        <w:ilvl w:val="5"/>
        <w:numId w:val="6"/>
      </w:numPr>
    </w:pPr>
  </w:style>
  <w:style w:type="paragraph" w:customStyle="1" w:styleId="MyBullet0">
    <w:name w:val="My Bullet"/>
    <w:basedOn w:val="05aTitle"/>
    <w:link w:val="MyBulletChar"/>
    <w:qFormat/>
    <w:rsid w:val="00DF3BEB"/>
    <w:pPr>
      <w:numPr>
        <w:numId w:val="7"/>
      </w:numPr>
      <w:spacing w:line="276" w:lineRule="auto"/>
      <w:jc w:val="both"/>
    </w:pPr>
    <w:rPr>
      <w:b w:val="0"/>
      <w:sz w:val="20"/>
      <w:szCs w:val="20"/>
    </w:rPr>
  </w:style>
  <w:style w:type="character" w:customStyle="1" w:styleId="MyBulletChar">
    <w:name w:val="My Bullet Char"/>
    <w:link w:val="MyBullet0"/>
    <w:rsid w:val="00DF3BEB"/>
    <w:rPr>
      <w:rFonts w:ascii="Georgia" w:hAnsi="Georgia"/>
      <w:color w:val="000000"/>
      <w:lang w:eastAsia="de-DE"/>
    </w:rPr>
  </w:style>
  <w:style w:type="character" w:customStyle="1" w:styleId="FootnoteTextChar">
    <w:name w:val="Footnote Text Char"/>
    <w:aliases w:val="Car Char"/>
    <w:link w:val="FootnoteText"/>
    <w:uiPriority w:val="99"/>
    <w:rsid w:val="00084648"/>
    <w:rPr>
      <w:rFonts w:ascii="Georgia" w:hAnsi="Georgia"/>
      <w:sz w:val="16"/>
      <w:lang w:eastAsia="de-DE"/>
    </w:rPr>
  </w:style>
  <w:style w:type="paragraph" w:styleId="Caption">
    <w:name w:val="caption"/>
    <w:basedOn w:val="Normal"/>
    <w:next w:val="Normal"/>
    <w:link w:val="CaptionChar"/>
    <w:unhideWhenUsed/>
    <w:qFormat/>
    <w:rsid w:val="009E7A88"/>
    <w:pPr>
      <w:spacing w:after="200"/>
      <w:jc w:val="center"/>
    </w:pPr>
    <w:rPr>
      <w:b/>
      <w:bCs/>
      <w:sz w:val="18"/>
      <w:szCs w:val="18"/>
    </w:rPr>
  </w:style>
  <w:style w:type="paragraph" w:customStyle="1" w:styleId="CM1">
    <w:name w:val="CM1"/>
    <w:basedOn w:val="Normal"/>
    <w:next w:val="Normal"/>
    <w:uiPriority w:val="99"/>
    <w:rsid w:val="008B637C"/>
    <w:pPr>
      <w:autoSpaceDE w:val="0"/>
      <w:autoSpaceDN w:val="0"/>
      <w:adjustRightInd w:val="0"/>
    </w:pPr>
    <w:rPr>
      <w:rFonts w:ascii="EUAlbertina" w:hAnsi="EUAlbertina"/>
      <w:sz w:val="24"/>
      <w:lang w:eastAsia="en-GB"/>
    </w:rPr>
  </w:style>
  <w:style w:type="paragraph" w:customStyle="1" w:styleId="CM3">
    <w:name w:val="CM3"/>
    <w:basedOn w:val="Normal"/>
    <w:next w:val="Normal"/>
    <w:uiPriority w:val="99"/>
    <w:rsid w:val="008B637C"/>
    <w:pPr>
      <w:autoSpaceDE w:val="0"/>
      <w:autoSpaceDN w:val="0"/>
      <w:adjustRightInd w:val="0"/>
    </w:pPr>
    <w:rPr>
      <w:rFonts w:ascii="EUAlbertina" w:hAnsi="EUAlbertina"/>
      <w:sz w:val="24"/>
      <w:lang w:eastAsia="en-GB"/>
    </w:rPr>
  </w:style>
  <w:style w:type="character" w:styleId="CommentReference">
    <w:name w:val="annotation reference"/>
    <w:basedOn w:val="DefaultParagraphFont"/>
    <w:uiPriority w:val="99"/>
    <w:rsid w:val="00C61A11"/>
    <w:rPr>
      <w:sz w:val="16"/>
      <w:szCs w:val="16"/>
    </w:rPr>
  </w:style>
  <w:style w:type="paragraph" w:styleId="CommentText">
    <w:name w:val="annotation text"/>
    <w:basedOn w:val="Normal"/>
    <w:link w:val="CommentTextChar"/>
    <w:uiPriority w:val="99"/>
    <w:rsid w:val="00C61A11"/>
    <w:rPr>
      <w:szCs w:val="20"/>
    </w:rPr>
  </w:style>
  <w:style w:type="character" w:customStyle="1" w:styleId="CommentTextChar">
    <w:name w:val="Comment Text Char"/>
    <w:basedOn w:val="DefaultParagraphFont"/>
    <w:link w:val="CommentText"/>
    <w:uiPriority w:val="99"/>
    <w:rsid w:val="00C61A11"/>
    <w:rPr>
      <w:rFonts w:ascii="Georgia" w:hAnsi="Georgia"/>
      <w:lang w:eastAsia="de-DE"/>
    </w:rPr>
  </w:style>
  <w:style w:type="paragraph" w:styleId="CommentSubject">
    <w:name w:val="annotation subject"/>
    <w:basedOn w:val="CommentText"/>
    <w:next w:val="CommentText"/>
    <w:link w:val="CommentSubjectChar"/>
    <w:uiPriority w:val="99"/>
    <w:rsid w:val="00C61A11"/>
    <w:rPr>
      <w:b/>
      <w:bCs/>
    </w:rPr>
  </w:style>
  <w:style w:type="character" w:customStyle="1" w:styleId="CommentSubjectChar">
    <w:name w:val="Comment Subject Char"/>
    <w:basedOn w:val="CommentTextChar"/>
    <w:link w:val="CommentSubject"/>
    <w:uiPriority w:val="99"/>
    <w:rsid w:val="00C61A11"/>
    <w:rPr>
      <w:rFonts w:ascii="Georgia" w:hAnsi="Georgia"/>
      <w:b/>
      <w:bCs/>
      <w:lang w:eastAsia="de-DE"/>
    </w:rPr>
  </w:style>
  <w:style w:type="paragraph" w:customStyle="1" w:styleId="Style1">
    <w:name w:val="Style1"/>
    <w:basedOn w:val="MyBullet0"/>
    <w:link w:val="Style1Char"/>
    <w:qFormat/>
    <w:rsid w:val="0018532A"/>
    <w:pPr>
      <w:numPr>
        <w:numId w:val="0"/>
      </w:numPr>
    </w:pPr>
    <w:rPr>
      <w:b/>
      <w:i/>
      <w:color w:val="00B050"/>
    </w:rPr>
  </w:style>
  <w:style w:type="character" w:customStyle="1" w:styleId="Style1Char">
    <w:name w:val="Style1 Char"/>
    <w:basedOn w:val="MyBulletChar"/>
    <w:link w:val="Style1"/>
    <w:rsid w:val="0018532A"/>
    <w:rPr>
      <w:rFonts w:ascii="Georgia" w:hAnsi="Georgia"/>
      <w:b/>
      <w:i/>
      <w:color w:val="00B050"/>
      <w:lang w:eastAsia="de-DE"/>
    </w:rPr>
  </w:style>
  <w:style w:type="paragraph" w:customStyle="1" w:styleId="0MyBullet">
    <w:name w:val="0. My Bullet"/>
    <w:basedOn w:val="04bList"/>
    <w:link w:val="0MyBulletChar"/>
    <w:qFormat/>
    <w:rsid w:val="00F1632C"/>
    <w:pPr>
      <w:numPr>
        <w:numId w:val="5"/>
      </w:numPr>
      <w:spacing w:after="0" w:line="360" w:lineRule="auto"/>
    </w:pPr>
  </w:style>
  <w:style w:type="character" w:customStyle="1" w:styleId="0MyBulletChar">
    <w:name w:val="0. My Bullet Char"/>
    <w:link w:val="0MyBullet"/>
    <w:rsid w:val="00F1632C"/>
    <w:rPr>
      <w:rFonts w:ascii="Georgia" w:hAnsi="Georgia"/>
      <w:szCs w:val="24"/>
      <w:lang w:eastAsia="de-DE"/>
    </w:rPr>
  </w:style>
  <w:style w:type="paragraph" w:customStyle="1" w:styleId="Bullet2">
    <w:name w:val="Bullet 2"/>
    <w:basedOn w:val="0MyBullet"/>
    <w:qFormat/>
    <w:rsid w:val="00DF3BEB"/>
    <w:pPr>
      <w:numPr>
        <w:ilvl w:val="1"/>
      </w:numPr>
      <w:tabs>
        <w:tab w:val="num" w:pos="720"/>
      </w:tabs>
      <w:ind w:left="720"/>
    </w:pPr>
  </w:style>
  <w:style w:type="paragraph" w:styleId="ListParagraph">
    <w:name w:val="List Paragraph"/>
    <w:aliases w:val="Paragraphe EI,Paragraphe de liste1,EC,Paragraphe de liste"/>
    <w:basedOn w:val="Normal"/>
    <w:link w:val="ListParagraphChar"/>
    <w:uiPriority w:val="34"/>
    <w:qFormat/>
    <w:rsid w:val="00DF3BEB"/>
    <w:pPr>
      <w:ind w:left="720"/>
      <w:contextualSpacing/>
    </w:pPr>
  </w:style>
  <w:style w:type="paragraph" w:customStyle="1" w:styleId="1MyNormal">
    <w:name w:val="1. My Normal"/>
    <w:basedOn w:val="Normal"/>
    <w:link w:val="1MyNormalChar"/>
    <w:qFormat/>
    <w:rsid w:val="00522AA8"/>
    <w:pPr>
      <w:numPr>
        <w:numId w:val="9"/>
      </w:numPr>
      <w:spacing w:before="120" w:after="240" w:line="276" w:lineRule="auto"/>
      <w:ind w:left="0" w:hanging="567"/>
      <w:jc w:val="both"/>
    </w:pPr>
  </w:style>
  <w:style w:type="character" w:customStyle="1" w:styleId="1MyNormalChar">
    <w:name w:val="1. My Normal Char"/>
    <w:basedOn w:val="DefaultParagraphFont"/>
    <w:link w:val="1MyNormal"/>
    <w:rsid w:val="00522AA8"/>
    <w:rPr>
      <w:rFonts w:ascii="Georgia" w:hAnsi="Georgia"/>
      <w:szCs w:val="24"/>
      <w:lang w:eastAsia="de-DE"/>
    </w:rPr>
  </w:style>
  <w:style w:type="paragraph" w:customStyle="1" w:styleId="footnote">
    <w:name w:val="footnote"/>
    <w:basedOn w:val="CM1"/>
    <w:link w:val="footnoteChar"/>
    <w:qFormat/>
    <w:rsid w:val="00483AAB"/>
    <w:pPr>
      <w:spacing w:before="200" w:after="200"/>
    </w:pPr>
    <w:rPr>
      <w:rFonts w:ascii="Georgia" w:hAnsi="Georgia"/>
      <w:sz w:val="18"/>
      <w:szCs w:val="20"/>
    </w:rPr>
  </w:style>
  <w:style w:type="character" w:customStyle="1" w:styleId="footnoteChar">
    <w:name w:val="footnote Char"/>
    <w:link w:val="footnote"/>
    <w:rsid w:val="00483AAB"/>
    <w:rPr>
      <w:rFonts w:ascii="Georgia" w:hAnsi="Georgia"/>
      <w:sz w:val="18"/>
    </w:rPr>
  </w:style>
  <w:style w:type="paragraph" w:customStyle="1" w:styleId="Default">
    <w:name w:val="Default"/>
    <w:rsid w:val="00CC4F8F"/>
    <w:pPr>
      <w:autoSpaceDE w:val="0"/>
      <w:autoSpaceDN w:val="0"/>
      <w:adjustRightInd w:val="0"/>
    </w:pPr>
    <w:rPr>
      <w:color w:val="000000"/>
      <w:sz w:val="24"/>
      <w:szCs w:val="24"/>
    </w:rPr>
  </w:style>
  <w:style w:type="paragraph" w:customStyle="1" w:styleId="Underlines">
    <w:name w:val="Underlines"/>
    <w:basedOn w:val="MyNormal"/>
    <w:link w:val="UnderlinesChar"/>
    <w:qFormat/>
    <w:rsid w:val="000A3313"/>
    <w:pPr>
      <w:numPr>
        <w:numId w:val="0"/>
      </w:numPr>
    </w:pPr>
    <w:rPr>
      <w:szCs w:val="20"/>
      <w:u w:val="single"/>
    </w:rPr>
  </w:style>
  <w:style w:type="character" w:customStyle="1" w:styleId="UnderlinesChar">
    <w:name w:val="Underlines Char"/>
    <w:basedOn w:val="MyNormalChar"/>
    <w:link w:val="Underlines"/>
    <w:rsid w:val="000A3313"/>
    <w:rPr>
      <w:rFonts w:ascii="Georgia" w:hAnsi="Georgia"/>
      <w:szCs w:val="24"/>
      <w:u w:val="single"/>
      <w:lang w:eastAsia="de-DE"/>
    </w:rPr>
  </w:style>
  <w:style w:type="paragraph" w:customStyle="1" w:styleId="mybullet">
    <w:name w:val="my_bullet"/>
    <w:basedOn w:val="ListParagraph"/>
    <w:qFormat/>
    <w:rsid w:val="00615AA7"/>
    <w:pPr>
      <w:numPr>
        <w:numId w:val="10"/>
      </w:numPr>
      <w:spacing w:before="120" w:after="120" w:line="276" w:lineRule="auto"/>
      <w:jc w:val="both"/>
    </w:pPr>
  </w:style>
  <w:style w:type="character" w:styleId="FollowedHyperlink">
    <w:name w:val="FollowedHyperlink"/>
    <w:basedOn w:val="DefaultParagraphFont"/>
    <w:rsid w:val="00615AA7"/>
    <w:rPr>
      <w:color w:val="800080" w:themeColor="followedHyperlink"/>
      <w:u w:val="single"/>
    </w:rPr>
  </w:style>
  <w:style w:type="paragraph" w:customStyle="1" w:styleId="05Headline1">
    <w:name w:val="05_Headline 1"/>
    <w:basedOn w:val="04BodyText"/>
    <w:rsid w:val="00DB72CA"/>
    <w:pPr>
      <w:spacing w:line="300" w:lineRule="exact"/>
    </w:pPr>
    <w:rPr>
      <w:b/>
      <w:sz w:val="24"/>
    </w:rPr>
  </w:style>
  <w:style w:type="character" w:customStyle="1" w:styleId="st">
    <w:name w:val="st"/>
    <w:basedOn w:val="DefaultParagraphFont"/>
    <w:rsid w:val="00DB72CA"/>
  </w:style>
  <w:style w:type="character" w:customStyle="1" w:styleId="Heading3Char">
    <w:name w:val="Heading 3 Char"/>
    <w:basedOn w:val="DefaultParagraphFont"/>
    <w:link w:val="Heading3"/>
    <w:uiPriority w:val="9"/>
    <w:rsid w:val="00C43890"/>
    <w:rPr>
      <w:rFonts w:ascii="Georgia" w:hAnsi="Georgia"/>
      <w:b/>
      <w:szCs w:val="24"/>
      <w:lang w:eastAsia="de-DE"/>
    </w:rPr>
  </w:style>
  <w:style w:type="paragraph" w:customStyle="1" w:styleId="Normalsanspara">
    <w:name w:val="Normal sans para"/>
    <w:basedOn w:val="1MyNormal"/>
    <w:link w:val="NormalsansparaChar"/>
    <w:qFormat/>
    <w:rsid w:val="00ED0E32"/>
    <w:pPr>
      <w:numPr>
        <w:numId w:val="0"/>
      </w:numPr>
    </w:pPr>
    <w:rPr>
      <w:szCs w:val="20"/>
      <w:u w:val="single"/>
    </w:rPr>
  </w:style>
  <w:style w:type="character" w:customStyle="1" w:styleId="NormalsansparaChar">
    <w:name w:val="Normal sans para Char"/>
    <w:link w:val="Normalsanspara"/>
    <w:rsid w:val="00ED0E32"/>
    <w:rPr>
      <w:rFonts w:ascii="Georgia" w:hAnsi="Georgia"/>
      <w:u w:val="single"/>
      <w:lang w:eastAsia="de-DE"/>
    </w:rPr>
  </w:style>
  <w:style w:type="paragraph" w:customStyle="1" w:styleId="Style2">
    <w:name w:val="Style2"/>
    <w:basedOn w:val="04BodyText"/>
    <w:link w:val="Style2Char"/>
    <w:qFormat/>
    <w:rsid w:val="00BE4C34"/>
    <w:pPr>
      <w:numPr>
        <w:numId w:val="26"/>
      </w:numPr>
    </w:pPr>
  </w:style>
  <w:style w:type="paragraph" w:customStyle="1" w:styleId="Style3">
    <w:name w:val="Style3"/>
    <w:basedOn w:val="04BodyText"/>
    <w:link w:val="Style3Char"/>
    <w:qFormat/>
    <w:rsid w:val="00FD70AA"/>
    <w:pPr>
      <w:numPr>
        <w:numId w:val="12"/>
      </w:numPr>
      <w:ind w:left="426" w:hanging="426"/>
    </w:pPr>
  </w:style>
  <w:style w:type="character" w:customStyle="1" w:styleId="Style2Char">
    <w:name w:val="Style2 Char"/>
    <w:basedOn w:val="04BodyTextChar"/>
    <w:link w:val="Style2"/>
    <w:rsid w:val="00BE4C34"/>
    <w:rPr>
      <w:rFonts w:ascii="Georgia" w:hAnsi="Georgia"/>
      <w:szCs w:val="24"/>
      <w:lang w:eastAsia="de-DE"/>
    </w:rPr>
  </w:style>
  <w:style w:type="character" w:customStyle="1" w:styleId="Style3Char">
    <w:name w:val="Style3 Char"/>
    <w:basedOn w:val="04BodyTextChar"/>
    <w:link w:val="Style3"/>
    <w:rsid w:val="00FD70AA"/>
    <w:rPr>
      <w:rFonts w:ascii="Georgia" w:hAnsi="Georgia"/>
      <w:szCs w:val="24"/>
      <w:lang w:eastAsia="de-DE"/>
    </w:rPr>
  </w:style>
  <w:style w:type="character" w:customStyle="1" w:styleId="ListParagraphChar">
    <w:name w:val="List Paragraph Char"/>
    <w:aliases w:val="Paragraphe EI Char,Paragraphe de liste1 Char,EC Char,Paragraphe de liste Char"/>
    <w:link w:val="ListParagraph"/>
    <w:uiPriority w:val="34"/>
    <w:rsid w:val="004D19C2"/>
    <w:rPr>
      <w:rFonts w:ascii="Georgia" w:hAnsi="Georgia"/>
      <w:sz w:val="22"/>
      <w:szCs w:val="24"/>
      <w:lang w:eastAsia="de-DE"/>
    </w:rPr>
  </w:style>
  <w:style w:type="character" w:styleId="Strong">
    <w:name w:val="Strong"/>
    <w:basedOn w:val="DefaultParagraphFont"/>
    <w:uiPriority w:val="22"/>
    <w:qFormat/>
    <w:rsid w:val="00A1073B"/>
    <w:rPr>
      <w:b/>
      <w:bCs/>
    </w:rPr>
  </w:style>
  <w:style w:type="paragraph" w:customStyle="1" w:styleId="04aNumeration">
    <w:name w:val="04a_Numeration"/>
    <w:basedOn w:val="04BodyText"/>
    <w:link w:val="04aNumerationChar"/>
    <w:rsid w:val="00036907"/>
    <w:pPr>
      <w:tabs>
        <w:tab w:val="num" w:pos="284"/>
      </w:tabs>
      <w:ind w:left="284" w:hanging="284"/>
    </w:pPr>
  </w:style>
  <w:style w:type="character" w:customStyle="1" w:styleId="04aNumerationChar">
    <w:name w:val="04a_Numeration Char"/>
    <w:basedOn w:val="04BodyTextChar"/>
    <w:link w:val="04aNumeration"/>
    <w:rsid w:val="00036907"/>
    <w:rPr>
      <w:rFonts w:ascii="Georgia" w:hAnsi="Georgia"/>
      <w:szCs w:val="24"/>
      <w:lang w:eastAsia="de-DE"/>
    </w:rPr>
  </w:style>
  <w:style w:type="paragraph" w:styleId="EndnoteText">
    <w:name w:val="endnote text"/>
    <w:basedOn w:val="Normal"/>
    <w:link w:val="EndnoteTextChar"/>
    <w:rsid w:val="003A5A08"/>
    <w:rPr>
      <w:szCs w:val="20"/>
    </w:rPr>
  </w:style>
  <w:style w:type="character" w:customStyle="1" w:styleId="EndnoteTextChar">
    <w:name w:val="Endnote Text Char"/>
    <w:basedOn w:val="DefaultParagraphFont"/>
    <w:link w:val="EndnoteText"/>
    <w:rsid w:val="003A5A08"/>
    <w:rPr>
      <w:rFonts w:ascii="Georgia" w:hAnsi="Georgia"/>
      <w:lang w:eastAsia="de-DE"/>
    </w:rPr>
  </w:style>
  <w:style w:type="character" w:styleId="EndnoteReference">
    <w:name w:val="endnote reference"/>
    <w:basedOn w:val="DefaultParagraphFont"/>
    <w:rsid w:val="003A5A08"/>
    <w:rPr>
      <w:vertAlign w:val="superscript"/>
    </w:rPr>
  </w:style>
  <w:style w:type="paragraph" w:customStyle="1" w:styleId="MYNORMAL0">
    <w:name w:val="MYNORMAL"/>
    <w:basedOn w:val="04aNumbering"/>
    <w:link w:val="MYNORMALChar0"/>
    <w:qFormat/>
    <w:rsid w:val="00230601"/>
    <w:pPr>
      <w:tabs>
        <w:tab w:val="clear" w:pos="4679"/>
      </w:tabs>
      <w:ind w:left="567" w:hanging="567"/>
    </w:pPr>
  </w:style>
  <w:style w:type="character" w:customStyle="1" w:styleId="MYNORMALChar0">
    <w:name w:val="MYNORMAL Char"/>
    <w:basedOn w:val="04aNumberingChar"/>
    <w:link w:val="MYNORMAL0"/>
    <w:rsid w:val="00230601"/>
    <w:rPr>
      <w:rFonts w:ascii="Georgia" w:hAnsi="Georgia"/>
      <w:szCs w:val="24"/>
      <w:lang w:eastAsia="de-DE"/>
    </w:rPr>
  </w:style>
  <w:style w:type="paragraph" w:customStyle="1" w:styleId="myNormal1">
    <w:name w:val="myNormal"/>
    <w:basedOn w:val="04aNumbering"/>
    <w:link w:val="myNormalChar1"/>
    <w:qFormat/>
    <w:rsid w:val="006537A8"/>
  </w:style>
  <w:style w:type="character" w:customStyle="1" w:styleId="myNormalChar1">
    <w:name w:val="myNormal Char"/>
    <w:basedOn w:val="04aNumberingChar"/>
    <w:link w:val="myNormal1"/>
    <w:rsid w:val="006537A8"/>
    <w:rPr>
      <w:rFonts w:ascii="Georgia" w:hAnsi="Georgia"/>
      <w:szCs w:val="24"/>
      <w:lang w:eastAsia="de-DE"/>
    </w:rPr>
  </w:style>
  <w:style w:type="character" w:customStyle="1" w:styleId="apple-converted-space">
    <w:name w:val="apple-converted-space"/>
    <w:basedOn w:val="DefaultParagraphFont"/>
    <w:rsid w:val="00AB592E"/>
  </w:style>
  <w:style w:type="paragraph" w:styleId="TOC3">
    <w:name w:val="toc 3"/>
    <w:basedOn w:val="Normal"/>
    <w:next w:val="Normal"/>
    <w:autoRedefine/>
    <w:uiPriority w:val="39"/>
    <w:rsid w:val="0073272F"/>
    <w:pPr>
      <w:spacing w:after="100"/>
      <w:ind w:left="440"/>
    </w:pPr>
  </w:style>
  <w:style w:type="character" w:styleId="PlaceholderText">
    <w:name w:val="Placeholder Text"/>
    <w:basedOn w:val="DefaultParagraphFont"/>
    <w:uiPriority w:val="99"/>
    <w:semiHidden/>
    <w:rsid w:val="00E06635"/>
    <w:rPr>
      <w:color w:val="808080"/>
    </w:rPr>
  </w:style>
  <w:style w:type="paragraph" w:customStyle="1" w:styleId="MyAStyle">
    <w:name w:val="MyAStyle"/>
    <w:basedOn w:val="Normal"/>
    <w:link w:val="MyAStyleChar"/>
    <w:qFormat/>
    <w:rsid w:val="00A076B0"/>
    <w:pPr>
      <w:spacing w:before="120" w:after="120"/>
      <w:ind w:left="1134" w:hanging="425"/>
      <w:jc w:val="both"/>
    </w:pPr>
    <w:rPr>
      <w:rFonts w:ascii="Times New Roman" w:hAnsi="Times New Roman"/>
      <w:noProof/>
      <w:color w:val="000000"/>
      <w:sz w:val="24"/>
      <w:lang w:eastAsia="en-US"/>
    </w:rPr>
  </w:style>
  <w:style w:type="paragraph" w:customStyle="1" w:styleId="MyStyleII">
    <w:name w:val="MyStyleII"/>
    <w:basedOn w:val="MyAStyle"/>
    <w:link w:val="MyStyleIIChar"/>
    <w:qFormat/>
    <w:rsid w:val="00A076B0"/>
    <w:pPr>
      <w:ind w:left="1985" w:hanging="284"/>
    </w:pPr>
  </w:style>
  <w:style w:type="paragraph" w:styleId="Revision">
    <w:name w:val="Revision"/>
    <w:hidden/>
    <w:uiPriority w:val="99"/>
    <w:semiHidden/>
    <w:rsid w:val="00D821E8"/>
    <w:rPr>
      <w:rFonts w:ascii="Georgia" w:hAnsi="Georgia"/>
      <w:sz w:val="22"/>
      <w:szCs w:val="24"/>
      <w:lang w:eastAsia="de-DE"/>
    </w:rPr>
  </w:style>
  <w:style w:type="character" w:customStyle="1" w:styleId="MyAStyleChar">
    <w:name w:val="MyAStyle Char"/>
    <w:link w:val="MyAStyle"/>
    <w:rsid w:val="004D1D07"/>
    <w:rPr>
      <w:noProof/>
      <w:color w:val="000000"/>
      <w:sz w:val="24"/>
      <w:szCs w:val="24"/>
      <w:lang w:eastAsia="en-US"/>
    </w:rPr>
  </w:style>
  <w:style w:type="paragraph" w:styleId="DocumentMap">
    <w:name w:val="Document Map"/>
    <w:basedOn w:val="Normal"/>
    <w:link w:val="DocumentMapChar"/>
    <w:uiPriority w:val="99"/>
    <w:rsid w:val="00D77242"/>
    <w:rPr>
      <w:rFonts w:ascii="Lucida Grande" w:hAnsi="Lucida Grande" w:cs="Lucida Grande"/>
      <w:sz w:val="24"/>
    </w:rPr>
  </w:style>
  <w:style w:type="character" w:customStyle="1" w:styleId="DocumentMapChar">
    <w:name w:val="Document Map Char"/>
    <w:basedOn w:val="DefaultParagraphFont"/>
    <w:link w:val="DocumentMap"/>
    <w:uiPriority w:val="99"/>
    <w:rsid w:val="00D77242"/>
    <w:rPr>
      <w:rFonts w:ascii="Lucida Grande" w:hAnsi="Lucida Grande" w:cs="Lucida Grande"/>
      <w:sz w:val="24"/>
      <w:szCs w:val="24"/>
      <w:lang w:eastAsia="de-DE"/>
    </w:rPr>
  </w:style>
  <w:style w:type="paragraph" w:customStyle="1" w:styleId="ANNEX">
    <w:name w:val="ANNEX"/>
    <w:basedOn w:val="Caption"/>
    <w:link w:val="ANNEXChar"/>
    <w:qFormat/>
    <w:rsid w:val="00E94E78"/>
    <w:pPr>
      <w:jc w:val="left"/>
    </w:pPr>
    <w:rPr>
      <w:sz w:val="28"/>
    </w:rPr>
  </w:style>
  <w:style w:type="character" w:customStyle="1" w:styleId="CaptionChar">
    <w:name w:val="Caption Char"/>
    <w:basedOn w:val="DefaultParagraphFont"/>
    <w:link w:val="Caption"/>
    <w:rsid w:val="00E94E78"/>
    <w:rPr>
      <w:rFonts w:ascii="Georgia" w:hAnsi="Georgia"/>
      <w:b/>
      <w:bCs/>
      <w:sz w:val="18"/>
      <w:szCs w:val="18"/>
      <w:lang w:eastAsia="de-DE"/>
    </w:rPr>
  </w:style>
  <w:style w:type="character" w:customStyle="1" w:styleId="ANNEXChar">
    <w:name w:val="ANNEX Char"/>
    <w:basedOn w:val="CaptionChar"/>
    <w:link w:val="ANNEX"/>
    <w:rsid w:val="00E94E78"/>
    <w:rPr>
      <w:rFonts w:ascii="Georgia" w:hAnsi="Georgia"/>
      <w:b/>
      <w:bCs/>
      <w:sz w:val="28"/>
      <w:szCs w:val="18"/>
      <w:lang w:eastAsia="de-DE"/>
    </w:rPr>
  </w:style>
  <w:style w:type="paragraph" w:customStyle="1" w:styleId="MyBullet1">
    <w:name w:val="MyBullet"/>
    <w:basedOn w:val="ListParagraph"/>
    <w:link w:val="MyBulletChar0"/>
    <w:qFormat/>
    <w:rsid w:val="000D6BCE"/>
    <w:pPr>
      <w:numPr>
        <w:numId w:val="22"/>
      </w:numPr>
      <w:spacing w:before="240" w:line="276" w:lineRule="auto"/>
      <w:ind w:left="1134" w:hanging="425"/>
      <w:jc w:val="both"/>
    </w:pPr>
  </w:style>
  <w:style w:type="character" w:customStyle="1" w:styleId="MyBulletChar0">
    <w:name w:val="MyBullet Char"/>
    <w:basedOn w:val="ListParagraphChar"/>
    <w:link w:val="MyBullet1"/>
    <w:rsid w:val="000D6BCE"/>
    <w:rPr>
      <w:rFonts w:ascii="Georgia" w:hAnsi="Georgia"/>
      <w:sz w:val="22"/>
      <w:szCs w:val="24"/>
      <w:lang w:eastAsia="de-DE"/>
    </w:rPr>
  </w:style>
  <w:style w:type="paragraph" w:customStyle="1" w:styleId="myBullet2">
    <w:name w:val="myBullet"/>
    <w:basedOn w:val="ListParagraph"/>
    <w:link w:val="myBulletChar1"/>
    <w:qFormat/>
    <w:rsid w:val="000D6BCE"/>
    <w:pPr>
      <w:numPr>
        <w:numId w:val="23"/>
      </w:numPr>
      <w:spacing w:line="276" w:lineRule="auto"/>
    </w:pPr>
  </w:style>
  <w:style w:type="character" w:customStyle="1" w:styleId="myBulletChar1">
    <w:name w:val="myBullet Char"/>
    <w:basedOn w:val="ListParagraphChar"/>
    <w:link w:val="myBullet2"/>
    <w:rsid w:val="000D6BCE"/>
    <w:rPr>
      <w:rFonts w:ascii="Georgia" w:hAnsi="Georgia"/>
      <w:sz w:val="22"/>
      <w:szCs w:val="24"/>
      <w:lang w:eastAsia="de-DE"/>
    </w:rPr>
  </w:style>
  <w:style w:type="paragraph" w:customStyle="1" w:styleId="myMINItable">
    <w:name w:val="my MINI table"/>
    <w:basedOn w:val="MyNormal"/>
    <w:link w:val="myMINItableChar"/>
    <w:qFormat/>
    <w:rsid w:val="008241A9"/>
    <w:pPr>
      <w:numPr>
        <w:numId w:val="0"/>
      </w:numPr>
      <w:spacing w:before="120" w:after="120"/>
      <w:ind w:left="113"/>
    </w:pPr>
    <w:rPr>
      <w:sz w:val="18"/>
      <w:szCs w:val="18"/>
    </w:rPr>
  </w:style>
  <w:style w:type="character" w:customStyle="1" w:styleId="myMINItableChar">
    <w:name w:val="my MINI table Char"/>
    <w:link w:val="myMINItable"/>
    <w:rsid w:val="008241A9"/>
    <w:rPr>
      <w:rFonts w:ascii="Georgia" w:hAnsi="Georgia"/>
      <w:sz w:val="18"/>
      <w:szCs w:val="18"/>
      <w:lang w:eastAsia="de-DE"/>
    </w:rPr>
  </w:style>
  <w:style w:type="paragraph" w:customStyle="1" w:styleId="TOCHeading1">
    <w:name w:val="TOC Heading1"/>
    <w:basedOn w:val="Normal"/>
    <w:next w:val="Normal"/>
    <w:qFormat/>
    <w:rsid w:val="004E0BAC"/>
    <w:pPr>
      <w:spacing w:before="120" w:after="240"/>
      <w:jc w:val="center"/>
    </w:pPr>
    <w:rPr>
      <w:rFonts w:ascii="Times New Roman" w:hAnsi="Times New Roman"/>
      <w:b/>
      <w:sz w:val="28"/>
      <w:lang w:eastAsia="en-US"/>
    </w:rPr>
  </w:style>
  <w:style w:type="paragraph" w:customStyle="1" w:styleId="Datedadoption">
    <w:name w:val="Date d'adoption"/>
    <w:basedOn w:val="Normal"/>
    <w:next w:val="Titreobjet"/>
    <w:rsid w:val="004E0BAC"/>
    <w:pPr>
      <w:spacing w:before="360"/>
      <w:jc w:val="center"/>
    </w:pPr>
    <w:rPr>
      <w:rFonts w:ascii="Times New Roman" w:hAnsi="Times New Roman"/>
      <w:b/>
      <w:sz w:val="24"/>
      <w:lang w:eastAsia="en-US"/>
    </w:rPr>
  </w:style>
  <w:style w:type="paragraph" w:customStyle="1" w:styleId="Titreobjet">
    <w:name w:val="Titre objet"/>
    <w:basedOn w:val="Normal"/>
    <w:next w:val="Normal"/>
    <w:rsid w:val="004E0BAC"/>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4E0BAC"/>
    <w:pPr>
      <w:spacing w:before="360"/>
      <w:jc w:val="center"/>
    </w:pPr>
    <w:rPr>
      <w:rFonts w:ascii="Times New Roman" w:hAnsi="Times New Roman"/>
      <w:b/>
      <w:sz w:val="24"/>
      <w:lang w:eastAsia="en-US"/>
    </w:rPr>
  </w:style>
  <w:style w:type="paragraph" w:customStyle="1" w:styleId="Recital">
    <w:name w:val="Recital"/>
    <w:basedOn w:val="Style2"/>
    <w:link w:val="RecitalChar"/>
    <w:qFormat/>
    <w:rsid w:val="00435A3F"/>
  </w:style>
  <w:style w:type="paragraph" w:customStyle="1" w:styleId="Recital1">
    <w:name w:val="Recital 1"/>
    <w:basedOn w:val="Recital"/>
    <w:link w:val="Recital1Char"/>
    <w:qFormat/>
    <w:rsid w:val="00435A3F"/>
    <w:pPr>
      <w:numPr>
        <w:numId w:val="30"/>
      </w:numPr>
      <w:ind w:hanging="720"/>
    </w:pPr>
    <w:rPr>
      <w:rFonts w:ascii="Times New Roman" w:hAnsi="Times New Roman"/>
      <w:sz w:val="24"/>
    </w:rPr>
  </w:style>
  <w:style w:type="character" w:customStyle="1" w:styleId="RecitalChar">
    <w:name w:val="Recital Char"/>
    <w:basedOn w:val="Style2Char"/>
    <w:link w:val="Recital"/>
    <w:rsid w:val="00435A3F"/>
    <w:rPr>
      <w:rFonts w:ascii="Georgia" w:hAnsi="Georgia"/>
      <w:szCs w:val="24"/>
      <w:lang w:eastAsia="de-DE"/>
    </w:rPr>
  </w:style>
  <w:style w:type="paragraph" w:customStyle="1" w:styleId="Formuledadoption">
    <w:name w:val="Formule d'adoption"/>
    <w:basedOn w:val="Normal"/>
    <w:next w:val="Normal"/>
    <w:rsid w:val="006808FD"/>
    <w:pPr>
      <w:keepNext/>
      <w:spacing w:before="120" w:after="120"/>
      <w:jc w:val="both"/>
    </w:pPr>
    <w:rPr>
      <w:rFonts w:ascii="Times New Roman" w:hAnsi="Times New Roman"/>
      <w:sz w:val="24"/>
      <w:lang w:eastAsia="en-US"/>
    </w:rPr>
  </w:style>
  <w:style w:type="character" w:customStyle="1" w:styleId="Recital1Char">
    <w:name w:val="Recital 1 Char"/>
    <w:basedOn w:val="RecitalChar"/>
    <w:link w:val="Recital1"/>
    <w:rsid w:val="00435A3F"/>
    <w:rPr>
      <w:rFonts w:ascii="Georgia" w:hAnsi="Georgia"/>
      <w:sz w:val="24"/>
      <w:szCs w:val="24"/>
      <w:lang w:eastAsia="de-DE"/>
    </w:rPr>
  </w:style>
  <w:style w:type="paragraph" w:customStyle="1" w:styleId="DatedadoptionPagedecouverture">
    <w:name w:val="Date d'adoption (Page de couverture)"/>
    <w:basedOn w:val="Datedadoption"/>
    <w:next w:val="Normal"/>
    <w:rsid w:val="006808FD"/>
  </w:style>
  <w:style w:type="character" w:styleId="Emphasis">
    <w:name w:val="Emphasis"/>
    <w:basedOn w:val="DefaultParagraphFont"/>
    <w:qFormat/>
    <w:rsid w:val="006808FD"/>
    <w:rPr>
      <w:i/>
      <w:iCs/>
    </w:rPr>
  </w:style>
  <w:style w:type="character" w:customStyle="1" w:styleId="MyStyleIIChar">
    <w:name w:val="MyStyleII Char"/>
    <w:link w:val="MyStyleII"/>
    <w:rsid w:val="00126153"/>
    <w:rPr>
      <w:noProof/>
      <w:color w:val="000000"/>
      <w:sz w:val="24"/>
      <w:szCs w:val="24"/>
      <w:lang w:eastAsia="en-US"/>
    </w:rPr>
  </w:style>
  <w:style w:type="paragraph" w:customStyle="1" w:styleId="ManualNumPar3">
    <w:name w:val="Manual NumPar 3"/>
    <w:basedOn w:val="Normal"/>
    <w:next w:val="Normal"/>
    <w:rsid w:val="00B75E82"/>
    <w:pPr>
      <w:spacing w:before="120" w:after="120"/>
      <w:ind w:left="850" w:hanging="850"/>
      <w:jc w:val="both"/>
    </w:pPr>
    <w:rPr>
      <w:rFonts w:ascii="Times New Roman" w:hAnsi="Times New Roman"/>
      <w:sz w:val="24"/>
      <w:lang w:eastAsia="en-US"/>
    </w:rPr>
  </w:style>
  <w:style w:type="paragraph" w:customStyle="1" w:styleId="Institutionquisigne">
    <w:name w:val="Institution qui signe"/>
    <w:basedOn w:val="Normal"/>
    <w:next w:val="Personnequisigne"/>
    <w:rsid w:val="00715557"/>
    <w:pPr>
      <w:keepNext/>
      <w:tabs>
        <w:tab w:val="left" w:pos="4252"/>
      </w:tabs>
      <w:spacing w:before="720"/>
      <w:jc w:val="both"/>
    </w:pPr>
    <w:rPr>
      <w:rFonts w:ascii="Times New Roman" w:hAnsi="Times New Roman"/>
      <w:i/>
      <w:sz w:val="24"/>
      <w:lang w:eastAsia="en-US"/>
    </w:rPr>
  </w:style>
  <w:style w:type="paragraph" w:customStyle="1" w:styleId="Personnequisigne">
    <w:name w:val="Personne qui signe"/>
    <w:basedOn w:val="Normal"/>
    <w:next w:val="Institutionquisigne"/>
    <w:rsid w:val="00715557"/>
    <w:pPr>
      <w:tabs>
        <w:tab w:val="left" w:pos="4252"/>
      </w:tabs>
    </w:pPr>
    <w:rPr>
      <w:rFonts w:ascii="Times New Roman" w:hAnsi="Times New Roman"/>
      <w:i/>
      <w:sz w:val="24"/>
      <w:lang w:eastAsia="en-US"/>
    </w:rPr>
  </w:style>
  <w:style w:type="paragraph" w:customStyle="1" w:styleId="05aHeadline2">
    <w:name w:val="05a_Headline 2"/>
    <w:basedOn w:val="05Headline1"/>
    <w:next w:val="04BodyText"/>
    <w:rsid w:val="00EE5C4E"/>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EE5C4E"/>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EE5C4E"/>
    <w:pPr>
      <w:pBdr>
        <w:bottom w:val="single" w:sz="4" w:space="12" w:color="283583"/>
      </w:pBdr>
    </w:pPr>
    <w:rPr>
      <w:color w:val="2D4190"/>
    </w:rPr>
  </w:style>
  <w:style w:type="paragraph" w:customStyle="1" w:styleId="04cBodytextleft">
    <w:name w:val="04c_Body text left"/>
    <w:basedOn w:val="04BodyText"/>
    <w:rsid w:val="00EE5C4E"/>
    <w:pPr>
      <w:spacing w:after="0"/>
      <w:jc w:val="left"/>
    </w:pPr>
  </w:style>
  <w:style w:type="paragraph" w:customStyle="1" w:styleId="Style04RunningTextBold">
    <w:name w:val="Style 04_Running Text + Bold"/>
    <w:basedOn w:val="04BodyText"/>
    <w:rsid w:val="00EE5C4E"/>
    <w:pPr>
      <w:keepNext/>
    </w:pPr>
    <w:rPr>
      <w:b/>
      <w:bCs/>
    </w:rPr>
  </w:style>
  <w:style w:type="character" w:customStyle="1" w:styleId="Heading1Char">
    <w:name w:val="Heading 1 Char"/>
    <w:link w:val="Heading1"/>
    <w:uiPriority w:val="9"/>
    <w:rsid w:val="00EE5C4E"/>
    <w:rPr>
      <w:rFonts w:ascii="Georgia" w:hAnsi="Georgia"/>
      <w:b/>
      <w:szCs w:val="24"/>
      <w:lang w:eastAsia="de-DE"/>
    </w:rPr>
  </w:style>
  <w:style w:type="paragraph" w:styleId="TOCHeading">
    <w:name w:val="TOC Heading"/>
    <w:basedOn w:val="Heading1"/>
    <w:next w:val="Normal"/>
    <w:uiPriority w:val="39"/>
    <w:semiHidden/>
    <w:unhideWhenUsed/>
    <w:qFormat/>
    <w:rsid w:val="00EE5C4E"/>
    <w:pPr>
      <w:keepLines/>
      <w:tabs>
        <w:tab w:val="clear" w:pos="284"/>
        <w:tab w:val="clear" w:pos="397"/>
      </w:tabs>
      <w:spacing w:before="480" w:after="0" w:line="276" w:lineRule="auto"/>
      <w:ind w:left="432"/>
      <w:jc w:val="left"/>
      <w:outlineLvl w:val="9"/>
    </w:pPr>
    <w:rPr>
      <w:rFonts w:ascii="Cambria" w:hAnsi="Cambria"/>
      <w:bCs/>
      <w:color w:val="365F91"/>
      <w:sz w:val="28"/>
      <w:szCs w:val="28"/>
      <w:lang w:val="pl-PL" w:eastAsia="en-US"/>
    </w:rPr>
  </w:style>
  <w:style w:type="character" w:customStyle="1" w:styleId="HeaderChar">
    <w:name w:val="Header Char"/>
    <w:link w:val="Header"/>
    <w:rsid w:val="00EE5C4E"/>
    <w:rPr>
      <w:rFonts w:ascii="Georgia" w:hAnsi="Georgia"/>
      <w:sz w:val="22"/>
      <w:szCs w:val="24"/>
      <w:lang w:eastAsia="de-DE"/>
    </w:rPr>
  </w:style>
  <w:style w:type="character" w:customStyle="1" w:styleId="FooterChar">
    <w:name w:val="Footer Char"/>
    <w:link w:val="Footer"/>
    <w:uiPriority w:val="99"/>
    <w:rsid w:val="00EE5C4E"/>
    <w:rPr>
      <w:rFonts w:ascii="Georgia" w:hAnsi="Georgia"/>
      <w:sz w:val="22"/>
      <w:szCs w:val="24"/>
      <w:lang w:eastAsia="de-DE"/>
    </w:rPr>
  </w:style>
  <w:style w:type="character" w:customStyle="1" w:styleId="Heading2Char">
    <w:name w:val="Heading 2 Char"/>
    <w:link w:val="Heading2"/>
    <w:uiPriority w:val="9"/>
    <w:rsid w:val="00EE5C4E"/>
    <w:rPr>
      <w:rFonts w:ascii="Georgia" w:hAnsi="Georgia"/>
      <w:b/>
      <w:szCs w:val="24"/>
      <w:lang w:eastAsia="de-DE"/>
    </w:rPr>
  </w:style>
  <w:style w:type="table" w:styleId="LightGrid-Accent1">
    <w:name w:val="Light Grid Accent 1"/>
    <w:basedOn w:val="TableNormal"/>
    <w:uiPriority w:val="62"/>
    <w:rsid w:val="00EE5C4E"/>
    <w:rPr>
      <w:rFonts w:ascii="Calibri"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Accent1">
    <w:name w:val="Light List Accent 1"/>
    <w:basedOn w:val="TableNormal"/>
    <w:uiPriority w:val="61"/>
    <w:rsid w:val="00EE5C4E"/>
    <w:rPr>
      <w:rFonts w:ascii="Calibri"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EE5C4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odytext">
    <w:name w:val="bodytext"/>
    <w:basedOn w:val="Normal"/>
    <w:rsid w:val="00EE5C4E"/>
    <w:pPr>
      <w:spacing w:after="120" w:line="420" w:lineRule="atLeast"/>
    </w:pPr>
    <w:rPr>
      <w:rFonts w:ascii="Times New Roman" w:hAnsi="Times New Roman"/>
      <w:sz w:val="24"/>
      <w:lang w:eastAsia="en-GB"/>
    </w:rPr>
  </w:style>
  <w:style w:type="paragraph" w:customStyle="1" w:styleId="MyUnderline">
    <w:name w:val="MyUnderline"/>
    <w:basedOn w:val="Normal"/>
    <w:link w:val="MyUnderlineChar"/>
    <w:qFormat/>
    <w:rsid w:val="00EE5C4E"/>
    <w:pPr>
      <w:spacing w:before="240" w:after="240"/>
      <w:jc w:val="both"/>
    </w:pPr>
    <w:rPr>
      <w:b/>
      <w:szCs w:val="20"/>
      <w:u w:val="single"/>
    </w:rPr>
  </w:style>
  <w:style w:type="character" w:customStyle="1" w:styleId="MyUnderlineChar">
    <w:name w:val="MyUnderline Char"/>
    <w:basedOn w:val="DefaultParagraphFont"/>
    <w:link w:val="MyUnderline"/>
    <w:rsid w:val="00EE5C4E"/>
    <w:rPr>
      <w:rFonts w:ascii="Georgia" w:hAnsi="Georgia"/>
      <w:b/>
      <w:u w:val="single"/>
      <w:lang w:eastAsia="de-DE"/>
    </w:rPr>
  </w:style>
  <w:style w:type="paragraph" w:customStyle="1" w:styleId="Questions">
    <w:name w:val="Questions"/>
    <w:basedOn w:val="Caption"/>
    <w:link w:val="QuestionsChar"/>
    <w:qFormat/>
    <w:rsid w:val="005750B3"/>
    <w:pPr>
      <w:jc w:val="both"/>
    </w:pPr>
  </w:style>
  <w:style w:type="character" w:customStyle="1" w:styleId="QuestionsChar">
    <w:name w:val="Questions Char"/>
    <w:basedOn w:val="CaptionChar"/>
    <w:link w:val="Questions"/>
    <w:rsid w:val="005750B3"/>
    <w:rPr>
      <w:rFonts w:ascii="Georgia" w:hAnsi="Georgia"/>
      <w:b/>
      <w:bCs/>
      <w:sz w:val="18"/>
      <w:szCs w:val="18"/>
      <w:lang w:eastAsia="de-DE"/>
    </w:rPr>
  </w:style>
  <w:style w:type="paragraph" w:styleId="NormalWeb">
    <w:name w:val="Normal (Web)"/>
    <w:basedOn w:val="Normal"/>
    <w:uiPriority w:val="99"/>
    <w:unhideWhenUsed/>
    <w:rsid w:val="009E685C"/>
    <w:pPr>
      <w:spacing w:before="100" w:beforeAutospacing="1" w:after="100" w:afterAutospacing="1"/>
    </w:pPr>
    <w:rPr>
      <w:rFonts w:ascii="Times New Roman" w:hAnsi="Times New Roman"/>
      <w:sz w:val="24"/>
      <w:lang w:eastAsia="en-GB"/>
    </w:rPr>
  </w:style>
</w:styles>
</file>

<file path=word/webSettings.xml><?xml version="1.0" encoding="utf-8"?>
<w:webSettings xmlns:r="http://schemas.openxmlformats.org/officeDocument/2006/relationships" xmlns:w="http://schemas.openxmlformats.org/wordprocessingml/2006/main">
  <w:divs>
    <w:div w:id="8145159">
      <w:bodyDiv w:val="1"/>
      <w:marLeft w:val="0"/>
      <w:marRight w:val="0"/>
      <w:marTop w:val="0"/>
      <w:marBottom w:val="0"/>
      <w:divBdr>
        <w:top w:val="none" w:sz="0" w:space="0" w:color="auto"/>
        <w:left w:val="none" w:sz="0" w:space="0" w:color="auto"/>
        <w:bottom w:val="none" w:sz="0" w:space="0" w:color="auto"/>
        <w:right w:val="none" w:sz="0" w:space="0" w:color="auto"/>
      </w:divBdr>
    </w:div>
    <w:div w:id="30494419">
      <w:bodyDiv w:val="1"/>
      <w:marLeft w:val="0"/>
      <w:marRight w:val="0"/>
      <w:marTop w:val="0"/>
      <w:marBottom w:val="0"/>
      <w:divBdr>
        <w:top w:val="none" w:sz="0" w:space="0" w:color="auto"/>
        <w:left w:val="none" w:sz="0" w:space="0" w:color="auto"/>
        <w:bottom w:val="none" w:sz="0" w:space="0" w:color="auto"/>
        <w:right w:val="none" w:sz="0" w:space="0" w:color="auto"/>
      </w:divBdr>
    </w:div>
    <w:div w:id="50467441">
      <w:bodyDiv w:val="1"/>
      <w:marLeft w:val="0"/>
      <w:marRight w:val="0"/>
      <w:marTop w:val="0"/>
      <w:marBottom w:val="0"/>
      <w:divBdr>
        <w:top w:val="none" w:sz="0" w:space="0" w:color="auto"/>
        <w:left w:val="none" w:sz="0" w:space="0" w:color="auto"/>
        <w:bottom w:val="none" w:sz="0" w:space="0" w:color="auto"/>
        <w:right w:val="none" w:sz="0" w:space="0" w:color="auto"/>
      </w:divBdr>
    </w:div>
    <w:div w:id="322707649">
      <w:bodyDiv w:val="1"/>
      <w:marLeft w:val="0"/>
      <w:marRight w:val="0"/>
      <w:marTop w:val="0"/>
      <w:marBottom w:val="0"/>
      <w:divBdr>
        <w:top w:val="none" w:sz="0" w:space="0" w:color="auto"/>
        <w:left w:val="none" w:sz="0" w:space="0" w:color="auto"/>
        <w:bottom w:val="none" w:sz="0" w:space="0" w:color="auto"/>
        <w:right w:val="none" w:sz="0" w:space="0" w:color="auto"/>
      </w:divBdr>
    </w:div>
    <w:div w:id="355544930">
      <w:bodyDiv w:val="1"/>
      <w:marLeft w:val="0"/>
      <w:marRight w:val="0"/>
      <w:marTop w:val="0"/>
      <w:marBottom w:val="0"/>
      <w:divBdr>
        <w:top w:val="none" w:sz="0" w:space="0" w:color="auto"/>
        <w:left w:val="none" w:sz="0" w:space="0" w:color="auto"/>
        <w:bottom w:val="none" w:sz="0" w:space="0" w:color="auto"/>
        <w:right w:val="none" w:sz="0" w:space="0" w:color="auto"/>
      </w:divBdr>
    </w:div>
    <w:div w:id="460459230">
      <w:bodyDiv w:val="1"/>
      <w:marLeft w:val="0"/>
      <w:marRight w:val="0"/>
      <w:marTop w:val="0"/>
      <w:marBottom w:val="0"/>
      <w:divBdr>
        <w:top w:val="none" w:sz="0" w:space="0" w:color="auto"/>
        <w:left w:val="none" w:sz="0" w:space="0" w:color="auto"/>
        <w:bottom w:val="none" w:sz="0" w:space="0" w:color="auto"/>
        <w:right w:val="none" w:sz="0" w:space="0" w:color="auto"/>
      </w:divBdr>
    </w:div>
    <w:div w:id="958608826">
      <w:bodyDiv w:val="1"/>
      <w:marLeft w:val="0"/>
      <w:marRight w:val="0"/>
      <w:marTop w:val="0"/>
      <w:marBottom w:val="0"/>
      <w:divBdr>
        <w:top w:val="none" w:sz="0" w:space="0" w:color="auto"/>
        <w:left w:val="none" w:sz="0" w:space="0" w:color="auto"/>
        <w:bottom w:val="none" w:sz="0" w:space="0" w:color="auto"/>
        <w:right w:val="none" w:sz="0" w:space="0" w:color="auto"/>
      </w:divBdr>
    </w:div>
    <w:div w:id="959147217">
      <w:bodyDiv w:val="1"/>
      <w:marLeft w:val="0"/>
      <w:marRight w:val="0"/>
      <w:marTop w:val="0"/>
      <w:marBottom w:val="0"/>
      <w:divBdr>
        <w:top w:val="none" w:sz="0" w:space="0" w:color="auto"/>
        <w:left w:val="none" w:sz="0" w:space="0" w:color="auto"/>
        <w:bottom w:val="none" w:sz="0" w:space="0" w:color="auto"/>
        <w:right w:val="none" w:sz="0" w:space="0" w:color="auto"/>
      </w:divBdr>
    </w:div>
    <w:div w:id="1032726713">
      <w:bodyDiv w:val="1"/>
      <w:marLeft w:val="0"/>
      <w:marRight w:val="0"/>
      <w:marTop w:val="0"/>
      <w:marBottom w:val="0"/>
      <w:divBdr>
        <w:top w:val="none" w:sz="0" w:space="0" w:color="auto"/>
        <w:left w:val="none" w:sz="0" w:space="0" w:color="auto"/>
        <w:bottom w:val="none" w:sz="0" w:space="0" w:color="auto"/>
        <w:right w:val="none" w:sz="0" w:space="0" w:color="auto"/>
      </w:divBdr>
    </w:div>
    <w:div w:id="1059206368">
      <w:bodyDiv w:val="1"/>
      <w:marLeft w:val="0"/>
      <w:marRight w:val="0"/>
      <w:marTop w:val="0"/>
      <w:marBottom w:val="0"/>
      <w:divBdr>
        <w:top w:val="none" w:sz="0" w:space="0" w:color="auto"/>
        <w:left w:val="none" w:sz="0" w:space="0" w:color="auto"/>
        <w:bottom w:val="none" w:sz="0" w:space="0" w:color="auto"/>
        <w:right w:val="none" w:sz="0" w:space="0" w:color="auto"/>
      </w:divBdr>
    </w:div>
    <w:div w:id="1143542853">
      <w:bodyDiv w:val="1"/>
      <w:marLeft w:val="0"/>
      <w:marRight w:val="0"/>
      <w:marTop w:val="0"/>
      <w:marBottom w:val="0"/>
      <w:divBdr>
        <w:top w:val="none" w:sz="0" w:space="0" w:color="auto"/>
        <w:left w:val="none" w:sz="0" w:space="0" w:color="auto"/>
        <w:bottom w:val="none" w:sz="0" w:space="0" w:color="auto"/>
        <w:right w:val="none" w:sz="0" w:space="0" w:color="auto"/>
      </w:divBdr>
    </w:div>
    <w:div w:id="1187141380">
      <w:bodyDiv w:val="1"/>
      <w:marLeft w:val="0"/>
      <w:marRight w:val="0"/>
      <w:marTop w:val="0"/>
      <w:marBottom w:val="0"/>
      <w:divBdr>
        <w:top w:val="none" w:sz="0" w:space="0" w:color="auto"/>
        <w:left w:val="none" w:sz="0" w:space="0" w:color="auto"/>
        <w:bottom w:val="none" w:sz="0" w:space="0" w:color="auto"/>
        <w:right w:val="none" w:sz="0" w:space="0" w:color="auto"/>
      </w:divBdr>
    </w:div>
    <w:div w:id="1227686941">
      <w:bodyDiv w:val="1"/>
      <w:marLeft w:val="0"/>
      <w:marRight w:val="0"/>
      <w:marTop w:val="0"/>
      <w:marBottom w:val="0"/>
      <w:divBdr>
        <w:top w:val="none" w:sz="0" w:space="0" w:color="auto"/>
        <w:left w:val="none" w:sz="0" w:space="0" w:color="auto"/>
        <w:bottom w:val="none" w:sz="0" w:space="0" w:color="auto"/>
        <w:right w:val="none" w:sz="0" w:space="0" w:color="auto"/>
      </w:divBdr>
    </w:div>
    <w:div w:id="1238327554">
      <w:bodyDiv w:val="1"/>
      <w:marLeft w:val="0"/>
      <w:marRight w:val="0"/>
      <w:marTop w:val="0"/>
      <w:marBottom w:val="0"/>
      <w:divBdr>
        <w:top w:val="none" w:sz="0" w:space="0" w:color="auto"/>
        <w:left w:val="none" w:sz="0" w:space="0" w:color="auto"/>
        <w:bottom w:val="none" w:sz="0" w:space="0" w:color="auto"/>
        <w:right w:val="none" w:sz="0" w:space="0" w:color="auto"/>
      </w:divBdr>
      <w:divsChild>
        <w:div w:id="2040622582">
          <w:marLeft w:val="0"/>
          <w:marRight w:val="0"/>
          <w:marTop w:val="0"/>
          <w:marBottom w:val="0"/>
          <w:divBdr>
            <w:top w:val="none" w:sz="0" w:space="0" w:color="auto"/>
            <w:left w:val="none" w:sz="0" w:space="0" w:color="auto"/>
            <w:bottom w:val="none" w:sz="0" w:space="0" w:color="auto"/>
            <w:right w:val="none" w:sz="0" w:space="0" w:color="auto"/>
          </w:divBdr>
        </w:div>
        <w:div w:id="248082178">
          <w:marLeft w:val="0"/>
          <w:marRight w:val="0"/>
          <w:marTop w:val="0"/>
          <w:marBottom w:val="0"/>
          <w:divBdr>
            <w:top w:val="none" w:sz="0" w:space="0" w:color="auto"/>
            <w:left w:val="none" w:sz="0" w:space="0" w:color="auto"/>
            <w:bottom w:val="none" w:sz="0" w:space="0" w:color="auto"/>
            <w:right w:val="none" w:sz="0" w:space="0" w:color="auto"/>
          </w:divBdr>
        </w:div>
        <w:div w:id="1013218456">
          <w:marLeft w:val="0"/>
          <w:marRight w:val="0"/>
          <w:marTop w:val="0"/>
          <w:marBottom w:val="0"/>
          <w:divBdr>
            <w:top w:val="none" w:sz="0" w:space="0" w:color="auto"/>
            <w:left w:val="none" w:sz="0" w:space="0" w:color="auto"/>
            <w:bottom w:val="none" w:sz="0" w:space="0" w:color="auto"/>
            <w:right w:val="none" w:sz="0" w:space="0" w:color="auto"/>
          </w:divBdr>
        </w:div>
        <w:div w:id="2022390621">
          <w:marLeft w:val="0"/>
          <w:marRight w:val="0"/>
          <w:marTop w:val="0"/>
          <w:marBottom w:val="0"/>
          <w:divBdr>
            <w:top w:val="none" w:sz="0" w:space="0" w:color="auto"/>
            <w:left w:val="none" w:sz="0" w:space="0" w:color="auto"/>
            <w:bottom w:val="none" w:sz="0" w:space="0" w:color="auto"/>
            <w:right w:val="none" w:sz="0" w:space="0" w:color="auto"/>
          </w:divBdr>
        </w:div>
        <w:div w:id="2069450515">
          <w:marLeft w:val="0"/>
          <w:marRight w:val="0"/>
          <w:marTop w:val="0"/>
          <w:marBottom w:val="0"/>
          <w:divBdr>
            <w:top w:val="none" w:sz="0" w:space="0" w:color="auto"/>
            <w:left w:val="none" w:sz="0" w:space="0" w:color="auto"/>
            <w:bottom w:val="none" w:sz="0" w:space="0" w:color="auto"/>
            <w:right w:val="none" w:sz="0" w:space="0" w:color="auto"/>
          </w:divBdr>
        </w:div>
        <w:div w:id="686950062">
          <w:marLeft w:val="0"/>
          <w:marRight w:val="0"/>
          <w:marTop w:val="0"/>
          <w:marBottom w:val="0"/>
          <w:divBdr>
            <w:top w:val="none" w:sz="0" w:space="0" w:color="auto"/>
            <w:left w:val="none" w:sz="0" w:space="0" w:color="auto"/>
            <w:bottom w:val="none" w:sz="0" w:space="0" w:color="auto"/>
            <w:right w:val="none" w:sz="0" w:space="0" w:color="auto"/>
          </w:divBdr>
        </w:div>
        <w:div w:id="1501771831">
          <w:marLeft w:val="0"/>
          <w:marRight w:val="0"/>
          <w:marTop w:val="0"/>
          <w:marBottom w:val="0"/>
          <w:divBdr>
            <w:top w:val="none" w:sz="0" w:space="0" w:color="auto"/>
            <w:left w:val="none" w:sz="0" w:space="0" w:color="auto"/>
            <w:bottom w:val="none" w:sz="0" w:space="0" w:color="auto"/>
            <w:right w:val="none" w:sz="0" w:space="0" w:color="auto"/>
          </w:divBdr>
        </w:div>
        <w:div w:id="647562936">
          <w:marLeft w:val="0"/>
          <w:marRight w:val="0"/>
          <w:marTop w:val="0"/>
          <w:marBottom w:val="0"/>
          <w:divBdr>
            <w:top w:val="none" w:sz="0" w:space="0" w:color="auto"/>
            <w:left w:val="none" w:sz="0" w:space="0" w:color="auto"/>
            <w:bottom w:val="none" w:sz="0" w:space="0" w:color="auto"/>
            <w:right w:val="none" w:sz="0" w:space="0" w:color="auto"/>
          </w:divBdr>
        </w:div>
        <w:div w:id="951521817">
          <w:marLeft w:val="0"/>
          <w:marRight w:val="0"/>
          <w:marTop w:val="0"/>
          <w:marBottom w:val="0"/>
          <w:divBdr>
            <w:top w:val="none" w:sz="0" w:space="0" w:color="auto"/>
            <w:left w:val="none" w:sz="0" w:space="0" w:color="auto"/>
            <w:bottom w:val="none" w:sz="0" w:space="0" w:color="auto"/>
            <w:right w:val="none" w:sz="0" w:space="0" w:color="auto"/>
          </w:divBdr>
        </w:div>
        <w:div w:id="1616600407">
          <w:marLeft w:val="0"/>
          <w:marRight w:val="0"/>
          <w:marTop w:val="0"/>
          <w:marBottom w:val="0"/>
          <w:divBdr>
            <w:top w:val="none" w:sz="0" w:space="0" w:color="auto"/>
            <w:left w:val="none" w:sz="0" w:space="0" w:color="auto"/>
            <w:bottom w:val="none" w:sz="0" w:space="0" w:color="auto"/>
            <w:right w:val="none" w:sz="0" w:space="0" w:color="auto"/>
          </w:divBdr>
        </w:div>
        <w:div w:id="1714571584">
          <w:marLeft w:val="0"/>
          <w:marRight w:val="0"/>
          <w:marTop w:val="0"/>
          <w:marBottom w:val="0"/>
          <w:divBdr>
            <w:top w:val="none" w:sz="0" w:space="0" w:color="auto"/>
            <w:left w:val="none" w:sz="0" w:space="0" w:color="auto"/>
            <w:bottom w:val="none" w:sz="0" w:space="0" w:color="auto"/>
            <w:right w:val="none" w:sz="0" w:space="0" w:color="auto"/>
          </w:divBdr>
        </w:div>
      </w:divsChild>
    </w:div>
    <w:div w:id="1408531991">
      <w:bodyDiv w:val="1"/>
      <w:marLeft w:val="0"/>
      <w:marRight w:val="0"/>
      <w:marTop w:val="0"/>
      <w:marBottom w:val="0"/>
      <w:divBdr>
        <w:top w:val="none" w:sz="0" w:space="0" w:color="auto"/>
        <w:left w:val="none" w:sz="0" w:space="0" w:color="auto"/>
        <w:bottom w:val="none" w:sz="0" w:space="0" w:color="auto"/>
        <w:right w:val="none" w:sz="0" w:space="0" w:color="auto"/>
      </w:divBdr>
    </w:div>
    <w:div w:id="1422530114">
      <w:bodyDiv w:val="1"/>
      <w:marLeft w:val="0"/>
      <w:marRight w:val="0"/>
      <w:marTop w:val="0"/>
      <w:marBottom w:val="0"/>
      <w:divBdr>
        <w:top w:val="none" w:sz="0" w:space="0" w:color="auto"/>
        <w:left w:val="none" w:sz="0" w:space="0" w:color="auto"/>
        <w:bottom w:val="none" w:sz="0" w:space="0" w:color="auto"/>
        <w:right w:val="none" w:sz="0" w:space="0" w:color="auto"/>
      </w:divBdr>
    </w:div>
    <w:div w:id="1489665777">
      <w:bodyDiv w:val="1"/>
      <w:marLeft w:val="0"/>
      <w:marRight w:val="0"/>
      <w:marTop w:val="0"/>
      <w:marBottom w:val="0"/>
      <w:divBdr>
        <w:top w:val="none" w:sz="0" w:space="0" w:color="auto"/>
        <w:left w:val="none" w:sz="0" w:space="0" w:color="auto"/>
        <w:bottom w:val="none" w:sz="0" w:space="0" w:color="auto"/>
        <w:right w:val="none" w:sz="0" w:space="0" w:color="auto"/>
      </w:divBdr>
    </w:div>
    <w:div w:id="1612591031">
      <w:bodyDiv w:val="1"/>
      <w:marLeft w:val="0"/>
      <w:marRight w:val="0"/>
      <w:marTop w:val="0"/>
      <w:marBottom w:val="0"/>
      <w:divBdr>
        <w:top w:val="none" w:sz="0" w:space="0" w:color="auto"/>
        <w:left w:val="none" w:sz="0" w:space="0" w:color="auto"/>
        <w:bottom w:val="none" w:sz="0" w:space="0" w:color="auto"/>
        <w:right w:val="none" w:sz="0" w:space="0" w:color="auto"/>
      </w:divBdr>
    </w:div>
    <w:div w:id="1659456974">
      <w:bodyDiv w:val="1"/>
      <w:marLeft w:val="0"/>
      <w:marRight w:val="0"/>
      <w:marTop w:val="0"/>
      <w:marBottom w:val="0"/>
      <w:divBdr>
        <w:top w:val="none" w:sz="0" w:space="0" w:color="auto"/>
        <w:left w:val="none" w:sz="0" w:space="0" w:color="auto"/>
        <w:bottom w:val="none" w:sz="0" w:space="0" w:color="auto"/>
        <w:right w:val="none" w:sz="0" w:space="0" w:color="auto"/>
      </w:divBdr>
    </w:div>
    <w:div w:id="1694106863">
      <w:bodyDiv w:val="1"/>
      <w:marLeft w:val="0"/>
      <w:marRight w:val="0"/>
      <w:marTop w:val="0"/>
      <w:marBottom w:val="0"/>
      <w:divBdr>
        <w:top w:val="none" w:sz="0" w:space="0" w:color="auto"/>
        <w:left w:val="none" w:sz="0" w:space="0" w:color="auto"/>
        <w:bottom w:val="none" w:sz="0" w:space="0" w:color="auto"/>
        <w:right w:val="none" w:sz="0" w:space="0" w:color="auto"/>
      </w:divBdr>
    </w:div>
    <w:div w:id="1701321273">
      <w:bodyDiv w:val="1"/>
      <w:marLeft w:val="0"/>
      <w:marRight w:val="0"/>
      <w:marTop w:val="0"/>
      <w:marBottom w:val="0"/>
      <w:divBdr>
        <w:top w:val="none" w:sz="0" w:space="0" w:color="auto"/>
        <w:left w:val="none" w:sz="0" w:space="0" w:color="auto"/>
        <w:bottom w:val="none" w:sz="0" w:space="0" w:color="auto"/>
        <w:right w:val="none" w:sz="0" w:space="0" w:color="auto"/>
      </w:divBdr>
    </w:div>
    <w:div w:id="1786384946">
      <w:bodyDiv w:val="1"/>
      <w:marLeft w:val="0"/>
      <w:marRight w:val="0"/>
      <w:marTop w:val="0"/>
      <w:marBottom w:val="0"/>
      <w:divBdr>
        <w:top w:val="none" w:sz="0" w:space="0" w:color="auto"/>
        <w:left w:val="none" w:sz="0" w:space="0" w:color="auto"/>
        <w:bottom w:val="none" w:sz="0" w:space="0" w:color="auto"/>
        <w:right w:val="none" w:sz="0" w:space="0" w:color="auto"/>
      </w:divBdr>
    </w:div>
    <w:div w:id="1961960390">
      <w:bodyDiv w:val="1"/>
      <w:marLeft w:val="0"/>
      <w:marRight w:val="0"/>
      <w:marTop w:val="0"/>
      <w:marBottom w:val="0"/>
      <w:divBdr>
        <w:top w:val="none" w:sz="0" w:space="0" w:color="auto"/>
        <w:left w:val="none" w:sz="0" w:space="0" w:color="auto"/>
        <w:bottom w:val="none" w:sz="0" w:space="0" w:color="auto"/>
        <w:right w:val="none" w:sz="0" w:space="0" w:color="auto"/>
      </w:divBdr>
    </w:div>
    <w:div w:id="2012564195">
      <w:bodyDiv w:val="1"/>
      <w:marLeft w:val="0"/>
      <w:marRight w:val="0"/>
      <w:marTop w:val="0"/>
      <w:marBottom w:val="0"/>
      <w:divBdr>
        <w:top w:val="none" w:sz="0" w:space="0" w:color="auto"/>
        <w:left w:val="none" w:sz="0" w:space="0" w:color="auto"/>
        <w:bottom w:val="none" w:sz="0" w:space="0" w:color="auto"/>
        <w:right w:val="none" w:sz="0" w:space="0" w:color="auto"/>
      </w:divBdr>
    </w:div>
    <w:div w:id="204944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ma.europa.eu"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ma.europa.e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T:\ESMA%20templates%202013\External%20documents\2013-0000%20Repor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9"/>
        <w:category>
          <w:name w:val="General"/>
          <w:gallery w:val="placeholder"/>
        </w:category>
        <w:types>
          <w:type w:val="bbPlcHdr"/>
        </w:types>
        <w:behaviors>
          <w:behavior w:val="content"/>
        </w:behaviors>
        <w:guid w:val="{02331CB5-FD25-45E8-8B7F-BB6FD4362B4D}"/>
      </w:docPartPr>
      <w:docPartBody>
        <w:p w:rsidR="00661608" w:rsidRDefault="000F64E6">
          <w:r w:rsidRPr="000E3791">
            <w:rPr>
              <w:rStyle w:val="PlaceholderText"/>
            </w:rPr>
            <w:t>Choose an item.</w:t>
          </w:r>
        </w:p>
      </w:docPartBody>
    </w:docPart>
    <w:docPart>
      <w:docPartPr>
        <w:name w:val="29B3C0A1C36843AB95CE1BDF313CA2A2"/>
        <w:category>
          <w:name w:val="General"/>
          <w:gallery w:val="placeholder"/>
        </w:category>
        <w:types>
          <w:type w:val="bbPlcHdr"/>
        </w:types>
        <w:behaviors>
          <w:behavior w:val="content"/>
        </w:behaviors>
        <w:guid w:val="{6BD31672-A8F4-44C9-9EE9-974F2BB379BB}"/>
      </w:docPartPr>
      <w:docPartBody>
        <w:p w:rsidR="00661608" w:rsidRDefault="000F64E6" w:rsidP="000F64E6">
          <w:pPr>
            <w:pStyle w:val="29B3C0A1C36843AB95CE1BDF313CA2A2"/>
          </w:pPr>
          <w:r w:rsidRPr="000E3791">
            <w:rPr>
              <w:rStyle w:val="PlaceholderText"/>
            </w:rPr>
            <w:t>Choose an item.</w:t>
          </w:r>
        </w:p>
      </w:docPartBody>
    </w:docPart>
    <w:docPart>
      <w:docPartPr>
        <w:name w:val="F0305A30DDBA475F87323578BE1A7B3F"/>
        <w:category>
          <w:name w:val="General"/>
          <w:gallery w:val="placeholder"/>
        </w:category>
        <w:types>
          <w:type w:val="bbPlcHdr"/>
        </w:types>
        <w:behaviors>
          <w:behavior w:val="content"/>
        </w:behaviors>
        <w:guid w:val="{8279ABAC-8030-4011-90A5-E35ABABD83C4}"/>
      </w:docPartPr>
      <w:docPartBody>
        <w:p w:rsidR="00661608" w:rsidRDefault="000F64E6" w:rsidP="000F64E6">
          <w:pPr>
            <w:pStyle w:val="F0305A30DDBA475F87323578BE1A7B3F"/>
          </w:pPr>
          <w:r w:rsidRPr="000E379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A00002BF" w:usb1="68C7FCFB" w:usb2="00000010" w:usb3="00000000" w:csb0="0002009F" w:csb1="00000000"/>
  </w:font>
  <w:font w:name="Expert Sans Regular">
    <w:panose1 w:val="00000500000000000000"/>
    <w:charset w:val="00"/>
    <w:family w:val="auto"/>
    <w:notTrueType/>
    <w:pitch w:val="variable"/>
    <w:sig w:usb0="00000083" w:usb1="00000000" w:usb2="00000000" w:usb3="00000000" w:csb0="00000009" w:csb1="00000000"/>
  </w:font>
  <w:font w:name="SimSun">
    <w:altName w:val="宋体"/>
    <w:panose1 w:val="02010600030101010101"/>
    <w:charset w:val="86"/>
    <w:family w:val="auto"/>
    <w:pitch w:val="variable"/>
    <w:sig w:usb0="00000003" w:usb1="080E0000" w:usb2="00000010"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sDel="0" w:formatting="0" w:inkAnnotations="0"/>
  <w:defaultTabStop w:val="720"/>
  <w:characterSpacingControl w:val="doNotCompress"/>
  <w:compat>
    <w:useFELayout/>
  </w:compat>
  <w:rsids>
    <w:rsidRoot w:val="000F64E6"/>
    <w:rsid w:val="000F64E6"/>
    <w:rsid w:val="00661608"/>
    <w:rsid w:val="006F2C50"/>
    <w:rsid w:val="008D50B6"/>
    <w:rsid w:val="00A85606"/>
    <w:rsid w:val="00BD247C"/>
    <w:rsid w:val="00CD4D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6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1608"/>
    <w:rPr>
      <w:color w:val="808080"/>
    </w:rPr>
  </w:style>
  <w:style w:type="paragraph" w:customStyle="1" w:styleId="29B3C0A1C36843AB95CE1BDF313CA2A2">
    <w:name w:val="29B3C0A1C36843AB95CE1BDF313CA2A2"/>
    <w:rsid w:val="000F64E6"/>
  </w:style>
  <w:style w:type="paragraph" w:customStyle="1" w:styleId="F0305A30DDBA475F87323578BE1A7B3F">
    <w:name w:val="F0305A30DDBA475F87323578BE1A7B3F"/>
    <w:rsid w:val="000F64E6"/>
  </w:style>
  <w:style w:type="paragraph" w:customStyle="1" w:styleId="AF14B81484EA47B29E0A99CBEEA2E36B">
    <w:name w:val="AF14B81484EA47B29E0A99CBEEA2E36B"/>
    <w:rsid w:val="00661608"/>
  </w:style>
  <w:style w:type="paragraph" w:customStyle="1" w:styleId="C7F06E0889454C2CB09A353212013518">
    <w:name w:val="C7F06E0889454C2CB09A353212013518"/>
    <w:rsid w:val="0066160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5B9D9-B164-4455-B76D-CE5DE6AB8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2013-0000 Report Template.dotx</Template>
  <TotalTime>1</TotalTime>
  <Pages>12</Pages>
  <Words>3975</Words>
  <Characters>22346</Characters>
  <Application>Microsoft Office Word</Application>
  <DocSecurity>8</DocSecurity>
  <Lines>186</Lines>
  <Paragraphs>52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20110000</vt:lpstr>
      <vt:lpstr>20110000</vt:lpstr>
    </vt:vector>
  </TitlesOfParts>
  <Company>Oxalide</Company>
  <LinksUpToDate>false</LinksUpToDate>
  <CharactersWithSpaces>26269</CharactersWithSpaces>
  <SharedDoc>false</SharedDoc>
  <HLinks>
    <vt:vector size="12" baseType="variant">
      <vt:variant>
        <vt:i4>3932286</vt:i4>
      </vt:variant>
      <vt:variant>
        <vt:i4>17</vt:i4>
      </vt:variant>
      <vt:variant>
        <vt:i4>0</vt:i4>
      </vt:variant>
      <vt:variant>
        <vt:i4>5</vt:i4>
      </vt:variant>
      <vt:variant>
        <vt:lpwstr>http://www.esma.europa.eu/</vt:lpwstr>
      </vt:variant>
      <vt:variant>
        <vt:lpwstr/>
      </vt:variant>
      <vt:variant>
        <vt:i4>3932286</vt:i4>
      </vt:variant>
      <vt:variant>
        <vt:i4>14</vt:i4>
      </vt:variant>
      <vt:variant>
        <vt:i4>0</vt:i4>
      </vt:variant>
      <vt:variant>
        <vt:i4>5</vt:i4>
      </vt:variant>
      <vt:variant>
        <vt:lpwstr>http://www.esma.europa.eu/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20110000</dc:title>
  <dc:creator>Chloe</dc:creator>
  <cp:lastModifiedBy>vosburgm</cp:lastModifiedBy>
  <cp:revision>2</cp:revision>
  <cp:lastPrinted>2014-07-10T08:22:00Z</cp:lastPrinted>
  <dcterms:created xsi:type="dcterms:W3CDTF">2014-08-18T21:48:00Z</dcterms:created>
  <dcterms:modified xsi:type="dcterms:W3CDTF">2014-08-18T21:48:00Z</dcterms:modified>
</cp:coreProperties>
</file>