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A6DAE" w14:paraId="62AC8328" w14:textId="77777777" w:rsidTr="000C3B6D">
        <w:trPr>
          <w:trHeight w:val="284"/>
        </w:trPr>
        <w:tc>
          <w:tcPr>
            <w:tcW w:w="9412" w:type="dxa"/>
          </w:tcPr>
          <w:p w14:paraId="0A365D78" w14:textId="0BBB9ABF" w:rsidR="00C2094B" w:rsidRPr="00AA6DAE" w:rsidRDefault="005D255E" w:rsidP="00696C23">
            <w:pPr>
              <w:pStyle w:val="00bDBInfo"/>
            </w:pPr>
            <w:r>
              <w:t>11</w:t>
            </w:r>
            <w:r w:rsidR="00711212">
              <w:t xml:space="preserve"> July 2014</w:t>
            </w:r>
            <w:r w:rsidR="00C2094B" w:rsidRPr="00AA6DAE">
              <w:t>|</w:t>
            </w:r>
            <w:r w:rsidR="007102FB">
              <w:t>2014/</w:t>
            </w:r>
            <w:r w:rsidR="00696C23">
              <w:t>799 Reply Form</w:t>
            </w:r>
          </w:p>
        </w:tc>
      </w:tr>
    </w:tbl>
    <w:p w14:paraId="0F308913" w14:textId="77777777"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6B3CB5" w14:paraId="384E01F6" w14:textId="77777777" w:rsidTr="00200340">
        <w:trPr>
          <w:trHeight w:hRule="exact" w:val="907"/>
        </w:trPr>
        <w:tc>
          <w:tcPr>
            <w:tcW w:w="2325" w:type="dxa"/>
            <w:vAlign w:val="bottom"/>
          </w:tcPr>
          <w:bookmarkEnd w:id="0"/>
          <w:p w14:paraId="540754D3" w14:textId="1634F203" w:rsidR="006B3CB5" w:rsidRPr="00791EB4" w:rsidRDefault="00696C23" w:rsidP="0073272F">
            <w:pPr>
              <w:pStyle w:val="01aDBTitle"/>
            </w:pPr>
            <w:r>
              <w:t xml:space="preserve">Reply form to the </w:t>
            </w:r>
            <w:r w:rsidR="006B3CB5">
              <w:t xml:space="preserve">Consultation </w:t>
            </w:r>
            <w:r w:rsidR="0073272F">
              <w:t>Paper</w:t>
            </w:r>
            <w:r>
              <w:t xml:space="preserve"> on the Clearing Obligation under EMIR (no. 1)</w:t>
            </w:r>
          </w:p>
        </w:tc>
      </w:tr>
      <w:tr w:rsidR="006B3CB5" w:rsidRPr="00315E96" w14:paraId="688F03D2" w14:textId="77777777" w:rsidTr="00200340">
        <w:trPr>
          <w:trHeight w:hRule="exact" w:val="454"/>
        </w:trPr>
        <w:tc>
          <w:tcPr>
            <w:tcW w:w="2325" w:type="dxa"/>
            <w:tcMar>
              <w:top w:w="142" w:type="dxa"/>
            </w:tcMar>
          </w:tcPr>
          <w:p w14:paraId="23AE1602" w14:textId="08351BCF" w:rsidR="006B3CB5" w:rsidRPr="00060F72" w:rsidRDefault="006B3CB5" w:rsidP="00F358C5">
            <w:pPr>
              <w:pStyle w:val="01bDBSubtitle"/>
            </w:pPr>
          </w:p>
        </w:tc>
      </w:tr>
    </w:tbl>
    <w:p w14:paraId="519278DD" w14:textId="4074DFF8" w:rsidR="00620D7C" w:rsidRDefault="00620D7C" w:rsidP="00C00012">
      <w:pPr>
        <w:pStyle w:val="05HeadlinenoIndex"/>
        <w:sectPr w:rsidR="00620D7C"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14:paraId="36F7DBE7" w14:textId="77777777" w:rsidTr="000C3B6D">
        <w:trPr>
          <w:trHeight w:hRule="exact" w:val="964"/>
        </w:trPr>
        <w:tc>
          <w:tcPr>
            <w:tcW w:w="2325" w:type="dxa"/>
          </w:tcPr>
          <w:p w14:paraId="7B338D80" w14:textId="5A1188F1" w:rsidR="00620D7C" w:rsidRPr="000A3888" w:rsidRDefault="00620D7C" w:rsidP="000C3B6D">
            <w:pPr>
              <w:pStyle w:val="02Date"/>
            </w:pPr>
            <w:r w:rsidRPr="000A3888">
              <w:lastRenderedPageBreak/>
              <w:t xml:space="preserve">Date: </w:t>
            </w:r>
            <w:r w:rsidR="00696C23">
              <w:t>1</w:t>
            </w:r>
            <w:r w:rsidR="005D255E">
              <w:t>1</w:t>
            </w:r>
            <w:r w:rsidR="00711212">
              <w:t xml:space="preserve"> July</w:t>
            </w:r>
            <w:r w:rsidR="00B73315" w:rsidRPr="000A3888">
              <w:t xml:space="preserve"> 2014</w:t>
            </w:r>
          </w:p>
          <w:p w14:paraId="03C851D4" w14:textId="778304D7" w:rsidR="00620D7C" w:rsidRDefault="00BD0C23" w:rsidP="00696C23">
            <w:pPr>
              <w:pStyle w:val="02Date"/>
            </w:pPr>
            <w:r w:rsidRPr="000A3888">
              <w:t>2014</w:t>
            </w:r>
            <w:r w:rsidR="00711212">
              <w:t>/</w:t>
            </w:r>
            <w:r w:rsidR="00696C23">
              <w:t>799 Reply Form</w:t>
            </w:r>
          </w:p>
        </w:tc>
      </w:tr>
    </w:tbl>
    <w:p w14:paraId="5DBBF4FF" w14:textId="77777777" w:rsidR="00DF759F" w:rsidRDefault="00DF759F" w:rsidP="00D3175A">
      <w:pPr>
        <w:pStyle w:val="05HeadlinenoIndex"/>
      </w:pPr>
    </w:p>
    <w:p w14:paraId="0EB2D0CD" w14:textId="77777777" w:rsidR="00AA6DAE" w:rsidRDefault="00DF759F" w:rsidP="00DF759F">
      <w:pPr>
        <w:pStyle w:val="05HeadlinenoIndex"/>
      </w:pPr>
      <w:r>
        <w:t xml:space="preserve">Responding to this paper </w:t>
      </w:r>
    </w:p>
    <w:p w14:paraId="2C1FB77D" w14:textId="0768E7E0" w:rsidR="009403B0" w:rsidRDefault="009403B0" w:rsidP="009403B0">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1), published on ESMA</w:t>
      </w:r>
      <w:r w:rsidR="00194117">
        <w:t>’s</w:t>
      </w:r>
      <w:r>
        <w:t xml:space="preserve"> website.</w:t>
      </w:r>
    </w:p>
    <w:p w14:paraId="4D2D04AB" w14:textId="77777777" w:rsidR="009403B0" w:rsidRDefault="009403B0" w:rsidP="009403B0">
      <w:pPr>
        <w:pStyle w:val="04BodyText"/>
      </w:pPr>
      <w:r>
        <w:t>Comments are most helpful if they:</w:t>
      </w:r>
    </w:p>
    <w:p w14:paraId="5318EEDC" w14:textId="77777777" w:rsidR="009403B0" w:rsidRPr="00F1632C" w:rsidRDefault="009403B0" w:rsidP="00F1632C">
      <w:pPr>
        <w:pStyle w:val="0MyBullet"/>
      </w:pPr>
      <w:r w:rsidRPr="00F1632C">
        <w:t>respond to the question stated;</w:t>
      </w:r>
    </w:p>
    <w:p w14:paraId="7FECF7B5" w14:textId="77777777" w:rsidR="009403B0" w:rsidRPr="00F1632C" w:rsidRDefault="009403B0" w:rsidP="00F1632C">
      <w:pPr>
        <w:pStyle w:val="0MyBullet"/>
      </w:pPr>
      <w:r w:rsidRPr="00F1632C">
        <w:t>contain a clear rationale; and</w:t>
      </w:r>
    </w:p>
    <w:p w14:paraId="40E7D3EA" w14:textId="77777777" w:rsidR="009403B0" w:rsidRPr="00F1632C" w:rsidRDefault="009403B0" w:rsidP="00F1632C">
      <w:pPr>
        <w:pStyle w:val="0MyBullet"/>
      </w:pPr>
      <w:r w:rsidRPr="00F1632C">
        <w:t>describe any alternatives ESMA should consider.</w:t>
      </w:r>
    </w:p>
    <w:p w14:paraId="15184490" w14:textId="77777777" w:rsidR="009403B0" w:rsidRPr="00F44F4C" w:rsidRDefault="009403B0" w:rsidP="00F1632C">
      <w:pPr>
        <w:pStyle w:val="04BodyText"/>
        <w:spacing w:before="240"/>
      </w:pPr>
      <w:r w:rsidRPr="004E1A0F">
        <w:t>To help you navigate this document more easily, bookmarks are available in “Navigation Pane” for Word 2010 and in “Document Map” for Word 2007.</w:t>
      </w:r>
    </w:p>
    <w:p w14:paraId="5F0B109E" w14:textId="77777777" w:rsidR="009403B0" w:rsidRPr="009403B0" w:rsidRDefault="009403B0" w:rsidP="009403B0">
      <w:pPr>
        <w:pStyle w:val="04BodyText"/>
        <w:rPr>
          <w:b/>
        </w:rPr>
      </w:pPr>
      <w:r w:rsidRPr="009403B0">
        <w:t xml:space="preserve">ESMA will consider all comments received by </w:t>
      </w:r>
      <w:r w:rsidRPr="009403B0">
        <w:rPr>
          <w:b/>
        </w:rPr>
        <w:t xml:space="preserve">18 August 2014. </w:t>
      </w:r>
    </w:p>
    <w:p w14:paraId="253FFA93" w14:textId="2390B33C" w:rsidR="009403B0" w:rsidRDefault="009403B0" w:rsidP="009403B0">
      <w:pPr>
        <w:pStyle w:val="04BodyText"/>
      </w:pPr>
      <w:r>
        <w:t xml:space="preserve">All contributions should be submitted online at </w:t>
      </w:r>
      <w:hyperlink r:id="rId12" w:history="1">
        <w:r w:rsidRPr="003A35A5">
          <w:rPr>
            <w:rStyle w:val="Hyperlink"/>
          </w:rPr>
          <w:t>www.esma.europa.eu</w:t>
        </w:r>
      </w:hyperlink>
      <w:r>
        <w:t xml:space="preserve"> under the heading ‘Your input - Consultations’. </w:t>
      </w:r>
    </w:p>
    <w:p w14:paraId="4660F4C4" w14:textId="5090F726" w:rsidR="009E685C" w:rsidRPr="009E685C" w:rsidRDefault="009E685C" w:rsidP="009E685C">
      <w:pPr>
        <w:pStyle w:val="04dBodyTextbold"/>
      </w:pPr>
      <w:r>
        <w:rPr>
          <w:bCs/>
        </w:rPr>
        <w:t>How to use this form to reply</w:t>
      </w:r>
    </w:p>
    <w:p w14:paraId="5DB2C82A" w14:textId="6466546E" w:rsidR="009E685C" w:rsidRDefault="009E685C" w:rsidP="009E685C">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14:paraId="684F5386" w14:textId="75D2C2B7" w:rsidR="009E685C" w:rsidRDefault="009E685C" w:rsidP="009E685C">
      <w:pPr>
        <w:pStyle w:val="04BodyText"/>
      </w:pPr>
      <w:r w:rsidRPr="009E685C">
        <w:t xml:space="preserve">Therefore, in responding </w:t>
      </w:r>
      <w:r>
        <w:t>you are kindly invited to proceed as follows</w:t>
      </w:r>
      <w:r w:rsidRPr="009E685C">
        <w:t>:</w:t>
      </w:r>
    </w:p>
    <w:p w14:paraId="33B506D5" w14:textId="3AA66C3D" w:rsidR="009E685C" w:rsidRDefault="009E685C" w:rsidP="00F1632C">
      <w:pPr>
        <w:pStyle w:val="0MyBullet"/>
        <w:ind w:left="714" w:hanging="357"/>
      </w:pPr>
      <w:r w:rsidRPr="009E685C">
        <w:t xml:space="preserve">use </w:t>
      </w:r>
      <w:r>
        <w:t>this form to reply</w:t>
      </w:r>
      <w:r w:rsidRPr="009E685C">
        <w:t xml:space="preserve"> and send </w:t>
      </w:r>
      <w:r>
        <w:t>your response</w:t>
      </w:r>
      <w:r w:rsidRPr="009E685C">
        <w:t xml:space="preserve"> in Word format;</w:t>
      </w:r>
    </w:p>
    <w:p w14:paraId="781F6AE9" w14:textId="02D7FBAB" w:rsidR="009E685C" w:rsidRDefault="009E685C" w:rsidP="00F1632C">
      <w:pPr>
        <w:pStyle w:val="0MyBullet"/>
        <w:ind w:left="714" w:hanging="357"/>
      </w:pPr>
      <w:r>
        <w:t>type your response in the fram</w:t>
      </w:r>
      <w:r w:rsidR="00E1116F">
        <w:t>e</w:t>
      </w:r>
      <w:r>
        <w:t xml:space="preserv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14:paraId="109AED28" w14:textId="06524FF8" w:rsidR="009E685C" w:rsidRPr="009E685C" w:rsidRDefault="009E685C" w:rsidP="00F1632C">
      <w:pPr>
        <w:pStyle w:val="0MyBullet"/>
        <w:ind w:left="714" w:hanging="357"/>
      </w:pPr>
      <w:r w:rsidRPr="009E685C">
        <w:t xml:space="preserve">if </w:t>
      </w:r>
      <w:r>
        <w:t xml:space="preserve">you </w:t>
      </w:r>
      <w:r w:rsidRPr="009E685C">
        <w:t xml:space="preserve">have no response to a question, </w:t>
      </w:r>
      <w:r w:rsidRPr="00F1632C">
        <w:t>do not delete the tags</w:t>
      </w:r>
      <w:r w:rsidRPr="009E685C">
        <w:t xml:space="preserve"> and leave the text “TYPE YOUR TEXT HERE” between the tags.</w:t>
      </w:r>
    </w:p>
    <w:p w14:paraId="3AB0C7A3" w14:textId="77777777" w:rsidR="00DF759F" w:rsidRDefault="00DF759F" w:rsidP="00DF759F">
      <w:pPr>
        <w:pStyle w:val="04dBodyTextbold"/>
      </w:pPr>
      <w:r>
        <w:t>Publication of responses</w:t>
      </w:r>
    </w:p>
    <w:p w14:paraId="2AE7901B" w14:textId="68DDC563"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0903820" w14:textId="77777777" w:rsidR="00DF759F" w:rsidRDefault="00DF759F" w:rsidP="00DF759F">
      <w:pPr>
        <w:pStyle w:val="04dBodyTextbold"/>
      </w:pPr>
      <w:r>
        <w:lastRenderedPageBreak/>
        <w:t>Data protection</w:t>
      </w:r>
    </w:p>
    <w:p w14:paraId="07C5CEB6" w14:textId="77777777" w:rsidR="00DF759F" w:rsidRDefault="00DF759F" w:rsidP="00DF759F">
      <w:pPr>
        <w:pStyle w:val="04BodyText"/>
      </w:pPr>
      <w:r>
        <w:t xml:space="preserve">Information on data protection can be found at </w:t>
      </w:r>
      <w:hyperlink r:id="rId13" w:history="1">
        <w:r w:rsidR="00157C5D" w:rsidRPr="003A35A5">
          <w:rPr>
            <w:rStyle w:val="Hyperlink"/>
          </w:rPr>
          <w:t>www.esma.europa.eu</w:t>
        </w:r>
      </w:hyperlink>
      <w:r w:rsidR="00157C5D">
        <w:t xml:space="preserve"> </w:t>
      </w:r>
      <w:r>
        <w:t>under the heading ‘</w:t>
      </w:r>
      <w:r w:rsidR="006C105D">
        <w:t>Legal Notice</w:t>
      </w:r>
      <w:r>
        <w:t>’.</w:t>
      </w:r>
    </w:p>
    <w:p w14:paraId="4A97E09A" w14:textId="77777777" w:rsidR="00DF759F" w:rsidRDefault="00DF759F" w:rsidP="00DF759F">
      <w:pPr>
        <w:pStyle w:val="04dBodyTextbold"/>
      </w:pPr>
      <w:r>
        <w:t>Who should read this paper</w:t>
      </w:r>
    </w:p>
    <w:p w14:paraId="1C7E4709" w14:textId="5B003C15"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14:paraId="330DE59E" w14:textId="77777777" w:rsidR="00A21A30" w:rsidRDefault="00A21A30">
      <w:pPr>
        <w:rPr>
          <w:szCs w:val="20"/>
        </w:rPr>
      </w:pPr>
      <w:r>
        <w:rPr>
          <w:szCs w:val="20"/>
        </w:rPr>
        <w:br w:type="page"/>
      </w:r>
    </w:p>
    <w:p w14:paraId="451FE908" w14:textId="60D7E795" w:rsidR="00AB1788" w:rsidRDefault="00AB1788" w:rsidP="00005941">
      <w:pPr>
        <w:pStyle w:val="Heading1"/>
        <w:numPr>
          <w:ilvl w:val="0"/>
          <w:numId w:val="0"/>
        </w:numPr>
      </w:pPr>
      <w: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9403B0" w14:paraId="35328A8F" w14:textId="77777777" w:rsidTr="00F84E69">
        <w:tc>
          <w:tcPr>
            <w:tcW w:w="3510" w:type="dxa"/>
          </w:tcPr>
          <w:p w14:paraId="183AF1CA" w14:textId="7E9F69D6" w:rsidR="009403B0" w:rsidRDefault="009403B0" w:rsidP="00F84E69">
            <w:r>
              <w:t>Name of the respondent</w:t>
            </w:r>
          </w:p>
        </w:tc>
        <w:tc>
          <w:tcPr>
            <w:tcW w:w="6118" w:type="dxa"/>
          </w:tcPr>
          <w:p w14:paraId="285A8F27" w14:textId="24DF464C" w:rsidR="009403B0" w:rsidRDefault="006A683A" w:rsidP="00E62FA2">
            <w:permStart w:id="2105415120" w:edGrp="everyone"/>
            <w:r>
              <w:t>NASDAQ OMX Clearing</w:t>
            </w:r>
            <w:permEnd w:id="2105415120"/>
          </w:p>
        </w:tc>
      </w:tr>
      <w:tr w:rsidR="00E62FA2" w14:paraId="056A0341" w14:textId="77777777" w:rsidTr="00F84E69">
        <w:tc>
          <w:tcPr>
            <w:tcW w:w="3510" w:type="dxa"/>
          </w:tcPr>
          <w:p w14:paraId="0AA20822" w14:textId="4D291B23" w:rsidR="00E62FA2" w:rsidRDefault="00F84E69" w:rsidP="00F84E69">
            <w:r>
              <w:t xml:space="preserve">Are you representing an </w:t>
            </w:r>
            <w:r w:rsidR="00E62FA2">
              <w:t>association?</w:t>
            </w:r>
          </w:p>
        </w:tc>
        <w:tc>
          <w:tcPr>
            <w:tcW w:w="6118" w:type="dxa"/>
          </w:tcPr>
          <w:p w14:paraId="051EB09C" w14:textId="0F1BB648" w:rsidR="00E62FA2" w:rsidRDefault="00031550" w:rsidP="00E62FA2">
            <w:sdt>
              <w:sdtPr>
                <w:alias w:val="Association"/>
                <w:tag w:val="Association"/>
                <w:id w:val="-1769143793"/>
                <w:placeholder>
                  <w:docPart w:val="29B3C0A1C36843AB95CE1BDF313CA2A2"/>
                </w:placeholder>
                <w:comboBox>
                  <w:listItem w:displayText="Yes" w:value="Yes"/>
                  <w:listItem w:displayText="No" w:value="No"/>
                </w:comboBox>
              </w:sdtPr>
              <w:sdtEndPr/>
              <w:sdtContent>
                <w:permStart w:id="678066391" w:edGrp="everyone"/>
                <w:r w:rsidR="006A683A">
                  <w:t>No</w:t>
                </w:r>
                <w:permEnd w:id="678066391"/>
              </w:sdtContent>
            </w:sdt>
          </w:p>
        </w:tc>
      </w:tr>
      <w:tr w:rsidR="00E62FA2" w14:paraId="503B3DE9" w14:textId="77777777" w:rsidTr="00F84E69">
        <w:tc>
          <w:tcPr>
            <w:tcW w:w="3510" w:type="dxa"/>
          </w:tcPr>
          <w:p w14:paraId="4F0B7907" w14:textId="1DC44A1C" w:rsidR="00E62FA2" w:rsidRDefault="00E62FA2" w:rsidP="00E62FA2">
            <w:r>
              <w:t>Activity</w:t>
            </w:r>
          </w:p>
        </w:tc>
        <w:tc>
          <w:tcPr>
            <w:tcW w:w="6118" w:type="dxa"/>
          </w:tcPr>
          <w:p w14:paraId="062EE607" w14:textId="0C3B9D71" w:rsidR="00E62FA2" w:rsidRDefault="00031550"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7802985" w:edGrp="everyone"/>
                <w:r w:rsidR="006A683A">
                  <w:t>Central Counterparty</w:t>
                </w:r>
                <w:permEnd w:id="77802985"/>
              </w:sdtContent>
            </w:sdt>
          </w:p>
        </w:tc>
      </w:tr>
      <w:tr w:rsidR="00E62FA2" w14:paraId="01514E1B" w14:textId="77777777" w:rsidTr="00F84E69">
        <w:tc>
          <w:tcPr>
            <w:tcW w:w="3510" w:type="dxa"/>
          </w:tcPr>
          <w:p w14:paraId="0BC2E34C" w14:textId="258A9A46"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37091592" w:edGrp="everyone" w:displacedByCustomXml="prev"/>
            <w:tc>
              <w:tcPr>
                <w:tcW w:w="6118" w:type="dxa"/>
              </w:tcPr>
              <w:p w14:paraId="4E96914E" w14:textId="19694595" w:rsidR="00E62FA2" w:rsidRDefault="006A683A" w:rsidP="00E62FA2">
                <w:r>
                  <w:t>Sweden</w:t>
                </w:r>
              </w:p>
            </w:tc>
            <w:permEnd w:id="837091592" w:displacedByCustomXml="next"/>
          </w:sdtContent>
        </w:sdt>
      </w:tr>
    </w:tbl>
    <w:p w14:paraId="65CEBBFE" w14:textId="73B3DEAD" w:rsidR="00AB1788" w:rsidRDefault="00AB1788" w:rsidP="00AB1788"/>
    <w:p w14:paraId="01106A00" w14:textId="77777777" w:rsidR="00940A63" w:rsidRDefault="00005941" w:rsidP="00940A63">
      <w:pPr>
        <w:pStyle w:val="Heading1"/>
        <w:numPr>
          <w:ilvl w:val="0"/>
          <w:numId w:val="0"/>
        </w:numPr>
      </w:pPr>
      <w:r>
        <w:br w:type="page"/>
      </w:r>
      <w:bookmarkStart w:id="1" w:name="_Toc392599420"/>
      <w:r w:rsidR="00940A63" w:rsidRPr="004C2CD3">
        <w:lastRenderedPageBreak/>
        <w:t>Introduction</w:t>
      </w:r>
      <w:bookmarkEnd w:id="1"/>
    </w:p>
    <w:p w14:paraId="17BF385A" w14:textId="77777777" w:rsidR="008203F7" w:rsidRDefault="008203F7" w:rsidP="008203F7"/>
    <w:p w14:paraId="1DE18D6B" w14:textId="15600D01" w:rsidR="008203F7" w:rsidRPr="008203F7" w:rsidRDefault="008203F7" w:rsidP="008203F7">
      <w:pPr>
        <w:rPr>
          <w:b/>
        </w:rPr>
      </w:pPr>
      <w:r w:rsidRPr="008203F7">
        <w:rPr>
          <w:b/>
        </w:rPr>
        <w:t>Please make your introductory comments below:</w:t>
      </w:r>
    </w:p>
    <w:p w14:paraId="4F51EF8E" w14:textId="77777777" w:rsidR="008203F7" w:rsidRDefault="008203F7" w:rsidP="008203F7"/>
    <w:p w14:paraId="7B840C8E" w14:textId="6968F3AD" w:rsidR="008203F7" w:rsidRDefault="008203F7" w:rsidP="008203F7">
      <w:r>
        <w:t>&lt;ESMA_COMMENT_1&gt;</w:t>
      </w:r>
    </w:p>
    <w:p w14:paraId="3506149F" w14:textId="77777777" w:rsidR="008B2F9A" w:rsidRDefault="008B2F9A" w:rsidP="008203F7">
      <w:permStart w:id="539376010" w:edGrp="everyone"/>
    </w:p>
    <w:permEnd w:id="539376010"/>
    <w:p w14:paraId="0ED26C21" w14:textId="4B75D022" w:rsidR="008203F7" w:rsidRPr="008203F7" w:rsidRDefault="008203F7" w:rsidP="008203F7">
      <w:r>
        <w:t>&lt;ESMA_COMMENT_1&gt;</w:t>
      </w:r>
    </w:p>
    <w:p w14:paraId="6DBF3C84" w14:textId="77777777" w:rsidR="00940A63" w:rsidRDefault="00940A63" w:rsidP="00940A63"/>
    <w:p w14:paraId="5C818ED6" w14:textId="1A516A94" w:rsidR="00940A63" w:rsidRPr="006D44AF" w:rsidRDefault="00E363D7" w:rsidP="00940A63">
      <w:pPr>
        <w:pStyle w:val="Heading1"/>
      </w:pPr>
      <w:bookmarkStart w:id="2" w:name="_Toc392599421"/>
      <w:r>
        <w:tab/>
      </w:r>
      <w:r w:rsidR="00940A63" w:rsidRPr="006D44AF">
        <w:t>The clearing obligation procedure</w:t>
      </w:r>
      <w:bookmarkStart w:id="3" w:name="_Toc391309264"/>
      <w:bookmarkStart w:id="4" w:name="_Toc391312004"/>
      <w:bookmarkStart w:id="5" w:name="_Toc391309265"/>
      <w:bookmarkStart w:id="6" w:name="_Toc391312005"/>
      <w:bookmarkEnd w:id="2"/>
      <w:bookmarkEnd w:id="3"/>
      <w:bookmarkEnd w:id="4"/>
      <w:bookmarkEnd w:id="5"/>
      <w:bookmarkEnd w:id="6"/>
    </w:p>
    <w:p w14:paraId="715188EC" w14:textId="77777777" w:rsidR="00940A63" w:rsidRDefault="00940A63" w:rsidP="00940A63"/>
    <w:p w14:paraId="5FFEB620" w14:textId="51C8E895" w:rsidR="00940A63" w:rsidRDefault="00940A63" w:rsidP="00940A63">
      <w:pPr>
        <w:pStyle w:val="Questions"/>
      </w:pPr>
      <w:r>
        <w:t xml:space="preserve">Question </w:t>
      </w:r>
      <w:fldSimple w:instr=" SEQ Question \* ARABIC ">
        <w:r w:rsidR="00A63BA9">
          <w:rPr>
            <w:noProof/>
          </w:rPr>
          <w:t>1</w:t>
        </w:r>
      </w:fldSimple>
      <w:r>
        <w:t>: Do you have any comment on the clearing obligation procedure described in Section 1?</w:t>
      </w:r>
    </w:p>
    <w:p w14:paraId="499DD526" w14:textId="77777777" w:rsidR="00940A63" w:rsidRDefault="00940A63" w:rsidP="00940A63"/>
    <w:p w14:paraId="4706DF62" w14:textId="55BCD5F7" w:rsidR="00940A63" w:rsidRDefault="00940A63" w:rsidP="00940A63">
      <w:r>
        <w:t>&lt;ESMA_QUESTION_1&gt;</w:t>
      </w:r>
    </w:p>
    <w:p w14:paraId="6DB47E80" w14:textId="77777777" w:rsidR="00940A63" w:rsidRDefault="00940A63" w:rsidP="00940A63">
      <w:permStart w:id="620704481" w:edGrp="everyone"/>
      <w:r>
        <w:t>TYPE YOUR TEXT HERE</w:t>
      </w:r>
    </w:p>
    <w:permEnd w:id="620704481"/>
    <w:p w14:paraId="24B7925F" w14:textId="2D3B4E7E" w:rsidR="00E363D7" w:rsidRDefault="00940A63" w:rsidP="00940A63">
      <w:r>
        <w:t>&lt;ESMA_QUESTION_1&gt;</w:t>
      </w:r>
    </w:p>
    <w:p w14:paraId="31770DB2" w14:textId="77777777" w:rsidR="00E363D7" w:rsidRDefault="00E363D7" w:rsidP="00940A63"/>
    <w:p w14:paraId="62FFF351" w14:textId="4A050D8E" w:rsidR="00940A63" w:rsidRDefault="00E363D7" w:rsidP="00940A63">
      <w:pPr>
        <w:pStyle w:val="Heading1"/>
      </w:pPr>
      <w:bookmarkStart w:id="7" w:name="_Toc389496892"/>
      <w:bookmarkStart w:id="8" w:name="_Toc392599422"/>
      <w:r>
        <w:tab/>
      </w:r>
      <w:r w:rsidR="00940A63">
        <w:t>Structure of the interest rate derivatives classes</w:t>
      </w:r>
      <w:bookmarkEnd w:id="7"/>
      <w:bookmarkEnd w:id="8"/>
    </w:p>
    <w:p w14:paraId="2A31F28E" w14:textId="27525E42" w:rsidR="00940A63" w:rsidRDefault="00940A63" w:rsidP="00940A63">
      <w:pPr>
        <w:pStyle w:val="Heading2"/>
      </w:pPr>
      <w:r>
        <w:t>Characteristics to be used for interest rate derivative classes</w:t>
      </w:r>
    </w:p>
    <w:p w14:paraId="5932EDFA" w14:textId="3FC1F6D2" w:rsidR="00940A63" w:rsidRDefault="00940A63" w:rsidP="00940A63">
      <w:pPr>
        <w:pStyle w:val="Questions"/>
      </w:pPr>
      <w:r>
        <w:t xml:space="preserve">Question </w:t>
      </w:r>
      <w:fldSimple w:instr=" SEQ Question \* ARABIC ">
        <w:r w:rsidR="00A63BA9">
          <w:rPr>
            <w:noProof/>
          </w:rPr>
          <w:t>2</w:t>
        </w:r>
      </w:fldSimple>
      <w:r>
        <w:t>: Do you consider that the proposed structure defined here for the interest rate OTC derivative classes enables counterparties to identify which contracts fall under the clearing obligation as well as allows international convergence? Please explain.</w:t>
      </w:r>
    </w:p>
    <w:p w14:paraId="11E07919" w14:textId="77777777" w:rsidR="00940A63" w:rsidRDefault="00940A63" w:rsidP="00940A63"/>
    <w:p w14:paraId="6B926F6C" w14:textId="2EAE8135" w:rsidR="00940A63" w:rsidRDefault="00940A63" w:rsidP="00940A63">
      <w:r>
        <w:t>&lt;ESMA_QUESTION_2&gt;</w:t>
      </w:r>
    </w:p>
    <w:p w14:paraId="6BC97D0A" w14:textId="77777777" w:rsidR="00940A63" w:rsidRDefault="00940A63" w:rsidP="00940A63">
      <w:permStart w:id="1341094284" w:edGrp="everyone"/>
      <w:r>
        <w:t>TYPE YOUR TEXT HERE</w:t>
      </w:r>
    </w:p>
    <w:permEnd w:id="1341094284"/>
    <w:p w14:paraId="2BCEDDBF" w14:textId="4395EBAA" w:rsidR="00940A63" w:rsidRDefault="00940A63" w:rsidP="00940A63">
      <w:r>
        <w:t>&lt;ESMA_QUESTION_2&gt;</w:t>
      </w:r>
    </w:p>
    <w:p w14:paraId="3A1DBEA1" w14:textId="77777777" w:rsidR="00940A63" w:rsidRDefault="00940A63" w:rsidP="00940A63"/>
    <w:p w14:paraId="4DA903A9" w14:textId="0054CDFA" w:rsidR="00940A63" w:rsidRDefault="00940A63" w:rsidP="00940A63">
      <w:pPr>
        <w:pStyle w:val="Heading2"/>
      </w:pPr>
      <w:r>
        <w:t>Additional Characteristics needed to cover Covered Bonds derivatives</w:t>
      </w:r>
    </w:p>
    <w:p w14:paraId="07ACFAA0" w14:textId="12177F61" w:rsidR="00940A63" w:rsidRDefault="00940A63" w:rsidP="00940A63">
      <w:pPr>
        <w:pStyle w:val="Questions"/>
      </w:pPr>
      <w:r>
        <w:t xml:space="preserve">Question </w:t>
      </w:r>
      <w:fldSimple w:instr=" SEQ Question \* ARABIC ">
        <w:r w:rsidR="00A63BA9">
          <w:rPr>
            <w:noProof/>
          </w:rPr>
          <w:t>3</w:t>
        </w:r>
      </w:fldSimple>
      <w:r>
        <w:t>: Do you consider that the proposed approach on covered bonds derivatives ensures that the special characteristics of those contracts are adequately taken into account in the context of the clearing obligation? Please explain why and possible alternatives.</w:t>
      </w:r>
    </w:p>
    <w:p w14:paraId="1161C49C" w14:textId="68A93E25" w:rsidR="00940A63" w:rsidRPr="00525EBD" w:rsidRDefault="00940A63" w:rsidP="00940A63">
      <w:pPr>
        <w:pStyle w:val="Questions"/>
      </w:pPr>
      <w:r>
        <w:t xml:space="preserve">Stakeholders (CCPs and covered bond derivatives users, in particular) are invited to provide detailed feedback on paragraph </w:t>
      </w:r>
      <w:r w:rsidR="00A63BA9">
        <w:t xml:space="preserve">38 </w:t>
      </w:r>
      <w:r>
        <w:t>above. In particular: what is the nature of the impediments (e.g. legal, technical) that CCPs are facing in this respect, if any? Has there been further discussions between CCPs and covered bond derivatives users and any progress resulting thereof?</w:t>
      </w:r>
    </w:p>
    <w:p w14:paraId="6EC0442D" w14:textId="77777777" w:rsidR="00940A63" w:rsidRDefault="00940A63" w:rsidP="00940A63"/>
    <w:p w14:paraId="61045254" w14:textId="4E8F311E" w:rsidR="00940A63" w:rsidRDefault="00940A63" w:rsidP="00940A63">
      <w:r>
        <w:t>&lt;ESMA_QUESTION_3&gt;</w:t>
      </w:r>
    </w:p>
    <w:p w14:paraId="7DD75493" w14:textId="77777777" w:rsidR="00940A63" w:rsidRDefault="00940A63" w:rsidP="00940A63">
      <w:permStart w:id="969111728" w:edGrp="everyone"/>
      <w:r>
        <w:t>TYPE YOUR TEXT HERE</w:t>
      </w:r>
    </w:p>
    <w:permEnd w:id="969111728"/>
    <w:p w14:paraId="48D49977" w14:textId="7637EB50" w:rsidR="00940A63" w:rsidRDefault="00940A63" w:rsidP="00940A63">
      <w:r>
        <w:t>&lt;ESMA_QUESTION_3&gt;</w:t>
      </w:r>
    </w:p>
    <w:p w14:paraId="1F10530F" w14:textId="77777777" w:rsidR="00940A63" w:rsidRDefault="00940A63" w:rsidP="00940A63"/>
    <w:p w14:paraId="064C0325" w14:textId="18270D70" w:rsidR="00940A63" w:rsidRDefault="00940A63" w:rsidP="00940A63">
      <w:pPr>
        <w:pStyle w:val="Heading2"/>
      </w:pPr>
      <w:bookmarkStart w:id="9" w:name="_Ref392590661"/>
      <w:r>
        <w:t>Public Register</w:t>
      </w:r>
      <w:bookmarkEnd w:id="9"/>
    </w:p>
    <w:p w14:paraId="2D214882" w14:textId="77777777" w:rsidR="00940A63" w:rsidRDefault="00940A63" w:rsidP="00940A63">
      <w:pPr>
        <w:pStyle w:val="Questions"/>
      </w:pPr>
      <w:r>
        <w:t xml:space="preserve">Question </w:t>
      </w:r>
      <w:fldSimple w:instr=" SEQ Question \* ARABIC ">
        <w:r w:rsidR="00A63BA9">
          <w:rPr>
            <w:noProof/>
          </w:rPr>
          <w:t>4</w:t>
        </w:r>
      </w:fldSimple>
      <w:r>
        <w:t xml:space="preserve">: Do you have any comment on the public register described in Section </w:t>
      </w:r>
      <w:r>
        <w:fldChar w:fldCharType="begin"/>
      </w:r>
      <w:r>
        <w:instrText xml:space="preserve"> REF _Ref392590661 \r \h </w:instrText>
      </w:r>
      <w:r>
        <w:fldChar w:fldCharType="separate"/>
      </w:r>
      <w:r w:rsidR="00A63BA9">
        <w:t>2.3</w:t>
      </w:r>
      <w:r>
        <w:fldChar w:fldCharType="end"/>
      </w:r>
      <w:r>
        <w:t>?</w:t>
      </w:r>
    </w:p>
    <w:p w14:paraId="70E76131" w14:textId="77777777" w:rsidR="00940A63" w:rsidRDefault="00940A63" w:rsidP="00940A63"/>
    <w:p w14:paraId="778876F4" w14:textId="198F5DE6" w:rsidR="00940A63" w:rsidRDefault="00940A63" w:rsidP="00940A63">
      <w:r>
        <w:t>&lt;ESMA_QUESTION_4&gt;</w:t>
      </w:r>
    </w:p>
    <w:p w14:paraId="49486CE5" w14:textId="77777777" w:rsidR="00940A63" w:rsidRDefault="00940A63" w:rsidP="00940A63">
      <w:permStart w:id="884684147" w:edGrp="everyone"/>
      <w:r>
        <w:t>TYPE YOUR TEXT HERE</w:t>
      </w:r>
    </w:p>
    <w:permEnd w:id="884684147"/>
    <w:p w14:paraId="7A866993" w14:textId="4A35ACC6" w:rsidR="00940A63" w:rsidRDefault="00940A63" w:rsidP="00940A63">
      <w:r>
        <w:t>&lt;ESMA_QUESTION_4&gt;</w:t>
      </w:r>
    </w:p>
    <w:p w14:paraId="770625A6" w14:textId="417B4685" w:rsidR="00940A63" w:rsidRDefault="00E363D7" w:rsidP="00940A63">
      <w:pPr>
        <w:pStyle w:val="Heading1"/>
      </w:pPr>
      <w:bookmarkStart w:id="10" w:name="_Toc389466262"/>
      <w:bookmarkStart w:id="11" w:name="_Toc389496893"/>
      <w:bookmarkStart w:id="12" w:name="_Toc392599424"/>
      <w:r>
        <w:lastRenderedPageBreak/>
        <w:tab/>
      </w:r>
      <w:r w:rsidR="00940A63">
        <w:t xml:space="preserve">Determination of the </w:t>
      </w:r>
      <w:r>
        <w:t xml:space="preserve">OTC interest rate </w:t>
      </w:r>
      <w:r w:rsidR="00940A63">
        <w:t>c</w:t>
      </w:r>
      <w:r w:rsidR="00940A63" w:rsidRPr="00A84770">
        <w:t>lasses to be subject to the clearing obligation</w:t>
      </w:r>
      <w:bookmarkEnd w:id="10"/>
      <w:bookmarkEnd w:id="11"/>
      <w:bookmarkEnd w:id="12"/>
    </w:p>
    <w:p w14:paraId="6CEB25C8" w14:textId="77777777" w:rsidR="00940A63" w:rsidRDefault="00940A63" w:rsidP="00940A63"/>
    <w:p w14:paraId="42842788" w14:textId="77777777" w:rsidR="00D03FE1" w:rsidRDefault="00940A63" w:rsidP="00940A63">
      <w:pPr>
        <w:pStyle w:val="Questions"/>
      </w:pPr>
      <w:r>
        <w:t xml:space="preserve">Question </w:t>
      </w:r>
      <w:fldSimple w:instr=" SEQ Question \* ARABIC ">
        <w:r w:rsidR="00A63BA9">
          <w:rPr>
            <w:noProof/>
          </w:rPr>
          <w:t>5</w:t>
        </w:r>
      </w:fldSimple>
      <w:r>
        <w:t xml:space="preserve">: </w:t>
      </w:r>
      <w:r w:rsidR="00D03FE1">
        <w:t xml:space="preserve">In view of the criteria set in Article 5(4) of EMIR, do you consider that this set of classes addresses appropriately the systemic risk associated to interest rate OTC derivatives? Please include relevant data or information where applicable. </w:t>
      </w:r>
    </w:p>
    <w:p w14:paraId="1415631E" w14:textId="62ED6F29" w:rsidR="00940A63" w:rsidRDefault="00940A63" w:rsidP="00940A63">
      <w:pPr>
        <w:pStyle w:val="Questions"/>
      </w:pPr>
      <w:r>
        <w:t>Please include relevant data or information where applicable.</w:t>
      </w:r>
    </w:p>
    <w:p w14:paraId="13883A50" w14:textId="77777777" w:rsidR="00940A63" w:rsidRDefault="00940A63" w:rsidP="00940A63"/>
    <w:p w14:paraId="6C31BC51" w14:textId="00DC9B5B" w:rsidR="00940A63" w:rsidRDefault="00940A63" w:rsidP="00940A63">
      <w:r>
        <w:t>&lt;ESMA_QUESTION_5&gt;</w:t>
      </w:r>
    </w:p>
    <w:p w14:paraId="3A441AD2" w14:textId="77777777" w:rsidR="006A683A" w:rsidRPr="004F48FC" w:rsidRDefault="006A683A" w:rsidP="006A683A">
      <w:pPr>
        <w:rPr>
          <w:b/>
          <w:lang w:val="en-US"/>
        </w:rPr>
      </w:pPr>
      <w:permStart w:id="1417165329" w:edGrp="everyone"/>
      <w:r w:rsidRPr="004F48FC">
        <w:rPr>
          <w:b/>
          <w:lang w:val="en-US"/>
        </w:rPr>
        <w:t>Introductory comment:</w:t>
      </w:r>
    </w:p>
    <w:p w14:paraId="61C5BDD5" w14:textId="77777777" w:rsidR="006A683A" w:rsidRPr="004F48FC" w:rsidRDefault="006A683A" w:rsidP="006A683A">
      <w:pPr>
        <w:rPr>
          <w:lang w:val="en-US"/>
        </w:rPr>
      </w:pPr>
      <w:r w:rsidRPr="004F48FC">
        <w:rPr>
          <w:lang w:val="en-US"/>
        </w:rPr>
        <w:t xml:space="preserve">To add a clearing mandate for IRS has been widely anticipated by clearing and trading participants in Europe since the original G20 summit requesting OTC derivatives to be cleared. IRS and CDS were always the main focus and it was a surprise to the market that ESMA did not </w:t>
      </w:r>
      <w:r>
        <w:rPr>
          <w:lang w:val="en-US"/>
        </w:rPr>
        <w:t xml:space="preserve">propose to </w:t>
      </w:r>
      <w:r w:rsidRPr="004F48FC">
        <w:rPr>
          <w:lang w:val="en-US"/>
        </w:rPr>
        <w:t xml:space="preserve">implement the clearing obligation for all IRS currencies.  As the market had been expecting it, there would have been no additional burden for members and the regulators would have covered 100% of the outstanding notional </w:t>
      </w:r>
      <w:r>
        <w:rPr>
          <w:lang w:val="en-US"/>
        </w:rPr>
        <w:t xml:space="preserve">amount </w:t>
      </w:r>
      <w:r w:rsidRPr="004F48FC">
        <w:rPr>
          <w:lang w:val="en-US"/>
        </w:rPr>
        <w:t xml:space="preserve">and bring transparency to the asset class and by that mitigate the systemic risk resulting from trading IRS OTC.  </w:t>
      </w:r>
    </w:p>
    <w:p w14:paraId="7A108285" w14:textId="77777777" w:rsidR="006A683A" w:rsidRPr="004F48FC" w:rsidRDefault="006A683A" w:rsidP="006A683A">
      <w:pPr>
        <w:rPr>
          <w:b/>
          <w:lang w:val="en-US"/>
        </w:rPr>
      </w:pPr>
      <w:r w:rsidRPr="004F48FC">
        <w:rPr>
          <w:lang w:val="en-US"/>
        </w:rPr>
        <w:t>The following text shows how, in NASDAQ</w:t>
      </w:r>
      <w:r>
        <w:rPr>
          <w:lang w:val="en-US"/>
        </w:rPr>
        <w:t xml:space="preserve"> OMX</w:t>
      </w:r>
      <w:r w:rsidRPr="004F48FC">
        <w:rPr>
          <w:lang w:val="en-US"/>
        </w:rPr>
        <w:t xml:space="preserve">’s view, not including other currencies could have a negative impact on the management of systemic risk.  This text is focused on the Nordic region and the nuances of this market which </w:t>
      </w:r>
      <w:r>
        <w:rPr>
          <w:lang w:val="en-US"/>
        </w:rPr>
        <w:t xml:space="preserve">are not evident </w:t>
      </w:r>
      <w:r w:rsidRPr="004F48FC">
        <w:rPr>
          <w:lang w:val="en-US"/>
        </w:rPr>
        <w:t>in ESMA’s analysis.</w:t>
      </w:r>
    </w:p>
    <w:p w14:paraId="666C28F7" w14:textId="77777777" w:rsidR="006A683A" w:rsidRPr="004F48FC" w:rsidRDefault="006A683A" w:rsidP="006A683A">
      <w:pPr>
        <w:rPr>
          <w:b/>
          <w:lang w:val="en-US"/>
        </w:rPr>
      </w:pPr>
      <w:r w:rsidRPr="004F48FC">
        <w:rPr>
          <w:b/>
          <w:lang w:val="en-US"/>
        </w:rPr>
        <w:t>Systemic Risk</w:t>
      </w:r>
    </w:p>
    <w:p w14:paraId="5E6C8749" w14:textId="77777777" w:rsidR="006A683A" w:rsidRPr="004F48FC" w:rsidRDefault="006A683A" w:rsidP="006A683A">
      <w:pPr>
        <w:rPr>
          <w:lang w:val="en-US"/>
        </w:rPr>
      </w:pPr>
      <w:r w:rsidRPr="004F48FC">
        <w:rPr>
          <w:lang w:val="en-US"/>
        </w:rPr>
        <w:t>NASDAQ OMX consider</w:t>
      </w:r>
      <w:r>
        <w:rPr>
          <w:lang w:val="en-US"/>
        </w:rPr>
        <w:t>s</w:t>
      </w:r>
      <w:r w:rsidRPr="004F48FC">
        <w:rPr>
          <w:lang w:val="en-US"/>
        </w:rPr>
        <w:t xml:space="preserve"> the proposed set of classes of OTC derivatives to be subject to the clearing obligation by ESMA with the overarching aim of reducing systemic risk</w:t>
      </w:r>
      <w:r>
        <w:rPr>
          <w:lang w:val="en-US"/>
        </w:rPr>
        <w:t>,</w:t>
      </w:r>
      <w:r w:rsidRPr="004F48FC">
        <w:rPr>
          <w:lang w:val="en-US"/>
        </w:rPr>
        <w:t xml:space="preserve"> only partially fulfils its purpose with currently proposed currencies.</w:t>
      </w:r>
    </w:p>
    <w:p w14:paraId="048EE985" w14:textId="627A3C73" w:rsidR="006A683A" w:rsidRPr="004F48FC" w:rsidRDefault="006A683A" w:rsidP="006A683A">
      <w:pPr>
        <w:rPr>
          <w:lang w:val="en-US"/>
        </w:rPr>
      </w:pPr>
      <w:r w:rsidRPr="004F48FC">
        <w:rPr>
          <w:lang w:val="en-US"/>
        </w:rPr>
        <w:t>When assessing systemic risk</w:t>
      </w:r>
      <w:r>
        <w:rPr>
          <w:lang w:val="en-US"/>
        </w:rPr>
        <w:t>, consideration should be made to the fact that</w:t>
      </w:r>
      <w:r w:rsidRPr="004F48FC">
        <w:rPr>
          <w:lang w:val="en-US"/>
        </w:rPr>
        <w:t xml:space="preserve"> every currency area faces specific and unique risks and there is only one lender of last resort for that particular area. By only considering the overall size of the outstanding notional amounts of interest rate OTC derivatives in each currency area ESMA will not focus on the </w:t>
      </w:r>
      <w:r w:rsidRPr="004F48FC">
        <w:rPr>
          <w:u w:val="single"/>
          <w:lang w:val="en-US"/>
        </w:rPr>
        <w:t>relative</w:t>
      </w:r>
      <w:r w:rsidRPr="004F48FC">
        <w:rPr>
          <w:lang w:val="en-US"/>
        </w:rPr>
        <w:t xml:space="preserve"> risk of the positions outstanding notional for each currency and by that underestimate the risk that smaller currencies constitute and therefore increase the aggregated risk within the EU. Excluding the Nordic currencies from mandatory clearing will lead to less clearing and transparency in the financial system in the region. A failure of one of the systemic</w:t>
      </w:r>
      <w:r>
        <w:rPr>
          <w:lang w:val="en-US"/>
        </w:rPr>
        <w:t>ally</w:t>
      </w:r>
      <w:r w:rsidRPr="004F48FC">
        <w:rPr>
          <w:lang w:val="en-US"/>
        </w:rPr>
        <w:t xml:space="preserve"> important banks will in such scenario be much harder to resolve and by that impact the financial stability that most likely also will </w:t>
      </w:r>
      <w:proofErr w:type="spellStart"/>
      <w:r w:rsidRPr="004F48FC">
        <w:rPr>
          <w:lang w:val="en-US"/>
        </w:rPr>
        <w:t>spillover</w:t>
      </w:r>
      <w:proofErr w:type="spellEnd"/>
      <w:r w:rsidRPr="004F48FC">
        <w:rPr>
          <w:lang w:val="en-US"/>
        </w:rPr>
        <w:t xml:space="preserve"> to the Eurozone area. This is especially true for the Nordic area as we have </w:t>
      </w:r>
      <w:r>
        <w:rPr>
          <w:lang w:val="en-US"/>
        </w:rPr>
        <w:t>EUR</w:t>
      </w:r>
      <w:r w:rsidRPr="004F48FC">
        <w:rPr>
          <w:lang w:val="en-US"/>
        </w:rPr>
        <w:t xml:space="preserve"> countries in the region and banks with very large flows in </w:t>
      </w:r>
      <w:r>
        <w:rPr>
          <w:lang w:val="en-US"/>
        </w:rPr>
        <w:t>EUR</w:t>
      </w:r>
      <w:r w:rsidRPr="004F48FC">
        <w:rPr>
          <w:lang w:val="en-US"/>
        </w:rPr>
        <w:t>.</w:t>
      </w:r>
    </w:p>
    <w:p w14:paraId="79A1394D" w14:textId="77777777" w:rsidR="006A683A" w:rsidRPr="004F48FC" w:rsidRDefault="006A683A" w:rsidP="006A683A">
      <w:pPr>
        <w:rPr>
          <w:lang w:val="en-US"/>
        </w:rPr>
      </w:pPr>
      <w:r w:rsidRPr="004F48FC">
        <w:rPr>
          <w:lang w:val="en-US"/>
        </w:rPr>
        <w:t>In an attempt to demonstrate the relative sensitivity of the different currency areas NASDAQ OMX ha</w:t>
      </w:r>
      <w:r>
        <w:rPr>
          <w:lang w:val="en-US"/>
        </w:rPr>
        <w:t>s</w:t>
      </w:r>
      <w:r w:rsidRPr="004F48FC">
        <w:rPr>
          <w:lang w:val="en-US"/>
        </w:rPr>
        <w:t xml:space="preserve"> assembled the BIS Statistical release on OTC derivatives statistics </w:t>
      </w:r>
      <w:r>
        <w:rPr>
          <w:lang w:val="en-US"/>
        </w:rPr>
        <w:t>from</w:t>
      </w:r>
      <w:r w:rsidRPr="004F48FC">
        <w:rPr>
          <w:lang w:val="en-US"/>
        </w:rPr>
        <w:t xml:space="preserve"> December 2013 (May 2014) and worked out the ratios between the notional amounts outstanding of interest rate derivatives and GDP at current prices for December 2013. By doing this</w:t>
      </w:r>
      <w:r>
        <w:rPr>
          <w:lang w:val="en-US"/>
        </w:rPr>
        <w:t>,</w:t>
      </w:r>
      <w:r w:rsidRPr="004F48FC">
        <w:rPr>
          <w:lang w:val="en-US"/>
        </w:rPr>
        <w:t xml:space="preserve"> a metric for relative sensitivity/exposure for the individual currency should be exhibited. There is also a measure of bank assets in relation to GDP used by the Swedish central bank, the </w:t>
      </w:r>
      <w:proofErr w:type="spellStart"/>
      <w:r w:rsidRPr="004F48FC">
        <w:rPr>
          <w:lang w:val="en-US"/>
        </w:rPr>
        <w:t>Riksbank</w:t>
      </w:r>
      <w:proofErr w:type="spellEnd"/>
      <w:r w:rsidRPr="004F48FC">
        <w:rPr>
          <w:lang w:val="en-US"/>
        </w:rPr>
        <w:t>, in their Stability Report</w:t>
      </w:r>
      <w:r>
        <w:rPr>
          <w:lang w:val="en-US"/>
        </w:rPr>
        <w:t>,</w:t>
      </w:r>
      <w:r w:rsidRPr="004F48FC">
        <w:rPr>
          <w:lang w:val="en-US"/>
        </w:rPr>
        <w:t xml:space="preserve"> to demonstrate how large a country’s banking sector is compared to its economy.  </w:t>
      </w:r>
    </w:p>
    <w:p w14:paraId="392042B3" w14:textId="77777777" w:rsidR="006A683A" w:rsidRPr="00C22606" w:rsidRDefault="006A683A" w:rsidP="006A683A">
      <w:pPr>
        <w:rPr>
          <w:b/>
          <w:lang w:val="en-US"/>
        </w:rPr>
      </w:pPr>
      <w:r w:rsidRPr="00C22606">
        <w:rPr>
          <w:b/>
          <w:lang w:val="en-US"/>
        </w:rPr>
        <w:t>Relative Exposures</w:t>
      </w:r>
    </w:p>
    <w:p w14:paraId="25AB8D18" w14:textId="77777777" w:rsidR="006A683A" w:rsidRPr="004F48FC" w:rsidRDefault="006A683A" w:rsidP="006A683A">
      <w:pPr>
        <w:rPr>
          <w:lang w:val="en-US"/>
        </w:rPr>
      </w:pPr>
      <w:r w:rsidRPr="004F48FC">
        <w:rPr>
          <w:lang w:val="en-US"/>
        </w:rPr>
        <w:t xml:space="preserve">When comparing outstanding Forward Rate Agreements ratios Sweden stands out with a ratio of 651 % of GDP which is much higher than any of the compared countries. This is explained to some degree by the Swedish banks external funding and the hedging of foreign investments by the insurance companies. This condition is regarded as one of the greatest sources of systemic risk by the Swedish authorities. As a comparison the UK has an outstanding Forward Rate Agreements ratio to GDP of 334%. </w:t>
      </w:r>
    </w:p>
    <w:p w14:paraId="415090CF" w14:textId="77777777" w:rsidR="006A683A" w:rsidRPr="004F48FC" w:rsidRDefault="006A683A" w:rsidP="006A683A">
      <w:pPr>
        <w:rPr>
          <w:lang w:val="en-US"/>
        </w:rPr>
      </w:pPr>
      <w:r w:rsidRPr="004F48FC">
        <w:rPr>
          <w:lang w:val="en-US"/>
        </w:rPr>
        <w:t xml:space="preserve">Swedish </w:t>
      </w:r>
      <w:r>
        <w:rPr>
          <w:lang w:val="en-US"/>
        </w:rPr>
        <w:t>K</w:t>
      </w:r>
      <w:r w:rsidRPr="004F48FC">
        <w:rPr>
          <w:lang w:val="en-US"/>
        </w:rPr>
        <w:t>rona</w:t>
      </w:r>
      <w:r>
        <w:rPr>
          <w:lang w:val="en-US"/>
        </w:rPr>
        <w:t xml:space="preserve"> (SEK)</w:t>
      </w:r>
      <w:r w:rsidRPr="004F48FC">
        <w:rPr>
          <w:lang w:val="en-US"/>
        </w:rPr>
        <w:t xml:space="preserve"> outstanding interest rate swap ratio versus GDP stands at 830 % and is lower than the JPY, EUR and GBP ratio but is higher than the US</w:t>
      </w:r>
      <w:r>
        <w:rPr>
          <w:lang w:val="en-US"/>
        </w:rPr>
        <w:t>D</w:t>
      </w:r>
      <w:r w:rsidRPr="004F48FC">
        <w:rPr>
          <w:lang w:val="en-US"/>
        </w:rPr>
        <w:t xml:space="preserve"> ratio and is still very high for a small currency.</w:t>
      </w:r>
    </w:p>
    <w:p w14:paraId="4AD02CCA" w14:textId="77777777" w:rsidR="006A683A" w:rsidRPr="004F48FC" w:rsidRDefault="006A683A" w:rsidP="006A683A">
      <w:pPr>
        <w:rPr>
          <w:lang w:val="en-US"/>
        </w:rPr>
      </w:pPr>
      <w:r w:rsidRPr="004F48FC">
        <w:rPr>
          <w:lang w:val="en-US"/>
        </w:rPr>
        <w:t>If outstanding interest rate option positions also are included and we compare the grand total for all the outstanding notional interest rate derivatives contracts</w:t>
      </w:r>
      <w:r>
        <w:rPr>
          <w:lang w:val="en-US"/>
        </w:rPr>
        <w:t>,</w:t>
      </w:r>
      <w:r w:rsidRPr="004F48FC">
        <w:rPr>
          <w:lang w:val="en-US"/>
        </w:rPr>
        <w:t xml:space="preserve"> the Swedish ratio adds up to </w:t>
      </w:r>
      <w:r w:rsidRPr="004F48FC">
        <w:rPr>
          <w:u w:val="single"/>
          <w:lang w:val="en-US"/>
        </w:rPr>
        <w:t>1522 % of GDP</w:t>
      </w:r>
      <w:r w:rsidRPr="004F48FC">
        <w:rPr>
          <w:lang w:val="en-US"/>
        </w:rPr>
        <w:t>.  The S</w:t>
      </w:r>
      <w:r>
        <w:rPr>
          <w:lang w:val="en-US"/>
        </w:rPr>
        <w:t>EK</w:t>
      </w:r>
      <w:r w:rsidRPr="004F48FC">
        <w:rPr>
          <w:lang w:val="en-US"/>
        </w:rPr>
        <w:t xml:space="preserve"> outstanding notional ratio is in line</w:t>
      </w:r>
      <w:r>
        <w:rPr>
          <w:lang w:val="en-US"/>
        </w:rPr>
        <w:t xml:space="preserve"> with</w:t>
      </w:r>
      <w:r w:rsidRPr="004F48FC">
        <w:rPr>
          <w:lang w:val="en-US"/>
        </w:rPr>
        <w:t xml:space="preserve"> </w:t>
      </w:r>
      <w:r>
        <w:rPr>
          <w:lang w:val="en-US"/>
        </w:rPr>
        <w:t>or</w:t>
      </w:r>
      <w:r w:rsidRPr="004F48FC">
        <w:rPr>
          <w:lang w:val="en-US"/>
        </w:rPr>
        <w:t xml:space="preserve"> above the ratios for the currencies</w:t>
      </w:r>
      <w:r>
        <w:rPr>
          <w:lang w:val="en-US"/>
        </w:rPr>
        <w:t xml:space="preserve"> proposed by ESMA to be</w:t>
      </w:r>
      <w:r w:rsidRPr="004F48FC">
        <w:rPr>
          <w:lang w:val="en-US"/>
        </w:rPr>
        <w:t xml:space="preserve"> subject to the clearing obligation and should therefore be included. </w:t>
      </w:r>
    </w:p>
    <w:p w14:paraId="2F532830" w14:textId="77777777" w:rsidR="006A683A" w:rsidRPr="004F48FC" w:rsidRDefault="006A683A" w:rsidP="006A683A">
      <w:pPr>
        <w:rPr>
          <w:lang w:val="en-US"/>
        </w:rPr>
      </w:pPr>
      <w:r w:rsidRPr="004F48FC">
        <w:rPr>
          <w:lang w:val="en-US"/>
        </w:rPr>
        <w:t>When considering the demographics of the Nordic financial market it becomes evident that it is built around a few relatively large banks. Referring to Provision 7(2</w:t>
      </w:r>
      <w:proofErr w:type="gramStart"/>
      <w:r w:rsidRPr="004F48FC">
        <w:rPr>
          <w:lang w:val="en-US"/>
        </w:rPr>
        <w:t>)(</w:t>
      </w:r>
      <w:proofErr w:type="gramEnd"/>
      <w:r w:rsidRPr="004F48FC">
        <w:rPr>
          <w:lang w:val="en-US"/>
        </w:rPr>
        <w:t xml:space="preserve">c) of the RTS, NASDAQ OMX argues that </w:t>
      </w:r>
      <w:r w:rsidRPr="004F48FC">
        <w:rPr>
          <w:lang w:val="en-US"/>
        </w:rPr>
        <w:lastRenderedPageBreak/>
        <w:t xml:space="preserve">the market dispersion would be seriously endangered in the event of default of a Nordic bank in a non-cleared environment for OTC derivatives. </w:t>
      </w:r>
    </w:p>
    <w:p w14:paraId="24397502" w14:textId="77777777" w:rsidR="006A683A" w:rsidRPr="004F48FC" w:rsidRDefault="006A683A" w:rsidP="006A683A">
      <w:pPr>
        <w:rPr>
          <w:lang w:val="en-US"/>
        </w:rPr>
      </w:pPr>
      <w:r w:rsidRPr="004F48FC">
        <w:rPr>
          <w:lang w:val="en-US"/>
        </w:rPr>
        <w:t>The Swedish bank assets relative to GDP reach 380 % and are the third largest in Europe. This should in itself provide an argument for mandatory clearing of SEK OTC derivatives.</w:t>
      </w:r>
    </w:p>
    <w:p w14:paraId="4B4A90B6" w14:textId="77777777" w:rsidR="006A683A" w:rsidRPr="004F48FC" w:rsidRDefault="006A683A" w:rsidP="006A683A">
      <w:pPr>
        <w:rPr>
          <w:lang w:val="en-US"/>
        </w:rPr>
      </w:pPr>
      <w:r w:rsidRPr="004F48FC">
        <w:rPr>
          <w:lang w:val="en-US"/>
        </w:rPr>
        <w:t xml:space="preserve">The domination of Nordic banks in Finland and in the Baltics could lead directly into the euro system. In the event of a Nordic bank </w:t>
      </w:r>
      <w:proofErr w:type="gramStart"/>
      <w:r w:rsidRPr="004F48FC">
        <w:rPr>
          <w:lang w:val="en-US"/>
        </w:rPr>
        <w:t>defaulting</w:t>
      </w:r>
      <w:proofErr w:type="gramEnd"/>
      <w:r w:rsidRPr="004F48FC">
        <w:rPr>
          <w:lang w:val="en-US"/>
        </w:rPr>
        <w:t xml:space="preserve"> the consequences will be harder to oversee if Nordic interest rate OTC derivatives are not mandated for clearing. </w:t>
      </w:r>
    </w:p>
    <w:p w14:paraId="069E7ECC" w14:textId="77777777" w:rsidR="006A683A" w:rsidRPr="004F48FC" w:rsidRDefault="006A683A" w:rsidP="006A683A">
      <w:pPr>
        <w:rPr>
          <w:lang w:val="en-US"/>
        </w:rPr>
      </w:pPr>
      <w:r w:rsidRPr="004F48FC">
        <w:rPr>
          <w:lang w:val="en-US"/>
        </w:rPr>
        <w:t>Whilst ESMA estimates that around 90% of the outstanding notional is covered by including the top 4 currencies, there is still systemic risk remaining – and to impose a clearing obligation for only 4 currencies could increase the risk in other currencies in the EU as the market adjusts its trading patterns to meet or avoid the clearing obligation. In fact, to not impose a clearing obligation for the Nordic countries could reduce liquidity in the Nordic region, and exacerbate the systemic risk.</w:t>
      </w:r>
    </w:p>
    <w:p w14:paraId="09730213" w14:textId="77777777" w:rsidR="006A683A" w:rsidRPr="004F48FC" w:rsidRDefault="006A683A" w:rsidP="006A683A">
      <w:pPr>
        <w:rPr>
          <w:lang w:val="en-US"/>
        </w:rPr>
      </w:pPr>
      <w:r w:rsidRPr="004F48FC">
        <w:rPr>
          <w:noProof/>
          <w:lang w:eastAsia="en-GB"/>
        </w:rPr>
        <w:lastRenderedPageBreak/>
        <w:drawing>
          <wp:inline distT="0" distB="0" distL="0" distR="0" wp14:anchorId="0EB1DB89" wp14:editId="583FDBC7">
            <wp:extent cx="5011420" cy="89617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1420" cy="8961755"/>
                    </a:xfrm>
                    <a:prstGeom prst="rect">
                      <a:avLst/>
                    </a:prstGeom>
                    <a:noFill/>
                  </pic:spPr>
                </pic:pic>
              </a:graphicData>
            </a:graphic>
          </wp:inline>
        </w:drawing>
      </w:r>
    </w:p>
    <w:p w14:paraId="1C233B97" w14:textId="77777777" w:rsidR="006A683A" w:rsidRPr="004F48FC" w:rsidRDefault="006A683A" w:rsidP="006A683A">
      <w:pPr>
        <w:rPr>
          <w:lang w:val="en-US"/>
        </w:rPr>
      </w:pPr>
      <w:r w:rsidRPr="004F48FC">
        <w:rPr>
          <w:lang w:val="en-US"/>
        </w:rPr>
        <w:lastRenderedPageBreak/>
        <w:t xml:space="preserve">Source: BIS, OECD, </w:t>
      </w:r>
      <w:proofErr w:type="spellStart"/>
      <w:r w:rsidRPr="004F48FC">
        <w:rPr>
          <w:lang w:val="en-US"/>
        </w:rPr>
        <w:t>Riksbank</w:t>
      </w:r>
      <w:proofErr w:type="spellEnd"/>
      <w:r w:rsidRPr="004F48FC">
        <w:rPr>
          <w:lang w:val="en-US"/>
        </w:rPr>
        <w:t xml:space="preserve"> &amp; European Banking Federation (EBF)</w:t>
      </w:r>
    </w:p>
    <w:permEnd w:id="1417165329"/>
    <w:p w14:paraId="1BA7D861" w14:textId="0C82F14D" w:rsidR="00940A63" w:rsidRDefault="00940A63" w:rsidP="00940A63">
      <w:r>
        <w:t>&lt;ESMA_QUESTION_5&gt;</w:t>
      </w:r>
    </w:p>
    <w:p w14:paraId="276960BA" w14:textId="77777777" w:rsidR="00E363D7" w:rsidRDefault="00E363D7" w:rsidP="00940A63"/>
    <w:p w14:paraId="10B081BC" w14:textId="77777777" w:rsidR="00E363D7" w:rsidRDefault="00E363D7" w:rsidP="00940A63"/>
    <w:p w14:paraId="489A3DA0" w14:textId="6112AE3E" w:rsidR="00940A63" w:rsidRDefault="00E363D7" w:rsidP="00940A63">
      <w:pPr>
        <w:pStyle w:val="Heading1"/>
      </w:pPr>
      <w:bookmarkStart w:id="13" w:name="_Ref390182009"/>
      <w:bookmarkStart w:id="14" w:name="_Toc392599425"/>
      <w:r>
        <w:tab/>
      </w:r>
      <w:r w:rsidR="00940A63" w:rsidRPr="00412C4C">
        <w:t xml:space="preserve">Determination of the </w:t>
      </w:r>
      <w:r w:rsidR="00940A63">
        <w:t xml:space="preserve">dates on which the obligation applies and </w:t>
      </w:r>
      <w:r w:rsidR="00940A63" w:rsidRPr="00412C4C">
        <w:t>the categories of counterparties</w:t>
      </w:r>
      <w:bookmarkEnd w:id="13"/>
      <w:bookmarkEnd w:id="14"/>
    </w:p>
    <w:p w14:paraId="603B05BB" w14:textId="77777777" w:rsidR="00940A63" w:rsidRDefault="00940A63" w:rsidP="00940A63"/>
    <w:p w14:paraId="5357B245" w14:textId="3067C6FD" w:rsidR="00940A63" w:rsidRDefault="00940A63" w:rsidP="00940A63">
      <w:pPr>
        <w:pStyle w:val="Heading2"/>
      </w:pPr>
      <w:bookmarkStart w:id="15" w:name="_Ref392593104"/>
      <w:bookmarkStart w:id="16" w:name="_Ref389061836"/>
      <w:r>
        <w:t xml:space="preserve">Analysis of the criteria </w:t>
      </w:r>
      <w:bookmarkEnd w:id="15"/>
      <w:bookmarkEnd w:id="16"/>
      <w:r w:rsidR="007102FB">
        <w:t>relevant for the determination of the dates</w:t>
      </w:r>
    </w:p>
    <w:p w14:paraId="665EEB03" w14:textId="77777777" w:rsidR="00940A63" w:rsidRDefault="00940A63" w:rsidP="00940A63"/>
    <w:p w14:paraId="626ACC25" w14:textId="77777777" w:rsidR="00940A63" w:rsidRPr="00284213" w:rsidRDefault="00940A63" w:rsidP="00940A63">
      <w:pPr>
        <w:pStyle w:val="Questions"/>
      </w:pPr>
      <w:r>
        <w:t xml:space="preserve">Question </w:t>
      </w:r>
      <w:fldSimple w:instr=" SEQ Question \* ARABIC ">
        <w:r w:rsidR="00A63BA9">
          <w:rPr>
            <w:noProof/>
          </w:rPr>
          <w:t>6</w:t>
        </w:r>
      </w:fldSimple>
      <w:r>
        <w:t xml:space="preserve">: Do you have any comment on the analysis presented in Section </w:t>
      </w:r>
      <w:r>
        <w:fldChar w:fldCharType="begin"/>
      </w:r>
      <w:r>
        <w:instrText xml:space="preserve"> REF _Ref392593104 \r \h </w:instrText>
      </w:r>
      <w:r>
        <w:fldChar w:fldCharType="separate"/>
      </w:r>
      <w:r w:rsidR="00A63BA9">
        <w:t>4.1</w:t>
      </w:r>
      <w:r>
        <w:fldChar w:fldCharType="end"/>
      </w:r>
      <w:r>
        <w:t>?</w:t>
      </w:r>
    </w:p>
    <w:p w14:paraId="3626A386" w14:textId="77777777" w:rsidR="00940A63" w:rsidRDefault="00940A63" w:rsidP="00940A63"/>
    <w:p w14:paraId="035C1DBB" w14:textId="599B20AD" w:rsidR="00940A63" w:rsidRDefault="00940A63" w:rsidP="00940A63">
      <w:r>
        <w:t>&lt;ESMA_QUESTION_6&gt;</w:t>
      </w:r>
    </w:p>
    <w:p w14:paraId="7FED3E6F" w14:textId="77777777" w:rsidR="00940A63" w:rsidRDefault="00940A63" w:rsidP="00940A63">
      <w:permStart w:id="535381076" w:edGrp="everyone"/>
      <w:r>
        <w:t>TYPE YOUR TEXT HERE</w:t>
      </w:r>
    </w:p>
    <w:permEnd w:id="535381076"/>
    <w:p w14:paraId="4B812EAC" w14:textId="7DFA0DF4" w:rsidR="00940A63" w:rsidRDefault="00940A63" w:rsidP="00940A63">
      <w:r>
        <w:t>&lt;ESMA_QUESTION_6&gt;</w:t>
      </w:r>
    </w:p>
    <w:p w14:paraId="35E84A30" w14:textId="77777777" w:rsidR="00940A63" w:rsidRDefault="00940A63" w:rsidP="00940A63"/>
    <w:p w14:paraId="2B72D4C7" w14:textId="77777777" w:rsidR="00940A63" w:rsidRPr="00E03F63" w:rsidRDefault="00940A63" w:rsidP="00940A63">
      <w:pPr>
        <w:pStyle w:val="Heading2"/>
      </w:pPr>
      <w:bookmarkStart w:id="17" w:name="_Ref392593201"/>
      <w:r>
        <w:t>Determination of the categories of counterparties (Criteria (d) to (f))</w:t>
      </w:r>
      <w:bookmarkEnd w:id="17"/>
    </w:p>
    <w:p w14:paraId="6F5998C0" w14:textId="77777777" w:rsidR="00940A63" w:rsidRDefault="00940A63" w:rsidP="00940A63"/>
    <w:p w14:paraId="5B46025F" w14:textId="77777777" w:rsidR="00940A63" w:rsidRPr="00301767" w:rsidRDefault="00940A63" w:rsidP="00940A63">
      <w:pPr>
        <w:pStyle w:val="Questions"/>
      </w:pPr>
      <w:r w:rsidRPr="004A3DCD">
        <w:t xml:space="preserve">Question </w:t>
      </w:r>
      <w:fldSimple w:instr=" SEQ Question \* ARABIC ">
        <w:r w:rsidR="00A63BA9">
          <w:rPr>
            <w:noProof/>
          </w:rPr>
          <w:t>7</w:t>
        </w:r>
      </w:fldSimple>
      <w:r>
        <w:t>: Do you consider that the</w:t>
      </w:r>
      <w:r w:rsidRPr="004A3DCD">
        <w:t xml:space="preserve"> classification of counterparties </w:t>
      </w:r>
      <w:r>
        <w:t xml:space="preserve">presented in Section </w:t>
      </w:r>
      <w:r>
        <w:fldChar w:fldCharType="begin"/>
      </w:r>
      <w:r>
        <w:instrText xml:space="preserve"> REF _Ref392593201 \r \h </w:instrText>
      </w:r>
      <w:r>
        <w:fldChar w:fldCharType="separate"/>
      </w:r>
      <w:r w:rsidR="00A63BA9">
        <w:t>4.2</w:t>
      </w:r>
      <w:r>
        <w:fldChar w:fldCharType="end"/>
      </w:r>
      <w:r>
        <w:t xml:space="preserve"> </w:t>
      </w:r>
      <w:r w:rsidRPr="004A3DCD">
        <w:t>ensures a smooth implementation of the clearing obligation? Please explain why and possible alternatives.</w:t>
      </w:r>
    </w:p>
    <w:p w14:paraId="27D5E3AF" w14:textId="77777777" w:rsidR="00940A63" w:rsidRDefault="00940A63" w:rsidP="00940A63"/>
    <w:p w14:paraId="538C7D00" w14:textId="10088ECF" w:rsidR="00940A63" w:rsidRDefault="00940A63" w:rsidP="00940A63">
      <w:r>
        <w:t>&lt;ESMA_QUESTION_7&gt;</w:t>
      </w:r>
    </w:p>
    <w:p w14:paraId="0687FA73" w14:textId="5AAFF68D" w:rsidR="00075476" w:rsidRDefault="00075476" w:rsidP="006A683A">
      <w:pPr>
        <w:rPr>
          <w:rFonts w:ascii="Times New Roman" w:hAnsi="Times New Roman"/>
          <w:sz w:val="22"/>
          <w:szCs w:val="22"/>
          <w:lang w:val="en-US" w:eastAsia="en-GB"/>
        </w:rPr>
      </w:pPr>
      <w:permStart w:id="1782606567" w:edGrp="everyone"/>
      <w:r w:rsidRPr="00075476">
        <w:rPr>
          <w:rFonts w:ascii="Times New Roman" w:hAnsi="Times New Roman"/>
          <w:sz w:val="22"/>
          <w:szCs w:val="22"/>
          <w:lang w:val="en-US" w:eastAsia="en-GB"/>
        </w:rPr>
        <w:t xml:space="preserve">NASDAQ </w:t>
      </w:r>
      <w:proofErr w:type="spellStart"/>
      <w:r w:rsidRPr="00075476">
        <w:rPr>
          <w:rFonts w:ascii="Times New Roman" w:hAnsi="Times New Roman"/>
          <w:sz w:val="22"/>
          <w:szCs w:val="22"/>
          <w:lang w:val="en-US" w:eastAsia="en-GB"/>
        </w:rPr>
        <w:t>recognises</w:t>
      </w:r>
      <w:proofErr w:type="spellEnd"/>
      <w:r w:rsidRPr="00075476">
        <w:rPr>
          <w:rFonts w:ascii="Times New Roman" w:hAnsi="Times New Roman"/>
          <w:sz w:val="22"/>
          <w:szCs w:val="22"/>
          <w:lang w:val="en-US" w:eastAsia="en-GB"/>
        </w:rPr>
        <w:t xml:space="preserve"> that this consultation relates to IRS </w:t>
      </w:r>
      <w:r>
        <w:rPr>
          <w:rFonts w:ascii="Times New Roman" w:hAnsi="Times New Roman"/>
          <w:sz w:val="22"/>
          <w:szCs w:val="22"/>
          <w:lang w:val="en-US" w:eastAsia="en-GB"/>
        </w:rPr>
        <w:t xml:space="preserve">but </w:t>
      </w:r>
      <w:r w:rsidRPr="00075476">
        <w:rPr>
          <w:rFonts w:ascii="Times New Roman" w:hAnsi="Times New Roman"/>
          <w:sz w:val="22"/>
          <w:szCs w:val="22"/>
          <w:lang w:val="en-US" w:eastAsia="en-GB"/>
        </w:rPr>
        <w:t xml:space="preserve">it is not clear whether the methodology described in this section would automatically be applied to future clearing obligations.  Therefore NASDAQ wants to raise, at an early stage, the potential impact that the </w:t>
      </w:r>
      <w:proofErr w:type="spellStart"/>
      <w:r w:rsidRPr="00075476">
        <w:rPr>
          <w:rFonts w:ascii="Times New Roman" w:hAnsi="Times New Roman"/>
          <w:sz w:val="22"/>
          <w:szCs w:val="22"/>
          <w:lang w:val="en-US" w:eastAsia="en-GB"/>
        </w:rPr>
        <w:t>categorisation</w:t>
      </w:r>
      <w:proofErr w:type="spellEnd"/>
      <w:r w:rsidRPr="00075476">
        <w:rPr>
          <w:rFonts w:ascii="Times New Roman" w:hAnsi="Times New Roman"/>
          <w:sz w:val="22"/>
          <w:szCs w:val="22"/>
          <w:lang w:val="en-US" w:eastAsia="en-GB"/>
        </w:rPr>
        <w:t xml:space="preserve"> could have on the Commodities market.</w:t>
      </w:r>
    </w:p>
    <w:p w14:paraId="299FCCDE" w14:textId="77777777" w:rsidR="00075476" w:rsidRDefault="00075476" w:rsidP="006A683A">
      <w:pPr>
        <w:rPr>
          <w:rFonts w:ascii="Times New Roman" w:hAnsi="Times New Roman"/>
          <w:sz w:val="22"/>
          <w:szCs w:val="22"/>
          <w:lang w:val="en-US" w:eastAsia="en-GB"/>
        </w:rPr>
      </w:pPr>
    </w:p>
    <w:p w14:paraId="3750B73A" w14:textId="1A8D6449" w:rsidR="006A683A" w:rsidRPr="006A683A" w:rsidRDefault="00075476" w:rsidP="006A683A">
      <w:pPr>
        <w:rPr>
          <w:rFonts w:ascii="Times New Roman" w:hAnsi="Times New Roman"/>
          <w:sz w:val="22"/>
          <w:szCs w:val="22"/>
          <w:lang w:val="en-US" w:eastAsia="en-GB"/>
        </w:rPr>
      </w:pPr>
      <w:r>
        <w:rPr>
          <w:rFonts w:ascii="Times New Roman" w:hAnsi="Times New Roman"/>
          <w:sz w:val="22"/>
          <w:szCs w:val="22"/>
          <w:lang w:val="en-US" w:eastAsia="en-GB"/>
        </w:rPr>
        <w:t>NASDAQ</w:t>
      </w:r>
      <w:r w:rsidR="006A683A" w:rsidRPr="006A683A">
        <w:rPr>
          <w:rFonts w:ascii="Times New Roman" w:hAnsi="Times New Roman"/>
          <w:sz w:val="22"/>
          <w:szCs w:val="22"/>
          <w:lang w:val="en-US" w:eastAsia="en-GB"/>
        </w:rPr>
        <w:t xml:space="preserve"> has a concern regarding the implementation for the clearing obligations related to counterparties falling under Category 3: NFC+. </w:t>
      </w:r>
    </w:p>
    <w:p w14:paraId="2E91ECBC" w14:textId="77777777" w:rsidR="006A683A" w:rsidRPr="006A683A" w:rsidRDefault="006A683A" w:rsidP="006A683A">
      <w:pPr>
        <w:rPr>
          <w:rFonts w:ascii="Times New Roman" w:hAnsi="Times New Roman"/>
          <w:sz w:val="22"/>
          <w:szCs w:val="22"/>
          <w:lang w:val="en-US" w:eastAsia="en-GB"/>
        </w:rPr>
      </w:pPr>
    </w:p>
    <w:p w14:paraId="00E65502" w14:textId="77777777" w:rsidR="00D1292F" w:rsidRDefault="00D1292F" w:rsidP="00D1292F">
      <w:pPr>
        <w:pStyle w:val="Default"/>
        <w:rPr>
          <w:color w:val="auto"/>
          <w:sz w:val="22"/>
          <w:szCs w:val="22"/>
          <w:lang w:val="en-US"/>
        </w:rPr>
      </w:pPr>
      <w:r>
        <w:rPr>
          <w:color w:val="auto"/>
          <w:sz w:val="22"/>
          <w:szCs w:val="22"/>
          <w:lang w:val="en-US"/>
        </w:rPr>
        <w:t xml:space="preserve">The wording says that Category 3 NFC+ </w:t>
      </w:r>
      <w:proofErr w:type="gramStart"/>
      <w:r>
        <w:rPr>
          <w:color w:val="auto"/>
          <w:sz w:val="22"/>
          <w:szCs w:val="22"/>
          <w:lang w:val="en-US"/>
        </w:rPr>
        <w:t>counterparties</w:t>
      </w:r>
      <w:proofErr w:type="gramEnd"/>
      <w:r>
        <w:rPr>
          <w:color w:val="auto"/>
          <w:sz w:val="22"/>
          <w:szCs w:val="22"/>
          <w:lang w:val="en-US"/>
        </w:rPr>
        <w:t xml:space="preserve"> who are clearing members of an </w:t>
      </w:r>
      <w:proofErr w:type="spellStart"/>
      <w:r>
        <w:rPr>
          <w:color w:val="auto"/>
          <w:sz w:val="22"/>
          <w:szCs w:val="22"/>
          <w:lang w:val="en-US"/>
        </w:rPr>
        <w:t>authorised</w:t>
      </w:r>
      <w:proofErr w:type="spellEnd"/>
      <w:r>
        <w:rPr>
          <w:color w:val="auto"/>
          <w:sz w:val="22"/>
          <w:szCs w:val="22"/>
          <w:lang w:val="en-US"/>
        </w:rPr>
        <w:t xml:space="preserve"> CCP, should be considered as belonging to Category 1 instead and thus be required to immediately comply with </w:t>
      </w:r>
      <w:r w:rsidRPr="00D1292F">
        <w:rPr>
          <w:color w:val="auto"/>
          <w:sz w:val="22"/>
          <w:szCs w:val="22"/>
          <w:lang w:val="en-US"/>
        </w:rPr>
        <w:t>the clearing obligations within 6 months instead of 3 years for Category 3 counterparties.  The argumentation from ESMA on this area is clear i.e. if connectivity already exists then to be a category 1 member is no additional burden. On the connectivity side, this can be argued. However, as explained below, in the commodities market there are other factors that must be considered and reasons why NFC+ counterparties need longer to comply with the clearing obligation (whether or not they are clearing members).</w:t>
      </w:r>
    </w:p>
    <w:p w14:paraId="6E443A8D" w14:textId="1F57E626" w:rsidR="006A683A" w:rsidRPr="006A683A" w:rsidRDefault="006A683A" w:rsidP="006A683A">
      <w:pPr>
        <w:pStyle w:val="Default"/>
        <w:rPr>
          <w:color w:val="auto"/>
          <w:sz w:val="22"/>
          <w:szCs w:val="22"/>
          <w:lang w:val="en-US"/>
        </w:rPr>
      </w:pPr>
      <w:r w:rsidRPr="006A683A">
        <w:rPr>
          <w:color w:val="auto"/>
          <w:sz w:val="22"/>
          <w:szCs w:val="22"/>
          <w:lang w:val="en-US"/>
        </w:rPr>
        <w:t> </w:t>
      </w:r>
    </w:p>
    <w:p w14:paraId="0FB3B81B" w14:textId="4D326C59" w:rsidR="006A683A" w:rsidRDefault="006A683A" w:rsidP="006A683A">
      <w:pPr>
        <w:pStyle w:val="Default"/>
        <w:rPr>
          <w:color w:val="auto"/>
          <w:sz w:val="22"/>
          <w:szCs w:val="22"/>
          <w:lang w:val="en-US"/>
        </w:rPr>
      </w:pPr>
      <w:r w:rsidRPr="006A683A">
        <w:rPr>
          <w:color w:val="auto"/>
          <w:sz w:val="22"/>
          <w:szCs w:val="22"/>
          <w:lang w:val="en-US"/>
        </w:rPr>
        <w:t xml:space="preserve">This creates an incentive for Category 3 NFC+ counterparties that are clearing members of a CCP to abandon their clearing membership of the CCP in order to avoid the clearing obligation within 6 months. In our opinion this is not in line with the text in the EC declaration 7th February 2013 which require sufficient time to fully adapt the clearing obligation for non-financial counterparties. Hence, for markets with a high degree of Category 3 NFC+ counterparties being direct members of the CCP the proposed regulation creates a serious risk of reduced liquidity and transparency as NFC+ are </w:t>
      </w:r>
      <w:proofErr w:type="spellStart"/>
      <w:r w:rsidRPr="006A683A">
        <w:rPr>
          <w:color w:val="auto"/>
          <w:sz w:val="22"/>
          <w:szCs w:val="22"/>
          <w:lang w:val="en-US"/>
        </w:rPr>
        <w:t>incentivi</w:t>
      </w:r>
      <w:r w:rsidR="00031550">
        <w:rPr>
          <w:color w:val="auto"/>
          <w:sz w:val="22"/>
          <w:szCs w:val="22"/>
          <w:lang w:val="en-US"/>
        </w:rPr>
        <w:t>s</w:t>
      </w:r>
      <w:r w:rsidRPr="006A683A">
        <w:rPr>
          <w:color w:val="auto"/>
          <w:sz w:val="22"/>
          <w:szCs w:val="22"/>
          <w:lang w:val="en-US"/>
        </w:rPr>
        <w:t>ed</w:t>
      </w:r>
      <w:proofErr w:type="spellEnd"/>
      <w:r w:rsidRPr="006A683A">
        <w:rPr>
          <w:color w:val="auto"/>
          <w:sz w:val="22"/>
          <w:szCs w:val="22"/>
          <w:lang w:val="en-US"/>
        </w:rPr>
        <w:t xml:space="preserve"> to withdraw to more bilateral trading outside regulated markets and outside CCP clearing. Such a development would clearly contradict the G20 objectives to create more transparent and resilient derivative markets. </w:t>
      </w:r>
    </w:p>
    <w:p w14:paraId="62C4B268" w14:textId="77777777" w:rsidR="006A683A" w:rsidRPr="006A683A" w:rsidRDefault="006A683A" w:rsidP="006A683A">
      <w:pPr>
        <w:pStyle w:val="Default"/>
        <w:rPr>
          <w:color w:val="auto"/>
          <w:sz w:val="22"/>
          <w:szCs w:val="22"/>
          <w:lang w:val="en-US"/>
        </w:rPr>
      </w:pPr>
    </w:p>
    <w:p w14:paraId="7CAA9A5A" w14:textId="43252862" w:rsidR="006A683A" w:rsidRPr="006A683A" w:rsidRDefault="006A683A" w:rsidP="006A683A">
      <w:pPr>
        <w:pStyle w:val="Default"/>
        <w:rPr>
          <w:color w:val="auto"/>
          <w:sz w:val="22"/>
          <w:szCs w:val="22"/>
          <w:lang w:val="en-US"/>
        </w:rPr>
      </w:pPr>
      <w:r w:rsidRPr="006A683A">
        <w:rPr>
          <w:color w:val="auto"/>
          <w:sz w:val="22"/>
          <w:szCs w:val="22"/>
          <w:lang w:val="en-US"/>
        </w:rPr>
        <w:lastRenderedPageBreak/>
        <w:t>An example of a market potentially negatively affected by the proposed classification is the N</w:t>
      </w:r>
      <w:r>
        <w:rPr>
          <w:color w:val="auto"/>
          <w:sz w:val="22"/>
          <w:szCs w:val="22"/>
          <w:lang w:val="en-US"/>
        </w:rPr>
        <w:t>ordic power market. That market</w:t>
      </w:r>
      <w:r w:rsidRPr="006A683A">
        <w:rPr>
          <w:color w:val="auto"/>
          <w:sz w:val="22"/>
          <w:szCs w:val="22"/>
          <w:lang w:val="en-US"/>
        </w:rPr>
        <w:t xml:space="preserve"> has developed since the deregulation in the 1990s through focus on transparency and has grown into a liquid and well-functioning physical day ahead-market and exchange trading of financial contracts. The fundamental members (non-financials) have represented 60% of total traded and cleared volume during the last five years. Over 85% of all financial transactions in the Nordic power market are CCP cleared. This model has attracted a high, stable and diverse number of market participants, financials as well as non-financials, all contributing to market liquidity. It has led to a sound competition, benefiting the market as a whole, including the end users and consumers. </w:t>
      </w:r>
    </w:p>
    <w:p w14:paraId="37F077E4" w14:textId="77777777" w:rsidR="006A683A" w:rsidRPr="006A683A" w:rsidRDefault="006A683A" w:rsidP="006A683A">
      <w:pPr>
        <w:pStyle w:val="Default"/>
        <w:rPr>
          <w:color w:val="auto"/>
          <w:sz w:val="22"/>
          <w:szCs w:val="22"/>
          <w:lang w:val="en-US"/>
        </w:rPr>
      </w:pPr>
    </w:p>
    <w:p w14:paraId="1F342FC9" w14:textId="06982723" w:rsidR="006A683A" w:rsidRPr="006A683A" w:rsidRDefault="006A683A" w:rsidP="006A683A">
      <w:pPr>
        <w:rPr>
          <w:rFonts w:ascii="Times New Roman" w:hAnsi="Times New Roman"/>
          <w:sz w:val="22"/>
          <w:szCs w:val="22"/>
          <w:lang w:val="en-US" w:eastAsia="en-GB"/>
        </w:rPr>
      </w:pPr>
      <w:r w:rsidRPr="006A683A">
        <w:rPr>
          <w:rFonts w:ascii="Times New Roman" w:hAnsi="Times New Roman"/>
          <w:sz w:val="22"/>
          <w:szCs w:val="22"/>
          <w:lang w:val="en-US" w:eastAsia="en-GB"/>
        </w:rPr>
        <w:t>Furth</w:t>
      </w:r>
      <w:r w:rsidR="00075476">
        <w:rPr>
          <w:rFonts w:ascii="Times New Roman" w:hAnsi="Times New Roman"/>
          <w:sz w:val="22"/>
          <w:szCs w:val="22"/>
          <w:lang w:val="en-US" w:eastAsia="en-GB"/>
        </w:rPr>
        <w:t>ermore, i</w:t>
      </w:r>
      <w:r w:rsidRPr="006A683A">
        <w:rPr>
          <w:rFonts w:ascii="Times New Roman" w:hAnsi="Times New Roman"/>
          <w:sz w:val="22"/>
          <w:szCs w:val="22"/>
          <w:lang w:val="en-US" w:eastAsia="en-GB"/>
        </w:rPr>
        <w:t xml:space="preserve">n addition to requiring a clearing obligation within 6 months for the NFC+ counterparties, the EMIR Implementation Act will come into force in March 2016. Currently non-financial counterparties may use bank guarantees as collateral for CCP clearing of power and gas derivatives, without the guarantees being fully backed. However, in March 2016 the requirement for full backing will kick in unless changed. Non-financial counterparties will face a significant increase in collateral cost which creates disincentives for non-financials to hedge contracts beyond March 2016. The burden of the NFC+ will be </w:t>
      </w:r>
      <w:r w:rsidR="00075476">
        <w:rPr>
          <w:rFonts w:ascii="Times New Roman" w:hAnsi="Times New Roman"/>
          <w:sz w:val="22"/>
          <w:szCs w:val="22"/>
          <w:lang w:val="en-US" w:eastAsia="en-GB"/>
        </w:rPr>
        <w:t>dis</w:t>
      </w:r>
      <w:r w:rsidRPr="006A683A">
        <w:rPr>
          <w:rFonts w:ascii="Times New Roman" w:hAnsi="Times New Roman"/>
          <w:sz w:val="22"/>
          <w:szCs w:val="22"/>
          <w:lang w:val="en-US" w:eastAsia="en-GB"/>
        </w:rPr>
        <w:t xml:space="preserve">proportionally </w:t>
      </w:r>
      <w:r w:rsidR="00075476">
        <w:rPr>
          <w:rFonts w:ascii="Times New Roman" w:hAnsi="Times New Roman"/>
          <w:sz w:val="22"/>
          <w:szCs w:val="22"/>
          <w:lang w:val="en-US" w:eastAsia="en-GB"/>
        </w:rPr>
        <w:t>large</w:t>
      </w:r>
      <w:r w:rsidRPr="006A683A">
        <w:rPr>
          <w:rFonts w:ascii="Times New Roman" w:hAnsi="Times New Roman"/>
          <w:sz w:val="22"/>
          <w:szCs w:val="22"/>
          <w:lang w:val="en-US" w:eastAsia="en-GB"/>
        </w:rPr>
        <w:t xml:space="preserve"> compared to the benefit. Finally, in electricity and gas markets this risk is particularly exacerbated by the proposal to define physically delivered contracts traded on an OTF as not being financial instruments combined with the proposed classification in Section 4.2.</w:t>
      </w:r>
    </w:p>
    <w:p w14:paraId="3019F036" w14:textId="77777777" w:rsidR="006A683A" w:rsidRPr="006A683A" w:rsidRDefault="006A683A" w:rsidP="006A683A">
      <w:pPr>
        <w:rPr>
          <w:rFonts w:ascii="Times New Roman" w:hAnsi="Times New Roman"/>
          <w:sz w:val="22"/>
          <w:szCs w:val="22"/>
          <w:lang w:val="en-US" w:eastAsia="en-GB"/>
        </w:rPr>
      </w:pPr>
    </w:p>
    <w:p w14:paraId="6E211850" w14:textId="7472FDD0" w:rsidR="006A683A" w:rsidRDefault="006A683A" w:rsidP="006A683A">
      <w:pPr>
        <w:pStyle w:val="Default"/>
        <w:rPr>
          <w:color w:val="auto"/>
          <w:sz w:val="22"/>
          <w:szCs w:val="22"/>
          <w:lang w:val="en-US"/>
        </w:rPr>
      </w:pPr>
      <w:r w:rsidRPr="006A683A">
        <w:rPr>
          <w:color w:val="auto"/>
          <w:sz w:val="22"/>
          <w:szCs w:val="22"/>
          <w:lang w:val="en-US"/>
        </w:rPr>
        <w:t>For these reasons, it is a matter of great importance to the N</w:t>
      </w:r>
      <w:r w:rsidR="00075476">
        <w:rPr>
          <w:color w:val="auto"/>
          <w:sz w:val="22"/>
          <w:szCs w:val="22"/>
          <w:lang w:val="en-US"/>
        </w:rPr>
        <w:t>F</w:t>
      </w:r>
      <w:r w:rsidRPr="006A683A">
        <w:rPr>
          <w:color w:val="auto"/>
          <w:sz w:val="22"/>
          <w:szCs w:val="22"/>
          <w:lang w:val="en-US"/>
        </w:rPr>
        <w:t xml:space="preserve">C+ market participants to have 3 years instead of 6 months, in order not </w:t>
      </w:r>
      <w:r w:rsidR="00075476">
        <w:rPr>
          <w:color w:val="auto"/>
          <w:sz w:val="22"/>
          <w:szCs w:val="22"/>
          <w:lang w:val="en-US"/>
        </w:rPr>
        <w:t xml:space="preserve">to </w:t>
      </w:r>
      <w:r w:rsidRPr="006A683A">
        <w:rPr>
          <w:color w:val="auto"/>
          <w:sz w:val="22"/>
          <w:szCs w:val="22"/>
          <w:lang w:val="en-US"/>
        </w:rPr>
        <w:t xml:space="preserve">create </w:t>
      </w:r>
      <w:r w:rsidR="00075476">
        <w:rPr>
          <w:color w:val="auto"/>
          <w:sz w:val="22"/>
          <w:szCs w:val="22"/>
          <w:lang w:val="en-US"/>
        </w:rPr>
        <w:t xml:space="preserve">further </w:t>
      </w:r>
      <w:r w:rsidRPr="006A683A">
        <w:rPr>
          <w:color w:val="auto"/>
          <w:sz w:val="22"/>
          <w:szCs w:val="22"/>
          <w:lang w:val="en-US"/>
        </w:rPr>
        <w:t>incentives for a negative market shift as described above</w:t>
      </w:r>
      <w:r>
        <w:rPr>
          <w:color w:val="auto"/>
          <w:sz w:val="22"/>
          <w:szCs w:val="22"/>
          <w:lang w:val="en-US"/>
        </w:rPr>
        <w:t>.</w:t>
      </w:r>
    </w:p>
    <w:permEnd w:id="1782606567"/>
    <w:p w14:paraId="6D3771AB" w14:textId="4F53A6A0" w:rsidR="00940A63" w:rsidRDefault="00940A63" w:rsidP="00940A63">
      <w:r>
        <w:t>&lt;ESMA_QUESTION_7&gt;</w:t>
      </w:r>
    </w:p>
    <w:p w14:paraId="0310AB61" w14:textId="77777777" w:rsidR="00940A63" w:rsidRDefault="00940A63" w:rsidP="00940A63"/>
    <w:p w14:paraId="318B5E43" w14:textId="77777777" w:rsidR="00940A63" w:rsidRDefault="00940A63" w:rsidP="00940A63">
      <w:pPr>
        <w:pStyle w:val="Heading2"/>
      </w:pPr>
      <w:bookmarkStart w:id="18" w:name="_Ref389061941"/>
      <w:r w:rsidRPr="00E03F63">
        <w:t xml:space="preserve">Determination of the </w:t>
      </w:r>
      <w:bookmarkEnd w:id="18"/>
      <w:r>
        <w:t>dates from which the clearing obligation takes effect</w:t>
      </w:r>
    </w:p>
    <w:p w14:paraId="4AAC08C2" w14:textId="77777777" w:rsidR="00940A63" w:rsidRDefault="00940A63" w:rsidP="00940A63"/>
    <w:p w14:paraId="44D8D1D8" w14:textId="77777777" w:rsidR="00940A63" w:rsidRDefault="00940A63" w:rsidP="00940A63">
      <w:pPr>
        <w:pStyle w:val="Questions"/>
      </w:pPr>
      <w:r>
        <w:t xml:space="preserve">Question </w:t>
      </w:r>
      <w:fldSimple w:instr=" SEQ Question \* ARABIC ">
        <w:r w:rsidR="00A63BA9">
          <w:rPr>
            <w:noProof/>
          </w:rPr>
          <w:t>8</w:t>
        </w:r>
      </w:fldSimple>
      <w:r>
        <w:t>: Do you consider that the proposed dates of application ensure a smooth implementation of the clearing obligation? Please explain why and possible alternatives.</w:t>
      </w:r>
    </w:p>
    <w:p w14:paraId="4CF71D5D" w14:textId="77777777" w:rsidR="00940A63" w:rsidRDefault="00940A63" w:rsidP="00940A63"/>
    <w:p w14:paraId="3F2E6714" w14:textId="53481097" w:rsidR="00940A63" w:rsidRDefault="00940A63" w:rsidP="00940A63">
      <w:r>
        <w:t>&lt;ESMA_QUESTION_8&gt;</w:t>
      </w:r>
    </w:p>
    <w:p w14:paraId="7235527D" w14:textId="77777777" w:rsidR="00940A63" w:rsidRDefault="00940A63" w:rsidP="00940A63">
      <w:permStart w:id="1034450252" w:edGrp="everyone"/>
      <w:r>
        <w:t>TYPE YOUR TEXT HERE</w:t>
      </w:r>
    </w:p>
    <w:permEnd w:id="1034450252"/>
    <w:p w14:paraId="02AA78A7" w14:textId="45544043" w:rsidR="00940A63" w:rsidRDefault="00940A63" w:rsidP="00940A63">
      <w:r>
        <w:t>&lt;ESMA_QUESTION_8&gt;</w:t>
      </w:r>
    </w:p>
    <w:p w14:paraId="60E36014" w14:textId="77777777" w:rsidR="00940A63" w:rsidRDefault="00940A63" w:rsidP="00940A63">
      <w:r>
        <w:br w:type="page"/>
      </w:r>
    </w:p>
    <w:p w14:paraId="0DE9CF10" w14:textId="24B36B3A" w:rsidR="00940A63" w:rsidRDefault="00E363D7" w:rsidP="00940A63">
      <w:pPr>
        <w:pStyle w:val="Heading1"/>
      </w:pPr>
      <w:bookmarkStart w:id="19" w:name="_Toc392599426"/>
      <w:r>
        <w:lastRenderedPageBreak/>
        <w:tab/>
      </w:r>
      <w:r w:rsidR="00940A63" w:rsidRPr="00A84770">
        <w:t>Remaining maturity</w:t>
      </w:r>
      <w:r w:rsidR="00940A63">
        <w:t xml:space="preserve"> and frontloading</w:t>
      </w:r>
      <w:bookmarkEnd w:id="19"/>
    </w:p>
    <w:p w14:paraId="5DB96397" w14:textId="77777777" w:rsidR="00940A63" w:rsidRDefault="00940A63" w:rsidP="00940A63"/>
    <w:p w14:paraId="4E75356A" w14:textId="77777777" w:rsidR="00940A63" w:rsidRDefault="00940A63" w:rsidP="00940A63"/>
    <w:p w14:paraId="018F0B83" w14:textId="049266A2" w:rsidR="00940A63" w:rsidRDefault="00940A63" w:rsidP="00940A63">
      <w:pPr>
        <w:pStyle w:val="Questions"/>
      </w:pPr>
      <w:r>
        <w:t xml:space="preserve">Question </w:t>
      </w:r>
      <w:fldSimple w:instr=" SEQ Question \* ARABIC ">
        <w:r w:rsidR="00A63BA9">
          <w:rPr>
            <w:noProof/>
          </w:rPr>
          <w:t>9</w:t>
        </w:r>
      </w:fldSimple>
      <w:r>
        <w:t>: Do you consider that the proposed approach on frontloading and the minimum remaining maturity ensures that the uncertainty related to this requirement is sufficiently mitigated, while allowing a meaningful set of contracts to be captured? If not, please explain why and provide possible alternatives compatible with EMIR.</w:t>
      </w:r>
    </w:p>
    <w:p w14:paraId="67B9588F" w14:textId="77777777" w:rsidR="00940A63" w:rsidRDefault="00940A63" w:rsidP="00940A63"/>
    <w:p w14:paraId="4C875A17" w14:textId="3CA2735D" w:rsidR="00940A63" w:rsidRDefault="00940A63" w:rsidP="00940A63">
      <w:r>
        <w:t>&lt;ESMA_QUESTION_9&gt;</w:t>
      </w:r>
    </w:p>
    <w:p w14:paraId="7F97F81F" w14:textId="77777777" w:rsidR="00940A63" w:rsidRDefault="00940A63" w:rsidP="00940A63">
      <w:permStart w:id="1118569416" w:edGrp="everyone"/>
      <w:r>
        <w:t>TYPE YOUR TEXT HERE</w:t>
      </w:r>
    </w:p>
    <w:permEnd w:id="1118569416"/>
    <w:p w14:paraId="0416C051" w14:textId="4465A497" w:rsidR="00940A63" w:rsidRDefault="00940A63" w:rsidP="00940A63">
      <w:r>
        <w:t>&lt;ESMA_QUESTION_9&gt;</w:t>
      </w:r>
    </w:p>
    <w:p w14:paraId="216DB460" w14:textId="77777777" w:rsidR="00372176" w:rsidRDefault="00372176" w:rsidP="00940A63"/>
    <w:p w14:paraId="08AD8C30" w14:textId="77777777" w:rsidR="00372176" w:rsidRDefault="00372176" w:rsidP="00940A63"/>
    <w:p w14:paraId="62CFC206" w14:textId="0ABA2016" w:rsidR="00940A63" w:rsidRDefault="00E363D7" w:rsidP="00940A63">
      <w:pPr>
        <w:pStyle w:val="Heading1"/>
      </w:pPr>
      <w:bookmarkStart w:id="20" w:name="_Ref390182025"/>
      <w:bookmarkStart w:id="21" w:name="_Toc392599427"/>
      <w:r>
        <w:tab/>
      </w:r>
      <w:r w:rsidR="00940A63">
        <w:t>OTC equity derivative classes that are proposed not to be subject to the clearing obligation</w:t>
      </w:r>
      <w:bookmarkEnd w:id="20"/>
      <w:bookmarkEnd w:id="21"/>
    </w:p>
    <w:p w14:paraId="57533885" w14:textId="77777777" w:rsidR="00940A63" w:rsidRDefault="00940A63" w:rsidP="00940A63"/>
    <w:p w14:paraId="2C5AEABB" w14:textId="77777777" w:rsidR="00940A63" w:rsidRDefault="00940A63" w:rsidP="00940A63"/>
    <w:p w14:paraId="36EBC932" w14:textId="77777777" w:rsidR="00940A63" w:rsidRDefault="00940A63" w:rsidP="00940A63">
      <w:pPr>
        <w:pStyle w:val="Questions"/>
      </w:pPr>
      <w:r>
        <w:t xml:space="preserve">Question </w:t>
      </w:r>
      <w:fldSimple w:instr=" SEQ Question \* ARABIC ">
        <w:r w:rsidR="00A63BA9">
          <w:rPr>
            <w:noProof/>
          </w:rPr>
          <w:t>10</w:t>
        </w:r>
      </w:fldSimple>
      <w:r>
        <w:t xml:space="preserve">: Do you have any comment on the analysis on the Equity OTC derivative classes presented in Section </w:t>
      </w:r>
      <w:r>
        <w:fldChar w:fldCharType="begin"/>
      </w:r>
      <w:r>
        <w:instrText xml:space="preserve"> REF _Ref390182025 \r \h </w:instrText>
      </w:r>
      <w:r>
        <w:fldChar w:fldCharType="separate"/>
      </w:r>
      <w:r w:rsidR="00A63BA9">
        <w:t>6</w:t>
      </w:r>
      <w:r>
        <w:fldChar w:fldCharType="end"/>
      </w:r>
      <w:r>
        <w:t>?</w:t>
      </w:r>
    </w:p>
    <w:p w14:paraId="0E926506" w14:textId="77777777" w:rsidR="00940A63" w:rsidRDefault="00940A63" w:rsidP="00940A63"/>
    <w:p w14:paraId="213A5333" w14:textId="56B7C0F0" w:rsidR="00940A63" w:rsidRDefault="00940A63" w:rsidP="00940A63">
      <w:r>
        <w:t>&lt;ESMA_QUESTION_10&gt;</w:t>
      </w:r>
    </w:p>
    <w:p w14:paraId="4736648A" w14:textId="7CCD2FC6" w:rsidR="00521C7C" w:rsidRDefault="00CB1BCD" w:rsidP="00D35525">
      <w:permStart w:id="692392694" w:edGrp="everyone"/>
      <w:r>
        <w:t>NASDAQ OMX</w:t>
      </w:r>
      <w:r w:rsidR="00A24283">
        <w:t xml:space="preserve"> </w:t>
      </w:r>
      <w:r w:rsidR="00064637" w:rsidRPr="007C033D">
        <w:t>has the</w:t>
      </w:r>
      <w:r w:rsidR="00064637">
        <w:t xml:space="preserve"> </w:t>
      </w:r>
      <w:r w:rsidR="00A24283">
        <w:t xml:space="preserve">view </w:t>
      </w:r>
      <w:r w:rsidR="00064637">
        <w:t xml:space="preserve">that </w:t>
      </w:r>
      <w:r w:rsidR="00A24283">
        <w:t xml:space="preserve">the ESMA proposal to not submit any equity derivative class to the clearing obligation </w:t>
      </w:r>
      <w:r>
        <w:t xml:space="preserve">(CO) </w:t>
      </w:r>
      <w:r w:rsidR="007C033D">
        <w:t xml:space="preserve">is </w:t>
      </w:r>
      <w:r w:rsidR="007C033D" w:rsidRPr="007C033D">
        <w:rPr>
          <w:b/>
        </w:rPr>
        <w:t>not in line</w:t>
      </w:r>
      <w:r w:rsidR="00A24283" w:rsidRPr="007C033D">
        <w:rPr>
          <w:b/>
        </w:rPr>
        <w:t xml:space="preserve"> with</w:t>
      </w:r>
      <w:r w:rsidR="00A24283">
        <w:t xml:space="preserve"> the original mandate from the G20 leaders as stated in EMIR and furthermore carries the risk of unintended consequences for the achievement of the goals expected with the application of </w:t>
      </w:r>
      <w:proofErr w:type="spellStart"/>
      <w:r w:rsidR="00A24283" w:rsidRPr="007C033D">
        <w:t>Mi</w:t>
      </w:r>
      <w:r w:rsidR="00064637" w:rsidRPr="007C033D">
        <w:t>FIR</w:t>
      </w:r>
      <w:proofErr w:type="spellEnd"/>
      <w:r w:rsidR="00A24283">
        <w:t xml:space="preserve"> regulation. </w:t>
      </w:r>
    </w:p>
    <w:p w14:paraId="23B835F4" w14:textId="77777777" w:rsidR="007744EF" w:rsidRDefault="007744EF" w:rsidP="00D35525"/>
    <w:p w14:paraId="5325FE1C" w14:textId="0CBBE5A4" w:rsidR="00A24283" w:rsidRDefault="00A24283" w:rsidP="00D35525">
      <w:r>
        <w:t>Indeed, for some financial markets it may result in:</w:t>
      </w:r>
    </w:p>
    <w:p w14:paraId="56BAA059" w14:textId="73C25470" w:rsidR="00A24283" w:rsidRDefault="00A24283" w:rsidP="00A24283">
      <w:pPr>
        <w:pStyle w:val="ListParagraph"/>
        <w:numPr>
          <w:ilvl w:val="0"/>
          <w:numId w:val="57"/>
        </w:numPr>
      </w:pPr>
      <w:r>
        <w:t xml:space="preserve">no reduction of current </w:t>
      </w:r>
      <w:r w:rsidR="007744EF">
        <w:t xml:space="preserve">bilateral risk </w:t>
      </w:r>
      <w:r>
        <w:t xml:space="preserve">levels </w:t>
      </w:r>
      <w:r w:rsidR="00574250">
        <w:t>in equity derivative products</w:t>
      </w:r>
      <w:r>
        <w:t xml:space="preserve">,  </w:t>
      </w:r>
    </w:p>
    <w:p w14:paraId="1043F33B" w14:textId="77777777" w:rsidR="00A24283" w:rsidRDefault="00A24283" w:rsidP="00A24283">
      <w:pPr>
        <w:pStyle w:val="ListParagraph"/>
        <w:numPr>
          <w:ilvl w:val="0"/>
          <w:numId w:val="57"/>
        </w:numPr>
      </w:pPr>
      <w:r>
        <w:t xml:space="preserve">prevent the development of a transparent and efficient equity derivative market and </w:t>
      </w:r>
    </w:p>
    <w:p w14:paraId="405F6C44" w14:textId="7654C314" w:rsidR="00A24283" w:rsidRDefault="00A24283" w:rsidP="00A24283">
      <w:pPr>
        <w:pStyle w:val="ListParagraph"/>
        <w:numPr>
          <w:ilvl w:val="0"/>
          <w:numId w:val="57"/>
        </w:numPr>
      </w:pPr>
      <w:proofErr w:type="gramStart"/>
      <w:r>
        <w:t>no</w:t>
      </w:r>
      <w:proofErr w:type="gramEnd"/>
      <w:r>
        <w:t xml:space="preserve"> reduction in the use of standardized OTC equity derivatives products (i.e. plain vanilla and flexible contracts).   </w:t>
      </w:r>
    </w:p>
    <w:p w14:paraId="424B1E99" w14:textId="77777777" w:rsidR="00A24283" w:rsidRDefault="00A24283" w:rsidP="00D35525"/>
    <w:p w14:paraId="6634A30A" w14:textId="087FA846" w:rsidR="00E460EB" w:rsidRPr="00031550" w:rsidRDefault="00E460EB" w:rsidP="00D35525">
      <w:r w:rsidRPr="00031550">
        <w:t>Effectively with this proposal, the message sent to mar</w:t>
      </w:r>
      <w:r w:rsidR="00336BEF" w:rsidRPr="00031550">
        <w:t xml:space="preserve">ket participants is that </w:t>
      </w:r>
      <w:r w:rsidR="00064637" w:rsidRPr="00031550">
        <w:t>everyone</w:t>
      </w:r>
      <w:r w:rsidR="00336BEF" w:rsidRPr="00031550">
        <w:t xml:space="preserve"> may</w:t>
      </w:r>
      <w:r w:rsidRPr="00031550">
        <w:t xml:space="preserve"> continue with current practice</w:t>
      </w:r>
      <w:r w:rsidR="00064637" w:rsidRPr="00031550">
        <w:rPr>
          <w:b/>
        </w:rPr>
        <w:t>s</w:t>
      </w:r>
      <w:r w:rsidRPr="00031550">
        <w:t xml:space="preserve"> of trading OTC </w:t>
      </w:r>
      <w:r w:rsidR="00064637" w:rsidRPr="00031550">
        <w:t xml:space="preserve">all </w:t>
      </w:r>
      <w:r w:rsidRPr="00031550">
        <w:t>well standardized equity derivatives contracts without any real impact from the wave of regula</w:t>
      </w:r>
      <w:bookmarkStart w:id="22" w:name="_GoBack"/>
      <w:bookmarkEnd w:id="22"/>
      <w:r w:rsidRPr="00031550">
        <w:t>tion</w:t>
      </w:r>
      <w:r w:rsidR="001758D1" w:rsidRPr="00031550">
        <w:t xml:space="preserve"> that is </w:t>
      </w:r>
      <w:r w:rsidR="007F05BF" w:rsidRPr="00031550">
        <w:t xml:space="preserve">and has </w:t>
      </w:r>
      <w:r w:rsidR="001758D1" w:rsidRPr="00031550">
        <w:t>be</w:t>
      </w:r>
      <w:r w:rsidR="007F05BF" w:rsidRPr="00031550">
        <w:t>en</w:t>
      </w:r>
      <w:r w:rsidR="001758D1" w:rsidRPr="00031550">
        <w:t xml:space="preserve"> produced</w:t>
      </w:r>
      <w:r w:rsidRPr="00031550">
        <w:t xml:space="preserve">. </w:t>
      </w:r>
    </w:p>
    <w:p w14:paraId="00476274" w14:textId="77777777" w:rsidR="001758D1" w:rsidRDefault="001758D1" w:rsidP="00D35525"/>
    <w:p w14:paraId="13D91060" w14:textId="06FBB69A" w:rsidR="009B0C87" w:rsidRDefault="00064637" w:rsidP="00D35525">
      <w:r w:rsidRPr="007C033D">
        <w:t>Based on</w:t>
      </w:r>
      <w:r>
        <w:t xml:space="preserve"> </w:t>
      </w:r>
      <w:r w:rsidR="009B0C87">
        <w:t xml:space="preserve">the consultation paper, it emerges that </w:t>
      </w:r>
      <w:r w:rsidRPr="007C033D">
        <w:t>the</w:t>
      </w:r>
      <w:r>
        <w:t xml:space="preserve"> </w:t>
      </w:r>
      <w:r w:rsidR="009B0C87">
        <w:t xml:space="preserve">ESMA </w:t>
      </w:r>
      <w:r w:rsidR="00574250">
        <w:t>proposal</w:t>
      </w:r>
      <w:r w:rsidR="009B0C87">
        <w:t xml:space="preserve"> to exclude </w:t>
      </w:r>
      <w:r w:rsidRPr="007C033D">
        <w:t>all</w:t>
      </w:r>
      <w:r>
        <w:t xml:space="preserve"> </w:t>
      </w:r>
      <w:r w:rsidR="009B0C87">
        <w:t>standardized OTC equity derivatives products (e.g. plain vanilla and flexible derivatives) is based on the following aspects:</w:t>
      </w:r>
    </w:p>
    <w:p w14:paraId="0955F32B" w14:textId="77777777" w:rsidR="009B0C87" w:rsidRDefault="009B0C87" w:rsidP="00D35525"/>
    <w:p w14:paraId="71F9B9B1" w14:textId="3F3CBC8E" w:rsidR="009B0C87" w:rsidRDefault="007744EF" w:rsidP="007744EF">
      <w:pPr>
        <w:pStyle w:val="ListParagraph"/>
        <w:numPr>
          <w:ilvl w:val="0"/>
          <w:numId w:val="57"/>
        </w:numPr>
      </w:pPr>
      <w:r>
        <w:t>equity assets represent a limited share of the total OTC derivative market leading to a small systemic risk</w:t>
      </w:r>
    </w:p>
    <w:p w14:paraId="02573A02" w14:textId="77777777" w:rsidR="001758D1" w:rsidRDefault="001758D1" w:rsidP="001758D1">
      <w:pPr>
        <w:pStyle w:val="ListParagraph"/>
      </w:pPr>
    </w:p>
    <w:p w14:paraId="5A8FD3C2" w14:textId="463ABB54" w:rsidR="007744EF" w:rsidRDefault="007744EF" w:rsidP="007744EF">
      <w:pPr>
        <w:pStyle w:val="ListParagraph"/>
        <w:numPr>
          <w:ilvl w:val="0"/>
          <w:numId w:val="57"/>
        </w:numPr>
      </w:pPr>
      <w:r>
        <w:t xml:space="preserve">data on OTC volumes currently cleared by </w:t>
      </w:r>
      <w:r w:rsidRPr="007C033D">
        <w:t>N</w:t>
      </w:r>
      <w:r w:rsidR="00344A3D" w:rsidRPr="007C033D">
        <w:t>ASDAQ</w:t>
      </w:r>
      <w:r>
        <w:t xml:space="preserve"> OMX indicates that there is little or moderate level of activity without evidence of any of these classes being kept OTC in volume</w:t>
      </w:r>
    </w:p>
    <w:p w14:paraId="2880B876" w14:textId="77777777" w:rsidR="007744EF" w:rsidRDefault="007744EF" w:rsidP="007744EF"/>
    <w:p w14:paraId="5AFC5A99" w14:textId="5BC5009E" w:rsidR="007744EF" w:rsidRDefault="007744EF" w:rsidP="007744EF">
      <w:r>
        <w:t>ESMA concludes that based on its analysis</w:t>
      </w:r>
      <w:r w:rsidR="007F05BF">
        <w:t>:</w:t>
      </w:r>
      <w:r>
        <w:t xml:space="preserve"> the clearing obligation of the equity classes currently cleared by </w:t>
      </w:r>
      <w:r w:rsidR="00CB1BCD">
        <w:t>NASDAQ OMX</w:t>
      </w:r>
      <w:r>
        <w:t xml:space="preserve"> would not add any immediate benefits and it would be disproportionate at this point in time.</w:t>
      </w:r>
    </w:p>
    <w:p w14:paraId="1455A986" w14:textId="77777777" w:rsidR="009B0C87" w:rsidRDefault="009B0C87" w:rsidP="00D35525"/>
    <w:p w14:paraId="5FE2EDF1" w14:textId="4D2DDC0D" w:rsidR="004725BC" w:rsidRDefault="00CB1BCD" w:rsidP="00D35525">
      <w:r>
        <w:t>NASDAQ OMX</w:t>
      </w:r>
      <w:r w:rsidR="00946774">
        <w:t xml:space="preserve"> disagrees with ESMA’s</w:t>
      </w:r>
      <w:r w:rsidR="004725BC">
        <w:t xml:space="preserve"> analysis and conclusions presented in the consultation paper </w:t>
      </w:r>
      <w:r w:rsidR="00946774">
        <w:t xml:space="preserve">as these </w:t>
      </w:r>
      <w:r w:rsidR="00946774" w:rsidRPr="007C033D">
        <w:t>are</w:t>
      </w:r>
      <w:r w:rsidR="00946774">
        <w:t xml:space="preserve"> </w:t>
      </w:r>
      <w:r w:rsidR="004725BC">
        <w:t xml:space="preserve">affected by </w:t>
      </w:r>
      <w:r w:rsidR="00344A3D" w:rsidRPr="007C033D">
        <w:t>three</w:t>
      </w:r>
      <w:r w:rsidR="004725BC">
        <w:t xml:space="preserve"> main </w:t>
      </w:r>
      <w:r w:rsidR="00946774">
        <w:t>issues</w:t>
      </w:r>
      <w:r w:rsidR="004725BC">
        <w:t>:</w:t>
      </w:r>
    </w:p>
    <w:p w14:paraId="33347170" w14:textId="77777777" w:rsidR="004725BC" w:rsidRDefault="004725BC" w:rsidP="00D35525"/>
    <w:p w14:paraId="60EC0784" w14:textId="24674040" w:rsidR="004725BC" w:rsidRDefault="00336BEF" w:rsidP="001758D1">
      <w:pPr>
        <w:pStyle w:val="ListParagraph"/>
        <w:numPr>
          <w:ilvl w:val="0"/>
          <w:numId w:val="58"/>
        </w:numPr>
      </w:pPr>
      <w:r>
        <w:lastRenderedPageBreak/>
        <w:t>They n</w:t>
      </w:r>
      <w:r w:rsidR="00FA2E85">
        <w:t xml:space="preserve">eglect </w:t>
      </w:r>
      <w:r w:rsidR="00946774">
        <w:t xml:space="preserve">market </w:t>
      </w:r>
      <w:r w:rsidR="00574250">
        <w:t xml:space="preserve">specific </w:t>
      </w:r>
      <w:r w:rsidR="001758D1">
        <w:t xml:space="preserve">characteristics </w:t>
      </w:r>
      <w:r w:rsidR="00574250">
        <w:t xml:space="preserve">and size </w:t>
      </w:r>
      <w:r w:rsidR="001758D1">
        <w:t>and the</w:t>
      </w:r>
      <w:r w:rsidR="00574250">
        <w:t>refore neglect the</w:t>
      </w:r>
      <w:r w:rsidR="00FA2E85">
        <w:t xml:space="preserve"> </w:t>
      </w:r>
      <w:r w:rsidR="00574250">
        <w:t>consequences</w:t>
      </w:r>
      <w:r w:rsidR="00FA2E85">
        <w:t xml:space="preserve"> on </w:t>
      </w:r>
      <w:r w:rsidR="001758D1">
        <w:t xml:space="preserve">the </w:t>
      </w:r>
      <w:r w:rsidR="00574250">
        <w:t xml:space="preserve">systemic </w:t>
      </w:r>
      <w:r w:rsidR="00946774">
        <w:t xml:space="preserve">risks and stability at </w:t>
      </w:r>
      <w:r w:rsidR="00574250">
        <w:t xml:space="preserve">a </w:t>
      </w:r>
      <w:r w:rsidR="00FA2E85">
        <w:t>regional financial market</w:t>
      </w:r>
      <w:r w:rsidR="004725BC">
        <w:t xml:space="preserve"> </w:t>
      </w:r>
      <w:r w:rsidR="001758D1">
        <w:t>level</w:t>
      </w:r>
      <w:r w:rsidR="00E460EB">
        <w:t>.</w:t>
      </w:r>
    </w:p>
    <w:p w14:paraId="73291717" w14:textId="77777777" w:rsidR="001758D1" w:rsidRDefault="001758D1" w:rsidP="001758D1">
      <w:pPr>
        <w:pStyle w:val="ListParagraph"/>
      </w:pPr>
    </w:p>
    <w:p w14:paraId="61723CA6" w14:textId="735FBE8E" w:rsidR="004725BC" w:rsidRDefault="008B2F9A" w:rsidP="001758D1">
      <w:pPr>
        <w:pStyle w:val="ListParagraph"/>
        <w:numPr>
          <w:ilvl w:val="0"/>
          <w:numId w:val="58"/>
        </w:numPr>
      </w:pPr>
      <w:r>
        <w:t xml:space="preserve">When estimating the un-cleared volumes for the OTC equity product classes cleared by </w:t>
      </w:r>
      <w:r w:rsidR="00CB1BCD">
        <w:t>NASDAQ OMX</w:t>
      </w:r>
      <w:r>
        <w:t>, the a</w:t>
      </w:r>
      <w:r w:rsidR="004725BC">
        <w:t xml:space="preserve">nalysis </w:t>
      </w:r>
      <w:r>
        <w:t xml:space="preserve">is </w:t>
      </w:r>
      <w:r w:rsidR="004725BC">
        <w:t>not based on data with the right level of granularity and accuracy</w:t>
      </w:r>
      <w:r w:rsidR="00344A3D" w:rsidRPr="00344A3D">
        <w:rPr>
          <w:b/>
        </w:rPr>
        <w:t>.</w:t>
      </w:r>
    </w:p>
    <w:p w14:paraId="5C8C5D5D" w14:textId="77777777" w:rsidR="004725BC" w:rsidRDefault="004725BC" w:rsidP="004725BC">
      <w:pPr>
        <w:pStyle w:val="ListParagraph"/>
      </w:pPr>
    </w:p>
    <w:p w14:paraId="6D8F8794" w14:textId="27A4CB12" w:rsidR="004725BC" w:rsidRDefault="004725BC" w:rsidP="001758D1">
      <w:pPr>
        <w:pStyle w:val="ListParagraph"/>
        <w:numPr>
          <w:ilvl w:val="0"/>
          <w:numId w:val="58"/>
        </w:numPr>
      </w:pPr>
      <w:r>
        <w:t xml:space="preserve">No consideration for the possible </w:t>
      </w:r>
      <w:r w:rsidR="00574250">
        <w:t xml:space="preserve">negative </w:t>
      </w:r>
      <w:r>
        <w:t xml:space="preserve">consequences in relation to </w:t>
      </w:r>
      <w:proofErr w:type="spellStart"/>
      <w:r w:rsidRPr="007C033D">
        <w:t>Mi</w:t>
      </w:r>
      <w:r w:rsidR="00344A3D" w:rsidRPr="007C033D">
        <w:t>FID</w:t>
      </w:r>
      <w:proofErr w:type="spellEnd"/>
      <w:r w:rsidRPr="007C033D">
        <w:t>/</w:t>
      </w:r>
      <w:r w:rsidR="00344A3D" w:rsidRPr="007C033D">
        <w:t>R</w:t>
      </w:r>
      <w:r>
        <w:t xml:space="preserve"> II regulation and the original objectives from </w:t>
      </w:r>
      <w:r w:rsidR="00344A3D">
        <w:t xml:space="preserve">the </w:t>
      </w:r>
      <w:r>
        <w:t>G20 directive.</w:t>
      </w:r>
    </w:p>
    <w:p w14:paraId="05737489" w14:textId="77777777" w:rsidR="007F05BF" w:rsidRDefault="007F05BF" w:rsidP="007F05BF">
      <w:pPr>
        <w:pStyle w:val="ListParagraph"/>
      </w:pPr>
    </w:p>
    <w:p w14:paraId="2818A148" w14:textId="77777777" w:rsidR="00C562AB" w:rsidRPr="00C562AB" w:rsidRDefault="00C562AB" w:rsidP="007F05BF">
      <w:pPr>
        <w:rPr>
          <w:color w:val="FF0000"/>
        </w:rPr>
      </w:pPr>
    </w:p>
    <w:p w14:paraId="2BC7B276" w14:textId="77777777" w:rsidR="002B2EC8" w:rsidRPr="00EA3DCE" w:rsidRDefault="007E5DFF" w:rsidP="007F05BF">
      <w:r w:rsidRPr="00EA3DCE">
        <w:t>Looking back t</w:t>
      </w:r>
      <w:r w:rsidR="002B2EC8" w:rsidRPr="00EA3DCE">
        <w:t>o</w:t>
      </w:r>
      <w:r w:rsidRPr="00EA3DCE">
        <w:t xml:space="preserve"> the original mandate from the G20 leaders at the 26 September 2009 summit in Pittsburgh,</w:t>
      </w:r>
      <w:r w:rsidR="002B2EC8" w:rsidRPr="00EA3DCE">
        <w:t xml:space="preserve"> it was agreed that all standardised OTC derivative contract should be cleared through a CCP. </w:t>
      </w:r>
    </w:p>
    <w:p w14:paraId="18484B14" w14:textId="77777777" w:rsidR="002B2EC8" w:rsidRPr="00EA3DCE" w:rsidRDefault="002B2EC8" w:rsidP="007F05BF"/>
    <w:p w14:paraId="2874F138" w14:textId="77777777" w:rsidR="002B2EC8" w:rsidRPr="00EA3DCE" w:rsidRDefault="002B2EC8" w:rsidP="007F05BF">
      <w:r w:rsidRPr="00EA3DCE">
        <w:t xml:space="preserve">A commitment that was reaffirmed also in June 20, G20 summit in Toronto with the addition to implement also measures to improve transparency. </w:t>
      </w:r>
    </w:p>
    <w:p w14:paraId="7EF4BBD1" w14:textId="77777777" w:rsidR="002B2EC8" w:rsidRPr="00EA3DCE" w:rsidRDefault="002B2EC8" w:rsidP="007F05BF"/>
    <w:p w14:paraId="3DB30D06" w14:textId="510055C4" w:rsidR="007E5DFF" w:rsidRPr="00EA3DCE" w:rsidRDefault="002B2EC8" w:rsidP="007F05BF">
      <w:r w:rsidRPr="00EA3DCE">
        <w:t>It was also noted that the incentives previously put in place to promote CCP clearing for standardised OTC derivatives contracts did not prove sufficient and therefore the need for a mandatory requirement was</w:t>
      </w:r>
      <w:r w:rsidR="00724EB0" w:rsidRPr="00EA3DCE">
        <w:t xml:space="preserve"> considered a</w:t>
      </w:r>
      <w:r w:rsidRPr="00EA3DCE">
        <w:t xml:space="preserve"> necessary </w:t>
      </w:r>
      <w:r w:rsidR="00724EB0" w:rsidRPr="00EA3DCE">
        <w:t xml:space="preserve">step </w:t>
      </w:r>
      <w:r w:rsidRPr="00EA3DCE">
        <w:t xml:space="preserve">to ensure that all OTC derivatives that can be cleared centrally </w:t>
      </w:r>
    </w:p>
    <w:p w14:paraId="6E746758" w14:textId="77777777" w:rsidR="002B2EC8" w:rsidRPr="00EA3DCE" w:rsidRDefault="002B2EC8" w:rsidP="007F05BF"/>
    <w:p w14:paraId="077BB26F" w14:textId="77777777" w:rsidR="00724EB0" w:rsidRPr="00EA3DCE" w:rsidRDefault="00724EB0" w:rsidP="00724EB0">
      <w:r w:rsidRPr="00EA3DCE">
        <w:t xml:space="preserve">In defining these guiding principles and in the resulting EMIR regulation, there is no </w:t>
      </w:r>
      <w:r w:rsidR="007F05BF" w:rsidRPr="00EA3DCE">
        <w:t>limitation in terms of size of markets or products</w:t>
      </w:r>
      <w:r w:rsidRPr="00EA3DCE">
        <w:t xml:space="preserve"> to be affected</w:t>
      </w:r>
      <w:r w:rsidR="007F05BF" w:rsidRPr="00EA3DCE">
        <w:t xml:space="preserve">. </w:t>
      </w:r>
    </w:p>
    <w:p w14:paraId="50506944" w14:textId="77777777" w:rsidR="00724EB0" w:rsidRDefault="00724EB0" w:rsidP="00724EB0"/>
    <w:p w14:paraId="2F029DAE" w14:textId="2F79020D" w:rsidR="007F05BF" w:rsidRDefault="007F05BF" w:rsidP="00724EB0">
      <w:r>
        <w:t xml:space="preserve">Plain vanilla equity derivative contracts traded OTC </w:t>
      </w:r>
      <w:proofErr w:type="gramStart"/>
      <w:r>
        <w:t>are</w:t>
      </w:r>
      <w:proofErr w:type="gramEnd"/>
      <w:r>
        <w:t xml:space="preserve"> by definition </w:t>
      </w:r>
      <w:r w:rsidR="00574250">
        <w:t xml:space="preserve">well </w:t>
      </w:r>
      <w:r>
        <w:t>standardized and therefore should not be exempt from clearing obligation.</w:t>
      </w:r>
    </w:p>
    <w:p w14:paraId="2DA076A2" w14:textId="77777777" w:rsidR="007F05BF" w:rsidRDefault="007F05BF" w:rsidP="007F05BF"/>
    <w:p w14:paraId="63321A78" w14:textId="26EA7157" w:rsidR="008B2F9A" w:rsidRDefault="007F05BF" w:rsidP="007F05BF">
      <w:r>
        <w:t xml:space="preserve">Flexible derivatives </w:t>
      </w:r>
      <w:r w:rsidR="00336BEF">
        <w:t>are</w:t>
      </w:r>
      <w:r>
        <w:t xml:space="preserve"> also </w:t>
      </w:r>
      <w:r w:rsidR="00336BEF">
        <w:t xml:space="preserve">to </w:t>
      </w:r>
      <w:r>
        <w:t xml:space="preserve">be considered as a standardized type of offering as they are very similar among CCPs and it is easy to find a </w:t>
      </w:r>
      <w:r w:rsidR="000A436F">
        <w:t xml:space="preserve">minimum </w:t>
      </w:r>
      <w:r>
        <w:t>common denominator for the contract attributes that can be tailored</w:t>
      </w:r>
      <w:r w:rsidR="000A436F">
        <w:t xml:space="preserve"> (e.g. style of options, expiration date, settlement type, strike price)</w:t>
      </w:r>
      <w:r>
        <w:t>.</w:t>
      </w:r>
      <w:r w:rsidR="008B2F9A">
        <w:t xml:space="preserve"> </w:t>
      </w:r>
    </w:p>
    <w:p w14:paraId="531A6995" w14:textId="77777777" w:rsidR="008B2F9A" w:rsidRDefault="008B2F9A" w:rsidP="007F05BF"/>
    <w:p w14:paraId="5C2FB786" w14:textId="08F7A2E8" w:rsidR="007F05BF" w:rsidRDefault="008B2F9A" w:rsidP="007F05BF">
      <w:r>
        <w:t xml:space="preserve">The tailoring allowed by </w:t>
      </w:r>
      <w:r w:rsidR="00CB1BCD">
        <w:t>NASDAQ OMX</w:t>
      </w:r>
      <w:r>
        <w:t xml:space="preserve"> for Nordic flexible contracts is very well defined and simple </w:t>
      </w:r>
      <w:r w:rsidR="0048203C">
        <w:t>(</w:t>
      </w:r>
      <w:r w:rsidR="0048203C" w:rsidRPr="0048203C">
        <w:t>http://www.nasdaqomx.com/transactions/posttrade/clearing/europeanclearing/products/flexible-derivatives</w:t>
      </w:r>
      <w:r w:rsidR="0048203C">
        <w:t xml:space="preserve">) </w:t>
      </w:r>
      <w:r>
        <w:t xml:space="preserve">and it would be very easy to mandate for clearing any OTC contracts that can be mapped to a </w:t>
      </w:r>
      <w:r w:rsidR="00CB1BCD">
        <w:t>NASDAQ OMX</w:t>
      </w:r>
      <w:r>
        <w:t xml:space="preserve"> </w:t>
      </w:r>
      <w:r w:rsidR="00C562AB">
        <w:t>flexible derivative</w:t>
      </w:r>
      <w:r>
        <w:t xml:space="preserve"> contract.</w:t>
      </w:r>
    </w:p>
    <w:p w14:paraId="355534A6" w14:textId="77777777" w:rsidR="009B0C87" w:rsidRDefault="009B0C87" w:rsidP="00D35525"/>
    <w:p w14:paraId="58E092D8" w14:textId="7F15B60F" w:rsidR="00E460EB" w:rsidRDefault="006A3DCF" w:rsidP="00E43D58">
      <w:pPr>
        <w:pStyle w:val="ListParagraph"/>
        <w:numPr>
          <w:ilvl w:val="0"/>
          <w:numId w:val="59"/>
        </w:numPr>
        <w:ind w:left="426" w:hanging="426"/>
        <w:rPr>
          <w:b/>
        </w:rPr>
      </w:pPr>
      <w:r>
        <w:rPr>
          <w:b/>
        </w:rPr>
        <w:t>Need for a</w:t>
      </w:r>
      <w:r w:rsidR="00E460EB" w:rsidRPr="001758D1">
        <w:rPr>
          <w:b/>
        </w:rPr>
        <w:t xml:space="preserve"> regional </w:t>
      </w:r>
      <w:r w:rsidR="008429C5">
        <w:rPr>
          <w:b/>
        </w:rPr>
        <w:t xml:space="preserve">market </w:t>
      </w:r>
      <w:r w:rsidR="00E460EB" w:rsidRPr="001758D1">
        <w:rPr>
          <w:b/>
        </w:rPr>
        <w:t>view:</w:t>
      </w:r>
    </w:p>
    <w:p w14:paraId="1F2E0211" w14:textId="77777777" w:rsidR="003D665B" w:rsidRDefault="003D665B" w:rsidP="003D665B"/>
    <w:p w14:paraId="2374D843" w14:textId="50A27E64" w:rsidR="008429C5" w:rsidRPr="00517653" w:rsidRDefault="008429C5" w:rsidP="003D665B">
      <w:r w:rsidRPr="00517653">
        <w:t xml:space="preserve">While </w:t>
      </w:r>
      <w:r w:rsidR="00CB1BCD">
        <w:t>NASDAQ OMX</w:t>
      </w:r>
      <w:r w:rsidRPr="00517653">
        <w:t xml:space="preserve"> understand</w:t>
      </w:r>
      <w:r w:rsidR="00FA5B59">
        <w:t>s</w:t>
      </w:r>
      <w:r w:rsidRPr="00517653">
        <w:t xml:space="preserve"> </w:t>
      </w:r>
      <w:r w:rsidR="00344A3D" w:rsidRPr="007C033D">
        <w:t>the</w:t>
      </w:r>
      <w:r w:rsidR="00344A3D">
        <w:t xml:space="preserve"> </w:t>
      </w:r>
      <w:r w:rsidRPr="00517653">
        <w:t>ESMA approach of prioritizing OTC classes that poses larger systemic risk</w:t>
      </w:r>
      <w:r w:rsidR="00344A3D" w:rsidRPr="00344A3D">
        <w:rPr>
          <w:b/>
        </w:rPr>
        <w:t>s</w:t>
      </w:r>
      <w:r w:rsidRPr="00517653">
        <w:t xml:space="preserve"> on a global scale, this should not be detrimental to the stability of regional financial markets and currencies</w:t>
      </w:r>
      <w:r w:rsidR="00336BEF">
        <w:t xml:space="preserve"> as already extensively discussed in </w:t>
      </w:r>
      <w:r w:rsidR="00344A3D" w:rsidRPr="007C033D">
        <w:t>the</w:t>
      </w:r>
      <w:r w:rsidR="00344A3D">
        <w:t xml:space="preserve"> </w:t>
      </w:r>
      <w:r w:rsidR="00336BEF">
        <w:t>NASDAQ OMX answer to question 5 of this consultation paper</w:t>
      </w:r>
      <w:r w:rsidRPr="00517653">
        <w:t xml:space="preserve">. </w:t>
      </w:r>
    </w:p>
    <w:p w14:paraId="5568D59F" w14:textId="77777777" w:rsidR="007F05BF" w:rsidRPr="00517653" w:rsidRDefault="007F05BF" w:rsidP="003D665B"/>
    <w:p w14:paraId="1FE507EC" w14:textId="1B04AB98" w:rsidR="003D665B" w:rsidRPr="003D665B" w:rsidRDefault="00CB1BCD" w:rsidP="003D665B">
      <w:pPr>
        <w:rPr>
          <w:b/>
        </w:rPr>
      </w:pPr>
      <w:r>
        <w:t>NASDAQ OMX</w:t>
      </w:r>
      <w:r w:rsidR="00E45668" w:rsidRPr="00517653">
        <w:t xml:space="preserve"> suggests that ESMA should</w:t>
      </w:r>
      <w:r w:rsidR="003D665B" w:rsidRPr="00517653">
        <w:t xml:space="preserve"> assess </w:t>
      </w:r>
      <w:r w:rsidR="003D665B">
        <w:t xml:space="preserve">the characteristics of each financial market and the implications of a clearing obligation from a </w:t>
      </w:r>
      <w:r w:rsidR="00E45668">
        <w:t xml:space="preserve">regional </w:t>
      </w:r>
      <w:r w:rsidR="003D665B">
        <w:t xml:space="preserve">risk </w:t>
      </w:r>
      <w:r w:rsidR="008429C5">
        <w:t xml:space="preserve">reduction </w:t>
      </w:r>
      <w:r w:rsidR="003D665B">
        <w:t xml:space="preserve">point of view and also </w:t>
      </w:r>
      <w:r w:rsidR="00FA5B59">
        <w:t>with the objective to</w:t>
      </w:r>
      <w:r w:rsidR="003D665B">
        <w:t xml:space="preserve"> promote transparency.</w:t>
      </w:r>
    </w:p>
    <w:p w14:paraId="3A6E5A10" w14:textId="77777777" w:rsidR="00E460EB" w:rsidRDefault="00E460EB" w:rsidP="00D35525"/>
    <w:p w14:paraId="554AFEA4" w14:textId="3D86FDBD" w:rsidR="00A24283" w:rsidRDefault="008429C5" w:rsidP="00D35525">
      <w:r>
        <w:t xml:space="preserve">In the Nordic region there are still large volumes on standardized contracts </w:t>
      </w:r>
      <w:r w:rsidR="00336BEF">
        <w:t>that are</w:t>
      </w:r>
      <w:r>
        <w:t xml:space="preserve"> </w:t>
      </w:r>
      <w:r w:rsidR="00336BEF">
        <w:t xml:space="preserve">kept </w:t>
      </w:r>
      <w:r>
        <w:t>OTC, which have no reason for remaining un-cleared. Such classes (i.e.</w:t>
      </w:r>
      <w:r w:rsidR="00A24283">
        <w:t xml:space="preserve"> plain vanilla equity derivative contracts and the so called flexible derivatives</w:t>
      </w:r>
      <w:r>
        <w:t>)</w:t>
      </w:r>
      <w:r w:rsidR="00A24283">
        <w:t xml:space="preserve"> are the </w:t>
      </w:r>
      <w:r>
        <w:t>easiest</w:t>
      </w:r>
      <w:r w:rsidR="00A24283">
        <w:t xml:space="preserve"> OTC trades </w:t>
      </w:r>
      <w:r>
        <w:t>to</w:t>
      </w:r>
      <w:r w:rsidR="00A24283">
        <w:t xml:space="preserve"> be mandated for clearing as it would have a minimal impact on Members</w:t>
      </w:r>
      <w:r>
        <w:t xml:space="preserve"> process and operations</w:t>
      </w:r>
      <w:r w:rsidR="00A24283">
        <w:t>.</w:t>
      </w:r>
    </w:p>
    <w:p w14:paraId="31D8186B" w14:textId="77777777" w:rsidR="007F05BF" w:rsidRDefault="007F05BF" w:rsidP="00D35525"/>
    <w:p w14:paraId="2DBDF121" w14:textId="5E2D33B0" w:rsidR="008429C5" w:rsidRDefault="008429C5" w:rsidP="00D35525">
      <w:r>
        <w:t xml:space="preserve">Effectively from </w:t>
      </w:r>
      <w:r w:rsidR="00344A3D" w:rsidRPr="007C033D">
        <w:t>the</w:t>
      </w:r>
      <w:r w:rsidR="00344A3D">
        <w:t xml:space="preserve"> </w:t>
      </w:r>
      <w:r>
        <w:t xml:space="preserve">ESMA assessment of the criteria for considering a clearing obligation, these classes appear </w:t>
      </w:r>
      <w:r w:rsidR="00344A3D" w:rsidRPr="007C033D">
        <w:t>fully</w:t>
      </w:r>
      <w:r w:rsidR="00344A3D">
        <w:t xml:space="preserve"> </w:t>
      </w:r>
      <w:r>
        <w:t>to satisfy the requirements</w:t>
      </w:r>
      <w:r w:rsidR="007F05BF">
        <w:t xml:space="preserve"> (please refer to the following section as far as volumes and liquidity is concerned) when applied to the Nordic region</w:t>
      </w:r>
      <w:r>
        <w:t>.</w:t>
      </w:r>
    </w:p>
    <w:p w14:paraId="603BFFA8" w14:textId="5C9AC00C" w:rsidR="00A24283" w:rsidRDefault="00A24283" w:rsidP="00D35525"/>
    <w:p w14:paraId="78CBCA3C" w14:textId="77777777" w:rsidR="00A24283" w:rsidRDefault="00A24283" w:rsidP="00D35525"/>
    <w:p w14:paraId="040C91F1" w14:textId="14BA1C5A" w:rsidR="001758D1" w:rsidRDefault="001758D1" w:rsidP="00E43D58">
      <w:pPr>
        <w:pStyle w:val="ListParagraph"/>
        <w:numPr>
          <w:ilvl w:val="0"/>
          <w:numId w:val="59"/>
        </w:numPr>
        <w:ind w:left="426" w:hanging="426"/>
        <w:rPr>
          <w:b/>
        </w:rPr>
      </w:pPr>
      <w:r w:rsidRPr="001758D1">
        <w:rPr>
          <w:b/>
        </w:rPr>
        <w:lastRenderedPageBreak/>
        <w:t>Lack of reliable and accurate data</w:t>
      </w:r>
      <w:r>
        <w:rPr>
          <w:b/>
        </w:rPr>
        <w:t xml:space="preserve"> on OTC volumes</w:t>
      </w:r>
      <w:r w:rsidR="00C648F5">
        <w:rPr>
          <w:b/>
        </w:rPr>
        <w:t xml:space="preserve"> for Nordic products</w:t>
      </w:r>
      <w:r w:rsidRPr="001758D1">
        <w:rPr>
          <w:b/>
        </w:rPr>
        <w:t>:</w:t>
      </w:r>
    </w:p>
    <w:p w14:paraId="2B7E6EF1" w14:textId="5F1B71B7" w:rsidR="001758D1" w:rsidRDefault="001758D1" w:rsidP="001758D1"/>
    <w:p w14:paraId="1EC3D3F4" w14:textId="066A4A93" w:rsidR="001758D1" w:rsidRPr="007C033D" w:rsidRDefault="00344A3D" w:rsidP="001758D1">
      <w:r w:rsidRPr="007C033D">
        <w:t xml:space="preserve">Based on the </w:t>
      </w:r>
      <w:r w:rsidR="00CB1BCD" w:rsidRPr="007C033D">
        <w:t>NASDAQ OMX</w:t>
      </w:r>
      <w:r w:rsidR="001758D1" w:rsidRPr="007C033D">
        <w:t xml:space="preserve"> </w:t>
      </w:r>
      <w:r w:rsidR="00E45668" w:rsidRPr="007C033D">
        <w:t>remarks presented</w:t>
      </w:r>
      <w:r w:rsidR="001758D1" w:rsidRPr="007C033D">
        <w:t xml:space="preserve"> in </w:t>
      </w:r>
      <w:r w:rsidR="00E45668" w:rsidRPr="007C033D">
        <w:t xml:space="preserve">the previous </w:t>
      </w:r>
      <w:proofErr w:type="gramStart"/>
      <w:r w:rsidR="00E45668" w:rsidRPr="007C033D">
        <w:t xml:space="preserve">chapter  </w:t>
      </w:r>
      <w:r w:rsidR="003D665B" w:rsidRPr="007C033D">
        <w:t>(</w:t>
      </w:r>
      <w:proofErr w:type="gramEnd"/>
      <w:r w:rsidR="001758D1" w:rsidRPr="007C033D">
        <w:t>1)</w:t>
      </w:r>
      <w:r w:rsidR="003D665B" w:rsidRPr="007C033D">
        <w:t xml:space="preserve">, the volumes of OTC vanilla and flexible equity derivatives contracts should be estimated based on the data that by now should be available </w:t>
      </w:r>
      <w:r w:rsidR="0015544F" w:rsidRPr="007C033D">
        <w:t>with</w:t>
      </w:r>
      <w:r w:rsidR="003D665B" w:rsidRPr="007C033D">
        <w:t xml:space="preserve"> the introduction of the trade reporting obligation </w:t>
      </w:r>
      <w:r w:rsidRPr="007C033D">
        <w:t xml:space="preserve">that </w:t>
      </w:r>
      <w:r w:rsidR="003D665B" w:rsidRPr="007C033D">
        <w:t xml:space="preserve">entered in effect </w:t>
      </w:r>
      <w:r w:rsidR="00E45668" w:rsidRPr="007C033D">
        <w:t>in</w:t>
      </w:r>
      <w:r w:rsidR="003D665B" w:rsidRPr="007C033D">
        <w:t xml:space="preserve"> Feb 2014.</w:t>
      </w:r>
    </w:p>
    <w:p w14:paraId="05C3A167" w14:textId="77777777" w:rsidR="003D665B" w:rsidRPr="007C033D" w:rsidRDefault="003D665B" w:rsidP="001758D1"/>
    <w:p w14:paraId="6F2520E4" w14:textId="6BDDC409" w:rsidR="003D665B" w:rsidRPr="007C033D" w:rsidRDefault="003D665B" w:rsidP="001758D1">
      <w:r w:rsidRPr="007C033D">
        <w:t xml:space="preserve">In the absence of such data it would have been more appropriate to wait before putting forward a </w:t>
      </w:r>
      <w:r w:rsidR="00D81E89" w:rsidRPr="007C033D">
        <w:t>negative response</w:t>
      </w:r>
      <w:r w:rsidR="00336BEF" w:rsidRPr="007C033D">
        <w:t>,</w:t>
      </w:r>
      <w:r w:rsidR="00D81E89" w:rsidRPr="007C033D">
        <w:t xml:space="preserve"> </w:t>
      </w:r>
      <w:r w:rsidRPr="007C033D">
        <w:t xml:space="preserve">until such data would have been available for a proper </w:t>
      </w:r>
      <w:r w:rsidR="00760298" w:rsidRPr="007C033D">
        <w:t xml:space="preserve">and </w:t>
      </w:r>
      <w:r w:rsidR="00D81E89" w:rsidRPr="007C033D">
        <w:t xml:space="preserve">focused </w:t>
      </w:r>
      <w:r w:rsidRPr="007C033D">
        <w:t>analysis.</w:t>
      </w:r>
    </w:p>
    <w:p w14:paraId="22D4C9DF" w14:textId="77777777" w:rsidR="0015544F" w:rsidRPr="007C033D" w:rsidRDefault="0015544F" w:rsidP="001758D1"/>
    <w:p w14:paraId="6EEA9E2D" w14:textId="77777777" w:rsidR="006A3DCF" w:rsidRDefault="006A3DCF" w:rsidP="00D35525"/>
    <w:p w14:paraId="0AD67A15" w14:textId="642E6863" w:rsidR="009A3E03" w:rsidRDefault="0015544F" w:rsidP="00D35525">
      <w:r>
        <w:t xml:space="preserve">Therefore, </w:t>
      </w:r>
      <w:r w:rsidR="00CB1BCD">
        <w:t>NASDAQ OMX</w:t>
      </w:r>
      <w:r w:rsidR="006A3DCF">
        <w:t xml:space="preserve"> disagrees </w:t>
      </w:r>
      <w:r w:rsidR="00946748" w:rsidRPr="007C033D">
        <w:t>strongly</w:t>
      </w:r>
      <w:r w:rsidR="00946748">
        <w:t xml:space="preserve"> </w:t>
      </w:r>
      <w:r w:rsidR="006A3DCF">
        <w:t>with the approach followed in 315 to 322 where</w:t>
      </w:r>
      <w:r w:rsidR="009A3E03">
        <w:t xml:space="preserve"> it </w:t>
      </w:r>
      <w:r w:rsidR="00E45668">
        <w:t xml:space="preserve">is </w:t>
      </w:r>
      <w:r w:rsidR="009A3E03">
        <w:t>state</w:t>
      </w:r>
      <w:r w:rsidR="00E45668">
        <w:t>d</w:t>
      </w:r>
      <w:r w:rsidR="009A3E03">
        <w:t>:</w:t>
      </w:r>
    </w:p>
    <w:p w14:paraId="4D2619BE" w14:textId="77777777" w:rsidR="009A3E03" w:rsidRDefault="009A3E03" w:rsidP="00D35525"/>
    <w:p w14:paraId="2D159EBD" w14:textId="6BE19CB2" w:rsidR="009A3E03" w:rsidRPr="009A3E03" w:rsidRDefault="009A3E03" w:rsidP="00D35525">
      <w:pPr>
        <w:rPr>
          <w:i/>
        </w:rPr>
      </w:pPr>
      <w:r w:rsidRPr="009A3E03">
        <w:rPr>
          <w:i/>
        </w:rPr>
        <w:t>“</w:t>
      </w:r>
      <w:r>
        <w:rPr>
          <w:i/>
        </w:rPr>
        <w:t>…</w:t>
      </w:r>
      <w:r w:rsidRPr="009A3E03">
        <w:rPr>
          <w:i/>
        </w:rPr>
        <w:t>the traded values of the OTC versus ETD transactions on this contract shows that the OTC represents only 0</w:t>
      </w:r>
      <w:proofErr w:type="gramStart"/>
      <w:r w:rsidRPr="009A3E03">
        <w:rPr>
          <w:i/>
        </w:rPr>
        <w:t>,5</w:t>
      </w:r>
      <w:proofErr w:type="gramEnd"/>
      <w:r w:rsidRPr="009A3E03">
        <w:rPr>
          <w:i/>
        </w:rPr>
        <w:t>% of the total</w:t>
      </w:r>
      <w:r>
        <w:rPr>
          <w:i/>
        </w:rPr>
        <w:t>.</w:t>
      </w:r>
      <w:r w:rsidRPr="009A3E03">
        <w:rPr>
          <w:i/>
        </w:rPr>
        <w:t>”</w:t>
      </w:r>
    </w:p>
    <w:p w14:paraId="56341DE8" w14:textId="77777777" w:rsidR="009A3E03" w:rsidRDefault="009A3E03" w:rsidP="00D35525"/>
    <w:p w14:paraId="286C1E48" w14:textId="22122125" w:rsidR="009A3E03" w:rsidRDefault="009A3E03" w:rsidP="00D35525">
      <w:r>
        <w:t>And therefore:</w:t>
      </w:r>
    </w:p>
    <w:p w14:paraId="719A7276" w14:textId="77777777" w:rsidR="009A3E03" w:rsidRDefault="009A3E03" w:rsidP="00D35525"/>
    <w:p w14:paraId="49454649" w14:textId="77777777" w:rsidR="009A3E03" w:rsidRDefault="006A3DCF" w:rsidP="00D35525">
      <w:pPr>
        <w:rPr>
          <w:i/>
        </w:rPr>
      </w:pPr>
      <w:r w:rsidRPr="006A3DCF">
        <w:rPr>
          <w:i/>
        </w:rPr>
        <w:t xml:space="preserve"> “ESMA has determined that for the equity OTC derivative classes that NASDAQ OMX is authorised to clear, there is little or a moderate level of activity without evidence of any of these classes being kept OTC in volumes”</w:t>
      </w:r>
      <w:r>
        <w:rPr>
          <w:i/>
        </w:rPr>
        <w:t>.</w:t>
      </w:r>
    </w:p>
    <w:p w14:paraId="49FE1550" w14:textId="77777777" w:rsidR="009A3E03" w:rsidRDefault="009A3E03" w:rsidP="00D35525"/>
    <w:p w14:paraId="33847BCD" w14:textId="14D8B7B1" w:rsidR="009A3E03" w:rsidRPr="007C033D" w:rsidRDefault="009A3E03" w:rsidP="00D35525">
      <w:r w:rsidRPr="007C033D">
        <w:t xml:space="preserve">It is deceiving to compare </w:t>
      </w:r>
      <w:r w:rsidR="00CB1BCD" w:rsidRPr="007C033D">
        <w:t>NASDAQ OMX</w:t>
      </w:r>
      <w:r w:rsidR="00946748" w:rsidRPr="007C033D">
        <w:t xml:space="preserve"> cleared OTC volumes versus</w:t>
      </w:r>
      <w:r w:rsidRPr="007C033D">
        <w:t xml:space="preserve"> the </w:t>
      </w:r>
      <w:r w:rsidR="00CB1BCD" w:rsidRPr="007C033D">
        <w:t>NASDAQ OMX</w:t>
      </w:r>
      <w:r w:rsidR="0015544F" w:rsidRPr="007C033D">
        <w:t xml:space="preserve"> </w:t>
      </w:r>
      <w:r w:rsidRPr="007C033D">
        <w:t xml:space="preserve">exchange traded products to draw the conclusion that there is no evidence of OTC volumes </w:t>
      </w:r>
      <w:r w:rsidR="00946748" w:rsidRPr="007C033D">
        <w:t xml:space="preserve">that are </w:t>
      </w:r>
      <w:r w:rsidRPr="007C033D">
        <w:t xml:space="preserve">not centrally cleared.  </w:t>
      </w:r>
    </w:p>
    <w:p w14:paraId="07DB4D05" w14:textId="77777777" w:rsidR="009A3E03" w:rsidRPr="007C033D" w:rsidRDefault="009A3E03" w:rsidP="00D35525"/>
    <w:p w14:paraId="1328215E" w14:textId="1563BC0A" w:rsidR="009A3E03" w:rsidRPr="007C033D" w:rsidRDefault="00946748" w:rsidP="00D35525">
      <w:r w:rsidRPr="007C033D">
        <w:t xml:space="preserve">The </w:t>
      </w:r>
      <w:r w:rsidR="00CB1BCD" w:rsidRPr="007C033D">
        <w:t>NASDAQ OMX</w:t>
      </w:r>
      <w:r w:rsidR="009A3E03" w:rsidRPr="007C033D">
        <w:t xml:space="preserve"> opinion </w:t>
      </w:r>
      <w:r w:rsidRPr="007C033D">
        <w:t xml:space="preserve">is that </w:t>
      </w:r>
      <w:r w:rsidR="009A3E03" w:rsidRPr="007C033D">
        <w:t xml:space="preserve">the level of un-cleared OTC classes </w:t>
      </w:r>
      <w:r w:rsidR="00C648F5" w:rsidRPr="007C033D">
        <w:t>for the Nordic</w:t>
      </w:r>
      <w:r w:rsidRPr="007C033D">
        <w:t xml:space="preserve"> region </w:t>
      </w:r>
      <w:r w:rsidR="009A3E03" w:rsidRPr="007C033D">
        <w:t xml:space="preserve">can only be derived by using the actual data from the reporting obligation. </w:t>
      </w:r>
    </w:p>
    <w:p w14:paraId="678E6F03" w14:textId="77777777" w:rsidR="00480AB6" w:rsidRPr="007C033D" w:rsidRDefault="00480AB6" w:rsidP="00D35525"/>
    <w:p w14:paraId="25D1DFD5" w14:textId="77777777" w:rsidR="00480AB6" w:rsidRPr="00480AB6" w:rsidRDefault="00480AB6" w:rsidP="00D35525"/>
    <w:p w14:paraId="3D1A69D1" w14:textId="6BD6AD6D" w:rsidR="00A24283" w:rsidRPr="001758D1" w:rsidRDefault="00E45668" w:rsidP="00E43D58">
      <w:pPr>
        <w:pStyle w:val="ListParagraph"/>
        <w:numPr>
          <w:ilvl w:val="0"/>
          <w:numId w:val="59"/>
        </w:numPr>
        <w:ind w:left="426" w:hanging="426"/>
        <w:rPr>
          <w:b/>
        </w:rPr>
      </w:pPr>
      <w:r>
        <w:rPr>
          <w:b/>
        </w:rPr>
        <w:t xml:space="preserve">The </w:t>
      </w:r>
      <w:r w:rsidR="00E43D58" w:rsidRPr="001758D1">
        <w:rPr>
          <w:b/>
        </w:rPr>
        <w:t xml:space="preserve">G20 original objectives </w:t>
      </w:r>
      <w:r w:rsidR="00E43D58">
        <w:rPr>
          <w:b/>
        </w:rPr>
        <w:t xml:space="preserve"> and i</w:t>
      </w:r>
      <w:r w:rsidR="00A24283" w:rsidRPr="001758D1">
        <w:rPr>
          <w:b/>
        </w:rPr>
        <w:t xml:space="preserve">mpact on </w:t>
      </w:r>
      <w:proofErr w:type="spellStart"/>
      <w:r w:rsidR="00A24283" w:rsidRPr="001758D1">
        <w:rPr>
          <w:b/>
        </w:rPr>
        <w:t>Mifir</w:t>
      </w:r>
      <w:proofErr w:type="spellEnd"/>
      <w:r w:rsidR="001758D1" w:rsidRPr="001758D1">
        <w:rPr>
          <w:b/>
        </w:rPr>
        <w:t>/d</w:t>
      </w:r>
      <w:r w:rsidR="00A24283" w:rsidRPr="001758D1">
        <w:rPr>
          <w:b/>
        </w:rPr>
        <w:t xml:space="preserve"> II regulation:</w:t>
      </w:r>
    </w:p>
    <w:p w14:paraId="395A40E1" w14:textId="77777777" w:rsidR="00A24283" w:rsidRDefault="00A24283" w:rsidP="00D35525"/>
    <w:p w14:paraId="762EF96D" w14:textId="3E4F9A72" w:rsidR="007E0C39" w:rsidRPr="00BB281E" w:rsidRDefault="00CB1BCD" w:rsidP="00D35525">
      <w:pPr>
        <w:rPr>
          <w:szCs w:val="20"/>
        </w:rPr>
      </w:pPr>
      <w:r>
        <w:rPr>
          <w:szCs w:val="20"/>
        </w:rPr>
        <w:t>NASDAQ OMX</w:t>
      </w:r>
      <w:r w:rsidR="007E0C39" w:rsidRPr="00BB281E">
        <w:rPr>
          <w:szCs w:val="20"/>
        </w:rPr>
        <w:t xml:space="preserve"> considers EMIR regulation and its introduction </w:t>
      </w:r>
      <w:r w:rsidR="007E0C39" w:rsidRPr="007C033D">
        <w:rPr>
          <w:szCs w:val="20"/>
        </w:rPr>
        <w:t xml:space="preserve">of </w:t>
      </w:r>
      <w:r w:rsidR="00F9357B" w:rsidRPr="007C033D">
        <w:rPr>
          <w:szCs w:val="20"/>
        </w:rPr>
        <w:t xml:space="preserve">the </w:t>
      </w:r>
      <w:r w:rsidR="007E0C39" w:rsidRPr="007C033D">
        <w:rPr>
          <w:szCs w:val="20"/>
        </w:rPr>
        <w:t xml:space="preserve">clearing obligation for standardised OTC equity derivatives products as a first important building block with </w:t>
      </w:r>
      <w:proofErr w:type="spellStart"/>
      <w:r w:rsidR="007E0C39" w:rsidRPr="007C033D">
        <w:rPr>
          <w:szCs w:val="20"/>
        </w:rPr>
        <w:t>Mifid</w:t>
      </w:r>
      <w:proofErr w:type="spellEnd"/>
      <w:r w:rsidR="007E0C39" w:rsidRPr="007C033D">
        <w:rPr>
          <w:szCs w:val="20"/>
        </w:rPr>
        <w:t>/r II regulation</w:t>
      </w:r>
      <w:r w:rsidR="00F86531" w:rsidRPr="007C033D">
        <w:rPr>
          <w:szCs w:val="20"/>
        </w:rPr>
        <w:t xml:space="preserve"> </w:t>
      </w:r>
      <w:r w:rsidR="001C2C18" w:rsidRPr="007C033D">
        <w:rPr>
          <w:szCs w:val="20"/>
        </w:rPr>
        <w:t>then</w:t>
      </w:r>
      <w:r w:rsidR="001C2C18">
        <w:rPr>
          <w:szCs w:val="20"/>
        </w:rPr>
        <w:t xml:space="preserve"> </w:t>
      </w:r>
      <w:r w:rsidR="00F86531" w:rsidRPr="00BB281E">
        <w:rPr>
          <w:szCs w:val="20"/>
        </w:rPr>
        <w:t>being the next milestone</w:t>
      </w:r>
      <w:r w:rsidR="007E0C39" w:rsidRPr="00BB281E">
        <w:rPr>
          <w:szCs w:val="20"/>
        </w:rPr>
        <w:t>.</w:t>
      </w:r>
    </w:p>
    <w:p w14:paraId="0FC0454B" w14:textId="77777777" w:rsidR="007E0C39" w:rsidRPr="00BB281E" w:rsidRDefault="007E0C39" w:rsidP="00D35525">
      <w:pPr>
        <w:rPr>
          <w:szCs w:val="20"/>
        </w:rPr>
      </w:pPr>
    </w:p>
    <w:p w14:paraId="5677DC4A" w14:textId="0EE4CAC7" w:rsidR="00A24283" w:rsidRPr="00BB281E" w:rsidRDefault="00A24283" w:rsidP="00D35525">
      <w:pPr>
        <w:rPr>
          <w:szCs w:val="20"/>
        </w:rPr>
      </w:pPr>
      <w:proofErr w:type="spellStart"/>
      <w:r w:rsidRPr="00BB281E">
        <w:rPr>
          <w:szCs w:val="20"/>
        </w:rPr>
        <w:t>Mifir</w:t>
      </w:r>
      <w:proofErr w:type="spellEnd"/>
      <w:r w:rsidRPr="00BB281E">
        <w:rPr>
          <w:szCs w:val="20"/>
        </w:rPr>
        <w:t xml:space="preserve"> text</w:t>
      </w:r>
      <w:r w:rsidR="00BB281E" w:rsidRPr="00BB281E">
        <w:rPr>
          <w:szCs w:val="20"/>
        </w:rPr>
        <w:t xml:space="preserve"> refers to the EMIR clearing obligation in relation to the introduction of </w:t>
      </w:r>
      <w:r w:rsidR="001C2C18" w:rsidRPr="007C033D">
        <w:rPr>
          <w:szCs w:val="20"/>
        </w:rPr>
        <w:t>the</w:t>
      </w:r>
      <w:r w:rsidR="001C2C18">
        <w:rPr>
          <w:szCs w:val="20"/>
        </w:rPr>
        <w:t xml:space="preserve"> </w:t>
      </w:r>
      <w:r w:rsidR="00BB281E" w:rsidRPr="00BB281E">
        <w:rPr>
          <w:szCs w:val="20"/>
        </w:rPr>
        <w:t>trading obligation.</w:t>
      </w:r>
    </w:p>
    <w:p w14:paraId="26DCC07D" w14:textId="77777777" w:rsidR="00A24283" w:rsidRPr="00BB281E" w:rsidRDefault="00A24283" w:rsidP="00D35525">
      <w:pPr>
        <w:autoSpaceDE w:val="0"/>
        <w:autoSpaceDN w:val="0"/>
        <w:adjustRightInd w:val="0"/>
        <w:rPr>
          <w:rFonts w:cs="Georgia"/>
          <w:color w:val="000000"/>
          <w:szCs w:val="20"/>
          <w:lang w:eastAsia="en-GB"/>
        </w:rPr>
      </w:pPr>
    </w:p>
    <w:p w14:paraId="5FE90AA4" w14:textId="1CF39720" w:rsidR="00A24283" w:rsidRPr="00BB281E" w:rsidRDefault="00BB281E" w:rsidP="00D35525">
      <w:pPr>
        <w:autoSpaceDE w:val="0"/>
        <w:autoSpaceDN w:val="0"/>
        <w:adjustRightInd w:val="0"/>
        <w:rPr>
          <w:rFonts w:cs="Georgia"/>
          <w:i/>
          <w:color w:val="000000"/>
          <w:szCs w:val="20"/>
          <w:lang w:val="en-US" w:eastAsia="en-GB"/>
        </w:rPr>
      </w:pPr>
      <w:r w:rsidRPr="00BB281E">
        <w:rPr>
          <w:rFonts w:cs="Georgia"/>
          <w:i/>
          <w:color w:val="000000"/>
          <w:szCs w:val="20"/>
          <w:lang w:val="en-US" w:eastAsia="en-GB"/>
        </w:rPr>
        <w:t>“</w:t>
      </w:r>
      <w:r w:rsidR="00A24283" w:rsidRPr="00BB281E">
        <w:rPr>
          <w:rFonts w:cs="Georgia"/>
          <w:i/>
          <w:color w:val="000000"/>
          <w:szCs w:val="20"/>
          <w:lang w:val="en-US" w:eastAsia="en-GB"/>
        </w:rPr>
        <w:t xml:space="preserve">The primary purpose of the </w:t>
      </w:r>
      <w:proofErr w:type="spellStart"/>
      <w:r w:rsidR="00A24283" w:rsidRPr="00BB281E">
        <w:rPr>
          <w:rFonts w:cs="Georgia"/>
          <w:i/>
          <w:color w:val="000000"/>
          <w:szCs w:val="20"/>
          <w:lang w:val="en-US" w:eastAsia="en-GB"/>
        </w:rPr>
        <w:t>MiFIR</w:t>
      </w:r>
      <w:proofErr w:type="spellEnd"/>
      <w:r w:rsidR="00A24283" w:rsidRPr="00BB281E">
        <w:rPr>
          <w:rFonts w:cs="Georgia"/>
          <w:i/>
          <w:color w:val="000000"/>
          <w:szCs w:val="20"/>
          <w:lang w:val="en-US" w:eastAsia="en-GB"/>
        </w:rPr>
        <w:t xml:space="preserve"> trading obligation is to determine which of the equity derivatives </w:t>
      </w:r>
      <w:r w:rsidR="00A24283" w:rsidRPr="00BB281E">
        <w:rPr>
          <w:rFonts w:cs="Georgia"/>
          <w:b/>
          <w:i/>
          <w:color w:val="000000"/>
          <w:szCs w:val="20"/>
          <w:lang w:val="en-US" w:eastAsia="en-GB"/>
        </w:rPr>
        <w:t>subject to the EMIR ‘clearing obligation’</w:t>
      </w:r>
      <w:r w:rsidR="00A24283" w:rsidRPr="00BB281E">
        <w:rPr>
          <w:rFonts w:cs="Georgia"/>
          <w:i/>
          <w:color w:val="000000"/>
          <w:szCs w:val="20"/>
          <w:lang w:val="en-US" w:eastAsia="en-GB"/>
        </w:rPr>
        <w:t xml:space="preserve"> should also be required to trade on a regulated market, MTF, OTF, or equivalent third country venue when traded by relevant counterparties (as defined in EMIR). </w:t>
      </w:r>
      <w:r w:rsidRPr="00BB281E">
        <w:rPr>
          <w:rFonts w:cs="Georgia"/>
          <w:i/>
          <w:color w:val="000000"/>
          <w:szCs w:val="20"/>
          <w:lang w:val="en-US" w:eastAsia="en-GB"/>
        </w:rPr>
        <w:t>“ (</w:t>
      </w:r>
      <w:proofErr w:type="spellStart"/>
      <w:r w:rsidRPr="00BB281E">
        <w:rPr>
          <w:rFonts w:cs="Georgia"/>
          <w:i/>
          <w:color w:val="000000"/>
          <w:szCs w:val="20"/>
          <w:lang w:val="en-US" w:eastAsia="en-GB"/>
        </w:rPr>
        <w:t>Mifir</w:t>
      </w:r>
      <w:proofErr w:type="spellEnd"/>
      <w:r w:rsidRPr="00BB281E">
        <w:rPr>
          <w:rFonts w:cs="Georgia"/>
          <w:i/>
          <w:color w:val="000000"/>
          <w:szCs w:val="20"/>
          <w:lang w:val="en-US" w:eastAsia="en-GB"/>
        </w:rPr>
        <w:t xml:space="preserve"> II DP)</w:t>
      </w:r>
    </w:p>
    <w:p w14:paraId="0A4A15DD" w14:textId="77777777" w:rsidR="00A24283" w:rsidRPr="00BB281E" w:rsidRDefault="00A24283" w:rsidP="00D35525">
      <w:pPr>
        <w:autoSpaceDE w:val="0"/>
        <w:autoSpaceDN w:val="0"/>
        <w:adjustRightInd w:val="0"/>
        <w:rPr>
          <w:rFonts w:cs="Georgia"/>
          <w:color w:val="000000"/>
          <w:szCs w:val="20"/>
          <w:lang w:val="en-US" w:eastAsia="en-GB"/>
        </w:rPr>
      </w:pPr>
    </w:p>
    <w:p w14:paraId="37E3268D" w14:textId="77777777" w:rsidR="00724EB0" w:rsidRDefault="00A24283" w:rsidP="00D35525">
      <w:pPr>
        <w:autoSpaceDE w:val="0"/>
        <w:autoSpaceDN w:val="0"/>
        <w:adjustRightInd w:val="0"/>
        <w:rPr>
          <w:rFonts w:cs="Georgia"/>
          <w:color w:val="000000"/>
          <w:szCs w:val="20"/>
          <w:lang w:val="en-US" w:eastAsia="en-GB"/>
        </w:rPr>
      </w:pPr>
      <w:r w:rsidRPr="00BB281E">
        <w:rPr>
          <w:rFonts w:cs="Georgia"/>
          <w:color w:val="000000"/>
          <w:szCs w:val="20"/>
          <w:lang w:val="en-US" w:eastAsia="en-GB"/>
        </w:rPr>
        <w:t>Clearly</w:t>
      </w:r>
      <w:r w:rsidR="001C2C18" w:rsidRPr="00C562AB">
        <w:rPr>
          <w:rFonts w:cs="Georgia"/>
          <w:color w:val="000000"/>
          <w:szCs w:val="20"/>
          <w:lang w:val="en-US" w:eastAsia="en-GB"/>
        </w:rPr>
        <w:t xml:space="preserve">, the </w:t>
      </w:r>
      <w:r w:rsidRPr="00C562AB">
        <w:rPr>
          <w:rFonts w:cs="Georgia"/>
          <w:color w:val="000000"/>
          <w:szCs w:val="20"/>
          <w:lang w:val="en-US" w:eastAsia="en-GB"/>
        </w:rPr>
        <w:t xml:space="preserve">ESMA proposal to exclude the </w:t>
      </w:r>
      <w:r w:rsidR="00BB281E" w:rsidRPr="00C562AB">
        <w:rPr>
          <w:rFonts w:cs="Georgia"/>
          <w:color w:val="000000"/>
          <w:szCs w:val="20"/>
          <w:lang w:val="en-US" w:eastAsia="en-GB"/>
        </w:rPr>
        <w:t xml:space="preserve">Nordic </w:t>
      </w:r>
      <w:r w:rsidRPr="00C562AB">
        <w:rPr>
          <w:rFonts w:cs="Georgia"/>
          <w:color w:val="000000"/>
          <w:szCs w:val="20"/>
          <w:lang w:val="en-US" w:eastAsia="en-GB"/>
        </w:rPr>
        <w:t xml:space="preserve">plain vanilla volumes currently traded OTC from a clearing obligation undermines the possibility </w:t>
      </w:r>
      <w:r w:rsidR="00BB281E" w:rsidRPr="00C562AB">
        <w:rPr>
          <w:rFonts w:cs="Georgia"/>
          <w:color w:val="000000"/>
          <w:szCs w:val="20"/>
          <w:lang w:val="en-US" w:eastAsia="en-GB"/>
        </w:rPr>
        <w:t xml:space="preserve">to apply a trading obligation to such volumes. </w:t>
      </w:r>
    </w:p>
    <w:p w14:paraId="7001DD21" w14:textId="77777777" w:rsidR="00724EB0" w:rsidRDefault="00724EB0" w:rsidP="00D35525">
      <w:pPr>
        <w:autoSpaceDE w:val="0"/>
        <w:autoSpaceDN w:val="0"/>
        <w:adjustRightInd w:val="0"/>
        <w:rPr>
          <w:rFonts w:cs="Georgia"/>
          <w:color w:val="000000"/>
          <w:szCs w:val="20"/>
          <w:lang w:val="en-US" w:eastAsia="en-GB"/>
        </w:rPr>
      </w:pPr>
    </w:p>
    <w:p w14:paraId="5735826B" w14:textId="7D208A48" w:rsidR="00A24283" w:rsidRPr="00C562AB" w:rsidRDefault="00724EB0" w:rsidP="00D35525">
      <w:pPr>
        <w:autoSpaceDE w:val="0"/>
        <w:autoSpaceDN w:val="0"/>
        <w:adjustRightInd w:val="0"/>
        <w:rPr>
          <w:rFonts w:cs="Georgia"/>
          <w:color w:val="000000"/>
          <w:szCs w:val="20"/>
          <w:lang w:val="en-US" w:eastAsia="en-GB"/>
        </w:rPr>
      </w:pPr>
      <w:r>
        <w:rPr>
          <w:rFonts w:cs="Georgia"/>
          <w:color w:val="000000"/>
          <w:szCs w:val="20"/>
          <w:lang w:val="en-US" w:eastAsia="en-GB"/>
        </w:rPr>
        <w:t>V</w:t>
      </w:r>
      <w:r w:rsidR="0001179B" w:rsidRPr="00C562AB">
        <w:rPr>
          <w:rFonts w:cs="Georgia"/>
          <w:color w:val="000000"/>
          <w:szCs w:val="20"/>
          <w:lang w:val="en-US" w:eastAsia="en-GB"/>
        </w:rPr>
        <w:t>olumes</w:t>
      </w:r>
      <w:r>
        <w:rPr>
          <w:rFonts w:cs="Georgia"/>
          <w:color w:val="000000"/>
          <w:szCs w:val="20"/>
          <w:lang w:val="en-US" w:eastAsia="en-GB"/>
        </w:rPr>
        <w:t>,</w:t>
      </w:r>
      <w:r w:rsidR="0001179B" w:rsidRPr="00C562AB">
        <w:rPr>
          <w:rFonts w:cs="Georgia"/>
          <w:color w:val="000000"/>
          <w:szCs w:val="20"/>
          <w:lang w:val="en-US" w:eastAsia="en-GB"/>
        </w:rPr>
        <w:t xml:space="preserve"> </w:t>
      </w:r>
      <w:r>
        <w:rPr>
          <w:rFonts w:cs="Georgia"/>
          <w:color w:val="000000"/>
          <w:szCs w:val="20"/>
          <w:lang w:val="en-US" w:eastAsia="en-GB"/>
        </w:rPr>
        <w:t xml:space="preserve">that </w:t>
      </w:r>
      <w:r w:rsidR="00BB281E" w:rsidRPr="00C562AB">
        <w:rPr>
          <w:rFonts w:cs="Georgia"/>
          <w:color w:val="000000"/>
          <w:szCs w:val="20"/>
          <w:lang w:val="en-US" w:eastAsia="en-GB"/>
        </w:rPr>
        <w:t>will therefore keep on being traded away from transparent venues</w:t>
      </w:r>
      <w:r w:rsidR="0001179B" w:rsidRPr="00C562AB">
        <w:rPr>
          <w:rFonts w:cs="Georgia"/>
          <w:color w:val="000000"/>
          <w:szCs w:val="20"/>
          <w:lang w:val="en-US" w:eastAsia="en-GB"/>
        </w:rPr>
        <w:t xml:space="preserve"> and </w:t>
      </w:r>
      <w:r w:rsidR="001C2C18" w:rsidRPr="00C562AB">
        <w:rPr>
          <w:rFonts w:cs="Georgia"/>
          <w:color w:val="000000"/>
          <w:szCs w:val="20"/>
          <w:lang w:val="en-US" w:eastAsia="en-GB"/>
        </w:rPr>
        <w:t xml:space="preserve">will hence </w:t>
      </w:r>
      <w:r w:rsidR="0001179B" w:rsidRPr="00C562AB">
        <w:rPr>
          <w:rFonts w:cs="Georgia"/>
          <w:color w:val="000000"/>
          <w:szCs w:val="20"/>
          <w:lang w:val="en-US" w:eastAsia="en-GB"/>
        </w:rPr>
        <w:t>not be centrally cleared</w:t>
      </w:r>
      <w:r w:rsidR="00BB281E" w:rsidRPr="00C562AB">
        <w:rPr>
          <w:rFonts w:cs="Georgia"/>
          <w:color w:val="000000"/>
          <w:szCs w:val="20"/>
          <w:lang w:val="en-US" w:eastAsia="en-GB"/>
        </w:rPr>
        <w:t>.</w:t>
      </w:r>
    </w:p>
    <w:p w14:paraId="3AD9397C" w14:textId="77777777" w:rsidR="00A24283" w:rsidRPr="00C562AB" w:rsidRDefault="00A24283" w:rsidP="00D35525">
      <w:pPr>
        <w:autoSpaceDE w:val="0"/>
        <w:autoSpaceDN w:val="0"/>
        <w:adjustRightInd w:val="0"/>
        <w:rPr>
          <w:rFonts w:cs="Georgia"/>
          <w:color w:val="000000"/>
          <w:szCs w:val="20"/>
          <w:lang w:val="en-US" w:eastAsia="en-GB"/>
        </w:rPr>
      </w:pPr>
    </w:p>
    <w:p w14:paraId="3A7F1221" w14:textId="583DC50A" w:rsidR="00A24283" w:rsidRPr="00BB281E" w:rsidRDefault="00A24283" w:rsidP="00D35525">
      <w:pPr>
        <w:pStyle w:val="Default"/>
        <w:rPr>
          <w:rFonts w:ascii="Georgia" w:hAnsi="Georgia" w:cs="Georgia"/>
          <w:sz w:val="20"/>
          <w:szCs w:val="20"/>
          <w:lang w:val="en-US"/>
        </w:rPr>
      </w:pPr>
      <w:r w:rsidRPr="00C562AB">
        <w:rPr>
          <w:rFonts w:ascii="Georgia" w:hAnsi="Georgia" w:cs="Georgia"/>
          <w:sz w:val="20"/>
          <w:szCs w:val="20"/>
          <w:lang w:val="en-US"/>
        </w:rPr>
        <w:t xml:space="preserve">ESMA states in the </w:t>
      </w:r>
      <w:proofErr w:type="spellStart"/>
      <w:r w:rsidRPr="00C562AB">
        <w:rPr>
          <w:rFonts w:ascii="Georgia" w:hAnsi="Georgia" w:cs="Georgia"/>
          <w:sz w:val="20"/>
          <w:szCs w:val="20"/>
          <w:lang w:val="en-US"/>
        </w:rPr>
        <w:t>Mi</w:t>
      </w:r>
      <w:r w:rsidR="001C2C18" w:rsidRPr="00C562AB">
        <w:rPr>
          <w:rFonts w:ascii="Georgia" w:hAnsi="Georgia" w:cs="Georgia"/>
          <w:sz w:val="20"/>
          <w:szCs w:val="20"/>
          <w:lang w:val="en-US"/>
        </w:rPr>
        <w:t>FIR</w:t>
      </w:r>
      <w:proofErr w:type="spellEnd"/>
      <w:r w:rsidRPr="00C562AB">
        <w:rPr>
          <w:rFonts w:ascii="Georgia" w:hAnsi="Georgia" w:cs="Georgia"/>
          <w:sz w:val="20"/>
          <w:szCs w:val="20"/>
          <w:lang w:val="en-US"/>
        </w:rPr>
        <w:t xml:space="preserve"> DP that </w:t>
      </w:r>
      <w:r w:rsidRPr="00C562AB">
        <w:rPr>
          <w:rFonts w:ascii="Georgia" w:hAnsi="Georgia" w:cs="Georgia"/>
          <w:i/>
          <w:sz w:val="20"/>
          <w:szCs w:val="20"/>
          <w:lang w:val="en-US"/>
        </w:rPr>
        <w:t xml:space="preserve">“it is the clear intention of </w:t>
      </w:r>
      <w:proofErr w:type="spellStart"/>
      <w:r w:rsidRPr="00C562AB">
        <w:rPr>
          <w:rFonts w:ascii="Georgia" w:hAnsi="Georgia" w:cs="Georgia"/>
          <w:i/>
          <w:sz w:val="20"/>
          <w:szCs w:val="20"/>
          <w:lang w:val="en-US"/>
        </w:rPr>
        <w:t>MiFIR</w:t>
      </w:r>
      <w:proofErr w:type="spellEnd"/>
      <w:r w:rsidRPr="00C562AB">
        <w:rPr>
          <w:rFonts w:ascii="Georgia" w:hAnsi="Georgia" w:cs="Georgia"/>
          <w:i/>
          <w:sz w:val="20"/>
          <w:szCs w:val="20"/>
          <w:lang w:val="en-US"/>
        </w:rPr>
        <w:t xml:space="preserve"> that the relevant rules under </w:t>
      </w:r>
      <w:proofErr w:type="spellStart"/>
      <w:r w:rsidRPr="00C562AB">
        <w:rPr>
          <w:rFonts w:ascii="Georgia" w:hAnsi="Georgia" w:cs="Georgia"/>
          <w:i/>
          <w:sz w:val="20"/>
          <w:szCs w:val="20"/>
          <w:lang w:val="en-US"/>
        </w:rPr>
        <w:t>MiFIR</w:t>
      </w:r>
      <w:proofErr w:type="spellEnd"/>
      <w:r w:rsidRPr="00C562AB">
        <w:rPr>
          <w:rFonts w:ascii="Georgia" w:hAnsi="Georgia" w:cs="Georgia"/>
          <w:i/>
          <w:sz w:val="20"/>
          <w:szCs w:val="20"/>
          <w:lang w:val="en-US"/>
        </w:rPr>
        <w:t xml:space="preserve"> will be as consistent as possible with those under EMIR“</w:t>
      </w:r>
      <w:r w:rsidRPr="00C562AB">
        <w:rPr>
          <w:rFonts w:ascii="Georgia" w:hAnsi="Georgia" w:cs="Georgia"/>
          <w:sz w:val="20"/>
          <w:szCs w:val="20"/>
          <w:lang w:val="en-US"/>
        </w:rPr>
        <w:t xml:space="preserve">, considering the approach used by ESMA in the CO draft, there is a concern that similar </w:t>
      </w:r>
      <w:r w:rsidR="00BB281E" w:rsidRPr="00C562AB">
        <w:rPr>
          <w:rFonts w:ascii="Georgia" w:hAnsi="Georgia" w:cs="Georgia"/>
          <w:sz w:val="20"/>
          <w:szCs w:val="20"/>
          <w:lang w:val="en-US"/>
        </w:rPr>
        <w:t xml:space="preserve">negative </w:t>
      </w:r>
      <w:r w:rsidRPr="00C562AB">
        <w:rPr>
          <w:rFonts w:ascii="Georgia" w:hAnsi="Georgia" w:cs="Georgia"/>
          <w:sz w:val="20"/>
          <w:szCs w:val="20"/>
          <w:lang w:val="en-US"/>
        </w:rPr>
        <w:t xml:space="preserve">outcome could apply to the introduction of </w:t>
      </w:r>
      <w:r w:rsidR="001C2C18" w:rsidRPr="00C562AB">
        <w:rPr>
          <w:rFonts w:ascii="Georgia" w:hAnsi="Georgia" w:cs="Georgia"/>
          <w:sz w:val="20"/>
          <w:szCs w:val="20"/>
          <w:lang w:val="en-US"/>
        </w:rPr>
        <w:t xml:space="preserve">the </w:t>
      </w:r>
      <w:r w:rsidRPr="00C562AB">
        <w:rPr>
          <w:rFonts w:ascii="Georgia" w:hAnsi="Georgia" w:cs="Georgia"/>
          <w:sz w:val="20"/>
          <w:szCs w:val="20"/>
          <w:lang w:val="en-US"/>
        </w:rPr>
        <w:t>trading</w:t>
      </w:r>
      <w:r w:rsidRPr="00BB281E">
        <w:rPr>
          <w:rFonts w:ascii="Georgia" w:hAnsi="Georgia" w:cs="Georgia"/>
          <w:sz w:val="20"/>
          <w:szCs w:val="20"/>
          <w:lang w:val="en-US"/>
        </w:rPr>
        <w:t xml:space="preserve"> obligation.</w:t>
      </w:r>
    </w:p>
    <w:p w14:paraId="3F534904" w14:textId="77777777" w:rsidR="00A24283" w:rsidRPr="00BB281E" w:rsidRDefault="00A24283" w:rsidP="00D35525">
      <w:pPr>
        <w:autoSpaceDE w:val="0"/>
        <w:autoSpaceDN w:val="0"/>
        <w:adjustRightInd w:val="0"/>
        <w:rPr>
          <w:rFonts w:cs="Georgia"/>
          <w:color w:val="000000"/>
          <w:szCs w:val="20"/>
          <w:lang w:val="en-US" w:eastAsia="en-GB"/>
        </w:rPr>
      </w:pPr>
    </w:p>
    <w:p w14:paraId="5789AFB7" w14:textId="2064CFB8" w:rsidR="00BB281E" w:rsidRPr="007C033D" w:rsidRDefault="00BB281E" w:rsidP="00BB281E">
      <w:pPr>
        <w:autoSpaceDE w:val="0"/>
        <w:autoSpaceDN w:val="0"/>
        <w:adjustRightInd w:val="0"/>
        <w:rPr>
          <w:lang w:val="en-US"/>
        </w:rPr>
      </w:pPr>
      <w:r w:rsidRPr="007C033D">
        <w:rPr>
          <w:rFonts w:cs="Georgia"/>
          <w:color w:val="000000"/>
          <w:szCs w:val="20"/>
          <w:lang w:val="en-US" w:eastAsia="en-GB"/>
        </w:rPr>
        <w:t xml:space="preserve">Furthermore, looking at the common criteria for the definition of a liquid market and the introduction of a trading obligation, NASDAQ OMX </w:t>
      </w:r>
      <w:r w:rsidR="001C2C18" w:rsidRPr="007C033D">
        <w:rPr>
          <w:rFonts w:cs="Georgia"/>
          <w:color w:val="000000"/>
          <w:szCs w:val="20"/>
          <w:lang w:val="en-US" w:eastAsia="en-GB"/>
        </w:rPr>
        <w:t xml:space="preserve">is worried </w:t>
      </w:r>
      <w:r w:rsidRPr="007C033D">
        <w:rPr>
          <w:rFonts w:cs="Georgia"/>
          <w:color w:val="000000"/>
          <w:szCs w:val="20"/>
          <w:lang w:val="en-US" w:eastAsia="en-GB"/>
        </w:rPr>
        <w:t>that the e</w:t>
      </w:r>
      <w:r w:rsidR="00A24283" w:rsidRPr="007C033D">
        <w:rPr>
          <w:lang w:val="en-US"/>
        </w:rPr>
        <w:t xml:space="preserve">xclusion of some </w:t>
      </w:r>
      <w:r w:rsidRPr="007C033D">
        <w:rPr>
          <w:lang w:val="en-US"/>
        </w:rPr>
        <w:t xml:space="preserve">Nordic </w:t>
      </w:r>
      <w:r w:rsidR="00A24283" w:rsidRPr="007C033D">
        <w:rPr>
          <w:lang w:val="en-US"/>
        </w:rPr>
        <w:t xml:space="preserve">product classes from </w:t>
      </w:r>
      <w:r w:rsidR="001C2C18" w:rsidRPr="007C033D">
        <w:rPr>
          <w:lang w:val="en-US"/>
        </w:rPr>
        <w:t xml:space="preserve">the </w:t>
      </w:r>
      <w:r w:rsidR="00A24283" w:rsidRPr="007C033D">
        <w:rPr>
          <w:lang w:val="en-US"/>
        </w:rPr>
        <w:t>C</w:t>
      </w:r>
      <w:r w:rsidRPr="007C033D">
        <w:rPr>
          <w:lang w:val="en-US"/>
        </w:rPr>
        <w:t xml:space="preserve">learing </w:t>
      </w:r>
      <w:r w:rsidR="00A24283" w:rsidRPr="007C033D">
        <w:rPr>
          <w:lang w:val="en-US"/>
        </w:rPr>
        <w:t>O</w:t>
      </w:r>
      <w:r w:rsidRPr="007C033D">
        <w:rPr>
          <w:lang w:val="en-US"/>
        </w:rPr>
        <w:t>bligation</w:t>
      </w:r>
      <w:r w:rsidR="00A24283" w:rsidRPr="007C033D">
        <w:rPr>
          <w:lang w:val="en-US"/>
        </w:rPr>
        <w:t xml:space="preserve">, could affect </w:t>
      </w:r>
      <w:r w:rsidRPr="007C033D">
        <w:rPr>
          <w:lang w:val="en-US"/>
        </w:rPr>
        <w:t xml:space="preserve">the </w:t>
      </w:r>
      <w:r w:rsidR="00A24283" w:rsidRPr="007C033D">
        <w:rPr>
          <w:lang w:val="en-US"/>
        </w:rPr>
        <w:t xml:space="preserve">evaluation of </w:t>
      </w:r>
      <w:r w:rsidRPr="007C033D">
        <w:rPr>
          <w:lang w:val="en-US"/>
        </w:rPr>
        <w:t xml:space="preserve">such </w:t>
      </w:r>
      <w:r w:rsidR="009D6321" w:rsidRPr="007C033D">
        <w:rPr>
          <w:lang w:val="en-US"/>
        </w:rPr>
        <w:t xml:space="preserve">liquidity </w:t>
      </w:r>
      <w:r w:rsidRPr="007C033D">
        <w:rPr>
          <w:lang w:val="en-US"/>
        </w:rPr>
        <w:t>criteria.</w:t>
      </w:r>
    </w:p>
    <w:p w14:paraId="68C769CA" w14:textId="77777777" w:rsidR="00BB281E" w:rsidRPr="007C033D" w:rsidRDefault="00BB281E" w:rsidP="00BB281E">
      <w:pPr>
        <w:autoSpaceDE w:val="0"/>
        <w:autoSpaceDN w:val="0"/>
        <w:adjustRightInd w:val="0"/>
        <w:rPr>
          <w:lang w:val="en-US"/>
        </w:rPr>
      </w:pPr>
    </w:p>
    <w:p w14:paraId="5A8F3996" w14:textId="74D58900" w:rsidR="00A20887" w:rsidRPr="007C033D" w:rsidRDefault="0001179B" w:rsidP="00BB281E">
      <w:pPr>
        <w:autoSpaceDE w:val="0"/>
        <w:autoSpaceDN w:val="0"/>
        <w:adjustRightInd w:val="0"/>
        <w:rPr>
          <w:lang w:val="en-US"/>
        </w:rPr>
      </w:pPr>
      <w:r w:rsidRPr="007C033D">
        <w:rPr>
          <w:lang w:val="en-US"/>
        </w:rPr>
        <w:t>For</w:t>
      </w:r>
      <w:r w:rsidR="00BB281E" w:rsidRPr="007C033D">
        <w:rPr>
          <w:lang w:val="en-US"/>
        </w:rPr>
        <w:t xml:space="preserve"> </w:t>
      </w:r>
      <w:r w:rsidR="00A24283" w:rsidRPr="007C033D">
        <w:rPr>
          <w:lang w:val="en-US"/>
        </w:rPr>
        <w:t xml:space="preserve">criteria </w:t>
      </w:r>
      <w:r w:rsidR="00BB281E" w:rsidRPr="007C033D">
        <w:rPr>
          <w:lang w:val="en-US"/>
        </w:rPr>
        <w:t>such as</w:t>
      </w:r>
      <w:r w:rsidR="00A24283" w:rsidRPr="007C033D">
        <w:rPr>
          <w:lang w:val="en-US"/>
        </w:rPr>
        <w:t xml:space="preserve"> frequency of trades, number of participants, average size of transaction, etc</w:t>
      </w:r>
      <w:r w:rsidR="001C2C18" w:rsidRPr="007C033D">
        <w:rPr>
          <w:lang w:val="en-US"/>
        </w:rPr>
        <w:t>.</w:t>
      </w:r>
      <w:r w:rsidR="00A24283" w:rsidRPr="007C033D">
        <w:rPr>
          <w:lang w:val="en-US"/>
        </w:rPr>
        <w:t xml:space="preserve"> </w:t>
      </w:r>
      <w:r w:rsidR="00A20887" w:rsidRPr="007C033D">
        <w:rPr>
          <w:lang w:val="en-US"/>
        </w:rPr>
        <w:t xml:space="preserve">for product classes traded at </w:t>
      </w:r>
      <w:r w:rsidR="00CB1BCD" w:rsidRPr="007C033D">
        <w:rPr>
          <w:lang w:val="en-US"/>
        </w:rPr>
        <w:t>NASDAQ OMX</w:t>
      </w:r>
      <w:r w:rsidR="00A20887" w:rsidRPr="007C033D">
        <w:rPr>
          <w:lang w:val="en-US"/>
        </w:rPr>
        <w:t xml:space="preserve">, the </w:t>
      </w:r>
      <w:r w:rsidRPr="007C033D">
        <w:rPr>
          <w:lang w:val="en-US"/>
        </w:rPr>
        <w:t xml:space="preserve">lack of an EMIR clearing obligation </w:t>
      </w:r>
      <w:r w:rsidR="00A20887" w:rsidRPr="007C033D">
        <w:rPr>
          <w:lang w:val="en-US"/>
        </w:rPr>
        <w:t xml:space="preserve">will </w:t>
      </w:r>
      <w:r w:rsidRPr="007C033D">
        <w:rPr>
          <w:lang w:val="en-US"/>
        </w:rPr>
        <w:t xml:space="preserve">result in </w:t>
      </w:r>
      <w:r w:rsidR="00A20887" w:rsidRPr="007C033D">
        <w:rPr>
          <w:lang w:val="en-US"/>
        </w:rPr>
        <w:t>underestimating the real liquidity o</w:t>
      </w:r>
      <w:r w:rsidR="001C2C18" w:rsidRPr="007C033D">
        <w:rPr>
          <w:lang w:val="en-US"/>
        </w:rPr>
        <w:t>f</w:t>
      </w:r>
      <w:r w:rsidR="00A20887" w:rsidRPr="007C033D">
        <w:rPr>
          <w:lang w:val="en-US"/>
        </w:rPr>
        <w:t xml:space="preserve"> the products as the </w:t>
      </w:r>
      <w:r w:rsidR="001C2C18" w:rsidRPr="007C033D">
        <w:rPr>
          <w:lang w:val="en-US"/>
        </w:rPr>
        <w:t xml:space="preserve">considerable </w:t>
      </w:r>
      <w:r w:rsidR="00A20887" w:rsidRPr="007C033D">
        <w:rPr>
          <w:lang w:val="en-US"/>
        </w:rPr>
        <w:t xml:space="preserve">OTC volumes would </w:t>
      </w:r>
      <w:r w:rsidR="009D6321" w:rsidRPr="007C033D">
        <w:rPr>
          <w:lang w:val="en-US"/>
        </w:rPr>
        <w:t xml:space="preserve">never </w:t>
      </w:r>
      <w:r w:rsidR="00A20887" w:rsidRPr="007C033D">
        <w:rPr>
          <w:lang w:val="en-US"/>
        </w:rPr>
        <w:t>be taken into consideration.</w:t>
      </w:r>
    </w:p>
    <w:p w14:paraId="2CA11391" w14:textId="77777777" w:rsidR="0001179B" w:rsidRPr="007C033D" w:rsidRDefault="0001179B" w:rsidP="00BB281E">
      <w:pPr>
        <w:autoSpaceDE w:val="0"/>
        <w:autoSpaceDN w:val="0"/>
        <w:adjustRightInd w:val="0"/>
        <w:rPr>
          <w:lang w:val="en-US"/>
        </w:rPr>
      </w:pPr>
    </w:p>
    <w:p w14:paraId="16480496" w14:textId="37DA93F4" w:rsidR="00A24283" w:rsidRPr="007C033D" w:rsidRDefault="00A20887" w:rsidP="00BB281E">
      <w:pPr>
        <w:autoSpaceDE w:val="0"/>
        <w:autoSpaceDN w:val="0"/>
        <w:adjustRightInd w:val="0"/>
        <w:rPr>
          <w:lang w:val="en-US"/>
        </w:rPr>
      </w:pPr>
      <w:r w:rsidRPr="007C033D">
        <w:rPr>
          <w:lang w:val="en-US"/>
        </w:rPr>
        <w:t xml:space="preserve"> There is therefore a risk that </w:t>
      </w:r>
      <w:r w:rsidR="00A24283" w:rsidRPr="007C033D">
        <w:rPr>
          <w:lang w:val="en-US"/>
        </w:rPr>
        <w:t xml:space="preserve">some products </w:t>
      </w:r>
      <w:r w:rsidRPr="007C033D">
        <w:rPr>
          <w:lang w:val="en-US"/>
        </w:rPr>
        <w:t xml:space="preserve">might be </w:t>
      </w:r>
      <w:r w:rsidR="00A24283" w:rsidRPr="007C033D">
        <w:rPr>
          <w:lang w:val="en-US"/>
        </w:rPr>
        <w:t xml:space="preserve">deemed as illiquid with the negative </w:t>
      </w:r>
      <w:r w:rsidRPr="007C033D">
        <w:rPr>
          <w:lang w:val="en-US"/>
        </w:rPr>
        <w:t>result of actually preventing the development of a transparent market</w:t>
      </w:r>
      <w:r w:rsidR="00A24283" w:rsidRPr="007C033D">
        <w:rPr>
          <w:lang w:val="en-US"/>
        </w:rPr>
        <w:t xml:space="preserve"> and efficient price formation</w:t>
      </w:r>
      <w:r w:rsidRPr="007C033D">
        <w:rPr>
          <w:lang w:val="en-US"/>
        </w:rPr>
        <w:t xml:space="preserve"> and keeping a status quo </w:t>
      </w:r>
      <w:r w:rsidR="0001179B" w:rsidRPr="007C033D">
        <w:rPr>
          <w:lang w:val="en-US"/>
        </w:rPr>
        <w:t>also in terms of regional systemic risk</w:t>
      </w:r>
      <w:r w:rsidR="009D6321" w:rsidRPr="007C033D">
        <w:rPr>
          <w:lang w:val="en-US"/>
        </w:rPr>
        <w:t>.</w:t>
      </w:r>
      <w:r w:rsidR="00A24283" w:rsidRPr="007C033D">
        <w:rPr>
          <w:lang w:val="en-US"/>
        </w:rPr>
        <w:t xml:space="preserve"> </w:t>
      </w:r>
    </w:p>
    <w:p w14:paraId="63E49B5F" w14:textId="77777777" w:rsidR="00A24283" w:rsidRPr="007C033D" w:rsidRDefault="00A24283" w:rsidP="00D35525">
      <w:pPr>
        <w:rPr>
          <w:lang w:val="en-US"/>
        </w:rPr>
      </w:pPr>
    </w:p>
    <w:p w14:paraId="62356D6B" w14:textId="619EF4DA" w:rsidR="00A20887" w:rsidRDefault="001C2C18" w:rsidP="00D35525">
      <w:pPr>
        <w:rPr>
          <w:lang w:val="en-US"/>
        </w:rPr>
      </w:pPr>
      <w:r w:rsidRPr="007C033D">
        <w:rPr>
          <w:lang w:val="en-US"/>
        </w:rPr>
        <w:t>Contrary to this, i</w:t>
      </w:r>
      <w:r w:rsidR="00A20887" w:rsidRPr="007C033D">
        <w:rPr>
          <w:lang w:val="en-US"/>
        </w:rPr>
        <w:t xml:space="preserve">n </w:t>
      </w:r>
      <w:proofErr w:type="spellStart"/>
      <w:r w:rsidR="00A20887" w:rsidRPr="007C033D">
        <w:rPr>
          <w:lang w:val="en-US"/>
        </w:rPr>
        <w:t>Mi</w:t>
      </w:r>
      <w:r w:rsidRPr="007C033D">
        <w:rPr>
          <w:lang w:val="en-US"/>
        </w:rPr>
        <w:t>FIR</w:t>
      </w:r>
      <w:proofErr w:type="spellEnd"/>
      <w:r w:rsidR="00A20887" w:rsidRPr="007C033D">
        <w:rPr>
          <w:lang w:val="en-US"/>
        </w:rPr>
        <w:t xml:space="preserve"> it is explicitly stated that:</w:t>
      </w:r>
    </w:p>
    <w:p w14:paraId="3F80B1A8" w14:textId="77777777" w:rsidR="00A20887" w:rsidRPr="001C2C18" w:rsidRDefault="00A20887" w:rsidP="00A20887">
      <w:pPr>
        <w:rPr>
          <w:b/>
          <w:i/>
          <w:lang w:val="en-US"/>
        </w:rPr>
      </w:pPr>
    </w:p>
    <w:p w14:paraId="27C2CC12" w14:textId="0B61BC47" w:rsidR="00A20887" w:rsidRPr="00BE1B84" w:rsidRDefault="00A20887" w:rsidP="00A20887">
      <w:pPr>
        <w:rPr>
          <w:i/>
        </w:rPr>
      </w:pPr>
      <w:r>
        <w:rPr>
          <w:b/>
          <w:i/>
        </w:rPr>
        <w:t>“</w:t>
      </w:r>
      <w:r w:rsidRPr="00BE1B84">
        <w:rPr>
          <w:b/>
          <w:i/>
        </w:rPr>
        <w:t>The assessment of sufficient liquidity should take account of market characteristics at national level</w:t>
      </w:r>
      <w:r w:rsidRPr="00BE1B84">
        <w:rPr>
          <w:i/>
        </w:rPr>
        <w:t xml:space="preserve"> including elements such as the number and type of market participants in a given market, and of transaction characteristics, such as the size and frequency of transactions in that market.”</w:t>
      </w:r>
    </w:p>
    <w:p w14:paraId="1FD7757C" w14:textId="77777777" w:rsidR="00A20887" w:rsidRDefault="00A20887" w:rsidP="00D35525"/>
    <w:p w14:paraId="6E79CC1F" w14:textId="2A243121" w:rsidR="00A20887" w:rsidRPr="007C033D" w:rsidRDefault="00A20887" w:rsidP="00A20887">
      <w:r w:rsidRPr="007C033D">
        <w:t xml:space="preserve">As it seems from </w:t>
      </w:r>
      <w:r w:rsidR="001C2C18" w:rsidRPr="007C033D">
        <w:t xml:space="preserve">the </w:t>
      </w:r>
      <w:r w:rsidRPr="007C033D">
        <w:t xml:space="preserve">ESMA assessment in the CO consultation paper there are actually no real impediments for implementing a mandatory CCP clearing of OTC traded vanilla </w:t>
      </w:r>
      <w:r w:rsidR="009D6321" w:rsidRPr="007C033D">
        <w:t xml:space="preserve">and flexible </w:t>
      </w:r>
      <w:r w:rsidRPr="007C033D">
        <w:t xml:space="preserve">equity derivative contracts except for the assumed size of the OTC volumes in relation to the systemic risk on a global scale.  </w:t>
      </w:r>
    </w:p>
    <w:p w14:paraId="6BDE286D" w14:textId="77777777" w:rsidR="00A20887" w:rsidRPr="007C033D" w:rsidRDefault="00A20887" w:rsidP="00A20887"/>
    <w:p w14:paraId="36C07B52" w14:textId="273AC83C" w:rsidR="0001179B" w:rsidRPr="007C033D" w:rsidRDefault="00A20887" w:rsidP="00A20887">
      <w:r w:rsidRPr="007C033D">
        <w:t xml:space="preserve">It is clear that such </w:t>
      </w:r>
      <w:r w:rsidR="001C2C18" w:rsidRPr="007C033D">
        <w:t xml:space="preserve">an </w:t>
      </w:r>
      <w:r w:rsidRPr="007C033D">
        <w:t xml:space="preserve">approach followed in the EMIR CO proposal is inconsistent with the legislator intention in </w:t>
      </w:r>
      <w:proofErr w:type="spellStart"/>
      <w:r w:rsidRPr="007C033D">
        <w:t>Mi</w:t>
      </w:r>
      <w:r w:rsidR="001C2C18" w:rsidRPr="007C033D">
        <w:t>FIR</w:t>
      </w:r>
      <w:proofErr w:type="spellEnd"/>
      <w:r w:rsidRPr="007C033D">
        <w:t xml:space="preserve"> II to actually take into account the market characteristics at a national level. </w:t>
      </w:r>
    </w:p>
    <w:p w14:paraId="4A6F77A6" w14:textId="15206ACF" w:rsidR="00A20887" w:rsidRPr="007C033D" w:rsidRDefault="00A20887" w:rsidP="00A20887">
      <w:r w:rsidRPr="007C033D">
        <w:t xml:space="preserve">Such discrepancy in our view should </w:t>
      </w:r>
      <w:r w:rsidR="001C2C18" w:rsidRPr="007C033D">
        <w:t xml:space="preserve">definitely </w:t>
      </w:r>
      <w:r w:rsidRPr="007C033D">
        <w:t xml:space="preserve">be addressed in the application of the EMIR CO by having a regional view. </w:t>
      </w:r>
    </w:p>
    <w:p w14:paraId="3D218E4D" w14:textId="77777777" w:rsidR="00A20887" w:rsidRPr="007C033D" w:rsidRDefault="00A20887" w:rsidP="00D35525"/>
    <w:p w14:paraId="655A9399" w14:textId="0E43F5C2" w:rsidR="00A24283" w:rsidRPr="00D045F8" w:rsidRDefault="00A24283" w:rsidP="00D35525">
      <w:pPr>
        <w:rPr>
          <w:lang w:val="en-US"/>
        </w:rPr>
      </w:pPr>
      <w:r w:rsidRPr="007C033D">
        <w:rPr>
          <w:lang w:val="en-US"/>
        </w:rPr>
        <w:t>Effectively the lack of a CO</w:t>
      </w:r>
      <w:r w:rsidR="001C2C18" w:rsidRPr="007C033D">
        <w:rPr>
          <w:lang w:val="en-US"/>
        </w:rPr>
        <w:t xml:space="preserve"> will, </w:t>
      </w:r>
      <w:proofErr w:type="gramStart"/>
      <w:r w:rsidR="001C2C18" w:rsidRPr="007C033D">
        <w:rPr>
          <w:lang w:val="en-US"/>
        </w:rPr>
        <w:t xml:space="preserve">based </w:t>
      </w:r>
      <w:r w:rsidRPr="007C033D">
        <w:rPr>
          <w:lang w:val="en-US"/>
        </w:rPr>
        <w:t xml:space="preserve"> </w:t>
      </w:r>
      <w:r w:rsidR="001C2C18" w:rsidRPr="007C033D">
        <w:rPr>
          <w:lang w:val="en-US"/>
        </w:rPr>
        <w:t>o</w:t>
      </w:r>
      <w:r w:rsidRPr="007C033D">
        <w:rPr>
          <w:lang w:val="en-US"/>
        </w:rPr>
        <w:t>n</w:t>
      </w:r>
      <w:proofErr w:type="gramEnd"/>
      <w:r w:rsidRPr="007C033D">
        <w:rPr>
          <w:lang w:val="en-US"/>
        </w:rPr>
        <w:t xml:space="preserve"> </w:t>
      </w:r>
      <w:r w:rsidR="001C2C18" w:rsidRPr="007C033D">
        <w:rPr>
          <w:lang w:val="en-US"/>
        </w:rPr>
        <w:t xml:space="preserve">the </w:t>
      </w:r>
      <w:r w:rsidR="00CB1BCD" w:rsidRPr="007C033D">
        <w:rPr>
          <w:lang w:val="en-US"/>
        </w:rPr>
        <w:t>NASDAQ OMX</w:t>
      </w:r>
      <w:r w:rsidRPr="007C033D">
        <w:rPr>
          <w:lang w:val="en-US"/>
        </w:rPr>
        <w:t xml:space="preserve"> opinion</w:t>
      </w:r>
      <w:r w:rsidR="001C2C18" w:rsidRPr="007C033D">
        <w:rPr>
          <w:lang w:val="en-US"/>
        </w:rPr>
        <w:t xml:space="preserve">, </w:t>
      </w:r>
      <w:r w:rsidR="00A20887" w:rsidRPr="007C033D">
        <w:rPr>
          <w:lang w:val="en-US"/>
        </w:rPr>
        <w:t xml:space="preserve">undermine </w:t>
      </w:r>
      <w:r w:rsidRPr="007C033D">
        <w:rPr>
          <w:lang w:val="en-US"/>
        </w:rPr>
        <w:t xml:space="preserve">the </w:t>
      </w:r>
      <w:r w:rsidR="00A20887" w:rsidRPr="007C033D">
        <w:rPr>
          <w:lang w:val="en-US"/>
        </w:rPr>
        <w:t xml:space="preserve">possibility to achieve some of the </w:t>
      </w:r>
      <w:r w:rsidRPr="007C033D">
        <w:rPr>
          <w:lang w:val="en-US"/>
        </w:rPr>
        <w:t xml:space="preserve">goals set forth with </w:t>
      </w:r>
      <w:proofErr w:type="spellStart"/>
      <w:r w:rsidRPr="007C033D">
        <w:rPr>
          <w:lang w:val="en-US"/>
        </w:rPr>
        <w:t>Mi</w:t>
      </w:r>
      <w:r w:rsidR="001C2C18" w:rsidRPr="007C033D">
        <w:rPr>
          <w:lang w:val="en-US"/>
        </w:rPr>
        <w:t>FID</w:t>
      </w:r>
      <w:proofErr w:type="spellEnd"/>
      <w:r w:rsidR="001C2C18" w:rsidRPr="007C033D">
        <w:rPr>
          <w:lang w:val="en-US"/>
        </w:rPr>
        <w:t>/R</w:t>
      </w:r>
      <w:r w:rsidRPr="007C033D">
        <w:rPr>
          <w:lang w:val="en-US"/>
        </w:rPr>
        <w:t xml:space="preserve"> II</w:t>
      </w:r>
      <w:r w:rsidR="00A20887" w:rsidRPr="007C033D">
        <w:rPr>
          <w:lang w:val="en-US"/>
        </w:rPr>
        <w:t xml:space="preserve"> on the Nordic equity derivative markets</w:t>
      </w:r>
      <w:r w:rsidR="00F86531">
        <w:rPr>
          <w:lang w:val="en-US"/>
        </w:rPr>
        <w:t>.</w:t>
      </w:r>
      <w:r>
        <w:rPr>
          <w:lang w:val="en-US"/>
        </w:rPr>
        <w:t xml:space="preserve"> </w:t>
      </w:r>
    </w:p>
    <w:p w14:paraId="21DA1772" w14:textId="77777777" w:rsidR="00A24283" w:rsidRPr="0001179B" w:rsidRDefault="00A24283" w:rsidP="00D35525">
      <w:pPr>
        <w:rPr>
          <w:lang w:val="en-US"/>
        </w:rPr>
      </w:pPr>
    </w:p>
    <w:p w14:paraId="6CDABABA" w14:textId="77777777" w:rsidR="000A436F" w:rsidRDefault="000A436F" w:rsidP="00940A63"/>
    <w:p w14:paraId="1C7FCD17" w14:textId="061EC1B0" w:rsidR="000A436F" w:rsidRPr="000A436F" w:rsidRDefault="000A436F" w:rsidP="00940A63">
      <w:pPr>
        <w:rPr>
          <w:b/>
        </w:rPr>
      </w:pPr>
      <w:r w:rsidRPr="000A436F">
        <w:rPr>
          <w:b/>
        </w:rPr>
        <w:t>NASDAQ OMX proposal:</w:t>
      </w:r>
    </w:p>
    <w:p w14:paraId="5E60F6F5" w14:textId="6BF67CAB" w:rsidR="00574250" w:rsidRDefault="00574250" w:rsidP="00940A63">
      <w:r>
        <w:t xml:space="preserve">Based on the arguments above </w:t>
      </w:r>
      <w:r w:rsidR="00CB1BCD">
        <w:t>NASDAQ OMX</w:t>
      </w:r>
      <w:r>
        <w:t xml:space="preserve"> recommends ESMA to:</w:t>
      </w:r>
    </w:p>
    <w:p w14:paraId="43293BAA" w14:textId="77777777" w:rsidR="00574250" w:rsidRDefault="00574250" w:rsidP="00940A63"/>
    <w:p w14:paraId="48EEF5A9" w14:textId="7501E4A9" w:rsidR="00574250" w:rsidRPr="007C033D" w:rsidRDefault="0001179B" w:rsidP="00574250">
      <w:pPr>
        <w:pStyle w:val="ListParagraph"/>
        <w:numPr>
          <w:ilvl w:val="0"/>
          <w:numId w:val="60"/>
        </w:numPr>
      </w:pPr>
      <w:r>
        <w:t>Add in the proposal to the EU Commission to</w:t>
      </w:r>
      <w:r w:rsidR="00574250">
        <w:t xml:space="preserve"> introduce a clearing obligation for any OTC equity derivative contract for SEK, DKK, NOK and EUR denominated classes that mirrors the listed exchange trade derivatives </w:t>
      </w:r>
      <w:r>
        <w:t xml:space="preserve">available for clearing </w:t>
      </w:r>
      <w:r w:rsidR="00574250">
        <w:t xml:space="preserve">at </w:t>
      </w:r>
      <w:r w:rsidR="00CB1BCD">
        <w:t>NASDAQ OMX</w:t>
      </w:r>
      <w:r w:rsidR="00574250">
        <w:t xml:space="preserve">. Furthermore, introduce a clearing obligation for any OTC equity derivative contract for SEK, DKK, NOK and EUR denominated classes that mirrors </w:t>
      </w:r>
      <w:r w:rsidR="001C2C18" w:rsidRPr="007C033D">
        <w:t xml:space="preserve">the </w:t>
      </w:r>
      <w:r w:rsidR="00CB1BCD" w:rsidRPr="007C033D">
        <w:t>NASDAQ OMX</w:t>
      </w:r>
      <w:r w:rsidR="00574250" w:rsidRPr="007C033D">
        <w:t xml:space="preserve"> OTC tailor-made contract clearing offering.</w:t>
      </w:r>
    </w:p>
    <w:p w14:paraId="5ADA0789" w14:textId="77777777" w:rsidR="00574250" w:rsidRPr="007C033D" w:rsidRDefault="00574250" w:rsidP="00574250">
      <w:pPr>
        <w:pStyle w:val="ListParagraph"/>
      </w:pPr>
    </w:p>
    <w:p w14:paraId="59380C3C" w14:textId="71947C5D" w:rsidR="00574250" w:rsidRPr="007C033D" w:rsidRDefault="00574250" w:rsidP="00574250">
      <w:pPr>
        <w:pStyle w:val="ListParagraph"/>
        <w:numPr>
          <w:ilvl w:val="0"/>
          <w:numId w:val="60"/>
        </w:numPr>
      </w:pPr>
      <w:r w:rsidRPr="007C033D">
        <w:t>Alternatively, remove the negative outcome of its analysis from the proposal to the EU Commission and conduct a more detailed analysis based on:</w:t>
      </w:r>
    </w:p>
    <w:p w14:paraId="6873FE3C" w14:textId="77777777" w:rsidR="00574250" w:rsidRPr="007C033D" w:rsidRDefault="00574250" w:rsidP="00574250">
      <w:pPr>
        <w:pStyle w:val="ListParagraph"/>
      </w:pPr>
    </w:p>
    <w:p w14:paraId="0EF15F52" w14:textId="408340C5" w:rsidR="0001179B" w:rsidRPr="007C033D" w:rsidRDefault="0001179B" w:rsidP="0001179B">
      <w:pPr>
        <w:pStyle w:val="ListParagraph"/>
        <w:numPr>
          <w:ilvl w:val="1"/>
          <w:numId w:val="60"/>
        </w:numPr>
      </w:pPr>
      <w:r w:rsidRPr="007C033D">
        <w:t>Consider a regional view in terms of risk assessment and where the size of the un-cleared OTC volumes is put in relation to the size of the CCP cleared volumes in each market.</w:t>
      </w:r>
    </w:p>
    <w:p w14:paraId="098D5B39" w14:textId="77777777" w:rsidR="0001179B" w:rsidRPr="007C033D" w:rsidRDefault="0001179B" w:rsidP="0001179B">
      <w:pPr>
        <w:pStyle w:val="ListParagraph"/>
        <w:ind w:left="1440"/>
      </w:pPr>
    </w:p>
    <w:p w14:paraId="00A1F003" w14:textId="56E05F3B" w:rsidR="00574250" w:rsidRPr="007C033D" w:rsidRDefault="00574250" w:rsidP="00574250">
      <w:pPr>
        <w:pStyle w:val="ListParagraph"/>
        <w:numPr>
          <w:ilvl w:val="1"/>
          <w:numId w:val="60"/>
        </w:numPr>
      </w:pPr>
      <w:r w:rsidRPr="007C033D">
        <w:t>Use of dat</w:t>
      </w:r>
      <w:r w:rsidR="00A72D67" w:rsidRPr="007C033D">
        <w:t>a</w:t>
      </w:r>
      <w:r w:rsidRPr="007C033D">
        <w:t xml:space="preserve"> from </w:t>
      </w:r>
      <w:r w:rsidR="00A72D67" w:rsidRPr="007C033D">
        <w:t xml:space="preserve">the </w:t>
      </w:r>
      <w:r w:rsidRPr="007C033D">
        <w:t xml:space="preserve">trade reporting obligation to assess </w:t>
      </w:r>
      <w:r w:rsidR="00A72D67" w:rsidRPr="007C033D">
        <w:t xml:space="preserve">the </w:t>
      </w:r>
      <w:r w:rsidRPr="007C033D">
        <w:t>real size of the un-cleared OTC equity derivative contracts on Nordic names and currencies</w:t>
      </w:r>
      <w:r w:rsidR="00E32527" w:rsidRPr="007C033D">
        <w:t xml:space="preserve"> (with focus on standardized and flexible derivatives products)</w:t>
      </w:r>
      <w:r w:rsidR="002016BF">
        <w:t xml:space="preserve"> </w:t>
      </w:r>
      <w:r w:rsidR="002016BF" w:rsidRPr="002016BF">
        <w:rPr>
          <w:b/>
        </w:rPr>
        <w:t>or engage the local competent authorities to request such information directly from the main financial institutions in each region</w:t>
      </w:r>
      <w:r w:rsidR="002016BF">
        <w:t>-</w:t>
      </w:r>
    </w:p>
    <w:p w14:paraId="011D2FA1" w14:textId="77777777" w:rsidR="0001179B" w:rsidRPr="007C033D" w:rsidRDefault="0001179B" w:rsidP="0001179B">
      <w:pPr>
        <w:pStyle w:val="ListParagraph"/>
        <w:ind w:left="1440"/>
      </w:pPr>
    </w:p>
    <w:p w14:paraId="7D6ECB0D" w14:textId="797C4EF8" w:rsidR="00574250" w:rsidRPr="007C033D" w:rsidRDefault="00574250" w:rsidP="00574250">
      <w:pPr>
        <w:pStyle w:val="ListParagraph"/>
        <w:numPr>
          <w:ilvl w:val="1"/>
          <w:numId w:val="60"/>
        </w:numPr>
      </w:pPr>
      <w:r w:rsidRPr="007C033D">
        <w:t xml:space="preserve">Re-assess the criteria in the EMIR regulation based on the above </w:t>
      </w:r>
      <w:r w:rsidR="001B719B" w:rsidRPr="007C033D">
        <w:t xml:space="preserve">two </w:t>
      </w:r>
      <w:r w:rsidRPr="007C033D">
        <w:t>points.</w:t>
      </w:r>
    </w:p>
    <w:p w14:paraId="69483D02" w14:textId="77777777" w:rsidR="0001179B" w:rsidRPr="007C033D" w:rsidRDefault="0001179B" w:rsidP="0001179B">
      <w:pPr>
        <w:pStyle w:val="ListParagraph"/>
        <w:ind w:left="1440"/>
      </w:pPr>
    </w:p>
    <w:p w14:paraId="73CE9B65" w14:textId="202D875D" w:rsidR="00574250" w:rsidRDefault="00E32527" w:rsidP="0001179B">
      <w:pPr>
        <w:pStyle w:val="ListParagraph"/>
        <w:numPr>
          <w:ilvl w:val="1"/>
          <w:numId w:val="60"/>
        </w:numPr>
      </w:pPr>
      <w:r>
        <w:t>Issue a new draft for CO on equity derivatives for vanilla and flexible equity derivatives on Nordic product classes</w:t>
      </w:r>
    </w:p>
    <w:permEnd w:id="692392694"/>
    <w:p w14:paraId="0C6A5A52" w14:textId="73D29A7B" w:rsidR="00940A63" w:rsidRDefault="00940A63" w:rsidP="00940A63">
      <w:r>
        <w:lastRenderedPageBreak/>
        <w:t>&lt;ESMA_QUESTION_10&gt;</w:t>
      </w:r>
    </w:p>
    <w:p w14:paraId="04E7C197" w14:textId="77777777" w:rsidR="00372176" w:rsidRDefault="00372176" w:rsidP="00940A63"/>
    <w:p w14:paraId="49FA8184" w14:textId="77777777" w:rsidR="00372176" w:rsidRDefault="00372176" w:rsidP="00940A63"/>
    <w:p w14:paraId="1194C1EC" w14:textId="1FB35339" w:rsidR="00940A63" w:rsidRDefault="00E363D7" w:rsidP="00940A63">
      <w:pPr>
        <w:pStyle w:val="Heading1"/>
      </w:pPr>
      <w:bookmarkStart w:id="23" w:name="_Ref392593404"/>
      <w:bookmarkStart w:id="24" w:name="_Toc392599428"/>
      <w:r>
        <w:tab/>
      </w:r>
      <w:r w:rsidR="00940A63">
        <w:t>OTC Interest rate future and option classes that are proposed not to be subject to the clearing obligation</w:t>
      </w:r>
      <w:bookmarkEnd w:id="23"/>
      <w:bookmarkEnd w:id="24"/>
    </w:p>
    <w:p w14:paraId="72A30021" w14:textId="77777777" w:rsidR="00940A63" w:rsidRDefault="00940A63" w:rsidP="00940A63"/>
    <w:p w14:paraId="7248E467" w14:textId="77777777" w:rsidR="00940A63" w:rsidRPr="00FE73ED" w:rsidRDefault="00940A63" w:rsidP="00940A63">
      <w:pPr>
        <w:pStyle w:val="Questions"/>
      </w:pPr>
      <w:r>
        <w:t xml:space="preserve">Question </w:t>
      </w:r>
      <w:fldSimple w:instr=" SEQ Question \* ARABIC ">
        <w:r w:rsidR="00A63BA9">
          <w:rPr>
            <w:noProof/>
          </w:rPr>
          <w:t>11</w:t>
        </w:r>
      </w:fldSimple>
      <w:r>
        <w:t xml:space="preserve">: Do you have any comment on the analysis on the OTC Interest rate future and options derivative classes presented in Section </w:t>
      </w:r>
      <w:r>
        <w:fldChar w:fldCharType="begin"/>
      </w:r>
      <w:r>
        <w:instrText xml:space="preserve"> REF _Ref392593404 \r \h </w:instrText>
      </w:r>
      <w:r>
        <w:fldChar w:fldCharType="separate"/>
      </w:r>
      <w:r w:rsidR="00A63BA9">
        <w:t>7</w:t>
      </w:r>
      <w:r>
        <w:fldChar w:fldCharType="end"/>
      </w:r>
      <w:r>
        <w:t>?</w:t>
      </w:r>
    </w:p>
    <w:p w14:paraId="716F2B57" w14:textId="77777777" w:rsidR="00940A63" w:rsidRDefault="00940A63" w:rsidP="00940A63"/>
    <w:p w14:paraId="50DEA669" w14:textId="3632D80B" w:rsidR="00940A63" w:rsidRDefault="00940A63" w:rsidP="00940A63">
      <w:r>
        <w:t>&lt;ESMA_QUESTION_11&gt;</w:t>
      </w:r>
    </w:p>
    <w:p w14:paraId="08A2E317" w14:textId="77777777" w:rsidR="00940A63" w:rsidRDefault="00940A63" w:rsidP="00940A63">
      <w:permStart w:id="1434612385" w:edGrp="everyone"/>
      <w:r>
        <w:t>TYPE YOUR TEXT HERE</w:t>
      </w:r>
    </w:p>
    <w:permEnd w:id="1434612385"/>
    <w:p w14:paraId="6BEE8DC5" w14:textId="579700E6" w:rsidR="00940A63" w:rsidRDefault="00940A63" w:rsidP="00940A63">
      <w:r>
        <w:t>&lt;ESMA_QUESTION_11&gt;</w:t>
      </w:r>
    </w:p>
    <w:p w14:paraId="45A09D1A" w14:textId="77777777" w:rsidR="00663ADD" w:rsidRDefault="00663ADD" w:rsidP="00940A63"/>
    <w:p w14:paraId="3DB7BB3F" w14:textId="77777777" w:rsidR="00663ADD" w:rsidRDefault="00663ADD" w:rsidP="00940A63"/>
    <w:p w14:paraId="79A86067" w14:textId="77777777" w:rsidR="00663ADD" w:rsidRDefault="00663ADD" w:rsidP="00663ADD">
      <w:pPr>
        <w:pStyle w:val="Heading1"/>
        <w:numPr>
          <w:ilvl w:val="0"/>
          <w:numId w:val="0"/>
        </w:numPr>
      </w:pPr>
      <w:bookmarkStart w:id="25" w:name="_Ref389465288"/>
      <w:bookmarkStart w:id="26" w:name="_Toc392599429"/>
      <w:r w:rsidRPr="00B95561">
        <w:t xml:space="preserve">Annex </w:t>
      </w:r>
      <w:fldSimple w:instr=" SEQ Annex \* ROMAN ">
        <w:r w:rsidR="00A63BA9">
          <w:rPr>
            <w:noProof/>
          </w:rPr>
          <w:t>I</w:t>
        </w:r>
      </w:fldSimple>
      <w:bookmarkEnd w:id="25"/>
      <w:r w:rsidRPr="00B95561">
        <w:t xml:space="preserve"> - Commission mandate to develop technical standards</w:t>
      </w:r>
      <w:bookmarkEnd w:id="26"/>
    </w:p>
    <w:p w14:paraId="6CB282DD" w14:textId="77777777" w:rsidR="00663ADD" w:rsidRPr="00663ADD" w:rsidRDefault="00663ADD" w:rsidP="00663ADD"/>
    <w:p w14:paraId="70654F84" w14:textId="7941CF16" w:rsidR="00663ADD" w:rsidRDefault="00663ADD" w:rsidP="00663ADD">
      <w:pPr>
        <w:pStyle w:val="Heading1"/>
        <w:numPr>
          <w:ilvl w:val="0"/>
          <w:numId w:val="0"/>
        </w:numPr>
      </w:pPr>
      <w:bookmarkStart w:id="27" w:name="_Ref389466688"/>
      <w:bookmarkStart w:id="28" w:name="_Toc392599430"/>
      <w:r w:rsidRPr="009E0D2D">
        <w:t xml:space="preserve">Annex </w:t>
      </w:r>
      <w:fldSimple w:instr=" SEQ Annex \* ROMAN ">
        <w:r w:rsidR="00A63BA9">
          <w:rPr>
            <w:noProof/>
          </w:rPr>
          <w:t>II</w:t>
        </w:r>
      </w:fldSimple>
      <w:bookmarkEnd w:id="27"/>
      <w:r>
        <w:t xml:space="preserve"> - Draft Regulatory Technical Standards on the Clearing Obligation</w:t>
      </w:r>
      <w:bookmarkEnd w:id="28"/>
    </w:p>
    <w:p w14:paraId="39C1A30C" w14:textId="77777777" w:rsidR="00940A63" w:rsidRDefault="00940A63" w:rsidP="00940A63">
      <w:pPr>
        <w:pStyle w:val="Questions"/>
      </w:pPr>
      <w:r>
        <w:t xml:space="preserve">Question </w:t>
      </w:r>
      <w:fldSimple w:instr=" SEQ Question \* ARABIC ">
        <w:r w:rsidR="00A63BA9">
          <w:rPr>
            <w:noProof/>
          </w:rPr>
          <w:t>12</w:t>
        </w:r>
      </w:fldSimple>
      <w:r>
        <w:t>: Please indicate your comments on the draft RTS other than those already made in the previous questions.</w:t>
      </w:r>
    </w:p>
    <w:p w14:paraId="5498CD2A" w14:textId="77777777" w:rsidR="00940A63" w:rsidRDefault="00940A63" w:rsidP="00940A63"/>
    <w:p w14:paraId="05039AE1" w14:textId="46482EAB" w:rsidR="00940A63" w:rsidRDefault="00940A63" w:rsidP="00940A63">
      <w:r>
        <w:t>&lt;ESMA_QUESTION_12&gt;</w:t>
      </w:r>
    </w:p>
    <w:p w14:paraId="76595C50" w14:textId="77777777" w:rsidR="00940A63" w:rsidRDefault="00940A63" w:rsidP="00940A63">
      <w:permStart w:id="2107055715" w:edGrp="everyone"/>
      <w:r>
        <w:t>TYPE YOUR TEXT HERE</w:t>
      </w:r>
    </w:p>
    <w:permEnd w:id="2107055715"/>
    <w:p w14:paraId="5D375A34" w14:textId="53EA2DCD" w:rsidR="00940A63" w:rsidRDefault="00940A63" w:rsidP="00940A63">
      <w:r>
        <w:t>&lt;ESMA_QUESTION_12&gt;</w:t>
      </w:r>
    </w:p>
    <w:p w14:paraId="29ECC286" w14:textId="77777777" w:rsidR="00663ADD" w:rsidRDefault="00663ADD" w:rsidP="00940A63"/>
    <w:p w14:paraId="7AEF4620" w14:textId="77777777" w:rsidR="00663ADD" w:rsidRDefault="00663ADD" w:rsidP="00940A63"/>
    <w:p w14:paraId="17534C80" w14:textId="118AE7A5" w:rsidR="00663ADD" w:rsidRPr="00FE73ED" w:rsidRDefault="00663ADD" w:rsidP="00663ADD">
      <w:pPr>
        <w:pStyle w:val="Heading1"/>
        <w:numPr>
          <w:ilvl w:val="0"/>
          <w:numId w:val="0"/>
        </w:numPr>
      </w:pPr>
      <w:bookmarkStart w:id="29" w:name="_Toc392599431"/>
      <w:r w:rsidRPr="0030524D">
        <w:t xml:space="preserve">Annex </w:t>
      </w:r>
      <w:fldSimple w:instr=" SEQ Annex \* ROMAN ">
        <w:r w:rsidR="00A63BA9">
          <w:rPr>
            <w:noProof/>
          </w:rPr>
          <w:t>III</w:t>
        </w:r>
      </w:fldSimple>
      <w:r w:rsidRPr="0030524D">
        <w:t xml:space="preserve"> - </w:t>
      </w:r>
      <w:r>
        <w:t>Impact assessment</w:t>
      </w:r>
      <w:bookmarkEnd w:id="29"/>
    </w:p>
    <w:p w14:paraId="08CCB0EB" w14:textId="77777777" w:rsidR="00940A63" w:rsidRDefault="00940A63" w:rsidP="00940A63">
      <w:pPr>
        <w:pStyle w:val="Questions"/>
      </w:pPr>
      <w:r>
        <w:t xml:space="preserve">Question </w:t>
      </w:r>
      <w:fldSimple w:instr=" SEQ Question \* ARABIC ">
        <w:r w:rsidR="00A63BA9">
          <w:rPr>
            <w:noProof/>
          </w:rPr>
          <w:t>13</w:t>
        </w:r>
      </w:fldSimple>
      <w:r>
        <w:t>: Please indicate your comments on the CBA.</w:t>
      </w:r>
    </w:p>
    <w:p w14:paraId="2FABE650" w14:textId="77777777" w:rsidR="00940A63" w:rsidRDefault="00940A63" w:rsidP="00940A63"/>
    <w:p w14:paraId="70AF54B7" w14:textId="4B392787" w:rsidR="00940A63" w:rsidRDefault="00940A63" w:rsidP="00940A63">
      <w:r>
        <w:t>&lt;ESMA_QUESTION_13&gt;</w:t>
      </w:r>
    </w:p>
    <w:p w14:paraId="1151DF87" w14:textId="77777777" w:rsidR="00940A63" w:rsidRDefault="00940A63" w:rsidP="00940A63">
      <w:permStart w:id="1111844381" w:edGrp="everyone"/>
      <w:r>
        <w:t>TYPE YOUR TEXT HERE</w:t>
      </w:r>
    </w:p>
    <w:permEnd w:id="1111844381"/>
    <w:p w14:paraId="2B4396E3" w14:textId="38DE5DE5" w:rsidR="00B25023" w:rsidRPr="00A21A30" w:rsidRDefault="00940A63" w:rsidP="00A21A30">
      <w:r>
        <w:t>&lt;ESMA_QUESTION_13&gt;</w:t>
      </w:r>
    </w:p>
    <w:sectPr w:rsidR="00B25023" w:rsidRPr="00A21A30" w:rsidSect="00C413FC">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227A5" w14:textId="77777777" w:rsidR="00D2743D" w:rsidRDefault="00D2743D">
      <w:r>
        <w:separator/>
      </w:r>
    </w:p>
    <w:p w14:paraId="4627C8BF" w14:textId="77777777" w:rsidR="00D2743D" w:rsidRDefault="00D2743D"/>
    <w:p w14:paraId="7F4D1F20" w14:textId="77777777" w:rsidR="00D2743D" w:rsidRDefault="00D2743D"/>
  </w:endnote>
  <w:endnote w:type="continuationSeparator" w:id="0">
    <w:p w14:paraId="177DE07A" w14:textId="77777777" w:rsidR="00D2743D" w:rsidRDefault="00D2743D">
      <w:r>
        <w:continuationSeparator/>
      </w:r>
    </w:p>
    <w:p w14:paraId="53196C0E" w14:textId="77777777" w:rsidR="00D2743D" w:rsidRDefault="00D2743D"/>
    <w:p w14:paraId="115336B8" w14:textId="77777777" w:rsidR="00D2743D" w:rsidRDefault="00D27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35525" w:rsidRPr="000C3B6D" w14:paraId="5781BFA7" w14:textId="77777777" w:rsidTr="000C3B6D">
      <w:trPr>
        <w:trHeight w:val="284"/>
      </w:trPr>
      <w:tc>
        <w:tcPr>
          <w:tcW w:w="8460" w:type="dxa"/>
        </w:tcPr>
        <w:p w14:paraId="3B3513CD" w14:textId="77777777" w:rsidR="00D35525" w:rsidRPr="000C3B6D" w:rsidRDefault="00D35525" w:rsidP="000C3B6D">
          <w:pPr>
            <w:pStyle w:val="00Footer"/>
            <w:rPr>
              <w:lang w:val="fr-FR"/>
            </w:rPr>
          </w:pPr>
        </w:p>
      </w:tc>
      <w:tc>
        <w:tcPr>
          <w:tcW w:w="952" w:type="dxa"/>
        </w:tcPr>
        <w:p w14:paraId="7E457E2E" w14:textId="77777777" w:rsidR="00D35525" w:rsidRDefault="00D35525" w:rsidP="002C5B2D">
          <w:pPr>
            <w:pStyle w:val="00aPagenumber"/>
          </w:pPr>
          <w:r w:rsidRPr="002C5B2D">
            <w:fldChar w:fldCharType="begin"/>
          </w:r>
          <w:r w:rsidRPr="002C5B2D">
            <w:instrText xml:space="preserve"> PAGE </w:instrText>
          </w:r>
          <w:r w:rsidRPr="002C5B2D">
            <w:fldChar w:fldCharType="separate"/>
          </w:r>
          <w:r w:rsidR="00031550">
            <w:rPr>
              <w:noProof/>
            </w:rPr>
            <w:t>15</w:t>
          </w:r>
          <w:r w:rsidRPr="002C5B2D">
            <w:fldChar w:fldCharType="end"/>
          </w:r>
        </w:p>
        <w:p w14:paraId="4B069B54" w14:textId="77777777" w:rsidR="00D35525" w:rsidRPr="002C5B2D" w:rsidRDefault="00D35525" w:rsidP="002C5B2D">
          <w:pPr>
            <w:pStyle w:val="00aPagenumber"/>
          </w:pPr>
        </w:p>
      </w:tc>
    </w:tr>
    <w:tr w:rsidR="00D35525" w:rsidRPr="000C3B6D" w14:paraId="72675130" w14:textId="77777777" w:rsidTr="000C3B6D">
      <w:trPr>
        <w:trHeight w:val="284"/>
      </w:trPr>
      <w:tc>
        <w:tcPr>
          <w:tcW w:w="8460" w:type="dxa"/>
        </w:tcPr>
        <w:p w14:paraId="27A25737" w14:textId="3B092D73" w:rsidR="00D35525" w:rsidRPr="00E06635" w:rsidRDefault="00D35525" w:rsidP="00D82212">
          <w:pPr>
            <w:pStyle w:val="00Footer"/>
          </w:pPr>
        </w:p>
      </w:tc>
      <w:tc>
        <w:tcPr>
          <w:tcW w:w="952" w:type="dxa"/>
        </w:tcPr>
        <w:p w14:paraId="19F8A1E3" w14:textId="77777777" w:rsidR="00D35525" w:rsidRPr="002C5B2D" w:rsidRDefault="00D35525" w:rsidP="002C5B2D">
          <w:pPr>
            <w:pStyle w:val="00aPagenumber"/>
          </w:pPr>
        </w:p>
      </w:tc>
    </w:tr>
  </w:tbl>
  <w:p w14:paraId="00A28279" w14:textId="0B6A4D99" w:rsidR="00D35525" w:rsidRDefault="00D35525">
    <w:pPr>
      <w:pStyle w:val="Footer"/>
    </w:pPr>
    <w:r>
      <w:fldChar w:fldCharType="begin"/>
    </w:r>
    <w:r>
      <w:instrText xml:space="preserve"> DATE \@ "dddd, dd MMMM yyyy" </w:instrText>
    </w:r>
    <w:r>
      <w:fldChar w:fldCharType="separate"/>
    </w:r>
    <w:r w:rsidR="00031550">
      <w:rPr>
        <w:noProof/>
      </w:rPr>
      <w:t>Monday, 18 August 2014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58D6" w14:textId="77777777" w:rsidR="00D35525" w:rsidRDefault="00D35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F17D4" w14:textId="77777777" w:rsidR="00D2743D" w:rsidRDefault="00D2743D">
      <w:r>
        <w:separator/>
      </w:r>
    </w:p>
    <w:p w14:paraId="3C41DF2E" w14:textId="77777777" w:rsidR="00D2743D" w:rsidRDefault="00D2743D"/>
  </w:footnote>
  <w:footnote w:type="continuationSeparator" w:id="0">
    <w:p w14:paraId="329227C0" w14:textId="77777777" w:rsidR="00D2743D" w:rsidRDefault="00D2743D">
      <w:r>
        <w:continuationSeparator/>
      </w:r>
    </w:p>
    <w:p w14:paraId="2C0BACB2" w14:textId="77777777" w:rsidR="00D2743D" w:rsidRDefault="00D2743D"/>
    <w:p w14:paraId="56ECE821" w14:textId="77777777" w:rsidR="00D2743D" w:rsidRDefault="00D274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D3A1" w14:textId="77777777" w:rsidR="00D35525" w:rsidRDefault="00D35525">
    <w:pPr>
      <w:pStyle w:val="Header"/>
    </w:pPr>
    <w:r>
      <w:rPr>
        <w:noProof/>
        <w:lang w:eastAsia="en-GB"/>
      </w:rPr>
      <w:drawing>
        <wp:anchor distT="0" distB="0" distL="114300" distR="114300" simplePos="0" relativeHeight="251660288" behindDoc="0" locked="0" layoutInCell="1" allowOverlap="1" wp14:anchorId="3EED9FFE" wp14:editId="3D1FB6B4">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04B0F2A8" wp14:editId="1359D3A7">
              <wp:simplePos x="0" y="0"/>
              <wp:positionH relativeFrom="page">
                <wp:posOffset>1548130</wp:posOffset>
              </wp:positionH>
              <wp:positionV relativeFrom="page">
                <wp:posOffset>612140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889E" w14:textId="77777777" w:rsidR="00D35525" w:rsidRDefault="00D35525">
    <w:pPr>
      <w:pStyle w:val="Header"/>
    </w:pPr>
    <w:r>
      <w:rPr>
        <w:noProof/>
        <w:lang w:eastAsia="en-GB"/>
      </w:rPr>
      <w:drawing>
        <wp:anchor distT="0" distB="0" distL="114300" distR="114300" simplePos="0" relativeHeight="251659264" behindDoc="0" locked="0" layoutInCell="1" allowOverlap="1" wp14:anchorId="78195F1E" wp14:editId="3E9E757F">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0A7F8F3" wp14:editId="341C588D">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7835" w14:textId="77777777" w:rsidR="00D35525" w:rsidRDefault="00D355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D35525" w:rsidRPr="00E00C3F" w14:paraId="273E79AB" w14:textId="77777777" w:rsidTr="00641A2C">
      <w:trPr>
        <w:trHeight w:val="284"/>
      </w:trPr>
      <w:tc>
        <w:tcPr>
          <w:tcW w:w="9214" w:type="dxa"/>
        </w:tcPr>
        <w:p w14:paraId="63EB5814" w14:textId="77777777" w:rsidR="00D35525" w:rsidRPr="000C3B6D" w:rsidRDefault="00D35525" w:rsidP="00641A2C">
          <w:pPr>
            <w:pStyle w:val="Footer"/>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14:paraId="569EDAD8" w14:textId="77777777" w:rsidR="00D35525" w:rsidRPr="00E00C3F" w:rsidRDefault="00D35525" w:rsidP="00620D7C">
          <w:pPr>
            <w:pStyle w:val="00aPagenumber"/>
            <w:rPr>
              <w:lang w:val="fr-FR"/>
            </w:rPr>
          </w:pPr>
        </w:p>
      </w:tc>
    </w:tr>
  </w:tbl>
  <w:p w14:paraId="22CE6FDD" w14:textId="77777777" w:rsidR="00D35525" w:rsidRPr="00DB46C3" w:rsidRDefault="00D35525">
    <w:pPr>
      <w:rPr>
        <w:lang w:val="fr-FR"/>
      </w:rPr>
    </w:pPr>
  </w:p>
  <w:p w14:paraId="64A6237C" w14:textId="77777777" w:rsidR="00D35525" w:rsidRDefault="00D35525">
    <w:pPr>
      <w:pStyle w:val="Header"/>
    </w:pPr>
    <w:r>
      <w:rPr>
        <w:noProof/>
        <w:lang w:eastAsia="en-GB"/>
      </w:rPr>
      <mc:AlternateContent>
        <mc:Choice Requires="wps">
          <w:drawing>
            <wp:anchor distT="0" distB="0" distL="114300" distR="114300" simplePos="0" relativeHeight="251658240" behindDoc="0" locked="0" layoutInCell="1" allowOverlap="1" wp14:anchorId="4D924238" wp14:editId="7F03393A">
              <wp:simplePos x="0" y="0"/>
              <wp:positionH relativeFrom="page">
                <wp:posOffset>5040630</wp:posOffset>
              </wp:positionH>
              <wp:positionV relativeFrom="page">
                <wp:posOffset>612140</wp:posOffset>
              </wp:positionV>
              <wp:extent cx="0" cy="899795"/>
              <wp:effectExtent l="11430" t="12065" r="7620"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mc:Fallback>
      </mc:AlternateContent>
    </w:r>
    <w:r>
      <w:rPr>
        <w:noProof/>
        <w:lang w:eastAsia="en-GB"/>
      </w:rPr>
      <w:drawing>
        <wp:anchor distT="0" distB="0" distL="114300" distR="114300" simplePos="0" relativeHeight="251657216" behindDoc="0" locked="0" layoutInCell="1" allowOverlap="1" wp14:anchorId="39B772F0" wp14:editId="4DC1273F">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6AB2"/>
    <w:multiLevelType w:val="hybridMultilevel"/>
    <w:tmpl w:val="E9086C3E"/>
    <w:lvl w:ilvl="0" w:tplc="3DC4FE0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40CDB"/>
    <w:multiLevelType w:val="multilevel"/>
    <w:tmpl w:val="212CDB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253504"/>
    <w:multiLevelType w:val="hybridMultilevel"/>
    <w:tmpl w:val="4C8882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63D17"/>
    <w:multiLevelType w:val="hybridMultilevel"/>
    <w:tmpl w:val="C6A09F1A"/>
    <w:lvl w:ilvl="0" w:tplc="3F74BB04">
      <w:start w:val="3"/>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656B2"/>
    <w:multiLevelType w:val="hybridMultilevel"/>
    <w:tmpl w:val="479CAEDA"/>
    <w:lvl w:ilvl="0" w:tplc="DCF41B3C">
      <w:start w:val="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A34FE7"/>
    <w:multiLevelType w:val="hybridMultilevel"/>
    <w:tmpl w:val="595E013A"/>
    <w:lvl w:ilvl="0" w:tplc="66821E4C">
      <w:start w:val="1"/>
      <w:numFmt w:val="bullet"/>
      <w:pStyle w:val="0MyBullet"/>
      <w:lvlText w:val=""/>
      <w:lvlJc w:val="left"/>
      <w:pPr>
        <w:ind w:left="720" w:hanging="360"/>
      </w:pPr>
      <w:rPr>
        <w:rFonts w:ascii="Symbol" w:hAnsi="Symbol" w:hint="default"/>
      </w:rPr>
    </w:lvl>
    <w:lvl w:ilvl="1" w:tplc="04090003" w:tentative="1">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45BB4"/>
    <w:multiLevelType w:val="hybridMultilevel"/>
    <w:tmpl w:val="B7D8639A"/>
    <w:lvl w:ilvl="0" w:tplc="81B0B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D0A2696A">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DB3C44"/>
    <w:multiLevelType w:val="hybridMultilevel"/>
    <w:tmpl w:val="7E3E9808"/>
    <w:lvl w:ilvl="0" w:tplc="0407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982FAA"/>
    <w:multiLevelType w:val="hybridMultilevel"/>
    <w:tmpl w:val="CA0475B4"/>
    <w:lvl w:ilvl="0" w:tplc="87A07FE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C2D36"/>
    <w:multiLevelType w:val="multilevel"/>
    <w:tmpl w:val="40988096"/>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04C28C6"/>
    <w:multiLevelType w:val="multilevel"/>
    <w:tmpl w:val="E94E131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13">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4">
    <w:nsid w:val="2D80373B"/>
    <w:multiLevelType w:val="hybridMultilevel"/>
    <w:tmpl w:val="47144DFA"/>
    <w:lvl w:ilvl="0" w:tplc="6FEC31F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E764EF"/>
    <w:multiLevelType w:val="hybridMultilevel"/>
    <w:tmpl w:val="4F5A91F2"/>
    <w:lvl w:ilvl="0" w:tplc="3E7458C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56A4C"/>
    <w:multiLevelType w:val="multilevel"/>
    <w:tmpl w:val="639841C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39C751BA"/>
    <w:multiLevelType w:val="hybridMultilevel"/>
    <w:tmpl w:val="5F500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5F3A15"/>
    <w:multiLevelType w:val="hybridMultilevel"/>
    <w:tmpl w:val="55AAE488"/>
    <w:lvl w:ilvl="0" w:tplc="BAF871F6">
      <w:start w:val="1"/>
      <w:numFmt w:val="bullet"/>
      <w:lvlText w:val=""/>
      <w:lvlJc w:val="left"/>
      <w:pPr>
        <w:ind w:left="720" w:hanging="360"/>
      </w:pPr>
      <w:rPr>
        <w:rFonts w:ascii="Symbol" w:hAnsi="Symbol" w:hint="default"/>
      </w:rPr>
    </w:lvl>
    <w:lvl w:ilvl="1" w:tplc="24A63E2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26208D"/>
    <w:multiLevelType w:val="hybridMultilevel"/>
    <w:tmpl w:val="D0C6D1FE"/>
    <w:lvl w:ilvl="0" w:tplc="5FAE3566">
      <w:numFmt w:val="bullet"/>
      <w:lvlText w:val="-"/>
      <w:lvlJc w:val="left"/>
      <w:pPr>
        <w:ind w:left="720" w:hanging="36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445F34D8"/>
    <w:multiLevelType w:val="hybridMultilevel"/>
    <w:tmpl w:val="1ACC5824"/>
    <w:lvl w:ilvl="0" w:tplc="D0A2696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48507401"/>
    <w:multiLevelType w:val="multilevel"/>
    <w:tmpl w:val="AB2C4B4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5DD586E"/>
    <w:multiLevelType w:val="hybridMultilevel"/>
    <w:tmpl w:val="7278CED4"/>
    <w:lvl w:ilvl="0" w:tplc="3DC4FE0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DE55501"/>
    <w:multiLevelType w:val="hybridMultilevel"/>
    <w:tmpl w:val="790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394246"/>
    <w:multiLevelType w:val="multilevel"/>
    <w:tmpl w:val="76E01130"/>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44630C0"/>
    <w:multiLevelType w:val="multilevel"/>
    <w:tmpl w:val="27EE29C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5DC6E5B"/>
    <w:multiLevelType w:val="multilevel"/>
    <w:tmpl w:val="EC26190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5947FD"/>
    <w:multiLevelType w:val="multilevel"/>
    <w:tmpl w:val="5C20B6BC"/>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25"/>
  </w:num>
  <w:num w:numId="3">
    <w:abstractNumId w:val="18"/>
  </w:num>
  <w:num w:numId="4">
    <w:abstractNumId w:val="28"/>
  </w:num>
  <w:num w:numId="5">
    <w:abstractNumId w:val="6"/>
  </w:num>
  <w:num w:numId="6">
    <w:abstractNumId w:val="13"/>
  </w:num>
  <w:num w:numId="7">
    <w:abstractNumId w:val="17"/>
  </w:num>
  <w:num w:numId="8">
    <w:abstractNumId w:val="20"/>
  </w:num>
  <w:num w:numId="9">
    <w:abstractNumId w:val="24"/>
  </w:num>
  <w:num w:numId="10">
    <w:abstractNumId w:val="9"/>
  </w:num>
  <w:num w:numId="11">
    <w:abstractNumId w:val="22"/>
  </w:num>
  <w:num w:numId="12">
    <w:abstractNumId w:val="0"/>
  </w:num>
  <w:num w:numId="13">
    <w:abstractNumId w:val="22"/>
    <w:lvlOverride w:ilvl="0">
      <w:startOverride w:val="1"/>
    </w:lvlOverride>
  </w:num>
  <w:num w:numId="14">
    <w:abstractNumId w:val="29"/>
  </w:num>
  <w:num w:numId="15">
    <w:abstractNumId w:val="30"/>
  </w:num>
  <w:num w:numId="16">
    <w:abstractNumId w:val="22"/>
    <w:lvlOverride w:ilvl="0">
      <w:startOverride w:val="1"/>
    </w:lvlOverride>
  </w:num>
  <w:num w:numId="17">
    <w:abstractNumId w:val="22"/>
    <w:lvlOverride w:ilvl="0">
      <w:startOverride w:val="1"/>
    </w:lvlOverride>
  </w:num>
  <w:num w:numId="18">
    <w:abstractNumId w:val="1"/>
  </w:num>
  <w:num w:numId="19">
    <w:abstractNumId w:val="26"/>
  </w:num>
  <w:num w:numId="20">
    <w:abstractNumId w:val="7"/>
  </w:num>
  <w:num w:numId="21">
    <w:abstractNumId w:val="22"/>
    <w:lvlOverride w:ilvl="0">
      <w:startOverride w:val="1"/>
    </w:lvlOverride>
  </w:num>
  <w:num w:numId="22">
    <w:abstractNumId w:val="34"/>
  </w:num>
  <w:num w:numId="23">
    <w:abstractNumId w:val="37"/>
  </w:num>
  <w:num w:numId="24">
    <w:abstractNumId w:val="22"/>
    <w:lvlOverride w:ilvl="0">
      <w:startOverride w:val="1"/>
    </w:lvlOverride>
  </w:num>
  <w:num w:numId="25">
    <w:abstractNumId w:val="22"/>
    <w:lvlOverride w:ilvl="0">
      <w:startOverride w:val="1"/>
    </w:lvlOverride>
  </w:num>
  <w:num w:numId="26">
    <w:abstractNumId w:val="22"/>
  </w:num>
  <w:num w:numId="27">
    <w:abstractNumId w:val="22"/>
    <w:lvlOverride w:ilvl="0">
      <w:startOverride w:val="1"/>
    </w:lvlOverride>
  </w:num>
  <w:num w:numId="28">
    <w:abstractNumId w:val="22"/>
    <w:lvlOverride w:ilvl="0">
      <w:startOverride w:val="1"/>
    </w:lvlOverride>
  </w:num>
  <w:num w:numId="29">
    <w:abstractNumId w:val="4"/>
  </w:num>
  <w:num w:numId="30">
    <w:abstractNumId w:val="36"/>
  </w:num>
  <w:num w:numId="31">
    <w:abstractNumId w:val="35"/>
    <w:lvlOverride w:ilvl="0">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1"/>
  </w:num>
  <w:num w:numId="35">
    <w:abstractNumId w:val="32"/>
  </w:num>
  <w:num w:numId="36">
    <w:abstractNumId w:val="33"/>
  </w:num>
  <w:num w:numId="37">
    <w:abstractNumId w:val="27"/>
  </w:num>
  <w:num w:numId="38">
    <w:abstractNumId w:val="38"/>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8"/>
  </w:num>
  <w:num w:numId="45">
    <w:abstractNumId w:val="22"/>
    <w:lvlOverride w:ilvl="0">
      <w:startOverride w:val="1"/>
    </w:lvlOverride>
  </w:num>
  <w:num w:numId="46">
    <w:abstractNumId w:val="2"/>
  </w:num>
  <w:num w:numId="47">
    <w:abstractNumId w:val="12"/>
  </w:num>
  <w:num w:numId="48">
    <w:abstractNumId w:val="5"/>
  </w:num>
  <w:num w:numId="49">
    <w:abstractNumId w:val="31"/>
  </w:num>
  <w:num w:numId="50">
    <w:abstractNumId w:val="14"/>
  </w:num>
  <w:num w:numId="51">
    <w:abstractNumId w:val="23"/>
  </w:num>
  <w:num w:numId="52">
    <w:abstractNumId w:val="22"/>
    <w:lvlOverride w:ilvl="0">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6"/>
  </w:num>
  <w:num w:numId="57">
    <w:abstractNumId w:val="15"/>
  </w:num>
  <w:num w:numId="58">
    <w:abstractNumId w:val="3"/>
  </w:num>
  <w:num w:numId="59">
    <w:abstractNumId w:val="19"/>
  </w:num>
  <w:num w:numId="60">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trL95fgL1zKwo4I9HULZ7CGszCQ=" w:salt="Dmy4ivUnOPRfU9aDH0+ZyQ=="/>
  <w:defaultTabStop w:val="709"/>
  <w:hyphenationZone w:val="567"/>
  <w:doNotHyphenateCaps/>
  <w:characterSpacingControl w:val="doNotCompress"/>
  <w:hdrShapeDefaults>
    <o:shapedefaults v:ext="edit" spidmax="20481">
      <o:colormru v:ext="edit" colors="#2d4491,#28358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52"/>
    <w:rsid w:val="0000108D"/>
    <w:rsid w:val="0000125B"/>
    <w:rsid w:val="000018E5"/>
    <w:rsid w:val="00003066"/>
    <w:rsid w:val="00003AEB"/>
    <w:rsid w:val="000055FE"/>
    <w:rsid w:val="000057A4"/>
    <w:rsid w:val="00005941"/>
    <w:rsid w:val="0001179B"/>
    <w:rsid w:val="00011F51"/>
    <w:rsid w:val="00012A14"/>
    <w:rsid w:val="000134E9"/>
    <w:rsid w:val="000141D6"/>
    <w:rsid w:val="0001488F"/>
    <w:rsid w:val="00014A4B"/>
    <w:rsid w:val="0001774B"/>
    <w:rsid w:val="000214DE"/>
    <w:rsid w:val="000218D6"/>
    <w:rsid w:val="00022F80"/>
    <w:rsid w:val="0002436D"/>
    <w:rsid w:val="000259C1"/>
    <w:rsid w:val="00027154"/>
    <w:rsid w:val="000274DB"/>
    <w:rsid w:val="0002767B"/>
    <w:rsid w:val="00027950"/>
    <w:rsid w:val="00030909"/>
    <w:rsid w:val="00030E3E"/>
    <w:rsid w:val="00031550"/>
    <w:rsid w:val="00031CD6"/>
    <w:rsid w:val="0003384B"/>
    <w:rsid w:val="0003444F"/>
    <w:rsid w:val="00034E6C"/>
    <w:rsid w:val="00036175"/>
    <w:rsid w:val="000361B3"/>
    <w:rsid w:val="00036907"/>
    <w:rsid w:val="0003741B"/>
    <w:rsid w:val="0004082A"/>
    <w:rsid w:val="000410E9"/>
    <w:rsid w:val="00042EF2"/>
    <w:rsid w:val="0004389E"/>
    <w:rsid w:val="000439DE"/>
    <w:rsid w:val="0004481F"/>
    <w:rsid w:val="00045FB1"/>
    <w:rsid w:val="00045FB6"/>
    <w:rsid w:val="00047DD8"/>
    <w:rsid w:val="00050083"/>
    <w:rsid w:val="00051992"/>
    <w:rsid w:val="00051BC9"/>
    <w:rsid w:val="000541D5"/>
    <w:rsid w:val="0005505F"/>
    <w:rsid w:val="000561C0"/>
    <w:rsid w:val="000576D7"/>
    <w:rsid w:val="000606DD"/>
    <w:rsid w:val="00060F72"/>
    <w:rsid w:val="00062997"/>
    <w:rsid w:val="00062EAD"/>
    <w:rsid w:val="00064637"/>
    <w:rsid w:val="00070974"/>
    <w:rsid w:val="00071CE4"/>
    <w:rsid w:val="0007474E"/>
    <w:rsid w:val="00075476"/>
    <w:rsid w:val="00075A90"/>
    <w:rsid w:val="00080976"/>
    <w:rsid w:val="00081CB2"/>
    <w:rsid w:val="000829E9"/>
    <w:rsid w:val="00084648"/>
    <w:rsid w:val="00085B53"/>
    <w:rsid w:val="00085CB4"/>
    <w:rsid w:val="00085E19"/>
    <w:rsid w:val="00086B36"/>
    <w:rsid w:val="000878D1"/>
    <w:rsid w:val="00087A2B"/>
    <w:rsid w:val="00090459"/>
    <w:rsid w:val="00091A20"/>
    <w:rsid w:val="00092075"/>
    <w:rsid w:val="000925FF"/>
    <w:rsid w:val="000932E0"/>
    <w:rsid w:val="00094A6B"/>
    <w:rsid w:val="00094DD3"/>
    <w:rsid w:val="000951B7"/>
    <w:rsid w:val="00095B96"/>
    <w:rsid w:val="00095EDE"/>
    <w:rsid w:val="00096F2D"/>
    <w:rsid w:val="000A0199"/>
    <w:rsid w:val="000A0671"/>
    <w:rsid w:val="000A1837"/>
    <w:rsid w:val="000A2127"/>
    <w:rsid w:val="000A3313"/>
    <w:rsid w:val="000A3561"/>
    <w:rsid w:val="000A3888"/>
    <w:rsid w:val="000A436F"/>
    <w:rsid w:val="000A58B6"/>
    <w:rsid w:val="000A7B53"/>
    <w:rsid w:val="000B12AB"/>
    <w:rsid w:val="000B275C"/>
    <w:rsid w:val="000B2DB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9CA"/>
    <w:rsid w:val="000D6BCE"/>
    <w:rsid w:val="000D76EE"/>
    <w:rsid w:val="000E00A1"/>
    <w:rsid w:val="000E0CE1"/>
    <w:rsid w:val="000E2124"/>
    <w:rsid w:val="000E4841"/>
    <w:rsid w:val="000E4D6A"/>
    <w:rsid w:val="000E5A66"/>
    <w:rsid w:val="000F2386"/>
    <w:rsid w:val="000F30B4"/>
    <w:rsid w:val="000F36BC"/>
    <w:rsid w:val="000F43D1"/>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D39"/>
    <w:rsid w:val="0012451C"/>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31AE"/>
    <w:rsid w:val="00143B87"/>
    <w:rsid w:val="0014501C"/>
    <w:rsid w:val="00145BEB"/>
    <w:rsid w:val="00147252"/>
    <w:rsid w:val="00147B5A"/>
    <w:rsid w:val="001501FE"/>
    <w:rsid w:val="00152987"/>
    <w:rsid w:val="00153B8A"/>
    <w:rsid w:val="00153DE9"/>
    <w:rsid w:val="0015544F"/>
    <w:rsid w:val="0015624B"/>
    <w:rsid w:val="00157C5D"/>
    <w:rsid w:val="00161F32"/>
    <w:rsid w:val="001632B2"/>
    <w:rsid w:val="00163C2A"/>
    <w:rsid w:val="001641BB"/>
    <w:rsid w:val="0016552B"/>
    <w:rsid w:val="00165C12"/>
    <w:rsid w:val="00165D8E"/>
    <w:rsid w:val="00166895"/>
    <w:rsid w:val="001678BB"/>
    <w:rsid w:val="00167A86"/>
    <w:rsid w:val="001722BD"/>
    <w:rsid w:val="001725A5"/>
    <w:rsid w:val="00172681"/>
    <w:rsid w:val="001728BA"/>
    <w:rsid w:val="00172AC3"/>
    <w:rsid w:val="00172F13"/>
    <w:rsid w:val="00174FD9"/>
    <w:rsid w:val="001758D1"/>
    <w:rsid w:val="00175B4C"/>
    <w:rsid w:val="0017616A"/>
    <w:rsid w:val="001762D4"/>
    <w:rsid w:val="00181B3B"/>
    <w:rsid w:val="00183178"/>
    <w:rsid w:val="001843B5"/>
    <w:rsid w:val="00184B0D"/>
    <w:rsid w:val="001850D9"/>
    <w:rsid w:val="0018532A"/>
    <w:rsid w:val="001875BE"/>
    <w:rsid w:val="00190B8C"/>
    <w:rsid w:val="001931BC"/>
    <w:rsid w:val="001937AD"/>
    <w:rsid w:val="00193908"/>
    <w:rsid w:val="00194117"/>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B719B"/>
    <w:rsid w:val="001C186A"/>
    <w:rsid w:val="001C1A59"/>
    <w:rsid w:val="001C2C18"/>
    <w:rsid w:val="001C2D4D"/>
    <w:rsid w:val="001C793F"/>
    <w:rsid w:val="001C7C4A"/>
    <w:rsid w:val="001D17BE"/>
    <w:rsid w:val="001D2C22"/>
    <w:rsid w:val="001D4440"/>
    <w:rsid w:val="001D4550"/>
    <w:rsid w:val="001D4D4E"/>
    <w:rsid w:val="001E2DBA"/>
    <w:rsid w:val="001E3B84"/>
    <w:rsid w:val="001E450B"/>
    <w:rsid w:val="001E5D1C"/>
    <w:rsid w:val="001E6096"/>
    <w:rsid w:val="001F231A"/>
    <w:rsid w:val="001F2E67"/>
    <w:rsid w:val="001F3032"/>
    <w:rsid w:val="001F44A4"/>
    <w:rsid w:val="001F44DA"/>
    <w:rsid w:val="001F7F86"/>
    <w:rsid w:val="0020025C"/>
    <w:rsid w:val="00200340"/>
    <w:rsid w:val="002016BF"/>
    <w:rsid w:val="00201DC6"/>
    <w:rsid w:val="00202164"/>
    <w:rsid w:val="002047CD"/>
    <w:rsid w:val="002051F1"/>
    <w:rsid w:val="0020582D"/>
    <w:rsid w:val="00205869"/>
    <w:rsid w:val="0021025C"/>
    <w:rsid w:val="002107B8"/>
    <w:rsid w:val="002119A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E9C"/>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B9"/>
    <w:rsid w:val="002458CB"/>
    <w:rsid w:val="002464E4"/>
    <w:rsid w:val="002501CA"/>
    <w:rsid w:val="00250D4C"/>
    <w:rsid w:val="00251048"/>
    <w:rsid w:val="00251806"/>
    <w:rsid w:val="002518E6"/>
    <w:rsid w:val="00251C40"/>
    <w:rsid w:val="00252D09"/>
    <w:rsid w:val="002534F6"/>
    <w:rsid w:val="00255C97"/>
    <w:rsid w:val="00256D8C"/>
    <w:rsid w:val="002578BD"/>
    <w:rsid w:val="00257B23"/>
    <w:rsid w:val="00261D04"/>
    <w:rsid w:val="00261D56"/>
    <w:rsid w:val="00262153"/>
    <w:rsid w:val="002630C3"/>
    <w:rsid w:val="002637FD"/>
    <w:rsid w:val="0026461C"/>
    <w:rsid w:val="002648CE"/>
    <w:rsid w:val="00264EA2"/>
    <w:rsid w:val="00270EBF"/>
    <w:rsid w:val="00271385"/>
    <w:rsid w:val="00271EB8"/>
    <w:rsid w:val="00273A9A"/>
    <w:rsid w:val="00275566"/>
    <w:rsid w:val="00276164"/>
    <w:rsid w:val="002764C5"/>
    <w:rsid w:val="00280613"/>
    <w:rsid w:val="0028084A"/>
    <w:rsid w:val="00281053"/>
    <w:rsid w:val="0028131E"/>
    <w:rsid w:val="00282962"/>
    <w:rsid w:val="0028331F"/>
    <w:rsid w:val="00283F51"/>
    <w:rsid w:val="00284213"/>
    <w:rsid w:val="00286742"/>
    <w:rsid w:val="00286BB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2EC8"/>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8FD"/>
    <w:rsid w:val="002E3F1E"/>
    <w:rsid w:val="002E4454"/>
    <w:rsid w:val="002E4486"/>
    <w:rsid w:val="002E48CA"/>
    <w:rsid w:val="002E63AB"/>
    <w:rsid w:val="002E6926"/>
    <w:rsid w:val="002E733B"/>
    <w:rsid w:val="002F170E"/>
    <w:rsid w:val="002F2259"/>
    <w:rsid w:val="002F2403"/>
    <w:rsid w:val="002F6C5A"/>
    <w:rsid w:val="002F70BE"/>
    <w:rsid w:val="002F7132"/>
    <w:rsid w:val="00301DBC"/>
    <w:rsid w:val="00303D1A"/>
    <w:rsid w:val="00304A71"/>
    <w:rsid w:val="0030524D"/>
    <w:rsid w:val="003056DD"/>
    <w:rsid w:val="00307BFF"/>
    <w:rsid w:val="003110A0"/>
    <w:rsid w:val="00312675"/>
    <w:rsid w:val="00312BBB"/>
    <w:rsid w:val="00313A00"/>
    <w:rsid w:val="00313A1A"/>
    <w:rsid w:val="00313B78"/>
    <w:rsid w:val="00313BF0"/>
    <w:rsid w:val="00313E5B"/>
    <w:rsid w:val="00314013"/>
    <w:rsid w:val="00315746"/>
    <w:rsid w:val="003173C8"/>
    <w:rsid w:val="0032062F"/>
    <w:rsid w:val="00323807"/>
    <w:rsid w:val="00323D01"/>
    <w:rsid w:val="003254C3"/>
    <w:rsid w:val="00325E95"/>
    <w:rsid w:val="00325F48"/>
    <w:rsid w:val="00326346"/>
    <w:rsid w:val="00326AD4"/>
    <w:rsid w:val="00331244"/>
    <w:rsid w:val="003323A8"/>
    <w:rsid w:val="00332D8D"/>
    <w:rsid w:val="00332DBE"/>
    <w:rsid w:val="00333000"/>
    <w:rsid w:val="0033477E"/>
    <w:rsid w:val="00335020"/>
    <w:rsid w:val="00335739"/>
    <w:rsid w:val="00335792"/>
    <w:rsid w:val="003359A8"/>
    <w:rsid w:val="00336553"/>
    <w:rsid w:val="00336BEF"/>
    <w:rsid w:val="003377A6"/>
    <w:rsid w:val="003411EA"/>
    <w:rsid w:val="00341B25"/>
    <w:rsid w:val="00342204"/>
    <w:rsid w:val="00342215"/>
    <w:rsid w:val="003427FD"/>
    <w:rsid w:val="00342E07"/>
    <w:rsid w:val="0034387B"/>
    <w:rsid w:val="003439EA"/>
    <w:rsid w:val="00344A3D"/>
    <w:rsid w:val="0034590E"/>
    <w:rsid w:val="00345950"/>
    <w:rsid w:val="00346DAD"/>
    <w:rsid w:val="0034721E"/>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0D1E"/>
    <w:rsid w:val="0037116A"/>
    <w:rsid w:val="00372176"/>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C1E"/>
    <w:rsid w:val="0039168D"/>
    <w:rsid w:val="003917B3"/>
    <w:rsid w:val="00393455"/>
    <w:rsid w:val="0039409B"/>
    <w:rsid w:val="003972C9"/>
    <w:rsid w:val="003A3B8A"/>
    <w:rsid w:val="003A4923"/>
    <w:rsid w:val="003A5A08"/>
    <w:rsid w:val="003A74E7"/>
    <w:rsid w:val="003A7F9C"/>
    <w:rsid w:val="003B0444"/>
    <w:rsid w:val="003B0BAC"/>
    <w:rsid w:val="003B381A"/>
    <w:rsid w:val="003B47AF"/>
    <w:rsid w:val="003B5491"/>
    <w:rsid w:val="003C079C"/>
    <w:rsid w:val="003C0B08"/>
    <w:rsid w:val="003C1C8D"/>
    <w:rsid w:val="003C2908"/>
    <w:rsid w:val="003C2A20"/>
    <w:rsid w:val="003C462F"/>
    <w:rsid w:val="003C54BD"/>
    <w:rsid w:val="003C6F09"/>
    <w:rsid w:val="003D0DD6"/>
    <w:rsid w:val="003D2870"/>
    <w:rsid w:val="003D423A"/>
    <w:rsid w:val="003D43A7"/>
    <w:rsid w:val="003D4C0C"/>
    <w:rsid w:val="003D503B"/>
    <w:rsid w:val="003D605E"/>
    <w:rsid w:val="003D665B"/>
    <w:rsid w:val="003D71BE"/>
    <w:rsid w:val="003D72FD"/>
    <w:rsid w:val="003E0B98"/>
    <w:rsid w:val="003E0F84"/>
    <w:rsid w:val="003E3118"/>
    <w:rsid w:val="003E3ACA"/>
    <w:rsid w:val="003E63C3"/>
    <w:rsid w:val="003E6C7E"/>
    <w:rsid w:val="003E6F13"/>
    <w:rsid w:val="003E72C8"/>
    <w:rsid w:val="003F10BE"/>
    <w:rsid w:val="003F1192"/>
    <w:rsid w:val="003F1873"/>
    <w:rsid w:val="003F25BA"/>
    <w:rsid w:val="003F27B5"/>
    <w:rsid w:val="003F2CA8"/>
    <w:rsid w:val="003F2E45"/>
    <w:rsid w:val="003F3FF4"/>
    <w:rsid w:val="003F54EE"/>
    <w:rsid w:val="003F6BFF"/>
    <w:rsid w:val="003F7987"/>
    <w:rsid w:val="003F7C2A"/>
    <w:rsid w:val="004000AE"/>
    <w:rsid w:val="00402CED"/>
    <w:rsid w:val="00403086"/>
    <w:rsid w:val="004034D0"/>
    <w:rsid w:val="004040FF"/>
    <w:rsid w:val="00404F39"/>
    <w:rsid w:val="00406587"/>
    <w:rsid w:val="00407C05"/>
    <w:rsid w:val="00410240"/>
    <w:rsid w:val="00411146"/>
    <w:rsid w:val="0041198D"/>
    <w:rsid w:val="00411C55"/>
    <w:rsid w:val="00412C4C"/>
    <w:rsid w:val="00413DB4"/>
    <w:rsid w:val="0041429A"/>
    <w:rsid w:val="00415169"/>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ED9"/>
    <w:rsid w:val="00452D64"/>
    <w:rsid w:val="00453073"/>
    <w:rsid w:val="00453F26"/>
    <w:rsid w:val="00454832"/>
    <w:rsid w:val="0045503F"/>
    <w:rsid w:val="00460A2A"/>
    <w:rsid w:val="00461DE4"/>
    <w:rsid w:val="0046283C"/>
    <w:rsid w:val="004628D2"/>
    <w:rsid w:val="0046376D"/>
    <w:rsid w:val="00463B19"/>
    <w:rsid w:val="004645E6"/>
    <w:rsid w:val="00464717"/>
    <w:rsid w:val="00466AE5"/>
    <w:rsid w:val="0046777F"/>
    <w:rsid w:val="00467BA5"/>
    <w:rsid w:val="00470ABD"/>
    <w:rsid w:val="004725BC"/>
    <w:rsid w:val="00472EAE"/>
    <w:rsid w:val="00473585"/>
    <w:rsid w:val="00474C5A"/>
    <w:rsid w:val="004750E6"/>
    <w:rsid w:val="00475B8E"/>
    <w:rsid w:val="00475DBC"/>
    <w:rsid w:val="00476014"/>
    <w:rsid w:val="00477378"/>
    <w:rsid w:val="00480AB6"/>
    <w:rsid w:val="00481135"/>
    <w:rsid w:val="004814BB"/>
    <w:rsid w:val="0048203C"/>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2D9A"/>
    <w:rsid w:val="004A36BA"/>
    <w:rsid w:val="004A50CD"/>
    <w:rsid w:val="004A5898"/>
    <w:rsid w:val="004A65CD"/>
    <w:rsid w:val="004A694D"/>
    <w:rsid w:val="004B0787"/>
    <w:rsid w:val="004B07B6"/>
    <w:rsid w:val="004B0CB1"/>
    <w:rsid w:val="004B21AB"/>
    <w:rsid w:val="004B3688"/>
    <w:rsid w:val="004B6678"/>
    <w:rsid w:val="004B71C7"/>
    <w:rsid w:val="004B7356"/>
    <w:rsid w:val="004C0882"/>
    <w:rsid w:val="004C1592"/>
    <w:rsid w:val="004C2CD3"/>
    <w:rsid w:val="004C35BC"/>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500BE3"/>
    <w:rsid w:val="00500F36"/>
    <w:rsid w:val="00501D61"/>
    <w:rsid w:val="00503A3E"/>
    <w:rsid w:val="00503F8F"/>
    <w:rsid w:val="00505BBA"/>
    <w:rsid w:val="005077F7"/>
    <w:rsid w:val="005109BB"/>
    <w:rsid w:val="00510A9D"/>
    <w:rsid w:val="005132EC"/>
    <w:rsid w:val="00516783"/>
    <w:rsid w:val="00517653"/>
    <w:rsid w:val="00517EF8"/>
    <w:rsid w:val="0052076A"/>
    <w:rsid w:val="00520A34"/>
    <w:rsid w:val="00520A57"/>
    <w:rsid w:val="00521AF8"/>
    <w:rsid w:val="00521C7C"/>
    <w:rsid w:val="00522586"/>
    <w:rsid w:val="00522A87"/>
    <w:rsid w:val="00522AA8"/>
    <w:rsid w:val="00522D8E"/>
    <w:rsid w:val="00523668"/>
    <w:rsid w:val="005252DD"/>
    <w:rsid w:val="005258B8"/>
    <w:rsid w:val="00525EBD"/>
    <w:rsid w:val="005344E2"/>
    <w:rsid w:val="00535477"/>
    <w:rsid w:val="005356B4"/>
    <w:rsid w:val="005360C2"/>
    <w:rsid w:val="0053723A"/>
    <w:rsid w:val="00537811"/>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30B6"/>
    <w:rsid w:val="00554A05"/>
    <w:rsid w:val="00554A69"/>
    <w:rsid w:val="00554AF4"/>
    <w:rsid w:val="00554E67"/>
    <w:rsid w:val="005561B2"/>
    <w:rsid w:val="0056154F"/>
    <w:rsid w:val="0056220E"/>
    <w:rsid w:val="0056462B"/>
    <w:rsid w:val="00564875"/>
    <w:rsid w:val="0056501C"/>
    <w:rsid w:val="00565663"/>
    <w:rsid w:val="00571779"/>
    <w:rsid w:val="00574250"/>
    <w:rsid w:val="00574709"/>
    <w:rsid w:val="00574D0D"/>
    <w:rsid w:val="005750B3"/>
    <w:rsid w:val="00575694"/>
    <w:rsid w:val="005765C0"/>
    <w:rsid w:val="005778DE"/>
    <w:rsid w:val="00580B3F"/>
    <w:rsid w:val="0058129A"/>
    <w:rsid w:val="00581BF2"/>
    <w:rsid w:val="00583D1C"/>
    <w:rsid w:val="00585394"/>
    <w:rsid w:val="00586027"/>
    <w:rsid w:val="0058703B"/>
    <w:rsid w:val="00587601"/>
    <w:rsid w:val="00591E6E"/>
    <w:rsid w:val="0059238B"/>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1169"/>
    <w:rsid w:val="005C11AB"/>
    <w:rsid w:val="005C1898"/>
    <w:rsid w:val="005C3301"/>
    <w:rsid w:val="005C354F"/>
    <w:rsid w:val="005C3F06"/>
    <w:rsid w:val="005D0258"/>
    <w:rsid w:val="005D0CF5"/>
    <w:rsid w:val="005D255E"/>
    <w:rsid w:val="005D3C8A"/>
    <w:rsid w:val="005D4A86"/>
    <w:rsid w:val="005D5160"/>
    <w:rsid w:val="005E0F86"/>
    <w:rsid w:val="005E22A8"/>
    <w:rsid w:val="005E479A"/>
    <w:rsid w:val="005E53BB"/>
    <w:rsid w:val="005E55E4"/>
    <w:rsid w:val="005E5606"/>
    <w:rsid w:val="005E58F1"/>
    <w:rsid w:val="005E647F"/>
    <w:rsid w:val="005F19F8"/>
    <w:rsid w:val="005F25CE"/>
    <w:rsid w:val="005F32A4"/>
    <w:rsid w:val="005F42B7"/>
    <w:rsid w:val="005F60DC"/>
    <w:rsid w:val="005F70E5"/>
    <w:rsid w:val="005F72A9"/>
    <w:rsid w:val="005F7561"/>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7B4"/>
    <w:rsid w:val="00612A31"/>
    <w:rsid w:val="00613373"/>
    <w:rsid w:val="00613DCE"/>
    <w:rsid w:val="0061404E"/>
    <w:rsid w:val="00614F25"/>
    <w:rsid w:val="00615AA7"/>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0F17"/>
    <w:rsid w:val="00651EFA"/>
    <w:rsid w:val="006520E9"/>
    <w:rsid w:val="006521F3"/>
    <w:rsid w:val="006524D5"/>
    <w:rsid w:val="00652BBD"/>
    <w:rsid w:val="00652D1A"/>
    <w:rsid w:val="006537A8"/>
    <w:rsid w:val="006558B3"/>
    <w:rsid w:val="0065595F"/>
    <w:rsid w:val="00656800"/>
    <w:rsid w:val="00657197"/>
    <w:rsid w:val="00657F31"/>
    <w:rsid w:val="00660165"/>
    <w:rsid w:val="006606CC"/>
    <w:rsid w:val="006609E4"/>
    <w:rsid w:val="00662557"/>
    <w:rsid w:val="006630CF"/>
    <w:rsid w:val="006638D4"/>
    <w:rsid w:val="00663ADD"/>
    <w:rsid w:val="0066413E"/>
    <w:rsid w:val="00665103"/>
    <w:rsid w:val="00665ECF"/>
    <w:rsid w:val="00667831"/>
    <w:rsid w:val="0067017D"/>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9FB"/>
    <w:rsid w:val="00690C50"/>
    <w:rsid w:val="006911C0"/>
    <w:rsid w:val="0069142B"/>
    <w:rsid w:val="006914AB"/>
    <w:rsid w:val="0069201D"/>
    <w:rsid w:val="00693A98"/>
    <w:rsid w:val="00694C31"/>
    <w:rsid w:val="0069578B"/>
    <w:rsid w:val="00696525"/>
    <w:rsid w:val="00696C23"/>
    <w:rsid w:val="006971D5"/>
    <w:rsid w:val="00697A61"/>
    <w:rsid w:val="006A02D4"/>
    <w:rsid w:val="006A15F3"/>
    <w:rsid w:val="006A1CC4"/>
    <w:rsid w:val="006A22D1"/>
    <w:rsid w:val="006A2CA2"/>
    <w:rsid w:val="006A3DCF"/>
    <w:rsid w:val="006A3FD4"/>
    <w:rsid w:val="006A683A"/>
    <w:rsid w:val="006A70DD"/>
    <w:rsid w:val="006B121F"/>
    <w:rsid w:val="006B1613"/>
    <w:rsid w:val="006B194A"/>
    <w:rsid w:val="006B2349"/>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543B"/>
    <w:rsid w:val="00706613"/>
    <w:rsid w:val="00706E1F"/>
    <w:rsid w:val="00710011"/>
    <w:rsid w:val="007102FB"/>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25C2"/>
    <w:rsid w:val="007239C6"/>
    <w:rsid w:val="00724002"/>
    <w:rsid w:val="00724237"/>
    <w:rsid w:val="00724C18"/>
    <w:rsid w:val="00724EB0"/>
    <w:rsid w:val="00725339"/>
    <w:rsid w:val="00725D6E"/>
    <w:rsid w:val="00730944"/>
    <w:rsid w:val="00730A7C"/>
    <w:rsid w:val="00730C40"/>
    <w:rsid w:val="00731E13"/>
    <w:rsid w:val="0073272F"/>
    <w:rsid w:val="00733017"/>
    <w:rsid w:val="00733991"/>
    <w:rsid w:val="007341F5"/>
    <w:rsid w:val="00735606"/>
    <w:rsid w:val="00741121"/>
    <w:rsid w:val="0074171D"/>
    <w:rsid w:val="00744401"/>
    <w:rsid w:val="007448F4"/>
    <w:rsid w:val="007458C0"/>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83E"/>
    <w:rsid w:val="00760298"/>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44EF"/>
    <w:rsid w:val="007778F9"/>
    <w:rsid w:val="0078326D"/>
    <w:rsid w:val="00783649"/>
    <w:rsid w:val="00783D7D"/>
    <w:rsid w:val="00783E2C"/>
    <w:rsid w:val="00784592"/>
    <w:rsid w:val="00784EA6"/>
    <w:rsid w:val="00785728"/>
    <w:rsid w:val="00785DFF"/>
    <w:rsid w:val="007917E3"/>
    <w:rsid w:val="00791EB4"/>
    <w:rsid w:val="0079266D"/>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33D"/>
    <w:rsid w:val="007C0A05"/>
    <w:rsid w:val="007C20BD"/>
    <w:rsid w:val="007C2E4E"/>
    <w:rsid w:val="007C379B"/>
    <w:rsid w:val="007C49C0"/>
    <w:rsid w:val="007C7233"/>
    <w:rsid w:val="007C760C"/>
    <w:rsid w:val="007C7AED"/>
    <w:rsid w:val="007C7E73"/>
    <w:rsid w:val="007D1153"/>
    <w:rsid w:val="007D31AB"/>
    <w:rsid w:val="007D44F3"/>
    <w:rsid w:val="007D62BA"/>
    <w:rsid w:val="007D6BBE"/>
    <w:rsid w:val="007D764C"/>
    <w:rsid w:val="007E0C39"/>
    <w:rsid w:val="007E1A30"/>
    <w:rsid w:val="007E2C45"/>
    <w:rsid w:val="007E4BD2"/>
    <w:rsid w:val="007E4F35"/>
    <w:rsid w:val="007E5DFF"/>
    <w:rsid w:val="007E7544"/>
    <w:rsid w:val="007E7D4B"/>
    <w:rsid w:val="007E7DD4"/>
    <w:rsid w:val="007F05BF"/>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359C"/>
    <w:rsid w:val="0080476E"/>
    <w:rsid w:val="0080527B"/>
    <w:rsid w:val="00806044"/>
    <w:rsid w:val="00806972"/>
    <w:rsid w:val="008075B5"/>
    <w:rsid w:val="00807866"/>
    <w:rsid w:val="008100C9"/>
    <w:rsid w:val="00811530"/>
    <w:rsid w:val="00812403"/>
    <w:rsid w:val="00812FD7"/>
    <w:rsid w:val="0081386E"/>
    <w:rsid w:val="00813D61"/>
    <w:rsid w:val="00815CA3"/>
    <w:rsid w:val="00815EE6"/>
    <w:rsid w:val="00817D2D"/>
    <w:rsid w:val="0082001C"/>
    <w:rsid w:val="008203F7"/>
    <w:rsid w:val="00821747"/>
    <w:rsid w:val="00822DBF"/>
    <w:rsid w:val="008241A9"/>
    <w:rsid w:val="00824DAE"/>
    <w:rsid w:val="008273F8"/>
    <w:rsid w:val="00827439"/>
    <w:rsid w:val="00827B0D"/>
    <w:rsid w:val="00830123"/>
    <w:rsid w:val="00831077"/>
    <w:rsid w:val="00832188"/>
    <w:rsid w:val="00833619"/>
    <w:rsid w:val="0083497C"/>
    <w:rsid w:val="00835098"/>
    <w:rsid w:val="00835BFB"/>
    <w:rsid w:val="008363AE"/>
    <w:rsid w:val="0084121D"/>
    <w:rsid w:val="00841734"/>
    <w:rsid w:val="008421A0"/>
    <w:rsid w:val="008429C5"/>
    <w:rsid w:val="00846484"/>
    <w:rsid w:val="00846E62"/>
    <w:rsid w:val="00850A52"/>
    <w:rsid w:val="00850B68"/>
    <w:rsid w:val="00851CCD"/>
    <w:rsid w:val="0085262F"/>
    <w:rsid w:val="00852854"/>
    <w:rsid w:val="00852C03"/>
    <w:rsid w:val="00854A37"/>
    <w:rsid w:val="008550A0"/>
    <w:rsid w:val="0085590C"/>
    <w:rsid w:val="008560D7"/>
    <w:rsid w:val="008566F9"/>
    <w:rsid w:val="008603ED"/>
    <w:rsid w:val="00861027"/>
    <w:rsid w:val="00861321"/>
    <w:rsid w:val="00862584"/>
    <w:rsid w:val="00862679"/>
    <w:rsid w:val="008631FE"/>
    <w:rsid w:val="00863C6B"/>
    <w:rsid w:val="00863C6E"/>
    <w:rsid w:val="00864AF2"/>
    <w:rsid w:val="00865E0C"/>
    <w:rsid w:val="00866673"/>
    <w:rsid w:val="00867EC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557F"/>
    <w:rsid w:val="008862B2"/>
    <w:rsid w:val="00886AC0"/>
    <w:rsid w:val="0088759B"/>
    <w:rsid w:val="008878BF"/>
    <w:rsid w:val="00890BE6"/>
    <w:rsid w:val="00891153"/>
    <w:rsid w:val="00893291"/>
    <w:rsid w:val="00893E40"/>
    <w:rsid w:val="00895372"/>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2F9A"/>
    <w:rsid w:val="008B3CCD"/>
    <w:rsid w:val="008B4C28"/>
    <w:rsid w:val="008B50AC"/>
    <w:rsid w:val="008B637C"/>
    <w:rsid w:val="008B6A18"/>
    <w:rsid w:val="008B7DFD"/>
    <w:rsid w:val="008C1F40"/>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22A2"/>
    <w:rsid w:val="008F248D"/>
    <w:rsid w:val="008F321C"/>
    <w:rsid w:val="008F3ED6"/>
    <w:rsid w:val="008F4B2C"/>
    <w:rsid w:val="008F6300"/>
    <w:rsid w:val="00903B8E"/>
    <w:rsid w:val="0090402B"/>
    <w:rsid w:val="009057FF"/>
    <w:rsid w:val="00905F76"/>
    <w:rsid w:val="00907061"/>
    <w:rsid w:val="009122B8"/>
    <w:rsid w:val="0091344E"/>
    <w:rsid w:val="009142D9"/>
    <w:rsid w:val="009158B7"/>
    <w:rsid w:val="00915A84"/>
    <w:rsid w:val="009174A7"/>
    <w:rsid w:val="00922C90"/>
    <w:rsid w:val="0092488D"/>
    <w:rsid w:val="00926225"/>
    <w:rsid w:val="0092674C"/>
    <w:rsid w:val="00926C0D"/>
    <w:rsid w:val="009279DC"/>
    <w:rsid w:val="00927A35"/>
    <w:rsid w:val="009314C2"/>
    <w:rsid w:val="00932B4F"/>
    <w:rsid w:val="00932EA4"/>
    <w:rsid w:val="00933FFE"/>
    <w:rsid w:val="009341E2"/>
    <w:rsid w:val="009347F3"/>
    <w:rsid w:val="00934D8C"/>
    <w:rsid w:val="00934F79"/>
    <w:rsid w:val="00937168"/>
    <w:rsid w:val="009371DC"/>
    <w:rsid w:val="00937E42"/>
    <w:rsid w:val="00940239"/>
    <w:rsid w:val="009403B0"/>
    <w:rsid w:val="00940A63"/>
    <w:rsid w:val="00940A77"/>
    <w:rsid w:val="00940D5E"/>
    <w:rsid w:val="00941096"/>
    <w:rsid w:val="00941B7F"/>
    <w:rsid w:val="00942F7B"/>
    <w:rsid w:val="0094429D"/>
    <w:rsid w:val="00944CE1"/>
    <w:rsid w:val="00944E13"/>
    <w:rsid w:val="00946741"/>
    <w:rsid w:val="00946748"/>
    <w:rsid w:val="00946774"/>
    <w:rsid w:val="009478AE"/>
    <w:rsid w:val="00947CE2"/>
    <w:rsid w:val="009503E5"/>
    <w:rsid w:val="00950DD7"/>
    <w:rsid w:val="00950F71"/>
    <w:rsid w:val="009522AE"/>
    <w:rsid w:val="00955246"/>
    <w:rsid w:val="009558D9"/>
    <w:rsid w:val="00955E7A"/>
    <w:rsid w:val="009560B3"/>
    <w:rsid w:val="00956219"/>
    <w:rsid w:val="0095653D"/>
    <w:rsid w:val="0095745E"/>
    <w:rsid w:val="009605F2"/>
    <w:rsid w:val="00961301"/>
    <w:rsid w:val="00962315"/>
    <w:rsid w:val="00962CEF"/>
    <w:rsid w:val="00962E56"/>
    <w:rsid w:val="009636FC"/>
    <w:rsid w:val="009638F5"/>
    <w:rsid w:val="009646B7"/>
    <w:rsid w:val="00967111"/>
    <w:rsid w:val="009674ED"/>
    <w:rsid w:val="0096757A"/>
    <w:rsid w:val="009676A0"/>
    <w:rsid w:val="00967C9D"/>
    <w:rsid w:val="00967CE2"/>
    <w:rsid w:val="00970BED"/>
    <w:rsid w:val="00970D3F"/>
    <w:rsid w:val="00970DAA"/>
    <w:rsid w:val="009711D4"/>
    <w:rsid w:val="00973431"/>
    <w:rsid w:val="0097606C"/>
    <w:rsid w:val="00977959"/>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3E03"/>
    <w:rsid w:val="009A597F"/>
    <w:rsid w:val="009B05DE"/>
    <w:rsid w:val="009B0AA2"/>
    <w:rsid w:val="009B0C87"/>
    <w:rsid w:val="009B198B"/>
    <w:rsid w:val="009B3C87"/>
    <w:rsid w:val="009B49E5"/>
    <w:rsid w:val="009B4ED4"/>
    <w:rsid w:val="009B5D27"/>
    <w:rsid w:val="009B65C7"/>
    <w:rsid w:val="009B67A5"/>
    <w:rsid w:val="009B6DAC"/>
    <w:rsid w:val="009B6E87"/>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6321"/>
    <w:rsid w:val="009D7118"/>
    <w:rsid w:val="009D7838"/>
    <w:rsid w:val="009D7A75"/>
    <w:rsid w:val="009D7D9E"/>
    <w:rsid w:val="009E0B05"/>
    <w:rsid w:val="009E0D2D"/>
    <w:rsid w:val="009E16CC"/>
    <w:rsid w:val="009E23C0"/>
    <w:rsid w:val="009E2620"/>
    <w:rsid w:val="009E3D2D"/>
    <w:rsid w:val="009E4875"/>
    <w:rsid w:val="009E685C"/>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CBE"/>
    <w:rsid w:val="00A112CA"/>
    <w:rsid w:val="00A11305"/>
    <w:rsid w:val="00A1159D"/>
    <w:rsid w:val="00A122C0"/>
    <w:rsid w:val="00A1326E"/>
    <w:rsid w:val="00A15A65"/>
    <w:rsid w:val="00A17066"/>
    <w:rsid w:val="00A17582"/>
    <w:rsid w:val="00A204FC"/>
    <w:rsid w:val="00A20887"/>
    <w:rsid w:val="00A21734"/>
    <w:rsid w:val="00A21A30"/>
    <w:rsid w:val="00A23A63"/>
    <w:rsid w:val="00A23B5A"/>
    <w:rsid w:val="00A24283"/>
    <w:rsid w:val="00A243E4"/>
    <w:rsid w:val="00A24E85"/>
    <w:rsid w:val="00A258C9"/>
    <w:rsid w:val="00A260DB"/>
    <w:rsid w:val="00A27054"/>
    <w:rsid w:val="00A27908"/>
    <w:rsid w:val="00A30E7B"/>
    <w:rsid w:val="00A31C14"/>
    <w:rsid w:val="00A32D2C"/>
    <w:rsid w:val="00A33DE3"/>
    <w:rsid w:val="00A346F6"/>
    <w:rsid w:val="00A359DF"/>
    <w:rsid w:val="00A36A26"/>
    <w:rsid w:val="00A40272"/>
    <w:rsid w:val="00A415B5"/>
    <w:rsid w:val="00A44C0B"/>
    <w:rsid w:val="00A45377"/>
    <w:rsid w:val="00A4572B"/>
    <w:rsid w:val="00A46D2E"/>
    <w:rsid w:val="00A46D5E"/>
    <w:rsid w:val="00A54514"/>
    <w:rsid w:val="00A55BB1"/>
    <w:rsid w:val="00A564CD"/>
    <w:rsid w:val="00A60736"/>
    <w:rsid w:val="00A60BB0"/>
    <w:rsid w:val="00A60E64"/>
    <w:rsid w:val="00A60F50"/>
    <w:rsid w:val="00A61009"/>
    <w:rsid w:val="00A613ED"/>
    <w:rsid w:val="00A61EF6"/>
    <w:rsid w:val="00A62956"/>
    <w:rsid w:val="00A63852"/>
    <w:rsid w:val="00A63BA9"/>
    <w:rsid w:val="00A63C96"/>
    <w:rsid w:val="00A6523E"/>
    <w:rsid w:val="00A65805"/>
    <w:rsid w:val="00A668A6"/>
    <w:rsid w:val="00A66B31"/>
    <w:rsid w:val="00A6720D"/>
    <w:rsid w:val="00A7058D"/>
    <w:rsid w:val="00A70C48"/>
    <w:rsid w:val="00A70EE6"/>
    <w:rsid w:val="00A7120F"/>
    <w:rsid w:val="00A72199"/>
    <w:rsid w:val="00A72AAF"/>
    <w:rsid w:val="00A72D67"/>
    <w:rsid w:val="00A734FE"/>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DA9"/>
    <w:rsid w:val="00A95E26"/>
    <w:rsid w:val="00A976C2"/>
    <w:rsid w:val="00AA003B"/>
    <w:rsid w:val="00AA00F2"/>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7020"/>
    <w:rsid w:val="00AF0F65"/>
    <w:rsid w:val="00AF1DEE"/>
    <w:rsid w:val="00AF1E87"/>
    <w:rsid w:val="00AF1E94"/>
    <w:rsid w:val="00AF5CD8"/>
    <w:rsid w:val="00AF6538"/>
    <w:rsid w:val="00AF7534"/>
    <w:rsid w:val="00B005C3"/>
    <w:rsid w:val="00B02DFC"/>
    <w:rsid w:val="00B050C3"/>
    <w:rsid w:val="00B0536C"/>
    <w:rsid w:val="00B05B25"/>
    <w:rsid w:val="00B072D5"/>
    <w:rsid w:val="00B106A0"/>
    <w:rsid w:val="00B10A7D"/>
    <w:rsid w:val="00B10D13"/>
    <w:rsid w:val="00B10D3B"/>
    <w:rsid w:val="00B11C75"/>
    <w:rsid w:val="00B12945"/>
    <w:rsid w:val="00B12BC8"/>
    <w:rsid w:val="00B12C1E"/>
    <w:rsid w:val="00B14B3A"/>
    <w:rsid w:val="00B1554E"/>
    <w:rsid w:val="00B176CF"/>
    <w:rsid w:val="00B17DC8"/>
    <w:rsid w:val="00B17EDC"/>
    <w:rsid w:val="00B17F88"/>
    <w:rsid w:val="00B20819"/>
    <w:rsid w:val="00B21DB9"/>
    <w:rsid w:val="00B22277"/>
    <w:rsid w:val="00B2470A"/>
    <w:rsid w:val="00B24CF5"/>
    <w:rsid w:val="00B25023"/>
    <w:rsid w:val="00B2659C"/>
    <w:rsid w:val="00B26BD2"/>
    <w:rsid w:val="00B26FD7"/>
    <w:rsid w:val="00B270AB"/>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19E4"/>
    <w:rsid w:val="00B61C6F"/>
    <w:rsid w:val="00B61D0B"/>
    <w:rsid w:val="00B62CB1"/>
    <w:rsid w:val="00B62DEF"/>
    <w:rsid w:val="00B63340"/>
    <w:rsid w:val="00B63341"/>
    <w:rsid w:val="00B6443B"/>
    <w:rsid w:val="00B64CF3"/>
    <w:rsid w:val="00B7244A"/>
    <w:rsid w:val="00B73315"/>
    <w:rsid w:val="00B73492"/>
    <w:rsid w:val="00B74D8F"/>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B86"/>
    <w:rsid w:val="00B91BDD"/>
    <w:rsid w:val="00B91E24"/>
    <w:rsid w:val="00B93783"/>
    <w:rsid w:val="00B95561"/>
    <w:rsid w:val="00B970B7"/>
    <w:rsid w:val="00B97FEF"/>
    <w:rsid w:val="00BA04B7"/>
    <w:rsid w:val="00BA24E3"/>
    <w:rsid w:val="00BA40F9"/>
    <w:rsid w:val="00BA5828"/>
    <w:rsid w:val="00BA6AC3"/>
    <w:rsid w:val="00BA754A"/>
    <w:rsid w:val="00BB14D9"/>
    <w:rsid w:val="00BB1985"/>
    <w:rsid w:val="00BB2139"/>
    <w:rsid w:val="00BB281E"/>
    <w:rsid w:val="00BB2E25"/>
    <w:rsid w:val="00BB3BBE"/>
    <w:rsid w:val="00BB455B"/>
    <w:rsid w:val="00BB482C"/>
    <w:rsid w:val="00BB6BD1"/>
    <w:rsid w:val="00BB7704"/>
    <w:rsid w:val="00BB77E0"/>
    <w:rsid w:val="00BC073B"/>
    <w:rsid w:val="00BC09D3"/>
    <w:rsid w:val="00BC299C"/>
    <w:rsid w:val="00BC77BF"/>
    <w:rsid w:val="00BC7CAE"/>
    <w:rsid w:val="00BD01C6"/>
    <w:rsid w:val="00BD0C23"/>
    <w:rsid w:val="00BD22A3"/>
    <w:rsid w:val="00BD3A01"/>
    <w:rsid w:val="00BD4995"/>
    <w:rsid w:val="00BD4A5F"/>
    <w:rsid w:val="00BD6DBB"/>
    <w:rsid w:val="00BE0377"/>
    <w:rsid w:val="00BE0820"/>
    <w:rsid w:val="00BE0A97"/>
    <w:rsid w:val="00BE1B84"/>
    <w:rsid w:val="00BE3879"/>
    <w:rsid w:val="00BE4C07"/>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CA"/>
    <w:rsid w:val="00C05105"/>
    <w:rsid w:val="00C068D7"/>
    <w:rsid w:val="00C06DE3"/>
    <w:rsid w:val="00C077E2"/>
    <w:rsid w:val="00C108AA"/>
    <w:rsid w:val="00C11445"/>
    <w:rsid w:val="00C11905"/>
    <w:rsid w:val="00C1202D"/>
    <w:rsid w:val="00C12417"/>
    <w:rsid w:val="00C126E3"/>
    <w:rsid w:val="00C13A29"/>
    <w:rsid w:val="00C13ED7"/>
    <w:rsid w:val="00C14B71"/>
    <w:rsid w:val="00C175EF"/>
    <w:rsid w:val="00C17B7A"/>
    <w:rsid w:val="00C17E14"/>
    <w:rsid w:val="00C201D3"/>
    <w:rsid w:val="00C2094B"/>
    <w:rsid w:val="00C20D01"/>
    <w:rsid w:val="00C20E69"/>
    <w:rsid w:val="00C22105"/>
    <w:rsid w:val="00C2242C"/>
    <w:rsid w:val="00C22606"/>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4743"/>
    <w:rsid w:val="00C54AEC"/>
    <w:rsid w:val="00C54F5B"/>
    <w:rsid w:val="00C557EC"/>
    <w:rsid w:val="00C562AB"/>
    <w:rsid w:val="00C56438"/>
    <w:rsid w:val="00C6009F"/>
    <w:rsid w:val="00C60417"/>
    <w:rsid w:val="00C6046F"/>
    <w:rsid w:val="00C60C22"/>
    <w:rsid w:val="00C61A11"/>
    <w:rsid w:val="00C62665"/>
    <w:rsid w:val="00C6325B"/>
    <w:rsid w:val="00C638C2"/>
    <w:rsid w:val="00C63B5F"/>
    <w:rsid w:val="00C63E5C"/>
    <w:rsid w:val="00C648F5"/>
    <w:rsid w:val="00C65250"/>
    <w:rsid w:val="00C65A74"/>
    <w:rsid w:val="00C672B0"/>
    <w:rsid w:val="00C67B13"/>
    <w:rsid w:val="00C706DC"/>
    <w:rsid w:val="00C7283B"/>
    <w:rsid w:val="00C73524"/>
    <w:rsid w:val="00C73D87"/>
    <w:rsid w:val="00C7422C"/>
    <w:rsid w:val="00C74BF0"/>
    <w:rsid w:val="00C753F5"/>
    <w:rsid w:val="00C75ED1"/>
    <w:rsid w:val="00C7665F"/>
    <w:rsid w:val="00C76F48"/>
    <w:rsid w:val="00C80780"/>
    <w:rsid w:val="00C807B0"/>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70EA"/>
    <w:rsid w:val="00C97317"/>
    <w:rsid w:val="00C9770F"/>
    <w:rsid w:val="00CA012C"/>
    <w:rsid w:val="00CA025D"/>
    <w:rsid w:val="00CA12A8"/>
    <w:rsid w:val="00CA1357"/>
    <w:rsid w:val="00CA2B2E"/>
    <w:rsid w:val="00CA3440"/>
    <w:rsid w:val="00CA3A1E"/>
    <w:rsid w:val="00CA3DA1"/>
    <w:rsid w:val="00CA41DF"/>
    <w:rsid w:val="00CA42DD"/>
    <w:rsid w:val="00CA48AE"/>
    <w:rsid w:val="00CA5630"/>
    <w:rsid w:val="00CA7407"/>
    <w:rsid w:val="00CB10D0"/>
    <w:rsid w:val="00CB1BCD"/>
    <w:rsid w:val="00CB201D"/>
    <w:rsid w:val="00CB23D8"/>
    <w:rsid w:val="00CB3499"/>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63C7"/>
    <w:rsid w:val="00CF6A01"/>
    <w:rsid w:val="00CF6FD7"/>
    <w:rsid w:val="00D03A30"/>
    <w:rsid w:val="00D03FE1"/>
    <w:rsid w:val="00D045F8"/>
    <w:rsid w:val="00D04963"/>
    <w:rsid w:val="00D0669D"/>
    <w:rsid w:val="00D0708C"/>
    <w:rsid w:val="00D07A2A"/>
    <w:rsid w:val="00D07B60"/>
    <w:rsid w:val="00D10EA5"/>
    <w:rsid w:val="00D1190B"/>
    <w:rsid w:val="00D122C2"/>
    <w:rsid w:val="00D1292F"/>
    <w:rsid w:val="00D12971"/>
    <w:rsid w:val="00D16750"/>
    <w:rsid w:val="00D2065D"/>
    <w:rsid w:val="00D218A2"/>
    <w:rsid w:val="00D2330B"/>
    <w:rsid w:val="00D24CDE"/>
    <w:rsid w:val="00D2552B"/>
    <w:rsid w:val="00D2579C"/>
    <w:rsid w:val="00D26A35"/>
    <w:rsid w:val="00D2743D"/>
    <w:rsid w:val="00D30694"/>
    <w:rsid w:val="00D3175A"/>
    <w:rsid w:val="00D3187C"/>
    <w:rsid w:val="00D323E4"/>
    <w:rsid w:val="00D32C65"/>
    <w:rsid w:val="00D35525"/>
    <w:rsid w:val="00D37E42"/>
    <w:rsid w:val="00D40491"/>
    <w:rsid w:val="00D4180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1E89"/>
    <w:rsid w:val="00D821E8"/>
    <w:rsid w:val="00D82212"/>
    <w:rsid w:val="00D823C4"/>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3E11"/>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7AF1"/>
    <w:rsid w:val="00DD1861"/>
    <w:rsid w:val="00DD2352"/>
    <w:rsid w:val="00DD3026"/>
    <w:rsid w:val="00DD3A8A"/>
    <w:rsid w:val="00DD4157"/>
    <w:rsid w:val="00DD5011"/>
    <w:rsid w:val="00DD7287"/>
    <w:rsid w:val="00DD78DE"/>
    <w:rsid w:val="00DE1183"/>
    <w:rsid w:val="00DE1318"/>
    <w:rsid w:val="00DE2E24"/>
    <w:rsid w:val="00DE3008"/>
    <w:rsid w:val="00DF0A22"/>
    <w:rsid w:val="00DF1A3A"/>
    <w:rsid w:val="00DF1AD9"/>
    <w:rsid w:val="00DF1C37"/>
    <w:rsid w:val="00DF1D76"/>
    <w:rsid w:val="00DF3BEB"/>
    <w:rsid w:val="00DF6363"/>
    <w:rsid w:val="00DF68D0"/>
    <w:rsid w:val="00DF759F"/>
    <w:rsid w:val="00DF78DB"/>
    <w:rsid w:val="00E00762"/>
    <w:rsid w:val="00E00C3F"/>
    <w:rsid w:val="00E00DE0"/>
    <w:rsid w:val="00E01597"/>
    <w:rsid w:val="00E0176E"/>
    <w:rsid w:val="00E0272A"/>
    <w:rsid w:val="00E02FE7"/>
    <w:rsid w:val="00E03F63"/>
    <w:rsid w:val="00E0569C"/>
    <w:rsid w:val="00E06635"/>
    <w:rsid w:val="00E069B1"/>
    <w:rsid w:val="00E074BC"/>
    <w:rsid w:val="00E109A2"/>
    <w:rsid w:val="00E1116F"/>
    <w:rsid w:val="00E1166E"/>
    <w:rsid w:val="00E128CD"/>
    <w:rsid w:val="00E1464A"/>
    <w:rsid w:val="00E15EF1"/>
    <w:rsid w:val="00E16FB5"/>
    <w:rsid w:val="00E174BE"/>
    <w:rsid w:val="00E17517"/>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527"/>
    <w:rsid w:val="00E32E31"/>
    <w:rsid w:val="00E3337E"/>
    <w:rsid w:val="00E34018"/>
    <w:rsid w:val="00E34A8D"/>
    <w:rsid w:val="00E35BF2"/>
    <w:rsid w:val="00E35CFC"/>
    <w:rsid w:val="00E35F35"/>
    <w:rsid w:val="00E363D7"/>
    <w:rsid w:val="00E36936"/>
    <w:rsid w:val="00E375B5"/>
    <w:rsid w:val="00E41F32"/>
    <w:rsid w:val="00E424D2"/>
    <w:rsid w:val="00E42FD0"/>
    <w:rsid w:val="00E43D58"/>
    <w:rsid w:val="00E44B80"/>
    <w:rsid w:val="00E45668"/>
    <w:rsid w:val="00E460EB"/>
    <w:rsid w:val="00E4643D"/>
    <w:rsid w:val="00E4739A"/>
    <w:rsid w:val="00E5078B"/>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6637"/>
    <w:rsid w:val="00E76955"/>
    <w:rsid w:val="00E80561"/>
    <w:rsid w:val="00E81008"/>
    <w:rsid w:val="00E8203A"/>
    <w:rsid w:val="00E82679"/>
    <w:rsid w:val="00E82FA9"/>
    <w:rsid w:val="00E8429B"/>
    <w:rsid w:val="00E85112"/>
    <w:rsid w:val="00E854A4"/>
    <w:rsid w:val="00E85F55"/>
    <w:rsid w:val="00E9150E"/>
    <w:rsid w:val="00E92A82"/>
    <w:rsid w:val="00E939E5"/>
    <w:rsid w:val="00E93BA0"/>
    <w:rsid w:val="00E94252"/>
    <w:rsid w:val="00E94E78"/>
    <w:rsid w:val="00E96CA3"/>
    <w:rsid w:val="00E97E72"/>
    <w:rsid w:val="00EA07F5"/>
    <w:rsid w:val="00EA0C0C"/>
    <w:rsid w:val="00EA332B"/>
    <w:rsid w:val="00EA3DCE"/>
    <w:rsid w:val="00EA4BDB"/>
    <w:rsid w:val="00EA5D72"/>
    <w:rsid w:val="00EA6175"/>
    <w:rsid w:val="00EB3DB8"/>
    <w:rsid w:val="00EB4B6A"/>
    <w:rsid w:val="00EB5BE3"/>
    <w:rsid w:val="00EB6BBE"/>
    <w:rsid w:val="00EB7B9C"/>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29E"/>
    <w:rsid w:val="00F04BCD"/>
    <w:rsid w:val="00F05240"/>
    <w:rsid w:val="00F0572F"/>
    <w:rsid w:val="00F05EA0"/>
    <w:rsid w:val="00F06211"/>
    <w:rsid w:val="00F06344"/>
    <w:rsid w:val="00F06818"/>
    <w:rsid w:val="00F06962"/>
    <w:rsid w:val="00F0769E"/>
    <w:rsid w:val="00F11E12"/>
    <w:rsid w:val="00F122F1"/>
    <w:rsid w:val="00F1632C"/>
    <w:rsid w:val="00F16E80"/>
    <w:rsid w:val="00F17D5C"/>
    <w:rsid w:val="00F2081B"/>
    <w:rsid w:val="00F21068"/>
    <w:rsid w:val="00F2134C"/>
    <w:rsid w:val="00F218AE"/>
    <w:rsid w:val="00F21DBB"/>
    <w:rsid w:val="00F2244A"/>
    <w:rsid w:val="00F2551E"/>
    <w:rsid w:val="00F3002B"/>
    <w:rsid w:val="00F302E9"/>
    <w:rsid w:val="00F30BC9"/>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5342"/>
    <w:rsid w:val="00F6634D"/>
    <w:rsid w:val="00F7033D"/>
    <w:rsid w:val="00F71B9D"/>
    <w:rsid w:val="00F7203B"/>
    <w:rsid w:val="00F73E58"/>
    <w:rsid w:val="00F73E6B"/>
    <w:rsid w:val="00F74054"/>
    <w:rsid w:val="00F74A44"/>
    <w:rsid w:val="00F7542C"/>
    <w:rsid w:val="00F756DE"/>
    <w:rsid w:val="00F7598F"/>
    <w:rsid w:val="00F75E14"/>
    <w:rsid w:val="00F76B59"/>
    <w:rsid w:val="00F7713C"/>
    <w:rsid w:val="00F811DC"/>
    <w:rsid w:val="00F81B90"/>
    <w:rsid w:val="00F81E05"/>
    <w:rsid w:val="00F84643"/>
    <w:rsid w:val="00F8481A"/>
    <w:rsid w:val="00F84D4C"/>
    <w:rsid w:val="00F84E69"/>
    <w:rsid w:val="00F86531"/>
    <w:rsid w:val="00F8733B"/>
    <w:rsid w:val="00F874C5"/>
    <w:rsid w:val="00F9074F"/>
    <w:rsid w:val="00F92160"/>
    <w:rsid w:val="00F9260D"/>
    <w:rsid w:val="00F92727"/>
    <w:rsid w:val="00F9357B"/>
    <w:rsid w:val="00F9530C"/>
    <w:rsid w:val="00F95553"/>
    <w:rsid w:val="00F96A70"/>
    <w:rsid w:val="00F96E0D"/>
    <w:rsid w:val="00FA0013"/>
    <w:rsid w:val="00FA1275"/>
    <w:rsid w:val="00FA1905"/>
    <w:rsid w:val="00FA1B28"/>
    <w:rsid w:val="00FA2E85"/>
    <w:rsid w:val="00FA33FC"/>
    <w:rsid w:val="00FA44EF"/>
    <w:rsid w:val="00FA4F58"/>
    <w:rsid w:val="00FA5596"/>
    <w:rsid w:val="00FA5971"/>
    <w:rsid w:val="00FA5B59"/>
    <w:rsid w:val="00FA6878"/>
    <w:rsid w:val="00FA77C1"/>
    <w:rsid w:val="00FB08C2"/>
    <w:rsid w:val="00FB283A"/>
    <w:rsid w:val="00FB2F0D"/>
    <w:rsid w:val="00FB47F8"/>
    <w:rsid w:val="00FB6FB0"/>
    <w:rsid w:val="00FC166E"/>
    <w:rsid w:val="00FC25A5"/>
    <w:rsid w:val="00FC40BC"/>
    <w:rsid w:val="00FC4D60"/>
    <w:rsid w:val="00FC506C"/>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2BC1"/>
    <w:rsid w:val="00FF32D7"/>
    <w:rsid w:val="00FF39AD"/>
    <w:rsid w:val="00FF4138"/>
    <w:rsid w:val="00FF421C"/>
    <w:rsid w:val="00FF54F5"/>
    <w:rsid w:val="00FF5D2F"/>
    <w:rsid w:val="00FF7A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colormru v:ext="edit" colors="#2d4491,#283583"/>
    </o:shapedefaults>
    <o:shapelayout v:ext="edit">
      <o:idmap v:ext="edit" data="1"/>
    </o:shapelayout>
  </w:shapeDefaults>
  <w:decimalSymbol w:val=","/>
  <w:listSeparator w:val=";"/>
  <w14:docId w14:val="09E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05cHeadline1"/>
    <w:next w:val="Normal"/>
    <w:link w:val="Heading1Char"/>
    <w:uiPriority w:val="9"/>
    <w:qFormat/>
    <w:rsid w:val="004C2CD3"/>
    <w:pPr>
      <w:numPr>
        <w:numId w:val="47"/>
      </w:numPr>
      <w:outlineLvl w:val="0"/>
    </w:pPr>
  </w:style>
  <w:style w:type="paragraph" w:styleId="Heading2">
    <w:name w:val="heading 2"/>
    <w:basedOn w:val="04aNumbering"/>
    <w:next w:val="Normal"/>
    <w:link w:val="Heading2Char"/>
    <w:uiPriority w:val="9"/>
    <w:qFormat/>
    <w:rsid w:val="00412C4C"/>
    <w:pPr>
      <w:numPr>
        <w:ilvl w:val="1"/>
        <w:numId w:val="47"/>
      </w:numPr>
      <w:outlineLvl w:val="1"/>
    </w:pPr>
    <w:rPr>
      <w:b/>
    </w:rPr>
  </w:style>
  <w:style w:type="paragraph" w:styleId="Heading3">
    <w:name w:val="heading 3"/>
    <w:basedOn w:val="Heading2"/>
    <w:next w:val="Normal"/>
    <w:link w:val="Heading3Char"/>
    <w:uiPriority w:val="9"/>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EE5C4E"/>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uiPriority w:val="9"/>
    <w:rsid w:val="00EE5C4E"/>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NormalWeb">
    <w:name w:val="Normal (Web)"/>
    <w:basedOn w:val="Normal"/>
    <w:uiPriority w:val="99"/>
    <w:unhideWhenUsed/>
    <w:rsid w:val="009E685C"/>
    <w:pPr>
      <w:spacing w:before="100" w:beforeAutospacing="1" w:after="100" w:afterAutospacing="1"/>
    </w:pPr>
    <w:rPr>
      <w:rFonts w:ascii="Times New Roman" w:hAnsi="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05cHeadline1"/>
    <w:next w:val="Normal"/>
    <w:link w:val="Heading1Char"/>
    <w:uiPriority w:val="9"/>
    <w:qFormat/>
    <w:rsid w:val="004C2CD3"/>
    <w:pPr>
      <w:numPr>
        <w:numId w:val="47"/>
      </w:numPr>
      <w:outlineLvl w:val="0"/>
    </w:pPr>
  </w:style>
  <w:style w:type="paragraph" w:styleId="Heading2">
    <w:name w:val="heading 2"/>
    <w:basedOn w:val="04aNumbering"/>
    <w:next w:val="Normal"/>
    <w:link w:val="Heading2Char"/>
    <w:uiPriority w:val="9"/>
    <w:qFormat/>
    <w:rsid w:val="00412C4C"/>
    <w:pPr>
      <w:numPr>
        <w:ilvl w:val="1"/>
        <w:numId w:val="47"/>
      </w:numPr>
      <w:outlineLvl w:val="1"/>
    </w:pPr>
    <w:rPr>
      <w:b/>
    </w:rPr>
  </w:style>
  <w:style w:type="paragraph" w:styleId="Heading3">
    <w:name w:val="heading 3"/>
    <w:basedOn w:val="Heading2"/>
    <w:next w:val="Normal"/>
    <w:link w:val="Heading3Char"/>
    <w:uiPriority w:val="9"/>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EE5C4E"/>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uiPriority w:val="9"/>
    <w:rsid w:val="00EE5C4E"/>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NormalWeb">
    <w:name w:val="Normal (Web)"/>
    <w:basedOn w:val="Normal"/>
    <w:uiPriority w:val="99"/>
    <w:unhideWhenUsed/>
    <w:rsid w:val="009E685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106584362">
      <w:bodyDiv w:val="1"/>
      <w:marLeft w:val="0"/>
      <w:marRight w:val="0"/>
      <w:marTop w:val="0"/>
      <w:marBottom w:val="0"/>
      <w:divBdr>
        <w:top w:val="none" w:sz="0" w:space="0" w:color="auto"/>
        <w:left w:val="none" w:sz="0" w:space="0" w:color="auto"/>
        <w:bottom w:val="none" w:sz="0" w:space="0" w:color="auto"/>
        <w:right w:val="none" w:sz="0" w:space="0" w:color="auto"/>
      </w:divBdr>
    </w:div>
    <w:div w:id="298464478">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966080532">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5606789">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828401715">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3\External%20documents\2013-0000%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PlaceholderText"/>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PlaceholderText"/>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E6"/>
    <w:rsid w:val="000F64E6"/>
    <w:rsid w:val="00661608"/>
    <w:rsid w:val="00664A36"/>
    <w:rsid w:val="006F2C50"/>
    <w:rsid w:val="008D50B6"/>
    <w:rsid w:val="00BD247C"/>
    <w:rsid w:val="00CD4DC1"/>
    <w:rsid w:val="00D0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69B37-4C0F-4196-9F06-1F7AFE21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2013-0000 Report Template</Template>
  <TotalTime>3</TotalTime>
  <Pages>15</Pages>
  <Words>4372</Words>
  <Characters>24146</Characters>
  <Application>Microsoft Office Word</Application>
  <DocSecurity>8</DocSecurity>
  <Lines>201</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20110000</vt:lpstr>
      <vt:lpstr>20110000</vt:lpstr>
    </vt:vector>
  </TitlesOfParts>
  <Company>Oxalide</Company>
  <LinksUpToDate>false</LinksUpToDate>
  <CharactersWithSpaces>28462</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Michelle Hallet</cp:lastModifiedBy>
  <cp:revision>3</cp:revision>
  <cp:lastPrinted>2014-07-10T08:22:00Z</cp:lastPrinted>
  <dcterms:created xsi:type="dcterms:W3CDTF">2014-08-18T14:18:00Z</dcterms:created>
  <dcterms:modified xsi:type="dcterms:W3CDTF">2014-08-18T14:23:00Z</dcterms:modified>
</cp:coreProperties>
</file>