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A6DAE" w14:paraId="62AC8328" w14:textId="77777777" w:rsidTr="000C3B6D">
        <w:trPr>
          <w:trHeight w:val="284"/>
        </w:trPr>
        <w:tc>
          <w:tcPr>
            <w:tcW w:w="9412" w:type="dxa"/>
          </w:tcPr>
          <w:p w14:paraId="0A365D78" w14:textId="54AEB12E" w:rsidR="00C2094B" w:rsidRPr="00AA6DAE" w:rsidRDefault="00C53BC8" w:rsidP="00BC2D1C">
            <w:pPr>
              <w:pStyle w:val="00bDBInfo"/>
            </w:pPr>
            <w:r>
              <w:t>11</w:t>
            </w:r>
            <w:r w:rsidR="00711212">
              <w:t xml:space="preserve"> July 2014</w:t>
            </w:r>
            <w:r w:rsidR="00C2094B" w:rsidRPr="00AA6DAE">
              <w:t>|</w:t>
            </w:r>
            <w:r w:rsidR="00BC2D1C">
              <w:t>2014/800 Reply Form</w:t>
            </w:r>
          </w:p>
        </w:tc>
      </w:tr>
    </w:tbl>
    <w:p w14:paraId="0F308913" w14:textId="77777777" w:rsidR="000361B3" w:rsidRPr="000361B3" w:rsidRDefault="000361B3" w:rsidP="000361B3">
      <w:pPr>
        <w:rPr>
          <w:vanish/>
        </w:rPr>
      </w:pPr>
      <w:bookmarkStart w:id="0" w:name="Dropdown1"/>
    </w:p>
    <w:tbl>
      <w:tblPr>
        <w:tblpPr w:leftFromText="8505" w:vertAnchor="page" w:horzAnchor="page" w:tblpX="1248" w:tblpY="4401"/>
        <w:tblW w:w="9412" w:type="dxa"/>
        <w:tblLayout w:type="fixed"/>
        <w:tblCellMar>
          <w:left w:w="0" w:type="dxa"/>
          <w:right w:w="0" w:type="dxa"/>
        </w:tblCellMar>
        <w:tblLook w:val="01E0" w:firstRow="1" w:lastRow="1" w:firstColumn="1" w:lastColumn="1" w:noHBand="0" w:noVBand="0"/>
      </w:tblPr>
      <w:tblGrid>
        <w:gridCol w:w="9412"/>
      </w:tblGrid>
      <w:tr w:rsidR="006B3CB5" w14:paraId="384E01F6" w14:textId="77777777" w:rsidTr="00200340">
        <w:trPr>
          <w:trHeight w:hRule="exact" w:val="907"/>
        </w:trPr>
        <w:tc>
          <w:tcPr>
            <w:tcW w:w="2325" w:type="dxa"/>
            <w:vAlign w:val="bottom"/>
          </w:tcPr>
          <w:bookmarkEnd w:id="0"/>
          <w:p w14:paraId="540754D3" w14:textId="6F6192C1" w:rsidR="006B3CB5" w:rsidRPr="00791EB4" w:rsidRDefault="00BC2D1C" w:rsidP="0073272F">
            <w:pPr>
              <w:pStyle w:val="01aDBTitle"/>
            </w:pPr>
            <w:r>
              <w:t xml:space="preserve">Reply form to the </w:t>
            </w:r>
            <w:r w:rsidR="006B3CB5">
              <w:t xml:space="preserve">Consultation </w:t>
            </w:r>
            <w:r w:rsidR="0073272F">
              <w:t>Paper</w:t>
            </w:r>
            <w:r>
              <w:t xml:space="preserve"> on the  Clearing Obligation under EMIR (no. 2)</w:t>
            </w:r>
          </w:p>
        </w:tc>
      </w:tr>
      <w:tr w:rsidR="006B3CB5" w:rsidRPr="00315E96" w14:paraId="688F03D2" w14:textId="77777777" w:rsidTr="00200340">
        <w:trPr>
          <w:trHeight w:hRule="exact" w:val="454"/>
        </w:trPr>
        <w:tc>
          <w:tcPr>
            <w:tcW w:w="2325" w:type="dxa"/>
            <w:tcMar>
              <w:top w:w="142" w:type="dxa"/>
            </w:tcMar>
          </w:tcPr>
          <w:p w14:paraId="23AE1602" w14:textId="78EC7ECA" w:rsidR="006B3CB5" w:rsidRPr="00060F72" w:rsidRDefault="006B3CB5" w:rsidP="00F358C5">
            <w:pPr>
              <w:pStyle w:val="01bDBSubtitle"/>
            </w:pPr>
          </w:p>
        </w:tc>
      </w:tr>
    </w:tbl>
    <w:p w14:paraId="519278DD" w14:textId="4074DFF8" w:rsidR="00620D7C" w:rsidRDefault="00620D7C" w:rsidP="00C00012">
      <w:pPr>
        <w:pStyle w:val="05HeadlinenoIndex"/>
        <w:sectPr w:rsidR="00620D7C"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14:paraId="36F7DBE7" w14:textId="77777777" w:rsidTr="000C3B6D">
        <w:trPr>
          <w:trHeight w:hRule="exact" w:val="964"/>
        </w:trPr>
        <w:tc>
          <w:tcPr>
            <w:tcW w:w="2325" w:type="dxa"/>
          </w:tcPr>
          <w:p w14:paraId="7B338D80" w14:textId="77143474" w:rsidR="00620D7C" w:rsidRPr="000A3888" w:rsidRDefault="00620D7C" w:rsidP="000C3B6D">
            <w:pPr>
              <w:pStyle w:val="02Date"/>
            </w:pPr>
            <w:r w:rsidRPr="000A3888">
              <w:lastRenderedPageBreak/>
              <w:t xml:space="preserve">Date: </w:t>
            </w:r>
            <w:r w:rsidR="00C53BC8">
              <w:t>11</w:t>
            </w:r>
            <w:r w:rsidR="00711212">
              <w:t xml:space="preserve"> July</w:t>
            </w:r>
            <w:r w:rsidR="00B73315" w:rsidRPr="000A3888">
              <w:t xml:space="preserve"> 2014</w:t>
            </w:r>
          </w:p>
          <w:p w14:paraId="03C851D4" w14:textId="3BFBAC35" w:rsidR="00620D7C" w:rsidRDefault="00BD0C23" w:rsidP="00BC2D1C">
            <w:pPr>
              <w:pStyle w:val="02Date"/>
            </w:pPr>
            <w:r w:rsidRPr="000A3888">
              <w:t>2014</w:t>
            </w:r>
            <w:r w:rsidR="00711212">
              <w:t>/</w:t>
            </w:r>
            <w:r w:rsidR="00BC2D1C">
              <w:t>800 Reply Form</w:t>
            </w:r>
          </w:p>
        </w:tc>
      </w:tr>
    </w:tbl>
    <w:p w14:paraId="5DBBF4FF" w14:textId="77777777" w:rsidR="00DF759F" w:rsidRDefault="00DF759F" w:rsidP="00D3175A">
      <w:pPr>
        <w:pStyle w:val="05HeadlinenoIndex"/>
      </w:pPr>
    </w:p>
    <w:p w14:paraId="0EB2D0CD" w14:textId="77777777" w:rsidR="00AA6DAE" w:rsidRDefault="00DF759F" w:rsidP="00DF759F">
      <w:pPr>
        <w:pStyle w:val="05HeadlinenoIndex"/>
      </w:pPr>
      <w:r>
        <w:t xml:space="preserve">Responding to this paper </w:t>
      </w:r>
    </w:p>
    <w:p w14:paraId="09B45628" w14:textId="4FD23507" w:rsidR="00BC2D1C" w:rsidRDefault="00BC2D1C" w:rsidP="00BC2D1C">
      <w:pPr>
        <w:pStyle w:val="04BodyText"/>
      </w:pPr>
      <w:r w:rsidRPr="00321CD3">
        <w:t>The European Securities and Markets Autho</w:t>
      </w:r>
      <w:r>
        <w:t>rity (ESMA) invites responses</w:t>
      </w:r>
      <w:r w:rsidRPr="00321CD3">
        <w:t xml:space="preserve"> </w:t>
      </w:r>
      <w:r>
        <w:t xml:space="preserve">to </w:t>
      </w:r>
      <w:r w:rsidRPr="00321CD3">
        <w:t xml:space="preserve">the questions listed in </w:t>
      </w:r>
      <w:r>
        <w:t>the Consultation Paper on the Clearing Obligation under EMIR (n0. 2), published on ESMA’s website.</w:t>
      </w:r>
    </w:p>
    <w:p w14:paraId="6659F0D4" w14:textId="77777777" w:rsidR="00BC2D1C" w:rsidRDefault="00BC2D1C" w:rsidP="00BC2D1C">
      <w:pPr>
        <w:pStyle w:val="04BodyText"/>
      </w:pPr>
      <w:r>
        <w:t>Comments are most helpful if they:</w:t>
      </w:r>
    </w:p>
    <w:p w14:paraId="2378ECFA" w14:textId="77777777" w:rsidR="00BC2D1C" w:rsidRDefault="00BC2D1C" w:rsidP="00FF43FA">
      <w:pPr>
        <w:pStyle w:val="0MyBullet"/>
        <w:numPr>
          <w:ilvl w:val="0"/>
          <w:numId w:val="5"/>
        </w:numPr>
        <w:spacing w:before="0" w:after="0" w:line="360" w:lineRule="auto"/>
        <w:contextualSpacing w:val="0"/>
        <w:jc w:val="both"/>
      </w:pPr>
      <w:r>
        <w:t>respond to the question stated;</w:t>
      </w:r>
    </w:p>
    <w:p w14:paraId="275DEDDF" w14:textId="77777777" w:rsidR="00BC2D1C" w:rsidRDefault="00BC2D1C" w:rsidP="00FF43FA">
      <w:pPr>
        <w:pStyle w:val="0MyBullet"/>
        <w:numPr>
          <w:ilvl w:val="0"/>
          <w:numId w:val="5"/>
        </w:numPr>
        <w:spacing w:before="0" w:after="0" w:line="360" w:lineRule="auto"/>
        <w:contextualSpacing w:val="0"/>
        <w:jc w:val="both"/>
      </w:pPr>
      <w:r>
        <w:t>contain a clear rationale; and</w:t>
      </w:r>
    </w:p>
    <w:p w14:paraId="597B4F77" w14:textId="77777777" w:rsidR="00BC2D1C" w:rsidRDefault="00BC2D1C" w:rsidP="00FF43FA">
      <w:pPr>
        <w:pStyle w:val="0MyBullet"/>
        <w:numPr>
          <w:ilvl w:val="0"/>
          <w:numId w:val="5"/>
        </w:numPr>
        <w:spacing w:before="0" w:after="0" w:line="360" w:lineRule="auto"/>
        <w:contextualSpacing w:val="0"/>
        <w:jc w:val="both"/>
      </w:pPr>
      <w:r>
        <w:t>describe any alternatives ESMA should consider.</w:t>
      </w:r>
    </w:p>
    <w:p w14:paraId="6AA45EB2" w14:textId="77777777" w:rsidR="00BC2D1C" w:rsidRPr="00F44F4C" w:rsidRDefault="00BC2D1C" w:rsidP="00BC2D1C">
      <w:pPr>
        <w:pStyle w:val="04BodyText"/>
      </w:pPr>
      <w:r w:rsidRPr="004E1A0F">
        <w:t>To help you navigate this document more easily, bookmarks are available in “Navigation Pane” for Word 2010 and in “Document Map” for Word 2007.</w:t>
      </w:r>
    </w:p>
    <w:p w14:paraId="3ED1C408" w14:textId="697B351F" w:rsidR="00BC2D1C" w:rsidRPr="009403B0" w:rsidRDefault="00BC2D1C" w:rsidP="00BC2D1C">
      <w:pPr>
        <w:pStyle w:val="04BodyText"/>
        <w:rPr>
          <w:b/>
        </w:rPr>
      </w:pPr>
      <w:r w:rsidRPr="009403B0">
        <w:t xml:space="preserve">ESMA will consider all comments received by </w:t>
      </w:r>
      <w:r w:rsidRPr="009403B0">
        <w:rPr>
          <w:b/>
        </w:rPr>
        <w:t xml:space="preserve">18 </w:t>
      </w:r>
      <w:r>
        <w:rPr>
          <w:b/>
        </w:rPr>
        <w:t xml:space="preserve">September </w:t>
      </w:r>
      <w:r w:rsidRPr="009403B0">
        <w:rPr>
          <w:b/>
        </w:rPr>
        <w:t xml:space="preserve">2014. </w:t>
      </w:r>
    </w:p>
    <w:p w14:paraId="105A39EE" w14:textId="77777777" w:rsidR="00BC2D1C" w:rsidRDefault="00BC2D1C" w:rsidP="00BC2D1C">
      <w:pPr>
        <w:pStyle w:val="04BodyText"/>
      </w:pPr>
      <w:r>
        <w:t xml:space="preserve">All contributions should be submitted online at </w:t>
      </w:r>
      <w:hyperlink r:id="rId12" w:history="1">
        <w:r w:rsidRPr="003A35A5">
          <w:rPr>
            <w:rStyle w:val="Lienhypertexte"/>
          </w:rPr>
          <w:t>www.esma.europa.eu</w:t>
        </w:r>
      </w:hyperlink>
      <w:r>
        <w:t xml:space="preserve"> under the heading ‘Your input - Consultations’. </w:t>
      </w:r>
    </w:p>
    <w:p w14:paraId="51A00292" w14:textId="77777777" w:rsidR="00FF43FA" w:rsidRPr="009E685C" w:rsidRDefault="00FF43FA" w:rsidP="00FF43FA">
      <w:pPr>
        <w:pStyle w:val="04dBodyTextbold"/>
      </w:pPr>
      <w:r>
        <w:rPr>
          <w:bCs/>
        </w:rPr>
        <w:t>How to use this form to reply</w:t>
      </w:r>
    </w:p>
    <w:p w14:paraId="028F6DFD" w14:textId="77777777" w:rsidR="00FF43FA" w:rsidRDefault="00FF43FA" w:rsidP="00FF43FA">
      <w:pPr>
        <w:pStyle w:val="04BodyText"/>
      </w:pPr>
      <w:r w:rsidRPr="009E685C">
        <w:t xml:space="preserve">Please note that, in order to facilitate </w:t>
      </w:r>
      <w:r>
        <w:t xml:space="preserve">the </w:t>
      </w:r>
      <w:r w:rsidRPr="009E685C">
        <w:t xml:space="preserve">analysis of the responses, ESMA will be using an IT tool that does not allow processing of responses which do not follow the formatting indications described below. </w:t>
      </w:r>
    </w:p>
    <w:p w14:paraId="537B394F" w14:textId="77777777" w:rsidR="00FF43FA" w:rsidRDefault="00FF43FA" w:rsidP="00FF43FA">
      <w:pPr>
        <w:pStyle w:val="04BodyText"/>
      </w:pPr>
      <w:r w:rsidRPr="009E685C">
        <w:t xml:space="preserve">Therefore, in responding </w:t>
      </w:r>
      <w:r>
        <w:t>you are kindly invited to proceed as follows</w:t>
      </w:r>
      <w:r w:rsidRPr="009E685C">
        <w:t>:</w:t>
      </w:r>
    </w:p>
    <w:p w14:paraId="39526099" w14:textId="77777777" w:rsidR="00FF43FA" w:rsidRDefault="00FF43FA" w:rsidP="00FF43FA">
      <w:pPr>
        <w:pStyle w:val="0MyBullet"/>
        <w:numPr>
          <w:ilvl w:val="0"/>
          <w:numId w:val="5"/>
        </w:numPr>
        <w:spacing w:before="0" w:after="0" w:line="360" w:lineRule="auto"/>
        <w:contextualSpacing w:val="0"/>
        <w:jc w:val="both"/>
      </w:pPr>
      <w:r w:rsidRPr="009E685C">
        <w:t xml:space="preserve">use </w:t>
      </w:r>
      <w:r>
        <w:t>this form to reply</w:t>
      </w:r>
      <w:r w:rsidRPr="009E685C">
        <w:t xml:space="preserve"> and send </w:t>
      </w:r>
      <w:r>
        <w:t>your response</w:t>
      </w:r>
      <w:r w:rsidRPr="009E685C">
        <w:t xml:space="preserve"> in Word format;</w:t>
      </w:r>
    </w:p>
    <w:p w14:paraId="28509058" w14:textId="77777777" w:rsidR="00FF43FA" w:rsidRDefault="00FF43FA" w:rsidP="00FF43FA">
      <w:pPr>
        <w:pStyle w:val="0MyBullet"/>
        <w:numPr>
          <w:ilvl w:val="0"/>
          <w:numId w:val="5"/>
        </w:numPr>
        <w:spacing w:before="0" w:after="0" w:line="360" w:lineRule="auto"/>
        <w:contextualSpacing w:val="0"/>
        <w:jc w:val="both"/>
      </w:pPr>
      <w:r>
        <w:t>type your response in the frame “</w:t>
      </w:r>
      <w:r w:rsidRPr="009E685C">
        <w:t>TYPE YOUR TEXT HERE</w:t>
      </w:r>
      <w:r>
        <w:t xml:space="preserve">” and do </w:t>
      </w:r>
      <w:r w:rsidRPr="009E685C">
        <w:t xml:space="preserve">not remove the tags of type &lt;ESMA_QUESTION_1&gt; </w:t>
      </w:r>
      <w:r>
        <w:t xml:space="preserve">Your </w:t>
      </w:r>
      <w:r w:rsidRPr="009E685C">
        <w:t xml:space="preserve">response </w:t>
      </w:r>
      <w:r>
        <w:t xml:space="preserve">should </w:t>
      </w:r>
      <w:r w:rsidRPr="009E685C">
        <w:t>be framed by the 2 tags corresponding to the question; and</w:t>
      </w:r>
    </w:p>
    <w:p w14:paraId="082369D7" w14:textId="3F5C30F3" w:rsidR="00FF43FA" w:rsidRDefault="00FF43FA" w:rsidP="00FF43FA">
      <w:pPr>
        <w:pStyle w:val="0MyBullet"/>
        <w:numPr>
          <w:ilvl w:val="0"/>
          <w:numId w:val="5"/>
        </w:numPr>
        <w:spacing w:before="0" w:after="0" w:line="360" w:lineRule="auto"/>
        <w:contextualSpacing w:val="0"/>
        <w:jc w:val="both"/>
      </w:pPr>
      <w:r w:rsidRPr="009E685C">
        <w:t xml:space="preserve">if </w:t>
      </w:r>
      <w:r>
        <w:t xml:space="preserve">you </w:t>
      </w:r>
      <w:r w:rsidRPr="009E685C">
        <w:t xml:space="preserve">have no response to a question, </w:t>
      </w:r>
      <w:r w:rsidRPr="00FF43FA">
        <w:t>do not delete the tags</w:t>
      </w:r>
      <w:r w:rsidRPr="009E685C">
        <w:t xml:space="preserve"> and leave the text “TYPE YOUR TEXT HERE” between the tags.</w:t>
      </w:r>
    </w:p>
    <w:p w14:paraId="3AB0C7A3" w14:textId="77777777" w:rsidR="00DF759F" w:rsidRDefault="00DF759F" w:rsidP="00DF759F">
      <w:pPr>
        <w:pStyle w:val="04dBodyTextbold"/>
      </w:pPr>
      <w:r>
        <w:t>Publication of responses</w:t>
      </w:r>
    </w:p>
    <w:p w14:paraId="2AE7901B" w14:textId="68DDC563" w:rsidR="00DF759F" w:rsidRDefault="00DF759F" w:rsidP="00DF759F">
      <w:pPr>
        <w:pStyle w:val="04BodyText"/>
      </w:pPr>
      <w:r>
        <w:t>All contributions received will be published following the close of the consultation</w:t>
      </w:r>
      <w:r w:rsidR="00B25023">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0903820" w14:textId="77777777" w:rsidR="00DF759F" w:rsidRDefault="00DF759F" w:rsidP="00DF759F">
      <w:pPr>
        <w:pStyle w:val="04dBodyTextbold"/>
      </w:pPr>
      <w:r>
        <w:lastRenderedPageBreak/>
        <w:t>Data protection</w:t>
      </w:r>
    </w:p>
    <w:p w14:paraId="07C5CEB6" w14:textId="77777777" w:rsidR="00DF759F" w:rsidRDefault="00DF759F" w:rsidP="00DF759F">
      <w:pPr>
        <w:pStyle w:val="04BodyText"/>
      </w:pPr>
      <w:r>
        <w:t xml:space="preserve">Information on data protection can be found at </w:t>
      </w:r>
      <w:hyperlink r:id="rId13" w:history="1">
        <w:r w:rsidR="00157C5D" w:rsidRPr="003A35A5">
          <w:rPr>
            <w:rStyle w:val="Lienhypertexte"/>
          </w:rPr>
          <w:t>www.esma.europa.eu</w:t>
        </w:r>
      </w:hyperlink>
      <w:r w:rsidR="00157C5D">
        <w:t xml:space="preserve"> </w:t>
      </w:r>
      <w:r>
        <w:t>under the heading ‘</w:t>
      </w:r>
      <w:r w:rsidR="006C105D">
        <w:t>Legal Notice</w:t>
      </w:r>
      <w:r>
        <w:t>’.</w:t>
      </w:r>
    </w:p>
    <w:p w14:paraId="4A97E09A" w14:textId="77777777" w:rsidR="00DF759F" w:rsidRDefault="00DF759F" w:rsidP="00DF759F">
      <w:pPr>
        <w:pStyle w:val="04dBodyTextbold"/>
      </w:pPr>
      <w:r>
        <w:t>Who should read this paper</w:t>
      </w:r>
    </w:p>
    <w:p w14:paraId="1C7E4709" w14:textId="5B003C15" w:rsidR="00A21A30" w:rsidRDefault="00B25023" w:rsidP="00B25023">
      <w:pPr>
        <w:pStyle w:val="04BodyText"/>
        <w:suppressAutoHyphens/>
        <w:rPr>
          <w:szCs w:val="20"/>
        </w:rPr>
      </w:pPr>
      <w:r w:rsidRPr="001235B1">
        <w:rPr>
          <w:szCs w:val="20"/>
        </w:rPr>
        <w:t xml:space="preserve">All interested stakeholders are invited to respond to this </w:t>
      </w:r>
      <w:r>
        <w:rPr>
          <w:szCs w:val="20"/>
        </w:rPr>
        <w:t>consultation</w:t>
      </w:r>
      <w:r w:rsidRPr="001235B1">
        <w:rPr>
          <w:szCs w:val="20"/>
        </w:rPr>
        <w:t xml:space="preserve"> paper. In particular, responses are sought from financial and non-financial counterparties of OTC derivatives transactions</w:t>
      </w:r>
      <w:r>
        <w:rPr>
          <w:szCs w:val="20"/>
        </w:rPr>
        <w:t xml:space="preserve"> which will be subject to the clearing obligation, as well as</w:t>
      </w:r>
      <w:r w:rsidRPr="001235B1">
        <w:rPr>
          <w:szCs w:val="20"/>
        </w:rPr>
        <w:t xml:space="preserve"> central counterparties (CCPs).</w:t>
      </w:r>
    </w:p>
    <w:p w14:paraId="330DE59E" w14:textId="77777777" w:rsidR="00A21A30" w:rsidRDefault="00A21A30">
      <w:pPr>
        <w:rPr>
          <w:szCs w:val="20"/>
        </w:rPr>
      </w:pPr>
      <w:r>
        <w:rPr>
          <w:szCs w:val="20"/>
        </w:rPr>
        <w:br w:type="page"/>
      </w:r>
    </w:p>
    <w:p w14:paraId="451FE908" w14:textId="60D7E795" w:rsidR="00AB1788" w:rsidRDefault="00AB1788" w:rsidP="00AA0857">
      <w:pPr>
        <w:pStyle w:val="Titre1"/>
        <w:numPr>
          <w:ilvl w:val="0"/>
          <w:numId w:val="0"/>
        </w:numPr>
      </w:pPr>
      <w:r>
        <w:t>General information about respondent</w:t>
      </w:r>
    </w:p>
    <w:tbl>
      <w:tblPr>
        <w:tblStyle w:val="Grilledutableau"/>
        <w:tblW w:w="0" w:type="auto"/>
        <w:tblLook w:val="04A0" w:firstRow="1" w:lastRow="0" w:firstColumn="1" w:lastColumn="0" w:noHBand="0" w:noVBand="1"/>
      </w:tblPr>
      <w:tblGrid>
        <w:gridCol w:w="3510"/>
        <w:gridCol w:w="6118"/>
      </w:tblGrid>
      <w:tr w:rsidR="00BC2D1C" w14:paraId="421DB435" w14:textId="77777777" w:rsidTr="00F84E69">
        <w:tc>
          <w:tcPr>
            <w:tcW w:w="3510" w:type="dxa"/>
          </w:tcPr>
          <w:p w14:paraId="7B4DE6DD" w14:textId="08972641" w:rsidR="00BC2D1C" w:rsidRDefault="00BC2D1C" w:rsidP="00F84E69">
            <w:r>
              <w:t>Name of respondent</w:t>
            </w:r>
          </w:p>
        </w:tc>
        <w:tc>
          <w:tcPr>
            <w:tcW w:w="6118" w:type="dxa"/>
          </w:tcPr>
          <w:p w14:paraId="769EB89F" w14:textId="08A59A89" w:rsidR="00BC2D1C" w:rsidRDefault="0070135D" w:rsidP="00E62FA2">
            <w:permStart w:id="2025793954" w:edGrp="everyone"/>
            <w:r>
              <w:t>Frédéric BOMPAIRE</w:t>
            </w:r>
            <w:permEnd w:id="2025793954"/>
          </w:p>
        </w:tc>
      </w:tr>
      <w:tr w:rsidR="00E62FA2" w14:paraId="056A0341" w14:textId="77777777" w:rsidTr="00F84E69">
        <w:tc>
          <w:tcPr>
            <w:tcW w:w="3510" w:type="dxa"/>
          </w:tcPr>
          <w:p w14:paraId="0AA20822" w14:textId="4D291B23" w:rsidR="00E62FA2" w:rsidRDefault="00F84E69" w:rsidP="00F84E69">
            <w:r>
              <w:t xml:space="preserve">Are you representing an </w:t>
            </w:r>
            <w:r w:rsidR="00E62FA2">
              <w:t>association?</w:t>
            </w:r>
          </w:p>
        </w:tc>
        <w:tc>
          <w:tcPr>
            <w:tcW w:w="6118" w:type="dxa"/>
          </w:tcPr>
          <w:p w14:paraId="051EB09C" w14:textId="599F64AB" w:rsidR="00E62FA2" w:rsidRDefault="000A78CF" w:rsidP="00E62FA2">
            <w:sdt>
              <w:sdtPr>
                <w:alias w:val="Association"/>
                <w:tag w:val="Association"/>
                <w:id w:val="-1769143793"/>
                <w:placeholder>
                  <w:docPart w:val="29B3C0A1C36843AB95CE1BDF313CA2A2"/>
                </w:placeholder>
                <w:comboBox>
                  <w:listItem w:displayText="Yes" w:value="Yes"/>
                  <w:listItem w:displayText="No" w:value="No"/>
                </w:comboBox>
              </w:sdtPr>
              <w:sdtEndPr/>
              <w:sdtContent>
                <w:permStart w:id="678066391" w:edGrp="everyone"/>
                <w:r w:rsidR="0070135D">
                  <w:t>No</w:t>
                </w:r>
                <w:permEnd w:id="678066391"/>
              </w:sdtContent>
            </w:sdt>
          </w:p>
        </w:tc>
      </w:tr>
      <w:tr w:rsidR="00E62FA2" w14:paraId="503B3DE9" w14:textId="77777777" w:rsidTr="00F84E69">
        <w:tc>
          <w:tcPr>
            <w:tcW w:w="3510" w:type="dxa"/>
          </w:tcPr>
          <w:p w14:paraId="4F0B7907" w14:textId="561E2AFC" w:rsidR="00E62FA2" w:rsidRDefault="00E62FA2" w:rsidP="00E62FA2">
            <w:r>
              <w:t>Activity</w:t>
            </w:r>
          </w:p>
        </w:tc>
        <w:tc>
          <w:tcPr>
            <w:tcW w:w="6118" w:type="dxa"/>
          </w:tcPr>
          <w:p w14:paraId="062EE607" w14:textId="54F5C9B8" w:rsidR="00E62FA2" w:rsidRDefault="000A78CF" w:rsidP="00E62FA2">
            <w:sdt>
              <w:sdtPr>
                <w:alias w:val="Activity"/>
                <w:tag w:val="Activity"/>
                <w:id w:val="1654095920"/>
                <w:placeholder>
                  <w:docPart w:val="F0305A30DDBA475F87323578BE1A7B3F"/>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77802985" w:edGrp="everyone"/>
                <w:r w:rsidR="0070135D">
                  <w:t>Investment Services</w:t>
                </w:r>
                <w:permEnd w:id="77802985"/>
              </w:sdtContent>
            </w:sdt>
          </w:p>
        </w:tc>
      </w:tr>
      <w:tr w:rsidR="00E62FA2" w14:paraId="01514E1B" w14:textId="77777777" w:rsidTr="00F84E69">
        <w:tc>
          <w:tcPr>
            <w:tcW w:w="3510" w:type="dxa"/>
          </w:tcPr>
          <w:p w14:paraId="0BC2E34C" w14:textId="258A9A46" w:rsidR="00E62FA2" w:rsidRDefault="00E62FA2" w:rsidP="00E62FA2">
            <w:r>
              <w:t>Country/Region</w:t>
            </w:r>
          </w:p>
        </w:tc>
        <w:sdt>
          <w:sdtPr>
            <w:alias w:val="Country"/>
            <w:tag w:val="Country"/>
            <w:id w:val="-1549134410"/>
            <w:placeholder>
              <w:docPart w:val="DefaultPlaceholder_10820651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837091592" w:edGrp="everyone" w:displacedByCustomXml="prev"/>
            <w:tc>
              <w:tcPr>
                <w:tcW w:w="6118" w:type="dxa"/>
              </w:tcPr>
              <w:p w14:paraId="4E96914E" w14:textId="1C745EC5" w:rsidR="00E62FA2" w:rsidRDefault="0070135D" w:rsidP="00E62FA2">
                <w:r>
                  <w:t>France</w:t>
                </w:r>
              </w:p>
            </w:tc>
            <w:permEnd w:id="837091592" w:displacedByCustomXml="next"/>
          </w:sdtContent>
        </w:sdt>
      </w:tr>
    </w:tbl>
    <w:p w14:paraId="65CEBBFE" w14:textId="73B3DEAD" w:rsidR="00AB1788" w:rsidRDefault="00AB1788" w:rsidP="00AB1788"/>
    <w:p w14:paraId="208712D2" w14:textId="77777777" w:rsidR="000E31C3" w:rsidRDefault="00005941" w:rsidP="00AA0857">
      <w:pPr>
        <w:pStyle w:val="Titre1"/>
        <w:numPr>
          <w:ilvl w:val="0"/>
          <w:numId w:val="0"/>
        </w:numPr>
      </w:pPr>
      <w:r>
        <w:br w:type="page"/>
      </w:r>
      <w:r w:rsidR="000E31C3" w:rsidRPr="004C2CD3">
        <w:t>Introduction</w:t>
      </w:r>
    </w:p>
    <w:p w14:paraId="74B94F78" w14:textId="77777777" w:rsidR="003E7EA2" w:rsidRPr="008203F7" w:rsidRDefault="003E7EA2" w:rsidP="003E7EA2">
      <w:pPr>
        <w:rPr>
          <w:b/>
        </w:rPr>
      </w:pPr>
      <w:r w:rsidRPr="008203F7">
        <w:rPr>
          <w:b/>
        </w:rPr>
        <w:t>Please make your introductory comments below:</w:t>
      </w:r>
    </w:p>
    <w:p w14:paraId="042AA12A" w14:textId="77777777" w:rsidR="003E7EA2" w:rsidRDefault="003E7EA2" w:rsidP="003E7EA2"/>
    <w:p w14:paraId="72757164" w14:textId="77777777" w:rsidR="003E7EA2" w:rsidRDefault="003E7EA2" w:rsidP="003E7EA2">
      <w:r>
        <w:t>&lt;ESMA_COMMENT_1&gt;</w:t>
      </w:r>
    </w:p>
    <w:p w14:paraId="282846F5" w14:textId="77777777" w:rsidR="0078056A" w:rsidRDefault="00B8752D" w:rsidP="00B8752D">
      <w:pPr>
        <w:jc w:val="both"/>
      </w:pPr>
      <w:permStart w:id="1926890795" w:edGrp="everyone"/>
      <w:r>
        <w:t>Amundi ranks among the top ten asset managers in the world with assets under management exceeding 820 billion € at the end of June 2014. Without being a major actor in the CDS market, Amundi uses credit derivatives and to illustrate there are currently about 800 positions opened in slightly more than 70 different funds. We have organized for appropriate documentation with major counterparties and use electronic platforms in the operational process.</w:t>
      </w:r>
    </w:p>
    <w:p w14:paraId="1E8BFED1" w14:textId="2C36F807" w:rsidR="003E7EA2" w:rsidRDefault="00B8752D" w:rsidP="00B8752D">
      <w:pPr>
        <w:jc w:val="both"/>
      </w:pPr>
      <w:r>
        <w:t xml:space="preserve"> </w:t>
      </w:r>
    </w:p>
    <w:p w14:paraId="32785634" w14:textId="33D90237" w:rsidR="00B8752D" w:rsidRDefault="00B8752D" w:rsidP="00B8752D">
      <w:pPr>
        <w:jc w:val="both"/>
      </w:pPr>
      <w:r>
        <w:t xml:space="preserve">Amundi considers that the overarching aim to enhance financial stability implies to better organize derivative markets and that obligation to compensate is a way to achieve that goal, provided that supervisors take steps to ensure that authorized CCPs will  constantly be in a position to face their responsibilities without impacting end investors. </w:t>
      </w:r>
    </w:p>
    <w:p w14:paraId="53D5E1E9" w14:textId="77777777" w:rsidR="0078056A" w:rsidRDefault="0078056A" w:rsidP="00B8752D">
      <w:pPr>
        <w:jc w:val="both"/>
      </w:pPr>
    </w:p>
    <w:p w14:paraId="3272E0C4" w14:textId="5259AF23" w:rsidR="0078056A" w:rsidRDefault="00440BFC" w:rsidP="0078056A">
      <w:pPr>
        <w:jc w:val="both"/>
      </w:pPr>
      <w:r>
        <w:t xml:space="preserve">When answering the present consultation document, Amundi does not copy the remarks done in the previous consultation that concerned IRS. We prefer to focus on differences and only reiterate those points that are of prime importance in both cases. </w:t>
      </w:r>
      <w:r w:rsidR="007D62DF">
        <w:t>Thus</w:t>
      </w:r>
      <w:r>
        <w:t>, Amundi insists on the following items:</w:t>
      </w:r>
    </w:p>
    <w:p w14:paraId="2A40735E" w14:textId="77777777" w:rsidR="0078056A" w:rsidRDefault="0078056A" w:rsidP="0078056A">
      <w:pPr>
        <w:jc w:val="both"/>
      </w:pPr>
    </w:p>
    <w:p w14:paraId="3ED3D641" w14:textId="2373FDB6" w:rsidR="0078056A" w:rsidRDefault="0078056A" w:rsidP="0038685E">
      <w:pPr>
        <w:pStyle w:val="Paragraphedeliste"/>
        <w:numPr>
          <w:ilvl w:val="0"/>
          <w:numId w:val="19"/>
        </w:numPr>
        <w:jc w:val="both"/>
      </w:pPr>
      <w:r>
        <w:t>before declaring an obligation to centrally clear a contract, ESMA should make sure that at least 2 CCPs offer a possibility to clear that contract and that they both offer real full segregation as required in EMIR level1;</w:t>
      </w:r>
    </w:p>
    <w:p w14:paraId="0872606C" w14:textId="77777777" w:rsidR="0078056A" w:rsidRDefault="0078056A" w:rsidP="0078056A">
      <w:pPr>
        <w:pStyle w:val="Paragraphedeliste"/>
        <w:jc w:val="both"/>
      </w:pPr>
    </w:p>
    <w:p w14:paraId="0854D517" w14:textId="7C25846F" w:rsidR="00440BFC" w:rsidRDefault="00440BFC" w:rsidP="0038685E">
      <w:pPr>
        <w:pStyle w:val="Paragraphedeliste"/>
        <w:numPr>
          <w:ilvl w:val="0"/>
          <w:numId w:val="18"/>
        </w:numPr>
        <w:jc w:val="both"/>
      </w:pPr>
      <w:r>
        <w:t>obligation to compensate should not apply to modifications applied to a previous contract that do not amount to a total novation; in that respect “genuine amendments” should be specifically excluded from the scope of the obligation; transactions entered into with a view to compress an existing contract that is not subject to clearing obligation should also not be obliged to clear with a CCP but kept available for bilateral compression;</w:t>
      </w:r>
    </w:p>
    <w:p w14:paraId="26E9C363" w14:textId="77777777" w:rsidR="0078056A" w:rsidRDefault="0078056A" w:rsidP="0078056A">
      <w:pPr>
        <w:pStyle w:val="Paragraphedeliste"/>
        <w:jc w:val="both"/>
      </w:pPr>
    </w:p>
    <w:p w14:paraId="308075E4" w14:textId="76265499" w:rsidR="00440BFC" w:rsidRDefault="00440BFC" w:rsidP="0038685E">
      <w:pPr>
        <w:pStyle w:val="Paragraphedeliste"/>
        <w:numPr>
          <w:ilvl w:val="0"/>
          <w:numId w:val="18"/>
        </w:numPr>
        <w:jc w:val="both"/>
      </w:pPr>
      <w:r>
        <w:t xml:space="preserve">funds that we manage are strictly regulated and we feel that there are two clauses that should be taken by CCPs in their operational rules in order to enable UCITS to contract CDS: the close out </w:t>
      </w:r>
      <w:r w:rsidR="000A78CF">
        <w:t>provision</w:t>
      </w:r>
      <w:r>
        <w:t xml:space="preserve"> and the cash settlement </w:t>
      </w:r>
      <w:r w:rsidR="000A78CF">
        <w:t>provision</w:t>
      </w:r>
      <w:bookmarkStart w:id="1" w:name="_GoBack"/>
      <w:bookmarkEnd w:id="1"/>
      <w:r>
        <w:t xml:space="preserve"> allowing funds not to receive loans in case of an event of credit;</w:t>
      </w:r>
      <w:r w:rsidR="000A78CF">
        <w:t xml:space="preserve"> another difficulty for UCITS stems from the fact that they cannot deposit in the hands of a CCP cash or collateral received through Repo or swap of collateral;</w:t>
      </w:r>
    </w:p>
    <w:p w14:paraId="13349FCE" w14:textId="77777777" w:rsidR="000A78CF" w:rsidRDefault="000A78CF" w:rsidP="000A78CF">
      <w:pPr>
        <w:pStyle w:val="Paragraphedeliste"/>
      </w:pPr>
    </w:p>
    <w:p w14:paraId="76F795A4" w14:textId="42BDB153" w:rsidR="000A78CF" w:rsidRDefault="000A78CF" w:rsidP="0038685E">
      <w:pPr>
        <w:pStyle w:val="Paragraphedeliste"/>
        <w:numPr>
          <w:ilvl w:val="0"/>
          <w:numId w:val="18"/>
        </w:numPr>
        <w:jc w:val="both"/>
      </w:pPr>
      <w:r>
        <w:t>CCP rules should also allow for a variety of eligible collateral and ESMA should assess this point;</w:t>
      </w:r>
    </w:p>
    <w:p w14:paraId="70F9709F" w14:textId="77777777" w:rsidR="0078056A" w:rsidRDefault="0078056A" w:rsidP="0078056A">
      <w:pPr>
        <w:pStyle w:val="Paragraphedeliste"/>
        <w:jc w:val="both"/>
      </w:pPr>
    </w:p>
    <w:p w14:paraId="219302B4" w14:textId="3BEE58CB" w:rsidR="00440BFC" w:rsidRDefault="006D007E" w:rsidP="0038685E">
      <w:pPr>
        <w:pStyle w:val="Paragraphedeliste"/>
        <w:numPr>
          <w:ilvl w:val="0"/>
          <w:numId w:val="18"/>
        </w:numPr>
        <w:jc w:val="both"/>
      </w:pPr>
      <w:r>
        <w:t>an international common view in the matter of mandatory central clearing of derivatives</w:t>
      </w:r>
      <w:r w:rsidR="007D62DF">
        <w:t xml:space="preserve"> would certainly be welcomed</w:t>
      </w:r>
      <w:r>
        <w:t>, but the EU should</w:t>
      </w:r>
      <w:r w:rsidR="007D62DF">
        <w:t xml:space="preserve"> not</w:t>
      </w:r>
      <w:r>
        <w:t xml:space="preserve"> align to foreign practices for the mere reason of simplification; we consider that the European context must be analysed locally and urge ESMA not to consider equivalence for CCPs which do not offer </w:t>
      </w:r>
      <w:r w:rsidR="007D62DF">
        <w:t xml:space="preserve">perfect safety and </w:t>
      </w:r>
      <w:r>
        <w:t>total segregation, meaning the possibility for the end client to be known from the CCP that would open an account for him and  individualise his holdings even if they are administered by a clearing member.</w:t>
      </w:r>
    </w:p>
    <w:p w14:paraId="2B2FBC3A" w14:textId="77777777" w:rsidR="007D62DF" w:rsidRDefault="007D62DF" w:rsidP="007D62DF">
      <w:pPr>
        <w:pStyle w:val="Paragraphedeliste"/>
      </w:pPr>
    </w:p>
    <w:p w14:paraId="4762CF4C" w14:textId="09EA0BDF" w:rsidR="007D62DF" w:rsidRDefault="007D62DF" w:rsidP="0038685E">
      <w:pPr>
        <w:pStyle w:val="Paragraphedeliste"/>
        <w:numPr>
          <w:ilvl w:val="0"/>
          <w:numId w:val="18"/>
        </w:numPr>
        <w:jc w:val="both"/>
      </w:pPr>
      <w:r>
        <w:t xml:space="preserve"> the obligation to compensate should be limited to the last five series and not start from series 11; this belief  is based on the strong evidence of concentration of activities on these series provided by ESMA.</w:t>
      </w:r>
    </w:p>
    <w:permEnd w:id="1926890795"/>
    <w:p w14:paraId="5AA849FE" w14:textId="5FF44A4A" w:rsidR="003E7EA2" w:rsidRPr="003E7EA2" w:rsidRDefault="003E7EA2" w:rsidP="003E7EA2">
      <w:r>
        <w:t>&lt;ESMA_COMMENT_1&gt;</w:t>
      </w:r>
    </w:p>
    <w:p w14:paraId="78E9B709" w14:textId="77777777" w:rsidR="000E31C3" w:rsidRDefault="000E31C3" w:rsidP="000E31C3"/>
    <w:p w14:paraId="391FCFAD" w14:textId="77777777" w:rsidR="000E31C3" w:rsidRPr="0058137B" w:rsidRDefault="000E31C3" w:rsidP="00AA0857">
      <w:pPr>
        <w:pStyle w:val="Titre1"/>
      </w:pPr>
      <w:bookmarkStart w:id="2" w:name="_Toc390701574"/>
      <w:bookmarkStart w:id="3" w:name="_Toc392685526"/>
      <w:r w:rsidRPr="0058137B">
        <w:t>The clearing obligation procedure</w:t>
      </w:r>
      <w:bookmarkStart w:id="4" w:name="_Toc390952336"/>
      <w:bookmarkStart w:id="5" w:name="_Toc391310566"/>
      <w:bookmarkStart w:id="6" w:name="_Toc391310591"/>
      <w:bookmarkStart w:id="7" w:name="_Toc391310651"/>
      <w:bookmarkStart w:id="8" w:name="_Toc391313043"/>
      <w:bookmarkEnd w:id="2"/>
      <w:bookmarkEnd w:id="3"/>
      <w:bookmarkEnd w:id="4"/>
      <w:bookmarkEnd w:id="5"/>
      <w:bookmarkEnd w:id="6"/>
      <w:bookmarkEnd w:id="7"/>
      <w:bookmarkEnd w:id="8"/>
    </w:p>
    <w:p w14:paraId="146EFFFC" w14:textId="77777777" w:rsidR="000E31C3" w:rsidRDefault="000E31C3" w:rsidP="000E31C3"/>
    <w:p w14:paraId="015F1BC0" w14:textId="77777777" w:rsidR="000E31C3" w:rsidRPr="007403B2" w:rsidRDefault="000E31C3" w:rsidP="000E31C3">
      <w:pPr>
        <w:pStyle w:val="Questions"/>
      </w:pPr>
      <w:r w:rsidRPr="007403B2">
        <w:t xml:space="preserve">Question </w:t>
      </w:r>
      <w:r w:rsidR="000A78CF">
        <w:fldChar w:fldCharType="begin"/>
      </w:r>
      <w:r w:rsidR="000A78CF">
        <w:instrText xml:space="preserve"> SEQ Question \* ARABIC </w:instrText>
      </w:r>
      <w:r w:rsidR="000A78CF">
        <w:fldChar w:fldCharType="separate"/>
      </w:r>
      <w:r w:rsidR="001826B9">
        <w:rPr>
          <w:noProof/>
        </w:rPr>
        <w:t>1</w:t>
      </w:r>
      <w:r w:rsidR="000A78CF">
        <w:rPr>
          <w:noProof/>
        </w:rPr>
        <w:fldChar w:fldCharType="end"/>
      </w:r>
      <w:r w:rsidRPr="007403B2">
        <w:t>: Do you have any comment on the clearing obligation procedure described in Section 1?</w:t>
      </w:r>
    </w:p>
    <w:p w14:paraId="38B846E1" w14:textId="77777777" w:rsidR="000E31C3" w:rsidRDefault="000E31C3" w:rsidP="000E31C3"/>
    <w:p w14:paraId="1083ED13" w14:textId="7A2420EE" w:rsidR="000E31C3" w:rsidRDefault="000E31C3" w:rsidP="000E31C3">
      <w:r>
        <w:t>&lt;ESMA_QUESTION_1&gt;</w:t>
      </w:r>
    </w:p>
    <w:p w14:paraId="2695A5D9" w14:textId="21B7A8FD" w:rsidR="0070135D" w:rsidRDefault="0070135D" w:rsidP="006D007E">
      <w:pPr>
        <w:jc w:val="both"/>
      </w:pPr>
      <w:permStart w:id="1564177794" w:edGrp="everyone"/>
      <w:r>
        <w:t xml:space="preserve">Amundi shares the view of grouping RTS by asset class and avoid consulting on each class a CCP is authorized to clear. </w:t>
      </w:r>
    </w:p>
    <w:p w14:paraId="705C1D4B" w14:textId="3358D6AF" w:rsidR="000E31C3" w:rsidRDefault="0070135D" w:rsidP="000E31C3">
      <w:r>
        <w:t>However, we feel</w:t>
      </w:r>
      <w:r w:rsidR="00E70C1D">
        <w:t xml:space="preserve"> </w:t>
      </w:r>
      <w:r>
        <w:t>it is difficult to engage i</w:t>
      </w:r>
      <w:r w:rsidR="00E70C1D">
        <w:t>n a thorough analysis</w:t>
      </w:r>
      <w:r w:rsidR="003A579D">
        <w:t xml:space="preserve"> on CDS</w:t>
      </w:r>
      <w:r w:rsidR="00E70C1D">
        <w:t xml:space="preserve"> </w:t>
      </w:r>
      <w:r>
        <w:t xml:space="preserve"> before full authorization of ICE Clear Europe, the second CCP ready to clear CDSs. </w:t>
      </w:r>
      <w:permEnd w:id="1564177794"/>
      <w:r w:rsidR="000E31C3">
        <w:t>&lt;ESMA_QUESTION_1&gt;</w:t>
      </w:r>
    </w:p>
    <w:p w14:paraId="18DCC0AE" w14:textId="77777777" w:rsidR="000E31C3" w:rsidRDefault="000E31C3" w:rsidP="000E31C3"/>
    <w:p w14:paraId="67D8A568" w14:textId="77777777" w:rsidR="000E31C3" w:rsidRDefault="000E31C3" w:rsidP="00AA0857">
      <w:pPr>
        <w:pStyle w:val="Titre1"/>
      </w:pPr>
      <w:bookmarkStart w:id="9" w:name="_Ref392685388"/>
      <w:bookmarkStart w:id="10" w:name="_Toc392685527"/>
      <w:r>
        <w:t>Structure of the credit derivatives classes</w:t>
      </w:r>
      <w:bookmarkEnd w:id="9"/>
      <w:bookmarkEnd w:id="10"/>
    </w:p>
    <w:p w14:paraId="7D4E6A95" w14:textId="77777777" w:rsidR="000E31C3" w:rsidRDefault="000E31C3" w:rsidP="000E31C3"/>
    <w:p w14:paraId="445BD43C" w14:textId="2ABB6F5E" w:rsidR="000E31C3" w:rsidRDefault="000E31C3" w:rsidP="000E31C3">
      <w:pPr>
        <w:pStyle w:val="Questions"/>
      </w:pPr>
      <w:r>
        <w:t xml:space="preserve">Question </w:t>
      </w:r>
      <w:r w:rsidR="000A78CF">
        <w:fldChar w:fldCharType="begin"/>
      </w:r>
      <w:r w:rsidR="000A78CF">
        <w:instrText xml:space="preserve"> SEQ Question \* ARABIC </w:instrText>
      </w:r>
      <w:r w:rsidR="000A78CF">
        <w:fldChar w:fldCharType="separate"/>
      </w:r>
      <w:r w:rsidR="001826B9">
        <w:rPr>
          <w:noProof/>
        </w:rPr>
        <w:t>2</w:t>
      </w:r>
      <w:r w:rsidR="000A78CF">
        <w:rPr>
          <w:noProof/>
        </w:rPr>
        <w:fldChar w:fldCharType="end"/>
      </w:r>
      <w:r>
        <w:t xml:space="preserve">: </w:t>
      </w:r>
      <w:r w:rsidR="007D65B5" w:rsidRPr="007D65B5">
        <w:t>Do you consider that the proposed structure for the untranched index CDS classes enables counterparties to identify which contracts are subject to the clearing obligation as well as allows international convergence? Please explain.</w:t>
      </w:r>
    </w:p>
    <w:p w14:paraId="11E9D040" w14:textId="77777777" w:rsidR="000E31C3" w:rsidRDefault="000E31C3" w:rsidP="000E31C3"/>
    <w:p w14:paraId="51E6E18B" w14:textId="6DC78FE6" w:rsidR="000E31C3" w:rsidRDefault="000E31C3" w:rsidP="000E31C3">
      <w:r>
        <w:t>&lt;ESMA_QUESTION_2&gt;</w:t>
      </w:r>
    </w:p>
    <w:p w14:paraId="3B1720E8" w14:textId="1E018098" w:rsidR="00E70C1D" w:rsidRDefault="00E70C1D" w:rsidP="006D007E">
      <w:pPr>
        <w:jc w:val="both"/>
      </w:pPr>
      <w:permStart w:id="1575779171" w:edGrp="everyone"/>
      <w:r>
        <w:t>Yes, the proposed classification is built on</w:t>
      </w:r>
      <w:r w:rsidR="003A6ABA">
        <w:t xml:space="preserve"> a</w:t>
      </w:r>
      <w:r>
        <w:t xml:space="preserve"> bottom</w:t>
      </w:r>
      <w:r w:rsidR="003A6ABA">
        <w:t>-</w:t>
      </w:r>
      <w:r>
        <w:t xml:space="preserve">up approach that clearly identifies the contracts that would be submitted to mandatory clearing.  As far as </w:t>
      </w:r>
      <w:proofErr w:type="spellStart"/>
      <w:r>
        <w:t>untranched</w:t>
      </w:r>
      <w:proofErr w:type="spellEnd"/>
      <w:r>
        <w:t xml:space="preserve"> index CDS are concerned, the text in §16 starts from the existing 4 contracts and there is no ambiguity for market participants on what they represent. The tenor</w:t>
      </w:r>
      <w:r w:rsidR="003A6ABA">
        <w:t>, the currency</w:t>
      </w:r>
      <w:r>
        <w:t xml:space="preserve"> and the series do complement the exact designation of relevant </w:t>
      </w:r>
      <w:proofErr w:type="spellStart"/>
      <w:r>
        <w:t>untranched</w:t>
      </w:r>
      <w:proofErr w:type="spellEnd"/>
      <w:r>
        <w:t xml:space="preserve"> index CDS. We share the view that</w:t>
      </w:r>
      <w:r w:rsidR="003A6ABA">
        <w:t>,</w:t>
      </w:r>
      <w:r>
        <w:t xml:space="preserve"> as a principle</w:t>
      </w:r>
      <w:r w:rsidR="003A6ABA">
        <w:t xml:space="preserve">, </w:t>
      </w:r>
      <w:r>
        <w:t xml:space="preserve"> new series should be</w:t>
      </w:r>
      <w:r w:rsidR="003A6ABA">
        <w:t xml:space="preserve"> immediately </w:t>
      </w:r>
      <w:r>
        <w:t xml:space="preserve"> included in the obligation to compensate</w:t>
      </w:r>
      <w:r w:rsidR="002B1200">
        <w:t>,</w:t>
      </w:r>
      <w:r>
        <w:t xml:space="preserve"> provided that ESMA would be empowered to s</w:t>
      </w:r>
      <w:r w:rsidR="00F36414">
        <w:t>uspend, temporarily or definitely,</w:t>
      </w:r>
      <w:r>
        <w:t xml:space="preserve"> this obligation whenever  the criteria of standardization, liquidity and availability of prices disappear. </w:t>
      </w:r>
    </w:p>
    <w:p w14:paraId="639D0850" w14:textId="77777777" w:rsidR="00E70C1D" w:rsidRDefault="00E70C1D" w:rsidP="0070135D"/>
    <w:p w14:paraId="35D54817" w14:textId="41EA3FA4" w:rsidR="0070135D" w:rsidRDefault="0070135D" w:rsidP="006D007E">
      <w:pPr>
        <w:jc w:val="both"/>
      </w:pPr>
      <w:r>
        <w:t>We stress</w:t>
      </w:r>
      <w:r w:rsidR="002B1200">
        <w:t>ed in our response to the mandatory clearing of IRS</w:t>
      </w:r>
      <w:r>
        <w:t xml:space="preserve"> that it should be for ESMA to exactly define those contracts that are eligible for clearing at the date of the RTS and will be </w:t>
      </w:r>
      <w:r w:rsidR="003A6ABA">
        <w:t>subject to clearing obligation</w:t>
      </w:r>
      <w:r>
        <w:t xml:space="preserve">. </w:t>
      </w:r>
      <w:r w:rsidR="002B1200">
        <w:t xml:space="preserve"> We consider that for </w:t>
      </w:r>
      <w:proofErr w:type="spellStart"/>
      <w:r w:rsidR="002B1200">
        <w:t>untranched</w:t>
      </w:r>
      <w:proofErr w:type="spellEnd"/>
      <w:r w:rsidR="002B1200">
        <w:t xml:space="preserve"> index CDS, ESMA has fully accomplished this task.</w:t>
      </w:r>
      <w:r w:rsidR="003A6ABA">
        <w:t xml:space="preserve"> </w:t>
      </w:r>
    </w:p>
    <w:p w14:paraId="1B797D0A" w14:textId="77777777" w:rsidR="002B1200" w:rsidRDefault="002B1200" w:rsidP="0070135D"/>
    <w:p w14:paraId="5FCD5DB9" w14:textId="6770EB1A" w:rsidR="00E70C1D" w:rsidRDefault="003A6ABA" w:rsidP="006D007E">
      <w:pPr>
        <w:jc w:val="both"/>
      </w:pPr>
      <w:r>
        <w:t xml:space="preserve">However, </w:t>
      </w:r>
      <w:r w:rsidR="002B1200">
        <w:t>Amundi reiterates</w:t>
      </w:r>
      <w:r w:rsidR="003A579D">
        <w:t xml:space="preserve"> its point that</w:t>
      </w:r>
      <w:r w:rsidR="002B1200">
        <w:t xml:space="preserve"> </w:t>
      </w:r>
      <w:r>
        <w:t>UCITS</w:t>
      </w:r>
      <w:r w:rsidR="002B1200">
        <w:t xml:space="preserve"> </w:t>
      </w:r>
      <w:r w:rsidR="005E662A">
        <w:t xml:space="preserve">encounter </w:t>
      </w:r>
      <w:r w:rsidR="003A579D">
        <w:t>difficulties</w:t>
      </w:r>
      <w:r w:rsidR="005E662A">
        <w:t>, on three accounts,</w:t>
      </w:r>
      <w:r w:rsidR="003A579D">
        <w:t xml:space="preserve"> </w:t>
      </w:r>
      <w:r w:rsidR="002B1200">
        <w:t xml:space="preserve">to comply with the clearing </w:t>
      </w:r>
      <w:r>
        <w:t>obligation</w:t>
      </w:r>
      <w:r w:rsidR="005E662A">
        <w:t>. First,</w:t>
      </w:r>
      <w:r>
        <w:t xml:space="preserve"> because of the  “</w:t>
      </w:r>
      <w:r w:rsidR="0070135D">
        <w:t>Close out clause</w:t>
      </w:r>
      <w:r>
        <w:t xml:space="preserve">” provision </w:t>
      </w:r>
      <w:r w:rsidR="0070135D">
        <w:t>: UCITS must be in a position to close any OTC transact</w:t>
      </w:r>
      <w:r>
        <w:t>ion they entered in at any time.</w:t>
      </w:r>
      <w:r w:rsidR="0070135D">
        <w:t xml:space="preserve"> </w:t>
      </w:r>
      <w:r>
        <w:t>T</w:t>
      </w:r>
      <w:r w:rsidR="0070135D">
        <w:t xml:space="preserve">his is not easy to organize with a CCP except if </w:t>
      </w:r>
      <w:r w:rsidR="003A579D">
        <w:t xml:space="preserve">the initial </w:t>
      </w:r>
      <w:r w:rsidR="0070135D">
        <w:t>trade</w:t>
      </w:r>
      <w:r w:rsidR="003A579D">
        <w:t xml:space="preserve"> has been made </w:t>
      </w:r>
      <w:r w:rsidR="0070135D">
        <w:t xml:space="preserve"> w</w:t>
      </w:r>
      <w:r>
        <w:t>ith the clearing broker. I</w:t>
      </w:r>
      <w:r w:rsidR="0070135D">
        <w:t>t looks like UCITS will have to breach e</w:t>
      </w:r>
      <w:r>
        <w:t>ither UCITS rules or EMIR rules and</w:t>
      </w:r>
      <w:r w:rsidR="0070135D">
        <w:t xml:space="preserve"> we urge ESMA to express a clear position on this point already raised several times</w:t>
      </w:r>
      <w:r>
        <w:t>.</w:t>
      </w:r>
      <w:r w:rsidR="00027FE4">
        <w:t xml:space="preserve"> Furthermore, loans are not eligible in the portfolio o</w:t>
      </w:r>
      <w:r w:rsidR="00B25C39">
        <w:t>f a UCITS and the cash settlement provision</w:t>
      </w:r>
      <w:r w:rsidR="00027FE4">
        <w:t xml:space="preserve"> requires a specific documentation</w:t>
      </w:r>
      <w:r w:rsidR="00B25C39">
        <w:t xml:space="preserve"> (generally a side letter)</w:t>
      </w:r>
      <w:r w:rsidR="00027FE4">
        <w:t xml:space="preserve"> to be signed by counterparties.</w:t>
      </w:r>
      <w:r w:rsidR="00FD4A33">
        <w:t xml:space="preserve"> Finally, we mention the difficulty for UCITS to trade clearable derivatives because of ESMA’s guidelines on ETF and other UCITS issues that prevent a UCITS from using as collateral either cash or eligible securities that </w:t>
      </w:r>
      <w:r w:rsidR="00B25C39">
        <w:t>have</w:t>
      </w:r>
      <w:r w:rsidR="00FD4A33">
        <w:t xml:space="preserve"> b</w:t>
      </w:r>
      <w:r w:rsidR="00B25C39">
        <w:t>e</w:t>
      </w:r>
      <w:r w:rsidR="00FD4A33">
        <w:t>e</w:t>
      </w:r>
      <w:r w:rsidR="00B25C39">
        <w:t>n</w:t>
      </w:r>
      <w:r w:rsidR="00FD4A33">
        <w:t xml:space="preserve"> obtained through a Repo or a </w:t>
      </w:r>
      <w:r w:rsidR="007B6706">
        <w:t>swap of collateral. Amundi insists on the necessity for ESMA to amend its guidelines and allow UCITS to use the proceeds or securities received as collateral or through Repo as collateral deposited in the hands of a CCP. Especially when the UCITS opts for full segregation.</w:t>
      </w:r>
    </w:p>
    <w:permEnd w:id="1575779171"/>
    <w:p w14:paraId="195F3EF7" w14:textId="649173DF" w:rsidR="000E31C3" w:rsidRDefault="000E31C3" w:rsidP="000E31C3">
      <w:r>
        <w:t>&lt;ESMA_QUESTION_2&gt;</w:t>
      </w:r>
    </w:p>
    <w:p w14:paraId="75FF53AF" w14:textId="77777777" w:rsidR="000E31C3" w:rsidRDefault="000E31C3" w:rsidP="000E31C3"/>
    <w:p w14:paraId="5F3A4520" w14:textId="77777777" w:rsidR="000E31C3" w:rsidRPr="00A84770" w:rsidRDefault="000E31C3" w:rsidP="00AA0857">
      <w:pPr>
        <w:pStyle w:val="Titre1"/>
      </w:pPr>
      <w:bookmarkStart w:id="11" w:name="_Toc389466262"/>
      <w:bookmarkStart w:id="12" w:name="_Toc389496893"/>
      <w:bookmarkStart w:id="13" w:name="_Toc392685528"/>
      <w:r>
        <w:t>Determination of the c</w:t>
      </w:r>
      <w:r w:rsidRPr="00A84770">
        <w:t xml:space="preserve">lasses of OTC </w:t>
      </w:r>
      <w:r>
        <w:t>d</w:t>
      </w:r>
      <w:r w:rsidRPr="00A84770">
        <w:t>erivatives to be subject to the clearing obligation</w:t>
      </w:r>
      <w:bookmarkEnd w:id="11"/>
      <w:bookmarkEnd w:id="12"/>
      <w:bookmarkEnd w:id="13"/>
    </w:p>
    <w:p w14:paraId="597AD3AF" w14:textId="77777777" w:rsidR="000E31C3" w:rsidRDefault="000E31C3" w:rsidP="000E31C3"/>
    <w:p w14:paraId="5525AE50" w14:textId="1AB33A70" w:rsidR="00082AD5" w:rsidRDefault="000E31C3" w:rsidP="000E31C3">
      <w:pPr>
        <w:pStyle w:val="Questions"/>
      </w:pPr>
      <w:r>
        <w:t xml:space="preserve">Question </w:t>
      </w:r>
      <w:r w:rsidR="000A78CF">
        <w:fldChar w:fldCharType="begin"/>
      </w:r>
      <w:r w:rsidR="000A78CF">
        <w:instrText xml:space="preserve"> SEQ Question \* ARABIC </w:instrText>
      </w:r>
      <w:r w:rsidR="000A78CF">
        <w:fldChar w:fldCharType="separate"/>
      </w:r>
      <w:r w:rsidR="001826B9">
        <w:rPr>
          <w:noProof/>
        </w:rPr>
        <w:t>3</w:t>
      </w:r>
      <w:r w:rsidR="000A78CF">
        <w:rPr>
          <w:noProof/>
        </w:rPr>
        <w:fldChar w:fldCharType="end"/>
      </w:r>
      <w:r>
        <w:t xml:space="preserve">: In view of the criteria set in Article 5(4) of EMIR, do you consider that </w:t>
      </w:r>
      <w:r w:rsidR="00082AD5">
        <w:t xml:space="preserve">this </w:t>
      </w:r>
      <w:r>
        <w:t xml:space="preserve">set of classes </w:t>
      </w:r>
      <w:r w:rsidR="00082AD5">
        <w:t>addresses appropriately the systemic risk associated to credit OTC derivatives</w:t>
      </w:r>
      <w:r>
        <w:t xml:space="preserve">? </w:t>
      </w:r>
    </w:p>
    <w:p w14:paraId="5817D277" w14:textId="219D179E" w:rsidR="000E31C3" w:rsidRDefault="000E31C3" w:rsidP="000E31C3">
      <w:pPr>
        <w:pStyle w:val="Questions"/>
      </w:pPr>
      <w:r>
        <w:t>Given the systemic risk associated to single name CDS, would you argue that they should be a priority for the first determination as well? Please include relevant data or information where applicable.</w:t>
      </w:r>
    </w:p>
    <w:p w14:paraId="24F1FCAB" w14:textId="77777777" w:rsidR="000E31C3" w:rsidRDefault="000E31C3" w:rsidP="000E31C3"/>
    <w:p w14:paraId="7276F300" w14:textId="19EE196A" w:rsidR="000E31C3" w:rsidRDefault="000E31C3" w:rsidP="000E31C3">
      <w:r>
        <w:t>&lt;ESMA_QUESTION_3&gt;</w:t>
      </w:r>
    </w:p>
    <w:p w14:paraId="7230D335" w14:textId="46CCF297" w:rsidR="003A579D" w:rsidRDefault="003A6ABA" w:rsidP="006D007E">
      <w:pPr>
        <w:jc w:val="both"/>
      </w:pPr>
      <w:permStart w:id="1419206484" w:edGrp="everyone"/>
      <w:r>
        <w:t xml:space="preserve">Yes, Amundi supports the </w:t>
      </w:r>
      <w:r w:rsidR="00070930">
        <w:t>conclusion that only two classes of CDS should be subject to a clearing obligation under EMIR</w:t>
      </w:r>
      <w:r w:rsidR="006D007E">
        <w:t xml:space="preserve"> </w:t>
      </w:r>
      <w:r w:rsidR="00070930">
        <w:t xml:space="preserve">: </w:t>
      </w:r>
      <w:proofErr w:type="spellStart"/>
      <w:r w:rsidR="00070930">
        <w:t>iTraxx</w:t>
      </w:r>
      <w:proofErr w:type="spellEnd"/>
      <w:r w:rsidR="00070930">
        <w:t xml:space="preserve"> Europe Main and </w:t>
      </w:r>
      <w:proofErr w:type="spellStart"/>
      <w:r w:rsidR="00070930">
        <w:t>iTraxx</w:t>
      </w:r>
      <w:proofErr w:type="spellEnd"/>
      <w:r w:rsidR="00070930">
        <w:t xml:space="preserve"> Europe Crossover. </w:t>
      </w:r>
    </w:p>
    <w:p w14:paraId="613A0834" w14:textId="0791E5B6" w:rsidR="00070930" w:rsidRDefault="00070930" w:rsidP="006D007E">
      <w:pPr>
        <w:jc w:val="both"/>
      </w:pPr>
      <w:r>
        <w:t>We consider that despite the fact that volumes are small compared to IRS they can present a systemic risk. We agree o</w:t>
      </w:r>
      <w:r w:rsidR="003A579D">
        <w:t>n the fact that single name CDS,</w:t>
      </w:r>
      <w:r>
        <w:t xml:space="preserve"> High Yield and Financial</w:t>
      </w:r>
      <w:r w:rsidR="003A579D">
        <w:t xml:space="preserve"> indices</w:t>
      </w:r>
      <w:r w:rsidR="003A579D" w:rsidRPr="003A579D">
        <w:t xml:space="preserve"> </w:t>
      </w:r>
      <w:r w:rsidR="003A579D">
        <w:t>should not be considered for mandatory clearing</w:t>
      </w:r>
      <w:r>
        <w:t>; on top of the</w:t>
      </w:r>
      <w:r w:rsidR="00027FE4">
        <w:t xml:space="preserve"> mentioned difficulties in terms of</w:t>
      </w:r>
      <w:r>
        <w:t xml:space="preserve"> liquidity</w:t>
      </w:r>
      <w:r w:rsidR="00027FE4">
        <w:t>, wrong way risk and</w:t>
      </w:r>
      <w:r>
        <w:t xml:space="preserve"> </w:t>
      </w:r>
      <w:r w:rsidR="00027FE4">
        <w:t>availability</w:t>
      </w:r>
      <w:r>
        <w:t xml:space="preserve"> </w:t>
      </w:r>
      <w:r w:rsidR="00027FE4">
        <w:t xml:space="preserve">of clearing in different CCPs, </w:t>
      </w:r>
      <w:r>
        <w:t>we consider that they present a higher level of volatility that makes it difficult to calibrate the appropriate level of margin.</w:t>
      </w:r>
    </w:p>
    <w:p w14:paraId="585ED3F8" w14:textId="77777777" w:rsidR="004F2A6D" w:rsidRDefault="00027FE4" w:rsidP="006D007E">
      <w:pPr>
        <w:jc w:val="both"/>
      </w:pPr>
      <w:r>
        <w:t>However, Amundi is not satisfied with the idea to start from series 11 to impose mandatory clearing. It seems that this proposal does not rely on</w:t>
      </w:r>
      <w:r w:rsidR="003A579D">
        <w:t xml:space="preserve"> any other</w:t>
      </w:r>
      <w:r>
        <w:t xml:space="preserve"> </w:t>
      </w:r>
      <w:r w:rsidR="003A579D">
        <w:t>evidence</w:t>
      </w:r>
      <w:r>
        <w:t xml:space="preserve"> </w:t>
      </w:r>
      <w:r w:rsidR="003A579D">
        <w:t>than</w:t>
      </w:r>
      <w:r>
        <w:t xml:space="preserve"> the fact that starting from series 11, there are 2 CCPs ready to clear these CDS.</w:t>
      </w:r>
      <w:r w:rsidR="00902290">
        <w:t xml:space="preserve"> Figures as provided by ESMA show that the last 5 series do concentrate most of the volumes. For example in table 6 on </w:t>
      </w:r>
      <w:proofErr w:type="spellStart"/>
      <w:r w:rsidR="00902290">
        <w:t>iTraxx</w:t>
      </w:r>
      <w:proofErr w:type="spellEnd"/>
      <w:r w:rsidR="00902290">
        <w:t xml:space="preserve"> Europe Main, the series 17 to 2</w:t>
      </w:r>
      <w:r w:rsidR="00885827">
        <w:t>1</w:t>
      </w:r>
      <w:r w:rsidR="00902290">
        <w:t xml:space="preserve"> represent an aggregate total of </w:t>
      </w:r>
      <w:r w:rsidR="00EC5A71">
        <w:t>2</w:t>
      </w:r>
      <w:r w:rsidR="00902290">
        <w:t>.1 trillion $ when the following 6 series</w:t>
      </w:r>
      <w:r w:rsidR="00EC5A71">
        <w:t>,</w:t>
      </w:r>
      <w:r w:rsidR="00902290">
        <w:t xml:space="preserve"> from 11 to 16</w:t>
      </w:r>
      <w:r w:rsidR="00EC5A71">
        <w:t>,</w:t>
      </w:r>
      <w:r w:rsidR="00902290">
        <w:t xml:space="preserve"> amount to less than 1</w:t>
      </w:r>
      <w:r w:rsidR="00EC5A71">
        <w:t>5</w:t>
      </w:r>
      <w:r w:rsidR="00902290">
        <w:t>% of that total with 300 billion</w:t>
      </w:r>
      <w:r w:rsidR="00EC5A71">
        <w:t xml:space="preserve"> </w:t>
      </w:r>
      <w:r w:rsidR="00902290">
        <w:t xml:space="preserve">$ </w:t>
      </w:r>
      <w:r w:rsidR="00EC5A71">
        <w:t xml:space="preserve">. For </w:t>
      </w:r>
      <w:proofErr w:type="spellStart"/>
      <w:r w:rsidR="00EC5A71">
        <w:t>iTraxx</w:t>
      </w:r>
      <w:proofErr w:type="spellEnd"/>
      <w:r w:rsidR="00EC5A71">
        <w:t xml:space="preserve"> Europe Crossover, table 7 gives comparable results with series 11 to 16 representing  at 72 billion $  about 17% of the total figure of 440 billion $ for the last 5 series numbered 17 to 21. In view of these data we strongly recommend that mandatory compensation apply to series 17 onwards. The more so</w:t>
      </w:r>
      <w:r w:rsidR="00885827">
        <w:t>,</w:t>
      </w:r>
      <w:r w:rsidR="00EC5A71">
        <w:t xml:space="preserve"> that at the application date there will be 2 or 3 more series.</w:t>
      </w:r>
    </w:p>
    <w:p w14:paraId="16B5EFF1" w14:textId="71F838E2" w:rsidR="00027FE4" w:rsidRDefault="004F2A6D" w:rsidP="006D007E">
      <w:pPr>
        <w:jc w:val="both"/>
      </w:pPr>
      <w:r>
        <w:t>Furthermore, Amundi feels that a specific attention should be paid to the type of eligible collateral accepted by the CCPs that clear those contracts considered for clearing obligation.  It is a sensitive issue and ESMA should investigate that point, with a view to ensure that there will be a large enough choice for market participants to provide collateral. It is important in order to avoid collateral shortage and maintain an active and liquid market.</w:t>
      </w:r>
      <w:r w:rsidR="00EC5A71">
        <w:t xml:space="preserve"> </w:t>
      </w:r>
    </w:p>
    <w:permEnd w:id="1419206484"/>
    <w:p w14:paraId="59A232C2" w14:textId="0A5991AE" w:rsidR="000E31C3" w:rsidRDefault="000E31C3" w:rsidP="000E31C3">
      <w:r>
        <w:t>&lt;ESMA_QUESTION_3&gt;</w:t>
      </w:r>
    </w:p>
    <w:p w14:paraId="3E8225FA" w14:textId="77777777" w:rsidR="000E31C3" w:rsidRDefault="000E31C3" w:rsidP="000E31C3"/>
    <w:p w14:paraId="69AB40B4" w14:textId="77777777" w:rsidR="003E7EA2" w:rsidRDefault="003E7EA2">
      <w:pPr>
        <w:rPr>
          <w:b/>
        </w:rPr>
      </w:pPr>
      <w:bookmarkStart w:id="14" w:name="_Ref390182009"/>
      <w:bookmarkStart w:id="15" w:name="_Toc392685529"/>
      <w:r>
        <w:br w:type="page"/>
      </w:r>
    </w:p>
    <w:p w14:paraId="3A68E917" w14:textId="77777777" w:rsidR="00AA0857" w:rsidRPr="00AA0857" w:rsidRDefault="000E31C3" w:rsidP="00AA0857">
      <w:pPr>
        <w:pStyle w:val="Titre1"/>
      </w:pPr>
      <w:r w:rsidRPr="00AA0857">
        <w:t>Determination of the dates on which the obligation applies and the categories of counterparties</w:t>
      </w:r>
      <w:bookmarkStart w:id="16" w:name="_Ref392684359"/>
      <w:bookmarkStart w:id="17" w:name="_Ref389061836"/>
      <w:bookmarkEnd w:id="14"/>
      <w:bookmarkEnd w:id="15"/>
    </w:p>
    <w:p w14:paraId="413DF82E" w14:textId="65C2DA0A" w:rsidR="00AA0857" w:rsidRPr="00AA0857" w:rsidRDefault="00AA0857" w:rsidP="00AA0857">
      <w:pPr>
        <w:pStyle w:val="Titre2"/>
      </w:pPr>
      <w:r w:rsidRPr="00AA0857">
        <w:t>Analysis of the criteria relevant for the determination of the dates</w:t>
      </w:r>
      <w:bookmarkEnd w:id="16"/>
      <w:bookmarkEnd w:id="17"/>
    </w:p>
    <w:p w14:paraId="375D529F" w14:textId="77777777" w:rsidR="000E31C3" w:rsidRDefault="000E31C3" w:rsidP="000E31C3"/>
    <w:p w14:paraId="12376D90" w14:textId="6C9A7CB2" w:rsidR="000E31C3" w:rsidRPr="007403B2" w:rsidRDefault="000E31C3" w:rsidP="000E31C3">
      <w:pPr>
        <w:pStyle w:val="Questions"/>
      </w:pPr>
      <w:r w:rsidRPr="007403B2">
        <w:t xml:space="preserve">Question </w:t>
      </w:r>
      <w:r w:rsidR="000A78CF">
        <w:fldChar w:fldCharType="begin"/>
      </w:r>
      <w:r w:rsidR="000A78CF">
        <w:instrText xml:space="preserve"> SEQ Question \* ARABIC </w:instrText>
      </w:r>
      <w:r w:rsidR="000A78CF">
        <w:fldChar w:fldCharType="separate"/>
      </w:r>
      <w:r w:rsidR="001826B9">
        <w:rPr>
          <w:noProof/>
        </w:rPr>
        <w:t>4</w:t>
      </w:r>
      <w:r w:rsidR="000A78CF">
        <w:rPr>
          <w:noProof/>
        </w:rPr>
        <w:fldChar w:fldCharType="end"/>
      </w:r>
      <w:r w:rsidRPr="007403B2">
        <w:t>: Do you have any comment on the analysis presented in Section</w:t>
      </w:r>
      <w:r w:rsidR="00082AD5">
        <w:t xml:space="preserve"> 4.1</w:t>
      </w:r>
      <w:r w:rsidRPr="007403B2">
        <w:t>?</w:t>
      </w:r>
    </w:p>
    <w:p w14:paraId="7372F1F2" w14:textId="77777777" w:rsidR="000E31C3" w:rsidRDefault="000E31C3" w:rsidP="000E31C3"/>
    <w:p w14:paraId="1BB8B971" w14:textId="095D2184" w:rsidR="000E31C3" w:rsidRDefault="000E31C3" w:rsidP="000E31C3">
      <w:r>
        <w:t>&lt;ESMA_QUESTION_4&gt;</w:t>
      </w:r>
    </w:p>
    <w:p w14:paraId="5B67B322" w14:textId="77777777" w:rsidR="00EB1609" w:rsidRDefault="00EB1609" w:rsidP="00EB1609">
      <w:pPr>
        <w:jc w:val="both"/>
      </w:pPr>
      <w:permStart w:id="327113600" w:edGrp="everyone"/>
      <w:r>
        <w:t xml:space="preserve">Yes, Amundi has comments on ESMA’s interpretation of the first three criteria listed in article 5(5) of EMIR. </w:t>
      </w:r>
    </w:p>
    <w:p w14:paraId="34500CF9" w14:textId="447A7E67" w:rsidR="00EB1609" w:rsidRDefault="00960BA0" w:rsidP="0038685E">
      <w:pPr>
        <w:pStyle w:val="Paragraphedeliste"/>
        <w:numPr>
          <w:ilvl w:val="0"/>
          <w:numId w:val="17"/>
        </w:numPr>
        <w:jc w:val="both"/>
      </w:pPr>
      <w:r>
        <w:t>In §41 to 46 ESMA takes as a guarantee of complete stand</w:t>
      </w:r>
      <w:r w:rsidR="00FB1241">
        <w:t xml:space="preserve">ardization the fact that most </w:t>
      </w:r>
      <w:r>
        <w:t xml:space="preserve"> CDS trades are confirmed through electronic platforms. In fact</w:t>
      </w:r>
      <w:r w:rsidR="00885827">
        <w:t xml:space="preserve"> the</w:t>
      </w:r>
      <w:r>
        <w:t xml:space="preserve"> </w:t>
      </w:r>
      <w:r w:rsidR="00885827">
        <w:t>process for CDS is less automated than for IRS. C</w:t>
      </w:r>
      <w:r>
        <w:t xml:space="preserve">ounterparties </w:t>
      </w:r>
      <w:r w:rsidR="00885827">
        <w:t>must consult the documentation to check the terms of specifications that vary from one master confirmation or one side letter to the other; for example, the “partial cash settlement” clause is not standardized and is always specified when an asset manager trades for the account of a fund; w</w:t>
      </w:r>
      <w:r w:rsidR="00FB1241">
        <w:t xml:space="preserve">e conclude that phasing in </w:t>
      </w:r>
      <w:r w:rsidR="00885827">
        <w:t xml:space="preserve">of the obligation to clear CDS </w:t>
      </w:r>
      <w:r w:rsidR="00FB1241">
        <w:t>must be long enough;</w:t>
      </w:r>
      <w:r>
        <w:t xml:space="preserve"> </w:t>
      </w:r>
    </w:p>
    <w:p w14:paraId="7E0E7C54" w14:textId="4B0828DE" w:rsidR="00EB1609" w:rsidRDefault="00960BA0" w:rsidP="0038685E">
      <w:pPr>
        <w:pStyle w:val="Paragraphedeliste"/>
        <w:numPr>
          <w:ilvl w:val="0"/>
          <w:numId w:val="17"/>
        </w:numPr>
        <w:jc w:val="both"/>
      </w:pPr>
      <w:r>
        <w:t xml:space="preserve">In § 48 ESMA </w:t>
      </w:r>
      <w:r w:rsidR="001D67E5">
        <w:t xml:space="preserve">commits a </w:t>
      </w:r>
      <w:proofErr w:type="spellStart"/>
      <w:r w:rsidR="001D67E5">
        <w:t>lapsus</w:t>
      </w:r>
      <w:proofErr w:type="spellEnd"/>
      <w:r w:rsidR="001D67E5">
        <w:t xml:space="preserve"> when referring to interest rate OTC instead of CDS derivatives;</w:t>
      </w:r>
    </w:p>
    <w:p w14:paraId="0839EDF2" w14:textId="7729107C" w:rsidR="001D67E5" w:rsidRDefault="001D67E5" w:rsidP="0038685E">
      <w:pPr>
        <w:pStyle w:val="Paragraphedeliste"/>
        <w:numPr>
          <w:ilvl w:val="0"/>
          <w:numId w:val="17"/>
        </w:numPr>
        <w:jc w:val="both"/>
      </w:pPr>
      <w:r>
        <w:t>We agree with the proportionate approach taken by ESMA when assessing the market dispersion and considering as adequate the number of clearing firms or groups with reference to the size of the market;</w:t>
      </w:r>
    </w:p>
    <w:p w14:paraId="7847D7A7" w14:textId="1818FC65" w:rsidR="001D67E5" w:rsidRDefault="001D67E5" w:rsidP="0038685E">
      <w:pPr>
        <w:pStyle w:val="Paragraphedeliste"/>
        <w:numPr>
          <w:ilvl w:val="0"/>
          <w:numId w:val="17"/>
        </w:numPr>
        <w:jc w:val="both"/>
      </w:pPr>
      <w:r>
        <w:t>We support ESMA’s view  in §60 that Europe senior financial index having been cleared by only one CCP and for a short period of time should not be considered for mandatory compensation. Furthermore the wrong way risk mentioned for financial single names is not negligible with the index that includes most of the active traders on CDS</w:t>
      </w:r>
      <w:r w:rsidR="00FB1241">
        <w:t>, members of the CCPs</w:t>
      </w:r>
      <w:r>
        <w:t>;</w:t>
      </w:r>
    </w:p>
    <w:p w14:paraId="096D4F9C" w14:textId="5332750A" w:rsidR="001D67E5" w:rsidRDefault="00FB1241" w:rsidP="0038685E">
      <w:pPr>
        <w:pStyle w:val="Paragraphedeliste"/>
        <w:numPr>
          <w:ilvl w:val="0"/>
          <w:numId w:val="17"/>
        </w:numPr>
        <w:jc w:val="both"/>
      </w:pPr>
      <w:r>
        <w:t>The availability of pricing information on CDS is effective through data providers that charge fees that represent a fair amount for actors that do not trade much. The public pricing model mentioned by ESMA does not provide a real access to pricing information, it simply testifies of the existence of a standard approach for pricing; the question of availability of prices is probably a real concern for smaller participants and the obligation to compensate will enable them to benefit from an informed quotation as used by the CCP; hence, it will improve market fluidity;</w:t>
      </w:r>
    </w:p>
    <w:p w14:paraId="0CC4947C" w14:textId="6C6B442A" w:rsidR="00EB1609" w:rsidRDefault="001D67E5" w:rsidP="0038685E">
      <w:pPr>
        <w:pStyle w:val="Paragraphedeliste"/>
        <w:numPr>
          <w:ilvl w:val="0"/>
          <w:numId w:val="17"/>
        </w:numPr>
        <w:jc w:val="both"/>
      </w:pPr>
      <w:r>
        <w:t>W</w:t>
      </w:r>
      <w:r w:rsidR="00EB1609">
        <w:t>hen discussing the number of CCPs, ESMA rejects the idea that there must be some competition between several CCPs before deciding</w:t>
      </w:r>
      <w:r w:rsidR="00885827">
        <w:t xml:space="preserve"> on the</w:t>
      </w:r>
      <w:r w:rsidR="00EB1609">
        <w:t xml:space="preserve"> obligation to compensate and takes it as an element when fixing the date from which the clearing obligation would apply; we strongly oppose this view that may lead to a monopoly or, even worst, to the necessity to clear through a CCP which might not meet the standards we expect; ESMA should always verify the existence of at least 2 CCPs offering total segregation service and their quality before deciding a clearing obligation.</w:t>
      </w:r>
    </w:p>
    <w:permEnd w:id="327113600"/>
    <w:p w14:paraId="08CE0DDA" w14:textId="15A025E1" w:rsidR="000E31C3" w:rsidRDefault="000E31C3" w:rsidP="000E31C3">
      <w:r>
        <w:t>&lt;ESMA_QUESTION_4&gt;</w:t>
      </w:r>
    </w:p>
    <w:p w14:paraId="3BD9F7F1" w14:textId="77777777" w:rsidR="000E31C3" w:rsidRDefault="000E31C3" w:rsidP="000E31C3"/>
    <w:p w14:paraId="3F4B4019" w14:textId="77777777" w:rsidR="00AA0857" w:rsidRPr="00AA0857" w:rsidRDefault="00AA0857" w:rsidP="00AA0857">
      <w:pPr>
        <w:pStyle w:val="Titre2"/>
      </w:pPr>
      <w:r w:rsidRPr="00AA0857">
        <w:t>Determination of the categories of counterparties (Criteria (d) to (f))</w:t>
      </w:r>
    </w:p>
    <w:p w14:paraId="7A0305E4" w14:textId="77777777" w:rsidR="0033077A" w:rsidRDefault="0033077A" w:rsidP="000E31C3">
      <w:pPr>
        <w:pStyle w:val="Questions"/>
      </w:pPr>
    </w:p>
    <w:p w14:paraId="0B316A87" w14:textId="01D077B7" w:rsidR="00AA0857" w:rsidRDefault="000E31C3" w:rsidP="000E31C3">
      <w:pPr>
        <w:pStyle w:val="Questions"/>
      </w:pPr>
      <w:r w:rsidRPr="007403B2">
        <w:t xml:space="preserve">Question </w:t>
      </w:r>
      <w:r w:rsidR="000A78CF">
        <w:fldChar w:fldCharType="begin"/>
      </w:r>
      <w:r w:rsidR="000A78CF">
        <w:instrText xml:space="preserve"> SEQ Question \* ARABIC </w:instrText>
      </w:r>
      <w:r w:rsidR="000A78CF">
        <w:fldChar w:fldCharType="separate"/>
      </w:r>
      <w:r w:rsidR="001826B9">
        <w:rPr>
          <w:noProof/>
        </w:rPr>
        <w:t>5</w:t>
      </w:r>
      <w:r w:rsidR="000A78CF">
        <w:rPr>
          <w:noProof/>
        </w:rPr>
        <w:fldChar w:fldCharType="end"/>
      </w:r>
      <w:r w:rsidRPr="007403B2">
        <w:t>: Do you agree with the proposal to keep the same definition of the categories of counterparties for the credit and the interest rate asset classes? Please explain why and possible alternatives.</w:t>
      </w:r>
    </w:p>
    <w:p w14:paraId="6105FB6E" w14:textId="77777777" w:rsidR="0033077A" w:rsidRDefault="0033077A" w:rsidP="000E31C3"/>
    <w:p w14:paraId="29D1D6B7" w14:textId="7826AD73" w:rsidR="000E31C3" w:rsidRDefault="000E31C3" w:rsidP="000E31C3">
      <w:r>
        <w:t>&lt;ESMA_QUESTION_5&gt;</w:t>
      </w:r>
    </w:p>
    <w:p w14:paraId="6145556E" w14:textId="77777777" w:rsidR="00C646E3" w:rsidRDefault="00C646E3" w:rsidP="000E31C3">
      <w:permStart w:id="1259478659" w:edGrp="everyone"/>
      <w:r>
        <w:t>Amundi reiterates its response to question 7  in the IRS consultation.</w:t>
      </w:r>
      <w:r w:rsidRPr="00C646E3">
        <w:t xml:space="preserve"> </w:t>
      </w:r>
    </w:p>
    <w:p w14:paraId="7226E658" w14:textId="3BEB561F" w:rsidR="000E31C3" w:rsidRPr="00D2467A" w:rsidRDefault="00C646E3" w:rsidP="000E31C3">
      <w:pPr>
        <w:rPr>
          <w:i/>
        </w:rPr>
      </w:pPr>
      <w:r w:rsidRPr="00D2467A">
        <w:rPr>
          <w:i/>
        </w:rPr>
        <w:t>Yes, we agree  with the distinction between clearing members already in contact with at least one CCP that clears at least one contract subject to clearing obligation, financial institutions and NFC+. The proposed classification is easy to understand for an asset manager : all our funds will be classified in category 2 as will be most of our mandates with a few exceptions for actors outside the scope of EMIR or NFC clients.</w:t>
      </w:r>
    </w:p>
    <w:p w14:paraId="4E53B216" w14:textId="77777777" w:rsidR="00C646E3" w:rsidRDefault="00C646E3" w:rsidP="000E31C3"/>
    <w:p w14:paraId="15AB7BC3" w14:textId="6AA29B09" w:rsidR="00C646E3" w:rsidRDefault="00C646E3" w:rsidP="00885827">
      <w:pPr>
        <w:jc w:val="both"/>
      </w:pPr>
      <w:r>
        <w:t>We add that there is in our view no reason not to keep the same categories and insist on the fact that consistency</w:t>
      </w:r>
      <w:r w:rsidR="00885827">
        <w:t xml:space="preserve"> improves legal</w:t>
      </w:r>
      <w:r>
        <w:t xml:space="preserve"> certainty</w:t>
      </w:r>
      <w:r w:rsidR="00885827">
        <w:t xml:space="preserve"> and reduces operational risk</w:t>
      </w:r>
      <w:r>
        <w:t>.</w:t>
      </w:r>
    </w:p>
    <w:permEnd w:id="1259478659"/>
    <w:p w14:paraId="595FC331" w14:textId="021AE42A" w:rsidR="000E31C3" w:rsidRDefault="000E31C3" w:rsidP="000E31C3">
      <w:r>
        <w:t>&lt;ESMA_QUESTION_5&gt;</w:t>
      </w:r>
    </w:p>
    <w:p w14:paraId="5CAFE2D7" w14:textId="77777777" w:rsidR="000E31C3" w:rsidRDefault="000E31C3" w:rsidP="000E31C3"/>
    <w:p w14:paraId="7DDBBED8" w14:textId="77777777" w:rsidR="00AA0857" w:rsidRPr="00AA0857" w:rsidRDefault="00AA0857" w:rsidP="00AA0857">
      <w:pPr>
        <w:pStyle w:val="Titre2"/>
      </w:pPr>
      <w:bookmarkStart w:id="18" w:name="_Ref389061941"/>
      <w:r w:rsidRPr="00AA0857">
        <w:t xml:space="preserve">Determination of the </w:t>
      </w:r>
      <w:bookmarkEnd w:id="18"/>
      <w:r w:rsidRPr="00AA0857">
        <w:t>dates from which the clearing obligation takes effect</w:t>
      </w:r>
    </w:p>
    <w:p w14:paraId="3D8B91B0" w14:textId="77777777" w:rsidR="0033077A" w:rsidRDefault="0033077A" w:rsidP="000E31C3">
      <w:pPr>
        <w:pStyle w:val="Questions"/>
      </w:pPr>
    </w:p>
    <w:p w14:paraId="4CA91018" w14:textId="629E4C2A" w:rsidR="000E31C3" w:rsidRDefault="000E31C3" w:rsidP="000E31C3">
      <w:pPr>
        <w:pStyle w:val="Questions"/>
      </w:pPr>
      <w:r w:rsidRPr="007403B2">
        <w:t xml:space="preserve">Question </w:t>
      </w:r>
      <w:r w:rsidR="000A78CF">
        <w:fldChar w:fldCharType="begin"/>
      </w:r>
      <w:r w:rsidR="000A78CF">
        <w:instrText xml:space="preserve"> SEQ Question \* ARABIC </w:instrText>
      </w:r>
      <w:r w:rsidR="000A78CF">
        <w:fldChar w:fldCharType="separate"/>
      </w:r>
      <w:r w:rsidR="001826B9">
        <w:rPr>
          <w:noProof/>
        </w:rPr>
        <w:t>6</w:t>
      </w:r>
      <w:r w:rsidR="000A78CF">
        <w:rPr>
          <w:noProof/>
        </w:rPr>
        <w:fldChar w:fldCharType="end"/>
      </w:r>
      <w:r w:rsidRPr="007403B2">
        <w:t>: Do you consider that the proposed dates of application ensure a smooth implementation of the clearing obligation? Please explain why and possible alternatives.</w:t>
      </w:r>
    </w:p>
    <w:p w14:paraId="2E60E7E7" w14:textId="77777777" w:rsidR="0033077A" w:rsidRDefault="0033077A" w:rsidP="000E31C3"/>
    <w:p w14:paraId="0CDB500C" w14:textId="2EAEDAF4" w:rsidR="000E31C3" w:rsidRDefault="000E31C3" w:rsidP="000E31C3">
      <w:r>
        <w:t>&lt;ESMA_QUESTION_6&gt;</w:t>
      </w:r>
    </w:p>
    <w:p w14:paraId="3BDA102E" w14:textId="77777777" w:rsidR="00172C71" w:rsidRDefault="00C646E3" w:rsidP="00301470">
      <w:pPr>
        <w:jc w:val="both"/>
      </w:pPr>
      <w:permStart w:id="426457662" w:edGrp="everyone"/>
      <w:r>
        <w:t>Amundi agrees with the proposed scale of delays and</w:t>
      </w:r>
      <w:r w:rsidRPr="00C646E3">
        <w:t xml:space="preserve"> </w:t>
      </w:r>
      <w:r w:rsidRPr="003A579D">
        <w:t>stress</w:t>
      </w:r>
      <w:r w:rsidR="003A579D">
        <w:t>es</w:t>
      </w:r>
      <w:r w:rsidRPr="003A579D">
        <w:t xml:space="preserve">  that the current 12 month period between the first two categories (6 months for CM and 18 months for category 2) is far from excessive knowing that legal teams active on EMIR contracts are totally overworked on both sides of the negotiating counterparties. </w:t>
      </w:r>
    </w:p>
    <w:permEnd w:id="426457662"/>
    <w:p w14:paraId="4B52D678" w14:textId="37AB81D0" w:rsidR="000E31C3" w:rsidRDefault="000E31C3" w:rsidP="000E31C3">
      <w:r>
        <w:t>&lt;ESMA_QUESTION_6&gt;</w:t>
      </w:r>
    </w:p>
    <w:p w14:paraId="43FAA4E4" w14:textId="77777777" w:rsidR="000E31C3" w:rsidRDefault="000E31C3" w:rsidP="000E31C3">
      <w:pPr>
        <w:pStyle w:val="Questions"/>
        <w:rPr>
          <w:b w:val="0"/>
          <w:sz w:val="20"/>
        </w:rPr>
      </w:pPr>
      <w:r>
        <w:br w:type="page"/>
      </w:r>
    </w:p>
    <w:p w14:paraId="61B8CB58" w14:textId="77777777" w:rsidR="000E31C3" w:rsidRDefault="000E31C3" w:rsidP="00AA0857">
      <w:pPr>
        <w:pStyle w:val="Titre1"/>
      </w:pPr>
      <w:bookmarkStart w:id="19" w:name="_Ref390182030"/>
      <w:bookmarkStart w:id="20" w:name="_Toc392685530"/>
      <w:r w:rsidRPr="00A84770">
        <w:t>Remaining maturity</w:t>
      </w:r>
      <w:r>
        <w:t xml:space="preserve"> and frontloading</w:t>
      </w:r>
      <w:bookmarkEnd w:id="19"/>
      <w:bookmarkEnd w:id="20"/>
    </w:p>
    <w:p w14:paraId="095DD89F" w14:textId="77777777" w:rsidR="000E31C3" w:rsidRDefault="000E31C3" w:rsidP="000E31C3"/>
    <w:p w14:paraId="704C0395" w14:textId="7B1450C4" w:rsidR="000E31C3" w:rsidRDefault="000E31C3" w:rsidP="000E31C3">
      <w:pPr>
        <w:pStyle w:val="Questions"/>
      </w:pPr>
      <w:r>
        <w:t xml:space="preserve">Question </w:t>
      </w:r>
      <w:r w:rsidR="000A78CF">
        <w:fldChar w:fldCharType="begin"/>
      </w:r>
      <w:r w:rsidR="000A78CF">
        <w:instrText xml:space="preserve"> SEQ Question \* ARABIC </w:instrText>
      </w:r>
      <w:r w:rsidR="000A78CF">
        <w:fldChar w:fldCharType="separate"/>
      </w:r>
      <w:r w:rsidR="001826B9">
        <w:rPr>
          <w:noProof/>
        </w:rPr>
        <w:t>7</w:t>
      </w:r>
      <w:r w:rsidR="000A78CF">
        <w:rPr>
          <w:noProof/>
        </w:rPr>
        <w:fldChar w:fldCharType="end"/>
      </w:r>
      <w:r>
        <w:t>: Do you consider that the proposed approach on frontloading ensures that the uncertainty related to this requirement is sufficiently mitigated, while allowing a meaningful set of contracts to be captured? Please explain why and possible alternatives</w:t>
      </w:r>
      <w:r w:rsidR="00A136F5" w:rsidRPr="00A136F5">
        <w:t xml:space="preserve"> </w:t>
      </w:r>
      <w:r w:rsidR="00A136F5">
        <w:t>compatible with EMIR</w:t>
      </w:r>
      <w:r>
        <w:t>.</w:t>
      </w:r>
    </w:p>
    <w:p w14:paraId="2F325155" w14:textId="77777777" w:rsidR="000E31C3" w:rsidRDefault="000E31C3" w:rsidP="000E31C3"/>
    <w:p w14:paraId="3866FA6D" w14:textId="6CF08233" w:rsidR="000E31C3" w:rsidRDefault="000E31C3" w:rsidP="000E31C3">
      <w:r>
        <w:t>&lt;ESMA_QUESTION_7&gt;</w:t>
      </w:r>
    </w:p>
    <w:p w14:paraId="55D975FF" w14:textId="1FD0500A" w:rsidR="00D2467A" w:rsidRDefault="00D2467A" w:rsidP="00D2467A">
      <w:pPr>
        <w:jc w:val="both"/>
      </w:pPr>
      <w:permStart w:id="1836743607" w:edGrp="everyone"/>
      <w:r>
        <w:t>If the definition of ‘novation’ is clarified, then Amundi agrees with the approach proposed on front loading. It is of vital importance that till the publication of RTS all contracts are exempt from clearing obligation that would totally alter the economical equilibrium of the initial transaction. We would like to submit two important comments, on novation on one side and remaining maturity on the other.</w:t>
      </w:r>
    </w:p>
    <w:p w14:paraId="1536412C" w14:textId="77777777" w:rsidR="00172C71" w:rsidRDefault="00172C71" w:rsidP="00D2467A">
      <w:pPr>
        <w:jc w:val="both"/>
      </w:pPr>
    </w:p>
    <w:p w14:paraId="12909513" w14:textId="6B900210" w:rsidR="00D2467A" w:rsidRDefault="00D2467A" w:rsidP="00D2467A">
      <w:pPr>
        <w:autoSpaceDE w:val="0"/>
        <w:autoSpaceDN w:val="0"/>
        <w:adjustRightInd w:val="0"/>
        <w:jc w:val="both"/>
        <w:rPr>
          <w:rFonts w:cs="Segoe UI"/>
          <w:szCs w:val="20"/>
          <w:lang w:val="en-US" w:eastAsia="en-GB"/>
        </w:rPr>
      </w:pPr>
      <w:r>
        <w:t xml:space="preserve">Article 4 (1) of the proposed RTS includes in the scope of clearing obligation ‘OTC derivative contracts entered into or </w:t>
      </w:r>
      <w:r w:rsidRPr="001B68DA">
        <w:t>novated</w:t>
      </w:r>
      <w:r w:rsidRPr="00C768E4">
        <w:rPr>
          <w:b/>
        </w:rPr>
        <w:t xml:space="preserve"> </w:t>
      </w:r>
      <w:r>
        <w:t>on or after the date of the RTS publication’. The point of legal certainty and economical equilibrium of OTC derivatives would be totally missed if novation were to be misinterpreted. Novation in that circumstance should not include simple change of parameter such as diminution of the notional amount traded, the modification of a date or the give up of the deal… We would like at least recital 11 to refer to BCBS/IOSCO definition of “genuine amendments” in order to  give a clear understanding of what novation means. (See, BCBS /IOSCO final report on Margin requirement for non- centrally cleared OTC derivatives,  September 2013,  page 24 and specially foot note 20 that reads:</w:t>
      </w:r>
      <w:r w:rsidRPr="0085306A">
        <w:rPr>
          <w:rFonts w:ascii="Segoe UI" w:hAnsi="Segoe UI" w:cs="Segoe UI"/>
          <w:sz w:val="16"/>
          <w:szCs w:val="16"/>
          <w:lang w:val="en-US" w:eastAsia="en-GB"/>
        </w:rPr>
        <w:t xml:space="preserve"> </w:t>
      </w:r>
      <w:r w:rsidRPr="0085306A">
        <w:rPr>
          <w:rFonts w:cs="Segoe UI"/>
          <w:i/>
          <w:szCs w:val="20"/>
          <w:lang w:val="en-US" w:eastAsia="en-GB"/>
        </w:rPr>
        <w:t>Genuine amendments to existing derivatives contracts do not qualify as a new derivatives contract. Any amendment that is intended to extend an existing derivatives contract for the purpose of avoiding margin requirements will be considered a new derivatives contract</w:t>
      </w:r>
      <w:r w:rsidRPr="0085306A">
        <w:rPr>
          <w:rFonts w:cs="Segoe UI"/>
          <w:szCs w:val="20"/>
          <w:lang w:val="en-US" w:eastAsia="en-GB"/>
        </w:rPr>
        <w:t>.</w:t>
      </w:r>
      <w:r w:rsidRPr="0085306A">
        <w:t xml:space="preserve"> </w:t>
      </w:r>
      <w:hyperlink r:id="rId14" w:history="1">
        <w:r w:rsidRPr="004E0E8E">
          <w:rPr>
            <w:rStyle w:val="Lienhypertexte"/>
            <w:rFonts w:cs="Segoe UI"/>
            <w:szCs w:val="20"/>
            <w:lang w:val="en-US" w:eastAsia="en-GB"/>
          </w:rPr>
          <w:t>http://www.iosco.org/library/pubdocs/pdf/IOSCOPD423.pdf</w:t>
        </w:r>
      </w:hyperlink>
      <w:r>
        <w:rPr>
          <w:rFonts w:cs="Segoe UI"/>
          <w:szCs w:val="20"/>
          <w:lang w:val="en-US" w:eastAsia="en-GB"/>
        </w:rPr>
        <w:t xml:space="preserve"> </w:t>
      </w:r>
      <w:r w:rsidRPr="0085306A">
        <w:rPr>
          <w:rFonts w:cs="Segoe UI"/>
          <w:szCs w:val="20"/>
          <w:lang w:val="en-US" w:eastAsia="en-GB"/>
        </w:rPr>
        <w:t>)</w:t>
      </w:r>
      <w:r>
        <w:rPr>
          <w:rFonts w:cs="Segoe UI"/>
          <w:szCs w:val="20"/>
          <w:lang w:val="en-US" w:eastAsia="en-GB"/>
        </w:rPr>
        <w:t>.</w:t>
      </w:r>
      <w:r w:rsidR="00172C71">
        <w:rPr>
          <w:rFonts w:cs="Segoe UI"/>
          <w:szCs w:val="20"/>
          <w:lang w:val="en-US" w:eastAsia="en-GB"/>
        </w:rPr>
        <w:t xml:space="preserve"> Furthermore trades entered into with a view to compress preexisting trades that were not within the scope of the obligation to compensate should be exempted as well; otherwise the result would be an increase of open positions and risk instead of the intended reduction.</w:t>
      </w:r>
    </w:p>
    <w:p w14:paraId="62859779" w14:textId="77777777" w:rsidR="00943927" w:rsidRPr="0085306A" w:rsidRDefault="00943927" w:rsidP="00D2467A">
      <w:pPr>
        <w:autoSpaceDE w:val="0"/>
        <w:autoSpaceDN w:val="0"/>
        <w:adjustRightInd w:val="0"/>
        <w:jc w:val="both"/>
        <w:rPr>
          <w:rFonts w:ascii="Segoe UI" w:hAnsi="Segoe UI" w:cs="Segoe UI"/>
          <w:sz w:val="16"/>
          <w:szCs w:val="16"/>
          <w:lang w:val="en-US" w:eastAsia="en-GB"/>
        </w:rPr>
      </w:pPr>
    </w:p>
    <w:p w14:paraId="12DF7219" w14:textId="2F1FB3D5" w:rsidR="00D2467A" w:rsidRDefault="00D2467A" w:rsidP="00D2467A">
      <w:pPr>
        <w:jc w:val="both"/>
        <w:rPr>
          <w:i/>
        </w:rPr>
      </w:pPr>
      <w:r>
        <w:t xml:space="preserve">When considering systemic risk, we agree to fix the minimum remaining maturity for transactions that need to be compensated to 6 months </w:t>
      </w:r>
      <w:r w:rsidR="0015199D">
        <w:t>. But</w:t>
      </w:r>
      <w:r>
        <w:t xml:space="preserve"> we advocated for a 2 year r</w:t>
      </w:r>
      <w:r w:rsidR="0015199D">
        <w:t>emaining maturity for IRS and suggest an amendment to article 4.1 : “..</w:t>
      </w:r>
      <w:r>
        <w:t>.</w:t>
      </w:r>
      <w:r w:rsidR="0015199D">
        <w:rPr>
          <w:i/>
        </w:rPr>
        <w:t xml:space="preserve">shall be 2 years for OTC derivative contracts </w:t>
      </w:r>
      <w:r w:rsidR="0015199D" w:rsidRPr="0015199D">
        <w:rPr>
          <w:i/>
          <w:color w:val="FF0000"/>
        </w:rPr>
        <w:t>listed in section 1 of Annex 1</w:t>
      </w:r>
      <w:r w:rsidRPr="0015199D">
        <w:rPr>
          <w:color w:val="FF0000"/>
        </w:rPr>
        <w:t xml:space="preserve"> </w:t>
      </w:r>
      <w:r w:rsidR="0015199D" w:rsidRPr="0015199D">
        <w:rPr>
          <w:i/>
          <w:color w:val="FF0000"/>
        </w:rPr>
        <w:t xml:space="preserve">and 6 months for OTC derivative listed in section 2 of Annex 1 that have been </w:t>
      </w:r>
      <w:r w:rsidR="0015199D">
        <w:rPr>
          <w:i/>
        </w:rPr>
        <w:t xml:space="preserve">entered into or novated </w:t>
      </w:r>
      <w:r w:rsidR="0015199D" w:rsidRPr="006A77DF">
        <w:rPr>
          <w:i/>
          <w:color w:val="FF0000"/>
        </w:rPr>
        <w:t xml:space="preserve">by the introduction of substantial amendments </w:t>
      </w:r>
      <w:r w:rsidR="0015199D">
        <w:rPr>
          <w:i/>
        </w:rPr>
        <w:t xml:space="preserve">on or after…” </w:t>
      </w:r>
    </w:p>
    <w:p w14:paraId="181401D5" w14:textId="486DF1DD" w:rsidR="00D2467A" w:rsidRDefault="0015199D" w:rsidP="00D2467A">
      <w:pPr>
        <w:jc w:val="both"/>
        <w:rPr>
          <w:i/>
          <w:color w:val="FF0000"/>
        </w:rPr>
      </w:pPr>
      <w:r>
        <w:t xml:space="preserve">Reading §115 </w:t>
      </w:r>
      <w:r w:rsidR="006A77DF">
        <w:t xml:space="preserve">together with article 4, </w:t>
      </w:r>
      <w:r w:rsidR="00943927">
        <w:t>Amundi is concerned that</w:t>
      </w:r>
      <w:r w:rsidR="00D2467A">
        <w:t xml:space="preserve"> the proposed RTS</w:t>
      </w:r>
      <w:r w:rsidR="00943927">
        <w:t xml:space="preserve"> might be</w:t>
      </w:r>
      <w:r w:rsidR="00960C7C">
        <w:t xml:space="preserve"> mis</w:t>
      </w:r>
      <w:r w:rsidR="00943927">
        <w:t>interpreted</w:t>
      </w:r>
      <w:r w:rsidR="00D2467A">
        <w:t xml:space="preserve">. </w:t>
      </w:r>
      <w:r w:rsidR="00F1091E">
        <w:t>Som</w:t>
      </w:r>
      <w:r w:rsidR="006A77DF">
        <w:t>e confu</w:t>
      </w:r>
      <w:r w:rsidR="00943927">
        <w:t xml:space="preserve">sion </w:t>
      </w:r>
      <w:r w:rsidR="00F1091E">
        <w:t xml:space="preserve">may </w:t>
      </w:r>
      <w:r w:rsidR="00943927">
        <w:t>come from the fact that</w:t>
      </w:r>
      <w:r w:rsidR="006A77DF">
        <w:t xml:space="preserve"> RTS refers to the </w:t>
      </w:r>
      <w:r w:rsidR="006A77DF" w:rsidRPr="006A77DF">
        <w:rPr>
          <w:i/>
        </w:rPr>
        <w:t>date from which the clearing obligation takes place</w:t>
      </w:r>
      <w:r w:rsidR="006A77DF">
        <w:t xml:space="preserve"> (article 3) and the </w:t>
      </w:r>
      <w:r w:rsidR="006A77DF" w:rsidRPr="006A77DF">
        <w:rPr>
          <w:i/>
        </w:rPr>
        <w:t>date of entry into force</w:t>
      </w:r>
      <w:r w:rsidR="006A77DF">
        <w:t xml:space="preserve"> as defined in article 5 and not to the </w:t>
      </w:r>
      <w:r w:rsidR="006A77DF" w:rsidRPr="006A77DF">
        <w:rPr>
          <w:i/>
        </w:rPr>
        <w:t>date of application of the clearing obligation for this contract and this counterparty</w:t>
      </w:r>
      <w:r w:rsidR="006A77DF">
        <w:t xml:space="preserve"> that is mentioned in § 115. </w:t>
      </w:r>
      <w:r w:rsidR="00430CF3">
        <w:t xml:space="preserve">We suggest to </w:t>
      </w:r>
      <w:r w:rsidR="00F1091E">
        <w:t>rephrase</w:t>
      </w:r>
      <w:r w:rsidR="00943927">
        <w:t xml:space="preserve"> </w:t>
      </w:r>
      <w:r w:rsidR="00430CF3" w:rsidRPr="00F1091E">
        <w:t>recital 12 could be in its last sentence</w:t>
      </w:r>
      <w:r w:rsidR="00430CF3">
        <w:rPr>
          <w:i/>
        </w:rPr>
        <w:t>:</w:t>
      </w:r>
      <w:r w:rsidR="00943927">
        <w:rPr>
          <w:i/>
        </w:rPr>
        <w:t xml:space="preserve"> “…</w:t>
      </w:r>
      <w:r w:rsidR="00943927">
        <w:rPr>
          <w:i/>
          <w:color w:val="FF0000"/>
        </w:rPr>
        <w:t>as of the date on which the clearing obligation takes place for the given contract and counterparties.”</w:t>
      </w:r>
    </w:p>
    <w:p w14:paraId="67AB2624" w14:textId="2AC512A1" w:rsidR="00F1091E" w:rsidRDefault="00F1091E" w:rsidP="00F1091E">
      <w:pPr>
        <w:jc w:val="both"/>
      </w:pPr>
      <w:r w:rsidRPr="00F1091E">
        <w:t>Eventually</w:t>
      </w:r>
      <w:r>
        <w:t xml:space="preserve">, our recent experience on the </w:t>
      </w:r>
      <w:proofErr w:type="spellStart"/>
      <w:r>
        <w:t>backloading</w:t>
      </w:r>
      <w:proofErr w:type="spellEnd"/>
      <w:r>
        <w:t xml:space="preserve">  of trades to</w:t>
      </w:r>
      <w:r w:rsidR="00960C7C">
        <w:t xml:space="preserve"> be reported to</w:t>
      </w:r>
      <w:r>
        <w:t xml:space="preserve"> trade repositories has taught us that operational difficulties are numerous and uneasy to solve; and the front-loading of non-cleared contracts into a cleared environment </w:t>
      </w:r>
      <w:r w:rsidR="00960C7C">
        <w:t>seems</w:t>
      </w:r>
      <w:r>
        <w:t xml:space="preserve"> more </w:t>
      </w:r>
      <w:r w:rsidR="00960C7C">
        <w:t>demanding than trade reporting. T</w:t>
      </w:r>
      <w:r w:rsidR="00FE5CBC">
        <w:t xml:space="preserve">hus, in order to avoid to disturb the functioning of CCPs as it happened with TRs, we </w:t>
      </w:r>
      <w:r w:rsidR="00960C7C">
        <w:t xml:space="preserve"> recommend</w:t>
      </w:r>
      <w:r w:rsidR="00FE5CBC">
        <w:t xml:space="preserve"> that ESMA consider </w:t>
      </w:r>
      <w:r w:rsidR="00960C7C">
        <w:t>to further reduce the scope of front</w:t>
      </w:r>
      <w:r w:rsidR="00FE5CBC">
        <w:t xml:space="preserve"> </w:t>
      </w:r>
      <w:r w:rsidR="00960C7C">
        <w:t xml:space="preserve">loading and </w:t>
      </w:r>
      <w:r w:rsidR="00FE5CBC">
        <w:t>exempt cat</w:t>
      </w:r>
      <w:r w:rsidR="00003FFF">
        <w:t>egory 2 counterparties or push</w:t>
      </w:r>
      <w:r w:rsidR="00FE5CBC">
        <w:t xml:space="preserve"> the </w:t>
      </w:r>
      <w:r w:rsidR="00003FFF">
        <w:t xml:space="preserve">front loading obligation to </w:t>
      </w:r>
      <w:r w:rsidR="00FE5CBC">
        <w:t>18  or 12 months after the date of entry into effect of the RTS .</w:t>
      </w:r>
      <w:r w:rsidR="00003FFF">
        <w:t xml:space="preserve"> This would also improve the stability of trades since it would limit the need to change status, a difficult exercice, for existing deals.</w:t>
      </w:r>
    </w:p>
    <w:permEnd w:id="1836743607"/>
    <w:p w14:paraId="20A205E7" w14:textId="79B827A0" w:rsidR="000E31C3" w:rsidRDefault="000E31C3" w:rsidP="000E31C3">
      <w:r>
        <w:t>&lt;ESMA_QUESTION_7&gt;</w:t>
      </w:r>
    </w:p>
    <w:p w14:paraId="02C9350E" w14:textId="77777777" w:rsidR="000E31C3" w:rsidRDefault="000E31C3" w:rsidP="000E31C3">
      <w:pPr>
        <w:pStyle w:val="Questions"/>
      </w:pPr>
    </w:p>
    <w:p w14:paraId="7FEE5DEF" w14:textId="77777777" w:rsidR="00CB1E65" w:rsidRDefault="00CB1E65" w:rsidP="00CB1E65">
      <w:pPr>
        <w:pStyle w:val="Titre1"/>
        <w:numPr>
          <w:ilvl w:val="0"/>
          <w:numId w:val="0"/>
        </w:numPr>
      </w:pPr>
      <w:bookmarkStart w:id="21" w:name="_Ref389465288"/>
      <w:bookmarkStart w:id="22" w:name="_Toc392599429"/>
      <w:r w:rsidRPr="00B95561">
        <w:t xml:space="preserve">Annex </w:t>
      </w:r>
      <w:fldSimple w:instr=" SEQ Annex \* ROMAN ">
        <w:r w:rsidR="001826B9">
          <w:rPr>
            <w:noProof/>
          </w:rPr>
          <w:t>I</w:t>
        </w:r>
      </w:fldSimple>
      <w:bookmarkEnd w:id="21"/>
      <w:r w:rsidRPr="00B95561">
        <w:t xml:space="preserve"> - Commission mandate to develop technical standards</w:t>
      </w:r>
      <w:bookmarkEnd w:id="22"/>
    </w:p>
    <w:p w14:paraId="7696A38A" w14:textId="77777777" w:rsidR="00CB1E65" w:rsidRPr="00663ADD" w:rsidRDefault="00CB1E65" w:rsidP="00CB1E65"/>
    <w:p w14:paraId="5A801D3C" w14:textId="64F7EF4C" w:rsidR="00CB1E65" w:rsidRDefault="00CB1E65" w:rsidP="00CB1E65">
      <w:pPr>
        <w:pStyle w:val="Titre1"/>
        <w:numPr>
          <w:ilvl w:val="0"/>
          <w:numId w:val="0"/>
        </w:numPr>
      </w:pPr>
      <w:bookmarkStart w:id="23" w:name="_Ref389466688"/>
      <w:bookmarkStart w:id="24" w:name="_Toc392599430"/>
      <w:r w:rsidRPr="009E0D2D">
        <w:t xml:space="preserve">Annex </w:t>
      </w:r>
      <w:fldSimple w:instr=" SEQ Annex \* ROMAN ">
        <w:r w:rsidR="001826B9">
          <w:rPr>
            <w:noProof/>
          </w:rPr>
          <w:t>II</w:t>
        </w:r>
      </w:fldSimple>
      <w:bookmarkEnd w:id="23"/>
      <w:r>
        <w:t xml:space="preserve"> - Draft Regulatory Technical Standards on the Clearing Obligation</w:t>
      </w:r>
      <w:bookmarkEnd w:id="24"/>
    </w:p>
    <w:p w14:paraId="681A9EC1" w14:textId="77777777" w:rsidR="000E31C3" w:rsidRPr="007403B2" w:rsidRDefault="000E31C3" w:rsidP="000E31C3">
      <w:pPr>
        <w:pStyle w:val="Questions"/>
      </w:pPr>
      <w:r w:rsidRPr="007403B2">
        <w:t xml:space="preserve">Question </w:t>
      </w:r>
      <w:r w:rsidR="000A78CF">
        <w:fldChar w:fldCharType="begin"/>
      </w:r>
      <w:r w:rsidR="000A78CF">
        <w:instrText xml:space="preserve"> SEQ Question \* ARABIC </w:instrText>
      </w:r>
      <w:r w:rsidR="000A78CF">
        <w:fldChar w:fldCharType="separate"/>
      </w:r>
      <w:r w:rsidR="001826B9">
        <w:rPr>
          <w:noProof/>
        </w:rPr>
        <w:t>8</w:t>
      </w:r>
      <w:r w:rsidR="000A78CF">
        <w:rPr>
          <w:noProof/>
        </w:rPr>
        <w:fldChar w:fldCharType="end"/>
      </w:r>
      <w:r w:rsidRPr="007403B2">
        <w:t>: Please indicate your comments on the draft RTS other than those already made in the previous questions.</w:t>
      </w:r>
    </w:p>
    <w:p w14:paraId="6049389D" w14:textId="77777777" w:rsidR="000E31C3" w:rsidRDefault="000E31C3" w:rsidP="000E31C3"/>
    <w:p w14:paraId="740DCB74" w14:textId="388654A9" w:rsidR="000E31C3" w:rsidRDefault="000E31C3" w:rsidP="000E31C3">
      <w:r>
        <w:t>&lt;ESMA_QUESTION_8&gt;</w:t>
      </w:r>
    </w:p>
    <w:p w14:paraId="50431AF9" w14:textId="59F93779" w:rsidR="000E31C3" w:rsidRDefault="00D6336F" w:rsidP="00301470">
      <w:pPr>
        <w:jc w:val="both"/>
      </w:pPr>
      <w:permStart w:id="324959834" w:edGrp="everyone"/>
      <w:r>
        <w:t xml:space="preserve">We would like to </w:t>
      </w:r>
      <w:r w:rsidR="00FE5CBC">
        <w:t>draw</w:t>
      </w:r>
      <w:r>
        <w:t xml:space="preserve"> regulators’ attention to the risk of conflicting implementation dates for the VM+IM obligation that concerns non centrally cleared OTC derivatives and the central clearing obligation.</w:t>
      </w:r>
      <w:r w:rsidR="00F1091E">
        <w:t xml:space="preserve"> In order to avoid unnecessary transfers, f</w:t>
      </w:r>
      <w:r>
        <w:t xml:space="preserve">rontloading should be </w:t>
      </w:r>
      <w:r w:rsidR="00960C7C">
        <w:t>avoided</w:t>
      </w:r>
      <w:r>
        <w:t xml:space="preserve"> for deals initially traded on the VM+IM requirement and only new trades should be mandatorily cleared through CCPs.</w:t>
      </w:r>
    </w:p>
    <w:permEnd w:id="324959834"/>
    <w:p w14:paraId="396EA9A2" w14:textId="3951BFCD" w:rsidR="000E31C3" w:rsidRDefault="000E31C3" w:rsidP="000E31C3">
      <w:r>
        <w:t>&lt;ESMA_QUESTION_8&gt;</w:t>
      </w:r>
    </w:p>
    <w:p w14:paraId="72C5678C" w14:textId="77777777" w:rsidR="00CB1E65" w:rsidRDefault="00CB1E65" w:rsidP="000E31C3"/>
    <w:p w14:paraId="5E0973BA" w14:textId="77777777" w:rsidR="00CB1E65" w:rsidRPr="00CB1E65" w:rsidRDefault="00CB1E65" w:rsidP="00CB1E65">
      <w:bookmarkStart w:id="25" w:name="_Toc392599431"/>
    </w:p>
    <w:p w14:paraId="1A22585A" w14:textId="32F0E18C" w:rsidR="00CB1E65" w:rsidRDefault="00CB1E65" w:rsidP="00CB1E65">
      <w:pPr>
        <w:pStyle w:val="Titre1"/>
        <w:numPr>
          <w:ilvl w:val="0"/>
          <w:numId w:val="0"/>
        </w:numPr>
      </w:pPr>
      <w:r w:rsidRPr="0030524D">
        <w:t xml:space="preserve">Annex </w:t>
      </w:r>
      <w:fldSimple w:instr=" SEQ Annex \* ROMAN ">
        <w:r w:rsidR="001826B9">
          <w:rPr>
            <w:noProof/>
          </w:rPr>
          <w:t>III</w:t>
        </w:r>
      </w:fldSimple>
      <w:r w:rsidRPr="0030524D">
        <w:t xml:space="preserve"> - </w:t>
      </w:r>
      <w:r>
        <w:t>Impact assessment</w:t>
      </w:r>
      <w:bookmarkEnd w:id="25"/>
    </w:p>
    <w:p w14:paraId="3105F269" w14:textId="77777777" w:rsidR="000E31C3" w:rsidRPr="007403B2" w:rsidRDefault="000E31C3" w:rsidP="000E31C3">
      <w:pPr>
        <w:pStyle w:val="Questions"/>
      </w:pPr>
      <w:r w:rsidRPr="007403B2">
        <w:t xml:space="preserve">Question </w:t>
      </w:r>
      <w:r w:rsidR="000A78CF">
        <w:fldChar w:fldCharType="begin"/>
      </w:r>
      <w:r w:rsidR="000A78CF">
        <w:instrText xml:space="preserve"> SEQ Question \* ARABIC </w:instrText>
      </w:r>
      <w:r w:rsidR="000A78CF">
        <w:fldChar w:fldCharType="separate"/>
      </w:r>
      <w:r w:rsidR="001826B9">
        <w:rPr>
          <w:noProof/>
        </w:rPr>
        <w:t>9</w:t>
      </w:r>
      <w:r w:rsidR="000A78CF">
        <w:rPr>
          <w:noProof/>
        </w:rPr>
        <w:fldChar w:fldCharType="end"/>
      </w:r>
      <w:r w:rsidRPr="007403B2">
        <w:t>: Please indicate your comments on the Impact Assessment.</w:t>
      </w:r>
    </w:p>
    <w:p w14:paraId="4C316D1A" w14:textId="77777777" w:rsidR="000E31C3" w:rsidRDefault="000E31C3" w:rsidP="000E31C3"/>
    <w:p w14:paraId="1F3358D0" w14:textId="12A00DB2" w:rsidR="000E31C3" w:rsidRDefault="000E31C3" w:rsidP="000E31C3">
      <w:r>
        <w:t>&lt;ESMA_QUESTION_9&gt;</w:t>
      </w:r>
    </w:p>
    <w:p w14:paraId="0FE2D94A" w14:textId="79463F00" w:rsidR="000E31C3" w:rsidRDefault="004F2A6D" w:rsidP="00B25C39">
      <w:pPr>
        <w:jc w:val="both"/>
      </w:pPr>
      <w:permStart w:id="830879288" w:edGrp="everyone"/>
      <w:r>
        <w:t xml:space="preserve">Amundi suggests that ESMA assess the availability and diversity of collateral accepted by the CCPs ready to clear the </w:t>
      </w:r>
      <w:r w:rsidR="00FD4A33">
        <w:t>concerned contracts.</w:t>
      </w:r>
      <w:r w:rsidR="00B25C39">
        <w:t xml:space="preserve"> The liquidity of the market, which is one of the tree criteria to be examined when deciding for clearing obligation, can be largely impaired by shortage of collateral or excessive concentration of eligible collateral on a very limited number of instruments.</w:t>
      </w:r>
    </w:p>
    <w:permEnd w:id="830879288"/>
    <w:p w14:paraId="0CB6A86E" w14:textId="2B06422E" w:rsidR="000E31C3" w:rsidRDefault="000E31C3" w:rsidP="000E31C3">
      <w:r>
        <w:t>&lt;ESMA_QUESTION_9&gt;</w:t>
      </w:r>
    </w:p>
    <w:p w14:paraId="7DAE9D4A" w14:textId="77777777" w:rsidR="00082AD5" w:rsidRDefault="00082AD5"/>
    <w:sectPr w:rsidR="00082AD5" w:rsidSect="00C413FC">
      <w:headerReference w:type="even" r:id="rId15"/>
      <w:headerReference w:type="first" r:id="rId16"/>
      <w:footerReference w:type="first" r:id="rId17"/>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FCDE5" w14:textId="77777777" w:rsidR="007D398B" w:rsidRDefault="007D398B">
      <w:r>
        <w:separator/>
      </w:r>
    </w:p>
    <w:p w14:paraId="554A9F75" w14:textId="77777777" w:rsidR="007D398B" w:rsidRDefault="007D398B"/>
    <w:p w14:paraId="2AD44078" w14:textId="77777777" w:rsidR="007D398B" w:rsidRDefault="007D398B"/>
  </w:endnote>
  <w:endnote w:type="continuationSeparator" w:id="0">
    <w:p w14:paraId="1A319364" w14:textId="77777777" w:rsidR="007D398B" w:rsidRDefault="007D398B">
      <w:r>
        <w:continuationSeparator/>
      </w:r>
    </w:p>
    <w:p w14:paraId="7AF01FB8" w14:textId="77777777" w:rsidR="007D398B" w:rsidRDefault="007D398B"/>
    <w:p w14:paraId="68FDBF1E" w14:textId="77777777" w:rsidR="007D398B" w:rsidRDefault="007D3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42FD0" w:rsidRPr="000C3B6D" w14:paraId="5781BFA7" w14:textId="77777777" w:rsidTr="000C3B6D">
      <w:trPr>
        <w:trHeight w:val="284"/>
      </w:trPr>
      <w:tc>
        <w:tcPr>
          <w:tcW w:w="8460" w:type="dxa"/>
        </w:tcPr>
        <w:p w14:paraId="3B3513CD" w14:textId="77777777" w:rsidR="00E42FD0" w:rsidRPr="000C3B6D" w:rsidRDefault="00E42FD0" w:rsidP="000C3B6D">
          <w:pPr>
            <w:pStyle w:val="00Footer"/>
            <w:rPr>
              <w:lang w:val="fr-FR"/>
            </w:rPr>
          </w:pPr>
        </w:p>
      </w:tc>
      <w:tc>
        <w:tcPr>
          <w:tcW w:w="952" w:type="dxa"/>
        </w:tcPr>
        <w:p w14:paraId="7E457E2E" w14:textId="77777777" w:rsidR="00E42FD0" w:rsidRDefault="00E42FD0" w:rsidP="002C5B2D">
          <w:pPr>
            <w:pStyle w:val="00aPagenumber"/>
          </w:pPr>
          <w:r w:rsidRPr="002C5B2D">
            <w:fldChar w:fldCharType="begin"/>
          </w:r>
          <w:r w:rsidRPr="002C5B2D">
            <w:instrText xml:space="preserve"> PAGE </w:instrText>
          </w:r>
          <w:r w:rsidRPr="002C5B2D">
            <w:fldChar w:fldCharType="separate"/>
          </w:r>
          <w:r w:rsidR="000A78CF">
            <w:rPr>
              <w:noProof/>
            </w:rPr>
            <w:t>5</w:t>
          </w:r>
          <w:r w:rsidRPr="002C5B2D">
            <w:fldChar w:fldCharType="end"/>
          </w:r>
        </w:p>
        <w:p w14:paraId="4B069B54" w14:textId="77777777" w:rsidR="00E42FD0" w:rsidRPr="002C5B2D" w:rsidRDefault="00E42FD0" w:rsidP="002C5B2D">
          <w:pPr>
            <w:pStyle w:val="00aPagenumber"/>
          </w:pPr>
        </w:p>
      </w:tc>
    </w:tr>
    <w:tr w:rsidR="00E42FD0" w:rsidRPr="000C3B6D" w14:paraId="72675130" w14:textId="77777777" w:rsidTr="000C3B6D">
      <w:trPr>
        <w:trHeight w:val="284"/>
      </w:trPr>
      <w:tc>
        <w:tcPr>
          <w:tcW w:w="8460" w:type="dxa"/>
        </w:tcPr>
        <w:p w14:paraId="27A25737" w14:textId="3B092D73" w:rsidR="00E42FD0" w:rsidRPr="00E06635" w:rsidRDefault="00E42FD0" w:rsidP="00D82212">
          <w:pPr>
            <w:pStyle w:val="00Footer"/>
          </w:pPr>
        </w:p>
      </w:tc>
      <w:tc>
        <w:tcPr>
          <w:tcW w:w="952" w:type="dxa"/>
        </w:tcPr>
        <w:p w14:paraId="19F8A1E3" w14:textId="77777777" w:rsidR="00E42FD0" w:rsidRPr="002C5B2D" w:rsidRDefault="00E42FD0" w:rsidP="002C5B2D">
          <w:pPr>
            <w:pStyle w:val="00aPagenumber"/>
          </w:pPr>
        </w:p>
      </w:tc>
    </w:tr>
  </w:tbl>
  <w:p w14:paraId="00A28279" w14:textId="0B6A4D99" w:rsidR="00E42FD0" w:rsidRDefault="00E42FD0">
    <w:pPr>
      <w:pStyle w:val="Pieddepage"/>
    </w:pPr>
    <w:r>
      <w:fldChar w:fldCharType="begin"/>
    </w:r>
    <w:r>
      <w:instrText xml:space="preserve"> DATE \@ "dddd, dd MMMM yyyy" </w:instrText>
    </w:r>
    <w:r>
      <w:fldChar w:fldCharType="separate"/>
    </w:r>
    <w:r w:rsidR="004F2A6D">
      <w:rPr>
        <w:noProof/>
      </w:rPr>
      <w:t>Thursday, 18 September 2014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B58D6" w14:textId="77777777" w:rsidR="00E42FD0" w:rsidRDefault="00E42FD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4FDCC" w14:textId="77777777" w:rsidR="007D398B" w:rsidRDefault="007D398B">
      <w:r>
        <w:separator/>
      </w:r>
    </w:p>
    <w:p w14:paraId="26494571" w14:textId="77777777" w:rsidR="007D398B" w:rsidRDefault="007D398B"/>
  </w:footnote>
  <w:footnote w:type="continuationSeparator" w:id="0">
    <w:p w14:paraId="7E7D074C" w14:textId="77777777" w:rsidR="007D398B" w:rsidRDefault="007D398B">
      <w:r>
        <w:continuationSeparator/>
      </w:r>
    </w:p>
    <w:p w14:paraId="1D8DE260" w14:textId="77777777" w:rsidR="007D398B" w:rsidRDefault="007D398B"/>
    <w:p w14:paraId="673248C6" w14:textId="77777777" w:rsidR="007D398B" w:rsidRDefault="007D39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D3A1" w14:textId="77777777" w:rsidR="00E42FD0" w:rsidRDefault="00E42FD0">
    <w:pPr>
      <w:pStyle w:val="En-tte"/>
    </w:pPr>
    <w:r>
      <w:rPr>
        <w:noProof/>
        <w:lang w:val="fr-FR" w:eastAsia="zh-TW"/>
      </w:rPr>
      <w:drawing>
        <wp:anchor distT="0" distB="0" distL="114300" distR="114300" simplePos="0" relativeHeight="251660288" behindDoc="0" locked="0" layoutInCell="1" allowOverlap="1" wp14:anchorId="3EED9FFE" wp14:editId="3D1FB6B4">
          <wp:simplePos x="0" y="0"/>
          <wp:positionH relativeFrom="page">
            <wp:posOffset>791845</wp:posOffset>
          </wp:positionH>
          <wp:positionV relativeFrom="page">
            <wp:posOffset>612140</wp:posOffset>
          </wp:positionV>
          <wp:extent cx="561975" cy="561975"/>
          <wp:effectExtent l="0" t="0" r="9525" b="9525"/>
          <wp:wrapNone/>
          <wp:docPr id="3" name="Picture 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zh-TW"/>
      </w:rPr>
      <mc:AlternateContent>
        <mc:Choice Requires="wps">
          <w:drawing>
            <wp:anchor distT="0" distB="0" distL="114300" distR="114300" simplePos="0" relativeHeight="251656192" behindDoc="0" locked="0" layoutInCell="1" allowOverlap="1" wp14:anchorId="04B0F2A8" wp14:editId="1359D3A7">
              <wp:simplePos x="0" y="0"/>
              <wp:positionH relativeFrom="page">
                <wp:posOffset>1548130</wp:posOffset>
              </wp:positionH>
              <wp:positionV relativeFrom="page">
                <wp:posOffset>612140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5889E" w14:textId="77777777" w:rsidR="00E42FD0" w:rsidRDefault="00E42FD0">
    <w:pPr>
      <w:pStyle w:val="En-tte"/>
    </w:pPr>
    <w:r>
      <w:rPr>
        <w:noProof/>
        <w:lang w:val="fr-FR" w:eastAsia="zh-TW"/>
      </w:rPr>
      <w:drawing>
        <wp:anchor distT="0" distB="0" distL="114300" distR="114300" simplePos="0" relativeHeight="251659264" behindDoc="0" locked="0" layoutInCell="1" allowOverlap="1" wp14:anchorId="78195F1E" wp14:editId="3E9E757F">
          <wp:simplePos x="0" y="0"/>
          <wp:positionH relativeFrom="page">
            <wp:posOffset>377825</wp:posOffset>
          </wp:positionH>
          <wp:positionV relativeFrom="page">
            <wp:posOffset>377825</wp:posOffset>
          </wp:positionV>
          <wp:extent cx="2209800" cy="904875"/>
          <wp:effectExtent l="0" t="0" r="0" b="9525"/>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zh-TW"/>
      </w:rPr>
      <w:drawing>
        <wp:anchor distT="0" distB="0" distL="114300" distR="114300" simplePos="0" relativeHeight="251655168" behindDoc="1" locked="0" layoutInCell="1" allowOverlap="1" wp14:anchorId="70A7F8F3" wp14:editId="341C588D">
          <wp:simplePos x="0" y="0"/>
          <wp:positionH relativeFrom="page">
            <wp:posOffset>0</wp:posOffset>
          </wp:positionH>
          <wp:positionV relativeFrom="page">
            <wp:posOffset>3895725</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67835" w14:textId="77777777" w:rsidR="00E42FD0" w:rsidRDefault="00E42F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214"/>
      <w:gridCol w:w="198"/>
    </w:tblGrid>
    <w:tr w:rsidR="00E42FD0" w:rsidRPr="00E00C3F" w14:paraId="273E79AB" w14:textId="77777777" w:rsidTr="00641A2C">
      <w:trPr>
        <w:trHeight w:val="284"/>
      </w:trPr>
      <w:tc>
        <w:tcPr>
          <w:tcW w:w="9214" w:type="dxa"/>
        </w:tcPr>
        <w:p w14:paraId="63EB5814" w14:textId="77777777" w:rsidR="00E42FD0" w:rsidRPr="000C3B6D" w:rsidRDefault="00E42FD0" w:rsidP="00641A2C">
          <w:pPr>
            <w:pStyle w:val="Pieddepage"/>
            <w:rPr>
              <w:lang w:val="fr-FR"/>
            </w:rPr>
          </w:pPr>
          <w:r w:rsidRPr="00741C8F">
            <w:rPr>
              <w:color w:val="3E3F90"/>
              <w:sz w:val="16"/>
              <w:szCs w:val="16"/>
              <w:lang w:val="es-ES_tradnl"/>
            </w:rPr>
            <w:t xml:space="preserve">ESMA • CS 60747 – 103 rue de Grenelle • 75345 Paris Cedex 07 • France • Tel. </w:t>
          </w:r>
          <w:r w:rsidRPr="00E00C3F">
            <w:rPr>
              <w:color w:val="3E3F90"/>
              <w:sz w:val="16"/>
              <w:szCs w:val="16"/>
              <w:lang w:val="fr-FR"/>
            </w:rPr>
            <w:t>+33 (0) 1 58 36 43 21 • www.esma.europa.eu</w:t>
          </w:r>
        </w:p>
      </w:tc>
      <w:tc>
        <w:tcPr>
          <w:tcW w:w="198" w:type="dxa"/>
        </w:tcPr>
        <w:p w14:paraId="569EDAD8" w14:textId="77777777" w:rsidR="00E42FD0" w:rsidRPr="00E00C3F" w:rsidRDefault="00E42FD0" w:rsidP="00620D7C">
          <w:pPr>
            <w:pStyle w:val="00aPagenumber"/>
            <w:rPr>
              <w:lang w:val="fr-FR"/>
            </w:rPr>
          </w:pPr>
        </w:p>
      </w:tc>
    </w:tr>
  </w:tbl>
  <w:p w14:paraId="22CE6FDD" w14:textId="77777777" w:rsidR="00E42FD0" w:rsidRPr="00DB46C3" w:rsidRDefault="00E42FD0">
    <w:pPr>
      <w:rPr>
        <w:lang w:val="fr-FR"/>
      </w:rPr>
    </w:pPr>
  </w:p>
  <w:p w14:paraId="64A6237C" w14:textId="77777777" w:rsidR="00E42FD0" w:rsidRDefault="00E42FD0">
    <w:pPr>
      <w:pStyle w:val="En-tte"/>
    </w:pPr>
    <w:r>
      <w:rPr>
        <w:noProof/>
        <w:lang w:val="fr-FR" w:eastAsia="zh-TW"/>
      </w:rPr>
      <mc:AlternateContent>
        <mc:Choice Requires="wps">
          <w:drawing>
            <wp:anchor distT="0" distB="0" distL="114300" distR="114300" simplePos="0" relativeHeight="251658240" behindDoc="0" locked="0" layoutInCell="1" allowOverlap="1" wp14:anchorId="4D924238" wp14:editId="7F03393A">
              <wp:simplePos x="0" y="0"/>
              <wp:positionH relativeFrom="page">
                <wp:posOffset>5040630</wp:posOffset>
              </wp:positionH>
              <wp:positionV relativeFrom="page">
                <wp:posOffset>612140</wp:posOffset>
              </wp:positionV>
              <wp:extent cx="0" cy="899795"/>
              <wp:effectExtent l="11430" t="12065" r="7620"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mc:Fallback>
      </mc:AlternateContent>
    </w:r>
    <w:r>
      <w:rPr>
        <w:noProof/>
        <w:lang w:val="fr-FR" w:eastAsia="zh-TW"/>
      </w:rPr>
      <w:drawing>
        <wp:anchor distT="0" distB="0" distL="114300" distR="114300" simplePos="0" relativeHeight="251657216" behindDoc="0" locked="0" layoutInCell="1" allowOverlap="1" wp14:anchorId="39B772F0" wp14:editId="4DC1273F">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7A"/>
    <w:multiLevelType w:val="hybridMultilevel"/>
    <w:tmpl w:val="399C7AA6"/>
    <w:lvl w:ilvl="0" w:tplc="C7B283DC">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A34FE7"/>
    <w:multiLevelType w:val="hybridMultilevel"/>
    <w:tmpl w:val="1522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F578C"/>
    <w:multiLevelType w:val="hybridMultilevel"/>
    <w:tmpl w:val="B80407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60293F"/>
    <w:multiLevelType w:val="hybridMultilevel"/>
    <w:tmpl w:val="7B7CDDA8"/>
    <w:lvl w:ilvl="0" w:tplc="FF5E7E2C">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4C28C6"/>
    <w:multiLevelType w:val="multilevel"/>
    <w:tmpl w:val="E94E1312"/>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862" w:hanging="720"/>
      </w:pPr>
    </w:lvl>
    <w:lvl w:ilvl="3">
      <w:start w:val="1"/>
      <w:numFmt w:val="decimal"/>
      <w:lvlText w:val="%1.%2.%3.%4"/>
      <w:lvlJc w:val="left"/>
      <w:pPr>
        <w:ind w:left="1006" w:hanging="864"/>
      </w:pPr>
    </w:lvl>
    <w:lvl w:ilvl="4">
      <w:start w:val="1"/>
      <w:numFmt w:val="decimal"/>
      <w:lvlText w:val="%1.%2.%3.%4.%5"/>
      <w:lvlJc w:val="left"/>
      <w:pPr>
        <w:ind w:left="1150" w:hanging="1008"/>
      </w:pPr>
    </w:lvl>
    <w:lvl w:ilvl="5">
      <w:start w:val="1"/>
      <w:numFmt w:val="decimal"/>
      <w:pStyle w:val="Titre6"/>
      <w:lvlText w:val="%1.%2.%3.%4.%5.%6"/>
      <w:lvlJc w:val="left"/>
      <w:pPr>
        <w:ind w:left="1294" w:hanging="1152"/>
      </w:pPr>
    </w:lvl>
    <w:lvl w:ilvl="6">
      <w:start w:val="1"/>
      <w:numFmt w:val="decimal"/>
      <w:pStyle w:val="Titre7"/>
      <w:lvlText w:val="%1.%2.%3.%4.%5.%6.%7"/>
      <w:lvlJc w:val="left"/>
      <w:pPr>
        <w:ind w:left="1438" w:hanging="1296"/>
      </w:pPr>
    </w:lvl>
    <w:lvl w:ilvl="7">
      <w:start w:val="1"/>
      <w:numFmt w:val="decimal"/>
      <w:pStyle w:val="Titre8"/>
      <w:lvlText w:val="%1.%2.%3.%4.%5.%6.%7.%8"/>
      <w:lvlJc w:val="left"/>
      <w:pPr>
        <w:ind w:left="1582" w:hanging="1440"/>
      </w:pPr>
    </w:lvl>
    <w:lvl w:ilvl="8">
      <w:start w:val="1"/>
      <w:numFmt w:val="decimal"/>
      <w:pStyle w:val="Titre9"/>
      <w:lvlText w:val="%1.%2.%3.%4.%5.%6.%7.%8.%9"/>
      <w:lvlJc w:val="left"/>
      <w:pPr>
        <w:ind w:left="1726" w:hanging="1584"/>
      </w:pPr>
    </w:lvl>
  </w:abstractNum>
  <w:abstractNum w:abstractNumId="5">
    <w:nsid w:val="252F2C83"/>
    <w:multiLevelType w:val="hybridMultilevel"/>
    <w:tmpl w:val="8CAC0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E45378"/>
    <w:multiLevelType w:val="multilevel"/>
    <w:tmpl w:val="A0289056"/>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pStyle w:val="Level2"/>
      <w:lvlText w:val="%1.%2"/>
      <w:lvlJc w:val="left"/>
      <w:pPr>
        <w:tabs>
          <w:tab w:val="num" w:pos="680"/>
        </w:tabs>
        <w:ind w:left="680" w:hanging="680"/>
      </w:pPr>
      <w:rPr>
        <w:rFonts w:ascii="Times New Roman" w:hAnsi="Times New Roman" w:cs="Times New Roman" w:hint="default"/>
        <w:b/>
        <w:i w:val="0"/>
        <w:color w:val="auto"/>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7">
    <w:nsid w:val="341D6808"/>
    <w:multiLevelType w:val="hybridMultilevel"/>
    <w:tmpl w:val="5E647ACE"/>
    <w:lvl w:ilvl="0" w:tplc="C4268646">
      <w:start w:val="1"/>
      <w:numFmt w:val="bullet"/>
      <w:pStyle w:val="MyBullet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3F846409"/>
    <w:multiLevelType w:val="hybridMultilevel"/>
    <w:tmpl w:val="0040E744"/>
    <w:lvl w:ilvl="0" w:tplc="C98A692E">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BA713F"/>
    <w:multiLevelType w:val="hybridMultilevel"/>
    <w:tmpl w:val="AEA697D2"/>
    <w:lvl w:ilvl="0" w:tplc="BD561B72">
      <w:start w:val="1"/>
      <w:numFmt w:val="decimal"/>
      <w:pStyle w:val="1My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261A85"/>
    <w:multiLevelType w:val="hybridMultilevel"/>
    <w:tmpl w:val="46FA329C"/>
    <w:lvl w:ilvl="0" w:tplc="004A5D92">
      <w:start w:val="1"/>
      <w:numFmt w:val="decimal"/>
      <w:pStyle w:val="04aNumbering"/>
      <w:lvlText w:val="%1."/>
      <w:lvlJc w:val="left"/>
      <w:pPr>
        <w:tabs>
          <w:tab w:val="num" w:pos="4679"/>
        </w:tabs>
        <w:ind w:left="4679" w:hanging="284"/>
      </w:pPr>
      <w:rPr>
        <w:rFonts w:ascii="Georgia" w:hAnsi="Georgia" w:cs="Times New Roman" w:hint="default"/>
        <w:b w:val="0"/>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8B92853"/>
    <w:multiLevelType w:val="multilevel"/>
    <w:tmpl w:val="0E44C8E4"/>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pStyle w:val="Titre4"/>
      <w:lvlText w:val="%1.%2.%3.%4."/>
      <w:lvlJc w:val="left"/>
      <w:pPr>
        <w:ind w:left="1728" w:hanging="648"/>
      </w:pPr>
    </w:lvl>
    <w:lvl w:ilvl="4">
      <w:start w:val="1"/>
      <w:numFmt w:val="decimal"/>
      <w:pStyle w:val="Titre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3260F13"/>
    <w:multiLevelType w:val="multilevel"/>
    <w:tmpl w:val="D652C102"/>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FCE2D53"/>
    <w:multiLevelType w:val="hybridMultilevel"/>
    <w:tmpl w:val="F4D2D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49B6065"/>
    <w:multiLevelType w:val="hybridMultilevel"/>
    <w:tmpl w:val="FF8C57BE"/>
    <w:lvl w:ilvl="0" w:tplc="68C003EC">
      <w:start w:val="1"/>
      <w:numFmt w:val="bullet"/>
      <w:pStyle w:val="My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70E009F1"/>
    <w:multiLevelType w:val="hybridMultilevel"/>
    <w:tmpl w:val="326E0842"/>
    <w:lvl w:ilvl="0" w:tplc="35DE07E0">
      <w:start w:val="1"/>
      <w:numFmt w:val="decimal"/>
      <w:pStyle w:val="Recit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6E73D4C"/>
    <w:multiLevelType w:val="hybridMultilevel"/>
    <w:tmpl w:val="94C0131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nsid w:val="7AF26E6B"/>
    <w:multiLevelType w:val="hybridMultilevel"/>
    <w:tmpl w:val="ED825812"/>
    <w:lvl w:ilvl="0" w:tplc="3F481CE0">
      <w:start w:val="1"/>
      <w:numFmt w:val="bullet"/>
      <w:pStyle w:val="my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8"/>
  </w:num>
  <w:num w:numId="4">
    <w:abstractNumId w:val="14"/>
  </w:num>
  <w:num w:numId="5">
    <w:abstractNumId w:val="1"/>
  </w:num>
  <w:num w:numId="6">
    <w:abstractNumId w:val="6"/>
  </w:num>
  <w:num w:numId="7">
    <w:abstractNumId w:val="7"/>
  </w:num>
  <w:num w:numId="8">
    <w:abstractNumId w:val="11"/>
  </w:num>
  <w:num w:numId="9">
    <w:abstractNumId w:val="3"/>
  </w:num>
  <w:num w:numId="10">
    <w:abstractNumId w:val="0"/>
  </w:num>
  <w:num w:numId="11">
    <w:abstractNumId w:val="16"/>
  </w:num>
  <w:num w:numId="12">
    <w:abstractNumId w:val="19"/>
  </w:num>
  <w:num w:numId="13">
    <w:abstractNumId w:val="10"/>
  </w:num>
  <w:num w:numId="14">
    <w:abstractNumId w:val="17"/>
  </w:num>
  <w:num w:numId="15">
    <w:abstractNumId w:val="4"/>
  </w:num>
  <w:num w:numId="16">
    <w:abstractNumId w:val="13"/>
  </w:num>
  <w:num w:numId="17">
    <w:abstractNumId w:val="2"/>
  </w:num>
  <w:num w:numId="18">
    <w:abstractNumId w:val="5"/>
  </w:num>
  <w:num w:numId="19">
    <w:abstractNumId w:val="15"/>
  </w:num>
  <w:num w:numId="2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1" w:cryptProviderType="rsaFull" w:cryptAlgorithmClass="hash" w:cryptAlgorithmType="typeAny" w:cryptAlgorithmSid="4" w:cryptSpinCount="100000" w:hash="LlMJhdXgN8vvQsum/c1GlR6jNoQ=" w:salt="HqhYJjbUiIm6j7uWoiHcog=="/>
  <w:defaultTabStop w:val="709"/>
  <w:hyphenationZone w:val="567"/>
  <w:doNotHyphenateCaps/>
  <w:characterSpacingControl w:val="doNotCompress"/>
  <w:hdrShapeDefaults>
    <o:shapedefaults v:ext="edit" spidmax="22529">
      <o:colormru v:ext="edit" colors="#2d4491,#28358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2"/>
    <w:rsid w:val="0000108D"/>
    <w:rsid w:val="0000125B"/>
    <w:rsid w:val="000018E5"/>
    <w:rsid w:val="00003066"/>
    <w:rsid w:val="00003AEB"/>
    <w:rsid w:val="00003FFF"/>
    <w:rsid w:val="000055FE"/>
    <w:rsid w:val="000057A4"/>
    <w:rsid w:val="00005941"/>
    <w:rsid w:val="00011F51"/>
    <w:rsid w:val="00012A14"/>
    <w:rsid w:val="000134E9"/>
    <w:rsid w:val="000141D6"/>
    <w:rsid w:val="0001488F"/>
    <w:rsid w:val="00014A4B"/>
    <w:rsid w:val="0001774B"/>
    <w:rsid w:val="000214DE"/>
    <w:rsid w:val="000218D6"/>
    <w:rsid w:val="00022F80"/>
    <w:rsid w:val="0002436D"/>
    <w:rsid w:val="000259C1"/>
    <w:rsid w:val="00027154"/>
    <w:rsid w:val="000274DB"/>
    <w:rsid w:val="0002767B"/>
    <w:rsid w:val="00027950"/>
    <w:rsid w:val="00027FE4"/>
    <w:rsid w:val="00030909"/>
    <w:rsid w:val="00030E3E"/>
    <w:rsid w:val="0003444F"/>
    <w:rsid w:val="00034E6C"/>
    <w:rsid w:val="00036175"/>
    <w:rsid w:val="000361B3"/>
    <w:rsid w:val="00036907"/>
    <w:rsid w:val="0003741B"/>
    <w:rsid w:val="0004082A"/>
    <w:rsid w:val="000410E9"/>
    <w:rsid w:val="00042EF2"/>
    <w:rsid w:val="0004389E"/>
    <w:rsid w:val="000439DE"/>
    <w:rsid w:val="0004481F"/>
    <w:rsid w:val="00045FB1"/>
    <w:rsid w:val="00047DD8"/>
    <w:rsid w:val="00050083"/>
    <w:rsid w:val="00051992"/>
    <w:rsid w:val="00051BC9"/>
    <w:rsid w:val="0005505F"/>
    <w:rsid w:val="000561C0"/>
    <w:rsid w:val="000576D7"/>
    <w:rsid w:val="000606DD"/>
    <w:rsid w:val="00060F72"/>
    <w:rsid w:val="00062997"/>
    <w:rsid w:val="00062EAD"/>
    <w:rsid w:val="00070930"/>
    <w:rsid w:val="00070974"/>
    <w:rsid w:val="00071CE4"/>
    <w:rsid w:val="0007474E"/>
    <w:rsid w:val="00075A90"/>
    <w:rsid w:val="00080976"/>
    <w:rsid w:val="000829E9"/>
    <w:rsid w:val="00082AD5"/>
    <w:rsid w:val="00084648"/>
    <w:rsid w:val="00085B53"/>
    <w:rsid w:val="00085CB4"/>
    <w:rsid w:val="00085E19"/>
    <w:rsid w:val="00086B36"/>
    <w:rsid w:val="000876E9"/>
    <w:rsid w:val="000878D1"/>
    <w:rsid w:val="00087A2B"/>
    <w:rsid w:val="00090459"/>
    <w:rsid w:val="00091A20"/>
    <w:rsid w:val="000925FF"/>
    <w:rsid w:val="000932E0"/>
    <w:rsid w:val="00094A6B"/>
    <w:rsid w:val="00094DD3"/>
    <w:rsid w:val="000951B7"/>
    <w:rsid w:val="00095B96"/>
    <w:rsid w:val="00095EDE"/>
    <w:rsid w:val="000A0199"/>
    <w:rsid w:val="000A0671"/>
    <w:rsid w:val="000A1837"/>
    <w:rsid w:val="000A2127"/>
    <w:rsid w:val="000A3313"/>
    <w:rsid w:val="000A3561"/>
    <w:rsid w:val="000A3888"/>
    <w:rsid w:val="000A4365"/>
    <w:rsid w:val="000A58B6"/>
    <w:rsid w:val="000A78CF"/>
    <w:rsid w:val="000A7B53"/>
    <w:rsid w:val="000B12AB"/>
    <w:rsid w:val="000B275C"/>
    <w:rsid w:val="000B2DB1"/>
    <w:rsid w:val="000B6023"/>
    <w:rsid w:val="000B6715"/>
    <w:rsid w:val="000C0AC8"/>
    <w:rsid w:val="000C1456"/>
    <w:rsid w:val="000C1A7D"/>
    <w:rsid w:val="000C1CFC"/>
    <w:rsid w:val="000C1E28"/>
    <w:rsid w:val="000C22A9"/>
    <w:rsid w:val="000C2477"/>
    <w:rsid w:val="000C2B6A"/>
    <w:rsid w:val="000C3B6D"/>
    <w:rsid w:val="000C6BFE"/>
    <w:rsid w:val="000D0120"/>
    <w:rsid w:val="000D0936"/>
    <w:rsid w:val="000D2DE4"/>
    <w:rsid w:val="000D629F"/>
    <w:rsid w:val="000D69CA"/>
    <w:rsid w:val="000D6BCE"/>
    <w:rsid w:val="000D76EE"/>
    <w:rsid w:val="000E00A1"/>
    <w:rsid w:val="000E0CE1"/>
    <w:rsid w:val="000E2124"/>
    <w:rsid w:val="000E31C3"/>
    <w:rsid w:val="000E4841"/>
    <w:rsid w:val="000E4D6A"/>
    <w:rsid w:val="000E5A66"/>
    <w:rsid w:val="000F2386"/>
    <w:rsid w:val="000F30B4"/>
    <w:rsid w:val="000F36BC"/>
    <w:rsid w:val="000F4B12"/>
    <w:rsid w:val="000F5D58"/>
    <w:rsid w:val="00101C7D"/>
    <w:rsid w:val="00101E86"/>
    <w:rsid w:val="00101FD5"/>
    <w:rsid w:val="00103FA2"/>
    <w:rsid w:val="001046BF"/>
    <w:rsid w:val="001065D7"/>
    <w:rsid w:val="00106E60"/>
    <w:rsid w:val="0010755D"/>
    <w:rsid w:val="00107651"/>
    <w:rsid w:val="00110C5F"/>
    <w:rsid w:val="001111E3"/>
    <w:rsid w:val="00111525"/>
    <w:rsid w:val="0011167D"/>
    <w:rsid w:val="00112892"/>
    <w:rsid w:val="00112AB9"/>
    <w:rsid w:val="00113A30"/>
    <w:rsid w:val="00114377"/>
    <w:rsid w:val="00115C28"/>
    <w:rsid w:val="00117B62"/>
    <w:rsid w:val="00120C41"/>
    <w:rsid w:val="001222F8"/>
    <w:rsid w:val="00123D39"/>
    <w:rsid w:val="0012451C"/>
    <w:rsid w:val="0012566F"/>
    <w:rsid w:val="00126153"/>
    <w:rsid w:val="00126A56"/>
    <w:rsid w:val="00127304"/>
    <w:rsid w:val="00127E07"/>
    <w:rsid w:val="001302B3"/>
    <w:rsid w:val="00130D4A"/>
    <w:rsid w:val="00130F41"/>
    <w:rsid w:val="001313B7"/>
    <w:rsid w:val="00133121"/>
    <w:rsid w:val="00134E54"/>
    <w:rsid w:val="00135F2B"/>
    <w:rsid w:val="001364BC"/>
    <w:rsid w:val="00136F17"/>
    <w:rsid w:val="001376DE"/>
    <w:rsid w:val="00137B16"/>
    <w:rsid w:val="001431AE"/>
    <w:rsid w:val="00143B87"/>
    <w:rsid w:val="0014501C"/>
    <w:rsid w:val="00145BEB"/>
    <w:rsid w:val="00147252"/>
    <w:rsid w:val="00147B5A"/>
    <w:rsid w:val="001501FE"/>
    <w:rsid w:val="0015199D"/>
    <w:rsid w:val="00152987"/>
    <w:rsid w:val="00153B8A"/>
    <w:rsid w:val="00153DE9"/>
    <w:rsid w:val="0015624B"/>
    <w:rsid w:val="00157C5D"/>
    <w:rsid w:val="00161F32"/>
    <w:rsid w:val="001632B2"/>
    <w:rsid w:val="00163C2A"/>
    <w:rsid w:val="001641BB"/>
    <w:rsid w:val="0016552B"/>
    <w:rsid w:val="00165C12"/>
    <w:rsid w:val="00165D8E"/>
    <w:rsid w:val="00166895"/>
    <w:rsid w:val="001678BB"/>
    <w:rsid w:val="00167A86"/>
    <w:rsid w:val="001722BD"/>
    <w:rsid w:val="001725A5"/>
    <w:rsid w:val="00172681"/>
    <w:rsid w:val="001728BA"/>
    <w:rsid w:val="00172AC3"/>
    <w:rsid w:val="00172C71"/>
    <w:rsid w:val="00172F13"/>
    <w:rsid w:val="00174FD9"/>
    <w:rsid w:val="00175B4C"/>
    <w:rsid w:val="0017616A"/>
    <w:rsid w:val="001762D4"/>
    <w:rsid w:val="00181B3B"/>
    <w:rsid w:val="001826B9"/>
    <w:rsid w:val="00183178"/>
    <w:rsid w:val="001843B5"/>
    <w:rsid w:val="00184B0D"/>
    <w:rsid w:val="001850D9"/>
    <w:rsid w:val="0018532A"/>
    <w:rsid w:val="001875BE"/>
    <w:rsid w:val="00190B8C"/>
    <w:rsid w:val="001931BC"/>
    <w:rsid w:val="001937AD"/>
    <w:rsid w:val="00193908"/>
    <w:rsid w:val="00194451"/>
    <w:rsid w:val="00194BEE"/>
    <w:rsid w:val="0019595E"/>
    <w:rsid w:val="001A12FC"/>
    <w:rsid w:val="001A334C"/>
    <w:rsid w:val="001A33E0"/>
    <w:rsid w:val="001A3CC3"/>
    <w:rsid w:val="001A459C"/>
    <w:rsid w:val="001A54C7"/>
    <w:rsid w:val="001A54D5"/>
    <w:rsid w:val="001A5DFE"/>
    <w:rsid w:val="001A7AF6"/>
    <w:rsid w:val="001B0363"/>
    <w:rsid w:val="001B1BC3"/>
    <w:rsid w:val="001B2338"/>
    <w:rsid w:val="001B4AFB"/>
    <w:rsid w:val="001B4FD7"/>
    <w:rsid w:val="001B6315"/>
    <w:rsid w:val="001B6AE4"/>
    <w:rsid w:val="001B6F2E"/>
    <w:rsid w:val="001C186A"/>
    <w:rsid w:val="001C1A59"/>
    <w:rsid w:val="001C2D4D"/>
    <w:rsid w:val="001C793F"/>
    <w:rsid w:val="001C7C4A"/>
    <w:rsid w:val="001D17BE"/>
    <w:rsid w:val="001D2C22"/>
    <w:rsid w:val="001D4440"/>
    <w:rsid w:val="001D4550"/>
    <w:rsid w:val="001D67E5"/>
    <w:rsid w:val="001E2DBA"/>
    <w:rsid w:val="001E3B84"/>
    <w:rsid w:val="001E450B"/>
    <w:rsid w:val="001E5D1C"/>
    <w:rsid w:val="001E6096"/>
    <w:rsid w:val="001F231A"/>
    <w:rsid w:val="001F2E67"/>
    <w:rsid w:val="001F3032"/>
    <w:rsid w:val="001F44A4"/>
    <w:rsid w:val="001F44DA"/>
    <w:rsid w:val="001F7F86"/>
    <w:rsid w:val="0020025C"/>
    <w:rsid w:val="00200340"/>
    <w:rsid w:val="00201DC6"/>
    <w:rsid w:val="00202164"/>
    <w:rsid w:val="002047CD"/>
    <w:rsid w:val="002051F1"/>
    <w:rsid w:val="0020582D"/>
    <w:rsid w:val="00205869"/>
    <w:rsid w:val="0021025C"/>
    <w:rsid w:val="002107B8"/>
    <w:rsid w:val="002119AA"/>
    <w:rsid w:val="0021335E"/>
    <w:rsid w:val="00213415"/>
    <w:rsid w:val="00213992"/>
    <w:rsid w:val="00213CFC"/>
    <w:rsid w:val="0021404A"/>
    <w:rsid w:val="00214C06"/>
    <w:rsid w:val="00214FB4"/>
    <w:rsid w:val="00215429"/>
    <w:rsid w:val="00216856"/>
    <w:rsid w:val="00217359"/>
    <w:rsid w:val="00217F8E"/>
    <w:rsid w:val="002205FA"/>
    <w:rsid w:val="002217BF"/>
    <w:rsid w:val="00221C62"/>
    <w:rsid w:val="0022211E"/>
    <w:rsid w:val="00223E9C"/>
    <w:rsid w:val="00224A36"/>
    <w:rsid w:val="00226959"/>
    <w:rsid w:val="002273C3"/>
    <w:rsid w:val="00227A66"/>
    <w:rsid w:val="00230601"/>
    <w:rsid w:val="00232535"/>
    <w:rsid w:val="00233B08"/>
    <w:rsid w:val="00233C3B"/>
    <w:rsid w:val="0023417B"/>
    <w:rsid w:val="00234668"/>
    <w:rsid w:val="00235299"/>
    <w:rsid w:val="0023660D"/>
    <w:rsid w:val="00240651"/>
    <w:rsid w:val="00240803"/>
    <w:rsid w:val="00241EF3"/>
    <w:rsid w:val="00243225"/>
    <w:rsid w:val="0024465E"/>
    <w:rsid w:val="002457B9"/>
    <w:rsid w:val="002458CB"/>
    <w:rsid w:val="002464E4"/>
    <w:rsid w:val="002501CA"/>
    <w:rsid w:val="00250D4C"/>
    <w:rsid w:val="00251048"/>
    <w:rsid w:val="00251806"/>
    <w:rsid w:val="00251C40"/>
    <w:rsid w:val="00252D09"/>
    <w:rsid w:val="002534F6"/>
    <w:rsid w:val="00255C97"/>
    <w:rsid w:val="00256D8C"/>
    <w:rsid w:val="002578BD"/>
    <w:rsid w:val="00257B23"/>
    <w:rsid w:val="00261D04"/>
    <w:rsid w:val="00261D56"/>
    <w:rsid w:val="00262153"/>
    <w:rsid w:val="002630C3"/>
    <w:rsid w:val="002637FD"/>
    <w:rsid w:val="0026461C"/>
    <w:rsid w:val="002648CE"/>
    <w:rsid w:val="00264EA2"/>
    <w:rsid w:val="00270EBF"/>
    <w:rsid w:val="00271385"/>
    <w:rsid w:val="00271EB8"/>
    <w:rsid w:val="00273A9A"/>
    <w:rsid w:val="00275566"/>
    <w:rsid w:val="00276164"/>
    <w:rsid w:val="002764C5"/>
    <w:rsid w:val="00280613"/>
    <w:rsid w:val="0028084A"/>
    <w:rsid w:val="00281053"/>
    <w:rsid w:val="00282962"/>
    <w:rsid w:val="0028331F"/>
    <w:rsid w:val="00283F51"/>
    <w:rsid w:val="00284213"/>
    <w:rsid w:val="00286742"/>
    <w:rsid w:val="00287689"/>
    <w:rsid w:val="00287D51"/>
    <w:rsid w:val="00290EF4"/>
    <w:rsid w:val="00291B40"/>
    <w:rsid w:val="00291C7B"/>
    <w:rsid w:val="002935C4"/>
    <w:rsid w:val="00293BE7"/>
    <w:rsid w:val="00293EAC"/>
    <w:rsid w:val="002A0AB5"/>
    <w:rsid w:val="002A2454"/>
    <w:rsid w:val="002A46E8"/>
    <w:rsid w:val="002A602E"/>
    <w:rsid w:val="002A6EF9"/>
    <w:rsid w:val="002B03A9"/>
    <w:rsid w:val="002B1200"/>
    <w:rsid w:val="002B1CB0"/>
    <w:rsid w:val="002B1F0B"/>
    <w:rsid w:val="002B3CBA"/>
    <w:rsid w:val="002B3CC5"/>
    <w:rsid w:val="002B3DEF"/>
    <w:rsid w:val="002B4828"/>
    <w:rsid w:val="002B4FAA"/>
    <w:rsid w:val="002B5608"/>
    <w:rsid w:val="002B7A16"/>
    <w:rsid w:val="002C00E9"/>
    <w:rsid w:val="002C0282"/>
    <w:rsid w:val="002C0748"/>
    <w:rsid w:val="002C209E"/>
    <w:rsid w:val="002C380B"/>
    <w:rsid w:val="002C3EDB"/>
    <w:rsid w:val="002C4930"/>
    <w:rsid w:val="002C52C7"/>
    <w:rsid w:val="002C5B2D"/>
    <w:rsid w:val="002C68EC"/>
    <w:rsid w:val="002D20E5"/>
    <w:rsid w:val="002D21F0"/>
    <w:rsid w:val="002D281F"/>
    <w:rsid w:val="002D386B"/>
    <w:rsid w:val="002D502D"/>
    <w:rsid w:val="002D57C4"/>
    <w:rsid w:val="002D5CCA"/>
    <w:rsid w:val="002D6E5C"/>
    <w:rsid w:val="002D739A"/>
    <w:rsid w:val="002D7B65"/>
    <w:rsid w:val="002E0267"/>
    <w:rsid w:val="002E1B22"/>
    <w:rsid w:val="002E27EA"/>
    <w:rsid w:val="002E3097"/>
    <w:rsid w:val="002E38FD"/>
    <w:rsid w:val="002E3F1E"/>
    <w:rsid w:val="002E4454"/>
    <w:rsid w:val="002E4486"/>
    <w:rsid w:val="002E48CA"/>
    <w:rsid w:val="002E63AB"/>
    <w:rsid w:val="002E6926"/>
    <w:rsid w:val="002E733B"/>
    <w:rsid w:val="002F170E"/>
    <w:rsid w:val="002F2259"/>
    <w:rsid w:val="002F2403"/>
    <w:rsid w:val="002F6C5A"/>
    <w:rsid w:val="002F70BE"/>
    <w:rsid w:val="002F7132"/>
    <w:rsid w:val="00301470"/>
    <w:rsid w:val="00301DBC"/>
    <w:rsid w:val="00303D1A"/>
    <w:rsid w:val="00304A71"/>
    <w:rsid w:val="0030524D"/>
    <w:rsid w:val="003056DD"/>
    <w:rsid w:val="00307BFF"/>
    <w:rsid w:val="003110A0"/>
    <w:rsid w:val="00312675"/>
    <w:rsid w:val="00312BBB"/>
    <w:rsid w:val="00313A00"/>
    <w:rsid w:val="00313B78"/>
    <w:rsid w:val="00313BF0"/>
    <w:rsid w:val="00313E5B"/>
    <w:rsid w:val="00314013"/>
    <w:rsid w:val="00315746"/>
    <w:rsid w:val="003173C8"/>
    <w:rsid w:val="0032062F"/>
    <w:rsid w:val="00323807"/>
    <w:rsid w:val="00323D01"/>
    <w:rsid w:val="003254C3"/>
    <w:rsid w:val="00325E95"/>
    <w:rsid w:val="00325F48"/>
    <w:rsid w:val="00326346"/>
    <w:rsid w:val="00326AD4"/>
    <w:rsid w:val="0033077A"/>
    <w:rsid w:val="00331244"/>
    <w:rsid w:val="003323A8"/>
    <w:rsid w:val="00332D8D"/>
    <w:rsid w:val="00332DBE"/>
    <w:rsid w:val="00333000"/>
    <w:rsid w:val="0033477E"/>
    <w:rsid w:val="00335020"/>
    <w:rsid w:val="00335739"/>
    <w:rsid w:val="00335792"/>
    <w:rsid w:val="003359A8"/>
    <w:rsid w:val="00336553"/>
    <w:rsid w:val="003377A6"/>
    <w:rsid w:val="003411EA"/>
    <w:rsid w:val="00341B25"/>
    <w:rsid w:val="00342204"/>
    <w:rsid w:val="00342215"/>
    <w:rsid w:val="003427FD"/>
    <w:rsid w:val="00342E07"/>
    <w:rsid w:val="0034387B"/>
    <w:rsid w:val="003439EA"/>
    <w:rsid w:val="0034590E"/>
    <w:rsid w:val="00345950"/>
    <w:rsid w:val="00346DAD"/>
    <w:rsid w:val="0034721E"/>
    <w:rsid w:val="00351CB5"/>
    <w:rsid w:val="003522B2"/>
    <w:rsid w:val="00352970"/>
    <w:rsid w:val="00354A6F"/>
    <w:rsid w:val="00355752"/>
    <w:rsid w:val="003609B6"/>
    <w:rsid w:val="00361FD3"/>
    <w:rsid w:val="003638FC"/>
    <w:rsid w:val="00363AC3"/>
    <w:rsid w:val="0036426C"/>
    <w:rsid w:val="0036503F"/>
    <w:rsid w:val="00367FE8"/>
    <w:rsid w:val="0037087F"/>
    <w:rsid w:val="00370AB4"/>
    <w:rsid w:val="0037116A"/>
    <w:rsid w:val="003742EC"/>
    <w:rsid w:val="0037501C"/>
    <w:rsid w:val="00376195"/>
    <w:rsid w:val="00376367"/>
    <w:rsid w:val="00376487"/>
    <w:rsid w:val="003776BB"/>
    <w:rsid w:val="00377F35"/>
    <w:rsid w:val="003803D2"/>
    <w:rsid w:val="00381154"/>
    <w:rsid w:val="00381226"/>
    <w:rsid w:val="0038123E"/>
    <w:rsid w:val="003822DA"/>
    <w:rsid w:val="00382BCE"/>
    <w:rsid w:val="003831A6"/>
    <w:rsid w:val="00385C1E"/>
    <w:rsid w:val="0038685E"/>
    <w:rsid w:val="0039168D"/>
    <w:rsid w:val="003917B3"/>
    <w:rsid w:val="00393455"/>
    <w:rsid w:val="0039409B"/>
    <w:rsid w:val="003972C9"/>
    <w:rsid w:val="003A3B8A"/>
    <w:rsid w:val="003A4923"/>
    <w:rsid w:val="003A579D"/>
    <w:rsid w:val="003A5A08"/>
    <w:rsid w:val="003A6ABA"/>
    <w:rsid w:val="003A74E7"/>
    <w:rsid w:val="003A7F9C"/>
    <w:rsid w:val="003B0444"/>
    <w:rsid w:val="003B0BAC"/>
    <w:rsid w:val="003B381A"/>
    <w:rsid w:val="003B47AF"/>
    <w:rsid w:val="003B5491"/>
    <w:rsid w:val="003C079C"/>
    <w:rsid w:val="003C0B08"/>
    <w:rsid w:val="003C1C8D"/>
    <w:rsid w:val="003C2908"/>
    <w:rsid w:val="003C2A20"/>
    <w:rsid w:val="003C462F"/>
    <w:rsid w:val="003C54BD"/>
    <w:rsid w:val="003C6F09"/>
    <w:rsid w:val="003D0DD6"/>
    <w:rsid w:val="003D423A"/>
    <w:rsid w:val="003D43A7"/>
    <w:rsid w:val="003D4C0C"/>
    <w:rsid w:val="003D503B"/>
    <w:rsid w:val="003D605E"/>
    <w:rsid w:val="003D71BE"/>
    <w:rsid w:val="003D72FD"/>
    <w:rsid w:val="003E0B98"/>
    <w:rsid w:val="003E0F84"/>
    <w:rsid w:val="003E3118"/>
    <w:rsid w:val="003E3ACA"/>
    <w:rsid w:val="003E63C3"/>
    <w:rsid w:val="003E6C7E"/>
    <w:rsid w:val="003E6F13"/>
    <w:rsid w:val="003E72C8"/>
    <w:rsid w:val="003E7EA2"/>
    <w:rsid w:val="003F10BE"/>
    <w:rsid w:val="003F1192"/>
    <w:rsid w:val="003F1873"/>
    <w:rsid w:val="003F25BA"/>
    <w:rsid w:val="003F27B5"/>
    <w:rsid w:val="003F2CA8"/>
    <w:rsid w:val="003F2E45"/>
    <w:rsid w:val="003F3FF4"/>
    <w:rsid w:val="003F54EE"/>
    <w:rsid w:val="003F6BFF"/>
    <w:rsid w:val="003F7987"/>
    <w:rsid w:val="004000AE"/>
    <w:rsid w:val="00402CED"/>
    <w:rsid w:val="00403086"/>
    <w:rsid w:val="004034D0"/>
    <w:rsid w:val="004040FF"/>
    <w:rsid w:val="00404F39"/>
    <w:rsid w:val="00406587"/>
    <w:rsid w:val="00407C05"/>
    <w:rsid w:val="00410240"/>
    <w:rsid w:val="00411146"/>
    <w:rsid w:val="0041198D"/>
    <w:rsid w:val="00411C55"/>
    <w:rsid w:val="00412C4C"/>
    <w:rsid w:val="00413DB4"/>
    <w:rsid w:val="0041429A"/>
    <w:rsid w:val="00417DD8"/>
    <w:rsid w:val="00417EF7"/>
    <w:rsid w:val="004200D9"/>
    <w:rsid w:val="0042044B"/>
    <w:rsid w:val="00420B9A"/>
    <w:rsid w:val="00422BFC"/>
    <w:rsid w:val="00422C5D"/>
    <w:rsid w:val="00424642"/>
    <w:rsid w:val="00425DAC"/>
    <w:rsid w:val="00425EC8"/>
    <w:rsid w:val="00426432"/>
    <w:rsid w:val="0042717F"/>
    <w:rsid w:val="00430497"/>
    <w:rsid w:val="00430CF3"/>
    <w:rsid w:val="00431652"/>
    <w:rsid w:val="00432A91"/>
    <w:rsid w:val="004335CF"/>
    <w:rsid w:val="0043383C"/>
    <w:rsid w:val="00434A74"/>
    <w:rsid w:val="00434EF8"/>
    <w:rsid w:val="00435A3F"/>
    <w:rsid w:val="00437406"/>
    <w:rsid w:val="00437703"/>
    <w:rsid w:val="00437FE6"/>
    <w:rsid w:val="00440BFC"/>
    <w:rsid w:val="004421E8"/>
    <w:rsid w:val="004443B7"/>
    <w:rsid w:val="00446EEE"/>
    <w:rsid w:val="0045175A"/>
    <w:rsid w:val="00451ED9"/>
    <w:rsid w:val="00452D64"/>
    <w:rsid w:val="00453073"/>
    <w:rsid w:val="00453F26"/>
    <w:rsid w:val="00454832"/>
    <w:rsid w:val="0045503F"/>
    <w:rsid w:val="00460A2A"/>
    <w:rsid w:val="00461DE4"/>
    <w:rsid w:val="0046283C"/>
    <w:rsid w:val="004628D2"/>
    <w:rsid w:val="0046376D"/>
    <w:rsid w:val="00463B19"/>
    <w:rsid w:val="004645E6"/>
    <w:rsid w:val="00464717"/>
    <w:rsid w:val="00466AE5"/>
    <w:rsid w:val="0046777F"/>
    <w:rsid w:val="00467BA5"/>
    <w:rsid w:val="00470ABD"/>
    <w:rsid w:val="00472EAE"/>
    <w:rsid w:val="00473585"/>
    <w:rsid w:val="00474C5A"/>
    <w:rsid w:val="00475B8E"/>
    <w:rsid w:val="00475DBC"/>
    <w:rsid w:val="00476014"/>
    <w:rsid w:val="00477378"/>
    <w:rsid w:val="00481135"/>
    <w:rsid w:val="004814BB"/>
    <w:rsid w:val="00482542"/>
    <w:rsid w:val="00483AAB"/>
    <w:rsid w:val="00484A3D"/>
    <w:rsid w:val="00487126"/>
    <w:rsid w:val="00487A91"/>
    <w:rsid w:val="00490029"/>
    <w:rsid w:val="004901E5"/>
    <w:rsid w:val="004903D4"/>
    <w:rsid w:val="004903E1"/>
    <w:rsid w:val="00490B0F"/>
    <w:rsid w:val="00492D7C"/>
    <w:rsid w:val="00494737"/>
    <w:rsid w:val="004953D0"/>
    <w:rsid w:val="004963FF"/>
    <w:rsid w:val="00496B39"/>
    <w:rsid w:val="00497750"/>
    <w:rsid w:val="00497B44"/>
    <w:rsid w:val="004A116E"/>
    <w:rsid w:val="004A2D9A"/>
    <w:rsid w:val="004A36BA"/>
    <w:rsid w:val="004A5898"/>
    <w:rsid w:val="004A65CD"/>
    <w:rsid w:val="004A694D"/>
    <w:rsid w:val="004B0787"/>
    <w:rsid w:val="004B07B6"/>
    <w:rsid w:val="004B0CB1"/>
    <w:rsid w:val="004B21AB"/>
    <w:rsid w:val="004B3688"/>
    <w:rsid w:val="004B6678"/>
    <w:rsid w:val="004B71C7"/>
    <w:rsid w:val="004B7356"/>
    <w:rsid w:val="004C0882"/>
    <w:rsid w:val="004C1592"/>
    <w:rsid w:val="004C2CD3"/>
    <w:rsid w:val="004C35BC"/>
    <w:rsid w:val="004C66BD"/>
    <w:rsid w:val="004C6A85"/>
    <w:rsid w:val="004C6E76"/>
    <w:rsid w:val="004C72A0"/>
    <w:rsid w:val="004C75BC"/>
    <w:rsid w:val="004C7B13"/>
    <w:rsid w:val="004C7B33"/>
    <w:rsid w:val="004D19C2"/>
    <w:rsid w:val="004D1D07"/>
    <w:rsid w:val="004D20B1"/>
    <w:rsid w:val="004D3DAF"/>
    <w:rsid w:val="004E0372"/>
    <w:rsid w:val="004E0BAC"/>
    <w:rsid w:val="004E200B"/>
    <w:rsid w:val="004E272A"/>
    <w:rsid w:val="004E2E91"/>
    <w:rsid w:val="004E5D05"/>
    <w:rsid w:val="004E62B8"/>
    <w:rsid w:val="004E64D8"/>
    <w:rsid w:val="004E6AE6"/>
    <w:rsid w:val="004E6CCE"/>
    <w:rsid w:val="004E6DDC"/>
    <w:rsid w:val="004E7150"/>
    <w:rsid w:val="004E7EA3"/>
    <w:rsid w:val="004F210C"/>
    <w:rsid w:val="004F2A6D"/>
    <w:rsid w:val="004F4698"/>
    <w:rsid w:val="004F4812"/>
    <w:rsid w:val="004F4E1F"/>
    <w:rsid w:val="004F509F"/>
    <w:rsid w:val="00500BE3"/>
    <w:rsid w:val="00503A3E"/>
    <w:rsid w:val="00505BBA"/>
    <w:rsid w:val="005077F7"/>
    <w:rsid w:val="005109BB"/>
    <w:rsid w:val="00510A9D"/>
    <w:rsid w:val="005132EC"/>
    <w:rsid w:val="00516783"/>
    <w:rsid w:val="00517EF8"/>
    <w:rsid w:val="0052076A"/>
    <w:rsid w:val="00520A34"/>
    <w:rsid w:val="00520A57"/>
    <w:rsid w:val="00521AF8"/>
    <w:rsid w:val="00522586"/>
    <w:rsid w:val="00522A87"/>
    <w:rsid w:val="00522AA8"/>
    <w:rsid w:val="00522D8E"/>
    <w:rsid w:val="00523668"/>
    <w:rsid w:val="005252DD"/>
    <w:rsid w:val="005258B8"/>
    <w:rsid w:val="00525EBD"/>
    <w:rsid w:val="005344E2"/>
    <w:rsid w:val="00535477"/>
    <w:rsid w:val="005356B4"/>
    <w:rsid w:val="005360C2"/>
    <w:rsid w:val="0053723A"/>
    <w:rsid w:val="00537811"/>
    <w:rsid w:val="00540A2A"/>
    <w:rsid w:val="00542A28"/>
    <w:rsid w:val="00542DC8"/>
    <w:rsid w:val="0054354E"/>
    <w:rsid w:val="005441D4"/>
    <w:rsid w:val="0054461C"/>
    <w:rsid w:val="00544B31"/>
    <w:rsid w:val="00544EA9"/>
    <w:rsid w:val="00545878"/>
    <w:rsid w:val="00545B8B"/>
    <w:rsid w:val="00547369"/>
    <w:rsid w:val="00550808"/>
    <w:rsid w:val="00550F4E"/>
    <w:rsid w:val="005529A3"/>
    <w:rsid w:val="005530B6"/>
    <w:rsid w:val="00554A05"/>
    <w:rsid w:val="00554A69"/>
    <w:rsid w:val="00554AF4"/>
    <w:rsid w:val="00554E67"/>
    <w:rsid w:val="005561B2"/>
    <w:rsid w:val="0056154F"/>
    <w:rsid w:val="0056220E"/>
    <w:rsid w:val="0056462B"/>
    <w:rsid w:val="00564875"/>
    <w:rsid w:val="0056501C"/>
    <w:rsid w:val="00565663"/>
    <w:rsid w:val="00571779"/>
    <w:rsid w:val="00574709"/>
    <w:rsid w:val="00574D0D"/>
    <w:rsid w:val="005750B3"/>
    <w:rsid w:val="00575694"/>
    <w:rsid w:val="005765C0"/>
    <w:rsid w:val="005778DE"/>
    <w:rsid w:val="00580B3F"/>
    <w:rsid w:val="0058129A"/>
    <w:rsid w:val="00581BF2"/>
    <w:rsid w:val="00583D1C"/>
    <w:rsid w:val="00585394"/>
    <w:rsid w:val="00586027"/>
    <w:rsid w:val="0058703B"/>
    <w:rsid w:val="00587601"/>
    <w:rsid w:val="00591E6E"/>
    <w:rsid w:val="0059238B"/>
    <w:rsid w:val="0059393A"/>
    <w:rsid w:val="005946E6"/>
    <w:rsid w:val="00594FB8"/>
    <w:rsid w:val="0059665F"/>
    <w:rsid w:val="005A2114"/>
    <w:rsid w:val="005A2220"/>
    <w:rsid w:val="005A2968"/>
    <w:rsid w:val="005A2D8A"/>
    <w:rsid w:val="005A3644"/>
    <w:rsid w:val="005A3BDF"/>
    <w:rsid w:val="005A60D4"/>
    <w:rsid w:val="005A6198"/>
    <w:rsid w:val="005A647F"/>
    <w:rsid w:val="005A726C"/>
    <w:rsid w:val="005A77B0"/>
    <w:rsid w:val="005B0C90"/>
    <w:rsid w:val="005B128A"/>
    <w:rsid w:val="005B1D5E"/>
    <w:rsid w:val="005B20AA"/>
    <w:rsid w:val="005B27A0"/>
    <w:rsid w:val="005B337B"/>
    <w:rsid w:val="005B372A"/>
    <w:rsid w:val="005B4309"/>
    <w:rsid w:val="005B5076"/>
    <w:rsid w:val="005B64CB"/>
    <w:rsid w:val="005B6AAA"/>
    <w:rsid w:val="005B7554"/>
    <w:rsid w:val="005B7D00"/>
    <w:rsid w:val="005B7DCC"/>
    <w:rsid w:val="005C1169"/>
    <w:rsid w:val="005C11AB"/>
    <w:rsid w:val="005C1898"/>
    <w:rsid w:val="005C3301"/>
    <w:rsid w:val="005C354F"/>
    <w:rsid w:val="005C3F06"/>
    <w:rsid w:val="005D0258"/>
    <w:rsid w:val="005D0CF5"/>
    <w:rsid w:val="005D3C8A"/>
    <w:rsid w:val="005D4A86"/>
    <w:rsid w:val="005D5160"/>
    <w:rsid w:val="005E0F86"/>
    <w:rsid w:val="005E1886"/>
    <w:rsid w:val="005E22A8"/>
    <w:rsid w:val="005E479A"/>
    <w:rsid w:val="005E53BB"/>
    <w:rsid w:val="005E55E4"/>
    <w:rsid w:val="005E5606"/>
    <w:rsid w:val="005E58F1"/>
    <w:rsid w:val="005E647F"/>
    <w:rsid w:val="005E662A"/>
    <w:rsid w:val="005F19F8"/>
    <w:rsid w:val="005F25CE"/>
    <w:rsid w:val="005F32A4"/>
    <w:rsid w:val="005F42B7"/>
    <w:rsid w:val="005F60DC"/>
    <w:rsid w:val="005F70E5"/>
    <w:rsid w:val="005F72A9"/>
    <w:rsid w:val="00600817"/>
    <w:rsid w:val="00600FE2"/>
    <w:rsid w:val="00602253"/>
    <w:rsid w:val="006023E1"/>
    <w:rsid w:val="006024AC"/>
    <w:rsid w:val="00604CEB"/>
    <w:rsid w:val="00604DED"/>
    <w:rsid w:val="00605290"/>
    <w:rsid w:val="00605655"/>
    <w:rsid w:val="00606E98"/>
    <w:rsid w:val="0060784B"/>
    <w:rsid w:val="00607ED9"/>
    <w:rsid w:val="00611484"/>
    <w:rsid w:val="0061263A"/>
    <w:rsid w:val="00612A31"/>
    <w:rsid w:val="00613373"/>
    <w:rsid w:val="00613DCE"/>
    <w:rsid w:val="0061404E"/>
    <w:rsid w:val="00614F25"/>
    <w:rsid w:val="00615AA7"/>
    <w:rsid w:val="00616C33"/>
    <w:rsid w:val="0061795D"/>
    <w:rsid w:val="0062012D"/>
    <w:rsid w:val="00620D7C"/>
    <w:rsid w:val="00622DA2"/>
    <w:rsid w:val="006233DA"/>
    <w:rsid w:val="006236A5"/>
    <w:rsid w:val="00623809"/>
    <w:rsid w:val="00623A9F"/>
    <w:rsid w:val="00624819"/>
    <w:rsid w:val="00624B7D"/>
    <w:rsid w:val="0062700A"/>
    <w:rsid w:val="00627A3D"/>
    <w:rsid w:val="00630EB5"/>
    <w:rsid w:val="006320A1"/>
    <w:rsid w:val="00632C0F"/>
    <w:rsid w:val="00632FC5"/>
    <w:rsid w:val="00633D16"/>
    <w:rsid w:val="00634B64"/>
    <w:rsid w:val="00635A3F"/>
    <w:rsid w:val="006373D6"/>
    <w:rsid w:val="006375C7"/>
    <w:rsid w:val="006375D6"/>
    <w:rsid w:val="0064088F"/>
    <w:rsid w:val="0064182C"/>
    <w:rsid w:val="00641A2C"/>
    <w:rsid w:val="00641B6C"/>
    <w:rsid w:val="00643947"/>
    <w:rsid w:val="00645D26"/>
    <w:rsid w:val="00646F17"/>
    <w:rsid w:val="006476F7"/>
    <w:rsid w:val="00647C6A"/>
    <w:rsid w:val="00651EFA"/>
    <w:rsid w:val="006520E9"/>
    <w:rsid w:val="006521F3"/>
    <w:rsid w:val="006524D5"/>
    <w:rsid w:val="00652BBD"/>
    <w:rsid w:val="00652D1A"/>
    <w:rsid w:val="006537A8"/>
    <w:rsid w:val="006558B3"/>
    <w:rsid w:val="0065595F"/>
    <w:rsid w:val="00656800"/>
    <w:rsid w:val="00657197"/>
    <w:rsid w:val="00657F31"/>
    <w:rsid w:val="00660165"/>
    <w:rsid w:val="006606CC"/>
    <w:rsid w:val="006609E4"/>
    <w:rsid w:val="00662557"/>
    <w:rsid w:val="006630CF"/>
    <w:rsid w:val="006638D4"/>
    <w:rsid w:val="00663ADD"/>
    <w:rsid w:val="0066413E"/>
    <w:rsid w:val="00665103"/>
    <w:rsid w:val="00665ECF"/>
    <w:rsid w:val="00667831"/>
    <w:rsid w:val="00670273"/>
    <w:rsid w:val="00670CFB"/>
    <w:rsid w:val="0067114E"/>
    <w:rsid w:val="00671819"/>
    <w:rsid w:val="006725A0"/>
    <w:rsid w:val="00672B0F"/>
    <w:rsid w:val="0067471C"/>
    <w:rsid w:val="00674852"/>
    <w:rsid w:val="00677FAD"/>
    <w:rsid w:val="006808FD"/>
    <w:rsid w:val="00680E19"/>
    <w:rsid w:val="00680E42"/>
    <w:rsid w:val="006828BD"/>
    <w:rsid w:val="0068392F"/>
    <w:rsid w:val="006857D2"/>
    <w:rsid w:val="0068590D"/>
    <w:rsid w:val="00685CE8"/>
    <w:rsid w:val="006869FB"/>
    <w:rsid w:val="00690C50"/>
    <w:rsid w:val="006911C0"/>
    <w:rsid w:val="0069142B"/>
    <w:rsid w:val="006914AB"/>
    <w:rsid w:val="0069201D"/>
    <w:rsid w:val="00693A98"/>
    <w:rsid w:val="00694C31"/>
    <w:rsid w:val="0069578B"/>
    <w:rsid w:val="00696525"/>
    <w:rsid w:val="006971D5"/>
    <w:rsid w:val="00697A61"/>
    <w:rsid w:val="006A02D4"/>
    <w:rsid w:val="006A15F3"/>
    <w:rsid w:val="006A1CC4"/>
    <w:rsid w:val="006A22D1"/>
    <w:rsid w:val="006A2CA2"/>
    <w:rsid w:val="006A3FD4"/>
    <w:rsid w:val="006A70DD"/>
    <w:rsid w:val="006A77DF"/>
    <w:rsid w:val="006B121F"/>
    <w:rsid w:val="006B1613"/>
    <w:rsid w:val="006B194A"/>
    <w:rsid w:val="006B2349"/>
    <w:rsid w:val="006B2D40"/>
    <w:rsid w:val="006B381B"/>
    <w:rsid w:val="006B3870"/>
    <w:rsid w:val="006B3CB5"/>
    <w:rsid w:val="006B4025"/>
    <w:rsid w:val="006B419C"/>
    <w:rsid w:val="006B6AFE"/>
    <w:rsid w:val="006B6E44"/>
    <w:rsid w:val="006B7287"/>
    <w:rsid w:val="006B7F2E"/>
    <w:rsid w:val="006C0640"/>
    <w:rsid w:val="006C105D"/>
    <w:rsid w:val="006C1F59"/>
    <w:rsid w:val="006C30C9"/>
    <w:rsid w:val="006C38DD"/>
    <w:rsid w:val="006C3D76"/>
    <w:rsid w:val="006C5E96"/>
    <w:rsid w:val="006C737A"/>
    <w:rsid w:val="006C7709"/>
    <w:rsid w:val="006D007E"/>
    <w:rsid w:val="006D00D3"/>
    <w:rsid w:val="006D11E7"/>
    <w:rsid w:val="006D3429"/>
    <w:rsid w:val="006D5C7C"/>
    <w:rsid w:val="006D6002"/>
    <w:rsid w:val="006D72AA"/>
    <w:rsid w:val="006D7736"/>
    <w:rsid w:val="006E2A23"/>
    <w:rsid w:val="006E3871"/>
    <w:rsid w:val="006E3C6F"/>
    <w:rsid w:val="006E3C72"/>
    <w:rsid w:val="006E473C"/>
    <w:rsid w:val="006E5939"/>
    <w:rsid w:val="006F2191"/>
    <w:rsid w:val="006F2C3C"/>
    <w:rsid w:val="006F6CEB"/>
    <w:rsid w:val="00700247"/>
    <w:rsid w:val="00701051"/>
    <w:rsid w:val="0070135D"/>
    <w:rsid w:val="00703D56"/>
    <w:rsid w:val="00704092"/>
    <w:rsid w:val="007043B0"/>
    <w:rsid w:val="0070543B"/>
    <w:rsid w:val="00706613"/>
    <w:rsid w:val="00706E1F"/>
    <w:rsid w:val="00710011"/>
    <w:rsid w:val="00710519"/>
    <w:rsid w:val="00710E53"/>
    <w:rsid w:val="00711212"/>
    <w:rsid w:val="0071251F"/>
    <w:rsid w:val="007133E4"/>
    <w:rsid w:val="00713F66"/>
    <w:rsid w:val="00714154"/>
    <w:rsid w:val="00714C2A"/>
    <w:rsid w:val="00715557"/>
    <w:rsid w:val="00715E08"/>
    <w:rsid w:val="007164CD"/>
    <w:rsid w:val="00716774"/>
    <w:rsid w:val="007175E5"/>
    <w:rsid w:val="00717F8B"/>
    <w:rsid w:val="007225C2"/>
    <w:rsid w:val="007239C6"/>
    <w:rsid w:val="00724002"/>
    <w:rsid w:val="00724237"/>
    <w:rsid w:val="00724C18"/>
    <w:rsid w:val="00725339"/>
    <w:rsid w:val="00725D6E"/>
    <w:rsid w:val="00730944"/>
    <w:rsid w:val="00730A7C"/>
    <w:rsid w:val="00730C40"/>
    <w:rsid w:val="00731E13"/>
    <w:rsid w:val="0073272F"/>
    <w:rsid w:val="00733017"/>
    <w:rsid w:val="007341F5"/>
    <w:rsid w:val="00735606"/>
    <w:rsid w:val="00741121"/>
    <w:rsid w:val="0074171D"/>
    <w:rsid w:val="00744401"/>
    <w:rsid w:val="007448F4"/>
    <w:rsid w:val="00745B6D"/>
    <w:rsid w:val="00745C9F"/>
    <w:rsid w:val="00745CE3"/>
    <w:rsid w:val="0074682A"/>
    <w:rsid w:val="0074726F"/>
    <w:rsid w:val="0074795A"/>
    <w:rsid w:val="00747FE2"/>
    <w:rsid w:val="00750EFE"/>
    <w:rsid w:val="00751A7F"/>
    <w:rsid w:val="0075201D"/>
    <w:rsid w:val="0075268F"/>
    <w:rsid w:val="00752D4F"/>
    <w:rsid w:val="0075409F"/>
    <w:rsid w:val="0075584A"/>
    <w:rsid w:val="00755986"/>
    <w:rsid w:val="007567D7"/>
    <w:rsid w:val="0075683E"/>
    <w:rsid w:val="00760B08"/>
    <w:rsid w:val="007618D4"/>
    <w:rsid w:val="00761C0D"/>
    <w:rsid w:val="007639AF"/>
    <w:rsid w:val="00764281"/>
    <w:rsid w:val="0076436D"/>
    <w:rsid w:val="0076576B"/>
    <w:rsid w:val="0076582F"/>
    <w:rsid w:val="007668E2"/>
    <w:rsid w:val="00766F4D"/>
    <w:rsid w:val="007674F6"/>
    <w:rsid w:val="007676E8"/>
    <w:rsid w:val="0077088B"/>
    <w:rsid w:val="00770E61"/>
    <w:rsid w:val="00773A5F"/>
    <w:rsid w:val="007778F9"/>
    <w:rsid w:val="0078056A"/>
    <w:rsid w:val="0078326D"/>
    <w:rsid w:val="00783649"/>
    <w:rsid w:val="00783D7D"/>
    <w:rsid w:val="00783E2C"/>
    <w:rsid w:val="00784592"/>
    <w:rsid w:val="00784EA6"/>
    <w:rsid w:val="00785728"/>
    <w:rsid w:val="00785DFF"/>
    <w:rsid w:val="007917E3"/>
    <w:rsid w:val="00791EB4"/>
    <w:rsid w:val="0079266D"/>
    <w:rsid w:val="00795A88"/>
    <w:rsid w:val="007969E8"/>
    <w:rsid w:val="00796DAB"/>
    <w:rsid w:val="007971A7"/>
    <w:rsid w:val="00797297"/>
    <w:rsid w:val="007A04DB"/>
    <w:rsid w:val="007A076C"/>
    <w:rsid w:val="007A0FA0"/>
    <w:rsid w:val="007A2ED3"/>
    <w:rsid w:val="007A326C"/>
    <w:rsid w:val="007A330F"/>
    <w:rsid w:val="007A441C"/>
    <w:rsid w:val="007A4F92"/>
    <w:rsid w:val="007A61CE"/>
    <w:rsid w:val="007A7BB5"/>
    <w:rsid w:val="007B069D"/>
    <w:rsid w:val="007B18EE"/>
    <w:rsid w:val="007B269B"/>
    <w:rsid w:val="007B2956"/>
    <w:rsid w:val="007B3F08"/>
    <w:rsid w:val="007B51D1"/>
    <w:rsid w:val="007B6706"/>
    <w:rsid w:val="007B74A8"/>
    <w:rsid w:val="007B7A27"/>
    <w:rsid w:val="007C0A05"/>
    <w:rsid w:val="007C20BD"/>
    <w:rsid w:val="007C2E4E"/>
    <w:rsid w:val="007C379B"/>
    <w:rsid w:val="007C49C0"/>
    <w:rsid w:val="007C7233"/>
    <w:rsid w:val="007C760C"/>
    <w:rsid w:val="007C7AED"/>
    <w:rsid w:val="007C7E73"/>
    <w:rsid w:val="007D1153"/>
    <w:rsid w:val="007D31AB"/>
    <w:rsid w:val="007D398B"/>
    <w:rsid w:val="007D44F3"/>
    <w:rsid w:val="007D62BA"/>
    <w:rsid w:val="007D62DF"/>
    <w:rsid w:val="007D65B5"/>
    <w:rsid w:val="007D6BBE"/>
    <w:rsid w:val="007D764C"/>
    <w:rsid w:val="007E1A30"/>
    <w:rsid w:val="007E4BD2"/>
    <w:rsid w:val="007E4F35"/>
    <w:rsid w:val="007E7544"/>
    <w:rsid w:val="007E7D4B"/>
    <w:rsid w:val="007E7DD4"/>
    <w:rsid w:val="007F13BF"/>
    <w:rsid w:val="007F365C"/>
    <w:rsid w:val="007F621C"/>
    <w:rsid w:val="007F6315"/>
    <w:rsid w:val="007F6558"/>
    <w:rsid w:val="007F6932"/>
    <w:rsid w:val="007F6C73"/>
    <w:rsid w:val="007F7619"/>
    <w:rsid w:val="007F7C86"/>
    <w:rsid w:val="00801033"/>
    <w:rsid w:val="00801627"/>
    <w:rsid w:val="00801E8A"/>
    <w:rsid w:val="00802322"/>
    <w:rsid w:val="0080239C"/>
    <w:rsid w:val="00802933"/>
    <w:rsid w:val="0080359C"/>
    <w:rsid w:val="0080476E"/>
    <w:rsid w:val="0080527B"/>
    <w:rsid w:val="00806044"/>
    <w:rsid w:val="00806972"/>
    <w:rsid w:val="008075B5"/>
    <w:rsid w:val="008100C9"/>
    <w:rsid w:val="00811530"/>
    <w:rsid w:val="00812403"/>
    <w:rsid w:val="00812FD7"/>
    <w:rsid w:val="0081386E"/>
    <w:rsid w:val="00813D61"/>
    <w:rsid w:val="00815CA3"/>
    <w:rsid w:val="00815EE6"/>
    <w:rsid w:val="00817D2D"/>
    <w:rsid w:val="0082001C"/>
    <w:rsid w:val="00821747"/>
    <w:rsid w:val="00822DBF"/>
    <w:rsid w:val="008241A9"/>
    <w:rsid w:val="00824DAE"/>
    <w:rsid w:val="008273F8"/>
    <w:rsid w:val="00827439"/>
    <w:rsid w:val="00827B0D"/>
    <w:rsid w:val="00830123"/>
    <w:rsid w:val="00831077"/>
    <w:rsid w:val="00832188"/>
    <w:rsid w:val="00833619"/>
    <w:rsid w:val="0083497C"/>
    <w:rsid w:val="00835098"/>
    <w:rsid w:val="00835BFB"/>
    <w:rsid w:val="008363AE"/>
    <w:rsid w:val="00837BA0"/>
    <w:rsid w:val="0084121D"/>
    <w:rsid w:val="00841734"/>
    <w:rsid w:val="008421A0"/>
    <w:rsid w:val="00846484"/>
    <w:rsid w:val="00846E62"/>
    <w:rsid w:val="00850A52"/>
    <w:rsid w:val="00850B68"/>
    <w:rsid w:val="00851CCD"/>
    <w:rsid w:val="0085262F"/>
    <w:rsid w:val="00852854"/>
    <w:rsid w:val="00852C03"/>
    <w:rsid w:val="00854489"/>
    <w:rsid w:val="00854A37"/>
    <w:rsid w:val="008550A0"/>
    <w:rsid w:val="0085590C"/>
    <w:rsid w:val="008560D7"/>
    <w:rsid w:val="008603ED"/>
    <w:rsid w:val="00861027"/>
    <w:rsid w:val="00861321"/>
    <w:rsid w:val="00862679"/>
    <w:rsid w:val="008631FE"/>
    <w:rsid w:val="00863C6B"/>
    <w:rsid w:val="00863C6E"/>
    <w:rsid w:val="00865E0C"/>
    <w:rsid w:val="00866673"/>
    <w:rsid w:val="00867ECE"/>
    <w:rsid w:val="00870A0A"/>
    <w:rsid w:val="008722B0"/>
    <w:rsid w:val="00872430"/>
    <w:rsid w:val="00872BA2"/>
    <w:rsid w:val="00872BCA"/>
    <w:rsid w:val="00872D09"/>
    <w:rsid w:val="00872D61"/>
    <w:rsid w:val="00872E16"/>
    <w:rsid w:val="00873B53"/>
    <w:rsid w:val="00873D9A"/>
    <w:rsid w:val="00875914"/>
    <w:rsid w:val="008759AC"/>
    <w:rsid w:val="00877700"/>
    <w:rsid w:val="00883367"/>
    <w:rsid w:val="00884C47"/>
    <w:rsid w:val="00885827"/>
    <w:rsid w:val="008862B2"/>
    <w:rsid w:val="00886AC0"/>
    <w:rsid w:val="0088759B"/>
    <w:rsid w:val="008878BF"/>
    <w:rsid w:val="00890BE6"/>
    <w:rsid w:val="00891153"/>
    <w:rsid w:val="00893291"/>
    <w:rsid w:val="00893E40"/>
    <w:rsid w:val="00895372"/>
    <w:rsid w:val="00895B22"/>
    <w:rsid w:val="008962E4"/>
    <w:rsid w:val="00896DB4"/>
    <w:rsid w:val="008A1424"/>
    <w:rsid w:val="008A14B9"/>
    <w:rsid w:val="008A1B7F"/>
    <w:rsid w:val="008A2207"/>
    <w:rsid w:val="008A2585"/>
    <w:rsid w:val="008A28BA"/>
    <w:rsid w:val="008A2F22"/>
    <w:rsid w:val="008A4E95"/>
    <w:rsid w:val="008A4EBF"/>
    <w:rsid w:val="008A5404"/>
    <w:rsid w:val="008B1888"/>
    <w:rsid w:val="008B2174"/>
    <w:rsid w:val="008B3CCD"/>
    <w:rsid w:val="008B4C28"/>
    <w:rsid w:val="008B50AC"/>
    <w:rsid w:val="008B637C"/>
    <w:rsid w:val="008B6A18"/>
    <w:rsid w:val="008B7DFD"/>
    <w:rsid w:val="008C1F40"/>
    <w:rsid w:val="008C2A81"/>
    <w:rsid w:val="008C38B6"/>
    <w:rsid w:val="008C3994"/>
    <w:rsid w:val="008C3DA2"/>
    <w:rsid w:val="008C4BDC"/>
    <w:rsid w:val="008C7803"/>
    <w:rsid w:val="008D22AE"/>
    <w:rsid w:val="008D4032"/>
    <w:rsid w:val="008D41DC"/>
    <w:rsid w:val="008D6DFF"/>
    <w:rsid w:val="008D70F6"/>
    <w:rsid w:val="008D770D"/>
    <w:rsid w:val="008E10D5"/>
    <w:rsid w:val="008E14B4"/>
    <w:rsid w:val="008E1D51"/>
    <w:rsid w:val="008E25DD"/>
    <w:rsid w:val="008E32FF"/>
    <w:rsid w:val="008E3604"/>
    <w:rsid w:val="008E3623"/>
    <w:rsid w:val="008E5C5B"/>
    <w:rsid w:val="008E698C"/>
    <w:rsid w:val="008F085A"/>
    <w:rsid w:val="008F0B77"/>
    <w:rsid w:val="008F22A2"/>
    <w:rsid w:val="008F248D"/>
    <w:rsid w:val="008F321C"/>
    <w:rsid w:val="008F3ED6"/>
    <w:rsid w:val="008F4B2C"/>
    <w:rsid w:val="008F6300"/>
    <w:rsid w:val="00902290"/>
    <w:rsid w:val="00903B8E"/>
    <w:rsid w:val="0090402B"/>
    <w:rsid w:val="00904EE6"/>
    <w:rsid w:val="009057FF"/>
    <w:rsid w:val="00905F76"/>
    <w:rsid w:val="00907061"/>
    <w:rsid w:val="009122B8"/>
    <w:rsid w:val="0091344E"/>
    <w:rsid w:val="009158B7"/>
    <w:rsid w:val="00915A84"/>
    <w:rsid w:val="009174A7"/>
    <w:rsid w:val="00922C90"/>
    <w:rsid w:val="0092488D"/>
    <w:rsid w:val="00926225"/>
    <w:rsid w:val="0092674C"/>
    <w:rsid w:val="00926C0D"/>
    <w:rsid w:val="009279DC"/>
    <w:rsid w:val="00927A35"/>
    <w:rsid w:val="009314C2"/>
    <w:rsid w:val="00932B4F"/>
    <w:rsid w:val="00932EA4"/>
    <w:rsid w:val="00933FFE"/>
    <w:rsid w:val="009341E2"/>
    <w:rsid w:val="009347F3"/>
    <w:rsid w:val="00934D8C"/>
    <w:rsid w:val="00934F79"/>
    <w:rsid w:val="00937168"/>
    <w:rsid w:val="009371DC"/>
    <w:rsid w:val="00937E42"/>
    <w:rsid w:val="00940239"/>
    <w:rsid w:val="00940A63"/>
    <w:rsid w:val="00940A77"/>
    <w:rsid w:val="00940D5E"/>
    <w:rsid w:val="00941096"/>
    <w:rsid w:val="00941B7F"/>
    <w:rsid w:val="00942F7B"/>
    <w:rsid w:val="00943927"/>
    <w:rsid w:val="0094429D"/>
    <w:rsid w:val="00944CE1"/>
    <w:rsid w:val="00944E13"/>
    <w:rsid w:val="00946741"/>
    <w:rsid w:val="009478AE"/>
    <w:rsid w:val="00947CE2"/>
    <w:rsid w:val="009503E5"/>
    <w:rsid w:val="00950DD7"/>
    <w:rsid w:val="00950F71"/>
    <w:rsid w:val="009522AE"/>
    <w:rsid w:val="009558D9"/>
    <w:rsid w:val="00955E7A"/>
    <w:rsid w:val="009560B3"/>
    <w:rsid w:val="00956219"/>
    <w:rsid w:val="0095653D"/>
    <w:rsid w:val="0095745E"/>
    <w:rsid w:val="009605F2"/>
    <w:rsid w:val="00960BA0"/>
    <w:rsid w:val="00960C7C"/>
    <w:rsid w:val="00961301"/>
    <w:rsid w:val="00962315"/>
    <w:rsid w:val="00962CEF"/>
    <w:rsid w:val="00962E56"/>
    <w:rsid w:val="009636FC"/>
    <w:rsid w:val="009638F5"/>
    <w:rsid w:val="009674ED"/>
    <w:rsid w:val="0096757A"/>
    <w:rsid w:val="009676A0"/>
    <w:rsid w:val="00967C9D"/>
    <w:rsid w:val="00967CE2"/>
    <w:rsid w:val="00970BED"/>
    <w:rsid w:val="00970D3F"/>
    <w:rsid w:val="00970DAA"/>
    <w:rsid w:val="009711D4"/>
    <w:rsid w:val="00973431"/>
    <w:rsid w:val="0097606C"/>
    <w:rsid w:val="00977959"/>
    <w:rsid w:val="00980460"/>
    <w:rsid w:val="00980845"/>
    <w:rsid w:val="0098092B"/>
    <w:rsid w:val="00983D8F"/>
    <w:rsid w:val="00983EFA"/>
    <w:rsid w:val="009840BA"/>
    <w:rsid w:val="00984D92"/>
    <w:rsid w:val="00985663"/>
    <w:rsid w:val="00985F64"/>
    <w:rsid w:val="00986358"/>
    <w:rsid w:val="00990DAF"/>
    <w:rsid w:val="0099288A"/>
    <w:rsid w:val="00993286"/>
    <w:rsid w:val="00993465"/>
    <w:rsid w:val="009940B6"/>
    <w:rsid w:val="00994621"/>
    <w:rsid w:val="009947FF"/>
    <w:rsid w:val="0099544B"/>
    <w:rsid w:val="009973D5"/>
    <w:rsid w:val="0099757C"/>
    <w:rsid w:val="009A0A1C"/>
    <w:rsid w:val="009A10ED"/>
    <w:rsid w:val="009A23AE"/>
    <w:rsid w:val="009A2C91"/>
    <w:rsid w:val="009A597F"/>
    <w:rsid w:val="009B05DE"/>
    <w:rsid w:val="009B0AA2"/>
    <w:rsid w:val="009B198B"/>
    <w:rsid w:val="009B3C87"/>
    <w:rsid w:val="009B49E5"/>
    <w:rsid w:val="009B4ED4"/>
    <w:rsid w:val="009B5D27"/>
    <w:rsid w:val="009B65C7"/>
    <w:rsid w:val="009B67A5"/>
    <w:rsid w:val="009B6DAC"/>
    <w:rsid w:val="009B7834"/>
    <w:rsid w:val="009B7E22"/>
    <w:rsid w:val="009C0B02"/>
    <w:rsid w:val="009C13BC"/>
    <w:rsid w:val="009C163B"/>
    <w:rsid w:val="009C17F7"/>
    <w:rsid w:val="009C1EE8"/>
    <w:rsid w:val="009C2D8E"/>
    <w:rsid w:val="009C366E"/>
    <w:rsid w:val="009C56F9"/>
    <w:rsid w:val="009C71AC"/>
    <w:rsid w:val="009D0093"/>
    <w:rsid w:val="009D2705"/>
    <w:rsid w:val="009D3022"/>
    <w:rsid w:val="009D7118"/>
    <w:rsid w:val="009D7838"/>
    <w:rsid w:val="009D7A75"/>
    <w:rsid w:val="009D7D9E"/>
    <w:rsid w:val="009E0B05"/>
    <w:rsid w:val="009E0D2D"/>
    <w:rsid w:val="009E16CC"/>
    <w:rsid w:val="009E23C0"/>
    <w:rsid w:val="009E2620"/>
    <w:rsid w:val="009E3D2D"/>
    <w:rsid w:val="009E4875"/>
    <w:rsid w:val="009E7A88"/>
    <w:rsid w:val="009E7F62"/>
    <w:rsid w:val="009F1AF5"/>
    <w:rsid w:val="009F1DDB"/>
    <w:rsid w:val="009F21AC"/>
    <w:rsid w:val="009F3785"/>
    <w:rsid w:val="009F37E6"/>
    <w:rsid w:val="009F7669"/>
    <w:rsid w:val="009F786C"/>
    <w:rsid w:val="00A0083C"/>
    <w:rsid w:val="00A044BB"/>
    <w:rsid w:val="00A05156"/>
    <w:rsid w:val="00A06340"/>
    <w:rsid w:val="00A076B0"/>
    <w:rsid w:val="00A1073B"/>
    <w:rsid w:val="00A10CBE"/>
    <w:rsid w:val="00A112CA"/>
    <w:rsid w:val="00A11305"/>
    <w:rsid w:val="00A1159D"/>
    <w:rsid w:val="00A122C0"/>
    <w:rsid w:val="00A1326E"/>
    <w:rsid w:val="00A136F5"/>
    <w:rsid w:val="00A15A65"/>
    <w:rsid w:val="00A17066"/>
    <w:rsid w:val="00A17582"/>
    <w:rsid w:val="00A204FC"/>
    <w:rsid w:val="00A21734"/>
    <w:rsid w:val="00A21A30"/>
    <w:rsid w:val="00A23A63"/>
    <w:rsid w:val="00A23B5A"/>
    <w:rsid w:val="00A243E4"/>
    <w:rsid w:val="00A24E85"/>
    <w:rsid w:val="00A258C9"/>
    <w:rsid w:val="00A260DB"/>
    <w:rsid w:val="00A27054"/>
    <w:rsid w:val="00A27908"/>
    <w:rsid w:val="00A30E7B"/>
    <w:rsid w:val="00A31C14"/>
    <w:rsid w:val="00A32D2C"/>
    <w:rsid w:val="00A33DE3"/>
    <w:rsid w:val="00A346F6"/>
    <w:rsid w:val="00A359DF"/>
    <w:rsid w:val="00A36A26"/>
    <w:rsid w:val="00A40272"/>
    <w:rsid w:val="00A415B5"/>
    <w:rsid w:val="00A44C0B"/>
    <w:rsid w:val="00A45377"/>
    <w:rsid w:val="00A4572B"/>
    <w:rsid w:val="00A46D2E"/>
    <w:rsid w:val="00A46D5E"/>
    <w:rsid w:val="00A54514"/>
    <w:rsid w:val="00A55BB1"/>
    <w:rsid w:val="00A564CD"/>
    <w:rsid w:val="00A60736"/>
    <w:rsid w:val="00A60BB0"/>
    <w:rsid w:val="00A60E64"/>
    <w:rsid w:val="00A60F50"/>
    <w:rsid w:val="00A61009"/>
    <w:rsid w:val="00A613ED"/>
    <w:rsid w:val="00A61EF6"/>
    <w:rsid w:val="00A62956"/>
    <w:rsid w:val="00A63852"/>
    <w:rsid w:val="00A63C96"/>
    <w:rsid w:val="00A6523E"/>
    <w:rsid w:val="00A65805"/>
    <w:rsid w:val="00A668A6"/>
    <w:rsid w:val="00A66B31"/>
    <w:rsid w:val="00A6720D"/>
    <w:rsid w:val="00A7058D"/>
    <w:rsid w:val="00A70C48"/>
    <w:rsid w:val="00A70EE6"/>
    <w:rsid w:val="00A7120F"/>
    <w:rsid w:val="00A72199"/>
    <w:rsid w:val="00A72AAF"/>
    <w:rsid w:val="00A734FE"/>
    <w:rsid w:val="00A771E9"/>
    <w:rsid w:val="00A77F3D"/>
    <w:rsid w:val="00A806EE"/>
    <w:rsid w:val="00A80A02"/>
    <w:rsid w:val="00A81A73"/>
    <w:rsid w:val="00A81E9D"/>
    <w:rsid w:val="00A82612"/>
    <w:rsid w:val="00A8344A"/>
    <w:rsid w:val="00A83F40"/>
    <w:rsid w:val="00A84770"/>
    <w:rsid w:val="00A8635A"/>
    <w:rsid w:val="00A90886"/>
    <w:rsid w:val="00A917C3"/>
    <w:rsid w:val="00A93C0E"/>
    <w:rsid w:val="00A9427D"/>
    <w:rsid w:val="00A94835"/>
    <w:rsid w:val="00A958CA"/>
    <w:rsid w:val="00A95E26"/>
    <w:rsid w:val="00A976C2"/>
    <w:rsid w:val="00AA003B"/>
    <w:rsid w:val="00AA00F2"/>
    <w:rsid w:val="00AA0857"/>
    <w:rsid w:val="00AA2751"/>
    <w:rsid w:val="00AA52E8"/>
    <w:rsid w:val="00AA557A"/>
    <w:rsid w:val="00AA574F"/>
    <w:rsid w:val="00AA6711"/>
    <w:rsid w:val="00AA6DAE"/>
    <w:rsid w:val="00AA76C2"/>
    <w:rsid w:val="00AA78CA"/>
    <w:rsid w:val="00AA7B5C"/>
    <w:rsid w:val="00AB09F0"/>
    <w:rsid w:val="00AB1788"/>
    <w:rsid w:val="00AB1EFF"/>
    <w:rsid w:val="00AB2119"/>
    <w:rsid w:val="00AB3881"/>
    <w:rsid w:val="00AB4408"/>
    <w:rsid w:val="00AB4B7B"/>
    <w:rsid w:val="00AB4D6D"/>
    <w:rsid w:val="00AB592E"/>
    <w:rsid w:val="00AB6030"/>
    <w:rsid w:val="00AB6B5E"/>
    <w:rsid w:val="00AC0024"/>
    <w:rsid w:val="00AC047F"/>
    <w:rsid w:val="00AC2601"/>
    <w:rsid w:val="00AC50C8"/>
    <w:rsid w:val="00AC52E7"/>
    <w:rsid w:val="00AC5BE7"/>
    <w:rsid w:val="00AD0CB4"/>
    <w:rsid w:val="00AD227F"/>
    <w:rsid w:val="00AD4901"/>
    <w:rsid w:val="00AD506C"/>
    <w:rsid w:val="00AD63E3"/>
    <w:rsid w:val="00AD64E2"/>
    <w:rsid w:val="00AD674F"/>
    <w:rsid w:val="00AE084F"/>
    <w:rsid w:val="00AE1393"/>
    <w:rsid w:val="00AE1750"/>
    <w:rsid w:val="00AE2769"/>
    <w:rsid w:val="00AE3199"/>
    <w:rsid w:val="00AE3BC6"/>
    <w:rsid w:val="00AE4EBF"/>
    <w:rsid w:val="00AE4F41"/>
    <w:rsid w:val="00AE511C"/>
    <w:rsid w:val="00AE59D8"/>
    <w:rsid w:val="00AE7020"/>
    <w:rsid w:val="00AF0F65"/>
    <w:rsid w:val="00AF1DEE"/>
    <w:rsid w:val="00AF1E87"/>
    <w:rsid w:val="00AF1E94"/>
    <w:rsid w:val="00AF5CD8"/>
    <w:rsid w:val="00AF6538"/>
    <w:rsid w:val="00AF7534"/>
    <w:rsid w:val="00B005C3"/>
    <w:rsid w:val="00B02DFC"/>
    <w:rsid w:val="00B050C3"/>
    <w:rsid w:val="00B05B25"/>
    <w:rsid w:val="00B072D5"/>
    <w:rsid w:val="00B106A0"/>
    <w:rsid w:val="00B10A7D"/>
    <w:rsid w:val="00B10D13"/>
    <w:rsid w:val="00B10D3B"/>
    <w:rsid w:val="00B11C75"/>
    <w:rsid w:val="00B12945"/>
    <w:rsid w:val="00B12BC8"/>
    <w:rsid w:val="00B12C1E"/>
    <w:rsid w:val="00B13559"/>
    <w:rsid w:val="00B1554E"/>
    <w:rsid w:val="00B176CF"/>
    <w:rsid w:val="00B17DC8"/>
    <w:rsid w:val="00B17EDC"/>
    <w:rsid w:val="00B17F88"/>
    <w:rsid w:val="00B20819"/>
    <w:rsid w:val="00B21DB9"/>
    <w:rsid w:val="00B22277"/>
    <w:rsid w:val="00B2470A"/>
    <w:rsid w:val="00B24CF5"/>
    <w:rsid w:val="00B25023"/>
    <w:rsid w:val="00B25C39"/>
    <w:rsid w:val="00B2659C"/>
    <w:rsid w:val="00B26BD2"/>
    <w:rsid w:val="00B26FD7"/>
    <w:rsid w:val="00B270AB"/>
    <w:rsid w:val="00B32D12"/>
    <w:rsid w:val="00B33657"/>
    <w:rsid w:val="00B33EC5"/>
    <w:rsid w:val="00B35546"/>
    <w:rsid w:val="00B36E1C"/>
    <w:rsid w:val="00B36EED"/>
    <w:rsid w:val="00B370BF"/>
    <w:rsid w:val="00B41DDD"/>
    <w:rsid w:val="00B4229A"/>
    <w:rsid w:val="00B42A49"/>
    <w:rsid w:val="00B4401C"/>
    <w:rsid w:val="00B44802"/>
    <w:rsid w:val="00B44FFA"/>
    <w:rsid w:val="00B450DC"/>
    <w:rsid w:val="00B47695"/>
    <w:rsid w:val="00B5192D"/>
    <w:rsid w:val="00B51E79"/>
    <w:rsid w:val="00B525C0"/>
    <w:rsid w:val="00B54BD9"/>
    <w:rsid w:val="00B550CE"/>
    <w:rsid w:val="00B5643B"/>
    <w:rsid w:val="00B619E4"/>
    <w:rsid w:val="00B61C6F"/>
    <w:rsid w:val="00B61D0B"/>
    <w:rsid w:val="00B62CB1"/>
    <w:rsid w:val="00B62DEF"/>
    <w:rsid w:val="00B63340"/>
    <w:rsid w:val="00B63341"/>
    <w:rsid w:val="00B6443B"/>
    <w:rsid w:val="00B64CF3"/>
    <w:rsid w:val="00B73315"/>
    <w:rsid w:val="00B73492"/>
    <w:rsid w:val="00B75746"/>
    <w:rsid w:val="00B75B9E"/>
    <w:rsid w:val="00B75E82"/>
    <w:rsid w:val="00B77ADA"/>
    <w:rsid w:val="00B77ED0"/>
    <w:rsid w:val="00B77F64"/>
    <w:rsid w:val="00B80568"/>
    <w:rsid w:val="00B80DFC"/>
    <w:rsid w:val="00B81AE6"/>
    <w:rsid w:val="00B824DC"/>
    <w:rsid w:val="00B84307"/>
    <w:rsid w:val="00B84E2F"/>
    <w:rsid w:val="00B85661"/>
    <w:rsid w:val="00B86896"/>
    <w:rsid w:val="00B8752D"/>
    <w:rsid w:val="00B91B86"/>
    <w:rsid w:val="00B91BDD"/>
    <w:rsid w:val="00B91E24"/>
    <w:rsid w:val="00B93783"/>
    <w:rsid w:val="00B95561"/>
    <w:rsid w:val="00B970B7"/>
    <w:rsid w:val="00B97FEF"/>
    <w:rsid w:val="00BA04B7"/>
    <w:rsid w:val="00BA24E3"/>
    <w:rsid w:val="00BA40F9"/>
    <w:rsid w:val="00BA5828"/>
    <w:rsid w:val="00BA6AC3"/>
    <w:rsid w:val="00BA754A"/>
    <w:rsid w:val="00BB14D9"/>
    <w:rsid w:val="00BB1985"/>
    <w:rsid w:val="00BB2139"/>
    <w:rsid w:val="00BB2E25"/>
    <w:rsid w:val="00BB3BBE"/>
    <w:rsid w:val="00BB455B"/>
    <w:rsid w:val="00BB482C"/>
    <w:rsid w:val="00BB6BD1"/>
    <w:rsid w:val="00BB7704"/>
    <w:rsid w:val="00BB77E0"/>
    <w:rsid w:val="00BC073B"/>
    <w:rsid w:val="00BC09D3"/>
    <w:rsid w:val="00BC299C"/>
    <w:rsid w:val="00BC2D1C"/>
    <w:rsid w:val="00BC77BF"/>
    <w:rsid w:val="00BC7CAE"/>
    <w:rsid w:val="00BD01C6"/>
    <w:rsid w:val="00BD0C23"/>
    <w:rsid w:val="00BD22A3"/>
    <w:rsid w:val="00BD3A01"/>
    <w:rsid w:val="00BD4995"/>
    <w:rsid w:val="00BD4A5F"/>
    <w:rsid w:val="00BE0377"/>
    <w:rsid w:val="00BE0820"/>
    <w:rsid w:val="00BE0A97"/>
    <w:rsid w:val="00BE3879"/>
    <w:rsid w:val="00BE4C34"/>
    <w:rsid w:val="00BE6618"/>
    <w:rsid w:val="00BE6C72"/>
    <w:rsid w:val="00BE72DE"/>
    <w:rsid w:val="00BE77D3"/>
    <w:rsid w:val="00BE7C5F"/>
    <w:rsid w:val="00BF0138"/>
    <w:rsid w:val="00BF1CB5"/>
    <w:rsid w:val="00BF1F92"/>
    <w:rsid w:val="00BF2B34"/>
    <w:rsid w:val="00BF328F"/>
    <w:rsid w:val="00BF3667"/>
    <w:rsid w:val="00BF518C"/>
    <w:rsid w:val="00BF546E"/>
    <w:rsid w:val="00BF6871"/>
    <w:rsid w:val="00BF71BB"/>
    <w:rsid w:val="00C00012"/>
    <w:rsid w:val="00C00E2A"/>
    <w:rsid w:val="00C01223"/>
    <w:rsid w:val="00C021D3"/>
    <w:rsid w:val="00C0457B"/>
    <w:rsid w:val="00C049CA"/>
    <w:rsid w:val="00C05105"/>
    <w:rsid w:val="00C068D7"/>
    <w:rsid w:val="00C06DE3"/>
    <w:rsid w:val="00C077E2"/>
    <w:rsid w:val="00C108AA"/>
    <w:rsid w:val="00C11445"/>
    <w:rsid w:val="00C11905"/>
    <w:rsid w:val="00C1202D"/>
    <w:rsid w:val="00C12417"/>
    <w:rsid w:val="00C126E3"/>
    <w:rsid w:val="00C13A29"/>
    <w:rsid w:val="00C13ED7"/>
    <w:rsid w:val="00C14B71"/>
    <w:rsid w:val="00C175EF"/>
    <w:rsid w:val="00C17B7A"/>
    <w:rsid w:val="00C17E14"/>
    <w:rsid w:val="00C201D3"/>
    <w:rsid w:val="00C2094B"/>
    <w:rsid w:val="00C20D01"/>
    <w:rsid w:val="00C20E69"/>
    <w:rsid w:val="00C22105"/>
    <w:rsid w:val="00C2242C"/>
    <w:rsid w:val="00C22BF4"/>
    <w:rsid w:val="00C24A24"/>
    <w:rsid w:val="00C26CD3"/>
    <w:rsid w:val="00C274F3"/>
    <w:rsid w:val="00C27F83"/>
    <w:rsid w:val="00C3079A"/>
    <w:rsid w:val="00C316F7"/>
    <w:rsid w:val="00C31DF0"/>
    <w:rsid w:val="00C321F3"/>
    <w:rsid w:val="00C33BCF"/>
    <w:rsid w:val="00C33FAB"/>
    <w:rsid w:val="00C34480"/>
    <w:rsid w:val="00C34596"/>
    <w:rsid w:val="00C34781"/>
    <w:rsid w:val="00C34ABE"/>
    <w:rsid w:val="00C35454"/>
    <w:rsid w:val="00C366FA"/>
    <w:rsid w:val="00C371A5"/>
    <w:rsid w:val="00C40B88"/>
    <w:rsid w:val="00C40D98"/>
    <w:rsid w:val="00C40EAC"/>
    <w:rsid w:val="00C412DA"/>
    <w:rsid w:val="00C413FC"/>
    <w:rsid w:val="00C43890"/>
    <w:rsid w:val="00C43A33"/>
    <w:rsid w:val="00C46630"/>
    <w:rsid w:val="00C47762"/>
    <w:rsid w:val="00C50879"/>
    <w:rsid w:val="00C50BC8"/>
    <w:rsid w:val="00C52025"/>
    <w:rsid w:val="00C53BC8"/>
    <w:rsid w:val="00C54743"/>
    <w:rsid w:val="00C54AEC"/>
    <w:rsid w:val="00C54F5B"/>
    <w:rsid w:val="00C557EC"/>
    <w:rsid w:val="00C56438"/>
    <w:rsid w:val="00C6009F"/>
    <w:rsid w:val="00C60417"/>
    <w:rsid w:val="00C6046F"/>
    <w:rsid w:val="00C60C22"/>
    <w:rsid w:val="00C61A11"/>
    <w:rsid w:val="00C62665"/>
    <w:rsid w:val="00C6325B"/>
    <w:rsid w:val="00C638C2"/>
    <w:rsid w:val="00C63B5F"/>
    <w:rsid w:val="00C63E5C"/>
    <w:rsid w:val="00C646E3"/>
    <w:rsid w:val="00C65250"/>
    <w:rsid w:val="00C65A74"/>
    <w:rsid w:val="00C672B0"/>
    <w:rsid w:val="00C67B13"/>
    <w:rsid w:val="00C706DC"/>
    <w:rsid w:val="00C7283B"/>
    <w:rsid w:val="00C73524"/>
    <w:rsid w:val="00C73D87"/>
    <w:rsid w:val="00C7422C"/>
    <w:rsid w:val="00C74BF0"/>
    <w:rsid w:val="00C753F5"/>
    <w:rsid w:val="00C75ED1"/>
    <w:rsid w:val="00C7665F"/>
    <w:rsid w:val="00C76F48"/>
    <w:rsid w:val="00C80780"/>
    <w:rsid w:val="00C807B0"/>
    <w:rsid w:val="00C829FB"/>
    <w:rsid w:val="00C83C0F"/>
    <w:rsid w:val="00C85A17"/>
    <w:rsid w:val="00C85E52"/>
    <w:rsid w:val="00C86B0E"/>
    <w:rsid w:val="00C86F96"/>
    <w:rsid w:val="00C8716C"/>
    <w:rsid w:val="00C87A28"/>
    <w:rsid w:val="00C9004C"/>
    <w:rsid w:val="00C909C6"/>
    <w:rsid w:val="00C92132"/>
    <w:rsid w:val="00C92302"/>
    <w:rsid w:val="00C92B21"/>
    <w:rsid w:val="00C92D97"/>
    <w:rsid w:val="00C93948"/>
    <w:rsid w:val="00C94D4C"/>
    <w:rsid w:val="00C970EA"/>
    <w:rsid w:val="00C97317"/>
    <w:rsid w:val="00C9770F"/>
    <w:rsid w:val="00CA012C"/>
    <w:rsid w:val="00CA12A8"/>
    <w:rsid w:val="00CA1357"/>
    <w:rsid w:val="00CA2B2E"/>
    <w:rsid w:val="00CA3440"/>
    <w:rsid w:val="00CA3A1E"/>
    <w:rsid w:val="00CA3DA1"/>
    <w:rsid w:val="00CA41DF"/>
    <w:rsid w:val="00CA42DD"/>
    <w:rsid w:val="00CA48AE"/>
    <w:rsid w:val="00CA5630"/>
    <w:rsid w:val="00CA7407"/>
    <w:rsid w:val="00CB10D0"/>
    <w:rsid w:val="00CB1E65"/>
    <w:rsid w:val="00CB201D"/>
    <w:rsid w:val="00CB23D8"/>
    <w:rsid w:val="00CB3499"/>
    <w:rsid w:val="00CB4321"/>
    <w:rsid w:val="00CB4D73"/>
    <w:rsid w:val="00CB56B4"/>
    <w:rsid w:val="00CC1B0F"/>
    <w:rsid w:val="00CC26B8"/>
    <w:rsid w:val="00CC2D82"/>
    <w:rsid w:val="00CC3DD1"/>
    <w:rsid w:val="00CC4F8F"/>
    <w:rsid w:val="00CC66DA"/>
    <w:rsid w:val="00CC6AF2"/>
    <w:rsid w:val="00CD061F"/>
    <w:rsid w:val="00CD1FAE"/>
    <w:rsid w:val="00CD1FF0"/>
    <w:rsid w:val="00CD4EB0"/>
    <w:rsid w:val="00CD558A"/>
    <w:rsid w:val="00CE1985"/>
    <w:rsid w:val="00CE1E83"/>
    <w:rsid w:val="00CE30C1"/>
    <w:rsid w:val="00CE3D6E"/>
    <w:rsid w:val="00CE4094"/>
    <w:rsid w:val="00CE5688"/>
    <w:rsid w:val="00CE5921"/>
    <w:rsid w:val="00CE5A6E"/>
    <w:rsid w:val="00CE653F"/>
    <w:rsid w:val="00CE674F"/>
    <w:rsid w:val="00CE6F87"/>
    <w:rsid w:val="00CE6FC6"/>
    <w:rsid w:val="00CE76FA"/>
    <w:rsid w:val="00CE7F9D"/>
    <w:rsid w:val="00CF0578"/>
    <w:rsid w:val="00CF16D1"/>
    <w:rsid w:val="00CF1B08"/>
    <w:rsid w:val="00CF30DD"/>
    <w:rsid w:val="00CF4707"/>
    <w:rsid w:val="00CF5276"/>
    <w:rsid w:val="00CF5C6A"/>
    <w:rsid w:val="00CF63C7"/>
    <w:rsid w:val="00CF6A01"/>
    <w:rsid w:val="00CF6FD7"/>
    <w:rsid w:val="00D03A30"/>
    <w:rsid w:val="00D04963"/>
    <w:rsid w:val="00D0669D"/>
    <w:rsid w:val="00D0708C"/>
    <w:rsid w:val="00D07A2A"/>
    <w:rsid w:val="00D07B60"/>
    <w:rsid w:val="00D10EA5"/>
    <w:rsid w:val="00D1190B"/>
    <w:rsid w:val="00D122C2"/>
    <w:rsid w:val="00D12971"/>
    <w:rsid w:val="00D16750"/>
    <w:rsid w:val="00D2065D"/>
    <w:rsid w:val="00D218A2"/>
    <w:rsid w:val="00D2330B"/>
    <w:rsid w:val="00D2467A"/>
    <w:rsid w:val="00D24CDE"/>
    <w:rsid w:val="00D2552B"/>
    <w:rsid w:val="00D2579C"/>
    <w:rsid w:val="00D26A35"/>
    <w:rsid w:val="00D30694"/>
    <w:rsid w:val="00D3175A"/>
    <w:rsid w:val="00D3187C"/>
    <w:rsid w:val="00D323E4"/>
    <w:rsid w:val="00D32C65"/>
    <w:rsid w:val="00D37E42"/>
    <w:rsid w:val="00D40491"/>
    <w:rsid w:val="00D41B50"/>
    <w:rsid w:val="00D4266B"/>
    <w:rsid w:val="00D42823"/>
    <w:rsid w:val="00D42D1D"/>
    <w:rsid w:val="00D448BA"/>
    <w:rsid w:val="00D50200"/>
    <w:rsid w:val="00D51C89"/>
    <w:rsid w:val="00D526FC"/>
    <w:rsid w:val="00D52D09"/>
    <w:rsid w:val="00D53066"/>
    <w:rsid w:val="00D531FB"/>
    <w:rsid w:val="00D538A8"/>
    <w:rsid w:val="00D54E50"/>
    <w:rsid w:val="00D55DA6"/>
    <w:rsid w:val="00D56776"/>
    <w:rsid w:val="00D56BD3"/>
    <w:rsid w:val="00D57017"/>
    <w:rsid w:val="00D607FD"/>
    <w:rsid w:val="00D611EF"/>
    <w:rsid w:val="00D6336F"/>
    <w:rsid w:val="00D64AE6"/>
    <w:rsid w:val="00D65484"/>
    <w:rsid w:val="00D65B68"/>
    <w:rsid w:val="00D679E4"/>
    <w:rsid w:val="00D67B8F"/>
    <w:rsid w:val="00D723FF"/>
    <w:rsid w:val="00D741B7"/>
    <w:rsid w:val="00D7443D"/>
    <w:rsid w:val="00D74DEB"/>
    <w:rsid w:val="00D75603"/>
    <w:rsid w:val="00D75AB4"/>
    <w:rsid w:val="00D76908"/>
    <w:rsid w:val="00D76E8D"/>
    <w:rsid w:val="00D77242"/>
    <w:rsid w:val="00D77EEE"/>
    <w:rsid w:val="00D77F2C"/>
    <w:rsid w:val="00D8050B"/>
    <w:rsid w:val="00D80899"/>
    <w:rsid w:val="00D81107"/>
    <w:rsid w:val="00D81155"/>
    <w:rsid w:val="00D821E8"/>
    <w:rsid w:val="00D82212"/>
    <w:rsid w:val="00D823C4"/>
    <w:rsid w:val="00D823F7"/>
    <w:rsid w:val="00D86981"/>
    <w:rsid w:val="00D872C5"/>
    <w:rsid w:val="00D87CDE"/>
    <w:rsid w:val="00D87D7F"/>
    <w:rsid w:val="00D909EE"/>
    <w:rsid w:val="00D90A8E"/>
    <w:rsid w:val="00D91010"/>
    <w:rsid w:val="00D916A6"/>
    <w:rsid w:val="00D9186D"/>
    <w:rsid w:val="00D926A1"/>
    <w:rsid w:val="00D92B15"/>
    <w:rsid w:val="00D92C91"/>
    <w:rsid w:val="00D943AA"/>
    <w:rsid w:val="00D9547C"/>
    <w:rsid w:val="00D95B8F"/>
    <w:rsid w:val="00D97832"/>
    <w:rsid w:val="00DA0004"/>
    <w:rsid w:val="00DA0CDE"/>
    <w:rsid w:val="00DA1B77"/>
    <w:rsid w:val="00DA372F"/>
    <w:rsid w:val="00DA39AD"/>
    <w:rsid w:val="00DA3B39"/>
    <w:rsid w:val="00DA3D3F"/>
    <w:rsid w:val="00DA4648"/>
    <w:rsid w:val="00DA4809"/>
    <w:rsid w:val="00DA53A9"/>
    <w:rsid w:val="00DA573E"/>
    <w:rsid w:val="00DA60E3"/>
    <w:rsid w:val="00DA6917"/>
    <w:rsid w:val="00DA6926"/>
    <w:rsid w:val="00DB026D"/>
    <w:rsid w:val="00DB10F6"/>
    <w:rsid w:val="00DB16AC"/>
    <w:rsid w:val="00DB32A1"/>
    <w:rsid w:val="00DB3B93"/>
    <w:rsid w:val="00DB4358"/>
    <w:rsid w:val="00DB46C3"/>
    <w:rsid w:val="00DB5364"/>
    <w:rsid w:val="00DB5742"/>
    <w:rsid w:val="00DB72CA"/>
    <w:rsid w:val="00DB7829"/>
    <w:rsid w:val="00DB7851"/>
    <w:rsid w:val="00DB7BC6"/>
    <w:rsid w:val="00DC187E"/>
    <w:rsid w:val="00DC1B8C"/>
    <w:rsid w:val="00DC1C89"/>
    <w:rsid w:val="00DC1CE5"/>
    <w:rsid w:val="00DC1F10"/>
    <w:rsid w:val="00DC2796"/>
    <w:rsid w:val="00DC49B8"/>
    <w:rsid w:val="00DC5293"/>
    <w:rsid w:val="00DC62E9"/>
    <w:rsid w:val="00DC69C0"/>
    <w:rsid w:val="00DC7AF1"/>
    <w:rsid w:val="00DD1861"/>
    <w:rsid w:val="00DD2352"/>
    <w:rsid w:val="00DD3026"/>
    <w:rsid w:val="00DD3A8A"/>
    <w:rsid w:val="00DD4157"/>
    <w:rsid w:val="00DD5011"/>
    <w:rsid w:val="00DD7287"/>
    <w:rsid w:val="00DD78DE"/>
    <w:rsid w:val="00DE1183"/>
    <w:rsid w:val="00DE1318"/>
    <w:rsid w:val="00DE2E24"/>
    <w:rsid w:val="00DE3008"/>
    <w:rsid w:val="00DF0A22"/>
    <w:rsid w:val="00DF1A3A"/>
    <w:rsid w:val="00DF1C37"/>
    <w:rsid w:val="00DF1D76"/>
    <w:rsid w:val="00DF3BEB"/>
    <w:rsid w:val="00DF6363"/>
    <w:rsid w:val="00DF68D0"/>
    <w:rsid w:val="00DF759F"/>
    <w:rsid w:val="00E00762"/>
    <w:rsid w:val="00E00C3F"/>
    <w:rsid w:val="00E00DE0"/>
    <w:rsid w:val="00E01597"/>
    <w:rsid w:val="00E0176E"/>
    <w:rsid w:val="00E0272A"/>
    <w:rsid w:val="00E02FE7"/>
    <w:rsid w:val="00E03F63"/>
    <w:rsid w:val="00E0569C"/>
    <w:rsid w:val="00E06635"/>
    <w:rsid w:val="00E069B1"/>
    <w:rsid w:val="00E074BC"/>
    <w:rsid w:val="00E109A2"/>
    <w:rsid w:val="00E1166E"/>
    <w:rsid w:val="00E128CD"/>
    <w:rsid w:val="00E1464A"/>
    <w:rsid w:val="00E15EF1"/>
    <w:rsid w:val="00E16FB5"/>
    <w:rsid w:val="00E174BE"/>
    <w:rsid w:val="00E17517"/>
    <w:rsid w:val="00E21EC1"/>
    <w:rsid w:val="00E21F84"/>
    <w:rsid w:val="00E22788"/>
    <w:rsid w:val="00E22E5C"/>
    <w:rsid w:val="00E231FB"/>
    <w:rsid w:val="00E232DD"/>
    <w:rsid w:val="00E23D28"/>
    <w:rsid w:val="00E245D3"/>
    <w:rsid w:val="00E253EB"/>
    <w:rsid w:val="00E2585D"/>
    <w:rsid w:val="00E2654D"/>
    <w:rsid w:val="00E27264"/>
    <w:rsid w:val="00E2753A"/>
    <w:rsid w:val="00E31D7C"/>
    <w:rsid w:val="00E32D57"/>
    <w:rsid w:val="00E32E31"/>
    <w:rsid w:val="00E3337E"/>
    <w:rsid w:val="00E34018"/>
    <w:rsid w:val="00E34A8D"/>
    <w:rsid w:val="00E35BF2"/>
    <w:rsid w:val="00E35CFC"/>
    <w:rsid w:val="00E35F35"/>
    <w:rsid w:val="00E36936"/>
    <w:rsid w:val="00E375B5"/>
    <w:rsid w:val="00E41F32"/>
    <w:rsid w:val="00E424D2"/>
    <w:rsid w:val="00E42FD0"/>
    <w:rsid w:val="00E44B80"/>
    <w:rsid w:val="00E4643D"/>
    <w:rsid w:val="00E4739A"/>
    <w:rsid w:val="00E5078B"/>
    <w:rsid w:val="00E5258B"/>
    <w:rsid w:val="00E526DF"/>
    <w:rsid w:val="00E529D6"/>
    <w:rsid w:val="00E54EE6"/>
    <w:rsid w:val="00E550A0"/>
    <w:rsid w:val="00E561E8"/>
    <w:rsid w:val="00E56C2C"/>
    <w:rsid w:val="00E571AC"/>
    <w:rsid w:val="00E57F8E"/>
    <w:rsid w:val="00E60EB3"/>
    <w:rsid w:val="00E628AD"/>
    <w:rsid w:val="00E62FA2"/>
    <w:rsid w:val="00E6446D"/>
    <w:rsid w:val="00E658D6"/>
    <w:rsid w:val="00E6647F"/>
    <w:rsid w:val="00E70C1D"/>
    <w:rsid w:val="00E70F49"/>
    <w:rsid w:val="00E72CC6"/>
    <w:rsid w:val="00E734EE"/>
    <w:rsid w:val="00E76637"/>
    <w:rsid w:val="00E76955"/>
    <w:rsid w:val="00E80561"/>
    <w:rsid w:val="00E81008"/>
    <w:rsid w:val="00E8203A"/>
    <w:rsid w:val="00E82679"/>
    <w:rsid w:val="00E82FA9"/>
    <w:rsid w:val="00E8429B"/>
    <w:rsid w:val="00E85112"/>
    <w:rsid w:val="00E854A4"/>
    <w:rsid w:val="00E85F55"/>
    <w:rsid w:val="00E9150E"/>
    <w:rsid w:val="00E92A82"/>
    <w:rsid w:val="00E939E5"/>
    <w:rsid w:val="00E93BA0"/>
    <w:rsid w:val="00E94252"/>
    <w:rsid w:val="00E94E78"/>
    <w:rsid w:val="00E96CA3"/>
    <w:rsid w:val="00E97E72"/>
    <w:rsid w:val="00EA07F5"/>
    <w:rsid w:val="00EA0C0C"/>
    <w:rsid w:val="00EA332B"/>
    <w:rsid w:val="00EA4BDB"/>
    <w:rsid w:val="00EA5D72"/>
    <w:rsid w:val="00EA6175"/>
    <w:rsid w:val="00EB1609"/>
    <w:rsid w:val="00EB3DB8"/>
    <w:rsid w:val="00EB4B6A"/>
    <w:rsid w:val="00EB5BE3"/>
    <w:rsid w:val="00EB6BBE"/>
    <w:rsid w:val="00EC0F3A"/>
    <w:rsid w:val="00EC0FA4"/>
    <w:rsid w:val="00EC1DC7"/>
    <w:rsid w:val="00EC5463"/>
    <w:rsid w:val="00EC5A71"/>
    <w:rsid w:val="00EC62A4"/>
    <w:rsid w:val="00EC6F7D"/>
    <w:rsid w:val="00ED0D34"/>
    <w:rsid w:val="00ED0E32"/>
    <w:rsid w:val="00ED176E"/>
    <w:rsid w:val="00ED19D7"/>
    <w:rsid w:val="00ED264C"/>
    <w:rsid w:val="00ED3560"/>
    <w:rsid w:val="00ED479C"/>
    <w:rsid w:val="00ED53A0"/>
    <w:rsid w:val="00ED5A88"/>
    <w:rsid w:val="00ED6BA4"/>
    <w:rsid w:val="00EE1AA1"/>
    <w:rsid w:val="00EE20D6"/>
    <w:rsid w:val="00EE213B"/>
    <w:rsid w:val="00EE408B"/>
    <w:rsid w:val="00EE5C4E"/>
    <w:rsid w:val="00EE706D"/>
    <w:rsid w:val="00EE7095"/>
    <w:rsid w:val="00EE76F2"/>
    <w:rsid w:val="00EE7B0E"/>
    <w:rsid w:val="00EF0D7C"/>
    <w:rsid w:val="00EF3430"/>
    <w:rsid w:val="00EF40E2"/>
    <w:rsid w:val="00EF4D34"/>
    <w:rsid w:val="00EF5157"/>
    <w:rsid w:val="00EF5ADE"/>
    <w:rsid w:val="00EF5D92"/>
    <w:rsid w:val="00EF6607"/>
    <w:rsid w:val="00EF67BD"/>
    <w:rsid w:val="00EF69EF"/>
    <w:rsid w:val="00EF6B28"/>
    <w:rsid w:val="00F0229E"/>
    <w:rsid w:val="00F04BCD"/>
    <w:rsid w:val="00F05240"/>
    <w:rsid w:val="00F05EA0"/>
    <w:rsid w:val="00F06211"/>
    <w:rsid w:val="00F06344"/>
    <w:rsid w:val="00F06818"/>
    <w:rsid w:val="00F06962"/>
    <w:rsid w:val="00F0769E"/>
    <w:rsid w:val="00F1091E"/>
    <w:rsid w:val="00F11E12"/>
    <w:rsid w:val="00F122F1"/>
    <w:rsid w:val="00F16E80"/>
    <w:rsid w:val="00F17D5C"/>
    <w:rsid w:val="00F2081B"/>
    <w:rsid w:val="00F21068"/>
    <w:rsid w:val="00F2134C"/>
    <w:rsid w:val="00F218AE"/>
    <w:rsid w:val="00F21DBB"/>
    <w:rsid w:val="00F2244A"/>
    <w:rsid w:val="00F2551E"/>
    <w:rsid w:val="00F3002B"/>
    <w:rsid w:val="00F302E9"/>
    <w:rsid w:val="00F30BC9"/>
    <w:rsid w:val="00F31D86"/>
    <w:rsid w:val="00F324A5"/>
    <w:rsid w:val="00F32996"/>
    <w:rsid w:val="00F32FF7"/>
    <w:rsid w:val="00F358C5"/>
    <w:rsid w:val="00F36414"/>
    <w:rsid w:val="00F373B5"/>
    <w:rsid w:val="00F40CE0"/>
    <w:rsid w:val="00F428B4"/>
    <w:rsid w:val="00F42A4B"/>
    <w:rsid w:val="00F42A57"/>
    <w:rsid w:val="00F42EA7"/>
    <w:rsid w:val="00F43E3E"/>
    <w:rsid w:val="00F44043"/>
    <w:rsid w:val="00F44B11"/>
    <w:rsid w:val="00F458EF"/>
    <w:rsid w:val="00F4782F"/>
    <w:rsid w:val="00F508A8"/>
    <w:rsid w:val="00F50E22"/>
    <w:rsid w:val="00F514DE"/>
    <w:rsid w:val="00F51AC3"/>
    <w:rsid w:val="00F52C55"/>
    <w:rsid w:val="00F53569"/>
    <w:rsid w:val="00F53755"/>
    <w:rsid w:val="00F53956"/>
    <w:rsid w:val="00F541F0"/>
    <w:rsid w:val="00F5475B"/>
    <w:rsid w:val="00F56078"/>
    <w:rsid w:val="00F563C0"/>
    <w:rsid w:val="00F5771D"/>
    <w:rsid w:val="00F57FEF"/>
    <w:rsid w:val="00F60644"/>
    <w:rsid w:val="00F6313E"/>
    <w:rsid w:val="00F65342"/>
    <w:rsid w:val="00F6634D"/>
    <w:rsid w:val="00F7033D"/>
    <w:rsid w:val="00F71B9D"/>
    <w:rsid w:val="00F7203B"/>
    <w:rsid w:val="00F73E58"/>
    <w:rsid w:val="00F73E6B"/>
    <w:rsid w:val="00F74054"/>
    <w:rsid w:val="00F74A44"/>
    <w:rsid w:val="00F7542C"/>
    <w:rsid w:val="00F7598F"/>
    <w:rsid w:val="00F75E14"/>
    <w:rsid w:val="00F76B59"/>
    <w:rsid w:val="00F7713C"/>
    <w:rsid w:val="00F81B90"/>
    <w:rsid w:val="00F81E05"/>
    <w:rsid w:val="00F84643"/>
    <w:rsid w:val="00F8481A"/>
    <w:rsid w:val="00F84D4C"/>
    <w:rsid w:val="00F84E69"/>
    <w:rsid w:val="00F8733B"/>
    <w:rsid w:val="00F874C5"/>
    <w:rsid w:val="00F9074F"/>
    <w:rsid w:val="00F92160"/>
    <w:rsid w:val="00F9260D"/>
    <w:rsid w:val="00F92727"/>
    <w:rsid w:val="00F9530C"/>
    <w:rsid w:val="00F95553"/>
    <w:rsid w:val="00F96A70"/>
    <w:rsid w:val="00F96E0D"/>
    <w:rsid w:val="00FA0013"/>
    <w:rsid w:val="00FA1275"/>
    <w:rsid w:val="00FA1905"/>
    <w:rsid w:val="00FA1B28"/>
    <w:rsid w:val="00FA33FC"/>
    <w:rsid w:val="00FA44EF"/>
    <w:rsid w:val="00FA4F58"/>
    <w:rsid w:val="00FA5596"/>
    <w:rsid w:val="00FA5971"/>
    <w:rsid w:val="00FA6878"/>
    <w:rsid w:val="00FA77C1"/>
    <w:rsid w:val="00FB08C2"/>
    <w:rsid w:val="00FB1241"/>
    <w:rsid w:val="00FB283A"/>
    <w:rsid w:val="00FB2F0D"/>
    <w:rsid w:val="00FB6FB0"/>
    <w:rsid w:val="00FC25A5"/>
    <w:rsid w:val="00FC40BC"/>
    <w:rsid w:val="00FC4D60"/>
    <w:rsid w:val="00FC506C"/>
    <w:rsid w:val="00FD13EA"/>
    <w:rsid w:val="00FD140D"/>
    <w:rsid w:val="00FD146B"/>
    <w:rsid w:val="00FD158E"/>
    <w:rsid w:val="00FD1FE4"/>
    <w:rsid w:val="00FD3C1E"/>
    <w:rsid w:val="00FD492A"/>
    <w:rsid w:val="00FD4A33"/>
    <w:rsid w:val="00FD5EC4"/>
    <w:rsid w:val="00FD6AED"/>
    <w:rsid w:val="00FD70AA"/>
    <w:rsid w:val="00FE0465"/>
    <w:rsid w:val="00FE04C7"/>
    <w:rsid w:val="00FE1C3B"/>
    <w:rsid w:val="00FE1CE5"/>
    <w:rsid w:val="00FE1DEC"/>
    <w:rsid w:val="00FE249B"/>
    <w:rsid w:val="00FE2B4F"/>
    <w:rsid w:val="00FE5CBC"/>
    <w:rsid w:val="00FE6D3E"/>
    <w:rsid w:val="00FE7A28"/>
    <w:rsid w:val="00FF0A74"/>
    <w:rsid w:val="00FF2067"/>
    <w:rsid w:val="00FF2740"/>
    <w:rsid w:val="00FF32D7"/>
    <w:rsid w:val="00FF39AD"/>
    <w:rsid w:val="00FF4138"/>
    <w:rsid w:val="00FF421C"/>
    <w:rsid w:val="00FF43FA"/>
    <w:rsid w:val="00FF54F5"/>
    <w:rsid w:val="00FF5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colormru v:ext="edit" colors="#2d4491,#283583"/>
    </o:shapedefaults>
    <o:shapelayout v:ext="edit">
      <o:idmap v:ext="edit" data="1"/>
    </o:shapelayout>
  </w:shapeDefaults>
  <w:decimalSymbol w:val=","/>
  <w:listSeparator w:val=";"/>
  <w14:docId w14:val="09E0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Titre1">
    <w:name w:val="heading 1"/>
    <w:basedOn w:val="Titre2"/>
    <w:next w:val="Normal"/>
    <w:link w:val="Titre1Car"/>
    <w:uiPriority w:val="9"/>
    <w:qFormat/>
    <w:rsid w:val="00AA0857"/>
    <w:pPr>
      <w:numPr>
        <w:ilvl w:val="0"/>
      </w:numPr>
      <w:outlineLvl w:val="0"/>
    </w:pPr>
  </w:style>
  <w:style w:type="paragraph" w:styleId="Titre2">
    <w:name w:val="heading 2"/>
    <w:basedOn w:val="04aNumbering"/>
    <w:next w:val="Normal"/>
    <w:link w:val="Titre2Car"/>
    <w:qFormat/>
    <w:rsid w:val="00AA0857"/>
    <w:pPr>
      <w:numPr>
        <w:ilvl w:val="1"/>
        <w:numId w:val="16"/>
      </w:numPr>
      <w:outlineLvl w:val="1"/>
    </w:pPr>
    <w:rPr>
      <w:b/>
    </w:rPr>
  </w:style>
  <w:style w:type="paragraph" w:styleId="Titre3">
    <w:name w:val="heading 3"/>
    <w:basedOn w:val="Titre2"/>
    <w:next w:val="Normal"/>
    <w:link w:val="Titre3Car"/>
    <w:qFormat/>
    <w:rsid w:val="00E03F63"/>
    <w:pPr>
      <w:numPr>
        <w:ilvl w:val="2"/>
      </w:numPr>
      <w:outlineLvl w:val="2"/>
    </w:pPr>
  </w:style>
  <w:style w:type="paragraph" w:styleId="Titre4">
    <w:name w:val="heading 4"/>
    <w:basedOn w:val="Titre3"/>
    <w:next w:val="Normal"/>
    <w:qFormat/>
    <w:rsid w:val="003F3FF4"/>
    <w:pPr>
      <w:numPr>
        <w:ilvl w:val="3"/>
      </w:numPr>
      <w:outlineLvl w:val="3"/>
    </w:pPr>
  </w:style>
  <w:style w:type="paragraph" w:styleId="Titre5">
    <w:name w:val="heading 5"/>
    <w:basedOn w:val="Titre4"/>
    <w:next w:val="Normal"/>
    <w:qFormat/>
    <w:rsid w:val="00376487"/>
    <w:pPr>
      <w:numPr>
        <w:ilvl w:val="4"/>
      </w:numPr>
      <w:outlineLvl w:val="4"/>
    </w:pPr>
  </w:style>
  <w:style w:type="paragraph" w:styleId="Titre6">
    <w:name w:val="heading 6"/>
    <w:basedOn w:val="Normal"/>
    <w:next w:val="Normal"/>
    <w:qFormat/>
    <w:rsid w:val="003609B6"/>
    <w:pPr>
      <w:numPr>
        <w:ilvl w:val="5"/>
        <w:numId w:val="15"/>
      </w:numPr>
      <w:spacing w:before="240" w:after="60"/>
      <w:outlineLvl w:val="5"/>
    </w:pPr>
    <w:rPr>
      <w:rFonts w:ascii="Times New Roman" w:hAnsi="Times New Roman"/>
      <w:b/>
      <w:bCs/>
      <w:szCs w:val="22"/>
    </w:rPr>
  </w:style>
  <w:style w:type="paragraph" w:styleId="Titre7">
    <w:name w:val="heading 7"/>
    <w:basedOn w:val="Normal"/>
    <w:next w:val="Normal"/>
    <w:qFormat/>
    <w:rsid w:val="003609B6"/>
    <w:pPr>
      <w:numPr>
        <w:ilvl w:val="6"/>
        <w:numId w:val="15"/>
      </w:numPr>
      <w:spacing w:before="240" w:after="60"/>
      <w:outlineLvl w:val="6"/>
    </w:pPr>
    <w:rPr>
      <w:rFonts w:ascii="Times New Roman" w:hAnsi="Times New Roman"/>
    </w:rPr>
  </w:style>
  <w:style w:type="paragraph" w:styleId="Titre8">
    <w:name w:val="heading 8"/>
    <w:basedOn w:val="Normal"/>
    <w:next w:val="Normal"/>
    <w:qFormat/>
    <w:rsid w:val="003609B6"/>
    <w:pPr>
      <w:numPr>
        <w:ilvl w:val="7"/>
        <w:numId w:val="15"/>
      </w:numPr>
      <w:spacing w:before="240" w:after="60"/>
      <w:outlineLvl w:val="7"/>
    </w:pPr>
    <w:rPr>
      <w:rFonts w:ascii="Times New Roman" w:hAnsi="Times New Roman"/>
      <w:i/>
      <w:iCs/>
    </w:rPr>
  </w:style>
  <w:style w:type="paragraph" w:styleId="Titre9">
    <w:name w:val="heading 9"/>
    <w:basedOn w:val="Normal"/>
    <w:next w:val="Normal"/>
    <w:qFormat/>
    <w:rsid w:val="003609B6"/>
    <w:pPr>
      <w:numPr>
        <w:ilvl w:val="8"/>
        <w:numId w:val="15"/>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uiPriority w:val="99"/>
    <w:rsid w:val="005B64CB"/>
    <w:pPr>
      <w:tabs>
        <w:tab w:val="center" w:pos="4536"/>
        <w:tab w:val="right" w:pos="9072"/>
      </w:tabs>
    </w:pPr>
  </w:style>
  <w:style w:type="table" w:styleId="Grilledutableau">
    <w:name w:val="Table Grid"/>
    <w:basedOn w:val="TableauNormal"/>
    <w:semiHidden/>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Numrodepage">
    <w:name w:val="page number"/>
    <w:basedOn w:val="Policepardfau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rsid w:val="00D75603"/>
    <w:pPr>
      <w:numPr>
        <w:numId w:val="3"/>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Notedebasdepage">
    <w:name w:val="footnote text"/>
    <w:aliases w:val="Car"/>
    <w:basedOn w:val="Normal"/>
    <w:link w:val="NotedebasdepageCar"/>
    <w:rsid w:val="001725A5"/>
    <w:pPr>
      <w:spacing w:line="200" w:lineRule="exact"/>
    </w:pPr>
    <w:rPr>
      <w:sz w:val="16"/>
      <w:szCs w:val="20"/>
    </w:rPr>
  </w:style>
  <w:style w:type="character" w:styleId="Appelnotedebasdep">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M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Textedebulles">
    <w:name w:val="Balloon Text"/>
    <w:basedOn w:val="Normal"/>
    <w:link w:val="TextedebullesCar"/>
    <w:uiPriority w:val="99"/>
    <w:rsid w:val="0059665F"/>
    <w:rPr>
      <w:rFonts w:ascii="Tahoma" w:hAnsi="Tahoma" w:cs="Tahoma"/>
      <w:sz w:val="16"/>
      <w:szCs w:val="16"/>
    </w:rPr>
  </w:style>
  <w:style w:type="character" w:customStyle="1" w:styleId="TextedebullesCar">
    <w:name w:val="Texte de bulles Car"/>
    <w:basedOn w:val="Policepardfaut"/>
    <w:link w:val="Textedebulles"/>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Policepardfau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NotedebasdepageCar">
    <w:name w:val="Note de bas de page Car"/>
    <w:aliases w:val="Car Car"/>
    <w:link w:val="Notedebasdepage"/>
    <w:uiPriority w:val="99"/>
    <w:rsid w:val="00084648"/>
    <w:rPr>
      <w:rFonts w:ascii="Georgia" w:hAnsi="Georgia"/>
      <w:sz w:val="16"/>
      <w:lang w:eastAsia="de-DE"/>
    </w:rPr>
  </w:style>
  <w:style w:type="paragraph" w:styleId="Lgende">
    <w:name w:val="caption"/>
    <w:basedOn w:val="Normal"/>
    <w:next w:val="Normal"/>
    <w:link w:val="LgendeC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Marquedecommentaire">
    <w:name w:val="annotation reference"/>
    <w:basedOn w:val="Policepardfaut"/>
    <w:uiPriority w:val="99"/>
    <w:rsid w:val="00C61A11"/>
    <w:rPr>
      <w:sz w:val="16"/>
      <w:szCs w:val="16"/>
    </w:rPr>
  </w:style>
  <w:style w:type="paragraph" w:styleId="Commentaire">
    <w:name w:val="annotation text"/>
    <w:basedOn w:val="Normal"/>
    <w:link w:val="CommentaireCar"/>
    <w:uiPriority w:val="99"/>
    <w:rsid w:val="00C61A11"/>
    <w:rPr>
      <w:szCs w:val="20"/>
    </w:rPr>
  </w:style>
  <w:style w:type="character" w:customStyle="1" w:styleId="CommentaireCar">
    <w:name w:val="Commentaire Car"/>
    <w:basedOn w:val="Policepardfaut"/>
    <w:link w:val="Commentaire"/>
    <w:uiPriority w:val="99"/>
    <w:rsid w:val="00C61A11"/>
    <w:rPr>
      <w:rFonts w:ascii="Georgia" w:hAnsi="Georgia"/>
      <w:lang w:eastAsia="de-DE"/>
    </w:rPr>
  </w:style>
  <w:style w:type="paragraph" w:styleId="Objetducommentaire">
    <w:name w:val="annotation subject"/>
    <w:basedOn w:val="Commentaire"/>
    <w:next w:val="Commentaire"/>
    <w:link w:val="ObjetducommentaireCar"/>
    <w:uiPriority w:val="99"/>
    <w:rsid w:val="00C61A11"/>
    <w:rPr>
      <w:b/>
      <w:bCs/>
    </w:rPr>
  </w:style>
  <w:style w:type="character" w:customStyle="1" w:styleId="ObjetducommentaireCar">
    <w:name w:val="Objet du commentaire Car"/>
    <w:basedOn w:val="CommentaireCar"/>
    <w:link w:val="Objetducommentaire"/>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Paragraphedeliste"/>
    <w:link w:val="0MyBulletChar"/>
    <w:qFormat/>
    <w:rsid w:val="00DF3BEB"/>
    <w:pPr>
      <w:spacing w:before="120" w:after="120" w:line="276" w:lineRule="auto"/>
      <w:ind w:left="0"/>
    </w:pPr>
  </w:style>
  <w:style w:type="character" w:customStyle="1" w:styleId="0MyBulletChar">
    <w:name w:val="0. My Bullet Char"/>
    <w:link w:val="0MyBullet"/>
    <w:rsid w:val="00DF3BEB"/>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Paragraphedeliste">
    <w:name w:val="List Paragraph"/>
    <w:aliases w:val="Paragraphe EI,Paragraphe de liste1,EC"/>
    <w:basedOn w:val="Normal"/>
    <w:link w:val="ParagraphedelisteCar"/>
    <w:uiPriority w:val="34"/>
    <w:qFormat/>
    <w:rsid w:val="00DF3BEB"/>
    <w:pPr>
      <w:ind w:left="720"/>
      <w:contextualSpacing/>
    </w:pPr>
  </w:style>
  <w:style w:type="paragraph" w:customStyle="1" w:styleId="1MyNormal">
    <w:name w:val="1. My Normal"/>
    <w:basedOn w:val="Normal"/>
    <w:link w:val="1MyNormalChar"/>
    <w:qFormat/>
    <w:rsid w:val="00522AA8"/>
    <w:pPr>
      <w:numPr>
        <w:numId w:val="8"/>
      </w:numPr>
      <w:spacing w:before="120" w:after="240" w:line="276" w:lineRule="auto"/>
      <w:ind w:left="0" w:hanging="567"/>
      <w:jc w:val="both"/>
    </w:pPr>
  </w:style>
  <w:style w:type="character" w:customStyle="1" w:styleId="1MyNormalChar">
    <w:name w:val="1. My Normal Char"/>
    <w:basedOn w:val="Policepardfau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Paragraphedeliste"/>
    <w:qFormat/>
    <w:rsid w:val="00615AA7"/>
    <w:pPr>
      <w:numPr>
        <w:numId w:val="9"/>
      </w:numPr>
      <w:spacing w:before="120" w:after="120" w:line="276" w:lineRule="auto"/>
      <w:jc w:val="both"/>
    </w:pPr>
  </w:style>
  <w:style w:type="character" w:styleId="Lienhypertextesuivivisit">
    <w:name w:val="FollowedHyperlink"/>
    <w:basedOn w:val="Policepardfau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Policepardfaut"/>
    <w:rsid w:val="00DB72CA"/>
  </w:style>
  <w:style w:type="character" w:customStyle="1" w:styleId="Titre3Car">
    <w:name w:val="Titre 3 Car"/>
    <w:basedOn w:val="Policepardfaut"/>
    <w:link w:val="Titre3"/>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13"/>
      </w:numPr>
    </w:pPr>
  </w:style>
  <w:style w:type="paragraph" w:customStyle="1" w:styleId="Style3">
    <w:name w:val="Style3"/>
    <w:basedOn w:val="04BodyText"/>
    <w:link w:val="Style3Char"/>
    <w:qFormat/>
    <w:rsid w:val="00FD70AA"/>
    <w:pPr>
      <w:numPr>
        <w:numId w:val="10"/>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ParagraphedelisteCar">
    <w:name w:val="Paragraphe de liste Car"/>
    <w:aliases w:val="Paragraphe EI Car,Paragraphe de liste1 Car,EC Car"/>
    <w:link w:val="Paragraphedeliste"/>
    <w:uiPriority w:val="34"/>
    <w:rsid w:val="004D19C2"/>
    <w:rPr>
      <w:rFonts w:ascii="Georgia" w:hAnsi="Georgia"/>
      <w:sz w:val="22"/>
      <w:szCs w:val="24"/>
      <w:lang w:eastAsia="de-DE"/>
    </w:rPr>
  </w:style>
  <w:style w:type="character" w:styleId="lev">
    <w:name w:val="Strong"/>
    <w:basedOn w:val="Policepardfau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Notedefin">
    <w:name w:val="endnote text"/>
    <w:basedOn w:val="Normal"/>
    <w:link w:val="NotedefinCar"/>
    <w:rsid w:val="003A5A08"/>
    <w:rPr>
      <w:szCs w:val="20"/>
    </w:rPr>
  </w:style>
  <w:style w:type="character" w:customStyle="1" w:styleId="NotedefinCar">
    <w:name w:val="Note de fin Car"/>
    <w:basedOn w:val="Policepardfaut"/>
    <w:link w:val="Notedefin"/>
    <w:rsid w:val="003A5A08"/>
    <w:rPr>
      <w:rFonts w:ascii="Georgia" w:hAnsi="Georgia"/>
      <w:lang w:eastAsia="de-DE"/>
    </w:rPr>
  </w:style>
  <w:style w:type="character" w:styleId="Appeldenotedefin">
    <w:name w:val="endnote reference"/>
    <w:basedOn w:val="Policepardfau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Policepardfaut"/>
    <w:rsid w:val="00AB592E"/>
  </w:style>
  <w:style w:type="paragraph" w:styleId="TM3">
    <w:name w:val="toc 3"/>
    <w:basedOn w:val="Normal"/>
    <w:next w:val="Normal"/>
    <w:autoRedefine/>
    <w:uiPriority w:val="39"/>
    <w:rsid w:val="0073272F"/>
    <w:pPr>
      <w:spacing w:after="100"/>
      <w:ind w:left="440"/>
    </w:pPr>
  </w:style>
  <w:style w:type="character" w:styleId="Textedelespacerserv">
    <w:name w:val="Placeholder Text"/>
    <w:basedOn w:val="Policepardfau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Explorateurdedocuments">
    <w:name w:val="Document Map"/>
    <w:basedOn w:val="Normal"/>
    <w:link w:val="ExplorateurdedocumentsCar"/>
    <w:uiPriority w:val="99"/>
    <w:rsid w:val="00D77242"/>
    <w:rPr>
      <w:rFonts w:ascii="Lucida Grande" w:hAnsi="Lucida Grande" w:cs="Lucida Grande"/>
      <w:sz w:val="24"/>
    </w:rPr>
  </w:style>
  <w:style w:type="character" w:customStyle="1" w:styleId="ExplorateurdedocumentsCar">
    <w:name w:val="Explorateur de documents Car"/>
    <w:basedOn w:val="Policepardfaut"/>
    <w:link w:val="Explorateurdedocuments"/>
    <w:uiPriority w:val="99"/>
    <w:rsid w:val="00D77242"/>
    <w:rPr>
      <w:rFonts w:ascii="Lucida Grande" w:hAnsi="Lucida Grande" w:cs="Lucida Grande"/>
      <w:sz w:val="24"/>
      <w:szCs w:val="24"/>
      <w:lang w:eastAsia="de-DE"/>
    </w:rPr>
  </w:style>
  <w:style w:type="paragraph" w:customStyle="1" w:styleId="ANNEX">
    <w:name w:val="ANNEX"/>
    <w:basedOn w:val="Lgende"/>
    <w:link w:val="ANNEXChar"/>
    <w:qFormat/>
    <w:rsid w:val="00E94E78"/>
    <w:pPr>
      <w:jc w:val="left"/>
    </w:pPr>
    <w:rPr>
      <w:sz w:val="28"/>
    </w:rPr>
  </w:style>
  <w:style w:type="character" w:customStyle="1" w:styleId="LgendeCar">
    <w:name w:val="Légende Car"/>
    <w:basedOn w:val="Policepardfaut"/>
    <w:link w:val="Lgende"/>
    <w:rsid w:val="00E94E78"/>
    <w:rPr>
      <w:rFonts w:ascii="Georgia" w:hAnsi="Georgia"/>
      <w:b/>
      <w:bCs/>
      <w:sz w:val="18"/>
      <w:szCs w:val="18"/>
      <w:lang w:eastAsia="de-DE"/>
    </w:rPr>
  </w:style>
  <w:style w:type="character" w:customStyle="1" w:styleId="ANNEXChar">
    <w:name w:val="ANNEX Char"/>
    <w:basedOn w:val="LgendeCar"/>
    <w:link w:val="ANNEX"/>
    <w:rsid w:val="00E94E78"/>
    <w:rPr>
      <w:rFonts w:ascii="Georgia" w:hAnsi="Georgia"/>
      <w:b/>
      <w:bCs/>
      <w:sz w:val="28"/>
      <w:szCs w:val="18"/>
      <w:lang w:eastAsia="de-DE"/>
    </w:rPr>
  </w:style>
  <w:style w:type="paragraph" w:customStyle="1" w:styleId="MyBullet1">
    <w:name w:val="MyBullet"/>
    <w:basedOn w:val="Paragraphedeliste"/>
    <w:link w:val="MyBulletChar0"/>
    <w:qFormat/>
    <w:rsid w:val="000D6BCE"/>
    <w:pPr>
      <w:numPr>
        <w:numId w:val="11"/>
      </w:numPr>
      <w:spacing w:before="240" w:line="276" w:lineRule="auto"/>
      <w:ind w:left="1134" w:hanging="425"/>
      <w:jc w:val="both"/>
    </w:pPr>
  </w:style>
  <w:style w:type="character" w:customStyle="1" w:styleId="MyBulletChar0">
    <w:name w:val="MyBullet Char"/>
    <w:basedOn w:val="ParagraphedelisteCar"/>
    <w:link w:val="MyBullet1"/>
    <w:rsid w:val="000D6BCE"/>
    <w:rPr>
      <w:rFonts w:ascii="Georgia" w:hAnsi="Georgia"/>
      <w:sz w:val="22"/>
      <w:szCs w:val="24"/>
      <w:lang w:eastAsia="de-DE"/>
    </w:rPr>
  </w:style>
  <w:style w:type="paragraph" w:customStyle="1" w:styleId="myBullet2">
    <w:name w:val="myBullet"/>
    <w:basedOn w:val="Paragraphedeliste"/>
    <w:link w:val="myBulletChar1"/>
    <w:qFormat/>
    <w:rsid w:val="000D6BCE"/>
    <w:pPr>
      <w:numPr>
        <w:numId w:val="12"/>
      </w:numPr>
      <w:spacing w:line="276" w:lineRule="auto"/>
    </w:pPr>
  </w:style>
  <w:style w:type="character" w:customStyle="1" w:styleId="myBulletChar1">
    <w:name w:val="myBullet Char"/>
    <w:basedOn w:val="ParagraphedelisteC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14"/>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Accentuation">
    <w:name w:val="Emphasis"/>
    <w:basedOn w:val="Policepardfau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Titre1Car">
    <w:name w:val="Titre 1 Car"/>
    <w:link w:val="Titre1"/>
    <w:uiPriority w:val="9"/>
    <w:rsid w:val="00AA0857"/>
    <w:rPr>
      <w:rFonts w:ascii="Georgia" w:hAnsi="Georgia"/>
      <w:b/>
      <w:szCs w:val="24"/>
      <w:lang w:eastAsia="de-DE"/>
    </w:rPr>
  </w:style>
  <w:style w:type="paragraph" w:styleId="En-ttedetabledesmatires">
    <w:name w:val="TOC Heading"/>
    <w:basedOn w:val="Titre1"/>
    <w:next w:val="Normal"/>
    <w:uiPriority w:val="39"/>
    <w:semiHidden/>
    <w:unhideWhenUsed/>
    <w:qFormat/>
    <w:rsid w:val="00EE5C4E"/>
    <w:pPr>
      <w:keepLines/>
      <w:spacing w:before="480" w:after="0"/>
      <w:ind w:left="432"/>
      <w:jc w:val="left"/>
      <w:outlineLvl w:val="9"/>
    </w:pPr>
    <w:rPr>
      <w:rFonts w:ascii="Cambria" w:hAnsi="Cambria"/>
      <w:bCs/>
      <w:color w:val="365F91"/>
      <w:sz w:val="28"/>
      <w:szCs w:val="28"/>
      <w:lang w:val="pl-PL" w:eastAsia="en-US"/>
    </w:rPr>
  </w:style>
  <w:style w:type="character" w:customStyle="1" w:styleId="En-tteCar">
    <w:name w:val="En-tête Car"/>
    <w:link w:val="En-tte"/>
    <w:rsid w:val="00EE5C4E"/>
    <w:rPr>
      <w:rFonts w:ascii="Georgia" w:hAnsi="Georgia"/>
      <w:sz w:val="22"/>
      <w:szCs w:val="24"/>
      <w:lang w:eastAsia="de-DE"/>
    </w:rPr>
  </w:style>
  <w:style w:type="character" w:customStyle="1" w:styleId="PieddepageCar">
    <w:name w:val="Pied de page Car"/>
    <w:link w:val="Pieddepage"/>
    <w:uiPriority w:val="99"/>
    <w:rsid w:val="00EE5C4E"/>
    <w:rPr>
      <w:rFonts w:ascii="Georgia" w:hAnsi="Georgia"/>
      <w:sz w:val="22"/>
      <w:szCs w:val="24"/>
      <w:lang w:eastAsia="de-DE"/>
    </w:rPr>
  </w:style>
  <w:style w:type="character" w:customStyle="1" w:styleId="Titre2Car">
    <w:name w:val="Titre 2 Car"/>
    <w:link w:val="Titre2"/>
    <w:rsid w:val="00AA0857"/>
    <w:rPr>
      <w:rFonts w:ascii="Georgia" w:hAnsi="Georgia"/>
      <w:b/>
      <w:szCs w:val="24"/>
      <w:lang w:eastAsia="de-DE"/>
    </w:rPr>
  </w:style>
  <w:style w:type="table" w:styleId="Grilleclaire-Accent1">
    <w:name w:val="Light Grid Accent 1"/>
    <w:basedOn w:val="TableauNormal"/>
    <w:uiPriority w:val="62"/>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eclaire-Accent1">
    <w:name w:val="Light List Accent 1"/>
    <w:basedOn w:val="TableauNormal"/>
    <w:uiPriority w:val="61"/>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moyenne1-Accent1">
    <w:name w:val="Medium Shading 1 Accent 1"/>
    <w:basedOn w:val="TableauNormal"/>
    <w:uiPriority w:val="63"/>
    <w:rsid w:val="00EE5C4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Policepardfaut"/>
    <w:link w:val="MyUnderline"/>
    <w:rsid w:val="00EE5C4E"/>
    <w:rPr>
      <w:rFonts w:ascii="Georgia" w:hAnsi="Georgia"/>
      <w:b/>
      <w:u w:val="single"/>
      <w:lang w:eastAsia="de-DE"/>
    </w:rPr>
  </w:style>
  <w:style w:type="paragraph" w:customStyle="1" w:styleId="Questions">
    <w:name w:val="Questions"/>
    <w:basedOn w:val="Lgende"/>
    <w:link w:val="QuestionsChar"/>
    <w:qFormat/>
    <w:rsid w:val="005750B3"/>
    <w:pPr>
      <w:jc w:val="both"/>
    </w:pPr>
  </w:style>
  <w:style w:type="character" w:customStyle="1" w:styleId="QuestionsChar">
    <w:name w:val="Questions Char"/>
    <w:basedOn w:val="LgendeCar"/>
    <w:link w:val="Questions"/>
    <w:rsid w:val="005750B3"/>
    <w:rPr>
      <w:rFonts w:ascii="Georgia" w:hAnsi="Georgia"/>
      <w:b/>
      <w:bCs/>
      <w:sz w:val="18"/>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Titre1">
    <w:name w:val="heading 1"/>
    <w:basedOn w:val="Titre2"/>
    <w:next w:val="Normal"/>
    <w:link w:val="Titre1Car"/>
    <w:uiPriority w:val="9"/>
    <w:qFormat/>
    <w:rsid w:val="00AA0857"/>
    <w:pPr>
      <w:numPr>
        <w:ilvl w:val="0"/>
      </w:numPr>
      <w:outlineLvl w:val="0"/>
    </w:pPr>
  </w:style>
  <w:style w:type="paragraph" w:styleId="Titre2">
    <w:name w:val="heading 2"/>
    <w:basedOn w:val="04aNumbering"/>
    <w:next w:val="Normal"/>
    <w:link w:val="Titre2Car"/>
    <w:qFormat/>
    <w:rsid w:val="00AA0857"/>
    <w:pPr>
      <w:numPr>
        <w:ilvl w:val="1"/>
        <w:numId w:val="16"/>
      </w:numPr>
      <w:outlineLvl w:val="1"/>
    </w:pPr>
    <w:rPr>
      <w:b/>
    </w:rPr>
  </w:style>
  <w:style w:type="paragraph" w:styleId="Titre3">
    <w:name w:val="heading 3"/>
    <w:basedOn w:val="Titre2"/>
    <w:next w:val="Normal"/>
    <w:link w:val="Titre3Car"/>
    <w:qFormat/>
    <w:rsid w:val="00E03F63"/>
    <w:pPr>
      <w:numPr>
        <w:ilvl w:val="2"/>
      </w:numPr>
      <w:outlineLvl w:val="2"/>
    </w:pPr>
  </w:style>
  <w:style w:type="paragraph" w:styleId="Titre4">
    <w:name w:val="heading 4"/>
    <w:basedOn w:val="Titre3"/>
    <w:next w:val="Normal"/>
    <w:qFormat/>
    <w:rsid w:val="003F3FF4"/>
    <w:pPr>
      <w:numPr>
        <w:ilvl w:val="3"/>
      </w:numPr>
      <w:outlineLvl w:val="3"/>
    </w:pPr>
  </w:style>
  <w:style w:type="paragraph" w:styleId="Titre5">
    <w:name w:val="heading 5"/>
    <w:basedOn w:val="Titre4"/>
    <w:next w:val="Normal"/>
    <w:qFormat/>
    <w:rsid w:val="00376487"/>
    <w:pPr>
      <w:numPr>
        <w:ilvl w:val="4"/>
      </w:numPr>
      <w:outlineLvl w:val="4"/>
    </w:pPr>
  </w:style>
  <w:style w:type="paragraph" w:styleId="Titre6">
    <w:name w:val="heading 6"/>
    <w:basedOn w:val="Normal"/>
    <w:next w:val="Normal"/>
    <w:qFormat/>
    <w:rsid w:val="003609B6"/>
    <w:pPr>
      <w:numPr>
        <w:ilvl w:val="5"/>
        <w:numId w:val="15"/>
      </w:numPr>
      <w:spacing w:before="240" w:after="60"/>
      <w:outlineLvl w:val="5"/>
    </w:pPr>
    <w:rPr>
      <w:rFonts w:ascii="Times New Roman" w:hAnsi="Times New Roman"/>
      <w:b/>
      <w:bCs/>
      <w:szCs w:val="22"/>
    </w:rPr>
  </w:style>
  <w:style w:type="paragraph" w:styleId="Titre7">
    <w:name w:val="heading 7"/>
    <w:basedOn w:val="Normal"/>
    <w:next w:val="Normal"/>
    <w:qFormat/>
    <w:rsid w:val="003609B6"/>
    <w:pPr>
      <w:numPr>
        <w:ilvl w:val="6"/>
        <w:numId w:val="15"/>
      </w:numPr>
      <w:spacing w:before="240" w:after="60"/>
      <w:outlineLvl w:val="6"/>
    </w:pPr>
    <w:rPr>
      <w:rFonts w:ascii="Times New Roman" w:hAnsi="Times New Roman"/>
    </w:rPr>
  </w:style>
  <w:style w:type="paragraph" w:styleId="Titre8">
    <w:name w:val="heading 8"/>
    <w:basedOn w:val="Normal"/>
    <w:next w:val="Normal"/>
    <w:qFormat/>
    <w:rsid w:val="003609B6"/>
    <w:pPr>
      <w:numPr>
        <w:ilvl w:val="7"/>
        <w:numId w:val="15"/>
      </w:numPr>
      <w:spacing w:before="240" w:after="60"/>
      <w:outlineLvl w:val="7"/>
    </w:pPr>
    <w:rPr>
      <w:rFonts w:ascii="Times New Roman" w:hAnsi="Times New Roman"/>
      <w:i/>
      <w:iCs/>
    </w:rPr>
  </w:style>
  <w:style w:type="paragraph" w:styleId="Titre9">
    <w:name w:val="heading 9"/>
    <w:basedOn w:val="Normal"/>
    <w:next w:val="Normal"/>
    <w:qFormat/>
    <w:rsid w:val="003609B6"/>
    <w:pPr>
      <w:numPr>
        <w:ilvl w:val="8"/>
        <w:numId w:val="15"/>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uiPriority w:val="99"/>
    <w:rsid w:val="005B64CB"/>
    <w:pPr>
      <w:tabs>
        <w:tab w:val="center" w:pos="4536"/>
        <w:tab w:val="right" w:pos="9072"/>
      </w:tabs>
    </w:pPr>
  </w:style>
  <w:style w:type="table" w:styleId="Grilledutableau">
    <w:name w:val="Table Grid"/>
    <w:basedOn w:val="TableauNormal"/>
    <w:semiHidden/>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Numrodepage">
    <w:name w:val="page number"/>
    <w:basedOn w:val="Policepardfau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rsid w:val="00D75603"/>
    <w:pPr>
      <w:numPr>
        <w:numId w:val="3"/>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Notedebasdepage">
    <w:name w:val="footnote text"/>
    <w:aliases w:val="Car"/>
    <w:basedOn w:val="Normal"/>
    <w:link w:val="NotedebasdepageCar"/>
    <w:rsid w:val="001725A5"/>
    <w:pPr>
      <w:spacing w:line="200" w:lineRule="exact"/>
    </w:pPr>
    <w:rPr>
      <w:sz w:val="16"/>
      <w:szCs w:val="20"/>
    </w:rPr>
  </w:style>
  <w:style w:type="character" w:styleId="Appelnotedebasdep">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M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Textedebulles">
    <w:name w:val="Balloon Text"/>
    <w:basedOn w:val="Normal"/>
    <w:link w:val="TextedebullesCar"/>
    <w:uiPriority w:val="99"/>
    <w:rsid w:val="0059665F"/>
    <w:rPr>
      <w:rFonts w:ascii="Tahoma" w:hAnsi="Tahoma" w:cs="Tahoma"/>
      <w:sz w:val="16"/>
      <w:szCs w:val="16"/>
    </w:rPr>
  </w:style>
  <w:style w:type="character" w:customStyle="1" w:styleId="TextedebullesCar">
    <w:name w:val="Texte de bulles Car"/>
    <w:basedOn w:val="Policepardfaut"/>
    <w:link w:val="Textedebulles"/>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Policepardfau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NotedebasdepageCar">
    <w:name w:val="Note de bas de page Car"/>
    <w:aliases w:val="Car Car"/>
    <w:link w:val="Notedebasdepage"/>
    <w:uiPriority w:val="99"/>
    <w:rsid w:val="00084648"/>
    <w:rPr>
      <w:rFonts w:ascii="Georgia" w:hAnsi="Georgia"/>
      <w:sz w:val="16"/>
      <w:lang w:eastAsia="de-DE"/>
    </w:rPr>
  </w:style>
  <w:style w:type="paragraph" w:styleId="Lgende">
    <w:name w:val="caption"/>
    <w:basedOn w:val="Normal"/>
    <w:next w:val="Normal"/>
    <w:link w:val="LgendeC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Marquedecommentaire">
    <w:name w:val="annotation reference"/>
    <w:basedOn w:val="Policepardfaut"/>
    <w:uiPriority w:val="99"/>
    <w:rsid w:val="00C61A11"/>
    <w:rPr>
      <w:sz w:val="16"/>
      <w:szCs w:val="16"/>
    </w:rPr>
  </w:style>
  <w:style w:type="paragraph" w:styleId="Commentaire">
    <w:name w:val="annotation text"/>
    <w:basedOn w:val="Normal"/>
    <w:link w:val="CommentaireCar"/>
    <w:uiPriority w:val="99"/>
    <w:rsid w:val="00C61A11"/>
    <w:rPr>
      <w:szCs w:val="20"/>
    </w:rPr>
  </w:style>
  <w:style w:type="character" w:customStyle="1" w:styleId="CommentaireCar">
    <w:name w:val="Commentaire Car"/>
    <w:basedOn w:val="Policepardfaut"/>
    <w:link w:val="Commentaire"/>
    <w:uiPriority w:val="99"/>
    <w:rsid w:val="00C61A11"/>
    <w:rPr>
      <w:rFonts w:ascii="Georgia" w:hAnsi="Georgia"/>
      <w:lang w:eastAsia="de-DE"/>
    </w:rPr>
  </w:style>
  <w:style w:type="paragraph" w:styleId="Objetducommentaire">
    <w:name w:val="annotation subject"/>
    <w:basedOn w:val="Commentaire"/>
    <w:next w:val="Commentaire"/>
    <w:link w:val="ObjetducommentaireCar"/>
    <w:uiPriority w:val="99"/>
    <w:rsid w:val="00C61A11"/>
    <w:rPr>
      <w:b/>
      <w:bCs/>
    </w:rPr>
  </w:style>
  <w:style w:type="character" w:customStyle="1" w:styleId="ObjetducommentaireCar">
    <w:name w:val="Objet du commentaire Car"/>
    <w:basedOn w:val="CommentaireCar"/>
    <w:link w:val="Objetducommentaire"/>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Paragraphedeliste"/>
    <w:link w:val="0MyBulletChar"/>
    <w:qFormat/>
    <w:rsid w:val="00DF3BEB"/>
    <w:pPr>
      <w:spacing w:before="120" w:after="120" w:line="276" w:lineRule="auto"/>
      <w:ind w:left="0"/>
    </w:pPr>
  </w:style>
  <w:style w:type="character" w:customStyle="1" w:styleId="0MyBulletChar">
    <w:name w:val="0. My Bullet Char"/>
    <w:link w:val="0MyBullet"/>
    <w:rsid w:val="00DF3BEB"/>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Paragraphedeliste">
    <w:name w:val="List Paragraph"/>
    <w:aliases w:val="Paragraphe EI,Paragraphe de liste1,EC"/>
    <w:basedOn w:val="Normal"/>
    <w:link w:val="ParagraphedelisteCar"/>
    <w:uiPriority w:val="34"/>
    <w:qFormat/>
    <w:rsid w:val="00DF3BEB"/>
    <w:pPr>
      <w:ind w:left="720"/>
      <w:contextualSpacing/>
    </w:pPr>
  </w:style>
  <w:style w:type="paragraph" w:customStyle="1" w:styleId="1MyNormal">
    <w:name w:val="1. My Normal"/>
    <w:basedOn w:val="Normal"/>
    <w:link w:val="1MyNormalChar"/>
    <w:qFormat/>
    <w:rsid w:val="00522AA8"/>
    <w:pPr>
      <w:numPr>
        <w:numId w:val="8"/>
      </w:numPr>
      <w:spacing w:before="120" w:after="240" w:line="276" w:lineRule="auto"/>
      <w:ind w:left="0" w:hanging="567"/>
      <w:jc w:val="both"/>
    </w:pPr>
  </w:style>
  <w:style w:type="character" w:customStyle="1" w:styleId="1MyNormalChar">
    <w:name w:val="1. My Normal Char"/>
    <w:basedOn w:val="Policepardfau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Paragraphedeliste"/>
    <w:qFormat/>
    <w:rsid w:val="00615AA7"/>
    <w:pPr>
      <w:numPr>
        <w:numId w:val="9"/>
      </w:numPr>
      <w:spacing w:before="120" w:after="120" w:line="276" w:lineRule="auto"/>
      <w:jc w:val="both"/>
    </w:pPr>
  </w:style>
  <w:style w:type="character" w:styleId="Lienhypertextesuivivisit">
    <w:name w:val="FollowedHyperlink"/>
    <w:basedOn w:val="Policepardfau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Policepardfaut"/>
    <w:rsid w:val="00DB72CA"/>
  </w:style>
  <w:style w:type="character" w:customStyle="1" w:styleId="Titre3Car">
    <w:name w:val="Titre 3 Car"/>
    <w:basedOn w:val="Policepardfaut"/>
    <w:link w:val="Titre3"/>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13"/>
      </w:numPr>
    </w:pPr>
  </w:style>
  <w:style w:type="paragraph" w:customStyle="1" w:styleId="Style3">
    <w:name w:val="Style3"/>
    <w:basedOn w:val="04BodyText"/>
    <w:link w:val="Style3Char"/>
    <w:qFormat/>
    <w:rsid w:val="00FD70AA"/>
    <w:pPr>
      <w:numPr>
        <w:numId w:val="10"/>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ParagraphedelisteCar">
    <w:name w:val="Paragraphe de liste Car"/>
    <w:aliases w:val="Paragraphe EI Car,Paragraphe de liste1 Car,EC Car"/>
    <w:link w:val="Paragraphedeliste"/>
    <w:uiPriority w:val="34"/>
    <w:rsid w:val="004D19C2"/>
    <w:rPr>
      <w:rFonts w:ascii="Georgia" w:hAnsi="Georgia"/>
      <w:sz w:val="22"/>
      <w:szCs w:val="24"/>
      <w:lang w:eastAsia="de-DE"/>
    </w:rPr>
  </w:style>
  <w:style w:type="character" w:styleId="lev">
    <w:name w:val="Strong"/>
    <w:basedOn w:val="Policepardfau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Notedefin">
    <w:name w:val="endnote text"/>
    <w:basedOn w:val="Normal"/>
    <w:link w:val="NotedefinCar"/>
    <w:rsid w:val="003A5A08"/>
    <w:rPr>
      <w:szCs w:val="20"/>
    </w:rPr>
  </w:style>
  <w:style w:type="character" w:customStyle="1" w:styleId="NotedefinCar">
    <w:name w:val="Note de fin Car"/>
    <w:basedOn w:val="Policepardfaut"/>
    <w:link w:val="Notedefin"/>
    <w:rsid w:val="003A5A08"/>
    <w:rPr>
      <w:rFonts w:ascii="Georgia" w:hAnsi="Georgia"/>
      <w:lang w:eastAsia="de-DE"/>
    </w:rPr>
  </w:style>
  <w:style w:type="character" w:styleId="Appeldenotedefin">
    <w:name w:val="endnote reference"/>
    <w:basedOn w:val="Policepardfau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Policepardfaut"/>
    <w:rsid w:val="00AB592E"/>
  </w:style>
  <w:style w:type="paragraph" w:styleId="TM3">
    <w:name w:val="toc 3"/>
    <w:basedOn w:val="Normal"/>
    <w:next w:val="Normal"/>
    <w:autoRedefine/>
    <w:uiPriority w:val="39"/>
    <w:rsid w:val="0073272F"/>
    <w:pPr>
      <w:spacing w:after="100"/>
      <w:ind w:left="440"/>
    </w:pPr>
  </w:style>
  <w:style w:type="character" w:styleId="Textedelespacerserv">
    <w:name w:val="Placeholder Text"/>
    <w:basedOn w:val="Policepardfau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Explorateurdedocuments">
    <w:name w:val="Document Map"/>
    <w:basedOn w:val="Normal"/>
    <w:link w:val="ExplorateurdedocumentsCar"/>
    <w:uiPriority w:val="99"/>
    <w:rsid w:val="00D77242"/>
    <w:rPr>
      <w:rFonts w:ascii="Lucida Grande" w:hAnsi="Lucida Grande" w:cs="Lucida Grande"/>
      <w:sz w:val="24"/>
    </w:rPr>
  </w:style>
  <w:style w:type="character" w:customStyle="1" w:styleId="ExplorateurdedocumentsCar">
    <w:name w:val="Explorateur de documents Car"/>
    <w:basedOn w:val="Policepardfaut"/>
    <w:link w:val="Explorateurdedocuments"/>
    <w:uiPriority w:val="99"/>
    <w:rsid w:val="00D77242"/>
    <w:rPr>
      <w:rFonts w:ascii="Lucida Grande" w:hAnsi="Lucida Grande" w:cs="Lucida Grande"/>
      <w:sz w:val="24"/>
      <w:szCs w:val="24"/>
      <w:lang w:eastAsia="de-DE"/>
    </w:rPr>
  </w:style>
  <w:style w:type="paragraph" w:customStyle="1" w:styleId="ANNEX">
    <w:name w:val="ANNEX"/>
    <w:basedOn w:val="Lgende"/>
    <w:link w:val="ANNEXChar"/>
    <w:qFormat/>
    <w:rsid w:val="00E94E78"/>
    <w:pPr>
      <w:jc w:val="left"/>
    </w:pPr>
    <w:rPr>
      <w:sz w:val="28"/>
    </w:rPr>
  </w:style>
  <w:style w:type="character" w:customStyle="1" w:styleId="LgendeCar">
    <w:name w:val="Légende Car"/>
    <w:basedOn w:val="Policepardfaut"/>
    <w:link w:val="Lgende"/>
    <w:rsid w:val="00E94E78"/>
    <w:rPr>
      <w:rFonts w:ascii="Georgia" w:hAnsi="Georgia"/>
      <w:b/>
      <w:bCs/>
      <w:sz w:val="18"/>
      <w:szCs w:val="18"/>
      <w:lang w:eastAsia="de-DE"/>
    </w:rPr>
  </w:style>
  <w:style w:type="character" w:customStyle="1" w:styleId="ANNEXChar">
    <w:name w:val="ANNEX Char"/>
    <w:basedOn w:val="LgendeCar"/>
    <w:link w:val="ANNEX"/>
    <w:rsid w:val="00E94E78"/>
    <w:rPr>
      <w:rFonts w:ascii="Georgia" w:hAnsi="Georgia"/>
      <w:b/>
      <w:bCs/>
      <w:sz w:val="28"/>
      <w:szCs w:val="18"/>
      <w:lang w:eastAsia="de-DE"/>
    </w:rPr>
  </w:style>
  <w:style w:type="paragraph" w:customStyle="1" w:styleId="MyBullet1">
    <w:name w:val="MyBullet"/>
    <w:basedOn w:val="Paragraphedeliste"/>
    <w:link w:val="MyBulletChar0"/>
    <w:qFormat/>
    <w:rsid w:val="000D6BCE"/>
    <w:pPr>
      <w:numPr>
        <w:numId w:val="11"/>
      </w:numPr>
      <w:spacing w:before="240" w:line="276" w:lineRule="auto"/>
      <w:ind w:left="1134" w:hanging="425"/>
      <w:jc w:val="both"/>
    </w:pPr>
  </w:style>
  <w:style w:type="character" w:customStyle="1" w:styleId="MyBulletChar0">
    <w:name w:val="MyBullet Char"/>
    <w:basedOn w:val="ParagraphedelisteCar"/>
    <w:link w:val="MyBullet1"/>
    <w:rsid w:val="000D6BCE"/>
    <w:rPr>
      <w:rFonts w:ascii="Georgia" w:hAnsi="Georgia"/>
      <w:sz w:val="22"/>
      <w:szCs w:val="24"/>
      <w:lang w:eastAsia="de-DE"/>
    </w:rPr>
  </w:style>
  <w:style w:type="paragraph" w:customStyle="1" w:styleId="myBullet2">
    <w:name w:val="myBullet"/>
    <w:basedOn w:val="Paragraphedeliste"/>
    <w:link w:val="myBulletChar1"/>
    <w:qFormat/>
    <w:rsid w:val="000D6BCE"/>
    <w:pPr>
      <w:numPr>
        <w:numId w:val="12"/>
      </w:numPr>
      <w:spacing w:line="276" w:lineRule="auto"/>
    </w:pPr>
  </w:style>
  <w:style w:type="character" w:customStyle="1" w:styleId="myBulletChar1">
    <w:name w:val="myBullet Char"/>
    <w:basedOn w:val="ParagraphedelisteC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14"/>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Accentuation">
    <w:name w:val="Emphasis"/>
    <w:basedOn w:val="Policepardfau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Titre1Car">
    <w:name w:val="Titre 1 Car"/>
    <w:link w:val="Titre1"/>
    <w:uiPriority w:val="9"/>
    <w:rsid w:val="00AA0857"/>
    <w:rPr>
      <w:rFonts w:ascii="Georgia" w:hAnsi="Georgia"/>
      <w:b/>
      <w:szCs w:val="24"/>
      <w:lang w:eastAsia="de-DE"/>
    </w:rPr>
  </w:style>
  <w:style w:type="paragraph" w:styleId="En-ttedetabledesmatires">
    <w:name w:val="TOC Heading"/>
    <w:basedOn w:val="Titre1"/>
    <w:next w:val="Normal"/>
    <w:uiPriority w:val="39"/>
    <w:semiHidden/>
    <w:unhideWhenUsed/>
    <w:qFormat/>
    <w:rsid w:val="00EE5C4E"/>
    <w:pPr>
      <w:keepLines/>
      <w:spacing w:before="480" w:after="0"/>
      <w:ind w:left="432"/>
      <w:jc w:val="left"/>
      <w:outlineLvl w:val="9"/>
    </w:pPr>
    <w:rPr>
      <w:rFonts w:ascii="Cambria" w:hAnsi="Cambria"/>
      <w:bCs/>
      <w:color w:val="365F91"/>
      <w:sz w:val="28"/>
      <w:szCs w:val="28"/>
      <w:lang w:val="pl-PL" w:eastAsia="en-US"/>
    </w:rPr>
  </w:style>
  <w:style w:type="character" w:customStyle="1" w:styleId="En-tteCar">
    <w:name w:val="En-tête Car"/>
    <w:link w:val="En-tte"/>
    <w:rsid w:val="00EE5C4E"/>
    <w:rPr>
      <w:rFonts w:ascii="Georgia" w:hAnsi="Georgia"/>
      <w:sz w:val="22"/>
      <w:szCs w:val="24"/>
      <w:lang w:eastAsia="de-DE"/>
    </w:rPr>
  </w:style>
  <w:style w:type="character" w:customStyle="1" w:styleId="PieddepageCar">
    <w:name w:val="Pied de page Car"/>
    <w:link w:val="Pieddepage"/>
    <w:uiPriority w:val="99"/>
    <w:rsid w:val="00EE5C4E"/>
    <w:rPr>
      <w:rFonts w:ascii="Georgia" w:hAnsi="Georgia"/>
      <w:sz w:val="22"/>
      <w:szCs w:val="24"/>
      <w:lang w:eastAsia="de-DE"/>
    </w:rPr>
  </w:style>
  <w:style w:type="character" w:customStyle="1" w:styleId="Titre2Car">
    <w:name w:val="Titre 2 Car"/>
    <w:link w:val="Titre2"/>
    <w:rsid w:val="00AA0857"/>
    <w:rPr>
      <w:rFonts w:ascii="Georgia" w:hAnsi="Georgia"/>
      <w:b/>
      <w:szCs w:val="24"/>
      <w:lang w:eastAsia="de-DE"/>
    </w:rPr>
  </w:style>
  <w:style w:type="table" w:styleId="Grilleclaire-Accent1">
    <w:name w:val="Light Grid Accent 1"/>
    <w:basedOn w:val="TableauNormal"/>
    <w:uiPriority w:val="62"/>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eclaire-Accent1">
    <w:name w:val="Light List Accent 1"/>
    <w:basedOn w:val="TableauNormal"/>
    <w:uiPriority w:val="61"/>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moyenne1-Accent1">
    <w:name w:val="Medium Shading 1 Accent 1"/>
    <w:basedOn w:val="TableauNormal"/>
    <w:uiPriority w:val="63"/>
    <w:rsid w:val="00EE5C4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Policepardfaut"/>
    <w:link w:val="MyUnderline"/>
    <w:rsid w:val="00EE5C4E"/>
    <w:rPr>
      <w:rFonts w:ascii="Georgia" w:hAnsi="Georgia"/>
      <w:b/>
      <w:u w:val="single"/>
      <w:lang w:eastAsia="de-DE"/>
    </w:rPr>
  </w:style>
  <w:style w:type="paragraph" w:customStyle="1" w:styleId="Questions">
    <w:name w:val="Questions"/>
    <w:basedOn w:val="Lgende"/>
    <w:link w:val="QuestionsChar"/>
    <w:qFormat/>
    <w:rsid w:val="005750B3"/>
    <w:pPr>
      <w:jc w:val="both"/>
    </w:pPr>
  </w:style>
  <w:style w:type="character" w:customStyle="1" w:styleId="QuestionsChar">
    <w:name w:val="Questions Char"/>
    <w:basedOn w:val="LgendeCar"/>
    <w:link w:val="Questions"/>
    <w:rsid w:val="005750B3"/>
    <w:rPr>
      <w:rFonts w:ascii="Georgia" w:hAnsi="Georgia"/>
      <w:b/>
      <w:bCs/>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159">
      <w:bodyDiv w:val="1"/>
      <w:marLeft w:val="0"/>
      <w:marRight w:val="0"/>
      <w:marTop w:val="0"/>
      <w:marBottom w:val="0"/>
      <w:divBdr>
        <w:top w:val="none" w:sz="0" w:space="0" w:color="auto"/>
        <w:left w:val="none" w:sz="0" w:space="0" w:color="auto"/>
        <w:bottom w:val="none" w:sz="0" w:space="0" w:color="auto"/>
        <w:right w:val="none" w:sz="0" w:space="0" w:color="auto"/>
      </w:divBdr>
    </w:div>
    <w:div w:id="30494419">
      <w:bodyDiv w:val="1"/>
      <w:marLeft w:val="0"/>
      <w:marRight w:val="0"/>
      <w:marTop w:val="0"/>
      <w:marBottom w:val="0"/>
      <w:divBdr>
        <w:top w:val="none" w:sz="0" w:space="0" w:color="auto"/>
        <w:left w:val="none" w:sz="0" w:space="0" w:color="auto"/>
        <w:bottom w:val="none" w:sz="0" w:space="0" w:color="auto"/>
        <w:right w:val="none" w:sz="0" w:space="0" w:color="auto"/>
      </w:divBdr>
    </w:div>
    <w:div w:id="50467441">
      <w:bodyDiv w:val="1"/>
      <w:marLeft w:val="0"/>
      <w:marRight w:val="0"/>
      <w:marTop w:val="0"/>
      <w:marBottom w:val="0"/>
      <w:divBdr>
        <w:top w:val="none" w:sz="0" w:space="0" w:color="auto"/>
        <w:left w:val="none" w:sz="0" w:space="0" w:color="auto"/>
        <w:bottom w:val="none" w:sz="0" w:space="0" w:color="auto"/>
        <w:right w:val="none" w:sz="0" w:space="0" w:color="auto"/>
      </w:divBdr>
    </w:div>
    <w:div w:id="322707649">
      <w:bodyDiv w:val="1"/>
      <w:marLeft w:val="0"/>
      <w:marRight w:val="0"/>
      <w:marTop w:val="0"/>
      <w:marBottom w:val="0"/>
      <w:divBdr>
        <w:top w:val="none" w:sz="0" w:space="0" w:color="auto"/>
        <w:left w:val="none" w:sz="0" w:space="0" w:color="auto"/>
        <w:bottom w:val="none" w:sz="0" w:space="0" w:color="auto"/>
        <w:right w:val="none" w:sz="0" w:space="0" w:color="auto"/>
      </w:divBdr>
    </w:div>
    <w:div w:id="355544930">
      <w:bodyDiv w:val="1"/>
      <w:marLeft w:val="0"/>
      <w:marRight w:val="0"/>
      <w:marTop w:val="0"/>
      <w:marBottom w:val="0"/>
      <w:divBdr>
        <w:top w:val="none" w:sz="0" w:space="0" w:color="auto"/>
        <w:left w:val="none" w:sz="0" w:space="0" w:color="auto"/>
        <w:bottom w:val="none" w:sz="0" w:space="0" w:color="auto"/>
        <w:right w:val="none" w:sz="0" w:space="0" w:color="auto"/>
      </w:divBdr>
    </w:div>
    <w:div w:id="460459230">
      <w:bodyDiv w:val="1"/>
      <w:marLeft w:val="0"/>
      <w:marRight w:val="0"/>
      <w:marTop w:val="0"/>
      <w:marBottom w:val="0"/>
      <w:divBdr>
        <w:top w:val="none" w:sz="0" w:space="0" w:color="auto"/>
        <w:left w:val="none" w:sz="0" w:space="0" w:color="auto"/>
        <w:bottom w:val="none" w:sz="0" w:space="0" w:color="auto"/>
        <w:right w:val="none" w:sz="0" w:space="0" w:color="auto"/>
      </w:divBdr>
    </w:div>
    <w:div w:id="958608826">
      <w:bodyDiv w:val="1"/>
      <w:marLeft w:val="0"/>
      <w:marRight w:val="0"/>
      <w:marTop w:val="0"/>
      <w:marBottom w:val="0"/>
      <w:divBdr>
        <w:top w:val="none" w:sz="0" w:space="0" w:color="auto"/>
        <w:left w:val="none" w:sz="0" w:space="0" w:color="auto"/>
        <w:bottom w:val="none" w:sz="0" w:space="0" w:color="auto"/>
        <w:right w:val="none" w:sz="0" w:space="0" w:color="auto"/>
      </w:divBdr>
    </w:div>
    <w:div w:id="959147217">
      <w:bodyDiv w:val="1"/>
      <w:marLeft w:val="0"/>
      <w:marRight w:val="0"/>
      <w:marTop w:val="0"/>
      <w:marBottom w:val="0"/>
      <w:divBdr>
        <w:top w:val="none" w:sz="0" w:space="0" w:color="auto"/>
        <w:left w:val="none" w:sz="0" w:space="0" w:color="auto"/>
        <w:bottom w:val="none" w:sz="0" w:space="0" w:color="auto"/>
        <w:right w:val="none" w:sz="0" w:space="0" w:color="auto"/>
      </w:divBdr>
    </w:div>
    <w:div w:id="1032726713">
      <w:bodyDiv w:val="1"/>
      <w:marLeft w:val="0"/>
      <w:marRight w:val="0"/>
      <w:marTop w:val="0"/>
      <w:marBottom w:val="0"/>
      <w:divBdr>
        <w:top w:val="none" w:sz="0" w:space="0" w:color="auto"/>
        <w:left w:val="none" w:sz="0" w:space="0" w:color="auto"/>
        <w:bottom w:val="none" w:sz="0" w:space="0" w:color="auto"/>
        <w:right w:val="none" w:sz="0" w:space="0" w:color="auto"/>
      </w:divBdr>
    </w:div>
    <w:div w:id="1059206368">
      <w:bodyDiv w:val="1"/>
      <w:marLeft w:val="0"/>
      <w:marRight w:val="0"/>
      <w:marTop w:val="0"/>
      <w:marBottom w:val="0"/>
      <w:divBdr>
        <w:top w:val="none" w:sz="0" w:space="0" w:color="auto"/>
        <w:left w:val="none" w:sz="0" w:space="0" w:color="auto"/>
        <w:bottom w:val="none" w:sz="0" w:space="0" w:color="auto"/>
        <w:right w:val="none" w:sz="0" w:space="0" w:color="auto"/>
      </w:divBdr>
    </w:div>
    <w:div w:id="1143542853">
      <w:bodyDiv w:val="1"/>
      <w:marLeft w:val="0"/>
      <w:marRight w:val="0"/>
      <w:marTop w:val="0"/>
      <w:marBottom w:val="0"/>
      <w:divBdr>
        <w:top w:val="none" w:sz="0" w:space="0" w:color="auto"/>
        <w:left w:val="none" w:sz="0" w:space="0" w:color="auto"/>
        <w:bottom w:val="none" w:sz="0" w:space="0" w:color="auto"/>
        <w:right w:val="none" w:sz="0" w:space="0" w:color="auto"/>
      </w:divBdr>
    </w:div>
    <w:div w:id="1187141380">
      <w:bodyDiv w:val="1"/>
      <w:marLeft w:val="0"/>
      <w:marRight w:val="0"/>
      <w:marTop w:val="0"/>
      <w:marBottom w:val="0"/>
      <w:divBdr>
        <w:top w:val="none" w:sz="0" w:space="0" w:color="auto"/>
        <w:left w:val="none" w:sz="0" w:space="0" w:color="auto"/>
        <w:bottom w:val="none" w:sz="0" w:space="0" w:color="auto"/>
        <w:right w:val="none" w:sz="0" w:space="0" w:color="auto"/>
      </w:divBdr>
    </w:div>
    <w:div w:id="1227686941">
      <w:bodyDiv w:val="1"/>
      <w:marLeft w:val="0"/>
      <w:marRight w:val="0"/>
      <w:marTop w:val="0"/>
      <w:marBottom w:val="0"/>
      <w:divBdr>
        <w:top w:val="none" w:sz="0" w:space="0" w:color="auto"/>
        <w:left w:val="none" w:sz="0" w:space="0" w:color="auto"/>
        <w:bottom w:val="none" w:sz="0" w:space="0" w:color="auto"/>
        <w:right w:val="none" w:sz="0" w:space="0" w:color="auto"/>
      </w:divBdr>
    </w:div>
    <w:div w:id="1238327554">
      <w:bodyDiv w:val="1"/>
      <w:marLeft w:val="0"/>
      <w:marRight w:val="0"/>
      <w:marTop w:val="0"/>
      <w:marBottom w:val="0"/>
      <w:divBdr>
        <w:top w:val="none" w:sz="0" w:space="0" w:color="auto"/>
        <w:left w:val="none" w:sz="0" w:space="0" w:color="auto"/>
        <w:bottom w:val="none" w:sz="0" w:space="0" w:color="auto"/>
        <w:right w:val="none" w:sz="0" w:space="0" w:color="auto"/>
      </w:divBdr>
      <w:divsChild>
        <w:div w:id="2040622582">
          <w:marLeft w:val="0"/>
          <w:marRight w:val="0"/>
          <w:marTop w:val="0"/>
          <w:marBottom w:val="0"/>
          <w:divBdr>
            <w:top w:val="none" w:sz="0" w:space="0" w:color="auto"/>
            <w:left w:val="none" w:sz="0" w:space="0" w:color="auto"/>
            <w:bottom w:val="none" w:sz="0" w:space="0" w:color="auto"/>
            <w:right w:val="none" w:sz="0" w:space="0" w:color="auto"/>
          </w:divBdr>
        </w:div>
        <w:div w:id="248082178">
          <w:marLeft w:val="0"/>
          <w:marRight w:val="0"/>
          <w:marTop w:val="0"/>
          <w:marBottom w:val="0"/>
          <w:divBdr>
            <w:top w:val="none" w:sz="0" w:space="0" w:color="auto"/>
            <w:left w:val="none" w:sz="0" w:space="0" w:color="auto"/>
            <w:bottom w:val="none" w:sz="0" w:space="0" w:color="auto"/>
            <w:right w:val="none" w:sz="0" w:space="0" w:color="auto"/>
          </w:divBdr>
        </w:div>
        <w:div w:id="1013218456">
          <w:marLeft w:val="0"/>
          <w:marRight w:val="0"/>
          <w:marTop w:val="0"/>
          <w:marBottom w:val="0"/>
          <w:divBdr>
            <w:top w:val="none" w:sz="0" w:space="0" w:color="auto"/>
            <w:left w:val="none" w:sz="0" w:space="0" w:color="auto"/>
            <w:bottom w:val="none" w:sz="0" w:space="0" w:color="auto"/>
            <w:right w:val="none" w:sz="0" w:space="0" w:color="auto"/>
          </w:divBdr>
        </w:div>
        <w:div w:id="2022390621">
          <w:marLeft w:val="0"/>
          <w:marRight w:val="0"/>
          <w:marTop w:val="0"/>
          <w:marBottom w:val="0"/>
          <w:divBdr>
            <w:top w:val="none" w:sz="0" w:space="0" w:color="auto"/>
            <w:left w:val="none" w:sz="0" w:space="0" w:color="auto"/>
            <w:bottom w:val="none" w:sz="0" w:space="0" w:color="auto"/>
            <w:right w:val="none" w:sz="0" w:space="0" w:color="auto"/>
          </w:divBdr>
        </w:div>
        <w:div w:id="2069450515">
          <w:marLeft w:val="0"/>
          <w:marRight w:val="0"/>
          <w:marTop w:val="0"/>
          <w:marBottom w:val="0"/>
          <w:divBdr>
            <w:top w:val="none" w:sz="0" w:space="0" w:color="auto"/>
            <w:left w:val="none" w:sz="0" w:space="0" w:color="auto"/>
            <w:bottom w:val="none" w:sz="0" w:space="0" w:color="auto"/>
            <w:right w:val="none" w:sz="0" w:space="0" w:color="auto"/>
          </w:divBdr>
        </w:div>
        <w:div w:id="686950062">
          <w:marLeft w:val="0"/>
          <w:marRight w:val="0"/>
          <w:marTop w:val="0"/>
          <w:marBottom w:val="0"/>
          <w:divBdr>
            <w:top w:val="none" w:sz="0" w:space="0" w:color="auto"/>
            <w:left w:val="none" w:sz="0" w:space="0" w:color="auto"/>
            <w:bottom w:val="none" w:sz="0" w:space="0" w:color="auto"/>
            <w:right w:val="none" w:sz="0" w:space="0" w:color="auto"/>
          </w:divBdr>
        </w:div>
        <w:div w:id="1501771831">
          <w:marLeft w:val="0"/>
          <w:marRight w:val="0"/>
          <w:marTop w:val="0"/>
          <w:marBottom w:val="0"/>
          <w:divBdr>
            <w:top w:val="none" w:sz="0" w:space="0" w:color="auto"/>
            <w:left w:val="none" w:sz="0" w:space="0" w:color="auto"/>
            <w:bottom w:val="none" w:sz="0" w:space="0" w:color="auto"/>
            <w:right w:val="none" w:sz="0" w:space="0" w:color="auto"/>
          </w:divBdr>
        </w:div>
        <w:div w:id="647562936">
          <w:marLeft w:val="0"/>
          <w:marRight w:val="0"/>
          <w:marTop w:val="0"/>
          <w:marBottom w:val="0"/>
          <w:divBdr>
            <w:top w:val="none" w:sz="0" w:space="0" w:color="auto"/>
            <w:left w:val="none" w:sz="0" w:space="0" w:color="auto"/>
            <w:bottom w:val="none" w:sz="0" w:space="0" w:color="auto"/>
            <w:right w:val="none" w:sz="0" w:space="0" w:color="auto"/>
          </w:divBdr>
        </w:div>
        <w:div w:id="951521817">
          <w:marLeft w:val="0"/>
          <w:marRight w:val="0"/>
          <w:marTop w:val="0"/>
          <w:marBottom w:val="0"/>
          <w:divBdr>
            <w:top w:val="none" w:sz="0" w:space="0" w:color="auto"/>
            <w:left w:val="none" w:sz="0" w:space="0" w:color="auto"/>
            <w:bottom w:val="none" w:sz="0" w:space="0" w:color="auto"/>
            <w:right w:val="none" w:sz="0" w:space="0" w:color="auto"/>
          </w:divBdr>
        </w:div>
        <w:div w:id="1616600407">
          <w:marLeft w:val="0"/>
          <w:marRight w:val="0"/>
          <w:marTop w:val="0"/>
          <w:marBottom w:val="0"/>
          <w:divBdr>
            <w:top w:val="none" w:sz="0" w:space="0" w:color="auto"/>
            <w:left w:val="none" w:sz="0" w:space="0" w:color="auto"/>
            <w:bottom w:val="none" w:sz="0" w:space="0" w:color="auto"/>
            <w:right w:val="none" w:sz="0" w:space="0" w:color="auto"/>
          </w:divBdr>
        </w:div>
        <w:div w:id="1714571584">
          <w:marLeft w:val="0"/>
          <w:marRight w:val="0"/>
          <w:marTop w:val="0"/>
          <w:marBottom w:val="0"/>
          <w:divBdr>
            <w:top w:val="none" w:sz="0" w:space="0" w:color="auto"/>
            <w:left w:val="none" w:sz="0" w:space="0" w:color="auto"/>
            <w:bottom w:val="none" w:sz="0" w:space="0" w:color="auto"/>
            <w:right w:val="none" w:sz="0" w:space="0" w:color="auto"/>
          </w:divBdr>
        </w:div>
      </w:divsChild>
    </w:div>
    <w:div w:id="1408531991">
      <w:bodyDiv w:val="1"/>
      <w:marLeft w:val="0"/>
      <w:marRight w:val="0"/>
      <w:marTop w:val="0"/>
      <w:marBottom w:val="0"/>
      <w:divBdr>
        <w:top w:val="none" w:sz="0" w:space="0" w:color="auto"/>
        <w:left w:val="none" w:sz="0" w:space="0" w:color="auto"/>
        <w:bottom w:val="none" w:sz="0" w:space="0" w:color="auto"/>
        <w:right w:val="none" w:sz="0" w:space="0" w:color="auto"/>
      </w:divBdr>
    </w:div>
    <w:div w:id="1422530114">
      <w:bodyDiv w:val="1"/>
      <w:marLeft w:val="0"/>
      <w:marRight w:val="0"/>
      <w:marTop w:val="0"/>
      <w:marBottom w:val="0"/>
      <w:divBdr>
        <w:top w:val="none" w:sz="0" w:space="0" w:color="auto"/>
        <w:left w:val="none" w:sz="0" w:space="0" w:color="auto"/>
        <w:bottom w:val="none" w:sz="0" w:space="0" w:color="auto"/>
        <w:right w:val="none" w:sz="0" w:space="0" w:color="auto"/>
      </w:divBdr>
    </w:div>
    <w:div w:id="1489665777">
      <w:bodyDiv w:val="1"/>
      <w:marLeft w:val="0"/>
      <w:marRight w:val="0"/>
      <w:marTop w:val="0"/>
      <w:marBottom w:val="0"/>
      <w:divBdr>
        <w:top w:val="none" w:sz="0" w:space="0" w:color="auto"/>
        <w:left w:val="none" w:sz="0" w:space="0" w:color="auto"/>
        <w:bottom w:val="none" w:sz="0" w:space="0" w:color="auto"/>
        <w:right w:val="none" w:sz="0" w:space="0" w:color="auto"/>
      </w:divBdr>
    </w:div>
    <w:div w:id="1612591031">
      <w:bodyDiv w:val="1"/>
      <w:marLeft w:val="0"/>
      <w:marRight w:val="0"/>
      <w:marTop w:val="0"/>
      <w:marBottom w:val="0"/>
      <w:divBdr>
        <w:top w:val="none" w:sz="0" w:space="0" w:color="auto"/>
        <w:left w:val="none" w:sz="0" w:space="0" w:color="auto"/>
        <w:bottom w:val="none" w:sz="0" w:space="0" w:color="auto"/>
        <w:right w:val="none" w:sz="0" w:space="0" w:color="auto"/>
      </w:divBdr>
    </w:div>
    <w:div w:id="1694106863">
      <w:bodyDiv w:val="1"/>
      <w:marLeft w:val="0"/>
      <w:marRight w:val="0"/>
      <w:marTop w:val="0"/>
      <w:marBottom w:val="0"/>
      <w:divBdr>
        <w:top w:val="none" w:sz="0" w:space="0" w:color="auto"/>
        <w:left w:val="none" w:sz="0" w:space="0" w:color="auto"/>
        <w:bottom w:val="none" w:sz="0" w:space="0" w:color="auto"/>
        <w:right w:val="none" w:sz="0" w:space="0" w:color="auto"/>
      </w:divBdr>
    </w:div>
    <w:div w:id="1701321273">
      <w:bodyDiv w:val="1"/>
      <w:marLeft w:val="0"/>
      <w:marRight w:val="0"/>
      <w:marTop w:val="0"/>
      <w:marBottom w:val="0"/>
      <w:divBdr>
        <w:top w:val="none" w:sz="0" w:space="0" w:color="auto"/>
        <w:left w:val="none" w:sz="0" w:space="0" w:color="auto"/>
        <w:bottom w:val="none" w:sz="0" w:space="0" w:color="auto"/>
        <w:right w:val="none" w:sz="0" w:space="0" w:color="auto"/>
      </w:divBdr>
    </w:div>
    <w:div w:id="1961960390">
      <w:bodyDiv w:val="1"/>
      <w:marLeft w:val="0"/>
      <w:marRight w:val="0"/>
      <w:marTop w:val="0"/>
      <w:marBottom w:val="0"/>
      <w:divBdr>
        <w:top w:val="none" w:sz="0" w:space="0" w:color="auto"/>
        <w:left w:val="none" w:sz="0" w:space="0" w:color="auto"/>
        <w:bottom w:val="none" w:sz="0" w:space="0" w:color="auto"/>
        <w:right w:val="none" w:sz="0" w:space="0" w:color="auto"/>
      </w:divBdr>
    </w:div>
    <w:div w:id="2012564195">
      <w:bodyDiv w:val="1"/>
      <w:marLeft w:val="0"/>
      <w:marRight w:val="0"/>
      <w:marTop w:val="0"/>
      <w:marBottom w:val="0"/>
      <w:divBdr>
        <w:top w:val="none" w:sz="0" w:space="0" w:color="auto"/>
        <w:left w:val="none" w:sz="0" w:space="0" w:color="auto"/>
        <w:bottom w:val="none" w:sz="0" w:space="0" w:color="auto"/>
        <w:right w:val="none" w:sz="0" w:space="0" w:color="auto"/>
      </w:divBdr>
    </w:div>
    <w:div w:id="2049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osco.org/library/pubdocs/pdf/IOSCOPD4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3\External%20documents\2013-0000%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02331CB5-FD25-45E8-8B7F-BB6FD4362B4D}"/>
      </w:docPartPr>
      <w:docPartBody>
        <w:p w:rsidR="00661608" w:rsidRDefault="000F64E6">
          <w:r w:rsidRPr="000E3791">
            <w:rPr>
              <w:rStyle w:val="Textedelespacerserv"/>
            </w:rPr>
            <w:t>Choose an item.</w:t>
          </w:r>
        </w:p>
      </w:docPartBody>
    </w:docPart>
    <w:docPart>
      <w:docPartPr>
        <w:name w:val="29B3C0A1C36843AB95CE1BDF313CA2A2"/>
        <w:category>
          <w:name w:val="General"/>
          <w:gallery w:val="placeholder"/>
        </w:category>
        <w:types>
          <w:type w:val="bbPlcHdr"/>
        </w:types>
        <w:behaviors>
          <w:behavior w:val="content"/>
        </w:behaviors>
        <w:guid w:val="{6BD31672-A8F4-44C9-9EE9-974F2BB379BB}"/>
      </w:docPartPr>
      <w:docPartBody>
        <w:p w:rsidR="00661608" w:rsidRDefault="000F64E6" w:rsidP="000F64E6">
          <w:pPr>
            <w:pStyle w:val="29B3C0A1C36843AB95CE1BDF313CA2A2"/>
          </w:pPr>
          <w:r w:rsidRPr="000E3791">
            <w:rPr>
              <w:rStyle w:val="Textedelespacerserv"/>
            </w:rPr>
            <w:t>Choose an item.</w:t>
          </w:r>
        </w:p>
      </w:docPartBody>
    </w:docPart>
    <w:docPart>
      <w:docPartPr>
        <w:name w:val="F0305A30DDBA475F87323578BE1A7B3F"/>
        <w:category>
          <w:name w:val="General"/>
          <w:gallery w:val="placeholder"/>
        </w:category>
        <w:types>
          <w:type w:val="bbPlcHdr"/>
        </w:types>
        <w:behaviors>
          <w:behavior w:val="content"/>
        </w:behaviors>
        <w:guid w:val="{8279ABAC-8030-4011-90A5-E35ABABD83C4}"/>
      </w:docPartPr>
      <w:docPartBody>
        <w:p w:rsidR="00661608" w:rsidRDefault="000F64E6" w:rsidP="000F64E6">
          <w:pPr>
            <w:pStyle w:val="F0305A30DDBA475F87323578BE1A7B3F"/>
          </w:pPr>
          <w:r w:rsidRPr="000E3791">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E6"/>
    <w:rsid w:val="000F64E6"/>
    <w:rsid w:val="00661608"/>
    <w:rsid w:val="006F2C50"/>
    <w:rsid w:val="008D50B6"/>
    <w:rsid w:val="00984AF4"/>
    <w:rsid w:val="00BD247C"/>
    <w:rsid w:val="00CD4DC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5705F-2ABA-4A1D-9DA5-ED4E3CC2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2013-0000 Report Template.dotx</Template>
  <TotalTime>0</TotalTime>
  <Pages>11</Pages>
  <Words>3335</Words>
  <Characters>18343</Characters>
  <Application>Microsoft Office Word</Application>
  <DocSecurity>8</DocSecurity>
  <Lines>152</Lines>
  <Paragraphs>43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20110000</vt:lpstr>
      <vt:lpstr>20110000</vt:lpstr>
      <vt:lpstr>20110000</vt:lpstr>
    </vt:vector>
  </TitlesOfParts>
  <Company>Oxalide</Company>
  <LinksUpToDate>false</LinksUpToDate>
  <CharactersWithSpaces>21635</CharactersWithSpaces>
  <SharedDoc>false</SharedDoc>
  <HLinks>
    <vt:vector size="12" baseType="variant">
      <vt:variant>
        <vt:i4>3932286</vt:i4>
      </vt:variant>
      <vt:variant>
        <vt:i4>17</vt:i4>
      </vt:variant>
      <vt:variant>
        <vt:i4>0</vt:i4>
      </vt:variant>
      <vt:variant>
        <vt:i4>5</vt:i4>
      </vt:variant>
      <vt:variant>
        <vt:lpwstr>http://www.esma.europa.eu/</vt:lpwstr>
      </vt:variant>
      <vt:variant>
        <vt:lpwstr/>
      </vt:variant>
      <vt:variant>
        <vt:i4>3932286</vt:i4>
      </vt:variant>
      <vt:variant>
        <vt:i4>14</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Chloe</dc:creator>
  <cp:lastModifiedBy>bompaire</cp:lastModifiedBy>
  <cp:revision>6</cp:revision>
  <cp:lastPrinted>2014-07-10T08:22:00Z</cp:lastPrinted>
  <dcterms:created xsi:type="dcterms:W3CDTF">2014-09-17T17:07:00Z</dcterms:created>
  <dcterms:modified xsi:type="dcterms:W3CDTF">2014-09-18T15:06:00Z</dcterms:modified>
</cp:coreProperties>
</file>