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BE00E5" w:rsidRPr="00E679BA" w:rsidTr="00F53654">
        <w:trPr>
          <w:trHeight w:val="284"/>
        </w:trPr>
        <w:tc>
          <w:tcPr>
            <w:tcW w:w="9412" w:type="dxa"/>
          </w:tcPr>
          <w:p w:rsidR="00BE00E5" w:rsidRPr="00376B02" w:rsidRDefault="00BE00E5" w:rsidP="00F53654">
            <w:pPr>
              <w:pStyle w:val="00bDBInfo"/>
            </w:pPr>
            <w:r>
              <w:t>1 December</w:t>
            </w:r>
            <w:r w:rsidRPr="00376B02">
              <w:t xml:space="preserve"> 2014</w:t>
            </w:r>
          </w:p>
        </w:tc>
      </w:tr>
    </w:tbl>
    <w:p w:rsidR="00BE00E5" w:rsidRPr="00640DCD" w:rsidRDefault="00BE00E5" w:rsidP="00BE00E5">
      <w:pPr>
        <w:rPr>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BE00E5" w:rsidRPr="00E679BA" w:rsidTr="00F53654">
        <w:trPr>
          <w:trHeight w:hRule="exact" w:val="1209"/>
        </w:trPr>
        <w:tc>
          <w:tcPr>
            <w:tcW w:w="9397" w:type="dxa"/>
            <w:vAlign w:val="bottom"/>
          </w:tcPr>
          <w:p w:rsidR="00BE00E5" w:rsidRPr="00BD3046" w:rsidRDefault="00BE00E5" w:rsidP="00F53654">
            <w:pPr>
              <w:pStyle w:val="01aDBTitle"/>
              <w:rPr>
                <w:sz w:val="36"/>
                <w:szCs w:val="36"/>
              </w:rPr>
            </w:pPr>
            <w:r w:rsidRPr="00BD3046">
              <w:rPr>
                <w:sz w:val="36"/>
                <w:szCs w:val="36"/>
              </w:rPr>
              <w:t xml:space="preserve">Reply form for the </w:t>
            </w:r>
          </w:p>
          <w:p w:rsidR="00BE00E5" w:rsidRPr="00E679BA" w:rsidRDefault="00BE00E5" w:rsidP="00F53654">
            <w:pPr>
              <w:pStyle w:val="01aDBTitle"/>
            </w:pPr>
            <w:r w:rsidRPr="000645CF">
              <w:rPr>
                <w:sz w:val="36"/>
                <w:szCs w:val="36"/>
              </w:rPr>
              <w:t>Guidelines on asset segregation under the AIFMD</w:t>
            </w:r>
          </w:p>
        </w:tc>
      </w:tr>
      <w:tr w:rsidR="00BE00E5" w:rsidRPr="00E679BA" w:rsidTr="00F53654">
        <w:trPr>
          <w:trHeight w:hRule="exact" w:val="605"/>
        </w:trPr>
        <w:tc>
          <w:tcPr>
            <w:tcW w:w="9397" w:type="dxa"/>
            <w:tcMar>
              <w:top w:w="142" w:type="dxa"/>
            </w:tcMar>
          </w:tcPr>
          <w:p w:rsidR="00BE00E5" w:rsidRPr="00E679BA" w:rsidRDefault="00DA05C0" w:rsidP="00F53654">
            <w:pPr>
              <w:pStyle w:val="01bDBSubtitle"/>
            </w:pPr>
            <w:r>
              <w:t>Response submitted by DACSI (The Netherlands)</w:t>
            </w:r>
            <w:r w:rsidR="00BE00E5" w:rsidRPr="00E679BA">
              <w:t xml:space="preserve"> </w:t>
            </w:r>
          </w:p>
        </w:tc>
      </w:tr>
    </w:tbl>
    <w:p w:rsidR="00BE00E5" w:rsidRPr="00E679BA" w:rsidRDefault="00BE00E5" w:rsidP="00BE00E5">
      <w:pPr>
        <w:pStyle w:val="05HeadlinenoIndex"/>
        <w:sectPr w:rsidR="00BE00E5" w:rsidRPr="00E679BA" w:rsidSect="006E3C72">
          <w:headerReference w:type="default" r:id="rId7"/>
          <w:footerReference w:type="default" r:id="rId8"/>
          <w:headerReference w:type="first" r:id="rId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BE00E5" w:rsidRPr="00E679BA" w:rsidTr="00F53654">
        <w:trPr>
          <w:trHeight w:hRule="exact" w:val="964"/>
        </w:trPr>
        <w:tc>
          <w:tcPr>
            <w:tcW w:w="2325" w:type="dxa"/>
          </w:tcPr>
          <w:p w:rsidR="00BE00E5" w:rsidRPr="00E679BA" w:rsidRDefault="00BE00E5" w:rsidP="00F53654">
            <w:pPr>
              <w:pStyle w:val="02Date"/>
            </w:pPr>
            <w:r w:rsidRPr="00222D9B">
              <w:lastRenderedPageBreak/>
              <w:t xml:space="preserve">Date: </w:t>
            </w:r>
            <w:r>
              <w:t>1 December</w:t>
            </w:r>
            <w:r w:rsidRPr="00222D9B">
              <w:t xml:space="preserve"> 2014</w:t>
            </w:r>
          </w:p>
        </w:tc>
      </w:tr>
    </w:tbl>
    <w:p w:rsidR="00BE00E5" w:rsidRPr="00321CD3" w:rsidRDefault="00BE00E5" w:rsidP="00BE00E5">
      <w:pPr>
        <w:pStyle w:val="05HeadlinenoIndex"/>
      </w:pPr>
      <w:bookmarkStart w:id="0" w:name="_Toc280628648"/>
      <w:r w:rsidRPr="00321CD3">
        <w:t xml:space="preserve">Responding to this paper </w:t>
      </w:r>
    </w:p>
    <w:p w:rsidR="00BE00E5" w:rsidRDefault="00BE00E5" w:rsidP="00BE00E5">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Pr="0060674A">
        <w:t xml:space="preserve">Consultation Paper - </w:t>
      </w:r>
      <w:r w:rsidRPr="000A2277">
        <w:t>Guidelines on asset segregation under the AIFMD</w:t>
      </w:r>
      <w:r>
        <w:t xml:space="preserve">, </w:t>
      </w:r>
      <w:r w:rsidRPr="00015B5E">
        <w:t>published</w:t>
      </w:r>
      <w:r>
        <w:t xml:space="preserve"> on the ESMA website.</w:t>
      </w:r>
    </w:p>
    <w:p w:rsidR="00BE00E5" w:rsidRPr="00F574D0" w:rsidRDefault="00BE00E5" w:rsidP="00BE00E5">
      <w:pPr>
        <w:autoSpaceDE w:val="0"/>
        <w:autoSpaceDN w:val="0"/>
        <w:adjustRightInd w:val="0"/>
        <w:spacing w:before="120" w:after="120"/>
        <w:jc w:val="both"/>
        <w:rPr>
          <w:rFonts w:cs="Georgia"/>
          <w:b/>
          <w:bCs/>
          <w:i/>
          <w:color w:val="000000"/>
          <w:szCs w:val="20"/>
          <w:lang w:eastAsia="en-GB"/>
        </w:rPr>
      </w:pPr>
      <w:r w:rsidRPr="00F574D0">
        <w:rPr>
          <w:rFonts w:cs="Georgia"/>
          <w:b/>
          <w:bCs/>
          <w:i/>
          <w:color w:val="000000"/>
          <w:szCs w:val="20"/>
          <w:lang w:eastAsia="en-GB"/>
        </w:rPr>
        <w:t>Instructions</w:t>
      </w:r>
    </w:p>
    <w:p w:rsidR="00BE00E5" w:rsidRPr="0081710D" w:rsidRDefault="00BE00E5" w:rsidP="00BE00E5">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Pr="0081710D">
        <w:t>:</w:t>
      </w:r>
    </w:p>
    <w:p w:rsidR="00BE00E5" w:rsidRPr="00C0197A" w:rsidRDefault="00BE00E5" w:rsidP="00BE00E5">
      <w:pPr>
        <w:pStyle w:val="04bList"/>
        <w:numPr>
          <w:ilvl w:val="0"/>
          <w:numId w:val="2"/>
        </w:numPr>
        <w:spacing w:before="120" w:after="120"/>
        <w:ind w:left="720"/>
      </w:pPr>
      <w:r w:rsidRPr="00C0197A">
        <w:t xml:space="preserve">use this </w:t>
      </w:r>
      <w:r>
        <w:t>form</w:t>
      </w:r>
      <w:r w:rsidRPr="00C0197A">
        <w:t xml:space="preserve"> and send </w:t>
      </w:r>
      <w:r>
        <w:t>your</w:t>
      </w:r>
      <w:r w:rsidRPr="00C0197A">
        <w:t xml:space="preserve"> response</w:t>
      </w:r>
      <w:r>
        <w:t>s</w:t>
      </w:r>
      <w:r w:rsidRPr="00C0197A">
        <w:t xml:space="preserve"> in Word format;</w:t>
      </w:r>
    </w:p>
    <w:p w:rsidR="00BE00E5" w:rsidRPr="0081710D" w:rsidRDefault="00BE00E5" w:rsidP="00BE00E5">
      <w:pPr>
        <w:pStyle w:val="04bList"/>
        <w:numPr>
          <w:ilvl w:val="0"/>
          <w:numId w:val="2"/>
        </w:numPr>
        <w:spacing w:before="120" w:after="120"/>
        <w:ind w:left="720"/>
      </w:pPr>
      <w:r>
        <w:t xml:space="preserve">do </w:t>
      </w:r>
      <w:r w:rsidRPr="0081710D">
        <w:t>not remove the tags of type &lt;ESMA_QUESTION_</w:t>
      </w:r>
      <w:r>
        <w:t>G_AIFMD_</w:t>
      </w:r>
      <w:r w:rsidRPr="0081710D">
        <w:t>1&gt; - i.e. the response to one question has to be framed by the 2 tags corresponding to the question; and</w:t>
      </w:r>
    </w:p>
    <w:p w:rsidR="00BE00E5" w:rsidRPr="0081710D" w:rsidRDefault="00BE00E5" w:rsidP="00BE00E5">
      <w:pPr>
        <w:pStyle w:val="04bList"/>
        <w:numPr>
          <w:ilvl w:val="0"/>
          <w:numId w:val="2"/>
        </w:numPr>
        <w:spacing w:before="120" w:after="120"/>
        <w:ind w:left="720"/>
      </w:pPr>
      <w:proofErr w:type="gramStart"/>
      <w:r w:rsidRPr="0081710D">
        <w:t>if</w:t>
      </w:r>
      <w:proofErr w:type="gramEnd"/>
      <w:r w:rsidRPr="0081710D">
        <w:t xml:space="preserve"> </w:t>
      </w:r>
      <w:r>
        <w:t>you do not have a</w:t>
      </w:r>
      <w:r w:rsidRPr="0081710D">
        <w:t xml:space="preserve"> response to a question, </w:t>
      </w:r>
      <w:r>
        <w:t xml:space="preserve">do </w:t>
      </w:r>
      <w:r w:rsidRPr="0081710D">
        <w:t>not delete it and leave the text “TYPE YOUR TEXT HERE” between the tags.</w:t>
      </w:r>
    </w:p>
    <w:p w:rsidR="00BE00E5" w:rsidRPr="0081710D" w:rsidRDefault="00BE00E5" w:rsidP="00BE00E5">
      <w:pPr>
        <w:pStyle w:val="04bList"/>
        <w:numPr>
          <w:ilvl w:val="0"/>
          <w:numId w:val="0"/>
        </w:numPr>
        <w:spacing w:before="120" w:after="120"/>
      </w:pPr>
      <w:r w:rsidRPr="0081710D">
        <w:t>Responses are most helpful:</w:t>
      </w:r>
    </w:p>
    <w:p w:rsidR="00BE00E5" w:rsidRPr="0081710D" w:rsidRDefault="00BE00E5" w:rsidP="00BE00E5">
      <w:pPr>
        <w:pStyle w:val="04bList"/>
        <w:numPr>
          <w:ilvl w:val="0"/>
          <w:numId w:val="4"/>
        </w:numPr>
        <w:spacing w:before="120" w:after="120"/>
      </w:pPr>
      <w:r w:rsidRPr="0081710D">
        <w:t>if they respond to the question stated;</w:t>
      </w:r>
    </w:p>
    <w:p w:rsidR="00BE00E5" w:rsidRPr="0081710D" w:rsidRDefault="00BE00E5" w:rsidP="00BE00E5">
      <w:pPr>
        <w:pStyle w:val="04bList"/>
        <w:numPr>
          <w:ilvl w:val="0"/>
          <w:numId w:val="4"/>
        </w:numPr>
        <w:spacing w:before="120" w:after="120"/>
      </w:pPr>
      <w:r w:rsidRPr="0081710D">
        <w:t>contain a clear rationale, including on any related costs and benefits; and</w:t>
      </w:r>
    </w:p>
    <w:p w:rsidR="00BE00E5" w:rsidRDefault="00BE00E5" w:rsidP="00BE00E5">
      <w:pPr>
        <w:pStyle w:val="04bList"/>
        <w:numPr>
          <w:ilvl w:val="0"/>
          <w:numId w:val="4"/>
        </w:numPr>
        <w:spacing w:before="120" w:after="120"/>
      </w:pPr>
      <w:r w:rsidRPr="0081710D">
        <w:t>describe any alternatives that ESMA should consider</w:t>
      </w:r>
    </w:p>
    <w:p w:rsidR="00BE00E5" w:rsidRPr="009460B9" w:rsidRDefault="00BE00E5" w:rsidP="00BE00E5">
      <w:pPr>
        <w:pStyle w:val="04BodyText"/>
        <w:spacing w:before="120" w:after="120"/>
        <w:jc w:val="left"/>
        <w:rPr>
          <w:b/>
        </w:rPr>
      </w:pPr>
      <w:r w:rsidRPr="009460B9">
        <w:rPr>
          <w:b/>
        </w:rPr>
        <w:t>Naming protocol:</w:t>
      </w:r>
    </w:p>
    <w:p w:rsidR="00BE00E5" w:rsidRDefault="00BE00E5" w:rsidP="00BE00E5">
      <w:pPr>
        <w:pStyle w:val="04BodyText"/>
        <w:spacing w:before="120" w:after="120"/>
        <w:jc w:val="left"/>
      </w:pPr>
      <w:r>
        <w:t>In order to facilitate the handling of stakeholders responses please save your document using the following format:</w:t>
      </w:r>
    </w:p>
    <w:p w:rsidR="00BE00E5" w:rsidRDefault="00BE00E5" w:rsidP="00BE00E5">
      <w:pPr>
        <w:pStyle w:val="04BodyText"/>
        <w:spacing w:before="120" w:after="120"/>
        <w:jc w:val="left"/>
      </w:pPr>
      <w:proofErr w:type="gramStart"/>
      <w:r>
        <w:t>ESMA_CE_G_AIFMD _NAMEOFCOMPANY_NAMEOFDOCUMENT.</w:t>
      </w:r>
      <w:proofErr w:type="gramEnd"/>
    </w:p>
    <w:p w:rsidR="00BE00E5" w:rsidRDefault="00BE00E5" w:rsidP="00BE00E5">
      <w:pPr>
        <w:pStyle w:val="04BodyText"/>
        <w:spacing w:before="120" w:after="120"/>
        <w:jc w:val="left"/>
      </w:pPr>
      <w:r>
        <w:t>E.g. if the respondent were ESMA, the name of the reply form would be ESMA_CE_G_AIFMD _AIXX_REPLYFORM or ESMA_CE_G_AIFMD_AIXX_ANNEX1</w:t>
      </w:r>
    </w:p>
    <w:p w:rsidR="00BE00E5" w:rsidRPr="0081710D" w:rsidRDefault="00BE00E5" w:rsidP="00BE00E5">
      <w:pPr>
        <w:pStyle w:val="04BodyText"/>
        <w:spacing w:before="120" w:after="120"/>
      </w:pPr>
      <w:r w:rsidRPr="0081710D">
        <w:t xml:space="preserve">Responses must reach us by </w:t>
      </w:r>
      <w:r w:rsidRPr="004A30A4">
        <w:rPr>
          <w:b/>
        </w:rPr>
        <w:t>30 January 2015</w:t>
      </w:r>
      <w:r w:rsidRPr="0081710D">
        <w:t xml:space="preserve">. </w:t>
      </w:r>
    </w:p>
    <w:p w:rsidR="00BE00E5" w:rsidRPr="00321CD3" w:rsidRDefault="00BE00E5" w:rsidP="00BE00E5">
      <w:pPr>
        <w:pStyle w:val="04BodyText"/>
        <w:spacing w:before="120" w:after="120"/>
      </w:pPr>
      <w:r w:rsidRPr="00321CD3">
        <w:t xml:space="preserve">All contributions should be submitted online at </w:t>
      </w:r>
      <w:hyperlink r:id="rId10" w:history="1">
        <w:r w:rsidRPr="00321CD3">
          <w:rPr>
            <w:rStyle w:val="Hyperlink"/>
          </w:rPr>
          <w:t>www.esma.europa.eu</w:t>
        </w:r>
      </w:hyperlink>
      <w:r w:rsidRPr="00321CD3">
        <w:t xml:space="preserve"> under the heading ‘Your input/Consultations’. </w:t>
      </w:r>
    </w:p>
    <w:p w:rsidR="00BE00E5" w:rsidRPr="00F574D0" w:rsidRDefault="00BE00E5" w:rsidP="00BE00E5">
      <w:pPr>
        <w:autoSpaceDE w:val="0"/>
        <w:autoSpaceDN w:val="0"/>
        <w:adjustRightInd w:val="0"/>
        <w:spacing w:before="120" w:after="120"/>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BE00E5" w:rsidRPr="0081710D" w:rsidRDefault="00BE00E5" w:rsidP="00BE00E5">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BE00E5" w:rsidRPr="00F574D0" w:rsidRDefault="00BE00E5" w:rsidP="00BE00E5">
      <w:pPr>
        <w:autoSpaceDE w:val="0"/>
        <w:autoSpaceDN w:val="0"/>
        <w:adjustRightInd w:val="0"/>
        <w:spacing w:before="120" w:after="120"/>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7A7105" w:rsidRDefault="00BE00E5" w:rsidP="00BE00E5">
      <w:pPr>
        <w:autoSpaceDE w:val="0"/>
        <w:autoSpaceDN w:val="0"/>
        <w:adjustRightInd w:val="0"/>
        <w:spacing w:before="120" w:after="120"/>
        <w:jc w:val="both"/>
        <w:rPr>
          <w:szCs w:val="20"/>
        </w:rPr>
      </w:pPr>
      <w:r w:rsidRPr="00321CD3">
        <w:rPr>
          <w:szCs w:val="20"/>
        </w:rPr>
        <w:t xml:space="preserve">Information on data protection can be found at </w:t>
      </w:r>
      <w:hyperlink r:id="rId11" w:history="1">
        <w:r w:rsidRPr="00321CD3">
          <w:rPr>
            <w:rStyle w:val="Hyperlink"/>
            <w:szCs w:val="20"/>
          </w:rPr>
          <w:t>www.esma.europa.eu</w:t>
        </w:r>
      </w:hyperlink>
      <w:r w:rsidRPr="00321CD3">
        <w:rPr>
          <w:szCs w:val="20"/>
        </w:rPr>
        <w:t xml:space="preserve"> under the heading ‘Disclaimer’.</w:t>
      </w:r>
    </w:p>
    <w:bookmarkEnd w:id="0"/>
    <w:p w:rsidR="00BE00E5" w:rsidRDefault="00BE00E5" w:rsidP="00BE00E5">
      <w:pPr>
        <w:pStyle w:val="Heading5"/>
        <w:rPr>
          <w:rFonts w:eastAsia="Calibri"/>
        </w:rPr>
      </w:pPr>
      <w:r w:rsidRPr="00F97473">
        <w:rPr>
          <w:rFonts w:eastAsia="Calibri"/>
        </w:rPr>
        <w:lastRenderedPageBreak/>
        <w:t xml:space="preserve">Which of the two identified options do you prefer? </w:t>
      </w:r>
    </w:p>
    <w:p w:rsidR="00BE00E5" w:rsidRDefault="00BE00E5" w:rsidP="00BE00E5"/>
    <w:p w:rsidR="00BE00E5" w:rsidRDefault="00BE00E5" w:rsidP="00BE00E5">
      <w:r>
        <w:t>&lt;ESMA_QUESTION_G_AIFMD_1&gt;</w:t>
      </w:r>
    </w:p>
    <w:p w:rsidR="00482C81" w:rsidRDefault="00482C81" w:rsidP="00482C81">
      <w:pPr>
        <w:rPr>
          <w:szCs w:val="20"/>
        </w:rPr>
      </w:pPr>
      <w:r>
        <w:rPr>
          <w:szCs w:val="20"/>
        </w:rPr>
        <w:t>The Dutch Advisory Committee Securities Industry (DACSI) has a strong preference for option 2: option 1 would add substantially to the operational risks and costs without contributing to the protection of AIF assets against insolvency of any party in the custody chain. We will explain this below.</w:t>
      </w:r>
    </w:p>
    <w:p w:rsidR="00482C81" w:rsidRDefault="00482C81" w:rsidP="00482C81">
      <w:pPr>
        <w:rPr>
          <w:szCs w:val="20"/>
        </w:rPr>
      </w:pPr>
      <w:r>
        <w:rPr>
          <w:szCs w:val="20"/>
        </w:rPr>
        <w:t xml:space="preserve">DACSI </w:t>
      </w:r>
      <w:r w:rsidRPr="00265307">
        <w:rPr>
          <w:szCs w:val="20"/>
        </w:rPr>
        <w:t>welcome</w:t>
      </w:r>
      <w:r>
        <w:rPr>
          <w:szCs w:val="20"/>
        </w:rPr>
        <w:t xml:space="preserve">s </w:t>
      </w:r>
      <w:r w:rsidRPr="00265307">
        <w:rPr>
          <w:szCs w:val="20"/>
        </w:rPr>
        <w:t>ESMA’s</w:t>
      </w:r>
      <w:r>
        <w:rPr>
          <w:szCs w:val="20"/>
        </w:rPr>
        <w:t xml:space="preserve"> </w:t>
      </w:r>
      <w:r w:rsidRPr="00265307">
        <w:rPr>
          <w:szCs w:val="20"/>
        </w:rPr>
        <w:t>objective</w:t>
      </w:r>
      <w:r>
        <w:rPr>
          <w:szCs w:val="20"/>
        </w:rPr>
        <w:t xml:space="preserve"> </w:t>
      </w:r>
      <w:r w:rsidRPr="00265307">
        <w:rPr>
          <w:szCs w:val="20"/>
        </w:rPr>
        <w:t>to develop guidelines on the AIFMD asset segregation requirements with the aim to</w:t>
      </w:r>
      <w:r>
        <w:rPr>
          <w:szCs w:val="20"/>
        </w:rPr>
        <w:t xml:space="preserve"> </w:t>
      </w:r>
      <w:r w:rsidRPr="00265307">
        <w:rPr>
          <w:szCs w:val="20"/>
        </w:rPr>
        <w:t>ensur</w:t>
      </w:r>
      <w:r>
        <w:rPr>
          <w:szCs w:val="20"/>
        </w:rPr>
        <w:t xml:space="preserve">e </w:t>
      </w:r>
      <w:r w:rsidRPr="00265307">
        <w:rPr>
          <w:szCs w:val="20"/>
        </w:rPr>
        <w:t xml:space="preserve">uniform and consistent application of the rules </w:t>
      </w:r>
      <w:r>
        <w:rPr>
          <w:szCs w:val="20"/>
        </w:rPr>
        <w:t xml:space="preserve">by the </w:t>
      </w:r>
      <w:r w:rsidRPr="00265307">
        <w:rPr>
          <w:szCs w:val="20"/>
        </w:rPr>
        <w:t>AIFMs (</w:t>
      </w:r>
      <w:r>
        <w:rPr>
          <w:szCs w:val="20"/>
        </w:rPr>
        <w:t>who</w:t>
      </w:r>
      <w:r w:rsidRPr="00265307">
        <w:rPr>
          <w:szCs w:val="20"/>
        </w:rPr>
        <w:t xml:space="preserve"> are ultimately responsible for the compliance with the AIFMD rules,</w:t>
      </w:r>
      <w:r>
        <w:rPr>
          <w:szCs w:val="20"/>
        </w:rPr>
        <w:t xml:space="preserve"> </w:t>
      </w:r>
      <w:r w:rsidRPr="00265307">
        <w:rPr>
          <w:szCs w:val="20"/>
        </w:rPr>
        <w:t xml:space="preserve">as stated out by the ESMA consultation paper) and </w:t>
      </w:r>
      <w:r>
        <w:rPr>
          <w:szCs w:val="20"/>
        </w:rPr>
        <w:t xml:space="preserve">the </w:t>
      </w:r>
      <w:r w:rsidRPr="00265307">
        <w:rPr>
          <w:szCs w:val="20"/>
        </w:rPr>
        <w:t>depositaries.</w:t>
      </w:r>
    </w:p>
    <w:p w:rsidR="00482C81" w:rsidRDefault="00482C81" w:rsidP="00482C81">
      <w:pPr>
        <w:rPr>
          <w:szCs w:val="20"/>
        </w:rPr>
      </w:pPr>
      <w:r>
        <w:rPr>
          <w:szCs w:val="20"/>
        </w:rPr>
        <w:t>D</w:t>
      </w:r>
      <w:r w:rsidRPr="009707CF">
        <w:rPr>
          <w:szCs w:val="20"/>
        </w:rPr>
        <w:t>ivergent interpretations of AIFMD</w:t>
      </w:r>
      <w:r>
        <w:rPr>
          <w:szCs w:val="20"/>
        </w:rPr>
        <w:t xml:space="preserve"> requirements for the </w:t>
      </w:r>
      <w:r w:rsidRPr="009707CF">
        <w:rPr>
          <w:szCs w:val="20"/>
        </w:rPr>
        <w:t xml:space="preserve">segregation of </w:t>
      </w:r>
      <w:r>
        <w:rPr>
          <w:szCs w:val="20"/>
        </w:rPr>
        <w:t xml:space="preserve">assets are the cause for </w:t>
      </w:r>
      <w:r w:rsidRPr="009707CF">
        <w:rPr>
          <w:szCs w:val="20"/>
        </w:rPr>
        <w:t>an un-level playing field among depositaries</w:t>
      </w:r>
      <w:r>
        <w:rPr>
          <w:szCs w:val="20"/>
        </w:rPr>
        <w:t xml:space="preserve">. As a result a depositary compliant with the segregation requirements is disadvantaged as it is not selected by an AIF which appoints a prime broker or a collateral manager not compliant with the AIFM requirements. </w:t>
      </w:r>
      <w:r w:rsidRPr="008774A9">
        <w:rPr>
          <w:szCs w:val="20"/>
        </w:rPr>
        <w:t xml:space="preserve">Therefore a </w:t>
      </w:r>
      <w:r>
        <w:rPr>
          <w:szCs w:val="20"/>
        </w:rPr>
        <w:t>prompt</w:t>
      </w:r>
      <w:r w:rsidRPr="008774A9">
        <w:rPr>
          <w:szCs w:val="20"/>
        </w:rPr>
        <w:t xml:space="preserve"> publication </w:t>
      </w:r>
      <w:r>
        <w:rPr>
          <w:szCs w:val="20"/>
        </w:rPr>
        <w:t xml:space="preserve">and implementation </w:t>
      </w:r>
      <w:r w:rsidRPr="008774A9">
        <w:rPr>
          <w:szCs w:val="20"/>
        </w:rPr>
        <w:t>of ESMA guideline</w:t>
      </w:r>
      <w:r>
        <w:rPr>
          <w:szCs w:val="20"/>
        </w:rPr>
        <w:t>s</w:t>
      </w:r>
      <w:r w:rsidRPr="008774A9">
        <w:rPr>
          <w:szCs w:val="20"/>
        </w:rPr>
        <w:t xml:space="preserve"> is needed in order to ensure a harmonized implementation and a</w:t>
      </w:r>
      <w:r>
        <w:rPr>
          <w:szCs w:val="20"/>
        </w:rPr>
        <w:t xml:space="preserve"> </w:t>
      </w:r>
      <w:r w:rsidRPr="008774A9">
        <w:rPr>
          <w:szCs w:val="20"/>
        </w:rPr>
        <w:t xml:space="preserve">level-playing field </w:t>
      </w:r>
      <w:r>
        <w:rPr>
          <w:szCs w:val="20"/>
        </w:rPr>
        <w:t>for</w:t>
      </w:r>
      <w:r w:rsidRPr="008774A9">
        <w:rPr>
          <w:szCs w:val="20"/>
        </w:rPr>
        <w:t xml:space="preserve"> market players. In addition, </w:t>
      </w:r>
      <w:r>
        <w:rPr>
          <w:szCs w:val="20"/>
        </w:rPr>
        <w:t>DACSI</w:t>
      </w:r>
      <w:r w:rsidRPr="008774A9">
        <w:rPr>
          <w:szCs w:val="20"/>
        </w:rPr>
        <w:t xml:space="preserve"> </w:t>
      </w:r>
      <w:r>
        <w:rPr>
          <w:szCs w:val="20"/>
        </w:rPr>
        <w:t xml:space="preserve">expects the </w:t>
      </w:r>
      <w:r w:rsidRPr="008774A9">
        <w:rPr>
          <w:szCs w:val="20"/>
        </w:rPr>
        <w:t xml:space="preserve">guidelines </w:t>
      </w:r>
      <w:r>
        <w:rPr>
          <w:szCs w:val="20"/>
        </w:rPr>
        <w:t xml:space="preserve">to </w:t>
      </w:r>
      <w:r w:rsidRPr="008774A9">
        <w:rPr>
          <w:szCs w:val="20"/>
        </w:rPr>
        <w:t>be explicit</w:t>
      </w:r>
      <w:r>
        <w:rPr>
          <w:szCs w:val="20"/>
        </w:rPr>
        <w:t xml:space="preserve"> and to be enforced consistently to AIFs and to UCITS, in the frame of the UCITS V Directive</w:t>
      </w:r>
      <w:r w:rsidRPr="008774A9">
        <w:rPr>
          <w:szCs w:val="20"/>
        </w:rPr>
        <w:t>.</w:t>
      </w:r>
    </w:p>
    <w:p w:rsidR="00482C81" w:rsidRPr="008774A9" w:rsidRDefault="00482C81" w:rsidP="00482C81">
      <w:pPr>
        <w:rPr>
          <w:szCs w:val="20"/>
        </w:rPr>
      </w:pPr>
      <w:r>
        <w:rPr>
          <w:szCs w:val="20"/>
        </w:rPr>
        <w:t>For</w:t>
      </w:r>
      <w:r w:rsidRPr="008774A9">
        <w:rPr>
          <w:szCs w:val="20"/>
        </w:rPr>
        <w:t xml:space="preserve"> the sake of clarity</w:t>
      </w:r>
      <w:r>
        <w:rPr>
          <w:szCs w:val="20"/>
        </w:rPr>
        <w:t xml:space="preserve">, we summarise our </w:t>
      </w:r>
      <w:r w:rsidRPr="008774A9">
        <w:rPr>
          <w:szCs w:val="20"/>
        </w:rPr>
        <w:t xml:space="preserve">understanding of </w:t>
      </w:r>
      <w:r>
        <w:rPr>
          <w:szCs w:val="20"/>
        </w:rPr>
        <w:t xml:space="preserve">(the contrast between) </w:t>
      </w:r>
      <w:r w:rsidRPr="008774A9">
        <w:rPr>
          <w:szCs w:val="20"/>
        </w:rPr>
        <w:t>option</w:t>
      </w:r>
      <w:r>
        <w:rPr>
          <w:szCs w:val="20"/>
        </w:rPr>
        <w:t>s</w:t>
      </w:r>
      <w:r w:rsidRPr="008774A9">
        <w:rPr>
          <w:szCs w:val="20"/>
        </w:rPr>
        <w:t xml:space="preserve"> 1 and 2</w:t>
      </w:r>
      <w:r>
        <w:rPr>
          <w:szCs w:val="20"/>
        </w:rPr>
        <w:t xml:space="preserve"> starting with a picture: </w:t>
      </w:r>
    </w:p>
    <w:p w:rsidR="00BE00E5" w:rsidRPr="008774A9" w:rsidRDefault="006A010A" w:rsidP="007A4F76">
      <w:pPr>
        <w:jc w:val="center"/>
        <w:rPr>
          <w:szCs w:val="20"/>
        </w:rPr>
      </w:pPr>
      <w:r>
        <w:rPr>
          <w:noProof/>
          <w:szCs w:val="20"/>
          <w:lang w:val="nl-NL" w:eastAsia="nl-NL"/>
        </w:rPr>
        <w:drawing>
          <wp:inline distT="0" distB="0" distL="0" distR="0">
            <wp:extent cx="4864568" cy="4441979"/>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3975" cy="4450569"/>
                    </a:xfrm>
                    <a:prstGeom prst="rect">
                      <a:avLst/>
                    </a:prstGeom>
                    <a:noFill/>
                  </pic:spPr>
                </pic:pic>
              </a:graphicData>
            </a:graphic>
          </wp:inline>
        </w:drawing>
      </w:r>
    </w:p>
    <w:p w:rsidR="00482C81" w:rsidRPr="007A4F76" w:rsidRDefault="00482C81" w:rsidP="00482C81">
      <w:pPr>
        <w:rPr>
          <w:rFonts w:cstheme="minorHAnsi"/>
          <w:szCs w:val="20"/>
          <w:lang w:val="en-US"/>
        </w:rPr>
      </w:pPr>
      <w:proofErr w:type="gramStart"/>
      <w:r w:rsidRPr="007A4F76">
        <w:rPr>
          <w:rFonts w:cstheme="minorHAnsi"/>
          <w:szCs w:val="20"/>
          <w:lang w:val="en-US"/>
        </w:rPr>
        <w:lastRenderedPageBreak/>
        <w:t>Option</w:t>
      </w:r>
      <w:r>
        <w:rPr>
          <w:rFonts w:cstheme="minorHAnsi"/>
          <w:szCs w:val="20"/>
          <w:lang w:val="en-US"/>
        </w:rPr>
        <w:t>s</w:t>
      </w:r>
      <w:r w:rsidRPr="007A4F76">
        <w:rPr>
          <w:rFonts w:cstheme="minorHAnsi"/>
          <w:szCs w:val="20"/>
          <w:lang w:val="en-US"/>
        </w:rPr>
        <w:t xml:space="preserve"> 1 and 2 lead to the same operational </w:t>
      </w:r>
      <w:r>
        <w:rPr>
          <w:rFonts w:cstheme="minorHAnsi"/>
          <w:szCs w:val="20"/>
          <w:lang w:val="en-US"/>
        </w:rPr>
        <w:t xml:space="preserve">and legal </w:t>
      </w:r>
      <w:r w:rsidRPr="007A4F76">
        <w:rPr>
          <w:rFonts w:cstheme="minorHAnsi"/>
          <w:szCs w:val="20"/>
          <w:lang w:val="en-US"/>
        </w:rPr>
        <w:t>outcome at the first level of delegation in the custody chain.</w:t>
      </w:r>
      <w:proofErr w:type="gramEnd"/>
      <w:r w:rsidRPr="007A4F76">
        <w:rPr>
          <w:rFonts w:cstheme="minorHAnsi"/>
          <w:szCs w:val="20"/>
          <w:lang w:val="en-US"/>
        </w:rPr>
        <w:t xml:space="preserve"> Indeed article 21(11)(d)(iii) </w:t>
      </w:r>
      <w:r>
        <w:rPr>
          <w:rFonts w:cstheme="minorHAnsi"/>
          <w:szCs w:val="20"/>
          <w:lang w:val="en-US"/>
        </w:rPr>
        <w:t xml:space="preserve">of the </w:t>
      </w:r>
      <w:r w:rsidRPr="007A4F76">
        <w:rPr>
          <w:rFonts w:cstheme="minorHAnsi"/>
          <w:szCs w:val="20"/>
          <w:lang w:val="en-US"/>
        </w:rPr>
        <w:t xml:space="preserve">AIFMD requires that </w:t>
      </w:r>
      <w:r w:rsidRPr="007A4F76">
        <w:rPr>
          <w:rFonts w:cstheme="minorHAnsi"/>
          <w:color w:val="000000"/>
          <w:szCs w:val="20"/>
          <w:lang w:val="en-US" w:eastAsia="en-GB"/>
        </w:rPr>
        <w:t xml:space="preserve">“the third party segregates the assets of the depositary’s clients from its own assets and from the assets of the depositary in such a way that they can at any time be clearly identified as belonging to clients </w:t>
      </w:r>
      <w:r w:rsidRPr="004F5F3C">
        <w:rPr>
          <w:rFonts w:cstheme="minorHAnsi"/>
          <w:b/>
          <w:color w:val="000000"/>
          <w:szCs w:val="20"/>
          <w:lang w:val="en-US" w:eastAsia="en-GB"/>
        </w:rPr>
        <w:t>of a particular depositary</w:t>
      </w:r>
      <w:r w:rsidRPr="004F5F3C">
        <w:rPr>
          <w:rFonts w:cstheme="minorHAnsi"/>
          <w:color w:val="000000"/>
          <w:szCs w:val="20"/>
          <w:lang w:val="en-US" w:eastAsia="en-GB"/>
        </w:rPr>
        <w:t>.</w:t>
      </w:r>
      <w:r>
        <w:rPr>
          <w:rFonts w:cstheme="minorHAnsi"/>
          <w:color w:val="000000"/>
          <w:szCs w:val="20"/>
          <w:lang w:val="en-US" w:eastAsia="en-GB"/>
        </w:rPr>
        <w:t>”</w:t>
      </w:r>
      <w:r w:rsidRPr="007A4F76">
        <w:rPr>
          <w:rFonts w:cstheme="minorHAnsi"/>
          <w:color w:val="000000"/>
          <w:szCs w:val="20"/>
          <w:lang w:val="en-US" w:eastAsia="en-GB"/>
        </w:rPr>
        <w:t xml:space="preserve"> </w:t>
      </w:r>
      <w:r>
        <w:rPr>
          <w:rFonts w:cstheme="minorHAnsi"/>
          <w:color w:val="000000"/>
          <w:szCs w:val="20"/>
          <w:lang w:val="en-US" w:eastAsia="en-GB"/>
        </w:rPr>
        <w:br/>
      </w:r>
      <w:r w:rsidRPr="007A4F76">
        <w:rPr>
          <w:rFonts w:cstheme="minorHAnsi"/>
          <w:color w:val="000000"/>
          <w:szCs w:val="20"/>
          <w:lang w:val="en-US" w:eastAsia="en-GB"/>
        </w:rPr>
        <w:t>Consequently</w:t>
      </w:r>
      <w:r w:rsidRPr="007A4F76">
        <w:rPr>
          <w:rFonts w:cstheme="minorHAnsi"/>
          <w:szCs w:val="20"/>
          <w:lang w:val="en-US"/>
        </w:rPr>
        <w:t xml:space="preserve">, where several </w:t>
      </w:r>
      <w:r>
        <w:rPr>
          <w:rFonts w:cstheme="minorHAnsi"/>
          <w:szCs w:val="20"/>
          <w:lang w:val="en-US"/>
        </w:rPr>
        <w:t xml:space="preserve">AIF </w:t>
      </w:r>
      <w:r w:rsidRPr="007A4F76">
        <w:rPr>
          <w:rFonts w:cstheme="minorHAnsi"/>
          <w:szCs w:val="20"/>
          <w:lang w:val="en-US"/>
        </w:rPr>
        <w:t>depositaries delegate the custody of assets to th</w:t>
      </w:r>
      <w:r>
        <w:rPr>
          <w:rFonts w:cstheme="minorHAnsi"/>
          <w:szCs w:val="20"/>
          <w:lang w:val="en-US"/>
        </w:rPr>
        <w:t>e same custodian (custodian1), c</w:t>
      </w:r>
      <w:r w:rsidRPr="007A4F76">
        <w:rPr>
          <w:rFonts w:cstheme="minorHAnsi"/>
          <w:szCs w:val="20"/>
          <w:lang w:val="en-US"/>
        </w:rPr>
        <w:t>ustodian 1 is not allowed to co-mingle assets entrusted by those depositaries in a same account, even under option 2.</w:t>
      </w:r>
    </w:p>
    <w:p w:rsidR="00482C81" w:rsidRPr="007A4F76" w:rsidRDefault="00482C81" w:rsidP="00482C81">
      <w:pPr>
        <w:rPr>
          <w:rFonts w:cstheme="minorHAnsi"/>
          <w:szCs w:val="20"/>
          <w:lang w:val="en-US"/>
        </w:rPr>
      </w:pPr>
      <w:r w:rsidRPr="007A4F76">
        <w:rPr>
          <w:rFonts w:cstheme="minorHAnsi"/>
          <w:szCs w:val="20"/>
          <w:lang w:val="en-US"/>
        </w:rPr>
        <w:t xml:space="preserve">Option 1 and option 2 </w:t>
      </w:r>
      <w:r>
        <w:rPr>
          <w:rFonts w:cstheme="minorHAnsi"/>
          <w:szCs w:val="20"/>
          <w:lang w:val="en-US"/>
        </w:rPr>
        <w:t xml:space="preserve">both </w:t>
      </w:r>
      <w:r w:rsidRPr="007A4F76">
        <w:rPr>
          <w:rFonts w:cstheme="minorHAnsi"/>
          <w:szCs w:val="20"/>
          <w:lang w:val="en-US"/>
        </w:rPr>
        <w:t>require the delegate (custodian 1) to record the assets in at least 3 different accounts for each depositary: 1</w:t>
      </w:r>
      <w:r>
        <w:rPr>
          <w:rFonts w:cstheme="minorHAnsi"/>
          <w:szCs w:val="20"/>
          <w:lang w:val="en-US"/>
        </w:rPr>
        <w:t>.</w:t>
      </w:r>
      <w:r w:rsidRPr="007A4F76">
        <w:rPr>
          <w:rFonts w:cstheme="minorHAnsi"/>
          <w:szCs w:val="20"/>
          <w:lang w:val="en-US"/>
        </w:rPr>
        <w:t xml:space="preserve"> to record the AIFs’ assets,</w:t>
      </w:r>
      <w:r>
        <w:rPr>
          <w:rFonts w:cstheme="minorHAnsi"/>
          <w:szCs w:val="20"/>
          <w:lang w:val="en-US"/>
        </w:rPr>
        <w:t xml:space="preserve"> </w:t>
      </w:r>
      <w:r w:rsidRPr="007A4F76">
        <w:rPr>
          <w:rFonts w:cstheme="minorHAnsi"/>
          <w:szCs w:val="20"/>
          <w:lang w:val="en-US"/>
        </w:rPr>
        <w:t>2</w:t>
      </w:r>
      <w:r>
        <w:rPr>
          <w:rFonts w:cstheme="minorHAnsi"/>
          <w:szCs w:val="20"/>
          <w:lang w:val="en-US"/>
        </w:rPr>
        <w:t>.</w:t>
      </w:r>
      <w:r w:rsidRPr="007A4F76">
        <w:rPr>
          <w:rFonts w:cstheme="minorHAnsi"/>
          <w:szCs w:val="20"/>
          <w:lang w:val="en-US"/>
        </w:rPr>
        <w:t xml:space="preserve"> to record other clients’ assets and</w:t>
      </w:r>
      <w:r>
        <w:rPr>
          <w:rFonts w:cstheme="minorHAnsi"/>
          <w:szCs w:val="20"/>
          <w:lang w:val="en-US"/>
        </w:rPr>
        <w:t xml:space="preserve"> </w:t>
      </w:r>
      <w:r w:rsidRPr="007A4F76">
        <w:rPr>
          <w:rFonts w:cstheme="minorHAnsi"/>
          <w:szCs w:val="20"/>
          <w:lang w:val="en-US"/>
        </w:rPr>
        <w:t>3</w:t>
      </w:r>
      <w:r>
        <w:rPr>
          <w:rFonts w:cstheme="minorHAnsi"/>
          <w:szCs w:val="20"/>
          <w:lang w:val="en-US"/>
        </w:rPr>
        <w:t>.</w:t>
      </w:r>
      <w:r w:rsidRPr="007A4F76">
        <w:rPr>
          <w:rFonts w:cstheme="minorHAnsi"/>
          <w:szCs w:val="20"/>
          <w:lang w:val="en-US"/>
        </w:rPr>
        <w:t xml:space="preserve"> </w:t>
      </w:r>
      <w:proofErr w:type="gramStart"/>
      <w:r w:rsidRPr="007A4F76">
        <w:rPr>
          <w:rFonts w:cstheme="minorHAnsi"/>
          <w:szCs w:val="20"/>
          <w:lang w:val="en-US"/>
        </w:rPr>
        <w:t>to</w:t>
      </w:r>
      <w:proofErr w:type="gramEnd"/>
      <w:r w:rsidRPr="007A4F76">
        <w:rPr>
          <w:rFonts w:cstheme="minorHAnsi"/>
          <w:szCs w:val="20"/>
          <w:lang w:val="en-US"/>
        </w:rPr>
        <w:t xml:space="preserve"> record the depositary’s own assets; </w:t>
      </w:r>
    </w:p>
    <w:p w:rsidR="00482C81" w:rsidRPr="007A4F76" w:rsidRDefault="00482C81" w:rsidP="00482C81">
      <w:pPr>
        <w:rPr>
          <w:rFonts w:cstheme="minorHAnsi"/>
          <w:szCs w:val="20"/>
        </w:rPr>
      </w:pPr>
      <w:r w:rsidRPr="007A4F76">
        <w:rPr>
          <w:rFonts w:cstheme="minorHAnsi"/>
          <w:szCs w:val="20"/>
          <w:lang w:val="en-US"/>
        </w:rPr>
        <w:t>The consequences of the 2 different set-ups (o</w:t>
      </w:r>
      <w:proofErr w:type="spellStart"/>
      <w:r w:rsidRPr="007A4F76">
        <w:rPr>
          <w:rFonts w:cstheme="minorHAnsi"/>
          <w:szCs w:val="20"/>
        </w:rPr>
        <w:t>ption</w:t>
      </w:r>
      <w:proofErr w:type="spellEnd"/>
      <w:r w:rsidRPr="007A4F76">
        <w:rPr>
          <w:rFonts w:cstheme="minorHAnsi"/>
          <w:szCs w:val="20"/>
        </w:rPr>
        <w:t xml:space="preserve"> 1 </w:t>
      </w:r>
      <w:r>
        <w:rPr>
          <w:rFonts w:cstheme="minorHAnsi"/>
          <w:szCs w:val="20"/>
        </w:rPr>
        <w:t>versus</w:t>
      </w:r>
      <w:r w:rsidRPr="007A4F76">
        <w:rPr>
          <w:rFonts w:cstheme="minorHAnsi"/>
          <w:szCs w:val="20"/>
        </w:rPr>
        <w:t xml:space="preserve"> option 2) materialise at the second (and, should the case occur, subsequent further) level(s) in the custody chain:</w:t>
      </w:r>
    </w:p>
    <w:p w:rsidR="00482C81" w:rsidRDefault="00482C81" w:rsidP="00482C81">
      <w:pPr>
        <w:numPr>
          <w:ilvl w:val="0"/>
          <w:numId w:val="11"/>
        </w:numPr>
        <w:spacing w:after="0" w:line="240" w:lineRule="auto"/>
        <w:rPr>
          <w:szCs w:val="20"/>
        </w:rPr>
      </w:pPr>
      <w:r>
        <w:rPr>
          <w:szCs w:val="20"/>
        </w:rPr>
        <w:t>o</w:t>
      </w:r>
      <w:r w:rsidRPr="008774A9">
        <w:rPr>
          <w:szCs w:val="20"/>
        </w:rPr>
        <w:t>ption 1 require</w:t>
      </w:r>
      <w:r>
        <w:rPr>
          <w:szCs w:val="20"/>
        </w:rPr>
        <w:t xml:space="preserve">s that </w:t>
      </w:r>
      <w:r w:rsidRPr="008774A9">
        <w:rPr>
          <w:szCs w:val="20"/>
        </w:rPr>
        <w:t>custodian 2</w:t>
      </w:r>
      <w:r>
        <w:rPr>
          <w:szCs w:val="20"/>
        </w:rPr>
        <w:t xml:space="preserve"> - as delegate </w:t>
      </w:r>
      <w:r w:rsidRPr="008774A9">
        <w:rPr>
          <w:szCs w:val="20"/>
        </w:rPr>
        <w:t xml:space="preserve">of custodian 1 </w:t>
      </w:r>
      <w:r>
        <w:rPr>
          <w:szCs w:val="20"/>
        </w:rPr>
        <w:t xml:space="preserve">- segregates the assets </w:t>
      </w:r>
      <w:r w:rsidRPr="00500B9B">
        <w:rPr>
          <w:b/>
          <w:szCs w:val="20"/>
        </w:rPr>
        <w:t>of each delegator</w:t>
      </w:r>
      <w:r>
        <w:rPr>
          <w:szCs w:val="20"/>
        </w:rPr>
        <w:t xml:space="preserve"> (i.e. depositary), in at least 3 </w:t>
      </w:r>
      <w:r w:rsidRPr="008774A9">
        <w:rPr>
          <w:szCs w:val="20"/>
        </w:rPr>
        <w:t xml:space="preserve">different accounts: </w:t>
      </w:r>
    </w:p>
    <w:p w:rsidR="00482C81" w:rsidRDefault="00482C81" w:rsidP="00482C81">
      <w:pPr>
        <w:numPr>
          <w:ilvl w:val="1"/>
          <w:numId w:val="12"/>
        </w:numPr>
        <w:spacing w:after="0" w:line="240" w:lineRule="auto"/>
        <w:rPr>
          <w:szCs w:val="20"/>
        </w:rPr>
      </w:pPr>
      <w:r>
        <w:rPr>
          <w:szCs w:val="20"/>
        </w:rPr>
        <w:t xml:space="preserve"> </w:t>
      </w:r>
      <w:r w:rsidRPr="008C34F3">
        <w:rPr>
          <w:szCs w:val="20"/>
        </w:rPr>
        <w:t>to</w:t>
      </w:r>
      <w:r>
        <w:rPr>
          <w:szCs w:val="20"/>
        </w:rPr>
        <w:t xml:space="preserve"> </w:t>
      </w:r>
      <w:r w:rsidRPr="008C34F3">
        <w:rPr>
          <w:szCs w:val="20"/>
        </w:rPr>
        <w:t>record</w:t>
      </w:r>
      <w:r>
        <w:rPr>
          <w:szCs w:val="20"/>
        </w:rPr>
        <w:t xml:space="preserve"> </w:t>
      </w:r>
      <w:r w:rsidRPr="008C34F3">
        <w:rPr>
          <w:szCs w:val="20"/>
        </w:rPr>
        <w:t>AIFs’ assets,</w:t>
      </w:r>
    </w:p>
    <w:p w:rsidR="00482C81" w:rsidRDefault="00482C81" w:rsidP="00482C81">
      <w:pPr>
        <w:numPr>
          <w:ilvl w:val="1"/>
          <w:numId w:val="12"/>
        </w:numPr>
        <w:spacing w:after="0" w:line="240" w:lineRule="auto"/>
        <w:rPr>
          <w:szCs w:val="20"/>
        </w:rPr>
      </w:pPr>
      <w:r>
        <w:rPr>
          <w:szCs w:val="20"/>
        </w:rPr>
        <w:t xml:space="preserve"> </w:t>
      </w:r>
      <w:r w:rsidRPr="008C34F3">
        <w:rPr>
          <w:szCs w:val="20"/>
        </w:rPr>
        <w:t>to record</w:t>
      </w:r>
      <w:r>
        <w:rPr>
          <w:szCs w:val="20"/>
        </w:rPr>
        <w:t xml:space="preserve"> </w:t>
      </w:r>
      <w:r w:rsidRPr="008C34F3">
        <w:rPr>
          <w:szCs w:val="20"/>
        </w:rPr>
        <w:t>other clients</w:t>
      </w:r>
      <w:r>
        <w:rPr>
          <w:szCs w:val="20"/>
        </w:rPr>
        <w:t xml:space="preserve">’ </w:t>
      </w:r>
      <w:r w:rsidRPr="008C34F3">
        <w:rPr>
          <w:szCs w:val="20"/>
        </w:rPr>
        <w:t>assets</w:t>
      </w:r>
      <w:r>
        <w:rPr>
          <w:szCs w:val="20"/>
        </w:rPr>
        <w:t xml:space="preserve">, </w:t>
      </w:r>
      <w:r w:rsidRPr="008C34F3">
        <w:rPr>
          <w:szCs w:val="20"/>
        </w:rPr>
        <w:t>and</w:t>
      </w:r>
    </w:p>
    <w:p w:rsidR="00482C81" w:rsidRPr="008C34F3" w:rsidRDefault="00482C81" w:rsidP="00482C81">
      <w:pPr>
        <w:numPr>
          <w:ilvl w:val="1"/>
          <w:numId w:val="12"/>
        </w:numPr>
        <w:spacing w:after="0" w:line="240" w:lineRule="auto"/>
        <w:rPr>
          <w:szCs w:val="20"/>
        </w:rPr>
      </w:pPr>
      <w:r w:rsidRPr="008C34F3">
        <w:rPr>
          <w:szCs w:val="20"/>
        </w:rPr>
        <w:t xml:space="preserve"> </w:t>
      </w:r>
      <w:r>
        <w:rPr>
          <w:szCs w:val="20"/>
        </w:rPr>
        <w:t>t</w:t>
      </w:r>
      <w:r w:rsidRPr="008C34F3">
        <w:rPr>
          <w:szCs w:val="20"/>
        </w:rPr>
        <w:t>o record depositary</w:t>
      </w:r>
      <w:r>
        <w:rPr>
          <w:szCs w:val="20"/>
        </w:rPr>
        <w:t xml:space="preserve"> </w:t>
      </w:r>
      <w:r w:rsidRPr="008C34F3">
        <w:rPr>
          <w:szCs w:val="20"/>
        </w:rPr>
        <w:t>1’</w:t>
      </w:r>
      <w:r>
        <w:rPr>
          <w:szCs w:val="20"/>
        </w:rPr>
        <w:t xml:space="preserve"> </w:t>
      </w:r>
      <w:r w:rsidRPr="008C34F3">
        <w:rPr>
          <w:szCs w:val="20"/>
        </w:rPr>
        <w:t>s own assets</w:t>
      </w:r>
      <w:r>
        <w:rPr>
          <w:szCs w:val="20"/>
        </w:rPr>
        <w:t>;</w:t>
      </w:r>
      <w:r w:rsidRPr="008C34F3">
        <w:rPr>
          <w:szCs w:val="20"/>
        </w:rPr>
        <w:t xml:space="preserve"> </w:t>
      </w:r>
    </w:p>
    <w:p w:rsidR="00482C81" w:rsidRPr="00375C63" w:rsidRDefault="00482C81" w:rsidP="00482C81">
      <w:pPr>
        <w:numPr>
          <w:ilvl w:val="0"/>
          <w:numId w:val="11"/>
        </w:numPr>
        <w:spacing w:after="0" w:line="240" w:lineRule="auto"/>
        <w:rPr>
          <w:szCs w:val="20"/>
        </w:rPr>
      </w:pPr>
      <w:proofErr w:type="gramStart"/>
      <w:r>
        <w:rPr>
          <w:szCs w:val="20"/>
        </w:rPr>
        <w:t>o</w:t>
      </w:r>
      <w:r w:rsidRPr="00375C63">
        <w:rPr>
          <w:szCs w:val="20"/>
        </w:rPr>
        <w:t>ption</w:t>
      </w:r>
      <w:proofErr w:type="gramEnd"/>
      <w:r w:rsidRPr="00375C63">
        <w:rPr>
          <w:szCs w:val="20"/>
        </w:rPr>
        <w:t xml:space="preserve"> 2 requires custodian 2 to record the assets entrusted by custodian 1 in 3 different accounts: one to record </w:t>
      </w:r>
      <w:r>
        <w:rPr>
          <w:szCs w:val="20"/>
        </w:rPr>
        <w:t>AIFs’ assets</w:t>
      </w:r>
      <w:r w:rsidRPr="00375C63">
        <w:rPr>
          <w:szCs w:val="20"/>
        </w:rPr>
        <w:t xml:space="preserve">, other clients’ assets and another one to record custodian 1’ s own assets. </w:t>
      </w:r>
    </w:p>
    <w:p w:rsidR="00482C81" w:rsidRPr="008774A9" w:rsidRDefault="00482C81" w:rsidP="00482C81">
      <w:pPr>
        <w:rPr>
          <w:szCs w:val="20"/>
        </w:rPr>
      </w:pPr>
    </w:p>
    <w:p w:rsidR="00482C81" w:rsidRDefault="00482C81" w:rsidP="00482C81">
      <w:pPr>
        <w:rPr>
          <w:szCs w:val="20"/>
        </w:rPr>
      </w:pPr>
      <w:r>
        <w:rPr>
          <w:szCs w:val="20"/>
        </w:rPr>
        <w:t xml:space="preserve">Provided that the proper legal protection is applicable to the segregation arrangements, options 1 and 2 are </w:t>
      </w:r>
      <w:bookmarkStart w:id="3" w:name="_GoBack"/>
      <w:bookmarkEnd w:id="3"/>
      <w:r>
        <w:rPr>
          <w:szCs w:val="20"/>
        </w:rPr>
        <w:t xml:space="preserve">equivalent, as AIFs are in all circumstances identified and ring-fenced from the depositary’s and its delegates’ own assets. </w:t>
      </w:r>
    </w:p>
    <w:p w:rsidR="00482C81" w:rsidRDefault="00482C81" w:rsidP="00482C81">
      <w:pPr>
        <w:rPr>
          <w:szCs w:val="20"/>
        </w:rPr>
      </w:pPr>
      <w:r w:rsidRPr="009879FC">
        <w:rPr>
          <w:szCs w:val="20"/>
        </w:rPr>
        <w:t xml:space="preserve">The operational cost </w:t>
      </w:r>
      <w:r>
        <w:rPr>
          <w:szCs w:val="20"/>
        </w:rPr>
        <w:t>of</w:t>
      </w:r>
      <w:r w:rsidRPr="009879FC">
        <w:rPr>
          <w:szCs w:val="20"/>
        </w:rPr>
        <w:t xml:space="preserve"> be</w:t>
      </w:r>
      <w:r>
        <w:rPr>
          <w:szCs w:val="20"/>
        </w:rPr>
        <w:t>ing</w:t>
      </w:r>
      <w:r w:rsidRPr="009879FC">
        <w:rPr>
          <w:szCs w:val="20"/>
        </w:rPr>
        <w:t xml:space="preserve"> compliant with </w:t>
      </w:r>
      <w:r>
        <w:rPr>
          <w:szCs w:val="20"/>
        </w:rPr>
        <w:t>option 1 would be significantly higher than those for option 2 as it would require a higher degree of segregation of accounts at the second level of the custody chain and beyond</w:t>
      </w:r>
      <w:r w:rsidRPr="008774A9">
        <w:rPr>
          <w:szCs w:val="20"/>
        </w:rPr>
        <w:t>.</w:t>
      </w:r>
      <w:r w:rsidDel="00DB1C28">
        <w:rPr>
          <w:szCs w:val="20"/>
        </w:rPr>
        <w:t xml:space="preserve"> </w:t>
      </w:r>
    </w:p>
    <w:p w:rsidR="00482C81" w:rsidRDefault="00482C81" w:rsidP="00482C81">
      <w:pPr>
        <w:rPr>
          <w:szCs w:val="20"/>
        </w:rPr>
      </w:pPr>
      <w:r>
        <w:rPr>
          <w:szCs w:val="20"/>
        </w:rPr>
        <w:t xml:space="preserve">Meanwhile, there is no additional value of option 1 compared to option 2 in terms of asset protection. Indeed DACSI considers that segregation should be viewed as a (useful) tool but it should be understood that segregation </w:t>
      </w:r>
      <w:r w:rsidRPr="00A71C5F">
        <w:rPr>
          <w:i/>
          <w:szCs w:val="20"/>
        </w:rPr>
        <w:t>per se</w:t>
      </w:r>
      <w:r>
        <w:rPr>
          <w:szCs w:val="20"/>
        </w:rPr>
        <w:t xml:space="preserve"> does not suffice to achieve the ultimate objective of legal protection of the assets in custody. Indeed, legal protection for assets in custody against insolvency is subject to the existence of a clear and unchallengeable legal environment in the location where the assets are held in custody.</w:t>
      </w:r>
    </w:p>
    <w:p w:rsidR="00482C81" w:rsidRDefault="00482C81" w:rsidP="00482C81">
      <w:pPr>
        <w:rPr>
          <w:szCs w:val="20"/>
        </w:rPr>
      </w:pPr>
      <w:r>
        <w:rPr>
          <w:szCs w:val="20"/>
        </w:rPr>
        <w:t>On the other hand, implementing option 1 would increase the operational risk: when in a case of a custodian’s default a multitude of accounts is to be separated (and ported)</w:t>
      </w:r>
      <w:r>
        <w:rPr>
          <w:szCs w:val="20"/>
        </w:rPr>
        <w:t xml:space="preserve"> </w:t>
      </w:r>
      <w:r>
        <w:rPr>
          <w:szCs w:val="20"/>
        </w:rPr>
        <w:t>- in contrast to a limited number of omnibus accounts -, the possibilities of operational mistakes with material effects are proportionately higher.</w:t>
      </w:r>
    </w:p>
    <w:p w:rsidR="00482C81" w:rsidRDefault="00482C81" w:rsidP="00482C81">
      <w:pPr>
        <w:rPr>
          <w:szCs w:val="20"/>
        </w:rPr>
      </w:pPr>
      <w:r w:rsidRPr="008774A9">
        <w:rPr>
          <w:szCs w:val="20"/>
        </w:rPr>
        <w:t xml:space="preserve">This is the reason why we prefer option 2, which is compatible with the provisions of AIFMD and its implementing measures. </w:t>
      </w:r>
    </w:p>
    <w:p w:rsidR="00BE00E5" w:rsidRDefault="003D3817" w:rsidP="00BE00E5">
      <w:r>
        <w:t xml:space="preserve"> </w:t>
      </w:r>
      <w:r w:rsidR="00BE00E5">
        <w:t>&lt;ESMA_QUESTION_G_AIFMD_1&gt;</w:t>
      </w:r>
    </w:p>
    <w:p w:rsidR="00BE00E5" w:rsidRDefault="00BE00E5" w:rsidP="00BE00E5">
      <w:pPr>
        <w:pStyle w:val="Heading5"/>
        <w:rPr>
          <w:rFonts w:eastAsia="Calibri"/>
        </w:rPr>
      </w:pPr>
      <w:r w:rsidRPr="00F97473">
        <w:rPr>
          <w:rFonts w:eastAsia="Calibri"/>
        </w:rPr>
        <w:t>Would you suggest any alternative option</w:t>
      </w:r>
      <w:r>
        <w:rPr>
          <w:rFonts w:eastAsia="Calibri"/>
        </w:rPr>
        <w:t xml:space="preserve"> which is compatible with the AIFMD and its implementing measures</w:t>
      </w:r>
      <w:r w:rsidRPr="00F97473">
        <w:rPr>
          <w:rFonts w:eastAsia="Calibri"/>
        </w:rPr>
        <w:t>? If yes, please provide details.</w:t>
      </w:r>
    </w:p>
    <w:p w:rsidR="00BE00E5" w:rsidRDefault="00BE00E5" w:rsidP="00BE00E5"/>
    <w:p w:rsidR="00BE00E5" w:rsidRDefault="00BE00E5" w:rsidP="00BE00E5">
      <w:r>
        <w:t>&lt;ESMA_QUESTION_G_AIFMD_2&gt;</w:t>
      </w:r>
    </w:p>
    <w:p w:rsidR="00CC7AC8" w:rsidRDefault="00CC7AC8" w:rsidP="00CC7AC8">
      <w:r>
        <w:lastRenderedPageBreak/>
        <w:t>In our view there is no other relevant option that would be compliant with the level 1 text and the level 2 text of AIFMD on the segregation of AIFs’ assets from other assets all along the custody chain.</w:t>
      </w:r>
    </w:p>
    <w:p w:rsidR="00BE00E5" w:rsidRDefault="00BE00E5" w:rsidP="00BE00E5">
      <w:r>
        <w:t>&lt;ESMA_QUESTION_G_AIFMD_2&gt;</w:t>
      </w:r>
    </w:p>
    <w:p w:rsidR="00BE00E5" w:rsidRDefault="00BE00E5" w:rsidP="00BE00E5">
      <w:pPr>
        <w:pStyle w:val="Heading5"/>
        <w:rPr>
          <w:rFonts w:eastAsia="Calibri"/>
        </w:rPr>
      </w:pPr>
      <w:r w:rsidRPr="008843B7">
        <w:rPr>
          <w:rFonts w:eastAsia="Calibri"/>
        </w:rPr>
        <w:t xml:space="preserve">Do you have knowledge of the impact that each of the two options identified would have </w:t>
      </w:r>
      <w:r>
        <w:rPr>
          <w:rFonts w:eastAsia="Calibri"/>
        </w:rPr>
        <w:t xml:space="preserve">on your business in terms of restructuring of existing delegation arrangements in Europe and third countries? Please quantify the </w:t>
      </w:r>
      <w:r w:rsidRPr="009A67EC">
        <w:rPr>
          <w:rFonts w:eastAsia="Calibri"/>
        </w:rPr>
        <w:t xml:space="preserve">one-off and ongoing costs as well as the type of </w:t>
      </w:r>
      <w:r>
        <w:rPr>
          <w:rFonts w:eastAsia="Calibri"/>
        </w:rPr>
        <w:t>costs for each of the two options or any alternative option that you may prefer.</w:t>
      </w:r>
    </w:p>
    <w:p w:rsidR="00BE00E5" w:rsidRDefault="00BE00E5" w:rsidP="00BE00E5"/>
    <w:p w:rsidR="00BE00E5" w:rsidRDefault="00BE00E5" w:rsidP="00BE00E5">
      <w:r>
        <w:t>&lt;ESMA_QUESTION_G_AIFMD_3&gt;</w:t>
      </w:r>
    </w:p>
    <w:p w:rsidR="00CC7AC8" w:rsidRDefault="00CC7AC8" w:rsidP="00CC7AC8">
      <w:r>
        <w:t>The account structure required by option 2 is already practice in many markets, including ours. Hence, there are no implementation costs for option 2.</w:t>
      </w:r>
    </w:p>
    <w:p w:rsidR="00CC7AC8" w:rsidRDefault="00CC7AC8" w:rsidP="00CC7AC8">
      <w:r>
        <w:t>Option 1 would require that existing delegation arrangements are amended and that a multitude of securities accounts is opened and maintained.</w:t>
      </w:r>
    </w:p>
    <w:p w:rsidR="00BE00E5" w:rsidRDefault="00BE00E5" w:rsidP="00BE00E5">
      <w:r>
        <w:t>&lt;ESMA_QUESTION_G_AIFMD_3&gt;</w:t>
      </w:r>
    </w:p>
    <w:p w:rsidR="00BE00E5" w:rsidRPr="004B6E18" w:rsidRDefault="00BE00E5" w:rsidP="00BE00E5">
      <w:pPr>
        <w:pStyle w:val="Heading5"/>
        <w:rPr>
          <w:rFonts w:eastAsia="Calibri"/>
        </w:rPr>
      </w:pPr>
      <w:r>
        <w:rPr>
          <w:rFonts w:eastAsia="Calibri"/>
        </w:rPr>
        <w:t>Do you see merit in foreseeing a specific treatment for certain types of arrangement (e.g. collateral management arrangements)? If yes, please specify how your proposal would ensure compliance with the relevant requirements of the AIFMD and Level 2 Regulation.</w:t>
      </w:r>
    </w:p>
    <w:p w:rsidR="00BE00E5" w:rsidRDefault="00BE00E5" w:rsidP="00BE00E5"/>
    <w:p w:rsidR="001A062D" w:rsidRDefault="00BE00E5" w:rsidP="009D1CEA">
      <w:r>
        <w:t>&lt;ESMA_QUESTION_G_AIFMD_4&gt;</w:t>
      </w:r>
    </w:p>
    <w:p w:rsidR="00CC7AC8" w:rsidRDefault="00CC7AC8" w:rsidP="00CC7AC8">
      <w:r>
        <w:t>No, we do not see arguments to create exceptions for certain types of arrangements.</w:t>
      </w:r>
    </w:p>
    <w:p w:rsidR="00CC7AC8" w:rsidRDefault="00CC7AC8" w:rsidP="00CC7AC8">
      <w:r>
        <w:t xml:space="preserve">Compliance </w:t>
      </w:r>
      <w:r>
        <w:t>with</w:t>
      </w:r>
      <w:r>
        <w:t xml:space="preserve"> AIFMD requirements is expected from all depositories and their delegates, all along the custody chain. In particular, all parties, including prime brokers, collateral managers, global custodians and CSD</w:t>
      </w:r>
      <w:r>
        <w:t>s</w:t>
      </w:r>
      <w:r>
        <w:t>/ICSD</w:t>
      </w:r>
      <w:r>
        <w:t>s</w:t>
      </w:r>
      <w:r>
        <w:t xml:space="preserve"> when not acting in the capacity of Notary (Issuer CSD) should comply with the same segregation arrangements.</w:t>
      </w:r>
    </w:p>
    <w:p w:rsidR="00CC7AC8" w:rsidRDefault="00CC7AC8" w:rsidP="00CC7AC8">
      <w:r>
        <w:t>The segregation of the assets, all along the custody chain, between assets belonging to AIFs and assets belonging to other customers allows:</w:t>
      </w:r>
    </w:p>
    <w:p w:rsidR="00CC7AC8" w:rsidRPr="00396B8F" w:rsidRDefault="00CC7AC8" w:rsidP="00CC7AC8">
      <w:pPr>
        <w:pStyle w:val="ListParagraph"/>
        <w:numPr>
          <w:ilvl w:val="0"/>
          <w:numId w:val="10"/>
        </w:numPr>
        <w:rPr>
          <w:rFonts w:asciiTheme="minorHAnsi" w:hAnsiTheme="minorHAnsi"/>
          <w:sz w:val="21"/>
          <w:szCs w:val="21"/>
        </w:rPr>
      </w:pPr>
      <w:r>
        <w:rPr>
          <w:rFonts w:asciiTheme="minorHAnsi" w:hAnsiTheme="minorHAnsi"/>
          <w:sz w:val="21"/>
          <w:szCs w:val="21"/>
        </w:rPr>
        <w:t>t</w:t>
      </w:r>
      <w:r w:rsidRPr="00396B8F">
        <w:rPr>
          <w:rFonts w:asciiTheme="minorHAnsi" w:hAnsiTheme="minorHAnsi"/>
          <w:sz w:val="21"/>
          <w:szCs w:val="21"/>
        </w:rPr>
        <w:t>o check that the specific rules, to which they are subject, are actually applied in accordance with the detailed requirements of AIFM</w:t>
      </w:r>
      <w:r>
        <w:rPr>
          <w:rFonts w:asciiTheme="minorHAnsi" w:hAnsiTheme="minorHAnsi"/>
          <w:sz w:val="21"/>
          <w:szCs w:val="21"/>
        </w:rPr>
        <w:t>D</w:t>
      </w:r>
      <w:r w:rsidRPr="00396B8F">
        <w:rPr>
          <w:rFonts w:asciiTheme="minorHAnsi" w:hAnsiTheme="minorHAnsi"/>
          <w:sz w:val="21"/>
          <w:szCs w:val="21"/>
        </w:rPr>
        <w:t xml:space="preserve"> level 2 text,</w:t>
      </w:r>
    </w:p>
    <w:p w:rsidR="00CC7AC8" w:rsidRPr="00396B8F" w:rsidRDefault="00CC7AC8" w:rsidP="00CC7AC8">
      <w:pPr>
        <w:pStyle w:val="ListParagraph"/>
        <w:numPr>
          <w:ilvl w:val="0"/>
          <w:numId w:val="10"/>
        </w:numPr>
        <w:rPr>
          <w:rFonts w:asciiTheme="minorHAnsi" w:hAnsiTheme="minorHAnsi"/>
          <w:sz w:val="21"/>
          <w:szCs w:val="21"/>
        </w:rPr>
      </w:pPr>
      <w:proofErr w:type="gramStart"/>
      <w:r>
        <w:rPr>
          <w:rFonts w:asciiTheme="minorHAnsi" w:hAnsiTheme="minorHAnsi"/>
          <w:sz w:val="21"/>
          <w:szCs w:val="21"/>
        </w:rPr>
        <w:t>t</w:t>
      </w:r>
      <w:r w:rsidRPr="00396B8F">
        <w:rPr>
          <w:rFonts w:asciiTheme="minorHAnsi" w:hAnsiTheme="minorHAnsi"/>
          <w:sz w:val="21"/>
          <w:szCs w:val="21"/>
        </w:rPr>
        <w:t>he</w:t>
      </w:r>
      <w:proofErr w:type="gramEnd"/>
      <w:r w:rsidRPr="00396B8F">
        <w:rPr>
          <w:rFonts w:asciiTheme="minorHAnsi" w:hAnsiTheme="minorHAnsi"/>
          <w:sz w:val="21"/>
          <w:szCs w:val="21"/>
        </w:rPr>
        <w:t xml:space="preserve"> liquidator of a custodian to quickly identify these assets as belonging to alternative collective investment funds and to authorize their return more quickly, in case of bankruptcy of this custodian.</w:t>
      </w:r>
    </w:p>
    <w:p w:rsidR="00CC7AC8" w:rsidRDefault="00CC7AC8" w:rsidP="00CC7AC8">
      <w:r>
        <w:t>In order to implement this segregation, the review of operating models can actually be done in different ways and has been implemented by some players.</w:t>
      </w:r>
    </w:p>
    <w:p w:rsidR="00CC7AC8" w:rsidRDefault="00CC7AC8" w:rsidP="00CC7AC8">
      <w:r>
        <w:t>There is no need to reduce the protection of AIF’s assets and to put at risk the level playing field between players.</w:t>
      </w:r>
    </w:p>
    <w:p w:rsidR="00CC7AC8" w:rsidRDefault="00CC7AC8" w:rsidP="00CC7AC8">
      <w:r>
        <w:t>Therefore</w:t>
      </w:r>
      <w:r>
        <w:t>,</w:t>
      </w:r>
      <w:r>
        <w:t xml:space="preserve"> no delegation for custody can be licit under AIFMD if the segregation arrangements are not in place.</w:t>
      </w:r>
    </w:p>
    <w:p w:rsidR="00BE00E5" w:rsidRDefault="00BE00E5" w:rsidP="00BE00E5">
      <w:r>
        <w:t>&lt;ESMA_QUESTION_G_AIFMD_4&gt;</w:t>
      </w:r>
    </w:p>
    <w:p w:rsidR="00BE00E5" w:rsidRPr="00D6785F" w:rsidRDefault="00BE00E5" w:rsidP="00BE00E5">
      <w:pPr>
        <w:pStyle w:val="Heading5"/>
      </w:pPr>
      <w:r w:rsidRPr="00D6785F">
        <w:lastRenderedPageBreak/>
        <w:t>Do you agree with ESMA’s approach to discard</w:t>
      </w:r>
      <w:r>
        <w:t>ing</w:t>
      </w:r>
      <w:r w:rsidRPr="00D6785F">
        <w:t xml:space="preserve"> the third</w:t>
      </w:r>
      <w:r>
        <w:t>,</w:t>
      </w:r>
      <w:r w:rsidRPr="00D6785F">
        <w:t xml:space="preserve"> fourth </w:t>
      </w:r>
      <w:r>
        <w:t xml:space="preserve">and fifth </w:t>
      </w:r>
      <w:r w:rsidRPr="00D6785F">
        <w:t>options described in Section 5 of the CBA?</w:t>
      </w:r>
      <w:r>
        <w:t xml:space="preserve"> I</w:t>
      </w:r>
      <w:r w:rsidRPr="009A67EC">
        <w:t>f not please provide data and information that support your view</w:t>
      </w:r>
      <w:r>
        <w:t>.</w:t>
      </w:r>
    </w:p>
    <w:p w:rsidR="00BE00E5" w:rsidRDefault="00BE00E5" w:rsidP="00BE00E5"/>
    <w:p w:rsidR="00BE00E5" w:rsidRDefault="00BE00E5" w:rsidP="00BE00E5">
      <w:r>
        <w:t>&lt;ESMA_QUESTION_G_AIFMD_5&gt;</w:t>
      </w:r>
    </w:p>
    <w:p w:rsidR="00CC7AC8" w:rsidRPr="00263878" w:rsidRDefault="00CC7AC8" w:rsidP="00CC7AC8">
      <w:pPr>
        <w:autoSpaceDE w:val="0"/>
        <w:autoSpaceDN w:val="0"/>
        <w:adjustRightInd w:val="0"/>
        <w:rPr>
          <w:szCs w:val="20"/>
          <w:lang w:eastAsia="en-GB"/>
        </w:rPr>
      </w:pPr>
      <w:r>
        <w:rPr>
          <w:szCs w:val="20"/>
          <w:lang w:eastAsia="en-GB"/>
        </w:rPr>
        <w:t>DACSI</w:t>
      </w:r>
      <w:r w:rsidRPr="00263878">
        <w:rPr>
          <w:szCs w:val="20"/>
          <w:lang w:eastAsia="en-GB"/>
        </w:rPr>
        <w:t xml:space="preserve"> understand</w:t>
      </w:r>
      <w:r>
        <w:rPr>
          <w:szCs w:val="20"/>
          <w:lang w:eastAsia="en-GB"/>
        </w:rPr>
        <w:t>s</w:t>
      </w:r>
      <w:r w:rsidRPr="00263878">
        <w:rPr>
          <w:szCs w:val="20"/>
          <w:lang w:eastAsia="en-GB"/>
        </w:rPr>
        <w:t xml:space="preserve"> that ESMA discard options </w:t>
      </w:r>
      <w:r>
        <w:rPr>
          <w:szCs w:val="20"/>
          <w:lang w:eastAsia="en-GB"/>
        </w:rPr>
        <w:t xml:space="preserve">3 and 4 </w:t>
      </w:r>
      <w:r w:rsidRPr="00263878">
        <w:rPr>
          <w:szCs w:val="20"/>
          <w:lang w:eastAsia="en-GB"/>
        </w:rPr>
        <w:t>as they</w:t>
      </w:r>
      <w:r>
        <w:rPr>
          <w:szCs w:val="20"/>
          <w:lang w:eastAsia="en-GB"/>
        </w:rPr>
        <w:t xml:space="preserve"> are incompatible </w:t>
      </w:r>
      <w:r w:rsidRPr="00263878">
        <w:rPr>
          <w:szCs w:val="20"/>
          <w:lang w:eastAsia="en-GB"/>
        </w:rPr>
        <w:t>with</w:t>
      </w:r>
      <w:r>
        <w:rPr>
          <w:szCs w:val="20"/>
          <w:lang w:eastAsia="en-GB"/>
        </w:rPr>
        <w:t xml:space="preserve"> </w:t>
      </w:r>
      <w:r w:rsidRPr="00263878">
        <w:rPr>
          <w:szCs w:val="20"/>
          <w:lang w:eastAsia="en-GB"/>
        </w:rPr>
        <w:t xml:space="preserve">AIFMD requirements with regard to segregation of assets </w:t>
      </w:r>
      <w:r>
        <w:rPr>
          <w:szCs w:val="20"/>
          <w:lang w:eastAsia="en-GB"/>
        </w:rPr>
        <w:t>as</w:t>
      </w:r>
      <w:r w:rsidRPr="00263878">
        <w:rPr>
          <w:szCs w:val="20"/>
          <w:lang w:eastAsia="en-GB"/>
        </w:rPr>
        <w:t xml:space="preserve"> stated below:</w:t>
      </w:r>
      <w:r>
        <w:rPr>
          <w:szCs w:val="20"/>
          <w:lang w:eastAsia="en-GB"/>
        </w:rPr>
        <w:t xml:space="preserve"> </w:t>
      </w:r>
    </w:p>
    <w:p w:rsidR="00CC7AC8" w:rsidRPr="00263878" w:rsidRDefault="00CC7AC8" w:rsidP="00CC7AC8">
      <w:pPr>
        <w:numPr>
          <w:ilvl w:val="0"/>
          <w:numId w:val="13"/>
        </w:numPr>
        <w:autoSpaceDE w:val="0"/>
        <w:autoSpaceDN w:val="0"/>
        <w:adjustRightInd w:val="0"/>
        <w:spacing w:after="0" w:line="240" w:lineRule="auto"/>
        <w:rPr>
          <w:rFonts w:cs="Arial"/>
          <w:color w:val="000000"/>
          <w:szCs w:val="20"/>
          <w:lang w:eastAsia="en-GB"/>
        </w:rPr>
      </w:pPr>
      <w:r w:rsidRPr="00263878">
        <w:rPr>
          <w:rFonts w:cs="Arial"/>
          <w:color w:val="000000"/>
          <w:szCs w:val="20"/>
          <w:lang w:eastAsia="en-GB"/>
        </w:rPr>
        <w:t xml:space="preserve">The AIFMD </w:t>
      </w:r>
      <w:r>
        <w:rPr>
          <w:rFonts w:cs="Arial"/>
          <w:color w:val="000000"/>
          <w:szCs w:val="20"/>
          <w:lang w:eastAsia="en-GB"/>
        </w:rPr>
        <w:t>D</w:t>
      </w:r>
      <w:r w:rsidRPr="00263878">
        <w:rPr>
          <w:rFonts w:cs="Arial"/>
          <w:color w:val="000000"/>
          <w:szCs w:val="20"/>
          <w:lang w:eastAsia="en-GB"/>
        </w:rPr>
        <w:t>irective, article</w:t>
      </w:r>
      <w:r>
        <w:rPr>
          <w:rFonts w:cs="Arial"/>
          <w:color w:val="000000"/>
          <w:szCs w:val="20"/>
          <w:lang w:eastAsia="en-GB"/>
        </w:rPr>
        <w:t xml:space="preserve"> 21(8)(11)(iii)</w:t>
      </w:r>
      <w:r>
        <w:rPr>
          <w:rFonts w:cs="Arial"/>
          <w:color w:val="000000"/>
          <w:szCs w:val="20"/>
          <w:lang w:eastAsia="en-GB"/>
        </w:rPr>
        <w:t>, requires that "</w:t>
      </w:r>
      <w:r w:rsidRPr="00263878">
        <w:rPr>
          <w:rFonts w:cs="Arial"/>
          <w:color w:val="000000"/>
          <w:szCs w:val="20"/>
          <w:lang w:eastAsia="en-GB"/>
        </w:rPr>
        <w:t>the third party</w:t>
      </w:r>
      <w:r>
        <w:rPr>
          <w:rFonts w:cs="Arial"/>
          <w:color w:val="000000"/>
          <w:szCs w:val="20"/>
          <w:lang w:eastAsia="en-GB"/>
        </w:rPr>
        <w:t xml:space="preserve"> </w:t>
      </w:r>
      <w:r w:rsidRPr="00263878">
        <w:rPr>
          <w:rFonts w:cs="Arial"/>
          <w:color w:val="000000"/>
          <w:szCs w:val="20"/>
          <w:lang w:eastAsia="en-GB"/>
        </w:rPr>
        <w:t xml:space="preserve">segregates the assets of the depositary’s clients from its own assets and from the assets of the depositary in such a way that they can at any time be clearly identified as belonging to clients of a particular depositary". </w:t>
      </w:r>
    </w:p>
    <w:p w:rsidR="00CC7AC8" w:rsidRPr="00263878" w:rsidRDefault="00CC7AC8" w:rsidP="00CC7AC8">
      <w:pPr>
        <w:numPr>
          <w:ilvl w:val="0"/>
          <w:numId w:val="13"/>
        </w:numPr>
        <w:autoSpaceDE w:val="0"/>
        <w:autoSpaceDN w:val="0"/>
        <w:adjustRightInd w:val="0"/>
        <w:spacing w:before="120" w:after="120" w:line="240" w:lineRule="auto"/>
        <w:rPr>
          <w:szCs w:val="20"/>
        </w:rPr>
      </w:pPr>
      <w:r w:rsidRPr="00263878">
        <w:rPr>
          <w:rFonts w:cs="Arial"/>
          <w:color w:val="000000"/>
          <w:szCs w:val="20"/>
          <w:lang w:eastAsia="en-GB"/>
        </w:rPr>
        <w:t>Then this re</w:t>
      </w:r>
      <w:r>
        <w:rPr>
          <w:rFonts w:cs="Arial"/>
          <w:color w:val="000000"/>
          <w:szCs w:val="20"/>
          <w:lang w:eastAsia="en-GB"/>
        </w:rPr>
        <w:t>qu</w:t>
      </w:r>
      <w:r w:rsidRPr="00263878">
        <w:rPr>
          <w:rFonts w:cs="Arial"/>
          <w:color w:val="000000"/>
          <w:szCs w:val="20"/>
          <w:lang w:eastAsia="en-GB"/>
        </w:rPr>
        <w:t>irement is</w:t>
      </w:r>
      <w:r>
        <w:rPr>
          <w:rFonts w:cs="Arial"/>
          <w:color w:val="000000"/>
          <w:szCs w:val="20"/>
          <w:lang w:eastAsia="en-GB"/>
        </w:rPr>
        <w:t xml:space="preserve"> </w:t>
      </w:r>
      <w:r w:rsidRPr="00263878">
        <w:rPr>
          <w:rFonts w:cs="Arial"/>
          <w:color w:val="000000"/>
          <w:szCs w:val="20"/>
          <w:lang w:eastAsia="en-GB"/>
        </w:rPr>
        <w:t>detailed in the Level 2 text (article 99)</w:t>
      </w:r>
      <w:r>
        <w:rPr>
          <w:rFonts w:cs="Arial"/>
          <w:color w:val="000000"/>
          <w:szCs w:val="20"/>
          <w:lang w:eastAsia="en-GB"/>
        </w:rPr>
        <w:t xml:space="preserve"> “</w:t>
      </w:r>
      <w:r w:rsidRPr="00263878">
        <w:rPr>
          <w:rFonts w:cs="Arial"/>
          <w:color w:val="000000"/>
          <w:szCs w:val="20"/>
          <w:lang w:eastAsia="en-GB"/>
        </w:rPr>
        <w:t xml:space="preserve">the </w:t>
      </w:r>
      <w:r>
        <w:rPr>
          <w:rFonts w:cs="Arial"/>
          <w:color w:val="000000"/>
          <w:szCs w:val="20"/>
          <w:lang w:eastAsia="en-GB"/>
        </w:rPr>
        <w:t>t</w:t>
      </w:r>
      <w:r w:rsidRPr="00263878">
        <w:rPr>
          <w:rFonts w:cs="Arial"/>
          <w:color w:val="000000"/>
          <w:szCs w:val="20"/>
          <w:lang w:eastAsia="en-GB"/>
        </w:rPr>
        <w:t xml:space="preserve">hird party keeps such records and accounts as are necessary to enable it at any time and without delay to distinguish assets of the depositary’s AIF clients from its own assets, assets of its other clients, assets held by the depositary for its own account </w:t>
      </w:r>
      <w:r w:rsidRPr="00263878">
        <w:rPr>
          <w:rFonts w:cs="Arial"/>
          <w:bCs/>
          <w:color w:val="000000"/>
          <w:szCs w:val="20"/>
          <w:lang w:eastAsia="en-GB"/>
        </w:rPr>
        <w:t>and assets held for clients of the depositary which are not AIFs</w:t>
      </w:r>
      <w:r w:rsidRPr="00263878">
        <w:rPr>
          <w:rFonts w:cs="Arial"/>
          <w:color w:val="000000"/>
          <w:szCs w:val="20"/>
          <w:lang w:eastAsia="en-GB"/>
        </w:rPr>
        <w:t>"</w:t>
      </w:r>
      <w:r>
        <w:rPr>
          <w:rFonts w:cs="Arial"/>
          <w:color w:val="000000"/>
          <w:szCs w:val="20"/>
          <w:lang w:eastAsia="en-GB"/>
        </w:rPr>
        <w:t>.</w:t>
      </w:r>
    </w:p>
    <w:p w:rsidR="00CC7AC8" w:rsidRPr="00396B8F" w:rsidRDefault="00CC7AC8" w:rsidP="00CC7AC8">
      <w:pPr>
        <w:numPr>
          <w:ilvl w:val="0"/>
          <w:numId w:val="13"/>
        </w:numPr>
        <w:autoSpaceDE w:val="0"/>
        <w:autoSpaceDN w:val="0"/>
        <w:adjustRightInd w:val="0"/>
        <w:spacing w:before="120" w:after="120" w:line="240" w:lineRule="auto"/>
        <w:rPr>
          <w:rFonts w:cs="Arial"/>
          <w:color w:val="000000"/>
          <w:szCs w:val="20"/>
          <w:lang w:eastAsia="en-GB"/>
        </w:rPr>
      </w:pPr>
      <w:r w:rsidRPr="00396B8F">
        <w:rPr>
          <w:rFonts w:cs="Arial"/>
          <w:color w:val="000000"/>
          <w:szCs w:val="20"/>
          <w:lang w:eastAsia="en-GB"/>
        </w:rPr>
        <w:t>Then article 21(11) AIFMD concludes: "The third party may, in turn, sub-delegate those functions, subject to the same requirements”.</w:t>
      </w:r>
    </w:p>
    <w:p w:rsidR="00CC7AC8" w:rsidRPr="000C3D5E" w:rsidRDefault="00CC7AC8" w:rsidP="00CC7AC8">
      <w:pPr>
        <w:rPr>
          <w:szCs w:val="20"/>
        </w:rPr>
      </w:pPr>
      <w:r w:rsidRPr="00263878">
        <w:rPr>
          <w:szCs w:val="20"/>
        </w:rPr>
        <w:t>We also agree with the</w:t>
      </w:r>
      <w:r>
        <w:rPr>
          <w:szCs w:val="20"/>
        </w:rPr>
        <w:t xml:space="preserve"> ESMA </w:t>
      </w:r>
      <w:r w:rsidRPr="00263878">
        <w:rPr>
          <w:szCs w:val="20"/>
        </w:rPr>
        <w:t>approach to discard option 5</w:t>
      </w:r>
      <w:r>
        <w:rPr>
          <w:szCs w:val="20"/>
        </w:rPr>
        <w:t xml:space="preserve"> as a preferred solution </w:t>
      </w:r>
      <w:r w:rsidRPr="00263878">
        <w:rPr>
          <w:szCs w:val="20"/>
        </w:rPr>
        <w:t xml:space="preserve">due to the costs for both </w:t>
      </w:r>
      <w:r>
        <w:rPr>
          <w:szCs w:val="20"/>
        </w:rPr>
        <w:t xml:space="preserve">the </w:t>
      </w:r>
      <w:r w:rsidRPr="00263878">
        <w:rPr>
          <w:szCs w:val="20"/>
        </w:rPr>
        <w:t xml:space="preserve">regulator and </w:t>
      </w:r>
      <w:r>
        <w:rPr>
          <w:szCs w:val="20"/>
        </w:rPr>
        <w:t xml:space="preserve">the </w:t>
      </w:r>
      <w:r w:rsidRPr="00263878">
        <w:rPr>
          <w:szCs w:val="20"/>
        </w:rPr>
        <w:t>firms which would be ultimately borne by</w:t>
      </w:r>
      <w:r>
        <w:rPr>
          <w:szCs w:val="20"/>
        </w:rPr>
        <w:t xml:space="preserve"> </w:t>
      </w:r>
      <w:r w:rsidRPr="00263878">
        <w:rPr>
          <w:szCs w:val="20"/>
        </w:rPr>
        <w:t>the investors</w:t>
      </w:r>
      <w:r>
        <w:rPr>
          <w:szCs w:val="20"/>
        </w:rPr>
        <w:t>, however, t</w:t>
      </w:r>
      <w:r w:rsidRPr="00BD5CCE">
        <w:rPr>
          <w:szCs w:val="20"/>
        </w:rPr>
        <w:t>he</w:t>
      </w:r>
      <w:r>
        <w:rPr>
          <w:szCs w:val="20"/>
        </w:rPr>
        <w:t xml:space="preserve"> option</w:t>
      </w:r>
      <w:r w:rsidRPr="00BD5CCE">
        <w:rPr>
          <w:szCs w:val="20"/>
        </w:rPr>
        <w:t xml:space="preserve"> should remain available</w:t>
      </w:r>
      <w:r>
        <w:rPr>
          <w:szCs w:val="20"/>
        </w:rPr>
        <w:t xml:space="preserve"> to market participants. Indeed DACSI considers that the segregation should be viewed as a (useful) tool but it should be understood that segregation </w:t>
      </w:r>
      <w:r w:rsidRPr="00A71C5F">
        <w:rPr>
          <w:i/>
          <w:szCs w:val="20"/>
        </w:rPr>
        <w:t>per se</w:t>
      </w:r>
      <w:r>
        <w:rPr>
          <w:szCs w:val="20"/>
        </w:rPr>
        <w:t xml:space="preserve"> does not suffice to achieve the ultimate objective of legal protection of the assets in custody. Indeed, legal protection for assets in custody against insolvency is subject to the existence of a clear and unchallengeable legal environment in the location where the assets are held in custody.</w:t>
      </w:r>
    </w:p>
    <w:p w:rsidR="00BE00E5" w:rsidRDefault="00BE00E5" w:rsidP="00BE00E5">
      <w:r>
        <w:t>&lt;ESMA_QUESTION_G_AIFMD_5&gt;</w:t>
      </w:r>
    </w:p>
    <w:p w:rsidR="00BE00E5" w:rsidRPr="00284E0D" w:rsidRDefault="00BE00E5" w:rsidP="00BE00E5"/>
    <w:p w:rsidR="00F5287A" w:rsidRDefault="00AC05EC"/>
    <w:sectPr w:rsidR="00F5287A" w:rsidSect="000D17AA">
      <w:headerReference w:type="even" r:id="rId13"/>
      <w:headerReference w:type="first" r:id="rId14"/>
      <w:footerReference w:type="first" r:id="rId15"/>
      <w:pgSz w:w="11906" w:h="16838" w:code="9"/>
      <w:pgMar w:top="2552" w:right="1247" w:bottom="1135" w:left="124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5EC" w:rsidRDefault="00AC05EC">
      <w:pPr>
        <w:spacing w:after="0" w:line="240" w:lineRule="auto"/>
      </w:pPr>
      <w:r>
        <w:separator/>
      </w:r>
    </w:p>
  </w:endnote>
  <w:endnote w:type="continuationSeparator" w:id="0">
    <w:p w:rsidR="00AC05EC" w:rsidRDefault="00AC05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EUAlbertina">
    <w:altName w:val="EU Albertin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BE00E5" w:rsidRPr="00315E96" w:rsidTr="00315E96">
      <w:trPr>
        <w:trHeight w:val="284"/>
      </w:trPr>
      <w:tc>
        <w:tcPr>
          <w:tcW w:w="8460" w:type="dxa"/>
        </w:tcPr>
        <w:p w:rsidR="00BE00E5" w:rsidRPr="00315E96" w:rsidRDefault="00BE00E5" w:rsidP="00315E96">
          <w:pPr>
            <w:pStyle w:val="00Footer"/>
            <w:rPr>
              <w:lang w:val="fr-FR"/>
            </w:rPr>
          </w:pPr>
        </w:p>
      </w:tc>
      <w:tc>
        <w:tcPr>
          <w:tcW w:w="952" w:type="dxa"/>
        </w:tcPr>
        <w:p w:rsidR="00BE00E5" w:rsidRPr="002C5B2D" w:rsidRDefault="000A20D6" w:rsidP="002C5B2D">
          <w:pPr>
            <w:pStyle w:val="00aPagenumber"/>
          </w:pPr>
          <w:r>
            <w:fldChar w:fldCharType="begin"/>
          </w:r>
          <w:r w:rsidR="00BE00E5">
            <w:instrText xml:space="preserve"> PAGE </w:instrText>
          </w:r>
          <w:r>
            <w:fldChar w:fldCharType="separate"/>
          </w:r>
          <w:r w:rsidR="005D2B5C">
            <w:rPr>
              <w:noProof/>
            </w:rPr>
            <w:t>3</w:t>
          </w:r>
          <w:r>
            <w:rPr>
              <w:noProof/>
            </w:rPr>
            <w:fldChar w:fldCharType="end"/>
          </w:r>
        </w:p>
      </w:tc>
    </w:tr>
  </w:tbl>
  <w:p w:rsidR="00BE00E5" w:rsidRDefault="00BE00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98" w:rsidRDefault="00AC05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5EC" w:rsidRDefault="00AC05EC">
      <w:pPr>
        <w:spacing w:after="0" w:line="240" w:lineRule="auto"/>
      </w:pPr>
      <w:r>
        <w:separator/>
      </w:r>
    </w:p>
  </w:footnote>
  <w:footnote w:type="continuationSeparator" w:id="0">
    <w:p w:rsidR="00AC05EC" w:rsidRDefault="00AC05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E5" w:rsidRDefault="00BE00E5">
    <w:pPr>
      <w:pStyle w:val="Header"/>
    </w:pPr>
    <w:r>
      <w:rPr>
        <w:noProof/>
        <w:lang w:val="nl-NL" w:eastAsia="nl-NL"/>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23" name="Imag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975" cy="561975"/>
                  </a:xfrm>
                  <a:prstGeom prst="rect">
                    <a:avLst/>
                  </a:prstGeom>
                  <a:noFill/>
                  <a:ln>
                    <a:noFill/>
                  </a:ln>
                </pic:spPr>
              </pic:pic>
            </a:graphicData>
          </a:graphic>
        </wp:anchor>
      </w:drawing>
    </w:r>
    <w:r w:rsidR="000A20D6" w:rsidRPr="000A20D6">
      <w:rPr>
        <w:noProof/>
        <w:lang w:eastAsia="ja-JP"/>
      </w:rPr>
      <w:pict>
        <v:line id="Connecteur droit 22" o:spid="_x0000_s4098" style="position:absolute;z-index:251660288;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E5" w:rsidRDefault="00BE00E5" w:rsidP="00013CCE">
    <w:pPr>
      <w:pStyle w:val="Header"/>
      <w:jc w:val="right"/>
    </w:pPr>
    <w:r>
      <w:rPr>
        <w:noProof/>
        <w:lang w:val="nl-NL" w:eastAsia="nl-NL"/>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21" name="Image 2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r>
      <w:rPr>
        <w:noProof/>
        <w:lang w:val="nl-NL" w:eastAsia="nl-NL"/>
      </w:rPr>
      <w:drawing>
        <wp:anchor distT="0" distB="0" distL="114300" distR="114300" simplePos="0" relativeHeight="251656192"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20" name="Image 2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60310" cy="6800850"/>
                  </a:xfrm>
                  <a:prstGeom prst="rect">
                    <a:avLst/>
                  </a:prstGeom>
                  <a:noFill/>
                  <a:ln>
                    <a:noFill/>
                  </a:ln>
                </pic:spPr>
              </pic:pic>
            </a:graphicData>
          </a:graphic>
        </wp:anchor>
      </w:drawing>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D98" w:rsidRDefault="00AC05E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534D98" w:rsidRPr="002F4496" w:rsidTr="000C06C9">
      <w:trPr>
        <w:trHeight w:val="284"/>
      </w:trPr>
      <w:tc>
        <w:tcPr>
          <w:tcW w:w="8460" w:type="dxa"/>
        </w:tcPr>
        <w:p w:rsidR="00534D98" w:rsidRPr="000C3B6D" w:rsidRDefault="00AC05EC" w:rsidP="000C06C9">
          <w:pPr>
            <w:pStyle w:val="00Footer"/>
            <w:rPr>
              <w:lang w:val="fr-FR"/>
            </w:rPr>
          </w:pPr>
        </w:p>
      </w:tc>
      <w:tc>
        <w:tcPr>
          <w:tcW w:w="952" w:type="dxa"/>
        </w:tcPr>
        <w:p w:rsidR="00534D98" w:rsidRPr="00146B34" w:rsidRDefault="00AC05EC" w:rsidP="000C06C9">
          <w:pPr>
            <w:pStyle w:val="00aPagenumber"/>
            <w:rPr>
              <w:lang w:val="fr-FR"/>
            </w:rPr>
          </w:pPr>
        </w:p>
      </w:tc>
    </w:tr>
  </w:tbl>
  <w:p w:rsidR="00534D98" w:rsidRPr="00DB46C3" w:rsidRDefault="00AC05EC">
    <w:pPr>
      <w:rPr>
        <w:lang w:val="fr-FR"/>
      </w:rPr>
    </w:pPr>
  </w:p>
  <w:p w:rsidR="00534D98" w:rsidRPr="002F4496" w:rsidRDefault="00AC05EC">
    <w:pPr>
      <w:pStyle w:val="Header"/>
      <w:rPr>
        <w:lang w:val="fr-FR"/>
      </w:rPr>
    </w:pPr>
  </w:p>
  <w:p w:rsidR="00534D98" w:rsidRPr="002F4496" w:rsidRDefault="00AC05EC" w:rsidP="000C06C9">
    <w:pPr>
      <w:pStyle w:val="Header"/>
      <w:tabs>
        <w:tab w:val="clear" w:pos="4536"/>
        <w:tab w:val="clear" w:pos="9072"/>
        <w:tab w:val="left" w:pos="8227"/>
      </w:tabs>
      <w:rPr>
        <w:lang w:val="fr-FR"/>
      </w:rPr>
    </w:pPr>
  </w:p>
  <w:p w:rsidR="00534D98" w:rsidRPr="002F4496" w:rsidRDefault="00AC05EC" w:rsidP="000C06C9">
    <w:pPr>
      <w:pStyle w:val="Header"/>
      <w:tabs>
        <w:tab w:val="clear" w:pos="4536"/>
        <w:tab w:val="clear" w:pos="9072"/>
        <w:tab w:val="left" w:pos="8227"/>
      </w:tabs>
      <w:rPr>
        <w:lang w:val="fr-FR"/>
      </w:rPr>
    </w:pPr>
  </w:p>
  <w:p w:rsidR="00534D98" w:rsidRPr="002F4496" w:rsidRDefault="00AC05EC">
    <w:pPr>
      <w:pStyle w:val="Header"/>
      <w:rPr>
        <w:lang w:val="fr-FR"/>
      </w:rPr>
    </w:pPr>
  </w:p>
  <w:p w:rsidR="00534D98" w:rsidRPr="002F4496" w:rsidRDefault="00AC05EC">
    <w:pPr>
      <w:pStyle w:val="Header"/>
      <w:rPr>
        <w:lang w:val="fr-FR"/>
      </w:rPr>
    </w:pPr>
  </w:p>
  <w:p w:rsidR="00534D98" w:rsidRPr="002F4496" w:rsidRDefault="00AC05EC">
    <w:pPr>
      <w:pStyle w:val="Header"/>
      <w:rPr>
        <w:lang w:val="fr-FR"/>
      </w:rPr>
    </w:pPr>
  </w:p>
  <w:p w:rsidR="00534D98" w:rsidRPr="002F4496" w:rsidRDefault="00AC05EC">
    <w:pPr>
      <w:pStyle w:val="Header"/>
      <w:rPr>
        <w:lang w:val="fr-FR"/>
      </w:rPr>
    </w:pPr>
  </w:p>
  <w:p w:rsidR="00534D98" w:rsidRPr="002F4496" w:rsidRDefault="00AC05EC">
    <w:pPr>
      <w:pStyle w:val="Header"/>
      <w:rPr>
        <w:highlight w:val="yellow"/>
        <w:lang w:val="fr-FR"/>
      </w:rPr>
    </w:pPr>
  </w:p>
  <w:p w:rsidR="00534D98" w:rsidRDefault="000A20D6">
    <w:pPr>
      <w:pStyle w:val="Header"/>
    </w:pPr>
    <w:r w:rsidRPr="000A20D6">
      <w:rPr>
        <w:noProof/>
        <w:lang w:eastAsia="ja-JP"/>
      </w:rPr>
      <w:pict>
        <v:line id="Connecteur droit 19" o:spid="_x0000_s4097" style="position:absolute;z-index:251659264;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" strokecolor="#283583" strokeweight="1pt">
          <w10:wrap anchorx="page" anchory="page"/>
        </v:line>
      </w:pict>
    </w:r>
    <w:r w:rsidR="00BE00E5">
      <w:rPr>
        <w:noProof/>
        <w:lang w:val="nl-NL" w:eastAsia="nl-NL"/>
      </w:rPr>
      <w:drawing>
        <wp:anchor distT="0" distB="0" distL="114300" distR="114300" simplePos="0" relativeHeight="251655168"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8" name="Image 18"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09800" cy="9048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9D890D2"/>
    <w:lvl w:ilvl="0">
      <w:numFmt w:val="bullet"/>
      <w:lvlText w:val="*"/>
      <w:lvlJc w:val="left"/>
    </w:lvl>
  </w:abstractNum>
  <w:abstractNum w:abstractNumId="1">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BC355D"/>
    <w:multiLevelType w:val="hybridMultilevel"/>
    <w:tmpl w:val="C35660BE"/>
    <w:lvl w:ilvl="0" w:tplc="B426AF2A">
      <w:numFmt w:val="bullet"/>
      <w:lvlText w:val="-"/>
      <w:lvlJc w:val="left"/>
      <w:pPr>
        <w:ind w:left="720" w:hanging="360"/>
      </w:pPr>
      <w:rPr>
        <w:rFonts w:ascii="Calibri" w:eastAsia="Calibri" w:hAnsi="Calibri" w:cs="Wingdings" w:hint="default"/>
        <w:color w:val="A60021"/>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5921EB"/>
    <w:multiLevelType w:val="hybridMultilevel"/>
    <w:tmpl w:val="CE1205BC"/>
    <w:lvl w:ilvl="0" w:tplc="B426AF2A">
      <w:numFmt w:val="bullet"/>
      <w:lvlText w:val="-"/>
      <w:lvlJc w:val="left"/>
      <w:pPr>
        <w:ind w:left="720" w:hanging="360"/>
      </w:pPr>
      <w:rPr>
        <w:rFonts w:ascii="Calibri" w:eastAsia="Calibri" w:hAnsi="Calibri" w:cs="Wingdings" w:hint="default"/>
        <w:color w:val="A600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45550186"/>
    <w:multiLevelType w:val="hybridMultilevel"/>
    <w:tmpl w:val="6204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ED0471"/>
    <w:multiLevelType w:val="hybridMultilevel"/>
    <w:tmpl w:val="2E0E28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D3025"/>
    <w:multiLevelType w:val="hybridMultilevel"/>
    <w:tmpl w:val="AE82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BC3301"/>
    <w:multiLevelType w:val="hybridMultilevel"/>
    <w:tmpl w:val="8ECCBA28"/>
    <w:lvl w:ilvl="0" w:tplc="5C2A2B0A">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26E259B"/>
    <w:multiLevelType w:val="hybridMultilevel"/>
    <w:tmpl w:val="A8CC11FC"/>
    <w:lvl w:ilvl="0" w:tplc="B426AF2A">
      <w:numFmt w:val="bullet"/>
      <w:lvlText w:val="-"/>
      <w:lvlJc w:val="left"/>
      <w:pPr>
        <w:ind w:left="720" w:hanging="360"/>
      </w:pPr>
      <w:rPr>
        <w:rFonts w:ascii="Calibri" w:eastAsia="Calibri" w:hAnsi="Calibri" w:cs="Wingdings" w:hint="default"/>
        <w:color w:val="A60021"/>
      </w:rPr>
    </w:lvl>
    <w:lvl w:ilvl="1" w:tplc="B426AF2A">
      <w:numFmt w:val="bullet"/>
      <w:lvlText w:val="-"/>
      <w:lvlJc w:val="left"/>
      <w:pPr>
        <w:ind w:left="1440" w:hanging="360"/>
      </w:pPr>
      <w:rPr>
        <w:rFonts w:ascii="Calibri" w:eastAsia="Calibri" w:hAnsi="Calibri" w:cs="Wingdings" w:hint="default"/>
        <w:color w:val="A60021"/>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6B30F03"/>
    <w:multiLevelType w:val="hybridMultilevel"/>
    <w:tmpl w:val="16D2C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1"/>
  </w:num>
  <w:num w:numId="5">
    <w:abstractNumId w:val="6"/>
  </w:num>
  <w:num w:numId="6">
    <w:abstractNumId w:val="9"/>
  </w:num>
  <w:num w:numId="7">
    <w:abstractNumId w:val="12"/>
  </w:num>
  <w:num w:numId="8">
    <w:abstractNumId w:val="7"/>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10"/>
  </w:num>
  <w:num w:numId="11">
    <w:abstractNumId w:val="2"/>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4C41B0"/>
    <w:rsid w:val="00061041"/>
    <w:rsid w:val="000A20D6"/>
    <w:rsid w:val="000B211E"/>
    <w:rsid w:val="001A062D"/>
    <w:rsid w:val="001C4F6A"/>
    <w:rsid w:val="001D72E2"/>
    <w:rsid w:val="001D779D"/>
    <w:rsid w:val="001E5392"/>
    <w:rsid w:val="00264F5F"/>
    <w:rsid w:val="00331D3F"/>
    <w:rsid w:val="0036667F"/>
    <w:rsid w:val="0037395E"/>
    <w:rsid w:val="00375C63"/>
    <w:rsid w:val="003D2D58"/>
    <w:rsid w:val="003D3817"/>
    <w:rsid w:val="003E79C7"/>
    <w:rsid w:val="00410B42"/>
    <w:rsid w:val="00411656"/>
    <w:rsid w:val="00417FC8"/>
    <w:rsid w:val="004643E3"/>
    <w:rsid w:val="00482C81"/>
    <w:rsid w:val="00486B1D"/>
    <w:rsid w:val="004C41B0"/>
    <w:rsid w:val="005228E2"/>
    <w:rsid w:val="00543C27"/>
    <w:rsid w:val="00544411"/>
    <w:rsid w:val="005A0943"/>
    <w:rsid w:val="005C317F"/>
    <w:rsid w:val="005D2B5C"/>
    <w:rsid w:val="005D5C8F"/>
    <w:rsid w:val="005F1941"/>
    <w:rsid w:val="00661D13"/>
    <w:rsid w:val="006A010A"/>
    <w:rsid w:val="006B7FBE"/>
    <w:rsid w:val="007054EE"/>
    <w:rsid w:val="00713C49"/>
    <w:rsid w:val="0073252C"/>
    <w:rsid w:val="007428DD"/>
    <w:rsid w:val="007627B2"/>
    <w:rsid w:val="007755CB"/>
    <w:rsid w:val="007A4F76"/>
    <w:rsid w:val="007A7105"/>
    <w:rsid w:val="007D005D"/>
    <w:rsid w:val="007E7471"/>
    <w:rsid w:val="00861267"/>
    <w:rsid w:val="008B1B85"/>
    <w:rsid w:val="008C2722"/>
    <w:rsid w:val="009264AA"/>
    <w:rsid w:val="009879FC"/>
    <w:rsid w:val="009C0590"/>
    <w:rsid w:val="009C0EC1"/>
    <w:rsid w:val="009D1CEA"/>
    <w:rsid w:val="009F56D0"/>
    <w:rsid w:val="00A15856"/>
    <w:rsid w:val="00A42BDF"/>
    <w:rsid w:val="00A758AD"/>
    <w:rsid w:val="00A831D0"/>
    <w:rsid w:val="00AB73DB"/>
    <w:rsid w:val="00AC05EC"/>
    <w:rsid w:val="00B268DC"/>
    <w:rsid w:val="00B3214B"/>
    <w:rsid w:val="00B719C7"/>
    <w:rsid w:val="00BD5CCE"/>
    <w:rsid w:val="00BE00E5"/>
    <w:rsid w:val="00C67855"/>
    <w:rsid w:val="00CC7AC8"/>
    <w:rsid w:val="00CD23E7"/>
    <w:rsid w:val="00CE6BDD"/>
    <w:rsid w:val="00DA05C0"/>
    <w:rsid w:val="00DA5572"/>
    <w:rsid w:val="00DB1C28"/>
    <w:rsid w:val="00DC3F0E"/>
    <w:rsid w:val="00DE2F3A"/>
    <w:rsid w:val="00DE5835"/>
    <w:rsid w:val="00DF2593"/>
    <w:rsid w:val="00EB444F"/>
    <w:rsid w:val="00ED7ABD"/>
    <w:rsid w:val="00F56A53"/>
    <w:rsid w:val="00FD4B4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05"/>
    <w:rPr>
      <w:rFonts w:ascii="Georgia" w:hAnsi="Georgia"/>
      <w:sz w:val="20"/>
      <w:lang w:val="en-GB"/>
    </w:rPr>
  </w:style>
  <w:style w:type="paragraph" w:styleId="Heading5">
    <w:name w:val="heading 5"/>
    <w:aliases w:val="Questions"/>
    <w:basedOn w:val="Normal"/>
    <w:next w:val="Normal"/>
    <w:link w:val="Heading5Char"/>
    <w:qFormat/>
    <w:rsid w:val="00BE00E5"/>
    <w:pPr>
      <w:keepNext/>
      <w:keepLines/>
      <w:numPr>
        <w:numId w:val="3"/>
      </w:numPr>
      <w:spacing w:before="200" w:after="0" w:line="240" w:lineRule="auto"/>
      <w:jc w:val="both"/>
      <w:outlineLvl w:val="4"/>
    </w:pPr>
    <w:rPr>
      <w:rFonts w:eastAsia="Times New Roman" w:cs="Times New Roman"/>
      <w:b/>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Questions Char"/>
    <w:basedOn w:val="DefaultParagraphFont"/>
    <w:link w:val="Heading5"/>
    <w:rsid w:val="00BE00E5"/>
    <w:rPr>
      <w:rFonts w:ascii="Georgia" w:eastAsia="Times New Roman" w:hAnsi="Georgia" w:cs="Times New Roman"/>
      <w:b/>
      <w:sz w:val="20"/>
      <w:szCs w:val="24"/>
      <w:lang w:val="en-GB" w:eastAsia="de-DE"/>
    </w:rPr>
  </w:style>
  <w:style w:type="paragraph" w:styleId="Header">
    <w:name w:val="header"/>
    <w:basedOn w:val="Normal"/>
    <w:link w:val="HeaderChar"/>
    <w:rsid w:val="00BE00E5"/>
    <w:pPr>
      <w:tabs>
        <w:tab w:val="center" w:pos="4536"/>
        <w:tab w:val="right" w:pos="9072"/>
      </w:tabs>
      <w:spacing w:after="0" w:line="240" w:lineRule="auto"/>
    </w:pPr>
    <w:rPr>
      <w:rFonts w:eastAsia="Times New Roman" w:cs="Times New Roman"/>
      <w:szCs w:val="24"/>
      <w:lang w:eastAsia="de-DE"/>
    </w:rPr>
  </w:style>
  <w:style w:type="character" w:customStyle="1" w:styleId="HeaderChar">
    <w:name w:val="Header Char"/>
    <w:basedOn w:val="DefaultParagraphFont"/>
    <w:link w:val="Header"/>
    <w:rsid w:val="00BE00E5"/>
    <w:rPr>
      <w:rFonts w:ascii="Georgia" w:eastAsia="Times New Roman" w:hAnsi="Georgia" w:cs="Times New Roman"/>
      <w:sz w:val="20"/>
      <w:szCs w:val="24"/>
      <w:lang w:val="en-GB" w:eastAsia="de-DE"/>
    </w:rPr>
  </w:style>
  <w:style w:type="paragraph" w:styleId="Footer">
    <w:name w:val="footer"/>
    <w:basedOn w:val="Normal"/>
    <w:link w:val="FooterChar"/>
    <w:rsid w:val="00BE00E5"/>
    <w:pPr>
      <w:tabs>
        <w:tab w:val="center" w:pos="4536"/>
        <w:tab w:val="right" w:pos="9072"/>
      </w:tabs>
      <w:spacing w:after="0" w:line="240" w:lineRule="auto"/>
    </w:pPr>
    <w:rPr>
      <w:rFonts w:eastAsia="Times New Roman" w:cs="Times New Roman"/>
      <w:szCs w:val="24"/>
      <w:lang w:eastAsia="de-DE"/>
    </w:rPr>
  </w:style>
  <w:style w:type="character" w:customStyle="1" w:styleId="FooterChar">
    <w:name w:val="Footer Char"/>
    <w:basedOn w:val="DefaultParagraphFont"/>
    <w:link w:val="Footer"/>
    <w:rsid w:val="00BE00E5"/>
    <w:rPr>
      <w:rFonts w:ascii="Georgia" w:eastAsia="Times New Roman" w:hAnsi="Georgia" w:cs="Times New Roman"/>
      <w:sz w:val="20"/>
      <w:szCs w:val="24"/>
      <w:lang w:val="en-GB" w:eastAsia="de-DE"/>
    </w:rPr>
  </w:style>
  <w:style w:type="paragraph" w:customStyle="1" w:styleId="00Footer">
    <w:name w:val="00_Footer"/>
    <w:basedOn w:val="Normal"/>
    <w:rsid w:val="00BE00E5"/>
    <w:pPr>
      <w:spacing w:after="0" w:line="200" w:lineRule="exact"/>
    </w:pPr>
    <w:rPr>
      <w:rFonts w:eastAsia="Times New Roman" w:cs="Times New Roman"/>
      <w:color w:val="2D4190"/>
      <w:sz w:val="16"/>
      <w:szCs w:val="24"/>
      <w:lang w:eastAsia="de-DE"/>
    </w:rPr>
  </w:style>
  <w:style w:type="paragraph" w:customStyle="1" w:styleId="02Date">
    <w:name w:val="02_Date"/>
    <w:basedOn w:val="Normal"/>
    <w:rsid w:val="00BE00E5"/>
    <w:pPr>
      <w:spacing w:after="0" w:line="220" w:lineRule="exact"/>
    </w:pPr>
    <w:rPr>
      <w:rFonts w:eastAsia="Times New Roman" w:cs="Times New Roman"/>
      <w:sz w:val="17"/>
      <w:szCs w:val="24"/>
      <w:lang w:eastAsia="de-DE"/>
    </w:rPr>
  </w:style>
  <w:style w:type="paragraph" w:customStyle="1" w:styleId="00aPagenumber">
    <w:name w:val="00a_Page number"/>
    <w:basedOn w:val="00Footer"/>
    <w:rsid w:val="00BE00E5"/>
    <w:pPr>
      <w:spacing w:line="280" w:lineRule="atLeast"/>
      <w:jc w:val="right"/>
    </w:pPr>
    <w:rPr>
      <w:color w:val="000000"/>
      <w:sz w:val="20"/>
    </w:rPr>
  </w:style>
  <w:style w:type="paragraph" w:customStyle="1" w:styleId="04BodyText">
    <w:name w:val="04_Body Text"/>
    <w:basedOn w:val="Normal"/>
    <w:link w:val="04BodyTextChar"/>
    <w:rsid w:val="00BE00E5"/>
    <w:pPr>
      <w:spacing w:after="250"/>
      <w:jc w:val="both"/>
    </w:pPr>
    <w:rPr>
      <w:rFonts w:eastAsia="Times New Roman" w:cs="Times New Roman"/>
      <w:szCs w:val="24"/>
      <w:lang w:eastAsia="de-DE"/>
    </w:rPr>
  </w:style>
  <w:style w:type="paragraph" w:customStyle="1" w:styleId="05HeadlinenoIndex">
    <w:name w:val="05_Headline no Index"/>
    <w:basedOn w:val="04BodyText"/>
    <w:rsid w:val="00BE00E5"/>
    <w:pPr>
      <w:spacing w:line="300" w:lineRule="exact"/>
    </w:pPr>
    <w:rPr>
      <w:b/>
      <w:sz w:val="24"/>
    </w:rPr>
  </w:style>
  <w:style w:type="paragraph" w:customStyle="1" w:styleId="00bDBInfo">
    <w:name w:val="00b_DB_Info"/>
    <w:basedOn w:val="00aPagenumber"/>
    <w:rsid w:val="00BE00E5"/>
    <w:rPr>
      <w:color w:val="FFFFFF"/>
    </w:rPr>
  </w:style>
  <w:style w:type="paragraph" w:customStyle="1" w:styleId="01aDBTitle">
    <w:name w:val="01a_DB_Title"/>
    <w:basedOn w:val="Normal"/>
    <w:rsid w:val="00BE00E5"/>
    <w:pPr>
      <w:spacing w:after="0" w:line="400" w:lineRule="exact"/>
      <w:jc w:val="right"/>
    </w:pPr>
    <w:rPr>
      <w:rFonts w:eastAsia="Times New Roman" w:cs="Times New Roman"/>
      <w:b/>
      <w:color w:val="2D4190"/>
      <w:sz w:val="40"/>
      <w:szCs w:val="24"/>
      <w:lang w:eastAsia="de-DE"/>
    </w:rPr>
  </w:style>
  <w:style w:type="paragraph" w:customStyle="1" w:styleId="01bDBSubtitle">
    <w:name w:val="01b_DB_Subtitle"/>
    <w:rsid w:val="00BE00E5"/>
    <w:pPr>
      <w:spacing w:after="0" w:line="240" w:lineRule="auto"/>
      <w:jc w:val="right"/>
    </w:pPr>
    <w:rPr>
      <w:rFonts w:ascii="Georgia" w:eastAsia="Times New Roman" w:hAnsi="Georgia" w:cs="Times New Roman"/>
      <w:color w:val="000000"/>
      <w:sz w:val="24"/>
      <w:szCs w:val="24"/>
      <w:lang w:val="en-GB" w:eastAsia="de-DE"/>
    </w:rPr>
  </w:style>
  <w:style w:type="character" w:styleId="Hyperlink">
    <w:name w:val="Hyperlink"/>
    <w:uiPriority w:val="99"/>
    <w:rsid w:val="00BE00E5"/>
    <w:rPr>
      <w:color w:val="0000FF"/>
      <w:u w:val="single"/>
    </w:rPr>
  </w:style>
  <w:style w:type="paragraph" w:customStyle="1" w:styleId="04bList">
    <w:name w:val="04b_List"/>
    <w:basedOn w:val="04BodyText"/>
    <w:uiPriority w:val="99"/>
    <w:rsid w:val="00BE00E5"/>
    <w:pPr>
      <w:numPr>
        <w:numId w:val="1"/>
      </w:numPr>
      <w:tabs>
        <w:tab w:val="clear" w:pos="568"/>
        <w:tab w:val="num" w:pos="360"/>
      </w:tabs>
      <w:ind w:left="0" w:firstLine="0"/>
    </w:pPr>
  </w:style>
  <w:style w:type="character" w:styleId="CommentReference">
    <w:name w:val="annotation reference"/>
    <w:rsid w:val="00BE00E5"/>
    <w:rPr>
      <w:sz w:val="16"/>
      <w:szCs w:val="16"/>
    </w:rPr>
  </w:style>
  <w:style w:type="paragraph" w:styleId="CommentText">
    <w:name w:val="annotation text"/>
    <w:basedOn w:val="Normal"/>
    <w:link w:val="CommentTextChar"/>
    <w:rsid w:val="00BE00E5"/>
    <w:pPr>
      <w:spacing w:after="0" w:line="240" w:lineRule="auto"/>
    </w:pPr>
    <w:rPr>
      <w:rFonts w:eastAsia="Times New Roman" w:cs="Times New Roman"/>
      <w:szCs w:val="20"/>
      <w:lang w:eastAsia="de-DE"/>
    </w:rPr>
  </w:style>
  <w:style w:type="character" w:customStyle="1" w:styleId="CommentTextChar">
    <w:name w:val="Comment Text Char"/>
    <w:basedOn w:val="DefaultParagraphFont"/>
    <w:link w:val="CommentText"/>
    <w:rsid w:val="00BE00E5"/>
    <w:rPr>
      <w:rFonts w:ascii="Georgia" w:eastAsia="Times New Roman" w:hAnsi="Georgia" w:cs="Times New Roman"/>
      <w:sz w:val="20"/>
      <w:szCs w:val="20"/>
      <w:lang w:val="en-GB" w:eastAsia="de-DE"/>
    </w:rPr>
  </w:style>
  <w:style w:type="character" w:customStyle="1" w:styleId="04BodyTextChar">
    <w:name w:val="04_Body Text Char"/>
    <w:link w:val="04BodyText"/>
    <w:rsid w:val="00BE00E5"/>
    <w:rPr>
      <w:rFonts w:ascii="Georgia" w:eastAsia="Times New Roman" w:hAnsi="Georgia" w:cs="Times New Roman"/>
      <w:sz w:val="20"/>
      <w:szCs w:val="24"/>
      <w:lang w:val="en-GB" w:eastAsia="de-DE"/>
    </w:rPr>
  </w:style>
  <w:style w:type="paragraph" w:customStyle="1" w:styleId="CM1">
    <w:name w:val="CM1"/>
    <w:basedOn w:val="Normal"/>
    <w:next w:val="Normal"/>
    <w:uiPriority w:val="99"/>
    <w:rsid w:val="00BE00E5"/>
    <w:pPr>
      <w:autoSpaceDE w:val="0"/>
      <w:autoSpaceDN w:val="0"/>
      <w:adjustRightInd w:val="0"/>
      <w:spacing w:after="0" w:line="240" w:lineRule="auto"/>
    </w:pPr>
    <w:rPr>
      <w:rFonts w:ascii="EUAlbertina" w:eastAsia="Times New Roman" w:hAnsi="EUAlbertina" w:cs="Times New Roman"/>
      <w:sz w:val="24"/>
      <w:szCs w:val="24"/>
      <w:lang w:val="de-DE" w:eastAsia="de-DE"/>
    </w:rPr>
  </w:style>
  <w:style w:type="paragraph" w:styleId="BalloonText">
    <w:name w:val="Balloon Text"/>
    <w:basedOn w:val="Normal"/>
    <w:link w:val="BalloonTextChar"/>
    <w:uiPriority w:val="99"/>
    <w:semiHidden/>
    <w:unhideWhenUsed/>
    <w:rsid w:val="00BE0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E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6104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61041"/>
    <w:rPr>
      <w:rFonts w:ascii="Georgia" w:eastAsia="Times New Roman" w:hAnsi="Georgia" w:cs="Times New Roman"/>
      <w:b/>
      <w:bCs/>
      <w:sz w:val="20"/>
      <w:szCs w:val="20"/>
      <w:lang w:val="en-GB" w:eastAsia="de-DE"/>
    </w:rPr>
  </w:style>
  <w:style w:type="paragraph" w:styleId="ListParagraph">
    <w:name w:val="List Paragraph"/>
    <w:aliases w:val="Paragraphe EI,Paragraphe de liste1,EC"/>
    <w:basedOn w:val="Normal"/>
    <w:link w:val="ListParagraphChar"/>
    <w:uiPriority w:val="34"/>
    <w:qFormat/>
    <w:rsid w:val="00F56A53"/>
    <w:pPr>
      <w:ind w:left="720"/>
      <w:contextualSpacing/>
    </w:pPr>
  </w:style>
  <w:style w:type="character" w:customStyle="1" w:styleId="ListParagraphChar">
    <w:name w:val="List Paragraph Char"/>
    <w:aliases w:val="Paragraphe EI Char,Paragraphe de liste1 Char,EC Char"/>
    <w:link w:val="ListParagraph"/>
    <w:uiPriority w:val="34"/>
    <w:locked/>
    <w:rsid w:val="00CC7AC8"/>
    <w:rPr>
      <w:rFonts w:ascii="Georgia" w:hAnsi="Georgia"/>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105"/>
    <w:rPr>
      <w:rFonts w:ascii="Georgia" w:hAnsi="Georgia"/>
      <w:sz w:val="20"/>
      <w:lang w:val="en-GB"/>
    </w:rPr>
  </w:style>
  <w:style w:type="paragraph" w:styleId="Heading5">
    <w:name w:val="heading 5"/>
    <w:aliases w:val="Questions"/>
    <w:basedOn w:val="Normal"/>
    <w:next w:val="Normal"/>
    <w:link w:val="Heading5Char"/>
    <w:qFormat/>
    <w:rsid w:val="00BE00E5"/>
    <w:pPr>
      <w:keepNext/>
      <w:keepLines/>
      <w:numPr>
        <w:numId w:val="3"/>
      </w:numPr>
      <w:spacing w:before="200" w:after="0" w:line="240" w:lineRule="auto"/>
      <w:jc w:val="both"/>
      <w:outlineLvl w:val="4"/>
    </w:pPr>
    <w:rPr>
      <w:rFonts w:eastAsia="Times New Roman" w:cs="Times New Roman"/>
      <w:b/>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Questions Char"/>
    <w:basedOn w:val="DefaultParagraphFont"/>
    <w:link w:val="Heading5"/>
    <w:rsid w:val="00BE00E5"/>
    <w:rPr>
      <w:rFonts w:ascii="Georgia" w:eastAsia="Times New Roman" w:hAnsi="Georgia" w:cs="Times New Roman"/>
      <w:b/>
      <w:sz w:val="20"/>
      <w:szCs w:val="24"/>
      <w:lang w:val="en-GB" w:eastAsia="de-DE"/>
    </w:rPr>
  </w:style>
  <w:style w:type="paragraph" w:styleId="Header">
    <w:name w:val="header"/>
    <w:basedOn w:val="Normal"/>
    <w:link w:val="HeaderChar"/>
    <w:rsid w:val="00BE00E5"/>
    <w:pPr>
      <w:tabs>
        <w:tab w:val="center" w:pos="4536"/>
        <w:tab w:val="right" w:pos="9072"/>
      </w:tabs>
      <w:spacing w:after="0" w:line="240" w:lineRule="auto"/>
    </w:pPr>
    <w:rPr>
      <w:rFonts w:eastAsia="Times New Roman" w:cs="Times New Roman"/>
      <w:szCs w:val="24"/>
      <w:lang w:eastAsia="de-DE"/>
    </w:rPr>
  </w:style>
  <w:style w:type="character" w:customStyle="1" w:styleId="HeaderChar">
    <w:name w:val="Header Char"/>
    <w:basedOn w:val="DefaultParagraphFont"/>
    <w:link w:val="Header"/>
    <w:rsid w:val="00BE00E5"/>
    <w:rPr>
      <w:rFonts w:ascii="Georgia" w:eastAsia="Times New Roman" w:hAnsi="Georgia" w:cs="Times New Roman"/>
      <w:sz w:val="20"/>
      <w:szCs w:val="24"/>
      <w:lang w:val="en-GB" w:eastAsia="de-DE"/>
    </w:rPr>
  </w:style>
  <w:style w:type="paragraph" w:styleId="Footer">
    <w:name w:val="footer"/>
    <w:basedOn w:val="Normal"/>
    <w:link w:val="FooterChar"/>
    <w:rsid w:val="00BE00E5"/>
    <w:pPr>
      <w:tabs>
        <w:tab w:val="center" w:pos="4536"/>
        <w:tab w:val="right" w:pos="9072"/>
      </w:tabs>
      <w:spacing w:after="0" w:line="240" w:lineRule="auto"/>
    </w:pPr>
    <w:rPr>
      <w:rFonts w:eastAsia="Times New Roman" w:cs="Times New Roman"/>
      <w:szCs w:val="24"/>
      <w:lang w:eastAsia="de-DE"/>
    </w:rPr>
  </w:style>
  <w:style w:type="character" w:customStyle="1" w:styleId="FooterChar">
    <w:name w:val="Footer Char"/>
    <w:basedOn w:val="DefaultParagraphFont"/>
    <w:link w:val="Footer"/>
    <w:rsid w:val="00BE00E5"/>
    <w:rPr>
      <w:rFonts w:ascii="Georgia" w:eastAsia="Times New Roman" w:hAnsi="Georgia" w:cs="Times New Roman"/>
      <w:sz w:val="20"/>
      <w:szCs w:val="24"/>
      <w:lang w:val="en-GB" w:eastAsia="de-DE"/>
    </w:rPr>
  </w:style>
  <w:style w:type="paragraph" w:customStyle="1" w:styleId="00Footer">
    <w:name w:val="00_Footer"/>
    <w:basedOn w:val="Normal"/>
    <w:rsid w:val="00BE00E5"/>
    <w:pPr>
      <w:spacing w:after="0" w:line="200" w:lineRule="exact"/>
    </w:pPr>
    <w:rPr>
      <w:rFonts w:eastAsia="Times New Roman" w:cs="Times New Roman"/>
      <w:color w:val="2D4190"/>
      <w:sz w:val="16"/>
      <w:szCs w:val="24"/>
      <w:lang w:eastAsia="de-DE"/>
    </w:rPr>
  </w:style>
  <w:style w:type="paragraph" w:customStyle="1" w:styleId="02Date">
    <w:name w:val="02_Date"/>
    <w:basedOn w:val="Normal"/>
    <w:rsid w:val="00BE00E5"/>
    <w:pPr>
      <w:spacing w:after="0" w:line="220" w:lineRule="exact"/>
    </w:pPr>
    <w:rPr>
      <w:rFonts w:eastAsia="Times New Roman" w:cs="Times New Roman"/>
      <w:sz w:val="17"/>
      <w:szCs w:val="24"/>
      <w:lang w:eastAsia="de-DE"/>
    </w:rPr>
  </w:style>
  <w:style w:type="paragraph" w:customStyle="1" w:styleId="00aPagenumber">
    <w:name w:val="00a_Page number"/>
    <w:basedOn w:val="00Footer"/>
    <w:rsid w:val="00BE00E5"/>
    <w:pPr>
      <w:spacing w:line="280" w:lineRule="atLeast"/>
      <w:jc w:val="right"/>
    </w:pPr>
    <w:rPr>
      <w:color w:val="000000"/>
      <w:sz w:val="20"/>
    </w:rPr>
  </w:style>
  <w:style w:type="paragraph" w:customStyle="1" w:styleId="04BodyText">
    <w:name w:val="04_Body Text"/>
    <w:basedOn w:val="Normal"/>
    <w:link w:val="04BodyTextChar"/>
    <w:rsid w:val="00BE00E5"/>
    <w:pPr>
      <w:spacing w:after="250"/>
      <w:jc w:val="both"/>
    </w:pPr>
    <w:rPr>
      <w:rFonts w:eastAsia="Times New Roman" w:cs="Times New Roman"/>
      <w:szCs w:val="24"/>
      <w:lang w:eastAsia="de-DE"/>
    </w:rPr>
  </w:style>
  <w:style w:type="paragraph" w:customStyle="1" w:styleId="05HeadlinenoIndex">
    <w:name w:val="05_Headline no Index"/>
    <w:basedOn w:val="04BodyText"/>
    <w:rsid w:val="00BE00E5"/>
    <w:pPr>
      <w:spacing w:line="300" w:lineRule="exact"/>
    </w:pPr>
    <w:rPr>
      <w:b/>
      <w:sz w:val="24"/>
    </w:rPr>
  </w:style>
  <w:style w:type="paragraph" w:customStyle="1" w:styleId="00bDBInfo">
    <w:name w:val="00b_DB_Info"/>
    <w:basedOn w:val="00aPagenumber"/>
    <w:rsid w:val="00BE00E5"/>
    <w:rPr>
      <w:color w:val="FFFFFF"/>
    </w:rPr>
  </w:style>
  <w:style w:type="paragraph" w:customStyle="1" w:styleId="01aDBTitle">
    <w:name w:val="01a_DB_Title"/>
    <w:basedOn w:val="Normal"/>
    <w:rsid w:val="00BE00E5"/>
    <w:pPr>
      <w:spacing w:after="0" w:line="400" w:lineRule="exact"/>
      <w:jc w:val="right"/>
    </w:pPr>
    <w:rPr>
      <w:rFonts w:eastAsia="Times New Roman" w:cs="Times New Roman"/>
      <w:b/>
      <w:color w:val="2D4190"/>
      <w:sz w:val="40"/>
      <w:szCs w:val="24"/>
      <w:lang w:eastAsia="de-DE"/>
    </w:rPr>
  </w:style>
  <w:style w:type="paragraph" w:customStyle="1" w:styleId="01bDBSubtitle">
    <w:name w:val="01b_DB_Subtitle"/>
    <w:rsid w:val="00BE00E5"/>
    <w:pPr>
      <w:spacing w:after="0" w:line="240" w:lineRule="auto"/>
      <w:jc w:val="right"/>
    </w:pPr>
    <w:rPr>
      <w:rFonts w:ascii="Georgia" w:eastAsia="Times New Roman" w:hAnsi="Georgia" w:cs="Times New Roman"/>
      <w:color w:val="000000"/>
      <w:sz w:val="24"/>
      <w:szCs w:val="24"/>
      <w:lang w:val="en-GB" w:eastAsia="de-DE"/>
    </w:rPr>
  </w:style>
  <w:style w:type="character" w:styleId="Hyperlink">
    <w:name w:val="Hyperlink"/>
    <w:uiPriority w:val="99"/>
    <w:rsid w:val="00BE00E5"/>
    <w:rPr>
      <w:color w:val="0000FF"/>
      <w:u w:val="single"/>
    </w:rPr>
  </w:style>
  <w:style w:type="paragraph" w:customStyle="1" w:styleId="04bList">
    <w:name w:val="04b_List"/>
    <w:basedOn w:val="04BodyText"/>
    <w:uiPriority w:val="99"/>
    <w:rsid w:val="00BE00E5"/>
    <w:pPr>
      <w:numPr>
        <w:numId w:val="1"/>
      </w:numPr>
      <w:tabs>
        <w:tab w:val="clear" w:pos="568"/>
        <w:tab w:val="num" w:pos="360"/>
      </w:tabs>
      <w:ind w:left="0" w:firstLine="0"/>
    </w:pPr>
  </w:style>
  <w:style w:type="character" w:styleId="CommentReference">
    <w:name w:val="annotation reference"/>
    <w:rsid w:val="00BE00E5"/>
    <w:rPr>
      <w:sz w:val="16"/>
      <w:szCs w:val="16"/>
    </w:rPr>
  </w:style>
  <w:style w:type="paragraph" w:styleId="CommentText">
    <w:name w:val="annotation text"/>
    <w:basedOn w:val="Normal"/>
    <w:link w:val="CommentTextChar"/>
    <w:rsid w:val="00BE00E5"/>
    <w:pPr>
      <w:spacing w:after="0" w:line="240" w:lineRule="auto"/>
    </w:pPr>
    <w:rPr>
      <w:rFonts w:eastAsia="Times New Roman" w:cs="Times New Roman"/>
      <w:szCs w:val="20"/>
      <w:lang w:eastAsia="de-DE"/>
    </w:rPr>
  </w:style>
  <w:style w:type="character" w:customStyle="1" w:styleId="CommentTextChar">
    <w:name w:val="Comment Text Char"/>
    <w:basedOn w:val="DefaultParagraphFont"/>
    <w:link w:val="CommentText"/>
    <w:rsid w:val="00BE00E5"/>
    <w:rPr>
      <w:rFonts w:ascii="Georgia" w:eastAsia="Times New Roman" w:hAnsi="Georgia" w:cs="Times New Roman"/>
      <w:sz w:val="20"/>
      <w:szCs w:val="20"/>
      <w:lang w:val="en-GB" w:eastAsia="de-DE"/>
    </w:rPr>
  </w:style>
  <w:style w:type="character" w:customStyle="1" w:styleId="04BodyTextChar">
    <w:name w:val="04_Body Text Char"/>
    <w:link w:val="04BodyText"/>
    <w:rsid w:val="00BE00E5"/>
    <w:rPr>
      <w:rFonts w:ascii="Georgia" w:eastAsia="Times New Roman" w:hAnsi="Georgia" w:cs="Times New Roman"/>
      <w:sz w:val="20"/>
      <w:szCs w:val="24"/>
      <w:lang w:val="en-GB" w:eastAsia="de-DE"/>
    </w:rPr>
  </w:style>
  <w:style w:type="paragraph" w:customStyle="1" w:styleId="CM1">
    <w:name w:val="CM1"/>
    <w:basedOn w:val="Normal"/>
    <w:next w:val="Normal"/>
    <w:uiPriority w:val="99"/>
    <w:rsid w:val="00BE00E5"/>
    <w:pPr>
      <w:autoSpaceDE w:val="0"/>
      <w:autoSpaceDN w:val="0"/>
      <w:adjustRightInd w:val="0"/>
      <w:spacing w:after="0" w:line="240" w:lineRule="auto"/>
    </w:pPr>
    <w:rPr>
      <w:rFonts w:ascii="EUAlbertina" w:eastAsia="Times New Roman" w:hAnsi="EUAlbertina" w:cs="Times New Roman"/>
      <w:sz w:val="24"/>
      <w:szCs w:val="24"/>
      <w:lang w:val="de-DE" w:eastAsia="de-DE"/>
    </w:rPr>
  </w:style>
  <w:style w:type="paragraph" w:styleId="BalloonText">
    <w:name w:val="Balloon Text"/>
    <w:basedOn w:val="Normal"/>
    <w:link w:val="BalloonTextChar"/>
    <w:uiPriority w:val="99"/>
    <w:semiHidden/>
    <w:unhideWhenUsed/>
    <w:rsid w:val="00BE0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0E5"/>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06104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61041"/>
    <w:rPr>
      <w:rFonts w:ascii="Georgia" w:eastAsia="Times New Roman" w:hAnsi="Georgia" w:cs="Times New Roman"/>
      <w:b/>
      <w:bCs/>
      <w:sz w:val="20"/>
      <w:szCs w:val="20"/>
      <w:lang w:val="en-GB" w:eastAsia="de-DE"/>
    </w:rPr>
  </w:style>
  <w:style w:type="paragraph" w:styleId="ListParagraph">
    <w:name w:val="List Paragraph"/>
    <w:basedOn w:val="Normal"/>
    <w:uiPriority w:val="34"/>
    <w:qFormat/>
    <w:rsid w:val="00F56A5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ma.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sma.europa.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1792</Words>
  <Characters>9860</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BNP Paribas</Company>
  <LinksUpToDate>false</LinksUpToDate>
  <CharactersWithSpaces>11629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METZGER</dc:creator>
  <cp:lastModifiedBy>Henk Bruggeman</cp:lastModifiedBy>
  <cp:revision>2</cp:revision>
  <cp:lastPrinted>2015-01-21T12:43:00Z</cp:lastPrinted>
  <dcterms:created xsi:type="dcterms:W3CDTF">2015-01-30T12:28:00Z</dcterms:created>
  <dcterms:modified xsi:type="dcterms:W3CDTF">2015-01-30T12:28:00Z</dcterms:modified>
</cp:coreProperties>
</file>