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30502" w:rsidRPr="00430502" w14:paraId="526BBBDD" w14:textId="77777777" w:rsidTr="00402263">
        <w:trPr>
          <w:trHeight w:val="284"/>
        </w:trPr>
        <w:tc>
          <w:tcPr>
            <w:tcW w:w="9412" w:type="dxa"/>
          </w:tcPr>
          <w:p w14:paraId="7D4EC86B" w14:textId="77777777" w:rsidR="00430502" w:rsidRPr="00430502" w:rsidRDefault="00430502" w:rsidP="00430502">
            <w:pPr>
              <w:spacing w:line="280" w:lineRule="atLeast"/>
              <w:jc w:val="right"/>
              <w:rPr>
                <w:rFonts w:ascii="Georgia" w:hAnsi="Georgia"/>
                <w:color w:val="FFFFFF"/>
                <w:sz w:val="20"/>
                <w:lang w:val="en-GB" w:eastAsia="de-DE"/>
              </w:rPr>
            </w:pPr>
            <w:r w:rsidRPr="00430502">
              <w:rPr>
                <w:rFonts w:ascii="Georgia" w:hAnsi="Georgia"/>
                <w:color w:val="FFFFFF"/>
                <w:sz w:val="20"/>
                <w:lang w:val="en-GB" w:eastAsia="de-DE"/>
              </w:rPr>
              <w:t>1 December 2014</w:t>
            </w:r>
          </w:p>
        </w:tc>
      </w:tr>
    </w:tbl>
    <w:p w14:paraId="0A12E508" w14:textId="77777777" w:rsidR="00430502" w:rsidRPr="00430502" w:rsidRDefault="00430502" w:rsidP="00430502">
      <w:pPr>
        <w:rPr>
          <w:rFonts w:ascii="Georgia" w:hAnsi="Georgia"/>
          <w:vanish/>
          <w:sz w:val="20"/>
          <w:lang w:val="en-GB" w:eastAsia="de-DE"/>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430502" w:rsidRPr="00430502" w14:paraId="7023F98C" w14:textId="77777777" w:rsidTr="00402263">
        <w:trPr>
          <w:trHeight w:hRule="exact" w:val="1209"/>
        </w:trPr>
        <w:tc>
          <w:tcPr>
            <w:tcW w:w="9397" w:type="dxa"/>
            <w:vAlign w:val="bottom"/>
          </w:tcPr>
          <w:p w14:paraId="11E90BEC" w14:textId="77777777" w:rsidR="00430502" w:rsidRPr="00430502" w:rsidRDefault="00430502" w:rsidP="00430502">
            <w:pPr>
              <w:spacing w:line="400" w:lineRule="exact"/>
              <w:jc w:val="right"/>
              <w:rPr>
                <w:rFonts w:ascii="Georgia" w:hAnsi="Georgia"/>
                <w:b/>
                <w:color w:val="2D4190"/>
                <w:sz w:val="36"/>
                <w:szCs w:val="36"/>
                <w:lang w:val="en-GB" w:eastAsia="de-DE"/>
              </w:rPr>
            </w:pPr>
            <w:r w:rsidRPr="00430502">
              <w:rPr>
                <w:rFonts w:ascii="Georgia" w:hAnsi="Georgia"/>
                <w:b/>
                <w:color w:val="2D4190"/>
                <w:sz w:val="36"/>
                <w:szCs w:val="36"/>
                <w:lang w:val="en-GB" w:eastAsia="de-DE"/>
              </w:rPr>
              <w:t xml:space="preserve">Reply form for the </w:t>
            </w:r>
          </w:p>
          <w:p w14:paraId="347B1010" w14:textId="77777777" w:rsidR="00430502" w:rsidRPr="00430502" w:rsidRDefault="00430502" w:rsidP="00430502">
            <w:pPr>
              <w:spacing w:line="400" w:lineRule="exact"/>
              <w:jc w:val="right"/>
              <w:rPr>
                <w:rFonts w:ascii="Georgia" w:hAnsi="Georgia"/>
                <w:b/>
                <w:color w:val="2D4190"/>
                <w:sz w:val="40"/>
                <w:lang w:val="en-GB" w:eastAsia="de-DE"/>
              </w:rPr>
            </w:pPr>
            <w:r w:rsidRPr="00430502">
              <w:rPr>
                <w:rFonts w:ascii="Georgia" w:hAnsi="Georgia"/>
                <w:b/>
                <w:color w:val="2D4190"/>
                <w:sz w:val="36"/>
                <w:szCs w:val="36"/>
                <w:lang w:val="en-GB" w:eastAsia="de-DE"/>
              </w:rPr>
              <w:t>Guidelines on asset segregation under the AIFMD</w:t>
            </w:r>
          </w:p>
        </w:tc>
      </w:tr>
      <w:tr w:rsidR="00430502" w:rsidRPr="00430502" w14:paraId="5F281C53" w14:textId="77777777" w:rsidTr="00402263">
        <w:trPr>
          <w:trHeight w:hRule="exact" w:val="605"/>
        </w:trPr>
        <w:tc>
          <w:tcPr>
            <w:tcW w:w="9397" w:type="dxa"/>
            <w:tcMar>
              <w:top w:w="142" w:type="dxa"/>
            </w:tcMar>
          </w:tcPr>
          <w:p w14:paraId="2F29517E" w14:textId="77777777" w:rsidR="00430502" w:rsidRPr="00430502" w:rsidRDefault="00430502" w:rsidP="00430502">
            <w:pPr>
              <w:jc w:val="right"/>
              <w:rPr>
                <w:rFonts w:ascii="Georgia" w:hAnsi="Georgia"/>
                <w:color w:val="000000"/>
                <w:lang w:val="en-GB" w:eastAsia="de-DE"/>
              </w:rPr>
            </w:pPr>
            <w:r w:rsidRPr="00430502">
              <w:rPr>
                <w:rFonts w:ascii="Georgia" w:hAnsi="Georgia"/>
                <w:color w:val="000000"/>
                <w:lang w:val="en-GB" w:eastAsia="de-DE"/>
              </w:rPr>
              <w:t xml:space="preserve"> </w:t>
            </w:r>
          </w:p>
        </w:tc>
      </w:tr>
    </w:tbl>
    <w:p w14:paraId="20D375EB" w14:textId="77777777" w:rsidR="00430502" w:rsidRPr="00430502" w:rsidRDefault="00430502" w:rsidP="00430502">
      <w:pPr>
        <w:spacing w:after="250" w:line="300" w:lineRule="exact"/>
        <w:jc w:val="both"/>
        <w:rPr>
          <w:rFonts w:ascii="Georgia" w:hAnsi="Georgia"/>
          <w:b/>
          <w:lang w:val="en-GB" w:eastAsia="de-DE"/>
        </w:rPr>
        <w:sectPr w:rsidR="00430502" w:rsidRPr="00430502"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margin" w:tblpY="1576"/>
        <w:tblOverlap w:val="never"/>
        <w:tblW w:w="0" w:type="auto"/>
        <w:tblLayout w:type="fixed"/>
        <w:tblCellMar>
          <w:left w:w="0" w:type="dxa"/>
          <w:right w:w="0" w:type="dxa"/>
        </w:tblCellMar>
        <w:tblLook w:val="01E0" w:firstRow="1" w:lastRow="1" w:firstColumn="1" w:lastColumn="1" w:noHBand="0" w:noVBand="0"/>
      </w:tblPr>
      <w:tblGrid>
        <w:gridCol w:w="30"/>
      </w:tblGrid>
      <w:tr w:rsidR="00430502" w:rsidRPr="00430502" w14:paraId="4A344D6A" w14:textId="77777777" w:rsidTr="00430502">
        <w:trPr>
          <w:trHeight w:hRule="exact" w:val="273"/>
        </w:trPr>
        <w:tc>
          <w:tcPr>
            <w:tcW w:w="30" w:type="dxa"/>
          </w:tcPr>
          <w:p w14:paraId="6B5F8313" w14:textId="77777777" w:rsidR="00430502" w:rsidRPr="00430502" w:rsidRDefault="00430502" w:rsidP="00430502">
            <w:pPr>
              <w:spacing w:line="220" w:lineRule="exact"/>
              <w:rPr>
                <w:rFonts w:ascii="Georgia" w:hAnsi="Georgia"/>
                <w:sz w:val="17"/>
                <w:lang w:val="en-GB" w:eastAsia="de-DE"/>
              </w:rPr>
            </w:pPr>
          </w:p>
        </w:tc>
      </w:tr>
    </w:tbl>
    <w:p w14:paraId="538AA95C" w14:textId="77777777" w:rsidR="00430502" w:rsidRPr="00430502" w:rsidRDefault="00430502" w:rsidP="00430502">
      <w:pPr>
        <w:spacing w:after="250" w:line="300" w:lineRule="exact"/>
        <w:jc w:val="both"/>
        <w:rPr>
          <w:rFonts w:ascii="Georgia" w:hAnsi="Georgia"/>
          <w:b/>
          <w:lang w:val="en-GB" w:eastAsia="de-DE"/>
        </w:rPr>
      </w:pPr>
      <w:bookmarkStart w:id="0" w:name="_Toc280628648"/>
      <w:r w:rsidRPr="00430502">
        <w:rPr>
          <w:rFonts w:ascii="Georgia" w:hAnsi="Georgia"/>
          <w:b/>
          <w:lang w:val="en-GB" w:eastAsia="de-DE"/>
        </w:rPr>
        <w:t xml:space="preserve">Responding to this paper </w:t>
      </w:r>
    </w:p>
    <w:p w14:paraId="098FFDB3" w14:textId="77777777" w:rsidR="00430502" w:rsidRPr="00430502" w:rsidRDefault="00430502" w:rsidP="00430502">
      <w:pPr>
        <w:spacing w:before="120" w:after="120" w:line="276" w:lineRule="auto"/>
        <w:jc w:val="both"/>
        <w:rPr>
          <w:rFonts w:ascii="Georgia" w:hAnsi="Georgia"/>
          <w:sz w:val="20"/>
          <w:lang w:val="en-GB" w:eastAsia="de-DE"/>
        </w:rPr>
      </w:pPr>
      <w:r w:rsidRPr="00430502">
        <w:rPr>
          <w:rFonts w:ascii="Georgia" w:hAnsi="Georgia"/>
          <w:sz w:val="20"/>
          <w:lang w:val="en-GB" w:eastAsia="de-DE"/>
        </w:rPr>
        <w:t>The European Securities and Markets Authority (ESMA) invites responses to the specific questions listed in the ESMA Consultation Paper - Guidelines on asset segregation under the AIFMD, published on the ESMA website.</w:t>
      </w:r>
    </w:p>
    <w:p w14:paraId="7404763E" w14:textId="77777777" w:rsidR="00430502" w:rsidRPr="00430502" w:rsidRDefault="00430502" w:rsidP="00430502">
      <w:pPr>
        <w:autoSpaceDE w:val="0"/>
        <w:autoSpaceDN w:val="0"/>
        <w:adjustRightInd w:val="0"/>
        <w:spacing w:before="120" w:after="120" w:line="276" w:lineRule="auto"/>
        <w:jc w:val="both"/>
        <w:rPr>
          <w:rFonts w:ascii="Georgia" w:hAnsi="Georgia" w:cs="Georgia"/>
          <w:b/>
          <w:bCs/>
          <w:i/>
          <w:color w:val="000000"/>
          <w:sz w:val="20"/>
          <w:szCs w:val="20"/>
          <w:lang w:val="en-GB" w:eastAsia="en-GB"/>
        </w:rPr>
      </w:pPr>
      <w:r w:rsidRPr="00430502">
        <w:rPr>
          <w:rFonts w:ascii="Georgia" w:hAnsi="Georgia" w:cs="Georgia"/>
          <w:b/>
          <w:bCs/>
          <w:i/>
          <w:color w:val="000000"/>
          <w:sz w:val="20"/>
          <w:szCs w:val="20"/>
          <w:lang w:val="en-GB" w:eastAsia="en-GB"/>
        </w:rPr>
        <w:t>Instructions</w:t>
      </w:r>
    </w:p>
    <w:p w14:paraId="6A392DE5" w14:textId="77777777" w:rsidR="00430502" w:rsidRPr="00430502" w:rsidRDefault="00430502" w:rsidP="00430502">
      <w:pPr>
        <w:spacing w:before="120" w:after="120" w:line="276" w:lineRule="auto"/>
        <w:jc w:val="both"/>
        <w:rPr>
          <w:rFonts w:ascii="Georgia" w:hAnsi="Georgia"/>
          <w:sz w:val="20"/>
          <w:lang w:val="en-GB" w:eastAsia="de-DE"/>
        </w:rPr>
      </w:pPr>
      <w:r w:rsidRPr="00430502">
        <w:rPr>
          <w:rFonts w:ascii="Georgia" w:hAnsi="Georgia"/>
          <w:sz w:val="20"/>
          <w:lang w:val="en-GB" w:eastAsia="de-DE"/>
        </w:rPr>
        <w:t>Please note that, in order to facilitate the analysis of the large number of responses expected, you are requested to use this file to send your response to ESMA so as to allow us to process it properly. Therefore, please follow the instructions described below:</w:t>
      </w:r>
    </w:p>
    <w:p w14:paraId="2EA29052" w14:textId="77777777" w:rsidR="00430502" w:rsidRPr="00430502" w:rsidRDefault="00430502" w:rsidP="00430502">
      <w:pPr>
        <w:numPr>
          <w:ilvl w:val="0"/>
          <w:numId w:val="14"/>
        </w:numPr>
        <w:spacing w:before="120" w:after="120" w:line="276" w:lineRule="auto"/>
        <w:jc w:val="both"/>
        <w:rPr>
          <w:rFonts w:ascii="Georgia" w:hAnsi="Georgia"/>
          <w:sz w:val="20"/>
          <w:lang w:val="en-GB" w:eastAsia="de-DE"/>
        </w:rPr>
      </w:pPr>
      <w:r w:rsidRPr="00430502">
        <w:rPr>
          <w:rFonts w:ascii="Georgia" w:hAnsi="Georgia"/>
          <w:sz w:val="20"/>
          <w:lang w:val="en-GB" w:eastAsia="de-DE"/>
        </w:rPr>
        <w:t>use this form and send your responses in Word format;</w:t>
      </w:r>
    </w:p>
    <w:p w14:paraId="2D87635F" w14:textId="77777777" w:rsidR="00430502" w:rsidRPr="00430502" w:rsidRDefault="00430502" w:rsidP="00430502">
      <w:pPr>
        <w:numPr>
          <w:ilvl w:val="0"/>
          <w:numId w:val="14"/>
        </w:numPr>
        <w:spacing w:before="120" w:after="120" w:line="276" w:lineRule="auto"/>
        <w:jc w:val="both"/>
        <w:rPr>
          <w:rFonts w:ascii="Georgia" w:hAnsi="Georgia"/>
          <w:sz w:val="20"/>
          <w:lang w:val="en-GB" w:eastAsia="de-DE"/>
        </w:rPr>
      </w:pPr>
      <w:r w:rsidRPr="00430502">
        <w:rPr>
          <w:rFonts w:ascii="Georgia" w:hAnsi="Georgia"/>
          <w:sz w:val="20"/>
          <w:lang w:val="en-GB" w:eastAsia="de-DE"/>
        </w:rPr>
        <w:t>do not remove the tags of type &lt;ESMA_QUESTION_G_AIFMD_1&gt; - i.e. the response to one question has to be framed by the 2 tags corresponding to the question; and</w:t>
      </w:r>
    </w:p>
    <w:p w14:paraId="3DFBF539" w14:textId="77777777" w:rsidR="00430502" w:rsidRPr="00430502" w:rsidRDefault="00430502" w:rsidP="00430502">
      <w:pPr>
        <w:numPr>
          <w:ilvl w:val="0"/>
          <w:numId w:val="14"/>
        </w:numPr>
        <w:spacing w:before="120" w:after="120" w:line="276" w:lineRule="auto"/>
        <w:jc w:val="both"/>
        <w:rPr>
          <w:rFonts w:ascii="Georgia" w:hAnsi="Georgia"/>
          <w:sz w:val="20"/>
          <w:lang w:val="en-GB" w:eastAsia="de-DE"/>
        </w:rPr>
      </w:pPr>
      <w:r w:rsidRPr="00430502">
        <w:rPr>
          <w:rFonts w:ascii="Georgia" w:hAnsi="Georgia"/>
          <w:sz w:val="20"/>
          <w:lang w:val="en-GB" w:eastAsia="de-DE"/>
        </w:rPr>
        <w:t>if you do not have a response to a question, do not delete it and leave the text “TYPE YOUR TEXT HERE” between the tags.</w:t>
      </w:r>
    </w:p>
    <w:p w14:paraId="05FB7104" w14:textId="77777777" w:rsidR="00430502" w:rsidRPr="00430502" w:rsidRDefault="00430502" w:rsidP="00430502">
      <w:pPr>
        <w:spacing w:before="120" w:after="120" w:line="276" w:lineRule="auto"/>
        <w:jc w:val="both"/>
        <w:rPr>
          <w:rFonts w:ascii="Georgia" w:hAnsi="Georgia"/>
          <w:sz w:val="20"/>
          <w:lang w:val="en-GB" w:eastAsia="de-DE"/>
        </w:rPr>
      </w:pPr>
      <w:r w:rsidRPr="00430502">
        <w:rPr>
          <w:rFonts w:ascii="Georgia" w:hAnsi="Georgia"/>
          <w:sz w:val="20"/>
          <w:lang w:val="en-GB" w:eastAsia="de-DE"/>
        </w:rPr>
        <w:t>Responses are most helpful:</w:t>
      </w:r>
    </w:p>
    <w:p w14:paraId="1A2B49BF" w14:textId="77777777" w:rsidR="00430502" w:rsidRPr="00430502" w:rsidRDefault="00430502" w:rsidP="00430502">
      <w:pPr>
        <w:numPr>
          <w:ilvl w:val="0"/>
          <w:numId w:val="15"/>
        </w:numPr>
        <w:spacing w:before="120" w:after="120" w:line="276" w:lineRule="auto"/>
        <w:jc w:val="both"/>
        <w:rPr>
          <w:rFonts w:ascii="Georgia" w:hAnsi="Georgia"/>
          <w:sz w:val="20"/>
          <w:lang w:val="en-GB" w:eastAsia="de-DE"/>
        </w:rPr>
      </w:pPr>
      <w:r w:rsidRPr="00430502">
        <w:rPr>
          <w:rFonts w:ascii="Georgia" w:hAnsi="Georgia"/>
          <w:sz w:val="20"/>
          <w:lang w:val="en-GB" w:eastAsia="de-DE"/>
        </w:rPr>
        <w:t>if they respond to the question stated;</w:t>
      </w:r>
    </w:p>
    <w:p w14:paraId="09B8ED12" w14:textId="77777777" w:rsidR="00430502" w:rsidRPr="00430502" w:rsidRDefault="00430502" w:rsidP="00430502">
      <w:pPr>
        <w:numPr>
          <w:ilvl w:val="0"/>
          <w:numId w:val="15"/>
        </w:numPr>
        <w:spacing w:before="120" w:after="120" w:line="276" w:lineRule="auto"/>
        <w:jc w:val="both"/>
        <w:rPr>
          <w:rFonts w:ascii="Georgia" w:hAnsi="Georgia"/>
          <w:sz w:val="20"/>
          <w:lang w:val="en-GB" w:eastAsia="de-DE"/>
        </w:rPr>
      </w:pPr>
      <w:r w:rsidRPr="00430502">
        <w:rPr>
          <w:rFonts w:ascii="Georgia" w:hAnsi="Georgia"/>
          <w:sz w:val="20"/>
          <w:lang w:val="en-GB" w:eastAsia="de-DE"/>
        </w:rPr>
        <w:t>contain a clear rationale, including on any related costs and benefits; and</w:t>
      </w:r>
    </w:p>
    <w:p w14:paraId="166B865C" w14:textId="77777777" w:rsidR="00430502" w:rsidRPr="00430502" w:rsidRDefault="00430502" w:rsidP="00430502">
      <w:pPr>
        <w:numPr>
          <w:ilvl w:val="0"/>
          <w:numId w:val="15"/>
        </w:numPr>
        <w:spacing w:before="120" w:after="120" w:line="276" w:lineRule="auto"/>
        <w:jc w:val="both"/>
        <w:rPr>
          <w:rFonts w:ascii="Georgia" w:hAnsi="Georgia"/>
          <w:sz w:val="20"/>
          <w:lang w:val="en-GB" w:eastAsia="de-DE"/>
        </w:rPr>
      </w:pPr>
      <w:r w:rsidRPr="00430502">
        <w:rPr>
          <w:rFonts w:ascii="Georgia" w:hAnsi="Georgia"/>
          <w:sz w:val="20"/>
          <w:lang w:val="en-GB" w:eastAsia="de-DE"/>
        </w:rPr>
        <w:t>describe any alternatives that ESMA should consider</w:t>
      </w:r>
    </w:p>
    <w:p w14:paraId="360E4174" w14:textId="77777777" w:rsidR="00430502" w:rsidRPr="00430502" w:rsidRDefault="00430502" w:rsidP="00430502">
      <w:pPr>
        <w:spacing w:before="120" w:after="120" w:line="276" w:lineRule="auto"/>
        <w:rPr>
          <w:rFonts w:ascii="Georgia" w:hAnsi="Georgia"/>
          <w:b/>
          <w:sz w:val="20"/>
          <w:lang w:val="en-GB" w:eastAsia="de-DE"/>
        </w:rPr>
      </w:pPr>
      <w:r w:rsidRPr="00430502">
        <w:rPr>
          <w:rFonts w:ascii="Georgia" w:hAnsi="Georgia"/>
          <w:b/>
          <w:sz w:val="20"/>
          <w:lang w:val="en-GB" w:eastAsia="de-DE"/>
        </w:rPr>
        <w:t>Naming protocol:</w:t>
      </w:r>
    </w:p>
    <w:p w14:paraId="5BF1C44C" w14:textId="77777777" w:rsidR="00430502" w:rsidRPr="00430502" w:rsidRDefault="00430502" w:rsidP="00430502">
      <w:pPr>
        <w:spacing w:before="120" w:after="120" w:line="276" w:lineRule="auto"/>
        <w:rPr>
          <w:rFonts w:ascii="Georgia" w:hAnsi="Georgia"/>
          <w:sz w:val="20"/>
          <w:lang w:val="en-GB" w:eastAsia="de-DE"/>
        </w:rPr>
      </w:pPr>
      <w:r w:rsidRPr="00430502">
        <w:rPr>
          <w:rFonts w:ascii="Georgia" w:hAnsi="Georgia"/>
          <w:sz w:val="20"/>
          <w:lang w:val="en-GB" w:eastAsia="de-DE"/>
        </w:rPr>
        <w:t>In order to facilitate the handling of stakeholders responses please save your document using the following format:</w:t>
      </w:r>
    </w:p>
    <w:p w14:paraId="65048A8C" w14:textId="77777777" w:rsidR="00430502" w:rsidRPr="00430502" w:rsidRDefault="00430502" w:rsidP="00430502">
      <w:pPr>
        <w:spacing w:before="120" w:after="120" w:line="276" w:lineRule="auto"/>
        <w:rPr>
          <w:rFonts w:ascii="Georgia" w:hAnsi="Georgia"/>
          <w:sz w:val="20"/>
          <w:lang w:val="en-GB" w:eastAsia="de-DE"/>
        </w:rPr>
      </w:pPr>
      <w:bookmarkStart w:id="1" w:name="_GoBack"/>
      <w:r w:rsidRPr="00430502">
        <w:rPr>
          <w:rFonts w:ascii="Georgia" w:hAnsi="Georgia"/>
          <w:sz w:val="20"/>
          <w:lang w:val="en-GB" w:eastAsia="de-DE"/>
        </w:rPr>
        <w:lastRenderedPageBreak/>
        <w:t>ESMA_CE_G_AIFMD _NAMEOFCOMPANY_NAMEOFDOCUMENT</w:t>
      </w:r>
      <w:bookmarkEnd w:id="1"/>
      <w:r w:rsidRPr="00430502">
        <w:rPr>
          <w:rFonts w:ascii="Georgia" w:hAnsi="Georgia"/>
          <w:sz w:val="20"/>
          <w:lang w:val="en-GB" w:eastAsia="de-DE"/>
        </w:rPr>
        <w:t>.</w:t>
      </w:r>
    </w:p>
    <w:p w14:paraId="7A440F1F" w14:textId="77777777" w:rsidR="00430502" w:rsidRPr="00430502" w:rsidRDefault="00430502" w:rsidP="00430502">
      <w:pPr>
        <w:spacing w:before="120" w:after="120" w:line="276" w:lineRule="auto"/>
        <w:rPr>
          <w:rFonts w:ascii="Georgia" w:hAnsi="Georgia"/>
          <w:sz w:val="20"/>
          <w:lang w:val="en-GB" w:eastAsia="de-DE"/>
        </w:rPr>
      </w:pPr>
      <w:r w:rsidRPr="00430502">
        <w:rPr>
          <w:rFonts w:ascii="Georgia" w:hAnsi="Georgia"/>
          <w:sz w:val="20"/>
          <w:lang w:val="en-GB" w:eastAsia="de-DE"/>
        </w:rPr>
        <w:t>E.g. if the respondent were ESMA, the name of the reply form would be ESMA_CE_G_AIFMD _AIXX_REPLYFORM or ESMA_CE_G_AIFMD_AIXX_ANNEX1</w:t>
      </w:r>
    </w:p>
    <w:p w14:paraId="2005188B" w14:textId="77777777" w:rsidR="00430502" w:rsidRPr="00430502" w:rsidRDefault="00430502" w:rsidP="00430502">
      <w:pPr>
        <w:spacing w:before="120" w:after="120" w:line="276" w:lineRule="auto"/>
        <w:jc w:val="both"/>
        <w:rPr>
          <w:rFonts w:ascii="Georgia" w:hAnsi="Georgia"/>
          <w:sz w:val="20"/>
          <w:lang w:val="en-GB" w:eastAsia="de-DE"/>
        </w:rPr>
      </w:pPr>
      <w:r w:rsidRPr="00430502">
        <w:rPr>
          <w:rFonts w:ascii="Georgia" w:hAnsi="Georgia"/>
          <w:sz w:val="20"/>
          <w:lang w:val="en-GB" w:eastAsia="de-DE"/>
        </w:rPr>
        <w:t xml:space="preserve">Responses must reach us by </w:t>
      </w:r>
      <w:r w:rsidRPr="00430502">
        <w:rPr>
          <w:rFonts w:ascii="Georgia" w:hAnsi="Georgia"/>
          <w:b/>
          <w:sz w:val="20"/>
          <w:lang w:val="en-GB" w:eastAsia="de-DE"/>
        </w:rPr>
        <w:t>30 January 2015</w:t>
      </w:r>
      <w:r w:rsidRPr="00430502">
        <w:rPr>
          <w:rFonts w:ascii="Georgia" w:hAnsi="Georgia"/>
          <w:sz w:val="20"/>
          <w:lang w:val="en-GB" w:eastAsia="de-DE"/>
        </w:rPr>
        <w:t xml:space="preserve">. </w:t>
      </w:r>
    </w:p>
    <w:p w14:paraId="7E8B3EC5" w14:textId="77777777" w:rsidR="00430502" w:rsidRPr="00430502" w:rsidRDefault="00430502" w:rsidP="00430502">
      <w:pPr>
        <w:spacing w:before="120" w:after="120" w:line="276" w:lineRule="auto"/>
        <w:jc w:val="both"/>
        <w:rPr>
          <w:rFonts w:ascii="Georgia" w:hAnsi="Georgia"/>
          <w:sz w:val="20"/>
          <w:lang w:val="en-GB" w:eastAsia="de-DE"/>
        </w:rPr>
      </w:pPr>
      <w:r w:rsidRPr="00430502">
        <w:rPr>
          <w:rFonts w:ascii="Georgia" w:hAnsi="Georgia"/>
          <w:sz w:val="20"/>
          <w:lang w:val="en-GB" w:eastAsia="de-DE"/>
        </w:rPr>
        <w:t xml:space="preserve">All contributions should be submitted online at </w:t>
      </w:r>
      <w:hyperlink r:id="rId13" w:history="1">
        <w:r w:rsidRPr="00430502">
          <w:rPr>
            <w:rFonts w:ascii="Georgia" w:hAnsi="Georgia"/>
            <w:color w:val="0000FF"/>
            <w:sz w:val="20"/>
            <w:u w:val="single"/>
            <w:lang w:val="en-GB" w:eastAsia="de-DE"/>
          </w:rPr>
          <w:t>www.esma.europa.eu</w:t>
        </w:r>
      </w:hyperlink>
      <w:r w:rsidRPr="00430502">
        <w:rPr>
          <w:rFonts w:ascii="Georgia" w:hAnsi="Georgia"/>
          <w:sz w:val="20"/>
          <w:lang w:val="en-GB" w:eastAsia="de-DE"/>
        </w:rPr>
        <w:t xml:space="preserve"> under the heading ‘Your input/Consultations’. </w:t>
      </w:r>
    </w:p>
    <w:p w14:paraId="3EF40733" w14:textId="77777777" w:rsidR="00430502" w:rsidRPr="00430502" w:rsidRDefault="00430502" w:rsidP="00430502">
      <w:pPr>
        <w:autoSpaceDE w:val="0"/>
        <w:autoSpaceDN w:val="0"/>
        <w:adjustRightInd w:val="0"/>
        <w:spacing w:before="120" w:after="120" w:line="276" w:lineRule="auto"/>
        <w:jc w:val="both"/>
        <w:rPr>
          <w:rFonts w:ascii="Georgia" w:hAnsi="Georgia" w:cs="Georgia"/>
          <w:b/>
          <w:bCs/>
          <w:i/>
          <w:color w:val="000000"/>
          <w:sz w:val="20"/>
          <w:szCs w:val="20"/>
          <w:lang w:val="en-GB" w:eastAsia="en-GB"/>
        </w:rPr>
      </w:pPr>
      <w:bookmarkStart w:id="2" w:name="_Toc335141334"/>
      <w:r w:rsidRPr="00430502">
        <w:rPr>
          <w:rFonts w:ascii="Georgia" w:hAnsi="Georgia" w:cs="Georgia"/>
          <w:b/>
          <w:bCs/>
          <w:i/>
          <w:color w:val="000000"/>
          <w:sz w:val="20"/>
          <w:szCs w:val="20"/>
          <w:lang w:val="en-GB" w:eastAsia="en-GB"/>
        </w:rPr>
        <w:t>Publication of responses</w:t>
      </w:r>
      <w:bookmarkEnd w:id="2"/>
    </w:p>
    <w:p w14:paraId="32C4FE47" w14:textId="77777777" w:rsidR="00430502" w:rsidRPr="00430502" w:rsidRDefault="00430502" w:rsidP="00430502">
      <w:pPr>
        <w:spacing w:before="120" w:after="120" w:line="276" w:lineRule="auto"/>
        <w:jc w:val="both"/>
        <w:rPr>
          <w:rFonts w:ascii="Georgia" w:hAnsi="Georgia"/>
          <w:sz w:val="20"/>
          <w:lang w:val="en-GB" w:eastAsia="de-DE"/>
        </w:rPr>
      </w:pPr>
      <w:r w:rsidRPr="00430502">
        <w:rPr>
          <w:rFonts w:ascii="Georgia" w:hAnsi="Georgia"/>
          <w:sz w:val="20"/>
          <w:lang w:val="en-GB" w:eastAsia="de-DE"/>
        </w:rPr>
        <w:t xml:space="preserve">All contributions received will be published following the end of the consultation period, unless otherwise requested. </w:t>
      </w:r>
      <w:r w:rsidRPr="00430502">
        <w:rPr>
          <w:rFonts w:ascii="Georgia" w:hAnsi="Georgia"/>
          <w:b/>
          <w:sz w:val="20"/>
          <w:lang w:val="en-GB" w:eastAsia="de-DE"/>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430502">
        <w:rPr>
          <w:rFonts w:ascii="Georgia" w:hAnsi="Georgia"/>
          <w:sz w:val="20"/>
          <w:lang w:val="en-GB" w:eastAsia="de-DE"/>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4A5BBFF6" w14:textId="77777777" w:rsidR="00430502" w:rsidRPr="00430502" w:rsidRDefault="00430502" w:rsidP="00430502">
      <w:pPr>
        <w:autoSpaceDE w:val="0"/>
        <w:autoSpaceDN w:val="0"/>
        <w:adjustRightInd w:val="0"/>
        <w:spacing w:before="120" w:after="120" w:line="276" w:lineRule="auto"/>
        <w:jc w:val="both"/>
        <w:rPr>
          <w:rFonts w:ascii="Georgia" w:hAnsi="Georgia" w:cs="Georgia"/>
          <w:b/>
          <w:bCs/>
          <w:i/>
          <w:color w:val="000000"/>
          <w:sz w:val="20"/>
          <w:szCs w:val="20"/>
          <w:lang w:val="en-GB" w:eastAsia="en-GB"/>
        </w:rPr>
      </w:pPr>
      <w:bookmarkStart w:id="3" w:name="_Toc335141335"/>
      <w:r w:rsidRPr="00430502">
        <w:rPr>
          <w:rFonts w:ascii="Georgia" w:hAnsi="Georgia" w:cs="Georgia"/>
          <w:b/>
          <w:bCs/>
          <w:i/>
          <w:color w:val="000000"/>
          <w:sz w:val="20"/>
          <w:szCs w:val="20"/>
          <w:lang w:val="en-GB" w:eastAsia="en-GB"/>
        </w:rPr>
        <w:t>Data protection</w:t>
      </w:r>
      <w:bookmarkEnd w:id="3"/>
    </w:p>
    <w:p w14:paraId="3CE015DC" w14:textId="77777777" w:rsidR="00430502" w:rsidRPr="00430502" w:rsidRDefault="00430502" w:rsidP="00430502">
      <w:pPr>
        <w:autoSpaceDE w:val="0"/>
        <w:autoSpaceDN w:val="0"/>
        <w:adjustRightInd w:val="0"/>
        <w:spacing w:before="120" w:after="120" w:line="276" w:lineRule="auto"/>
        <w:jc w:val="both"/>
        <w:rPr>
          <w:rFonts w:ascii="Georgia" w:hAnsi="Georgia"/>
          <w:sz w:val="20"/>
          <w:szCs w:val="20"/>
          <w:lang w:val="en-GB" w:eastAsia="de-DE"/>
        </w:rPr>
      </w:pPr>
      <w:r w:rsidRPr="00430502">
        <w:rPr>
          <w:rFonts w:ascii="Georgia" w:hAnsi="Georgia"/>
          <w:sz w:val="20"/>
          <w:szCs w:val="20"/>
          <w:lang w:val="en-GB" w:eastAsia="de-DE"/>
        </w:rPr>
        <w:t xml:space="preserve">Information on data protection can be found at </w:t>
      </w:r>
      <w:hyperlink r:id="rId14" w:history="1">
        <w:r w:rsidRPr="00430502">
          <w:rPr>
            <w:rFonts w:ascii="Georgia" w:hAnsi="Georgia"/>
            <w:color w:val="0000FF"/>
            <w:sz w:val="20"/>
            <w:szCs w:val="20"/>
            <w:u w:val="single"/>
            <w:lang w:val="en-GB" w:eastAsia="de-DE"/>
          </w:rPr>
          <w:t>www.esma.europa.eu</w:t>
        </w:r>
      </w:hyperlink>
      <w:r w:rsidRPr="00430502">
        <w:rPr>
          <w:rFonts w:ascii="Georgia" w:hAnsi="Georgia"/>
          <w:sz w:val="20"/>
          <w:szCs w:val="20"/>
          <w:lang w:val="en-GB" w:eastAsia="de-DE"/>
        </w:rPr>
        <w:t xml:space="preserve"> under the heading ‘Disclaimer’.</w:t>
      </w:r>
    </w:p>
    <w:bookmarkEnd w:id="0"/>
    <w:p w14:paraId="7BB37C6C" w14:textId="77777777" w:rsidR="00430502" w:rsidRPr="00430502" w:rsidRDefault="00430502" w:rsidP="00430502">
      <w:pPr>
        <w:keepNext/>
        <w:keepLines/>
        <w:spacing w:before="200"/>
        <w:ind w:left="360" w:hanging="360"/>
        <w:jc w:val="both"/>
        <w:outlineLvl w:val="4"/>
        <w:rPr>
          <w:rFonts w:ascii="Georgia" w:eastAsia="Calibri" w:hAnsi="Georgia"/>
          <w:b/>
          <w:sz w:val="20"/>
          <w:lang w:val="en-GB" w:eastAsia="de-DE"/>
        </w:rPr>
      </w:pPr>
      <w:r w:rsidRPr="00430502">
        <w:rPr>
          <w:rFonts w:ascii="Georgia" w:eastAsia="Calibri" w:hAnsi="Georgia"/>
          <w:b/>
          <w:sz w:val="20"/>
          <w:lang w:val="en-GB" w:eastAsia="de-DE"/>
        </w:rPr>
        <w:t xml:space="preserve">Which of the two identified options do you prefer? </w:t>
      </w:r>
    </w:p>
    <w:p w14:paraId="2FB943D4" w14:textId="77777777" w:rsidR="00430502" w:rsidRPr="00430502" w:rsidRDefault="00430502" w:rsidP="00430502">
      <w:pPr>
        <w:rPr>
          <w:rFonts w:ascii="Georgia" w:hAnsi="Georgia"/>
          <w:sz w:val="20"/>
          <w:lang w:val="en-GB" w:eastAsia="de-DE"/>
        </w:rPr>
      </w:pPr>
    </w:p>
    <w:p w14:paraId="716BFAF2" w14:textId="77777777" w:rsid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&lt;ESMA_QUESTION_G_AIFMD_1&gt;</w:t>
      </w:r>
    </w:p>
    <w:p w14:paraId="3794EBE7" w14:textId="77777777" w:rsidR="00035FED" w:rsidRPr="00035FED" w:rsidRDefault="00035FED" w:rsidP="00ED1737">
      <w:pPr>
        <w:jc w:val="both"/>
        <w:rPr>
          <w:rFonts w:ascii="Georgia" w:hAnsi="Georgia"/>
          <w:sz w:val="20"/>
          <w:lang w:val="en-GB" w:eastAsia="de-DE"/>
        </w:rPr>
      </w:pPr>
      <w:r w:rsidRPr="00035FED">
        <w:rPr>
          <w:rFonts w:ascii="Georgia" w:hAnsi="Georgia"/>
          <w:sz w:val="20"/>
          <w:lang w:val="en-GB" w:eastAsia="de-DE"/>
        </w:rPr>
        <w:lastRenderedPageBreak/>
        <w:t xml:space="preserve">We refer you to the submission of the Association for Financial Markets in Europe (AFME). We agree fully with AFME’s submission and we wish to indicate our support for the response and analysis put forward in their response to this question. </w:t>
      </w:r>
    </w:p>
    <w:p w14:paraId="4A7B128E" w14:textId="79ECDB17" w:rsidR="001C01BC" w:rsidRPr="00430502" w:rsidRDefault="00035FED" w:rsidP="00ED1737">
      <w:pPr>
        <w:jc w:val="both"/>
        <w:rPr>
          <w:rFonts w:ascii="Georgia" w:hAnsi="Georgia"/>
          <w:sz w:val="20"/>
          <w:lang w:val="en-GB" w:eastAsia="de-DE"/>
        </w:rPr>
      </w:pPr>
      <w:r w:rsidRPr="00035FED">
        <w:rPr>
          <w:rFonts w:ascii="Georgia" w:hAnsi="Georgia"/>
          <w:sz w:val="20"/>
          <w:lang w:val="en-GB" w:eastAsia="de-DE"/>
        </w:rPr>
        <w:t>We agree with AFME</w:t>
      </w:r>
      <w:r w:rsidR="001C01BC">
        <w:rPr>
          <w:rFonts w:ascii="Georgia" w:hAnsi="Georgia"/>
          <w:sz w:val="20"/>
          <w:lang w:val="en-GB" w:eastAsia="de-DE"/>
        </w:rPr>
        <w:t xml:space="preserve"> that </w:t>
      </w:r>
      <w:r>
        <w:rPr>
          <w:rFonts w:ascii="Georgia" w:hAnsi="Georgia"/>
          <w:sz w:val="20"/>
          <w:lang w:val="en-GB" w:eastAsia="de-DE"/>
        </w:rPr>
        <w:t>n</w:t>
      </w:r>
      <w:r w:rsidR="001C01BC">
        <w:rPr>
          <w:rFonts w:ascii="Georgia" w:hAnsi="Georgia"/>
          <w:sz w:val="20"/>
          <w:lang w:val="en-GB" w:eastAsia="de-DE"/>
        </w:rPr>
        <w:t xml:space="preserve">either option 1 </w:t>
      </w:r>
      <w:r>
        <w:rPr>
          <w:rFonts w:ascii="Georgia" w:hAnsi="Georgia"/>
          <w:sz w:val="20"/>
          <w:lang w:val="en-GB" w:eastAsia="de-DE"/>
        </w:rPr>
        <w:t>n</w:t>
      </w:r>
      <w:r w:rsidR="001C01BC">
        <w:rPr>
          <w:rFonts w:ascii="Georgia" w:hAnsi="Georgia"/>
          <w:sz w:val="20"/>
          <w:lang w:val="en-GB" w:eastAsia="de-DE"/>
        </w:rPr>
        <w:t xml:space="preserve">or option 2 provides the </w:t>
      </w:r>
      <w:r w:rsidR="00EC0E67">
        <w:rPr>
          <w:rFonts w:ascii="Georgia" w:hAnsi="Georgia"/>
          <w:sz w:val="20"/>
          <w:lang w:val="en-GB" w:eastAsia="de-DE"/>
        </w:rPr>
        <w:t>optimal</w:t>
      </w:r>
      <w:r w:rsidR="001C01BC">
        <w:rPr>
          <w:rFonts w:ascii="Georgia" w:hAnsi="Georgia"/>
          <w:sz w:val="20"/>
          <w:lang w:val="en-GB" w:eastAsia="de-DE"/>
        </w:rPr>
        <w:t xml:space="preserve"> solution. </w:t>
      </w:r>
      <w:r w:rsidR="00F72CD6">
        <w:rPr>
          <w:rFonts w:ascii="Georgia" w:hAnsi="Georgia"/>
          <w:sz w:val="20"/>
          <w:lang w:val="en-GB" w:eastAsia="de-DE"/>
        </w:rPr>
        <w:t xml:space="preserve">We </w:t>
      </w:r>
      <w:r w:rsidR="002772D5">
        <w:rPr>
          <w:rFonts w:ascii="Georgia" w:hAnsi="Georgia"/>
          <w:sz w:val="20"/>
          <w:lang w:val="en-GB" w:eastAsia="de-DE"/>
        </w:rPr>
        <w:t xml:space="preserve">consider </w:t>
      </w:r>
      <w:r w:rsidR="002772D5" w:rsidRPr="002772D5">
        <w:rPr>
          <w:rFonts w:ascii="Georgia" w:hAnsi="Georgia"/>
          <w:sz w:val="20"/>
          <w:lang w:val="en-GB" w:eastAsia="de-DE"/>
        </w:rPr>
        <w:t xml:space="preserve">that option 4 would provide the best solution and disagree with ESMA’s reasoning for discarding Option 4 in favour of Option 1 or Option 2. </w:t>
      </w:r>
      <w:r w:rsidR="00F72CD6">
        <w:rPr>
          <w:rFonts w:ascii="Georgia" w:hAnsi="Georgia"/>
          <w:sz w:val="20"/>
          <w:lang w:val="en-GB" w:eastAsia="de-DE"/>
        </w:rPr>
        <w:t xml:space="preserve"> </w:t>
      </w:r>
      <w:r w:rsidR="002772D5">
        <w:rPr>
          <w:rFonts w:ascii="Georgia" w:hAnsi="Georgia"/>
          <w:sz w:val="20"/>
          <w:lang w:val="en-GB" w:eastAsia="de-DE"/>
        </w:rPr>
        <w:t xml:space="preserve">However, of the two identified options, we consider that option 2 would be preferable.  </w:t>
      </w:r>
    </w:p>
    <w:p w14:paraId="1834658A"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&lt;ESMA_QUESTION_G_AIFMD_1&gt;</w:t>
      </w:r>
    </w:p>
    <w:p w14:paraId="2D282E69" w14:textId="77777777" w:rsidR="00430502" w:rsidRPr="00430502" w:rsidRDefault="00430502" w:rsidP="00ED1737">
      <w:pPr>
        <w:keepNext/>
        <w:keepLines/>
        <w:spacing w:before="200"/>
        <w:ind w:left="360" w:hanging="360"/>
        <w:jc w:val="both"/>
        <w:outlineLvl w:val="4"/>
        <w:rPr>
          <w:rFonts w:ascii="Georgia" w:eastAsia="Calibri" w:hAnsi="Georgia"/>
          <w:b/>
          <w:sz w:val="20"/>
          <w:lang w:val="en-GB" w:eastAsia="de-DE"/>
        </w:rPr>
      </w:pPr>
      <w:r w:rsidRPr="00430502">
        <w:rPr>
          <w:rFonts w:ascii="Georgia" w:eastAsia="Calibri" w:hAnsi="Georgia"/>
          <w:b/>
          <w:sz w:val="20"/>
          <w:lang w:val="en-GB" w:eastAsia="de-DE"/>
        </w:rPr>
        <w:t>Would you suggest any alternative option which is compatible with the AIFMD and its implementing measures? If yes, please provide details.</w:t>
      </w:r>
    </w:p>
    <w:p w14:paraId="79892C5C" w14:textId="77777777" w:rsidR="00430502" w:rsidRPr="00430502" w:rsidRDefault="00430502" w:rsidP="00ED1737">
      <w:pPr>
        <w:jc w:val="both"/>
        <w:rPr>
          <w:rFonts w:ascii="Georgia" w:hAnsi="Georgia"/>
          <w:sz w:val="20"/>
          <w:lang w:val="en-GB" w:eastAsia="de-DE"/>
        </w:rPr>
      </w:pPr>
    </w:p>
    <w:p w14:paraId="1E77CACC"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&lt;ESMA_QUESTION_G_AIFMD_2&gt;</w:t>
      </w:r>
    </w:p>
    <w:p w14:paraId="1ED18024" w14:textId="45DDDA9F" w:rsidR="00035FED" w:rsidRDefault="00035FED" w:rsidP="00ED1737">
      <w:pPr>
        <w:jc w:val="both"/>
        <w:rPr>
          <w:rFonts w:ascii="Georgia" w:hAnsi="Georgia"/>
          <w:sz w:val="20"/>
          <w:lang w:val="en-GB" w:eastAsia="de-DE"/>
        </w:rPr>
      </w:pPr>
      <w:r w:rsidRPr="00035FED">
        <w:rPr>
          <w:rFonts w:ascii="Georgia" w:hAnsi="Georgia"/>
          <w:sz w:val="20"/>
          <w:lang w:val="en-GB" w:eastAsia="de-DE"/>
        </w:rPr>
        <w:t xml:space="preserve">We refer you again to the submission of AFME. We agree fully with AFME’s submission and we wish to indicate our support for the response and analysis put forward in their response to this question. </w:t>
      </w:r>
    </w:p>
    <w:p w14:paraId="023343DE" w14:textId="77777777" w:rsidR="00035FED" w:rsidRDefault="00035FED" w:rsidP="00ED1737">
      <w:pPr>
        <w:jc w:val="both"/>
        <w:rPr>
          <w:rFonts w:ascii="Georgia" w:hAnsi="Georgia"/>
          <w:sz w:val="20"/>
          <w:lang w:val="en-GB" w:eastAsia="de-DE"/>
        </w:rPr>
      </w:pPr>
    </w:p>
    <w:p w14:paraId="54FBCC32" w14:textId="02E02761" w:rsidR="001C01BC" w:rsidRPr="00506FDD" w:rsidRDefault="001C01BC" w:rsidP="00ED1737">
      <w:pPr>
        <w:jc w:val="both"/>
        <w:rPr>
          <w:rFonts w:ascii="Georgia" w:hAnsi="Georgia"/>
          <w:sz w:val="20"/>
          <w:lang w:val="en-GB" w:eastAsia="de-DE"/>
        </w:rPr>
      </w:pPr>
      <w:r>
        <w:rPr>
          <w:rFonts w:ascii="Georgia" w:hAnsi="Georgia"/>
          <w:sz w:val="20"/>
          <w:lang w:val="en-GB" w:eastAsia="de-DE"/>
        </w:rPr>
        <w:t xml:space="preserve">AIMA </w:t>
      </w:r>
      <w:r w:rsidR="00035FED">
        <w:rPr>
          <w:rFonts w:ascii="Georgia" w:hAnsi="Georgia"/>
          <w:sz w:val="20"/>
          <w:lang w:val="en-GB" w:eastAsia="de-DE"/>
        </w:rPr>
        <w:t xml:space="preserve">agrees with AFME </w:t>
      </w:r>
      <w:r>
        <w:rPr>
          <w:rFonts w:ascii="Georgia" w:hAnsi="Georgia"/>
          <w:sz w:val="20"/>
          <w:lang w:val="en-GB" w:eastAsia="de-DE"/>
        </w:rPr>
        <w:t xml:space="preserve">that </w:t>
      </w:r>
      <w:r w:rsidRPr="00506FDD">
        <w:rPr>
          <w:rFonts w:ascii="Georgia" w:hAnsi="Georgia"/>
          <w:sz w:val="20"/>
          <w:lang w:val="en-GB" w:eastAsia="de-DE"/>
        </w:rPr>
        <w:t>option 4</w:t>
      </w:r>
      <w:r>
        <w:rPr>
          <w:rFonts w:ascii="Georgia" w:hAnsi="Georgia"/>
          <w:sz w:val="20"/>
          <w:lang w:val="en-GB" w:eastAsia="de-DE"/>
        </w:rPr>
        <w:t xml:space="preserve"> would provide the best solution and disagree</w:t>
      </w:r>
      <w:r w:rsidR="00035FED">
        <w:rPr>
          <w:rFonts w:ascii="Georgia" w:hAnsi="Georgia"/>
          <w:sz w:val="20"/>
          <w:lang w:val="en-GB" w:eastAsia="de-DE"/>
        </w:rPr>
        <w:t>s</w:t>
      </w:r>
      <w:r w:rsidRPr="00506FDD">
        <w:rPr>
          <w:rFonts w:ascii="Georgia" w:hAnsi="Georgia"/>
          <w:sz w:val="20"/>
          <w:lang w:val="en-GB" w:eastAsia="de-DE"/>
        </w:rPr>
        <w:t xml:space="preserve"> with ESMA’s reasoning for discarding Option 4 in favour of Option 1 or Option 2.</w:t>
      </w:r>
      <w:r>
        <w:rPr>
          <w:rFonts w:ascii="Georgia" w:hAnsi="Georgia"/>
          <w:sz w:val="20"/>
          <w:lang w:val="en-GB" w:eastAsia="de-DE"/>
        </w:rPr>
        <w:t xml:space="preserve"> </w:t>
      </w:r>
      <w:r w:rsidR="00814E56">
        <w:rPr>
          <w:rFonts w:ascii="Georgia" w:hAnsi="Georgia"/>
          <w:sz w:val="20"/>
          <w:lang w:val="en-GB" w:eastAsia="de-DE"/>
        </w:rPr>
        <w:t>O</w:t>
      </w:r>
      <w:r w:rsidR="00814E56" w:rsidRPr="00814E56">
        <w:rPr>
          <w:rFonts w:ascii="Georgia" w:hAnsi="Georgia"/>
          <w:sz w:val="20"/>
          <w:lang w:val="en-GB" w:eastAsia="de-DE"/>
        </w:rPr>
        <w:t xml:space="preserve">ption 4 is </w:t>
      </w:r>
      <w:r w:rsidR="00814E56">
        <w:rPr>
          <w:rFonts w:ascii="Georgia" w:hAnsi="Georgia"/>
          <w:sz w:val="20"/>
          <w:lang w:val="en-GB" w:eastAsia="de-DE"/>
        </w:rPr>
        <w:t xml:space="preserve">both </w:t>
      </w:r>
      <w:r w:rsidR="00814E56" w:rsidRPr="00814E56">
        <w:rPr>
          <w:rFonts w:ascii="Georgia" w:hAnsi="Georgia"/>
          <w:sz w:val="20"/>
          <w:lang w:val="en-GB" w:eastAsia="de-DE"/>
        </w:rPr>
        <w:t>consistent with AIFMD</w:t>
      </w:r>
      <w:r w:rsidR="00814E56">
        <w:rPr>
          <w:rFonts w:ascii="Georgia" w:hAnsi="Georgia"/>
          <w:sz w:val="20"/>
          <w:lang w:val="en-GB" w:eastAsia="de-DE"/>
        </w:rPr>
        <w:t xml:space="preserve"> and</w:t>
      </w:r>
      <w:r w:rsidR="00814E56" w:rsidRPr="00814E56">
        <w:rPr>
          <w:rFonts w:ascii="Georgia" w:hAnsi="Georgia"/>
          <w:sz w:val="20"/>
          <w:lang w:val="en-GB" w:eastAsia="de-DE"/>
        </w:rPr>
        <w:t xml:space="preserve"> achieves the objectives of AIFMD </w:t>
      </w:r>
      <w:r w:rsidR="00814E56">
        <w:rPr>
          <w:rFonts w:ascii="Georgia" w:hAnsi="Georgia"/>
          <w:sz w:val="20"/>
          <w:lang w:val="en-GB" w:eastAsia="de-DE"/>
        </w:rPr>
        <w:t>regarding</w:t>
      </w:r>
      <w:r w:rsidR="00814E56" w:rsidRPr="00814E56">
        <w:rPr>
          <w:rFonts w:ascii="Georgia" w:hAnsi="Georgia"/>
          <w:sz w:val="20"/>
          <w:lang w:val="en-GB" w:eastAsia="de-DE"/>
        </w:rPr>
        <w:t xml:space="preserve"> investor and client asset protection.</w:t>
      </w:r>
      <w:r w:rsidR="00035FED" w:rsidDel="00035FED">
        <w:rPr>
          <w:rFonts w:ascii="Georgia" w:hAnsi="Georgia"/>
          <w:sz w:val="20"/>
          <w:lang w:val="en-GB" w:eastAsia="de-DE"/>
        </w:rPr>
        <w:t xml:space="preserve"> </w:t>
      </w:r>
      <w:r w:rsidRPr="00ED1737">
        <w:rPr>
          <w:rFonts w:ascii="Georgia" w:hAnsi="Georgia"/>
          <w:sz w:val="20"/>
          <w:lang w:val="en-GB" w:eastAsia="de-DE"/>
        </w:rPr>
        <w:t xml:space="preserve">Option 4 </w:t>
      </w:r>
      <w:r w:rsidR="00221A54" w:rsidRPr="00ED1737">
        <w:rPr>
          <w:rFonts w:ascii="Georgia" w:hAnsi="Georgia"/>
          <w:sz w:val="20"/>
          <w:lang w:val="en-GB" w:eastAsia="de-DE"/>
        </w:rPr>
        <w:t xml:space="preserve">is the model that is currently being used by the </w:t>
      </w:r>
      <w:r w:rsidR="00035FED" w:rsidRPr="00ED1737">
        <w:rPr>
          <w:rFonts w:ascii="Georgia" w:hAnsi="Georgia"/>
          <w:sz w:val="20"/>
          <w:lang w:val="en-GB" w:eastAsia="de-DE"/>
        </w:rPr>
        <w:t xml:space="preserve">prime brokerage market </w:t>
      </w:r>
      <w:r w:rsidRPr="00ED1737">
        <w:rPr>
          <w:rFonts w:ascii="Georgia" w:hAnsi="Georgia"/>
          <w:sz w:val="20"/>
          <w:lang w:val="en-GB" w:eastAsia="de-DE"/>
        </w:rPr>
        <w:t>and is consistent with</w:t>
      </w:r>
      <w:r w:rsidR="005D7047">
        <w:rPr>
          <w:rFonts w:ascii="Georgia" w:hAnsi="Georgia"/>
          <w:sz w:val="20"/>
          <w:lang w:val="en-GB" w:eastAsia="de-DE"/>
        </w:rPr>
        <w:t xml:space="preserve"> the Markets in Financial Instruments</w:t>
      </w:r>
      <w:r w:rsidRPr="00ED1737">
        <w:rPr>
          <w:rFonts w:ascii="Georgia" w:hAnsi="Georgia"/>
          <w:sz w:val="20"/>
          <w:lang w:val="en-GB" w:eastAsia="de-DE"/>
        </w:rPr>
        <w:t xml:space="preserve"> </w:t>
      </w:r>
      <w:r w:rsidR="00EC0E67" w:rsidRPr="00ED1737">
        <w:rPr>
          <w:rFonts w:ascii="Georgia" w:hAnsi="Georgia"/>
          <w:sz w:val="20"/>
          <w:lang w:val="en-GB" w:eastAsia="de-DE"/>
        </w:rPr>
        <w:t>Directive (</w:t>
      </w:r>
      <w:r w:rsidRPr="00ED1737">
        <w:rPr>
          <w:rFonts w:ascii="Georgia" w:hAnsi="Georgia"/>
          <w:sz w:val="20"/>
          <w:lang w:val="en-GB" w:eastAsia="de-DE"/>
        </w:rPr>
        <w:t>MiFID</w:t>
      </w:r>
      <w:r w:rsidR="00EC0E67" w:rsidRPr="00ED1737">
        <w:rPr>
          <w:rFonts w:ascii="Georgia" w:hAnsi="Georgia"/>
          <w:sz w:val="20"/>
          <w:lang w:val="en-GB" w:eastAsia="de-DE"/>
        </w:rPr>
        <w:t>)</w:t>
      </w:r>
      <w:r w:rsidRPr="00ED1737">
        <w:rPr>
          <w:rFonts w:ascii="Georgia" w:hAnsi="Georgia"/>
          <w:sz w:val="20"/>
          <w:lang w:val="en-GB" w:eastAsia="de-DE"/>
        </w:rPr>
        <w:t>.</w:t>
      </w:r>
      <w:r w:rsidRPr="00D4191E">
        <w:rPr>
          <w:rFonts w:ascii="Georgia" w:hAnsi="Georgia"/>
          <w:i/>
          <w:sz w:val="20"/>
          <w:lang w:val="en-GB" w:eastAsia="de-DE"/>
        </w:rPr>
        <w:t xml:space="preserve"> </w:t>
      </w:r>
      <w:r w:rsidR="002772D5" w:rsidRPr="00D4191E">
        <w:rPr>
          <w:rFonts w:ascii="Georgia" w:hAnsi="Georgia"/>
          <w:i/>
          <w:sz w:val="20"/>
          <w:lang w:val="en-GB" w:eastAsia="de-DE"/>
        </w:rPr>
        <w:t xml:space="preserve"> </w:t>
      </w:r>
    </w:p>
    <w:p w14:paraId="5AD58D54" w14:textId="77777777" w:rsidR="001C01BC" w:rsidRDefault="001C01BC" w:rsidP="00ED1737">
      <w:pPr>
        <w:jc w:val="both"/>
        <w:rPr>
          <w:rFonts w:ascii="Georgia" w:hAnsi="Georgia"/>
          <w:sz w:val="20"/>
          <w:lang w:val="en-GB" w:eastAsia="de-DE"/>
        </w:rPr>
      </w:pPr>
      <w:r w:rsidRPr="00506FDD">
        <w:rPr>
          <w:rFonts w:ascii="Georgia" w:hAnsi="Georgia"/>
          <w:sz w:val="20"/>
          <w:lang w:val="en-GB" w:eastAsia="de-DE"/>
        </w:rPr>
        <w:t xml:space="preserve"> </w:t>
      </w:r>
    </w:p>
    <w:p w14:paraId="1BA03217" w14:textId="3068476C" w:rsidR="00035FED" w:rsidRDefault="00035FED" w:rsidP="00ED1737">
      <w:pPr>
        <w:jc w:val="both"/>
        <w:rPr>
          <w:rFonts w:ascii="Georgia" w:hAnsi="Georgia"/>
          <w:sz w:val="20"/>
          <w:lang w:val="en-GB" w:eastAsia="de-DE"/>
        </w:rPr>
      </w:pPr>
      <w:r w:rsidRPr="00035FED">
        <w:rPr>
          <w:rFonts w:ascii="Georgia" w:hAnsi="Georgia"/>
          <w:sz w:val="20"/>
          <w:lang w:val="en-GB" w:eastAsia="de-DE"/>
        </w:rPr>
        <w:t>We highlight for you some of the points made by AFME in their submission, which we support. We highlight some of the negative impacts that Option 1 or Option 2 would have on European alternative asset managers, EU AIFs and investors in EU AIFs.</w:t>
      </w:r>
    </w:p>
    <w:p w14:paraId="4D2570E1" w14:textId="77777777" w:rsidR="00035FED" w:rsidRPr="00035FED" w:rsidRDefault="00035FED" w:rsidP="00ED1737">
      <w:pPr>
        <w:jc w:val="both"/>
        <w:rPr>
          <w:rFonts w:ascii="Georgia" w:hAnsi="Georgia"/>
          <w:sz w:val="20"/>
          <w:lang w:val="en-GB" w:eastAsia="de-DE"/>
        </w:rPr>
      </w:pPr>
    </w:p>
    <w:p w14:paraId="42DAA802" w14:textId="57164CD5" w:rsidR="00126916" w:rsidRDefault="001B6A56" w:rsidP="00ED1737">
      <w:pPr>
        <w:jc w:val="both"/>
        <w:rPr>
          <w:rFonts w:ascii="Georgia" w:hAnsi="Georgia"/>
          <w:sz w:val="20"/>
          <w:lang w:val="en-GB" w:eastAsia="de-DE"/>
        </w:rPr>
      </w:pPr>
      <w:r>
        <w:rPr>
          <w:rFonts w:ascii="Georgia" w:hAnsi="Georgia"/>
          <w:sz w:val="20"/>
          <w:lang w:val="en-GB" w:eastAsia="de-DE"/>
        </w:rPr>
        <w:lastRenderedPageBreak/>
        <w:t xml:space="preserve">On page 16 of the </w:t>
      </w:r>
      <w:r w:rsidRPr="001B6A56">
        <w:rPr>
          <w:rFonts w:ascii="Georgia" w:hAnsi="Georgia"/>
          <w:sz w:val="20"/>
          <w:lang w:val="en-GB" w:eastAsia="de-DE"/>
        </w:rPr>
        <w:t>ESMA Consultation Paper - Guidelines on asset segregation under the AIFMD</w:t>
      </w:r>
      <w:r>
        <w:rPr>
          <w:rFonts w:ascii="Georgia" w:hAnsi="Georgia"/>
          <w:sz w:val="20"/>
          <w:lang w:val="en-GB" w:eastAsia="de-DE"/>
        </w:rPr>
        <w:t xml:space="preserve"> (the ‘Consultation Paper’) ESMA states that</w:t>
      </w:r>
      <w:r w:rsidR="00C03695">
        <w:rPr>
          <w:rFonts w:ascii="Georgia" w:hAnsi="Georgia"/>
          <w:sz w:val="20"/>
          <w:lang w:val="en-GB" w:eastAsia="de-DE"/>
        </w:rPr>
        <w:t>:</w:t>
      </w:r>
      <w:r>
        <w:rPr>
          <w:rFonts w:ascii="Georgia" w:hAnsi="Georgia"/>
          <w:sz w:val="20"/>
          <w:lang w:val="en-GB" w:eastAsia="de-DE"/>
        </w:rPr>
        <w:t xml:space="preserve"> </w:t>
      </w:r>
    </w:p>
    <w:p w14:paraId="01612C11" w14:textId="77777777" w:rsidR="00126916" w:rsidRDefault="00126916" w:rsidP="00ED1737">
      <w:pPr>
        <w:jc w:val="both"/>
        <w:rPr>
          <w:rFonts w:ascii="Georgia" w:hAnsi="Georgia"/>
          <w:sz w:val="20"/>
          <w:lang w:val="en-GB" w:eastAsia="de-DE"/>
        </w:rPr>
      </w:pPr>
    </w:p>
    <w:p w14:paraId="500F9529" w14:textId="02536178" w:rsidR="001B6A56" w:rsidRDefault="00126916" w:rsidP="00ED1737">
      <w:pPr>
        <w:ind w:left="720" w:right="720"/>
        <w:jc w:val="both"/>
        <w:rPr>
          <w:rFonts w:ascii="Georgia" w:hAnsi="Georgia"/>
          <w:sz w:val="20"/>
          <w:lang w:val="en-GB" w:eastAsia="de-DE"/>
        </w:rPr>
      </w:pPr>
      <w:r>
        <w:rPr>
          <w:rFonts w:ascii="Georgia" w:hAnsi="Georgia"/>
          <w:sz w:val="20"/>
          <w:lang w:val="en-GB" w:eastAsia="de-DE"/>
        </w:rPr>
        <w:t>“</w:t>
      </w:r>
      <w:r w:rsidR="00D4191E">
        <w:rPr>
          <w:rFonts w:ascii="Georgia" w:hAnsi="Georgia"/>
          <w:sz w:val="20"/>
          <w:lang w:val="en-GB" w:eastAsia="de-DE"/>
        </w:rPr>
        <w:t>[O]</w:t>
      </w:r>
      <w:r w:rsidR="001B6A56" w:rsidRPr="001B6A56">
        <w:rPr>
          <w:rFonts w:ascii="Georgia" w:hAnsi="Georgia"/>
          <w:sz w:val="20"/>
          <w:lang w:val="en-GB" w:eastAsia="de-DE"/>
        </w:rPr>
        <w:t>ptions 3-5 do not seem to be compatible with the provisions of the AIFMD and its implementing measures (the latter judgement having been based, inter alia, on the provisions of the Impact Assessment accompanying the Level 2 Regulation).</w:t>
      </w:r>
      <w:r>
        <w:rPr>
          <w:rFonts w:ascii="Georgia" w:hAnsi="Georgia"/>
          <w:sz w:val="20"/>
          <w:lang w:val="en-GB" w:eastAsia="de-DE"/>
        </w:rPr>
        <w:t>”</w:t>
      </w:r>
    </w:p>
    <w:p w14:paraId="47F814EA" w14:textId="77777777" w:rsidR="00C03695" w:rsidRDefault="00C03695" w:rsidP="00ED1737">
      <w:pPr>
        <w:jc w:val="both"/>
        <w:rPr>
          <w:rFonts w:ascii="Georgia" w:hAnsi="Georgia"/>
          <w:sz w:val="20"/>
          <w:lang w:val="en-GB" w:eastAsia="de-DE"/>
        </w:rPr>
      </w:pPr>
    </w:p>
    <w:p w14:paraId="5B71EE6E" w14:textId="051C463D" w:rsidR="00C03695" w:rsidRDefault="00C03695" w:rsidP="00ED1737">
      <w:pPr>
        <w:jc w:val="both"/>
        <w:rPr>
          <w:rFonts w:ascii="Georgia" w:hAnsi="Georgia"/>
          <w:sz w:val="20"/>
          <w:lang w:val="en-GB" w:eastAsia="de-DE"/>
        </w:rPr>
      </w:pPr>
      <w:r>
        <w:rPr>
          <w:rFonts w:ascii="Georgia" w:hAnsi="Georgia"/>
          <w:sz w:val="20"/>
          <w:lang w:val="en-GB" w:eastAsia="de-DE"/>
        </w:rPr>
        <w:t xml:space="preserve">We disagree with this assessment and consider that </w:t>
      </w:r>
      <w:r w:rsidRPr="00506FDD">
        <w:rPr>
          <w:rFonts w:ascii="Georgia" w:hAnsi="Georgia"/>
          <w:sz w:val="20"/>
          <w:lang w:val="en-GB" w:eastAsia="de-DE"/>
        </w:rPr>
        <w:t xml:space="preserve">Option 4 </w:t>
      </w:r>
      <w:r w:rsidR="002772D5">
        <w:rPr>
          <w:rFonts w:ascii="Georgia" w:hAnsi="Georgia"/>
          <w:sz w:val="20"/>
          <w:lang w:val="en-GB" w:eastAsia="de-DE"/>
        </w:rPr>
        <w:t xml:space="preserve">is </w:t>
      </w:r>
      <w:r w:rsidRPr="00C03695">
        <w:rPr>
          <w:rFonts w:ascii="Georgia" w:hAnsi="Georgia"/>
          <w:sz w:val="20"/>
          <w:lang w:val="en-GB" w:eastAsia="de-DE"/>
        </w:rPr>
        <w:t>compatible with the provisions of the AIFMD</w:t>
      </w:r>
      <w:r w:rsidRPr="00506FDD">
        <w:rPr>
          <w:rFonts w:ascii="Georgia" w:hAnsi="Georgia"/>
          <w:sz w:val="20"/>
          <w:lang w:val="en-GB" w:eastAsia="de-DE"/>
        </w:rPr>
        <w:t xml:space="preserve">. </w:t>
      </w:r>
      <w:r w:rsidR="00D4191E">
        <w:rPr>
          <w:rFonts w:ascii="Georgia" w:hAnsi="Georgia"/>
          <w:sz w:val="20"/>
          <w:lang w:val="en-GB" w:eastAsia="de-DE"/>
        </w:rPr>
        <w:t xml:space="preserve"> </w:t>
      </w:r>
      <w:r>
        <w:rPr>
          <w:rFonts w:ascii="Georgia" w:hAnsi="Georgia"/>
          <w:sz w:val="20"/>
          <w:lang w:val="en-GB" w:eastAsia="de-DE"/>
        </w:rPr>
        <w:t>Article 21(11)(d)(iii) states:</w:t>
      </w:r>
    </w:p>
    <w:p w14:paraId="4E781CA8" w14:textId="77777777" w:rsidR="00C03695" w:rsidRPr="00C03695" w:rsidRDefault="00C03695" w:rsidP="00ED1737">
      <w:pPr>
        <w:jc w:val="both"/>
        <w:rPr>
          <w:rFonts w:ascii="Georgia" w:hAnsi="Georgia"/>
          <w:vanish/>
          <w:sz w:val="20"/>
          <w:lang w:val="en-GB" w:eastAsia="de-DE"/>
          <w:specVanish/>
        </w:rPr>
      </w:pPr>
    </w:p>
    <w:p w14:paraId="70F03437" w14:textId="684F92FE" w:rsidR="00C03695" w:rsidRDefault="00C03695" w:rsidP="00ED1737">
      <w:pPr>
        <w:jc w:val="both"/>
        <w:rPr>
          <w:rFonts w:ascii="Georgia" w:hAnsi="Georgia"/>
          <w:sz w:val="20"/>
          <w:lang w:val="en-GB" w:eastAsia="de-DE"/>
        </w:rPr>
      </w:pPr>
      <w:r>
        <w:rPr>
          <w:rFonts w:ascii="Georgia" w:hAnsi="Georgia"/>
          <w:sz w:val="20"/>
          <w:lang w:val="en-GB" w:eastAsia="de-DE"/>
        </w:rPr>
        <w:t xml:space="preserve"> </w:t>
      </w:r>
    </w:p>
    <w:p w14:paraId="3FBF1B13" w14:textId="2974F44F" w:rsidR="00C03695" w:rsidRDefault="00C03695" w:rsidP="00ED1737">
      <w:pPr>
        <w:ind w:left="720" w:right="720"/>
        <w:jc w:val="both"/>
        <w:rPr>
          <w:rFonts w:ascii="Georgia" w:hAnsi="Georgia"/>
          <w:sz w:val="20"/>
          <w:lang w:val="en-GB" w:eastAsia="de-DE"/>
        </w:rPr>
      </w:pPr>
      <w:r>
        <w:rPr>
          <w:rFonts w:ascii="Georgia" w:hAnsi="Georgia"/>
          <w:sz w:val="20"/>
          <w:lang w:val="en-GB" w:eastAsia="de-DE"/>
        </w:rPr>
        <w:t>“</w:t>
      </w:r>
      <w:r w:rsidRPr="00C03695">
        <w:rPr>
          <w:rFonts w:ascii="Georgia" w:hAnsi="Georgia"/>
          <w:sz w:val="20"/>
          <w:lang w:val="en-GB" w:eastAsia="de-DE"/>
        </w:rPr>
        <w:t xml:space="preserve">The depositary shall not delegate to third parties its functions as described in this Article, save for those referred to in paragraph 8. </w:t>
      </w:r>
    </w:p>
    <w:p w14:paraId="06CD3F43" w14:textId="77777777" w:rsidR="00C03695" w:rsidRPr="00C03695" w:rsidRDefault="00C03695" w:rsidP="00ED1737">
      <w:pPr>
        <w:ind w:left="720"/>
        <w:jc w:val="both"/>
        <w:rPr>
          <w:rFonts w:ascii="Georgia" w:hAnsi="Georgia"/>
          <w:sz w:val="20"/>
          <w:lang w:val="en-GB" w:eastAsia="de-DE"/>
        </w:rPr>
      </w:pPr>
    </w:p>
    <w:p w14:paraId="217E8FE8" w14:textId="5F50B8B5" w:rsidR="00C03695" w:rsidRPr="00C03695" w:rsidRDefault="00C03695" w:rsidP="00ED1737">
      <w:pPr>
        <w:ind w:left="720" w:right="720"/>
        <w:jc w:val="both"/>
        <w:rPr>
          <w:rFonts w:ascii="Georgia" w:hAnsi="Georgia"/>
          <w:sz w:val="20"/>
          <w:lang w:val="en-GB" w:eastAsia="de-DE"/>
        </w:rPr>
      </w:pPr>
      <w:r w:rsidRPr="00C03695">
        <w:rPr>
          <w:rFonts w:ascii="Georgia" w:hAnsi="Georgia"/>
          <w:sz w:val="20"/>
          <w:lang w:val="en-GB" w:eastAsia="de-DE"/>
        </w:rPr>
        <w:t xml:space="preserve">The depositary may delegate to third parties the functions referred to in paragraph 8 subject to the following conditions: </w:t>
      </w:r>
      <w:r>
        <w:rPr>
          <w:rFonts w:ascii="Georgia" w:hAnsi="Georgia"/>
          <w:sz w:val="20"/>
          <w:lang w:val="en-GB" w:eastAsia="de-DE"/>
        </w:rPr>
        <w:t>…</w:t>
      </w:r>
    </w:p>
    <w:p w14:paraId="2394B467" w14:textId="746FD95E" w:rsidR="00C03695" w:rsidRDefault="00C03695" w:rsidP="00ED1737">
      <w:pPr>
        <w:ind w:left="1440" w:right="720"/>
        <w:jc w:val="both"/>
        <w:rPr>
          <w:rFonts w:ascii="Georgia" w:hAnsi="Georgia"/>
          <w:sz w:val="20"/>
          <w:lang w:val="en-GB" w:eastAsia="de-DE"/>
        </w:rPr>
      </w:pPr>
      <w:r w:rsidRPr="00C03695">
        <w:rPr>
          <w:rFonts w:ascii="Georgia" w:hAnsi="Georgia"/>
          <w:sz w:val="20"/>
          <w:lang w:val="en-GB" w:eastAsia="de-DE"/>
        </w:rPr>
        <w:t>(d) the depositary ensures that the third party meets the following conditions at all times during the performance of the tasks delegated to it:</w:t>
      </w:r>
      <w:r>
        <w:rPr>
          <w:rFonts w:ascii="Georgia" w:hAnsi="Georgia"/>
          <w:sz w:val="20"/>
          <w:lang w:val="en-GB" w:eastAsia="de-DE"/>
        </w:rPr>
        <w:t>…</w:t>
      </w:r>
    </w:p>
    <w:p w14:paraId="076C70A3" w14:textId="4B1D75B7" w:rsidR="00C03695" w:rsidRDefault="00C03695" w:rsidP="00ED1737">
      <w:pPr>
        <w:ind w:left="2160" w:right="720"/>
        <w:jc w:val="both"/>
        <w:rPr>
          <w:rFonts w:ascii="Georgia" w:hAnsi="Georgia"/>
          <w:sz w:val="20"/>
          <w:lang w:val="en-GB" w:eastAsia="de-DE"/>
        </w:rPr>
      </w:pPr>
      <w:r w:rsidRPr="00C03695">
        <w:rPr>
          <w:rFonts w:ascii="Georgia" w:hAnsi="Georgia"/>
          <w:sz w:val="20"/>
          <w:lang w:val="en-GB" w:eastAsia="de-DE"/>
        </w:rPr>
        <w:t>(iii) the third party segregates the assets of the depositary’s clients from its own assets and from the assets of the depositary in such a way that they can at any time be clearly identified as belonging to clients of a particular depositary;</w:t>
      </w:r>
      <w:r>
        <w:rPr>
          <w:rFonts w:ascii="Georgia" w:hAnsi="Georgia"/>
          <w:sz w:val="20"/>
          <w:lang w:val="en-GB" w:eastAsia="de-DE"/>
        </w:rPr>
        <w:t>”</w:t>
      </w:r>
    </w:p>
    <w:p w14:paraId="4A10245B" w14:textId="77777777" w:rsidR="00C03695" w:rsidRDefault="00C03695" w:rsidP="00ED1737">
      <w:pPr>
        <w:jc w:val="both"/>
        <w:rPr>
          <w:rFonts w:ascii="Georgia" w:hAnsi="Georgia"/>
          <w:sz w:val="20"/>
          <w:lang w:val="en-GB" w:eastAsia="de-DE"/>
        </w:rPr>
      </w:pPr>
    </w:p>
    <w:p w14:paraId="00088D47" w14:textId="77777777" w:rsidR="00C03695" w:rsidRDefault="00C03695" w:rsidP="00ED1737">
      <w:pPr>
        <w:jc w:val="both"/>
        <w:rPr>
          <w:rFonts w:ascii="Georgia" w:hAnsi="Georgia"/>
          <w:sz w:val="20"/>
          <w:lang w:val="en-GB" w:eastAsia="de-DE"/>
        </w:rPr>
      </w:pPr>
      <w:r>
        <w:rPr>
          <w:rFonts w:ascii="Georgia" w:hAnsi="Georgia"/>
          <w:sz w:val="20"/>
          <w:lang w:val="en-GB" w:eastAsia="de-DE"/>
        </w:rPr>
        <w:t>Article 99(1)(a) of the Level 2 Regulation states:</w:t>
      </w:r>
    </w:p>
    <w:p w14:paraId="715FEEDA" w14:textId="77777777" w:rsidR="00C03695" w:rsidRDefault="00C03695" w:rsidP="00ED1737">
      <w:pPr>
        <w:jc w:val="both"/>
        <w:rPr>
          <w:rFonts w:ascii="Georgia" w:hAnsi="Georgia"/>
          <w:sz w:val="20"/>
          <w:lang w:val="en-GB" w:eastAsia="de-DE"/>
        </w:rPr>
      </w:pPr>
    </w:p>
    <w:p w14:paraId="146D585D" w14:textId="1FB0C9FB" w:rsidR="00C03695" w:rsidRPr="00C03695" w:rsidRDefault="00C03695" w:rsidP="00ED1737">
      <w:pPr>
        <w:ind w:left="720" w:right="720"/>
        <w:jc w:val="both"/>
        <w:rPr>
          <w:rFonts w:ascii="Georgia" w:hAnsi="Georgia"/>
          <w:sz w:val="20"/>
          <w:lang w:val="en-GB" w:eastAsia="de-DE"/>
        </w:rPr>
      </w:pPr>
      <w:r>
        <w:rPr>
          <w:rFonts w:ascii="Georgia" w:hAnsi="Georgia"/>
          <w:sz w:val="20"/>
          <w:lang w:val="en-GB" w:eastAsia="de-DE"/>
        </w:rPr>
        <w:lastRenderedPageBreak/>
        <w:t>“</w:t>
      </w:r>
      <w:r w:rsidRPr="00C03695">
        <w:rPr>
          <w:rFonts w:ascii="Georgia" w:hAnsi="Georgia"/>
          <w:sz w:val="20"/>
          <w:lang w:val="en-GB" w:eastAsia="de-DE"/>
        </w:rPr>
        <w:t>Where safekeeping functions have been delegated wholly or partly to a third party, a</w:t>
      </w:r>
      <w:r>
        <w:rPr>
          <w:rFonts w:ascii="Georgia" w:hAnsi="Georgia"/>
          <w:sz w:val="20"/>
          <w:lang w:val="en-GB" w:eastAsia="de-DE"/>
        </w:rPr>
        <w:t xml:space="preserve"> </w:t>
      </w:r>
      <w:r w:rsidRPr="00C03695">
        <w:rPr>
          <w:rFonts w:ascii="Georgia" w:hAnsi="Georgia"/>
          <w:sz w:val="20"/>
          <w:lang w:val="en-GB" w:eastAsia="de-DE"/>
        </w:rPr>
        <w:t>depositary shall ensure that the third party, to whom safe-keeping functions are</w:t>
      </w:r>
      <w:r>
        <w:rPr>
          <w:rFonts w:ascii="Georgia" w:hAnsi="Georgia"/>
          <w:sz w:val="20"/>
          <w:lang w:val="en-GB" w:eastAsia="de-DE"/>
        </w:rPr>
        <w:t xml:space="preserve"> </w:t>
      </w:r>
      <w:r w:rsidRPr="00C03695">
        <w:rPr>
          <w:rFonts w:ascii="Georgia" w:hAnsi="Georgia"/>
          <w:sz w:val="20"/>
          <w:lang w:val="en-GB" w:eastAsia="de-DE"/>
        </w:rPr>
        <w:t>delegated pursuant to Article 21(11) of Directive 2011/61/EU, acts in accordance</w:t>
      </w:r>
      <w:r>
        <w:rPr>
          <w:rFonts w:ascii="Georgia" w:hAnsi="Georgia"/>
          <w:sz w:val="20"/>
          <w:lang w:val="en-GB" w:eastAsia="de-DE"/>
        </w:rPr>
        <w:t xml:space="preserve"> </w:t>
      </w:r>
      <w:r w:rsidRPr="00C03695">
        <w:rPr>
          <w:rFonts w:ascii="Georgia" w:hAnsi="Georgia"/>
          <w:sz w:val="20"/>
          <w:lang w:val="en-GB" w:eastAsia="de-DE"/>
        </w:rPr>
        <w:t>with the segregation obligation laid down in point (iii) of Article 21(11)(d) of</w:t>
      </w:r>
      <w:r>
        <w:rPr>
          <w:rFonts w:ascii="Georgia" w:hAnsi="Georgia"/>
          <w:sz w:val="20"/>
          <w:lang w:val="en-GB" w:eastAsia="de-DE"/>
        </w:rPr>
        <w:t xml:space="preserve"> </w:t>
      </w:r>
      <w:r w:rsidRPr="00C03695">
        <w:rPr>
          <w:rFonts w:ascii="Georgia" w:hAnsi="Georgia"/>
          <w:sz w:val="20"/>
          <w:lang w:val="en-GB" w:eastAsia="de-DE"/>
        </w:rPr>
        <w:t xml:space="preserve">Directive 2011/61/EU </w:t>
      </w:r>
      <w:r w:rsidRPr="00ED1737">
        <w:rPr>
          <w:rFonts w:ascii="Georgia" w:hAnsi="Georgia"/>
          <w:b/>
          <w:i/>
          <w:sz w:val="20"/>
          <w:lang w:val="en-GB" w:eastAsia="de-DE"/>
        </w:rPr>
        <w:t>by verifying that the third party</w:t>
      </w:r>
      <w:r w:rsidRPr="00C03695">
        <w:rPr>
          <w:rFonts w:ascii="Georgia" w:hAnsi="Georgia"/>
          <w:sz w:val="20"/>
          <w:lang w:val="en-GB" w:eastAsia="de-DE"/>
        </w:rPr>
        <w:t>:</w:t>
      </w:r>
    </w:p>
    <w:p w14:paraId="29768ABD" w14:textId="171580D6" w:rsidR="00C03695" w:rsidRDefault="00C03695" w:rsidP="00ED1737">
      <w:pPr>
        <w:ind w:left="1440" w:right="720"/>
        <w:jc w:val="both"/>
        <w:rPr>
          <w:rFonts w:ascii="Georgia" w:hAnsi="Georgia"/>
          <w:sz w:val="20"/>
          <w:lang w:val="en-GB" w:eastAsia="de-DE"/>
        </w:rPr>
      </w:pPr>
      <w:r w:rsidRPr="00C03695">
        <w:rPr>
          <w:rFonts w:ascii="Georgia" w:hAnsi="Georgia"/>
          <w:sz w:val="20"/>
          <w:lang w:val="en-GB" w:eastAsia="de-DE"/>
        </w:rPr>
        <w:t>(a) keeps such records and accounts as are necessary to enable it at any time and</w:t>
      </w:r>
      <w:r>
        <w:rPr>
          <w:rFonts w:ascii="Georgia" w:hAnsi="Georgia"/>
          <w:sz w:val="20"/>
          <w:lang w:val="en-GB" w:eastAsia="de-DE"/>
        </w:rPr>
        <w:t xml:space="preserve"> </w:t>
      </w:r>
      <w:r w:rsidRPr="00C03695">
        <w:rPr>
          <w:rFonts w:ascii="Georgia" w:hAnsi="Georgia"/>
          <w:sz w:val="20"/>
          <w:lang w:val="en-GB" w:eastAsia="de-DE"/>
        </w:rPr>
        <w:t>without delay to distinguish assets of the depositary’s AIF clients from its own</w:t>
      </w:r>
      <w:r>
        <w:rPr>
          <w:rFonts w:ascii="Georgia" w:hAnsi="Georgia"/>
          <w:sz w:val="20"/>
          <w:lang w:val="en-GB" w:eastAsia="de-DE"/>
        </w:rPr>
        <w:t xml:space="preserve"> </w:t>
      </w:r>
      <w:r w:rsidRPr="00C03695">
        <w:rPr>
          <w:rFonts w:ascii="Georgia" w:hAnsi="Georgia"/>
          <w:sz w:val="20"/>
          <w:lang w:val="en-GB" w:eastAsia="de-DE"/>
        </w:rPr>
        <w:t>assets, assets of its other clients, assets held by the depositary for its own</w:t>
      </w:r>
      <w:r>
        <w:rPr>
          <w:rFonts w:ascii="Georgia" w:hAnsi="Georgia"/>
          <w:sz w:val="20"/>
          <w:lang w:val="en-GB" w:eastAsia="de-DE"/>
        </w:rPr>
        <w:t xml:space="preserve"> </w:t>
      </w:r>
      <w:r w:rsidRPr="00C03695">
        <w:rPr>
          <w:rFonts w:ascii="Georgia" w:hAnsi="Georgia"/>
          <w:sz w:val="20"/>
          <w:lang w:val="en-GB" w:eastAsia="de-DE"/>
        </w:rPr>
        <w:t>account and assets held for clients of the depositary which are not AIFs;</w:t>
      </w:r>
      <w:r>
        <w:rPr>
          <w:rFonts w:ascii="Georgia" w:hAnsi="Georgia"/>
          <w:sz w:val="20"/>
          <w:lang w:val="en-GB" w:eastAsia="de-DE"/>
        </w:rPr>
        <w:t>”</w:t>
      </w:r>
    </w:p>
    <w:p w14:paraId="085B1663" w14:textId="77777777" w:rsidR="00C03695" w:rsidRDefault="00C03695" w:rsidP="00ED1737">
      <w:pPr>
        <w:jc w:val="both"/>
        <w:rPr>
          <w:rFonts w:ascii="Georgia" w:hAnsi="Georgia"/>
          <w:sz w:val="20"/>
          <w:lang w:val="en-GB" w:eastAsia="de-DE"/>
        </w:rPr>
      </w:pPr>
    </w:p>
    <w:p w14:paraId="7D3DE18A" w14:textId="31996ABB" w:rsidR="00C03695" w:rsidRPr="00506FDD" w:rsidRDefault="00AF6FE1" w:rsidP="00ED1737">
      <w:pPr>
        <w:jc w:val="both"/>
        <w:rPr>
          <w:rFonts w:ascii="Georgia" w:hAnsi="Georgia"/>
          <w:sz w:val="20"/>
          <w:lang w:val="en-GB" w:eastAsia="de-DE"/>
        </w:rPr>
      </w:pPr>
      <w:r>
        <w:rPr>
          <w:rFonts w:ascii="Georgia" w:hAnsi="Georgia"/>
          <w:sz w:val="20"/>
          <w:lang w:val="en-GB" w:eastAsia="de-DE"/>
        </w:rPr>
        <w:t xml:space="preserve">The key obligation laid down in the Level 1 and Level 2 text is therefore that the delegate is able to easily </w:t>
      </w:r>
      <w:r w:rsidR="00FE7B4C">
        <w:rPr>
          <w:rFonts w:ascii="Georgia" w:hAnsi="Georgia"/>
          <w:sz w:val="20"/>
          <w:lang w:val="en-GB" w:eastAsia="de-DE"/>
        </w:rPr>
        <w:t xml:space="preserve">ascertain </w:t>
      </w:r>
      <w:r w:rsidR="00A7326C">
        <w:rPr>
          <w:rFonts w:ascii="Georgia" w:hAnsi="Georgia"/>
          <w:sz w:val="20"/>
          <w:lang w:val="en-GB" w:eastAsia="de-DE"/>
        </w:rPr>
        <w:t xml:space="preserve">which assets it is holding belong to which client.  </w:t>
      </w:r>
      <w:r w:rsidR="00DB0438" w:rsidRPr="00DB0438">
        <w:rPr>
          <w:rFonts w:ascii="Georgia" w:hAnsi="Georgia"/>
          <w:sz w:val="20"/>
          <w:lang w:val="en-GB" w:eastAsia="de-DE"/>
        </w:rPr>
        <w:t xml:space="preserve">In Level 2 (see the wording in bold and italics above), it is clearly stated that the depositary’s obligations under Article 21(11) may be discharged by verifying that the prime broker </w:t>
      </w:r>
      <w:r w:rsidR="00DB0438" w:rsidRPr="00506FDD">
        <w:rPr>
          <w:rFonts w:ascii="Georgia" w:hAnsi="Georgia"/>
          <w:sz w:val="20"/>
          <w:lang w:val="en-GB" w:eastAsia="de-DE"/>
        </w:rPr>
        <w:t xml:space="preserve">keep </w:t>
      </w:r>
      <w:r w:rsidR="00C03695" w:rsidRPr="00506FDD">
        <w:rPr>
          <w:rFonts w:ascii="Georgia" w:hAnsi="Georgia"/>
          <w:sz w:val="20"/>
          <w:lang w:val="en-GB" w:eastAsia="de-DE"/>
        </w:rPr>
        <w:t>books and records</w:t>
      </w:r>
      <w:r w:rsidR="00DB0438" w:rsidRPr="00DB0438">
        <w:rPr>
          <w:rFonts w:ascii="Georgia" w:hAnsi="Georgia"/>
          <w:sz w:val="20"/>
          <w:lang w:val="en-GB" w:eastAsia="de-DE"/>
        </w:rPr>
        <w:t xml:space="preserve"> that enable it at any time and without delay to</w:t>
      </w:r>
      <w:r w:rsidR="00C03695" w:rsidRPr="00506FDD">
        <w:rPr>
          <w:rFonts w:ascii="Georgia" w:hAnsi="Georgia"/>
          <w:sz w:val="20"/>
          <w:lang w:val="en-GB" w:eastAsia="de-DE"/>
        </w:rPr>
        <w:t xml:space="preserve"> distinguish the ownership of </w:t>
      </w:r>
      <w:r w:rsidR="00DB0438" w:rsidRPr="00DB0438">
        <w:rPr>
          <w:rFonts w:ascii="Georgia" w:hAnsi="Georgia"/>
          <w:sz w:val="20"/>
          <w:lang w:val="en-GB" w:eastAsia="de-DE"/>
        </w:rPr>
        <w:t>the client</w:t>
      </w:r>
      <w:r w:rsidR="00C03695" w:rsidRPr="00506FDD">
        <w:rPr>
          <w:rFonts w:ascii="Georgia" w:hAnsi="Georgia"/>
          <w:sz w:val="20"/>
          <w:lang w:val="en-GB" w:eastAsia="de-DE"/>
        </w:rPr>
        <w:t xml:space="preserve"> assets</w:t>
      </w:r>
      <w:r w:rsidR="00DB0438">
        <w:rPr>
          <w:rFonts w:ascii="Georgia" w:hAnsi="Georgia"/>
          <w:sz w:val="20"/>
          <w:lang w:val="en-GB" w:eastAsia="de-DE"/>
        </w:rPr>
        <w:t>.  This</w:t>
      </w:r>
      <w:r w:rsidR="004F23F3">
        <w:rPr>
          <w:rFonts w:ascii="Georgia" w:hAnsi="Georgia"/>
          <w:sz w:val="20"/>
          <w:lang w:val="en-GB" w:eastAsia="de-DE"/>
        </w:rPr>
        <w:t xml:space="preserve"> does not require </w:t>
      </w:r>
      <w:r w:rsidR="00DB0438" w:rsidRPr="00DB0438">
        <w:rPr>
          <w:rFonts w:ascii="Georgia" w:hAnsi="Georgia"/>
          <w:sz w:val="20"/>
          <w:lang w:val="en-GB" w:eastAsia="de-DE"/>
        </w:rPr>
        <w:t xml:space="preserve">the assets of different classes of client to be held in </w:t>
      </w:r>
      <w:r w:rsidR="00C03695" w:rsidRPr="00506FDD">
        <w:rPr>
          <w:rFonts w:ascii="Georgia" w:hAnsi="Georgia"/>
          <w:sz w:val="20"/>
          <w:lang w:val="en-GB" w:eastAsia="de-DE"/>
        </w:rPr>
        <w:t>separate accounts</w:t>
      </w:r>
      <w:r w:rsidR="00DB0438">
        <w:rPr>
          <w:rFonts w:ascii="Georgia" w:hAnsi="Georgia"/>
          <w:sz w:val="20"/>
          <w:lang w:val="en-GB" w:eastAsia="de-DE"/>
        </w:rPr>
        <w:t>.</w:t>
      </w:r>
      <w:r w:rsidR="00C03695" w:rsidRPr="00506FDD">
        <w:rPr>
          <w:rFonts w:ascii="Georgia" w:hAnsi="Georgia"/>
          <w:sz w:val="20"/>
          <w:lang w:val="en-GB" w:eastAsia="de-DE"/>
        </w:rPr>
        <w:t xml:space="preserve"> </w:t>
      </w:r>
    </w:p>
    <w:p w14:paraId="4A02615F" w14:textId="77777777" w:rsidR="00C03695" w:rsidRPr="00506FDD" w:rsidRDefault="00C03695" w:rsidP="00ED1737">
      <w:pPr>
        <w:jc w:val="both"/>
        <w:rPr>
          <w:rFonts w:ascii="Georgia" w:hAnsi="Georgia"/>
          <w:sz w:val="20"/>
          <w:lang w:val="en-GB" w:eastAsia="de-DE"/>
        </w:rPr>
      </w:pPr>
      <w:r w:rsidRPr="00506FDD">
        <w:rPr>
          <w:rFonts w:ascii="Georgia" w:hAnsi="Georgia"/>
          <w:sz w:val="20"/>
          <w:lang w:val="en-GB" w:eastAsia="de-DE"/>
        </w:rPr>
        <w:t xml:space="preserve"> </w:t>
      </w:r>
    </w:p>
    <w:p w14:paraId="585E4543" w14:textId="552716DA" w:rsidR="00C03695" w:rsidRPr="00506FDD" w:rsidRDefault="00DB0438" w:rsidP="00ED1737">
      <w:pPr>
        <w:jc w:val="both"/>
        <w:rPr>
          <w:rFonts w:ascii="Georgia" w:hAnsi="Georgia"/>
          <w:sz w:val="20"/>
          <w:lang w:val="en-GB" w:eastAsia="de-DE"/>
        </w:rPr>
      </w:pPr>
      <w:r w:rsidRPr="00DB0438">
        <w:rPr>
          <w:rFonts w:ascii="Georgia" w:hAnsi="Georgia"/>
          <w:sz w:val="20"/>
          <w:lang w:val="en-GB" w:eastAsia="de-DE"/>
        </w:rPr>
        <w:t xml:space="preserve">Option 1 or 2 would </w:t>
      </w:r>
      <w:r w:rsidR="00C03695" w:rsidRPr="00506FDD">
        <w:rPr>
          <w:rFonts w:ascii="Georgia" w:hAnsi="Georgia"/>
          <w:sz w:val="20"/>
          <w:lang w:val="en-GB" w:eastAsia="de-DE"/>
        </w:rPr>
        <w:t xml:space="preserve">require a restructuring of the </w:t>
      </w:r>
      <w:r w:rsidR="000E3D6A">
        <w:rPr>
          <w:rFonts w:ascii="Georgia" w:hAnsi="Georgia"/>
          <w:sz w:val="20"/>
          <w:lang w:val="en-GB" w:eastAsia="de-DE"/>
        </w:rPr>
        <w:t>prime brokerage</w:t>
      </w:r>
      <w:r w:rsidR="00C03695" w:rsidRPr="00506FDD">
        <w:rPr>
          <w:rFonts w:ascii="Georgia" w:hAnsi="Georgia"/>
          <w:sz w:val="20"/>
          <w:lang w:val="en-GB" w:eastAsia="de-DE"/>
        </w:rPr>
        <w:t xml:space="preserve"> market, to the detriment of AIFs and investor protection</w:t>
      </w:r>
      <w:r w:rsidRPr="00DB0438">
        <w:rPr>
          <w:rFonts w:ascii="Georgia" w:hAnsi="Georgia"/>
          <w:sz w:val="20"/>
          <w:lang w:val="en-GB" w:eastAsia="de-DE"/>
        </w:rPr>
        <w:t xml:space="preserve">. In order to entail such upheaval </w:t>
      </w:r>
      <w:r w:rsidR="000E3D6A">
        <w:rPr>
          <w:rFonts w:ascii="Georgia" w:hAnsi="Georgia"/>
          <w:sz w:val="20"/>
          <w:lang w:val="en-GB" w:eastAsia="de-DE"/>
        </w:rPr>
        <w:t xml:space="preserve">there would need to be a </w:t>
      </w:r>
      <w:r>
        <w:rPr>
          <w:rFonts w:ascii="Georgia" w:hAnsi="Georgia"/>
          <w:sz w:val="20"/>
          <w:lang w:val="en-GB" w:eastAsia="de-DE"/>
        </w:rPr>
        <w:t xml:space="preserve">very clear </w:t>
      </w:r>
      <w:r w:rsidR="000E3D6A">
        <w:rPr>
          <w:rFonts w:ascii="Georgia" w:hAnsi="Georgia"/>
          <w:sz w:val="20"/>
          <w:lang w:val="en-GB" w:eastAsia="de-DE"/>
        </w:rPr>
        <w:t>statutory footing for this change, which is not present in the AIFMD</w:t>
      </w:r>
      <w:r w:rsidR="00C03695" w:rsidRPr="00506FDD">
        <w:rPr>
          <w:rFonts w:ascii="Georgia" w:hAnsi="Georgia"/>
          <w:sz w:val="20"/>
          <w:lang w:val="en-GB" w:eastAsia="de-DE"/>
        </w:rPr>
        <w:t xml:space="preserve">. </w:t>
      </w:r>
      <w:r w:rsidR="000E3D6A">
        <w:rPr>
          <w:rFonts w:ascii="Georgia" w:hAnsi="Georgia"/>
          <w:sz w:val="20"/>
          <w:lang w:val="en-GB" w:eastAsia="de-DE"/>
        </w:rPr>
        <w:t xml:space="preserve"> </w:t>
      </w:r>
    </w:p>
    <w:p w14:paraId="33940DAE" w14:textId="77777777" w:rsidR="00C03695" w:rsidRPr="00506FDD" w:rsidRDefault="00C03695" w:rsidP="00ED1737">
      <w:pPr>
        <w:jc w:val="both"/>
        <w:rPr>
          <w:rFonts w:ascii="Georgia" w:hAnsi="Georgia"/>
          <w:sz w:val="20"/>
          <w:lang w:val="en-GB" w:eastAsia="de-DE"/>
        </w:rPr>
      </w:pPr>
      <w:r w:rsidRPr="00506FDD">
        <w:rPr>
          <w:rFonts w:ascii="Georgia" w:hAnsi="Georgia"/>
          <w:sz w:val="20"/>
          <w:lang w:val="en-GB" w:eastAsia="de-DE"/>
        </w:rPr>
        <w:t xml:space="preserve"> </w:t>
      </w:r>
    </w:p>
    <w:p w14:paraId="79156B70" w14:textId="5C88EA59" w:rsidR="000A2019" w:rsidRPr="000A2019" w:rsidRDefault="00C03695" w:rsidP="00ED1737">
      <w:pPr>
        <w:jc w:val="both"/>
        <w:rPr>
          <w:rFonts w:ascii="Georgia" w:hAnsi="Georgia"/>
          <w:sz w:val="20"/>
          <w:lang w:val="en-GB" w:eastAsia="de-DE"/>
        </w:rPr>
      </w:pPr>
      <w:r w:rsidRPr="00506FDD">
        <w:rPr>
          <w:rFonts w:ascii="Georgia" w:hAnsi="Georgia"/>
          <w:sz w:val="20"/>
          <w:lang w:val="en-GB" w:eastAsia="de-DE"/>
        </w:rPr>
        <w:t>Option 4 is</w:t>
      </w:r>
      <w:r w:rsidR="00FE3F8C">
        <w:rPr>
          <w:rFonts w:ascii="Georgia" w:hAnsi="Georgia"/>
          <w:sz w:val="20"/>
          <w:lang w:val="en-GB" w:eastAsia="de-DE"/>
        </w:rPr>
        <w:t xml:space="preserve"> also</w:t>
      </w:r>
      <w:r w:rsidRPr="00506FDD">
        <w:rPr>
          <w:rFonts w:ascii="Georgia" w:hAnsi="Georgia"/>
          <w:sz w:val="20"/>
          <w:lang w:val="en-GB" w:eastAsia="de-DE"/>
        </w:rPr>
        <w:t xml:space="preserve"> consistent with MiFID</w:t>
      </w:r>
      <w:r w:rsidR="00DB0438">
        <w:rPr>
          <w:rFonts w:ascii="Georgia" w:hAnsi="Georgia"/>
          <w:sz w:val="20"/>
          <w:lang w:val="en-GB" w:eastAsia="de-DE"/>
        </w:rPr>
        <w:t xml:space="preserve">’s </w:t>
      </w:r>
      <w:r w:rsidR="00DB0438" w:rsidRPr="00DB0438">
        <w:rPr>
          <w:rFonts w:ascii="Georgia" w:hAnsi="Georgia"/>
          <w:sz w:val="20"/>
          <w:lang w:val="en-GB" w:eastAsia="de-DE"/>
        </w:rPr>
        <w:t xml:space="preserve">client asset segregation provisions, which currently apply equally to the assets of all clients of European prime brokers.  We continue to support the </w:t>
      </w:r>
      <w:r w:rsidR="00DB0438" w:rsidRPr="00DB0438">
        <w:rPr>
          <w:rFonts w:ascii="Georgia" w:hAnsi="Georgia"/>
          <w:sz w:val="20"/>
          <w:lang w:val="en-GB" w:eastAsia="de-DE"/>
        </w:rPr>
        <w:lastRenderedPageBreak/>
        <w:t>asset segregation requirements imposed by MiFID and we believe that these requirements are sufficient, for all market participants</w:t>
      </w:r>
      <w:r w:rsidRPr="00506FDD">
        <w:rPr>
          <w:rFonts w:ascii="Georgia" w:hAnsi="Georgia"/>
          <w:sz w:val="20"/>
          <w:lang w:val="en-GB" w:eastAsia="de-DE"/>
        </w:rPr>
        <w:t xml:space="preserve">. </w:t>
      </w:r>
      <w:r w:rsidR="00FE3F8C">
        <w:rPr>
          <w:rFonts w:ascii="Georgia" w:hAnsi="Georgia"/>
          <w:sz w:val="20"/>
          <w:lang w:val="en-GB" w:eastAsia="de-DE"/>
        </w:rPr>
        <w:t xml:space="preserve"> </w:t>
      </w:r>
      <w:r w:rsidR="00DB0438">
        <w:rPr>
          <w:rFonts w:ascii="Georgia" w:hAnsi="Georgia"/>
          <w:sz w:val="20"/>
          <w:lang w:val="en-GB" w:eastAsia="de-DE"/>
        </w:rPr>
        <w:t>T</w:t>
      </w:r>
      <w:r w:rsidR="007C4AD7">
        <w:rPr>
          <w:rFonts w:ascii="Georgia" w:hAnsi="Georgia"/>
          <w:sz w:val="20"/>
          <w:lang w:val="en-GB" w:eastAsia="de-DE"/>
        </w:rPr>
        <w:t xml:space="preserve">here is </w:t>
      </w:r>
      <w:r w:rsidRPr="00506FDD">
        <w:rPr>
          <w:rFonts w:ascii="Georgia" w:hAnsi="Georgia"/>
          <w:sz w:val="20"/>
          <w:lang w:val="en-GB" w:eastAsia="de-DE"/>
        </w:rPr>
        <w:t>no investor appetite to gold-plate the MiFID segregation obligations for a particular class of market participant.</w:t>
      </w:r>
      <w:r w:rsidR="007C4AD7">
        <w:rPr>
          <w:rFonts w:ascii="Georgia" w:hAnsi="Georgia"/>
          <w:sz w:val="20"/>
          <w:lang w:val="en-GB" w:eastAsia="de-DE"/>
        </w:rPr>
        <w:t xml:space="preserve"> </w:t>
      </w:r>
      <w:r w:rsidR="00FE3F8C">
        <w:rPr>
          <w:rFonts w:ascii="Georgia" w:hAnsi="Georgia"/>
          <w:sz w:val="20"/>
          <w:lang w:val="en-GB" w:eastAsia="de-DE"/>
        </w:rPr>
        <w:t xml:space="preserve"> </w:t>
      </w:r>
      <w:r w:rsidR="007C4AD7">
        <w:rPr>
          <w:rFonts w:ascii="Georgia" w:hAnsi="Georgia"/>
          <w:sz w:val="20"/>
          <w:lang w:val="en-GB" w:eastAsia="de-DE"/>
        </w:rPr>
        <w:t>Implementing either o</w:t>
      </w:r>
      <w:r w:rsidR="001C01BC" w:rsidRPr="00506FDD">
        <w:rPr>
          <w:rFonts w:ascii="Georgia" w:hAnsi="Georgia"/>
          <w:sz w:val="20"/>
          <w:lang w:val="en-GB" w:eastAsia="de-DE"/>
        </w:rPr>
        <w:t xml:space="preserve">ption 1 </w:t>
      </w:r>
      <w:r w:rsidR="007C4AD7">
        <w:rPr>
          <w:rFonts w:ascii="Georgia" w:hAnsi="Georgia"/>
          <w:sz w:val="20"/>
          <w:lang w:val="en-GB" w:eastAsia="de-DE"/>
        </w:rPr>
        <w:t>or o</w:t>
      </w:r>
      <w:r w:rsidR="001C01BC" w:rsidRPr="00506FDD">
        <w:rPr>
          <w:rFonts w:ascii="Georgia" w:hAnsi="Georgia"/>
          <w:sz w:val="20"/>
          <w:lang w:val="en-GB" w:eastAsia="de-DE"/>
        </w:rPr>
        <w:t>ption 2 would add additional cost, operational complexity and operational risk to prime brokerage arrangements</w:t>
      </w:r>
      <w:r w:rsidR="000A2019">
        <w:rPr>
          <w:rFonts w:ascii="Georgia" w:hAnsi="Georgia"/>
          <w:sz w:val="20"/>
          <w:lang w:val="en-GB" w:eastAsia="de-DE"/>
        </w:rPr>
        <w:t>,</w:t>
      </w:r>
      <w:r w:rsidR="007C4AD7">
        <w:rPr>
          <w:rFonts w:ascii="Georgia" w:hAnsi="Georgia"/>
          <w:sz w:val="20"/>
          <w:lang w:val="en-GB" w:eastAsia="de-DE"/>
        </w:rPr>
        <w:t xml:space="preserve"> </w:t>
      </w:r>
      <w:r w:rsidR="000A2019" w:rsidRPr="00506FDD">
        <w:rPr>
          <w:rFonts w:ascii="Georgia" w:hAnsi="Georgia"/>
          <w:sz w:val="20"/>
          <w:lang w:val="en-GB" w:eastAsia="de-DE"/>
        </w:rPr>
        <w:t>to the d</w:t>
      </w:r>
      <w:r w:rsidR="000A2019">
        <w:rPr>
          <w:rFonts w:ascii="Georgia" w:hAnsi="Georgia"/>
          <w:sz w:val="20"/>
          <w:lang w:val="en-GB" w:eastAsia="de-DE"/>
        </w:rPr>
        <w:t xml:space="preserve">etriment of investor protection. </w:t>
      </w:r>
      <w:r w:rsidR="000A2019" w:rsidRPr="000A2019">
        <w:rPr>
          <w:rFonts w:ascii="Georgia" w:hAnsi="Georgia"/>
          <w:sz w:val="20"/>
          <w:lang w:val="en-GB" w:eastAsia="de-DE"/>
        </w:rPr>
        <w:t>For the reasons set out by AFME, there would be no counterbalancing enhancement to investor protection achieved by imposing these additional segregation requirements. In the event of an insolvency of a prime broker, a shortfall is more likely on account of the additional operational risks – and the losses from such shortfall would be shared amongst a smaller group of market participants, magnifying the negative impact.</w:t>
      </w:r>
    </w:p>
    <w:p w14:paraId="45C7A677" w14:textId="77777777" w:rsidR="000A2019" w:rsidRPr="000A2019" w:rsidRDefault="000A2019" w:rsidP="00ED1737">
      <w:pPr>
        <w:jc w:val="both"/>
        <w:rPr>
          <w:rFonts w:ascii="Georgia" w:hAnsi="Georgia"/>
          <w:sz w:val="20"/>
          <w:lang w:val="en-GB" w:eastAsia="de-DE"/>
        </w:rPr>
      </w:pPr>
    </w:p>
    <w:p w14:paraId="174A09F6" w14:textId="77777777" w:rsidR="000A2019" w:rsidRPr="000A2019" w:rsidRDefault="000A2019" w:rsidP="00ED1737">
      <w:pPr>
        <w:jc w:val="both"/>
        <w:rPr>
          <w:rFonts w:ascii="Georgia" w:hAnsi="Georgia"/>
          <w:sz w:val="20"/>
          <w:lang w:val="en-GB" w:eastAsia="de-DE"/>
        </w:rPr>
      </w:pPr>
      <w:r w:rsidRPr="000A2019">
        <w:rPr>
          <w:rFonts w:ascii="Georgia" w:hAnsi="Georgia"/>
          <w:sz w:val="20"/>
          <w:lang w:val="en-GB" w:eastAsia="de-DE"/>
        </w:rPr>
        <w:t>We anticipate that the costs and complexities of prime brokers being obliged to run multiple segregated accounts (per Option 1 or 2) would deter prime brokers and custodians from offering their services to AIFs subject to these rules. The majority of such AIFs are established in the European Union. We anticipate that were Option 1 or 2 to be imposed then EU AIFs – in particular those managed by smaller asset managers - may have a reduced number of prime brokers willing to act for them and may be restricted from certain markets. Together with the added cost and operational risk and the reduced investor protection, we believe that this would make EU AIFs less attractive to investors and would put European asset managers and European AIFs at a competitive disadvantage to asset managers and funds established in other jurisdictions. Ultimately this would be to the detriment of the European asset management industry and of European investors.</w:t>
      </w:r>
    </w:p>
    <w:p w14:paraId="7A2061F4"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&lt;ESMA_QUESTION_G_AIFMD_2&gt;</w:t>
      </w:r>
    </w:p>
    <w:p w14:paraId="475AB5DE" w14:textId="77777777" w:rsidR="00430502" w:rsidRPr="00430502" w:rsidRDefault="00430502" w:rsidP="00ED1737">
      <w:pPr>
        <w:keepNext/>
        <w:keepLines/>
        <w:spacing w:before="200"/>
        <w:ind w:left="360" w:hanging="360"/>
        <w:jc w:val="both"/>
        <w:outlineLvl w:val="4"/>
        <w:rPr>
          <w:rFonts w:ascii="Georgia" w:eastAsia="Calibri" w:hAnsi="Georgia"/>
          <w:b/>
          <w:sz w:val="20"/>
          <w:lang w:val="en-GB" w:eastAsia="de-DE"/>
        </w:rPr>
      </w:pPr>
      <w:r w:rsidRPr="00430502">
        <w:rPr>
          <w:rFonts w:ascii="Georgia" w:eastAsia="Calibri" w:hAnsi="Georgia"/>
          <w:b/>
          <w:sz w:val="20"/>
          <w:lang w:val="en-GB" w:eastAsia="de-DE"/>
        </w:rPr>
        <w:lastRenderedPageBreak/>
        <w:t>Do you have knowledge of the impact that each of the two options identified would have on your business in terms of restructuring of existing delegation arrangements in Europe and third countries? Please quantify the one-off and ongoing costs as well as the type of costs for each of the two options or any alternative option that you may prefer.</w:t>
      </w:r>
    </w:p>
    <w:p w14:paraId="7DFFD299" w14:textId="77777777" w:rsidR="00430502" w:rsidRPr="00430502" w:rsidRDefault="00430502" w:rsidP="00ED1737">
      <w:pPr>
        <w:jc w:val="both"/>
        <w:rPr>
          <w:rFonts w:ascii="Georgia" w:hAnsi="Georgia"/>
          <w:sz w:val="20"/>
          <w:lang w:val="en-GB" w:eastAsia="de-DE"/>
        </w:rPr>
      </w:pPr>
    </w:p>
    <w:p w14:paraId="5A3F2653"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&lt;ESMA_QUESTION_G_AIFMD_3&gt;</w:t>
      </w:r>
    </w:p>
    <w:p w14:paraId="6F8972EB" w14:textId="5D02EE9B" w:rsidR="00800837" w:rsidRPr="00800837" w:rsidRDefault="00FE3F8C" w:rsidP="00ED1737">
      <w:pPr>
        <w:jc w:val="both"/>
        <w:rPr>
          <w:rFonts w:ascii="Georgia" w:hAnsi="Georgia"/>
          <w:sz w:val="20"/>
          <w:lang w:val="en-GB" w:eastAsia="de-DE"/>
        </w:rPr>
      </w:pPr>
      <w:r>
        <w:rPr>
          <w:rFonts w:ascii="Georgia" w:hAnsi="Georgia"/>
          <w:sz w:val="20"/>
          <w:lang w:val="en-GB" w:eastAsia="de-DE"/>
        </w:rPr>
        <w:t>See our response to Question 2 above.</w:t>
      </w:r>
    </w:p>
    <w:p w14:paraId="0B8D1DE9"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&lt;ESMA_QUESTION_G_AIFMD_3&gt;</w:t>
      </w:r>
    </w:p>
    <w:p w14:paraId="3FC12F10" w14:textId="77777777" w:rsidR="00430502" w:rsidRPr="00430502" w:rsidRDefault="00430502" w:rsidP="00ED1737">
      <w:pPr>
        <w:keepNext/>
        <w:keepLines/>
        <w:spacing w:before="200"/>
        <w:ind w:left="360" w:hanging="360"/>
        <w:jc w:val="both"/>
        <w:outlineLvl w:val="4"/>
        <w:rPr>
          <w:rFonts w:ascii="Georgia" w:eastAsia="Calibri" w:hAnsi="Georgia"/>
          <w:b/>
          <w:sz w:val="20"/>
          <w:lang w:val="en-GB" w:eastAsia="de-DE"/>
        </w:rPr>
      </w:pPr>
      <w:r w:rsidRPr="00430502">
        <w:rPr>
          <w:rFonts w:ascii="Georgia" w:eastAsia="Calibri" w:hAnsi="Georgia"/>
          <w:b/>
          <w:sz w:val="20"/>
          <w:lang w:val="en-GB" w:eastAsia="de-DE"/>
        </w:rPr>
        <w:t>Do you see merit in foreseeing a specific treatment for certain types of arrangement (e.g. collateral management arrangements)? If yes, please specify how your proposal would ensure compliance with the relevant requirements of the AIFMD and Level 2 Regulation.</w:t>
      </w:r>
    </w:p>
    <w:p w14:paraId="71375439" w14:textId="77777777" w:rsidR="00430502" w:rsidRPr="00430502" w:rsidRDefault="00430502" w:rsidP="00ED1737">
      <w:pPr>
        <w:jc w:val="both"/>
        <w:rPr>
          <w:rFonts w:ascii="Georgia" w:hAnsi="Georgia"/>
          <w:sz w:val="20"/>
          <w:lang w:val="en-GB" w:eastAsia="de-DE"/>
        </w:rPr>
      </w:pPr>
    </w:p>
    <w:p w14:paraId="72A6FF9F"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&lt;ESMA_QUESTION_G_AIFMD_4&gt;</w:t>
      </w:r>
    </w:p>
    <w:p w14:paraId="0BA96CC7"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TYPE YOUR TEXT HERE</w:t>
      </w:r>
    </w:p>
    <w:p w14:paraId="7DBEC510"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&lt;ESMA_QUESTION_G_AIFMD_4&gt;</w:t>
      </w:r>
    </w:p>
    <w:p w14:paraId="1A9AEE8D" w14:textId="77777777" w:rsidR="00430502" w:rsidRPr="00430502" w:rsidRDefault="00430502" w:rsidP="00ED1737">
      <w:pPr>
        <w:keepNext/>
        <w:keepLines/>
        <w:spacing w:before="200"/>
        <w:ind w:left="360" w:hanging="360"/>
        <w:jc w:val="both"/>
        <w:outlineLvl w:val="4"/>
        <w:rPr>
          <w:rFonts w:ascii="Georgia" w:hAnsi="Georgia"/>
          <w:b/>
          <w:sz w:val="20"/>
          <w:lang w:val="en-GB" w:eastAsia="de-DE"/>
        </w:rPr>
      </w:pPr>
      <w:r w:rsidRPr="00430502">
        <w:rPr>
          <w:rFonts w:ascii="Georgia" w:hAnsi="Georgia"/>
          <w:b/>
          <w:sz w:val="20"/>
          <w:lang w:val="en-GB" w:eastAsia="de-DE"/>
        </w:rPr>
        <w:t>Do you agree with ESMA’s approach to discarding the third, fourth and fifth options described in Section 5 of the CBA? If not please provide data and information that support your view.</w:t>
      </w:r>
    </w:p>
    <w:p w14:paraId="44BE54E4" w14:textId="77777777" w:rsidR="00430502" w:rsidRPr="00430502" w:rsidRDefault="00430502" w:rsidP="00ED1737">
      <w:pPr>
        <w:jc w:val="both"/>
        <w:rPr>
          <w:rFonts w:ascii="Georgia" w:hAnsi="Georgia"/>
          <w:sz w:val="20"/>
          <w:lang w:val="en-GB" w:eastAsia="de-DE"/>
        </w:rPr>
      </w:pPr>
    </w:p>
    <w:p w14:paraId="54CB751C" w14:textId="77777777"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&lt;ESMA_QUESTION_G_AIFMD_5&gt;</w:t>
      </w:r>
    </w:p>
    <w:p w14:paraId="7C7459EC" w14:textId="56A2D0C7" w:rsidR="00800837" w:rsidRPr="00800837" w:rsidRDefault="00FE3F8C" w:rsidP="00ED1737">
      <w:pPr>
        <w:jc w:val="both"/>
        <w:rPr>
          <w:rFonts w:ascii="Georgia" w:hAnsi="Georgia"/>
          <w:sz w:val="20"/>
          <w:lang w:val="en-GB" w:eastAsia="de-DE"/>
        </w:rPr>
      </w:pPr>
      <w:r>
        <w:rPr>
          <w:rFonts w:ascii="Georgia" w:hAnsi="Georgia"/>
          <w:sz w:val="20"/>
          <w:lang w:val="en-GB" w:eastAsia="de-DE"/>
        </w:rPr>
        <w:t>S</w:t>
      </w:r>
      <w:r w:rsidR="001C01BC">
        <w:rPr>
          <w:rFonts w:ascii="Georgia" w:hAnsi="Georgia"/>
          <w:sz w:val="20"/>
          <w:lang w:val="en-GB" w:eastAsia="de-DE"/>
        </w:rPr>
        <w:t>ee our response to Question 2</w:t>
      </w:r>
      <w:r>
        <w:rPr>
          <w:rFonts w:ascii="Georgia" w:hAnsi="Georgia"/>
          <w:sz w:val="20"/>
          <w:lang w:val="en-GB" w:eastAsia="de-DE"/>
        </w:rPr>
        <w:t xml:space="preserve"> above</w:t>
      </w:r>
      <w:r w:rsidR="001C01BC">
        <w:rPr>
          <w:rFonts w:ascii="Georgia" w:hAnsi="Georgia"/>
          <w:sz w:val="20"/>
          <w:lang w:val="en-GB" w:eastAsia="de-DE"/>
        </w:rPr>
        <w:t xml:space="preserve">. </w:t>
      </w:r>
    </w:p>
    <w:p w14:paraId="0E5424AD" w14:textId="6E8EEF04" w:rsidR="00430502" w:rsidRPr="00430502" w:rsidRDefault="00430502" w:rsidP="00ED1737">
      <w:pPr>
        <w:jc w:val="both"/>
        <w:rPr>
          <w:rFonts w:ascii="Georgia" w:hAnsi="Georgia"/>
          <w:sz w:val="20"/>
          <w:lang w:val="en-GB" w:eastAsia="de-DE"/>
        </w:rPr>
      </w:pPr>
      <w:r w:rsidRPr="00430502">
        <w:rPr>
          <w:rFonts w:ascii="Georgia" w:hAnsi="Georgia"/>
          <w:sz w:val="20"/>
          <w:lang w:val="en-GB" w:eastAsia="de-DE"/>
        </w:rPr>
        <w:t>&lt;ESMA_QUESTION_G_AIFMD_5&gt;</w:t>
      </w:r>
    </w:p>
    <w:p w14:paraId="4D0FBA04" w14:textId="77777777" w:rsidR="00430502" w:rsidRPr="00430502" w:rsidRDefault="00430502" w:rsidP="00ED1737">
      <w:pPr>
        <w:jc w:val="both"/>
        <w:rPr>
          <w:rFonts w:ascii="Georgia" w:hAnsi="Georgia"/>
          <w:sz w:val="20"/>
          <w:lang w:val="en-GB" w:eastAsia="de-DE"/>
        </w:rPr>
      </w:pPr>
    </w:p>
    <w:p w14:paraId="796ACC96" w14:textId="77777777" w:rsidR="00693215" w:rsidRDefault="00693215" w:rsidP="00ED1737">
      <w:pPr>
        <w:ind w:left="567" w:right="683"/>
        <w:jc w:val="both"/>
        <w:rPr>
          <w:rFonts w:ascii="Trebuchet MS" w:hAnsi="Trebuchet MS"/>
          <w:sz w:val="20"/>
          <w:szCs w:val="20"/>
          <w:lang w:val="en-GB"/>
        </w:rPr>
      </w:pPr>
    </w:p>
    <w:p w14:paraId="796ACC97" w14:textId="77777777" w:rsidR="00174335" w:rsidRDefault="00174335" w:rsidP="00ED1737">
      <w:pPr>
        <w:ind w:left="567" w:right="683"/>
        <w:jc w:val="both"/>
        <w:rPr>
          <w:rFonts w:ascii="Trebuchet MS" w:hAnsi="Trebuchet MS"/>
          <w:sz w:val="20"/>
          <w:szCs w:val="20"/>
          <w:lang w:val="en-GB"/>
        </w:rPr>
      </w:pPr>
    </w:p>
    <w:p w14:paraId="796ACC98" w14:textId="77777777" w:rsidR="00174335" w:rsidRDefault="00174335" w:rsidP="00ED1737">
      <w:pPr>
        <w:ind w:left="567" w:right="683"/>
        <w:jc w:val="both"/>
        <w:rPr>
          <w:rFonts w:ascii="Trebuchet MS" w:hAnsi="Trebuchet MS"/>
          <w:sz w:val="20"/>
          <w:szCs w:val="20"/>
          <w:lang w:val="en-GB"/>
        </w:rPr>
      </w:pPr>
    </w:p>
    <w:p w14:paraId="796ACC99" w14:textId="77777777" w:rsidR="00B727F3" w:rsidRPr="00901841" w:rsidRDefault="00B727F3" w:rsidP="00ED1737">
      <w:pPr>
        <w:ind w:left="567" w:right="683"/>
        <w:jc w:val="both"/>
        <w:rPr>
          <w:rFonts w:ascii="Trebuchet MS" w:hAnsi="Trebuchet MS"/>
          <w:sz w:val="20"/>
          <w:szCs w:val="20"/>
          <w:lang w:val="en-GB"/>
        </w:rPr>
      </w:pPr>
    </w:p>
    <w:sectPr w:rsidR="00B727F3" w:rsidRPr="00901841" w:rsidSect="00693215">
      <w:headerReference w:type="default" r:id="rId15"/>
      <w:headerReference w:type="first" r:id="rId16"/>
      <w:footerReference w:type="first" r:id="rId17"/>
      <w:pgSz w:w="11909" w:h="16834" w:code="9"/>
      <w:pgMar w:top="539" w:right="748" w:bottom="539" w:left="839" w:header="53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ACC9C" w14:textId="77777777" w:rsidR="004D71B1" w:rsidRDefault="004D71B1">
      <w:r>
        <w:separator/>
      </w:r>
    </w:p>
  </w:endnote>
  <w:endnote w:type="continuationSeparator" w:id="0">
    <w:p w14:paraId="796ACC9D" w14:textId="77777777" w:rsidR="004D71B1" w:rsidRDefault="004D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30502" w:rsidRPr="00315E96" w14:paraId="3B011D7D" w14:textId="77777777" w:rsidTr="00315E96">
      <w:trPr>
        <w:trHeight w:val="284"/>
      </w:trPr>
      <w:tc>
        <w:tcPr>
          <w:tcW w:w="8460" w:type="dxa"/>
        </w:tcPr>
        <w:p w14:paraId="48A7C2BD" w14:textId="77777777" w:rsidR="00430502" w:rsidRPr="00315E96" w:rsidRDefault="00430502" w:rsidP="00315E96">
          <w:pPr>
            <w:pStyle w:val="00Footer"/>
            <w:rPr>
              <w:lang w:val="fr-FR"/>
            </w:rPr>
          </w:pPr>
        </w:p>
      </w:tc>
      <w:tc>
        <w:tcPr>
          <w:tcW w:w="952" w:type="dxa"/>
        </w:tcPr>
        <w:p w14:paraId="66E6B02A" w14:textId="77777777" w:rsidR="00430502" w:rsidRPr="002C5B2D" w:rsidRDefault="00430502" w:rsidP="002C5B2D">
          <w:pPr>
            <w:pStyle w:val="00aPagenumber"/>
          </w:pPr>
          <w:r>
            <w:fldChar w:fldCharType="begin"/>
          </w:r>
          <w:r>
            <w:instrText xml:space="preserve"> PAGE </w:instrText>
          </w:r>
          <w:r>
            <w:fldChar w:fldCharType="separate"/>
          </w:r>
          <w:r w:rsidR="001A7749">
            <w:rPr>
              <w:noProof/>
            </w:rPr>
            <w:t>3</w:t>
          </w:r>
          <w:r>
            <w:rPr>
              <w:noProof/>
            </w:rPr>
            <w:fldChar w:fldCharType="end"/>
          </w:r>
        </w:p>
      </w:tc>
    </w:tr>
  </w:tbl>
  <w:p w14:paraId="34D52345" w14:textId="77777777" w:rsidR="00430502" w:rsidRDefault="00430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CCA2" w14:textId="77777777" w:rsidR="00161584" w:rsidRDefault="00161584" w:rsidP="00161584">
    <w:pPr>
      <w:pStyle w:val="Footer"/>
      <w:tabs>
        <w:tab w:val="right" w:pos="9639"/>
      </w:tabs>
      <w:ind w:left="-567" w:right="-563"/>
      <w:jc w:val="center"/>
      <w:rPr>
        <w:rFonts w:ascii="Trebuchet MS" w:hAnsi="Trebuchet MS"/>
        <w:color w:val="000080"/>
        <w:sz w:val="20"/>
      </w:rPr>
    </w:pPr>
    <w:r>
      <w:rPr>
        <w:rFonts w:ascii="Trebuchet MS" w:hAnsi="Trebuchet MS"/>
        <w:color w:val="000080"/>
        <w:sz w:val="20"/>
      </w:rPr>
      <w:t>The Alternative Investment Management Association Limited</w:t>
    </w:r>
  </w:p>
  <w:p w14:paraId="796ACCA3" w14:textId="77777777" w:rsidR="00161584" w:rsidRDefault="00161584" w:rsidP="00161584">
    <w:pPr>
      <w:pStyle w:val="Footer"/>
      <w:tabs>
        <w:tab w:val="right" w:pos="9639"/>
      </w:tabs>
      <w:ind w:left="-567" w:right="-563"/>
      <w:jc w:val="center"/>
      <w:rPr>
        <w:rFonts w:ascii="Trebuchet MS" w:hAnsi="Trebuchet MS"/>
        <w:color w:val="000080"/>
        <w:sz w:val="20"/>
      </w:rPr>
    </w:pPr>
    <w:smartTag w:uri="urn:schemas-microsoft-com:office:smarttags" w:element="address">
      <w:smartTag w:uri="urn:schemas-microsoft-com:office:smarttags" w:element="Street">
        <w:r>
          <w:rPr>
            <w:rFonts w:ascii="Trebuchet MS" w:hAnsi="Trebuchet MS"/>
            <w:color w:val="000080"/>
            <w:sz w:val="20"/>
          </w:rPr>
          <w:t>167 Fleet Street</w:t>
        </w:r>
      </w:smartTag>
      <w:r>
        <w:rPr>
          <w:rFonts w:ascii="Trebuchet MS" w:hAnsi="Trebuchet MS"/>
          <w:color w:val="000080"/>
          <w:sz w:val="20"/>
        </w:rPr>
        <w:t xml:space="preserve">, </w:t>
      </w:r>
      <w:smartTag w:uri="urn:schemas-microsoft-com:office:smarttags" w:element="City">
        <w:r>
          <w:rPr>
            <w:rFonts w:ascii="Trebuchet MS" w:hAnsi="Trebuchet MS"/>
            <w:color w:val="000080"/>
            <w:sz w:val="20"/>
          </w:rPr>
          <w:t>London</w:t>
        </w:r>
      </w:smartTag>
      <w:r>
        <w:rPr>
          <w:rFonts w:ascii="Trebuchet MS" w:hAnsi="Trebuchet MS"/>
          <w:color w:val="000080"/>
          <w:sz w:val="20"/>
        </w:rPr>
        <w:t xml:space="preserve">, </w:t>
      </w:r>
      <w:smartTag w:uri="urn:schemas-microsoft-com:office:smarttags" w:element="PostalCode">
        <w:r>
          <w:rPr>
            <w:rFonts w:ascii="Trebuchet MS" w:hAnsi="Trebuchet MS"/>
            <w:color w:val="000080"/>
            <w:sz w:val="20"/>
          </w:rPr>
          <w:t>EC4A 2EA</w:t>
        </w:r>
      </w:smartTag>
    </w:smartTag>
  </w:p>
  <w:p w14:paraId="796ACCA4" w14:textId="77777777" w:rsidR="00161584" w:rsidRPr="00161584" w:rsidRDefault="00161584" w:rsidP="00161584">
    <w:pPr>
      <w:pStyle w:val="Footer"/>
      <w:tabs>
        <w:tab w:val="right" w:pos="9639"/>
      </w:tabs>
      <w:ind w:left="-567" w:right="-563"/>
      <w:jc w:val="center"/>
      <w:rPr>
        <w:rFonts w:ascii="Trebuchet MS" w:hAnsi="Trebuchet MS"/>
        <w:color w:val="000080"/>
        <w:sz w:val="20"/>
        <w:lang w:val="fr-FR"/>
      </w:rPr>
    </w:pPr>
    <w:r w:rsidRPr="00161584">
      <w:rPr>
        <w:rFonts w:ascii="Trebuchet MS" w:hAnsi="Trebuchet MS"/>
        <w:color w:val="000080"/>
        <w:sz w:val="20"/>
        <w:lang w:val="fr-FR"/>
      </w:rPr>
      <w:t xml:space="preserve">Tel: +44 (0)20 7822 8380    Fax: +44 (0)20 7822 8381       E-mail: </w:t>
    </w:r>
    <w:hyperlink r:id="rId1" w:history="1">
      <w:r w:rsidRPr="00161584">
        <w:rPr>
          <w:rStyle w:val="Hyperlink"/>
          <w:rFonts w:ascii="Trebuchet MS" w:hAnsi="Trebuchet MS"/>
          <w:color w:val="000080"/>
          <w:sz w:val="20"/>
          <w:lang w:val="fr-FR"/>
        </w:rPr>
        <w:t>info@aima.org</w:t>
      </w:r>
    </w:hyperlink>
    <w:r w:rsidRPr="00161584">
      <w:rPr>
        <w:rFonts w:ascii="Trebuchet MS" w:hAnsi="Trebuchet MS"/>
        <w:color w:val="000080"/>
        <w:sz w:val="20"/>
        <w:lang w:val="fr-FR"/>
      </w:rPr>
      <w:t xml:space="preserve">   Internet: </w:t>
    </w:r>
    <w:hyperlink r:id="rId2" w:history="1">
      <w:r w:rsidRPr="00161584">
        <w:rPr>
          <w:rStyle w:val="Hyperlink"/>
          <w:rFonts w:ascii="Trebuchet MS" w:hAnsi="Trebuchet MS"/>
          <w:color w:val="000080"/>
          <w:sz w:val="20"/>
          <w:lang w:val="fr-FR"/>
        </w:rPr>
        <w:t>http://www.aima.org</w:t>
      </w:r>
    </w:hyperlink>
  </w:p>
  <w:p w14:paraId="796ACCA5" w14:textId="77777777" w:rsidR="00161584" w:rsidRPr="00161584" w:rsidRDefault="00161584" w:rsidP="00161584">
    <w:pPr>
      <w:pStyle w:val="Footer"/>
      <w:tabs>
        <w:tab w:val="right" w:pos="9639"/>
      </w:tabs>
      <w:ind w:left="-567" w:right="-563"/>
      <w:jc w:val="center"/>
      <w:rPr>
        <w:rFonts w:ascii="Trebuchet MS" w:hAnsi="Trebuchet MS"/>
        <w:color w:val="000080"/>
        <w:sz w:val="20"/>
        <w:lang w:val="fr-FR"/>
      </w:rPr>
    </w:pPr>
  </w:p>
  <w:p w14:paraId="796ACCA6" w14:textId="77777777" w:rsidR="00693215" w:rsidRDefault="00161584" w:rsidP="00161584">
    <w:pPr>
      <w:pStyle w:val="Footer"/>
      <w:tabs>
        <w:tab w:val="right" w:pos="9639"/>
      </w:tabs>
      <w:ind w:left="-567" w:right="-563"/>
      <w:jc w:val="center"/>
    </w:pPr>
    <w:r w:rsidRPr="00FD440B">
      <w:rPr>
        <w:rFonts w:ascii="Trebuchet MS" w:hAnsi="Trebuchet MS"/>
        <w:color w:val="000080"/>
        <w:sz w:val="16"/>
        <w:szCs w:val="16"/>
      </w:rPr>
      <w:t xml:space="preserve">Registered in </w:t>
    </w:r>
    <w:smartTag w:uri="urn:schemas-microsoft-com:office:smarttags" w:element="place">
      <w:smartTag w:uri="urn:schemas-microsoft-com:office:smarttags" w:element="country-region">
        <w:r w:rsidRPr="00FD440B">
          <w:rPr>
            <w:rFonts w:ascii="Trebuchet MS" w:hAnsi="Trebuchet MS"/>
            <w:color w:val="000080"/>
            <w:sz w:val="16"/>
            <w:szCs w:val="16"/>
          </w:rPr>
          <w:t>England</w:t>
        </w:r>
      </w:smartTag>
    </w:smartTag>
    <w:r w:rsidRPr="00FD440B">
      <w:rPr>
        <w:rFonts w:ascii="Trebuchet MS" w:hAnsi="Trebuchet MS"/>
        <w:color w:val="000080"/>
        <w:sz w:val="16"/>
        <w:szCs w:val="16"/>
      </w:rPr>
      <w:t xml:space="preserve"> as a Company Limited by Guarantee, No. 4437037. VAT registration </w:t>
    </w:r>
    <w:r>
      <w:rPr>
        <w:rFonts w:ascii="Trebuchet MS" w:hAnsi="Trebuchet MS"/>
        <w:color w:val="000080"/>
        <w:sz w:val="16"/>
      </w:rPr>
      <w:t>no: 577 5913 90. Registered Office as above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CC9A" w14:textId="77777777" w:rsidR="004D71B1" w:rsidRDefault="004D71B1">
      <w:r>
        <w:separator/>
      </w:r>
    </w:p>
  </w:footnote>
  <w:footnote w:type="continuationSeparator" w:id="0">
    <w:p w14:paraId="796ACC9B" w14:textId="77777777" w:rsidR="004D71B1" w:rsidRDefault="004D7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F20A0" w14:textId="3246C8AC" w:rsidR="00430502" w:rsidRDefault="00430502">
    <w:pPr>
      <w:pStyle w:val="Header"/>
    </w:pPr>
    <w:r>
      <w:rPr>
        <w:noProof/>
        <w:lang w:val="en-GB" w:eastAsia="en-GB"/>
      </w:rPr>
      <w:drawing>
        <wp:anchor distT="0" distB="0" distL="114300" distR="114300" simplePos="0" relativeHeight="251660288" behindDoc="0" locked="0" layoutInCell="1" allowOverlap="1" wp14:anchorId="6F601BFE" wp14:editId="45E36E67">
          <wp:simplePos x="0" y="0"/>
          <wp:positionH relativeFrom="page">
            <wp:posOffset>791845</wp:posOffset>
          </wp:positionH>
          <wp:positionV relativeFrom="page">
            <wp:posOffset>612140</wp:posOffset>
          </wp:positionV>
          <wp:extent cx="561975" cy="561975"/>
          <wp:effectExtent l="0" t="0" r="0" b="0"/>
          <wp:wrapNone/>
          <wp:docPr id="5" name="Picture 5"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749">
      <w:rPr>
        <w:noProof/>
        <w:lang w:val="en-GB" w:eastAsia="en-GB"/>
      </w:rPr>
      <mc:AlternateContent>
        <mc:Choice Requires="wps">
          <w:drawing>
            <wp:anchor distT="0" distB="0" distL="114295" distR="114295" simplePos="0" relativeHeight="251659264" behindDoc="0" locked="0" layoutInCell="1" allowOverlap="1" wp14:anchorId="551ED8BB" wp14:editId="7F0D0A08">
              <wp:simplePos x="0" y="0"/>
              <wp:positionH relativeFrom="page">
                <wp:posOffset>1548129</wp:posOffset>
              </wp:positionH>
              <wp:positionV relativeFrom="page">
                <wp:posOffset>612140</wp:posOffset>
              </wp:positionV>
              <wp:extent cx="0" cy="558165"/>
              <wp:effectExtent l="0" t="0" r="19050" b="3238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DBC3" id="Line 16" o:spid="_x0000_s1026" style="position:absolute;z-index:251659264;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ASyQ+M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43CC" w14:textId="74F3A8DA" w:rsidR="00430502" w:rsidRDefault="00430502" w:rsidP="00013CCE">
    <w:pPr>
      <w:pStyle w:val="Header"/>
      <w:jc w:val="right"/>
    </w:pPr>
    <w:r>
      <w:rPr>
        <w:noProof/>
        <w:lang w:val="en-GB" w:eastAsia="en-GB"/>
      </w:rPr>
      <w:drawing>
        <wp:anchor distT="0" distB="0" distL="114300" distR="114300" simplePos="0" relativeHeight="251658240" behindDoc="0" locked="0" layoutInCell="1" allowOverlap="1" wp14:anchorId="1B6D68B5" wp14:editId="410F38AA">
          <wp:simplePos x="0" y="0"/>
          <wp:positionH relativeFrom="page">
            <wp:posOffset>377825</wp:posOffset>
          </wp:positionH>
          <wp:positionV relativeFrom="page">
            <wp:posOffset>377825</wp:posOffset>
          </wp:positionV>
          <wp:extent cx="2209800" cy="904875"/>
          <wp:effectExtent l="0" t="0" r="0" b="0"/>
          <wp:wrapNone/>
          <wp:docPr id="4" name="Picture 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5168" behindDoc="1" locked="0" layoutInCell="1" allowOverlap="1" wp14:anchorId="4F56BB60" wp14:editId="69B2B4F3">
          <wp:simplePos x="0" y="0"/>
          <wp:positionH relativeFrom="page">
            <wp:posOffset>0</wp:posOffset>
          </wp:positionH>
          <wp:positionV relativeFrom="page">
            <wp:posOffset>3895725</wp:posOffset>
          </wp:positionV>
          <wp:extent cx="7560310" cy="6800850"/>
          <wp:effectExtent l="0" t="0" r="0" b="0"/>
          <wp:wrapNone/>
          <wp:docPr id="3" name="Picture 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CC9E" w14:textId="77777777" w:rsidR="00A52B72" w:rsidRDefault="00331150">
    <w:pPr>
      <w:pStyle w:val="Header"/>
      <w:rPr>
        <w:rFonts w:ascii="Trebuchet MS" w:hAnsi="Trebuchet MS"/>
        <w:b/>
        <w:color w:val="000080"/>
        <w:sz w:val="32"/>
      </w:rPr>
    </w:pPr>
    <w:r>
      <w:rPr>
        <w:noProof/>
        <w:lang w:val="en-GB" w:eastAsia="en-GB"/>
      </w:rPr>
      <w:drawing>
        <wp:inline distT="0" distB="0" distL="0" distR="0" wp14:anchorId="796ACCA7" wp14:editId="796ACCA8">
          <wp:extent cx="819150" cy="609600"/>
          <wp:effectExtent l="19050" t="0" r="0" b="0"/>
          <wp:docPr id="1" name="Picture 1" descr="ai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macol"/>
                  <pic:cNvPicPr>
                    <a:picLocks noChangeAspect="1" noChangeArrowheads="1"/>
                  </pic:cNvPicPr>
                </pic:nvPicPr>
                <pic:blipFill>
                  <a:blip r:embed="rId1"/>
                  <a:srcRect/>
                  <a:stretch>
                    <a:fillRect/>
                  </a:stretch>
                </pic:blipFill>
                <pic:spPr bwMode="auto">
                  <a:xfrm>
                    <a:off x="0" y="0"/>
                    <a:ext cx="819150" cy="609600"/>
                  </a:xfrm>
                  <a:prstGeom prst="rect">
                    <a:avLst/>
                  </a:prstGeom>
                  <a:noFill/>
                  <a:ln w="9525">
                    <a:noFill/>
                    <a:miter lim="800000"/>
                    <a:headEnd/>
                    <a:tailEnd/>
                  </a:ln>
                </pic:spPr>
              </pic:pic>
            </a:graphicData>
          </a:graphic>
        </wp:inline>
      </w:drawing>
    </w:r>
    <w:r w:rsidR="00A52B72">
      <w:t xml:space="preserve">         </w:t>
    </w:r>
  </w:p>
  <w:p w14:paraId="796ACC9F" w14:textId="77777777" w:rsidR="00A52B72" w:rsidRDefault="00A52B72">
    <w:pPr>
      <w:pStyle w:val="Header"/>
      <w:tabs>
        <w:tab w:val="clear" w:pos="4153"/>
        <w:tab w:val="left" w:pos="1920"/>
      </w:tabs>
      <w:rPr>
        <w:rFonts w:ascii="Trebuchet MS" w:hAnsi="Trebuchet MS"/>
        <w:b/>
        <w:color w:val="000080"/>
        <w:sz w:val="20"/>
      </w:rPr>
    </w:pPr>
    <w:r>
      <w:rPr>
        <w:rFonts w:ascii="Trebuchet MS" w:hAnsi="Trebuchet MS"/>
        <w:b/>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CCA0" w14:textId="77777777" w:rsidR="00693215" w:rsidRDefault="00331150" w:rsidP="000D3EAE">
    <w:pPr>
      <w:pStyle w:val="Header"/>
      <w:jc w:val="center"/>
      <w:rPr>
        <w:rFonts w:ascii="Trebuchet MS" w:hAnsi="Trebuchet MS"/>
        <w:b/>
        <w:color w:val="000080"/>
        <w:sz w:val="32"/>
      </w:rPr>
    </w:pPr>
    <w:r>
      <w:rPr>
        <w:noProof/>
        <w:lang w:val="en-GB" w:eastAsia="en-GB"/>
      </w:rPr>
      <w:drawing>
        <wp:inline distT="0" distB="0" distL="0" distR="0" wp14:anchorId="796ACCA9" wp14:editId="796ACCAA">
          <wp:extent cx="819150" cy="609600"/>
          <wp:effectExtent l="19050" t="0" r="0" b="0"/>
          <wp:docPr id="2" name="Picture 2" descr="aima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macol"/>
                  <pic:cNvPicPr>
                    <a:picLocks noChangeAspect="1" noChangeArrowheads="1"/>
                  </pic:cNvPicPr>
                </pic:nvPicPr>
                <pic:blipFill>
                  <a:blip r:embed="rId1"/>
                  <a:srcRect/>
                  <a:stretch>
                    <a:fillRect/>
                  </a:stretch>
                </pic:blipFill>
                <pic:spPr bwMode="auto">
                  <a:xfrm>
                    <a:off x="0" y="0"/>
                    <a:ext cx="819150" cy="609600"/>
                  </a:xfrm>
                  <a:prstGeom prst="rect">
                    <a:avLst/>
                  </a:prstGeom>
                  <a:noFill/>
                  <a:ln w="9525">
                    <a:noFill/>
                    <a:miter lim="800000"/>
                    <a:headEnd/>
                    <a:tailEnd/>
                  </a:ln>
                </pic:spPr>
              </pic:pic>
            </a:graphicData>
          </a:graphic>
        </wp:inline>
      </w:drawing>
    </w:r>
    <w:r w:rsidR="00693215">
      <w:t xml:space="preserve">         </w:t>
    </w:r>
    <w:r w:rsidR="00693215">
      <w:rPr>
        <w:rFonts w:ascii="Trebuchet MS" w:hAnsi="Trebuchet MS"/>
        <w:b/>
        <w:color w:val="000080"/>
        <w:sz w:val="32"/>
      </w:rPr>
      <w:t>Alternative Investment Management Association</w:t>
    </w:r>
  </w:p>
  <w:p w14:paraId="796ACCA1" w14:textId="77777777" w:rsidR="00693215" w:rsidRDefault="00693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6C4FC0"/>
    <w:lvl w:ilvl="0">
      <w:numFmt w:val="bullet"/>
      <w:lvlText w:val="*"/>
      <w:lvlJc w:val="left"/>
      <w:pPr>
        <w:ind w:left="0" w:firstLine="0"/>
      </w:pPr>
    </w:lvl>
  </w:abstractNum>
  <w:abstractNum w:abstractNumId="1">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8354A"/>
    <w:multiLevelType w:val="hybridMultilevel"/>
    <w:tmpl w:val="4F32B9B0"/>
    <w:lvl w:ilvl="0" w:tplc="992A7896">
      <w:start w:val="1"/>
      <w:numFmt w:val="bullet"/>
      <w:lvlText w:val=""/>
      <w:lvlJc w:val="left"/>
      <w:pPr>
        <w:tabs>
          <w:tab w:val="num" w:pos="720"/>
        </w:tabs>
        <w:ind w:left="720"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FC5838"/>
    <w:multiLevelType w:val="hybridMultilevel"/>
    <w:tmpl w:val="34A2A7CC"/>
    <w:lvl w:ilvl="0" w:tplc="6C78D140">
      <w:numFmt w:val="bullet"/>
      <w:lvlText w:val="-"/>
      <w:lvlJc w:val="left"/>
      <w:pPr>
        <w:ind w:left="720" w:hanging="360"/>
      </w:pPr>
      <w:rPr>
        <w:rFonts w:ascii="Trebuchet MS" w:eastAsia="Times New Roman" w:hAnsi="Trebuchet M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nsid w:val="15406114"/>
    <w:multiLevelType w:val="hybridMultilevel"/>
    <w:tmpl w:val="FF340A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8C041F"/>
    <w:multiLevelType w:val="hybridMultilevel"/>
    <w:tmpl w:val="B7CA5F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BE1226"/>
    <w:multiLevelType w:val="hybridMultilevel"/>
    <w:tmpl w:val="EDE873A4"/>
    <w:lvl w:ilvl="0" w:tplc="C49AFD2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8A64B7"/>
    <w:multiLevelType w:val="hybridMultilevel"/>
    <w:tmpl w:val="291C787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AA3BB1"/>
    <w:multiLevelType w:val="hybridMultilevel"/>
    <w:tmpl w:val="4538D172"/>
    <w:lvl w:ilvl="0" w:tplc="130C29B6">
      <w:start w:val="1"/>
      <w:numFmt w:val="bullet"/>
      <w:lvlText w:val="≈"/>
      <w:lvlJc w:val="left"/>
      <w:pPr>
        <w:tabs>
          <w:tab w:val="num" w:pos="360"/>
        </w:tabs>
        <w:ind w:left="360" w:hanging="360"/>
      </w:pPr>
      <w:rPr>
        <w:rFonts w:ascii="Trebuchet MS" w:hAnsi="Trebuchet MS" w:hint="default"/>
        <w:color w:val="3366FF"/>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6DC0A61"/>
    <w:multiLevelType w:val="hybridMultilevel"/>
    <w:tmpl w:val="7BD06E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6E043E"/>
    <w:multiLevelType w:val="hybridMultilevel"/>
    <w:tmpl w:val="F9F82A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61D2D69"/>
    <w:multiLevelType w:val="hybridMultilevel"/>
    <w:tmpl w:val="F2786826"/>
    <w:lvl w:ilvl="0" w:tplc="13B69F3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F56851"/>
    <w:multiLevelType w:val="hybridMultilevel"/>
    <w:tmpl w:val="6A384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0868C9"/>
    <w:multiLevelType w:val="hybridMultilevel"/>
    <w:tmpl w:val="26E2FE58"/>
    <w:lvl w:ilvl="0" w:tplc="FAFAF606">
      <w:start w:val="1"/>
      <w:numFmt w:val="decimal"/>
      <w:lvlText w:val="%1."/>
      <w:lvlJc w:val="left"/>
      <w:pPr>
        <w:ind w:left="720" w:hanging="360"/>
      </w:pPr>
      <w:rPr>
        <w:rFonts w:ascii="Trebuchet MS" w:eastAsia="Times New Roman" w:hAnsi="Trebuchet M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9"/>
  </w:num>
  <w:num w:numId="8">
    <w:abstractNumId w:val="0"/>
    <w:lvlOverride w:ilvl="0">
      <w:lvl w:ilvl="0">
        <w:numFmt w:val="bullet"/>
        <w:lvlText w:val=""/>
        <w:legacy w:legacy="1" w:legacySpace="0" w:legacyIndent="0"/>
        <w:lvlJc w:val="left"/>
        <w:pPr>
          <w:ind w:left="0" w:firstLine="0"/>
        </w:pPr>
        <w:rPr>
          <w:rFonts w:ascii="Symbol" w:hAnsi="Symbol" w:hint="default"/>
        </w:rPr>
      </w:lvl>
    </w:lvlOverride>
  </w:num>
  <w:num w:numId="9">
    <w:abstractNumId w:val="6"/>
  </w:num>
  <w:num w:numId="10">
    <w:abstractNumId w:val="11"/>
  </w:num>
  <w:num w:numId="11">
    <w:abstractNumId w:val="10"/>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0B"/>
    <w:rsid w:val="00000B58"/>
    <w:rsid w:val="000141F0"/>
    <w:rsid w:val="0002191A"/>
    <w:rsid w:val="00032685"/>
    <w:rsid w:val="00035059"/>
    <w:rsid w:val="00035FED"/>
    <w:rsid w:val="00067555"/>
    <w:rsid w:val="000766B9"/>
    <w:rsid w:val="000953FE"/>
    <w:rsid w:val="000A2019"/>
    <w:rsid w:val="000B0C5A"/>
    <w:rsid w:val="000D0D61"/>
    <w:rsid w:val="000D3BC4"/>
    <w:rsid w:val="000D3EAE"/>
    <w:rsid w:val="000D4C8B"/>
    <w:rsid w:val="000E3D6A"/>
    <w:rsid w:val="000F25B6"/>
    <w:rsid w:val="001034AE"/>
    <w:rsid w:val="0010708F"/>
    <w:rsid w:val="00110A70"/>
    <w:rsid w:val="00126916"/>
    <w:rsid w:val="00161584"/>
    <w:rsid w:val="00161BE7"/>
    <w:rsid w:val="001659DA"/>
    <w:rsid w:val="00174335"/>
    <w:rsid w:val="001A7749"/>
    <w:rsid w:val="001B05BA"/>
    <w:rsid w:val="001B6A56"/>
    <w:rsid w:val="001C01BC"/>
    <w:rsid w:val="001C3C80"/>
    <w:rsid w:val="001D73B4"/>
    <w:rsid w:val="001E1C47"/>
    <w:rsid w:val="00221A54"/>
    <w:rsid w:val="00240B7E"/>
    <w:rsid w:val="0024707C"/>
    <w:rsid w:val="002772D5"/>
    <w:rsid w:val="00293B51"/>
    <w:rsid w:val="002B2D61"/>
    <w:rsid w:val="002F7E3E"/>
    <w:rsid w:val="003106B4"/>
    <w:rsid w:val="00331150"/>
    <w:rsid w:val="00362331"/>
    <w:rsid w:val="00374B8C"/>
    <w:rsid w:val="003D5692"/>
    <w:rsid w:val="004104AA"/>
    <w:rsid w:val="00430502"/>
    <w:rsid w:val="0044787B"/>
    <w:rsid w:val="00455E15"/>
    <w:rsid w:val="0048479F"/>
    <w:rsid w:val="004C47CD"/>
    <w:rsid w:val="004D71B1"/>
    <w:rsid w:val="004E4D40"/>
    <w:rsid w:val="004F23F3"/>
    <w:rsid w:val="00506FDD"/>
    <w:rsid w:val="00531D7C"/>
    <w:rsid w:val="00577C29"/>
    <w:rsid w:val="00592452"/>
    <w:rsid w:val="005B68EE"/>
    <w:rsid w:val="005B6F99"/>
    <w:rsid w:val="005D7047"/>
    <w:rsid w:val="0062285A"/>
    <w:rsid w:val="006329BB"/>
    <w:rsid w:val="006371EE"/>
    <w:rsid w:val="0064126C"/>
    <w:rsid w:val="00666FD9"/>
    <w:rsid w:val="00677DD5"/>
    <w:rsid w:val="00693215"/>
    <w:rsid w:val="006A0775"/>
    <w:rsid w:val="006C01A2"/>
    <w:rsid w:val="006D1EC3"/>
    <w:rsid w:val="006F58C6"/>
    <w:rsid w:val="007728E2"/>
    <w:rsid w:val="00781B59"/>
    <w:rsid w:val="007C4AD7"/>
    <w:rsid w:val="007D7027"/>
    <w:rsid w:val="007E0A34"/>
    <w:rsid w:val="00800837"/>
    <w:rsid w:val="00814E56"/>
    <w:rsid w:val="0083546F"/>
    <w:rsid w:val="00852553"/>
    <w:rsid w:val="0086421A"/>
    <w:rsid w:val="00901841"/>
    <w:rsid w:val="00932C1E"/>
    <w:rsid w:val="00933D92"/>
    <w:rsid w:val="00977CA2"/>
    <w:rsid w:val="00981BA8"/>
    <w:rsid w:val="00981F92"/>
    <w:rsid w:val="00983D3A"/>
    <w:rsid w:val="009C17F5"/>
    <w:rsid w:val="00A10EC2"/>
    <w:rsid w:val="00A52B72"/>
    <w:rsid w:val="00A7326C"/>
    <w:rsid w:val="00AB3E1C"/>
    <w:rsid w:val="00AE4A83"/>
    <w:rsid w:val="00AF6FE1"/>
    <w:rsid w:val="00B20B4D"/>
    <w:rsid w:val="00B3647C"/>
    <w:rsid w:val="00B52FF2"/>
    <w:rsid w:val="00B727F3"/>
    <w:rsid w:val="00BB15B7"/>
    <w:rsid w:val="00C03695"/>
    <w:rsid w:val="00C137AB"/>
    <w:rsid w:val="00C35AA2"/>
    <w:rsid w:val="00C43A10"/>
    <w:rsid w:val="00C56FAC"/>
    <w:rsid w:val="00C91981"/>
    <w:rsid w:val="00CA6961"/>
    <w:rsid w:val="00CB7C28"/>
    <w:rsid w:val="00D10864"/>
    <w:rsid w:val="00D4191E"/>
    <w:rsid w:val="00D57D2B"/>
    <w:rsid w:val="00D66C23"/>
    <w:rsid w:val="00DA519B"/>
    <w:rsid w:val="00DB0438"/>
    <w:rsid w:val="00DC1EE3"/>
    <w:rsid w:val="00DD73B8"/>
    <w:rsid w:val="00DD7E1B"/>
    <w:rsid w:val="00DF0AF6"/>
    <w:rsid w:val="00DF75BD"/>
    <w:rsid w:val="00E04571"/>
    <w:rsid w:val="00E90B77"/>
    <w:rsid w:val="00EB0B52"/>
    <w:rsid w:val="00EC0E67"/>
    <w:rsid w:val="00ED1737"/>
    <w:rsid w:val="00F225ED"/>
    <w:rsid w:val="00F65D4E"/>
    <w:rsid w:val="00F668A5"/>
    <w:rsid w:val="00F7276D"/>
    <w:rsid w:val="00F72CD6"/>
    <w:rsid w:val="00F834CA"/>
    <w:rsid w:val="00F95001"/>
    <w:rsid w:val="00FD440B"/>
    <w:rsid w:val="00FE3F8C"/>
    <w:rsid w:val="00FE7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3075">
      <o:colormenu v:ext="edit" strokecolor="none"/>
    </o:shapedefaults>
    <o:shapelayout v:ext="edit">
      <o:idmap v:ext="edit" data="1"/>
    </o:shapelayout>
  </w:shapeDefaults>
  <w:decimalSymbol w:val="."/>
  <w:listSeparator w:val=","/>
  <w14:docId w14:val="796ACC96"/>
  <w15:docId w15:val="{B8B638E7-1AD3-4F8C-A71B-A913D641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4D"/>
    <w:rPr>
      <w:sz w:val="24"/>
      <w:szCs w:val="24"/>
      <w:lang w:val="en-US" w:eastAsia="en-US"/>
    </w:rPr>
  </w:style>
  <w:style w:type="paragraph" w:styleId="Heading1">
    <w:name w:val="heading 1"/>
    <w:basedOn w:val="Normal"/>
    <w:next w:val="Normal"/>
    <w:qFormat/>
    <w:pPr>
      <w:keepNext/>
      <w:jc w:val="both"/>
      <w:outlineLvl w:val="0"/>
    </w:pPr>
    <w:rPr>
      <w:b/>
    </w:rPr>
  </w:style>
  <w:style w:type="paragraph" w:styleId="Heading5">
    <w:name w:val="heading 5"/>
    <w:basedOn w:val="Normal"/>
    <w:next w:val="Normal"/>
    <w:link w:val="Heading5Char"/>
    <w:semiHidden/>
    <w:unhideWhenUsed/>
    <w:qFormat/>
    <w:rsid w:val="0043050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basedOn w:val="DefaultParagraphFont"/>
    <w:rPr>
      <w:color w:val="0000FF"/>
      <w:u w:val="single"/>
    </w:rPr>
  </w:style>
  <w:style w:type="paragraph" w:styleId="FootnoteText">
    <w:name w:val="footnote text"/>
    <w:basedOn w:val="Normal"/>
    <w:semiHidden/>
    <w:rsid w:val="00B20B4D"/>
    <w:rPr>
      <w:sz w:val="20"/>
      <w:szCs w:val="20"/>
    </w:rPr>
  </w:style>
  <w:style w:type="character" w:styleId="FootnoteReference">
    <w:name w:val="footnote reference"/>
    <w:basedOn w:val="DefaultParagraphFont"/>
    <w:semiHidden/>
    <w:rsid w:val="00B20B4D"/>
    <w:rPr>
      <w:vertAlign w:val="superscript"/>
    </w:rPr>
  </w:style>
  <w:style w:type="paragraph" w:styleId="BodyTextIndent">
    <w:name w:val="Body Text Indent"/>
    <w:basedOn w:val="Normal"/>
    <w:rsid w:val="00B20B4D"/>
    <w:pPr>
      <w:ind w:left="720"/>
      <w:jc w:val="both"/>
    </w:pPr>
    <w:rPr>
      <w:szCs w:val="20"/>
    </w:rPr>
  </w:style>
  <w:style w:type="paragraph" w:styleId="BodyTextIndent2">
    <w:name w:val="Body Text Indent 2"/>
    <w:basedOn w:val="Normal"/>
    <w:rsid w:val="00B20B4D"/>
    <w:pPr>
      <w:ind w:firstLine="720"/>
      <w:jc w:val="both"/>
    </w:pPr>
    <w:rPr>
      <w:szCs w:val="20"/>
    </w:rPr>
  </w:style>
  <w:style w:type="paragraph" w:styleId="BodyText">
    <w:name w:val="Body Text"/>
    <w:basedOn w:val="Normal"/>
    <w:rsid w:val="00B20B4D"/>
    <w:pPr>
      <w:jc w:val="both"/>
    </w:pPr>
    <w:rPr>
      <w:rFonts w:ascii="Arial Narrow" w:hAnsi="Arial Narrow"/>
      <w:u w:val="single"/>
    </w:rPr>
  </w:style>
  <w:style w:type="paragraph" w:styleId="BodyText2">
    <w:name w:val="Body Text 2"/>
    <w:basedOn w:val="Normal"/>
    <w:rsid w:val="00B20B4D"/>
    <w:pPr>
      <w:jc w:val="both"/>
    </w:pPr>
    <w:rPr>
      <w:rFonts w:ascii="Arial Narrow" w:hAnsi="Arial Narrow"/>
    </w:rPr>
  </w:style>
  <w:style w:type="paragraph" w:styleId="EndnoteText">
    <w:name w:val="endnote text"/>
    <w:basedOn w:val="Normal"/>
    <w:semiHidden/>
    <w:rsid w:val="00B20B4D"/>
    <w:rPr>
      <w:sz w:val="20"/>
      <w:szCs w:val="20"/>
    </w:rPr>
  </w:style>
  <w:style w:type="character" w:styleId="EndnoteReference">
    <w:name w:val="endnote reference"/>
    <w:basedOn w:val="DefaultParagraphFont"/>
    <w:semiHidden/>
    <w:rsid w:val="00B20B4D"/>
    <w:rPr>
      <w:vertAlign w:val="superscript"/>
    </w:rPr>
  </w:style>
  <w:style w:type="table" w:styleId="TableGrid">
    <w:name w:val="Table Grid"/>
    <w:basedOn w:val="TableNormal"/>
    <w:rsid w:val="0048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191A"/>
    <w:rPr>
      <w:rFonts w:ascii="Tahoma" w:hAnsi="Tahoma" w:cs="Tahoma"/>
      <w:sz w:val="16"/>
      <w:szCs w:val="16"/>
    </w:rPr>
  </w:style>
  <w:style w:type="character" w:customStyle="1" w:styleId="EmailStyle28">
    <w:name w:val="EmailStyle28"/>
    <w:basedOn w:val="DefaultParagraphFont"/>
    <w:semiHidden/>
    <w:rsid w:val="00D10864"/>
    <w:rPr>
      <w:rFonts w:ascii="Trebuchet MS" w:hAnsi="Trebuchet MS" w:hint="default"/>
      <w:b w:val="0"/>
      <w:bCs w:val="0"/>
      <w:i w:val="0"/>
      <w:iCs w:val="0"/>
      <w:strike w:val="0"/>
      <w:dstrike w:val="0"/>
      <w:color w:val="auto"/>
      <w:sz w:val="20"/>
      <w:szCs w:val="20"/>
      <w:u w:val="none"/>
      <w:effect w:val="none"/>
    </w:rPr>
  </w:style>
  <w:style w:type="paragraph" w:styleId="ListParagraph">
    <w:name w:val="List Paragraph"/>
    <w:basedOn w:val="Normal"/>
    <w:uiPriority w:val="34"/>
    <w:qFormat/>
    <w:rsid w:val="00293B51"/>
    <w:pPr>
      <w:ind w:left="720"/>
    </w:pPr>
    <w:rPr>
      <w:lang w:val="en-GB" w:eastAsia="en-GB"/>
    </w:rPr>
  </w:style>
  <w:style w:type="character" w:customStyle="1" w:styleId="FooterChar">
    <w:name w:val="Footer Char"/>
    <w:basedOn w:val="DefaultParagraphFont"/>
    <w:link w:val="Footer"/>
    <w:rsid w:val="00DF0AF6"/>
    <w:rPr>
      <w:sz w:val="24"/>
      <w:szCs w:val="24"/>
      <w:lang w:val="en-US" w:eastAsia="en-US"/>
    </w:rPr>
  </w:style>
  <w:style w:type="character" w:customStyle="1" w:styleId="Heading5Char">
    <w:name w:val="Heading 5 Char"/>
    <w:basedOn w:val="DefaultParagraphFont"/>
    <w:link w:val="Heading5"/>
    <w:semiHidden/>
    <w:rsid w:val="00430502"/>
    <w:rPr>
      <w:rFonts w:asciiTheme="majorHAnsi" w:eastAsiaTheme="majorEastAsia" w:hAnsiTheme="majorHAnsi" w:cstheme="majorBidi"/>
      <w:color w:val="365F91" w:themeColor="accent1" w:themeShade="BF"/>
      <w:sz w:val="24"/>
      <w:szCs w:val="24"/>
      <w:lang w:val="en-US" w:eastAsia="en-US"/>
    </w:rPr>
  </w:style>
  <w:style w:type="paragraph" w:customStyle="1" w:styleId="00Footer">
    <w:name w:val="00_Footer"/>
    <w:basedOn w:val="Normal"/>
    <w:rsid w:val="00430502"/>
    <w:pPr>
      <w:spacing w:line="200" w:lineRule="exact"/>
    </w:pPr>
    <w:rPr>
      <w:rFonts w:ascii="Georgia" w:hAnsi="Georgia"/>
      <w:color w:val="2D4190"/>
      <w:sz w:val="16"/>
      <w:lang w:val="en-GB" w:eastAsia="de-DE"/>
    </w:rPr>
  </w:style>
  <w:style w:type="paragraph" w:customStyle="1" w:styleId="00aPagenumber">
    <w:name w:val="00a_Page number"/>
    <w:basedOn w:val="00Footer"/>
    <w:rsid w:val="00430502"/>
    <w:pPr>
      <w:spacing w:line="280" w:lineRule="atLeast"/>
      <w:jc w:val="right"/>
    </w:pPr>
    <w:rPr>
      <w:color w:val="000000"/>
      <w:sz w:val="20"/>
    </w:rPr>
  </w:style>
  <w:style w:type="character" w:styleId="CommentReference">
    <w:name w:val="annotation reference"/>
    <w:basedOn w:val="DefaultParagraphFont"/>
    <w:semiHidden/>
    <w:unhideWhenUsed/>
    <w:rsid w:val="00D4191E"/>
    <w:rPr>
      <w:sz w:val="16"/>
      <w:szCs w:val="16"/>
    </w:rPr>
  </w:style>
  <w:style w:type="paragraph" w:styleId="CommentText">
    <w:name w:val="annotation text"/>
    <w:basedOn w:val="Normal"/>
    <w:link w:val="CommentTextChar"/>
    <w:semiHidden/>
    <w:unhideWhenUsed/>
    <w:rsid w:val="00D4191E"/>
    <w:rPr>
      <w:sz w:val="20"/>
      <w:szCs w:val="20"/>
    </w:rPr>
  </w:style>
  <w:style w:type="character" w:customStyle="1" w:styleId="CommentTextChar">
    <w:name w:val="Comment Text Char"/>
    <w:basedOn w:val="DefaultParagraphFont"/>
    <w:link w:val="CommentText"/>
    <w:semiHidden/>
    <w:rsid w:val="00D4191E"/>
    <w:rPr>
      <w:lang w:val="en-US" w:eastAsia="en-US"/>
    </w:rPr>
  </w:style>
  <w:style w:type="paragraph" w:styleId="CommentSubject">
    <w:name w:val="annotation subject"/>
    <w:basedOn w:val="CommentText"/>
    <w:next w:val="CommentText"/>
    <w:link w:val="CommentSubjectChar"/>
    <w:semiHidden/>
    <w:unhideWhenUsed/>
    <w:rsid w:val="00D4191E"/>
    <w:rPr>
      <w:b/>
      <w:bCs/>
    </w:rPr>
  </w:style>
  <w:style w:type="character" w:customStyle="1" w:styleId="CommentSubjectChar">
    <w:name w:val="Comment Subject Char"/>
    <w:basedOn w:val="CommentTextChar"/>
    <w:link w:val="CommentSubject"/>
    <w:semiHidden/>
    <w:rsid w:val="00D4191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5336">
      <w:bodyDiv w:val="1"/>
      <w:marLeft w:val="0"/>
      <w:marRight w:val="0"/>
      <w:marTop w:val="0"/>
      <w:marBottom w:val="0"/>
      <w:divBdr>
        <w:top w:val="none" w:sz="0" w:space="0" w:color="auto"/>
        <w:left w:val="none" w:sz="0" w:space="0" w:color="auto"/>
        <w:bottom w:val="none" w:sz="0" w:space="0" w:color="auto"/>
        <w:right w:val="none" w:sz="0" w:space="0" w:color="auto"/>
      </w:divBdr>
    </w:div>
    <w:div w:id="545146534">
      <w:bodyDiv w:val="1"/>
      <w:marLeft w:val="0"/>
      <w:marRight w:val="0"/>
      <w:marTop w:val="0"/>
      <w:marBottom w:val="0"/>
      <w:divBdr>
        <w:top w:val="none" w:sz="0" w:space="0" w:color="auto"/>
        <w:left w:val="none" w:sz="0" w:space="0" w:color="auto"/>
        <w:bottom w:val="none" w:sz="0" w:space="0" w:color="auto"/>
        <w:right w:val="none" w:sz="0" w:space="0" w:color="auto"/>
      </w:divBdr>
    </w:div>
    <w:div w:id="13224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ima.org" TargetMode="External"/><Relationship Id="rId1" Type="http://schemas.openxmlformats.org/officeDocument/2006/relationships/hyperlink" Target="mailto:info@aim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ponse to Consultation" ma:contentTypeID="0x0101003E6916AE79ECCF4FABD9454F1207822A008333F7362EE5AC42A4F972FD1A92A91A" ma:contentTypeVersion="13" ma:contentTypeDescription="" ma:contentTypeScope="" ma:versionID="5cc2ced789a5492ff0584bc99ce28255">
  <xsd:schema xmlns:xsd="http://www.w3.org/2001/XMLSchema" xmlns:xs="http://www.w3.org/2001/XMLSchema" xmlns:p="http://schemas.microsoft.com/office/2006/metadata/properties" xmlns:ns2="d7ee12ef-f23b-43d7-a2cc-202b01937bf7" xmlns:ns3="66236459-04d2-470d-84a2-4d2ae90f0673" targetNamespace="http://schemas.microsoft.com/office/2006/metadata/properties" ma:root="true" ma:fieldsID="ea4acde7b2470ada9f7b4ce7040cfb2e" ns2:_="" ns3:_="">
    <xsd:import namespace="d7ee12ef-f23b-43d7-a2cc-202b01937bf7"/>
    <xsd:import namespace="66236459-04d2-470d-84a2-4d2ae90f0673"/>
    <xsd:element name="properties">
      <xsd:complexType>
        <xsd:sequence>
          <xsd:element name="documentManagement">
            <xsd:complexType>
              <xsd:all>
                <xsd:element ref="ns2:Current_x0020_Status" minOccurs="0"/>
                <xsd:element ref="ns2:Deadline" minOccurs="0"/>
                <xsd:element ref="ns2:OriginatingID" minOccurs="0"/>
                <xsd:element ref="ns2:Output_x0020_Type" minOccurs="0"/>
                <xsd:element ref="ns2:Ready_x0020_for_x0020_Approval" minOccurs="0"/>
                <xsd:element ref="ns3:Originating_x0020_Action" minOccurs="0"/>
                <xsd:element ref="ns3:Submit" minOccurs="0"/>
                <xsd:element ref="ns3:Originating_x0020_Name" minOccurs="0"/>
                <xsd:element ref="ns3:Dossier" minOccurs="0"/>
                <xsd:element ref="ns3:Sub_x0020_Department" minOccurs="0"/>
                <xsd:element ref="ns3:Approval_x0020_Notes" minOccurs="0"/>
                <xsd:element ref="ns3:Advisement" minOccurs="0"/>
                <xsd:element ref="ns3:Send_x0020_to_x0020_Work_x0020_Group" minOccurs="0"/>
                <xsd:element ref="ns3:Working_x0020_Group_x0020_Email_x0020_Body" minOccurs="0"/>
                <xsd:element ref="ns2:Importance" minOccurs="0"/>
                <xsd:element ref="ns3: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e12ef-f23b-43d7-a2cc-202b01937bf7" elementFormDefault="qualified">
    <xsd:import namespace="http://schemas.microsoft.com/office/2006/documentManagement/types"/>
    <xsd:import namespace="http://schemas.microsoft.com/office/infopath/2007/PartnerControls"/>
    <xsd:element name="Current_x0020_Status" ma:index="8" nillable="true" ma:displayName="Current Status" ma:default="Not Started" ma:format="Dropdown" ma:internalName="Current_x0020_Status0">
      <xsd:simpleType>
        <xsd:restriction base="dms:Choice">
          <xsd:enumeration value="Not Started"/>
          <xsd:enumeration value="Internal Draft"/>
          <xsd:enumeration value="Awaiting Steering"/>
          <xsd:enumeration value="External Draft"/>
          <xsd:enumeration value="With Working Group/WG Chair"/>
          <xsd:enumeration value="With Sub-Department for Approval"/>
          <xsd:enumeration value="With DGRA for Approval"/>
          <xsd:enumeration value="With CEO for Approval"/>
          <xsd:enumeration value="With Council for Approval"/>
          <xsd:enumeration value="Complete"/>
        </xsd:restriction>
      </xsd:simpleType>
    </xsd:element>
    <xsd:element name="Deadline" ma:index="9" nillable="true" ma:displayName="Deadline" ma:format="DateOnly" ma:internalName="Deadline0">
      <xsd:simpleType>
        <xsd:restriction base="dms:DateTime"/>
      </xsd:simpleType>
    </xsd:element>
    <xsd:element name="OriginatingID" ma:index="10" nillable="true" ma:displayName="Action ID" ma:internalName="OriginatingID0" ma:percentage="FALSE">
      <xsd:simpleType>
        <xsd:restriction base="dms:Number"/>
      </xsd:simpleType>
    </xsd:element>
    <xsd:element name="Output_x0020_Type" ma:index="11" nillable="true" ma:displayName="Output Type" ma:internalName="Output_x0020_Type0">
      <xsd:simpleType>
        <xsd:restriction base="dms:Text">
          <xsd:maxLength value="255"/>
        </xsd:restriction>
      </xsd:simpleType>
    </xsd:element>
    <xsd:element name="Ready_x0020_for_x0020_Approval" ma:index="12" nillable="true" ma:displayName="Ready for Approval" ma:default="0" ma:internalName="Ready_x0020_for_x0020_Approval0">
      <xsd:simpleType>
        <xsd:restriction base="dms:Boolean"/>
      </xsd:simpleType>
    </xsd:element>
    <xsd:element name="Importance" ma:index="22" nillable="true" ma:displayName="Importance" ma:default="Low" ma:format="Dropdown" ma:internalName="Importance">
      <xsd:simpleType>
        <xsd:restriction base="dms:Choice">
          <xsd:enumeration value="Low"/>
          <xsd:enumeration value="Medium"/>
          <xsd:enumeration value="High"/>
          <xsd:enumeration value="Council"/>
        </xsd:restriction>
      </xsd:simpleType>
    </xsd:element>
  </xsd:schema>
  <xsd:schema xmlns:xsd="http://www.w3.org/2001/XMLSchema" xmlns:xs="http://www.w3.org/2001/XMLSchema" xmlns:dms="http://schemas.microsoft.com/office/2006/documentManagement/types" xmlns:pc="http://schemas.microsoft.com/office/infopath/2007/PartnerControls" targetNamespace="66236459-04d2-470d-84a2-4d2ae90f0673" elementFormDefault="qualified">
    <xsd:import namespace="http://schemas.microsoft.com/office/2006/documentManagement/types"/>
    <xsd:import namespace="http://schemas.microsoft.com/office/infopath/2007/PartnerControls"/>
    <xsd:element name="Originating_x0020_Action" ma:index="13" nillable="true" ma:displayName="Originating Action" ma:format="Hyperlink" ma:internalName="Originating_x0020_Action">
      <xsd:complexType>
        <xsd:complexContent>
          <xsd:extension base="dms:URL">
            <xsd:sequence>
              <xsd:element name="Url" type="dms:ValidUrl" minOccurs="0" nillable="true"/>
              <xsd:element name="Description" type="xsd:string" nillable="true"/>
            </xsd:sequence>
          </xsd:extension>
        </xsd:complexContent>
      </xsd:complexType>
    </xsd:element>
    <xsd:element name="Submit" ma:index="14" nillable="true" ma:displayName="Submit" ma:format="Hyperlink" ma:internalName="Submit">
      <xsd:complexType>
        <xsd:complexContent>
          <xsd:extension base="dms:URL">
            <xsd:sequence>
              <xsd:element name="Url" type="dms:ValidUrl" minOccurs="0" nillable="true"/>
              <xsd:element name="Description" type="xsd:string" nillable="true"/>
            </xsd:sequence>
          </xsd:extension>
        </xsd:complexContent>
      </xsd:complexType>
    </xsd:element>
    <xsd:element name="Originating_x0020_Name" ma:index="15" nillable="true" ma:displayName="Action Name" ma:internalName="Originating_x0020_Name">
      <xsd:simpleType>
        <xsd:restriction base="dms:Text">
          <xsd:maxLength value="255"/>
        </xsd:restriction>
      </xsd:simpleType>
    </xsd:element>
    <xsd:element name="Dossier" ma:index="16" nillable="true" ma:displayName="File" ma:internalName="Dossier">
      <xsd:simpleType>
        <xsd:restriction base="dms:Text">
          <xsd:maxLength value="255"/>
        </xsd:restriction>
      </xsd:simpleType>
    </xsd:element>
    <xsd:element name="Sub_x0020_Department" ma:index="17" nillable="true" ma:displayName="Sub Department" ma:internalName="Sub_x0020_Department">
      <xsd:simpleType>
        <xsd:restriction base="dms:Text">
          <xsd:maxLength value="255"/>
        </xsd:restriction>
      </xsd:simpleType>
    </xsd:element>
    <xsd:element name="Approval_x0020_Notes" ma:index="18" nillable="true" ma:displayName="Approval Notes" ma:internalName="Approval_x0020_Notes">
      <xsd:simpleType>
        <xsd:restriction base="dms:Note">
          <xsd:maxLength value="255"/>
        </xsd:restriction>
      </xsd:simpleType>
    </xsd:element>
    <xsd:element name="Advisement" ma:index="19" nillable="true" ma:displayName="Advisement" ma:description="If Help/Steering is required, fill out the name of the advisor here" ma:list="UserInfo" ma:SharePointGroup="0" ma:internalName="Advise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d_x0020_to_x0020_Work_x0020_Group" ma:index="20" nillable="true" ma:displayName="Send to Work Group" ma:default="0" ma:internalName="Send_x0020_to_x0020_Work_x0020_Group">
      <xsd:simpleType>
        <xsd:restriction base="dms:Boolean"/>
      </xsd:simpleType>
    </xsd:element>
    <xsd:element name="Working_x0020_Group_x0020_Email_x0020_Body" ma:index="21" nillable="true" ma:displayName="Working Group Email Body" ma:description="Please note that your name and signature will be added automatically" ma:internalName="Working_x0020_Group_x0020_Email_x0020_Body">
      <xsd:simpleType>
        <xsd:restriction base="dms:Note"/>
      </xsd:simpleType>
    </xsd:element>
    <xsd:element name="AssignedTo" ma:index="23" nillable="true" ma:displayName="Assigned To" ma:list="UserInfo"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iginatingID xmlns="d7ee12ef-f23b-43d7-a2cc-202b01937bf7">564</OriginatingID>
    <Output_x0020_Type xmlns="d7ee12ef-f23b-43d7-a2cc-202b01937bf7">Response to Consultation</Output_x0020_Type>
    <Send_x0020_to_x0020_Work_x0020_Group xmlns="66236459-04d2-470d-84a2-4d2ae90f0673">false</Send_x0020_to_x0020_Work_x0020_Group>
    <Working_x0020_Group_x0020_Email_x0020_Body xmlns="66236459-04d2-470d-84a2-4d2ae90f0673">Dear Working Group,
Please find attached a draft copy of ESMA consultation on asset segregation under the AIMFD  - Response to Consultation.
Regards,</Working_x0020_Group_x0020_Email_x0020_Body>
    <Ready_x0020_for_x0020_Approval xmlns="d7ee12ef-f23b-43d7-a2cc-202b01937bf7">false</Ready_x0020_for_x0020_Approval>
    <Originating_x0020_Action xmlns="66236459-04d2-470d-84a2-4d2ae90f0673">
      <Url>http://aima-lon-sv07/gra/Lists/Actions/DispForm.aspx?ID=564</Url>
      <Description>ESMA consultation on asset segregation under the AIMFD </Description>
    </Originating_x0020_Action>
    <Approval_x0020_Notes xmlns="66236459-04d2-470d-84a2-4d2ae90f0673" xsi:nil="true"/>
    <Deadline xmlns="d7ee12ef-f23b-43d7-a2cc-202b01937bf7">2015-02-11T00:00:00+00:00</Deadline>
    <Sub_x0020_Department xmlns="66236459-04d2-470d-84a2-4d2ae90f0673">Asset Management Regulation</Sub_x0020_Department>
    <Originating_x0020_Name xmlns="66236459-04d2-470d-84a2-4d2ae90f0673">ESMA consultation on asset segregation under the AIMFD </Originating_x0020_Name>
    <Current_x0020_Status xmlns="d7ee12ef-f23b-43d7-a2cc-202b01937bf7">Complete</Current_x0020_Status>
    <Submit xmlns="66236459-04d2-470d-84a2-4d2ae90f0673">
      <Url>http://aima-lon-sv07/gra/Pages/NoSubmit.aspx</Url>
      <Description>Approved</Description>
    </Submit>
    <Dossier xmlns="66236459-04d2-470d-84a2-4d2ae90f0673">AIFM Directive</Dossier>
    <Importance xmlns="d7ee12ef-f23b-43d7-a2cc-202b01937bf7">Low</Importance>
    <Advisement xmlns="66236459-04d2-470d-84a2-4d2ae90f0673">
      <UserInfo>
        <DisplayName/>
        <AccountId xsi:nil="true"/>
        <AccountType/>
      </UserInfo>
    </Advisement>
    <AssignedTo xmlns="66236459-04d2-470d-84a2-4d2ae90f0673">
      <UserInfo>
        <DisplayName>Anna Berdinner</DisplayName>
        <AccountId>23</AccountId>
        <AccountType/>
      </UserInfo>
    </AssignedTo>
  </documentManagement>
</p:properties>
</file>

<file path=customXml/itemProps1.xml><?xml version="1.0" encoding="utf-8"?>
<ds:datastoreItem xmlns:ds="http://schemas.openxmlformats.org/officeDocument/2006/customXml" ds:itemID="{DF1D38AC-3DDD-4564-9C59-E947D5829FBC}">
  <ds:schemaRefs>
    <ds:schemaRef ds:uri="http://schemas.microsoft.com/sharepoint/v3/contenttype/forms"/>
  </ds:schemaRefs>
</ds:datastoreItem>
</file>

<file path=customXml/itemProps2.xml><?xml version="1.0" encoding="utf-8"?>
<ds:datastoreItem xmlns:ds="http://schemas.openxmlformats.org/officeDocument/2006/customXml" ds:itemID="{7964FC2F-020A-438C-B2F1-22DA4DB1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e12ef-f23b-43d7-a2cc-202b01937bf7"/>
    <ds:schemaRef ds:uri="66236459-04d2-470d-84a2-4d2ae90f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6E3EA-1267-4DF4-81B7-0E9A5AD72203}">
  <ds:schemaRefs>
    <ds:schemaRef ds:uri="66236459-04d2-470d-84a2-4d2ae90f0673"/>
    <ds:schemaRef ds:uri="http://purl.org/dc/dcmitype/"/>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d7ee12ef-f23b-43d7-a2cc-202b01937b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ESMA consultation on asset segregation under the AIMFD  - Response to Consultation</vt:lpstr>
    </vt:vector>
  </TitlesOfParts>
  <Company>CHACS</Company>
  <LinksUpToDate>false</LinksUpToDate>
  <CharactersWithSpaces>10071</CharactersWithSpaces>
  <SharedDoc>false</SharedDoc>
  <HLinks>
    <vt:vector size="12" baseType="variant">
      <vt:variant>
        <vt:i4>5505104</vt:i4>
      </vt:variant>
      <vt:variant>
        <vt:i4>3</vt:i4>
      </vt:variant>
      <vt:variant>
        <vt:i4>0</vt:i4>
      </vt:variant>
      <vt:variant>
        <vt:i4>5</vt:i4>
      </vt:variant>
      <vt:variant>
        <vt:lpwstr>http://www.aima.org/</vt:lpwstr>
      </vt:variant>
      <vt:variant>
        <vt:lpwstr/>
      </vt:variant>
      <vt:variant>
        <vt:i4>2949147</vt:i4>
      </vt:variant>
      <vt:variant>
        <vt:i4>0</vt:i4>
      </vt:variant>
      <vt:variant>
        <vt:i4>0</vt:i4>
      </vt:variant>
      <vt:variant>
        <vt:i4>5</vt:i4>
      </vt:variant>
      <vt:variant>
        <vt:lpwstr>mailto:info@aima.org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 consultation on asset segregation under the AIMFD  - Response to Consultation</dc:title>
  <dc:creator>Aisling Nolan</dc:creator>
  <cp:lastModifiedBy>Jennifer Wood</cp:lastModifiedBy>
  <cp:revision>2</cp:revision>
  <cp:lastPrinted>2008-04-02T13:46:00Z</cp:lastPrinted>
  <dcterms:created xsi:type="dcterms:W3CDTF">2015-01-30T15:09:00Z</dcterms:created>
  <dcterms:modified xsi:type="dcterms:W3CDTF">2015-01-30T15:09:00Z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0x0101003E6916AE79ECCF4FABD9454F1207822A008333F7362EE5AC42A4F972FD1A92A91A</vt:lpwstr>
  </property>
  <property fmtid="{D5CDD505-2E9C-101B-9397-08002B2CF9AE}" pid="3" name="GUID">
    <vt:lpwstr>6fa15a63-5d36-4231-8d16-157f75c0b67e</vt:lpwstr>
  </property>
  <property fmtid="{D5CDD505-2E9C-101B-9397-08002B2CF9AE}" pid="4" name="WorkflowCreationPath">
    <vt:lpwstr>b9f48239-2506-4b7b-b39a-92a987cefa90;e4aee40f-937e-4279-aaf3-9910dead7ed9,6;e4aee40f-937e-4279-aaf3-9910dead7ed9,6;10bd9433-9fdd-418a-9102-ba99aac811f8,15;10bd9433-9fdd-418a-9102-ba99aac811f8,15;10bd9433-9fdd-418a-9102-ba99aac811f8,15;10bd9433-9fdd-418a-9</vt:lpwstr>
  </property>
</Properties>
</file>