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0DA" w:rsidRDefault="009D7D75" w:rsidP="009D7D75">
      <w:pPr>
        <w:pStyle w:val="BodyText"/>
        <w:ind w:firstLine="0"/>
      </w:pPr>
      <w:r>
        <w:t>European Securities and Markets Authority</w:t>
      </w:r>
      <w:r>
        <w:br/>
      </w:r>
      <w:r w:rsidR="00F639BD">
        <w:t>CS 60747</w:t>
      </w:r>
      <w:r w:rsidR="00F639BD">
        <w:br/>
        <w:t xml:space="preserve">103 rue de </w:t>
      </w:r>
      <w:proofErr w:type="spellStart"/>
      <w:r w:rsidR="00F639BD">
        <w:t>Grenelle</w:t>
      </w:r>
      <w:proofErr w:type="spellEnd"/>
      <w:r w:rsidR="00F639BD">
        <w:br/>
        <w:t xml:space="preserve">75345 Paris </w:t>
      </w:r>
      <w:proofErr w:type="spellStart"/>
      <w:r w:rsidR="00F639BD">
        <w:t>Cedex</w:t>
      </w:r>
      <w:proofErr w:type="spellEnd"/>
      <w:r w:rsidR="00F639BD">
        <w:t xml:space="preserve"> 07</w:t>
      </w:r>
      <w:r w:rsidR="00F639BD">
        <w:br/>
        <w:t>France</w:t>
      </w:r>
    </w:p>
    <w:p w:rsidR="00F639BD" w:rsidRDefault="00F639BD" w:rsidP="00F639BD">
      <w:pPr>
        <w:pStyle w:val="BodyText"/>
        <w:ind w:firstLine="0"/>
      </w:pPr>
      <w:r>
        <w:t xml:space="preserve">Response submitted online at: </w:t>
      </w:r>
      <w:hyperlink r:id="rId9" w:history="1">
        <w:r w:rsidRPr="00321CD3">
          <w:rPr>
            <w:rStyle w:val="Hyperlink"/>
          </w:rPr>
          <w:t>www.esma.europa.eu</w:t>
        </w:r>
      </w:hyperlink>
    </w:p>
    <w:p w:rsidR="00F639BD" w:rsidRPr="007D4064" w:rsidRDefault="007D4064" w:rsidP="00F639BD">
      <w:pPr>
        <w:pStyle w:val="BodyText"/>
        <w:ind w:firstLine="0"/>
        <w:jc w:val="right"/>
      </w:pPr>
      <w:r w:rsidRPr="007D4064">
        <w:t>8</w:t>
      </w:r>
      <w:r w:rsidR="00164778" w:rsidRPr="007D4064">
        <w:t xml:space="preserve"> January 2015</w:t>
      </w:r>
    </w:p>
    <w:p w:rsidR="00F639BD" w:rsidRDefault="00917E61" w:rsidP="00EB48F8">
      <w:pPr>
        <w:pStyle w:val="BodyText"/>
        <w:ind w:firstLine="0"/>
        <w:jc w:val="both"/>
        <w:rPr>
          <w:b/>
        </w:rPr>
      </w:pPr>
      <w:r>
        <w:rPr>
          <w:b/>
        </w:rPr>
        <w:t>Response to Call for E</w:t>
      </w:r>
      <w:r w:rsidR="00F639BD">
        <w:rPr>
          <w:b/>
        </w:rPr>
        <w:t xml:space="preserve">vidence - </w:t>
      </w:r>
      <w:r>
        <w:rPr>
          <w:b/>
        </w:rPr>
        <w:t>AIFMD Passport and Third C</w:t>
      </w:r>
      <w:r w:rsidR="00F639BD" w:rsidRPr="00F639BD">
        <w:rPr>
          <w:b/>
        </w:rPr>
        <w:t>ountry AIFMs</w:t>
      </w:r>
      <w:r w:rsidR="00F639BD">
        <w:rPr>
          <w:b/>
        </w:rPr>
        <w:br/>
        <w:t xml:space="preserve">Doc. </w:t>
      </w:r>
      <w:r w:rsidR="00F639BD" w:rsidRPr="00F639BD">
        <w:rPr>
          <w:b/>
        </w:rPr>
        <w:t>7 November 2014 | ESMA/2014/1340</w:t>
      </w:r>
    </w:p>
    <w:p w:rsidR="00F639BD" w:rsidRDefault="00F639BD" w:rsidP="00EB48F8">
      <w:pPr>
        <w:pStyle w:val="BodyText"/>
        <w:ind w:firstLine="0"/>
        <w:jc w:val="both"/>
      </w:pPr>
      <w:r>
        <w:t xml:space="preserve">Dear Sir / Madam: </w:t>
      </w:r>
    </w:p>
    <w:p w:rsidR="00917E61" w:rsidRDefault="007236F6" w:rsidP="00EB48F8">
      <w:pPr>
        <w:pStyle w:val="BodyText"/>
        <w:jc w:val="both"/>
      </w:pPr>
      <w:r w:rsidRPr="007236F6">
        <w:rPr>
          <w:lang w:val="x-none"/>
        </w:rPr>
        <w:t>The Private Equity Growth Capital Cou</w:t>
      </w:r>
      <w:r>
        <w:rPr>
          <w:lang w:val="x-none"/>
        </w:rPr>
        <w:t>ncil (the “</w:t>
      </w:r>
      <w:r w:rsidRPr="007236F6">
        <w:rPr>
          <w:u w:val="single"/>
          <w:lang w:val="x-none"/>
        </w:rPr>
        <w:t>PEGCC</w:t>
      </w:r>
      <w:r>
        <w:rPr>
          <w:lang w:val="x-none"/>
        </w:rPr>
        <w:t>”) respectfully</w:t>
      </w:r>
      <w:r>
        <w:t xml:space="preserve"> </w:t>
      </w:r>
      <w:r w:rsidRPr="007236F6">
        <w:rPr>
          <w:lang w:val="x-none"/>
        </w:rPr>
        <w:t>submits this letter</w:t>
      </w:r>
      <w:r>
        <w:t xml:space="preserve"> in response to the </w:t>
      </w:r>
      <w:r w:rsidR="00C2354F">
        <w:t>“</w:t>
      </w:r>
      <w:r w:rsidR="00085562" w:rsidRPr="00C2354F">
        <w:rPr>
          <w:i/>
        </w:rPr>
        <w:t>Call for evidence - AIFMD passport and third country AIFMs</w:t>
      </w:r>
      <w:r w:rsidR="00C2354F">
        <w:t>”</w:t>
      </w:r>
      <w:r w:rsidR="00085562">
        <w:t xml:space="preserve"> (the “</w:t>
      </w:r>
      <w:r w:rsidR="00085562">
        <w:rPr>
          <w:u w:val="single"/>
        </w:rPr>
        <w:t>Call for Evidence</w:t>
      </w:r>
      <w:r w:rsidR="00085562">
        <w:t>”)</w:t>
      </w:r>
      <w:r w:rsidR="00884F54">
        <w:t xml:space="preserve"> of the European Securities and Markets Authority (“</w:t>
      </w:r>
      <w:r w:rsidR="00884F54">
        <w:rPr>
          <w:u w:val="single"/>
        </w:rPr>
        <w:t>ESMA</w:t>
      </w:r>
      <w:r w:rsidR="00884F54">
        <w:t>”)</w:t>
      </w:r>
      <w:r>
        <w:t xml:space="preserve">.  </w:t>
      </w:r>
    </w:p>
    <w:p w:rsidR="00085562" w:rsidRDefault="00164778" w:rsidP="00EB48F8">
      <w:pPr>
        <w:pStyle w:val="BodyText"/>
        <w:jc w:val="both"/>
      </w:pPr>
      <w:r>
        <w:t>As the trade association representing the US private equity and growth capital (“</w:t>
      </w:r>
      <w:r w:rsidRPr="008A3898">
        <w:rPr>
          <w:u w:val="single"/>
        </w:rPr>
        <w:t>private equity</w:t>
      </w:r>
      <w:r>
        <w:t xml:space="preserve">”) industry, </w:t>
      </w:r>
      <w:r w:rsidR="00085562">
        <w:t xml:space="preserve">the PEGCC </w:t>
      </w:r>
      <w:r w:rsidR="00884F54">
        <w:t>is well</w:t>
      </w:r>
      <w:r w:rsidR="00085562">
        <w:t xml:space="preserve"> place</w:t>
      </w:r>
      <w:r w:rsidR="006935BA">
        <w:t>d</w:t>
      </w:r>
      <w:r w:rsidR="00085562">
        <w:t xml:space="preserve"> to comment on</w:t>
      </w:r>
      <w:r w:rsidR="00CE00ED">
        <w:t xml:space="preserve"> </w:t>
      </w:r>
      <w:r w:rsidR="00CE00ED" w:rsidRPr="00CE00ED">
        <w:t>the extension of the</w:t>
      </w:r>
      <w:r w:rsidR="00CE00ED">
        <w:t xml:space="preserve"> Alternative Investment Fund Managers Directive (</w:t>
      </w:r>
      <w:r w:rsidR="00CE00ED" w:rsidRPr="003C61B3">
        <w:t>2011/61/EU</w:t>
      </w:r>
      <w:r w:rsidR="00CE00ED">
        <w:t>)</w:t>
      </w:r>
      <w:r w:rsidR="00CE00ED" w:rsidRPr="00CE00ED">
        <w:t xml:space="preserve"> </w:t>
      </w:r>
      <w:r w:rsidR="00CE00ED">
        <w:t>(the “</w:t>
      </w:r>
      <w:r w:rsidR="00CE00ED" w:rsidRPr="00CE00ED">
        <w:rPr>
          <w:u w:val="single"/>
        </w:rPr>
        <w:t>AIFMD</w:t>
      </w:r>
      <w:r w:rsidR="00CE00ED">
        <w:t>”)</w:t>
      </w:r>
      <w:r w:rsidR="00CE00ED" w:rsidRPr="00CE00ED">
        <w:t xml:space="preserve"> </w:t>
      </w:r>
      <w:r w:rsidR="006935BA">
        <w:t>manage</w:t>
      </w:r>
      <w:r w:rsidR="00706289">
        <w:t>ment and</w:t>
      </w:r>
      <w:r w:rsidR="006935BA">
        <w:t xml:space="preserve">/or marketing </w:t>
      </w:r>
      <w:r w:rsidR="00CE00ED" w:rsidRPr="00CE00ED">
        <w:t>passport</w:t>
      </w:r>
      <w:r w:rsidR="00CE00ED">
        <w:t>ing regime</w:t>
      </w:r>
      <w:r w:rsidR="00CE00ED" w:rsidRPr="00CE00ED">
        <w:t xml:space="preserve"> </w:t>
      </w:r>
      <w:r w:rsidR="00917E61">
        <w:t>(the “</w:t>
      </w:r>
      <w:r w:rsidR="00917E61" w:rsidRPr="00917E61">
        <w:rPr>
          <w:u w:val="single"/>
        </w:rPr>
        <w:t>Passporting Regime</w:t>
      </w:r>
      <w:r w:rsidR="00917E61">
        <w:t xml:space="preserve">”) </w:t>
      </w:r>
      <w:r w:rsidR="00CE00ED" w:rsidRPr="00CE00ED">
        <w:t xml:space="preserve">to </w:t>
      </w:r>
      <w:r w:rsidR="00676D85">
        <w:t>alternative investment</w:t>
      </w:r>
      <w:r w:rsidR="00CF17EE">
        <w:t xml:space="preserve"> </w:t>
      </w:r>
      <w:r w:rsidR="009C16AA">
        <w:t>fund managers established in the United States (each</w:t>
      </w:r>
      <w:r w:rsidR="00CC170C">
        <w:t>,</w:t>
      </w:r>
      <w:r w:rsidR="009C16AA">
        <w:t xml:space="preserve"> a “</w:t>
      </w:r>
      <w:r w:rsidR="009C16AA" w:rsidRPr="009C16AA">
        <w:rPr>
          <w:u w:val="single"/>
        </w:rPr>
        <w:t>US AIFM</w:t>
      </w:r>
      <w:r w:rsidR="009C16AA">
        <w:t>”)</w:t>
      </w:r>
      <w:r w:rsidR="00706289">
        <w:t xml:space="preserve">, and </w:t>
      </w:r>
      <w:r w:rsidR="00257E12">
        <w:t xml:space="preserve">we </w:t>
      </w:r>
      <w:r>
        <w:t xml:space="preserve">appreciate the opportunity to </w:t>
      </w:r>
      <w:r w:rsidR="00706289">
        <w:t>do so</w:t>
      </w:r>
      <w:r w:rsidR="00884F54">
        <w:t xml:space="preserve">.  </w:t>
      </w:r>
      <w:r w:rsidR="0028597F">
        <w:t>W</w:t>
      </w:r>
      <w:r>
        <w:t xml:space="preserve">e have not attempted to answer all of the questions posed in the Call for </w:t>
      </w:r>
      <w:proofErr w:type="gramStart"/>
      <w:r>
        <w:t>Evidence,</w:t>
      </w:r>
      <w:proofErr w:type="gramEnd"/>
      <w:r>
        <w:t xml:space="preserve"> </w:t>
      </w:r>
      <w:r w:rsidR="0028597F">
        <w:t xml:space="preserve">however, </w:t>
      </w:r>
      <w:r w:rsidR="00257E12">
        <w:t>because the PEGCC is not itself an alternative investment fund manager and believes that others are better placed to answer the questions that we do not address below.</w:t>
      </w:r>
    </w:p>
    <w:p w:rsidR="00706289" w:rsidRDefault="00A266F0" w:rsidP="00EB48F8">
      <w:pPr>
        <w:pStyle w:val="BodyText"/>
        <w:jc w:val="both"/>
      </w:pPr>
      <w:r>
        <w:t>As a consequence of the robust</w:t>
      </w:r>
      <w:r w:rsidR="002F5CAC">
        <w:t xml:space="preserve"> and comprehensive</w:t>
      </w:r>
      <w:r>
        <w:t xml:space="preserve"> US regulatory</w:t>
      </w:r>
      <w:r w:rsidR="002F5CAC">
        <w:t xml:space="preserve"> regime and as further discussed below, t</w:t>
      </w:r>
      <w:r w:rsidR="00706289">
        <w:t>he PEGCC is of the view that there are “no significant obstacles regarding investor protection, market disruption, competition and the monitoring of systemic risk” that would impede the applic</w:t>
      </w:r>
      <w:r w:rsidR="001C2CBA">
        <w:t>ation of the Passporting Regime</w:t>
      </w:r>
      <w:r w:rsidR="00706289">
        <w:t xml:space="preserve"> to US AIFMs</w:t>
      </w:r>
      <w:r w:rsidR="006F0EC9">
        <w:t xml:space="preserve"> and the </w:t>
      </w:r>
      <w:r w:rsidR="009C16ED">
        <w:t xml:space="preserve">alternative </w:t>
      </w:r>
      <w:r w:rsidR="006F0EC9">
        <w:t>investment funds (both US and non-US) they manage</w:t>
      </w:r>
      <w:r w:rsidR="00706289">
        <w:t>.</w:t>
      </w:r>
      <w:r w:rsidR="00706289">
        <w:rPr>
          <w:rStyle w:val="FootnoteReference"/>
        </w:rPr>
        <w:footnoteReference w:id="1"/>
      </w:r>
      <w:r w:rsidR="00706289">
        <w:t xml:space="preserve">  Accordingly, the PEGCC respectfully submits that if ESMA </w:t>
      </w:r>
      <w:r w:rsidR="001D34D4">
        <w:t xml:space="preserve">issues positive advice to extend the Passporting Regime to non-European AIFMs, </w:t>
      </w:r>
      <w:r w:rsidR="00D815B1">
        <w:t xml:space="preserve">US AIFMs </w:t>
      </w:r>
      <w:r w:rsidR="00377646">
        <w:t>should benefit from the extension of the Passporting Regime.</w:t>
      </w:r>
    </w:p>
    <w:p w:rsidR="002F421D" w:rsidRDefault="002F421D" w:rsidP="00EB48F8">
      <w:pPr>
        <w:pStyle w:val="BodyText"/>
        <w:jc w:val="both"/>
      </w:pPr>
      <w:r>
        <w:t>The PEGCC has had the benefit of reviewing the response to the Call for Evidence to be submitted by the European Private Equity and Venture Capital Association</w:t>
      </w:r>
      <w:r w:rsidR="00A16387">
        <w:t xml:space="preserve"> (“</w:t>
      </w:r>
      <w:r w:rsidR="00A16387" w:rsidRPr="00A16387">
        <w:rPr>
          <w:u w:val="single"/>
        </w:rPr>
        <w:t>EVCA</w:t>
      </w:r>
      <w:r w:rsidR="00A16387">
        <w:t xml:space="preserve">”) </w:t>
      </w:r>
      <w:r w:rsidR="00A16387" w:rsidRPr="00A16387">
        <w:t>and</w:t>
      </w:r>
      <w:r w:rsidR="00A16387">
        <w:t xml:space="preserve"> broadly supports that response</w:t>
      </w:r>
      <w:r w:rsidR="00A44E6E">
        <w:t xml:space="preserve"> (the “</w:t>
      </w:r>
      <w:r w:rsidR="00A44E6E" w:rsidRPr="00A44E6E">
        <w:rPr>
          <w:u w:val="single"/>
        </w:rPr>
        <w:t>EVCA Response</w:t>
      </w:r>
      <w:r w:rsidR="00A44E6E">
        <w:t>”)</w:t>
      </w:r>
      <w:r>
        <w:t>.</w:t>
      </w:r>
      <w:r w:rsidR="00A16387">
        <w:t xml:space="preserve">  The PEGCC specifically endorses </w:t>
      </w:r>
      <w:r w:rsidR="00F50FF2">
        <w:t xml:space="preserve">the </w:t>
      </w:r>
      <w:r w:rsidR="00A16387">
        <w:t xml:space="preserve">EVCA’s recommendations </w:t>
      </w:r>
      <w:r w:rsidR="001974C3">
        <w:t>with respect to</w:t>
      </w:r>
      <w:r w:rsidR="00D23DE8">
        <w:t xml:space="preserve">: extending the Passporting Regime to non-European AIFMs in a proportionate way; greater certainty regarding selection of the Member State of Reference; adoption of </w:t>
      </w:r>
      <w:r w:rsidR="00D23DE8">
        <w:lastRenderedPageBreak/>
        <w:t xml:space="preserve">clear grandfathering rules; </w:t>
      </w:r>
      <w:r w:rsidR="00916DD8">
        <w:t>the benefits of ensuring a harmonised approach throughout Europe to the application of the Passporting Regime</w:t>
      </w:r>
      <w:r w:rsidR="00A92689">
        <w:rPr>
          <w:rStyle w:val="FootnoteReference"/>
        </w:rPr>
        <w:footnoteReference w:id="2"/>
      </w:r>
      <w:r w:rsidR="00A44E6E">
        <w:t xml:space="preserve">; </w:t>
      </w:r>
      <w:r w:rsidR="00B377BE">
        <w:t xml:space="preserve">and, </w:t>
      </w:r>
      <w:r w:rsidR="00A44E6E">
        <w:t>the requirement for OECD model tax convention-compliant agreements</w:t>
      </w:r>
      <w:r w:rsidR="00916DD8">
        <w:t>.</w:t>
      </w:r>
    </w:p>
    <w:p w:rsidR="003C61B3" w:rsidRDefault="003C61B3" w:rsidP="00EB48F8">
      <w:pPr>
        <w:pStyle w:val="BodyText"/>
        <w:jc w:val="both"/>
      </w:pPr>
      <w:r>
        <w:rPr>
          <w:b/>
        </w:rPr>
        <w:t>I.</w:t>
      </w:r>
      <w:r>
        <w:rPr>
          <w:b/>
        </w:rPr>
        <w:tab/>
      </w:r>
      <w:r>
        <w:rPr>
          <w:b/>
          <w:u w:val="single"/>
        </w:rPr>
        <w:t>Who We Are</w:t>
      </w:r>
    </w:p>
    <w:p w:rsidR="003C61B3" w:rsidRDefault="003C61B3" w:rsidP="00EB48F8">
      <w:pPr>
        <w:pStyle w:val="BodyText"/>
        <w:jc w:val="both"/>
      </w:pPr>
      <w:r w:rsidRPr="003C61B3">
        <w:rPr>
          <w:lang w:val="x-none"/>
        </w:rPr>
        <w:t xml:space="preserve">The PEGCC, based in Washington, DC, is </w:t>
      </w:r>
      <w:r>
        <w:rPr>
          <w:lang w:val="x-none"/>
        </w:rPr>
        <w:t>an advocacy, communications and</w:t>
      </w:r>
      <w:r>
        <w:t xml:space="preserve"> </w:t>
      </w:r>
      <w:r w:rsidRPr="003C61B3">
        <w:rPr>
          <w:lang w:val="x-none"/>
        </w:rPr>
        <w:t>research organization established to develop, ana</w:t>
      </w:r>
      <w:r>
        <w:rPr>
          <w:lang w:val="x-none"/>
        </w:rPr>
        <w:t>lyze and distribute information</w:t>
      </w:r>
      <w:r>
        <w:t xml:space="preserve"> </w:t>
      </w:r>
      <w:r w:rsidRPr="003C61B3">
        <w:rPr>
          <w:lang w:val="x-none"/>
        </w:rPr>
        <w:t xml:space="preserve">about the private equity </w:t>
      </w:r>
      <w:r>
        <w:rPr>
          <w:lang w:val="x-none"/>
        </w:rPr>
        <w:t>industry and</w:t>
      </w:r>
      <w:r>
        <w:t xml:space="preserve"> </w:t>
      </w:r>
      <w:r w:rsidRPr="003C61B3">
        <w:rPr>
          <w:lang w:val="x-none"/>
        </w:rPr>
        <w:t>its contributions to the US and global economy</w:t>
      </w:r>
      <w:r>
        <w:rPr>
          <w:lang w:val="x-none"/>
        </w:rPr>
        <w:t>. Our members represent a broad</w:t>
      </w:r>
      <w:r>
        <w:t xml:space="preserve"> </w:t>
      </w:r>
      <w:r w:rsidRPr="003C61B3">
        <w:rPr>
          <w:lang w:val="x-none"/>
        </w:rPr>
        <w:t>cross-section of the private equity industry in the Uni</w:t>
      </w:r>
      <w:r>
        <w:rPr>
          <w:lang w:val="x-none"/>
        </w:rPr>
        <w:t>ted States, and include many of</w:t>
      </w:r>
      <w:r>
        <w:t xml:space="preserve"> </w:t>
      </w:r>
      <w:r w:rsidRPr="003C61B3">
        <w:rPr>
          <w:lang w:val="x-none"/>
        </w:rPr>
        <w:t>the world’s largest and best known private equity firm</w:t>
      </w:r>
      <w:r>
        <w:rPr>
          <w:lang w:val="x-none"/>
        </w:rPr>
        <w:t>s, as well as leading small and</w:t>
      </w:r>
      <w:r>
        <w:t xml:space="preserve"> </w:t>
      </w:r>
      <w:r w:rsidRPr="003C61B3">
        <w:rPr>
          <w:lang w:val="x-none"/>
        </w:rPr>
        <w:t>medium-sized private equity firms.</w:t>
      </w:r>
      <w:r w:rsidR="00917E61">
        <w:rPr>
          <w:rStyle w:val="FootnoteReference"/>
          <w:lang w:val="x-none"/>
        </w:rPr>
        <w:footnoteReference w:id="3"/>
      </w:r>
    </w:p>
    <w:p w:rsidR="00B72D3D" w:rsidRPr="00837C1A" w:rsidRDefault="00B72D3D" w:rsidP="00EB48F8">
      <w:pPr>
        <w:pStyle w:val="BodyText"/>
        <w:jc w:val="both"/>
      </w:pPr>
      <w:r w:rsidRPr="00B72D3D">
        <w:rPr>
          <w:lang w:val="x-none"/>
        </w:rPr>
        <w:t>Our members are united by their commitme</w:t>
      </w:r>
      <w:r>
        <w:rPr>
          <w:lang w:val="x-none"/>
        </w:rPr>
        <w:t>nt to growing and strengthening</w:t>
      </w:r>
      <w:r>
        <w:t xml:space="preserve"> </w:t>
      </w:r>
      <w:r w:rsidRPr="00B72D3D">
        <w:rPr>
          <w:lang w:val="x-none"/>
        </w:rPr>
        <w:t xml:space="preserve">the businesses in which they invest. </w:t>
      </w:r>
      <w:r w:rsidR="00837C1A">
        <w:t xml:space="preserve"> </w:t>
      </w:r>
      <w:r w:rsidRPr="00B72D3D">
        <w:rPr>
          <w:lang w:val="x-none"/>
        </w:rPr>
        <w:t xml:space="preserve">Many of our members invest in </w:t>
      </w:r>
      <w:r w:rsidR="00837C1A">
        <w:t xml:space="preserve">the European </w:t>
      </w:r>
      <w:r w:rsidR="00917E61">
        <w:t>Union</w:t>
      </w:r>
      <w:r w:rsidRPr="00B72D3D">
        <w:rPr>
          <w:lang w:val="x-none"/>
        </w:rPr>
        <w:t xml:space="preserve"> and</w:t>
      </w:r>
      <w:r>
        <w:t xml:space="preserve"> </w:t>
      </w:r>
      <w:r w:rsidR="00837C1A">
        <w:t xml:space="preserve">market their </w:t>
      </w:r>
      <w:r w:rsidR="009C16ED">
        <w:t xml:space="preserve">alternative investment </w:t>
      </w:r>
      <w:r w:rsidR="00837C1A">
        <w:t xml:space="preserve">funds to professional investors in the European </w:t>
      </w:r>
      <w:r w:rsidR="00917E61">
        <w:t>Union</w:t>
      </w:r>
      <w:r w:rsidR="00837C1A">
        <w:t>.</w:t>
      </w:r>
      <w:r w:rsidR="00761F78">
        <w:rPr>
          <w:rStyle w:val="FootnoteReference"/>
        </w:rPr>
        <w:footnoteReference w:id="4"/>
      </w:r>
      <w:r w:rsidR="00837C1A">
        <w:t xml:space="preserve">  For further information </w:t>
      </w:r>
      <w:r w:rsidR="00164571">
        <w:t xml:space="preserve">about the PEGCC, </w:t>
      </w:r>
      <w:r w:rsidR="00837C1A">
        <w:t>please see www.pegcc.org.</w:t>
      </w:r>
    </w:p>
    <w:p w:rsidR="001F59C8" w:rsidRDefault="00055BDE" w:rsidP="00EB48F8">
      <w:pPr>
        <w:pStyle w:val="BodyText"/>
        <w:keepNext/>
        <w:jc w:val="both"/>
        <w:rPr>
          <w:b/>
        </w:rPr>
      </w:pPr>
      <w:r>
        <w:rPr>
          <w:b/>
        </w:rPr>
        <w:t>II.</w:t>
      </w:r>
      <w:r>
        <w:rPr>
          <w:b/>
        </w:rPr>
        <w:tab/>
      </w:r>
      <w:r w:rsidR="001F59C8">
        <w:rPr>
          <w:b/>
          <w:u w:val="single"/>
        </w:rPr>
        <w:t>Background Information</w:t>
      </w:r>
    </w:p>
    <w:p w:rsidR="001F59C8" w:rsidRDefault="001F59C8" w:rsidP="00EB48F8">
      <w:pPr>
        <w:pStyle w:val="BodyText"/>
        <w:jc w:val="both"/>
      </w:pPr>
      <w:r>
        <w:t xml:space="preserve">As a preliminary matter, it is worth noting that: </w:t>
      </w:r>
    </w:p>
    <w:p w:rsidR="001F59C8" w:rsidRDefault="001F59C8" w:rsidP="00EB48F8">
      <w:pPr>
        <w:pStyle w:val="BodyText"/>
        <w:jc w:val="both"/>
      </w:pPr>
      <w:r>
        <w:t>(a)</w:t>
      </w:r>
      <w:r>
        <w:tab/>
        <w:t>appropriate cooperation agreements are in place between the U</w:t>
      </w:r>
      <w:r w:rsidR="00164571">
        <w:t>S</w:t>
      </w:r>
      <w:r>
        <w:t xml:space="preserve"> Securities and Exchange Commission (the “</w:t>
      </w:r>
      <w:r>
        <w:rPr>
          <w:u w:val="single"/>
        </w:rPr>
        <w:t>SEC</w:t>
      </w:r>
      <w:r>
        <w:t xml:space="preserve">”), the relevant regulatory authority </w:t>
      </w:r>
      <w:r w:rsidR="0028597F">
        <w:t>with respect to</w:t>
      </w:r>
      <w:r>
        <w:t xml:space="preserve"> US </w:t>
      </w:r>
      <w:r w:rsidR="00CE0234">
        <w:t>AIFMs</w:t>
      </w:r>
      <w:r>
        <w:t xml:space="preserve">, and the national competent authorities of the European Union, other than the national competent authorities of Croatia and Slovenia, </w:t>
      </w:r>
      <w:r w:rsidRPr="00CC170C">
        <w:t>in order to ensure at least an efficient exchange of information that allows the EU national competent authorities to carry out their duties in accordance with the AIFMD;</w:t>
      </w:r>
      <w:r w:rsidRPr="00CC170C">
        <w:rPr>
          <w:rStyle w:val="FootnoteReference"/>
        </w:rPr>
        <w:footnoteReference w:id="5"/>
      </w:r>
      <w:r>
        <w:t xml:space="preserve"> </w:t>
      </w:r>
    </w:p>
    <w:p w:rsidR="004D22BA" w:rsidRDefault="001F59C8" w:rsidP="00EB48F8">
      <w:pPr>
        <w:pStyle w:val="BodyText"/>
        <w:jc w:val="both"/>
      </w:pPr>
      <w:r>
        <w:lastRenderedPageBreak/>
        <w:t>(b)</w:t>
      </w:r>
      <w:r>
        <w:tab/>
      </w:r>
      <w:proofErr w:type="gramStart"/>
      <w:r>
        <w:t>the</w:t>
      </w:r>
      <w:proofErr w:type="gramEnd"/>
      <w:r>
        <w:t xml:space="preserve"> United States is not on the list of Non-Cooperative Countries and Territories maintained by the Financial Action Task Force</w:t>
      </w:r>
      <w:r w:rsidR="004D22BA">
        <w:t>;</w:t>
      </w:r>
      <w:r>
        <w:rPr>
          <w:rStyle w:val="FootnoteReference"/>
        </w:rPr>
        <w:footnoteReference w:id="6"/>
      </w:r>
      <w:r w:rsidR="00550694">
        <w:t xml:space="preserve"> </w:t>
      </w:r>
      <w:r w:rsidR="004D22BA">
        <w:t>and</w:t>
      </w:r>
    </w:p>
    <w:p w:rsidR="00550694" w:rsidRDefault="004D22BA" w:rsidP="00EB48F8">
      <w:pPr>
        <w:pStyle w:val="BodyText"/>
        <w:jc w:val="both"/>
      </w:pPr>
      <w:r>
        <w:t>(c)</w:t>
      </w:r>
      <w:r>
        <w:tab/>
      </w:r>
      <w:proofErr w:type="gramStart"/>
      <w:r>
        <w:t>the</w:t>
      </w:r>
      <w:proofErr w:type="gramEnd"/>
      <w:r>
        <w:t xml:space="preserve"> PEGCC supports the establishment and maintenance of </w:t>
      </w:r>
      <w:r w:rsidR="005F07C1">
        <w:t xml:space="preserve">an </w:t>
      </w:r>
      <w:r>
        <w:t xml:space="preserve">accessible national private placement regime in each European jurisdiction for US AIFMs that desire to market their AIFs in accordance with </w:t>
      </w:r>
      <w:r w:rsidR="005F07C1">
        <w:t>such</w:t>
      </w:r>
      <w:r>
        <w:t xml:space="preserve"> regime and in compliance with the </w:t>
      </w:r>
      <w:r w:rsidR="005F07C1">
        <w:t xml:space="preserve">requirements set out in </w:t>
      </w:r>
      <w:r>
        <w:t xml:space="preserve">Article 42 </w:t>
      </w:r>
      <w:r w:rsidR="005F07C1">
        <w:t>of the AIFMD</w:t>
      </w:r>
      <w:r>
        <w:t>.</w:t>
      </w:r>
      <w:r w:rsidR="00A44E6E">
        <w:rPr>
          <w:rStyle w:val="FootnoteReference"/>
        </w:rPr>
        <w:footnoteReference w:id="7"/>
      </w:r>
      <w:r w:rsidR="00550694">
        <w:t xml:space="preserve"> </w:t>
      </w:r>
    </w:p>
    <w:p w:rsidR="003C61B3" w:rsidRDefault="001F59C8" w:rsidP="00EB48F8">
      <w:pPr>
        <w:pStyle w:val="BodyText"/>
        <w:keepNext/>
        <w:jc w:val="both"/>
        <w:rPr>
          <w:b/>
        </w:rPr>
      </w:pPr>
      <w:r>
        <w:rPr>
          <w:b/>
        </w:rPr>
        <w:t>III.</w:t>
      </w:r>
      <w:r>
        <w:rPr>
          <w:b/>
        </w:rPr>
        <w:tab/>
      </w:r>
      <w:r w:rsidR="00BB79A2" w:rsidRPr="00BB79A2">
        <w:rPr>
          <w:b/>
          <w:u w:val="single"/>
        </w:rPr>
        <w:t>T</w:t>
      </w:r>
      <w:r w:rsidR="00FA1107">
        <w:rPr>
          <w:b/>
          <w:u w:val="single"/>
        </w:rPr>
        <w:t>he Passporting Regime</w:t>
      </w:r>
      <w:r w:rsidR="00BB79A2">
        <w:rPr>
          <w:b/>
          <w:u w:val="single"/>
        </w:rPr>
        <w:t xml:space="preserve"> S</w:t>
      </w:r>
      <w:r w:rsidR="00F23193">
        <w:rPr>
          <w:b/>
          <w:u w:val="single"/>
        </w:rPr>
        <w:t>hould b</w:t>
      </w:r>
      <w:r w:rsidR="00FA1107">
        <w:rPr>
          <w:b/>
          <w:u w:val="single"/>
        </w:rPr>
        <w:t xml:space="preserve">e </w:t>
      </w:r>
      <w:proofErr w:type="gramStart"/>
      <w:r w:rsidR="00FA1107">
        <w:rPr>
          <w:b/>
          <w:u w:val="single"/>
        </w:rPr>
        <w:t>Extended</w:t>
      </w:r>
      <w:proofErr w:type="gramEnd"/>
      <w:r w:rsidR="00FA1107">
        <w:rPr>
          <w:b/>
          <w:u w:val="single"/>
        </w:rPr>
        <w:t xml:space="preserve"> to </w:t>
      </w:r>
      <w:r w:rsidR="00884F54">
        <w:rPr>
          <w:b/>
          <w:u w:val="single"/>
        </w:rPr>
        <w:t>U</w:t>
      </w:r>
      <w:r w:rsidR="00884764">
        <w:rPr>
          <w:b/>
          <w:u w:val="single"/>
        </w:rPr>
        <w:t>S</w:t>
      </w:r>
      <w:r w:rsidR="00055BDE" w:rsidRPr="00055BDE">
        <w:rPr>
          <w:b/>
          <w:u w:val="single"/>
        </w:rPr>
        <w:t xml:space="preserve"> AIFMs</w:t>
      </w:r>
    </w:p>
    <w:p w:rsidR="00F00458" w:rsidRPr="00935DEF" w:rsidRDefault="00F00458" w:rsidP="00EB48F8">
      <w:pPr>
        <w:pStyle w:val="BodyText"/>
        <w:jc w:val="both"/>
        <w:rPr>
          <w:szCs w:val="24"/>
        </w:rPr>
      </w:pPr>
      <w:r w:rsidRPr="00935DEF">
        <w:rPr>
          <w:szCs w:val="24"/>
        </w:rPr>
        <w:t xml:space="preserve">US AIFMs are already subject to an extensive US regulatory regime that has objectives equivalent to those of the AIFMD regime (including, without limitation, the objectives of investor protection and monitoring of systemic risk).  </w:t>
      </w:r>
      <w:r w:rsidR="00935DEF" w:rsidRPr="00935DEF">
        <w:rPr>
          <w:szCs w:val="24"/>
        </w:rPr>
        <w:t>As such, the PEGCC is of the view that t</w:t>
      </w:r>
      <w:r w:rsidRPr="00935DEF">
        <w:rPr>
          <w:szCs w:val="24"/>
        </w:rPr>
        <w:t xml:space="preserve">he application </w:t>
      </w:r>
      <w:r w:rsidR="00935DEF" w:rsidRPr="00935DEF">
        <w:rPr>
          <w:szCs w:val="24"/>
        </w:rPr>
        <w:t xml:space="preserve">to US AIFMs </w:t>
      </w:r>
      <w:r w:rsidRPr="00935DEF">
        <w:rPr>
          <w:szCs w:val="24"/>
        </w:rPr>
        <w:t xml:space="preserve">of </w:t>
      </w:r>
      <w:r w:rsidR="00935DEF" w:rsidRPr="00935DEF">
        <w:rPr>
          <w:szCs w:val="24"/>
        </w:rPr>
        <w:t xml:space="preserve">an additional European regulatory overlay is not necessary.  The PEGCC understands though that the </w:t>
      </w:r>
      <w:r w:rsidRPr="00935DEF">
        <w:rPr>
          <w:szCs w:val="24"/>
        </w:rPr>
        <w:t>AIFMD prescribes a European regulatory framework that will apply where the Passporting Regime is extended to non-European AIFMs</w:t>
      </w:r>
      <w:r w:rsidR="00935DEF" w:rsidRPr="00935DEF">
        <w:rPr>
          <w:szCs w:val="24"/>
        </w:rPr>
        <w:t>.  The PEGCC respectfully submits that</w:t>
      </w:r>
      <w:r w:rsidR="00001E8B">
        <w:rPr>
          <w:szCs w:val="24"/>
        </w:rPr>
        <w:t>,</w:t>
      </w:r>
      <w:r w:rsidR="00935DEF" w:rsidRPr="00935DEF">
        <w:rPr>
          <w:szCs w:val="24"/>
        </w:rPr>
        <w:t xml:space="preserve"> when determining the specifics of implementation of </w:t>
      </w:r>
      <w:r w:rsidR="00001E8B">
        <w:rPr>
          <w:szCs w:val="24"/>
        </w:rPr>
        <w:t>a</w:t>
      </w:r>
      <w:r w:rsidR="00935DEF" w:rsidRPr="00935DEF">
        <w:rPr>
          <w:szCs w:val="24"/>
        </w:rPr>
        <w:t xml:space="preserve"> Passporting Regime for US AIFMs</w:t>
      </w:r>
      <w:r w:rsidR="00001E8B">
        <w:rPr>
          <w:szCs w:val="24"/>
        </w:rPr>
        <w:t>,</w:t>
      </w:r>
      <w:r w:rsidR="00935DEF" w:rsidRPr="00935DEF">
        <w:rPr>
          <w:szCs w:val="24"/>
        </w:rPr>
        <w:t xml:space="preserve"> due consideration</w:t>
      </w:r>
      <w:r w:rsidR="005505CE">
        <w:rPr>
          <w:szCs w:val="24"/>
        </w:rPr>
        <w:t xml:space="preserve"> and</w:t>
      </w:r>
      <w:r w:rsidR="00935DEF" w:rsidRPr="00935DEF">
        <w:rPr>
          <w:szCs w:val="24"/>
        </w:rPr>
        <w:t xml:space="preserve"> recognition should be given to the US regulatory regime that </w:t>
      </w:r>
      <w:r w:rsidR="008172DC">
        <w:rPr>
          <w:szCs w:val="24"/>
        </w:rPr>
        <w:t xml:space="preserve">already </w:t>
      </w:r>
      <w:r w:rsidR="00935DEF" w:rsidRPr="00935DEF">
        <w:rPr>
          <w:szCs w:val="24"/>
        </w:rPr>
        <w:t>applies to US AIFMs</w:t>
      </w:r>
      <w:r w:rsidR="00001E8B">
        <w:rPr>
          <w:szCs w:val="24"/>
        </w:rPr>
        <w:t xml:space="preserve"> and the extensive oversight and scrutiny to which they are already subject</w:t>
      </w:r>
      <w:r w:rsidR="00935DEF" w:rsidRPr="00935DEF">
        <w:rPr>
          <w:szCs w:val="24"/>
        </w:rPr>
        <w:t>.</w:t>
      </w:r>
    </w:p>
    <w:p w:rsidR="00055BDE" w:rsidRDefault="00870061" w:rsidP="00EB48F8">
      <w:pPr>
        <w:pStyle w:val="BodyText"/>
        <w:jc w:val="both"/>
      </w:pPr>
      <w:r w:rsidRPr="00935DEF">
        <w:rPr>
          <w:szCs w:val="24"/>
        </w:rPr>
        <w:t>As noted in the Call for Evidence</w:t>
      </w:r>
      <w:r w:rsidR="00E44BBE" w:rsidRPr="00935DEF">
        <w:rPr>
          <w:szCs w:val="24"/>
        </w:rPr>
        <w:t>, the crit</w:t>
      </w:r>
      <w:r w:rsidR="00483ACC" w:rsidRPr="00935DEF">
        <w:rPr>
          <w:szCs w:val="24"/>
        </w:rPr>
        <w:t xml:space="preserve">eria for ESMA to issue </w:t>
      </w:r>
      <w:r w:rsidR="00E44BBE" w:rsidRPr="00935DEF">
        <w:rPr>
          <w:szCs w:val="24"/>
        </w:rPr>
        <w:t>positive</w:t>
      </w:r>
      <w:r w:rsidR="00E44BBE">
        <w:t xml:space="preserve"> advice is that there should be no significant obstacles regarding (</w:t>
      </w:r>
      <w:r w:rsidR="00483ACC">
        <w:rPr>
          <w:i/>
        </w:rPr>
        <w:t>a</w:t>
      </w:r>
      <w:r w:rsidR="00E44BBE">
        <w:t>) investor protection</w:t>
      </w:r>
      <w:r w:rsidR="004E7EA2">
        <w:t>,</w:t>
      </w:r>
      <w:r w:rsidR="00E44BBE">
        <w:t xml:space="preserve"> (</w:t>
      </w:r>
      <w:r w:rsidR="00483ACC">
        <w:rPr>
          <w:i/>
        </w:rPr>
        <w:t>b</w:t>
      </w:r>
      <w:r w:rsidR="00E44BBE">
        <w:t>) market disruption</w:t>
      </w:r>
      <w:r w:rsidR="004E7EA2">
        <w:t>,</w:t>
      </w:r>
      <w:r w:rsidR="00E44BBE">
        <w:t xml:space="preserve"> (</w:t>
      </w:r>
      <w:r w:rsidR="00483ACC">
        <w:rPr>
          <w:i/>
        </w:rPr>
        <w:t>c</w:t>
      </w:r>
      <w:r w:rsidR="00E44BBE">
        <w:t>) competition and (</w:t>
      </w:r>
      <w:r w:rsidR="00483ACC">
        <w:rPr>
          <w:i/>
        </w:rPr>
        <w:t>d</w:t>
      </w:r>
      <w:r w:rsidR="00E44BBE">
        <w:t>) t</w:t>
      </w:r>
      <w:r w:rsidR="00483ACC">
        <w:t xml:space="preserve">he monitoring of systemic risk </w:t>
      </w:r>
      <w:r w:rsidR="00263A74">
        <w:t xml:space="preserve">that would impede the application of the </w:t>
      </w:r>
      <w:r w:rsidR="001C2CBA">
        <w:t>Passporting Regime</w:t>
      </w:r>
      <w:r w:rsidR="005F0E5A">
        <w:t xml:space="preserve"> to</w:t>
      </w:r>
      <w:r w:rsidR="00263A74">
        <w:t xml:space="preserve"> non-E</w:t>
      </w:r>
      <w:r w:rsidR="00001E8B">
        <w:t>uropean</w:t>
      </w:r>
      <w:r w:rsidR="00263A74">
        <w:t xml:space="preserve"> AIFMs</w:t>
      </w:r>
      <w:r w:rsidR="00483ACC">
        <w:t xml:space="preserve">.  </w:t>
      </w:r>
      <w:r w:rsidR="00164571">
        <w:t xml:space="preserve">No such obstacles exist with respect to US AIFMs.  </w:t>
      </w:r>
      <w:r w:rsidR="00483ACC">
        <w:t xml:space="preserve">Each of these criteria </w:t>
      </w:r>
      <w:r w:rsidR="009D7175">
        <w:t>is</w:t>
      </w:r>
      <w:r w:rsidR="00483ACC">
        <w:t xml:space="preserve"> considered in turn</w:t>
      </w:r>
      <w:r w:rsidR="00263A74">
        <w:t xml:space="preserve"> </w:t>
      </w:r>
      <w:r w:rsidR="009D7175">
        <w:t xml:space="preserve">below </w:t>
      </w:r>
      <w:r w:rsidR="001974C3">
        <w:t>with respect to</w:t>
      </w:r>
      <w:r w:rsidR="00263A74">
        <w:t xml:space="preserve"> US AIFMs</w:t>
      </w:r>
      <w:r w:rsidR="00483ACC">
        <w:t>.</w:t>
      </w:r>
    </w:p>
    <w:p w:rsidR="007270D5" w:rsidRDefault="00D062C5" w:rsidP="00EB48F8">
      <w:pPr>
        <w:pStyle w:val="BodyText"/>
        <w:jc w:val="both"/>
      </w:pPr>
      <w:r>
        <w:t>(a)</w:t>
      </w:r>
      <w:r>
        <w:tab/>
      </w:r>
      <w:r>
        <w:rPr>
          <w:u w:val="single"/>
        </w:rPr>
        <w:t>Investor Protection</w:t>
      </w:r>
    </w:p>
    <w:p w:rsidR="00BF0B99" w:rsidRDefault="00D70DAD" w:rsidP="00740A64">
      <w:pPr>
        <w:pStyle w:val="BodyText"/>
        <w:jc w:val="both"/>
      </w:pPr>
      <w:r>
        <w:t>Invest</w:t>
      </w:r>
      <w:r w:rsidR="009C16AA">
        <w:t>or</w:t>
      </w:r>
      <w:r>
        <w:t xml:space="preserve"> protection is </w:t>
      </w:r>
      <w:r w:rsidR="00C57A3D">
        <w:t>a</w:t>
      </w:r>
      <w:r w:rsidR="002F5CAC">
        <w:t xml:space="preserve"> hallmark of t</w:t>
      </w:r>
      <w:r w:rsidR="00C57A3D">
        <w:t>he U</w:t>
      </w:r>
      <w:r>
        <w:t xml:space="preserve">S regulation of </w:t>
      </w:r>
      <w:r w:rsidR="00676D85">
        <w:t xml:space="preserve">alternative investment </w:t>
      </w:r>
      <w:r>
        <w:t>fund managers</w:t>
      </w:r>
      <w:r w:rsidR="009C16AA">
        <w:t xml:space="preserve"> </w:t>
      </w:r>
      <w:r>
        <w:t>and other investment advisory firms</w:t>
      </w:r>
      <w:r w:rsidR="00C57A3D">
        <w:t xml:space="preserve">.  </w:t>
      </w:r>
      <w:r w:rsidR="008172DC">
        <w:t>T</w:t>
      </w:r>
      <w:r w:rsidR="00740A64">
        <w:t xml:space="preserve">he management of AIFMs and the marketing of interests in </w:t>
      </w:r>
      <w:r w:rsidR="00DE6C83">
        <w:t>alternative investment funds (an “</w:t>
      </w:r>
      <w:r w:rsidR="00DE6C83" w:rsidRPr="00DE6C83">
        <w:rPr>
          <w:u w:val="single"/>
        </w:rPr>
        <w:t>AIF</w:t>
      </w:r>
      <w:r w:rsidR="00DE6C83">
        <w:t xml:space="preserve">”) </w:t>
      </w:r>
      <w:r w:rsidR="00BF31C2">
        <w:t>are</w:t>
      </w:r>
      <w:r w:rsidR="00740A64">
        <w:t xml:space="preserve"> subject to a comprehensive, substantive regulator</w:t>
      </w:r>
      <w:r w:rsidR="00BF0B99">
        <w:t>y regime in the United States.</w:t>
      </w:r>
    </w:p>
    <w:p w:rsidR="00740A64" w:rsidRDefault="00740A64" w:rsidP="00740A64">
      <w:pPr>
        <w:pStyle w:val="BodyText"/>
        <w:jc w:val="both"/>
      </w:pPr>
      <w:r w:rsidRPr="00760D49">
        <w:rPr>
          <w:i/>
        </w:rPr>
        <w:t>First</w:t>
      </w:r>
      <w:r>
        <w:t xml:space="preserve">, the marketing of interests in </w:t>
      </w:r>
      <w:r w:rsidR="00DE6C83">
        <w:t>AIFs</w:t>
      </w:r>
      <w:r>
        <w:t xml:space="preserve"> is subject to the provisions of the US Securities Act of 1933, as amended (the “</w:t>
      </w:r>
      <w:r w:rsidRPr="00760D49">
        <w:rPr>
          <w:u w:val="single"/>
        </w:rPr>
        <w:t>Securities Act</w:t>
      </w:r>
      <w:r>
        <w:t>”).</w:t>
      </w:r>
      <w:r>
        <w:rPr>
          <w:rStyle w:val="FootnoteReference"/>
        </w:rPr>
        <w:footnoteReference w:id="8"/>
      </w:r>
    </w:p>
    <w:p w:rsidR="00740A64" w:rsidRDefault="00740A64" w:rsidP="00740A64">
      <w:pPr>
        <w:pStyle w:val="BodyText"/>
        <w:jc w:val="both"/>
      </w:pPr>
      <w:r w:rsidRPr="00760D49">
        <w:rPr>
          <w:i/>
        </w:rPr>
        <w:lastRenderedPageBreak/>
        <w:t>Second</w:t>
      </w:r>
      <w:r>
        <w:t xml:space="preserve">, </w:t>
      </w:r>
      <w:r w:rsidR="009D7175">
        <w:t xml:space="preserve">for </w:t>
      </w:r>
      <w:r>
        <w:t xml:space="preserve">sales of interests in </w:t>
      </w:r>
      <w:r w:rsidR="009D7175">
        <w:t xml:space="preserve">most </w:t>
      </w:r>
      <w:r w:rsidR="00BF0B99">
        <w:t xml:space="preserve">US </w:t>
      </w:r>
      <w:r w:rsidR="00DE6C83">
        <w:t>AIFs</w:t>
      </w:r>
      <w:r>
        <w:t>, the US Investment Company Act of 1940, as amended (the “</w:t>
      </w:r>
      <w:r w:rsidRPr="00760D49">
        <w:rPr>
          <w:u w:val="single"/>
        </w:rPr>
        <w:t>Investment Company Act</w:t>
      </w:r>
      <w:r>
        <w:t xml:space="preserve">”), requires that the investors be limited in number (to no more than 100 beneficial owners) or </w:t>
      </w:r>
      <w:r w:rsidR="006F0EC9">
        <w:t xml:space="preserve">that </w:t>
      </w:r>
      <w:r w:rsidR="009C16ED">
        <w:t>an</w:t>
      </w:r>
      <w:r w:rsidR="006F0EC9">
        <w:t xml:space="preserve"> investor </w:t>
      </w:r>
      <w:r>
        <w:t>ha</w:t>
      </w:r>
      <w:r w:rsidR="009C16ED">
        <w:t>s</w:t>
      </w:r>
      <w:r>
        <w:t xml:space="preserve"> investment assets of </w:t>
      </w:r>
      <w:r w:rsidR="00BF0B99">
        <w:t xml:space="preserve">at least </w:t>
      </w:r>
      <w:r>
        <w:t xml:space="preserve">$5 million (in the case of </w:t>
      </w:r>
      <w:r w:rsidR="009C16ED">
        <w:t xml:space="preserve">an </w:t>
      </w:r>
      <w:r>
        <w:t xml:space="preserve">individual and </w:t>
      </w:r>
      <w:r w:rsidR="009C16ED">
        <w:t xml:space="preserve">a </w:t>
      </w:r>
      <w:r>
        <w:t>family compan</w:t>
      </w:r>
      <w:r w:rsidR="009C16ED">
        <w:t>y</w:t>
      </w:r>
      <w:r>
        <w:t xml:space="preserve">) or of </w:t>
      </w:r>
      <w:r w:rsidR="00BF0B99">
        <w:t xml:space="preserve">at least </w:t>
      </w:r>
      <w:r>
        <w:t>$25 million (in all other cases).</w:t>
      </w:r>
    </w:p>
    <w:p w:rsidR="00740A64" w:rsidRDefault="00740A64" w:rsidP="00740A64">
      <w:pPr>
        <w:pStyle w:val="BodyText"/>
        <w:jc w:val="both"/>
      </w:pPr>
      <w:r w:rsidRPr="00760D49">
        <w:rPr>
          <w:i/>
        </w:rPr>
        <w:t>Third</w:t>
      </w:r>
      <w:r>
        <w:t>, additional US federal and/or state statutes and rules regulate (1) the management and activities of p</w:t>
      </w:r>
      <w:r w:rsidR="00BF0B99">
        <w:t xml:space="preserve">lacement agents and </w:t>
      </w:r>
      <w:r w:rsidR="009D7175">
        <w:t xml:space="preserve">certain </w:t>
      </w:r>
      <w:r w:rsidR="00BF0B99">
        <w:t>other p</w:t>
      </w:r>
      <w:r>
        <w:t xml:space="preserve">ersons </w:t>
      </w:r>
      <w:r w:rsidR="00BF0B99">
        <w:t xml:space="preserve">who are </w:t>
      </w:r>
      <w:r>
        <w:t>in the business</w:t>
      </w:r>
      <w:r w:rsidR="00BF0B99">
        <w:t>, for compensation,</w:t>
      </w:r>
      <w:r>
        <w:t xml:space="preserve"> of marketing securities, including interests in AIFs, to investors (</w:t>
      </w:r>
      <w:r w:rsidRPr="00760D49">
        <w:rPr>
          <w:i/>
        </w:rPr>
        <w:t>e.g.,</w:t>
      </w:r>
      <w:r>
        <w:t xml:space="preserve"> the US Securities Exchange Act of 1934, as amended), (2) anti-corruption and bribery concerns with respect to </w:t>
      </w:r>
      <w:r w:rsidR="009D7175">
        <w:t xml:space="preserve">the activities of </w:t>
      </w:r>
      <w:r>
        <w:t>US persons, including US AIFMs and their affiliates (</w:t>
      </w:r>
      <w:r w:rsidRPr="00760D49">
        <w:rPr>
          <w:i/>
        </w:rPr>
        <w:t>e.g.,</w:t>
      </w:r>
      <w:r>
        <w:t xml:space="preserve"> the US Foreign Corrupt Practices Act)</w:t>
      </w:r>
      <w:r w:rsidR="00BF31C2">
        <w:t>,</w:t>
      </w:r>
      <w:r>
        <w:t xml:space="preserve"> and (3) a variety of other matters.</w:t>
      </w:r>
    </w:p>
    <w:p w:rsidR="00740A64" w:rsidRPr="008225FA" w:rsidRDefault="00740A64" w:rsidP="00740A64">
      <w:pPr>
        <w:pStyle w:val="BodyText"/>
        <w:jc w:val="both"/>
      </w:pPr>
      <w:r w:rsidRPr="008A3898">
        <w:rPr>
          <w:i/>
        </w:rPr>
        <w:t>Fourth,</w:t>
      </w:r>
      <w:r>
        <w:t xml:space="preserve"> US AIFMs are regulated under the US Investment Advisers Act of 1940, as expanded and amended by the </w:t>
      </w:r>
      <w:r w:rsidR="00CD535E">
        <w:t xml:space="preserve">US </w:t>
      </w:r>
      <w:r>
        <w:t>Dodd-Frank Wall Street Reform and Consumer Protection Act of 2010 (the “</w:t>
      </w:r>
      <w:r w:rsidRPr="00F142EB">
        <w:rPr>
          <w:u w:val="single"/>
        </w:rPr>
        <w:t>Advisers Act</w:t>
      </w:r>
      <w:r>
        <w:t>”).</w:t>
      </w:r>
      <w:r>
        <w:rPr>
          <w:rStyle w:val="FootnoteReference"/>
        </w:rPr>
        <w:footnoteReference w:id="9"/>
      </w:r>
      <w:r>
        <w:t xml:space="preserve">  Even before the Dodd-Frank Act, </w:t>
      </w:r>
      <w:r w:rsidR="009D7175">
        <w:t xml:space="preserve">the marketing activities and </w:t>
      </w:r>
      <w:proofErr w:type="spellStart"/>
      <w:r w:rsidR="009D7175">
        <w:t>ongoing</w:t>
      </w:r>
      <w:proofErr w:type="spellEnd"/>
      <w:r w:rsidR="009D7175">
        <w:t xml:space="preserve"> dealings with clients of </w:t>
      </w:r>
      <w:r>
        <w:t xml:space="preserve">all US AIFMs were subject to </w:t>
      </w:r>
      <w:r w:rsidR="009D7175">
        <w:t xml:space="preserve">the </w:t>
      </w:r>
      <w:r w:rsidR="00E37439">
        <w:t>anti</w:t>
      </w:r>
      <w:r w:rsidR="00475CF8">
        <w:t>-</w:t>
      </w:r>
      <w:r>
        <w:t xml:space="preserve">fraud requirements </w:t>
      </w:r>
      <w:r w:rsidR="009D7175">
        <w:t xml:space="preserve">and certain other provisions of the Advisers </w:t>
      </w:r>
      <w:r w:rsidR="00CD535E">
        <w:t>Act</w:t>
      </w:r>
      <w:r>
        <w:t>.  The Dodd-Frank Act, by expanding the scope of the Advisers Act’s registration requirement, layered additional requirements on top of the already extensive and longstanding regulatory regime described above.  As a result, every sizeable US AIFM is subject to additional substantive regulation by, is required to register with, and is subject to examination (to ensure compliance</w:t>
      </w:r>
      <w:r w:rsidR="009D7175">
        <w:t xml:space="preserve"> with the foregoing</w:t>
      </w:r>
      <w:r>
        <w:t>) by the SEC under the Advisers Act.  Appendix A sets out a</w:t>
      </w:r>
      <w:r w:rsidRPr="00F15809">
        <w:rPr>
          <w:lang w:val="x-none"/>
        </w:rPr>
        <w:t xml:space="preserve"> brief</w:t>
      </w:r>
      <w:r>
        <w:t xml:space="preserve"> </w:t>
      </w:r>
      <w:r w:rsidRPr="00F15809">
        <w:rPr>
          <w:lang w:val="x-none"/>
        </w:rPr>
        <w:t xml:space="preserve">summary of </w:t>
      </w:r>
      <w:r>
        <w:rPr>
          <w:lang w:val="en-US"/>
        </w:rPr>
        <w:t>the key</w:t>
      </w:r>
      <w:r w:rsidRPr="00F15809">
        <w:rPr>
          <w:lang w:val="x-none"/>
        </w:rPr>
        <w:t xml:space="preserve"> substantive provisions of the </w:t>
      </w:r>
      <w:r>
        <w:t>Advisers Act</w:t>
      </w:r>
      <w:r w:rsidR="007D4064">
        <w:t xml:space="preserve"> </w:t>
      </w:r>
      <w:r w:rsidR="002F5CAC">
        <w:t xml:space="preserve">and </w:t>
      </w:r>
      <w:r w:rsidR="007D4064">
        <w:t>demonstrates</w:t>
      </w:r>
      <w:r w:rsidR="002F5CAC">
        <w:t xml:space="preserve"> the extensive regulatory framework </w:t>
      </w:r>
      <w:r w:rsidR="006B3EAB">
        <w:t>within which US AIFMs currently operate</w:t>
      </w:r>
      <w:r>
        <w:t>.</w:t>
      </w:r>
    </w:p>
    <w:p w:rsidR="00D062C5" w:rsidRDefault="00D062C5" w:rsidP="00EB48F8">
      <w:pPr>
        <w:pStyle w:val="BodyText"/>
        <w:jc w:val="both"/>
      </w:pPr>
      <w:r>
        <w:t>(b)</w:t>
      </w:r>
      <w:r>
        <w:tab/>
      </w:r>
      <w:r>
        <w:rPr>
          <w:u w:val="single"/>
        </w:rPr>
        <w:t>Market Disruption</w:t>
      </w:r>
    </w:p>
    <w:p w:rsidR="00D062C5" w:rsidRDefault="00A801E3" w:rsidP="00EB48F8">
      <w:pPr>
        <w:pStyle w:val="BodyText"/>
        <w:jc w:val="both"/>
      </w:pPr>
      <w:r>
        <w:t>The PEGCC submits that</w:t>
      </w:r>
      <w:r w:rsidR="00E37439">
        <w:t xml:space="preserve"> no risk of market disruption is posed by permitting the extension of the Passporting Regime to US AIFMs.  US</w:t>
      </w:r>
      <w:r w:rsidR="00961C22">
        <w:t xml:space="preserve"> AIFMs have long been marketing in the European Union and the</w:t>
      </w:r>
      <w:r w:rsidR="00E37439">
        <w:t xml:space="preserve"> nature of the US regulatory regime is rig</w:t>
      </w:r>
      <w:r>
        <w:t>orous</w:t>
      </w:r>
      <w:r w:rsidR="00CD535E">
        <w:t xml:space="preserve"> (including</w:t>
      </w:r>
      <w:r>
        <w:t xml:space="preserve">, in particular, but not limited to, the SEC’s ability to monitor </w:t>
      </w:r>
      <w:r>
        <w:lastRenderedPageBreak/>
        <w:t>systemic risk</w:t>
      </w:r>
      <w:r>
        <w:rPr>
          <w:rStyle w:val="FootnoteReference"/>
        </w:rPr>
        <w:footnoteReference w:id="10"/>
      </w:r>
      <w:r w:rsidR="00CD535E">
        <w:t xml:space="preserve"> discussed below)</w:t>
      </w:r>
      <w:r w:rsidR="00E37439">
        <w:t>.</w:t>
      </w:r>
      <w:r w:rsidR="00245131">
        <w:t xml:space="preserve">  </w:t>
      </w:r>
      <w:r w:rsidR="00F83334">
        <w:t>In fact, l</w:t>
      </w:r>
      <w:r w:rsidR="006B3EAB">
        <w:t>imiting or prohibiting European professional investors</w:t>
      </w:r>
      <w:r w:rsidR="002F421D">
        <w:t>’</w:t>
      </w:r>
      <w:r w:rsidR="006B3EAB">
        <w:t xml:space="preserve"> access to US AIFMs</w:t>
      </w:r>
      <w:r w:rsidR="00F83334">
        <w:t xml:space="preserve"> may lead to market disruption.</w:t>
      </w:r>
    </w:p>
    <w:p w:rsidR="00D062C5" w:rsidRDefault="00D062C5" w:rsidP="00EB48F8">
      <w:pPr>
        <w:pStyle w:val="BodyText"/>
        <w:jc w:val="both"/>
      </w:pPr>
      <w:r>
        <w:t>(c)</w:t>
      </w:r>
      <w:r>
        <w:tab/>
      </w:r>
      <w:r>
        <w:rPr>
          <w:u w:val="single"/>
        </w:rPr>
        <w:t>Competition</w:t>
      </w:r>
    </w:p>
    <w:p w:rsidR="00BC6B7A" w:rsidRDefault="00BC6B7A" w:rsidP="00BC6B7A">
      <w:pPr>
        <w:pStyle w:val="BodyText"/>
        <w:jc w:val="both"/>
      </w:pPr>
      <w:r>
        <w:t>From a practical perspective, extending the Passporting Regime to US AIFMs will mean that professional investors in the European Union will continue to have access to AIFs managed by US AIFMs.</w:t>
      </w:r>
      <w:r>
        <w:rPr>
          <w:rStyle w:val="FootnoteReference"/>
        </w:rPr>
        <w:footnoteReference w:id="11"/>
      </w:r>
      <w:r>
        <w:t xml:space="preserve">  European investors should </w:t>
      </w:r>
      <w:r w:rsidR="00F816C8">
        <w:t>be permitted, within an appropriate regulatory framework, full</w:t>
      </w:r>
      <w:r>
        <w:t xml:space="preserve"> flexibility in choosing between investing with European AIFMs and US AIFMs.  Investment with US AIFMs serves a number of important functions for many European investors, including diversification of investment opportunities and access to attractive returns</w:t>
      </w:r>
      <w:r w:rsidR="0007591F">
        <w:t>.</w:t>
      </w:r>
      <w:r w:rsidR="005A07E0">
        <w:rPr>
          <w:rStyle w:val="FootnoteReference"/>
        </w:rPr>
        <w:footnoteReference w:id="12"/>
      </w:r>
    </w:p>
    <w:p w:rsidR="00BC6B7A" w:rsidRDefault="00BC6B7A" w:rsidP="00BC6B7A">
      <w:pPr>
        <w:pStyle w:val="BodyText"/>
        <w:jc w:val="both"/>
      </w:pPr>
      <w:r>
        <w:t xml:space="preserve">The PEGCC believes that not extending the Passporting Regime to US AIFMs would raise significant and important market access issues for US AIFMs and could seriously harm the interests of European institutional investors.  Extension of the Passporting Regime to US AIFMs is important for ensuring that European AIFMs and US AIFMs have a “level playing field” in connection with the marketing of AIFs to European professional investors.  </w:t>
      </w:r>
    </w:p>
    <w:p w:rsidR="00BC6B7A" w:rsidRDefault="00BC6B7A" w:rsidP="00BC6B7A">
      <w:pPr>
        <w:pStyle w:val="BodyText"/>
        <w:jc w:val="both"/>
      </w:pPr>
      <w:r>
        <w:t xml:space="preserve">A European AIFM may market its AIFs organized outside the US to a prospective investor in the United States, </w:t>
      </w:r>
      <w:r w:rsidRPr="0011473D">
        <w:rPr>
          <w:i/>
        </w:rPr>
        <w:t>provided</w:t>
      </w:r>
      <w:r>
        <w:t xml:space="preserve"> that (</w:t>
      </w:r>
      <w:r w:rsidRPr="009B25D3">
        <w:rPr>
          <w:i/>
        </w:rPr>
        <w:t>a</w:t>
      </w:r>
      <w:r>
        <w:t>) the interests in the non-US AIFs are not offered in a public offering in the United States</w:t>
      </w:r>
      <w:r w:rsidRPr="007762E7">
        <w:t xml:space="preserve"> and (</w:t>
      </w:r>
      <w:r w:rsidRPr="00DD2949">
        <w:rPr>
          <w:i/>
        </w:rPr>
        <w:t>b</w:t>
      </w:r>
      <w:r w:rsidRPr="007762E7">
        <w:t xml:space="preserve">) the interests in </w:t>
      </w:r>
      <w:r>
        <w:t>the relevant non-US AIF</w:t>
      </w:r>
      <w:r w:rsidRPr="007762E7">
        <w:t xml:space="preserve"> will be beneficially owned by either (</w:t>
      </w:r>
      <w:r w:rsidRPr="00DD2949">
        <w:rPr>
          <w:i/>
        </w:rPr>
        <w:t>i</w:t>
      </w:r>
      <w:r w:rsidRPr="007762E7">
        <w:t>) not more than 100 U</w:t>
      </w:r>
      <w:r>
        <w:t>S</w:t>
      </w:r>
      <w:r w:rsidRPr="007762E7">
        <w:t xml:space="preserve"> persons or (</w:t>
      </w:r>
      <w:r w:rsidRPr="00DD2949">
        <w:rPr>
          <w:i/>
        </w:rPr>
        <w:t>ii</w:t>
      </w:r>
      <w:r w:rsidRPr="007762E7">
        <w:t xml:space="preserve">) with respect to investors that are </w:t>
      </w:r>
      <w:r>
        <w:t xml:space="preserve">US </w:t>
      </w:r>
      <w:r w:rsidRPr="007762E7">
        <w:t xml:space="preserve">persons only, exclusively by “qualified purchasers” (as defined in Section 2(a)(51) of the Investment Company </w:t>
      </w:r>
      <w:r w:rsidRPr="007762E7">
        <w:lastRenderedPageBreak/>
        <w:t>Act).</w:t>
      </w:r>
      <w:r>
        <w:rPr>
          <w:rStyle w:val="FootnoteReference"/>
        </w:rPr>
        <w:footnoteReference w:id="13"/>
      </w:r>
      <w:r w:rsidR="009152FE">
        <w:t xml:space="preserve">  </w:t>
      </w:r>
      <w:r>
        <w:t xml:space="preserve">Access to </w:t>
      </w:r>
      <w:r w:rsidR="009152FE">
        <w:t>the</w:t>
      </w:r>
      <w:r>
        <w:t xml:space="preserve"> US investor base is important for European AIFMs</w:t>
      </w:r>
      <w:r w:rsidR="009152FE">
        <w:t>, just as access to the European investor base is important for US AIFMs.</w:t>
      </w:r>
      <w:r w:rsidR="009152FE">
        <w:rPr>
          <w:rStyle w:val="FootnoteReference"/>
        </w:rPr>
        <w:footnoteReference w:id="14"/>
      </w:r>
    </w:p>
    <w:p w:rsidR="009152FE" w:rsidRDefault="009152FE" w:rsidP="009152FE">
      <w:pPr>
        <w:pStyle w:val="BodyText"/>
        <w:jc w:val="both"/>
      </w:pPr>
      <w:r>
        <w:t>The European Commission and the US Government have signed multiple cooperation agreements with respect to competition matters to enable effective collaboration and comity between the European Union and the United States.</w:t>
      </w:r>
      <w:r>
        <w:rPr>
          <w:rStyle w:val="FootnoteReference"/>
        </w:rPr>
        <w:footnoteReference w:id="15"/>
      </w:r>
      <w:r>
        <w:t xml:space="preserve">  Extending the Passporting Regime so that they apply to US AIFMs will not distort or undermine competition within the European Union. </w:t>
      </w:r>
    </w:p>
    <w:p w:rsidR="00D062C5" w:rsidRDefault="00E11DCB" w:rsidP="00EB48F8">
      <w:pPr>
        <w:pStyle w:val="BodyText"/>
        <w:jc w:val="both"/>
      </w:pPr>
      <w:r>
        <w:t>The United States has one of the world’s most advanced competition regimes, referred to as “antitrust” law</w:t>
      </w:r>
      <w:r w:rsidR="00881E53">
        <w:t xml:space="preserve">, which is primarily enforced by the </w:t>
      </w:r>
      <w:r w:rsidR="002B2EDD">
        <w:t>US</w:t>
      </w:r>
      <w:r w:rsidR="00881E53">
        <w:t xml:space="preserve"> Department of Justice’s Antitrust Division and the </w:t>
      </w:r>
      <w:r w:rsidR="00CD535E">
        <w:t xml:space="preserve">US </w:t>
      </w:r>
      <w:r w:rsidR="00881E53">
        <w:t>Federal Trade Commission</w:t>
      </w:r>
      <w:r>
        <w:t xml:space="preserve">.  </w:t>
      </w:r>
      <w:r w:rsidR="00F807B2">
        <w:t xml:space="preserve">The </w:t>
      </w:r>
      <w:r w:rsidR="002B2EDD">
        <w:t xml:space="preserve">US </w:t>
      </w:r>
      <w:r w:rsidR="00F807B2">
        <w:t>Sherman Act of 1890</w:t>
      </w:r>
      <w:r w:rsidR="00F807B2">
        <w:rPr>
          <w:rStyle w:val="FootnoteReference"/>
        </w:rPr>
        <w:footnoteReference w:id="16"/>
      </w:r>
      <w:r w:rsidR="00F807B2">
        <w:t xml:space="preserve"> </w:t>
      </w:r>
      <w:r w:rsidR="002C6F24">
        <w:t xml:space="preserve">and the </w:t>
      </w:r>
      <w:r w:rsidR="002E61FB">
        <w:t xml:space="preserve">US </w:t>
      </w:r>
      <w:r w:rsidR="005B0481" w:rsidRPr="005B0481">
        <w:t>Clayton Anti</w:t>
      </w:r>
      <w:r w:rsidR="005B0481">
        <w:t>t</w:t>
      </w:r>
      <w:r w:rsidR="005B0481" w:rsidRPr="005B0481">
        <w:t>rust Act of 1914</w:t>
      </w:r>
      <w:r w:rsidR="005B0481">
        <w:rPr>
          <w:rStyle w:val="FootnoteReference"/>
        </w:rPr>
        <w:footnoteReference w:id="17"/>
      </w:r>
      <w:r w:rsidR="005B0481" w:rsidRPr="005B0481">
        <w:t xml:space="preserve"> </w:t>
      </w:r>
      <w:r w:rsidR="00F807B2">
        <w:t>prohibit cartels and monopolists that impose unreasonable restraints of trade which are harmful to consumers.</w:t>
      </w:r>
      <w:r w:rsidR="00881E53">
        <w:t xml:space="preserve">  </w:t>
      </w:r>
      <w:r w:rsidR="00AE7AF5">
        <w:t xml:space="preserve">Accordingly, the aims, objectives and structure of the </w:t>
      </w:r>
      <w:r w:rsidR="00F468E9">
        <w:t>US</w:t>
      </w:r>
      <w:r w:rsidR="00AE7AF5">
        <w:t xml:space="preserve"> antitrust regime are broadly similar to articles 101 and 102 of the </w:t>
      </w:r>
      <w:r w:rsidR="00AE7AF5" w:rsidRPr="00AE7AF5">
        <w:t>Treaty on the Functioning of the European Union</w:t>
      </w:r>
      <w:r w:rsidR="00AE7AF5">
        <w:t xml:space="preserve">. </w:t>
      </w:r>
    </w:p>
    <w:p w:rsidR="00D062C5" w:rsidRDefault="00D062C5" w:rsidP="00EB48F8">
      <w:pPr>
        <w:pStyle w:val="BodyText"/>
        <w:jc w:val="both"/>
      </w:pPr>
      <w:r>
        <w:t>(d)</w:t>
      </w:r>
      <w:r>
        <w:tab/>
      </w:r>
      <w:r w:rsidR="00E11DCB">
        <w:rPr>
          <w:u w:val="single"/>
        </w:rPr>
        <w:t>The Monitoring</w:t>
      </w:r>
      <w:r>
        <w:rPr>
          <w:u w:val="single"/>
        </w:rPr>
        <w:t xml:space="preserve"> of Systemic Risk</w:t>
      </w:r>
    </w:p>
    <w:p w:rsidR="00F142EB" w:rsidRDefault="00F142EB" w:rsidP="00EB48F8">
      <w:pPr>
        <w:pStyle w:val="BodyText"/>
        <w:jc w:val="both"/>
      </w:pPr>
      <w:r>
        <w:t xml:space="preserve">The regulatory regime for </w:t>
      </w:r>
      <w:r w:rsidR="005F0E5A">
        <w:t xml:space="preserve">a </w:t>
      </w:r>
      <w:r>
        <w:t xml:space="preserve">US AIFM </w:t>
      </w:r>
      <w:r w:rsidR="00CC170C">
        <w:t>ensures</w:t>
      </w:r>
      <w:r>
        <w:t xml:space="preserve"> </w:t>
      </w:r>
      <w:r w:rsidR="00CC170C">
        <w:t xml:space="preserve">the SEC has </w:t>
      </w:r>
      <w:r>
        <w:t xml:space="preserve">comprehensive, detailed and vigorous oversight of </w:t>
      </w:r>
      <w:r w:rsidR="005F0E5A">
        <w:t>that US AIFM</w:t>
      </w:r>
      <w:r w:rsidR="00CD535E">
        <w:t>, as discussed above.  This oversight extends to potential systemic risk concerns</w:t>
      </w:r>
      <w:r>
        <w:t>.</w:t>
      </w:r>
      <w:r w:rsidR="00CD535E">
        <w:rPr>
          <w:rStyle w:val="FootnoteReference"/>
        </w:rPr>
        <w:footnoteReference w:id="18"/>
      </w:r>
      <w:r w:rsidR="00B23E7D">
        <w:t xml:space="preserve">  While recognising that the AIFMD </w:t>
      </w:r>
      <w:r w:rsidR="00B23E7D">
        <w:lastRenderedPageBreak/>
        <w:t xml:space="preserve">prescribes </w:t>
      </w:r>
      <w:r w:rsidR="000F22FB">
        <w:t>a regulatory framework that will apply in the event that the Passporting Regime</w:t>
      </w:r>
      <w:r w:rsidR="001C2CBA">
        <w:t xml:space="preserve"> is</w:t>
      </w:r>
      <w:r w:rsidR="000F22FB">
        <w:t xml:space="preserve"> extended to US AIFMs, the PEGCC is of the view that the regulatory regime already applicable to US AIFMs is robust.</w:t>
      </w:r>
    </w:p>
    <w:p w:rsidR="00BA1900" w:rsidRDefault="00E753EB" w:rsidP="00EB48F8">
      <w:pPr>
        <w:pStyle w:val="BodyText"/>
        <w:jc w:val="both"/>
      </w:pPr>
      <w:r>
        <w:t xml:space="preserve">The SEC </w:t>
      </w:r>
      <w:r w:rsidR="00BA1900">
        <w:t>requires</w:t>
      </w:r>
      <w:r>
        <w:t xml:space="preserve"> that </w:t>
      </w:r>
      <w:r w:rsidR="00CC170C">
        <w:t xml:space="preserve">a </w:t>
      </w:r>
      <w:r w:rsidR="00F065CF">
        <w:t>US AIFM</w:t>
      </w:r>
      <w:r>
        <w:t xml:space="preserve"> </w:t>
      </w:r>
      <w:r w:rsidR="00703CEC">
        <w:t xml:space="preserve">that is registered with the SEC and has </w:t>
      </w:r>
      <w:r>
        <w:t>greater than USD 150 million in assets under management attributable to</w:t>
      </w:r>
      <w:r w:rsidR="00BA1900">
        <w:t xml:space="preserve"> </w:t>
      </w:r>
      <w:r w:rsidR="00DE6C83">
        <w:t>AIFs</w:t>
      </w:r>
      <w:r w:rsidR="00BA1900">
        <w:t xml:space="preserve"> </w:t>
      </w:r>
      <w:r>
        <w:t>file</w:t>
      </w:r>
      <w:r w:rsidR="00BA1900">
        <w:t xml:space="preserve"> a</w:t>
      </w:r>
      <w:r>
        <w:t xml:space="preserve"> Form PF</w:t>
      </w:r>
      <w:r w:rsidR="00BA1900">
        <w:t xml:space="preserve"> in addition to a Form ADV.  Form PF is</w:t>
      </w:r>
      <w:r>
        <w:t xml:space="preserve"> a report that is designed to allow the SEC</w:t>
      </w:r>
      <w:r w:rsidR="00703CEC">
        <w:t>, the US Financial Stability Oversight Council (the “</w:t>
      </w:r>
      <w:r w:rsidR="00703CEC" w:rsidRPr="00703CEC">
        <w:rPr>
          <w:u w:val="single"/>
        </w:rPr>
        <w:t>FSOC</w:t>
      </w:r>
      <w:r w:rsidR="00703CEC">
        <w:t>”)</w:t>
      </w:r>
      <w:r>
        <w:t xml:space="preserve"> and other financial regulators to assess any potential for systemic risks related to </w:t>
      </w:r>
      <w:r w:rsidR="00DE6C83">
        <w:t>AIFs</w:t>
      </w:r>
      <w:r>
        <w:t xml:space="preserve">.  The frequency and level of detail required by </w:t>
      </w:r>
      <w:r w:rsidR="00BA1900">
        <w:t xml:space="preserve">a </w:t>
      </w:r>
      <w:r>
        <w:t>Form PF depend</w:t>
      </w:r>
      <w:r w:rsidR="00BA1900">
        <w:t>s</w:t>
      </w:r>
      <w:r>
        <w:t xml:space="preserve"> on the </w:t>
      </w:r>
      <w:r w:rsidR="001A102B">
        <w:t>US AIFM’s</w:t>
      </w:r>
      <w:r>
        <w:t xml:space="preserve"> assets under management and the types of </w:t>
      </w:r>
      <w:r w:rsidR="00DE6C83">
        <w:t>AIFs</w:t>
      </w:r>
      <w:r>
        <w:t xml:space="preserve"> the </w:t>
      </w:r>
      <w:r w:rsidR="00F468E9">
        <w:t>US AIFM</w:t>
      </w:r>
      <w:r>
        <w:t xml:space="preserve"> manages, but</w:t>
      </w:r>
      <w:r w:rsidR="00BA1900">
        <w:t xml:space="preserve"> a</w:t>
      </w:r>
      <w:r>
        <w:t xml:space="preserve"> Form PF must be updated and filed at least annually.</w:t>
      </w:r>
      <w:r w:rsidR="00BA1900">
        <w:t xml:space="preserve">  </w:t>
      </w:r>
      <w:r w:rsidR="00F0731F">
        <w:t xml:space="preserve"> </w:t>
      </w:r>
    </w:p>
    <w:p w:rsidR="00CC170C" w:rsidRDefault="00CC170C" w:rsidP="00CC170C">
      <w:pPr>
        <w:pStyle w:val="BodyText"/>
        <w:jc w:val="both"/>
      </w:pPr>
      <w:r>
        <w:t xml:space="preserve">In its Form PF a US AIFM </w:t>
      </w:r>
      <w:r w:rsidRPr="00F23193">
        <w:t xml:space="preserve">must file information about each </w:t>
      </w:r>
      <w:r w:rsidR="009C16ED">
        <w:t>AIF</w:t>
      </w:r>
      <w:r w:rsidRPr="00F23193">
        <w:t xml:space="preserve"> it manages (</w:t>
      </w:r>
      <w:r>
        <w:t xml:space="preserve">this includes both US </w:t>
      </w:r>
      <w:r w:rsidR="009C16ED">
        <w:t>AIFs</w:t>
      </w:r>
      <w:r>
        <w:t xml:space="preserve"> and </w:t>
      </w:r>
      <w:r w:rsidRPr="00CC170C">
        <w:rPr>
          <w:i/>
        </w:rPr>
        <w:t xml:space="preserve">non-US </w:t>
      </w:r>
      <w:r w:rsidR="009C16ED">
        <w:rPr>
          <w:i/>
        </w:rPr>
        <w:t>AIFs</w:t>
      </w:r>
      <w:r w:rsidRPr="00F23193">
        <w:t xml:space="preserve">).  </w:t>
      </w:r>
      <w:r w:rsidR="0073119C">
        <w:t>Further</w:t>
      </w:r>
      <w:r w:rsidR="00F83334">
        <w:t xml:space="preserve"> and for the purposes of assessing the effectiveness of the </w:t>
      </w:r>
      <w:r w:rsidR="00ED593C">
        <w:t>cooperation agreements in place between the SEC and the various European national competent authorities</w:t>
      </w:r>
      <w:r w:rsidR="0073119C">
        <w:t>, t</w:t>
      </w:r>
      <w:r w:rsidRPr="00F23193">
        <w:t xml:space="preserve">he records and reports of each such </w:t>
      </w:r>
      <w:r w:rsidR="009C16ED">
        <w:t>AIF</w:t>
      </w:r>
      <w:r w:rsidRPr="00F23193">
        <w:t xml:space="preserve"> </w:t>
      </w:r>
      <w:r w:rsidR="0073119C">
        <w:t xml:space="preserve">(US and </w:t>
      </w:r>
      <w:r w:rsidR="0073119C" w:rsidRPr="0073119C">
        <w:rPr>
          <w:i/>
        </w:rPr>
        <w:t>non-US</w:t>
      </w:r>
      <w:r w:rsidR="0073119C">
        <w:t xml:space="preserve">) </w:t>
      </w:r>
      <w:r w:rsidRPr="00F23193">
        <w:t xml:space="preserve">are deemed to be the records and reports of the </w:t>
      </w:r>
      <w:r>
        <w:t xml:space="preserve">US </w:t>
      </w:r>
      <w:r w:rsidRPr="00F23193">
        <w:t xml:space="preserve">AIFM and are subject to examination by the SEC.  The SEC </w:t>
      </w:r>
      <w:r w:rsidR="00961C22">
        <w:t xml:space="preserve">requires US AIFMs </w:t>
      </w:r>
      <w:r w:rsidRPr="00F23193">
        <w:t xml:space="preserve">to maintain certain books and records relating to </w:t>
      </w:r>
      <w:r w:rsidR="00676D85">
        <w:t>its</w:t>
      </w:r>
      <w:r w:rsidRPr="00F23193">
        <w:t xml:space="preserve"> </w:t>
      </w:r>
      <w:r w:rsidR="009C16ED">
        <w:t>AIFs</w:t>
      </w:r>
      <w:r w:rsidRPr="00F23193">
        <w:t xml:space="preserve"> and it has the authority to examine all the books and records of th</w:t>
      </w:r>
      <w:r w:rsidR="0073119C">
        <w:t>ose</w:t>
      </w:r>
      <w:r w:rsidRPr="00F23193">
        <w:t xml:space="preserve"> </w:t>
      </w:r>
      <w:r w:rsidR="009C16ED">
        <w:t>AIFs</w:t>
      </w:r>
      <w:r w:rsidRPr="00F23193">
        <w:t>.</w:t>
      </w:r>
    </w:p>
    <w:p w:rsidR="00BF31C2" w:rsidRPr="00D142C4" w:rsidRDefault="008F106D" w:rsidP="00EB48F8">
      <w:pPr>
        <w:pStyle w:val="BodyText"/>
        <w:jc w:val="both"/>
      </w:pPr>
      <w:r>
        <w:t xml:space="preserve">The information contained in the Form PF submitted by a US AIFM is primarily intended to provide empirical data to the FSOC based on which the FSOC may make determinations about the extent to which the activities of </w:t>
      </w:r>
      <w:r w:rsidR="00CA645C">
        <w:t>AIFs</w:t>
      </w:r>
      <w:r>
        <w:t xml:space="preserve"> or US AIFMs pose systemic risks.</w:t>
      </w:r>
      <w:r>
        <w:rPr>
          <w:rStyle w:val="FootnoteReference"/>
        </w:rPr>
        <w:footnoteReference w:id="19"/>
      </w:r>
      <w:r>
        <w:t xml:space="preserve">  In addition, Form PF was drafted with the intention of advancing “international efforts relating to the collection of systemic risk information.”</w:t>
      </w:r>
      <w:r>
        <w:rPr>
          <w:rStyle w:val="FootnoteReference"/>
        </w:rPr>
        <w:footnoteReference w:id="20"/>
      </w:r>
      <w:r>
        <w:t xml:space="preserve">  To this end, the SEC staff consulted with ESMA, the United Kingdom’s Financial Services Authority, the International Organization of Securities Commissions and Hong Kong’s Securities and Futures Commission during the </w:t>
      </w:r>
      <w:r>
        <w:lastRenderedPageBreak/>
        <w:t>development of Form PF</w:t>
      </w:r>
      <w:r>
        <w:rPr>
          <w:rStyle w:val="FootnoteReference"/>
        </w:rPr>
        <w:footnoteReference w:id="21"/>
      </w:r>
      <w:r>
        <w:t xml:space="preserve"> and the SEC expects that it may share information reported on Form PF with various foreign financial regulators.</w:t>
      </w:r>
      <w:r>
        <w:rPr>
          <w:rStyle w:val="FootnoteReference"/>
        </w:rPr>
        <w:footnoteReference w:id="22"/>
      </w:r>
      <w:r>
        <w:t xml:space="preserve"> </w:t>
      </w:r>
    </w:p>
    <w:p w:rsidR="007270D5" w:rsidRDefault="007270D5" w:rsidP="00EB48F8">
      <w:pPr>
        <w:pStyle w:val="BodyText"/>
        <w:ind w:firstLine="0"/>
        <w:jc w:val="center"/>
      </w:pPr>
      <w:r>
        <w:t>*</w:t>
      </w:r>
      <w:r>
        <w:tab/>
        <w:t>*</w:t>
      </w:r>
      <w:r>
        <w:tab/>
        <w:t>*</w:t>
      </w:r>
    </w:p>
    <w:p w:rsidR="002C6F24" w:rsidRDefault="002C6F24" w:rsidP="00EB48F8">
      <w:pPr>
        <w:pStyle w:val="BodyText"/>
        <w:jc w:val="both"/>
      </w:pPr>
      <w:r>
        <w:t>Given the nature</w:t>
      </w:r>
      <w:r w:rsidR="00583F61">
        <w:t xml:space="preserve"> and</w:t>
      </w:r>
      <w:r>
        <w:t xml:space="preserve"> scope</w:t>
      </w:r>
      <w:r w:rsidR="00583F61">
        <w:t xml:space="preserve"> of the US regulatory regime applicable to US AIFMs, the PEGCC respectfully submits that there</w:t>
      </w:r>
      <w:r>
        <w:t xml:space="preserve"> are “no significant obstacles regarding investor protection, market disruption, competition and the monitoring of systemic risk” that would impede the application of the Passporting Regime to US AIFMs and the alternative investment funds (both US and non-US) they manage.</w:t>
      </w:r>
      <w:r w:rsidR="00583F61">
        <w:t xml:space="preserve">  I</w:t>
      </w:r>
      <w:r>
        <w:t>f ESMA issues positive advice to extend the Passporting Regime to non-European AIFMs, US AIFMs should benefit from the extension of the Passporting Regime</w:t>
      </w:r>
      <w:r w:rsidR="00583F61">
        <w:t>.</w:t>
      </w:r>
      <w:r w:rsidR="007F6A2D">
        <w:t xml:space="preserve">  The PEGCC also supports the establishment and maintenance of an accessible national private placement regime in each European jurisdiction for US AIFMs that desire to market their AIFs in accordance with such regime and in compliance with the requirements set out in Article 42 of the AIFMD.</w:t>
      </w:r>
    </w:p>
    <w:p w:rsidR="007270D5" w:rsidRDefault="007270D5" w:rsidP="00EB48F8">
      <w:pPr>
        <w:pStyle w:val="BodyText"/>
        <w:jc w:val="both"/>
      </w:pPr>
      <w:r w:rsidRPr="007270D5">
        <w:rPr>
          <w:lang w:val="x-none"/>
        </w:rPr>
        <w:t xml:space="preserve">The PEGCC appreciates the opportunity to </w:t>
      </w:r>
      <w:r>
        <w:rPr>
          <w:lang w:val="x-none"/>
        </w:rPr>
        <w:t>submit this letter. We hope you</w:t>
      </w:r>
      <w:r>
        <w:t xml:space="preserve"> </w:t>
      </w:r>
      <w:r w:rsidRPr="007270D5">
        <w:rPr>
          <w:lang w:val="x-none"/>
        </w:rPr>
        <w:t>find it helpful, and we would be pleased to answer any</w:t>
      </w:r>
      <w:r>
        <w:rPr>
          <w:lang w:val="x-none"/>
        </w:rPr>
        <w:t xml:space="preserve"> questions that you might have.</w:t>
      </w:r>
    </w:p>
    <w:p w:rsidR="007270D5" w:rsidRPr="007270D5" w:rsidRDefault="007270D5" w:rsidP="007270D5">
      <w:pPr>
        <w:pStyle w:val="BodyText"/>
        <w:ind w:left="4320" w:firstLine="0"/>
        <w:rPr>
          <w:lang w:val="x-none"/>
        </w:rPr>
      </w:pPr>
      <w:r w:rsidRPr="007270D5">
        <w:rPr>
          <w:lang w:val="x-none"/>
        </w:rPr>
        <w:t>Respectfully submitted,</w:t>
      </w:r>
    </w:p>
    <w:p w:rsidR="007270D5" w:rsidRDefault="00F55669" w:rsidP="009B4FBC">
      <w:pPr>
        <w:pStyle w:val="BodyText"/>
        <w:ind w:left="4320"/>
      </w:pPr>
      <w:r>
        <w:rPr>
          <w:b/>
          <w:noProof/>
          <w:lang w:eastAsia="en-GB"/>
        </w:rPr>
        <w:drawing>
          <wp:inline distT="0" distB="0" distL="0" distR="0" wp14:anchorId="30418A1D" wp14:editId="5D5C4071">
            <wp:extent cx="2209800"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9800" cy="666750"/>
                    </a:xfrm>
                    <a:prstGeom prst="rect">
                      <a:avLst/>
                    </a:prstGeom>
                    <a:noFill/>
                    <a:ln>
                      <a:noFill/>
                    </a:ln>
                  </pic:spPr>
                </pic:pic>
              </a:graphicData>
            </a:graphic>
          </wp:inline>
        </w:drawing>
      </w:r>
      <w:r w:rsidR="007270D5">
        <w:br/>
      </w:r>
      <w:r w:rsidR="007270D5">
        <w:rPr>
          <w:lang w:val="x-none"/>
        </w:rPr>
        <w:t>Steve Judge</w:t>
      </w:r>
      <w:r w:rsidR="007270D5">
        <w:br/>
      </w:r>
      <w:r w:rsidR="007270D5">
        <w:rPr>
          <w:lang w:val="x-none"/>
        </w:rPr>
        <w:t>President and CEO</w:t>
      </w:r>
      <w:r w:rsidR="007270D5">
        <w:br/>
      </w:r>
      <w:r w:rsidR="007270D5" w:rsidRPr="007270D5">
        <w:rPr>
          <w:lang w:val="x-none"/>
        </w:rPr>
        <w:t>Private Equity Growth Capital Council</w:t>
      </w:r>
    </w:p>
    <w:p w:rsidR="00CF0900" w:rsidRDefault="00CF0900">
      <w:pPr>
        <w:spacing w:after="0"/>
        <w:rPr>
          <w:rFonts w:eastAsia="Times New Roman" w:cs="Times New Roman"/>
          <w:szCs w:val="20"/>
        </w:rPr>
      </w:pPr>
      <w:r>
        <w:br w:type="page"/>
      </w:r>
    </w:p>
    <w:p w:rsidR="00CF0900" w:rsidRPr="00CF0900" w:rsidRDefault="00CF0900" w:rsidP="00CF0900">
      <w:pPr>
        <w:pStyle w:val="BodyText"/>
        <w:keepNext/>
        <w:ind w:firstLine="0"/>
        <w:jc w:val="center"/>
        <w:rPr>
          <w:b/>
        </w:rPr>
      </w:pPr>
      <w:r>
        <w:rPr>
          <w:b/>
        </w:rPr>
        <w:lastRenderedPageBreak/>
        <w:t>Appendix A</w:t>
      </w:r>
      <w:proofErr w:type="gramStart"/>
      <w:r w:rsidR="00DA6086">
        <w:rPr>
          <w:b/>
        </w:rPr>
        <w:t>:</w:t>
      </w:r>
      <w:proofErr w:type="gramEnd"/>
      <w:r w:rsidR="00DA6086">
        <w:rPr>
          <w:b/>
        </w:rPr>
        <w:br/>
        <w:t xml:space="preserve">Summary of the Substantive Requirements applicable to </w:t>
      </w:r>
      <w:r w:rsidR="00DA6086">
        <w:rPr>
          <w:b/>
        </w:rPr>
        <w:br/>
        <w:t>an SEC Registered US AIFM</w:t>
      </w:r>
      <w:r w:rsidR="00DA6086">
        <w:rPr>
          <w:rStyle w:val="FootnoteReference"/>
          <w:b/>
        </w:rPr>
        <w:footnoteReference w:id="23"/>
      </w:r>
    </w:p>
    <w:p w:rsidR="00CF0900" w:rsidRPr="008225FA" w:rsidRDefault="00CF0900" w:rsidP="00EB48F8">
      <w:pPr>
        <w:pStyle w:val="BodyText"/>
        <w:keepNext/>
        <w:ind w:firstLine="0"/>
        <w:rPr>
          <w:i/>
          <w:lang w:val="x-none"/>
        </w:rPr>
      </w:pPr>
      <w:r w:rsidRPr="008225FA">
        <w:rPr>
          <w:i/>
        </w:rPr>
        <w:t>(1)</w:t>
      </w:r>
      <w:r w:rsidRPr="008225FA">
        <w:rPr>
          <w:i/>
        </w:rPr>
        <w:tab/>
      </w:r>
      <w:r w:rsidRPr="008225FA">
        <w:rPr>
          <w:i/>
          <w:lang w:val="x-none"/>
        </w:rPr>
        <w:t>Registration and Other Regulatory Reporting</w:t>
      </w:r>
    </w:p>
    <w:p w:rsidR="00CF0900" w:rsidRPr="008225FA" w:rsidRDefault="00CF0900" w:rsidP="00EB48F8">
      <w:pPr>
        <w:pStyle w:val="BodyText"/>
        <w:jc w:val="both"/>
        <w:rPr>
          <w:lang w:val="x-none"/>
        </w:rPr>
      </w:pPr>
      <w:r w:rsidRPr="008225FA">
        <w:rPr>
          <w:lang w:val="x-none"/>
        </w:rPr>
        <w:t>A</w:t>
      </w:r>
      <w:r w:rsidR="002B2EDD">
        <w:t xml:space="preserve"> US AIFM</w:t>
      </w:r>
      <w:r w:rsidRPr="008225FA">
        <w:rPr>
          <w:lang w:val="x-none"/>
        </w:rPr>
        <w:t xml:space="preserve"> registers with the SEC by filing a Form ADV. </w:t>
      </w:r>
      <w:r>
        <w:t xml:space="preserve"> </w:t>
      </w:r>
      <w:r w:rsidRPr="008225FA">
        <w:rPr>
          <w:lang w:val="x-none"/>
        </w:rPr>
        <w:t>Form ADV</w:t>
      </w:r>
      <w:r>
        <w:t xml:space="preserve"> </w:t>
      </w:r>
      <w:r w:rsidRPr="008225FA">
        <w:rPr>
          <w:lang w:val="x-none"/>
        </w:rPr>
        <w:t>is divided into three parts: (</w:t>
      </w:r>
      <w:r w:rsidRPr="008225FA">
        <w:rPr>
          <w:i/>
          <w:lang w:val="x-none"/>
        </w:rPr>
        <w:t>i</w:t>
      </w:r>
      <w:r w:rsidRPr="008225FA">
        <w:rPr>
          <w:lang w:val="x-none"/>
        </w:rPr>
        <w:t>) Part 1A requires gener</w:t>
      </w:r>
      <w:r>
        <w:rPr>
          <w:lang w:val="x-none"/>
        </w:rPr>
        <w:t>al identification and financial</w:t>
      </w:r>
      <w:r>
        <w:t xml:space="preserve"> </w:t>
      </w:r>
      <w:r w:rsidRPr="008225FA">
        <w:rPr>
          <w:lang w:val="x-none"/>
        </w:rPr>
        <w:t xml:space="preserve">information about the </w:t>
      </w:r>
      <w:r w:rsidR="002B2EDD">
        <w:t>US AIFM</w:t>
      </w:r>
      <w:r w:rsidRPr="008225FA">
        <w:rPr>
          <w:lang w:val="x-none"/>
        </w:rPr>
        <w:t xml:space="preserve"> and its business; (</w:t>
      </w:r>
      <w:r w:rsidRPr="008225FA">
        <w:rPr>
          <w:i/>
          <w:lang w:val="x-none"/>
        </w:rPr>
        <w:t>ii</w:t>
      </w:r>
      <w:r w:rsidRPr="008225FA">
        <w:rPr>
          <w:lang w:val="x-none"/>
        </w:rPr>
        <w:t xml:space="preserve">) </w:t>
      </w:r>
      <w:r>
        <w:rPr>
          <w:lang w:val="x-none"/>
        </w:rPr>
        <w:t>Part 2A of Form ADV (the</w:t>
      </w:r>
      <w:r>
        <w:t xml:space="preserve"> </w:t>
      </w:r>
      <w:r w:rsidRPr="008225FA">
        <w:rPr>
          <w:lang w:val="x-none"/>
        </w:rPr>
        <w:t>“</w:t>
      </w:r>
      <w:r w:rsidRPr="008225FA">
        <w:rPr>
          <w:u w:val="single"/>
          <w:lang w:val="x-none"/>
        </w:rPr>
        <w:t>Brochure</w:t>
      </w:r>
      <w:r w:rsidRPr="008225FA">
        <w:rPr>
          <w:lang w:val="x-none"/>
        </w:rPr>
        <w:t>”) is designed to be a client disclosure docum</w:t>
      </w:r>
      <w:r>
        <w:rPr>
          <w:lang w:val="x-none"/>
        </w:rPr>
        <w:t>ent, including descriptions, in</w:t>
      </w:r>
      <w:r>
        <w:t xml:space="preserve"> </w:t>
      </w:r>
      <w:r w:rsidRPr="008225FA">
        <w:rPr>
          <w:lang w:val="x-none"/>
        </w:rPr>
        <w:t>narrative form, of among other things, its advisory s</w:t>
      </w:r>
      <w:r>
        <w:rPr>
          <w:lang w:val="x-none"/>
        </w:rPr>
        <w:t>ervices, fees and compensation,</w:t>
      </w:r>
      <w:r>
        <w:t xml:space="preserve"> </w:t>
      </w:r>
      <w:r w:rsidRPr="008225FA">
        <w:rPr>
          <w:lang w:val="x-none"/>
        </w:rPr>
        <w:t>methods of analysis and investment strategies (and r</w:t>
      </w:r>
      <w:r>
        <w:rPr>
          <w:lang w:val="x-none"/>
        </w:rPr>
        <w:t>elated risks), disciplinary</w:t>
      </w:r>
      <w:r>
        <w:t xml:space="preserve"> </w:t>
      </w:r>
      <w:r w:rsidRPr="008225FA">
        <w:rPr>
          <w:lang w:val="x-none"/>
        </w:rPr>
        <w:t xml:space="preserve">information, material relationships with other financial </w:t>
      </w:r>
      <w:r>
        <w:rPr>
          <w:lang w:val="x-none"/>
        </w:rPr>
        <w:t>industry participants, material</w:t>
      </w:r>
      <w:r>
        <w:t xml:space="preserve"> </w:t>
      </w:r>
      <w:r w:rsidRPr="008225FA">
        <w:rPr>
          <w:lang w:val="x-none"/>
        </w:rPr>
        <w:t>financial conditions and potential conflicts of interest with clients; and (</w:t>
      </w:r>
      <w:r w:rsidRPr="008225FA">
        <w:rPr>
          <w:i/>
          <w:lang w:val="x-none"/>
        </w:rPr>
        <w:t>iii</w:t>
      </w:r>
      <w:r w:rsidRPr="008225FA">
        <w:rPr>
          <w:lang w:val="x-none"/>
        </w:rPr>
        <w:t xml:space="preserve">) </w:t>
      </w:r>
      <w:r>
        <w:rPr>
          <w:lang w:val="x-none"/>
        </w:rPr>
        <w:t>Part 2B of</w:t>
      </w:r>
      <w:r>
        <w:t xml:space="preserve"> </w:t>
      </w:r>
      <w:r w:rsidRPr="008225FA">
        <w:rPr>
          <w:lang w:val="x-none"/>
        </w:rPr>
        <w:t>Form ADV (the “</w:t>
      </w:r>
      <w:r w:rsidRPr="008225FA">
        <w:rPr>
          <w:u w:val="single"/>
          <w:lang w:val="x-none"/>
        </w:rPr>
        <w:t>Brochure Supplement</w:t>
      </w:r>
      <w:r w:rsidRPr="008225FA">
        <w:rPr>
          <w:lang w:val="x-none"/>
        </w:rPr>
        <w:t>”) provides in</w:t>
      </w:r>
      <w:r>
        <w:rPr>
          <w:lang w:val="x-none"/>
        </w:rPr>
        <w:t>formation about the educational</w:t>
      </w:r>
      <w:r>
        <w:t xml:space="preserve"> </w:t>
      </w:r>
      <w:r w:rsidRPr="008225FA">
        <w:rPr>
          <w:lang w:val="x-none"/>
        </w:rPr>
        <w:t>background, business experience and disciplinary his</w:t>
      </w:r>
      <w:r>
        <w:rPr>
          <w:lang w:val="x-none"/>
        </w:rPr>
        <w:t>tory (if any) of the supervised</w:t>
      </w:r>
      <w:r>
        <w:t xml:space="preserve"> </w:t>
      </w:r>
      <w:r w:rsidRPr="008225FA">
        <w:rPr>
          <w:lang w:val="x-none"/>
        </w:rPr>
        <w:t xml:space="preserve">persons who provide </w:t>
      </w:r>
      <w:r w:rsidR="00614FEC">
        <w:t>management/</w:t>
      </w:r>
      <w:r w:rsidRPr="008225FA">
        <w:rPr>
          <w:lang w:val="x-none"/>
        </w:rPr>
        <w:t xml:space="preserve">advisory services to the client. </w:t>
      </w:r>
      <w:r>
        <w:rPr>
          <w:lang w:val="x-none"/>
        </w:rPr>
        <w:t xml:space="preserve">Parts 1A and 2A of Form ADV </w:t>
      </w:r>
      <w:r w:rsidR="00907B0E">
        <w:t xml:space="preserve">include substantial information about the </w:t>
      </w:r>
      <w:r w:rsidR="00CA645C">
        <w:t>AIFs</w:t>
      </w:r>
      <w:r w:rsidR="00907B0E">
        <w:t xml:space="preserve"> managed or advised by the US AIFM and </w:t>
      </w:r>
      <w:r>
        <w:rPr>
          <w:lang w:val="x-none"/>
        </w:rPr>
        <w:t>are</w:t>
      </w:r>
      <w:r>
        <w:t xml:space="preserve"> </w:t>
      </w:r>
      <w:r w:rsidRPr="008225FA">
        <w:rPr>
          <w:lang w:val="x-none"/>
        </w:rPr>
        <w:t>publicly available on the SEC website.</w:t>
      </w:r>
      <w:r>
        <w:t xml:space="preserve"> </w:t>
      </w:r>
      <w:r w:rsidRPr="008225FA">
        <w:rPr>
          <w:lang w:val="x-none"/>
        </w:rPr>
        <w:t xml:space="preserve"> Part 2B of Form</w:t>
      </w:r>
      <w:r>
        <w:rPr>
          <w:lang w:val="x-none"/>
        </w:rPr>
        <w:t xml:space="preserve"> ADV is not filed with the SEC,</w:t>
      </w:r>
      <w:r>
        <w:t xml:space="preserve"> </w:t>
      </w:r>
      <w:r w:rsidRPr="008225FA">
        <w:rPr>
          <w:lang w:val="x-none"/>
        </w:rPr>
        <w:t xml:space="preserve">but must be maintained by the </w:t>
      </w:r>
      <w:r w:rsidR="002B2EDD">
        <w:t>US AIFM</w:t>
      </w:r>
      <w:r w:rsidRPr="008225FA">
        <w:rPr>
          <w:lang w:val="x-none"/>
        </w:rPr>
        <w:t xml:space="preserve">. </w:t>
      </w:r>
      <w:r w:rsidR="00CC3A5C">
        <w:t xml:space="preserve"> </w:t>
      </w:r>
      <w:r w:rsidRPr="008225FA">
        <w:rPr>
          <w:lang w:val="x-none"/>
        </w:rPr>
        <w:t xml:space="preserve">A </w:t>
      </w:r>
      <w:r w:rsidR="002B2EDD">
        <w:t>US AIFM</w:t>
      </w:r>
      <w:r>
        <w:rPr>
          <w:lang w:val="x-none"/>
        </w:rPr>
        <w:t xml:space="preserve"> is</w:t>
      </w:r>
      <w:r>
        <w:t xml:space="preserve"> </w:t>
      </w:r>
      <w:r w:rsidRPr="008225FA">
        <w:rPr>
          <w:lang w:val="x-none"/>
        </w:rPr>
        <w:t>required to update its Form ADV at least annually a</w:t>
      </w:r>
      <w:r>
        <w:rPr>
          <w:lang w:val="x-none"/>
        </w:rPr>
        <w:t>nd promptly under certain other</w:t>
      </w:r>
      <w:r>
        <w:t xml:space="preserve"> </w:t>
      </w:r>
      <w:r w:rsidRPr="008225FA">
        <w:rPr>
          <w:lang w:val="x-none"/>
        </w:rPr>
        <w:t>circumstances, such as a material change to the informat</w:t>
      </w:r>
      <w:r>
        <w:rPr>
          <w:lang w:val="x-none"/>
        </w:rPr>
        <w:t>ion in Part 2A of Form ADV.</w:t>
      </w:r>
      <w:r>
        <w:t xml:space="preserve">  </w:t>
      </w:r>
      <w:r w:rsidRPr="008225FA">
        <w:rPr>
          <w:lang w:val="x-none"/>
        </w:rPr>
        <w:t xml:space="preserve">The SEC may bar a firm from registering </w:t>
      </w:r>
      <w:r>
        <w:rPr>
          <w:lang w:val="x-none"/>
        </w:rPr>
        <w:t>if the firm or certain</w:t>
      </w:r>
      <w:r>
        <w:t xml:space="preserve"> </w:t>
      </w:r>
      <w:r w:rsidRPr="008225FA">
        <w:rPr>
          <w:lang w:val="x-none"/>
        </w:rPr>
        <w:t>persons associated with the firm have committed certain disciplinary infractions.</w:t>
      </w:r>
    </w:p>
    <w:p w:rsidR="00CF0900" w:rsidRPr="002E119C" w:rsidRDefault="00CF0900" w:rsidP="00EB48F8">
      <w:pPr>
        <w:pStyle w:val="BodyText"/>
        <w:keepNext/>
        <w:ind w:firstLine="0"/>
        <w:jc w:val="both"/>
        <w:rPr>
          <w:i/>
        </w:rPr>
      </w:pPr>
      <w:r w:rsidRPr="002E119C">
        <w:rPr>
          <w:i/>
        </w:rPr>
        <w:t>(2)</w:t>
      </w:r>
      <w:r w:rsidRPr="002E119C">
        <w:rPr>
          <w:i/>
        </w:rPr>
        <w:tab/>
        <w:t>SEC Review of Registration Statements; Basis for Denying Registration</w:t>
      </w:r>
    </w:p>
    <w:p w:rsidR="00CF0900" w:rsidRPr="002E119C" w:rsidRDefault="00CF0900" w:rsidP="00EB48F8">
      <w:pPr>
        <w:ind w:firstLine="720"/>
        <w:jc w:val="both"/>
        <w:rPr>
          <w:rFonts w:eastAsia="Times New Roman" w:cs="Times New Roman"/>
          <w:szCs w:val="20"/>
          <w:lang w:val="en-US"/>
        </w:rPr>
      </w:pPr>
      <w:r w:rsidRPr="002E119C">
        <w:rPr>
          <w:rFonts w:eastAsia="Times New Roman" w:cs="Times New Roman"/>
          <w:lang w:val="en-US"/>
        </w:rPr>
        <w:t>The major focus of the SEC’s review of a</w:t>
      </w:r>
      <w:r w:rsidR="002B2EDD">
        <w:rPr>
          <w:rFonts w:eastAsia="Times New Roman" w:cs="Times New Roman"/>
          <w:lang w:val="en-US"/>
        </w:rPr>
        <w:t xml:space="preserve"> US AIFM’s</w:t>
      </w:r>
      <w:r w:rsidRPr="002E119C">
        <w:rPr>
          <w:rFonts w:eastAsia="Times New Roman" w:cs="Times New Roman"/>
          <w:lang w:val="en-US"/>
        </w:rPr>
        <w:t xml:space="preserve"> Form ADV is on the disciplinary history of the firm and its personnel.  </w:t>
      </w:r>
      <w:r w:rsidRPr="002E119C">
        <w:rPr>
          <w:rFonts w:eastAsia="Times New Roman" w:cs="Times New Roman"/>
          <w:szCs w:val="20"/>
          <w:lang w:val="en-US"/>
        </w:rPr>
        <w:t xml:space="preserve">The </w:t>
      </w:r>
      <w:r w:rsidR="002B2EDD">
        <w:rPr>
          <w:rFonts w:eastAsia="Times New Roman" w:cs="Times New Roman"/>
          <w:szCs w:val="20"/>
          <w:lang w:val="en-US"/>
        </w:rPr>
        <w:t>US AIFM</w:t>
      </w:r>
      <w:r w:rsidRPr="002E119C">
        <w:rPr>
          <w:rFonts w:eastAsia="Times New Roman" w:cs="Times New Roman"/>
          <w:szCs w:val="20"/>
          <w:lang w:val="en-US"/>
        </w:rPr>
        <w:t xml:space="preserve"> must provide information with respect to its disciplinary history as well as the disciplinary history of its “advisory affiliates” -- that is, the firm’s employees (other than those performing purely clerical or ministerial functions), officers, partners or directors and all persons directly or indirectly controlling or controlled by the</w:t>
      </w:r>
      <w:r w:rsidR="002B2EDD">
        <w:rPr>
          <w:rFonts w:eastAsia="Times New Roman" w:cs="Times New Roman"/>
          <w:szCs w:val="20"/>
          <w:lang w:val="en-US"/>
        </w:rPr>
        <w:t xml:space="preserve"> US AIFM</w:t>
      </w:r>
      <w:r w:rsidRPr="002E119C">
        <w:rPr>
          <w:rFonts w:eastAsia="Times New Roman" w:cs="Times New Roman"/>
          <w:szCs w:val="20"/>
          <w:lang w:val="en-US"/>
        </w:rPr>
        <w:t xml:space="preserve">.  </w:t>
      </w:r>
    </w:p>
    <w:p w:rsidR="00CF0900" w:rsidRPr="002E119C" w:rsidRDefault="00CF0900" w:rsidP="00EB48F8">
      <w:pPr>
        <w:ind w:firstLine="720"/>
        <w:jc w:val="both"/>
        <w:rPr>
          <w:rFonts w:eastAsia="Times New Roman" w:cs="Times New Roman"/>
          <w:szCs w:val="20"/>
          <w:lang w:val="en-US"/>
        </w:rPr>
      </w:pPr>
      <w:r w:rsidRPr="002E119C">
        <w:rPr>
          <w:rFonts w:eastAsia="Times New Roman" w:cs="Times New Roman"/>
          <w:szCs w:val="20"/>
          <w:lang w:val="en-US"/>
        </w:rPr>
        <w:t>A</w:t>
      </w:r>
      <w:r w:rsidR="002B2EDD">
        <w:rPr>
          <w:rFonts w:eastAsia="Times New Roman" w:cs="Times New Roman"/>
          <w:szCs w:val="20"/>
          <w:lang w:val="en-US"/>
        </w:rPr>
        <w:t xml:space="preserve"> US AIFM</w:t>
      </w:r>
      <w:r w:rsidRPr="002E119C">
        <w:rPr>
          <w:rFonts w:eastAsia="Times New Roman" w:cs="Times New Roman"/>
          <w:szCs w:val="20"/>
          <w:lang w:val="en-US"/>
        </w:rPr>
        <w:t xml:space="preserve"> must disclose</w:t>
      </w:r>
      <w:r>
        <w:rPr>
          <w:rFonts w:eastAsia="Times New Roman" w:cs="Times New Roman"/>
          <w:szCs w:val="20"/>
          <w:lang w:val="en-US"/>
        </w:rPr>
        <w:t xml:space="preserve"> its</w:t>
      </w:r>
      <w:r w:rsidRPr="002E119C">
        <w:rPr>
          <w:rFonts w:eastAsia="Times New Roman" w:cs="Times New Roman"/>
          <w:szCs w:val="20"/>
          <w:lang w:val="en-US"/>
        </w:rPr>
        <w:t xml:space="preserve"> disciplinary history with respect to a variety of matters, including felony convictions, certain misdemeanor convictions and proceedings related to violations of investment-related laws and regulations (whether </w:t>
      </w:r>
      <w:r w:rsidR="00F468E9">
        <w:rPr>
          <w:rFonts w:eastAsia="Times New Roman" w:cs="Times New Roman"/>
          <w:szCs w:val="20"/>
          <w:lang w:val="en-US"/>
        </w:rPr>
        <w:t>US</w:t>
      </w:r>
      <w:r w:rsidRPr="002E119C">
        <w:rPr>
          <w:rFonts w:eastAsia="Times New Roman" w:cs="Times New Roman"/>
          <w:szCs w:val="20"/>
          <w:lang w:val="en-US"/>
        </w:rPr>
        <w:t xml:space="preserve"> or non-</w:t>
      </w:r>
      <w:r w:rsidR="00F468E9">
        <w:rPr>
          <w:rFonts w:eastAsia="Times New Roman" w:cs="Times New Roman"/>
          <w:szCs w:val="20"/>
          <w:lang w:val="en-US"/>
        </w:rPr>
        <w:t>US</w:t>
      </w:r>
      <w:r w:rsidRPr="002E119C">
        <w:rPr>
          <w:rFonts w:eastAsia="Times New Roman" w:cs="Times New Roman"/>
          <w:szCs w:val="20"/>
          <w:lang w:val="en-US"/>
        </w:rPr>
        <w:t xml:space="preserve">) as well as suspensions of the authorization to practice and proceedings brought by self-regulatory agencies.  Generally, disciplinary events that occurred within the prior 10 years must be disclosed. </w:t>
      </w:r>
    </w:p>
    <w:p w:rsidR="00CF0900" w:rsidRPr="002E119C" w:rsidRDefault="00CF0900" w:rsidP="00EB48F8">
      <w:pPr>
        <w:ind w:firstLine="720"/>
        <w:jc w:val="both"/>
        <w:rPr>
          <w:rFonts w:eastAsia="Times New Roman" w:cs="Times New Roman"/>
          <w:szCs w:val="20"/>
          <w:lang w:val="en-US"/>
        </w:rPr>
      </w:pPr>
      <w:r w:rsidRPr="002E119C">
        <w:rPr>
          <w:rFonts w:eastAsia="Times New Roman" w:cs="Times New Roman"/>
          <w:szCs w:val="20"/>
          <w:lang w:val="en-US"/>
        </w:rPr>
        <w:t xml:space="preserve">Based on this disciplinary disclosure, the SEC may deny registration or impose limits on the activities of </w:t>
      </w:r>
      <w:r w:rsidR="002B2EDD">
        <w:rPr>
          <w:rFonts w:eastAsia="Times New Roman" w:cs="Times New Roman"/>
          <w:szCs w:val="20"/>
          <w:lang w:val="en-US"/>
        </w:rPr>
        <w:t>a US AIFM</w:t>
      </w:r>
      <w:r w:rsidRPr="002E119C">
        <w:rPr>
          <w:rFonts w:eastAsia="Times New Roman" w:cs="Times New Roman"/>
          <w:szCs w:val="20"/>
          <w:lang w:val="en-US"/>
        </w:rPr>
        <w:t xml:space="preserve">.  In addition, subsequent to registration, the SEC may, in its discretion, censure, place limitations on the activities or suspend </w:t>
      </w:r>
      <w:r w:rsidRPr="002E119C">
        <w:rPr>
          <w:rFonts w:eastAsia="Times New Roman" w:cs="Times New Roman"/>
          <w:szCs w:val="20"/>
          <w:lang w:val="en-US"/>
        </w:rPr>
        <w:lastRenderedPageBreak/>
        <w:t xml:space="preserve">for a period not exceeding 12 months or revoke the registration of any </w:t>
      </w:r>
      <w:r w:rsidR="002B2EDD">
        <w:rPr>
          <w:rFonts w:eastAsia="Times New Roman" w:cs="Times New Roman"/>
          <w:szCs w:val="20"/>
          <w:lang w:val="en-US"/>
        </w:rPr>
        <w:t>US AIFM</w:t>
      </w:r>
      <w:r w:rsidRPr="002E119C">
        <w:rPr>
          <w:rFonts w:eastAsia="Times New Roman" w:cs="Times New Roman"/>
          <w:szCs w:val="20"/>
          <w:lang w:val="en-US"/>
        </w:rPr>
        <w:t xml:space="preserve"> if it finds that the </w:t>
      </w:r>
      <w:r w:rsidR="002B2EDD">
        <w:rPr>
          <w:rFonts w:eastAsia="Times New Roman" w:cs="Times New Roman"/>
          <w:szCs w:val="20"/>
          <w:lang w:val="en-US"/>
        </w:rPr>
        <w:t>US AIFM</w:t>
      </w:r>
      <w:r w:rsidRPr="002E119C">
        <w:rPr>
          <w:rFonts w:eastAsia="Times New Roman" w:cs="Times New Roman"/>
          <w:szCs w:val="20"/>
          <w:lang w:val="en-US"/>
        </w:rPr>
        <w:t xml:space="preserve"> or any person associated with the </w:t>
      </w:r>
      <w:r w:rsidR="002B2EDD">
        <w:rPr>
          <w:rFonts w:eastAsia="Times New Roman" w:cs="Times New Roman"/>
          <w:szCs w:val="20"/>
          <w:lang w:val="en-US"/>
        </w:rPr>
        <w:t>US AIFM</w:t>
      </w:r>
      <w:r w:rsidRPr="002E119C">
        <w:rPr>
          <w:rFonts w:eastAsia="Times New Roman" w:cs="Times New Roman"/>
          <w:szCs w:val="20"/>
          <w:lang w:val="en-US"/>
        </w:rPr>
        <w:t xml:space="preserve"> has been subject to these types of disciplinary action.  The disciplinary events that the SEC may use as a basis to deny registration or take these other actions include, among other things:  </w:t>
      </w:r>
    </w:p>
    <w:p w:rsidR="00CF0900" w:rsidRPr="002E119C" w:rsidRDefault="00CF0900" w:rsidP="00DC3AD1">
      <w:pPr>
        <w:numPr>
          <w:ilvl w:val="0"/>
          <w:numId w:val="32"/>
        </w:numPr>
        <w:tabs>
          <w:tab w:val="clear" w:pos="360"/>
          <w:tab w:val="num" w:pos="-480"/>
          <w:tab w:val="num" w:pos="567"/>
        </w:tabs>
        <w:spacing w:before="240" w:after="0"/>
        <w:ind w:left="567" w:hanging="567"/>
        <w:jc w:val="both"/>
        <w:rPr>
          <w:rFonts w:eastAsia="Times New Roman" w:cs="Times New Roman"/>
          <w:lang w:val="en-US"/>
        </w:rPr>
      </w:pPr>
      <w:r w:rsidRPr="002E119C">
        <w:rPr>
          <w:rFonts w:eastAsia="Times New Roman" w:cs="Times New Roman"/>
          <w:szCs w:val="20"/>
          <w:lang w:val="en-US"/>
        </w:rPr>
        <w:t xml:space="preserve">making a false or misleading statement in any material required to be filed with the SEC; </w:t>
      </w:r>
    </w:p>
    <w:p w:rsidR="00CF0900" w:rsidRPr="002E119C" w:rsidRDefault="00CF0900" w:rsidP="00DC3AD1">
      <w:pPr>
        <w:numPr>
          <w:ilvl w:val="0"/>
          <w:numId w:val="32"/>
        </w:numPr>
        <w:tabs>
          <w:tab w:val="clear" w:pos="360"/>
          <w:tab w:val="num" w:pos="-480"/>
          <w:tab w:val="num" w:pos="567"/>
        </w:tabs>
        <w:spacing w:before="240" w:after="0"/>
        <w:ind w:left="567" w:hanging="567"/>
        <w:jc w:val="both"/>
        <w:rPr>
          <w:rFonts w:eastAsia="Times New Roman" w:cs="Times New Roman"/>
          <w:lang w:val="en-US"/>
        </w:rPr>
      </w:pPr>
      <w:r w:rsidRPr="002E119C">
        <w:rPr>
          <w:rFonts w:eastAsia="Times New Roman" w:cs="Times New Roman"/>
          <w:szCs w:val="20"/>
          <w:lang w:val="en-US"/>
        </w:rPr>
        <w:t>conviction of a felony or misdemeanor or of a substantially equivalent crime by a foreign court within the prior 10 years (</w:t>
      </w:r>
      <w:r w:rsidRPr="002E119C">
        <w:rPr>
          <w:rFonts w:eastAsia="Times New Roman" w:cs="Times New Roman"/>
          <w:i/>
          <w:szCs w:val="20"/>
          <w:lang w:val="en-US"/>
        </w:rPr>
        <w:t>i</w:t>
      </w:r>
      <w:r w:rsidRPr="002E119C">
        <w:rPr>
          <w:rFonts w:eastAsia="Times New Roman" w:cs="Times New Roman"/>
          <w:szCs w:val="20"/>
          <w:lang w:val="en-US"/>
        </w:rPr>
        <w:t>) involving the purchase or sale of any security or involving fraud, (</w:t>
      </w:r>
      <w:r w:rsidRPr="002E119C">
        <w:rPr>
          <w:rFonts w:eastAsia="Times New Roman" w:cs="Times New Roman"/>
          <w:i/>
          <w:szCs w:val="20"/>
          <w:lang w:val="en-US"/>
        </w:rPr>
        <w:t>ii</w:t>
      </w:r>
      <w:r w:rsidRPr="002E119C">
        <w:rPr>
          <w:rFonts w:eastAsia="Times New Roman" w:cs="Times New Roman"/>
          <w:szCs w:val="20"/>
          <w:lang w:val="en-US"/>
        </w:rPr>
        <w:t xml:space="preserve">) arising out of the conduct of </w:t>
      </w:r>
      <w:r w:rsidR="00614FEC">
        <w:rPr>
          <w:rFonts w:eastAsia="Times New Roman" w:cs="Times New Roman"/>
          <w:szCs w:val="20"/>
          <w:lang w:val="en-US"/>
        </w:rPr>
        <w:t>the</w:t>
      </w:r>
      <w:r w:rsidR="002B2EDD">
        <w:rPr>
          <w:rFonts w:eastAsia="Times New Roman" w:cs="Times New Roman"/>
          <w:szCs w:val="20"/>
          <w:lang w:val="en-US"/>
        </w:rPr>
        <w:t xml:space="preserve"> US AIFM</w:t>
      </w:r>
      <w:r w:rsidRPr="002E119C">
        <w:rPr>
          <w:rFonts w:eastAsia="Times New Roman" w:cs="Times New Roman"/>
          <w:szCs w:val="20"/>
          <w:lang w:val="en-US"/>
        </w:rPr>
        <w:t>, broker, dealer, bank or similar financial service businesses or (</w:t>
      </w:r>
      <w:r w:rsidRPr="002E119C">
        <w:rPr>
          <w:rFonts w:eastAsia="Times New Roman" w:cs="Times New Roman"/>
          <w:i/>
          <w:szCs w:val="20"/>
          <w:lang w:val="en-US"/>
        </w:rPr>
        <w:t>iii</w:t>
      </w:r>
      <w:r w:rsidRPr="002E119C">
        <w:rPr>
          <w:rFonts w:eastAsia="Times New Roman" w:cs="Times New Roman"/>
          <w:szCs w:val="20"/>
          <w:lang w:val="en-US"/>
        </w:rPr>
        <w:t xml:space="preserve">) involving larceny, theft or misappropriation of funds or securities; </w:t>
      </w:r>
    </w:p>
    <w:p w:rsidR="00CF0900" w:rsidRPr="002E119C" w:rsidRDefault="00CF0900" w:rsidP="00DC3AD1">
      <w:pPr>
        <w:numPr>
          <w:ilvl w:val="0"/>
          <w:numId w:val="32"/>
        </w:numPr>
        <w:tabs>
          <w:tab w:val="clear" w:pos="360"/>
          <w:tab w:val="num" w:pos="-480"/>
          <w:tab w:val="num" w:pos="567"/>
        </w:tabs>
        <w:spacing w:before="240" w:after="0"/>
        <w:ind w:left="567" w:hanging="567"/>
        <w:jc w:val="both"/>
        <w:rPr>
          <w:rFonts w:eastAsia="Times New Roman" w:cs="Times New Roman"/>
          <w:lang w:val="en-US"/>
        </w:rPr>
      </w:pPr>
      <w:r w:rsidRPr="002E119C">
        <w:rPr>
          <w:rFonts w:eastAsia="Times New Roman" w:cs="Times New Roman"/>
          <w:szCs w:val="20"/>
          <w:lang w:val="en-US"/>
        </w:rPr>
        <w:t xml:space="preserve">conviction, within the prior 10 years, of any crime that is punishable by imprisonment for one or more years; </w:t>
      </w:r>
    </w:p>
    <w:p w:rsidR="00CF0900" w:rsidRPr="002E119C" w:rsidRDefault="00CF0900" w:rsidP="00DC3AD1">
      <w:pPr>
        <w:numPr>
          <w:ilvl w:val="0"/>
          <w:numId w:val="32"/>
        </w:numPr>
        <w:tabs>
          <w:tab w:val="clear" w:pos="360"/>
          <w:tab w:val="num" w:pos="-480"/>
          <w:tab w:val="num" w:pos="567"/>
        </w:tabs>
        <w:spacing w:before="240" w:after="0"/>
        <w:ind w:left="567" w:hanging="567"/>
        <w:jc w:val="both"/>
        <w:rPr>
          <w:rFonts w:eastAsia="Times New Roman" w:cs="Times New Roman"/>
          <w:lang w:val="en-US"/>
        </w:rPr>
      </w:pPr>
      <w:r w:rsidRPr="002E119C">
        <w:rPr>
          <w:rFonts w:eastAsia="Times New Roman" w:cs="Times New Roman"/>
          <w:szCs w:val="20"/>
          <w:lang w:val="en-US"/>
        </w:rPr>
        <w:t xml:space="preserve">being permanently or temporarily enjoined from acting as an investment </w:t>
      </w:r>
      <w:r w:rsidR="00614FEC">
        <w:rPr>
          <w:rFonts w:eastAsia="Times New Roman" w:cs="Times New Roman"/>
          <w:szCs w:val="20"/>
          <w:lang w:val="en-US"/>
        </w:rPr>
        <w:t>manager/</w:t>
      </w:r>
      <w:r w:rsidRPr="002E119C">
        <w:rPr>
          <w:rFonts w:eastAsia="Times New Roman" w:cs="Times New Roman"/>
          <w:szCs w:val="20"/>
          <w:lang w:val="en-US"/>
        </w:rPr>
        <w:t xml:space="preserve">adviser, broker, dealer or in similar capacities; </w:t>
      </w:r>
    </w:p>
    <w:p w:rsidR="00CF0900" w:rsidRPr="002E119C" w:rsidRDefault="00CF0900" w:rsidP="00DC3AD1">
      <w:pPr>
        <w:numPr>
          <w:ilvl w:val="0"/>
          <w:numId w:val="32"/>
        </w:numPr>
        <w:tabs>
          <w:tab w:val="clear" w:pos="360"/>
          <w:tab w:val="num" w:pos="-480"/>
          <w:tab w:val="num" w:pos="567"/>
        </w:tabs>
        <w:spacing w:before="240" w:after="0"/>
        <w:ind w:left="567" w:hanging="567"/>
        <w:jc w:val="both"/>
        <w:rPr>
          <w:rFonts w:eastAsia="Times New Roman" w:cs="Times New Roman"/>
          <w:lang w:val="en-US"/>
        </w:rPr>
      </w:pPr>
      <w:r w:rsidRPr="002E119C">
        <w:rPr>
          <w:rFonts w:eastAsia="Times New Roman" w:cs="Times New Roman"/>
          <w:szCs w:val="20"/>
          <w:lang w:val="en-US"/>
        </w:rPr>
        <w:t xml:space="preserve">a willful violation of the </w:t>
      </w:r>
      <w:r w:rsidR="00F468E9">
        <w:rPr>
          <w:rFonts w:eastAsia="Times New Roman" w:cs="Times New Roman"/>
          <w:szCs w:val="20"/>
          <w:lang w:val="en-US"/>
        </w:rPr>
        <w:t>US</w:t>
      </w:r>
      <w:r w:rsidRPr="002E119C">
        <w:rPr>
          <w:rFonts w:eastAsia="Times New Roman" w:cs="Times New Roman"/>
          <w:szCs w:val="20"/>
          <w:lang w:val="en-US"/>
        </w:rPr>
        <w:t xml:space="preserve"> securities laws, causing another person to have willfully violated those laws or failing to supervise a person who commits such a violation; </w:t>
      </w:r>
    </w:p>
    <w:p w:rsidR="00CF0900" w:rsidRPr="002E119C" w:rsidRDefault="00CF0900" w:rsidP="00DC3AD1">
      <w:pPr>
        <w:numPr>
          <w:ilvl w:val="0"/>
          <w:numId w:val="32"/>
        </w:numPr>
        <w:tabs>
          <w:tab w:val="clear" w:pos="360"/>
          <w:tab w:val="num" w:pos="-480"/>
          <w:tab w:val="num" w:pos="567"/>
        </w:tabs>
        <w:spacing w:before="240" w:after="0"/>
        <w:ind w:left="567" w:hanging="567"/>
        <w:jc w:val="both"/>
        <w:rPr>
          <w:rFonts w:eastAsia="Times New Roman" w:cs="Times New Roman"/>
          <w:lang w:val="en-US"/>
        </w:rPr>
      </w:pPr>
      <w:r w:rsidRPr="002E119C">
        <w:rPr>
          <w:rFonts w:eastAsia="Times New Roman" w:cs="Times New Roman"/>
          <w:szCs w:val="20"/>
          <w:lang w:val="en-US"/>
        </w:rPr>
        <w:t xml:space="preserve">becoming subject to an order of the SEC barring or suspending the right of the person to be associated with </w:t>
      </w:r>
      <w:r w:rsidR="00614FEC">
        <w:rPr>
          <w:rFonts w:eastAsia="Times New Roman" w:cs="Times New Roman"/>
          <w:szCs w:val="20"/>
          <w:lang w:val="en-US"/>
        </w:rPr>
        <w:t>the</w:t>
      </w:r>
      <w:r w:rsidR="002B2EDD">
        <w:rPr>
          <w:rFonts w:eastAsia="Times New Roman" w:cs="Times New Roman"/>
          <w:szCs w:val="20"/>
          <w:lang w:val="en-US"/>
        </w:rPr>
        <w:t xml:space="preserve"> US AIFM</w:t>
      </w:r>
      <w:r w:rsidRPr="002E119C">
        <w:rPr>
          <w:rFonts w:eastAsia="Times New Roman" w:cs="Times New Roman"/>
          <w:szCs w:val="20"/>
          <w:lang w:val="en-US"/>
        </w:rPr>
        <w:t xml:space="preserve">; </w:t>
      </w:r>
    </w:p>
    <w:p w:rsidR="00CF0900" w:rsidRPr="002E119C" w:rsidRDefault="00CF0900" w:rsidP="00DC3AD1">
      <w:pPr>
        <w:numPr>
          <w:ilvl w:val="0"/>
          <w:numId w:val="32"/>
        </w:numPr>
        <w:tabs>
          <w:tab w:val="clear" w:pos="360"/>
          <w:tab w:val="num" w:pos="-480"/>
          <w:tab w:val="num" w:pos="567"/>
        </w:tabs>
        <w:spacing w:before="240" w:after="0"/>
        <w:ind w:left="567" w:hanging="567"/>
        <w:jc w:val="both"/>
        <w:rPr>
          <w:rFonts w:eastAsia="Times New Roman" w:cs="Times New Roman"/>
          <w:lang w:val="en-US"/>
        </w:rPr>
      </w:pPr>
      <w:r w:rsidRPr="002E119C">
        <w:rPr>
          <w:rFonts w:eastAsia="Times New Roman" w:cs="Times New Roman"/>
          <w:szCs w:val="20"/>
          <w:lang w:val="en-US"/>
        </w:rPr>
        <w:t>a finding by a foreign financial regulatory authority of having (</w:t>
      </w:r>
      <w:r w:rsidRPr="002E119C">
        <w:rPr>
          <w:rFonts w:eastAsia="Times New Roman" w:cs="Times New Roman"/>
          <w:i/>
          <w:szCs w:val="20"/>
          <w:lang w:val="en-US"/>
        </w:rPr>
        <w:t>i</w:t>
      </w:r>
      <w:r w:rsidRPr="002E119C">
        <w:rPr>
          <w:rFonts w:eastAsia="Times New Roman" w:cs="Times New Roman"/>
          <w:szCs w:val="20"/>
          <w:lang w:val="en-US"/>
        </w:rPr>
        <w:t>) made a false statement in any materials required to be filed with a foreign securities authority, (</w:t>
      </w:r>
      <w:r w:rsidRPr="002E119C">
        <w:rPr>
          <w:rFonts w:eastAsia="Times New Roman" w:cs="Times New Roman"/>
          <w:i/>
          <w:szCs w:val="20"/>
          <w:lang w:val="en-US"/>
        </w:rPr>
        <w:t>ii</w:t>
      </w:r>
      <w:r w:rsidRPr="002E119C">
        <w:rPr>
          <w:rFonts w:eastAsia="Times New Roman" w:cs="Times New Roman"/>
          <w:szCs w:val="20"/>
          <w:lang w:val="en-US"/>
        </w:rPr>
        <w:t>) violated any foreign statute or regulation regarding transactions in securities or (</w:t>
      </w:r>
      <w:r w:rsidRPr="002E119C">
        <w:rPr>
          <w:rFonts w:eastAsia="Times New Roman" w:cs="Times New Roman"/>
          <w:i/>
          <w:szCs w:val="20"/>
          <w:lang w:val="en-US"/>
        </w:rPr>
        <w:t>iii</w:t>
      </w:r>
      <w:r w:rsidRPr="002E119C">
        <w:rPr>
          <w:rFonts w:eastAsia="Times New Roman" w:cs="Times New Roman"/>
          <w:szCs w:val="20"/>
          <w:lang w:val="en-US"/>
        </w:rPr>
        <w:t>) aided or abetted the violation by any other person of a foreign statute or regulation involving transactions in securities; and</w:t>
      </w:r>
    </w:p>
    <w:p w:rsidR="00CF0900" w:rsidRPr="002E119C" w:rsidRDefault="00CF0900" w:rsidP="00DC3AD1">
      <w:pPr>
        <w:numPr>
          <w:ilvl w:val="0"/>
          <w:numId w:val="32"/>
        </w:numPr>
        <w:tabs>
          <w:tab w:val="clear" w:pos="360"/>
          <w:tab w:val="num" w:pos="-480"/>
          <w:tab w:val="num" w:pos="567"/>
        </w:tabs>
        <w:spacing w:before="240" w:after="0"/>
        <w:ind w:left="567" w:hanging="567"/>
        <w:jc w:val="both"/>
        <w:rPr>
          <w:rFonts w:eastAsia="Times New Roman" w:cs="Times New Roman"/>
          <w:szCs w:val="20"/>
          <w:lang w:val="en-US"/>
        </w:rPr>
      </w:pPr>
      <w:proofErr w:type="gramStart"/>
      <w:r w:rsidRPr="002E119C">
        <w:rPr>
          <w:rFonts w:eastAsia="Times New Roman" w:cs="Times New Roman"/>
          <w:szCs w:val="20"/>
          <w:lang w:val="en-US"/>
        </w:rPr>
        <w:t>becoming</w:t>
      </w:r>
      <w:proofErr w:type="gramEnd"/>
      <w:r w:rsidRPr="002E119C">
        <w:rPr>
          <w:rFonts w:eastAsia="Times New Roman" w:cs="Times New Roman"/>
          <w:szCs w:val="20"/>
          <w:lang w:val="en-US"/>
        </w:rPr>
        <w:t xml:space="preserve"> subject to a bar by a state regulatory agency that regulates certain financial service companies. </w:t>
      </w:r>
    </w:p>
    <w:p w:rsidR="00CF0900" w:rsidRPr="002E119C" w:rsidRDefault="00CF0900" w:rsidP="00EB48F8">
      <w:pPr>
        <w:pStyle w:val="BodyText"/>
        <w:keepNext/>
        <w:ind w:firstLine="0"/>
        <w:jc w:val="both"/>
        <w:rPr>
          <w:i/>
          <w:lang w:val="en-US"/>
        </w:rPr>
      </w:pPr>
      <w:r w:rsidRPr="002E119C">
        <w:rPr>
          <w:i/>
          <w:lang w:val="en-US"/>
        </w:rPr>
        <w:t>(3)</w:t>
      </w:r>
      <w:r w:rsidRPr="002E119C">
        <w:rPr>
          <w:i/>
          <w:lang w:val="en-US"/>
        </w:rPr>
        <w:tab/>
      </w:r>
      <w:r w:rsidRPr="002E119C">
        <w:rPr>
          <w:i/>
        </w:rPr>
        <w:t>Disclosure and Delivery Requirements</w:t>
      </w:r>
    </w:p>
    <w:p w:rsidR="00CF0900" w:rsidRDefault="00CF0900" w:rsidP="00EB48F8">
      <w:pPr>
        <w:pStyle w:val="BodyText"/>
        <w:jc w:val="both"/>
        <w:rPr>
          <w:lang w:val="en-US"/>
        </w:rPr>
      </w:pPr>
      <w:r w:rsidRPr="002E119C">
        <w:rPr>
          <w:lang w:val="en-US"/>
        </w:rPr>
        <w:t xml:space="preserve">A </w:t>
      </w:r>
      <w:r w:rsidR="002B2EDD">
        <w:rPr>
          <w:lang w:val="en-US"/>
        </w:rPr>
        <w:t xml:space="preserve">US AIFM </w:t>
      </w:r>
      <w:r w:rsidRPr="002E119C">
        <w:rPr>
          <w:lang w:val="en-US"/>
        </w:rPr>
        <w:t xml:space="preserve">must provide advisory clients with a copy of its Brochure and Brochure Supplement before or at the time the </w:t>
      </w:r>
      <w:r w:rsidR="00637F8D">
        <w:rPr>
          <w:lang w:val="en-US"/>
        </w:rPr>
        <w:t>US AIFM</w:t>
      </w:r>
      <w:r w:rsidRPr="002E119C">
        <w:rPr>
          <w:lang w:val="en-US"/>
        </w:rPr>
        <w:t xml:space="preserve"> enters into an advisory contract with the client.  Thereafter, a</w:t>
      </w:r>
      <w:r w:rsidR="00637F8D">
        <w:rPr>
          <w:lang w:val="en-US"/>
        </w:rPr>
        <w:t xml:space="preserve"> US AIFM</w:t>
      </w:r>
      <w:r w:rsidRPr="002E119C">
        <w:rPr>
          <w:lang w:val="en-US"/>
        </w:rPr>
        <w:t xml:space="preserve"> must deliver its Brochure and Brochure Supplement to its clients on an annual basis or deliver a summary of material changes to the Brochure since it was last delivered, accompanied by an offer to provide the Brochure.  Also, as discussed below, a</w:t>
      </w:r>
      <w:r w:rsidR="00637F8D">
        <w:rPr>
          <w:lang w:val="en-US"/>
        </w:rPr>
        <w:t xml:space="preserve"> US AIFM</w:t>
      </w:r>
      <w:r w:rsidRPr="002E119C">
        <w:rPr>
          <w:lang w:val="en-US"/>
        </w:rPr>
        <w:t xml:space="preserve"> is a fiduciary and must make full disclosure to clients of all material facts relating to the </w:t>
      </w:r>
      <w:r w:rsidR="00614FEC">
        <w:rPr>
          <w:lang w:val="en-US"/>
        </w:rPr>
        <w:t>management/</w:t>
      </w:r>
      <w:r w:rsidRPr="002E119C">
        <w:rPr>
          <w:lang w:val="en-US"/>
        </w:rPr>
        <w:t xml:space="preserve">advisory relationship, including full disclosure of all material conflicts </w:t>
      </w:r>
      <w:r w:rsidRPr="002E119C">
        <w:rPr>
          <w:lang w:val="en-US"/>
        </w:rPr>
        <w:lastRenderedPageBreak/>
        <w:t>of interest that could affect the relationship, even if not specifically required by Part 2 of Form ADV.</w:t>
      </w:r>
    </w:p>
    <w:p w:rsidR="00CF0900" w:rsidRPr="00BE44BD" w:rsidRDefault="00CF0900" w:rsidP="00EB48F8">
      <w:pPr>
        <w:pStyle w:val="BodyText"/>
        <w:keepNext/>
        <w:ind w:firstLine="0"/>
        <w:jc w:val="both"/>
        <w:rPr>
          <w:i/>
        </w:rPr>
      </w:pPr>
      <w:r w:rsidRPr="00BE44BD">
        <w:rPr>
          <w:i/>
          <w:lang w:val="en-US"/>
        </w:rPr>
        <w:t>(4)</w:t>
      </w:r>
      <w:r w:rsidRPr="00BE44BD">
        <w:rPr>
          <w:i/>
          <w:lang w:val="en-US"/>
        </w:rPr>
        <w:tab/>
      </w:r>
      <w:r w:rsidRPr="00BE44BD">
        <w:rPr>
          <w:i/>
        </w:rPr>
        <w:t>Books and Records</w:t>
      </w:r>
    </w:p>
    <w:p w:rsidR="00CF0900" w:rsidRDefault="00CF0900" w:rsidP="00EB48F8">
      <w:pPr>
        <w:pStyle w:val="BodyText"/>
        <w:jc w:val="both"/>
      </w:pPr>
      <w:r>
        <w:t>The Advisers Act imposes extensive books and records requirements.  A</w:t>
      </w:r>
      <w:r w:rsidR="00637F8D">
        <w:t xml:space="preserve"> US AIFM </w:t>
      </w:r>
      <w:r>
        <w:t>must keep true, accurate and current books and records reflecting its financial affairs and describing transactions for and communications with its clients.  A</w:t>
      </w:r>
      <w:r w:rsidR="00637F8D">
        <w:t xml:space="preserve"> US AIFM</w:t>
      </w:r>
      <w:r>
        <w:t xml:space="preserve"> must also maintain all accounts, books, internal working papers and any other documents necessary to form the basis for, or demonstrate the calculation of, the performance information used in advertising.  </w:t>
      </w:r>
      <w:r w:rsidR="00614FEC">
        <w:t xml:space="preserve">A US AIFM’s books and records include the books and records of its </w:t>
      </w:r>
      <w:r w:rsidR="00CA645C">
        <w:t>AIFs</w:t>
      </w:r>
      <w:r w:rsidR="00614FEC">
        <w:t xml:space="preserve"> (including non-US </w:t>
      </w:r>
      <w:r w:rsidR="00CA645C">
        <w:t>AIFs</w:t>
      </w:r>
      <w:r w:rsidR="00614FEC">
        <w:t>).</w:t>
      </w:r>
    </w:p>
    <w:p w:rsidR="00CF0900" w:rsidRPr="00BE44BD" w:rsidRDefault="00CF0900" w:rsidP="00EB48F8">
      <w:pPr>
        <w:pStyle w:val="BodyText"/>
        <w:keepNext/>
        <w:ind w:firstLine="0"/>
        <w:jc w:val="both"/>
        <w:rPr>
          <w:i/>
        </w:rPr>
      </w:pPr>
      <w:r w:rsidRPr="00BE44BD">
        <w:rPr>
          <w:i/>
        </w:rPr>
        <w:t>(5)</w:t>
      </w:r>
      <w:r w:rsidRPr="00BE44BD">
        <w:rPr>
          <w:i/>
        </w:rPr>
        <w:tab/>
        <w:t>SEC Examination</w:t>
      </w:r>
    </w:p>
    <w:p w:rsidR="00CF0900" w:rsidRPr="00BE44BD" w:rsidRDefault="00CF0900" w:rsidP="00EB48F8">
      <w:pPr>
        <w:pStyle w:val="BodyText"/>
        <w:jc w:val="both"/>
        <w:rPr>
          <w:lang w:val="en-US"/>
        </w:rPr>
      </w:pPr>
      <w:r w:rsidRPr="00BE44BD">
        <w:rPr>
          <w:lang w:val="en-US"/>
        </w:rPr>
        <w:t>The SEC actively monitors compliance with the Advisers Act through its examination program.  An examination typically involves an SEC visit to a</w:t>
      </w:r>
      <w:r w:rsidR="00637F8D">
        <w:rPr>
          <w:lang w:val="en-US"/>
        </w:rPr>
        <w:t xml:space="preserve"> US AIFM’s</w:t>
      </w:r>
      <w:r w:rsidRPr="00BE44BD">
        <w:rPr>
          <w:lang w:val="en-US"/>
        </w:rPr>
        <w:t xml:space="preserve"> offices.  During an SEC inspection, </w:t>
      </w:r>
      <w:r w:rsidR="00614FEC">
        <w:rPr>
          <w:lang w:val="en-US"/>
        </w:rPr>
        <w:t>the</w:t>
      </w:r>
      <w:r w:rsidR="00637F8D">
        <w:rPr>
          <w:lang w:val="en-US"/>
        </w:rPr>
        <w:t xml:space="preserve"> US AIFM’s</w:t>
      </w:r>
      <w:r w:rsidRPr="00BE44BD">
        <w:rPr>
          <w:lang w:val="en-US"/>
        </w:rPr>
        <w:t xml:space="preserve"> books and records are usually the subject of careful review.  An SEC inspection often occurs within a year after initial registration; the frequency of examinations thereafter depends upon the SEC’s assessment of the firm’s risk profile.  SEC examinations can last anywhere from a week or more </w:t>
      </w:r>
      <w:proofErr w:type="gramStart"/>
      <w:r w:rsidRPr="00BE44BD">
        <w:rPr>
          <w:lang w:val="en-US"/>
        </w:rPr>
        <w:t>to</w:t>
      </w:r>
      <w:proofErr w:type="gramEnd"/>
      <w:r w:rsidRPr="00BE44BD">
        <w:rPr>
          <w:lang w:val="en-US"/>
        </w:rPr>
        <w:t xml:space="preserve"> many months, depending on the focus of the exam and the size and complexity of the </w:t>
      </w:r>
      <w:r w:rsidR="00637F8D">
        <w:rPr>
          <w:lang w:val="en-US"/>
        </w:rPr>
        <w:t>US AIFM</w:t>
      </w:r>
      <w:r w:rsidRPr="00BE44BD">
        <w:rPr>
          <w:lang w:val="en-US"/>
        </w:rPr>
        <w:t>.  Violations of the Advisers Act may result in the imposition of civil or administrative sanctions by the SEC, as well as substantial monetary penalties.</w:t>
      </w:r>
    </w:p>
    <w:p w:rsidR="00CF0900" w:rsidRPr="00BE44BD" w:rsidRDefault="00CF0900" w:rsidP="00EB48F8">
      <w:pPr>
        <w:pStyle w:val="BodyText"/>
        <w:jc w:val="both"/>
        <w:rPr>
          <w:lang w:val="en-US"/>
        </w:rPr>
      </w:pPr>
      <w:r w:rsidRPr="00BE44BD">
        <w:rPr>
          <w:lang w:val="en-US"/>
        </w:rPr>
        <w:t xml:space="preserve">In 2012, the SEC launched an initiative to conduct focused, risk-based examination of </w:t>
      </w:r>
      <w:r w:rsidR="00637F8D">
        <w:rPr>
          <w:lang w:val="en-US"/>
        </w:rPr>
        <w:t>US AIFMs</w:t>
      </w:r>
      <w:r w:rsidRPr="00BE44BD">
        <w:rPr>
          <w:lang w:val="en-US"/>
        </w:rPr>
        <w:t xml:space="preserve"> that recently registered with the SEC.</w:t>
      </w:r>
      <w:r w:rsidRPr="00BE44BD">
        <w:rPr>
          <w:vertAlign w:val="superscript"/>
          <w:lang w:val="en-US"/>
        </w:rPr>
        <w:footnoteReference w:id="24"/>
      </w:r>
      <w:r w:rsidRPr="00BE44BD">
        <w:rPr>
          <w:lang w:val="en-US"/>
        </w:rPr>
        <w:t xml:space="preserve">  </w:t>
      </w:r>
      <w:r w:rsidR="00AB7D84">
        <w:rPr>
          <w:lang w:val="en-US"/>
        </w:rPr>
        <w:t xml:space="preserve">The SEC staff recently announced that it has completed its goal of </w:t>
      </w:r>
      <w:r w:rsidR="002D6C82">
        <w:rPr>
          <w:lang w:val="en-US"/>
        </w:rPr>
        <w:t>examining 25% of the new private fund registrants by the end of 2014</w:t>
      </w:r>
      <w:r w:rsidRPr="00BE44BD">
        <w:rPr>
          <w:lang w:val="en-US"/>
        </w:rPr>
        <w:t>.  As discussed below, risk management is a major focus of the SEC’s examination program.</w:t>
      </w:r>
    </w:p>
    <w:p w:rsidR="00CF0900" w:rsidRPr="00984AC2" w:rsidRDefault="00CF0900" w:rsidP="00EB48F8">
      <w:pPr>
        <w:pStyle w:val="BodyText"/>
        <w:keepNext/>
        <w:ind w:firstLine="0"/>
        <w:jc w:val="both"/>
        <w:rPr>
          <w:i/>
          <w:lang w:val="en-US"/>
        </w:rPr>
      </w:pPr>
      <w:r w:rsidRPr="00984AC2">
        <w:rPr>
          <w:i/>
          <w:lang w:val="en-US"/>
        </w:rPr>
        <w:t>(6)</w:t>
      </w:r>
      <w:r w:rsidRPr="00984AC2">
        <w:rPr>
          <w:i/>
          <w:lang w:val="en-US"/>
        </w:rPr>
        <w:tab/>
        <w:t>Coordinated Compliance Program and Risk Management</w:t>
      </w:r>
    </w:p>
    <w:p w:rsidR="00CF0900" w:rsidRPr="00984AC2" w:rsidRDefault="00614FEC" w:rsidP="00EB48F8">
      <w:pPr>
        <w:ind w:firstLine="720"/>
        <w:jc w:val="both"/>
        <w:rPr>
          <w:rFonts w:eastAsia="Times New Roman" w:cs="Times New Roman"/>
          <w:szCs w:val="20"/>
          <w:lang w:val="en-US"/>
        </w:rPr>
      </w:pPr>
      <w:r>
        <w:rPr>
          <w:rFonts w:eastAsia="Times New Roman" w:cs="Times New Roman"/>
          <w:szCs w:val="20"/>
          <w:lang w:val="en-US"/>
        </w:rPr>
        <w:t xml:space="preserve">A </w:t>
      </w:r>
      <w:r w:rsidR="00637F8D">
        <w:rPr>
          <w:rFonts w:eastAsia="Times New Roman" w:cs="Times New Roman"/>
          <w:szCs w:val="20"/>
          <w:lang w:val="en-US"/>
        </w:rPr>
        <w:t>US AIFM</w:t>
      </w:r>
      <w:r>
        <w:rPr>
          <w:rFonts w:eastAsia="Times New Roman" w:cs="Times New Roman"/>
          <w:szCs w:val="20"/>
          <w:lang w:val="en-US"/>
        </w:rPr>
        <w:t xml:space="preserve"> is</w:t>
      </w:r>
      <w:r w:rsidR="00CF0900" w:rsidRPr="00984AC2">
        <w:rPr>
          <w:rFonts w:eastAsia="Times New Roman" w:cs="Times New Roman"/>
          <w:szCs w:val="20"/>
          <w:lang w:val="en-US"/>
        </w:rPr>
        <w:t xml:space="preserve"> required to adopt and implement written policies and procedures reasonably designed to prevent violation of the Advisers Act by the </w:t>
      </w:r>
      <w:r w:rsidR="00637F8D">
        <w:rPr>
          <w:rFonts w:eastAsia="Times New Roman" w:cs="Times New Roman"/>
          <w:szCs w:val="20"/>
          <w:lang w:val="en-US"/>
        </w:rPr>
        <w:t>US AIFM</w:t>
      </w:r>
      <w:r w:rsidR="00CF0900" w:rsidRPr="00984AC2">
        <w:rPr>
          <w:rFonts w:eastAsia="Times New Roman" w:cs="Times New Roman"/>
          <w:szCs w:val="20"/>
          <w:lang w:val="en-US"/>
        </w:rPr>
        <w:t xml:space="preserve"> or any of its supervised persons.  In adopting Rule 206(4)-7, the rule that requires such policies, the SEC did not impose a set of specific elements that </w:t>
      </w:r>
      <w:r w:rsidR="00637F8D">
        <w:rPr>
          <w:rFonts w:eastAsia="Times New Roman" w:cs="Times New Roman"/>
          <w:szCs w:val="20"/>
          <w:lang w:val="en-US"/>
        </w:rPr>
        <w:t>US AIFMs</w:t>
      </w:r>
      <w:r w:rsidR="00CF0900" w:rsidRPr="00984AC2">
        <w:rPr>
          <w:rFonts w:eastAsia="Times New Roman" w:cs="Times New Roman"/>
          <w:szCs w:val="20"/>
          <w:lang w:val="en-US"/>
        </w:rPr>
        <w:t xml:space="preserve"> must include in their policies and procedures.  As discussed below, however, in other contexts the SEC has identified certain minimum requirements with respect to the policies and procedures. </w:t>
      </w:r>
    </w:p>
    <w:p w:rsidR="00CF0900" w:rsidRPr="00984AC2" w:rsidRDefault="00CF0900" w:rsidP="00EB48F8">
      <w:pPr>
        <w:ind w:firstLine="720"/>
        <w:jc w:val="both"/>
        <w:rPr>
          <w:rFonts w:eastAsia="Times New Roman" w:cs="Times New Roman"/>
          <w:szCs w:val="20"/>
          <w:lang w:val="en-US"/>
        </w:rPr>
      </w:pPr>
      <w:r w:rsidRPr="00984AC2">
        <w:rPr>
          <w:rFonts w:eastAsia="Times New Roman" w:cs="Times New Roman"/>
          <w:szCs w:val="20"/>
          <w:lang w:val="en-US"/>
        </w:rPr>
        <w:t xml:space="preserve">Rule 206(4)-7 also requires a </w:t>
      </w:r>
      <w:r w:rsidR="00637F8D">
        <w:rPr>
          <w:rFonts w:eastAsia="Times New Roman" w:cs="Times New Roman"/>
          <w:szCs w:val="20"/>
          <w:lang w:val="en-US"/>
        </w:rPr>
        <w:t>US AIFM</w:t>
      </w:r>
      <w:r w:rsidRPr="00984AC2">
        <w:rPr>
          <w:rFonts w:eastAsia="Times New Roman" w:cs="Times New Roman"/>
          <w:szCs w:val="20"/>
          <w:lang w:val="en-US"/>
        </w:rPr>
        <w:t xml:space="preserve"> (</w:t>
      </w:r>
      <w:r w:rsidRPr="00984AC2">
        <w:rPr>
          <w:rFonts w:eastAsia="Times New Roman" w:cs="Times New Roman"/>
          <w:i/>
          <w:iCs/>
          <w:szCs w:val="20"/>
          <w:lang w:val="en-US"/>
        </w:rPr>
        <w:t>i</w:t>
      </w:r>
      <w:r w:rsidRPr="00984AC2">
        <w:rPr>
          <w:rFonts w:eastAsia="Times New Roman" w:cs="Times New Roman"/>
          <w:szCs w:val="20"/>
          <w:lang w:val="en-US"/>
        </w:rPr>
        <w:t>) to review its policies and procedures annually to determine their adequacy and the effectiveness of their implementation and (</w:t>
      </w:r>
      <w:r w:rsidRPr="00984AC2">
        <w:rPr>
          <w:rFonts w:eastAsia="Times New Roman" w:cs="Times New Roman"/>
          <w:i/>
          <w:iCs/>
          <w:szCs w:val="20"/>
          <w:lang w:val="en-US"/>
        </w:rPr>
        <w:t>ii</w:t>
      </w:r>
      <w:r w:rsidRPr="00984AC2">
        <w:rPr>
          <w:rFonts w:eastAsia="Times New Roman" w:cs="Times New Roman"/>
          <w:szCs w:val="20"/>
          <w:lang w:val="en-US"/>
        </w:rPr>
        <w:t xml:space="preserve">) to designate a chief compliance officer to administer its </w:t>
      </w:r>
      <w:r w:rsidRPr="00984AC2">
        <w:rPr>
          <w:rFonts w:eastAsia="Times New Roman" w:cs="Times New Roman"/>
          <w:szCs w:val="20"/>
          <w:lang w:val="en-US"/>
        </w:rPr>
        <w:lastRenderedPageBreak/>
        <w:t>compliance policies and procedures.  The SEC’s guidelines indicate that the chief compliance officer should be competent and knowledgeable regarding the Advisers Act and should be empowered with full responsibility and authority to develop and enforce appropriate policies and procedures for the</w:t>
      </w:r>
      <w:r w:rsidR="00637F8D">
        <w:rPr>
          <w:rFonts w:eastAsia="Times New Roman" w:cs="Times New Roman"/>
          <w:szCs w:val="20"/>
          <w:lang w:val="en-US"/>
        </w:rPr>
        <w:t xml:space="preserve"> US AIFM</w:t>
      </w:r>
      <w:r w:rsidRPr="00984AC2">
        <w:rPr>
          <w:rFonts w:eastAsia="Times New Roman" w:cs="Times New Roman"/>
          <w:szCs w:val="20"/>
          <w:lang w:val="en-US"/>
        </w:rPr>
        <w:t xml:space="preserve">. </w:t>
      </w:r>
    </w:p>
    <w:p w:rsidR="00CF0900" w:rsidRPr="00984AC2" w:rsidRDefault="00CF0900" w:rsidP="00EB48F8">
      <w:pPr>
        <w:ind w:firstLine="720"/>
        <w:jc w:val="both"/>
        <w:rPr>
          <w:rFonts w:eastAsia="Times New Roman" w:cs="Times New Roman"/>
          <w:szCs w:val="20"/>
          <w:lang w:val="en-US"/>
        </w:rPr>
      </w:pPr>
      <w:r w:rsidRPr="00984AC2">
        <w:rPr>
          <w:rFonts w:eastAsia="Times New Roman" w:cs="Times New Roman"/>
          <w:szCs w:val="20"/>
          <w:lang w:val="en-US"/>
        </w:rPr>
        <w:t>An important component of a</w:t>
      </w:r>
      <w:r w:rsidR="00637F8D">
        <w:rPr>
          <w:rFonts w:eastAsia="Times New Roman" w:cs="Times New Roman"/>
          <w:szCs w:val="20"/>
          <w:lang w:val="en-US"/>
        </w:rPr>
        <w:t xml:space="preserve"> US AIFM</w:t>
      </w:r>
      <w:r w:rsidRPr="00984AC2">
        <w:rPr>
          <w:rFonts w:eastAsia="Times New Roman" w:cs="Times New Roman"/>
          <w:szCs w:val="20"/>
          <w:lang w:val="en-US"/>
        </w:rPr>
        <w:t>’s compliance program is risk management.  In adopting Rule 20</w:t>
      </w:r>
      <w:r w:rsidR="002D6C82">
        <w:rPr>
          <w:rFonts w:eastAsia="Times New Roman" w:cs="Times New Roman"/>
          <w:szCs w:val="20"/>
          <w:lang w:val="en-US"/>
        </w:rPr>
        <w:t>6</w:t>
      </w:r>
      <w:r w:rsidRPr="00984AC2">
        <w:rPr>
          <w:rFonts w:eastAsia="Times New Roman" w:cs="Times New Roman"/>
          <w:szCs w:val="20"/>
          <w:lang w:val="en-US"/>
        </w:rPr>
        <w:t>(4)-7, the SEC stated that a</w:t>
      </w:r>
      <w:r w:rsidR="00637F8D">
        <w:rPr>
          <w:rFonts w:eastAsia="Times New Roman" w:cs="Times New Roman"/>
          <w:szCs w:val="20"/>
          <w:lang w:val="en-US"/>
        </w:rPr>
        <w:t xml:space="preserve"> US AIFM</w:t>
      </w:r>
      <w:r w:rsidRPr="00984AC2">
        <w:rPr>
          <w:rFonts w:eastAsia="Times New Roman" w:cs="Times New Roman"/>
          <w:szCs w:val="20"/>
          <w:lang w:val="en-US"/>
        </w:rPr>
        <w:t xml:space="preserve">, in designing its policies and procedures, “should first identify conflicts and other compliance factors creating risk exposure for the firm and its clients in light of the firm's particular operations, and then design policies and procedures that address those risks.”  Risk management has continued to be emphasized by the SEC.  </w:t>
      </w:r>
      <w:r w:rsidR="002D6C82">
        <w:rPr>
          <w:rFonts w:eastAsia="Times New Roman" w:cs="Times New Roman"/>
          <w:szCs w:val="20"/>
          <w:lang w:val="en-US"/>
        </w:rPr>
        <w:t>Enterprise risk management is one of the examination priorities for the SEC and the SEC staff has conducted a series of examinations on a wide sample of US AIFMs focusing principally on enterprise risk management.</w:t>
      </w:r>
      <w:r w:rsidR="002D6C82">
        <w:rPr>
          <w:rStyle w:val="FootnoteReference"/>
          <w:rFonts w:eastAsia="Times New Roman" w:cs="Times New Roman"/>
          <w:szCs w:val="20"/>
          <w:lang w:val="en-US"/>
        </w:rPr>
        <w:footnoteReference w:id="25"/>
      </w:r>
    </w:p>
    <w:p w:rsidR="00CF0900" w:rsidRPr="00984AC2" w:rsidRDefault="00CF0900" w:rsidP="00EB48F8">
      <w:pPr>
        <w:ind w:firstLine="720"/>
        <w:jc w:val="both"/>
        <w:rPr>
          <w:rFonts w:eastAsia="Times New Roman" w:cs="Times New Roman"/>
          <w:szCs w:val="20"/>
          <w:lang w:val="en-US"/>
        </w:rPr>
      </w:pPr>
      <w:r w:rsidRPr="00984AC2">
        <w:rPr>
          <w:rFonts w:eastAsia="Times New Roman" w:cs="Times New Roman"/>
          <w:szCs w:val="20"/>
          <w:lang w:val="en-US"/>
        </w:rPr>
        <w:t>The SEC expects that a</w:t>
      </w:r>
      <w:r w:rsidR="00CA4CE6">
        <w:rPr>
          <w:rFonts w:eastAsia="Times New Roman" w:cs="Times New Roman"/>
          <w:szCs w:val="20"/>
          <w:lang w:val="en-US"/>
        </w:rPr>
        <w:t xml:space="preserve"> US AIFM</w:t>
      </w:r>
      <w:r w:rsidRPr="00984AC2">
        <w:rPr>
          <w:rFonts w:eastAsia="Times New Roman" w:cs="Times New Roman"/>
          <w:szCs w:val="20"/>
          <w:lang w:val="en-US"/>
        </w:rPr>
        <w:t>’s compliance program will cover the following risk areas (certain of which are addressed in more detail below):</w:t>
      </w:r>
    </w:p>
    <w:p w:rsidR="0032523E" w:rsidRDefault="0032523E" w:rsidP="00DC3AD1">
      <w:pPr>
        <w:numPr>
          <w:ilvl w:val="0"/>
          <w:numId w:val="32"/>
        </w:numPr>
        <w:tabs>
          <w:tab w:val="clear" w:pos="360"/>
          <w:tab w:val="num" w:pos="-480"/>
          <w:tab w:val="num" w:pos="567"/>
        </w:tabs>
        <w:spacing w:before="240" w:after="0"/>
        <w:ind w:left="567" w:hanging="567"/>
        <w:jc w:val="both"/>
        <w:rPr>
          <w:rFonts w:eastAsia="Times New Roman" w:cs="Times New Roman"/>
          <w:szCs w:val="20"/>
          <w:lang w:val="en-US"/>
        </w:rPr>
      </w:pPr>
      <w:r>
        <w:rPr>
          <w:rFonts w:eastAsia="Times New Roman" w:cs="Times New Roman"/>
          <w:szCs w:val="20"/>
          <w:lang w:val="en-US"/>
        </w:rPr>
        <w:t>Identification and, to the extent necessary, the mitigation and disclosure of conflicts of interest between the US AIFM and its clients;</w:t>
      </w:r>
    </w:p>
    <w:p w:rsidR="00CF0900" w:rsidRPr="00984AC2" w:rsidRDefault="00CF0900" w:rsidP="00DC3AD1">
      <w:pPr>
        <w:numPr>
          <w:ilvl w:val="0"/>
          <w:numId w:val="32"/>
        </w:numPr>
        <w:tabs>
          <w:tab w:val="clear" w:pos="360"/>
          <w:tab w:val="num" w:pos="-480"/>
          <w:tab w:val="num" w:pos="567"/>
        </w:tabs>
        <w:spacing w:before="240" w:after="0"/>
        <w:ind w:left="567" w:hanging="567"/>
        <w:jc w:val="both"/>
        <w:rPr>
          <w:rFonts w:eastAsia="Times New Roman" w:cs="Times New Roman"/>
          <w:szCs w:val="20"/>
          <w:lang w:val="en-US"/>
        </w:rPr>
      </w:pPr>
      <w:r w:rsidRPr="00984AC2">
        <w:rPr>
          <w:rFonts w:eastAsia="Times New Roman" w:cs="Times New Roman"/>
          <w:szCs w:val="20"/>
          <w:lang w:val="en-US"/>
        </w:rPr>
        <w:t xml:space="preserve">Portfolio management processes, including allocation of investment opportunities among clients and consistency of portfolios with clients’ investment objectives, disclosures by the </w:t>
      </w:r>
      <w:r w:rsidR="00CA4CE6">
        <w:rPr>
          <w:rFonts w:eastAsia="Times New Roman" w:cs="Times New Roman"/>
          <w:szCs w:val="20"/>
          <w:lang w:val="en-US"/>
        </w:rPr>
        <w:t>US AIFM</w:t>
      </w:r>
      <w:r w:rsidRPr="00984AC2">
        <w:rPr>
          <w:rFonts w:eastAsia="Times New Roman" w:cs="Times New Roman"/>
          <w:szCs w:val="20"/>
          <w:lang w:val="en-US"/>
        </w:rPr>
        <w:t>, and applicable regulatory restrictions;</w:t>
      </w:r>
    </w:p>
    <w:p w:rsidR="00CF0900" w:rsidRPr="00984AC2" w:rsidRDefault="00CF0900" w:rsidP="00DC3AD1">
      <w:pPr>
        <w:numPr>
          <w:ilvl w:val="0"/>
          <w:numId w:val="32"/>
        </w:numPr>
        <w:tabs>
          <w:tab w:val="clear" w:pos="360"/>
          <w:tab w:val="num" w:pos="-480"/>
          <w:tab w:val="num" w:pos="567"/>
        </w:tabs>
        <w:spacing w:before="240" w:after="0"/>
        <w:ind w:left="567" w:hanging="567"/>
        <w:jc w:val="both"/>
        <w:rPr>
          <w:rFonts w:eastAsia="Times New Roman" w:cs="Times New Roman"/>
          <w:szCs w:val="20"/>
          <w:lang w:val="en-US"/>
        </w:rPr>
      </w:pPr>
      <w:r w:rsidRPr="00984AC2">
        <w:rPr>
          <w:rFonts w:eastAsia="Times New Roman" w:cs="Times New Roman"/>
          <w:szCs w:val="20"/>
          <w:lang w:val="en-US"/>
        </w:rPr>
        <w:t xml:space="preserve">Trading practices, including procedures by which the </w:t>
      </w:r>
      <w:r w:rsidR="00CA4CE6">
        <w:rPr>
          <w:rFonts w:eastAsia="Times New Roman" w:cs="Times New Roman"/>
          <w:szCs w:val="20"/>
          <w:lang w:val="en-US"/>
        </w:rPr>
        <w:t>US AIFM</w:t>
      </w:r>
      <w:r w:rsidRPr="00984AC2">
        <w:rPr>
          <w:rFonts w:eastAsia="Times New Roman" w:cs="Times New Roman"/>
          <w:szCs w:val="20"/>
          <w:lang w:val="en-US"/>
        </w:rPr>
        <w:t xml:space="preserve"> satisfies its best execution obligation;</w:t>
      </w:r>
    </w:p>
    <w:p w:rsidR="00CF0900" w:rsidRPr="00984AC2" w:rsidRDefault="00CF0900" w:rsidP="00DC3AD1">
      <w:pPr>
        <w:numPr>
          <w:ilvl w:val="0"/>
          <w:numId w:val="32"/>
        </w:numPr>
        <w:tabs>
          <w:tab w:val="clear" w:pos="360"/>
          <w:tab w:val="num" w:pos="-480"/>
          <w:tab w:val="num" w:pos="567"/>
        </w:tabs>
        <w:spacing w:before="240" w:after="0"/>
        <w:ind w:left="567" w:hanging="567"/>
        <w:jc w:val="both"/>
        <w:rPr>
          <w:rFonts w:eastAsia="Times New Roman" w:cs="Times New Roman"/>
          <w:szCs w:val="20"/>
          <w:lang w:val="en-US"/>
        </w:rPr>
      </w:pPr>
      <w:r w:rsidRPr="00984AC2">
        <w:rPr>
          <w:rFonts w:eastAsia="Times New Roman" w:cs="Times New Roman"/>
          <w:szCs w:val="20"/>
          <w:lang w:val="en-US"/>
        </w:rPr>
        <w:t xml:space="preserve">Proprietary trading of the </w:t>
      </w:r>
      <w:r w:rsidR="00CA4CE6">
        <w:rPr>
          <w:rFonts w:eastAsia="Times New Roman" w:cs="Times New Roman"/>
          <w:szCs w:val="20"/>
          <w:lang w:val="en-US"/>
        </w:rPr>
        <w:t>US AIFM</w:t>
      </w:r>
      <w:r w:rsidRPr="00984AC2">
        <w:rPr>
          <w:rFonts w:eastAsia="Times New Roman" w:cs="Times New Roman"/>
          <w:szCs w:val="20"/>
          <w:lang w:val="en-US"/>
        </w:rPr>
        <w:t xml:space="preserve"> and personal trading activities of its employees</w:t>
      </w:r>
      <w:r w:rsidR="0032523E">
        <w:rPr>
          <w:rFonts w:eastAsia="Times New Roman" w:cs="Times New Roman"/>
          <w:szCs w:val="20"/>
          <w:lang w:val="en-US"/>
        </w:rPr>
        <w:t xml:space="preserve"> and the protection of material non-public information</w:t>
      </w:r>
      <w:r w:rsidRPr="00984AC2">
        <w:rPr>
          <w:rFonts w:eastAsia="Times New Roman" w:cs="Times New Roman"/>
          <w:szCs w:val="20"/>
          <w:lang w:val="en-US"/>
        </w:rPr>
        <w:t>;</w:t>
      </w:r>
    </w:p>
    <w:p w:rsidR="00CF0900" w:rsidRPr="00984AC2" w:rsidRDefault="009D7E98" w:rsidP="00DC3AD1">
      <w:pPr>
        <w:numPr>
          <w:ilvl w:val="0"/>
          <w:numId w:val="32"/>
        </w:numPr>
        <w:tabs>
          <w:tab w:val="clear" w:pos="360"/>
          <w:tab w:val="num" w:pos="-480"/>
          <w:tab w:val="num" w:pos="567"/>
        </w:tabs>
        <w:spacing w:before="240" w:after="0"/>
        <w:ind w:left="567" w:hanging="567"/>
        <w:jc w:val="both"/>
        <w:rPr>
          <w:rFonts w:eastAsia="Times New Roman" w:cs="Times New Roman"/>
          <w:szCs w:val="20"/>
          <w:lang w:val="en-US"/>
        </w:rPr>
      </w:pPr>
      <w:r>
        <w:rPr>
          <w:rFonts w:eastAsia="Times New Roman" w:cs="Times New Roman"/>
          <w:szCs w:val="20"/>
          <w:lang w:val="en-US"/>
        </w:rPr>
        <w:t>A</w:t>
      </w:r>
      <w:r w:rsidR="00CF0900" w:rsidRPr="00984AC2">
        <w:rPr>
          <w:rFonts w:eastAsia="Times New Roman" w:cs="Times New Roman"/>
          <w:szCs w:val="20"/>
          <w:lang w:val="en-US"/>
        </w:rPr>
        <w:t>ccuracy of disclosures made to investors, clients, and regulators, including account statements</w:t>
      </w:r>
      <w:r w:rsidR="0032523E">
        <w:rPr>
          <w:rFonts w:eastAsia="Times New Roman" w:cs="Times New Roman"/>
          <w:szCs w:val="20"/>
          <w:lang w:val="en-US"/>
        </w:rPr>
        <w:t>, regulatory filings,</w:t>
      </w:r>
      <w:r w:rsidR="00CF0900" w:rsidRPr="00984AC2">
        <w:rPr>
          <w:rFonts w:eastAsia="Times New Roman" w:cs="Times New Roman"/>
          <w:szCs w:val="20"/>
          <w:lang w:val="en-US"/>
        </w:rPr>
        <w:t xml:space="preserve"> advertisements</w:t>
      </w:r>
      <w:r w:rsidR="0032523E">
        <w:rPr>
          <w:rFonts w:eastAsia="Times New Roman" w:cs="Times New Roman"/>
          <w:szCs w:val="20"/>
          <w:lang w:val="en-US"/>
        </w:rPr>
        <w:t xml:space="preserve"> and other marketing materials</w:t>
      </w:r>
      <w:r w:rsidR="00CF0900" w:rsidRPr="00984AC2">
        <w:rPr>
          <w:rFonts w:eastAsia="Times New Roman" w:cs="Times New Roman"/>
          <w:szCs w:val="20"/>
          <w:lang w:val="en-US"/>
        </w:rPr>
        <w:t>;</w:t>
      </w:r>
    </w:p>
    <w:p w:rsidR="00CF0900" w:rsidRPr="00984AC2" w:rsidRDefault="00CF0900" w:rsidP="00DC3AD1">
      <w:pPr>
        <w:numPr>
          <w:ilvl w:val="0"/>
          <w:numId w:val="32"/>
        </w:numPr>
        <w:tabs>
          <w:tab w:val="clear" w:pos="360"/>
          <w:tab w:val="num" w:pos="-480"/>
          <w:tab w:val="num" w:pos="567"/>
        </w:tabs>
        <w:spacing w:before="240" w:after="0"/>
        <w:ind w:left="567" w:hanging="567"/>
        <w:jc w:val="both"/>
        <w:rPr>
          <w:rFonts w:eastAsia="Times New Roman" w:cs="Times New Roman"/>
          <w:szCs w:val="20"/>
          <w:lang w:val="en-US"/>
        </w:rPr>
      </w:pPr>
      <w:r w:rsidRPr="00984AC2">
        <w:rPr>
          <w:rFonts w:eastAsia="Times New Roman" w:cs="Times New Roman"/>
          <w:szCs w:val="20"/>
          <w:lang w:val="en-US"/>
        </w:rPr>
        <w:t>Safeguarding of client assets from conversion or inappropriate use by advisory personnel;</w:t>
      </w:r>
    </w:p>
    <w:p w:rsidR="00CF0900" w:rsidRPr="00984AC2" w:rsidRDefault="009D7E98" w:rsidP="00DC3AD1">
      <w:pPr>
        <w:numPr>
          <w:ilvl w:val="0"/>
          <w:numId w:val="32"/>
        </w:numPr>
        <w:tabs>
          <w:tab w:val="clear" w:pos="360"/>
          <w:tab w:val="num" w:pos="-480"/>
          <w:tab w:val="num" w:pos="567"/>
        </w:tabs>
        <w:spacing w:before="240" w:after="0"/>
        <w:ind w:left="567" w:hanging="567"/>
        <w:jc w:val="both"/>
        <w:rPr>
          <w:rFonts w:eastAsia="Times New Roman" w:cs="Times New Roman"/>
          <w:szCs w:val="20"/>
          <w:lang w:val="en-US"/>
        </w:rPr>
      </w:pPr>
      <w:r>
        <w:rPr>
          <w:rFonts w:eastAsia="Times New Roman" w:cs="Times New Roman"/>
          <w:szCs w:val="20"/>
          <w:lang w:val="en-US"/>
        </w:rPr>
        <w:t>A</w:t>
      </w:r>
      <w:r w:rsidR="00CF0900" w:rsidRPr="00984AC2">
        <w:rPr>
          <w:rFonts w:eastAsia="Times New Roman" w:cs="Times New Roman"/>
          <w:szCs w:val="20"/>
          <w:lang w:val="en-US"/>
        </w:rPr>
        <w:t>ccurate creation of required records and their maintenance in a manner that secures them from unauthorized alteration or use and protects them from untimely destruction;</w:t>
      </w:r>
    </w:p>
    <w:p w:rsidR="00CF0900" w:rsidRPr="00984AC2" w:rsidRDefault="00CF0900" w:rsidP="00DC3AD1">
      <w:pPr>
        <w:numPr>
          <w:ilvl w:val="0"/>
          <w:numId w:val="32"/>
        </w:numPr>
        <w:tabs>
          <w:tab w:val="clear" w:pos="360"/>
          <w:tab w:val="num" w:pos="-480"/>
          <w:tab w:val="num" w:pos="567"/>
        </w:tabs>
        <w:spacing w:before="240" w:after="0"/>
        <w:ind w:left="567" w:hanging="567"/>
        <w:jc w:val="both"/>
        <w:rPr>
          <w:rFonts w:eastAsia="Times New Roman" w:cs="Times New Roman"/>
          <w:szCs w:val="20"/>
          <w:lang w:val="en-US"/>
        </w:rPr>
      </w:pPr>
      <w:r w:rsidRPr="00984AC2">
        <w:rPr>
          <w:rFonts w:eastAsia="Times New Roman" w:cs="Times New Roman"/>
          <w:szCs w:val="20"/>
          <w:lang w:val="en-US"/>
        </w:rPr>
        <w:lastRenderedPageBreak/>
        <w:t>Marketing advisory services</w:t>
      </w:r>
      <w:r w:rsidR="0032523E">
        <w:rPr>
          <w:rFonts w:eastAsia="Times New Roman" w:cs="Times New Roman"/>
          <w:szCs w:val="20"/>
          <w:lang w:val="en-US"/>
        </w:rPr>
        <w:t xml:space="preserve"> or interests in a</w:t>
      </w:r>
      <w:r w:rsidR="00676D85">
        <w:rPr>
          <w:rFonts w:eastAsia="Times New Roman" w:cs="Times New Roman"/>
          <w:szCs w:val="20"/>
          <w:lang w:val="en-US"/>
        </w:rPr>
        <w:t xml:space="preserve">n </w:t>
      </w:r>
      <w:r w:rsidR="00CA645C">
        <w:rPr>
          <w:rFonts w:eastAsia="Times New Roman" w:cs="Times New Roman"/>
          <w:szCs w:val="20"/>
          <w:lang w:val="en-US"/>
        </w:rPr>
        <w:t>AIF</w:t>
      </w:r>
      <w:r w:rsidRPr="00984AC2">
        <w:rPr>
          <w:rFonts w:eastAsia="Times New Roman" w:cs="Times New Roman"/>
          <w:szCs w:val="20"/>
          <w:lang w:val="en-US"/>
        </w:rPr>
        <w:t>, including the use of solicitors</w:t>
      </w:r>
      <w:r w:rsidR="0032523E">
        <w:rPr>
          <w:rFonts w:eastAsia="Times New Roman" w:cs="Times New Roman"/>
          <w:szCs w:val="20"/>
          <w:lang w:val="en-US"/>
        </w:rPr>
        <w:t xml:space="preserve"> and placement agents</w:t>
      </w:r>
      <w:r w:rsidRPr="00984AC2">
        <w:rPr>
          <w:rFonts w:eastAsia="Times New Roman" w:cs="Times New Roman"/>
          <w:szCs w:val="20"/>
          <w:lang w:val="en-US"/>
        </w:rPr>
        <w:t xml:space="preserve">; </w:t>
      </w:r>
    </w:p>
    <w:p w:rsidR="00CF0900" w:rsidRPr="00984AC2" w:rsidRDefault="00CF0900" w:rsidP="00DC3AD1">
      <w:pPr>
        <w:numPr>
          <w:ilvl w:val="0"/>
          <w:numId w:val="32"/>
        </w:numPr>
        <w:tabs>
          <w:tab w:val="clear" w:pos="360"/>
          <w:tab w:val="num" w:pos="-480"/>
          <w:tab w:val="num" w:pos="567"/>
        </w:tabs>
        <w:spacing w:before="240" w:after="0"/>
        <w:ind w:left="567" w:hanging="567"/>
        <w:jc w:val="both"/>
        <w:rPr>
          <w:rFonts w:eastAsia="Times New Roman" w:cs="Times New Roman"/>
          <w:szCs w:val="20"/>
          <w:lang w:val="en-US"/>
        </w:rPr>
      </w:pPr>
      <w:r w:rsidRPr="00984AC2">
        <w:rPr>
          <w:rFonts w:eastAsia="Times New Roman" w:cs="Times New Roman"/>
          <w:szCs w:val="20"/>
          <w:lang w:val="en-US"/>
        </w:rPr>
        <w:t xml:space="preserve">Processes to value client holdings and assess fees based on those valuations;  </w:t>
      </w:r>
    </w:p>
    <w:p w:rsidR="0032523E" w:rsidRDefault="0032523E" w:rsidP="00DC3AD1">
      <w:pPr>
        <w:numPr>
          <w:ilvl w:val="0"/>
          <w:numId w:val="32"/>
        </w:numPr>
        <w:tabs>
          <w:tab w:val="clear" w:pos="360"/>
          <w:tab w:val="num" w:pos="-480"/>
          <w:tab w:val="num" w:pos="567"/>
        </w:tabs>
        <w:spacing w:before="240" w:after="0"/>
        <w:ind w:left="567" w:hanging="567"/>
        <w:jc w:val="both"/>
        <w:rPr>
          <w:rFonts w:eastAsia="Times New Roman" w:cs="Times New Roman"/>
          <w:szCs w:val="20"/>
          <w:lang w:val="en-US"/>
        </w:rPr>
      </w:pPr>
      <w:r>
        <w:rPr>
          <w:rFonts w:eastAsia="Times New Roman" w:cs="Times New Roman"/>
          <w:szCs w:val="20"/>
          <w:lang w:val="en-US"/>
        </w:rPr>
        <w:t>Allocation of fees and expenses; and</w:t>
      </w:r>
    </w:p>
    <w:p w:rsidR="00CF0900" w:rsidRPr="00984AC2" w:rsidRDefault="00CF0900" w:rsidP="00DC3AD1">
      <w:pPr>
        <w:numPr>
          <w:ilvl w:val="0"/>
          <w:numId w:val="32"/>
        </w:numPr>
        <w:tabs>
          <w:tab w:val="clear" w:pos="360"/>
          <w:tab w:val="num" w:pos="-480"/>
          <w:tab w:val="num" w:pos="567"/>
        </w:tabs>
        <w:spacing w:before="240" w:after="0"/>
        <w:ind w:left="567" w:hanging="567"/>
        <w:jc w:val="both"/>
        <w:rPr>
          <w:rFonts w:eastAsia="Times New Roman" w:cs="Times New Roman"/>
          <w:szCs w:val="20"/>
          <w:lang w:val="en-US"/>
        </w:rPr>
      </w:pPr>
      <w:r w:rsidRPr="00984AC2">
        <w:rPr>
          <w:rFonts w:eastAsia="Times New Roman" w:cs="Times New Roman"/>
          <w:szCs w:val="20"/>
          <w:lang w:val="en-US"/>
        </w:rPr>
        <w:t>Safeguards for the privacy protection of client records and information.</w:t>
      </w:r>
    </w:p>
    <w:p w:rsidR="00CF0900" w:rsidRPr="00984AC2" w:rsidRDefault="00CF0900" w:rsidP="00EB48F8">
      <w:pPr>
        <w:spacing w:before="240"/>
        <w:ind w:firstLine="720"/>
        <w:jc w:val="both"/>
        <w:rPr>
          <w:rFonts w:eastAsia="Times New Roman" w:cs="Times New Roman"/>
          <w:szCs w:val="20"/>
          <w:lang w:val="en-US"/>
        </w:rPr>
      </w:pPr>
      <w:r w:rsidRPr="00984AC2">
        <w:rPr>
          <w:rFonts w:eastAsia="Times New Roman" w:cs="Times New Roman"/>
          <w:szCs w:val="20"/>
          <w:lang w:val="en-US"/>
        </w:rPr>
        <w:t xml:space="preserve">In examining a </w:t>
      </w:r>
      <w:r w:rsidR="00CA4CE6">
        <w:rPr>
          <w:rFonts w:eastAsia="Times New Roman" w:cs="Times New Roman"/>
          <w:szCs w:val="20"/>
          <w:lang w:val="en-US"/>
        </w:rPr>
        <w:t>US AIFM</w:t>
      </w:r>
      <w:r w:rsidRPr="00984AC2">
        <w:rPr>
          <w:rFonts w:eastAsia="Times New Roman" w:cs="Times New Roman"/>
          <w:szCs w:val="20"/>
          <w:lang w:val="en-US"/>
        </w:rPr>
        <w:t>, the SEC staff will request information about the compliance risks that the firm has identified and the written policies and procedures the firm has established and implemented to address each of those risks to provide an understanding of the firm's compliance risks and corresponding controls.</w:t>
      </w:r>
      <w:r w:rsidRPr="00984AC2">
        <w:rPr>
          <w:rFonts w:eastAsia="Times New Roman" w:cs="Times New Roman"/>
          <w:szCs w:val="20"/>
          <w:vertAlign w:val="superscript"/>
          <w:lang w:val="en-US"/>
        </w:rPr>
        <w:footnoteReference w:id="26"/>
      </w:r>
      <w:r w:rsidRPr="00984AC2">
        <w:rPr>
          <w:rFonts w:eastAsia="Times New Roman" w:cs="Times New Roman"/>
          <w:szCs w:val="20"/>
          <w:lang w:val="en-US"/>
        </w:rPr>
        <w:t xml:space="preserve">  Among other things, the SEC staff requests (</w:t>
      </w:r>
      <w:r w:rsidRPr="00984AC2">
        <w:rPr>
          <w:rFonts w:eastAsia="Times New Roman" w:cs="Times New Roman"/>
          <w:i/>
          <w:szCs w:val="20"/>
          <w:lang w:val="en-US"/>
        </w:rPr>
        <w:t>i</w:t>
      </w:r>
      <w:r w:rsidRPr="00984AC2">
        <w:rPr>
          <w:rFonts w:eastAsia="Times New Roman" w:cs="Times New Roman"/>
          <w:szCs w:val="20"/>
          <w:lang w:val="en-US"/>
        </w:rPr>
        <w:t>) an inventory of compliance risks that forms the basis for policies and procedures and notations regarding changes made to the inventory; (</w:t>
      </w:r>
      <w:r w:rsidRPr="00984AC2">
        <w:rPr>
          <w:rFonts w:eastAsia="Times New Roman" w:cs="Times New Roman"/>
          <w:i/>
          <w:szCs w:val="20"/>
          <w:lang w:val="en-US"/>
        </w:rPr>
        <w:t>ii</w:t>
      </w:r>
      <w:r w:rsidRPr="00984AC2">
        <w:rPr>
          <w:rFonts w:eastAsia="Times New Roman" w:cs="Times New Roman"/>
          <w:szCs w:val="20"/>
          <w:lang w:val="en-US"/>
        </w:rPr>
        <w:t>) documents mapping the inventory of risks to written policies and procedures; and (</w:t>
      </w:r>
      <w:r w:rsidRPr="00984AC2">
        <w:rPr>
          <w:rFonts w:eastAsia="Times New Roman" w:cs="Times New Roman"/>
          <w:i/>
          <w:szCs w:val="20"/>
          <w:lang w:val="en-US"/>
        </w:rPr>
        <w:t>iii</w:t>
      </w:r>
      <w:r w:rsidRPr="00984AC2">
        <w:rPr>
          <w:rFonts w:eastAsia="Times New Roman" w:cs="Times New Roman"/>
          <w:szCs w:val="20"/>
          <w:lang w:val="en-US"/>
        </w:rPr>
        <w:t xml:space="preserve">) written guidance provided to employees regarding compliance risk assessment process and procedures to mitigate and manage compliance risks.  </w:t>
      </w:r>
    </w:p>
    <w:p w:rsidR="00CF0900" w:rsidRPr="00984AC2" w:rsidRDefault="00CF0900" w:rsidP="00EB48F8">
      <w:pPr>
        <w:keepNext/>
        <w:spacing w:before="240"/>
        <w:ind w:firstLine="720"/>
        <w:jc w:val="both"/>
        <w:outlineLvl w:val="1"/>
        <w:rPr>
          <w:rFonts w:eastAsia="Times New Roman" w:cs="Times New Roman"/>
          <w:szCs w:val="20"/>
          <w:u w:val="single"/>
          <w:lang w:val="en-US"/>
        </w:rPr>
      </w:pPr>
      <w:r w:rsidRPr="00984AC2">
        <w:rPr>
          <w:rFonts w:eastAsia="Times New Roman" w:cs="Times New Roman"/>
          <w:szCs w:val="20"/>
          <w:lang w:val="en-US"/>
        </w:rPr>
        <w:t xml:space="preserve">As relevant, the SEC staff has also emphasized the need for </w:t>
      </w:r>
      <w:r w:rsidR="00CA4CE6">
        <w:rPr>
          <w:rFonts w:eastAsia="Times New Roman" w:cs="Times New Roman"/>
          <w:szCs w:val="20"/>
          <w:lang w:val="en-US"/>
        </w:rPr>
        <w:t>liquidity issues to be considered</w:t>
      </w:r>
      <w:r w:rsidRPr="00984AC2">
        <w:rPr>
          <w:rFonts w:eastAsia="Times New Roman" w:cs="Times New Roman"/>
          <w:szCs w:val="20"/>
          <w:lang w:val="en-US"/>
        </w:rPr>
        <w:t xml:space="preserve">.  For example, in the public fund context, the SEC staff has urged </w:t>
      </w:r>
      <w:r w:rsidR="00CC3A5C">
        <w:rPr>
          <w:rFonts w:eastAsia="Times New Roman" w:cs="Times New Roman"/>
          <w:szCs w:val="20"/>
          <w:lang w:val="en-US"/>
        </w:rPr>
        <w:t>U</w:t>
      </w:r>
      <w:r w:rsidR="00CA4CE6">
        <w:rPr>
          <w:rFonts w:eastAsia="Times New Roman" w:cs="Times New Roman"/>
          <w:szCs w:val="20"/>
          <w:lang w:val="en-US"/>
        </w:rPr>
        <w:t>S AIFMs</w:t>
      </w:r>
      <w:r w:rsidRPr="00984AC2">
        <w:rPr>
          <w:rFonts w:eastAsia="Times New Roman" w:cs="Times New Roman"/>
          <w:szCs w:val="20"/>
          <w:lang w:val="en-US"/>
        </w:rPr>
        <w:t xml:space="preserve"> generally</w:t>
      </w:r>
      <w:r w:rsidR="00CA4CE6">
        <w:rPr>
          <w:rFonts w:eastAsia="Times New Roman" w:cs="Times New Roman"/>
          <w:szCs w:val="20"/>
          <w:lang w:val="en-US"/>
        </w:rPr>
        <w:t xml:space="preserve"> to</w:t>
      </w:r>
      <w:r w:rsidRPr="00984AC2">
        <w:rPr>
          <w:rFonts w:eastAsia="Times New Roman" w:cs="Times New Roman"/>
          <w:szCs w:val="20"/>
          <w:lang w:val="en-US"/>
        </w:rPr>
        <w:t xml:space="preserve"> assess overall fund liquidity and funds’ ability to meet potential redemp</w:t>
      </w:r>
      <w:r w:rsidRPr="00984AC2">
        <w:rPr>
          <w:rFonts w:eastAsia="Times New Roman" w:cs="Times New Roman"/>
          <w:szCs w:val="20"/>
          <w:lang w:val="en-US"/>
        </w:rPr>
        <w:softHyphen/>
        <w:t xml:space="preserve">tions in light of potential market volatility, including assessing their sources of liquidity (such as cash holdings and other assets that would not require selling into declining or dislocated markets if volatility or market stress increases).  In this connection, the staff has urged </w:t>
      </w:r>
      <w:r w:rsidR="004042CC">
        <w:rPr>
          <w:rFonts w:eastAsia="Times New Roman" w:cs="Times New Roman"/>
          <w:szCs w:val="20"/>
          <w:lang w:val="en-US"/>
        </w:rPr>
        <w:t>US AIFMs</w:t>
      </w:r>
      <w:r w:rsidRPr="00984AC2">
        <w:rPr>
          <w:rFonts w:eastAsia="Times New Roman" w:cs="Times New Roman"/>
          <w:szCs w:val="20"/>
          <w:lang w:val="en-US"/>
        </w:rPr>
        <w:t xml:space="preserve"> to consider assessing the impact (beyond just liquidity) of various stress-tests and/or other scenarios on funds.</w:t>
      </w:r>
      <w:r w:rsidRPr="00984AC2">
        <w:rPr>
          <w:rFonts w:eastAsia="Times New Roman" w:cs="Times New Roman"/>
          <w:szCs w:val="20"/>
          <w:vertAlign w:val="superscript"/>
          <w:lang w:val="en-US"/>
        </w:rPr>
        <w:footnoteReference w:id="27"/>
      </w:r>
      <w:r w:rsidRPr="00984AC2">
        <w:rPr>
          <w:rFonts w:eastAsia="Times New Roman" w:cs="Times New Roman"/>
          <w:szCs w:val="20"/>
          <w:lang w:val="en-US"/>
        </w:rPr>
        <w:t xml:space="preserve"> </w:t>
      </w:r>
    </w:p>
    <w:p w:rsidR="00CF0900" w:rsidRPr="000E0E09" w:rsidRDefault="00CF0900" w:rsidP="00EB48F8">
      <w:pPr>
        <w:pStyle w:val="BodyText"/>
        <w:keepNext/>
        <w:ind w:firstLine="0"/>
        <w:jc w:val="both"/>
        <w:rPr>
          <w:i/>
          <w:lang w:val="en-US"/>
        </w:rPr>
      </w:pPr>
      <w:r w:rsidRPr="000E0E09">
        <w:rPr>
          <w:i/>
          <w:lang w:val="en-US"/>
        </w:rPr>
        <w:t>(7)</w:t>
      </w:r>
      <w:r w:rsidRPr="000E0E09">
        <w:rPr>
          <w:i/>
          <w:lang w:val="en-US"/>
        </w:rPr>
        <w:tab/>
        <w:t>Code of Ethics; Personal Securities Trading</w:t>
      </w:r>
    </w:p>
    <w:p w:rsidR="00CF0900" w:rsidRDefault="00CF0900" w:rsidP="00EB48F8">
      <w:pPr>
        <w:ind w:firstLine="720"/>
        <w:jc w:val="both"/>
      </w:pPr>
      <w:r>
        <w:t xml:space="preserve">A </w:t>
      </w:r>
      <w:r w:rsidR="00CA4CE6">
        <w:t>US AIFM</w:t>
      </w:r>
      <w:r>
        <w:t xml:space="preserve"> must adopt a code of ethics that sets forth, among other things, a standard of conduct for its employees and requires compliance with federal securities laws.  The code of ethics also must require the </w:t>
      </w:r>
      <w:r w:rsidR="00CA4CE6">
        <w:t>US AIFM’s</w:t>
      </w:r>
      <w:r>
        <w:t xml:space="preserve"> “access persons” (employees with access to certain types of information) to periodically report their personal securities transactions and holdings to the </w:t>
      </w:r>
      <w:r w:rsidR="00CA4CE6">
        <w:t>US AIFM’s</w:t>
      </w:r>
      <w:r>
        <w:t xml:space="preserve"> chief compliance officer or other designated persons.  Certain types of personal securities transactions (such as purchases of IPOs and private placements) are subject to an enhanced review and approval process.  The code of ethics must also require the </w:t>
      </w:r>
      <w:r w:rsidR="00CA4CE6">
        <w:t>US AIFM</w:t>
      </w:r>
      <w:r>
        <w:t xml:space="preserve"> to review these reports.  The transaction reports must be retained in the </w:t>
      </w:r>
      <w:r w:rsidR="00CA4CE6">
        <w:t>US AIFM’s</w:t>
      </w:r>
      <w:r>
        <w:t xml:space="preserve"> books and records for SEC review.  </w:t>
      </w:r>
    </w:p>
    <w:p w:rsidR="00CF0900" w:rsidRDefault="00CF0900" w:rsidP="00EB48F8">
      <w:pPr>
        <w:pStyle w:val="BodyText"/>
        <w:keepNext/>
        <w:ind w:firstLine="0"/>
        <w:jc w:val="both"/>
      </w:pPr>
      <w:r w:rsidRPr="000E0E09">
        <w:rPr>
          <w:i/>
        </w:rPr>
        <w:lastRenderedPageBreak/>
        <w:t>(8)</w:t>
      </w:r>
      <w:r>
        <w:tab/>
      </w:r>
      <w:r w:rsidRPr="000E0E09">
        <w:rPr>
          <w:i/>
        </w:rPr>
        <w:t xml:space="preserve">Policies </w:t>
      </w:r>
      <w:r w:rsidR="009D7E98">
        <w:rPr>
          <w:i/>
        </w:rPr>
        <w:t>to Prevent the Misuse of Non-P</w:t>
      </w:r>
      <w:r w:rsidRPr="000E0E09">
        <w:rPr>
          <w:i/>
        </w:rPr>
        <w:t>ublic Information</w:t>
      </w:r>
    </w:p>
    <w:p w:rsidR="00CF0900" w:rsidRDefault="00CF0900" w:rsidP="00EB48F8">
      <w:pPr>
        <w:pStyle w:val="BodyText"/>
        <w:jc w:val="both"/>
        <w:rPr>
          <w:lang w:val="en-US"/>
        </w:rPr>
      </w:pPr>
      <w:r w:rsidRPr="000E0E09">
        <w:rPr>
          <w:lang w:val="en-US"/>
        </w:rPr>
        <w:t xml:space="preserve">A </w:t>
      </w:r>
      <w:r w:rsidR="00CC3A5C">
        <w:rPr>
          <w:lang w:val="en-US"/>
        </w:rPr>
        <w:t>U</w:t>
      </w:r>
      <w:r w:rsidR="00CA4CE6">
        <w:rPr>
          <w:lang w:val="en-US"/>
        </w:rPr>
        <w:t>S AIFM</w:t>
      </w:r>
      <w:r w:rsidRPr="000E0E09">
        <w:rPr>
          <w:lang w:val="en-US"/>
        </w:rPr>
        <w:t xml:space="preserve"> must establish, maintain and enforce written policies and procedures reasonably designed to prevent the misuse of material non-public information by the </w:t>
      </w:r>
      <w:r w:rsidR="00CA4CE6">
        <w:rPr>
          <w:lang w:val="en-US"/>
        </w:rPr>
        <w:t>US AIFM</w:t>
      </w:r>
      <w:r w:rsidRPr="000E0E09">
        <w:rPr>
          <w:lang w:val="en-US"/>
        </w:rPr>
        <w:t xml:space="preserve"> or any person associated with the </w:t>
      </w:r>
      <w:r w:rsidR="00CA4CE6">
        <w:rPr>
          <w:lang w:val="en-US"/>
        </w:rPr>
        <w:t>US AIFM</w:t>
      </w:r>
      <w:r w:rsidRPr="000E0E09">
        <w:rPr>
          <w:lang w:val="en-US"/>
        </w:rPr>
        <w:t>.</w:t>
      </w:r>
    </w:p>
    <w:p w:rsidR="00CF0900" w:rsidRPr="00F144ED" w:rsidRDefault="00CF0900" w:rsidP="00EB48F8">
      <w:pPr>
        <w:pStyle w:val="BodyText"/>
        <w:keepNext/>
        <w:ind w:firstLine="0"/>
        <w:jc w:val="both"/>
        <w:rPr>
          <w:i/>
          <w:lang w:val="en-US"/>
        </w:rPr>
      </w:pPr>
      <w:r w:rsidRPr="00F144ED">
        <w:rPr>
          <w:i/>
          <w:lang w:val="en-US"/>
        </w:rPr>
        <w:t>(9)</w:t>
      </w:r>
      <w:r w:rsidRPr="00F144ED">
        <w:rPr>
          <w:i/>
          <w:lang w:val="en-US"/>
        </w:rPr>
        <w:tab/>
        <w:t>Anti</w:t>
      </w:r>
      <w:r w:rsidR="00475CF8">
        <w:rPr>
          <w:i/>
          <w:lang w:val="en-US"/>
        </w:rPr>
        <w:t>-</w:t>
      </w:r>
      <w:r w:rsidRPr="00F144ED">
        <w:rPr>
          <w:i/>
          <w:lang w:val="en-US"/>
        </w:rPr>
        <w:t>fraud Provisions</w:t>
      </w:r>
    </w:p>
    <w:p w:rsidR="00CF0900" w:rsidRDefault="00CF0900" w:rsidP="00EB48F8">
      <w:pPr>
        <w:pStyle w:val="BodyText"/>
        <w:jc w:val="both"/>
      </w:pPr>
      <w:r>
        <w:t>The anti</w:t>
      </w:r>
      <w:r w:rsidR="00475CF8">
        <w:t>-</w:t>
      </w:r>
      <w:r>
        <w:t>fraud provisions are at the heart of the Advisers Act and are the basis for many SEC enforcement p</w:t>
      </w:r>
      <w:r w:rsidR="00475CF8">
        <w:t>roceedings.  The statutory anti-</w:t>
      </w:r>
      <w:r>
        <w:t xml:space="preserve">fraud provision makes it </w:t>
      </w:r>
      <w:r w:rsidRPr="00EB53D2">
        <w:rPr>
          <w:lang w:val="x-none"/>
        </w:rPr>
        <w:t xml:space="preserve">unlawful for any </w:t>
      </w:r>
      <w:r w:rsidR="00CA4CE6">
        <w:t>US AIFM</w:t>
      </w:r>
      <w:r>
        <w:t xml:space="preserve"> </w:t>
      </w:r>
      <w:r w:rsidRPr="00EB53D2">
        <w:rPr>
          <w:lang w:val="x-none"/>
        </w:rPr>
        <w:t>(</w:t>
      </w:r>
      <w:r w:rsidRPr="006921BC">
        <w:rPr>
          <w:i/>
        </w:rPr>
        <w:t>i</w:t>
      </w:r>
      <w:r w:rsidRPr="00EB53D2">
        <w:rPr>
          <w:lang w:val="x-none"/>
        </w:rPr>
        <w:t>)</w:t>
      </w:r>
      <w:r>
        <w:t> </w:t>
      </w:r>
      <w:r w:rsidRPr="00EB53D2">
        <w:rPr>
          <w:lang w:val="x-none"/>
        </w:rPr>
        <w:t>to employ any device, scheme, or artifice to defraud any</w:t>
      </w:r>
      <w:r>
        <w:t xml:space="preserve"> </w:t>
      </w:r>
      <w:r w:rsidRPr="00EB53D2">
        <w:rPr>
          <w:lang w:val="x-none"/>
        </w:rPr>
        <w:t>client or prospective client</w:t>
      </w:r>
      <w:r>
        <w:t xml:space="preserve"> or </w:t>
      </w:r>
      <w:r w:rsidRPr="00EB53D2">
        <w:rPr>
          <w:lang w:val="x-none"/>
        </w:rPr>
        <w:t>(</w:t>
      </w:r>
      <w:r w:rsidRPr="006921BC">
        <w:rPr>
          <w:i/>
        </w:rPr>
        <w:t>ii</w:t>
      </w:r>
      <w:r w:rsidRPr="00EB53D2">
        <w:rPr>
          <w:lang w:val="x-none"/>
        </w:rPr>
        <w:t>)</w:t>
      </w:r>
      <w:r>
        <w:t> </w:t>
      </w:r>
      <w:r w:rsidRPr="00EB53D2">
        <w:rPr>
          <w:lang w:val="x-none"/>
        </w:rPr>
        <w:t>to engage in any transaction, practice, or course of business</w:t>
      </w:r>
      <w:r>
        <w:t xml:space="preserve"> </w:t>
      </w:r>
      <w:r w:rsidRPr="00EB53D2">
        <w:rPr>
          <w:lang w:val="x-none"/>
        </w:rPr>
        <w:t>which operates as a fraud or deceit upon any client or</w:t>
      </w:r>
      <w:r>
        <w:t xml:space="preserve"> </w:t>
      </w:r>
      <w:r w:rsidRPr="00EB53D2">
        <w:rPr>
          <w:lang w:val="x-none"/>
        </w:rPr>
        <w:t>prospective client</w:t>
      </w:r>
      <w:r>
        <w:t>.  This provision also prohibits a</w:t>
      </w:r>
      <w:r w:rsidR="00CA4CE6">
        <w:t xml:space="preserve"> US AIFM</w:t>
      </w:r>
      <w:r>
        <w:t xml:space="preserve"> from engaging in certain principal and agency transactions with its clients without client consent.  T</w:t>
      </w:r>
      <w:r w:rsidRPr="00350C74">
        <w:t>he anti</w:t>
      </w:r>
      <w:r w:rsidR="00475CF8">
        <w:t>-</w:t>
      </w:r>
      <w:r w:rsidRPr="00350C74">
        <w:t xml:space="preserve">fraud provisions </w:t>
      </w:r>
      <w:r w:rsidR="00CA4CE6">
        <w:t xml:space="preserve">of the Advisers Act </w:t>
      </w:r>
      <w:r w:rsidRPr="00350C74">
        <w:t>have been interpreted to impose on the</w:t>
      </w:r>
      <w:r w:rsidR="00CA4CE6">
        <w:t xml:space="preserve"> US AIFM</w:t>
      </w:r>
      <w:r w:rsidRPr="00350C74">
        <w:t xml:space="preserve"> an affirmative duty of utmost good faith to act solely in the best interests of its clients and to make full and fair disclosure of all material facts, particularly where the </w:t>
      </w:r>
      <w:r w:rsidR="00CA4CE6">
        <w:t>US AIFM’s</w:t>
      </w:r>
      <w:r w:rsidRPr="00350C74">
        <w:t xml:space="preserve"> interests conflict with those of its clients.</w:t>
      </w:r>
    </w:p>
    <w:p w:rsidR="00CF0900" w:rsidRPr="005A2D82" w:rsidRDefault="00CF0900" w:rsidP="00EB48F8">
      <w:pPr>
        <w:pStyle w:val="BodyText"/>
        <w:jc w:val="both"/>
      </w:pPr>
      <w:r>
        <w:t>The SEC also has adopted a number of specific anti</w:t>
      </w:r>
      <w:r w:rsidR="00475CF8">
        <w:t>-</w:t>
      </w:r>
      <w:r>
        <w:t xml:space="preserve">fraud rules governing, among other things, advertisements, the custody of client assets, </w:t>
      </w:r>
      <w:proofErr w:type="gramStart"/>
      <w:r>
        <w:t>the</w:t>
      </w:r>
      <w:proofErr w:type="gramEnd"/>
      <w:r>
        <w:t xml:space="preserve"> use of client solicitors, political contributions and proxy voting.  These rules are described below.  In addition, as described above, the SEC has adopted Rule 206(4)-7, which requires, among other things, the adoption of compliance policies and procedures and the appointment of a chief compliance officer.  </w:t>
      </w:r>
      <w:r w:rsidRPr="003F33A5">
        <w:t>The SEC has also adopted a</w:t>
      </w:r>
      <w:r>
        <w:t xml:space="preserve"> general </w:t>
      </w:r>
      <w:r w:rsidRPr="003F33A5">
        <w:t>anti</w:t>
      </w:r>
      <w:r w:rsidR="00475CF8">
        <w:t>-</w:t>
      </w:r>
      <w:r w:rsidRPr="003F33A5">
        <w:t>fraud rule</w:t>
      </w:r>
      <w:r>
        <w:t xml:space="preserve"> (Rule 206(4)-8)</w:t>
      </w:r>
      <w:r w:rsidRPr="003F33A5">
        <w:t xml:space="preserve"> that prohibits conduct that defrauds investors or prospective investors in pooled investment vehicles mana</w:t>
      </w:r>
      <w:r>
        <w:t xml:space="preserve">ged by the </w:t>
      </w:r>
      <w:r w:rsidR="00CA4CE6">
        <w:t>US AIFM</w:t>
      </w:r>
      <w:r>
        <w:t>.</w:t>
      </w:r>
    </w:p>
    <w:p w:rsidR="00CF0900" w:rsidRPr="00F144ED" w:rsidRDefault="00EB48F8" w:rsidP="00EB48F8">
      <w:pPr>
        <w:keepNext/>
        <w:numPr>
          <w:ilvl w:val="2"/>
          <w:numId w:val="0"/>
        </w:numPr>
        <w:tabs>
          <w:tab w:val="num" w:pos="1800"/>
        </w:tabs>
        <w:ind w:left="567"/>
        <w:jc w:val="both"/>
        <w:outlineLvl w:val="2"/>
        <w:rPr>
          <w:rFonts w:eastAsia="Times New Roman" w:cs="Times New Roman"/>
          <w:i/>
          <w:szCs w:val="20"/>
          <w:lang w:val="en-US"/>
        </w:rPr>
      </w:pPr>
      <w:r>
        <w:rPr>
          <w:rFonts w:eastAsia="Times New Roman" w:cs="Times New Roman"/>
          <w:szCs w:val="20"/>
          <w:lang w:val="en-US"/>
        </w:rPr>
        <w:t>(A)</w:t>
      </w:r>
      <w:r>
        <w:rPr>
          <w:rFonts w:eastAsia="Times New Roman" w:cs="Times New Roman"/>
          <w:szCs w:val="20"/>
          <w:lang w:val="en-US"/>
        </w:rPr>
        <w:tab/>
      </w:r>
      <w:r w:rsidR="00CF0900" w:rsidRPr="00F144ED">
        <w:rPr>
          <w:rFonts w:eastAsia="Times New Roman" w:cs="Times New Roman"/>
          <w:szCs w:val="20"/>
          <w:lang w:val="en-US"/>
        </w:rPr>
        <w:t>Advertising Restrictions</w:t>
      </w:r>
    </w:p>
    <w:p w:rsidR="00CF0900" w:rsidRPr="00F144ED" w:rsidRDefault="00CF0900" w:rsidP="00EB48F8">
      <w:pPr>
        <w:ind w:firstLine="720"/>
        <w:jc w:val="both"/>
        <w:rPr>
          <w:rFonts w:eastAsia="Times New Roman" w:cs="Times New Roman"/>
          <w:szCs w:val="20"/>
          <w:lang w:val="en-US"/>
        </w:rPr>
      </w:pPr>
      <w:r w:rsidRPr="00F144ED">
        <w:rPr>
          <w:rFonts w:eastAsia="Times New Roman" w:cs="Times New Roman"/>
          <w:szCs w:val="20"/>
          <w:lang w:val="en-US"/>
        </w:rPr>
        <w:t xml:space="preserve">Generally, the Advisers Act prohibits </w:t>
      </w:r>
      <w:r w:rsidR="004042CC">
        <w:rPr>
          <w:rFonts w:eastAsia="Times New Roman" w:cs="Times New Roman"/>
          <w:szCs w:val="20"/>
          <w:lang w:val="en-US"/>
        </w:rPr>
        <w:t>US AIFMs</w:t>
      </w:r>
      <w:r w:rsidRPr="00F144ED">
        <w:rPr>
          <w:rFonts w:eastAsia="Times New Roman" w:cs="Times New Roman"/>
          <w:szCs w:val="20"/>
          <w:lang w:val="en-US"/>
        </w:rPr>
        <w:t xml:space="preserve"> from distributing any advertisement that, among other things, contains untrue statements of material fact or that is otherwise false or misleading.  Rule 206(4)-1 prohibits, among other things, the use of testimonials in advertisements and sets forth conditions for disclosing prior recommendations of the </w:t>
      </w:r>
      <w:r w:rsidR="004042CC">
        <w:rPr>
          <w:rFonts w:eastAsia="Times New Roman" w:cs="Times New Roman"/>
          <w:szCs w:val="20"/>
          <w:lang w:val="en-US"/>
        </w:rPr>
        <w:t>US AIFM</w:t>
      </w:r>
      <w:r w:rsidRPr="00F144ED">
        <w:rPr>
          <w:rFonts w:eastAsia="Times New Roman" w:cs="Times New Roman"/>
          <w:szCs w:val="20"/>
          <w:lang w:val="en-US"/>
        </w:rPr>
        <w:t>.  In addition, the SEC has issued a number of “no-action” letters setting forth its views on the manner in which prior performance may be presented.</w:t>
      </w:r>
    </w:p>
    <w:p w:rsidR="00CF0900" w:rsidRPr="00F144ED" w:rsidRDefault="00CF0900" w:rsidP="00EB48F8">
      <w:pPr>
        <w:keepNext/>
        <w:numPr>
          <w:ilvl w:val="2"/>
          <w:numId w:val="0"/>
        </w:numPr>
        <w:tabs>
          <w:tab w:val="num" w:pos="1800"/>
        </w:tabs>
        <w:ind w:left="567"/>
        <w:jc w:val="both"/>
        <w:outlineLvl w:val="2"/>
        <w:rPr>
          <w:rFonts w:eastAsia="Times New Roman" w:cs="Times New Roman"/>
          <w:szCs w:val="20"/>
          <w:lang w:val="en-US"/>
        </w:rPr>
      </w:pPr>
      <w:r w:rsidRPr="00F144ED">
        <w:rPr>
          <w:rFonts w:eastAsia="Times New Roman" w:cs="Times New Roman"/>
          <w:szCs w:val="20"/>
          <w:lang w:val="en-US"/>
        </w:rPr>
        <w:t>(B)</w:t>
      </w:r>
      <w:r w:rsidRPr="00F144ED">
        <w:rPr>
          <w:rFonts w:eastAsia="Times New Roman" w:cs="Times New Roman"/>
          <w:szCs w:val="20"/>
          <w:lang w:val="en-US"/>
        </w:rPr>
        <w:tab/>
        <w:t>Custody of Client Assets</w:t>
      </w:r>
    </w:p>
    <w:p w:rsidR="00CF0900" w:rsidRPr="00F144ED" w:rsidRDefault="00CF0900" w:rsidP="00EB48F8">
      <w:pPr>
        <w:ind w:firstLine="720"/>
        <w:jc w:val="both"/>
        <w:rPr>
          <w:rFonts w:eastAsia="Times New Roman" w:cs="Times New Roman"/>
          <w:szCs w:val="20"/>
          <w:lang w:val="en-US"/>
        </w:rPr>
      </w:pPr>
      <w:r w:rsidRPr="00F144ED">
        <w:rPr>
          <w:rFonts w:eastAsia="Times New Roman" w:cs="Times New Roman"/>
          <w:szCs w:val="20"/>
          <w:lang w:val="en-US"/>
        </w:rPr>
        <w:t>The safeguarding of client assets is a key concern of the SEC.  Rule 206(4)-2 (the “</w:t>
      </w:r>
      <w:r w:rsidRPr="00F144ED">
        <w:rPr>
          <w:rFonts w:eastAsia="Times New Roman" w:cs="Times New Roman"/>
          <w:szCs w:val="20"/>
          <w:u w:val="single"/>
          <w:lang w:val="en-US"/>
        </w:rPr>
        <w:t>Custody Rule</w:t>
      </w:r>
      <w:r w:rsidRPr="00F144ED">
        <w:rPr>
          <w:rFonts w:eastAsia="Times New Roman" w:cs="Times New Roman"/>
          <w:szCs w:val="20"/>
          <w:lang w:val="en-US"/>
        </w:rPr>
        <w:t xml:space="preserve">”) requires that a </w:t>
      </w:r>
      <w:r w:rsidR="004042CC">
        <w:rPr>
          <w:rFonts w:eastAsia="Times New Roman" w:cs="Times New Roman"/>
          <w:szCs w:val="20"/>
          <w:lang w:val="en-US"/>
        </w:rPr>
        <w:t>US AIFM</w:t>
      </w:r>
      <w:r w:rsidRPr="00F144ED">
        <w:rPr>
          <w:rFonts w:eastAsia="Times New Roman" w:cs="Times New Roman"/>
          <w:szCs w:val="20"/>
          <w:lang w:val="en-US"/>
        </w:rPr>
        <w:t xml:space="preserve"> having “custody” of client funds or securities maintain them with a “Qualified Custodian” such as a bank, registered broker-dealer, registered futures commission merchant or foreign financial institution that customarily holds financial assets for its customers.  The Custody Rule also requires, among other things, that an independent accountant verify the existence of </w:t>
      </w:r>
      <w:r w:rsidRPr="00F144ED">
        <w:rPr>
          <w:rFonts w:eastAsia="Times New Roman" w:cs="Times New Roman"/>
          <w:szCs w:val="20"/>
          <w:lang w:val="en-US"/>
        </w:rPr>
        <w:lastRenderedPageBreak/>
        <w:t>the client funds and securities either through a “surprise” examination or, if the client is a pooled investment vehicle, an annual audit.</w:t>
      </w:r>
    </w:p>
    <w:p w:rsidR="00CF0900" w:rsidRPr="00F144ED" w:rsidRDefault="00CF0900" w:rsidP="00EB48F8">
      <w:pPr>
        <w:ind w:firstLine="720"/>
        <w:jc w:val="both"/>
        <w:rPr>
          <w:rFonts w:eastAsia="Times New Roman" w:cs="Times New Roman"/>
          <w:szCs w:val="20"/>
          <w:lang w:val="en-US"/>
        </w:rPr>
      </w:pPr>
      <w:r w:rsidRPr="00F144ED">
        <w:rPr>
          <w:rFonts w:eastAsia="Times New Roman" w:cs="Times New Roman"/>
          <w:szCs w:val="20"/>
          <w:lang w:val="en-US"/>
        </w:rPr>
        <w:t>The term “custody” is broadly defined under the Custody Rule.  A</w:t>
      </w:r>
      <w:r w:rsidR="004042CC">
        <w:rPr>
          <w:rFonts w:eastAsia="Times New Roman" w:cs="Times New Roman"/>
          <w:szCs w:val="20"/>
          <w:lang w:val="en-US"/>
        </w:rPr>
        <w:t xml:space="preserve"> US AIFM</w:t>
      </w:r>
      <w:r w:rsidRPr="00F144ED">
        <w:rPr>
          <w:rFonts w:eastAsia="Times New Roman" w:cs="Times New Roman"/>
          <w:szCs w:val="20"/>
          <w:lang w:val="en-US"/>
        </w:rPr>
        <w:t xml:space="preserve"> has custody if “it holds, directly or indirectly, client funds or securities or has any authority to obtain possession of them” either directly or through a related person. For example, the general partner of an </w:t>
      </w:r>
      <w:r w:rsidR="00CA645C">
        <w:rPr>
          <w:rFonts w:eastAsia="Times New Roman" w:cs="Times New Roman"/>
          <w:szCs w:val="20"/>
          <w:lang w:val="en-US"/>
        </w:rPr>
        <w:t>AIF</w:t>
      </w:r>
      <w:r w:rsidRPr="00F144ED">
        <w:rPr>
          <w:rFonts w:eastAsia="Times New Roman" w:cs="Times New Roman"/>
          <w:szCs w:val="20"/>
          <w:lang w:val="en-US"/>
        </w:rPr>
        <w:t xml:space="preserve"> (and any manager that is a related person of the general partner) is deemed to have custody of the fund’s assets.</w:t>
      </w:r>
    </w:p>
    <w:p w:rsidR="00CF0900" w:rsidRPr="00F144ED" w:rsidRDefault="00CF0900" w:rsidP="00EB48F8">
      <w:pPr>
        <w:keepNext/>
        <w:numPr>
          <w:ilvl w:val="2"/>
          <w:numId w:val="0"/>
        </w:numPr>
        <w:tabs>
          <w:tab w:val="num" w:pos="1800"/>
        </w:tabs>
        <w:ind w:left="567"/>
        <w:jc w:val="both"/>
        <w:outlineLvl w:val="2"/>
        <w:rPr>
          <w:rFonts w:eastAsia="Times New Roman" w:cs="Times New Roman"/>
          <w:szCs w:val="20"/>
          <w:lang w:val="en-US"/>
        </w:rPr>
      </w:pPr>
      <w:r w:rsidRPr="00F144ED">
        <w:rPr>
          <w:rFonts w:eastAsia="Times New Roman" w:cs="Times New Roman"/>
          <w:szCs w:val="20"/>
          <w:lang w:val="en-US"/>
        </w:rPr>
        <w:t>(C)</w:t>
      </w:r>
      <w:r w:rsidRPr="00F144ED">
        <w:rPr>
          <w:rFonts w:eastAsia="Times New Roman" w:cs="Times New Roman"/>
          <w:szCs w:val="20"/>
          <w:lang w:val="en-US"/>
        </w:rPr>
        <w:tab/>
        <w:t>Use of Solicitors</w:t>
      </w:r>
    </w:p>
    <w:p w:rsidR="00CF0900" w:rsidRPr="00F144ED" w:rsidRDefault="00CF0900" w:rsidP="00EB48F8">
      <w:pPr>
        <w:ind w:firstLine="720"/>
        <w:jc w:val="both"/>
        <w:rPr>
          <w:rFonts w:eastAsia="Times New Roman" w:cs="Times New Roman"/>
          <w:szCs w:val="20"/>
          <w:lang w:val="en-US"/>
        </w:rPr>
      </w:pPr>
      <w:r w:rsidRPr="00F144ED">
        <w:rPr>
          <w:rFonts w:eastAsia="Times New Roman" w:cs="Times New Roman"/>
          <w:lang w:val="en-US"/>
        </w:rPr>
        <w:t xml:space="preserve">Some </w:t>
      </w:r>
      <w:r w:rsidR="00614FEC">
        <w:rPr>
          <w:rFonts w:eastAsia="Times New Roman" w:cs="Times New Roman"/>
          <w:lang w:val="en-US"/>
        </w:rPr>
        <w:t>US AIFMs</w:t>
      </w:r>
      <w:r w:rsidRPr="00F144ED">
        <w:rPr>
          <w:rFonts w:eastAsia="Times New Roman" w:cs="Times New Roman"/>
          <w:lang w:val="en-US"/>
        </w:rPr>
        <w:t xml:space="preserve"> retain solicitors to assist them in establishing client relationships.  Rule 206(4)-3 under the Advisers Act requires that the </w:t>
      </w:r>
      <w:r w:rsidR="004042CC">
        <w:rPr>
          <w:rFonts w:eastAsia="Times New Roman" w:cs="Times New Roman"/>
          <w:lang w:val="en-US"/>
        </w:rPr>
        <w:t>US AIFM</w:t>
      </w:r>
      <w:r w:rsidRPr="00F144ED">
        <w:rPr>
          <w:rFonts w:eastAsia="Times New Roman" w:cs="Times New Roman"/>
          <w:lang w:val="en-US"/>
        </w:rPr>
        <w:t xml:space="preserve"> enter into a written agreement with any such solicitor addressing certain matters, oversee the activities of the solicitor and arrange for the solicitor to provide certain disclosures to clients.</w:t>
      </w:r>
    </w:p>
    <w:p w:rsidR="00CF0900" w:rsidRPr="00F144ED" w:rsidRDefault="00CF0900" w:rsidP="00EB48F8">
      <w:pPr>
        <w:keepNext/>
        <w:numPr>
          <w:ilvl w:val="2"/>
          <w:numId w:val="0"/>
        </w:numPr>
        <w:tabs>
          <w:tab w:val="num" w:pos="1800"/>
        </w:tabs>
        <w:ind w:left="567"/>
        <w:jc w:val="both"/>
        <w:outlineLvl w:val="2"/>
        <w:rPr>
          <w:rFonts w:eastAsia="Times New Roman" w:cs="Times New Roman"/>
          <w:szCs w:val="20"/>
          <w:lang w:val="en-US"/>
        </w:rPr>
      </w:pPr>
      <w:r w:rsidRPr="00F144ED">
        <w:rPr>
          <w:rFonts w:eastAsia="Times New Roman" w:cs="Times New Roman"/>
          <w:szCs w:val="20"/>
          <w:lang w:val="en-US"/>
        </w:rPr>
        <w:t>(D)</w:t>
      </w:r>
      <w:r w:rsidRPr="00F144ED">
        <w:rPr>
          <w:rFonts w:eastAsia="Times New Roman" w:cs="Times New Roman"/>
          <w:szCs w:val="20"/>
          <w:lang w:val="en-US"/>
        </w:rPr>
        <w:tab/>
        <w:t>Pay-to-Play Prohibitions</w:t>
      </w:r>
    </w:p>
    <w:p w:rsidR="00CF0900" w:rsidRPr="00F144ED" w:rsidRDefault="00CF0900" w:rsidP="00EB48F8">
      <w:pPr>
        <w:ind w:firstLine="720"/>
        <w:jc w:val="both"/>
        <w:rPr>
          <w:rFonts w:eastAsia="Times New Roman" w:cs="Times New Roman"/>
          <w:szCs w:val="20"/>
          <w:lang w:val="en-US"/>
        </w:rPr>
      </w:pPr>
      <w:r w:rsidRPr="00F144ED">
        <w:rPr>
          <w:rFonts w:eastAsia="Times New Roman" w:cs="Times New Roman"/>
          <w:szCs w:val="20"/>
          <w:lang w:val="en-US"/>
        </w:rPr>
        <w:t xml:space="preserve">Rule 206(4)-5 under the Advisers Act is designed to prohibit certain practices relating to the solicitation of business from </w:t>
      </w:r>
      <w:r w:rsidR="00F468E9">
        <w:rPr>
          <w:rFonts w:eastAsia="Times New Roman" w:cs="Times New Roman"/>
          <w:szCs w:val="20"/>
          <w:lang w:val="en-US"/>
        </w:rPr>
        <w:t>US</w:t>
      </w:r>
      <w:r w:rsidRPr="00F144ED">
        <w:rPr>
          <w:rFonts w:eastAsia="Times New Roman" w:cs="Times New Roman"/>
          <w:szCs w:val="20"/>
          <w:lang w:val="en-US"/>
        </w:rPr>
        <w:t xml:space="preserve"> state and local governments (generally characterized as “pay to play” practices).  The rule, in effect, imposes significant restrictions on the political contributions and certain other fundraising activities by a</w:t>
      </w:r>
      <w:r w:rsidR="004042CC">
        <w:rPr>
          <w:rFonts w:eastAsia="Times New Roman" w:cs="Times New Roman"/>
          <w:szCs w:val="20"/>
          <w:lang w:val="en-US"/>
        </w:rPr>
        <w:t xml:space="preserve"> US AIFM</w:t>
      </w:r>
      <w:r w:rsidRPr="00F144ED">
        <w:rPr>
          <w:rFonts w:eastAsia="Times New Roman" w:cs="Times New Roman"/>
          <w:szCs w:val="20"/>
          <w:lang w:val="en-US"/>
        </w:rPr>
        <w:t xml:space="preserve"> and its affiliates, officers and employees when the </w:t>
      </w:r>
      <w:r w:rsidR="004042CC">
        <w:rPr>
          <w:rFonts w:eastAsia="Times New Roman" w:cs="Times New Roman"/>
          <w:szCs w:val="20"/>
          <w:lang w:val="en-US"/>
        </w:rPr>
        <w:t>US AIFM</w:t>
      </w:r>
      <w:r w:rsidRPr="00F144ED">
        <w:rPr>
          <w:rFonts w:eastAsia="Times New Roman" w:cs="Times New Roman"/>
          <w:szCs w:val="20"/>
          <w:lang w:val="en-US"/>
        </w:rPr>
        <w:t xml:space="preserve"> provides (or is seeking to provide) advice to local or state government entities, whether directly or through a</w:t>
      </w:r>
      <w:r w:rsidR="004042CC">
        <w:rPr>
          <w:rFonts w:eastAsia="Times New Roman" w:cs="Times New Roman"/>
          <w:szCs w:val="20"/>
          <w:lang w:val="en-US"/>
        </w:rPr>
        <w:t>n</w:t>
      </w:r>
      <w:r w:rsidRPr="00F144ED">
        <w:rPr>
          <w:rFonts w:eastAsia="Times New Roman" w:cs="Times New Roman"/>
          <w:szCs w:val="20"/>
          <w:lang w:val="en-US"/>
        </w:rPr>
        <w:t xml:space="preserve"> </w:t>
      </w:r>
      <w:r w:rsidR="00CA645C">
        <w:rPr>
          <w:rFonts w:eastAsia="Times New Roman" w:cs="Times New Roman"/>
          <w:szCs w:val="20"/>
          <w:lang w:val="en-US"/>
        </w:rPr>
        <w:t>AIF</w:t>
      </w:r>
      <w:r w:rsidRPr="00F144ED">
        <w:rPr>
          <w:rFonts w:eastAsia="Times New Roman" w:cs="Times New Roman"/>
          <w:szCs w:val="20"/>
          <w:lang w:val="en-US"/>
        </w:rPr>
        <w:t xml:space="preserve">.  </w:t>
      </w:r>
    </w:p>
    <w:p w:rsidR="00CF0900" w:rsidRPr="00F144ED" w:rsidRDefault="00CF0900" w:rsidP="00EB48F8">
      <w:pPr>
        <w:keepNext/>
        <w:numPr>
          <w:ilvl w:val="2"/>
          <w:numId w:val="0"/>
        </w:numPr>
        <w:tabs>
          <w:tab w:val="num" w:pos="1800"/>
        </w:tabs>
        <w:ind w:left="567"/>
        <w:jc w:val="both"/>
        <w:outlineLvl w:val="2"/>
        <w:rPr>
          <w:rFonts w:eastAsia="Times New Roman" w:cs="Times New Roman"/>
          <w:szCs w:val="20"/>
          <w:lang w:val="en-US"/>
        </w:rPr>
      </w:pPr>
      <w:r w:rsidRPr="00F144ED">
        <w:rPr>
          <w:rFonts w:eastAsia="Times New Roman" w:cs="Times New Roman"/>
          <w:szCs w:val="20"/>
          <w:lang w:val="en-US"/>
        </w:rPr>
        <w:t>(E)</w:t>
      </w:r>
      <w:r w:rsidRPr="00F144ED">
        <w:rPr>
          <w:rFonts w:eastAsia="Times New Roman" w:cs="Times New Roman"/>
          <w:szCs w:val="20"/>
          <w:lang w:val="en-US"/>
        </w:rPr>
        <w:tab/>
        <w:t>Proxy Voting</w:t>
      </w:r>
    </w:p>
    <w:p w:rsidR="00CF0900" w:rsidRPr="00F144ED" w:rsidRDefault="00CF0900" w:rsidP="00EB48F8">
      <w:pPr>
        <w:ind w:firstLine="720"/>
        <w:jc w:val="both"/>
        <w:rPr>
          <w:rFonts w:eastAsia="Times New Roman" w:cs="Times New Roman"/>
          <w:szCs w:val="20"/>
          <w:lang w:val="en-US"/>
        </w:rPr>
      </w:pPr>
      <w:r w:rsidRPr="00F144ED">
        <w:rPr>
          <w:rFonts w:eastAsia="Times New Roman" w:cs="Times New Roman"/>
          <w:szCs w:val="20"/>
          <w:lang w:val="en-US"/>
        </w:rPr>
        <w:t xml:space="preserve">A </w:t>
      </w:r>
      <w:r w:rsidR="004042CC">
        <w:rPr>
          <w:rFonts w:eastAsia="Times New Roman" w:cs="Times New Roman"/>
          <w:szCs w:val="20"/>
          <w:lang w:val="en-US"/>
        </w:rPr>
        <w:t>US AIFM</w:t>
      </w:r>
      <w:r w:rsidRPr="00F144ED">
        <w:rPr>
          <w:rFonts w:eastAsia="Times New Roman" w:cs="Times New Roman"/>
          <w:szCs w:val="20"/>
          <w:lang w:val="en-US"/>
        </w:rPr>
        <w:t xml:space="preserve"> must have written proxy voting policies and procedures that are reasonably designed to ensure that the </w:t>
      </w:r>
      <w:r w:rsidR="004042CC">
        <w:rPr>
          <w:rFonts w:eastAsia="Times New Roman" w:cs="Times New Roman"/>
          <w:szCs w:val="20"/>
          <w:lang w:val="en-US"/>
        </w:rPr>
        <w:t>US AIFM</w:t>
      </w:r>
      <w:r w:rsidRPr="00F144ED">
        <w:rPr>
          <w:rFonts w:eastAsia="Times New Roman" w:cs="Times New Roman"/>
          <w:szCs w:val="20"/>
          <w:lang w:val="en-US"/>
        </w:rPr>
        <w:t xml:space="preserve"> votes proxies in the best interest of clients.  In addition, </w:t>
      </w:r>
      <w:r w:rsidR="00614FEC">
        <w:rPr>
          <w:rFonts w:eastAsia="Times New Roman" w:cs="Times New Roman"/>
          <w:szCs w:val="20"/>
          <w:lang w:val="en-US"/>
        </w:rPr>
        <w:t>the</w:t>
      </w:r>
      <w:r w:rsidRPr="00F144ED">
        <w:rPr>
          <w:rFonts w:eastAsia="Times New Roman" w:cs="Times New Roman"/>
          <w:szCs w:val="20"/>
          <w:lang w:val="en-US"/>
        </w:rPr>
        <w:t xml:space="preserve"> </w:t>
      </w:r>
      <w:r w:rsidR="004042CC">
        <w:rPr>
          <w:rFonts w:eastAsia="Times New Roman" w:cs="Times New Roman"/>
          <w:szCs w:val="20"/>
          <w:lang w:val="en-US"/>
        </w:rPr>
        <w:t>US AIFM</w:t>
      </w:r>
      <w:r w:rsidRPr="00F144ED">
        <w:rPr>
          <w:rFonts w:eastAsia="Times New Roman" w:cs="Times New Roman"/>
          <w:szCs w:val="20"/>
          <w:lang w:val="en-US"/>
        </w:rPr>
        <w:t xml:space="preserve"> must disclose to clients information about its proxy voting policies and procedures and about how clients may obtain information on how the </w:t>
      </w:r>
      <w:r w:rsidR="004042CC">
        <w:rPr>
          <w:rFonts w:eastAsia="Times New Roman" w:cs="Times New Roman"/>
          <w:szCs w:val="20"/>
          <w:lang w:val="en-US"/>
        </w:rPr>
        <w:t>US AIFM</w:t>
      </w:r>
      <w:r w:rsidRPr="00F144ED">
        <w:rPr>
          <w:rFonts w:eastAsia="Times New Roman" w:cs="Times New Roman"/>
          <w:szCs w:val="20"/>
          <w:lang w:val="en-US"/>
        </w:rPr>
        <w:t xml:space="preserve"> has voted their proxies.  </w:t>
      </w:r>
    </w:p>
    <w:p w:rsidR="00CF0900" w:rsidRPr="00F144ED" w:rsidRDefault="00CF0900" w:rsidP="00EB48F8">
      <w:pPr>
        <w:pStyle w:val="BodyText"/>
        <w:keepNext/>
        <w:ind w:firstLine="0"/>
        <w:jc w:val="both"/>
        <w:rPr>
          <w:i/>
          <w:lang w:val="en-US"/>
        </w:rPr>
      </w:pPr>
      <w:r w:rsidRPr="00F144ED">
        <w:rPr>
          <w:i/>
          <w:lang w:val="en-US"/>
        </w:rPr>
        <w:t>(10)</w:t>
      </w:r>
      <w:r w:rsidRPr="00F144ED">
        <w:rPr>
          <w:i/>
          <w:lang w:val="en-US"/>
        </w:rPr>
        <w:tab/>
        <w:t>Performance-Based Fees; Management Agreements</w:t>
      </w:r>
    </w:p>
    <w:p w:rsidR="00CF0900" w:rsidRDefault="00CF0900" w:rsidP="00EB48F8">
      <w:pPr>
        <w:pStyle w:val="BodyText"/>
        <w:jc w:val="both"/>
        <w:rPr>
          <w:lang w:val="en-US"/>
        </w:rPr>
      </w:pPr>
      <w:r w:rsidRPr="00F144ED">
        <w:rPr>
          <w:lang w:val="en-US"/>
        </w:rPr>
        <w:t xml:space="preserve">A </w:t>
      </w:r>
      <w:r w:rsidR="004042CC">
        <w:rPr>
          <w:lang w:val="en-US"/>
        </w:rPr>
        <w:t>US AIFM</w:t>
      </w:r>
      <w:r w:rsidRPr="00F144ED">
        <w:rPr>
          <w:lang w:val="en-US"/>
        </w:rPr>
        <w:t xml:space="preserve"> may not enter into an investment advisory contract that provides for compensation based on a share of capital appreciation, unless the client is a qualified sophisticated investor or a non-</w:t>
      </w:r>
      <w:r w:rsidR="00F468E9">
        <w:rPr>
          <w:lang w:val="en-US"/>
        </w:rPr>
        <w:t>US</w:t>
      </w:r>
      <w:r w:rsidRPr="00F144ED">
        <w:rPr>
          <w:lang w:val="en-US"/>
        </w:rPr>
        <w:t xml:space="preserve"> person.  In addition, any investment </w:t>
      </w:r>
      <w:r w:rsidR="00614FEC">
        <w:rPr>
          <w:lang w:val="en-US"/>
        </w:rPr>
        <w:t>management/</w:t>
      </w:r>
      <w:r w:rsidRPr="00F144ED">
        <w:rPr>
          <w:lang w:val="en-US"/>
        </w:rPr>
        <w:t>advisory agreements with clients must contain (</w:t>
      </w:r>
      <w:r w:rsidRPr="00F144ED">
        <w:rPr>
          <w:i/>
          <w:lang w:val="en-US"/>
        </w:rPr>
        <w:t>i</w:t>
      </w:r>
      <w:r w:rsidRPr="00F144ED">
        <w:rPr>
          <w:lang w:val="en-US"/>
        </w:rPr>
        <w:t>) a provision requiring the client’s consent to an “assignment” of the agreement (including transfers of a controlling interest in the firm) and (</w:t>
      </w:r>
      <w:r w:rsidRPr="00F144ED">
        <w:rPr>
          <w:i/>
          <w:lang w:val="en-US"/>
        </w:rPr>
        <w:t>ii</w:t>
      </w:r>
      <w:r w:rsidRPr="00F144ED">
        <w:rPr>
          <w:lang w:val="en-US"/>
        </w:rPr>
        <w:t>) if the investment advisory firm is organized as a partnership, a provision requiring notification to the client of any change in the partners.</w:t>
      </w:r>
    </w:p>
    <w:p w:rsidR="00CF0900" w:rsidRPr="00B16911" w:rsidRDefault="00CF0900" w:rsidP="00EB48F8">
      <w:pPr>
        <w:pStyle w:val="BodyText"/>
        <w:keepNext/>
        <w:ind w:firstLine="0"/>
        <w:jc w:val="both"/>
        <w:rPr>
          <w:i/>
          <w:lang w:val="en-US"/>
        </w:rPr>
      </w:pPr>
      <w:r w:rsidRPr="00B16911">
        <w:rPr>
          <w:i/>
          <w:lang w:val="en-US"/>
        </w:rPr>
        <w:lastRenderedPageBreak/>
        <w:t>(11)</w:t>
      </w:r>
      <w:r w:rsidRPr="00B16911">
        <w:rPr>
          <w:i/>
          <w:lang w:val="en-US"/>
        </w:rPr>
        <w:tab/>
        <w:t>Business Continuity Plans</w:t>
      </w:r>
    </w:p>
    <w:p w:rsidR="00CF0900" w:rsidRDefault="00CF0900" w:rsidP="00EB48F8">
      <w:pPr>
        <w:pStyle w:val="BodyText"/>
        <w:jc w:val="both"/>
      </w:pPr>
      <w:r w:rsidRPr="00B16911">
        <w:t xml:space="preserve">While not required by any rule, the SEC expects a </w:t>
      </w:r>
      <w:r w:rsidR="004042CC">
        <w:t>US AIFM</w:t>
      </w:r>
      <w:r w:rsidRPr="00B16911">
        <w:t xml:space="preserve"> to develop a business continuity plan identifying procedures relating to an emergency or significant business disruption.</w:t>
      </w:r>
    </w:p>
    <w:p w:rsidR="00CF0900" w:rsidRPr="00B16911" w:rsidRDefault="00CF0900" w:rsidP="00EB48F8">
      <w:pPr>
        <w:pStyle w:val="BodyText"/>
        <w:keepNext/>
        <w:ind w:firstLine="0"/>
        <w:jc w:val="both"/>
        <w:rPr>
          <w:i/>
        </w:rPr>
      </w:pPr>
      <w:r w:rsidRPr="00B16911">
        <w:rPr>
          <w:i/>
        </w:rPr>
        <w:t>(</w:t>
      </w:r>
      <w:r w:rsidRPr="00EB48F8">
        <w:rPr>
          <w:i/>
          <w:lang w:val="en-US"/>
        </w:rPr>
        <w:t>12</w:t>
      </w:r>
      <w:r w:rsidRPr="00B16911">
        <w:rPr>
          <w:i/>
        </w:rPr>
        <w:t>)</w:t>
      </w:r>
      <w:r w:rsidRPr="00B16911">
        <w:rPr>
          <w:i/>
        </w:rPr>
        <w:tab/>
        <w:t>Client Privacy</w:t>
      </w:r>
    </w:p>
    <w:p w:rsidR="0073524B" w:rsidRDefault="00CF0900" w:rsidP="0032523E">
      <w:pPr>
        <w:pStyle w:val="BodyText"/>
        <w:jc w:val="both"/>
      </w:pPr>
      <w:r w:rsidRPr="002900C3">
        <w:t xml:space="preserve">The SEC’s Regulation S-P requires </w:t>
      </w:r>
      <w:r w:rsidR="00614FEC">
        <w:t xml:space="preserve">a </w:t>
      </w:r>
      <w:r w:rsidR="004042CC">
        <w:t>US AIFM</w:t>
      </w:r>
      <w:r w:rsidRPr="002900C3">
        <w:t xml:space="preserve"> to “adopt policies and procedures that address administrative, technical, and physical safeguards for the protection of customer records and information.”  </w:t>
      </w:r>
      <w:r>
        <w:t xml:space="preserve">The SEC’s identity theft red flags rules require certain </w:t>
      </w:r>
      <w:r w:rsidR="004042CC">
        <w:t>US AIFMs</w:t>
      </w:r>
      <w:r>
        <w:t xml:space="preserve"> to adopt a written identity theft program</w:t>
      </w:r>
      <w:r w:rsidR="0032523E">
        <w:t>.</w:t>
      </w:r>
      <w:r>
        <w:t xml:space="preserve">  </w:t>
      </w:r>
    </w:p>
    <w:sectPr w:rsidR="0073524B" w:rsidSect="00712A1E">
      <w:footerReference w:type="even" r:id="rId11"/>
      <w:footerReference w:type="default" r:id="rId12"/>
      <w:headerReference w:type="first" r:id="rId13"/>
      <w:footerReference w:type="first" r:id="rId14"/>
      <w:pgSz w:w="11909" w:h="16834" w:code="9"/>
      <w:pgMar w:top="2016" w:right="1800" w:bottom="1800" w:left="180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385" w:rsidRDefault="006C3385" w:rsidP="008D37B0">
      <w:pPr>
        <w:spacing w:after="0"/>
      </w:pPr>
      <w:r>
        <w:separator/>
      </w:r>
    </w:p>
  </w:endnote>
  <w:endnote w:type="continuationSeparator" w:id="0">
    <w:p w:rsidR="006C3385" w:rsidRDefault="006C3385" w:rsidP="008D37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385" w:rsidRDefault="006C3385" w:rsidP="00C17550">
    <w:pPr>
      <w:framePr w:wrap="around" w:vAnchor="text" w:hAnchor="margin" w:xAlign="center" w:y="1"/>
    </w:pPr>
    <w:r>
      <w:fldChar w:fldCharType="begin"/>
    </w:r>
    <w:r>
      <w:instrText xml:space="preserve">PAGE  </w:instrText>
    </w:r>
    <w:r>
      <w:fldChar w:fldCharType="end"/>
    </w:r>
  </w:p>
  <w:p w:rsidR="006C3385" w:rsidRDefault="002E61FB">
    <w:fldSimple w:instr=" DOCPROPERTY DOCXDOCID DMS=InterwovenIManage Format=&lt;&lt;NUM&gt;&gt;v&lt;&lt;VER&gt;&gt; PRESERVELOCATION \* MERGEFORMAT ">
      <w:r w:rsidR="00AA442C">
        <w:t>500091392v11</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385" w:rsidRPr="008A751E" w:rsidRDefault="006C3385" w:rsidP="002E19F9">
    <w:pPr>
      <w:pStyle w:val="Footer"/>
      <w:jc w:val="center"/>
    </w:pPr>
    <w:r w:rsidRPr="008A751E">
      <w:fldChar w:fldCharType="begin"/>
    </w:r>
    <w:r w:rsidRPr="008A751E">
      <w:instrText xml:space="preserve"> PAGE </w:instrText>
    </w:r>
    <w:r w:rsidRPr="008A751E">
      <w:fldChar w:fldCharType="separate"/>
    </w:r>
    <w:r w:rsidR="00BC4264">
      <w:rPr>
        <w:noProof/>
      </w:rPr>
      <w:t>2</w:t>
    </w:r>
    <w:r w:rsidRPr="008A751E">
      <w:fldChar w:fldCharType="end"/>
    </w:r>
  </w:p>
  <w:p w:rsidR="006C3385" w:rsidRDefault="006C3385" w:rsidP="00983F93">
    <w:pPr>
      <w:rPr>
        <w:rStyle w:val="NoNumber"/>
      </w:rPr>
    </w:pPr>
    <w:r>
      <w:b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385" w:rsidRDefault="00F11F55" w:rsidP="00BB003D">
    <w:pPr>
      <w:pStyle w:val="Footer"/>
      <w:jc w:val="center"/>
    </w:pPr>
    <w:r>
      <w:rPr>
        <w:noProof/>
        <w:lang w:eastAsia="en-GB"/>
      </w:rPr>
      <w:drawing>
        <wp:anchor distT="0" distB="0" distL="114300" distR="114300" simplePos="0" relativeHeight="251661312" behindDoc="1" locked="0" layoutInCell="1" allowOverlap="1" wp14:anchorId="45AAAF7D" wp14:editId="401B1777">
          <wp:simplePos x="0" y="0"/>
          <wp:positionH relativeFrom="page">
            <wp:posOffset>4082</wp:posOffset>
          </wp:positionH>
          <wp:positionV relativeFrom="page">
            <wp:posOffset>9704070</wp:posOffset>
          </wp:positionV>
          <wp:extent cx="7772400" cy="64008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GCC_Letterhead_bottom.png"/>
                  <pic:cNvPicPr/>
                </pic:nvPicPr>
                <pic:blipFill>
                  <a:blip r:embed="rId1">
                    <a:extLst>
                      <a:ext uri="{28A0092B-C50C-407E-A947-70E740481C1C}">
                        <a14:useLocalDpi xmlns:a14="http://schemas.microsoft.com/office/drawing/2010/main" val="0"/>
                      </a:ext>
                    </a:extLst>
                  </a:blip>
                  <a:stretch>
                    <a:fillRect/>
                  </a:stretch>
                </pic:blipFill>
                <pic:spPr>
                  <a:xfrm>
                    <a:off x="0" y="0"/>
                    <a:ext cx="7772400" cy="64008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rsidR="00AA442C" w:rsidRPr="00BB003D" w:rsidRDefault="006C3385" w:rsidP="00BC4264">
    <w:pPr>
      <w:rPr>
        <w:rStyle w:val="NoNumber"/>
      </w:rPr>
    </w:pPr>
    <w:r>
      <w:b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385" w:rsidRDefault="006C3385" w:rsidP="008D37B0">
      <w:pPr>
        <w:spacing w:after="0"/>
      </w:pPr>
      <w:r>
        <w:separator/>
      </w:r>
    </w:p>
  </w:footnote>
  <w:footnote w:type="continuationSeparator" w:id="0">
    <w:p w:rsidR="006C3385" w:rsidRDefault="006C3385" w:rsidP="008D37B0">
      <w:pPr>
        <w:spacing w:after="0"/>
      </w:pPr>
      <w:r>
        <w:continuationSeparator/>
      </w:r>
    </w:p>
  </w:footnote>
  <w:footnote w:id="1">
    <w:p w:rsidR="006C3385" w:rsidRPr="00A92689" w:rsidRDefault="006C3385" w:rsidP="00A92689">
      <w:pPr>
        <w:pStyle w:val="FootnoteText"/>
        <w:spacing w:after="120"/>
        <w:jc w:val="both"/>
        <w:rPr>
          <w:sz w:val="20"/>
        </w:rPr>
      </w:pPr>
      <w:r w:rsidRPr="00A92689">
        <w:rPr>
          <w:rStyle w:val="FootnoteReference"/>
          <w:sz w:val="20"/>
        </w:rPr>
        <w:footnoteRef/>
      </w:r>
      <w:r w:rsidRPr="00A92689">
        <w:rPr>
          <w:sz w:val="20"/>
        </w:rPr>
        <w:t xml:space="preserve"> </w:t>
      </w:r>
      <w:r w:rsidRPr="00A92689">
        <w:rPr>
          <w:sz w:val="20"/>
        </w:rPr>
        <w:tab/>
      </w:r>
      <w:r w:rsidRPr="00A92689">
        <w:rPr>
          <w:i/>
          <w:sz w:val="20"/>
        </w:rPr>
        <w:t>See</w:t>
      </w:r>
      <w:r w:rsidRPr="00A92689">
        <w:rPr>
          <w:sz w:val="20"/>
        </w:rPr>
        <w:t xml:space="preserve"> Article 67(4) of the AIFMD.</w:t>
      </w:r>
    </w:p>
  </w:footnote>
  <w:footnote w:id="2">
    <w:p w:rsidR="00A92689" w:rsidRPr="00A92689" w:rsidRDefault="00A92689" w:rsidP="00A92689">
      <w:pPr>
        <w:pStyle w:val="FootnoteText"/>
        <w:spacing w:after="120"/>
        <w:rPr>
          <w:sz w:val="20"/>
        </w:rPr>
      </w:pPr>
      <w:r w:rsidRPr="00A92689">
        <w:rPr>
          <w:rStyle w:val="FootnoteReference"/>
          <w:sz w:val="20"/>
        </w:rPr>
        <w:footnoteRef/>
      </w:r>
      <w:r w:rsidRPr="00A92689">
        <w:rPr>
          <w:sz w:val="20"/>
        </w:rPr>
        <w:t xml:space="preserve"> </w:t>
      </w:r>
      <w:r w:rsidRPr="00A92689">
        <w:rPr>
          <w:sz w:val="20"/>
        </w:rPr>
        <w:tab/>
      </w:r>
      <w:proofErr w:type="gramStart"/>
      <w:r w:rsidRPr="00A92689">
        <w:rPr>
          <w:sz w:val="20"/>
        </w:rPr>
        <w:t xml:space="preserve">Including </w:t>
      </w:r>
      <w:r>
        <w:rPr>
          <w:sz w:val="20"/>
        </w:rPr>
        <w:t xml:space="preserve">consistency </w:t>
      </w:r>
      <w:r w:rsidRPr="00A92689">
        <w:rPr>
          <w:sz w:val="20"/>
        </w:rPr>
        <w:t xml:space="preserve">with respect to </w:t>
      </w:r>
      <w:r>
        <w:rPr>
          <w:sz w:val="20"/>
        </w:rPr>
        <w:t xml:space="preserve">proportionate </w:t>
      </w:r>
      <w:r w:rsidRPr="00A92689">
        <w:rPr>
          <w:sz w:val="20"/>
        </w:rPr>
        <w:t xml:space="preserve">fees </w:t>
      </w:r>
      <w:r>
        <w:rPr>
          <w:sz w:val="20"/>
        </w:rPr>
        <w:t xml:space="preserve">to be </w:t>
      </w:r>
      <w:r w:rsidRPr="00A92689">
        <w:rPr>
          <w:sz w:val="20"/>
        </w:rPr>
        <w:t>charged by the Member States to an AIFM wishing to utilise the marketing passport.</w:t>
      </w:r>
      <w:proofErr w:type="gramEnd"/>
    </w:p>
  </w:footnote>
  <w:footnote w:id="3">
    <w:p w:rsidR="006C3385" w:rsidRPr="00A92689" w:rsidRDefault="006C3385" w:rsidP="00A92689">
      <w:pPr>
        <w:pStyle w:val="FootnoteText"/>
        <w:spacing w:after="120"/>
        <w:jc w:val="both"/>
        <w:rPr>
          <w:b/>
          <w:i/>
          <w:sz w:val="20"/>
        </w:rPr>
      </w:pPr>
      <w:r w:rsidRPr="00A92689">
        <w:rPr>
          <w:rStyle w:val="FootnoteReference"/>
          <w:sz w:val="20"/>
        </w:rPr>
        <w:footnoteRef/>
      </w:r>
      <w:r w:rsidRPr="00A92689">
        <w:rPr>
          <w:sz w:val="20"/>
        </w:rPr>
        <w:t xml:space="preserve"> </w:t>
      </w:r>
      <w:r w:rsidRPr="00A92689">
        <w:rPr>
          <w:sz w:val="20"/>
        </w:rPr>
        <w:tab/>
        <w:t>For a list of our members, please see www.pegcc.org/about/members.</w:t>
      </w:r>
      <w:r w:rsidR="002F5CAC" w:rsidRPr="00A92689">
        <w:rPr>
          <w:sz w:val="20"/>
        </w:rPr>
        <w:t xml:space="preserve">  </w:t>
      </w:r>
    </w:p>
  </w:footnote>
  <w:footnote w:id="4">
    <w:p w:rsidR="00761F78" w:rsidRPr="00A92689" w:rsidRDefault="00761F78" w:rsidP="00A92689">
      <w:pPr>
        <w:pStyle w:val="FootnoteText"/>
        <w:spacing w:after="120"/>
        <w:jc w:val="both"/>
        <w:rPr>
          <w:sz w:val="20"/>
        </w:rPr>
      </w:pPr>
      <w:r w:rsidRPr="00A92689">
        <w:rPr>
          <w:rStyle w:val="FootnoteReference"/>
          <w:sz w:val="20"/>
        </w:rPr>
        <w:footnoteRef/>
      </w:r>
      <w:r w:rsidRPr="00A92689">
        <w:rPr>
          <w:sz w:val="20"/>
        </w:rPr>
        <w:t xml:space="preserve"> </w:t>
      </w:r>
      <w:r w:rsidRPr="00A92689">
        <w:rPr>
          <w:sz w:val="20"/>
        </w:rPr>
        <w:tab/>
      </w:r>
      <w:r w:rsidR="0028597F" w:rsidRPr="00A92689">
        <w:rPr>
          <w:sz w:val="20"/>
        </w:rPr>
        <w:t xml:space="preserve">9.3% of investment in US-based private equity funds closed from 2009 to 2014 comes from European investors.  European investors currently have invested approximately $140 billion in US-based private equity funds.  </w:t>
      </w:r>
      <w:proofErr w:type="gramStart"/>
      <w:r w:rsidR="00475CF8" w:rsidRPr="00A92689">
        <w:rPr>
          <w:sz w:val="20"/>
        </w:rPr>
        <w:t>(</w:t>
      </w:r>
      <w:proofErr w:type="spellStart"/>
      <w:r w:rsidR="00475CF8" w:rsidRPr="00A92689">
        <w:rPr>
          <w:sz w:val="20"/>
        </w:rPr>
        <w:t>Preqin</w:t>
      </w:r>
      <w:proofErr w:type="spellEnd"/>
      <w:r w:rsidR="00475CF8" w:rsidRPr="00A92689">
        <w:rPr>
          <w:sz w:val="20"/>
        </w:rPr>
        <w:t xml:space="preserve"> data, accessed on 5 January 2015).</w:t>
      </w:r>
      <w:proofErr w:type="gramEnd"/>
    </w:p>
  </w:footnote>
  <w:footnote w:id="5">
    <w:p w:rsidR="006C3385" w:rsidRPr="00A92689" w:rsidRDefault="006C3385" w:rsidP="00A92689">
      <w:pPr>
        <w:pStyle w:val="FootnoteText"/>
        <w:spacing w:after="120"/>
        <w:jc w:val="both"/>
        <w:rPr>
          <w:sz w:val="20"/>
        </w:rPr>
      </w:pPr>
      <w:r w:rsidRPr="00A92689">
        <w:rPr>
          <w:rStyle w:val="FootnoteReference"/>
          <w:sz w:val="20"/>
        </w:rPr>
        <w:footnoteRef/>
      </w:r>
      <w:r w:rsidRPr="00A92689">
        <w:rPr>
          <w:sz w:val="20"/>
        </w:rPr>
        <w:t xml:space="preserve"> </w:t>
      </w:r>
      <w:r w:rsidRPr="00A92689">
        <w:rPr>
          <w:sz w:val="20"/>
        </w:rPr>
        <w:tab/>
      </w:r>
      <w:r w:rsidRPr="00A92689">
        <w:rPr>
          <w:i/>
          <w:sz w:val="20"/>
        </w:rPr>
        <w:t>See</w:t>
      </w:r>
      <w:r w:rsidRPr="00A92689">
        <w:rPr>
          <w:sz w:val="20"/>
        </w:rPr>
        <w:t xml:space="preserve"> Article 37(7</w:t>
      </w:r>
      <w:proofErr w:type="gramStart"/>
      <w:r w:rsidRPr="00A92689">
        <w:rPr>
          <w:sz w:val="20"/>
        </w:rPr>
        <w:t>)(</w:t>
      </w:r>
      <w:proofErr w:type="gramEnd"/>
      <w:r w:rsidRPr="00A92689">
        <w:rPr>
          <w:sz w:val="20"/>
        </w:rPr>
        <w:t>d) of the AIFMD.  European Securities and Markets Authority, “</w:t>
      </w:r>
      <w:proofErr w:type="spellStart"/>
      <w:r w:rsidRPr="00A92689">
        <w:rPr>
          <w:sz w:val="20"/>
        </w:rPr>
        <w:t>MoU</w:t>
      </w:r>
      <w:proofErr w:type="spellEnd"/>
      <w:r w:rsidRPr="00A92689">
        <w:rPr>
          <w:sz w:val="20"/>
        </w:rPr>
        <w:t xml:space="preserve"> concerning consultation, cooperation and the exchange of information related to the supervision of the relevant entities in the asset management industry,” 18 July 2013 (ESMA/2013/998-Annex 38) (</w:t>
      </w:r>
      <w:r w:rsidRPr="00A92689">
        <w:rPr>
          <w:i/>
          <w:sz w:val="20"/>
        </w:rPr>
        <w:t xml:space="preserve">available at: </w:t>
      </w:r>
      <w:r w:rsidRPr="00A92689">
        <w:rPr>
          <w:sz w:val="20"/>
        </w:rPr>
        <w:t>http://www.esma.europa.eu/system/files/mou_with_us_sec.pdf).  This assumes that the cooperation agreements entered into in connection with Article 42 of the AIFMD will be applicable to the satisfaction of the Article 37(7) condition.</w:t>
      </w:r>
    </w:p>
  </w:footnote>
  <w:footnote w:id="6">
    <w:p w:rsidR="006C3385" w:rsidRPr="00691B70" w:rsidRDefault="006C3385" w:rsidP="00691B70">
      <w:pPr>
        <w:pStyle w:val="FootnoteText"/>
        <w:spacing w:after="120"/>
        <w:jc w:val="both"/>
        <w:rPr>
          <w:sz w:val="20"/>
        </w:rPr>
      </w:pPr>
      <w:r w:rsidRPr="00691B70">
        <w:rPr>
          <w:rStyle w:val="FootnoteReference"/>
          <w:sz w:val="20"/>
        </w:rPr>
        <w:footnoteRef/>
      </w:r>
      <w:r w:rsidRPr="00691B70">
        <w:rPr>
          <w:sz w:val="20"/>
        </w:rPr>
        <w:t xml:space="preserve"> </w:t>
      </w:r>
      <w:r w:rsidRPr="00691B70">
        <w:rPr>
          <w:sz w:val="20"/>
        </w:rPr>
        <w:tab/>
      </w:r>
      <w:r w:rsidRPr="00691B70">
        <w:rPr>
          <w:i/>
          <w:sz w:val="20"/>
        </w:rPr>
        <w:t>See</w:t>
      </w:r>
      <w:r w:rsidRPr="00691B70">
        <w:rPr>
          <w:sz w:val="20"/>
        </w:rPr>
        <w:t xml:space="preserve"> Article 37(7</w:t>
      </w:r>
      <w:proofErr w:type="gramStart"/>
      <w:r w:rsidRPr="00691B70">
        <w:rPr>
          <w:sz w:val="20"/>
        </w:rPr>
        <w:t>)(</w:t>
      </w:r>
      <w:proofErr w:type="gramEnd"/>
      <w:r w:rsidRPr="00691B70">
        <w:rPr>
          <w:sz w:val="20"/>
        </w:rPr>
        <w:t>e) of the AIFMD.  Financial Action Task Force, “High-risk and non-cooperative jurisdictions”, 24 October 2014 (</w:t>
      </w:r>
      <w:r w:rsidRPr="00691B70">
        <w:rPr>
          <w:i/>
          <w:sz w:val="20"/>
        </w:rPr>
        <w:t xml:space="preserve">available at: </w:t>
      </w:r>
      <w:r w:rsidRPr="00691B70">
        <w:rPr>
          <w:sz w:val="20"/>
        </w:rPr>
        <w:t xml:space="preserve">http://www.fatf-gafi.org/topics/high-riskandnon-cooperativejurisdictions/documents/public-statement-oct2014.html). </w:t>
      </w:r>
    </w:p>
  </w:footnote>
  <w:footnote w:id="7">
    <w:p w:rsidR="00A44E6E" w:rsidRPr="00691B70" w:rsidRDefault="00A44E6E" w:rsidP="00691B70">
      <w:pPr>
        <w:pStyle w:val="FootnoteText"/>
        <w:spacing w:after="120"/>
        <w:jc w:val="both"/>
        <w:rPr>
          <w:sz w:val="20"/>
        </w:rPr>
      </w:pPr>
      <w:r w:rsidRPr="00691B70">
        <w:rPr>
          <w:rStyle w:val="FootnoteReference"/>
          <w:sz w:val="20"/>
        </w:rPr>
        <w:footnoteRef/>
      </w:r>
      <w:r w:rsidRPr="00691B70">
        <w:rPr>
          <w:sz w:val="20"/>
        </w:rPr>
        <w:t xml:space="preserve"> </w:t>
      </w:r>
      <w:r w:rsidRPr="00691B70">
        <w:rPr>
          <w:sz w:val="20"/>
        </w:rPr>
        <w:tab/>
        <w:t xml:space="preserve">The PEGCC notes that the EVCA Response highlights a number of fundamental issues with the operation of the current national private placement regimes.  The PEGCC supports </w:t>
      </w:r>
      <w:r w:rsidR="001B6297" w:rsidRPr="00691B70">
        <w:rPr>
          <w:sz w:val="20"/>
        </w:rPr>
        <w:t xml:space="preserve">the call for a </w:t>
      </w:r>
      <w:r w:rsidR="00B377BE">
        <w:rPr>
          <w:sz w:val="20"/>
        </w:rPr>
        <w:t>more streamlined and practical approach to</w:t>
      </w:r>
      <w:r w:rsidR="001B6297" w:rsidRPr="00691B70">
        <w:rPr>
          <w:sz w:val="20"/>
        </w:rPr>
        <w:t xml:space="preserve"> the national private placement regimes.</w:t>
      </w:r>
    </w:p>
  </w:footnote>
  <w:footnote w:id="8">
    <w:p w:rsidR="00740A64" w:rsidRPr="00691B70" w:rsidRDefault="00740A64" w:rsidP="00691B70">
      <w:pPr>
        <w:pStyle w:val="FootnoteText"/>
        <w:spacing w:after="120"/>
        <w:jc w:val="both"/>
        <w:rPr>
          <w:sz w:val="20"/>
        </w:rPr>
      </w:pPr>
      <w:r w:rsidRPr="00691B70">
        <w:rPr>
          <w:rStyle w:val="FootnoteReference"/>
          <w:sz w:val="20"/>
        </w:rPr>
        <w:footnoteRef/>
      </w:r>
      <w:r w:rsidRPr="00691B70">
        <w:rPr>
          <w:sz w:val="20"/>
        </w:rPr>
        <w:t xml:space="preserve"> </w:t>
      </w:r>
      <w:r w:rsidRPr="00691B70">
        <w:rPr>
          <w:sz w:val="20"/>
        </w:rPr>
        <w:tab/>
        <w:t>The Securities Act contains anti</w:t>
      </w:r>
      <w:r w:rsidR="00475CF8" w:rsidRPr="00691B70">
        <w:rPr>
          <w:sz w:val="20"/>
        </w:rPr>
        <w:t>-</w:t>
      </w:r>
      <w:r w:rsidRPr="00691B70">
        <w:rPr>
          <w:sz w:val="20"/>
        </w:rPr>
        <w:t xml:space="preserve">fraud provisions (and associated penalties for violation of those provisions) applicable to both public and private offers and sales of interests in </w:t>
      </w:r>
      <w:r w:rsidR="009C16ED" w:rsidRPr="00691B70">
        <w:rPr>
          <w:sz w:val="20"/>
        </w:rPr>
        <w:t>AIFs</w:t>
      </w:r>
      <w:r w:rsidRPr="00691B70">
        <w:rPr>
          <w:sz w:val="20"/>
        </w:rPr>
        <w:t xml:space="preserve">.  </w:t>
      </w:r>
      <w:r w:rsidR="00E37439" w:rsidRPr="00691B70">
        <w:rPr>
          <w:sz w:val="20"/>
        </w:rPr>
        <w:t>P</w:t>
      </w:r>
      <w:r w:rsidRPr="00691B70">
        <w:rPr>
          <w:sz w:val="20"/>
        </w:rPr>
        <w:t>rivate offers and sales of securit</w:t>
      </w:r>
      <w:r w:rsidR="00BF31C2" w:rsidRPr="00691B70">
        <w:rPr>
          <w:sz w:val="20"/>
        </w:rPr>
        <w:t>i</w:t>
      </w:r>
      <w:r w:rsidRPr="00691B70">
        <w:rPr>
          <w:sz w:val="20"/>
        </w:rPr>
        <w:t xml:space="preserve">es, including of interests in AIFs (which are typically sold in private offerings) are </w:t>
      </w:r>
      <w:r w:rsidR="00E37439" w:rsidRPr="00691B70">
        <w:rPr>
          <w:sz w:val="20"/>
        </w:rPr>
        <w:t xml:space="preserve">also typically subject to </w:t>
      </w:r>
      <w:r w:rsidRPr="00691B70">
        <w:rPr>
          <w:sz w:val="20"/>
        </w:rPr>
        <w:t xml:space="preserve">restrictions on the manner and nature of the offering and the number and sophistication of </w:t>
      </w:r>
      <w:proofErr w:type="spellStart"/>
      <w:r w:rsidRPr="00691B70">
        <w:rPr>
          <w:sz w:val="20"/>
        </w:rPr>
        <w:t>offerees</w:t>
      </w:r>
      <w:proofErr w:type="spellEnd"/>
      <w:r w:rsidRPr="00691B70">
        <w:rPr>
          <w:sz w:val="20"/>
        </w:rPr>
        <w:t>.</w:t>
      </w:r>
    </w:p>
  </w:footnote>
  <w:footnote w:id="9">
    <w:p w:rsidR="00740A64" w:rsidRPr="00691B70" w:rsidRDefault="00740A64" w:rsidP="00691B70">
      <w:pPr>
        <w:pStyle w:val="FootnoteText"/>
        <w:spacing w:after="120"/>
        <w:jc w:val="both"/>
        <w:rPr>
          <w:sz w:val="20"/>
        </w:rPr>
      </w:pPr>
      <w:r w:rsidRPr="00691B70">
        <w:rPr>
          <w:rStyle w:val="FootnoteReference"/>
          <w:sz w:val="20"/>
        </w:rPr>
        <w:footnoteRef/>
      </w:r>
      <w:r w:rsidRPr="00691B70">
        <w:rPr>
          <w:sz w:val="20"/>
        </w:rPr>
        <w:t xml:space="preserve"> </w:t>
      </w:r>
      <w:r w:rsidRPr="00691B70">
        <w:rPr>
          <w:sz w:val="20"/>
        </w:rPr>
        <w:tab/>
        <w:t xml:space="preserve">A US AIFM of private funds generally is required to register with the SEC if it has more than $150 million in assets under management.  </w:t>
      </w:r>
      <w:r w:rsidR="00E37439" w:rsidRPr="00691B70">
        <w:rPr>
          <w:sz w:val="20"/>
        </w:rPr>
        <w:t>C</w:t>
      </w:r>
      <w:r w:rsidRPr="00691B70">
        <w:rPr>
          <w:sz w:val="20"/>
        </w:rPr>
        <w:t>ertain venture capital fund advisers (narrowly defined) are exempt from registration, but these venture capital fund advisers are still required to make filings with the SEC, are</w:t>
      </w:r>
      <w:r w:rsidR="00475CF8" w:rsidRPr="00691B70">
        <w:rPr>
          <w:sz w:val="20"/>
        </w:rPr>
        <w:t xml:space="preserve"> subject to the anti-</w:t>
      </w:r>
      <w:r w:rsidRPr="00691B70">
        <w:rPr>
          <w:sz w:val="20"/>
        </w:rPr>
        <w:t>fraud provisions of the Advisers Act and are subject to examination by the SEC.</w:t>
      </w:r>
      <w:r w:rsidR="004E7EA2" w:rsidRPr="00691B70">
        <w:rPr>
          <w:sz w:val="20"/>
        </w:rPr>
        <w:t xml:space="preserve">  We further note that, in addition to fund managers/investment advisers, the general partners of AIFs organized as limited partnerships are also typically subject to regist</w:t>
      </w:r>
      <w:r w:rsidR="006F0EC9" w:rsidRPr="00691B70">
        <w:rPr>
          <w:sz w:val="20"/>
        </w:rPr>
        <w:t>ration</w:t>
      </w:r>
      <w:r w:rsidR="004E7EA2" w:rsidRPr="00691B70">
        <w:rPr>
          <w:sz w:val="20"/>
        </w:rPr>
        <w:t xml:space="preserve"> with the SEC as investment advisers.</w:t>
      </w:r>
    </w:p>
  </w:footnote>
  <w:footnote w:id="10">
    <w:p w:rsidR="006C3385" w:rsidRPr="00691B70" w:rsidRDefault="006C3385" w:rsidP="00691B70">
      <w:pPr>
        <w:pStyle w:val="FootnoteText"/>
        <w:spacing w:after="120"/>
        <w:jc w:val="both"/>
        <w:rPr>
          <w:sz w:val="20"/>
        </w:rPr>
      </w:pPr>
      <w:r w:rsidRPr="00691B70">
        <w:rPr>
          <w:rStyle w:val="FootnoteReference"/>
          <w:sz w:val="20"/>
        </w:rPr>
        <w:footnoteRef/>
      </w:r>
      <w:r w:rsidRPr="00691B70">
        <w:rPr>
          <w:sz w:val="20"/>
        </w:rPr>
        <w:t xml:space="preserve"> </w:t>
      </w:r>
      <w:r w:rsidRPr="00691B70">
        <w:rPr>
          <w:sz w:val="20"/>
        </w:rPr>
        <w:tab/>
      </w:r>
      <w:r w:rsidRPr="00691B70">
        <w:rPr>
          <w:i/>
          <w:sz w:val="20"/>
        </w:rPr>
        <w:t xml:space="preserve">See </w:t>
      </w:r>
      <w:r w:rsidRPr="00691B70">
        <w:rPr>
          <w:sz w:val="20"/>
        </w:rPr>
        <w:t xml:space="preserve">paragraph III (d) of this letter. </w:t>
      </w:r>
    </w:p>
  </w:footnote>
  <w:footnote w:id="11">
    <w:p w:rsidR="00BC6B7A" w:rsidRPr="00691B70" w:rsidRDefault="00BC6B7A" w:rsidP="00691B70">
      <w:pPr>
        <w:pStyle w:val="FootnoteText"/>
        <w:spacing w:after="120"/>
        <w:jc w:val="both"/>
        <w:rPr>
          <w:sz w:val="20"/>
        </w:rPr>
      </w:pPr>
      <w:r w:rsidRPr="00691B70">
        <w:rPr>
          <w:rStyle w:val="FootnoteReference"/>
          <w:sz w:val="20"/>
        </w:rPr>
        <w:footnoteRef/>
      </w:r>
      <w:r w:rsidRPr="00691B70">
        <w:rPr>
          <w:sz w:val="20"/>
        </w:rPr>
        <w:t xml:space="preserve"> </w:t>
      </w:r>
      <w:r w:rsidRPr="00691B70">
        <w:rPr>
          <w:sz w:val="20"/>
        </w:rPr>
        <w:tab/>
        <w:t>We understand that, on and from the date on which the Passporting Regime</w:t>
      </w:r>
      <w:r w:rsidR="001C2CBA" w:rsidRPr="00691B70">
        <w:rPr>
          <w:sz w:val="20"/>
        </w:rPr>
        <w:t xml:space="preserve"> i</w:t>
      </w:r>
      <w:r w:rsidRPr="00691B70">
        <w:rPr>
          <w:sz w:val="20"/>
        </w:rPr>
        <w:t xml:space="preserve">s extended to non-European AIFMs, Germany will no longer allow a non-European AIFM actively to market its AIF to German professional investors unless </w:t>
      </w:r>
      <w:r w:rsidR="00F83334" w:rsidRPr="00691B70">
        <w:rPr>
          <w:sz w:val="20"/>
        </w:rPr>
        <w:t>such non-European AIFM</w:t>
      </w:r>
      <w:r w:rsidRPr="00691B70">
        <w:rPr>
          <w:sz w:val="20"/>
        </w:rPr>
        <w:t xml:space="preserve"> holds an AIFMD marketing passport</w:t>
      </w:r>
      <w:r w:rsidR="001974C3">
        <w:rPr>
          <w:sz w:val="20"/>
        </w:rPr>
        <w:t xml:space="preserve"> with respect to</w:t>
      </w:r>
      <w:r w:rsidRPr="00691B70">
        <w:rPr>
          <w:sz w:val="20"/>
        </w:rPr>
        <w:t xml:space="preserve"> such AIF (even where such non-European AIFM is established in a jurisdiction that does not qua</w:t>
      </w:r>
      <w:r w:rsidR="001C2CBA" w:rsidRPr="00691B70">
        <w:rPr>
          <w:sz w:val="20"/>
        </w:rPr>
        <w:t>lify for the Passporting Regime</w:t>
      </w:r>
      <w:r w:rsidRPr="00691B70">
        <w:rPr>
          <w:sz w:val="20"/>
        </w:rPr>
        <w:t>).</w:t>
      </w:r>
    </w:p>
  </w:footnote>
  <w:footnote w:id="12">
    <w:p w:rsidR="005A07E0" w:rsidRPr="00691B70" w:rsidRDefault="005A07E0" w:rsidP="00691B70">
      <w:pPr>
        <w:pStyle w:val="FootnoteText"/>
        <w:spacing w:after="120"/>
        <w:jc w:val="both"/>
        <w:rPr>
          <w:sz w:val="20"/>
        </w:rPr>
      </w:pPr>
      <w:r w:rsidRPr="00691B70">
        <w:rPr>
          <w:rStyle w:val="FootnoteReference"/>
          <w:sz w:val="20"/>
        </w:rPr>
        <w:footnoteRef/>
      </w:r>
      <w:r w:rsidRPr="00691B70">
        <w:rPr>
          <w:sz w:val="20"/>
        </w:rPr>
        <w:t xml:space="preserve"> </w:t>
      </w:r>
      <w:r w:rsidRPr="00691B70">
        <w:rPr>
          <w:sz w:val="20"/>
        </w:rPr>
        <w:tab/>
        <w:t>Annualized returns generated by US private equity funds equalled 14.3% over the last ten years, according to the Q2 2014 US Private Equity Fund Index (Cambridge Associates).  These annualized returns far exceed annualized returns that investors could have obtained by investing in various public market indexes: MSCI Europe Index (US$), 7.54% annualized returns over the past 10 years (as of 30 June 2014)</w:t>
      </w:r>
      <w:r w:rsidR="002C6F24" w:rsidRPr="00691B70">
        <w:rPr>
          <w:sz w:val="20"/>
        </w:rPr>
        <w:t xml:space="preserve"> (</w:t>
      </w:r>
      <w:r w:rsidRPr="00691B70">
        <w:rPr>
          <w:sz w:val="20"/>
        </w:rPr>
        <w:t>reported by Cambridge Associates</w:t>
      </w:r>
      <w:r w:rsidR="002C6F24" w:rsidRPr="00691B70">
        <w:rPr>
          <w:sz w:val="20"/>
        </w:rPr>
        <w:t>)</w:t>
      </w:r>
      <w:r w:rsidRPr="00691B70">
        <w:rPr>
          <w:sz w:val="20"/>
        </w:rPr>
        <w:t>; Russell 2000 Index</w:t>
      </w:r>
      <w:r w:rsidR="002C6F24" w:rsidRPr="00691B70">
        <w:rPr>
          <w:sz w:val="20"/>
        </w:rPr>
        <w:t>,</w:t>
      </w:r>
      <w:r w:rsidRPr="00691B70">
        <w:rPr>
          <w:sz w:val="20"/>
        </w:rPr>
        <w:t xml:space="preserve"> 8.70</w:t>
      </w:r>
      <w:r w:rsidR="002C6F24" w:rsidRPr="00691B70">
        <w:rPr>
          <w:sz w:val="20"/>
        </w:rPr>
        <w:t>%</w:t>
      </w:r>
      <w:r w:rsidRPr="00691B70">
        <w:rPr>
          <w:sz w:val="20"/>
        </w:rPr>
        <w:t xml:space="preserve"> annualized returns over the past 10 years (as of </w:t>
      </w:r>
      <w:r w:rsidR="002C6F24" w:rsidRPr="00691B70">
        <w:rPr>
          <w:sz w:val="20"/>
        </w:rPr>
        <w:t>30 June 2014 (</w:t>
      </w:r>
      <w:r w:rsidRPr="00691B70">
        <w:rPr>
          <w:sz w:val="20"/>
        </w:rPr>
        <w:t>reported by Cambridge Associates</w:t>
      </w:r>
      <w:r w:rsidR="002C6F24" w:rsidRPr="00691B70">
        <w:rPr>
          <w:sz w:val="20"/>
        </w:rPr>
        <w:t>)</w:t>
      </w:r>
      <w:r w:rsidRPr="00691B70">
        <w:rPr>
          <w:sz w:val="20"/>
        </w:rPr>
        <w:t>; S&amp;P 500 Index</w:t>
      </w:r>
      <w:r w:rsidR="002C6F24" w:rsidRPr="00691B70">
        <w:rPr>
          <w:sz w:val="20"/>
        </w:rPr>
        <w:t>,</w:t>
      </w:r>
      <w:r w:rsidRPr="00691B70">
        <w:rPr>
          <w:sz w:val="20"/>
        </w:rPr>
        <w:t xml:space="preserve"> 7.78% annualized returns over the past 10 years (as of </w:t>
      </w:r>
      <w:r w:rsidR="002C6F24" w:rsidRPr="00691B70">
        <w:rPr>
          <w:sz w:val="20"/>
        </w:rPr>
        <w:t>30 June 2014</w:t>
      </w:r>
      <w:r w:rsidRPr="00691B70">
        <w:rPr>
          <w:sz w:val="20"/>
        </w:rPr>
        <w:t xml:space="preserve">) </w:t>
      </w:r>
      <w:r w:rsidR="002C6F24" w:rsidRPr="00691B70">
        <w:rPr>
          <w:sz w:val="20"/>
        </w:rPr>
        <w:t>(</w:t>
      </w:r>
      <w:r w:rsidRPr="00691B70">
        <w:rPr>
          <w:sz w:val="20"/>
        </w:rPr>
        <w:t>reported by Cambridge Associates</w:t>
      </w:r>
      <w:r w:rsidR="002C6F24" w:rsidRPr="00691B70">
        <w:rPr>
          <w:sz w:val="20"/>
        </w:rPr>
        <w:t>)</w:t>
      </w:r>
      <w:r w:rsidRPr="00691B70">
        <w:rPr>
          <w:sz w:val="20"/>
        </w:rPr>
        <w:t>.</w:t>
      </w:r>
    </w:p>
    <w:p w:rsidR="001B6297" w:rsidRPr="00691B70" w:rsidRDefault="001B6297" w:rsidP="00691B70">
      <w:pPr>
        <w:pStyle w:val="FootnoteText"/>
        <w:spacing w:after="120"/>
        <w:jc w:val="both"/>
        <w:rPr>
          <w:sz w:val="20"/>
        </w:rPr>
      </w:pPr>
      <w:r w:rsidRPr="00691B70">
        <w:rPr>
          <w:sz w:val="20"/>
        </w:rPr>
        <w:tab/>
        <w:t>The PEGCC notes that the response to the Call for Evidence to be submitted by the Emerging Market Private Equity Association also highlights the need to consider how the application of the AIFMD and the possibility of extending the Passporting Regime will impact on European investor choice</w:t>
      </w:r>
      <w:r w:rsidR="00475CF8" w:rsidRPr="00691B70">
        <w:rPr>
          <w:sz w:val="20"/>
        </w:rPr>
        <w:t xml:space="preserve"> and associated diversification issues.</w:t>
      </w:r>
      <w:r w:rsidR="00001E8B">
        <w:rPr>
          <w:sz w:val="20"/>
        </w:rPr>
        <w:t xml:space="preserve">  The PEGCC also notes that the EVCA Response also makes similar macro observations that may materialise if an effective Passporting Regime is not implemented for non-European AIFMs.</w:t>
      </w:r>
    </w:p>
  </w:footnote>
  <w:footnote w:id="13">
    <w:p w:rsidR="00BC6B7A" w:rsidRPr="00691B70" w:rsidRDefault="00BC6B7A" w:rsidP="00691B70">
      <w:pPr>
        <w:pStyle w:val="FootnoteText"/>
        <w:spacing w:after="120"/>
        <w:jc w:val="both"/>
        <w:rPr>
          <w:sz w:val="20"/>
        </w:rPr>
      </w:pPr>
      <w:r w:rsidRPr="00691B70">
        <w:rPr>
          <w:rStyle w:val="FootnoteReference"/>
          <w:sz w:val="20"/>
        </w:rPr>
        <w:footnoteRef/>
      </w:r>
      <w:r w:rsidRPr="00691B70">
        <w:rPr>
          <w:sz w:val="20"/>
        </w:rPr>
        <w:t xml:space="preserve"> </w:t>
      </w:r>
      <w:r w:rsidRPr="00691B70">
        <w:rPr>
          <w:sz w:val="20"/>
        </w:rPr>
        <w:tab/>
        <w:t xml:space="preserve">The SEC staff no-action letters that set forth these restrictions are premised on the policy that non-US AIFs should be on equal footing with US AIFs.  </w:t>
      </w:r>
      <w:r w:rsidRPr="00691B70">
        <w:rPr>
          <w:i/>
          <w:sz w:val="20"/>
        </w:rPr>
        <w:t xml:space="preserve">See </w:t>
      </w:r>
      <w:proofErr w:type="spellStart"/>
      <w:r w:rsidRPr="00691B70">
        <w:rPr>
          <w:sz w:val="20"/>
        </w:rPr>
        <w:t>Touche</w:t>
      </w:r>
      <w:proofErr w:type="spellEnd"/>
      <w:r w:rsidRPr="00691B70">
        <w:rPr>
          <w:sz w:val="20"/>
        </w:rPr>
        <w:t xml:space="preserve"> Remnant &amp; Co., SEC Staff No-Action Letter (Aug. 27, 1984) (providing no-action relief for the offer and sale of shares of a non-US fund in the US if the non-US fund complies with the Investment Company Act by, for example, offering to fewer than 100 beneficial owners resident in the U.S.); Goodwin, Proctor &amp; Hoar LLP, SEC Staff No-Action Letter (Feb. 28, 1997) (providing no-action relief for non-US funds to offer and sell shares to US residents that are “qualified purchasers” in accordance with Section 3(c)(7) of the Investment Company Act).  Furthermore, we note that a non-US AIF has an advantage over a US AIF, since a US AIF must include both US and non-US persons for purposes of determining its compliance with either Section 3(c)(1) or 3(c)(7) of the Investment Company Act, while a non-US AIF must only include US persons.</w:t>
      </w:r>
    </w:p>
  </w:footnote>
  <w:footnote w:id="14">
    <w:p w:rsidR="009152FE" w:rsidRPr="00691B70" w:rsidRDefault="009152FE" w:rsidP="00691B70">
      <w:pPr>
        <w:pStyle w:val="FootnoteText"/>
        <w:spacing w:after="120"/>
        <w:jc w:val="both"/>
        <w:rPr>
          <w:sz w:val="20"/>
        </w:rPr>
      </w:pPr>
      <w:r w:rsidRPr="00691B70">
        <w:rPr>
          <w:rStyle w:val="FootnoteReference"/>
          <w:sz w:val="20"/>
        </w:rPr>
        <w:footnoteRef/>
      </w:r>
      <w:r w:rsidRPr="00691B70">
        <w:rPr>
          <w:sz w:val="20"/>
        </w:rPr>
        <w:t xml:space="preserve"> </w:t>
      </w:r>
      <w:r w:rsidRPr="00691B70">
        <w:rPr>
          <w:sz w:val="20"/>
        </w:rPr>
        <w:tab/>
      </w:r>
      <w:r w:rsidR="005A07E0" w:rsidRPr="00691B70">
        <w:rPr>
          <w:sz w:val="20"/>
        </w:rPr>
        <w:t xml:space="preserve">For example, in 2013, 36.2% of funds raised by European private equity firms came from North America.  </w:t>
      </w:r>
      <w:r w:rsidR="005A07E0" w:rsidRPr="00691B70">
        <w:rPr>
          <w:i/>
          <w:sz w:val="20"/>
        </w:rPr>
        <w:t>See</w:t>
      </w:r>
      <w:r w:rsidR="005A07E0" w:rsidRPr="00691B70">
        <w:rPr>
          <w:sz w:val="20"/>
        </w:rPr>
        <w:t xml:space="preserve"> EVCA, 2013 European Private Equity Activity: Statistics on Fundraising, Investments &amp; Divestments, p. 20, http://www.evca.eu/media/142790/2013-European-Private-Equity-Activity.pdf.  </w:t>
      </w:r>
    </w:p>
  </w:footnote>
  <w:footnote w:id="15">
    <w:p w:rsidR="009152FE" w:rsidRPr="00691B70" w:rsidRDefault="009152FE" w:rsidP="00691B70">
      <w:pPr>
        <w:pStyle w:val="FootnoteText"/>
        <w:spacing w:after="120"/>
        <w:jc w:val="both"/>
        <w:rPr>
          <w:sz w:val="20"/>
        </w:rPr>
      </w:pPr>
      <w:r w:rsidRPr="00691B70">
        <w:rPr>
          <w:rStyle w:val="FootnoteReference"/>
          <w:sz w:val="20"/>
        </w:rPr>
        <w:footnoteRef/>
      </w:r>
      <w:r w:rsidRPr="00691B70">
        <w:rPr>
          <w:sz w:val="20"/>
        </w:rPr>
        <w:tab/>
        <w:t xml:space="preserve">For example: The Agreement between the Government of the United States of America and the Commission of the European Communities regarding the application of their competition laws, 27 April 1995; The Agreement between the European Communities and the Government of the United States of America on the application of positive comity principles in the enforcement of their competition laws, 18 June 1998; and, US-EU Merger Working Group – Best Practices on Cooperation in Merger Investigations, 14 October 2011.  </w:t>
      </w:r>
    </w:p>
  </w:footnote>
  <w:footnote w:id="16">
    <w:p w:rsidR="006C3385" w:rsidRPr="00691B70" w:rsidRDefault="006C3385" w:rsidP="00691B70">
      <w:pPr>
        <w:pStyle w:val="FootnoteText"/>
        <w:spacing w:after="120"/>
        <w:jc w:val="both"/>
        <w:rPr>
          <w:sz w:val="20"/>
        </w:rPr>
      </w:pPr>
      <w:r w:rsidRPr="00691B70">
        <w:rPr>
          <w:rStyle w:val="FootnoteReference"/>
          <w:sz w:val="20"/>
        </w:rPr>
        <w:footnoteRef/>
      </w:r>
      <w:r w:rsidRPr="00691B70">
        <w:rPr>
          <w:sz w:val="20"/>
        </w:rPr>
        <w:t xml:space="preserve"> </w:t>
      </w:r>
      <w:r w:rsidRPr="00691B70">
        <w:rPr>
          <w:sz w:val="20"/>
        </w:rPr>
        <w:tab/>
        <w:t xml:space="preserve">15 U.S.C. §§ 1–7. </w:t>
      </w:r>
    </w:p>
  </w:footnote>
  <w:footnote w:id="17">
    <w:p w:rsidR="005B0481" w:rsidRPr="00691B70" w:rsidRDefault="005B0481" w:rsidP="00691B70">
      <w:pPr>
        <w:pStyle w:val="FootnoteText"/>
        <w:spacing w:after="120"/>
        <w:jc w:val="both"/>
        <w:rPr>
          <w:sz w:val="20"/>
        </w:rPr>
      </w:pPr>
      <w:r w:rsidRPr="00691B70">
        <w:rPr>
          <w:rStyle w:val="FootnoteReference"/>
          <w:sz w:val="20"/>
        </w:rPr>
        <w:footnoteRef/>
      </w:r>
      <w:r w:rsidRPr="00691B70">
        <w:rPr>
          <w:sz w:val="20"/>
        </w:rPr>
        <w:t xml:space="preserve"> </w:t>
      </w:r>
      <w:r w:rsidRPr="00691B70">
        <w:rPr>
          <w:sz w:val="20"/>
        </w:rPr>
        <w:tab/>
        <w:t xml:space="preserve">15 U.S.C. §§ </w:t>
      </w:r>
      <w:r w:rsidRPr="00691B70">
        <w:rPr>
          <w:sz w:val="20"/>
        </w:rPr>
        <w:t>12-27</w:t>
      </w:r>
      <w:r w:rsidR="00BC4264">
        <w:rPr>
          <w:sz w:val="20"/>
        </w:rPr>
        <w:t>.</w:t>
      </w:r>
      <w:bookmarkStart w:id="0" w:name="_GoBack"/>
      <w:bookmarkEnd w:id="0"/>
    </w:p>
  </w:footnote>
  <w:footnote w:id="18">
    <w:p w:rsidR="00CD535E" w:rsidRPr="00691B70" w:rsidRDefault="00CD535E" w:rsidP="00691B70">
      <w:pPr>
        <w:pStyle w:val="FootnoteText"/>
        <w:spacing w:after="120"/>
        <w:jc w:val="both"/>
        <w:rPr>
          <w:sz w:val="20"/>
        </w:rPr>
      </w:pPr>
      <w:r w:rsidRPr="00691B70">
        <w:rPr>
          <w:rStyle w:val="FootnoteReference"/>
          <w:sz w:val="20"/>
        </w:rPr>
        <w:footnoteRef/>
      </w:r>
      <w:r w:rsidRPr="00691B70">
        <w:rPr>
          <w:sz w:val="20"/>
        </w:rPr>
        <w:t xml:space="preserve"> </w:t>
      </w:r>
      <w:r w:rsidRPr="00691B70">
        <w:rPr>
          <w:sz w:val="20"/>
        </w:rPr>
        <w:tab/>
        <w:t xml:space="preserve">Although not the subject of this letter, the PEGCC notes that </w:t>
      </w:r>
      <w:r w:rsidR="00CA1DFE" w:rsidRPr="00691B70">
        <w:rPr>
          <w:sz w:val="20"/>
        </w:rPr>
        <w:t xml:space="preserve">the </w:t>
      </w:r>
      <w:r w:rsidRPr="00691B70">
        <w:rPr>
          <w:sz w:val="20"/>
        </w:rPr>
        <w:t>private equity</w:t>
      </w:r>
      <w:r w:rsidR="00CA1DFE" w:rsidRPr="00691B70">
        <w:rPr>
          <w:sz w:val="20"/>
        </w:rPr>
        <w:t xml:space="preserve"> business model does not present systemic risk concerns, as explained in detail in comment letters submitted by the PEGCC, including the comment letters that can be found at www.pegcc.org/issues/the-dodd-frank-act-summary/systemic-risk.</w:t>
      </w:r>
    </w:p>
  </w:footnote>
  <w:footnote w:id="19">
    <w:p w:rsidR="006C3385" w:rsidRPr="00691B70" w:rsidRDefault="006C3385" w:rsidP="00691B70">
      <w:pPr>
        <w:pStyle w:val="FootnoteText"/>
        <w:spacing w:after="120"/>
        <w:jc w:val="both"/>
        <w:rPr>
          <w:sz w:val="20"/>
          <w:lang w:val="en-US"/>
        </w:rPr>
      </w:pPr>
      <w:r w:rsidRPr="00691B70">
        <w:rPr>
          <w:rStyle w:val="FootnoteReference"/>
          <w:sz w:val="20"/>
        </w:rPr>
        <w:footnoteRef/>
      </w:r>
      <w:r w:rsidRPr="00691B70">
        <w:rPr>
          <w:sz w:val="20"/>
        </w:rPr>
        <w:t xml:space="preserve"> </w:t>
      </w:r>
      <w:r w:rsidRPr="00691B70">
        <w:rPr>
          <w:sz w:val="20"/>
          <w:lang w:val="en-US"/>
        </w:rPr>
        <w:tab/>
      </w:r>
      <w:proofErr w:type="gramStart"/>
      <w:r w:rsidRPr="00691B70">
        <w:rPr>
          <w:sz w:val="20"/>
          <w:lang w:val="en-US"/>
        </w:rPr>
        <w:t>Reporting by Investment Advisers to Private Funds and Certain Commodity Pool Operators and Commodity Trading Advisors on Form PF, SEC Release No.</w:t>
      </w:r>
      <w:proofErr w:type="gramEnd"/>
      <w:r w:rsidRPr="00691B70">
        <w:rPr>
          <w:sz w:val="20"/>
          <w:lang w:val="en-US"/>
        </w:rPr>
        <w:t xml:space="preserve"> IA-3308 (Oct. 31, 2011) at p. 8.  The FSOC has stated that it will consider the data provided on Form PF when considering whether to designate either US AIFMs or the </w:t>
      </w:r>
      <w:r w:rsidR="009C16ED" w:rsidRPr="00691B70">
        <w:rPr>
          <w:sz w:val="20"/>
          <w:lang w:val="en-US"/>
        </w:rPr>
        <w:t>AIFs</w:t>
      </w:r>
      <w:r w:rsidRPr="00691B70">
        <w:rPr>
          <w:sz w:val="20"/>
          <w:lang w:val="en-US"/>
        </w:rPr>
        <w:t xml:space="preserve"> as nonbank systemically important financial institution</w:t>
      </w:r>
      <w:r w:rsidR="002C6F24" w:rsidRPr="00691B70">
        <w:rPr>
          <w:sz w:val="20"/>
          <w:lang w:val="en-US"/>
        </w:rPr>
        <w:t>s</w:t>
      </w:r>
      <w:r w:rsidRPr="00691B70">
        <w:rPr>
          <w:sz w:val="20"/>
          <w:lang w:val="en-US"/>
        </w:rPr>
        <w:t xml:space="preserve">.  </w:t>
      </w:r>
      <w:r w:rsidR="002C6F24" w:rsidRPr="00691B70">
        <w:rPr>
          <w:sz w:val="20"/>
          <w:lang w:val="en-US"/>
        </w:rPr>
        <w:t>Thus far, no US AIFMs have been designated as nonbank system</w:t>
      </w:r>
      <w:r w:rsidR="00E530F7" w:rsidRPr="00691B70">
        <w:rPr>
          <w:sz w:val="20"/>
          <w:lang w:val="en-US"/>
        </w:rPr>
        <w:t>ically</w:t>
      </w:r>
      <w:r w:rsidR="002C6F24" w:rsidRPr="00691B70">
        <w:rPr>
          <w:sz w:val="20"/>
          <w:lang w:val="en-US"/>
        </w:rPr>
        <w:t xml:space="preserve"> important financial institutions.  </w:t>
      </w:r>
      <w:r w:rsidRPr="00691B70">
        <w:rPr>
          <w:sz w:val="20"/>
          <w:lang w:val="en-US"/>
        </w:rPr>
        <w:t xml:space="preserve">Authority </w:t>
      </w:r>
      <w:proofErr w:type="gramStart"/>
      <w:r w:rsidRPr="00691B70">
        <w:rPr>
          <w:sz w:val="20"/>
          <w:lang w:val="en-US"/>
        </w:rPr>
        <w:t>To</w:t>
      </w:r>
      <w:proofErr w:type="gramEnd"/>
      <w:r w:rsidRPr="00691B70">
        <w:rPr>
          <w:sz w:val="20"/>
          <w:lang w:val="en-US"/>
        </w:rPr>
        <w:t xml:space="preserve"> Require Supervision and Regulation of Certain Nonbank Financial Companies, 77 Fed. Reg. 21637 (Apr. 11, 2012).</w:t>
      </w:r>
    </w:p>
  </w:footnote>
  <w:footnote w:id="20">
    <w:p w:rsidR="006C3385" w:rsidRPr="00691B70" w:rsidRDefault="006C3385" w:rsidP="00691B70">
      <w:pPr>
        <w:pStyle w:val="FootnoteText"/>
        <w:spacing w:after="120"/>
        <w:jc w:val="both"/>
        <w:rPr>
          <w:sz w:val="20"/>
          <w:lang w:val="en-US"/>
        </w:rPr>
      </w:pPr>
      <w:r w:rsidRPr="00691B70">
        <w:rPr>
          <w:rStyle w:val="FootnoteReference"/>
          <w:sz w:val="20"/>
        </w:rPr>
        <w:footnoteRef/>
      </w:r>
      <w:r w:rsidRPr="00691B70">
        <w:rPr>
          <w:sz w:val="20"/>
        </w:rPr>
        <w:t xml:space="preserve"> </w:t>
      </w:r>
      <w:r w:rsidRPr="00691B70">
        <w:rPr>
          <w:sz w:val="20"/>
          <w:lang w:val="en-US"/>
        </w:rPr>
        <w:tab/>
      </w:r>
      <w:proofErr w:type="gramStart"/>
      <w:r w:rsidRPr="00691B70">
        <w:rPr>
          <w:sz w:val="20"/>
          <w:lang w:val="en-US"/>
        </w:rPr>
        <w:t>SEC Release No.</w:t>
      </w:r>
      <w:proofErr w:type="gramEnd"/>
      <w:r w:rsidRPr="00691B70">
        <w:rPr>
          <w:sz w:val="20"/>
          <w:lang w:val="en-US"/>
        </w:rPr>
        <w:t xml:space="preserve"> </w:t>
      </w:r>
      <w:proofErr w:type="gramStart"/>
      <w:r w:rsidRPr="00691B70">
        <w:rPr>
          <w:sz w:val="20"/>
          <w:lang w:val="en-US"/>
        </w:rPr>
        <w:t>IA-3308 at 11.</w:t>
      </w:r>
      <w:proofErr w:type="gramEnd"/>
    </w:p>
  </w:footnote>
  <w:footnote w:id="21">
    <w:p w:rsidR="006C3385" w:rsidRPr="00691B70" w:rsidRDefault="006C3385" w:rsidP="00691B70">
      <w:pPr>
        <w:pStyle w:val="FootnoteText"/>
        <w:spacing w:after="120"/>
        <w:jc w:val="both"/>
        <w:rPr>
          <w:sz w:val="20"/>
        </w:rPr>
      </w:pPr>
      <w:r w:rsidRPr="00691B70">
        <w:rPr>
          <w:rStyle w:val="FootnoteReference"/>
          <w:sz w:val="20"/>
        </w:rPr>
        <w:footnoteRef/>
      </w:r>
      <w:r w:rsidRPr="00691B70">
        <w:rPr>
          <w:sz w:val="20"/>
        </w:rPr>
        <w:t xml:space="preserve"> </w:t>
      </w:r>
      <w:r w:rsidRPr="00691B70">
        <w:rPr>
          <w:sz w:val="20"/>
        </w:rPr>
        <w:tab/>
      </w:r>
      <w:proofErr w:type="gramStart"/>
      <w:r w:rsidRPr="00691B70">
        <w:rPr>
          <w:sz w:val="20"/>
        </w:rPr>
        <w:t>Id. at 12.</w:t>
      </w:r>
      <w:proofErr w:type="gramEnd"/>
      <w:r w:rsidRPr="00691B70">
        <w:rPr>
          <w:sz w:val="20"/>
        </w:rPr>
        <w:t xml:space="preserve">  In adopting Form PF, the SEC explicitly noted that it had made changes to the originally proposed Form PF to further align the Form PF with the survey efforts of ESMA and the UK Financial Services Authority (now the Financial Conduct Authority).</w:t>
      </w:r>
    </w:p>
  </w:footnote>
  <w:footnote w:id="22">
    <w:p w:rsidR="007F6A2D" w:rsidRPr="00691B70" w:rsidRDefault="006C3385" w:rsidP="00691B70">
      <w:pPr>
        <w:pStyle w:val="FootnoteText"/>
        <w:spacing w:after="120"/>
        <w:jc w:val="both"/>
        <w:rPr>
          <w:sz w:val="20"/>
          <w:lang w:val="en-US"/>
        </w:rPr>
      </w:pPr>
      <w:r w:rsidRPr="00691B70">
        <w:rPr>
          <w:rStyle w:val="FootnoteReference"/>
          <w:sz w:val="20"/>
        </w:rPr>
        <w:footnoteRef/>
      </w:r>
      <w:r w:rsidRPr="00691B70">
        <w:rPr>
          <w:sz w:val="20"/>
        </w:rPr>
        <w:t xml:space="preserve"> </w:t>
      </w:r>
      <w:r w:rsidRPr="00691B70">
        <w:rPr>
          <w:sz w:val="20"/>
          <w:lang w:val="en-US"/>
        </w:rPr>
        <w:tab/>
      </w:r>
      <w:proofErr w:type="gramStart"/>
      <w:r w:rsidRPr="00691B70">
        <w:rPr>
          <w:sz w:val="20"/>
          <w:lang w:val="en-US"/>
        </w:rPr>
        <w:t>Id. at fn. 29.</w:t>
      </w:r>
      <w:proofErr w:type="gramEnd"/>
      <w:r w:rsidRPr="00691B70">
        <w:rPr>
          <w:sz w:val="20"/>
          <w:lang w:val="en-US"/>
        </w:rPr>
        <w:t xml:space="preserve">  The Financial Stability Board and </w:t>
      </w:r>
      <w:r w:rsidRPr="00691B70">
        <w:rPr>
          <w:sz w:val="20"/>
        </w:rPr>
        <w:t>the International Organization of Securities Commissions noted Form PF as one of the data sources for consideration in the identification of non-bank non-insurer global systemically important financial institutions.  Consultative Document: Assessment Methodologies for Identifying Non-Bank Non-Insurer Global Systemically Important Financial Institutions: Proposed High-Level Framework and Specific Methodologies (8 January 2014), available at http://www.financialstabilityboard.org/wp-content/uploads/r_140108.pdf.</w:t>
      </w:r>
      <w:r w:rsidRPr="00691B70">
        <w:rPr>
          <w:sz w:val="20"/>
          <w:lang w:val="en-US"/>
        </w:rPr>
        <w:t xml:space="preserve"> </w:t>
      </w:r>
      <w:r w:rsidR="00583F61" w:rsidRPr="00691B70">
        <w:rPr>
          <w:sz w:val="20"/>
          <w:lang w:val="en-US"/>
        </w:rPr>
        <w:t xml:space="preserve"> </w:t>
      </w:r>
    </w:p>
    <w:p w:rsidR="006C3385" w:rsidRPr="00691B70" w:rsidRDefault="007F6A2D" w:rsidP="00691B70">
      <w:pPr>
        <w:pStyle w:val="FootnoteText"/>
        <w:spacing w:after="120"/>
        <w:jc w:val="both"/>
        <w:rPr>
          <w:sz w:val="20"/>
          <w:lang w:val="en-US"/>
        </w:rPr>
      </w:pPr>
      <w:r w:rsidRPr="00691B70">
        <w:rPr>
          <w:sz w:val="20"/>
          <w:lang w:val="en-US"/>
        </w:rPr>
        <w:tab/>
      </w:r>
      <w:r w:rsidR="000F7D54" w:rsidRPr="00691B70">
        <w:rPr>
          <w:i/>
          <w:sz w:val="20"/>
          <w:lang w:val="en-US"/>
        </w:rPr>
        <w:t>See</w:t>
      </w:r>
      <w:r w:rsidR="000F7D54" w:rsidRPr="00691B70">
        <w:rPr>
          <w:sz w:val="20"/>
          <w:lang w:val="en-US"/>
        </w:rPr>
        <w:t>, also PEGCC and EVCA Comment Letter on Assessment Methodologies for Identifying Non-Bank Non-Insurer Global Systemically Important Financial Institutions</w:t>
      </w:r>
      <w:r w:rsidRPr="00691B70">
        <w:rPr>
          <w:sz w:val="20"/>
          <w:lang w:val="en-US"/>
        </w:rPr>
        <w:t xml:space="preserve"> at</w:t>
      </w:r>
      <w:r w:rsidR="000F7D54" w:rsidRPr="00691B70">
        <w:rPr>
          <w:sz w:val="20"/>
          <w:lang w:val="en-US"/>
        </w:rPr>
        <w:t xml:space="preserve"> http://www.pegcc.org/issues/comment-letters/pegcc-and-evca-comment-letter-on-assessment-methodologies-for-identifying-non-bank-non-insurer-global-systemically-important-financial-institutions.</w:t>
      </w:r>
    </w:p>
  </w:footnote>
  <w:footnote w:id="23">
    <w:p w:rsidR="006C3385" w:rsidRPr="00ED593C" w:rsidRDefault="006C3385" w:rsidP="005B0481">
      <w:pPr>
        <w:pStyle w:val="FootnoteText"/>
        <w:spacing w:after="120"/>
        <w:jc w:val="both"/>
        <w:rPr>
          <w:sz w:val="20"/>
        </w:rPr>
      </w:pPr>
      <w:r w:rsidRPr="00ED593C">
        <w:rPr>
          <w:rStyle w:val="FootnoteReference"/>
          <w:sz w:val="20"/>
        </w:rPr>
        <w:footnoteRef/>
      </w:r>
      <w:r w:rsidRPr="00ED593C">
        <w:rPr>
          <w:sz w:val="20"/>
        </w:rPr>
        <w:t xml:space="preserve"> </w:t>
      </w:r>
      <w:r w:rsidRPr="00ED593C">
        <w:rPr>
          <w:sz w:val="20"/>
        </w:rPr>
        <w:tab/>
        <w:t>A US alternative investment fund manager that is registered with the SEC under the Advisers Act typically is referred to as a ‘registered investment adviser’, although for the purposes of this Appendix A is referred to as a ‘US AIFM’.</w:t>
      </w:r>
    </w:p>
  </w:footnote>
  <w:footnote w:id="24">
    <w:p w:rsidR="006C3385" w:rsidRPr="00ED593C" w:rsidRDefault="006C3385" w:rsidP="005B0481">
      <w:pPr>
        <w:pStyle w:val="FootnoteText"/>
        <w:spacing w:after="120"/>
        <w:jc w:val="both"/>
        <w:rPr>
          <w:sz w:val="20"/>
        </w:rPr>
      </w:pPr>
      <w:r w:rsidRPr="00ED593C">
        <w:rPr>
          <w:rStyle w:val="FootnoteReference"/>
          <w:sz w:val="20"/>
        </w:rPr>
        <w:footnoteRef/>
      </w:r>
      <w:r w:rsidRPr="00ED593C">
        <w:rPr>
          <w:sz w:val="20"/>
        </w:rPr>
        <w:t xml:space="preserve"> </w:t>
      </w:r>
      <w:r w:rsidRPr="00ED593C">
        <w:rPr>
          <w:sz w:val="20"/>
        </w:rPr>
        <w:tab/>
      </w:r>
      <w:r w:rsidRPr="00ED593C">
        <w:rPr>
          <w:i/>
          <w:sz w:val="20"/>
        </w:rPr>
        <w:t>See</w:t>
      </w:r>
      <w:r w:rsidRPr="00ED593C">
        <w:rPr>
          <w:sz w:val="20"/>
        </w:rPr>
        <w:t xml:space="preserve"> http://www.sec.gov/about/offices/ocie/letter-presence-exams.pdf.</w:t>
      </w:r>
    </w:p>
  </w:footnote>
  <w:footnote w:id="25">
    <w:p w:rsidR="006C3385" w:rsidRPr="00ED593C" w:rsidRDefault="006C3385" w:rsidP="005B0481">
      <w:pPr>
        <w:pStyle w:val="FootnoteText"/>
        <w:spacing w:after="120"/>
        <w:jc w:val="both"/>
        <w:rPr>
          <w:sz w:val="20"/>
        </w:rPr>
      </w:pPr>
      <w:r w:rsidRPr="00ED593C">
        <w:rPr>
          <w:rStyle w:val="FootnoteReference"/>
          <w:sz w:val="20"/>
        </w:rPr>
        <w:footnoteRef/>
      </w:r>
      <w:r w:rsidRPr="00ED593C">
        <w:rPr>
          <w:sz w:val="20"/>
        </w:rPr>
        <w:t xml:space="preserve"> </w:t>
      </w:r>
      <w:r w:rsidRPr="00ED593C">
        <w:rPr>
          <w:sz w:val="20"/>
        </w:rPr>
        <w:tab/>
      </w:r>
      <w:proofErr w:type="gramStart"/>
      <w:r w:rsidRPr="00ED593C">
        <w:rPr>
          <w:sz w:val="20"/>
        </w:rPr>
        <w:t>Examination Priorities for 2014, National Exam Program (Jan. 9, 2014), available at http://www.sec.gov/about/offices/ocie/national-examination-program-priorities-2014.pdf.</w:t>
      </w:r>
      <w:proofErr w:type="gramEnd"/>
    </w:p>
  </w:footnote>
  <w:footnote w:id="26">
    <w:p w:rsidR="006C3385" w:rsidRPr="00ED593C" w:rsidRDefault="006C3385" w:rsidP="00583F61">
      <w:pPr>
        <w:pStyle w:val="FootnoteText"/>
        <w:spacing w:after="120"/>
        <w:rPr>
          <w:sz w:val="20"/>
        </w:rPr>
      </w:pPr>
      <w:r w:rsidRPr="00ED593C">
        <w:rPr>
          <w:rStyle w:val="FootnoteReference"/>
          <w:sz w:val="20"/>
        </w:rPr>
        <w:footnoteRef/>
      </w:r>
      <w:r w:rsidRPr="00ED593C">
        <w:rPr>
          <w:sz w:val="20"/>
        </w:rPr>
        <w:t xml:space="preserve"> </w:t>
      </w:r>
      <w:r w:rsidRPr="00ED593C">
        <w:rPr>
          <w:sz w:val="20"/>
        </w:rPr>
        <w:tab/>
      </w:r>
      <w:r w:rsidRPr="00ED593C">
        <w:rPr>
          <w:i/>
          <w:sz w:val="20"/>
        </w:rPr>
        <w:t>See</w:t>
      </w:r>
      <w:r w:rsidRPr="00ED593C">
        <w:rPr>
          <w:sz w:val="20"/>
        </w:rPr>
        <w:t xml:space="preserve"> Office of Compliance Inspections and Examination, “Investment Adviser Examinations: Core Initial Request for Information” (</w:t>
      </w:r>
      <w:r w:rsidRPr="00ED593C">
        <w:rPr>
          <w:i/>
          <w:sz w:val="20"/>
        </w:rPr>
        <w:t>available at</w:t>
      </w:r>
      <w:r w:rsidRPr="00ED593C">
        <w:rPr>
          <w:sz w:val="20"/>
        </w:rPr>
        <w:t xml:space="preserve">: http://www.sec.gov/info/cco/requestlistcore1108.htm). </w:t>
      </w:r>
    </w:p>
  </w:footnote>
  <w:footnote w:id="27">
    <w:p w:rsidR="006C3385" w:rsidRPr="00ED593C" w:rsidRDefault="006C3385" w:rsidP="00583F61">
      <w:pPr>
        <w:pStyle w:val="FootnoteText"/>
        <w:spacing w:after="120"/>
        <w:rPr>
          <w:sz w:val="20"/>
        </w:rPr>
      </w:pPr>
      <w:r w:rsidRPr="00ED593C">
        <w:rPr>
          <w:rStyle w:val="FootnoteReference"/>
          <w:sz w:val="20"/>
        </w:rPr>
        <w:footnoteRef/>
      </w:r>
      <w:r w:rsidRPr="00ED593C">
        <w:rPr>
          <w:sz w:val="20"/>
        </w:rPr>
        <w:t xml:space="preserve"> </w:t>
      </w:r>
      <w:r w:rsidRPr="00ED593C">
        <w:rPr>
          <w:sz w:val="20"/>
        </w:rPr>
        <w:tab/>
        <w:t xml:space="preserve">SEC Division of Investment Management </w:t>
      </w:r>
      <w:r w:rsidRPr="00ED593C">
        <w:rPr>
          <w:sz w:val="20"/>
          <w:lang w:val="en"/>
        </w:rPr>
        <w:t xml:space="preserve">Guidance Update No. 2014-1, </w:t>
      </w:r>
      <w:r w:rsidRPr="00ED593C">
        <w:rPr>
          <w:sz w:val="20"/>
        </w:rPr>
        <w:t>“</w:t>
      </w:r>
      <w:hyperlink r:id="rId1" w:tgtFrame="_blank" w:history="1">
        <w:r w:rsidRPr="00ED593C">
          <w:rPr>
            <w:rStyle w:val="Hyperlink"/>
            <w:color w:val="auto"/>
            <w:sz w:val="20"/>
            <w:u w:val="none"/>
            <w:lang w:val="en"/>
          </w:rPr>
          <w:t>Risk Management in Changing Fixed Income Market Conditions,”  (</w:t>
        </w:r>
        <w:r w:rsidRPr="00ED593C">
          <w:rPr>
            <w:rStyle w:val="Hyperlink"/>
            <w:i/>
            <w:color w:val="auto"/>
            <w:sz w:val="20"/>
            <w:u w:val="none"/>
            <w:lang w:val="en"/>
          </w:rPr>
          <w:t>available at:</w:t>
        </w:r>
        <w:r w:rsidRPr="00ED593C">
          <w:rPr>
            <w:rStyle w:val="Hyperlink"/>
            <w:color w:val="auto"/>
            <w:sz w:val="20"/>
            <w:u w:val="none"/>
            <w:lang w:val="en"/>
          </w:rPr>
          <w:t xml:space="preserve">  </w:t>
        </w:r>
      </w:hyperlink>
      <w:r w:rsidRPr="00ED593C">
        <w:rPr>
          <w:sz w:val="20"/>
        </w:rPr>
        <w:t>http://www.sec.gov/divisions/investment/guidance/im-guidance-2014-1.pdf).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669" w:rsidRDefault="00F55669">
    <w:pPr>
      <w:pStyle w:val="Header"/>
    </w:pPr>
    <w:r>
      <w:rPr>
        <w:noProof/>
        <w:lang w:eastAsia="en-GB"/>
      </w:rPr>
      <w:drawing>
        <wp:anchor distT="0" distB="0" distL="114300" distR="114300" simplePos="0" relativeHeight="251659264" behindDoc="1" locked="0" layoutInCell="1" allowOverlap="1" wp14:anchorId="51C50555" wp14:editId="0E6A7BA7">
          <wp:simplePos x="0" y="0"/>
          <wp:positionH relativeFrom="column">
            <wp:posOffset>-1162050</wp:posOffset>
          </wp:positionH>
          <wp:positionV relativeFrom="page">
            <wp:posOffset>152400</wp:posOffset>
          </wp:positionV>
          <wp:extent cx="7772400" cy="137464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GCC_Letterhead_top.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37464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B44DF70"/>
    <w:name w:val="List Number 5"/>
    <w:lvl w:ilvl="0">
      <w:start w:val="1"/>
      <w:numFmt w:val="decimal"/>
      <w:lvlText w:val="%1."/>
      <w:lvlJc w:val="left"/>
      <w:pPr>
        <w:tabs>
          <w:tab w:val="num" w:pos="3600"/>
        </w:tabs>
        <w:ind w:left="3600" w:hanging="720"/>
      </w:pPr>
      <w:rPr>
        <w:rFonts w:hint="default"/>
      </w:rPr>
    </w:lvl>
  </w:abstractNum>
  <w:abstractNum w:abstractNumId="1">
    <w:nsid w:val="FFFFFF7D"/>
    <w:multiLevelType w:val="singleLevel"/>
    <w:tmpl w:val="FEDA9092"/>
    <w:name w:val="List Number 4"/>
    <w:lvl w:ilvl="0">
      <w:start w:val="1"/>
      <w:numFmt w:val="decimal"/>
      <w:lvlText w:val="%1."/>
      <w:lvlJc w:val="left"/>
      <w:pPr>
        <w:tabs>
          <w:tab w:val="num" w:pos="2880"/>
        </w:tabs>
        <w:ind w:left="2880" w:hanging="720"/>
      </w:pPr>
      <w:rPr>
        <w:rFonts w:hint="default"/>
      </w:rPr>
    </w:lvl>
  </w:abstractNum>
  <w:abstractNum w:abstractNumId="2">
    <w:nsid w:val="FFFFFF7E"/>
    <w:multiLevelType w:val="singleLevel"/>
    <w:tmpl w:val="D6B43984"/>
    <w:name w:val="List Number 3"/>
    <w:lvl w:ilvl="0">
      <w:start w:val="1"/>
      <w:numFmt w:val="decimal"/>
      <w:lvlText w:val="%1."/>
      <w:lvlJc w:val="left"/>
      <w:pPr>
        <w:tabs>
          <w:tab w:val="num" w:pos="2160"/>
        </w:tabs>
        <w:ind w:left="2160" w:hanging="720"/>
      </w:pPr>
      <w:rPr>
        <w:rFonts w:hint="default"/>
      </w:rPr>
    </w:lvl>
  </w:abstractNum>
  <w:abstractNum w:abstractNumId="3">
    <w:nsid w:val="FFFFFF7F"/>
    <w:multiLevelType w:val="singleLevel"/>
    <w:tmpl w:val="D31C8F24"/>
    <w:name w:val="List Number 2"/>
    <w:lvl w:ilvl="0">
      <w:start w:val="1"/>
      <w:numFmt w:val="decimal"/>
      <w:lvlText w:val="%1."/>
      <w:lvlJc w:val="left"/>
      <w:pPr>
        <w:tabs>
          <w:tab w:val="num" w:pos="1440"/>
        </w:tabs>
        <w:ind w:left="1440" w:hanging="720"/>
      </w:pPr>
      <w:rPr>
        <w:rFonts w:hint="default"/>
      </w:rPr>
    </w:lvl>
  </w:abstractNum>
  <w:abstractNum w:abstractNumId="4">
    <w:nsid w:val="FFFFFF80"/>
    <w:multiLevelType w:val="singleLevel"/>
    <w:tmpl w:val="DB8E4F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91CC88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AB46A9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41A446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F27BE8"/>
    <w:name w:val="List Number"/>
    <w:lvl w:ilvl="0">
      <w:start w:val="1"/>
      <w:numFmt w:val="decimal"/>
      <w:lvlText w:val="%1."/>
      <w:lvlJc w:val="left"/>
      <w:pPr>
        <w:tabs>
          <w:tab w:val="num" w:pos="720"/>
        </w:tabs>
        <w:ind w:left="720" w:hanging="720"/>
      </w:pPr>
      <w:rPr>
        <w:rFonts w:hint="default"/>
      </w:rPr>
    </w:lvl>
  </w:abstractNum>
  <w:abstractNum w:abstractNumId="9">
    <w:nsid w:val="FFFFFF89"/>
    <w:multiLevelType w:val="singleLevel"/>
    <w:tmpl w:val="4F7A8DE0"/>
    <w:lvl w:ilvl="0">
      <w:start w:val="1"/>
      <w:numFmt w:val="bullet"/>
      <w:lvlText w:val=""/>
      <w:lvlJc w:val="left"/>
      <w:pPr>
        <w:tabs>
          <w:tab w:val="num" w:pos="360"/>
        </w:tabs>
        <w:ind w:left="360" w:hanging="360"/>
      </w:pPr>
      <w:rPr>
        <w:rFonts w:ascii="Symbol" w:hAnsi="Symbol" w:hint="default"/>
      </w:rPr>
    </w:lvl>
  </w:abstractNum>
  <w:abstractNum w:abstractNumId="10">
    <w:nsid w:val="21E22502"/>
    <w:multiLevelType w:val="hybridMultilevel"/>
    <w:tmpl w:val="5F8880EC"/>
    <w:name w:val="List Bullet 4"/>
    <w:lvl w:ilvl="0" w:tplc="EF589768">
      <w:start w:val="1"/>
      <w:numFmt w:val="bullet"/>
      <w:lvlText w:val=""/>
      <w:lvlJc w:val="left"/>
      <w:pPr>
        <w:tabs>
          <w:tab w:val="num" w:pos="2880"/>
        </w:tabs>
        <w:ind w:left="28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B93658"/>
    <w:multiLevelType w:val="hybridMultilevel"/>
    <w:tmpl w:val="86D4F4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6D72D53"/>
    <w:multiLevelType w:val="hybridMultilevel"/>
    <w:tmpl w:val="DF9E35EA"/>
    <w:name w:val="List Bullet 2"/>
    <w:lvl w:ilvl="0" w:tplc="B936D4C0">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E835EE5"/>
    <w:multiLevelType w:val="hybridMultilevel"/>
    <w:tmpl w:val="86D4F40E"/>
    <w:name w:val="List Bullet"/>
    <w:lvl w:ilvl="0" w:tplc="C07012E2">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F200142"/>
    <w:multiLevelType w:val="hybridMultilevel"/>
    <w:tmpl w:val="F04A046E"/>
    <w:name w:val="List Bullet 3"/>
    <w:lvl w:ilvl="0" w:tplc="49A6D602">
      <w:start w:val="1"/>
      <w:numFmt w:val="bullet"/>
      <w:lvlText w:val=""/>
      <w:lvlJc w:val="left"/>
      <w:pPr>
        <w:tabs>
          <w:tab w:val="num" w:pos="2160"/>
        </w:tabs>
        <w:ind w:left="216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FF1060D"/>
    <w:multiLevelType w:val="hybridMultilevel"/>
    <w:tmpl w:val="00A067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16B1183"/>
    <w:multiLevelType w:val="hybridMultilevel"/>
    <w:tmpl w:val="1B804A6A"/>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7">
    <w:nsid w:val="6BA7266F"/>
    <w:multiLevelType w:val="hybridMultilevel"/>
    <w:tmpl w:val="11D0BA52"/>
    <w:name w:val="List Bullet 5"/>
    <w:lvl w:ilvl="0" w:tplc="C0365250">
      <w:start w:val="1"/>
      <w:numFmt w:val="bullet"/>
      <w:lvlText w:val=""/>
      <w:lvlJc w:val="left"/>
      <w:pPr>
        <w:tabs>
          <w:tab w:val="num" w:pos="3600"/>
        </w:tabs>
        <w:ind w:left="360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4"/>
  </w:num>
  <w:num w:numId="3">
    <w:abstractNumId w:val="10"/>
  </w:num>
  <w:num w:numId="4">
    <w:abstractNumId w:val="17"/>
  </w:num>
  <w:num w:numId="5">
    <w:abstractNumId w:val="13"/>
  </w:num>
  <w:num w:numId="6">
    <w:abstractNumId w:val="3"/>
  </w:num>
  <w:num w:numId="7">
    <w:abstractNumId w:val="2"/>
  </w:num>
  <w:num w:numId="8">
    <w:abstractNumId w:val="1"/>
  </w:num>
  <w:num w:numId="9">
    <w:abstractNumId w:val="0"/>
  </w:num>
  <w:num w:numId="10">
    <w:abstractNumId w:val="8"/>
  </w:num>
  <w:num w:numId="11">
    <w:abstractNumId w:val="13"/>
  </w:num>
  <w:num w:numId="12">
    <w:abstractNumId w:val="12"/>
  </w:num>
  <w:num w:numId="13">
    <w:abstractNumId w:val="14"/>
  </w:num>
  <w:num w:numId="14">
    <w:abstractNumId w:val="10"/>
  </w:num>
  <w:num w:numId="15">
    <w:abstractNumId w:val="17"/>
  </w:num>
  <w:num w:numId="16">
    <w:abstractNumId w:val="13"/>
  </w:num>
  <w:num w:numId="17">
    <w:abstractNumId w:val="3"/>
  </w:num>
  <w:num w:numId="18">
    <w:abstractNumId w:val="2"/>
  </w:num>
  <w:num w:numId="19">
    <w:abstractNumId w:val="1"/>
  </w:num>
  <w:num w:numId="20">
    <w:abstractNumId w:val="1"/>
  </w:num>
  <w:num w:numId="21">
    <w:abstractNumId w:val="12"/>
  </w:num>
  <w:num w:numId="22">
    <w:abstractNumId w:val="14"/>
  </w:num>
  <w:num w:numId="23">
    <w:abstractNumId w:val="10"/>
  </w:num>
  <w:num w:numId="24">
    <w:abstractNumId w:val="1"/>
  </w:num>
  <w:num w:numId="25">
    <w:abstractNumId w:val="0"/>
  </w:num>
  <w:num w:numId="26">
    <w:abstractNumId w:val="8"/>
  </w:num>
  <w:num w:numId="27">
    <w:abstractNumId w:val="9"/>
  </w:num>
  <w:num w:numId="28">
    <w:abstractNumId w:val="7"/>
  </w:num>
  <w:num w:numId="29">
    <w:abstractNumId w:val="6"/>
  </w:num>
  <w:num w:numId="30">
    <w:abstractNumId w:val="5"/>
  </w:num>
  <w:num w:numId="31">
    <w:abstractNumId w:val="4"/>
  </w:num>
  <w:num w:numId="32">
    <w:abstractNumId w:val="11"/>
  </w:num>
  <w:num w:numId="33">
    <w:abstractNumId w:val="15"/>
  </w:num>
  <w:num w:numId="34">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Mark" w:val="NoID"/>
  </w:docVars>
  <w:rsids>
    <w:rsidRoot w:val="009D7D75"/>
    <w:rsid w:val="00001E8B"/>
    <w:rsid w:val="00016DCC"/>
    <w:rsid w:val="0003238F"/>
    <w:rsid w:val="00040780"/>
    <w:rsid w:val="00055BDE"/>
    <w:rsid w:val="00055DDF"/>
    <w:rsid w:val="00065C7B"/>
    <w:rsid w:val="0007591F"/>
    <w:rsid w:val="00081BA9"/>
    <w:rsid w:val="00085562"/>
    <w:rsid w:val="000C786B"/>
    <w:rsid w:val="000E0E09"/>
    <w:rsid w:val="000E27BF"/>
    <w:rsid w:val="000F22FB"/>
    <w:rsid w:val="000F7D54"/>
    <w:rsid w:val="00131979"/>
    <w:rsid w:val="00135CF7"/>
    <w:rsid w:val="00164571"/>
    <w:rsid w:val="00164778"/>
    <w:rsid w:val="00164FB8"/>
    <w:rsid w:val="00167A4F"/>
    <w:rsid w:val="00173CC5"/>
    <w:rsid w:val="00180D99"/>
    <w:rsid w:val="00192F3C"/>
    <w:rsid w:val="001974C3"/>
    <w:rsid w:val="001A102B"/>
    <w:rsid w:val="001B4561"/>
    <w:rsid w:val="001B6297"/>
    <w:rsid w:val="001C2CBA"/>
    <w:rsid w:val="001C6239"/>
    <w:rsid w:val="001D34D4"/>
    <w:rsid w:val="001E3AD1"/>
    <w:rsid w:val="001F59C8"/>
    <w:rsid w:val="0022543A"/>
    <w:rsid w:val="002328B5"/>
    <w:rsid w:val="00245131"/>
    <w:rsid w:val="00255C6B"/>
    <w:rsid w:val="00257E12"/>
    <w:rsid w:val="00263A74"/>
    <w:rsid w:val="002829F5"/>
    <w:rsid w:val="0028597F"/>
    <w:rsid w:val="002978A1"/>
    <w:rsid w:val="002A33F0"/>
    <w:rsid w:val="002B2EDD"/>
    <w:rsid w:val="002C23AC"/>
    <w:rsid w:val="002C6F24"/>
    <w:rsid w:val="002D6C82"/>
    <w:rsid w:val="002E119C"/>
    <w:rsid w:val="002E19F9"/>
    <w:rsid w:val="002E61FB"/>
    <w:rsid w:val="002F421D"/>
    <w:rsid w:val="002F558E"/>
    <w:rsid w:val="002F5CAC"/>
    <w:rsid w:val="002F6550"/>
    <w:rsid w:val="0032523E"/>
    <w:rsid w:val="0033521B"/>
    <w:rsid w:val="003575EA"/>
    <w:rsid w:val="00357852"/>
    <w:rsid w:val="00363206"/>
    <w:rsid w:val="00371C0E"/>
    <w:rsid w:val="00376A6F"/>
    <w:rsid w:val="00377646"/>
    <w:rsid w:val="003B6EDC"/>
    <w:rsid w:val="003C61B3"/>
    <w:rsid w:val="003D5B53"/>
    <w:rsid w:val="003D6E07"/>
    <w:rsid w:val="004042CC"/>
    <w:rsid w:val="004340E7"/>
    <w:rsid w:val="004342D1"/>
    <w:rsid w:val="004433BC"/>
    <w:rsid w:val="00456749"/>
    <w:rsid w:val="00463AB5"/>
    <w:rsid w:val="00475CF8"/>
    <w:rsid w:val="00483ACC"/>
    <w:rsid w:val="0048506A"/>
    <w:rsid w:val="004919B9"/>
    <w:rsid w:val="004D22BA"/>
    <w:rsid w:val="004D51FC"/>
    <w:rsid w:val="004E7EA2"/>
    <w:rsid w:val="005063F8"/>
    <w:rsid w:val="00543D87"/>
    <w:rsid w:val="005505CE"/>
    <w:rsid w:val="00550694"/>
    <w:rsid w:val="005513D7"/>
    <w:rsid w:val="005555DC"/>
    <w:rsid w:val="00563451"/>
    <w:rsid w:val="00583F61"/>
    <w:rsid w:val="005945D0"/>
    <w:rsid w:val="005A07E0"/>
    <w:rsid w:val="005A7BD5"/>
    <w:rsid w:val="005B0481"/>
    <w:rsid w:val="005C1163"/>
    <w:rsid w:val="005D2A84"/>
    <w:rsid w:val="005F07C1"/>
    <w:rsid w:val="005F0E5A"/>
    <w:rsid w:val="00605BC8"/>
    <w:rsid w:val="00614FEC"/>
    <w:rsid w:val="00636DFD"/>
    <w:rsid w:val="00637F8D"/>
    <w:rsid w:val="00640C93"/>
    <w:rsid w:val="00644BD3"/>
    <w:rsid w:val="00652A9C"/>
    <w:rsid w:val="006769E4"/>
    <w:rsid w:val="00676D85"/>
    <w:rsid w:val="006774A8"/>
    <w:rsid w:val="00680046"/>
    <w:rsid w:val="006816AB"/>
    <w:rsid w:val="00691B70"/>
    <w:rsid w:val="006935BA"/>
    <w:rsid w:val="006B3EAB"/>
    <w:rsid w:val="006B78D7"/>
    <w:rsid w:val="006C3329"/>
    <w:rsid w:val="006C3385"/>
    <w:rsid w:val="006F0EC9"/>
    <w:rsid w:val="00703CEC"/>
    <w:rsid w:val="00706289"/>
    <w:rsid w:val="00712A1E"/>
    <w:rsid w:val="007236F6"/>
    <w:rsid w:val="007270D5"/>
    <w:rsid w:val="0073119C"/>
    <w:rsid w:val="0073524B"/>
    <w:rsid w:val="007401D9"/>
    <w:rsid w:val="00740A64"/>
    <w:rsid w:val="00752B74"/>
    <w:rsid w:val="00761F78"/>
    <w:rsid w:val="00775B89"/>
    <w:rsid w:val="007B7B88"/>
    <w:rsid w:val="007C76C3"/>
    <w:rsid w:val="007D4064"/>
    <w:rsid w:val="007F6A2D"/>
    <w:rsid w:val="008139B4"/>
    <w:rsid w:val="008172DC"/>
    <w:rsid w:val="008200F1"/>
    <w:rsid w:val="008225FA"/>
    <w:rsid w:val="00826CB2"/>
    <w:rsid w:val="0083123D"/>
    <w:rsid w:val="00837C1A"/>
    <w:rsid w:val="008566B9"/>
    <w:rsid w:val="00870061"/>
    <w:rsid w:val="008753CC"/>
    <w:rsid w:val="00881E53"/>
    <w:rsid w:val="00884764"/>
    <w:rsid w:val="00884F54"/>
    <w:rsid w:val="008A3898"/>
    <w:rsid w:val="008A751E"/>
    <w:rsid w:val="008B7381"/>
    <w:rsid w:val="008C6920"/>
    <w:rsid w:val="008D37B0"/>
    <w:rsid w:val="008F106D"/>
    <w:rsid w:val="008F28FC"/>
    <w:rsid w:val="008F4F74"/>
    <w:rsid w:val="008F739D"/>
    <w:rsid w:val="00902F39"/>
    <w:rsid w:val="00907B0E"/>
    <w:rsid w:val="009152FE"/>
    <w:rsid w:val="00916DD8"/>
    <w:rsid w:val="00917E61"/>
    <w:rsid w:val="00935DEF"/>
    <w:rsid w:val="009414FF"/>
    <w:rsid w:val="00961C22"/>
    <w:rsid w:val="0097095D"/>
    <w:rsid w:val="00983F93"/>
    <w:rsid w:val="00984AC2"/>
    <w:rsid w:val="0099513C"/>
    <w:rsid w:val="009B336B"/>
    <w:rsid w:val="009B4FBC"/>
    <w:rsid w:val="009C16AA"/>
    <w:rsid w:val="009C16ED"/>
    <w:rsid w:val="009D1DBB"/>
    <w:rsid w:val="009D68A8"/>
    <w:rsid w:val="009D7175"/>
    <w:rsid w:val="009D7D75"/>
    <w:rsid w:val="009D7E98"/>
    <w:rsid w:val="009E56F9"/>
    <w:rsid w:val="00A06622"/>
    <w:rsid w:val="00A16387"/>
    <w:rsid w:val="00A2239B"/>
    <w:rsid w:val="00A266F0"/>
    <w:rsid w:val="00A31018"/>
    <w:rsid w:val="00A44E6E"/>
    <w:rsid w:val="00A5187D"/>
    <w:rsid w:val="00A67252"/>
    <w:rsid w:val="00A801E3"/>
    <w:rsid w:val="00A92689"/>
    <w:rsid w:val="00A94378"/>
    <w:rsid w:val="00AA442C"/>
    <w:rsid w:val="00AA6C9B"/>
    <w:rsid w:val="00AB1E93"/>
    <w:rsid w:val="00AB30DA"/>
    <w:rsid w:val="00AB7D84"/>
    <w:rsid w:val="00AC789E"/>
    <w:rsid w:val="00AD04C0"/>
    <w:rsid w:val="00AE7AF5"/>
    <w:rsid w:val="00AF13EE"/>
    <w:rsid w:val="00B115DA"/>
    <w:rsid w:val="00B115E4"/>
    <w:rsid w:val="00B117FE"/>
    <w:rsid w:val="00B16911"/>
    <w:rsid w:val="00B23E7D"/>
    <w:rsid w:val="00B30148"/>
    <w:rsid w:val="00B36BB8"/>
    <w:rsid w:val="00B377BE"/>
    <w:rsid w:val="00B4046C"/>
    <w:rsid w:val="00B60FD6"/>
    <w:rsid w:val="00B72D3D"/>
    <w:rsid w:val="00BA1900"/>
    <w:rsid w:val="00BB003D"/>
    <w:rsid w:val="00BB7897"/>
    <w:rsid w:val="00BB79A2"/>
    <w:rsid w:val="00BC4264"/>
    <w:rsid w:val="00BC6B7A"/>
    <w:rsid w:val="00BE44BD"/>
    <w:rsid w:val="00BF0B99"/>
    <w:rsid w:val="00BF31C2"/>
    <w:rsid w:val="00C0667E"/>
    <w:rsid w:val="00C17550"/>
    <w:rsid w:val="00C2354F"/>
    <w:rsid w:val="00C272AD"/>
    <w:rsid w:val="00C328B7"/>
    <w:rsid w:val="00C372E4"/>
    <w:rsid w:val="00C43547"/>
    <w:rsid w:val="00C50377"/>
    <w:rsid w:val="00C52EEA"/>
    <w:rsid w:val="00C57A3D"/>
    <w:rsid w:val="00C6279B"/>
    <w:rsid w:val="00CA1DFE"/>
    <w:rsid w:val="00CA219B"/>
    <w:rsid w:val="00CA4CE6"/>
    <w:rsid w:val="00CA645C"/>
    <w:rsid w:val="00CB39CC"/>
    <w:rsid w:val="00CC170C"/>
    <w:rsid w:val="00CC3A5C"/>
    <w:rsid w:val="00CD535E"/>
    <w:rsid w:val="00CD7FFB"/>
    <w:rsid w:val="00CE00C6"/>
    <w:rsid w:val="00CE00ED"/>
    <w:rsid w:val="00CE0234"/>
    <w:rsid w:val="00CE2DD8"/>
    <w:rsid w:val="00CE3E59"/>
    <w:rsid w:val="00CF0900"/>
    <w:rsid w:val="00CF17EE"/>
    <w:rsid w:val="00D06104"/>
    <w:rsid w:val="00D062C5"/>
    <w:rsid w:val="00D142C4"/>
    <w:rsid w:val="00D23DE8"/>
    <w:rsid w:val="00D42CEB"/>
    <w:rsid w:val="00D44522"/>
    <w:rsid w:val="00D57E5D"/>
    <w:rsid w:val="00D70DAD"/>
    <w:rsid w:val="00D815B1"/>
    <w:rsid w:val="00D90AAE"/>
    <w:rsid w:val="00D93899"/>
    <w:rsid w:val="00DA6086"/>
    <w:rsid w:val="00DB270F"/>
    <w:rsid w:val="00DC3AD1"/>
    <w:rsid w:val="00DE6C83"/>
    <w:rsid w:val="00E11DCB"/>
    <w:rsid w:val="00E15378"/>
    <w:rsid w:val="00E30EA8"/>
    <w:rsid w:val="00E37439"/>
    <w:rsid w:val="00E44BBE"/>
    <w:rsid w:val="00E530F7"/>
    <w:rsid w:val="00E753EB"/>
    <w:rsid w:val="00EB48F8"/>
    <w:rsid w:val="00EC7467"/>
    <w:rsid w:val="00ED593C"/>
    <w:rsid w:val="00F00458"/>
    <w:rsid w:val="00F065CF"/>
    <w:rsid w:val="00F0731F"/>
    <w:rsid w:val="00F074B7"/>
    <w:rsid w:val="00F11F55"/>
    <w:rsid w:val="00F142EB"/>
    <w:rsid w:val="00F144ED"/>
    <w:rsid w:val="00F15809"/>
    <w:rsid w:val="00F23193"/>
    <w:rsid w:val="00F32574"/>
    <w:rsid w:val="00F37EEE"/>
    <w:rsid w:val="00F468E9"/>
    <w:rsid w:val="00F50850"/>
    <w:rsid w:val="00F50FF2"/>
    <w:rsid w:val="00F52587"/>
    <w:rsid w:val="00F55669"/>
    <w:rsid w:val="00F639BD"/>
    <w:rsid w:val="00F65F3C"/>
    <w:rsid w:val="00F807B2"/>
    <w:rsid w:val="00F816C8"/>
    <w:rsid w:val="00F83334"/>
    <w:rsid w:val="00FA1107"/>
    <w:rsid w:val="00FE430F"/>
    <w:rsid w:val="00FF02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99"/>
    <w:lsdException w:name="toc 2" w:uiPriority="99"/>
    <w:lsdException w:name="toc 3" w:uiPriority="99"/>
    <w:lsdException w:name="toc 4" w:uiPriority="99"/>
    <w:lsdException w:name="toc 6" w:uiPriority="99"/>
    <w:lsdException w:name="toc 9" w:uiPriority="99"/>
    <w:lsdException w:name="Normal Indent" w:uiPriority="54"/>
    <w:lsdException w:name="footnote text" w:uiPriority="99"/>
    <w:lsdException w:name="header" w:uiPriority="99"/>
    <w:lsdException w:name="footer" w:uiPriority="99"/>
    <w:lsdException w:name="index heading" w:uiPriority="29"/>
    <w:lsdException w:name="caption" w:uiPriority="99" w:qFormat="1"/>
    <w:lsdException w:name="table of figures" w:uiPriority="29"/>
    <w:lsdException w:name="envelope address" w:uiPriority="99"/>
    <w:lsdException w:name="envelope return" w:uiPriority="99"/>
    <w:lsdException w:name="page number" w:uiPriority="99"/>
    <w:lsdException w:name="endnote text" w:uiPriority="99"/>
    <w:lsdException w:name="table of authorities" w:uiPriority="29"/>
    <w:lsdException w:name="toa heading" w:uiPriority="29"/>
    <w:lsdException w:name="Title" w:uiPriority="4" w:qFormat="1"/>
    <w:lsdException w:name="Closing" w:uiPriority="11"/>
    <w:lsdException w:name="Signature" w:uiPriority="11"/>
    <w:lsdException w:name="Default Paragraph Font" w:uiPriority="1"/>
    <w:lsdException w:name="Body Text" w:uiPriority="2" w:qFormat="1"/>
    <w:lsdException w:name="Body Text Indent" w:uiPriority="24"/>
    <w:lsdException w:name="Subtitle" w:uiPriority="4" w:qFormat="1"/>
    <w:lsdException w:name="Salutation" w:uiPriority="11"/>
    <w:lsdException w:name="Body Text First Indent" w:uiPriority="24"/>
    <w:lsdException w:name="Body Text First Indent 2" w:uiPriority="24"/>
    <w:lsdException w:name="Note Heading" w:uiPriority="99"/>
    <w:lsdException w:name="Body Text 2" w:uiPriority="24"/>
    <w:lsdException w:name="Body Text 3" w:uiPriority="24"/>
    <w:lsdException w:name="Body Text Indent 2" w:uiPriority="24"/>
    <w:lsdException w:name="Body Text Indent 3" w:uiPriority="24"/>
    <w:lsdException w:name="Block Text" w:uiPriority="3" w:qFormat="1"/>
    <w:lsdException w:name="Hyperlink" w:uiPriority="99"/>
    <w:lsdException w:name="Strong" w:qFormat="1"/>
    <w:lsdException w:name="Emphasis" w:uiPriority="44"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4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atentStyles>
  <w:style w:type="paragraph" w:default="1" w:styleId="Normal">
    <w:name w:val="Normal"/>
    <w:qFormat/>
    <w:rsid w:val="00BB003D"/>
    <w:pPr>
      <w:spacing w:after="240"/>
    </w:pPr>
    <w:rPr>
      <w:rFonts w:cstheme="minorBidi"/>
      <w:sz w:val="24"/>
      <w:szCs w:val="24"/>
      <w:lang w:val="en-GB" w:eastAsia="en-US"/>
    </w:rPr>
  </w:style>
  <w:style w:type="paragraph" w:styleId="Heading1">
    <w:name w:val="heading 1"/>
    <w:basedOn w:val="Normal"/>
    <w:next w:val="Heading2"/>
    <w:link w:val="Heading1Char"/>
    <w:uiPriority w:val="9"/>
    <w:qFormat/>
    <w:rsid w:val="008D37B0"/>
    <w:pPr>
      <w:keepNext/>
      <w:spacing w:before="240"/>
      <w:outlineLvl w:val="0"/>
    </w:pPr>
    <w:rPr>
      <w:rFonts w:eastAsia="Times New Roman" w:cs="Times New Roman"/>
      <w:szCs w:val="20"/>
    </w:rPr>
  </w:style>
  <w:style w:type="paragraph" w:styleId="Heading2">
    <w:name w:val="heading 2"/>
    <w:basedOn w:val="Normal"/>
    <w:next w:val="BodyText"/>
    <w:link w:val="Heading2Char"/>
    <w:uiPriority w:val="9"/>
    <w:qFormat/>
    <w:rsid w:val="008D37B0"/>
    <w:pPr>
      <w:spacing w:before="240"/>
      <w:outlineLvl w:val="1"/>
    </w:pPr>
    <w:rPr>
      <w:rFonts w:eastAsia="Times New Roman" w:cs="Times New Roman"/>
      <w:szCs w:val="20"/>
    </w:rPr>
  </w:style>
  <w:style w:type="paragraph" w:styleId="Heading3">
    <w:name w:val="heading 3"/>
    <w:basedOn w:val="Normal"/>
    <w:next w:val="BodyText"/>
    <w:link w:val="Heading3Char"/>
    <w:uiPriority w:val="9"/>
    <w:qFormat/>
    <w:rsid w:val="008D37B0"/>
    <w:pPr>
      <w:spacing w:before="240"/>
      <w:outlineLvl w:val="2"/>
    </w:pPr>
    <w:rPr>
      <w:rFonts w:eastAsia="Times New Roman" w:cs="Times New Roman"/>
      <w:szCs w:val="20"/>
    </w:rPr>
  </w:style>
  <w:style w:type="paragraph" w:styleId="Heading4">
    <w:name w:val="heading 4"/>
    <w:basedOn w:val="Normal"/>
    <w:next w:val="BodyText"/>
    <w:link w:val="Heading4Char"/>
    <w:uiPriority w:val="9"/>
    <w:unhideWhenUsed/>
    <w:rsid w:val="008D37B0"/>
    <w:pPr>
      <w:spacing w:before="240"/>
      <w:outlineLvl w:val="3"/>
    </w:pPr>
    <w:rPr>
      <w:rFonts w:eastAsia="Times New Roman" w:cs="Times New Roman"/>
      <w:szCs w:val="20"/>
    </w:rPr>
  </w:style>
  <w:style w:type="paragraph" w:styleId="Heading5">
    <w:name w:val="heading 5"/>
    <w:basedOn w:val="Normal"/>
    <w:next w:val="BodyText"/>
    <w:link w:val="Heading5Char"/>
    <w:uiPriority w:val="9"/>
    <w:unhideWhenUsed/>
    <w:rsid w:val="008D37B0"/>
    <w:pPr>
      <w:spacing w:before="240"/>
      <w:outlineLvl w:val="4"/>
    </w:pPr>
    <w:rPr>
      <w:rFonts w:eastAsia="Times New Roman" w:cs="Times New Roman"/>
      <w:szCs w:val="20"/>
    </w:rPr>
  </w:style>
  <w:style w:type="paragraph" w:styleId="Heading6">
    <w:name w:val="heading 6"/>
    <w:basedOn w:val="Normal"/>
    <w:next w:val="BodyText"/>
    <w:link w:val="Heading6Char"/>
    <w:uiPriority w:val="9"/>
    <w:unhideWhenUsed/>
    <w:rsid w:val="008D37B0"/>
    <w:pPr>
      <w:spacing w:before="240"/>
      <w:outlineLvl w:val="5"/>
    </w:pPr>
    <w:rPr>
      <w:rFonts w:eastAsia="Times New Roman" w:cs="Times New Roman"/>
      <w:szCs w:val="20"/>
    </w:rPr>
  </w:style>
  <w:style w:type="paragraph" w:styleId="Heading7">
    <w:name w:val="heading 7"/>
    <w:basedOn w:val="Normal"/>
    <w:next w:val="BodyText"/>
    <w:link w:val="Heading7Char"/>
    <w:uiPriority w:val="9"/>
    <w:unhideWhenUsed/>
    <w:rsid w:val="008D37B0"/>
    <w:pPr>
      <w:spacing w:before="240"/>
      <w:outlineLvl w:val="6"/>
    </w:pPr>
    <w:rPr>
      <w:rFonts w:eastAsia="Times New Roman" w:cs="Times New Roman"/>
      <w:szCs w:val="20"/>
    </w:rPr>
  </w:style>
  <w:style w:type="paragraph" w:styleId="Heading8">
    <w:name w:val="heading 8"/>
    <w:basedOn w:val="Normal"/>
    <w:next w:val="BodyText"/>
    <w:link w:val="Heading8Char"/>
    <w:uiPriority w:val="9"/>
    <w:unhideWhenUsed/>
    <w:rsid w:val="008D37B0"/>
    <w:pPr>
      <w:spacing w:before="240"/>
      <w:outlineLvl w:val="7"/>
    </w:pPr>
    <w:rPr>
      <w:rFonts w:eastAsia="Times New Roman" w:cs="Times New Roman"/>
      <w:szCs w:val="20"/>
    </w:rPr>
  </w:style>
  <w:style w:type="paragraph" w:styleId="Heading9">
    <w:name w:val="heading 9"/>
    <w:basedOn w:val="Normal"/>
    <w:next w:val="BodyText"/>
    <w:link w:val="Heading9Char"/>
    <w:uiPriority w:val="9"/>
    <w:unhideWhenUsed/>
    <w:rsid w:val="008D37B0"/>
    <w:pPr>
      <w:spacing w:before="240"/>
      <w:outlineLvl w:val="8"/>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next w:val="BodyText"/>
    <w:uiPriority w:val="3"/>
    <w:qFormat/>
    <w:rsid w:val="008D37B0"/>
    <w:pPr>
      <w:spacing w:before="240"/>
      <w:ind w:left="1440" w:right="1440"/>
    </w:pPr>
    <w:rPr>
      <w:rFonts w:eastAsia="Times New Roman" w:cs="Times New Roman"/>
      <w:szCs w:val="20"/>
    </w:rPr>
  </w:style>
  <w:style w:type="paragraph" w:styleId="BodyText">
    <w:name w:val="Body Text"/>
    <w:basedOn w:val="Normal"/>
    <w:link w:val="BodyTextChar"/>
    <w:uiPriority w:val="2"/>
    <w:qFormat/>
    <w:rsid w:val="008D37B0"/>
    <w:pPr>
      <w:spacing w:before="240"/>
      <w:ind w:firstLine="720"/>
    </w:pPr>
    <w:rPr>
      <w:rFonts w:eastAsia="Times New Roman" w:cs="Times New Roman"/>
      <w:szCs w:val="20"/>
    </w:rPr>
  </w:style>
  <w:style w:type="character" w:customStyle="1" w:styleId="BodyTextChar">
    <w:name w:val="Body Text Char"/>
    <w:link w:val="BodyText"/>
    <w:uiPriority w:val="2"/>
    <w:rsid w:val="008D37B0"/>
    <w:rPr>
      <w:sz w:val="24"/>
      <w:lang w:val="en-US" w:eastAsia="en-US"/>
    </w:rPr>
  </w:style>
  <w:style w:type="paragraph" w:styleId="BodyText2">
    <w:name w:val="Body Text 2"/>
    <w:basedOn w:val="Normal"/>
    <w:link w:val="BodyText2Char"/>
    <w:uiPriority w:val="24"/>
    <w:rsid w:val="008D37B0"/>
    <w:pPr>
      <w:spacing w:after="0" w:line="480" w:lineRule="auto"/>
      <w:ind w:firstLine="720"/>
    </w:pPr>
    <w:rPr>
      <w:rFonts w:eastAsia="Times New Roman" w:cs="Times New Roman"/>
      <w:szCs w:val="20"/>
    </w:rPr>
  </w:style>
  <w:style w:type="character" w:customStyle="1" w:styleId="BodyText2Char">
    <w:name w:val="Body Text 2 Char"/>
    <w:link w:val="BodyText2"/>
    <w:uiPriority w:val="24"/>
    <w:rsid w:val="008D37B0"/>
    <w:rPr>
      <w:sz w:val="24"/>
      <w:lang w:val="en-US" w:eastAsia="en-US"/>
    </w:rPr>
  </w:style>
  <w:style w:type="paragraph" w:styleId="BodyText3">
    <w:name w:val="Body Text 3"/>
    <w:basedOn w:val="Normal"/>
    <w:link w:val="BodyText3Char"/>
    <w:uiPriority w:val="24"/>
    <w:rsid w:val="008D37B0"/>
    <w:pPr>
      <w:spacing w:before="240"/>
    </w:pPr>
    <w:rPr>
      <w:rFonts w:eastAsia="Times New Roman" w:cs="Times New Roman"/>
      <w:szCs w:val="16"/>
    </w:rPr>
  </w:style>
  <w:style w:type="character" w:customStyle="1" w:styleId="BodyText3Char">
    <w:name w:val="Body Text 3 Char"/>
    <w:link w:val="BodyText3"/>
    <w:uiPriority w:val="24"/>
    <w:rsid w:val="008D37B0"/>
    <w:rPr>
      <w:sz w:val="24"/>
      <w:szCs w:val="16"/>
      <w:lang w:val="en-US" w:eastAsia="en-US"/>
    </w:rPr>
  </w:style>
  <w:style w:type="paragraph" w:styleId="BodyTextFirstIndent">
    <w:name w:val="Body Text First Indent"/>
    <w:basedOn w:val="BodyText"/>
    <w:link w:val="BodyTextFirstIndentChar"/>
    <w:uiPriority w:val="24"/>
    <w:rsid w:val="008D37B0"/>
    <w:pPr>
      <w:ind w:left="720"/>
    </w:pPr>
  </w:style>
  <w:style w:type="character" w:customStyle="1" w:styleId="BodyTextFirstIndentChar">
    <w:name w:val="Body Text First Indent Char"/>
    <w:link w:val="BodyTextFirstIndent"/>
    <w:uiPriority w:val="24"/>
    <w:rsid w:val="008D37B0"/>
    <w:rPr>
      <w:sz w:val="24"/>
      <w:lang w:val="en-US" w:eastAsia="en-US"/>
    </w:rPr>
  </w:style>
  <w:style w:type="paragraph" w:styleId="BodyTextIndent">
    <w:name w:val="Body Text Indent"/>
    <w:basedOn w:val="Normal"/>
    <w:link w:val="BodyTextIndentChar"/>
    <w:uiPriority w:val="24"/>
    <w:rsid w:val="008D37B0"/>
    <w:pPr>
      <w:spacing w:before="240"/>
      <w:ind w:left="720"/>
    </w:pPr>
    <w:rPr>
      <w:rFonts w:eastAsia="Times New Roman" w:cs="Times New Roman"/>
      <w:szCs w:val="20"/>
    </w:rPr>
  </w:style>
  <w:style w:type="character" w:customStyle="1" w:styleId="BodyTextIndentChar">
    <w:name w:val="Body Text Indent Char"/>
    <w:link w:val="BodyTextIndent"/>
    <w:uiPriority w:val="24"/>
    <w:rsid w:val="008D37B0"/>
    <w:rPr>
      <w:sz w:val="24"/>
      <w:lang w:val="en-US" w:eastAsia="en-US"/>
    </w:rPr>
  </w:style>
  <w:style w:type="paragraph" w:styleId="BodyTextFirstIndent2">
    <w:name w:val="Body Text First Indent 2"/>
    <w:basedOn w:val="BodyText"/>
    <w:link w:val="BodyTextFirstIndent2Char"/>
    <w:uiPriority w:val="24"/>
    <w:rsid w:val="008D37B0"/>
    <w:pPr>
      <w:spacing w:after="0" w:line="480" w:lineRule="auto"/>
      <w:ind w:left="720"/>
    </w:pPr>
  </w:style>
  <w:style w:type="character" w:customStyle="1" w:styleId="BodyTextFirstIndent2Char">
    <w:name w:val="Body Text First Indent 2 Char"/>
    <w:link w:val="BodyTextFirstIndent2"/>
    <w:uiPriority w:val="24"/>
    <w:rsid w:val="008D37B0"/>
    <w:rPr>
      <w:sz w:val="24"/>
      <w:lang w:val="en-US" w:eastAsia="en-US"/>
    </w:rPr>
  </w:style>
  <w:style w:type="paragraph" w:styleId="BodyTextIndent2">
    <w:name w:val="Body Text Indent 2"/>
    <w:basedOn w:val="Normal"/>
    <w:link w:val="BodyTextIndent2Char"/>
    <w:uiPriority w:val="24"/>
    <w:rsid w:val="008D37B0"/>
    <w:pPr>
      <w:spacing w:after="0" w:line="480" w:lineRule="auto"/>
      <w:ind w:left="720"/>
    </w:pPr>
    <w:rPr>
      <w:rFonts w:eastAsia="Times New Roman" w:cs="Times New Roman"/>
      <w:szCs w:val="20"/>
    </w:rPr>
  </w:style>
  <w:style w:type="character" w:customStyle="1" w:styleId="BodyTextIndent2Char">
    <w:name w:val="Body Text Indent 2 Char"/>
    <w:link w:val="BodyTextIndent2"/>
    <w:uiPriority w:val="24"/>
    <w:rsid w:val="008D37B0"/>
    <w:rPr>
      <w:sz w:val="24"/>
      <w:lang w:val="en-US" w:eastAsia="en-US"/>
    </w:rPr>
  </w:style>
  <w:style w:type="paragraph" w:styleId="BodyTextIndent3">
    <w:name w:val="Body Text Indent 3"/>
    <w:basedOn w:val="Normal"/>
    <w:link w:val="BodyTextIndent3Char"/>
    <w:uiPriority w:val="24"/>
    <w:rsid w:val="008D37B0"/>
    <w:pPr>
      <w:ind w:left="720"/>
    </w:pPr>
    <w:rPr>
      <w:rFonts w:eastAsia="Times New Roman" w:cs="Times New Roman"/>
      <w:szCs w:val="16"/>
    </w:rPr>
  </w:style>
  <w:style w:type="character" w:customStyle="1" w:styleId="BodyTextIndent3Char">
    <w:name w:val="Body Text Indent 3 Char"/>
    <w:link w:val="BodyTextIndent3"/>
    <w:uiPriority w:val="24"/>
    <w:rsid w:val="008D37B0"/>
    <w:rPr>
      <w:sz w:val="24"/>
      <w:szCs w:val="16"/>
      <w:lang w:val="en-US" w:eastAsia="en-US"/>
    </w:rPr>
  </w:style>
  <w:style w:type="character" w:styleId="BookTitle">
    <w:name w:val="Book Title"/>
    <w:uiPriority w:val="99"/>
    <w:qFormat/>
    <w:rsid w:val="008D37B0"/>
    <w:rPr>
      <w:b/>
      <w:bCs/>
      <w:smallCaps/>
      <w:spacing w:val="5"/>
    </w:rPr>
  </w:style>
  <w:style w:type="paragraph" w:styleId="Caption">
    <w:name w:val="caption"/>
    <w:basedOn w:val="Normal"/>
    <w:next w:val="Normal"/>
    <w:uiPriority w:val="99"/>
    <w:qFormat/>
    <w:rsid w:val="008D37B0"/>
    <w:pPr>
      <w:keepNext/>
      <w:spacing w:after="0"/>
    </w:pPr>
    <w:rPr>
      <w:rFonts w:eastAsia="Times New Roman" w:cs="Times New Roman"/>
      <w:b/>
      <w:bCs/>
      <w:sz w:val="20"/>
      <w:szCs w:val="20"/>
    </w:rPr>
  </w:style>
  <w:style w:type="paragraph" w:customStyle="1" w:styleId="Center">
    <w:name w:val="Center"/>
    <w:basedOn w:val="Normal"/>
    <w:link w:val="CenterChar"/>
    <w:uiPriority w:val="4"/>
    <w:qFormat/>
    <w:rsid w:val="008D37B0"/>
    <w:pPr>
      <w:spacing w:before="240"/>
      <w:jc w:val="center"/>
    </w:pPr>
    <w:rPr>
      <w:rFonts w:eastAsia="Times New Roman" w:cs="Times New Roman"/>
      <w:szCs w:val="20"/>
    </w:rPr>
  </w:style>
  <w:style w:type="character" w:customStyle="1" w:styleId="CenterChar">
    <w:name w:val="Center Char"/>
    <w:link w:val="Center"/>
    <w:uiPriority w:val="4"/>
    <w:rsid w:val="008D37B0"/>
    <w:rPr>
      <w:sz w:val="24"/>
      <w:lang w:val="en-US" w:eastAsia="en-US"/>
    </w:rPr>
  </w:style>
  <w:style w:type="paragraph" w:styleId="Closing">
    <w:name w:val="Closing"/>
    <w:basedOn w:val="Normal"/>
    <w:link w:val="ClosingChar"/>
    <w:uiPriority w:val="11"/>
    <w:rsid w:val="008D37B0"/>
    <w:pPr>
      <w:keepLines/>
      <w:tabs>
        <w:tab w:val="left" w:pos="4752"/>
        <w:tab w:val="right" w:pos="8640"/>
      </w:tabs>
      <w:spacing w:before="480" w:after="480"/>
      <w:ind w:left="4320"/>
    </w:pPr>
    <w:rPr>
      <w:rFonts w:eastAsia="Times New Roman" w:cs="Times New Roman"/>
      <w:szCs w:val="20"/>
    </w:rPr>
  </w:style>
  <w:style w:type="character" w:customStyle="1" w:styleId="ClosingChar">
    <w:name w:val="Closing Char"/>
    <w:link w:val="Closing"/>
    <w:uiPriority w:val="11"/>
    <w:rsid w:val="008D37B0"/>
    <w:rPr>
      <w:sz w:val="24"/>
      <w:lang w:val="en-US" w:eastAsia="en-US"/>
    </w:rPr>
  </w:style>
  <w:style w:type="paragraph" w:customStyle="1" w:styleId="DPComment">
    <w:name w:val="DP Comment"/>
    <w:basedOn w:val="BodyText"/>
    <w:next w:val="BodyText"/>
    <w:uiPriority w:val="44"/>
    <w:rsid w:val="008D37B0"/>
    <w:rPr>
      <w:vanish/>
      <w:color w:val="FF0000"/>
    </w:rPr>
  </w:style>
  <w:style w:type="character" w:styleId="Emphasis">
    <w:name w:val="Emphasis"/>
    <w:uiPriority w:val="44"/>
    <w:rsid w:val="008D37B0"/>
    <w:rPr>
      <w:i/>
      <w:iCs/>
    </w:rPr>
  </w:style>
  <w:style w:type="paragraph" w:styleId="EndnoteText">
    <w:name w:val="endnote text"/>
    <w:basedOn w:val="Normal"/>
    <w:link w:val="EndnoteTextChar"/>
    <w:uiPriority w:val="99"/>
    <w:rsid w:val="008D37B0"/>
    <w:pPr>
      <w:spacing w:after="0"/>
    </w:pPr>
    <w:rPr>
      <w:rFonts w:eastAsia="Times New Roman" w:cs="Times New Roman"/>
      <w:szCs w:val="20"/>
    </w:rPr>
  </w:style>
  <w:style w:type="character" w:customStyle="1" w:styleId="EndnoteTextChar">
    <w:name w:val="Endnote Text Char"/>
    <w:link w:val="EndnoteText"/>
    <w:uiPriority w:val="99"/>
    <w:rsid w:val="008D37B0"/>
    <w:rPr>
      <w:sz w:val="24"/>
      <w:lang w:val="en-US" w:eastAsia="en-US"/>
    </w:rPr>
  </w:style>
  <w:style w:type="paragraph" w:styleId="EnvelopeAddress">
    <w:name w:val="envelope address"/>
    <w:basedOn w:val="Normal"/>
    <w:uiPriority w:val="99"/>
    <w:rsid w:val="008D37B0"/>
    <w:pPr>
      <w:framePr w:w="7920" w:h="1980" w:hRule="exact" w:hSpace="180" w:wrap="auto" w:hAnchor="page" w:xAlign="center" w:yAlign="bottom"/>
      <w:spacing w:after="0"/>
      <w:ind w:left="2880"/>
    </w:pPr>
    <w:rPr>
      <w:rFonts w:eastAsia="Times New Roman" w:cs="Arial"/>
    </w:rPr>
  </w:style>
  <w:style w:type="paragraph" w:styleId="EnvelopeReturn">
    <w:name w:val="envelope return"/>
    <w:basedOn w:val="Normal"/>
    <w:uiPriority w:val="99"/>
    <w:rsid w:val="008D37B0"/>
    <w:pPr>
      <w:spacing w:after="0"/>
    </w:pPr>
    <w:rPr>
      <w:rFonts w:eastAsia="Times New Roman" w:cs="Arial"/>
      <w:sz w:val="20"/>
      <w:szCs w:val="20"/>
    </w:rPr>
  </w:style>
  <w:style w:type="paragraph" w:customStyle="1" w:styleId="FlushRight">
    <w:name w:val="Flush Right"/>
    <w:basedOn w:val="Normal"/>
    <w:uiPriority w:val="11"/>
    <w:rsid w:val="008D37B0"/>
    <w:pPr>
      <w:spacing w:before="240"/>
      <w:jc w:val="right"/>
    </w:pPr>
    <w:rPr>
      <w:rFonts w:eastAsia="Times New Roman" w:cs="Times New Roman"/>
      <w:szCs w:val="20"/>
    </w:rPr>
  </w:style>
  <w:style w:type="paragraph" w:styleId="Footer">
    <w:name w:val="footer"/>
    <w:basedOn w:val="Normal"/>
    <w:link w:val="FooterChar"/>
    <w:uiPriority w:val="99"/>
    <w:rsid w:val="008D37B0"/>
    <w:pPr>
      <w:tabs>
        <w:tab w:val="center" w:pos="4320"/>
        <w:tab w:val="right" w:pos="8640"/>
      </w:tabs>
      <w:spacing w:after="0"/>
    </w:pPr>
    <w:rPr>
      <w:rFonts w:eastAsia="Times New Roman" w:cs="Times New Roman"/>
      <w:szCs w:val="20"/>
    </w:rPr>
  </w:style>
  <w:style w:type="character" w:customStyle="1" w:styleId="FooterChar">
    <w:name w:val="Footer Char"/>
    <w:link w:val="Footer"/>
    <w:uiPriority w:val="99"/>
    <w:rsid w:val="008D37B0"/>
    <w:rPr>
      <w:sz w:val="24"/>
      <w:lang w:val="en-US" w:eastAsia="en-US"/>
    </w:rPr>
  </w:style>
  <w:style w:type="character" w:styleId="FootnoteReference">
    <w:name w:val="footnote reference"/>
    <w:rsid w:val="008D37B0"/>
    <w:rPr>
      <w:vertAlign w:val="superscript"/>
    </w:rPr>
  </w:style>
  <w:style w:type="paragraph" w:styleId="FootnoteText">
    <w:name w:val="footnote text"/>
    <w:basedOn w:val="Normal"/>
    <w:link w:val="FootnoteTextChar"/>
    <w:uiPriority w:val="99"/>
    <w:rsid w:val="008D37B0"/>
    <w:pPr>
      <w:tabs>
        <w:tab w:val="left" w:pos="432"/>
      </w:tabs>
      <w:ind w:left="432" w:hanging="432"/>
    </w:pPr>
    <w:rPr>
      <w:rFonts w:eastAsia="Times New Roman" w:cs="Times New Roman"/>
      <w:szCs w:val="20"/>
    </w:rPr>
  </w:style>
  <w:style w:type="character" w:customStyle="1" w:styleId="FootnoteTextChar">
    <w:name w:val="Footnote Text Char"/>
    <w:link w:val="FootnoteText"/>
    <w:uiPriority w:val="99"/>
    <w:rsid w:val="008D37B0"/>
    <w:rPr>
      <w:sz w:val="24"/>
      <w:lang w:val="en-US" w:eastAsia="en-US"/>
    </w:rPr>
  </w:style>
  <w:style w:type="paragraph" w:customStyle="1" w:styleId="HangingIndent">
    <w:name w:val="Hanging Indent"/>
    <w:basedOn w:val="Normal"/>
    <w:uiPriority w:val="11"/>
    <w:rsid w:val="008D37B0"/>
    <w:pPr>
      <w:spacing w:before="240"/>
      <w:ind w:left="720" w:hanging="720"/>
    </w:pPr>
    <w:rPr>
      <w:rFonts w:eastAsia="Times New Roman" w:cs="Times New Roman"/>
      <w:szCs w:val="20"/>
    </w:rPr>
  </w:style>
  <w:style w:type="paragraph" w:styleId="Header">
    <w:name w:val="header"/>
    <w:basedOn w:val="Normal"/>
    <w:link w:val="HeaderChar"/>
    <w:uiPriority w:val="99"/>
    <w:rsid w:val="008D37B0"/>
    <w:pPr>
      <w:tabs>
        <w:tab w:val="center" w:pos="4320"/>
        <w:tab w:val="right" w:pos="8640"/>
      </w:tabs>
      <w:spacing w:after="0"/>
    </w:pPr>
    <w:rPr>
      <w:rFonts w:eastAsia="Times New Roman" w:cs="Times New Roman"/>
      <w:szCs w:val="20"/>
    </w:rPr>
  </w:style>
  <w:style w:type="character" w:customStyle="1" w:styleId="HeaderChar">
    <w:name w:val="Header Char"/>
    <w:link w:val="Header"/>
    <w:uiPriority w:val="99"/>
    <w:rsid w:val="008D37B0"/>
    <w:rPr>
      <w:sz w:val="24"/>
      <w:lang w:val="en-US" w:eastAsia="en-US"/>
    </w:rPr>
  </w:style>
  <w:style w:type="character" w:customStyle="1" w:styleId="Heading1Char">
    <w:name w:val="Heading 1 Char"/>
    <w:link w:val="Heading1"/>
    <w:uiPriority w:val="9"/>
    <w:rsid w:val="008D37B0"/>
    <w:rPr>
      <w:sz w:val="24"/>
      <w:lang w:val="en-US" w:eastAsia="en-US"/>
    </w:rPr>
  </w:style>
  <w:style w:type="character" w:customStyle="1" w:styleId="Heading2Char">
    <w:name w:val="Heading 2 Char"/>
    <w:link w:val="Heading2"/>
    <w:uiPriority w:val="9"/>
    <w:rsid w:val="008D37B0"/>
    <w:rPr>
      <w:sz w:val="24"/>
      <w:lang w:val="en-US" w:eastAsia="en-US"/>
    </w:rPr>
  </w:style>
  <w:style w:type="character" w:customStyle="1" w:styleId="Heading3Char">
    <w:name w:val="Heading 3 Char"/>
    <w:link w:val="Heading3"/>
    <w:uiPriority w:val="9"/>
    <w:rsid w:val="008D37B0"/>
    <w:rPr>
      <w:sz w:val="24"/>
      <w:lang w:val="en-US" w:eastAsia="en-US"/>
    </w:rPr>
  </w:style>
  <w:style w:type="character" w:customStyle="1" w:styleId="Heading4Char">
    <w:name w:val="Heading 4 Char"/>
    <w:link w:val="Heading4"/>
    <w:uiPriority w:val="9"/>
    <w:rsid w:val="008D37B0"/>
    <w:rPr>
      <w:sz w:val="24"/>
      <w:lang w:val="en-US" w:eastAsia="en-US"/>
    </w:rPr>
  </w:style>
  <w:style w:type="character" w:customStyle="1" w:styleId="Heading5Char">
    <w:name w:val="Heading 5 Char"/>
    <w:link w:val="Heading5"/>
    <w:uiPriority w:val="9"/>
    <w:rsid w:val="008D37B0"/>
    <w:rPr>
      <w:sz w:val="24"/>
      <w:lang w:val="en-US" w:eastAsia="en-US"/>
    </w:rPr>
  </w:style>
  <w:style w:type="character" w:customStyle="1" w:styleId="Heading6Char">
    <w:name w:val="Heading 6 Char"/>
    <w:link w:val="Heading6"/>
    <w:uiPriority w:val="9"/>
    <w:rsid w:val="008D37B0"/>
    <w:rPr>
      <w:sz w:val="24"/>
      <w:lang w:val="en-US" w:eastAsia="en-US"/>
    </w:rPr>
  </w:style>
  <w:style w:type="character" w:customStyle="1" w:styleId="Heading7Char">
    <w:name w:val="Heading 7 Char"/>
    <w:link w:val="Heading7"/>
    <w:uiPriority w:val="9"/>
    <w:rsid w:val="008D37B0"/>
    <w:rPr>
      <w:sz w:val="24"/>
      <w:lang w:val="en-US" w:eastAsia="en-US"/>
    </w:rPr>
  </w:style>
  <w:style w:type="character" w:customStyle="1" w:styleId="Heading8Char">
    <w:name w:val="Heading 8 Char"/>
    <w:link w:val="Heading8"/>
    <w:uiPriority w:val="9"/>
    <w:rsid w:val="008D37B0"/>
    <w:rPr>
      <w:sz w:val="24"/>
      <w:lang w:val="en-US" w:eastAsia="en-US"/>
    </w:rPr>
  </w:style>
  <w:style w:type="character" w:customStyle="1" w:styleId="Heading9Char">
    <w:name w:val="Heading 9 Char"/>
    <w:link w:val="Heading9"/>
    <w:uiPriority w:val="9"/>
    <w:rsid w:val="008D37B0"/>
    <w:rPr>
      <w:sz w:val="24"/>
      <w:lang w:val="en-US" w:eastAsia="en-US"/>
    </w:rPr>
  </w:style>
  <w:style w:type="paragraph" w:styleId="Index1">
    <w:name w:val="index 1"/>
    <w:basedOn w:val="Normal"/>
    <w:autoRedefine/>
    <w:uiPriority w:val="99"/>
    <w:rsid w:val="008D37B0"/>
    <w:pPr>
      <w:spacing w:after="0"/>
      <w:ind w:left="360" w:hanging="360"/>
    </w:pPr>
    <w:rPr>
      <w:rFonts w:eastAsia="Times New Roman" w:cs="Times New Roman"/>
      <w:szCs w:val="20"/>
    </w:rPr>
  </w:style>
  <w:style w:type="paragraph" w:styleId="Index2">
    <w:name w:val="index 2"/>
    <w:basedOn w:val="Normal"/>
    <w:autoRedefine/>
    <w:uiPriority w:val="99"/>
    <w:rsid w:val="008D37B0"/>
    <w:pPr>
      <w:spacing w:after="0"/>
      <w:ind w:left="720" w:hanging="360"/>
    </w:pPr>
    <w:rPr>
      <w:rFonts w:eastAsia="Times New Roman" w:cs="Times New Roman"/>
      <w:szCs w:val="20"/>
    </w:rPr>
  </w:style>
  <w:style w:type="paragraph" w:styleId="Index3">
    <w:name w:val="index 3"/>
    <w:basedOn w:val="Normal"/>
    <w:autoRedefine/>
    <w:uiPriority w:val="99"/>
    <w:rsid w:val="008D37B0"/>
    <w:pPr>
      <w:spacing w:after="0"/>
      <w:ind w:left="1080" w:hanging="360"/>
    </w:pPr>
    <w:rPr>
      <w:rFonts w:eastAsia="Times New Roman" w:cs="Times New Roman"/>
      <w:szCs w:val="20"/>
    </w:rPr>
  </w:style>
  <w:style w:type="paragraph" w:styleId="Index4">
    <w:name w:val="index 4"/>
    <w:basedOn w:val="Normal"/>
    <w:autoRedefine/>
    <w:uiPriority w:val="99"/>
    <w:rsid w:val="008D37B0"/>
    <w:pPr>
      <w:spacing w:after="0"/>
      <w:ind w:left="1440" w:hanging="360"/>
    </w:pPr>
    <w:rPr>
      <w:rFonts w:eastAsia="Times New Roman" w:cs="Times New Roman"/>
      <w:szCs w:val="20"/>
    </w:rPr>
  </w:style>
  <w:style w:type="paragraph" w:styleId="Index5">
    <w:name w:val="index 5"/>
    <w:basedOn w:val="Normal"/>
    <w:autoRedefine/>
    <w:uiPriority w:val="99"/>
    <w:rsid w:val="008D37B0"/>
    <w:pPr>
      <w:spacing w:after="0"/>
      <w:ind w:left="1800" w:hanging="360"/>
    </w:pPr>
    <w:rPr>
      <w:rFonts w:eastAsia="Times New Roman" w:cs="Times New Roman"/>
      <w:szCs w:val="20"/>
    </w:rPr>
  </w:style>
  <w:style w:type="paragraph" w:styleId="Index6">
    <w:name w:val="index 6"/>
    <w:basedOn w:val="Normal"/>
    <w:autoRedefine/>
    <w:uiPriority w:val="99"/>
    <w:rsid w:val="008D37B0"/>
    <w:pPr>
      <w:spacing w:after="0"/>
      <w:ind w:left="2160" w:hanging="360"/>
    </w:pPr>
    <w:rPr>
      <w:rFonts w:eastAsia="Times New Roman" w:cs="Times New Roman"/>
      <w:szCs w:val="20"/>
    </w:rPr>
  </w:style>
  <w:style w:type="paragraph" w:styleId="Index7">
    <w:name w:val="index 7"/>
    <w:basedOn w:val="Normal"/>
    <w:autoRedefine/>
    <w:uiPriority w:val="99"/>
    <w:rsid w:val="008D37B0"/>
    <w:pPr>
      <w:spacing w:after="0"/>
      <w:ind w:left="2520" w:hanging="360"/>
    </w:pPr>
    <w:rPr>
      <w:rFonts w:eastAsia="Times New Roman" w:cs="Times New Roman"/>
      <w:szCs w:val="20"/>
    </w:rPr>
  </w:style>
  <w:style w:type="paragraph" w:styleId="Index8">
    <w:name w:val="index 8"/>
    <w:basedOn w:val="Normal"/>
    <w:autoRedefine/>
    <w:uiPriority w:val="99"/>
    <w:rsid w:val="008D37B0"/>
    <w:pPr>
      <w:spacing w:after="0"/>
      <w:ind w:left="2880" w:hanging="360"/>
    </w:pPr>
    <w:rPr>
      <w:rFonts w:eastAsia="Times New Roman" w:cs="Times New Roman"/>
      <w:szCs w:val="20"/>
    </w:rPr>
  </w:style>
  <w:style w:type="paragraph" w:styleId="Index9">
    <w:name w:val="index 9"/>
    <w:basedOn w:val="Normal"/>
    <w:autoRedefine/>
    <w:uiPriority w:val="99"/>
    <w:rsid w:val="008D37B0"/>
    <w:pPr>
      <w:spacing w:after="0"/>
      <w:ind w:left="3240" w:hanging="360"/>
    </w:pPr>
    <w:rPr>
      <w:rFonts w:eastAsia="Times New Roman" w:cs="Times New Roman"/>
      <w:szCs w:val="20"/>
    </w:rPr>
  </w:style>
  <w:style w:type="paragraph" w:styleId="IndexHeading">
    <w:name w:val="index heading"/>
    <w:basedOn w:val="Normal"/>
    <w:next w:val="Index1"/>
    <w:uiPriority w:val="29"/>
    <w:rsid w:val="008D37B0"/>
    <w:pPr>
      <w:spacing w:after="0"/>
    </w:pPr>
    <w:rPr>
      <w:rFonts w:eastAsia="Times New Roman" w:cs="Arial"/>
      <w:b/>
      <w:bCs/>
      <w:szCs w:val="20"/>
    </w:rPr>
  </w:style>
  <w:style w:type="paragraph" w:styleId="ListParagraph">
    <w:name w:val="List Paragraph"/>
    <w:basedOn w:val="Normal"/>
    <w:uiPriority w:val="99"/>
    <w:qFormat/>
    <w:rsid w:val="008D37B0"/>
    <w:pPr>
      <w:ind w:left="720"/>
      <w:contextualSpacing/>
    </w:pPr>
  </w:style>
  <w:style w:type="paragraph" w:styleId="NoSpacing">
    <w:name w:val="No Spacing"/>
    <w:uiPriority w:val="1"/>
    <w:qFormat/>
    <w:rsid w:val="008D37B0"/>
    <w:pPr>
      <w:spacing w:after="240"/>
      <w:contextualSpacing/>
    </w:pPr>
    <w:rPr>
      <w:rFonts w:cstheme="minorBidi"/>
      <w:sz w:val="24"/>
      <w:szCs w:val="24"/>
      <w:lang w:val="en-US" w:eastAsia="en-US"/>
    </w:rPr>
  </w:style>
  <w:style w:type="character" w:customStyle="1" w:styleId="NoNumber">
    <w:name w:val="NoNumber"/>
    <w:uiPriority w:val="99"/>
    <w:semiHidden/>
    <w:rsid w:val="00BB003D"/>
    <w:rPr>
      <w:rFonts w:ascii="Arial" w:hAnsi="Arial"/>
      <w:sz w:val="18"/>
    </w:rPr>
  </w:style>
  <w:style w:type="paragraph" w:styleId="NormalIndent">
    <w:name w:val="Normal Indent"/>
    <w:basedOn w:val="Normal"/>
    <w:uiPriority w:val="54"/>
    <w:rsid w:val="008D37B0"/>
    <w:pPr>
      <w:spacing w:after="0"/>
      <w:ind w:left="1440"/>
    </w:pPr>
    <w:rPr>
      <w:rFonts w:eastAsia="Times New Roman" w:cs="Times New Roman"/>
      <w:szCs w:val="20"/>
    </w:rPr>
  </w:style>
  <w:style w:type="paragraph" w:styleId="NoteHeading">
    <w:name w:val="Note Heading"/>
    <w:basedOn w:val="Normal"/>
    <w:next w:val="Normal"/>
    <w:link w:val="NoteHeadingChar"/>
    <w:uiPriority w:val="99"/>
    <w:rsid w:val="008D37B0"/>
    <w:pPr>
      <w:spacing w:after="0"/>
    </w:pPr>
    <w:rPr>
      <w:rFonts w:eastAsia="Times New Roman" w:cs="Times New Roman"/>
      <w:szCs w:val="20"/>
    </w:rPr>
  </w:style>
  <w:style w:type="character" w:customStyle="1" w:styleId="NoteHeadingChar">
    <w:name w:val="Note Heading Char"/>
    <w:link w:val="NoteHeading"/>
    <w:uiPriority w:val="99"/>
    <w:rsid w:val="008D37B0"/>
    <w:rPr>
      <w:sz w:val="24"/>
      <w:lang w:val="en-US" w:eastAsia="en-US"/>
    </w:rPr>
  </w:style>
  <w:style w:type="character" w:styleId="PageNumber">
    <w:name w:val="page number"/>
    <w:uiPriority w:val="99"/>
    <w:rsid w:val="008D37B0"/>
    <w:rPr>
      <w:rFonts w:ascii="Times New Roman" w:hAnsi="Times New Roman"/>
      <w:sz w:val="24"/>
    </w:rPr>
  </w:style>
  <w:style w:type="paragraph" w:styleId="PlainText">
    <w:name w:val="Plain Text"/>
    <w:basedOn w:val="Normal"/>
    <w:link w:val="PlainTextChar"/>
    <w:uiPriority w:val="99"/>
    <w:unhideWhenUsed/>
    <w:rsid w:val="008D37B0"/>
    <w:pPr>
      <w:spacing w:after="0"/>
    </w:pPr>
    <w:rPr>
      <w:rFonts w:eastAsia="Times New Roman" w:cs="Courier New"/>
      <w:szCs w:val="20"/>
    </w:rPr>
  </w:style>
  <w:style w:type="character" w:customStyle="1" w:styleId="PlainTextChar">
    <w:name w:val="Plain Text Char"/>
    <w:link w:val="PlainText"/>
    <w:uiPriority w:val="99"/>
    <w:rsid w:val="008D37B0"/>
    <w:rPr>
      <w:rFonts w:cs="Courier New"/>
      <w:sz w:val="24"/>
      <w:lang w:val="en-US" w:eastAsia="en-US"/>
    </w:rPr>
  </w:style>
  <w:style w:type="paragraph" w:styleId="Quote">
    <w:name w:val="Quote"/>
    <w:basedOn w:val="Normal"/>
    <w:next w:val="Normal"/>
    <w:link w:val="QuoteChar"/>
    <w:uiPriority w:val="44"/>
    <w:rsid w:val="008D37B0"/>
    <w:rPr>
      <w:i/>
      <w:iCs/>
      <w:color w:val="000000"/>
    </w:rPr>
  </w:style>
  <w:style w:type="character" w:customStyle="1" w:styleId="QuoteChar">
    <w:name w:val="Quote Char"/>
    <w:link w:val="Quote"/>
    <w:uiPriority w:val="44"/>
    <w:rsid w:val="008D37B0"/>
    <w:rPr>
      <w:rFonts w:eastAsiaTheme="minorHAnsi" w:cstheme="minorBidi"/>
      <w:i/>
      <w:iCs/>
      <w:color w:val="000000"/>
      <w:sz w:val="24"/>
      <w:szCs w:val="24"/>
      <w:lang w:val="en-US" w:eastAsia="en-US"/>
    </w:rPr>
  </w:style>
  <w:style w:type="paragraph" w:styleId="Salutation">
    <w:name w:val="Salutation"/>
    <w:basedOn w:val="Normal"/>
    <w:next w:val="Normal"/>
    <w:link w:val="SalutationChar"/>
    <w:uiPriority w:val="11"/>
    <w:rsid w:val="008D37B0"/>
    <w:pPr>
      <w:spacing w:after="0"/>
    </w:pPr>
    <w:rPr>
      <w:rFonts w:eastAsia="Times New Roman" w:cs="Times New Roman"/>
      <w:szCs w:val="20"/>
    </w:rPr>
  </w:style>
  <w:style w:type="character" w:customStyle="1" w:styleId="SalutationChar">
    <w:name w:val="Salutation Char"/>
    <w:link w:val="Salutation"/>
    <w:uiPriority w:val="11"/>
    <w:rsid w:val="008D37B0"/>
    <w:rPr>
      <w:sz w:val="24"/>
      <w:lang w:val="en-US" w:eastAsia="en-US"/>
    </w:rPr>
  </w:style>
  <w:style w:type="paragraph" w:styleId="Signature">
    <w:name w:val="Signature"/>
    <w:basedOn w:val="Normal"/>
    <w:link w:val="SignatureChar"/>
    <w:uiPriority w:val="11"/>
    <w:rsid w:val="008D37B0"/>
    <w:pPr>
      <w:keepLines/>
      <w:tabs>
        <w:tab w:val="left" w:pos="4752"/>
        <w:tab w:val="right" w:pos="8640"/>
      </w:tabs>
      <w:spacing w:before="480" w:after="480"/>
      <w:ind w:left="4320"/>
    </w:pPr>
    <w:rPr>
      <w:rFonts w:eastAsia="Times New Roman" w:cs="Times New Roman"/>
      <w:szCs w:val="20"/>
    </w:rPr>
  </w:style>
  <w:style w:type="character" w:customStyle="1" w:styleId="SignatureChar">
    <w:name w:val="Signature Char"/>
    <w:link w:val="Signature"/>
    <w:uiPriority w:val="11"/>
    <w:rsid w:val="008D37B0"/>
    <w:rPr>
      <w:sz w:val="24"/>
      <w:lang w:val="en-US" w:eastAsia="en-US"/>
    </w:rPr>
  </w:style>
  <w:style w:type="paragraph" w:customStyle="1" w:styleId="SignatureLeft">
    <w:name w:val="Signature Left"/>
    <w:basedOn w:val="Normal"/>
    <w:uiPriority w:val="11"/>
    <w:rsid w:val="008D37B0"/>
    <w:pPr>
      <w:keepLines/>
      <w:tabs>
        <w:tab w:val="left" w:pos="432"/>
        <w:tab w:val="right" w:pos="4320"/>
      </w:tabs>
      <w:spacing w:before="480" w:after="480"/>
    </w:pPr>
    <w:rPr>
      <w:rFonts w:eastAsia="Times New Roman" w:cs="Times New Roman"/>
      <w:szCs w:val="20"/>
    </w:rPr>
  </w:style>
  <w:style w:type="paragraph" w:styleId="Subtitle">
    <w:name w:val="Subtitle"/>
    <w:basedOn w:val="Normal"/>
    <w:next w:val="BodyText"/>
    <w:link w:val="SubtitleChar"/>
    <w:uiPriority w:val="4"/>
    <w:qFormat/>
    <w:rsid w:val="008D37B0"/>
    <w:pPr>
      <w:keepNext/>
      <w:spacing w:before="240"/>
      <w:jc w:val="center"/>
    </w:pPr>
    <w:rPr>
      <w:rFonts w:eastAsia="Times New Roman" w:cs="Times New Roman"/>
      <w:szCs w:val="20"/>
    </w:rPr>
  </w:style>
  <w:style w:type="character" w:customStyle="1" w:styleId="SubtitleChar">
    <w:name w:val="Subtitle Char"/>
    <w:link w:val="Subtitle"/>
    <w:uiPriority w:val="4"/>
    <w:rsid w:val="008D37B0"/>
    <w:rPr>
      <w:sz w:val="24"/>
      <w:lang w:val="en-US" w:eastAsia="en-US"/>
    </w:rPr>
  </w:style>
  <w:style w:type="paragraph" w:customStyle="1" w:styleId="Table">
    <w:name w:val="Table"/>
    <w:basedOn w:val="Normal"/>
    <w:uiPriority w:val="14"/>
    <w:qFormat/>
    <w:rsid w:val="008D37B0"/>
    <w:pPr>
      <w:spacing w:after="0"/>
    </w:pPr>
    <w:rPr>
      <w:rFonts w:eastAsia="Times New Roman" w:cs="Times New Roman"/>
      <w:szCs w:val="20"/>
    </w:rPr>
  </w:style>
  <w:style w:type="paragraph" w:customStyle="1" w:styleId="TableFinancial">
    <w:name w:val="Table Financial"/>
    <w:basedOn w:val="Normal"/>
    <w:next w:val="Normal"/>
    <w:uiPriority w:val="17"/>
    <w:rsid w:val="008D37B0"/>
    <w:pPr>
      <w:tabs>
        <w:tab w:val="left" w:pos="216"/>
        <w:tab w:val="decimal" w:pos="432"/>
      </w:tabs>
      <w:spacing w:after="0"/>
    </w:pPr>
    <w:rPr>
      <w:rFonts w:eastAsia="Times New Roman" w:cs="Times New Roman"/>
      <w:szCs w:val="20"/>
    </w:rPr>
  </w:style>
  <w:style w:type="paragraph" w:styleId="TableofAuthorities">
    <w:name w:val="table of authorities"/>
    <w:basedOn w:val="Normal"/>
    <w:next w:val="Normal"/>
    <w:uiPriority w:val="29"/>
    <w:unhideWhenUsed/>
    <w:rsid w:val="008D37B0"/>
    <w:pPr>
      <w:spacing w:after="0"/>
      <w:ind w:left="240" w:hanging="240"/>
    </w:pPr>
    <w:rPr>
      <w:rFonts w:eastAsia="Times New Roman" w:cs="Times New Roman"/>
      <w:szCs w:val="20"/>
    </w:rPr>
  </w:style>
  <w:style w:type="paragraph" w:styleId="TableofFigures">
    <w:name w:val="table of figures"/>
    <w:basedOn w:val="Normal"/>
    <w:next w:val="Normal"/>
    <w:uiPriority w:val="29"/>
    <w:unhideWhenUsed/>
    <w:rsid w:val="008D37B0"/>
    <w:pPr>
      <w:spacing w:after="0"/>
      <w:ind w:left="432" w:hanging="432"/>
    </w:pPr>
    <w:rPr>
      <w:rFonts w:eastAsia="Times New Roman" w:cs="Times New Roman"/>
      <w:szCs w:val="20"/>
    </w:rPr>
  </w:style>
  <w:style w:type="character" w:customStyle="1" w:styleId="Table10pt">
    <w:name w:val="Table10pt"/>
    <w:uiPriority w:val="15"/>
    <w:rsid w:val="008D37B0"/>
    <w:rPr>
      <w:sz w:val="20"/>
    </w:rPr>
  </w:style>
  <w:style w:type="character" w:customStyle="1" w:styleId="Table11pt">
    <w:name w:val="Table11pt"/>
    <w:uiPriority w:val="15"/>
    <w:rsid w:val="008D37B0"/>
    <w:rPr>
      <w:sz w:val="22"/>
    </w:rPr>
  </w:style>
  <w:style w:type="character" w:customStyle="1" w:styleId="Table8pt">
    <w:name w:val="Table8pt"/>
    <w:uiPriority w:val="14"/>
    <w:rsid w:val="008D37B0"/>
    <w:rPr>
      <w:sz w:val="16"/>
    </w:rPr>
  </w:style>
  <w:style w:type="character" w:customStyle="1" w:styleId="Table9pt">
    <w:name w:val="Table9pt"/>
    <w:uiPriority w:val="14"/>
    <w:rsid w:val="008D37B0"/>
    <w:rPr>
      <w:sz w:val="18"/>
    </w:rPr>
  </w:style>
  <w:style w:type="paragraph" w:customStyle="1" w:styleId="TableNote10pt">
    <w:name w:val="TableNote10pt"/>
    <w:basedOn w:val="Normal"/>
    <w:uiPriority w:val="17"/>
    <w:rsid w:val="008D37B0"/>
    <w:pPr>
      <w:spacing w:after="0"/>
      <w:ind w:left="432" w:hanging="432"/>
    </w:pPr>
    <w:rPr>
      <w:rFonts w:eastAsia="Times New Roman" w:cs="Times New Roman"/>
      <w:sz w:val="20"/>
      <w:szCs w:val="20"/>
    </w:rPr>
  </w:style>
  <w:style w:type="paragraph" w:customStyle="1" w:styleId="TableNote11pt">
    <w:name w:val="TableNote11pt"/>
    <w:basedOn w:val="Normal"/>
    <w:uiPriority w:val="17"/>
    <w:rsid w:val="008D37B0"/>
    <w:pPr>
      <w:spacing w:after="0"/>
      <w:ind w:left="432" w:hanging="432"/>
    </w:pPr>
    <w:rPr>
      <w:rFonts w:eastAsia="Times New Roman" w:cs="Times New Roman"/>
      <w:sz w:val="22"/>
      <w:szCs w:val="20"/>
    </w:rPr>
  </w:style>
  <w:style w:type="paragraph" w:customStyle="1" w:styleId="TableNote8pt">
    <w:name w:val="TableNote8pt"/>
    <w:basedOn w:val="Normal"/>
    <w:uiPriority w:val="16"/>
    <w:rsid w:val="008D37B0"/>
    <w:pPr>
      <w:spacing w:after="0"/>
      <w:ind w:left="432" w:hanging="432"/>
    </w:pPr>
    <w:rPr>
      <w:rFonts w:eastAsia="Times New Roman" w:cs="Times New Roman"/>
      <w:sz w:val="16"/>
      <w:szCs w:val="20"/>
    </w:rPr>
  </w:style>
  <w:style w:type="paragraph" w:customStyle="1" w:styleId="TableNote9pt">
    <w:name w:val="TableNote9pt"/>
    <w:basedOn w:val="Normal"/>
    <w:uiPriority w:val="16"/>
    <w:rsid w:val="008D37B0"/>
    <w:pPr>
      <w:spacing w:after="0"/>
      <w:ind w:left="432" w:hanging="432"/>
    </w:pPr>
    <w:rPr>
      <w:rFonts w:eastAsia="Times New Roman" w:cs="Times New Roman"/>
      <w:sz w:val="18"/>
      <w:szCs w:val="20"/>
    </w:rPr>
  </w:style>
  <w:style w:type="paragraph" w:customStyle="1" w:styleId="TableNoteLine">
    <w:name w:val="TableNoteLine"/>
    <w:basedOn w:val="Normal"/>
    <w:next w:val="TableNote8pt"/>
    <w:uiPriority w:val="16"/>
    <w:rsid w:val="008D37B0"/>
    <w:pPr>
      <w:pBdr>
        <w:bottom w:val="single" w:sz="4" w:space="1" w:color="auto"/>
      </w:pBdr>
      <w:spacing w:after="120"/>
      <w:ind w:right="6480"/>
    </w:pPr>
    <w:rPr>
      <w:rFonts w:eastAsia="Times New Roman" w:cs="Times New Roman"/>
      <w:szCs w:val="20"/>
    </w:rPr>
  </w:style>
  <w:style w:type="paragraph" w:styleId="Title">
    <w:name w:val="Title"/>
    <w:basedOn w:val="Normal"/>
    <w:next w:val="Subtitle"/>
    <w:link w:val="TitleChar"/>
    <w:uiPriority w:val="4"/>
    <w:qFormat/>
    <w:rsid w:val="008D37B0"/>
    <w:pPr>
      <w:keepNext/>
      <w:jc w:val="center"/>
    </w:pPr>
    <w:rPr>
      <w:rFonts w:eastAsia="Times New Roman" w:cs="Times New Roman"/>
      <w:b/>
      <w:szCs w:val="20"/>
    </w:rPr>
  </w:style>
  <w:style w:type="character" w:customStyle="1" w:styleId="TitleChar">
    <w:name w:val="Title Char"/>
    <w:link w:val="Title"/>
    <w:uiPriority w:val="4"/>
    <w:rsid w:val="008D37B0"/>
    <w:rPr>
      <w:b/>
      <w:sz w:val="24"/>
      <w:lang w:val="en-US" w:eastAsia="en-US"/>
    </w:rPr>
  </w:style>
  <w:style w:type="paragraph" w:customStyle="1" w:styleId="Title16">
    <w:name w:val="Title 16"/>
    <w:basedOn w:val="Title"/>
    <w:next w:val="Subtitle"/>
    <w:link w:val="Title16Char"/>
    <w:uiPriority w:val="4"/>
    <w:qFormat/>
    <w:rsid w:val="008D37B0"/>
    <w:rPr>
      <w:sz w:val="32"/>
    </w:rPr>
  </w:style>
  <w:style w:type="character" w:customStyle="1" w:styleId="Title16Char">
    <w:name w:val="Title 16 Char"/>
    <w:link w:val="Title16"/>
    <w:uiPriority w:val="4"/>
    <w:rsid w:val="008D37B0"/>
    <w:rPr>
      <w:b/>
      <w:sz w:val="32"/>
      <w:lang w:val="en-US" w:eastAsia="en-US"/>
    </w:rPr>
  </w:style>
  <w:style w:type="paragraph" w:styleId="TOAHeading">
    <w:name w:val="toa heading"/>
    <w:basedOn w:val="Normal"/>
    <w:next w:val="Normal"/>
    <w:uiPriority w:val="29"/>
    <w:unhideWhenUsed/>
    <w:rsid w:val="008D37B0"/>
    <w:rPr>
      <w:rFonts w:eastAsia="Times New Roman" w:cs="Arial"/>
      <w:b/>
      <w:bCs/>
    </w:rPr>
  </w:style>
  <w:style w:type="paragraph" w:styleId="TOC1">
    <w:name w:val="toc 1"/>
    <w:basedOn w:val="Normal"/>
    <w:next w:val="Normal"/>
    <w:autoRedefine/>
    <w:uiPriority w:val="99"/>
    <w:rsid w:val="008D37B0"/>
    <w:pPr>
      <w:spacing w:after="0"/>
      <w:ind w:right="720"/>
    </w:pPr>
    <w:rPr>
      <w:rFonts w:eastAsia="Times New Roman" w:cs="Times New Roman"/>
      <w:szCs w:val="20"/>
    </w:rPr>
  </w:style>
  <w:style w:type="paragraph" w:styleId="TOC2">
    <w:name w:val="toc 2"/>
    <w:basedOn w:val="Normal"/>
    <w:next w:val="Normal"/>
    <w:autoRedefine/>
    <w:uiPriority w:val="99"/>
    <w:rsid w:val="008D37B0"/>
    <w:pPr>
      <w:spacing w:after="0"/>
      <w:ind w:left="245" w:right="720"/>
    </w:pPr>
    <w:rPr>
      <w:rFonts w:eastAsia="Times New Roman" w:cs="Times New Roman"/>
      <w:szCs w:val="20"/>
    </w:rPr>
  </w:style>
  <w:style w:type="paragraph" w:styleId="TOC3">
    <w:name w:val="toc 3"/>
    <w:basedOn w:val="Normal"/>
    <w:next w:val="Normal"/>
    <w:autoRedefine/>
    <w:uiPriority w:val="99"/>
    <w:rsid w:val="008D37B0"/>
    <w:pPr>
      <w:spacing w:after="0"/>
      <w:ind w:left="475" w:right="720"/>
    </w:pPr>
    <w:rPr>
      <w:rFonts w:eastAsia="Times New Roman" w:cs="Times New Roman"/>
      <w:szCs w:val="20"/>
    </w:rPr>
  </w:style>
  <w:style w:type="paragraph" w:styleId="TOC4">
    <w:name w:val="toc 4"/>
    <w:basedOn w:val="Normal"/>
    <w:next w:val="Normal"/>
    <w:autoRedefine/>
    <w:uiPriority w:val="99"/>
    <w:rsid w:val="008D37B0"/>
    <w:pPr>
      <w:spacing w:after="0"/>
      <w:ind w:left="720" w:right="720"/>
    </w:pPr>
    <w:rPr>
      <w:rFonts w:eastAsia="Times New Roman" w:cs="Times New Roman"/>
      <w:szCs w:val="20"/>
    </w:rPr>
  </w:style>
  <w:style w:type="paragraph" w:styleId="TOC6">
    <w:name w:val="toc 6"/>
    <w:basedOn w:val="Normal"/>
    <w:next w:val="Normal"/>
    <w:autoRedefine/>
    <w:uiPriority w:val="99"/>
    <w:rsid w:val="008D37B0"/>
    <w:pPr>
      <w:spacing w:after="0"/>
      <w:ind w:left="1200"/>
    </w:pPr>
    <w:rPr>
      <w:rFonts w:eastAsia="Times New Roman" w:cs="Times New Roman"/>
      <w:szCs w:val="20"/>
    </w:rPr>
  </w:style>
  <w:style w:type="paragraph" w:styleId="TOC9">
    <w:name w:val="toc 9"/>
    <w:basedOn w:val="Normal"/>
    <w:next w:val="Normal"/>
    <w:autoRedefine/>
    <w:uiPriority w:val="99"/>
    <w:rsid w:val="008D37B0"/>
    <w:pPr>
      <w:spacing w:after="0"/>
      <w:ind w:left="1920"/>
    </w:pPr>
    <w:rPr>
      <w:rFonts w:eastAsia="Times New Roman" w:cs="Times New Roman"/>
      <w:szCs w:val="20"/>
    </w:rPr>
  </w:style>
  <w:style w:type="character" w:styleId="Hyperlink">
    <w:name w:val="Hyperlink"/>
    <w:basedOn w:val="DefaultParagraphFont"/>
    <w:uiPriority w:val="99"/>
    <w:rsid w:val="00F639BD"/>
    <w:rPr>
      <w:color w:val="0000FF"/>
      <w:u w:val="single"/>
    </w:rPr>
  </w:style>
  <w:style w:type="character" w:customStyle="1" w:styleId="DEBIntro">
    <w:name w:val="DEB Intro"/>
    <w:rsid w:val="00B16911"/>
    <w:rPr>
      <w:rFonts w:ascii="Times New Roman" w:hAnsi="Times New Roman"/>
      <w:sz w:val="18"/>
    </w:rPr>
  </w:style>
  <w:style w:type="paragraph" w:styleId="BalloonText">
    <w:name w:val="Balloon Text"/>
    <w:basedOn w:val="Normal"/>
    <w:link w:val="BalloonTextChar"/>
    <w:rsid w:val="002F558E"/>
    <w:pPr>
      <w:spacing w:after="0"/>
    </w:pPr>
    <w:rPr>
      <w:rFonts w:ascii="Tahoma" w:hAnsi="Tahoma" w:cs="Tahoma"/>
      <w:sz w:val="16"/>
      <w:szCs w:val="16"/>
    </w:rPr>
  </w:style>
  <w:style w:type="character" w:customStyle="1" w:styleId="BalloonTextChar">
    <w:name w:val="Balloon Text Char"/>
    <w:basedOn w:val="DefaultParagraphFont"/>
    <w:link w:val="BalloonText"/>
    <w:rsid w:val="002F558E"/>
    <w:rPr>
      <w:rFonts w:ascii="Tahoma" w:hAnsi="Tahoma" w:cs="Tahoma"/>
      <w:sz w:val="16"/>
      <w:szCs w:val="16"/>
      <w:lang w:val="en-GB" w:eastAsia="en-US"/>
    </w:rPr>
  </w:style>
  <w:style w:type="character" w:styleId="EndnoteReference">
    <w:name w:val="endnote reference"/>
    <w:basedOn w:val="DefaultParagraphFont"/>
    <w:rsid w:val="00CB39C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99"/>
    <w:lsdException w:name="toc 2" w:uiPriority="99"/>
    <w:lsdException w:name="toc 3" w:uiPriority="99"/>
    <w:lsdException w:name="toc 4" w:uiPriority="99"/>
    <w:lsdException w:name="toc 6" w:uiPriority="99"/>
    <w:lsdException w:name="toc 9" w:uiPriority="99"/>
    <w:lsdException w:name="Normal Indent" w:uiPriority="54"/>
    <w:lsdException w:name="footnote text" w:uiPriority="99"/>
    <w:lsdException w:name="header" w:uiPriority="99"/>
    <w:lsdException w:name="footer" w:uiPriority="99"/>
    <w:lsdException w:name="index heading" w:uiPriority="29"/>
    <w:lsdException w:name="caption" w:uiPriority="99" w:qFormat="1"/>
    <w:lsdException w:name="table of figures" w:uiPriority="29"/>
    <w:lsdException w:name="envelope address" w:uiPriority="99"/>
    <w:lsdException w:name="envelope return" w:uiPriority="99"/>
    <w:lsdException w:name="page number" w:uiPriority="99"/>
    <w:lsdException w:name="endnote text" w:uiPriority="99"/>
    <w:lsdException w:name="table of authorities" w:uiPriority="29"/>
    <w:lsdException w:name="toa heading" w:uiPriority="29"/>
    <w:lsdException w:name="Title" w:uiPriority="4" w:qFormat="1"/>
    <w:lsdException w:name="Closing" w:uiPriority="11"/>
    <w:lsdException w:name="Signature" w:uiPriority="11"/>
    <w:lsdException w:name="Default Paragraph Font" w:uiPriority="1"/>
    <w:lsdException w:name="Body Text" w:uiPriority="2" w:qFormat="1"/>
    <w:lsdException w:name="Body Text Indent" w:uiPriority="24"/>
    <w:lsdException w:name="Subtitle" w:uiPriority="4" w:qFormat="1"/>
    <w:lsdException w:name="Salutation" w:uiPriority="11"/>
    <w:lsdException w:name="Body Text First Indent" w:uiPriority="24"/>
    <w:lsdException w:name="Body Text First Indent 2" w:uiPriority="24"/>
    <w:lsdException w:name="Note Heading" w:uiPriority="99"/>
    <w:lsdException w:name="Body Text 2" w:uiPriority="24"/>
    <w:lsdException w:name="Body Text 3" w:uiPriority="24"/>
    <w:lsdException w:name="Body Text Indent 2" w:uiPriority="24"/>
    <w:lsdException w:name="Body Text Indent 3" w:uiPriority="24"/>
    <w:lsdException w:name="Block Text" w:uiPriority="3" w:qFormat="1"/>
    <w:lsdException w:name="Hyperlink" w:uiPriority="99"/>
    <w:lsdException w:name="Strong" w:qFormat="1"/>
    <w:lsdException w:name="Emphasis" w:uiPriority="44"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4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atentStyles>
  <w:style w:type="paragraph" w:default="1" w:styleId="Normal">
    <w:name w:val="Normal"/>
    <w:qFormat/>
    <w:rsid w:val="00BB003D"/>
    <w:pPr>
      <w:spacing w:after="240"/>
    </w:pPr>
    <w:rPr>
      <w:rFonts w:cstheme="minorBidi"/>
      <w:sz w:val="24"/>
      <w:szCs w:val="24"/>
      <w:lang w:val="en-GB" w:eastAsia="en-US"/>
    </w:rPr>
  </w:style>
  <w:style w:type="paragraph" w:styleId="Heading1">
    <w:name w:val="heading 1"/>
    <w:basedOn w:val="Normal"/>
    <w:next w:val="Heading2"/>
    <w:link w:val="Heading1Char"/>
    <w:uiPriority w:val="9"/>
    <w:qFormat/>
    <w:rsid w:val="008D37B0"/>
    <w:pPr>
      <w:keepNext/>
      <w:spacing w:before="240"/>
      <w:outlineLvl w:val="0"/>
    </w:pPr>
    <w:rPr>
      <w:rFonts w:eastAsia="Times New Roman" w:cs="Times New Roman"/>
      <w:szCs w:val="20"/>
    </w:rPr>
  </w:style>
  <w:style w:type="paragraph" w:styleId="Heading2">
    <w:name w:val="heading 2"/>
    <w:basedOn w:val="Normal"/>
    <w:next w:val="BodyText"/>
    <w:link w:val="Heading2Char"/>
    <w:uiPriority w:val="9"/>
    <w:qFormat/>
    <w:rsid w:val="008D37B0"/>
    <w:pPr>
      <w:spacing w:before="240"/>
      <w:outlineLvl w:val="1"/>
    </w:pPr>
    <w:rPr>
      <w:rFonts w:eastAsia="Times New Roman" w:cs="Times New Roman"/>
      <w:szCs w:val="20"/>
    </w:rPr>
  </w:style>
  <w:style w:type="paragraph" w:styleId="Heading3">
    <w:name w:val="heading 3"/>
    <w:basedOn w:val="Normal"/>
    <w:next w:val="BodyText"/>
    <w:link w:val="Heading3Char"/>
    <w:uiPriority w:val="9"/>
    <w:qFormat/>
    <w:rsid w:val="008D37B0"/>
    <w:pPr>
      <w:spacing w:before="240"/>
      <w:outlineLvl w:val="2"/>
    </w:pPr>
    <w:rPr>
      <w:rFonts w:eastAsia="Times New Roman" w:cs="Times New Roman"/>
      <w:szCs w:val="20"/>
    </w:rPr>
  </w:style>
  <w:style w:type="paragraph" w:styleId="Heading4">
    <w:name w:val="heading 4"/>
    <w:basedOn w:val="Normal"/>
    <w:next w:val="BodyText"/>
    <w:link w:val="Heading4Char"/>
    <w:uiPriority w:val="9"/>
    <w:unhideWhenUsed/>
    <w:rsid w:val="008D37B0"/>
    <w:pPr>
      <w:spacing w:before="240"/>
      <w:outlineLvl w:val="3"/>
    </w:pPr>
    <w:rPr>
      <w:rFonts w:eastAsia="Times New Roman" w:cs="Times New Roman"/>
      <w:szCs w:val="20"/>
    </w:rPr>
  </w:style>
  <w:style w:type="paragraph" w:styleId="Heading5">
    <w:name w:val="heading 5"/>
    <w:basedOn w:val="Normal"/>
    <w:next w:val="BodyText"/>
    <w:link w:val="Heading5Char"/>
    <w:uiPriority w:val="9"/>
    <w:unhideWhenUsed/>
    <w:rsid w:val="008D37B0"/>
    <w:pPr>
      <w:spacing w:before="240"/>
      <w:outlineLvl w:val="4"/>
    </w:pPr>
    <w:rPr>
      <w:rFonts w:eastAsia="Times New Roman" w:cs="Times New Roman"/>
      <w:szCs w:val="20"/>
    </w:rPr>
  </w:style>
  <w:style w:type="paragraph" w:styleId="Heading6">
    <w:name w:val="heading 6"/>
    <w:basedOn w:val="Normal"/>
    <w:next w:val="BodyText"/>
    <w:link w:val="Heading6Char"/>
    <w:uiPriority w:val="9"/>
    <w:unhideWhenUsed/>
    <w:rsid w:val="008D37B0"/>
    <w:pPr>
      <w:spacing w:before="240"/>
      <w:outlineLvl w:val="5"/>
    </w:pPr>
    <w:rPr>
      <w:rFonts w:eastAsia="Times New Roman" w:cs="Times New Roman"/>
      <w:szCs w:val="20"/>
    </w:rPr>
  </w:style>
  <w:style w:type="paragraph" w:styleId="Heading7">
    <w:name w:val="heading 7"/>
    <w:basedOn w:val="Normal"/>
    <w:next w:val="BodyText"/>
    <w:link w:val="Heading7Char"/>
    <w:uiPriority w:val="9"/>
    <w:unhideWhenUsed/>
    <w:rsid w:val="008D37B0"/>
    <w:pPr>
      <w:spacing w:before="240"/>
      <w:outlineLvl w:val="6"/>
    </w:pPr>
    <w:rPr>
      <w:rFonts w:eastAsia="Times New Roman" w:cs="Times New Roman"/>
      <w:szCs w:val="20"/>
    </w:rPr>
  </w:style>
  <w:style w:type="paragraph" w:styleId="Heading8">
    <w:name w:val="heading 8"/>
    <w:basedOn w:val="Normal"/>
    <w:next w:val="BodyText"/>
    <w:link w:val="Heading8Char"/>
    <w:uiPriority w:val="9"/>
    <w:unhideWhenUsed/>
    <w:rsid w:val="008D37B0"/>
    <w:pPr>
      <w:spacing w:before="240"/>
      <w:outlineLvl w:val="7"/>
    </w:pPr>
    <w:rPr>
      <w:rFonts w:eastAsia="Times New Roman" w:cs="Times New Roman"/>
      <w:szCs w:val="20"/>
    </w:rPr>
  </w:style>
  <w:style w:type="paragraph" w:styleId="Heading9">
    <w:name w:val="heading 9"/>
    <w:basedOn w:val="Normal"/>
    <w:next w:val="BodyText"/>
    <w:link w:val="Heading9Char"/>
    <w:uiPriority w:val="9"/>
    <w:unhideWhenUsed/>
    <w:rsid w:val="008D37B0"/>
    <w:pPr>
      <w:spacing w:before="240"/>
      <w:outlineLvl w:val="8"/>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next w:val="BodyText"/>
    <w:uiPriority w:val="3"/>
    <w:qFormat/>
    <w:rsid w:val="008D37B0"/>
    <w:pPr>
      <w:spacing w:before="240"/>
      <w:ind w:left="1440" w:right="1440"/>
    </w:pPr>
    <w:rPr>
      <w:rFonts w:eastAsia="Times New Roman" w:cs="Times New Roman"/>
      <w:szCs w:val="20"/>
    </w:rPr>
  </w:style>
  <w:style w:type="paragraph" w:styleId="BodyText">
    <w:name w:val="Body Text"/>
    <w:basedOn w:val="Normal"/>
    <w:link w:val="BodyTextChar"/>
    <w:uiPriority w:val="2"/>
    <w:qFormat/>
    <w:rsid w:val="008D37B0"/>
    <w:pPr>
      <w:spacing w:before="240"/>
      <w:ind w:firstLine="720"/>
    </w:pPr>
    <w:rPr>
      <w:rFonts w:eastAsia="Times New Roman" w:cs="Times New Roman"/>
      <w:szCs w:val="20"/>
    </w:rPr>
  </w:style>
  <w:style w:type="character" w:customStyle="1" w:styleId="BodyTextChar">
    <w:name w:val="Body Text Char"/>
    <w:link w:val="BodyText"/>
    <w:uiPriority w:val="2"/>
    <w:rsid w:val="008D37B0"/>
    <w:rPr>
      <w:sz w:val="24"/>
      <w:lang w:val="en-US" w:eastAsia="en-US"/>
    </w:rPr>
  </w:style>
  <w:style w:type="paragraph" w:styleId="BodyText2">
    <w:name w:val="Body Text 2"/>
    <w:basedOn w:val="Normal"/>
    <w:link w:val="BodyText2Char"/>
    <w:uiPriority w:val="24"/>
    <w:rsid w:val="008D37B0"/>
    <w:pPr>
      <w:spacing w:after="0" w:line="480" w:lineRule="auto"/>
      <w:ind w:firstLine="720"/>
    </w:pPr>
    <w:rPr>
      <w:rFonts w:eastAsia="Times New Roman" w:cs="Times New Roman"/>
      <w:szCs w:val="20"/>
    </w:rPr>
  </w:style>
  <w:style w:type="character" w:customStyle="1" w:styleId="BodyText2Char">
    <w:name w:val="Body Text 2 Char"/>
    <w:link w:val="BodyText2"/>
    <w:uiPriority w:val="24"/>
    <w:rsid w:val="008D37B0"/>
    <w:rPr>
      <w:sz w:val="24"/>
      <w:lang w:val="en-US" w:eastAsia="en-US"/>
    </w:rPr>
  </w:style>
  <w:style w:type="paragraph" w:styleId="BodyText3">
    <w:name w:val="Body Text 3"/>
    <w:basedOn w:val="Normal"/>
    <w:link w:val="BodyText3Char"/>
    <w:uiPriority w:val="24"/>
    <w:rsid w:val="008D37B0"/>
    <w:pPr>
      <w:spacing w:before="240"/>
    </w:pPr>
    <w:rPr>
      <w:rFonts w:eastAsia="Times New Roman" w:cs="Times New Roman"/>
      <w:szCs w:val="16"/>
    </w:rPr>
  </w:style>
  <w:style w:type="character" w:customStyle="1" w:styleId="BodyText3Char">
    <w:name w:val="Body Text 3 Char"/>
    <w:link w:val="BodyText3"/>
    <w:uiPriority w:val="24"/>
    <w:rsid w:val="008D37B0"/>
    <w:rPr>
      <w:sz w:val="24"/>
      <w:szCs w:val="16"/>
      <w:lang w:val="en-US" w:eastAsia="en-US"/>
    </w:rPr>
  </w:style>
  <w:style w:type="paragraph" w:styleId="BodyTextFirstIndent">
    <w:name w:val="Body Text First Indent"/>
    <w:basedOn w:val="BodyText"/>
    <w:link w:val="BodyTextFirstIndentChar"/>
    <w:uiPriority w:val="24"/>
    <w:rsid w:val="008D37B0"/>
    <w:pPr>
      <w:ind w:left="720"/>
    </w:pPr>
  </w:style>
  <w:style w:type="character" w:customStyle="1" w:styleId="BodyTextFirstIndentChar">
    <w:name w:val="Body Text First Indent Char"/>
    <w:link w:val="BodyTextFirstIndent"/>
    <w:uiPriority w:val="24"/>
    <w:rsid w:val="008D37B0"/>
    <w:rPr>
      <w:sz w:val="24"/>
      <w:lang w:val="en-US" w:eastAsia="en-US"/>
    </w:rPr>
  </w:style>
  <w:style w:type="paragraph" w:styleId="BodyTextIndent">
    <w:name w:val="Body Text Indent"/>
    <w:basedOn w:val="Normal"/>
    <w:link w:val="BodyTextIndentChar"/>
    <w:uiPriority w:val="24"/>
    <w:rsid w:val="008D37B0"/>
    <w:pPr>
      <w:spacing w:before="240"/>
      <w:ind w:left="720"/>
    </w:pPr>
    <w:rPr>
      <w:rFonts w:eastAsia="Times New Roman" w:cs="Times New Roman"/>
      <w:szCs w:val="20"/>
    </w:rPr>
  </w:style>
  <w:style w:type="character" w:customStyle="1" w:styleId="BodyTextIndentChar">
    <w:name w:val="Body Text Indent Char"/>
    <w:link w:val="BodyTextIndent"/>
    <w:uiPriority w:val="24"/>
    <w:rsid w:val="008D37B0"/>
    <w:rPr>
      <w:sz w:val="24"/>
      <w:lang w:val="en-US" w:eastAsia="en-US"/>
    </w:rPr>
  </w:style>
  <w:style w:type="paragraph" w:styleId="BodyTextFirstIndent2">
    <w:name w:val="Body Text First Indent 2"/>
    <w:basedOn w:val="BodyText"/>
    <w:link w:val="BodyTextFirstIndent2Char"/>
    <w:uiPriority w:val="24"/>
    <w:rsid w:val="008D37B0"/>
    <w:pPr>
      <w:spacing w:after="0" w:line="480" w:lineRule="auto"/>
      <w:ind w:left="720"/>
    </w:pPr>
  </w:style>
  <w:style w:type="character" w:customStyle="1" w:styleId="BodyTextFirstIndent2Char">
    <w:name w:val="Body Text First Indent 2 Char"/>
    <w:link w:val="BodyTextFirstIndent2"/>
    <w:uiPriority w:val="24"/>
    <w:rsid w:val="008D37B0"/>
    <w:rPr>
      <w:sz w:val="24"/>
      <w:lang w:val="en-US" w:eastAsia="en-US"/>
    </w:rPr>
  </w:style>
  <w:style w:type="paragraph" w:styleId="BodyTextIndent2">
    <w:name w:val="Body Text Indent 2"/>
    <w:basedOn w:val="Normal"/>
    <w:link w:val="BodyTextIndent2Char"/>
    <w:uiPriority w:val="24"/>
    <w:rsid w:val="008D37B0"/>
    <w:pPr>
      <w:spacing w:after="0" w:line="480" w:lineRule="auto"/>
      <w:ind w:left="720"/>
    </w:pPr>
    <w:rPr>
      <w:rFonts w:eastAsia="Times New Roman" w:cs="Times New Roman"/>
      <w:szCs w:val="20"/>
    </w:rPr>
  </w:style>
  <w:style w:type="character" w:customStyle="1" w:styleId="BodyTextIndent2Char">
    <w:name w:val="Body Text Indent 2 Char"/>
    <w:link w:val="BodyTextIndent2"/>
    <w:uiPriority w:val="24"/>
    <w:rsid w:val="008D37B0"/>
    <w:rPr>
      <w:sz w:val="24"/>
      <w:lang w:val="en-US" w:eastAsia="en-US"/>
    </w:rPr>
  </w:style>
  <w:style w:type="paragraph" w:styleId="BodyTextIndent3">
    <w:name w:val="Body Text Indent 3"/>
    <w:basedOn w:val="Normal"/>
    <w:link w:val="BodyTextIndent3Char"/>
    <w:uiPriority w:val="24"/>
    <w:rsid w:val="008D37B0"/>
    <w:pPr>
      <w:ind w:left="720"/>
    </w:pPr>
    <w:rPr>
      <w:rFonts w:eastAsia="Times New Roman" w:cs="Times New Roman"/>
      <w:szCs w:val="16"/>
    </w:rPr>
  </w:style>
  <w:style w:type="character" w:customStyle="1" w:styleId="BodyTextIndent3Char">
    <w:name w:val="Body Text Indent 3 Char"/>
    <w:link w:val="BodyTextIndent3"/>
    <w:uiPriority w:val="24"/>
    <w:rsid w:val="008D37B0"/>
    <w:rPr>
      <w:sz w:val="24"/>
      <w:szCs w:val="16"/>
      <w:lang w:val="en-US" w:eastAsia="en-US"/>
    </w:rPr>
  </w:style>
  <w:style w:type="character" w:styleId="BookTitle">
    <w:name w:val="Book Title"/>
    <w:uiPriority w:val="99"/>
    <w:qFormat/>
    <w:rsid w:val="008D37B0"/>
    <w:rPr>
      <w:b/>
      <w:bCs/>
      <w:smallCaps/>
      <w:spacing w:val="5"/>
    </w:rPr>
  </w:style>
  <w:style w:type="paragraph" w:styleId="Caption">
    <w:name w:val="caption"/>
    <w:basedOn w:val="Normal"/>
    <w:next w:val="Normal"/>
    <w:uiPriority w:val="99"/>
    <w:qFormat/>
    <w:rsid w:val="008D37B0"/>
    <w:pPr>
      <w:keepNext/>
      <w:spacing w:after="0"/>
    </w:pPr>
    <w:rPr>
      <w:rFonts w:eastAsia="Times New Roman" w:cs="Times New Roman"/>
      <w:b/>
      <w:bCs/>
      <w:sz w:val="20"/>
      <w:szCs w:val="20"/>
    </w:rPr>
  </w:style>
  <w:style w:type="paragraph" w:customStyle="1" w:styleId="Center">
    <w:name w:val="Center"/>
    <w:basedOn w:val="Normal"/>
    <w:link w:val="CenterChar"/>
    <w:uiPriority w:val="4"/>
    <w:qFormat/>
    <w:rsid w:val="008D37B0"/>
    <w:pPr>
      <w:spacing w:before="240"/>
      <w:jc w:val="center"/>
    </w:pPr>
    <w:rPr>
      <w:rFonts w:eastAsia="Times New Roman" w:cs="Times New Roman"/>
      <w:szCs w:val="20"/>
    </w:rPr>
  </w:style>
  <w:style w:type="character" w:customStyle="1" w:styleId="CenterChar">
    <w:name w:val="Center Char"/>
    <w:link w:val="Center"/>
    <w:uiPriority w:val="4"/>
    <w:rsid w:val="008D37B0"/>
    <w:rPr>
      <w:sz w:val="24"/>
      <w:lang w:val="en-US" w:eastAsia="en-US"/>
    </w:rPr>
  </w:style>
  <w:style w:type="paragraph" w:styleId="Closing">
    <w:name w:val="Closing"/>
    <w:basedOn w:val="Normal"/>
    <w:link w:val="ClosingChar"/>
    <w:uiPriority w:val="11"/>
    <w:rsid w:val="008D37B0"/>
    <w:pPr>
      <w:keepLines/>
      <w:tabs>
        <w:tab w:val="left" w:pos="4752"/>
        <w:tab w:val="right" w:pos="8640"/>
      </w:tabs>
      <w:spacing w:before="480" w:after="480"/>
      <w:ind w:left="4320"/>
    </w:pPr>
    <w:rPr>
      <w:rFonts w:eastAsia="Times New Roman" w:cs="Times New Roman"/>
      <w:szCs w:val="20"/>
    </w:rPr>
  </w:style>
  <w:style w:type="character" w:customStyle="1" w:styleId="ClosingChar">
    <w:name w:val="Closing Char"/>
    <w:link w:val="Closing"/>
    <w:uiPriority w:val="11"/>
    <w:rsid w:val="008D37B0"/>
    <w:rPr>
      <w:sz w:val="24"/>
      <w:lang w:val="en-US" w:eastAsia="en-US"/>
    </w:rPr>
  </w:style>
  <w:style w:type="paragraph" w:customStyle="1" w:styleId="DPComment">
    <w:name w:val="DP Comment"/>
    <w:basedOn w:val="BodyText"/>
    <w:next w:val="BodyText"/>
    <w:uiPriority w:val="44"/>
    <w:rsid w:val="008D37B0"/>
    <w:rPr>
      <w:vanish/>
      <w:color w:val="FF0000"/>
    </w:rPr>
  </w:style>
  <w:style w:type="character" w:styleId="Emphasis">
    <w:name w:val="Emphasis"/>
    <w:uiPriority w:val="44"/>
    <w:rsid w:val="008D37B0"/>
    <w:rPr>
      <w:i/>
      <w:iCs/>
    </w:rPr>
  </w:style>
  <w:style w:type="paragraph" w:styleId="EndnoteText">
    <w:name w:val="endnote text"/>
    <w:basedOn w:val="Normal"/>
    <w:link w:val="EndnoteTextChar"/>
    <w:uiPriority w:val="99"/>
    <w:rsid w:val="008D37B0"/>
    <w:pPr>
      <w:spacing w:after="0"/>
    </w:pPr>
    <w:rPr>
      <w:rFonts w:eastAsia="Times New Roman" w:cs="Times New Roman"/>
      <w:szCs w:val="20"/>
    </w:rPr>
  </w:style>
  <w:style w:type="character" w:customStyle="1" w:styleId="EndnoteTextChar">
    <w:name w:val="Endnote Text Char"/>
    <w:link w:val="EndnoteText"/>
    <w:uiPriority w:val="99"/>
    <w:rsid w:val="008D37B0"/>
    <w:rPr>
      <w:sz w:val="24"/>
      <w:lang w:val="en-US" w:eastAsia="en-US"/>
    </w:rPr>
  </w:style>
  <w:style w:type="paragraph" w:styleId="EnvelopeAddress">
    <w:name w:val="envelope address"/>
    <w:basedOn w:val="Normal"/>
    <w:uiPriority w:val="99"/>
    <w:rsid w:val="008D37B0"/>
    <w:pPr>
      <w:framePr w:w="7920" w:h="1980" w:hRule="exact" w:hSpace="180" w:wrap="auto" w:hAnchor="page" w:xAlign="center" w:yAlign="bottom"/>
      <w:spacing w:after="0"/>
      <w:ind w:left="2880"/>
    </w:pPr>
    <w:rPr>
      <w:rFonts w:eastAsia="Times New Roman" w:cs="Arial"/>
    </w:rPr>
  </w:style>
  <w:style w:type="paragraph" w:styleId="EnvelopeReturn">
    <w:name w:val="envelope return"/>
    <w:basedOn w:val="Normal"/>
    <w:uiPriority w:val="99"/>
    <w:rsid w:val="008D37B0"/>
    <w:pPr>
      <w:spacing w:after="0"/>
    </w:pPr>
    <w:rPr>
      <w:rFonts w:eastAsia="Times New Roman" w:cs="Arial"/>
      <w:sz w:val="20"/>
      <w:szCs w:val="20"/>
    </w:rPr>
  </w:style>
  <w:style w:type="paragraph" w:customStyle="1" w:styleId="FlushRight">
    <w:name w:val="Flush Right"/>
    <w:basedOn w:val="Normal"/>
    <w:uiPriority w:val="11"/>
    <w:rsid w:val="008D37B0"/>
    <w:pPr>
      <w:spacing w:before="240"/>
      <w:jc w:val="right"/>
    </w:pPr>
    <w:rPr>
      <w:rFonts w:eastAsia="Times New Roman" w:cs="Times New Roman"/>
      <w:szCs w:val="20"/>
    </w:rPr>
  </w:style>
  <w:style w:type="paragraph" w:styleId="Footer">
    <w:name w:val="footer"/>
    <w:basedOn w:val="Normal"/>
    <w:link w:val="FooterChar"/>
    <w:uiPriority w:val="99"/>
    <w:rsid w:val="008D37B0"/>
    <w:pPr>
      <w:tabs>
        <w:tab w:val="center" w:pos="4320"/>
        <w:tab w:val="right" w:pos="8640"/>
      </w:tabs>
      <w:spacing w:after="0"/>
    </w:pPr>
    <w:rPr>
      <w:rFonts w:eastAsia="Times New Roman" w:cs="Times New Roman"/>
      <w:szCs w:val="20"/>
    </w:rPr>
  </w:style>
  <w:style w:type="character" w:customStyle="1" w:styleId="FooterChar">
    <w:name w:val="Footer Char"/>
    <w:link w:val="Footer"/>
    <w:uiPriority w:val="99"/>
    <w:rsid w:val="008D37B0"/>
    <w:rPr>
      <w:sz w:val="24"/>
      <w:lang w:val="en-US" w:eastAsia="en-US"/>
    </w:rPr>
  </w:style>
  <w:style w:type="character" w:styleId="FootnoteReference">
    <w:name w:val="footnote reference"/>
    <w:rsid w:val="008D37B0"/>
    <w:rPr>
      <w:vertAlign w:val="superscript"/>
    </w:rPr>
  </w:style>
  <w:style w:type="paragraph" w:styleId="FootnoteText">
    <w:name w:val="footnote text"/>
    <w:basedOn w:val="Normal"/>
    <w:link w:val="FootnoteTextChar"/>
    <w:uiPriority w:val="99"/>
    <w:rsid w:val="008D37B0"/>
    <w:pPr>
      <w:tabs>
        <w:tab w:val="left" w:pos="432"/>
      </w:tabs>
      <w:ind w:left="432" w:hanging="432"/>
    </w:pPr>
    <w:rPr>
      <w:rFonts w:eastAsia="Times New Roman" w:cs="Times New Roman"/>
      <w:szCs w:val="20"/>
    </w:rPr>
  </w:style>
  <w:style w:type="character" w:customStyle="1" w:styleId="FootnoteTextChar">
    <w:name w:val="Footnote Text Char"/>
    <w:link w:val="FootnoteText"/>
    <w:uiPriority w:val="99"/>
    <w:rsid w:val="008D37B0"/>
    <w:rPr>
      <w:sz w:val="24"/>
      <w:lang w:val="en-US" w:eastAsia="en-US"/>
    </w:rPr>
  </w:style>
  <w:style w:type="paragraph" w:customStyle="1" w:styleId="HangingIndent">
    <w:name w:val="Hanging Indent"/>
    <w:basedOn w:val="Normal"/>
    <w:uiPriority w:val="11"/>
    <w:rsid w:val="008D37B0"/>
    <w:pPr>
      <w:spacing w:before="240"/>
      <w:ind w:left="720" w:hanging="720"/>
    </w:pPr>
    <w:rPr>
      <w:rFonts w:eastAsia="Times New Roman" w:cs="Times New Roman"/>
      <w:szCs w:val="20"/>
    </w:rPr>
  </w:style>
  <w:style w:type="paragraph" w:styleId="Header">
    <w:name w:val="header"/>
    <w:basedOn w:val="Normal"/>
    <w:link w:val="HeaderChar"/>
    <w:uiPriority w:val="99"/>
    <w:rsid w:val="008D37B0"/>
    <w:pPr>
      <w:tabs>
        <w:tab w:val="center" w:pos="4320"/>
        <w:tab w:val="right" w:pos="8640"/>
      </w:tabs>
      <w:spacing w:after="0"/>
    </w:pPr>
    <w:rPr>
      <w:rFonts w:eastAsia="Times New Roman" w:cs="Times New Roman"/>
      <w:szCs w:val="20"/>
    </w:rPr>
  </w:style>
  <w:style w:type="character" w:customStyle="1" w:styleId="HeaderChar">
    <w:name w:val="Header Char"/>
    <w:link w:val="Header"/>
    <w:uiPriority w:val="99"/>
    <w:rsid w:val="008D37B0"/>
    <w:rPr>
      <w:sz w:val="24"/>
      <w:lang w:val="en-US" w:eastAsia="en-US"/>
    </w:rPr>
  </w:style>
  <w:style w:type="character" w:customStyle="1" w:styleId="Heading1Char">
    <w:name w:val="Heading 1 Char"/>
    <w:link w:val="Heading1"/>
    <w:uiPriority w:val="9"/>
    <w:rsid w:val="008D37B0"/>
    <w:rPr>
      <w:sz w:val="24"/>
      <w:lang w:val="en-US" w:eastAsia="en-US"/>
    </w:rPr>
  </w:style>
  <w:style w:type="character" w:customStyle="1" w:styleId="Heading2Char">
    <w:name w:val="Heading 2 Char"/>
    <w:link w:val="Heading2"/>
    <w:uiPriority w:val="9"/>
    <w:rsid w:val="008D37B0"/>
    <w:rPr>
      <w:sz w:val="24"/>
      <w:lang w:val="en-US" w:eastAsia="en-US"/>
    </w:rPr>
  </w:style>
  <w:style w:type="character" w:customStyle="1" w:styleId="Heading3Char">
    <w:name w:val="Heading 3 Char"/>
    <w:link w:val="Heading3"/>
    <w:uiPriority w:val="9"/>
    <w:rsid w:val="008D37B0"/>
    <w:rPr>
      <w:sz w:val="24"/>
      <w:lang w:val="en-US" w:eastAsia="en-US"/>
    </w:rPr>
  </w:style>
  <w:style w:type="character" w:customStyle="1" w:styleId="Heading4Char">
    <w:name w:val="Heading 4 Char"/>
    <w:link w:val="Heading4"/>
    <w:uiPriority w:val="9"/>
    <w:rsid w:val="008D37B0"/>
    <w:rPr>
      <w:sz w:val="24"/>
      <w:lang w:val="en-US" w:eastAsia="en-US"/>
    </w:rPr>
  </w:style>
  <w:style w:type="character" w:customStyle="1" w:styleId="Heading5Char">
    <w:name w:val="Heading 5 Char"/>
    <w:link w:val="Heading5"/>
    <w:uiPriority w:val="9"/>
    <w:rsid w:val="008D37B0"/>
    <w:rPr>
      <w:sz w:val="24"/>
      <w:lang w:val="en-US" w:eastAsia="en-US"/>
    </w:rPr>
  </w:style>
  <w:style w:type="character" w:customStyle="1" w:styleId="Heading6Char">
    <w:name w:val="Heading 6 Char"/>
    <w:link w:val="Heading6"/>
    <w:uiPriority w:val="9"/>
    <w:rsid w:val="008D37B0"/>
    <w:rPr>
      <w:sz w:val="24"/>
      <w:lang w:val="en-US" w:eastAsia="en-US"/>
    </w:rPr>
  </w:style>
  <w:style w:type="character" w:customStyle="1" w:styleId="Heading7Char">
    <w:name w:val="Heading 7 Char"/>
    <w:link w:val="Heading7"/>
    <w:uiPriority w:val="9"/>
    <w:rsid w:val="008D37B0"/>
    <w:rPr>
      <w:sz w:val="24"/>
      <w:lang w:val="en-US" w:eastAsia="en-US"/>
    </w:rPr>
  </w:style>
  <w:style w:type="character" w:customStyle="1" w:styleId="Heading8Char">
    <w:name w:val="Heading 8 Char"/>
    <w:link w:val="Heading8"/>
    <w:uiPriority w:val="9"/>
    <w:rsid w:val="008D37B0"/>
    <w:rPr>
      <w:sz w:val="24"/>
      <w:lang w:val="en-US" w:eastAsia="en-US"/>
    </w:rPr>
  </w:style>
  <w:style w:type="character" w:customStyle="1" w:styleId="Heading9Char">
    <w:name w:val="Heading 9 Char"/>
    <w:link w:val="Heading9"/>
    <w:uiPriority w:val="9"/>
    <w:rsid w:val="008D37B0"/>
    <w:rPr>
      <w:sz w:val="24"/>
      <w:lang w:val="en-US" w:eastAsia="en-US"/>
    </w:rPr>
  </w:style>
  <w:style w:type="paragraph" w:styleId="Index1">
    <w:name w:val="index 1"/>
    <w:basedOn w:val="Normal"/>
    <w:autoRedefine/>
    <w:uiPriority w:val="99"/>
    <w:rsid w:val="008D37B0"/>
    <w:pPr>
      <w:spacing w:after="0"/>
      <w:ind w:left="360" w:hanging="360"/>
    </w:pPr>
    <w:rPr>
      <w:rFonts w:eastAsia="Times New Roman" w:cs="Times New Roman"/>
      <w:szCs w:val="20"/>
    </w:rPr>
  </w:style>
  <w:style w:type="paragraph" w:styleId="Index2">
    <w:name w:val="index 2"/>
    <w:basedOn w:val="Normal"/>
    <w:autoRedefine/>
    <w:uiPriority w:val="99"/>
    <w:rsid w:val="008D37B0"/>
    <w:pPr>
      <w:spacing w:after="0"/>
      <w:ind w:left="720" w:hanging="360"/>
    </w:pPr>
    <w:rPr>
      <w:rFonts w:eastAsia="Times New Roman" w:cs="Times New Roman"/>
      <w:szCs w:val="20"/>
    </w:rPr>
  </w:style>
  <w:style w:type="paragraph" w:styleId="Index3">
    <w:name w:val="index 3"/>
    <w:basedOn w:val="Normal"/>
    <w:autoRedefine/>
    <w:uiPriority w:val="99"/>
    <w:rsid w:val="008D37B0"/>
    <w:pPr>
      <w:spacing w:after="0"/>
      <w:ind w:left="1080" w:hanging="360"/>
    </w:pPr>
    <w:rPr>
      <w:rFonts w:eastAsia="Times New Roman" w:cs="Times New Roman"/>
      <w:szCs w:val="20"/>
    </w:rPr>
  </w:style>
  <w:style w:type="paragraph" w:styleId="Index4">
    <w:name w:val="index 4"/>
    <w:basedOn w:val="Normal"/>
    <w:autoRedefine/>
    <w:uiPriority w:val="99"/>
    <w:rsid w:val="008D37B0"/>
    <w:pPr>
      <w:spacing w:after="0"/>
      <w:ind w:left="1440" w:hanging="360"/>
    </w:pPr>
    <w:rPr>
      <w:rFonts w:eastAsia="Times New Roman" w:cs="Times New Roman"/>
      <w:szCs w:val="20"/>
    </w:rPr>
  </w:style>
  <w:style w:type="paragraph" w:styleId="Index5">
    <w:name w:val="index 5"/>
    <w:basedOn w:val="Normal"/>
    <w:autoRedefine/>
    <w:uiPriority w:val="99"/>
    <w:rsid w:val="008D37B0"/>
    <w:pPr>
      <w:spacing w:after="0"/>
      <w:ind w:left="1800" w:hanging="360"/>
    </w:pPr>
    <w:rPr>
      <w:rFonts w:eastAsia="Times New Roman" w:cs="Times New Roman"/>
      <w:szCs w:val="20"/>
    </w:rPr>
  </w:style>
  <w:style w:type="paragraph" w:styleId="Index6">
    <w:name w:val="index 6"/>
    <w:basedOn w:val="Normal"/>
    <w:autoRedefine/>
    <w:uiPriority w:val="99"/>
    <w:rsid w:val="008D37B0"/>
    <w:pPr>
      <w:spacing w:after="0"/>
      <w:ind w:left="2160" w:hanging="360"/>
    </w:pPr>
    <w:rPr>
      <w:rFonts w:eastAsia="Times New Roman" w:cs="Times New Roman"/>
      <w:szCs w:val="20"/>
    </w:rPr>
  </w:style>
  <w:style w:type="paragraph" w:styleId="Index7">
    <w:name w:val="index 7"/>
    <w:basedOn w:val="Normal"/>
    <w:autoRedefine/>
    <w:uiPriority w:val="99"/>
    <w:rsid w:val="008D37B0"/>
    <w:pPr>
      <w:spacing w:after="0"/>
      <w:ind w:left="2520" w:hanging="360"/>
    </w:pPr>
    <w:rPr>
      <w:rFonts w:eastAsia="Times New Roman" w:cs="Times New Roman"/>
      <w:szCs w:val="20"/>
    </w:rPr>
  </w:style>
  <w:style w:type="paragraph" w:styleId="Index8">
    <w:name w:val="index 8"/>
    <w:basedOn w:val="Normal"/>
    <w:autoRedefine/>
    <w:uiPriority w:val="99"/>
    <w:rsid w:val="008D37B0"/>
    <w:pPr>
      <w:spacing w:after="0"/>
      <w:ind w:left="2880" w:hanging="360"/>
    </w:pPr>
    <w:rPr>
      <w:rFonts w:eastAsia="Times New Roman" w:cs="Times New Roman"/>
      <w:szCs w:val="20"/>
    </w:rPr>
  </w:style>
  <w:style w:type="paragraph" w:styleId="Index9">
    <w:name w:val="index 9"/>
    <w:basedOn w:val="Normal"/>
    <w:autoRedefine/>
    <w:uiPriority w:val="99"/>
    <w:rsid w:val="008D37B0"/>
    <w:pPr>
      <w:spacing w:after="0"/>
      <w:ind w:left="3240" w:hanging="360"/>
    </w:pPr>
    <w:rPr>
      <w:rFonts w:eastAsia="Times New Roman" w:cs="Times New Roman"/>
      <w:szCs w:val="20"/>
    </w:rPr>
  </w:style>
  <w:style w:type="paragraph" w:styleId="IndexHeading">
    <w:name w:val="index heading"/>
    <w:basedOn w:val="Normal"/>
    <w:next w:val="Index1"/>
    <w:uiPriority w:val="29"/>
    <w:rsid w:val="008D37B0"/>
    <w:pPr>
      <w:spacing w:after="0"/>
    </w:pPr>
    <w:rPr>
      <w:rFonts w:eastAsia="Times New Roman" w:cs="Arial"/>
      <w:b/>
      <w:bCs/>
      <w:szCs w:val="20"/>
    </w:rPr>
  </w:style>
  <w:style w:type="paragraph" w:styleId="ListParagraph">
    <w:name w:val="List Paragraph"/>
    <w:basedOn w:val="Normal"/>
    <w:uiPriority w:val="99"/>
    <w:qFormat/>
    <w:rsid w:val="008D37B0"/>
    <w:pPr>
      <w:ind w:left="720"/>
      <w:contextualSpacing/>
    </w:pPr>
  </w:style>
  <w:style w:type="paragraph" w:styleId="NoSpacing">
    <w:name w:val="No Spacing"/>
    <w:uiPriority w:val="1"/>
    <w:qFormat/>
    <w:rsid w:val="008D37B0"/>
    <w:pPr>
      <w:spacing w:after="240"/>
      <w:contextualSpacing/>
    </w:pPr>
    <w:rPr>
      <w:rFonts w:cstheme="minorBidi"/>
      <w:sz w:val="24"/>
      <w:szCs w:val="24"/>
      <w:lang w:val="en-US" w:eastAsia="en-US"/>
    </w:rPr>
  </w:style>
  <w:style w:type="character" w:customStyle="1" w:styleId="NoNumber">
    <w:name w:val="NoNumber"/>
    <w:uiPriority w:val="99"/>
    <w:semiHidden/>
    <w:rsid w:val="00BB003D"/>
    <w:rPr>
      <w:rFonts w:ascii="Arial" w:hAnsi="Arial"/>
      <w:sz w:val="18"/>
    </w:rPr>
  </w:style>
  <w:style w:type="paragraph" w:styleId="NormalIndent">
    <w:name w:val="Normal Indent"/>
    <w:basedOn w:val="Normal"/>
    <w:uiPriority w:val="54"/>
    <w:rsid w:val="008D37B0"/>
    <w:pPr>
      <w:spacing w:after="0"/>
      <w:ind w:left="1440"/>
    </w:pPr>
    <w:rPr>
      <w:rFonts w:eastAsia="Times New Roman" w:cs="Times New Roman"/>
      <w:szCs w:val="20"/>
    </w:rPr>
  </w:style>
  <w:style w:type="paragraph" w:styleId="NoteHeading">
    <w:name w:val="Note Heading"/>
    <w:basedOn w:val="Normal"/>
    <w:next w:val="Normal"/>
    <w:link w:val="NoteHeadingChar"/>
    <w:uiPriority w:val="99"/>
    <w:rsid w:val="008D37B0"/>
    <w:pPr>
      <w:spacing w:after="0"/>
    </w:pPr>
    <w:rPr>
      <w:rFonts w:eastAsia="Times New Roman" w:cs="Times New Roman"/>
      <w:szCs w:val="20"/>
    </w:rPr>
  </w:style>
  <w:style w:type="character" w:customStyle="1" w:styleId="NoteHeadingChar">
    <w:name w:val="Note Heading Char"/>
    <w:link w:val="NoteHeading"/>
    <w:uiPriority w:val="99"/>
    <w:rsid w:val="008D37B0"/>
    <w:rPr>
      <w:sz w:val="24"/>
      <w:lang w:val="en-US" w:eastAsia="en-US"/>
    </w:rPr>
  </w:style>
  <w:style w:type="character" w:styleId="PageNumber">
    <w:name w:val="page number"/>
    <w:uiPriority w:val="99"/>
    <w:rsid w:val="008D37B0"/>
    <w:rPr>
      <w:rFonts w:ascii="Times New Roman" w:hAnsi="Times New Roman"/>
      <w:sz w:val="24"/>
    </w:rPr>
  </w:style>
  <w:style w:type="paragraph" w:styleId="PlainText">
    <w:name w:val="Plain Text"/>
    <w:basedOn w:val="Normal"/>
    <w:link w:val="PlainTextChar"/>
    <w:uiPriority w:val="99"/>
    <w:unhideWhenUsed/>
    <w:rsid w:val="008D37B0"/>
    <w:pPr>
      <w:spacing w:after="0"/>
    </w:pPr>
    <w:rPr>
      <w:rFonts w:eastAsia="Times New Roman" w:cs="Courier New"/>
      <w:szCs w:val="20"/>
    </w:rPr>
  </w:style>
  <w:style w:type="character" w:customStyle="1" w:styleId="PlainTextChar">
    <w:name w:val="Plain Text Char"/>
    <w:link w:val="PlainText"/>
    <w:uiPriority w:val="99"/>
    <w:rsid w:val="008D37B0"/>
    <w:rPr>
      <w:rFonts w:cs="Courier New"/>
      <w:sz w:val="24"/>
      <w:lang w:val="en-US" w:eastAsia="en-US"/>
    </w:rPr>
  </w:style>
  <w:style w:type="paragraph" w:styleId="Quote">
    <w:name w:val="Quote"/>
    <w:basedOn w:val="Normal"/>
    <w:next w:val="Normal"/>
    <w:link w:val="QuoteChar"/>
    <w:uiPriority w:val="44"/>
    <w:rsid w:val="008D37B0"/>
    <w:rPr>
      <w:i/>
      <w:iCs/>
      <w:color w:val="000000"/>
    </w:rPr>
  </w:style>
  <w:style w:type="character" w:customStyle="1" w:styleId="QuoteChar">
    <w:name w:val="Quote Char"/>
    <w:link w:val="Quote"/>
    <w:uiPriority w:val="44"/>
    <w:rsid w:val="008D37B0"/>
    <w:rPr>
      <w:rFonts w:eastAsiaTheme="minorHAnsi" w:cstheme="minorBidi"/>
      <w:i/>
      <w:iCs/>
      <w:color w:val="000000"/>
      <w:sz w:val="24"/>
      <w:szCs w:val="24"/>
      <w:lang w:val="en-US" w:eastAsia="en-US"/>
    </w:rPr>
  </w:style>
  <w:style w:type="paragraph" w:styleId="Salutation">
    <w:name w:val="Salutation"/>
    <w:basedOn w:val="Normal"/>
    <w:next w:val="Normal"/>
    <w:link w:val="SalutationChar"/>
    <w:uiPriority w:val="11"/>
    <w:rsid w:val="008D37B0"/>
    <w:pPr>
      <w:spacing w:after="0"/>
    </w:pPr>
    <w:rPr>
      <w:rFonts w:eastAsia="Times New Roman" w:cs="Times New Roman"/>
      <w:szCs w:val="20"/>
    </w:rPr>
  </w:style>
  <w:style w:type="character" w:customStyle="1" w:styleId="SalutationChar">
    <w:name w:val="Salutation Char"/>
    <w:link w:val="Salutation"/>
    <w:uiPriority w:val="11"/>
    <w:rsid w:val="008D37B0"/>
    <w:rPr>
      <w:sz w:val="24"/>
      <w:lang w:val="en-US" w:eastAsia="en-US"/>
    </w:rPr>
  </w:style>
  <w:style w:type="paragraph" w:styleId="Signature">
    <w:name w:val="Signature"/>
    <w:basedOn w:val="Normal"/>
    <w:link w:val="SignatureChar"/>
    <w:uiPriority w:val="11"/>
    <w:rsid w:val="008D37B0"/>
    <w:pPr>
      <w:keepLines/>
      <w:tabs>
        <w:tab w:val="left" w:pos="4752"/>
        <w:tab w:val="right" w:pos="8640"/>
      </w:tabs>
      <w:spacing w:before="480" w:after="480"/>
      <w:ind w:left="4320"/>
    </w:pPr>
    <w:rPr>
      <w:rFonts w:eastAsia="Times New Roman" w:cs="Times New Roman"/>
      <w:szCs w:val="20"/>
    </w:rPr>
  </w:style>
  <w:style w:type="character" w:customStyle="1" w:styleId="SignatureChar">
    <w:name w:val="Signature Char"/>
    <w:link w:val="Signature"/>
    <w:uiPriority w:val="11"/>
    <w:rsid w:val="008D37B0"/>
    <w:rPr>
      <w:sz w:val="24"/>
      <w:lang w:val="en-US" w:eastAsia="en-US"/>
    </w:rPr>
  </w:style>
  <w:style w:type="paragraph" w:customStyle="1" w:styleId="SignatureLeft">
    <w:name w:val="Signature Left"/>
    <w:basedOn w:val="Normal"/>
    <w:uiPriority w:val="11"/>
    <w:rsid w:val="008D37B0"/>
    <w:pPr>
      <w:keepLines/>
      <w:tabs>
        <w:tab w:val="left" w:pos="432"/>
        <w:tab w:val="right" w:pos="4320"/>
      </w:tabs>
      <w:spacing w:before="480" w:after="480"/>
    </w:pPr>
    <w:rPr>
      <w:rFonts w:eastAsia="Times New Roman" w:cs="Times New Roman"/>
      <w:szCs w:val="20"/>
    </w:rPr>
  </w:style>
  <w:style w:type="paragraph" w:styleId="Subtitle">
    <w:name w:val="Subtitle"/>
    <w:basedOn w:val="Normal"/>
    <w:next w:val="BodyText"/>
    <w:link w:val="SubtitleChar"/>
    <w:uiPriority w:val="4"/>
    <w:qFormat/>
    <w:rsid w:val="008D37B0"/>
    <w:pPr>
      <w:keepNext/>
      <w:spacing w:before="240"/>
      <w:jc w:val="center"/>
    </w:pPr>
    <w:rPr>
      <w:rFonts w:eastAsia="Times New Roman" w:cs="Times New Roman"/>
      <w:szCs w:val="20"/>
    </w:rPr>
  </w:style>
  <w:style w:type="character" w:customStyle="1" w:styleId="SubtitleChar">
    <w:name w:val="Subtitle Char"/>
    <w:link w:val="Subtitle"/>
    <w:uiPriority w:val="4"/>
    <w:rsid w:val="008D37B0"/>
    <w:rPr>
      <w:sz w:val="24"/>
      <w:lang w:val="en-US" w:eastAsia="en-US"/>
    </w:rPr>
  </w:style>
  <w:style w:type="paragraph" w:customStyle="1" w:styleId="Table">
    <w:name w:val="Table"/>
    <w:basedOn w:val="Normal"/>
    <w:uiPriority w:val="14"/>
    <w:qFormat/>
    <w:rsid w:val="008D37B0"/>
    <w:pPr>
      <w:spacing w:after="0"/>
    </w:pPr>
    <w:rPr>
      <w:rFonts w:eastAsia="Times New Roman" w:cs="Times New Roman"/>
      <w:szCs w:val="20"/>
    </w:rPr>
  </w:style>
  <w:style w:type="paragraph" w:customStyle="1" w:styleId="TableFinancial">
    <w:name w:val="Table Financial"/>
    <w:basedOn w:val="Normal"/>
    <w:next w:val="Normal"/>
    <w:uiPriority w:val="17"/>
    <w:rsid w:val="008D37B0"/>
    <w:pPr>
      <w:tabs>
        <w:tab w:val="left" w:pos="216"/>
        <w:tab w:val="decimal" w:pos="432"/>
      </w:tabs>
      <w:spacing w:after="0"/>
    </w:pPr>
    <w:rPr>
      <w:rFonts w:eastAsia="Times New Roman" w:cs="Times New Roman"/>
      <w:szCs w:val="20"/>
    </w:rPr>
  </w:style>
  <w:style w:type="paragraph" w:styleId="TableofAuthorities">
    <w:name w:val="table of authorities"/>
    <w:basedOn w:val="Normal"/>
    <w:next w:val="Normal"/>
    <w:uiPriority w:val="29"/>
    <w:unhideWhenUsed/>
    <w:rsid w:val="008D37B0"/>
    <w:pPr>
      <w:spacing w:after="0"/>
      <w:ind w:left="240" w:hanging="240"/>
    </w:pPr>
    <w:rPr>
      <w:rFonts w:eastAsia="Times New Roman" w:cs="Times New Roman"/>
      <w:szCs w:val="20"/>
    </w:rPr>
  </w:style>
  <w:style w:type="paragraph" w:styleId="TableofFigures">
    <w:name w:val="table of figures"/>
    <w:basedOn w:val="Normal"/>
    <w:next w:val="Normal"/>
    <w:uiPriority w:val="29"/>
    <w:unhideWhenUsed/>
    <w:rsid w:val="008D37B0"/>
    <w:pPr>
      <w:spacing w:after="0"/>
      <w:ind w:left="432" w:hanging="432"/>
    </w:pPr>
    <w:rPr>
      <w:rFonts w:eastAsia="Times New Roman" w:cs="Times New Roman"/>
      <w:szCs w:val="20"/>
    </w:rPr>
  </w:style>
  <w:style w:type="character" w:customStyle="1" w:styleId="Table10pt">
    <w:name w:val="Table10pt"/>
    <w:uiPriority w:val="15"/>
    <w:rsid w:val="008D37B0"/>
    <w:rPr>
      <w:sz w:val="20"/>
    </w:rPr>
  </w:style>
  <w:style w:type="character" w:customStyle="1" w:styleId="Table11pt">
    <w:name w:val="Table11pt"/>
    <w:uiPriority w:val="15"/>
    <w:rsid w:val="008D37B0"/>
    <w:rPr>
      <w:sz w:val="22"/>
    </w:rPr>
  </w:style>
  <w:style w:type="character" w:customStyle="1" w:styleId="Table8pt">
    <w:name w:val="Table8pt"/>
    <w:uiPriority w:val="14"/>
    <w:rsid w:val="008D37B0"/>
    <w:rPr>
      <w:sz w:val="16"/>
    </w:rPr>
  </w:style>
  <w:style w:type="character" w:customStyle="1" w:styleId="Table9pt">
    <w:name w:val="Table9pt"/>
    <w:uiPriority w:val="14"/>
    <w:rsid w:val="008D37B0"/>
    <w:rPr>
      <w:sz w:val="18"/>
    </w:rPr>
  </w:style>
  <w:style w:type="paragraph" w:customStyle="1" w:styleId="TableNote10pt">
    <w:name w:val="TableNote10pt"/>
    <w:basedOn w:val="Normal"/>
    <w:uiPriority w:val="17"/>
    <w:rsid w:val="008D37B0"/>
    <w:pPr>
      <w:spacing w:after="0"/>
      <w:ind w:left="432" w:hanging="432"/>
    </w:pPr>
    <w:rPr>
      <w:rFonts w:eastAsia="Times New Roman" w:cs="Times New Roman"/>
      <w:sz w:val="20"/>
      <w:szCs w:val="20"/>
    </w:rPr>
  </w:style>
  <w:style w:type="paragraph" w:customStyle="1" w:styleId="TableNote11pt">
    <w:name w:val="TableNote11pt"/>
    <w:basedOn w:val="Normal"/>
    <w:uiPriority w:val="17"/>
    <w:rsid w:val="008D37B0"/>
    <w:pPr>
      <w:spacing w:after="0"/>
      <w:ind w:left="432" w:hanging="432"/>
    </w:pPr>
    <w:rPr>
      <w:rFonts w:eastAsia="Times New Roman" w:cs="Times New Roman"/>
      <w:sz w:val="22"/>
      <w:szCs w:val="20"/>
    </w:rPr>
  </w:style>
  <w:style w:type="paragraph" w:customStyle="1" w:styleId="TableNote8pt">
    <w:name w:val="TableNote8pt"/>
    <w:basedOn w:val="Normal"/>
    <w:uiPriority w:val="16"/>
    <w:rsid w:val="008D37B0"/>
    <w:pPr>
      <w:spacing w:after="0"/>
      <w:ind w:left="432" w:hanging="432"/>
    </w:pPr>
    <w:rPr>
      <w:rFonts w:eastAsia="Times New Roman" w:cs="Times New Roman"/>
      <w:sz w:val="16"/>
      <w:szCs w:val="20"/>
    </w:rPr>
  </w:style>
  <w:style w:type="paragraph" w:customStyle="1" w:styleId="TableNote9pt">
    <w:name w:val="TableNote9pt"/>
    <w:basedOn w:val="Normal"/>
    <w:uiPriority w:val="16"/>
    <w:rsid w:val="008D37B0"/>
    <w:pPr>
      <w:spacing w:after="0"/>
      <w:ind w:left="432" w:hanging="432"/>
    </w:pPr>
    <w:rPr>
      <w:rFonts w:eastAsia="Times New Roman" w:cs="Times New Roman"/>
      <w:sz w:val="18"/>
      <w:szCs w:val="20"/>
    </w:rPr>
  </w:style>
  <w:style w:type="paragraph" w:customStyle="1" w:styleId="TableNoteLine">
    <w:name w:val="TableNoteLine"/>
    <w:basedOn w:val="Normal"/>
    <w:next w:val="TableNote8pt"/>
    <w:uiPriority w:val="16"/>
    <w:rsid w:val="008D37B0"/>
    <w:pPr>
      <w:pBdr>
        <w:bottom w:val="single" w:sz="4" w:space="1" w:color="auto"/>
      </w:pBdr>
      <w:spacing w:after="120"/>
      <w:ind w:right="6480"/>
    </w:pPr>
    <w:rPr>
      <w:rFonts w:eastAsia="Times New Roman" w:cs="Times New Roman"/>
      <w:szCs w:val="20"/>
    </w:rPr>
  </w:style>
  <w:style w:type="paragraph" w:styleId="Title">
    <w:name w:val="Title"/>
    <w:basedOn w:val="Normal"/>
    <w:next w:val="Subtitle"/>
    <w:link w:val="TitleChar"/>
    <w:uiPriority w:val="4"/>
    <w:qFormat/>
    <w:rsid w:val="008D37B0"/>
    <w:pPr>
      <w:keepNext/>
      <w:jc w:val="center"/>
    </w:pPr>
    <w:rPr>
      <w:rFonts w:eastAsia="Times New Roman" w:cs="Times New Roman"/>
      <w:b/>
      <w:szCs w:val="20"/>
    </w:rPr>
  </w:style>
  <w:style w:type="character" w:customStyle="1" w:styleId="TitleChar">
    <w:name w:val="Title Char"/>
    <w:link w:val="Title"/>
    <w:uiPriority w:val="4"/>
    <w:rsid w:val="008D37B0"/>
    <w:rPr>
      <w:b/>
      <w:sz w:val="24"/>
      <w:lang w:val="en-US" w:eastAsia="en-US"/>
    </w:rPr>
  </w:style>
  <w:style w:type="paragraph" w:customStyle="1" w:styleId="Title16">
    <w:name w:val="Title 16"/>
    <w:basedOn w:val="Title"/>
    <w:next w:val="Subtitle"/>
    <w:link w:val="Title16Char"/>
    <w:uiPriority w:val="4"/>
    <w:qFormat/>
    <w:rsid w:val="008D37B0"/>
    <w:rPr>
      <w:sz w:val="32"/>
    </w:rPr>
  </w:style>
  <w:style w:type="character" w:customStyle="1" w:styleId="Title16Char">
    <w:name w:val="Title 16 Char"/>
    <w:link w:val="Title16"/>
    <w:uiPriority w:val="4"/>
    <w:rsid w:val="008D37B0"/>
    <w:rPr>
      <w:b/>
      <w:sz w:val="32"/>
      <w:lang w:val="en-US" w:eastAsia="en-US"/>
    </w:rPr>
  </w:style>
  <w:style w:type="paragraph" w:styleId="TOAHeading">
    <w:name w:val="toa heading"/>
    <w:basedOn w:val="Normal"/>
    <w:next w:val="Normal"/>
    <w:uiPriority w:val="29"/>
    <w:unhideWhenUsed/>
    <w:rsid w:val="008D37B0"/>
    <w:rPr>
      <w:rFonts w:eastAsia="Times New Roman" w:cs="Arial"/>
      <w:b/>
      <w:bCs/>
    </w:rPr>
  </w:style>
  <w:style w:type="paragraph" w:styleId="TOC1">
    <w:name w:val="toc 1"/>
    <w:basedOn w:val="Normal"/>
    <w:next w:val="Normal"/>
    <w:autoRedefine/>
    <w:uiPriority w:val="99"/>
    <w:rsid w:val="008D37B0"/>
    <w:pPr>
      <w:spacing w:after="0"/>
      <w:ind w:right="720"/>
    </w:pPr>
    <w:rPr>
      <w:rFonts w:eastAsia="Times New Roman" w:cs="Times New Roman"/>
      <w:szCs w:val="20"/>
    </w:rPr>
  </w:style>
  <w:style w:type="paragraph" w:styleId="TOC2">
    <w:name w:val="toc 2"/>
    <w:basedOn w:val="Normal"/>
    <w:next w:val="Normal"/>
    <w:autoRedefine/>
    <w:uiPriority w:val="99"/>
    <w:rsid w:val="008D37B0"/>
    <w:pPr>
      <w:spacing w:after="0"/>
      <w:ind w:left="245" w:right="720"/>
    </w:pPr>
    <w:rPr>
      <w:rFonts w:eastAsia="Times New Roman" w:cs="Times New Roman"/>
      <w:szCs w:val="20"/>
    </w:rPr>
  </w:style>
  <w:style w:type="paragraph" w:styleId="TOC3">
    <w:name w:val="toc 3"/>
    <w:basedOn w:val="Normal"/>
    <w:next w:val="Normal"/>
    <w:autoRedefine/>
    <w:uiPriority w:val="99"/>
    <w:rsid w:val="008D37B0"/>
    <w:pPr>
      <w:spacing w:after="0"/>
      <w:ind w:left="475" w:right="720"/>
    </w:pPr>
    <w:rPr>
      <w:rFonts w:eastAsia="Times New Roman" w:cs="Times New Roman"/>
      <w:szCs w:val="20"/>
    </w:rPr>
  </w:style>
  <w:style w:type="paragraph" w:styleId="TOC4">
    <w:name w:val="toc 4"/>
    <w:basedOn w:val="Normal"/>
    <w:next w:val="Normal"/>
    <w:autoRedefine/>
    <w:uiPriority w:val="99"/>
    <w:rsid w:val="008D37B0"/>
    <w:pPr>
      <w:spacing w:after="0"/>
      <w:ind w:left="720" w:right="720"/>
    </w:pPr>
    <w:rPr>
      <w:rFonts w:eastAsia="Times New Roman" w:cs="Times New Roman"/>
      <w:szCs w:val="20"/>
    </w:rPr>
  </w:style>
  <w:style w:type="paragraph" w:styleId="TOC6">
    <w:name w:val="toc 6"/>
    <w:basedOn w:val="Normal"/>
    <w:next w:val="Normal"/>
    <w:autoRedefine/>
    <w:uiPriority w:val="99"/>
    <w:rsid w:val="008D37B0"/>
    <w:pPr>
      <w:spacing w:after="0"/>
      <w:ind w:left="1200"/>
    </w:pPr>
    <w:rPr>
      <w:rFonts w:eastAsia="Times New Roman" w:cs="Times New Roman"/>
      <w:szCs w:val="20"/>
    </w:rPr>
  </w:style>
  <w:style w:type="paragraph" w:styleId="TOC9">
    <w:name w:val="toc 9"/>
    <w:basedOn w:val="Normal"/>
    <w:next w:val="Normal"/>
    <w:autoRedefine/>
    <w:uiPriority w:val="99"/>
    <w:rsid w:val="008D37B0"/>
    <w:pPr>
      <w:spacing w:after="0"/>
      <w:ind w:left="1920"/>
    </w:pPr>
    <w:rPr>
      <w:rFonts w:eastAsia="Times New Roman" w:cs="Times New Roman"/>
      <w:szCs w:val="20"/>
    </w:rPr>
  </w:style>
  <w:style w:type="character" w:styleId="Hyperlink">
    <w:name w:val="Hyperlink"/>
    <w:basedOn w:val="DefaultParagraphFont"/>
    <w:uiPriority w:val="99"/>
    <w:rsid w:val="00F639BD"/>
    <w:rPr>
      <w:color w:val="0000FF"/>
      <w:u w:val="single"/>
    </w:rPr>
  </w:style>
  <w:style w:type="character" w:customStyle="1" w:styleId="DEBIntro">
    <w:name w:val="DEB Intro"/>
    <w:rsid w:val="00B16911"/>
    <w:rPr>
      <w:rFonts w:ascii="Times New Roman" w:hAnsi="Times New Roman"/>
      <w:sz w:val="18"/>
    </w:rPr>
  </w:style>
  <w:style w:type="paragraph" w:styleId="BalloonText">
    <w:name w:val="Balloon Text"/>
    <w:basedOn w:val="Normal"/>
    <w:link w:val="BalloonTextChar"/>
    <w:rsid w:val="002F558E"/>
    <w:pPr>
      <w:spacing w:after="0"/>
    </w:pPr>
    <w:rPr>
      <w:rFonts w:ascii="Tahoma" w:hAnsi="Tahoma" w:cs="Tahoma"/>
      <w:sz w:val="16"/>
      <w:szCs w:val="16"/>
    </w:rPr>
  </w:style>
  <w:style w:type="character" w:customStyle="1" w:styleId="BalloonTextChar">
    <w:name w:val="Balloon Text Char"/>
    <w:basedOn w:val="DefaultParagraphFont"/>
    <w:link w:val="BalloonText"/>
    <w:rsid w:val="002F558E"/>
    <w:rPr>
      <w:rFonts w:ascii="Tahoma" w:hAnsi="Tahoma" w:cs="Tahoma"/>
      <w:sz w:val="16"/>
      <w:szCs w:val="16"/>
      <w:lang w:val="en-GB" w:eastAsia="en-US"/>
    </w:rPr>
  </w:style>
  <w:style w:type="character" w:styleId="EndnoteReference">
    <w:name w:val="endnote reference"/>
    <w:basedOn w:val="DefaultParagraphFont"/>
    <w:rsid w:val="00CB39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02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esma.europa.eu"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www.sec.gov/divisions/investment/guidance/im-guidance-2014-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F4EBA-1DD7-4F5A-9694-F8699AF27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5215</Words>
  <Characters>28198</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Debevoise &amp; Plimpton LLP</Company>
  <LinksUpToDate>false</LinksUpToDate>
  <CharactersWithSpaces>33347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Debevoise User</dc:creator>
  <cp:lastModifiedBy>Debevoise User</cp:lastModifiedBy>
  <cp:revision>2</cp:revision>
  <cp:lastPrinted>2015-01-08T20:14:00Z</cp:lastPrinted>
  <dcterms:created xsi:type="dcterms:W3CDTF">2015-01-08T21:56:00Z</dcterms:created>
  <dcterms:modified xsi:type="dcterms:W3CDTF">2015-01-08T21:56:00Z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500091392v11</vt:lpwstr>
  </property>
  <property fmtid="{D5CDD505-2E9C-101B-9397-08002B2CF9AE}" pid="3" name="DocXLocation">
    <vt:lpwstr>Every Page</vt:lpwstr>
  </property>
  <property fmtid="{D5CDD505-2E9C-101B-9397-08002B2CF9AE}" pid="4" name="DocXFormat">
    <vt:lpwstr>Debevoise</vt:lpwstr>
  </property>
</Properties>
</file>