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83B" w:rsidRPr="00CF109B" w:rsidRDefault="002D083B" w:rsidP="002D083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Helvetica" w:hAnsi="Helvetica" w:cs="Helv"/>
          <w:b/>
          <w:bCs/>
          <w:color w:val="000000"/>
          <w:sz w:val="20"/>
          <w:szCs w:val="20"/>
        </w:rPr>
      </w:pPr>
      <w:r w:rsidRPr="00CF109B">
        <w:rPr>
          <w:rFonts w:ascii="Helvetica" w:hAnsi="Helvetica" w:cs="Helv"/>
          <w:b/>
          <w:bCs/>
          <w:color w:val="000000"/>
          <w:sz w:val="20"/>
          <w:szCs w:val="20"/>
        </w:rPr>
        <w:t>Communication</w:t>
      </w:r>
      <w:r w:rsidRPr="00CF109B">
        <w:rPr>
          <w:rFonts w:ascii="Helvetica" w:hAnsi="Helvetica" w:cs="Helv"/>
          <w:b/>
          <w:color w:val="000000"/>
          <w:sz w:val="20"/>
          <w:szCs w:val="20"/>
        </w:rPr>
        <w:t xml:space="preserve"> of the </w:t>
      </w:r>
      <w:r w:rsidRPr="00CF109B">
        <w:rPr>
          <w:rFonts w:ascii="Helvetica" w:hAnsi="Helvetica" w:cs="Helv"/>
          <w:b/>
          <w:bCs/>
          <w:color w:val="000000"/>
          <w:sz w:val="20"/>
          <w:szCs w:val="20"/>
        </w:rPr>
        <w:t>Association of Global Custodians’ European Focus Committee</w:t>
      </w:r>
    </w:p>
    <w:p w:rsidR="002D083B" w:rsidRPr="00CF109B" w:rsidRDefault="002D083B" w:rsidP="002D083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Helvetica" w:hAnsi="Helvetica" w:cs="Helv"/>
          <w:b/>
          <w:bCs/>
          <w:color w:val="000000"/>
          <w:sz w:val="20"/>
          <w:szCs w:val="20"/>
        </w:rPr>
      </w:pPr>
      <w:r w:rsidRPr="00CF109B">
        <w:rPr>
          <w:rFonts w:ascii="Helvetica" w:hAnsi="Helvetica" w:cs="Helv"/>
          <w:b/>
          <w:bCs/>
          <w:color w:val="000000"/>
          <w:sz w:val="20"/>
          <w:szCs w:val="20"/>
        </w:rPr>
        <w:t>Subject to Supplemental Commentary</w:t>
      </w:r>
    </w:p>
    <w:p w:rsidR="002D083B" w:rsidRPr="00CF109B" w:rsidRDefault="002D083B" w:rsidP="002D083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etica" w:hAnsi="Helvetica" w:cs="Helv"/>
          <w:b/>
          <w:bCs/>
          <w:color w:val="000000"/>
          <w:sz w:val="20"/>
          <w:szCs w:val="20"/>
        </w:rPr>
      </w:pPr>
    </w:p>
    <w:p w:rsidR="002D083B" w:rsidRPr="00CF109B" w:rsidRDefault="002D083B" w:rsidP="002D083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etica" w:hAnsi="Helvetica" w:cs="Helv"/>
          <w:b/>
          <w:bCs/>
          <w:color w:val="000000"/>
          <w:sz w:val="20"/>
          <w:szCs w:val="20"/>
        </w:rPr>
      </w:pPr>
    </w:p>
    <w:p w:rsidR="002D083B" w:rsidRPr="00CF109B" w:rsidRDefault="002D083B" w:rsidP="002D083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etica" w:hAnsi="Helvetica" w:cs="Helv"/>
          <w:b/>
          <w:bCs/>
          <w:color w:val="000000"/>
          <w:sz w:val="20"/>
          <w:szCs w:val="20"/>
        </w:rPr>
      </w:pPr>
      <w:r w:rsidRPr="00CF109B">
        <w:rPr>
          <w:rFonts w:ascii="Helvetica" w:hAnsi="Helvetica" w:cs="Helv"/>
          <w:b/>
          <w:bCs/>
          <w:color w:val="000000"/>
          <w:sz w:val="20"/>
          <w:szCs w:val="20"/>
        </w:rPr>
        <w:t>30</w:t>
      </w:r>
      <w:r w:rsidRPr="00CF109B">
        <w:rPr>
          <w:rFonts w:ascii="Helvetica" w:hAnsi="Helvetica" w:cs="Helv"/>
          <w:b/>
          <w:bCs/>
          <w:color w:val="000000"/>
          <w:sz w:val="20"/>
          <w:szCs w:val="20"/>
          <w:vertAlign w:val="superscript"/>
        </w:rPr>
        <w:t>th</w:t>
      </w:r>
      <w:r w:rsidRPr="00CF109B">
        <w:rPr>
          <w:rFonts w:ascii="Helvetica" w:hAnsi="Helvetica" w:cs="Helv"/>
          <w:b/>
          <w:bCs/>
          <w:color w:val="000000"/>
          <w:sz w:val="20"/>
          <w:szCs w:val="20"/>
        </w:rPr>
        <w:t xml:space="preserve"> January 2015</w:t>
      </w:r>
    </w:p>
    <w:p w:rsidR="002D083B" w:rsidRPr="00CF109B" w:rsidRDefault="002D083B" w:rsidP="002D083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etica" w:hAnsi="Helvetica" w:cs="Helv"/>
          <w:b/>
          <w:bCs/>
          <w:color w:val="000000"/>
          <w:sz w:val="20"/>
          <w:szCs w:val="20"/>
        </w:rPr>
      </w:pPr>
    </w:p>
    <w:p w:rsidR="002D083B" w:rsidRPr="00CF109B" w:rsidRDefault="002D083B" w:rsidP="002D083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etica" w:hAnsi="Helvetica" w:cs="Helv"/>
          <w:b/>
          <w:bCs/>
          <w:color w:val="000000"/>
          <w:sz w:val="20"/>
          <w:szCs w:val="20"/>
        </w:rPr>
      </w:pPr>
      <w:r w:rsidRPr="00CF109B">
        <w:rPr>
          <w:rFonts w:ascii="Helvetica" w:hAnsi="Helvetica" w:cs="Helv"/>
          <w:b/>
          <w:bCs/>
          <w:color w:val="000000"/>
          <w:sz w:val="20"/>
          <w:szCs w:val="20"/>
        </w:rPr>
        <w:t xml:space="preserve">Online: </w:t>
      </w:r>
      <w:hyperlink r:id="rId9" w:history="1">
        <w:r w:rsidRPr="00CF109B">
          <w:rPr>
            <w:rStyle w:val="Hyperlink"/>
            <w:rFonts w:ascii="Helvetica" w:hAnsi="Helvetica" w:cs="Helv"/>
            <w:b/>
            <w:bCs/>
            <w:sz w:val="20"/>
            <w:szCs w:val="20"/>
          </w:rPr>
          <w:t>www.esma.europa.eu</w:t>
        </w:r>
      </w:hyperlink>
    </w:p>
    <w:p w:rsidR="002D083B" w:rsidRPr="00CF109B" w:rsidRDefault="002D083B" w:rsidP="002D083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etica" w:hAnsi="Helvetica" w:cs="Helv"/>
          <w:b/>
          <w:bCs/>
          <w:color w:val="000000"/>
          <w:sz w:val="20"/>
          <w:szCs w:val="20"/>
        </w:rPr>
      </w:pPr>
    </w:p>
    <w:p w:rsidR="002D083B" w:rsidRPr="00CF109B" w:rsidRDefault="002D083B" w:rsidP="002D083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etica" w:hAnsi="Helvetica" w:cs="Helv"/>
          <w:b/>
          <w:color w:val="000000"/>
          <w:sz w:val="20"/>
          <w:szCs w:val="20"/>
        </w:rPr>
      </w:pPr>
      <w:r w:rsidRPr="00CF109B">
        <w:rPr>
          <w:rFonts w:ascii="Helvetica" w:hAnsi="Helvetica" w:cs="Helv"/>
          <w:b/>
          <w:color w:val="000000"/>
          <w:sz w:val="20"/>
          <w:szCs w:val="20"/>
        </w:rPr>
        <w:t>ESMA’s Consultation Paper: Guidelines on asset segregation under the AIFMD</w:t>
      </w:r>
    </w:p>
    <w:p w:rsidR="002D083B" w:rsidRPr="00CF109B" w:rsidRDefault="002D083B" w:rsidP="002D083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etica" w:hAnsi="Helvetica" w:cs="Helv"/>
          <w:b/>
          <w:color w:val="000000"/>
          <w:sz w:val="20"/>
          <w:szCs w:val="20"/>
        </w:rPr>
      </w:pPr>
    </w:p>
    <w:p w:rsidR="00B06A3F" w:rsidRDefault="00B06A3F" w:rsidP="002D083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etica" w:hAnsi="Helvetica" w:cs="Helv"/>
          <w:bCs/>
          <w:color w:val="000000"/>
          <w:sz w:val="20"/>
          <w:szCs w:val="20"/>
        </w:rPr>
      </w:pPr>
      <w:r>
        <w:rPr>
          <w:rFonts w:ascii="Helvetica" w:hAnsi="Helvetica" w:cs="Helv"/>
          <w:bCs/>
          <w:color w:val="000000"/>
          <w:sz w:val="20"/>
          <w:szCs w:val="20"/>
        </w:rPr>
        <w:t>Dear Sir/Madam:</w:t>
      </w:r>
    </w:p>
    <w:p w:rsidR="00B06A3F" w:rsidRDefault="00B06A3F" w:rsidP="002D083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etica" w:hAnsi="Helvetica" w:cs="Helv"/>
          <w:bCs/>
          <w:color w:val="000000"/>
          <w:sz w:val="20"/>
          <w:szCs w:val="20"/>
        </w:rPr>
      </w:pPr>
    </w:p>
    <w:p w:rsidR="002D083B" w:rsidRPr="00CF109B" w:rsidRDefault="002D083B" w:rsidP="002D083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etica" w:hAnsi="Helvetica" w:cs="Helv"/>
          <w:bCs/>
          <w:color w:val="000000"/>
          <w:sz w:val="20"/>
          <w:szCs w:val="20"/>
        </w:rPr>
      </w:pPr>
      <w:r w:rsidRPr="00CF109B">
        <w:rPr>
          <w:rFonts w:ascii="Helvetica" w:hAnsi="Helvetica" w:cs="Helv"/>
          <w:bCs/>
          <w:color w:val="000000"/>
          <w:sz w:val="20"/>
          <w:szCs w:val="20"/>
        </w:rPr>
        <w:t>The members of the Association of Global Custodians’ (the “</w:t>
      </w:r>
      <w:r w:rsidRPr="00CF109B">
        <w:rPr>
          <w:rFonts w:ascii="Helvetica" w:hAnsi="Helvetica" w:cs="Helv"/>
          <w:b/>
          <w:bCs/>
          <w:color w:val="000000"/>
          <w:sz w:val="20"/>
          <w:szCs w:val="20"/>
        </w:rPr>
        <w:t>AGC</w:t>
      </w:r>
      <w:r w:rsidRPr="00CF109B">
        <w:rPr>
          <w:rFonts w:ascii="Helvetica" w:hAnsi="Helvetica" w:cs="Helv"/>
          <w:bCs/>
          <w:color w:val="000000"/>
          <w:sz w:val="20"/>
          <w:szCs w:val="20"/>
        </w:rPr>
        <w:t>”) European Focus Committee (the “Committee”)</w:t>
      </w:r>
      <w:r w:rsidRPr="00CF109B">
        <w:rPr>
          <w:rFonts w:ascii="Helvetica" w:hAnsi="Helvetica" w:cs="Helv"/>
          <w:bCs/>
          <w:color w:val="000000"/>
          <w:sz w:val="20"/>
          <w:szCs w:val="20"/>
          <w:vertAlign w:val="superscript"/>
        </w:rPr>
        <w:footnoteReference w:id="1"/>
      </w:r>
      <w:r w:rsidRPr="00CF109B">
        <w:rPr>
          <w:rFonts w:ascii="Helvetica" w:hAnsi="Helvetica" w:cs="Helv"/>
          <w:bCs/>
          <w:color w:val="000000"/>
          <w:sz w:val="20"/>
          <w:szCs w:val="20"/>
        </w:rPr>
        <w:t xml:space="preserve"> are grateful for the opportunity to provide comments in response to the European Securities and Markets Authority’s (“</w:t>
      </w:r>
      <w:r w:rsidRPr="00CF109B">
        <w:rPr>
          <w:rFonts w:ascii="Helvetica" w:hAnsi="Helvetica" w:cs="Helv"/>
          <w:b/>
          <w:bCs/>
          <w:color w:val="000000"/>
          <w:sz w:val="20"/>
          <w:szCs w:val="20"/>
        </w:rPr>
        <w:t>ESMA’s</w:t>
      </w:r>
      <w:r w:rsidRPr="00CF109B">
        <w:rPr>
          <w:rFonts w:ascii="Helvetica" w:hAnsi="Helvetica" w:cs="Helv"/>
          <w:bCs/>
          <w:color w:val="000000"/>
          <w:sz w:val="20"/>
          <w:szCs w:val="20"/>
        </w:rPr>
        <w:t>”) Consultation Paper: Guidelines on asset segregation under the AIFMD, dated 1st December 2014 (the “</w:t>
      </w:r>
      <w:r w:rsidRPr="00CF109B">
        <w:rPr>
          <w:rFonts w:ascii="Helvetica" w:hAnsi="Helvetica" w:cs="Helv"/>
          <w:b/>
          <w:bCs/>
          <w:color w:val="000000"/>
          <w:sz w:val="20"/>
          <w:szCs w:val="20"/>
        </w:rPr>
        <w:t>Consultation Paper</w:t>
      </w:r>
      <w:r w:rsidRPr="00CF109B">
        <w:rPr>
          <w:rFonts w:ascii="Helvetica" w:hAnsi="Helvetica" w:cs="Helv"/>
          <w:bCs/>
          <w:color w:val="000000"/>
          <w:sz w:val="20"/>
          <w:szCs w:val="20"/>
        </w:rPr>
        <w:t>”).</w:t>
      </w:r>
    </w:p>
    <w:p w:rsidR="002D083B" w:rsidRPr="00CF109B" w:rsidRDefault="002D083B" w:rsidP="002D083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etica" w:hAnsi="Helvetica" w:cs="Helv"/>
          <w:color w:val="000000"/>
          <w:sz w:val="20"/>
          <w:szCs w:val="20"/>
        </w:rPr>
      </w:pPr>
    </w:p>
    <w:p w:rsidR="002D083B" w:rsidRPr="00CF109B" w:rsidRDefault="002D083B" w:rsidP="002D083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etica" w:hAnsi="Helvetica" w:cs="Helv"/>
          <w:bCs/>
          <w:color w:val="000000"/>
          <w:sz w:val="20"/>
          <w:szCs w:val="20"/>
        </w:rPr>
      </w:pPr>
      <w:r w:rsidRPr="00CF109B">
        <w:rPr>
          <w:rFonts w:ascii="Helvetica" w:hAnsi="Helvetica" w:cs="Helv"/>
          <w:bCs/>
          <w:color w:val="000000"/>
          <w:sz w:val="20"/>
          <w:szCs w:val="20"/>
        </w:rPr>
        <w:t>We refer to the questions asked in Annex 1 of the Consultation Paper.  Responses of the Committee are outlined below, following each question.</w:t>
      </w:r>
    </w:p>
    <w:p w:rsidR="007707E3" w:rsidRPr="00CF109B" w:rsidRDefault="007707E3" w:rsidP="0025458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etica" w:hAnsi="Helvetica" w:cs="Helv"/>
          <w:color w:val="000000"/>
          <w:sz w:val="20"/>
          <w:szCs w:val="20"/>
        </w:rPr>
      </w:pPr>
    </w:p>
    <w:p w:rsidR="002D083B" w:rsidRPr="00CF109B" w:rsidRDefault="002D083B" w:rsidP="002D083B">
      <w:pPr>
        <w:autoSpaceDE w:val="0"/>
        <w:autoSpaceDN w:val="0"/>
        <w:adjustRightInd w:val="0"/>
        <w:spacing w:after="0" w:line="240" w:lineRule="auto"/>
        <w:rPr>
          <w:rFonts w:ascii="Helvetica" w:hAnsi="Helvetica" w:cs="Helv"/>
          <w:b/>
          <w:color w:val="000000"/>
          <w:sz w:val="20"/>
          <w:szCs w:val="20"/>
        </w:rPr>
      </w:pPr>
    </w:p>
    <w:p w:rsidR="002D083B" w:rsidRPr="00CF109B" w:rsidRDefault="00254581" w:rsidP="002D083B">
      <w:pPr>
        <w:autoSpaceDE w:val="0"/>
        <w:autoSpaceDN w:val="0"/>
        <w:adjustRightInd w:val="0"/>
        <w:spacing w:after="0" w:line="240" w:lineRule="auto"/>
        <w:rPr>
          <w:rFonts w:ascii="Helvetica" w:hAnsi="Helvetica" w:cs="Helv"/>
          <w:b/>
          <w:color w:val="000000"/>
          <w:sz w:val="20"/>
          <w:szCs w:val="20"/>
        </w:rPr>
      </w:pPr>
      <w:r w:rsidRPr="00CF109B">
        <w:rPr>
          <w:rFonts w:ascii="Helvetica" w:hAnsi="Helvetica" w:cs="Helv"/>
          <w:b/>
          <w:color w:val="000000"/>
          <w:sz w:val="20"/>
          <w:szCs w:val="20"/>
        </w:rPr>
        <w:t xml:space="preserve">Q.1:  </w:t>
      </w:r>
      <w:r w:rsidR="002D083B" w:rsidRPr="00CF109B">
        <w:rPr>
          <w:rFonts w:ascii="Helvetica" w:hAnsi="Helvetica" w:cs="Helv"/>
          <w:b/>
          <w:bCs/>
          <w:color w:val="000000"/>
          <w:sz w:val="20"/>
          <w:szCs w:val="20"/>
        </w:rPr>
        <w:t xml:space="preserve">Which of the two identified options do you prefer? </w:t>
      </w:r>
    </w:p>
    <w:p w:rsidR="00254581" w:rsidRPr="00CF109B" w:rsidRDefault="00254581" w:rsidP="00254581">
      <w:pPr>
        <w:autoSpaceDE w:val="0"/>
        <w:autoSpaceDN w:val="0"/>
        <w:adjustRightInd w:val="0"/>
        <w:spacing w:after="0" w:line="240" w:lineRule="auto"/>
        <w:rPr>
          <w:rFonts w:ascii="Helvetica" w:hAnsi="Helvetica" w:cs="Helv"/>
          <w:color w:val="000000"/>
          <w:sz w:val="20"/>
          <w:szCs w:val="20"/>
        </w:rPr>
      </w:pPr>
    </w:p>
    <w:p w:rsidR="00254581" w:rsidRPr="00CF109B" w:rsidRDefault="00574767" w:rsidP="00254581">
      <w:pPr>
        <w:autoSpaceDE w:val="0"/>
        <w:autoSpaceDN w:val="0"/>
        <w:adjustRightInd w:val="0"/>
        <w:spacing w:after="0" w:line="240" w:lineRule="auto"/>
        <w:ind w:left="720"/>
        <w:rPr>
          <w:rFonts w:ascii="Helvetica" w:hAnsi="Helvetica" w:cs="Helv"/>
          <w:color w:val="000000"/>
          <w:sz w:val="20"/>
          <w:szCs w:val="20"/>
        </w:rPr>
      </w:pPr>
      <w:r>
        <w:rPr>
          <w:rFonts w:ascii="Helvetica" w:hAnsi="Helvetica" w:cs="Helv"/>
          <w:color w:val="000000"/>
          <w:sz w:val="20"/>
          <w:szCs w:val="20"/>
        </w:rPr>
        <w:t xml:space="preserve">With respect to </w:t>
      </w:r>
      <w:r w:rsidR="009B6C2F" w:rsidRPr="00CF109B">
        <w:rPr>
          <w:rFonts w:ascii="Helvetica" w:hAnsi="Helvetica" w:cs="Helv"/>
          <w:color w:val="000000"/>
          <w:sz w:val="20"/>
          <w:szCs w:val="20"/>
        </w:rPr>
        <w:t>Option</w:t>
      </w:r>
      <w:r>
        <w:rPr>
          <w:rFonts w:ascii="Helvetica" w:hAnsi="Helvetica" w:cs="Helv"/>
          <w:color w:val="000000"/>
          <w:sz w:val="20"/>
          <w:szCs w:val="20"/>
        </w:rPr>
        <w:t>s</w:t>
      </w:r>
      <w:r w:rsidR="009B6C2F" w:rsidRPr="00CF109B">
        <w:rPr>
          <w:rFonts w:ascii="Helvetica" w:hAnsi="Helvetica" w:cs="Helv"/>
          <w:color w:val="000000"/>
          <w:sz w:val="20"/>
          <w:szCs w:val="20"/>
        </w:rPr>
        <w:t xml:space="preserve"> 1 and 2, </w:t>
      </w:r>
      <w:r w:rsidR="00254581" w:rsidRPr="00CF109B">
        <w:rPr>
          <w:rFonts w:ascii="Helvetica" w:hAnsi="Helvetica" w:cs="Helv"/>
          <w:color w:val="000000"/>
          <w:sz w:val="20"/>
          <w:szCs w:val="20"/>
        </w:rPr>
        <w:t xml:space="preserve">Option 2 </w:t>
      </w:r>
      <w:r w:rsidR="009B6C2F" w:rsidRPr="00CF109B">
        <w:rPr>
          <w:rFonts w:ascii="Helvetica" w:hAnsi="Helvetica" w:cs="Helv"/>
          <w:color w:val="000000"/>
          <w:sz w:val="20"/>
          <w:szCs w:val="20"/>
        </w:rPr>
        <w:t xml:space="preserve">is preferred </w:t>
      </w:r>
      <w:r w:rsidR="00254581" w:rsidRPr="00CF109B">
        <w:rPr>
          <w:rFonts w:ascii="Helvetica" w:hAnsi="Helvetica" w:cs="Helv"/>
          <w:color w:val="000000"/>
          <w:sz w:val="20"/>
          <w:szCs w:val="20"/>
        </w:rPr>
        <w:t xml:space="preserve">because </w:t>
      </w:r>
      <w:r w:rsidR="00FC51E9" w:rsidRPr="00CF109B">
        <w:rPr>
          <w:rFonts w:ascii="Helvetica" w:hAnsi="Helvetica" w:cs="Helv"/>
          <w:color w:val="000000"/>
          <w:sz w:val="20"/>
          <w:szCs w:val="20"/>
        </w:rPr>
        <w:t>Option 1 provides</w:t>
      </w:r>
      <w:r w:rsidR="00254581" w:rsidRPr="00CF109B">
        <w:rPr>
          <w:rFonts w:ascii="Helvetica" w:hAnsi="Helvetica" w:cs="Helv"/>
          <w:color w:val="000000"/>
          <w:sz w:val="20"/>
          <w:szCs w:val="20"/>
        </w:rPr>
        <w:t xml:space="preserve"> no meaningful benefit </w:t>
      </w:r>
      <w:r w:rsidR="009B6C2F" w:rsidRPr="00CF109B">
        <w:rPr>
          <w:rFonts w:ascii="Helvetica" w:hAnsi="Helvetica" w:cs="Helv"/>
          <w:color w:val="000000"/>
          <w:sz w:val="20"/>
          <w:szCs w:val="20"/>
        </w:rPr>
        <w:t>over</w:t>
      </w:r>
      <w:r>
        <w:rPr>
          <w:rFonts w:ascii="Helvetica" w:hAnsi="Helvetica" w:cs="Helv"/>
          <w:color w:val="000000"/>
          <w:sz w:val="20"/>
          <w:szCs w:val="20"/>
        </w:rPr>
        <w:t xml:space="preserve"> and above</w:t>
      </w:r>
      <w:r w:rsidR="009B6C2F" w:rsidRPr="00CF109B">
        <w:rPr>
          <w:rFonts w:ascii="Helvetica" w:hAnsi="Helvetica" w:cs="Helv"/>
          <w:color w:val="000000"/>
          <w:sz w:val="20"/>
          <w:szCs w:val="20"/>
        </w:rPr>
        <w:t xml:space="preserve"> Option 2 </w:t>
      </w:r>
      <w:r w:rsidR="00FC51E9" w:rsidRPr="00CF109B">
        <w:rPr>
          <w:rFonts w:ascii="Helvetica" w:hAnsi="Helvetica" w:cs="Helv"/>
          <w:color w:val="000000"/>
          <w:sz w:val="20"/>
          <w:szCs w:val="20"/>
        </w:rPr>
        <w:t>by</w:t>
      </w:r>
      <w:r w:rsidR="00254581" w:rsidRPr="00CF109B">
        <w:rPr>
          <w:rFonts w:ascii="Helvetica" w:hAnsi="Helvetica" w:cs="Helv"/>
          <w:color w:val="000000"/>
          <w:sz w:val="20"/>
          <w:szCs w:val="20"/>
        </w:rPr>
        <w:t xml:space="preserve"> delineating accounts at sub-custodians according to depositaries</w:t>
      </w:r>
      <w:r w:rsidR="009B6C2F" w:rsidRPr="00CF109B">
        <w:rPr>
          <w:rFonts w:ascii="Helvetica" w:hAnsi="Helvetica" w:cs="Helv"/>
          <w:color w:val="000000"/>
          <w:sz w:val="20"/>
          <w:szCs w:val="20"/>
        </w:rPr>
        <w:t xml:space="preserve"> (as Option 1 would require).  I</w:t>
      </w:r>
      <w:r w:rsidR="00254581" w:rsidRPr="00CF109B">
        <w:rPr>
          <w:rFonts w:ascii="Helvetica" w:hAnsi="Helvetica" w:cs="Helv"/>
          <w:color w:val="000000"/>
          <w:sz w:val="20"/>
          <w:szCs w:val="20"/>
        </w:rPr>
        <w:t xml:space="preserve">n insolvency settings, there </w:t>
      </w:r>
      <w:r w:rsidR="009B6C2F" w:rsidRPr="00CF109B">
        <w:rPr>
          <w:rFonts w:ascii="Helvetica" w:hAnsi="Helvetica" w:cs="Helv"/>
          <w:color w:val="000000"/>
          <w:sz w:val="20"/>
          <w:szCs w:val="20"/>
        </w:rPr>
        <w:t>would be</w:t>
      </w:r>
      <w:r w:rsidR="00254581" w:rsidRPr="00CF109B">
        <w:rPr>
          <w:rFonts w:ascii="Helvetica" w:hAnsi="Helvetica" w:cs="Helv"/>
          <w:color w:val="000000"/>
          <w:sz w:val="20"/>
          <w:szCs w:val="20"/>
        </w:rPr>
        <w:t xml:space="preserve"> no legal or practical advantage for investors depending on whether assets can be identified at the sub-custodian as held for the AIF clients of a particular depositary or for </w:t>
      </w:r>
      <w:r>
        <w:rPr>
          <w:rFonts w:ascii="Helvetica" w:hAnsi="Helvetica" w:cs="Helv"/>
          <w:color w:val="000000"/>
          <w:sz w:val="20"/>
          <w:szCs w:val="20"/>
        </w:rPr>
        <w:t>the</w:t>
      </w:r>
      <w:r w:rsidR="00254581" w:rsidRPr="00CF109B">
        <w:rPr>
          <w:rFonts w:ascii="Helvetica" w:hAnsi="Helvetica" w:cs="Helv"/>
          <w:color w:val="000000"/>
          <w:sz w:val="20"/>
          <w:szCs w:val="20"/>
        </w:rPr>
        <w:t xml:space="preserve"> AIF clients of all depositaries.  Either approach relegates individual AIFs to pools of securities held through the sub-custodian.  Whether those pools are smaller and more numerous (which would be the case with </w:t>
      </w:r>
      <w:r w:rsidR="00CF109B">
        <w:rPr>
          <w:rFonts w:ascii="Helvetica" w:hAnsi="Helvetica" w:cs="Helv"/>
          <w:color w:val="000000"/>
          <w:sz w:val="20"/>
          <w:szCs w:val="20"/>
        </w:rPr>
        <w:t>O</w:t>
      </w:r>
      <w:r w:rsidR="00254581" w:rsidRPr="00CF109B">
        <w:rPr>
          <w:rFonts w:ascii="Helvetica" w:hAnsi="Helvetica" w:cs="Helv"/>
          <w:color w:val="000000"/>
          <w:sz w:val="20"/>
          <w:szCs w:val="20"/>
        </w:rPr>
        <w:t xml:space="preserve">ption 1) or larger and amounting to one pool </w:t>
      </w:r>
      <w:r w:rsidR="009B6C2F" w:rsidRPr="00CF109B">
        <w:rPr>
          <w:rFonts w:ascii="Helvetica" w:hAnsi="Helvetica" w:cs="Helv"/>
          <w:color w:val="000000"/>
          <w:sz w:val="20"/>
          <w:szCs w:val="20"/>
        </w:rPr>
        <w:t xml:space="preserve">at a sub-custodian </w:t>
      </w:r>
      <w:r w:rsidR="00254581" w:rsidRPr="00CF109B">
        <w:rPr>
          <w:rFonts w:ascii="Helvetica" w:hAnsi="Helvetica" w:cs="Helv"/>
          <w:color w:val="000000"/>
          <w:sz w:val="20"/>
          <w:szCs w:val="20"/>
        </w:rPr>
        <w:t>(AIF clients of all depositaries, as set out in Option 2) makes no difference in terms of improving investor protection.</w:t>
      </w:r>
      <w:r w:rsidR="00FC51E9" w:rsidRPr="00CF109B">
        <w:rPr>
          <w:rStyle w:val="FootnoteReference"/>
          <w:rFonts w:ascii="Helvetica" w:hAnsi="Helvetica" w:cs="Helv"/>
          <w:color w:val="000000"/>
          <w:sz w:val="20"/>
          <w:szCs w:val="20"/>
        </w:rPr>
        <w:footnoteReference w:id="2"/>
      </w:r>
      <w:r w:rsidR="00254581" w:rsidRPr="00CF109B">
        <w:rPr>
          <w:rFonts w:ascii="Helvetica" w:hAnsi="Helvetica" w:cs="Helv"/>
          <w:color w:val="000000"/>
          <w:sz w:val="20"/>
          <w:szCs w:val="20"/>
        </w:rPr>
        <w:t xml:space="preserve">  </w:t>
      </w:r>
    </w:p>
    <w:p w:rsidR="00254581" w:rsidRPr="00CF109B" w:rsidRDefault="00254581" w:rsidP="00254581">
      <w:pPr>
        <w:autoSpaceDE w:val="0"/>
        <w:autoSpaceDN w:val="0"/>
        <w:adjustRightInd w:val="0"/>
        <w:spacing w:after="0" w:line="240" w:lineRule="auto"/>
        <w:ind w:left="720"/>
        <w:rPr>
          <w:rFonts w:ascii="Helvetica" w:hAnsi="Helvetica" w:cs="Helv"/>
          <w:color w:val="000000"/>
          <w:sz w:val="20"/>
          <w:szCs w:val="20"/>
        </w:rPr>
      </w:pPr>
    </w:p>
    <w:p w:rsidR="00254581" w:rsidRPr="00CF109B" w:rsidRDefault="009B6C2F" w:rsidP="00254581">
      <w:pPr>
        <w:autoSpaceDE w:val="0"/>
        <w:autoSpaceDN w:val="0"/>
        <w:adjustRightInd w:val="0"/>
        <w:spacing w:after="0" w:line="240" w:lineRule="auto"/>
        <w:ind w:left="720"/>
        <w:rPr>
          <w:rFonts w:ascii="Helvetica" w:hAnsi="Helvetica" w:cs="Helv"/>
          <w:color w:val="000000"/>
          <w:sz w:val="20"/>
          <w:szCs w:val="20"/>
        </w:rPr>
      </w:pPr>
      <w:r w:rsidRPr="00CF109B">
        <w:rPr>
          <w:rFonts w:ascii="Helvetica" w:hAnsi="Helvetica" w:cs="Helv"/>
          <w:color w:val="000000"/>
          <w:sz w:val="20"/>
          <w:szCs w:val="20"/>
        </w:rPr>
        <w:t>However, b</w:t>
      </w:r>
      <w:r w:rsidR="00254581" w:rsidRPr="00CF109B">
        <w:rPr>
          <w:rFonts w:ascii="Helvetica" w:hAnsi="Helvetica" w:cs="Helv"/>
          <w:color w:val="000000"/>
          <w:sz w:val="20"/>
          <w:szCs w:val="20"/>
        </w:rPr>
        <w:t>ecause Option 1 would result in more complexity in the holding chain, there would be a higher likelihood of error.</w:t>
      </w:r>
    </w:p>
    <w:p w:rsidR="00254581" w:rsidRPr="00CF109B" w:rsidRDefault="00254581" w:rsidP="00254581">
      <w:pPr>
        <w:autoSpaceDE w:val="0"/>
        <w:autoSpaceDN w:val="0"/>
        <w:adjustRightInd w:val="0"/>
        <w:spacing w:after="0" w:line="240" w:lineRule="auto"/>
        <w:ind w:left="720"/>
        <w:rPr>
          <w:rFonts w:ascii="Helvetica" w:hAnsi="Helvetica" w:cs="Helv"/>
          <w:color w:val="000000"/>
          <w:sz w:val="20"/>
          <w:szCs w:val="20"/>
        </w:rPr>
      </w:pPr>
    </w:p>
    <w:p w:rsidR="00254581" w:rsidRPr="00CF109B" w:rsidRDefault="00254581" w:rsidP="00254581">
      <w:pPr>
        <w:autoSpaceDE w:val="0"/>
        <w:autoSpaceDN w:val="0"/>
        <w:adjustRightInd w:val="0"/>
        <w:spacing w:after="0" w:line="240" w:lineRule="auto"/>
        <w:rPr>
          <w:rFonts w:ascii="Helvetica" w:hAnsi="Helvetica" w:cs="Helv"/>
          <w:color w:val="000000"/>
          <w:sz w:val="20"/>
          <w:szCs w:val="20"/>
        </w:rPr>
      </w:pPr>
    </w:p>
    <w:p w:rsidR="002D083B" w:rsidRPr="00CF109B" w:rsidRDefault="00254581" w:rsidP="002D083B">
      <w:pPr>
        <w:autoSpaceDE w:val="0"/>
        <w:autoSpaceDN w:val="0"/>
        <w:adjustRightInd w:val="0"/>
        <w:spacing w:after="0" w:line="240" w:lineRule="auto"/>
        <w:rPr>
          <w:rFonts w:ascii="Helvetica" w:hAnsi="Helvetica" w:cs="Helv"/>
          <w:b/>
          <w:color w:val="000000"/>
          <w:sz w:val="20"/>
          <w:szCs w:val="20"/>
        </w:rPr>
      </w:pPr>
      <w:r w:rsidRPr="00CF109B">
        <w:rPr>
          <w:rFonts w:ascii="Helvetica" w:hAnsi="Helvetica" w:cs="Helv"/>
          <w:b/>
          <w:color w:val="000000"/>
          <w:sz w:val="20"/>
          <w:szCs w:val="20"/>
        </w:rPr>
        <w:t xml:space="preserve">Q.2: </w:t>
      </w:r>
      <w:r w:rsidR="002D083B" w:rsidRPr="00CF109B">
        <w:rPr>
          <w:rFonts w:ascii="Helvetica" w:hAnsi="Helvetica" w:cs="Helv"/>
          <w:b/>
          <w:bCs/>
          <w:color w:val="000000"/>
          <w:sz w:val="20"/>
          <w:szCs w:val="20"/>
        </w:rPr>
        <w:t xml:space="preserve">Would you suggest any alternative option which is compatible with the AIFMD and its implementing measures? If yes, please provide details. </w:t>
      </w:r>
    </w:p>
    <w:p w:rsidR="00254581" w:rsidRDefault="00254581" w:rsidP="00254581">
      <w:pPr>
        <w:autoSpaceDE w:val="0"/>
        <w:autoSpaceDN w:val="0"/>
        <w:adjustRightInd w:val="0"/>
        <w:spacing w:after="0" w:line="240" w:lineRule="auto"/>
        <w:rPr>
          <w:rFonts w:ascii="Helvetica" w:hAnsi="Helvetica" w:cs="Helv"/>
          <w:color w:val="000000"/>
          <w:sz w:val="20"/>
          <w:szCs w:val="20"/>
        </w:rPr>
      </w:pPr>
    </w:p>
    <w:p w:rsidR="00CF109B" w:rsidRDefault="00CF109B" w:rsidP="00254581">
      <w:pPr>
        <w:autoSpaceDE w:val="0"/>
        <w:autoSpaceDN w:val="0"/>
        <w:adjustRightInd w:val="0"/>
        <w:spacing w:after="0" w:line="240" w:lineRule="auto"/>
        <w:rPr>
          <w:rFonts w:ascii="Helvetica" w:hAnsi="Helvetica" w:cs="Helv"/>
          <w:color w:val="000000"/>
          <w:sz w:val="20"/>
          <w:szCs w:val="20"/>
        </w:rPr>
      </w:pPr>
      <w:r>
        <w:rPr>
          <w:rFonts w:ascii="Helvetica" w:hAnsi="Helvetica" w:cs="Helv"/>
          <w:color w:val="000000"/>
          <w:sz w:val="20"/>
          <w:szCs w:val="20"/>
        </w:rPr>
        <w:t>The Committee is of the view that Option 4 is compatible with the AIFMD and its implementing measures and therefore should be considered acceptable as an alternative option.  We provide the rationale for our view below:</w:t>
      </w:r>
    </w:p>
    <w:p w:rsidR="00CF109B" w:rsidRPr="00CF109B" w:rsidRDefault="00CF109B" w:rsidP="00254581">
      <w:pPr>
        <w:autoSpaceDE w:val="0"/>
        <w:autoSpaceDN w:val="0"/>
        <w:adjustRightInd w:val="0"/>
        <w:spacing w:after="0" w:line="240" w:lineRule="auto"/>
        <w:rPr>
          <w:rFonts w:ascii="Helvetica" w:hAnsi="Helvetica" w:cs="Helv"/>
          <w:color w:val="000000"/>
          <w:sz w:val="20"/>
          <w:szCs w:val="20"/>
        </w:rPr>
      </w:pPr>
    </w:p>
    <w:p w:rsidR="00544F4F" w:rsidRPr="00CF109B" w:rsidRDefault="00544F4F" w:rsidP="007F1D10">
      <w:pPr>
        <w:pStyle w:val="ListParagraph"/>
        <w:numPr>
          <w:ilvl w:val="0"/>
          <w:numId w:val="4"/>
        </w:numPr>
        <w:autoSpaceDE w:val="0"/>
        <w:autoSpaceDN w:val="0"/>
        <w:adjustRightInd w:val="0"/>
        <w:spacing w:after="0" w:line="240" w:lineRule="auto"/>
        <w:rPr>
          <w:rFonts w:ascii="Helvetica" w:hAnsi="Helvetica" w:cs="Helv"/>
          <w:color w:val="000000"/>
          <w:sz w:val="20"/>
          <w:szCs w:val="20"/>
          <w:u w:val="single"/>
        </w:rPr>
      </w:pPr>
      <w:r w:rsidRPr="00CF109B">
        <w:rPr>
          <w:rFonts w:ascii="Helvetica" w:hAnsi="Helvetica" w:cs="Helv"/>
          <w:color w:val="000000"/>
          <w:sz w:val="20"/>
          <w:szCs w:val="20"/>
          <w:u w:val="single"/>
        </w:rPr>
        <w:t>Achieving Investor Protection</w:t>
      </w:r>
    </w:p>
    <w:p w:rsidR="00544F4F" w:rsidRPr="00CF109B" w:rsidRDefault="00544F4F" w:rsidP="00A04B33">
      <w:pPr>
        <w:autoSpaceDE w:val="0"/>
        <w:autoSpaceDN w:val="0"/>
        <w:adjustRightInd w:val="0"/>
        <w:spacing w:after="0" w:line="240" w:lineRule="auto"/>
        <w:ind w:left="720"/>
        <w:rPr>
          <w:rFonts w:ascii="Helvetica" w:hAnsi="Helvetica" w:cs="Helv"/>
          <w:color w:val="000000"/>
          <w:sz w:val="20"/>
          <w:szCs w:val="20"/>
        </w:rPr>
      </w:pPr>
    </w:p>
    <w:p w:rsidR="00A04B33" w:rsidRPr="00CF109B" w:rsidRDefault="00A04B33" w:rsidP="00544F4F">
      <w:pPr>
        <w:autoSpaceDE w:val="0"/>
        <w:autoSpaceDN w:val="0"/>
        <w:adjustRightInd w:val="0"/>
        <w:spacing w:after="0" w:line="240" w:lineRule="auto"/>
        <w:ind w:left="720"/>
        <w:rPr>
          <w:rFonts w:ascii="Helvetica" w:hAnsi="Helvetica" w:cs="Helv"/>
          <w:color w:val="000000"/>
          <w:sz w:val="20"/>
          <w:szCs w:val="20"/>
        </w:rPr>
      </w:pPr>
      <w:r w:rsidRPr="00CF109B">
        <w:rPr>
          <w:rFonts w:ascii="Helvetica" w:hAnsi="Helvetica" w:cs="Helv"/>
          <w:color w:val="000000"/>
          <w:sz w:val="20"/>
          <w:szCs w:val="20"/>
        </w:rPr>
        <w:t xml:space="preserve">We understand and agree with ESMA’s contention </w:t>
      </w:r>
      <w:r w:rsidR="00574767">
        <w:rPr>
          <w:rFonts w:ascii="Helvetica" w:hAnsi="Helvetica" w:cs="Helv"/>
          <w:color w:val="000000"/>
          <w:sz w:val="20"/>
          <w:szCs w:val="20"/>
        </w:rPr>
        <w:t xml:space="preserve">that </w:t>
      </w:r>
      <w:r w:rsidRPr="00CF109B">
        <w:rPr>
          <w:rFonts w:ascii="Helvetica" w:hAnsi="Helvetica" w:cs="Helv"/>
          <w:color w:val="000000"/>
          <w:sz w:val="20"/>
          <w:szCs w:val="20"/>
        </w:rPr>
        <w:t>the depositary provisions of AIFMD - and, in particular, those on asset segregation – are a “key aspect of the AIFMD framework and are aimed at improving investor protection”.</w:t>
      </w:r>
      <w:r w:rsidRPr="00CF109B">
        <w:rPr>
          <w:rStyle w:val="FootnoteReference"/>
          <w:rFonts w:ascii="Helvetica" w:hAnsi="Helvetica" w:cs="Helv"/>
          <w:color w:val="000000"/>
          <w:sz w:val="20"/>
          <w:szCs w:val="20"/>
        </w:rPr>
        <w:footnoteReference w:id="3"/>
      </w:r>
      <w:r w:rsidRPr="00CF109B">
        <w:rPr>
          <w:rFonts w:ascii="Helvetica" w:hAnsi="Helvetica" w:cs="Helv"/>
          <w:color w:val="000000"/>
          <w:sz w:val="20"/>
          <w:szCs w:val="20"/>
        </w:rPr>
        <w:t xml:space="preserve">  </w:t>
      </w:r>
    </w:p>
    <w:p w:rsidR="00851DEE" w:rsidRPr="00CF109B" w:rsidRDefault="00851DEE" w:rsidP="00A04B33">
      <w:pPr>
        <w:autoSpaceDE w:val="0"/>
        <w:autoSpaceDN w:val="0"/>
        <w:adjustRightInd w:val="0"/>
        <w:spacing w:after="0" w:line="240" w:lineRule="auto"/>
        <w:ind w:left="720"/>
        <w:rPr>
          <w:rFonts w:ascii="Helvetica" w:hAnsi="Helvetica" w:cs="Helv"/>
          <w:color w:val="000000"/>
          <w:sz w:val="20"/>
          <w:szCs w:val="20"/>
        </w:rPr>
      </w:pPr>
    </w:p>
    <w:p w:rsidR="00851DEE" w:rsidRPr="00CF109B" w:rsidRDefault="00851DEE" w:rsidP="00A04B33">
      <w:pPr>
        <w:autoSpaceDE w:val="0"/>
        <w:autoSpaceDN w:val="0"/>
        <w:adjustRightInd w:val="0"/>
        <w:spacing w:after="0" w:line="240" w:lineRule="auto"/>
        <w:ind w:left="720"/>
        <w:rPr>
          <w:rFonts w:ascii="Helvetica" w:hAnsi="Helvetica" w:cs="Helv"/>
          <w:color w:val="000000"/>
          <w:sz w:val="20"/>
          <w:szCs w:val="20"/>
        </w:rPr>
      </w:pPr>
      <w:r w:rsidRPr="00CF109B">
        <w:rPr>
          <w:rFonts w:ascii="Helvetica" w:hAnsi="Helvetica" w:cs="Helv"/>
          <w:color w:val="000000"/>
          <w:sz w:val="20"/>
          <w:szCs w:val="20"/>
        </w:rPr>
        <w:t>As we agree that the segregation requirements of AIFMD indeed must ensure investor protection of AIF assets, we point out the following:</w:t>
      </w:r>
    </w:p>
    <w:p w:rsidR="00851DEE" w:rsidRPr="00CF109B" w:rsidRDefault="00851DEE" w:rsidP="00A04B33">
      <w:pPr>
        <w:autoSpaceDE w:val="0"/>
        <w:autoSpaceDN w:val="0"/>
        <w:adjustRightInd w:val="0"/>
        <w:spacing w:after="0" w:line="240" w:lineRule="auto"/>
        <w:ind w:left="720"/>
        <w:rPr>
          <w:rFonts w:ascii="Helvetica" w:hAnsi="Helvetica" w:cs="Helv"/>
          <w:color w:val="000000"/>
          <w:sz w:val="20"/>
          <w:szCs w:val="20"/>
        </w:rPr>
      </w:pPr>
    </w:p>
    <w:p w:rsidR="00851DEE" w:rsidRPr="00CF109B" w:rsidRDefault="0092526E" w:rsidP="00FC51E9">
      <w:pPr>
        <w:pStyle w:val="ListParagraph"/>
        <w:numPr>
          <w:ilvl w:val="0"/>
          <w:numId w:val="3"/>
        </w:numPr>
        <w:autoSpaceDE w:val="0"/>
        <w:autoSpaceDN w:val="0"/>
        <w:adjustRightInd w:val="0"/>
        <w:spacing w:after="0" w:line="240" w:lineRule="auto"/>
        <w:rPr>
          <w:rFonts w:ascii="Helvetica" w:hAnsi="Helvetica" w:cs="Helv"/>
          <w:color w:val="000000"/>
          <w:sz w:val="20"/>
          <w:szCs w:val="20"/>
        </w:rPr>
      </w:pPr>
      <w:r w:rsidRPr="00CF109B">
        <w:rPr>
          <w:rFonts w:ascii="Helvetica" w:hAnsi="Helvetica" w:cs="Helv"/>
          <w:color w:val="000000"/>
          <w:sz w:val="20"/>
          <w:szCs w:val="20"/>
        </w:rPr>
        <w:lastRenderedPageBreak/>
        <w:t xml:space="preserve">Due to the inherent nature of the indirect enforcement system, </w:t>
      </w:r>
      <w:r w:rsidR="00A04B33" w:rsidRPr="00CF109B">
        <w:rPr>
          <w:rFonts w:ascii="Helvetica" w:hAnsi="Helvetica" w:cs="Helv"/>
          <w:color w:val="000000"/>
          <w:sz w:val="20"/>
          <w:szCs w:val="20"/>
        </w:rPr>
        <w:t xml:space="preserve">AIFs would not have direct claims against any specific property held by the </w:t>
      </w:r>
      <w:r w:rsidR="00851DEE" w:rsidRPr="00CF109B">
        <w:rPr>
          <w:rFonts w:ascii="Helvetica" w:hAnsi="Helvetica" w:cs="Helv"/>
          <w:color w:val="000000"/>
          <w:sz w:val="20"/>
          <w:szCs w:val="20"/>
        </w:rPr>
        <w:t xml:space="preserve">third-party delegate </w:t>
      </w:r>
      <w:r w:rsidR="00A04B33" w:rsidRPr="00CF109B">
        <w:rPr>
          <w:rFonts w:ascii="Helvetica" w:hAnsi="Helvetica" w:cs="Helv"/>
          <w:color w:val="000000"/>
          <w:sz w:val="20"/>
          <w:szCs w:val="20"/>
        </w:rPr>
        <w:t>or sub-Delegate.  Therefore, from the perspective of an AIF and its investors, it is irrelevant whether the Delegate (or sub</w:t>
      </w:r>
      <w:r w:rsidR="00574767">
        <w:rPr>
          <w:rFonts w:ascii="Helvetica" w:hAnsi="Helvetica" w:cs="Helv"/>
          <w:color w:val="000000"/>
          <w:sz w:val="20"/>
          <w:szCs w:val="20"/>
        </w:rPr>
        <w:t>-</w:t>
      </w:r>
      <w:r w:rsidR="00A04B33" w:rsidRPr="00CF109B">
        <w:rPr>
          <w:rFonts w:ascii="Helvetica" w:hAnsi="Helvetica" w:cs="Helv"/>
          <w:color w:val="000000"/>
          <w:sz w:val="20"/>
          <w:szCs w:val="20"/>
        </w:rPr>
        <w:t xml:space="preserve">Delegate) has a separate client “omnibus” account containing AIF assets only.  </w:t>
      </w:r>
    </w:p>
    <w:p w:rsidR="00851DEE" w:rsidRPr="00ED04E1" w:rsidRDefault="00A04B33" w:rsidP="00635828">
      <w:pPr>
        <w:pStyle w:val="ListParagraph"/>
        <w:numPr>
          <w:ilvl w:val="0"/>
          <w:numId w:val="3"/>
        </w:numPr>
        <w:autoSpaceDE w:val="0"/>
        <w:autoSpaceDN w:val="0"/>
        <w:adjustRightInd w:val="0"/>
        <w:spacing w:after="0" w:line="240" w:lineRule="auto"/>
        <w:rPr>
          <w:rFonts w:ascii="Helvetica" w:hAnsi="Helvetica" w:cs="Helv"/>
          <w:color w:val="000000"/>
          <w:sz w:val="20"/>
          <w:szCs w:val="20"/>
        </w:rPr>
      </w:pPr>
      <w:r w:rsidRPr="00635828">
        <w:rPr>
          <w:rFonts w:ascii="Helvetica" w:hAnsi="Helvetica" w:cs="Helv"/>
          <w:color w:val="000000"/>
          <w:sz w:val="20"/>
          <w:szCs w:val="20"/>
        </w:rPr>
        <w:t xml:space="preserve">An omnibus account </w:t>
      </w:r>
      <w:r w:rsidR="00CF109B" w:rsidRPr="00635828">
        <w:rPr>
          <w:rFonts w:ascii="Helvetica" w:hAnsi="Helvetica" w:cs="Helv"/>
          <w:color w:val="000000"/>
          <w:sz w:val="20"/>
          <w:szCs w:val="20"/>
        </w:rPr>
        <w:t>consisting solely of</w:t>
      </w:r>
      <w:r w:rsidRPr="00635828">
        <w:rPr>
          <w:rFonts w:ascii="Helvetica" w:hAnsi="Helvetica" w:cs="Helv"/>
          <w:color w:val="000000"/>
          <w:sz w:val="20"/>
          <w:szCs w:val="20"/>
        </w:rPr>
        <w:t xml:space="preserve"> AIF assets will not </w:t>
      </w:r>
      <w:r w:rsidR="00CF109B" w:rsidRPr="00635828">
        <w:rPr>
          <w:rFonts w:ascii="Helvetica" w:hAnsi="Helvetica" w:cs="Helv"/>
          <w:color w:val="000000"/>
          <w:sz w:val="20"/>
          <w:szCs w:val="20"/>
        </w:rPr>
        <w:t xml:space="preserve">provide </w:t>
      </w:r>
      <w:r w:rsidR="00635828" w:rsidRPr="00635828">
        <w:rPr>
          <w:rFonts w:ascii="Helvetica" w:hAnsi="Helvetica" w:cs="Helv"/>
          <w:color w:val="000000"/>
          <w:sz w:val="20"/>
          <w:szCs w:val="20"/>
        </w:rPr>
        <w:t>greater</w:t>
      </w:r>
      <w:r w:rsidR="00CF109B" w:rsidRPr="00635828">
        <w:rPr>
          <w:rFonts w:ascii="Helvetica" w:hAnsi="Helvetica" w:cs="Helv"/>
          <w:color w:val="000000"/>
          <w:sz w:val="20"/>
          <w:szCs w:val="20"/>
        </w:rPr>
        <w:t xml:space="preserve"> protection for</w:t>
      </w:r>
      <w:r w:rsidR="00635828" w:rsidRPr="00635828">
        <w:rPr>
          <w:rFonts w:ascii="Helvetica" w:hAnsi="Helvetica" w:cs="Helv"/>
          <w:color w:val="000000"/>
          <w:sz w:val="20"/>
          <w:szCs w:val="20"/>
        </w:rPr>
        <w:t xml:space="preserve"> the </w:t>
      </w:r>
      <w:r w:rsidRPr="00BB6172">
        <w:rPr>
          <w:rFonts w:ascii="Helvetica" w:hAnsi="Helvetica" w:cs="Helv"/>
          <w:color w:val="000000"/>
          <w:sz w:val="20"/>
          <w:szCs w:val="20"/>
        </w:rPr>
        <w:t>assets of any individual AIF</w:t>
      </w:r>
      <w:r w:rsidR="00635828" w:rsidRPr="00BB6172">
        <w:rPr>
          <w:rFonts w:ascii="Helvetica" w:hAnsi="Helvetica" w:cs="Helv"/>
          <w:color w:val="000000"/>
          <w:sz w:val="20"/>
          <w:szCs w:val="20"/>
        </w:rPr>
        <w:t>,</w:t>
      </w:r>
      <w:r w:rsidRPr="00ED04E1">
        <w:rPr>
          <w:rFonts w:ascii="Helvetica" w:hAnsi="Helvetica" w:cs="Helv"/>
          <w:color w:val="000000"/>
          <w:sz w:val="20"/>
          <w:szCs w:val="20"/>
        </w:rPr>
        <w:t xml:space="preserve"> </w:t>
      </w:r>
      <w:r w:rsidR="00635828" w:rsidRPr="00ED04E1">
        <w:rPr>
          <w:rFonts w:ascii="Helvetica" w:hAnsi="Helvetica" w:cs="Helv"/>
          <w:color w:val="000000"/>
          <w:sz w:val="20"/>
          <w:szCs w:val="20"/>
        </w:rPr>
        <w:t xml:space="preserve">as compared to an omnibus account for multiple client categories, </w:t>
      </w:r>
      <w:r w:rsidRPr="00ED04E1">
        <w:rPr>
          <w:rFonts w:ascii="Helvetica" w:hAnsi="Helvetica" w:cs="Helv"/>
          <w:color w:val="000000"/>
          <w:sz w:val="20"/>
          <w:szCs w:val="20"/>
        </w:rPr>
        <w:t>as those assets will still be pooled on an omnibus basis with other AIF assets.</w:t>
      </w:r>
      <w:r w:rsidR="000D22CE" w:rsidRPr="00ED04E1">
        <w:rPr>
          <w:rFonts w:ascii="Helvetica" w:hAnsi="Helvetica" w:cs="Helv"/>
          <w:color w:val="000000"/>
          <w:sz w:val="20"/>
          <w:szCs w:val="20"/>
        </w:rPr>
        <w:t xml:space="preserve"> </w:t>
      </w:r>
      <w:r w:rsidR="00635828" w:rsidRPr="00ED04E1">
        <w:rPr>
          <w:rFonts w:ascii="Helvetica" w:hAnsi="Helvetica" w:cs="Helv"/>
          <w:color w:val="000000"/>
          <w:sz w:val="20"/>
          <w:szCs w:val="20"/>
        </w:rPr>
        <w:t>The segregation of assets by client type, rather than on the basis of other, economic factors – such as taxation status in the relevant jurisdiction – is essentially an arbitrary distinction which we do not believe would provide additional protection to clients inside or outside of the relevant omnibus account.</w:t>
      </w:r>
    </w:p>
    <w:p w:rsidR="00851DEE" w:rsidRPr="00CF109B" w:rsidRDefault="00A04B33" w:rsidP="00851DEE">
      <w:pPr>
        <w:pStyle w:val="ListParagraph"/>
        <w:numPr>
          <w:ilvl w:val="0"/>
          <w:numId w:val="3"/>
        </w:numPr>
        <w:autoSpaceDE w:val="0"/>
        <w:autoSpaceDN w:val="0"/>
        <w:adjustRightInd w:val="0"/>
        <w:spacing w:after="0" w:line="240" w:lineRule="auto"/>
        <w:rPr>
          <w:rFonts w:ascii="Helvetica" w:hAnsi="Helvetica" w:cs="Helv"/>
          <w:color w:val="000000"/>
          <w:sz w:val="20"/>
          <w:szCs w:val="20"/>
        </w:rPr>
      </w:pPr>
      <w:r w:rsidRPr="00CF109B">
        <w:rPr>
          <w:rFonts w:ascii="Helvetica" w:hAnsi="Helvetica" w:cs="Helv"/>
          <w:color w:val="000000"/>
          <w:sz w:val="20"/>
          <w:szCs w:val="20"/>
        </w:rPr>
        <w:t>Use of omnibus accounts which are not split according to AIF and non-AIF assets reduces operational and structural complexity and thereby reduces</w:t>
      </w:r>
      <w:r w:rsidR="00635828">
        <w:rPr>
          <w:rFonts w:ascii="Helvetica" w:hAnsi="Helvetica" w:cs="Helv"/>
          <w:color w:val="000000"/>
          <w:sz w:val="20"/>
          <w:szCs w:val="20"/>
        </w:rPr>
        <w:t xml:space="preserve"> the</w:t>
      </w:r>
      <w:r w:rsidRPr="00CF109B">
        <w:rPr>
          <w:rFonts w:ascii="Helvetica" w:hAnsi="Helvetica" w:cs="Helv"/>
          <w:color w:val="000000"/>
          <w:sz w:val="20"/>
          <w:szCs w:val="20"/>
        </w:rPr>
        <w:t xml:space="preserve"> costs </w:t>
      </w:r>
      <w:r w:rsidR="00635828" w:rsidRPr="00635828">
        <w:rPr>
          <w:rFonts w:ascii="Helvetica" w:hAnsi="Helvetica" w:cs="Helv"/>
          <w:color w:val="000000"/>
          <w:sz w:val="20"/>
          <w:szCs w:val="20"/>
        </w:rPr>
        <w:t xml:space="preserve">which are ultimately borne by clients </w:t>
      </w:r>
      <w:r w:rsidRPr="00CF109B">
        <w:rPr>
          <w:rFonts w:ascii="Helvetica" w:hAnsi="Helvetica" w:cs="Helv"/>
          <w:color w:val="000000"/>
          <w:sz w:val="20"/>
          <w:szCs w:val="20"/>
        </w:rPr>
        <w:t xml:space="preserve">and the risk of operational error.  </w:t>
      </w:r>
    </w:p>
    <w:p w:rsidR="00A04B33" w:rsidRDefault="00635828" w:rsidP="00851DEE">
      <w:pPr>
        <w:pStyle w:val="ListParagraph"/>
        <w:numPr>
          <w:ilvl w:val="0"/>
          <w:numId w:val="3"/>
        </w:numPr>
        <w:autoSpaceDE w:val="0"/>
        <w:autoSpaceDN w:val="0"/>
        <w:adjustRightInd w:val="0"/>
        <w:spacing w:after="0" w:line="240" w:lineRule="auto"/>
        <w:rPr>
          <w:rFonts w:ascii="Helvetica" w:hAnsi="Helvetica" w:cs="Helv"/>
          <w:color w:val="000000"/>
          <w:sz w:val="20"/>
          <w:szCs w:val="20"/>
        </w:rPr>
      </w:pPr>
      <w:r>
        <w:rPr>
          <w:rFonts w:ascii="Helvetica" w:hAnsi="Helvetica" w:cs="Helv"/>
          <w:color w:val="000000"/>
          <w:sz w:val="20"/>
          <w:szCs w:val="20"/>
        </w:rPr>
        <w:t>T</w:t>
      </w:r>
      <w:r w:rsidR="00A04B33" w:rsidRPr="00CF109B">
        <w:rPr>
          <w:rFonts w:ascii="Helvetica" w:hAnsi="Helvetica" w:cs="Helv"/>
          <w:color w:val="000000"/>
          <w:sz w:val="20"/>
          <w:szCs w:val="20"/>
        </w:rPr>
        <w:t xml:space="preserve">he maintenance of segregated positions throughout the custody chain </w:t>
      </w:r>
      <w:r w:rsidRPr="00635828">
        <w:rPr>
          <w:rFonts w:ascii="Helvetica" w:hAnsi="Helvetica" w:cs="Helv"/>
          <w:color w:val="000000"/>
          <w:sz w:val="20"/>
          <w:szCs w:val="20"/>
        </w:rPr>
        <w:t>is generally recognised as providing no meaningful benefit from the standpoint of asset safety</w:t>
      </w:r>
      <w:r w:rsidR="00A04B33" w:rsidRPr="00CF109B">
        <w:rPr>
          <w:rFonts w:ascii="Helvetica" w:hAnsi="Helvetica" w:cs="Helv"/>
          <w:color w:val="000000"/>
          <w:sz w:val="20"/>
          <w:szCs w:val="20"/>
        </w:rPr>
        <w:t>, including in the report of the Task Force on Adaptation to Cross-C</w:t>
      </w:r>
      <w:r w:rsidR="007F1D10" w:rsidRPr="00CF109B">
        <w:rPr>
          <w:rFonts w:ascii="Helvetica" w:hAnsi="Helvetica" w:cs="Helv"/>
          <w:color w:val="000000"/>
          <w:sz w:val="20"/>
          <w:szCs w:val="20"/>
        </w:rPr>
        <w:t>S</w:t>
      </w:r>
      <w:r w:rsidR="00A04B33" w:rsidRPr="00CF109B">
        <w:rPr>
          <w:rFonts w:ascii="Helvetica" w:hAnsi="Helvetica" w:cs="Helv"/>
          <w:color w:val="000000"/>
          <w:sz w:val="20"/>
          <w:szCs w:val="20"/>
        </w:rPr>
        <w:t>D Settlement in T2</w:t>
      </w:r>
      <w:r w:rsidR="007F1D10" w:rsidRPr="00CF109B">
        <w:rPr>
          <w:rFonts w:ascii="Helvetica" w:hAnsi="Helvetica" w:cs="Helv"/>
          <w:color w:val="000000"/>
          <w:sz w:val="20"/>
          <w:szCs w:val="20"/>
        </w:rPr>
        <w:t>S</w:t>
      </w:r>
      <w:r w:rsidR="00A04B33" w:rsidRPr="00CF109B">
        <w:rPr>
          <w:rFonts w:ascii="Helvetica" w:hAnsi="Helvetica" w:cs="Helv"/>
          <w:color w:val="000000"/>
          <w:sz w:val="20"/>
          <w:szCs w:val="20"/>
        </w:rPr>
        <w:t xml:space="preserve">.  Even if mandatory segregation throughout the custody chain </w:t>
      </w:r>
      <w:r>
        <w:rPr>
          <w:rFonts w:ascii="Helvetica" w:hAnsi="Helvetica" w:cs="Helv"/>
          <w:color w:val="000000"/>
          <w:sz w:val="20"/>
          <w:szCs w:val="20"/>
        </w:rPr>
        <w:t xml:space="preserve">for a category of clients </w:t>
      </w:r>
      <w:r w:rsidR="00A04B33" w:rsidRPr="00CF109B">
        <w:rPr>
          <w:rFonts w:ascii="Helvetica" w:hAnsi="Helvetica" w:cs="Helv"/>
          <w:color w:val="000000"/>
          <w:sz w:val="20"/>
          <w:szCs w:val="20"/>
        </w:rPr>
        <w:t>were operationally and safely feasible in the European Union, the imposition of a requirement to segregate beneficial ownership throughout the entire holding chain assumes a holding chain that is entirely subject to the jurisdictional control within the EU or which at least operates in a manner which is amenable to fulfilling such a requirement.  This may not be the case in respect of securities held via chains extending outside the EU.  In such cases, the imposition of segregation requirements may be frustrated by the operation of law or market practice outside the EU.</w:t>
      </w:r>
    </w:p>
    <w:p w:rsidR="00635828" w:rsidRPr="00CF109B" w:rsidRDefault="00635828" w:rsidP="00851DEE">
      <w:pPr>
        <w:pStyle w:val="ListParagraph"/>
        <w:numPr>
          <w:ilvl w:val="0"/>
          <w:numId w:val="3"/>
        </w:numPr>
        <w:autoSpaceDE w:val="0"/>
        <w:autoSpaceDN w:val="0"/>
        <w:adjustRightInd w:val="0"/>
        <w:spacing w:after="0" w:line="240" w:lineRule="auto"/>
        <w:rPr>
          <w:rFonts w:ascii="Helvetica" w:hAnsi="Helvetica" w:cs="Helv"/>
          <w:color w:val="000000"/>
          <w:sz w:val="20"/>
          <w:szCs w:val="20"/>
        </w:rPr>
      </w:pPr>
      <w:r w:rsidRPr="00635828">
        <w:rPr>
          <w:rFonts w:ascii="Helvetica" w:hAnsi="Helvetica" w:cs="Helv"/>
          <w:color w:val="000000"/>
          <w:sz w:val="20"/>
          <w:szCs w:val="20"/>
        </w:rPr>
        <w:t>Global custodians undertake rigorous procedures to assure asset safety, including by assessing the suitability of sub</w:t>
      </w:r>
      <w:r>
        <w:rPr>
          <w:rFonts w:ascii="Helvetica" w:hAnsi="Helvetica" w:cs="Helv"/>
          <w:color w:val="000000"/>
          <w:sz w:val="20"/>
          <w:szCs w:val="20"/>
        </w:rPr>
        <w:t>-</w:t>
      </w:r>
      <w:r w:rsidRPr="00635828">
        <w:rPr>
          <w:rFonts w:ascii="Helvetica" w:hAnsi="Helvetica" w:cs="Helv"/>
          <w:color w:val="000000"/>
          <w:sz w:val="20"/>
          <w:szCs w:val="20"/>
        </w:rPr>
        <w:t>custodians and making arrangements for holding intermediated securities that properly respond to local legal requirements in the jurisdictions where they are held. The usual practice of global custodians is to engage local lawyers to provide information about local insolvency laws and the recognition of segregation arrangements. If segregation of omnibus accounts by client category was a factor that would provide greater security in the case of the default of a sub</w:t>
      </w:r>
      <w:r>
        <w:rPr>
          <w:rFonts w:ascii="Helvetica" w:hAnsi="Helvetica" w:cs="Helv"/>
          <w:color w:val="000000"/>
          <w:sz w:val="20"/>
          <w:szCs w:val="20"/>
        </w:rPr>
        <w:t>-</w:t>
      </w:r>
      <w:r w:rsidRPr="00635828">
        <w:rPr>
          <w:rFonts w:ascii="Helvetica" w:hAnsi="Helvetica" w:cs="Helv"/>
          <w:color w:val="000000"/>
          <w:sz w:val="20"/>
          <w:szCs w:val="20"/>
        </w:rPr>
        <w:t>custodian, then we are sure that it would have arisen from such reviews, but that has not been our experience.</w:t>
      </w:r>
    </w:p>
    <w:p w:rsidR="00A04B33" w:rsidRPr="00CF109B" w:rsidRDefault="00A04B33" w:rsidP="00851DEE">
      <w:pPr>
        <w:autoSpaceDE w:val="0"/>
        <w:autoSpaceDN w:val="0"/>
        <w:adjustRightInd w:val="0"/>
        <w:spacing w:after="0" w:line="240" w:lineRule="auto"/>
        <w:ind w:left="1440"/>
        <w:rPr>
          <w:rFonts w:ascii="Helvetica" w:hAnsi="Helvetica" w:cs="Helv"/>
          <w:color w:val="000000"/>
          <w:sz w:val="20"/>
          <w:szCs w:val="20"/>
        </w:rPr>
      </w:pPr>
    </w:p>
    <w:p w:rsidR="0010036C" w:rsidRPr="00CF109B" w:rsidRDefault="0092526E" w:rsidP="00A04B33">
      <w:pPr>
        <w:autoSpaceDE w:val="0"/>
        <w:autoSpaceDN w:val="0"/>
        <w:adjustRightInd w:val="0"/>
        <w:spacing w:after="0" w:line="240" w:lineRule="auto"/>
        <w:ind w:left="720"/>
        <w:rPr>
          <w:rFonts w:ascii="Helvetica" w:hAnsi="Helvetica" w:cs="Helv"/>
          <w:color w:val="000000"/>
          <w:sz w:val="20"/>
          <w:szCs w:val="20"/>
        </w:rPr>
      </w:pPr>
      <w:r w:rsidRPr="00CF109B">
        <w:rPr>
          <w:rFonts w:ascii="Helvetica" w:hAnsi="Helvetica" w:cs="Helv"/>
          <w:color w:val="000000"/>
          <w:sz w:val="20"/>
          <w:szCs w:val="20"/>
        </w:rPr>
        <w:t>The Committee</w:t>
      </w:r>
      <w:r w:rsidR="00851DEE" w:rsidRPr="00CF109B">
        <w:rPr>
          <w:rFonts w:ascii="Helvetica" w:hAnsi="Helvetica" w:cs="Helv"/>
          <w:color w:val="000000"/>
          <w:sz w:val="20"/>
          <w:szCs w:val="20"/>
        </w:rPr>
        <w:t xml:space="preserve"> therefore disagree</w:t>
      </w:r>
      <w:r w:rsidRPr="00CF109B">
        <w:rPr>
          <w:rFonts w:ascii="Helvetica" w:hAnsi="Helvetica" w:cs="Helv"/>
          <w:color w:val="000000"/>
          <w:sz w:val="20"/>
          <w:szCs w:val="20"/>
        </w:rPr>
        <w:t>s</w:t>
      </w:r>
      <w:r w:rsidR="00851DEE" w:rsidRPr="00CF109B">
        <w:rPr>
          <w:rFonts w:ascii="Helvetica" w:hAnsi="Helvetica" w:cs="Helv"/>
          <w:color w:val="000000"/>
          <w:sz w:val="20"/>
          <w:szCs w:val="20"/>
        </w:rPr>
        <w:t xml:space="preserve"> with ESMA’s </w:t>
      </w:r>
      <w:r w:rsidR="00544F4F" w:rsidRPr="00CF109B">
        <w:rPr>
          <w:rFonts w:ascii="Helvetica" w:hAnsi="Helvetica" w:cs="Helv"/>
          <w:color w:val="000000"/>
          <w:sz w:val="20"/>
          <w:szCs w:val="20"/>
        </w:rPr>
        <w:t>contention</w:t>
      </w:r>
      <w:r w:rsidR="00851DEE" w:rsidRPr="00CF109B">
        <w:rPr>
          <w:rFonts w:ascii="Helvetica" w:hAnsi="Helvetica" w:cs="Helv"/>
          <w:color w:val="000000"/>
          <w:sz w:val="20"/>
          <w:szCs w:val="20"/>
        </w:rPr>
        <w:t xml:space="preserve"> that options 3 and 4 are “sub-optimal” on the basis that they would provide a “clearly lower level of investor protection given that they would have allowed a higher level of commingling of the assets of AIFs which might frustrate the recovery of assets in the event of a bankruptcy of a depositary or sub-depositary.”</w:t>
      </w:r>
      <w:r w:rsidR="00851DEE" w:rsidRPr="00CF109B">
        <w:rPr>
          <w:rStyle w:val="FootnoteReference"/>
          <w:rFonts w:ascii="Helvetica" w:hAnsi="Helvetica" w:cs="Helv"/>
          <w:color w:val="000000"/>
          <w:sz w:val="20"/>
          <w:szCs w:val="20"/>
        </w:rPr>
        <w:footnoteReference w:id="4"/>
      </w:r>
      <w:r w:rsidR="00544F4F" w:rsidRPr="00CF109B">
        <w:rPr>
          <w:rFonts w:ascii="Helvetica" w:hAnsi="Helvetica" w:cs="Helv"/>
          <w:color w:val="000000"/>
          <w:sz w:val="20"/>
          <w:szCs w:val="20"/>
        </w:rPr>
        <w:t xml:space="preserve"> </w:t>
      </w:r>
      <w:r w:rsidR="00CF109B">
        <w:rPr>
          <w:rFonts w:ascii="Helvetica" w:hAnsi="Helvetica" w:cs="Helv"/>
          <w:color w:val="000000"/>
          <w:sz w:val="20"/>
          <w:szCs w:val="20"/>
        </w:rPr>
        <w:t xml:space="preserve"> </w:t>
      </w:r>
      <w:r w:rsidRPr="00CF109B">
        <w:rPr>
          <w:rFonts w:ascii="Helvetica" w:hAnsi="Helvetica" w:cs="Helv"/>
          <w:color w:val="000000"/>
          <w:sz w:val="20"/>
          <w:szCs w:val="20"/>
        </w:rPr>
        <w:t>The Committee is</w:t>
      </w:r>
      <w:r w:rsidR="00A04B33" w:rsidRPr="00CF109B">
        <w:rPr>
          <w:rFonts w:ascii="Helvetica" w:hAnsi="Helvetica" w:cs="Helv"/>
          <w:color w:val="000000"/>
          <w:sz w:val="20"/>
          <w:szCs w:val="20"/>
        </w:rPr>
        <w:t xml:space="preserve"> of the view that the above-described approaches to delegation and segregation at the </w:t>
      </w:r>
      <w:r w:rsidR="00635828">
        <w:rPr>
          <w:rFonts w:ascii="Helvetica" w:hAnsi="Helvetica" w:cs="Helv"/>
          <w:color w:val="000000"/>
          <w:sz w:val="20"/>
          <w:szCs w:val="20"/>
        </w:rPr>
        <w:t>d</w:t>
      </w:r>
      <w:r w:rsidR="00A04B33" w:rsidRPr="00CF109B">
        <w:rPr>
          <w:rFonts w:ascii="Helvetica" w:hAnsi="Helvetica" w:cs="Helv"/>
          <w:color w:val="000000"/>
          <w:sz w:val="20"/>
          <w:szCs w:val="20"/>
        </w:rPr>
        <w:t xml:space="preserve">elegate and sub-delegate level as reflected above are valid interpretations of the requirements of the Directive and Level 2 Regulation.  </w:t>
      </w:r>
    </w:p>
    <w:p w:rsidR="00544F4F" w:rsidRPr="00CF109B" w:rsidRDefault="00544F4F" w:rsidP="00254581">
      <w:pPr>
        <w:autoSpaceDE w:val="0"/>
        <w:autoSpaceDN w:val="0"/>
        <w:adjustRightInd w:val="0"/>
        <w:spacing w:after="0" w:line="240" w:lineRule="auto"/>
        <w:ind w:left="720"/>
        <w:rPr>
          <w:rFonts w:ascii="Helvetica" w:hAnsi="Helvetica" w:cs="Helv"/>
          <w:color w:val="000000"/>
          <w:sz w:val="20"/>
          <w:szCs w:val="20"/>
        </w:rPr>
      </w:pPr>
    </w:p>
    <w:p w:rsidR="00544F4F" w:rsidRPr="00CF109B" w:rsidRDefault="00544F4F" w:rsidP="007F1D10">
      <w:pPr>
        <w:pStyle w:val="ListParagraph"/>
        <w:numPr>
          <w:ilvl w:val="0"/>
          <w:numId w:val="4"/>
        </w:numPr>
        <w:autoSpaceDE w:val="0"/>
        <w:autoSpaceDN w:val="0"/>
        <w:adjustRightInd w:val="0"/>
        <w:spacing w:after="0" w:line="240" w:lineRule="auto"/>
        <w:rPr>
          <w:rFonts w:ascii="Helvetica" w:hAnsi="Helvetica" w:cs="Helv"/>
          <w:color w:val="000000"/>
          <w:sz w:val="20"/>
          <w:szCs w:val="20"/>
          <w:u w:val="single"/>
        </w:rPr>
      </w:pPr>
      <w:r w:rsidRPr="00CF109B">
        <w:rPr>
          <w:rFonts w:ascii="Helvetica" w:hAnsi="Helvetica" w:cs="Helv"/>
          <w:color w:val="000000"/>
          <w:sz w:val="20"/>
          <w:szCs w:val="20"/>
          <w:u w:val="single"/>
        </w:rPr>
        <w:t xml:space="preserve">Interpretation and Application of Relevant Provisions of the </w:t>
      </w:r>
      <w:r w:rsidR="00C1195A">
        <w:rPr>
          <w:rFonts w:ascii="Helvetica" w:hAnsi="Helvetica" w:cs="Helv"/>
          <w:color w:val="000000"/>
          <w:sz w:val="20"/>
          <w:szCs w:val="20"/>
          <w:u w:val="single"/>
        </w:rPr>
        <w:t>AIFMD and its Implementing Measures</w:t>
      </w:r>
    </w:p>
    <w:p w:rsidR="00544F4F" w:rsidRPr="00CF109B" w:rsidRDefault="00544F4F" w:rsidP="00544F4F">
      <w:pPr>
        <w:autoSpaceDE w:val="0"/>
        <w:autoSpaceDN w:val="0"/>
        <w:adjustRightInd w:val="0"/>
        <w:spacing w:after="0" w:line="240" w:lineRule="auto"/>
        <w:ind w:left="720"/>
        <w:rPr>
          <w:rFonts w:ascii="Helvetica" w:hAnsi="Helvetica" w:cs="Helv"/>
          <w:color w:val="000000"/>
          <w:sz w:val="20"/>
          <w:szCs w:val="20"/>
        </w:rPr>
      </w:pPr>
    </w:p>
    <w:p w:rsidR="00544F4F" w:rsidRPr="00CF109B" w:rsidRDefault="00CF109B" w:rsidP="00544F4F">
      <w:pPr>
        <w:autoSpaceDE w:val="0"/>
        <w:autoSpaceDN w:val="0"/>
        <w:adjustRightInd w:val="0"/>
        <w:spacing w:after="0" w:line="240" w:lineRule="auto"/>
        <w:ind w:left="720"/>
        <w:rPr>
          <w:rFonts w:ascii="Helvetica" w:hAnsi="Helvetica" w:cs="Helv"/>
          <w:color w:val="000000"/>
          <w:sz w:val="20"/>
          <w:szCs w:val="20"/>
        </w:rPr>
      </w:pPr>
      <w:r>
        <w:rPr>
          <w:rFonts w:ascii="Helvetica" w:hAnsi="Helvetica" w:cs="Helv"/>
          <w:color w:val="000000"/>
          <w:sz w:val="20"/>
          <w:szCs w:val="20"/>
        </w:rPr>
        <w:t>T</w:t>
      </w:r>
      <w:r w:rsidR="0092526E" w:rsidRPr="00CF109B">
        <w:rPr>
          <w:rFonts w:ascii="Helvetica" w:hAnsi="Helvetica" w:cs="Helv"/>
          <w:color w:val="000000"/>
          <w:sz w:val="20"/>
          <w:szCs w:val="20"/>
        </w:rPr>
        <w:t xml:space="preserve">he Committee </w:t>
      </w:r>
      <w:r>
        <w:rPr>
          <w:rFonts w:ascii="Helvetica" w:hAnsi="Helvetica" w:cs="Helv"/>
          <w:color w:val="000000"/>
          <w:sz w:val="20"/>
          <w:szCs w:val="20"/>
        </w:rPr>
        <w:t xml:space="preserve">believes </w:t>
      </w:r>
      <w:r w:rsidR="00544F4F" w:rsidRPr="00CF109B">
        <w:rPr>
          <w:rFonts w:ascii="Helvetica" w:hAnsi="Helvetica" w:cs="Helv"/>
          <w:color w:val="000000"/>
          <w:sz w:val="20"/>
          <w:szCs w:val="20"/>
        </w:rPr>
        <w:t>that ESMA is positioned and empowered to provide necessary guidance on interpretation and application of the relevant provisions of the AIFMD</w:t>
      </w:r>
      <w:r w:rsidR="00C1195A">
        <w:rPr>
          <w:rFonts w:ascii="Helvetica" w:hAnsi="Helvetica" w:cs="Helv"/>
          <w:color w:val="000000"/>
          <w:sz w:val="20"/>
          <w:szCs w:val="20"/>
        </w:rPr>
        <w:t xml:space="preserve"> and its implementing measures</w:t>
      </w:r>
      <w:r w:rsidR="00544F4F" w:rsidRPr="00CF109B">
        <w:rPr>
          <w:rFonts w:ascii="Helvetica" w:hAnsi="Helvetica" w:cs="Helv"/>
          <w:color w:val="000000"/>
          <w:sz w:val="20"/>
          <w:szCs w:val="20"/>
        </w:rPr>
        <w:t xml:space="preserve">.  </w:t>
      </w:r>
      <w:r w:rsidR="00635828" w:rsidRPr="00635828">
        <w:rPr>
          <w:rFonts w:ascii="Helvetica" w:hAnsi="Helvetica" w:cs="Helv"/>
          <w:color w:val="000000"/>
          <w:sz w:val="20"/>
          <w:szCs w:val="20"/>
        </w:rPr>
        <w:t>ESMA’s guidance as to a “baseline scenario” would serve to ensure the minimum requirements necessary to protect investors.  We disagree that such an approach would lead to “greater uncertainty” for investors as to whether their interests are adequately protected</w:t>
      </w:r>
      <w:r w:rsidR="00635828">
        <w:rPr>
          <w:rStyle w:val="FootnoteReference"/>
          <w:rFonts w:ascii="Helvetica" w:hAnsi="Helvetica" w:cs="Helv"/>
          <w:color w:val="000000"/>
          <w:sz w:val="20"/>
          <w:szCs w:val="20"/>
        </w:rPr>
        <w:footnoteReference w:id="5"/>
      </w:r>
      <w:r w:rsidR="00635828" w:rsidRPr="00635828">
        <w:rPr>
          <w:rFonts w:ascii="Helvetica" w:hAnsi="Helvetica" w:cs="Helv"/>
          <w:color w:val="000000"/>
          <w:sz w:val="20"/>
          <w:szCs w:val="20"/>
        </w:rPr>
        <w:t>: greater certainty would be achieved if a minimum baseline is established.</w:t>
      </w:r>
      <w:r w:rsidR="00635828">
        <w:rPr>
          <w:rStyle w:val="FootnoteReference"/>
          <w:rFonts w:ascii="Helvetica" w:hAnsi="Helvetica" w:cs="Helv"/>
          <w:color w:val="000000"/>
          <w:sz w:val="20"/>
          <w:szCs w:val="20"/>
        </w:rPr>
        <w:footnoteReference w:id="6"/>
      </w:r>
    </w:p>
    <w:p w:rsidR="00544F4F" w:rsidRPr="00CF109B" w:rsidRDefault="00544F4F" w:rsidP="00254581">
      <w:pPr>
        <w:autoSpaceDE w:val="0"/>
        <w:autoSpaceDN w:val="0"/>
        <w:adjustRightInd w:val="0"/>
        <w:spacing w:after="0" w:line="240" w:lineRule="auto"/>
        <w:ind w:left="720"/>
        <w:rPr>
          <w:rFonts w:ascii="Helvetica" w:hAnsi="Helvetica" w:cs="Helv"/>
          <w:color w:val="000000"/>
          <w:sz w:val="20"/>
          <w:szCs w:val="20"/>
        </w:rPr>
      </w:pPr>
    </w:p>
    <w:p w:rsidR="005F2B6B" w:rsidRPr="00CF109B" w:rsidRDefault="00DA67D9" w:rsidP="00254581">
      <w:pPr>
        <w:autoSpaceDE w:val="0"/>
        <w:autoSpaceDN w:val="0"/>
        <w:adjustRightInd w:val="0"/>
        <w:spacing w:after="0" w:line="240" w:lineRule="auto"/>
        <w:ind w:left="720"/>
        <w:rPr>
          <w:rFonts w:ascii="Helvetica" w:hAnsi="Helvetica" w:cs="Helv"/>
          <w:color w:val="000000"/>
          <w:sz w:val="20"/>
          <w:szCs w:val="20"/>
        </w:rPr>
      </w:pPr>
      <w:r w:rsidRPr="00CF109B">
        <w:rPr>
          <w:rFonts w:ascii="Helvetica" w:hAnsi="Helvetica" w:cs="Helv"/>
          <w:color w:val="000000"/>
          <w:sz w:val="20"/>
          <w:szCs w:val="20"/>
        </w:rPr>
        <w:t>The Committee</w:t>
      </w:r>
      <w:r w:rsidR="005F2B6B" w:rsidRPr="00CF109B">
        <w:rPr>
          <w:rFonts w:ascii="Helvetica" w:hAnsi="Helvetica" w:cs="Helv"/>
          <w:color w:val="000000"/>
          <w:sz w:val="20"/>
          <w:szCs w:val="20"/>
        </w:rPr>
        <w:t xml:space="preserve"> note</w:t>
      </w:r>
      <w:r w:rsidRPr="00CF109B">
        <w:rPr>
          <w:rFonts w:ascii="Helvetica" w:hAnsi="Helvetica" w:cs="Helv"/>
          <w:color w:val="000000"/>
          <w:sz w:val="20"/>
          <w:szCs w:val="20"/>
        </w:rPr>
        <w:t>s</w:t>
      </w:r>
      <w:r w:rsidR="005F2B6B" w:rsidRPr="00CF109B">
        <w:rPr>
          <w:rFonts w:ascii="Helvetica" w:hAnsi="Helvetica" w:cs="Helv"/>
          <w:color w:val="000000"/>
          <w:sz w:val="20"/>
          <w:szCs w:val="20"/>
        </w:rPr>
        <w:t xml:space="preserve"> that ESMA wrote in the Consultation Paper that “</w:t>
      </w:r>
      <w:r w:rsidR="00C1195A">
        <w:rPr>
          <w:rFonts w:ascii="Helvetica" w:hAnsi="Helvetica" w:cs="Helv"/>
          <w:color w:val="000000"/>
          <w:sz w:val="20"/>
          <w:szCs w:val="20"/>
        </w:rPr>
        <w:t>O</w:t>
      </w:r>
      <w:r w:rsidR="005F2B6B" w:rsidRPr="00CF109B">
        <w:rPr>
          <w:rFonts w:ascii="Helvetica" w:hAnsi="Helvetica" w:cs="Helv"/>
          <w:color w:val="000000"/>
          <w:sz w:val="20"/>
          <w:szCs w:val="20"/>
        </w:rPr>
        <w:t>ptions 3-5 do not seem to be compatible with the provisions of the AIFMD and its implementing measures (the latter judgement having been based, inter alia, on the provisions of the Impact Assessment accompanying the Level 2 Regulation).”</w:t>
      </w:r>
      <w:r w:rsidR="005F2B6B" w:rsidRPr="00CF109B">
        <w:rPr>
          <w:rStyle w:val="FootnoteReference"/>
          <w:rFonts w:ascii="Helvetica" w:hAnsi="Helvetica" w:cs="Helv"/>
          <w:color w:val="000000"/>
          <w:sz w:val="20"/>
          <w:szCs w:val="20"/>
        </w:rPr>
        <w:footnoteReference w:id="7"/>
      </w:r>
      <w:r w:rsidR="005F2B6B" w:rsidRPr="00CF109B">
        <w:rPr>
          <w:rFonts w:ascii="Helvetica" w:hAnsi="Helvetica" w:cs="Helv"/>
          <w:color w:val="000000"/>
          <w:sz w:val="20"/>
          <w:szCs w:val="20"/>
        </w:rPr>
        <w:t xml:space="preserve">  We disagree that options 3-5 may be </w:t>
      </w:r>
      <w:r w:rsidR="00814C64" w:rsidRPr="00CF109B">
        <w:rPr>
          <w:rFonts w:ascii="Helvetica" w:hAnsi="Helvetica" w:cs="Helv"/>
          <w:color w:val="000000"/>
          <w:sz w:val="20"/>
          <w:szCs w:val="20"/>
        </w:rPr>
        <w:t>incompatible for the following reasons:</w:t>
      </w:r>
    </w:p>
    <w:p w:rsidR="005F2B6B" w:rsidRPr="00CF109B" w:rsidRDefault="005F2B6B" w:rsidP="00254581">
      <w:pPr>
        <w:autoSpaceDE w:val="0"/>
        <w:autoSpaceDN w:val="0"/>
        <w:adjustRightInd w:val="0"/>
        <w:spacing w:after="0" w:line="240" w:lineRule="auto"/>
        <w:ind w:left="720"/>
        <w:rPr>
          <w:rFonts w:ascii="Helvetica" w:hAnsi="Helvetica" w:cs="Helv"/>
          <w:color w:val="000000"/>
          <w:sz w:val="20"/>
          <w:szCs w:val="20"/>
        </w:rPr>
      </w:pPr>
    </w:p>
    <w:p w:rsidR="00814C64" w:rsidRPr="00CF109B" w:rsidRDefault="00814C64" w:rsidP="007F1D10">
      <w:pPr>
        <w:autoSpaceDE w:val="0"/>
        <w:autoSpaceDN w:val="0"/>
        <w:adjustRightInd w:val="0"/>
        <w:spacing w:after="0" w:line="240" w:lineRule="auto"/>
        <w:ind w:left="1440"/>
        <w:rPr>
          <w:rFonts w:ascii="Helvetica" w:hAnsi="Helvetica" w:cs="Helv"/>
          <w:color w:val="000000"/>
          <w:sz w:val="20"/>
          <w:szCs w:val="20"/>
        </w:rPr>
      </w:pPr>
      <w:proofErr w:type="gramStart"/>
      <w:r w:rsidRPr="00CF109B">
        <w:rPr>
          <w:rFonts w:ascii="Helvetica" w:hAnsi="Helvetica" w:cs="Helv"/>
          <w:color w:val="000000"/>
          <w:sz w:val="20"/>
          <w:szCs w:val="20"/>
        </w:rPr>
        <w:t>a</w:t>
      </w:r>
      <w:proofErr w:type="gramEnd"/>
      <w:r w:rsidR="00254581" w:rsidRPr="00CF109B">
        <w:rPr>
          <w:rFonts w:ascii="Helvetica" w:hAnsi="Helvetica" w:cs="Helv"/>
          <w:color w:val="000000"/>
          <w:sz w:val="20"/>
          <w:szCs w:val="20"/>
        </w:rPr>
        <w:t>. Article 99(1) of the Level 2 Regulation provides in relevant part</w:t>
      </w:r>
      <w:r w:rsidRPr="00CF109B">
        <w:rPr>
          <w:rFonts w:ascii="Helvetica" w:hAnsi="Helvetica" w:cs="Helv"/>
          <w:color w:val="000000"/>
          <w:sz w:val="20"/>
          <w:szCs w:val="20"/>
        </w:rPr>
        <w:t>:</w:t>
      </w:r>
    </w:p>
    <w:p w:rsidR="00814C64" w:rsidRPr="00CF109B" w:rsidRDefault="00814C64" w:rsidP="007F1D10">
      <w:pPr>
        <w:autoSpaceDE w:val="0"/>
        <w:autoSpaceDN w:val="0"/>
        <w:adjustRightInd w:val="0"/>
        <w:spacing w:after="0" w:line="240" w:lineRule="auto"/>
        <w:ind w:left="1440"/>
        <w:rPr>
          <w:rFonts w:ascii="Helvetica" w:hAnsi="Helvetica" w:cs="Helv"/>
          <w:color w:val="000000"/>
          <w:sz w:val="20"/>
          <w:szCs w:val="20"/>
        </w:rPr>
      </w:pPr>
    </w:p>
    <w:p w:rsidR="00254581" w:rsidRPr="00CF109B" w:rsidRDefault="00254581" w:rsidP="007F1D10">
      <w:pPr>
        <w:autoSpaceDE w:val="0"/>
        <w:autoSpaceDN w:val="0"/>
        <w:adjustRightInd w:val="0"/>
        <w:spacing w:after="0" w:line="240" w:lineRule="auto"/>
        <w:ind w:left="2160"/>
        <w:rPr>
          <w:rFonts w:ascii="Helvetica" w:hAnsi="Helvetica" w:cs="Helv"/>
          <w:color w:val="000000"/>
          <w:sz w:val="20"/>
          <w:szCs w:val="20"/>
        </w:rPr>
      </w:pPr>
      <w:r w:rsidRPr="00CF109B">
        <w:rPr>
          <w:rFonts w:ascii="Helvetica" w:hAnsi="Helvetica" w:cs="Helv"/>
          <w:color w:val="000000"/>
          <w:sz w:val="20"/>
          <w:szCs w:val="20"/>
        </w:rPr>
        <w:t>"</w:t>
      </w:r>
      <w:r w:rsidR="00814C64" w:rsidRPr="00CF109B">
        <w:rPr>
          <w:rFonts w:ascii="Helvetica" w:hAnsi="Helvetica" w:cs="Helv"/>
          <w:color w:val="000000"/>
          <w:sz w:val="20"/>
          <w:szCs w:val="20"/>
        </w:rPr>
        <w:t xml:space="preserve">. . . </w:t>
      </w:r>
      <w:r w:rsidRPr="00CF109B">
        <w:rPr>
          <w:rFonts w:ascii="Helvetica" w:hAnsi="Helvetica" w:cs="Helv"/>
          <w:color w:val="000000"/>
          <w:sz w:val="20"/>
          <w:szCs w:val="20"/>
        </w:rPr>
        <w:t>a depositary shall ensure that the third-party [the sub-custodian] . . . acts in accordance with the segregation obligation laid down in [Art 21(11</w:t>
      </w:r>
      <w:proofErr w:type="gramStart"/>
      <w:r w:rsidRPr="00CF109B">
        <w:rPr>
          <w:rFonts w:ascii="Helvetica" w:hAnsi="Helvetica" w:cs="Helv"/>
          <w:color w:val="000000"/>
          <w:sz w:val="20"/>
          <w:szCs w:val="20"/>
        </w:rPr>
        <w:t>)(</w:t>
      </w:r>
      <w:proofErr w:type="gramEnd"/>
      <w:r w:rsidRPr="00CF109B">
        <w:rPr>
          <w:rFonts w:ascii="Helvetica" w:hAnsi="Helvetica" w:cs="Helv"/>
          <w:color w:val="000000"/>
          <w:sz w:val="20"/>
          <w:szCs w:val="20"/>
        </w:rPr>
        <w:t xml:space="preserve">d)(iii) of Level 1] by verifying that the third party . . . keeps such records and accounts as are necessary to enable it at any time and without delay to distinguish assets of the depositary's AIF clients from . . . assets held for clients of the depositary which are not AIFs".   </w:t>
      </w:r>
    </w:p>
    <w:p w:rsidR="00254581" w:rsidRPr="00CF109B" w:rsidRDefault="00254581" w:rsidP="007F1D10">
      <w:pPr>
        <w:autoSpaceDE w:val="0"/>
        <w:autoSpaceDN w:val="0"/>
        <w:adjustRightInd w:val="0"/>
        <w:spacing w:after="0" w:line="240" w:lineRule="auto"/>
        <w:ind w:left="1440"/>
        <w:rPr>
          <w:rFonts w:ascii="Helvetica" w:hAnsi="Helvetica" w:cs="Helv"/>
          <w:color w:val="000000"/>
          <w:sz w:val="20"/>
          <w:szCs w:val="20"/>
        </w:rPr>
      </w:pPr>
    </w:p>
    <w:p w:rsidR="00254581" w:rsidRPr="00CF109B" w:rsidRDefault="00814C64" w:rsidP="007F1D10">
      <w:pPr>
        <w:autoSpaceDE w:val="0"/>
        <w:autoSpaceDN w:val="0"/>
        <w:adjustRightInd w:val="0"/>
        <w:spacing w:after="0" w:line="240" w:lineRule="auto"/>
        <w:ind w:left="1440"/>
        <w:rPr>
          <w:rFonts w:ascii="Helvetica" w:hAnsi="Helvetica" w:cs="Helv"/>
          <w:color w:val="000000"/>
          <w:sz w:val="20"/>
          <w:szCs w:val="20"/>
        </w:rPr>
      </w:pPr>
      <w:r w:rsidRPr="00CF109B">
        <w:rPr>
          <w:rFonts w:ascii="Helvetica" w:hAnsi="Helvetica" w:cs="Helv"/>
          <w:color w:val="000000"/>
          <w:sz w:val="20"/>
          <w:szCs w:val="20"/>
        </w:rPr>
        <w:t>b</w:t>
      </w:r>
      <w:r w:rsidR="00254581" w:rsidRPr="00CF109B">
        <w:rPr>
          <w:rFonts w:ascii="Helvetica" w:hAnsi="Helvetica" w:cs="Helv"/>
          <w:color w:val="000000"/>
          <w:sz w:val="20"/>
          <w:szCs w:val="20"/>
        </w:rPr>
        <w:t xml:space="preserve">. The proper reading of the above sentence is that the depositary (not necessarily the </w:t>
      </w:r>
      <w:r w:rsidRPr="00CF109B">
        <w:rPr>
          <w:rFonts w:ascii="Helvetica" w:hAnsi="Helvetica" w:cs="Helv"/>
          <w:color w:val="000000"/>
          <w:sz w:val="20"/>
          <w:szCs w:val="20"/>
        </w:rPr>
        <w:t>third-party</w:t>
      </w:r>
      <w:r w:rsidR="00254581" w:rsidRPr="00CF109B">
        <w:rPr>
          <w:rFonts w:ascii="Helvetica" w:hAnsi="Helvetica" w:cs="Helv"/>
          <w:color w:val="000000"/>
          <w:sz w:val="20"/>
          <w:szCs w:val="20"/>
        </w:rPr>
        <w:t>) must be able - at any time and without delay - to distinguish the assets of its AIF</w:t>
      </w:r>
      <w:r w:rsidR="00954020">
        <w:rPr>
          <w:rFonts w:ascii="Helvetica" w:hAnsi="Helvetica" w:cs="Helv"/>
          <w:color w:val="000000"/>
          <w:sz w:val="20"/>
          <w:szCs w:val="20"/>
        </w:rPr>
        <w:t xml:space="preserve"> client</w:t>
      </w:r>
      <w:r w:rsidR="00254581" w:rsidRPr="00CF109B">
        <w:rPr>
          <w:rFonts w:ascii="Helvetica" w:hAnsi="Helvetica" w:cs="Helv"/>
          <w:color w:val="000000"/>
          <w:sz w:val="20"/>
          <w:szCs w:val="20"/>
        </w:rPr>
        <w:t>s from its clients who are not AIFs</w:t>
      </w:r>
      <w:r w:rsidR="00954020">
        <w:rPr>
          <w:rFonts w:ascii="Helvetica" w:hAnsi="Helvetica" w:cs="Helv"/>
          <w:color w:val="000000"/>
          <w:sz w:val="20"/>
          <w:szCs w:val="20"/>
        </w:rPr>
        <w:t xml:space="preserve"> </w:t>
      </w:r>
      <w:r w:rsidR="00954020" w:rsidRPr="00954020">
        <w:rPr>
          <w:rFonts w:ascii="Helvetica" w:hAnsi="Helvetica" w:cs="Helv"/>
          <w:color w:val="000000"/>
          <w:sz w:val="20"/>
          <w:szCs w:val="20"/>
        </w:rPr>
        <w:t xml:space="preserve">by using the records and accounts of the third party; i.e., the records and accounts of the third party should support the depositary distinguishing the assets of AIF clients from, among other things, those of other clients of the depositary. </w:t>
      </w:r>
      <w:r w:rsidR="00954020">
        <w:rPr>
          <w:rFonts w:ascii="Helvetica" w:hAnsi="Helvetica" w:cs="Helv"/>
          <w:color w:val="000000"/>
          <w:sz w:val="20"/>
          <w:szCs w:val="20"/>
        </w:rPr>
        <w:t xml:space="preserve">The ability to distinguish assets of the depositary’s AIF clients from other clients </w:t>
      </w:r>
      <w:r w:rsidR="00954020" w:rsidRPr="00954020">
        <w:rPr>
          <w:rFonts w:ascii="Helvetica" w:hAnsi="Helvetica" w:cs="Helv"/>
          <w:color w:val="000000"/>
          <w:sz w:val="20"/>
          <w:szCs w:val="20"/>
        </w:rPr>
        <w:t xml:space="preserve">does not require the third party </w:t>
      </w:r>
      <w:r w:rsidR="00954020">
        <w:rPr>
          <w:rFonts w:ascii="Helvetica" w:hAnsi="Helvetica" w:cs="Helv"/>
          <w:color w:val="000000"/>
          <w:sz w:val="20"/>
          <w:szCs w:val="20"/>
        </w:rPr>
        <w:t xml:space="preserve">to put in place </w:t>
      </w:r>
      <w:r w:rsidR="00954020" w:rsidRPr="00954020">
        <w:rPr>
          <w:rFonts w:ascii="Helvetica" w:hAnsi="Helvetica" w:cs="Helv"/>
          <w:color w:val="000000"/>
          <w:sz w:val="20"/>
          <w:szCs w:val="20"/>
        </w:rPr>
        <w:t>account structures that are formally split between AIF</w:t>
      </w:r>
      <w:r w:rsidR="00574767">
        <w:rPr>
          <w:rFonts w:ascii="Helvetica" w:hAnsi="Helvetica" w:cs="Helv"/>
          <w:color w:val="000000"/>
          <w:sz w:val="20"/>
          <w:szCs w:val="20"/>
        </w:rPr>
        <w:t xml:space="preserve"> client</w:t>
      </w:r>
      <w:r w:rsidR="00954020" w:rsidRPr="00954020">
        <w:rPr>
          <w:rFonts w:ascii="Helvetica" w:hAnsi="Helvetica" w:cs="Helv"/>
          <w:color w:val="000000"/>
          <w:sz w:val="20"/>
          <w:szCs w:val="20"/>
        </w:rPr>
        <w:t>s and non-AIF</w:t>
      </w:r>
      <w:r w:rsidR="001E2EC3">
        <w:rPr>
          <w:rFonts w:ascii="Helvetica" w:hAnsi="Helvetica" w:cs="Helv"/>
          <w:color w:val="000000"/>
          <w:sz w:val="20"/>
          <w:szCs w:val="20"/>
        </w:rPr>
        <w:t xml:space="preserve"> </w:t>
      </w:r>
      <w:r w:rsidR="00574767">
        <w:rPr>
          <w:rFonts w:ascii="Helvetica" w:hAnsi="Helvetica" w:cs="Helv"/>
          <w:color w:val="000000"/>
          <w:sz w:val="20"/>
          <w:szCs w:val="20"/>
        </w:rPr>
        <w:t>client</w:t>
      </w:r>
      <w:r w:rsidR="00954020" w:rsidRPr="00954020">
        <w:rPr>
          <w:rFonts w:ascii="Helvetica" w:hAnsi="Helvetica" w:cs="Helv"/>
          <w:color w:val="000000"/>
          <w:sz w:val="20"/>
          <w:szCs w:val="20"/>
        </w:rPr>
        <w:t xml:space="preserve">s </w:t>
      </w:r>
      <w:r w:rsidR="00574767">
        <w:rPr>
          <w:rFonts w:ascii="Helvetica" w:hAnsi="Helvetica" w:cs="Helv"/>
          <w:color w:val="000000"/>
          <w:sz w:val="20"/>
          <w:szCs w:val="20"/>
        </w:rPr>
        <w:t>of</w:t>
      </w:r>
      <w:r w:rsidR="00954020" w:rsidRPr="00954020">
        <w:rPr>
          <w:rFonts w:ascii="Helvetica" w:hAnsi="Helvetica" w:cs="Helv"/>
          <w:color w:val="000000"/>
          <w:sz w:val="20"/>
          <w:szCs w:val="20"/>
        </w:rPr>
        <w:t xml:space="preserve"> the depositary</w:t>
      </w:r>
      <w:r w:rsidR="00254581" w:rsidRPr="00CF109B">
        <w:rPr>
          <w:rFonts w:ascii="Helvetica" w:hAnsi="Helvetica" w:cs="Helv"/>
          <w:color w:val="000000"/>
          <w:sz w:val="20"/>
          <w:szCs w:val="20"/>
        </w:rPr>
        <w:t xml:space="preserve">. </w:t>
      </w:r>
    </w:p>
    <w:p w:rsidR="00254581" w:rsidRPr="00CF109B" w:rsidRDefault="00254581" w:rsidP="007F1D10">
      <w:pPr>
        <w:autoSpaceDE w:val="0"/>
        <w:autoSpaceDN w:val="0"/>
        <w:adjustRightInd w:val="0"/>
        <w:spacing w:after="0" w:line="240" w:lineRule="auto"/>
        <w:ind w:left="1440"/>
        <w:rPr>
          <w:rFonts w:ascii="Helvetica" w:hAnsi="Helvetica" w:cs="Helv"/>
          <w:color w:val="000000"/>
          <w:sz w:val="20"/>
          <w:szCs w:val="20"/>
        </w:rPr>
      </w:pPr>
    </w:p>
    <w:p w:rsidR="00254581" w:rsidRPr="00CF109B" w:rsidRDefault="00814C64" w:rsidP="007F1D10">
      <w:pPr>
        <w:autoSpaceDE w:val="0"/>
        <w:autoSpaceDN w:val="0"/>
        <w:adjustRightInd w:val="0"/>
        <w:spacing w:after="0" w:line="240" w:lineRule="auto"/>
        <w:ind w:left="1440"/>
        <w:rPr>
          <w:rFonts w:ascii="Helvetica" w:hAnsi="Helvetica" w:cs="Helv"/>
          <w:color w:val="000000"/>
          <w:sz w:val="20"/>
          <w:szCs w:val="20"/>
        </w:rPr>
      </w:pPr>
      <w:r w:rsidRPr="00CF109B">
        <w:rPr>
          <w:rFonts w:ascii="Helvetica" w:hAnsi="Helvetica" w:cs="Helv"/>
          <w:color w:val="000000"/>
          <w:sz w:val="20"/>
          <w:szCs w:val="20"/>
        </w:rPr>
        <w:t>c</w:t>
      </w:r>
      <w:r w:rsidR="00254581" w:rsidRPr="00CF109B">
        <w:rPr>
          <w:rFonts w:ascii="Helvetica" w:hAnsi="Helvetica" w:cs="Helv"/>
          <w:color w:val="000000"/>
          <w:sz w:val="20"/>
          <w:szCs w:val="20"/>
        </w:rPr>
        <w:t xml:space="preserve">. This interpretation </w:t>
      </w:r>
      <w:r w:rsidR="00954020" w:rsidRPr="00954020">
        <w:rPr>
          <w:rFonts w:ascii="Helvetica" w:hAnsi="Helvetica" w:cs="Helv"/>
          <w:color w:val="000000"/>
          <w:sz w:val="20"/>
          <w:szCs w:val="20"/>
        </w:rPr>
        <w:t>coincides with the understanding that records and accounts must be maintained to provide</w:t>
      </w:r>
      <w:r w:rsidR="00254581" w:rsidRPr="00CF109B">
        <w:rPr>
          <w:rFonts w:ascii="Helvetica" w:hAnsi="Helvetica" w:cs="Helv"/>
          <w:color w:val="000000"/>
          <w:sz w:val="20"/>
          <w:szCs w:val="20"/>
        </w:rPr>
        <w:t xml:space="preserve"> meaningful protection to investors: depositaries must ensure reconciliations are conducted sufficiently and that the sub-custodians maintain accounts </w:t>
      </w:r>
      <w:r w:rsidR="00954020" w:rsidRPr="00954020">
        <w:rPr>
          <w:rFonts w:ascii="Helvetica" w:hAnsi="Helvetica" w:cs="Helv"/>
          <w:color w:val="000000"/>
          <w:sz w:val="20"/>
          <w:szCs w:val="20"/>
        </w:rPr>
        <w:t>which facilitate and do not frustrate the performance of the depositary’s own functions</w:t>
      </w:r>
      <w:r w:rsidR="00254581" w:rsidRPr="00CF109B">
        <w:rPr>
          <w:rFonts w:ascii="Helvetica" w:hAnsi="Helvetica" w:cs="Helv"/>
          <w:color w:val="000000"/>
          <w:sz w:val="20"/>
          <w:szCs w:val="20"/>
        </w:rPr>
        <w:t>.  Any of ESMA's Options will fail to protect investors if the depositary fails to ensure these two things.</w:t>
      </w:r>
    </w:p>
    <w:p w:rsidR="00DA67D9" w:rsidRPr="00CF109B" w:rsidRDefault="00DA67D9" w:rsidP="007F1D10">
      <w:pPr>
        <w:autoSpaceDE w:val="0"/>
        <w:autoSpaceDN w:val="0"/>
        <w:adjustRightInd w:val="0"/>
        <w:spacing w:after="0" w:line="240" w:lineRule="auto"/>
        <w:ind w:left="1440"/>
        <w:rPr>
          <w:rFonts w:ascii="Helvetica" w:hAnsi="Helvetica" w:cs="Helv"/>
          <w:color w:val="000000"/>
          <w:sz w:val="20"/>
          <w:szCs w:val="20"/>
        </w:rPr>
      </w:pPr>
    </w:p>
    <w:p w:rsidR="00814C64" w:rsidRPr="00CF109B" w:rsidRDefault="00814C64" w:rsidP="007F1D10">
      <w:pPr>
        <w:autoSpaceDE w:val="0"/>
        <w:autoSpaceDN w:val="0"/>
        <w:adjustRightInd w:val="0"/>
        <w:spacing w:after="0" w:line="240" w:lineRule="auto"/>
        <w:ind w:left="1440"/>
        <w:rPr>
          <w:rFonts w:ascii="Helvetica" w:hAnsi="Helvetica" w:cs="Helv"/>
          <w:color w:val="000000"/>
          <w:sz w:val="20"/>
          <w:szCs w:val="20"/>
        </w:rPr>
      </w:pPr>
      <w:r w:rsidRPr="00CF109B">
        <w:rPr>
          <w:rFonts w:ascii="Helvetica" w:hAnsi="Helvetica" w:cs="Helv"/>
          <w:color w:val="000000"/>
          <w:sz w:val="20"/>
          <w:szCs w:val="20"/>
        </w:rPr>
        <w:t xml:space="preserve">d. In particular, </w:t>
      </w:r>
      <w:r w:rsidR="00DA67D9" w:rsidRPr="00CF109B">
        <w:rPr>
          <w:rFonts w:ascii="Helvetica" w:hAnsi="Helvetica" w:cs="Helv"/>
          <w:color w:val="000000"/>
          <w:sz w:val="20"/>
          <w:szCs w:val="20"/>
        </w:rPr>
        <w:t>the Committee</w:t>
      </w:r>
      <w:r w:rsidRPr="00CF109B">
        <w:rPr>
          <w:rFonts w:ascii="Helvetica" w:hAnsi="Helvetica" w:cs="Helv"/>
          <w:color w:val="000000"/>
          <w:sz w:val="20"/>
          <w:szCs w:val="20"/>
        </w:rPr>
        <w:t xml:space="preserve"> disagree</w:t>
      </w:r>
      <w:r w:rsidR="00DA67D9" w:rsidRPr="00CF109B">
        <w:rPr>
          <w:rFonts w:ascii="Helvetica" w:hAnsi="Helvetica" w:cs="Helv"/>
          <w:color w:val="000000"/>
          <w:sz w:val="20"/>
          <w:szCs w:val="20"/>
        </w:rPr>
        <w:t>s</w:t>
      </w:r>
      <w:r w:rsidRPr="00CF109B">
        <w:rPr>
          <w:rFonts w:ascii="Helvetica" w:hAnsi="Helvetica" w:cs="Helv"/>
          <w:color w:val="000000"/>
          <w:sz w:val="20"/>
          <w:szCs w:val="20"/>
        </w:rPr>
        <w:t xml:space="preserve"> with ESMA’s conclusion that </w:t>
      </w:r>
      <w:r w:rsidR="00DA67D9" w:rsidRPr="00CF109B">
        <w:rPr>
          <w:rFonts w:ascii="Helvetica" w:hAnsi="Helvetica" w:cs="Helv"/>
          <w:color w:val="000000"/>
          <w:sz w:val="20"/>
          <w:szCs w:val="20"/>
        </w:rPr>
        <w:t>O</w:t>
      </w:r>
      <w:r w:rsidRPr="00CF109B">
        <w:rPr>
          <w:rFonts w:ascii="Helvetica" w:hAnsi="Helvetica" w:cs="Helv"/>
          <w:color w:val="000000"/>
          <w:sz w:val="20"/>
          <w:szCs w:val="20"/>
        </w:rPr>
        <w:t>ption 1 “provides for a high standard in terms of investor protection” on the basis that it would best “limit the exposure of the AIF investors to the risk of the bankruptcy of third parties (such as other depositaries or non-AIF entities)”.</w:t>
      </w:r>
      <w:r w:rsidRPr="00CF109B">
        <w:rPr>
          <w:rStyle w:val="FootnoteReference"/>
          <w:rFonts w:ascii="Helvetica" w:hAnsi="Helvetica" w:cs="Helv"/>
          <w:color w:val="000000"/>
          <w:sz w:val="20"/>
          <w:szCs w:val="20"/>
        </w:rPr>
        <w:footnoteReference w:id="8"/>
      </w:r>
      <w:r w:rsidRPr="00CF109B">
        <w:rPr>
          <w:rFonts w:ascii="Helvetica" w:hAnsi="Helvetica" w:cs="Helv"/>
          <w:color w:val="000000"/>
          <w:sz w:val="20"/>
          <w:szCs w:val="20"/>
        </w:rPr>
        <w:t xml:space="preserve">  None of the cited examples in the Commission’s consultation on hedge funds lead</w:t>
      </w:r>
      <w:r w:rsidR="00DA67D9" w:rsidRPr="00CF109B">
        <w:rPr>
          <w:rFonts w:ascii="Helvetica" w:hAnsi="Helvetica" w:cs="Helv"/>
          <w:color w:val="000000"/>
          <w:sz w:val="20"/>
          <w:szCs w:val="20"/>
        </w:rPr>
        <w:t>s</w:t>
      </w:r>
      <w:r w:rsidRPr="00CF109B">
        <w:rPr>
          <w:rFonts w:ascii="Helvetica" w:hAnsi="Helvetica" w:cs="Helv"/>
          <w:color w:val="000000"/>
          <w:sz w:val="20"/>
          <w:szCs w:val="20"/>
        </w:rPr>
        <w:t xml:space="preserve"> to this conclusion.  </w:t>
      </w:r>
      <w:r w:rsidR="00A90973" w:rsidRPr="00CF109B">
        <w:rPr>
          <w:rFonts w:ascii="Helvetica" w:hAnsi="Helvetica" w:cs="Helv"/>
          <w:color w:val="000000"/>
          <w:sz w:val="20"/>
          <w:szCs w:val="20"/>
        </w:rPr>
        <w:t>Indeed, if there is “misuse [of client assets, e.g., to settle obligations of another client] or insolvency of a custodian”</w:t>
      </w:r>
      <w:r w:rsidR="00A90973" w:rsidRPr="00CF109B">
        <w:rPr>
          <w:rStyle w:val="FootnoteReference"/>
          <w:rFonts w:ascii="Helvetica" w:hAnsi="Helvetica" w:cs="Helv"/>
          <w:color w:val="000000"/>
          <w:sz w:val="20"/>
          <w:szCs w:val="20"/>
        </w:rPr>
        <w:footnoteReference w:id="9"/>
      </w:r>
      <w:r w:rsidR="00A90973" w:rsidRPr="00CF109B">
        <w:rPr>
          <w:rFonts w:ascii="Helvetica" w:hAnsi="Helvetica" w:cs="Helv"/>
          <w:color w:val="000000"/>
          <w:sz w:val="20"/>
          <w:szCs w:val="20"/>
        </w:rPr>
        <w:t>, none of ESMA’s options would mitigate or obviate the consequences. The risks would be addressed if the depositary “ensures” it can determine and allocate customer (AIF) positions in its own books and records through appropriate reconciliations with the third-party delegates and through ensuring that the third party maintains accounts through oversight and due diligence processes.  We similarly question ESMA’s subsequent conclusions regarding the benefits of Option 2 and Option 3.</w:t>
      </w:r>
    </w:p>
    <w:p w:rsidR="00254581" w:rsidRPr="00CF109B" w:rsidRDefault="00254581" w:rsidP="007F1D10">
      <w:pPr>
        <w:autoSpaceDE w:val="0"/>
        <w:autoSpaceDN w:val="0"/>
        <w:adjustRightInd w:val="0"/>
        <w:spacing w:after="0" w:line="240" w:lineRule="auto"/>
        <w:ind w:left="1440"/>
        <w:rPr>
          <w:rFonts w:ascii="Helvetica" w:hAnsi="Helvetica" w:cs="Helv"/>
          <w:color w:val="000000"/>
          <w:sz w:val="20"/>
          <w:szCs w:val="20"/>
        </w:rPr>
      </w:pPr>
    </w:p>
    <w:p w:rsidR="00254581" w:rsidRPr="00CF109B" w:rsidRDefault="007F1D10" w:rsidP="007F1D10">
      <w:pPr>
        <w:autoSpaceDE w:val="0"/>
        <w:autoSpaceDN w:val="0"/>
        <w:adjustRightInd w:val="0"/>
        <w:spacing w:after="0" w:line="240" w:lineRule="auto"/>
        <w:ind w:left="1440"/>
        <w:rPr>
          <w:rFonts w:ascii="Helvetica" w:hAnsi="Helvetica" w:cs="Helv"/>
          <w:color w:val="000000"/>
          <w:sz w:val="20"/>
          <w:szCs w:val="20"/>
        </w:rPr>
      </w:pPr>
      <w:r w:rsidRPr="00CF109B">
        <w:rPr>
          <w:rFonts w:ascii="Helvetica" w:hAnsi="Helvetica" w:cs="Helv"/>
          <w:color w:val="000000"/>
          <w:sz w:val="20"/>
          <w:szCs w:val="20"/>
        </w:rPr>
        <w:t>e</w:t>
      </w:r>
      <w:r w:rsidR="00254581" w:rsidRPr="00CF109B">
        <w:rPr>
          <w:rFonts w:ascii="Helvetica" w:hAnsi="Helvetica" w:cs="Helv"/>
          <w:color w:val="000000"/>
          <w:sz w:val="20"/>
          <w:szCs w:val="20"/>
        </w:rPr>
        <w:t xml:space="preserve">. </w:t>
      </w:r>
      <w:r w:rsidR="00DA67D9" w:rsidRPr="00CF109B">
        <w:rPr>
          <w:rFonts w:ascii="Helvetica" w:hAnsi="Helvetica" w:cs="Helv"/>
          <w:color w:val="000000"/>
          <w:sz w:val="20"/>
          <w:szCs w:val="20"/>
        </w:rPr>
        <w:t>The Committee also is of the view</w:t>
      </w:r>
      <w:r w:rsidR="00814C64" w:rsidRPr="00CF109B">
        <w:rPr>
          <w:rFonts w:ascii="Helvetica" w:hAnsi="Helvetica" w:cs="Helv"/>
          <w:color w:val="000000"/>
          <w:sz w:val="20"/>
          <w:szCs w:val="20"/>
        </w:rPr>
        <w:t xml:space="preserve"> that </w:t>
      </w:r>
      <w:r w:rsidR="00254581" w:rsidRPr="00CF109B">
        <w:rPr>
          <w:rFonts w:ascii="Helvetica" w:hAnsi="Helvetica" w:cs="Helv"/>
          <w:color w:val="000000"/>
          <w:sz w:val="20"/>
          <w:szCs w:val="20"/>
        </w:rPr>
        <w:t xml:space="preserve">ESMA's reading of recital 40 of AIFMD Level 1 </w:t>
      </w:r>
      <w:r w:rsidR="00814C64" w:rsidRPr="00CF109B">
        <w:rPr>
          <w:rFonts w:ascii="Helvetica" w:hAnsi="Helvetica" w:cs="Helv"/>
          <w:color w:val="000000"/>
          <w:sz w:val="20"/>
          <w:szCs w:val="20"/>
        </w:rPr>
        <w:t xml:space="preserve">- </w:t>
      </w:r>
      <w:r w:rsidR="00254581" w:rsidRPr="00CF109B">
        <w:rPr>
          <w:rFonts w:ascii="Helvetica" w:hAnsi="Helvetica" w:cs="Helv"/>
          <w:color w:val="000000"/>
          <w:sz w:val="20"/>
          <w:szCs w:val="20"/>
        </w:rPr>
        <w:t xml:space="preserve">which speaks to the delegated third party being able to "hold an account for multiple AIFs" (see </w:t>
      </w:r>
      <w:proofErr w:type="spellStart"/>
      <w:r w:rsidR="00254581" w:rsidRPr="00CF109B">
        <w:rPr>
          <w:rFonts w:ascii="Helvetica" w:hAnsi="Helvetica" w:cs="Helv"/>
          <w:color w:val="000000"/>
          <w:sz w:val="20"/>
          <w:szCs w:val="20"/>
        </w:rPr>
        <w:t>para</w:t>
      </w:r>
      <w:proofErr w:type="spellEnd"/>
      <w:r w:rsidR="00254581" w:rsidRPr="00CF109B">
        <w:rPr>
          <w:rFonts w:ascii="Helvetica" w:hAnsi="Helvetica" w:cs="Helv"/>
          <w:color w:val="000000"/>
          <w:sz w:val="20"/>
          <w:szCs w:val="20"/>
        </w:rPr>
        <w:t xml:space="preserve"> 17 of ESMA's consultation)</w:t>
      </w:r>
      <w:r w:rsidR="00814C64" w:rsidRPr="00CF109B">
        <w:rPr>
          <w:rFonts w:ascii="Helvetica" w:hAnsi="Helvetica" w:cs="Helv"/>
          <w:color w:val="000000"/>
          <w:sz w:val="20"/>
          <w:szCs w:val="20"/>
        </w:rPr>
        <w:t xml:space="preserve"> – </w:t>
      </w:r>
      <w:r w:rsidR="00954020" w:rsidRPr="00954020">
        <w:rPr>
          <w:rFonts w:ascii="Helvetica" w:hAnsi="Helvetica" w:cs="Helv"/>
          <w:color w:val="000000"/>
          <w:sz w:val="20"/>
          <w:szCs w:val="20"/>
        </w:rPr>
        <w:t>is unduly narrow</w:t>
      </w:r>
      <w:r w:rsidR="00254581" w:rsidRPr="00CF109B">
        <w:rPr>
          <w:rFonts w:ascii="Helvetica" w:hAnsi="Helvetica" w:cs="Helv"/>
          <w:color w:val="000000"/>
          <w:sz w:val="20"/>
          <w:szCs w:val="20"/>
        </w:rPr>
        <w:t xml:space="preserve">.  </w:t>
      </w:r>
      <w:r w:rsidR="00954020">
        <w:rPr>
          <w:rFonts w:ascii="Helvetica" w:hAnsi="Helvetica" w:cs="Helv"/>
          <w:color w:val="000000"/>
          <w:sz w:val="20"/>
          <w:szCs w:val="20"/>
        </w:rPr>
        <w:t>We suggest that r</w:t>
      </w:r>
      <w:r w:rsidR="00254581" w:rsidRPr="00CF109B">
        <w:rPr>
          <w:rFonts w:ascii="Helvetica" w:hAnsi="Helvetica" w:cs="Helv"/>
          <w:color w:val="000000"/>
          <w:sz w:val="20"/>
          <w:szCs w:val="20"/>
        </w:rPr>
        <w:t>ecital 40 as written does not preclude an omnibus account that includes non-AIFs</w:t>
      </w:r>
      <w:r w:rsidR="00954020" w:rsidRPr="00954020">
        <w:rPr>
          <w:rFonts w:ascii="Helvetica" w:hAnsi="Helvetica" w:cs="Helv"/>
          <w:color w:val="000000"/>
          <w:sz w:val="20"/>
          <w:szCs w:val="20"/>
        </w:rPr>
        <w:t>, but refers to AIFs simply because that is the focus of the Directive and the legislators were not making rules for non-AIFs through it</w:t>
      </w:r>
      <w:r w:rsidR="00254581" w:rsidRPr="00CF109B">
        <w:rPr>
          <w:rFonts w:ascii="Helvetica" w:hAnsi="Helvetica" w:cs="Helv"/>
          <w:color w:val="000000"/>
          <w:sz w:val="20"/>
          <w:szCs w:val="20"/>
        </w:rPr>
        <w:t>.</w:t>
      </w:r>
    </w:p>
    <w:p w:rsidR="00DB3457" w:rsidRDefault="00DB3457">
      <w:pPr>
        <w:rPr>
          <w:rFonts w:ascii="Helvetica" w:hAnsi="Helvetica" w:cs="Helv"/>
          <w:color w:val="000000"/>
          <w:sz w:val="20"/>
          <w:szCs w:val="20"/>
        </w:rPr>
      </w:pPr>
      <w:r>
        <w:rPr>
          <w:rFonts w:ascii="Helvetica" w:hAnsi="Helvetica" w:cs="Helv"/>
          <w:color w:val="000000"/>
          <w:sz w:val="20"/>
          <w:szCs w:val="20"/>
        </w:rPr>
        <w:br w:type="page"/>
      </w:r>
    </w:p>
    <w:p w:rsidR="00B12934" w:rsidRPr="00CF109B" w:rsidRDefault="00814C64" w:rsidP="007F1D10">
      <w:pPr>
        <w:pStyle w:val="ListParagraph"/>
        <w:numPr>
          <w:ilvl w:val="0"/>
          <w:numId w:val="4"/>
        </w:numPr>
        <w:autoSpaceDE w:val="0"/>
        <w:autoSpaceDN w:val="0"/>
        <w:adjustRightInd w:val="0"/>
        <w:spacing w:after="0" w:line="240" w:lineRule="auto"/>
        <w:rPr>
          <w:rFonts w:ascii="Helvetica" w:hAnsi="Helvetica" w:cs="Helv"/>
          <w:color w:val="000000"/>
          <w:sz w:val="20"/>
          <w:szCs w:val="20"/>
          <w:u w:val="single"/>
        </w:rPr>
      </w:pPr>
      <w:r w:rsidRPr="00CF109B">
        <w:rPr>
          <w:rFonts w:ascii="Helvetica" w:hAnsi="Helvetica" w:cs="Helv"/>
          <w:color w:val="000000"/>
          <w:sz w:val="20"/>
          <w:szCs w:val="20"/>
          <w:u w:val="single"/>
        </w:rPr>
        <w:lastRenderedPageBreak/>
        <w:t>Alternative Options</w:t>
      </w:r>
    </w:p>
    <w:p w:rsidR="00814C64" w:rsidRPr="00CF109B" w:rsidRDefault="00814C64" w:rsidP="007F1D10">
      <w:pPr>
        <w:autoSpaceDE w:val="0"/>
        <w:autoSpaceDN w:val="0"/>
        <w:adjustRightInd w:val="0"/>
        <w:spacing w:after="0" w:line="240" w:lineRule="auto"/>
        <w:ind w:left="720"/>
        <w:rPr>
          <w:rFonts w:ascii="Helvetica" w:hAnsi="Helvetica" w:cs="Helv"/>
          <w:color w:val="000000"/>
          <w:sz w:val="20"/>
          <w:szCs w:val="20"/>
        </w:rPr>
      </w:pPr>
    </w:p>
    <w:p w:rsidR="00814C64" w:rsidRPr="00CF109B" w:rsidRDefault="007F1D10" w:rsidP="007F1D10">
      <w:pPr>
        <w:autoSpaceDE w:val="0"/>
        <w:autoSpaceDN w:val="0"/>
        <w:adjustRightInd w:val="0"/>
        <w:spacing w:after="0" w:line="240" w:lineRule="auto"/>
        <w:ind w:left="720"/>
        <w:rPr>
          <w:rFonts w:ascii="Helvetica" w:hAnsi="Helvetica" w:cs="Helv"/>
          <w:color w:val="000000"/>
          <w:sz w:val="20"/>
          <w:szCs w:val="20"/>
        </w:rPr>
      </w:pPr>
      <w:r w:rsidRPr="00CF109B">
        <w:rPr>
          <w:rFonts w:ascii="Helvetica" w:hAnsi="Helvetica" w:cs="Helv"/>
          <w:color w:val="000000"/>
          <w:sz w:val="20"/>
          <w:szCs w:val="20"/>
        </w:rPr>
        <w:t xml:space="preserve">Because of </w:t>
      </w:r>
      <w:r w:rsidR="00095BB0" w:rsidRPr="00CF109B">
        <w:rPr>
          <w:rFonts w:ascii="Helvetica" w:hAnsi="Helvetica" w:cs="Helv"/>
          <w:color w:val="000000"/>
          <w:sz w:val="20"/>
          <w:szCs w:val="20"/>
        </w:rPr>
        <w:t>the Committee’s</w:t>
      </w:r>
      <w:r w:rsidRPr="00CF109B">
        <w:rPr>
          <w:rFonts w:ascii="Helvetica" w:hAnsi="Helvetica" w:cs="Helv"/>
          <w:color w:val="000000"/>
          <w:sz w:val="20"/>
          <w:szCs w:val="20"/>
        </w:rPr>
        <w:t xml:space="preserve"> views expressed above regarding how to achieve investor protection </w:t>
      </w:r>
      <w:r w:rsidR="00095BB0" w:rsidRPr="00CF109B">
        <w:rPr>
          <w:rFonts w:ascii="Helvetica" w:hAnsi="Helvetica" w:cs="Helv"/>
          <w:color w:val="000000"/>
          <w:sz w:val="20"/>
          <w:szCs w:val="20"/>
        </w:rPr>
        <w:t>in</w:t>
      </w:r>
      <w:r w:rsidRPr="00CF109B">
        <w:rPr>
          <w:rFonts w:ascii="Helvetica" w:hAnsi="Helvetica" w:cs="Helv"/>
          <w:color w:val="000000"/>
          <w:sz w:val="20"/>
          <w:szCs w:val="20"/>
        </w:rPr>
        <w:t xml:space="preserve"> respect </w:t>
      </w:r>
      <w:r w:rsidR="00095BB0" w:rsidRPr="00CF109B">
        <w:rPr>
          <w:rFonts w:ascii="Helvetica" w:hAnsi="Helvetica" w:cs="Helv"/>
          <w:color w:val="000000"/>
          <w:sz w:val="20"/>
          <w:szCs w:val="20"/>
        </w:rPr>
        <w:t>of</w:t>
      </w:r>
      <w:r w:rsidRPr="00CF109B">
        <w:rPr>
          <w:rFonts w:ascii="Helvetica" w:hAnsi="Helvetica" w:cs="Helv"/>
          <w:color w:val="000000"/>
          <w:sz w:val="20"/>
          <w:szCs w:val="20"/>
        </w:rPr>
        <w:t xml:space="preserve"> protecting the safety and integrity of AIF assets through the chain of custody, as well as how to interpret the Level 1 and Level 2 texts of AIFMD, </w:t>
      </w:r>
      <w:r w:rsidR="00814C64" w:rsidRPr="00CF109B">
        <w:rPr>
          <w:rFonts w:ascii="Helvetica" w:hAnsi="Helvetica" w:cs="Helv"/>
          <w:color w:val="000000"/>
          <w:sz w:val="20"/>
          <w:szCs w:val="20"/>
        </w:rPr>
        <w:t xml:space="preserve">we believe that any of the options presented by ESMA in its Consultation Paper would </w:t>
      </w:r>
      <w:r w:rsidR="00CF109B">
        <w:rPr>
          <w:rFonts w:ascii="Helvetica" w:hAnsi="Helvetica" w:cs="Helv"/>
          <w:color w:val="000000"/>
          <w:sz w:val="20"/>
          <w:szCs w:val="20"/>
        </w:rPr>
        <w:t>be permissible under</w:t>
      </w:r>
      <w:r w:rsidR="00814C64" w:rsidRPr="00CF109B">
        <w:rPr>
          <w:rFonts w:ascii="Helvetica" w:hAnsi="Helvetica" w:cs="Helv"/>
          <w:color w:val="000000"/>
          <w:sz w:val="20"/>
          <w:szCs w:val="20"/>
        </w:rPr>
        <w:t xml:space="preserve"> the relevant provisions of the AIFMD Directive and Level 2 Regulation so long as </w:t>
      </w:r>
      <w:r w:rsidRPr="00CF109B">
        <w:rPr>
          <w:rFonts w:ascii="Helvetica" w:hAnsi="Helvetica" w:cs="Helv"/>
          <w:color w:val="000000"/>
          <w:sz w:val="20"/>
          <w:szCs w:val="20"/>
        </w:rPr>
        <w:t>the Depositary’s duties set out in Article 99(1)(a) of the Level 2 Regulation are “ensured”.</w:t>
      </w:r>
      <w:r w:rsidR="00C1195A">
        <w:rPr>
          <w:rFonts w:ascii="Helvetica" w:hAnsi="Helvetica" w:cs="Helv"/>
          <w:color w:val="000000"/>
          <w:sz w:val="20"/>
          <w:szCs w:val="20"/>
        </w:rPr>
        <w:t xml:space="preserve"> Option 4 is clearly preferred as providing the most flexibility and efficiency</w:t>
      </w:r>
      <w:r w:rsidR="00574767">
        <w:rPr>
          <w:rFonts w:ascii="Helvetica" w:hAnsi="Helvetica" w:cs="Helv"/>
          <w:color w:val="000000"/>
          <w:sz w:val="20"/>
          <w:szCs w:val="20"/>
        </w:rPr>
        <w:t xml:space="preserve"> </w:t>
      </w:r>
      <w:r w:rsidR="00C1195A">
        <w:rPr>
          <w:rFonts w:ascii="Helvetica" w:hAnsi="Helvetica" w:cs="Helv"/>
          <w:color w:val="000000"/>
          <w:sz w:val="20"/>
          <w:szCs w:val="20"/>
        </w:rPr>
        <w:t xml:space="preserve">while </w:t>
      </w:r>
      <w:r w:rsidR="00574767">
        <w:rPr>
          <w:rFonts w:ascii="Helvetica" w:hAnsi="Helvetica" w:cs="Helv"/>
          <w:color w:val="000000"/>
          <w:sz w:val="20"/>
          <w:szCs w:val="20"/>
        </w:rPr>
        <w:t xml:space="preserve">also </w:t>
      </w:r>
      <w:r w:rsidR="00C1195A">
        <w:rPr>
          <w:rFonts w:ascii="Helvetica" w:hAnsi="Helvetica" w:cs="Helv"/>
          <w:color w:val="000000"/>
          <w:sz w:val="20"/>
          <w:szCs w:val="20"/>
        </w:rPr>
        <w:t xml:space="preserve">ensuring investor protection.  </w:t>
      </w:r>
    </w:p>
    <w:p w:rsidR="00814C64" w:rsidRPr="00CF109B" w:rsidRDefault="00814C64" w:rsidP="00254581">
      <w:pPr>
        <w:autoSpaceDE w:val="0"/>
        <w:autoSpaceDN w:val="0"/>
        <w:adjustRightInd w:val="0"/>
        <w:spacing w:after="0" w:line="240" w:lineRule="auto"/>
        <w:rPr>
          <w:rFonts w:ascii="Helvetica" w:hAnsi="Helvetica" w:cs="Helv"/>
          <w:color w:val="000000"/>
          <w:sz w:val="20"/>
          <w:szCs w:val="20"/>
        </w:rPr>
      </w:pPr>
    </w:p>
    <w:p w:rsidR="002D083B" w:rsidRPr="00CF109B" w:rsidRDefault="002D083B" w:rsidP="002D083B">
      <w:pPr>
        <w:autoSpaceDE w:val="0"/>
        <w:autoSpaceDN w:val="0"/>
        <w:adjustRightInd w:val="0"/>
        <w:spacing w:after="0" w:line="240" w:lineRule="auto"/>
        <w:rPr>
          <w:rFonts w:ascii="Helvetica" w:hAnsi="Helvetica" w:cs="Helv"/>
          <w:b/>
          <w:color w:val="000000"/>
          <w:sz w:val="20"/>
          <w:szCs w:val="20"/>
        </w:rPr>
      </w:pPr>
    </w:p>
    <w:p w:rsidR="002D083B" w:rsidRPr="00CF109B" w:rsidRDefault="00254581" w:rsidP="002D083B">
      <w:pPr>
        <w:autoSpaceDE w:val="0"/>
        <w:autoSpaceDN w:val="0"/>
        <w:adjustRightInd w:val="0"/>
        <w:spacing w:after="0" w:line="240" w:lineRule="auto"/>
        <w:rPr>
          <w:rFonts w:ascii="Helvetica" w:hAnsi="Helvetica" w:cs="Helv"/>
          <w:b/>
          <w:color w:val="000000"/>
          <w:sz w:val="20"/>
          <w:szCs w:val="20"/>
        </w:rPr>
      </w:pPr>
      <w:r w:rsidRPr="00CF109B">
        <w:rPr>
          <w:rFonts w:ascii="Helvetica" w:hAnsi="Helvetica" w:cs="Helv"/>
          <w:b/>
          <w:color w:val="000000"/>
          <w:sz w:val="20"/>
          <w:szCs w:val="20"/>
        </w:rPr>
        <w:t xml:space="preserve">Q.3: </w:t>
      </w:r>
      <w:r w:rsidR="002D083B" w:rsidRPr="00CF109B">
        <w:rPr>
          <w:rFonts w:ascii="Helvetica" w:hAnsi="Helvetica" w:cs="Helv"/>
          <w:b/>
          <w:bCs/>
          <w:color w:val="000000"/>
          <w:sz w:val="20"/>
          <w:szCs w:val="20"/>
        </w:rPr>
        <w:t xml:space="preserve">Do you have knowledge of the impact that each of the two options identified would have on your business in terms of restructuring of existing delegation arrangements in Europe and third countries? Please quantify the one-off and ongoing costs as well as the type of costs for each of the two options or any alternative option that you may prefer. </w:t>
      </w:r>
    </w:p>
    <w:p w:rsidR="00254581" w:rsidRPr="00CF109B" w:rsidRDefault="00254581" w:rsidP="00254581">
      <w:pPr>
        <w:autoSpaceDE w:val="0"/>
        <w:autoSpaceDN w:val="0"/>
        <w:adjustRightInd w:val="0"/>
        <w:spacing w:after="0" w:line="240" w:lineRule="auto"/>
        <w:rPr>
          <w:rFonts w:ascii="Helvetica" w:hAnsi="Helvetica" w:cs="Helv"/>
          <w:color w:val="000000"/>
          <w:sz w:val="20"/>
          <w:szCs w:val="20"/>
        </w:rPr>
      </w:pPr>
    </w:p>
    <w:p w:rsidR="00AD1AC9" w:rsidRPr="00CF109B" w:rsidRDefault="00AD1AC9" w:rsidP="00AD1AC9">
      <w:pPr>
        <w:autoSpaceDE w:val="0"/>
        <w:autoSpaceDN w:val="0"/>
        <w:adjustRightInd w:val="0"/>
        <w:spacing w:after="0" w:line="240" w:lineRule="auto"/>
        <w:ind w:left="720"/>
        <w:rPr>
          <w:rFonts w:ascii="Helvetica" w:hAnsi="Helvetica" w:cs="Helv"/>
          <w:color w:val="000000"/>
          <w:sz w:val="20"/>
          <w:szCs w:val="20"/>
        </w:rPr>
      </w:pPr>
      <w:r w:rsidRPr="00CF109B">
        <w:rPr>
          <w:rFonts w:ascii="Helvetica" w:hAnsi="Helvetica" w:cs="Helv"/>
          <w:color w:val="000000"/>
          <w:sz w:val="20"/>
          <w:szCs w:val="20"/>
        </w:rPr>
        <w:t>If Option 1 and/or Option 2 are adopted as the only available options, then this will have a significant impact on custody-related activity. All such costs would ultimately be borne by end investors.</w:t>
      </w:r>
      <w:r w:rsidR="00C1195A">
        <w:rPr>
          <w:rFonts w:ascii="Helvetica" w:hAnsi="Helvetica" w:cs="Helv"/>
          <w:color w:val="000000"/>
          <w:sz w:val="20"/>
          <w:szCs w:val="20"/>
        </w:rPr>
        <w:t xml:space="preserve">  </w:t>
      </w:r>
      <w:r w:rsidRPr="00CF109B">
        <w:rPr>
          <w:rFonts w:ascii="Helvetica" w:hAnsi="Helvetica" w:cs="Helv"/>
          <w:color w:val="000000"/>
          <w:sz w:val="20"/>
          <w:szCs w:val="20"/>
        </w:rPr>
        <w:t>The</w:t>
      </w:r>
      <w:r w:rsidR="00C1195A">
        <w:rPr>
          <w:rFonts w:ascii="Helvetica" w:hAnsi="Helvetica" w:cs="Helv"/>
          <w:color w:val="000000"/>
          <w:sz w:val="20"/>
          <w:szCs w:val="20"/>
        </w:rPr>
        <w:t>se</w:t>
      </w:r>
      <w:r w:rsidRPr="00CF109B">
        <w:rPr>
          <w:rFonts w:ascii="Helvetica" w:hAnsi="Helvetica" w:cs="Helv"/>
          <w:color w:val="000000"/>
          <w:sz w:val="20"/>
          <w:szCs w:val="20"/>
        </w:rPr>
        <w:t xml:space="preserve"> costs would be significant, both in terms of one-off and on</w:t>
      </w:r>
      <w:r w:rsidR="00C1195A">
        <w:rPr>
          <w:rFonts w:ascii="Helvetica" w:hAnsi="Helvetica" w:cs="Helv"/>
          <w:color w:val="000000"/>
          <w:sz w:val="20"/>
          <w:szCs w:val="20"/>
        </w:rPr>
        <w:t>-</w:t>
      </w:r>
      <w:r w:rsidRPr="00CF109B">
        <w:rPr>
          <w:rFonts w:ascii="Helvetica" w:hAnsi="Helvetica" w:cs="Helv"/>
          <w:color w:val="000000"/>
          <w:sz w:val="20"/>
          <w:szCs w:val="20"/>
        </w:rPr>
        <w:t>going costs.</w:t>
      </w:r>
    </w:p>
    <w:p w:rsidR="00AD1AC9" w:rsidRPr="00CF109B" w:rsidRDefault="00AD1AC9" w:rsidP="00AD1AC9">
      <w:pPr>
        <w:autoSpaceDE w:val="0"/>
        <w:autoSpaceDN w:val="0"/>
        <w:adjustRightInd w:val="0"/>
        <w:spacing w:after="0" w:line="240" w:lineRule="auto"/>
        <w:ind w:left="720"/>
        <w:rPr>
          <w:rFonts w:ascii="Helvetica" w:hAnsi="Helvetica" w:cs="Helv"/>
          <w:color w:val="000000"/>
          <w:sz w:val="20"/>
          <w:szCs w:val="20"/>
        </w:rPr>
      </w:pPr>
    </w:p>
    <w:p w:rsidR="00AD1AC9" w:rsidRPr="00CF109B" w:rsidRDefault="00AD1AC9" w:rsidP="00AD1AC9">
      <w:pPr>
        <w:autoSpaceDE w:val="0"/>
        <w:autoSpaceDN w:val="0"/>
        <w:adjustRightInd w:val="0"/>
        <w:spacing w:after="0" w:line="240" w:lineRule="auto"/>
        <w:ind w:left="720"/>
        <w:rPr>
          <w:rFonts w:ascii="Helvetica" w:hAnsi="Helvetica" w:cs="Helv"/>
          <w:color w:val="000000"/>
          <w:sz w:val="20"/>
          <w:szCs w:val="20"/>
        </w:rPr>
      </w:pPr>
      <w:r w:rsidRPr="00CF109B">
        <w:rPr>
          <w:rFonts w:ascii="Helvetica" w:hAnsi="Helvetica" w:cs="Helv"/>
          <w:color w:val="000000"/>
          <w:sz w:val="20"/>
          <w:szCs w:val="20"/>
        </w:rPr>
        <w:t>Examples of one-off costs in moving to Options 1 and/or 2 only, would include:</w:t>
      </w:r>
    </w:p>
    <w:p w:rsidR="00AD1AC9" w:rsidRPr="00CF109B" w:rsidRDefault="00AD1AC9" w:rsidP="00AD1AC9">
      <w:pPr>
        <w:autoSpaceDE w:val="0"/>
        <w:autoSpaceDN w:val="0"/>
        <w:adjustRightInd w:val="0"/>
        <w:spacing w:after="0" w:line="240" w:lineRule="auto"/>
        <w:ind w:left="720"/>
        <w:rPr>
          <w:rFonts w:ascii="Helvetica" w:hAnsi="Helvetica" w:cs="Helv"/>
          <w:color w:val="000000"/>
          <w:sz w:val="20"/>
          <w:szCs w:val="20"/>
        </w:rPr>
      </w:pPr>
    </w:p>
    <w:p w:rsidR="00AD1AC9" w:rsidRPr="00CF109B" w:rsidRDefault="00AD1AC9" w:rsidP="00AD1AC9">
      <w:pPr>
        <w:pStyle w:val="ListParagraph"/>
        <w:numPr>
          <w:ilvl w:val="0"/>
          <w:numId w:val="5"/>
        </w:numPr>
        <w:autoSpaceDE w:val="0"/>
        <w:autoSpaceDN w:val="0"/>
        <w:adjustRightInd w:val="0"/>
        <w:spacing w:after="0" w:line="240" w:lineRule="auto"/>
        <w:ind w:left="1440"/>
        <w:rPr>
          <w:rFonts w:ascii="Helvetica" w:hAnsi="Helvetica" w:cs="Helv"/>
          <w:color w:val="000000"/>
          <w:sz w:val="20"/>
          <w:szCs w:val="20"/>
        </w:rPr>
      </w:pPr>
      <w:r w:rsidRPr="00CF109B">
        <w:rPr>
          <w:rFonts w:ascii="Helvetica" w:hAnsi="Helvetica" w:cs="Helv"/>
          <w:color w:val="000000"/>
          <w:sz w:val="20"/>
          <w:szCs w:val="20"/>
        </w:rPr>
        <w:t xml:space="preserve">IT </w:t>
      </w:r>
      <w:proofErr w:type="gramStart"/>
      <w:r w:rsidRPr="00CF109B">
        <w:rPr>
          <w:rFonts w:ascii="Helvetica" w:hAnsi="Helvetica" w:cs="Helv"/>
          <w:color w:val="000000"/>
          <w:sz w:val="20"/>
          <w:szCs w:val="20"/>
        </w:rPr>
        <w:t>re</w:t>
      </w:r>
      <w:r w:rsidR="00C1195A">
        <w:rPr>
          <w:rFonts w:ascii="Helvetica" w:hAnsi="Helvetica" w:cs="Helv"/>
          <w:color w:val="000000"/>
          <w:sz w:val="20"/>
          <w:szCs w:val="20"/>
        </w:rPr>
        <w:t>-</w:t>
      </w:r>
      <w:r w:rsidRPr="00CF109B">
        <w:rPr>
          <w:rFonts w:ascii="Helvetica" w:hAnsi="Helvetica" w:cs="Helv"/>
          <w:color w:val="000000"/>
          <w:sz w:val="20"/>
          <w:szCs w:val="20"/>
        </w:rPr>
        <w:t>build</w:t>
      </w:r>
      <w:proofErr w:type="gramEnd"/>
      <w:r w:rsidRPr="00CF109B">
        <w:rPr>
          <w:rFonts w:ascii="Helvetica" w:hAnsi="Helvetica" w:cs="Helv"/>
          <w:color w:val="000000"/>
          <w:sz w:val="20"/>
          <w:szCs w:val="20"/>
        </w:rPr>
        <w:t xml:space="preserve"> or enhancements to cater for a much higher number of accounts and transactions within the chain of custody.</w:t>
      </w:r>
    </w:p>
    <w:p w:rsidR="00AD1AC9" w:rsidRDefault="00AD1AC9" w:rsidP="00AD1AC9">
      <w:pPr>
        <w:pStyle w:val="ListParagraph"/>
        <w:numPr>
          <w:ilvl w:val="0"/>
          <w:numId w:val="5"/>
        </w:numPr>
        <w:autoSpaceDE w:val="0"/>
        <w:autoSpaceDN w:val="0"/>
        <w:adjustRightInd w:val="0"/>
        <w:spacing w:after="0" w:line="240" w:lineRule="auto"/>
        <w:ind w:left="1440"/>
        <w:rPr>
          <w:rFonts w:ascii="Helvetica" w:hAnsi="Helvetica" w:cs="Helv"/>
          <w:color w:val="000000"/>
          <w:sz w:val="20"/>
          <w:szCs w:val="20"/>
        </w:rPr>
      </w:pPr>
      <w:r w:rsidRPr="00CF109B">
        <w:rPr>
          <w:rFonts w:ascii="Helvetica" w:hAnsi="Helvetica" w:cs="Helv"/>
          <w:color w:val="000000"/>
          <w:sz w:val="20"/>
          <w:szCs w:val="20"/>
        </w:rPr>
        <w:t>Contractual renegotiations to cater for the new models.</w:t>
      </w:r>
    </w:p>
    <w:p w:rsidR="00C1195A" w:rsidRPr="00C1195A" w:rsidRDefault="00C1195A" w:rsidP="00C1195A">
      <w:pPr>
        <w:autoSpaceDE w:val="0"/>
        <w:autoSpaceDN w:val="0"/>
        <w:adjustRightInd w:val="0"/>
        <w:spacing w:after="0" w:line="240" w:lineRule="auto"/>
        <w:ind w:left="1080"/>
        <w:rPr>
          <w:rFonts w:ascii="Helvetica" w:hAnsi="Helvetica" w:cs="Helv"/>
          <w:color w:val="000000"/>
          <w:sz w:val="20"/>
          <w:szCs w:val="20"/>
        </w:rPr>
      </w:pPr>
    </w:p>
    <w:p w:rsidR="00AD1AC9" w:rsidRPr="00C1195A" w:rsidRDefault="00AD1AC9" w:rsidP="00C1195A">
      <w:pPr>
        <w:autoSpaceDE w:val="0"/>
        <w:autoSpaceDN w:val="0"/>
        <w:adjustRightInd w:val="0"/>
        <w:spacing w:after="0" w:line="240" w:lineRule="auto"/>
        <w:ind w:left="720"/>
        <w:rPr>
          <w:rFonts w:ascii="Helvetica" w:hAnsi="Helvetica" w:cs="Helv"/>
          <w:color w:val="000000"/>
          <w:sz w:val="20"/>
          <w:szCs w:val="20"/>
        </w:rPr>
      </w:pPr>
      <w:r w:rsidRPr="00C1195A">
        <w:rPr>
          <w:rFonts w:ascii="Helvetica" w:hAnsi="Helvetica" w:cs="Helv"/>
          <w:color w:val="000000"/>
          <w:sz w:val="20"/>
          <w:szCs w:val="20"/>
        </w:rPr>
        <w:t>Examples of on</w:t>
      </w:r>
      <w:r w:rsidR="00C1195A">
        <w:rPr>
          <w:rFonts w:ascii="Helvetica" w:hAnsi="Helvetica" w:cs="Helv"/>
          <w:color w:val="000000"/>
          <w:sz w:val="20"/>
          <w:szCs w:val="20"/>
        </w:rPr>
        <w:t>-</w:t>
      </w:r>
      <w:r w:rsidRPr="00C1195A">
        <w:rPr>
          <w:rFonts w:ascii="Helvetica" w:hAnsi="Helvetica" w:cs="Helv"/>
          <w:color w:val="000000"/>
          <w:sz w:val="20"/>
          <w:szCs w:val="20"/>
        </w:rPr>
        <w:t>going costs would include:</w:t>
      </w:r>
    </w:p>
    <w:p w:rsidR="00C1195A" w:rsidRPr="00C1195A" w:rsidRDefault="00C1195A" w:rsidP="00C1195A">
      <w:pPr>
        <w:pStyle w:val="ListParagraph"/>
        <w:rPr>
          <w:rFonts w:ascii="Helvetica" w:hAnsi="Helvetica" w:cs="Helv"/>
          <w:color w:val="000000"/>
          <w:sz w:val="20"/>
          <w:szCs w:val="20"/>
        </w:rPr>
      </w:pPr>
    </w:p>
    <w:p w:rsidR="00AD1AC9" w:rsidRPr="00CF109B" w:rsidRDefault="00AD1AC9" w:rsidP="00AD1AC9">
      <w:pPr>
        <w:pStyle w:val="ListParagraph"/>
        <w:numPr>
          <w:ilvl w:val="0"/>
          <w:numId w:val="5"/>
        </w:numPr>
        <w:autoSpaceDE w:val="0"/>
        <w:autoSpaceDN w:val="0"/>
        <w:adjustRightInd w:val="0"/>
        <w:spacing w:after="0" w:line="240" w:lineRule="auto"/>
        <w:ind w:left="1440"/>
        <w:rPr>
          <w:rFonts w:ascii="Helvetica" w:hAnsi="Helvetica" w:cs="Helv"/>
          <w:color w:val="000000"/>
          <w:sz w:val="20"/>
          <w:szCs w:val="20"/>
        </w:rPr>
      </w:pPr>
      <w:r w:rsidRPr="00CF109B">
        <w:rPr>
          <w:rFonts w:ascii="Helvetica" w:hAnsi="Helvetica" w:cs="Helv"/>
          <w:color w:val="000000"/>
          <w:sz w:val="20"/>
          <w:szCs w:val="20"/>
        </w:rPr>
        <w:t>Account opening fees - more accounts required, therefore account opening fees would be higher overall. Account opening fees cover regulatory checks (e.g., AML/KYC) and IT set-up/connectivity testing, the costs of which would increase in a segregated environment.</w:t>
      </w:r>
    </w:p>
    <w:p w:rsidR="00AD1AC9" w:rsidRPr="00CF109B" w:rsidRDefault="00AD1AC9" w:rsidP="00AD1AC9">
      <w:pPr>
        <w:pStyle w:val="ListParagraph"/>
        <w:numPr>
          <w:ilvl w:val="0"/>
          <w:numId w:val="5"/>
        </w:numPr>
        <w:autoSpaceDE w:val="0"/>
        <w:autoSpaceDN w:val="0"/>
        <w:adjustRightInd w:val="0"/>
        <w:spacing w:after="0" w:line="240" w:lineRule="auto"/>
        <w:ind w:left="1440"/>
        <w:rPr>
          <w:rFonts w:ascii="Helvetica" w:hAnsi="Helvetica" w:cs="Helv"/>
          <w:color w:val="000000"/>
          <w:sz w:val="20"/>
          <w:szCs w:val="20"/>
        </w:rPr>
      </w:pPr>
      <w:r w:rsidRPr="00CF109B">
        <w:rPr>
          <w:rFonts w:ascii="Helvetica" w:hAnsi="Helvetica" w:cs="Helv"/>
          <w:color w:val="000000"/>
          <w:sz w:val="20"/>
          <w:szCs w:val="20"/>
        </w:rPr>
        <w:t>Account maintenance fees - more accounts required, therefore account maintenance fees would be higher overall.</w:t>
      </w:r>
    </w:p>
    <w:p w:rsidR="00AD1AC9" w:rsidRPr="00CF109B" w:rsidRDefault="00AD1AC9" w:rsidP="00AD1AC9">
      <w:pPr>
        <w:pStyle w:val="ListParagraph"/>
        <w:numPr>
          <w:ilvl w:val="0"/>
          <w:numId w:val="5"/>
        </w:numPr>
        <w:autoSpaceDE w:val="0"/>
        <w:autoSpaceDN w:val="0"/>
        <w:adjustRightInd w:val="0"/>
        <w:spacing w:after="0" w:line="240" w:lineRule="auto"/>
        <w:ind w:left="1440"/>
        <w:rPr>
          <w:rFonts w:ascii="Helvetica" w:hAnsi="Helvetica" w:cs="Helv"/>
          <w:color w:val="000000"/>
          <w:sz w:val="20"/>
          <w:szCs w:val="20"/>
        </w:rPr>
      </w:pPr>
      <w:r w:rsidRPr="00CF109B">
        <w:rPr>
          <w:rFonts w:ascii="Helvetica" w:hAnsi="Helvetica" w:cs="Helv"/>
          <w:color w:val="000000"/>
          <w:sz w:val="20"/>
          <w:szCs w:val="20"/>
        </w:rPr>
        <w:t>Transaction fees - the more segregated the account set-up is, then there will be more external settlement transactions (including the use of external settlement and messaging infrastructure), as segregation reduces the ability for internalisation of settlement.</w:t>
      </w:r>
    </w:p>
    <w:p w:rsidR="00AD1AC9" w:rsidRPr="00CF109B" w:rsidRDefault="00AD1AC9" w:rsidP="00AD1AC9">
      <w:pPr>
        <w:pStyle w:val="ListParagraph"/>
        <w:numPr>
          <w:ilvl w:val="0"/>
          <w:numId w:val="5"/>
        </w:numPr>
        <w:autoSpaceDE w:val="0"/>
        <w:autoSpaceDN w:val="0"/>
        <w:adjustRightInd w:val="0"/>
        <w:spacing w:after="0" w:line="240" w:lineRule="auto"/>
        <w:ind w:left="1440"/>
        <w:rPr>
          <w:rFonts w:ascii="Helvetica" w:hAnsi="Helvetica" w:cs="Helv"/>
          <w:color w:val="000000"/>
          <w:sz w:val="20"/>
          <w:szCs w:val="20"/>
        </w:rPr>
      </w:pPr>
      <w:r w:rsidRPr="00CF109B">
        <w:rPr>
          <w:rFonts w:ascii="Helvetica" w:hAnsi="Helvetica" w:cs="Helv"/>
          <w:color w:val="000000"/>
          <w:sz w:val="20"/>
          <w:szCs w:val="20"/>
        </w:rPr>
        <w:t>Reconciliation costs - an increased number of accounts will require more work to reconcile all the accounts along the chain. Furthermore, the structure is more likely to result in a higher number of "reconciliation breaks" which will need to be resolved.</w:t>
      </w:r>
    </w:p>
    <w:p w:rsidR="00AD1AC9" w:rsidRPr="00CF109B" w:rsidRDefault="00AD1AC9" w:rsidP="00AD1AC9">
      <w:pPr>
        <w:autoSpaceDE w:val="0"/>
        <w:autoSpaceDN w:val="0"/>
        <w:adjustRightInd w:val="0"/>
        <w:spacing w:after="0" w:line="240" w:lineRule="auto"/>
        <w:ind w:left="720"/>
        <w:rPr>
          <w:rFonts w:ascii="Helvetica" w:hAnsi="Helvetica" w:cs="Helv"/>
          <w:color w:val="000000"/>
          <w:sz w:val="20"/>
          <w:szCs w:val="20"/>
        </w:rPr>
      </w:pPr>
    </w:p>
    <w:p w:rsidR="00AD1AC9" w:rsidRPr="00CF109B" w:rsidRDefault="00AD1AC9" w:rsidP="00AD1AC9">
      <w:pPr>
        <w:autoSpaceDE w:val="0"/>
        <w:autoSpaceDN w:val="0"/>
        <w:adjustRightInd w:val="0"/>
        <w:spacing w:after="0" w:line="240" w:lineRule="auto"/>
        <w:ind w:left="720"/>
        <w:rPr>
          <w:rFonts w:ascii="Helvetica" w:hAnsi="Helvetica" w:cs="Helv"/>
          <w:color w:val="000000"/>
          <w:sz w:val="20"/>
          <w:szCs w:val="20"/>
        </w:rPr>
      </w:pPr>
      <w:r w:rsidRPr="00CF109B">
        <w:rPr>
          <w:rFonts w:ascii="Helvetica" w:hAnsi="Helvetica" w:cs="Helv"/>
          <w:color w:val="000000"/>
          <w:sz w:val="20"/>
          <w:szCs w:val="20"/>
        </w:rPr>
        <w:t>Third Country Impacts:</w:t>
      </w:r>
    </w:p>
    <w:p w:rsidR="00AD1AC9" w:rsidRPr="00CF109B" w:rsidRDefault="00AD1AC9" w:rsidP="00AD1AC9">
      <w:pPr>
        <w:autoSpaceDE w:val="0"/>
        <w:autoSpaceDN w:val="0"/>
        <w:adjustRightInd w:val="0"/>
        <w:spacing w:after="0" w:line="240" w:lineRule="auto"/>
        <w:ind w:left="720"/>
        <w:rPr>
          <w:rFonts w:ascii="Helvetica" w:hAnsi="Helvetica" w:cs="Helv"/>
          <w:color w:val="000000"/>
          <w:sz w:val="20"/>
          <w:szCs w:val="20"/>
        </w:rPr>
      </w:pPr>
    </w:p>
    <w:p w:rsidR="00AD1AC9" w:rsidRPr="00CF109B" w:rsidRDefault="00AD1AC9" w:rsidP="00AD1AC9">
      <w:pPr>
        <w:autoSpaceDE w:val="0"/>
        <w:autoSpaceDN w:val="0"/>
        <w:adjustRightInd w:val="0"/>
        <w:spacing w:after="0" w:line="240" w:lineRule="auto"/>
        <w:ind w:left="720"/>
        <w:rPr>
          <w:rFonts w:ascii="Helvetica" w:hAnsi="Helvetica" w:cs="Helv"/>
          <w:color w:val="000000"/>
          <w:sz w:val="20"/>
          <w:szCs w:val="20"/>
        </w:rPr>
      </w:pPr>
      <w:r w:rsidRPr="00CF109B">
        <w:rPr>
          <w:rFonts w:ascii="Helvetica" w:hAnsi="Helvetica" w:cs="Helv"/>
          <w:color w:val="000000"/>
          <w:sz w:val="20"/>
          <w:szCs w:val="20"/>
        </w:rPr>
        <w:t xml:space="preserve">In particular, requiring the use of Options 1 </w:t>
      </w:r>
      <w:r w:rsidRPr="00CF109B">
        <w:rPr>
          <w:rFonts w:ascii="Helvetica" w:hAnsi="Helvetica" w:cs="Helv"/>
          <w:color w:val="000000"/>
          <w:sz w:val="20"/>
          <w:szCs w:val="20"/>
        </w:rPr>
        <w:t>and/or 2</w:t>
      </w:r>
      <w:r w:rsidR="00574767">
        <w:rPr>
          <w:rFonts w:ascii="Helvetica" w:hAnsi="Helvetica" w:cs="Helv"/>
          <w:color w:val="000000"/>
          <w:sz w:val="20"/>
          <w:szCs w:val="20"/>
        </w:rPr>
        <w:t xml:space="preserve"> only</w:t>
      </w:r>
      <w:r w:rsidRPr="00CF109B">
        <w:rPr>
          <w:rFonts w:ascii="Helvetica" w:hAnsi="Helvetica" w:cs="Helv"/>
          <w:color w:val="000000"/>
          <w:sz w:val="20"/>
          <w:szCs w:val="20"/>
        </w:rPr>
        <w:t xml:space="preserve"> may </w:t>
      </w:r>
      <w:r w:rsidR="00C1195A">
        <w:rPr>
          <w:rFonts w:ascii="Helvetica" w:hAnsi="Helvetica" w:cs="Helv"/>
          <w:color w:val="000000"/>
          <w:sz w:val="20"/>
          <w:szCs w:val="20"/>
        </w:rPr>
        <w:t xml:space="preserve">inhibit access to markets due to the inability of </w:t>
      </w:r>
      <w:r w:rsidRPr="00CF109B">
        <w:rPr>
          <w:rFonts w:ascii="Helvetica" w:hAnsi="Helvetica" w:cs="Helv"/>
          <w:color w:val="000000"/>
          <w:sz w:val="20"/>
          <w:szCs w:val="20"/>
        </w:rPr>
        <w:t>third country custodians who do not have similar requirements in their own jurisdiction</w:t>
      </w:r>
      <w:r w:rsidR="00C1195A">
        <w:rPr>
          <w:rFonts w:ascii="Helvetica" w:hAnsi="Helvetica" w:cs="Helv"/>
          <w:color w:val="000000"/>
          <w:sz w:val="20"/>
          <w:szCs w:val="20"/>
        </w:rPr>
        <w:t>s to adapt</w:t>
      </w:r>
      <w:r w:rsidRPr="00CF109B">
        <w:rPr>
          <w:rFonts w:ascii="Helvetica" w:hAnsi="Helvetica" w:cs="Helv"/>
          <w:color w:val="000000"/>
          <w:sz w:val="20"/>
          <w:szCs w:val="20"/>
        </w:rPr>
        <w:t xml:space="preserve">. </w:t>
      </w:r>
      <w:r w:rsidR="00C1195A">
        <w:rPr>
          <w:rFonts w:ascii="Helvetica" w:hAnsi="Helvetica" w:cs="Helv"/>
          <w:color w:val="000000"/>
          <w:sz w:val="20"/>
          <w:szCs w:val="20"/>
        </w:rPr>
        <w:t>R</w:t>
      </w:r>
      <w:r w:rsidRPr="00CF109B">
        <w:rPr>
          <w:rFonts w:ascii="Helvetica" w:hAnsi="Helvetica" w:cs="Helv"/>
          <w:color w:val="000000"/>
          <w:sz w:val="20"/>
          <w:szCs w:val="20"/>
        </w:rPr>
        <w:t xml:space="preserve">equiring Options 1 and/or 2 in a particular market may have the practical effect of closing off that market to EU investors. </w:t>
      </w:r>
    </w:p>
    <w:p w:rsidR="00AD1AC9" w:rsidRPr="00CF109B" w:rsidRDefault="00AD1AC9" w:rsidP="00AD1AC9">
      <w:pPr>
        <w:autoSpaceDE w:val="0"/>
        <w:autoSpaceDN w:val="0"/>
        <w:adjustRightInd w:val="0"/>
        <w:spacing w:after="0" w:line="240" w:lineRule="auto"/>
        <w:ind w:left="720"/>
        <w:rPr>
          <w:rFonts w:ascii="Helvetica" w:hAnsi="Helvetica" w:cs="Helv"/>
          <w:color w:val="000000"/>
          <w:sz w:val="20"/>
          <w:szCs w:val="20"/>
        </w:rPr>
      </w:pPr>
    </w:p>
    <w:p w:rsidR="00CA2AC5" w:rsidRPr="00CA2AC5" w:rsidRDefault="009835DC" w:rsidP="00CA2AC5">
      <w:pPr>
        <w:autoSpaceDE w:val="0"/>
        <w:autoSpaceDN w:val="0"/>
        <w:adjustRightInd w:val="0"/>
        <w:spacing w:after="0" w:line="240" w:lineRule="auto"/>
        <w:ind w:left="720"/>
        <w:rPr>
          <w:rFonts w:ascii="Helvetica" w:hAnsi="Helvetica" w:cs="Helv"/>
          <w:color w:val="000000"/>
          <w:sz w:val="20"/>
          <w:szCs w:val="20"/>
        </w:rPr>
      </w:pPr>
      <w:r>
        <w:rPr>
          <w:rFonts w:ascii="Helvetica" w:hAnsi="Helvetica" w:cs="Helv"/>
          <w:color w:val="000000"/>
          <w:sz w:val="20"/>
          <w:szCs w:val="20"/>
        </w:rPr>
        <w:t xml:space="preserve">The Committee is of the view that </w:t>
      </w:r>
      <w:r w:rsidR="002F6D14">
        <w:rPr>
          <w:rFonts w:ascii="Helvetica" w:hAnsi="Helvetica" w:cs="Helv"/>
          <w:color w:val="000000"/>
          <w:sz w:val="20"/>
          <w:szCs w:val="20"/>
        </w:rPr>
        <w:t>both</w:t>
      </w:r>
      <w:r w:rsidR="00AD1AC9" w:rsidRPr="00CF109B">
        <w:rPr>
          <w:rFonts w:ascii="Helvetica" w:hAnsi="Helvetica" w:cs="Helv"/>
          <w:color w:val="000000"/>
          <w:sz w:val="20"/>
          <w:szCs w:val="20"/>
        </w:rPr>
        <w:t xml:space="preserve"> established and emerging markets</w:t>
      </w:r>
      <w:r>
        <w:rPr>
          <w:rFonts w:ascii="Helvetica" w:hAnsi="Helvetica" w:cs="Helv"/>
          <w:color w:val="000000"/>
          <w:sz w:val="20"/>
          <w:szCs w:val="20"/>
        </w:rPr>
        <w:t xml:space="preserve"> would be impacted in these circumstances</w:t>
      </w:r>
      <w:r w:rsidR="00AD1AC9" w:rsidRPr="00CF109B">
        <w:rPr>
          <w:rFonts w:ascii="Helvetica" w:hAnsi="Helvetica" w:cs="Helv"/>
          <w:color w:val="000000"/>
          <w:sz w:val="20"/>
          <w:szCs w:val="20"/>
        </w:rPr>
        <w:t xml:space="preserve">. </w:t>
      </w:r>
      <w:r w:rsidR="00CA2AC5">
        <w:rPr>
          <w:rFonts w:ascii="Helvetica" w:hAnsi="Helvetica" w:cs="Helv"/>
          <w:color w:val="000000"/>
          <w:sz w:val="20"/>
          <w:szCs w:val="20"/>
        </w:rPr>
        <w:t xml:space="preserve">As </w:t>
      </w:r>
      <w:r w:rsidR="00CA2AC5">
        <w:rPr>
          <w:rFonts w:ascii="Helvetica" w:hAnsi="Helvetica" w:cs="Helv"/>
          <w:color w:val="000000"/>
          <w:sz w:val="20"/>
          <w:szCs w:val="20"/>
        </w:rPr>
        <w:t>the Committee pointed out in its submission in response to a previous ESMA consultation paper relating to UCITS V technical guidance</w:t>
      </w:r>
      <w:r w:rsidR="00CA2AC5">
        <w:rPr>
          <w:rStyle w:val="FootnoteReference"/>
          <w:rFonts w:ascii="Helvetica" w:hAnsi="Helvetica" w:cs="Helv"/>
          <w:color w:val="000000"/>
          <w:sz w:val="20"/>
          <w:szCs w:val="20"/>
        </w:rPr>
        <w:footnoteReference w:id="10"/>
      </w:r>
      <w:r w:rsidR="00CA2AC5">
        <w:rPr>
          <w:rFonts w:ascii="Helvetica" w:hAnsi="Helvetica" w:cs="Helv"/>
          <w:color w:val="000000"/>
          <w:sz w:val="20"/>
          <w:szCs w:val="20"/>
        </w:rPr>
        <w:t>, the laws of s</w:t>
      </w:r>
      <w:r w:rsidR="00CA2AC5" w:rsidRPr="00CA2AC5">
        <w:rPr>
          <w:rFonts w:ascii="Helvetica" w:hAnsi="Helvetica" w:cs="Helv"/>
          <w:color w:val="000000"/>
          <w:sz w:val="20"/>
          <w:szCs w:val="20"/>
        </w:rPr>
        <w:t xml:space="preserve">ome </w:t>
      </w:r>
      <w:r w:rsidR="00CA2AC5">
        <w:rPr>
          <w:rFonts w:ascii="Helvetica" w:hAnsi="Helvetica" w:cs="Helv"/>
          <w:color w:val="000000"/>
          <w:sz w:val="20"/>
          <w:szCs w:val="20"/>
        </w:rPr>
        <w:t>countries</w:t>
      </w:r>
      <w:r w:rsidR="00CA2AC5">
        <w:rPr>
          <w:rStyle w:val="FootnoteReference"/>
          <w:rFonts w:ascii="Helvetica" w:hAnsi="Helvetica" w:cs="Helv"/>
          <w:color w:val="000000"/>
          <w:sz w:val="20"/>
          <w:szCs w:val="20"/>
        </w:rPr>
        <w:footnoteReference w:id="11"/>
      </w:r>
      <w:r w:rsidR="00CA2AC5">
        <w:rPr>
          <w:rFonts w:ascii="Helvetica" w:hAnsi="Helvetica" w:cs="Helv"/>
          <w:color w:val="000000"/>
          <w:sz w:val="20"/>
          <w:szCs w:val="20"/>
        </w:rPr>
        <w:t xml:space="preserve"> require or envision the use of third party delegates</w:t>
      </w:r>
      <w:r w:rsidR="00CA2AC5" w:rsidRPr="00CA2AC5">
        <w:rPr>
          <w:rFonts w:ascii="Helvetica" w:hAnsi="Helvetica" w:cs="Helv"/>
          <w:color w:val="000000"/>
          <w:sz w:val="20"/>
          <w:szCs w:val="20"/>
        </w:rPr>
        <w:t xml:space="preserve"> that do not segregate </w:t>
      </w:r>
      <w:r w:rsidR="00CA2AC5" w:rsidRPr="00CA2AC5">
        <w:rPr>
          <w:rFonts w:ascii="Helvetica" w:hAnsi="Helvetica" w:cs="Helv"/>
          <w:color w:val="000000"/>
          <w:sz w:val="20"/>
          <w:szCs w:val="20"/>
        </w:rPr>
        <w:lastRenderedPageBreak/>
        <w:t xml:space="preserve">customer assets in </w:t>
      </w:r>
      <w:r w:rsidR="00CA2AC5">
        <w:rPr>
          <w:rFonts w:ascii="Helvetica" w:hAnsi="Helvetica" w:cs="Helv"/>
          <w:color w:val="000000"/>
          <w:sz w:val="20"/>
          <w:szCs w:val="20"/>
        </w:rPr>
        <w:t>a manner that would necessarily accord with EU expectations (in this case, Option 1, Option 2 or Option 5)</w:t>
      </w:r>
      <w:r w:rsidR="00CA2AC5" w:rsidRPr="00CA2AC5">
        <w:rPr>
          <w:rFonts w:ascii="Helvetica" w:hAnsi="Helvetica" w:cs="Helv"/>
          <w:color w:val="000000"/>
          <w:sz w:val="20"/>
          <w:szCs w:val="20"/>
        </w:rPr>
        <w:t xml:space="preserve">.  </w:t>
      </w:r>
    </w:p>
    <w:p w:rsidR="00AD1AC9" w:rsidRPr="00CF109B" w:rsidRDefault="00AD1AC9" w:rsidP="00254581">
      <w:pPr>
        <w:autoSpaceDE w:val="0"/>
        <w:autoSpaceDN w:val="0"/>
        <w:adjustRightInd w:val="0"/>
        <w:spacing w:after="0" w:line="240" w:lineRule="auto"/>
        <w:rPr>
          <w:rFonts w:ascii="Helvetica" w:hAnsi="Helvetica" w:cs="Helv"/>
          <w:color w:val="000000"/>
          <w:sz w:val="20"/>
          <w:szCs w:val="20"/>
        </w:rPr>
      </w:pPr>
    </w:p>
    <w:p w:rsidR="00AD1AC9" w:rsidRPr="00CF109B" w:rsidRDefault="00AD1AC9" w:rsidP="00254581">
      <w:pPr>
        <w:autoSpaceDE w:val="0"/>
        <w:autoSpaceDN w:val="0"/>
        <w:adjustRightInd w:val="0"/>
        <w:spacing w:after="0" w:line="240" w:lineRule="auto"/>
        <w:rPr>
          <w:rFonts w:ascii="Helvetica" w:hAnsi="Helvetica" w:cs="Helv"/>
          <w:color w:val="000000"/>
          <w:sz w:val="20"/>
          <w:szCs w:val="20"/>
        </w:rPr>
      </w:pPr>
    </w:p>
    <w:p w:rsidR="002D083B" w:rsidRPr="00CF109B" w:rsidRDefault="00254581" w:rsidP="002D083B">
      <w:pPr>
        <w:autoSpaceDE w:val="0"/>
        <w:autoSpaceDN w:val="0"/>
        <w:adjustRightInd w:val="0"/>
        <w:spacing w:after="0" w:line="240" w:lineRule="auto"/>
        <w:rPr>
          <w:rFonts w:ascii="Helvetica" w:hAnsi="Helvetica" w:cs="Helv"/>
          <w:b/>
          <w:color w:val="000000"/>
          <w:sz w:val="20"/>
          <w:szCs w:val="20"/>
        </w:rPr>
      </w:pPr>
      <w:r w:rsidRPr="00CF109B">
        <w:rPr>
          <w:rFonts w:ascii="Helvetica" w:hAnsi="Helvetica" w:cs="Helv"/>
          <w:b/>
          <w:color w:val="000000"/>
          <w:sz w:val="20"/>
          <w:szCs w:val="20"/>
        </w:rPr>
        <w:t xml:space="preserve">Q.4: </w:t>
      </w:r>
      <w:r w:rsidR="002D083B" w:rsidRPr="00CF109B">
        <w:rPr>
          <w:rFonts w:ascii="Helvetica" w:hAnsi="Helvetica" w:cs="Helv"/>
          <w:b/>
          <w:bCs/>
          <w:color w:val="000000"/>
          <w:sz w:val="20"/>
          <w:szCs w:val="20"/>
        </w:rPr>
        <w:t xml:space="preserve">Do you see merit in foreseeing a specific treatment for certain types of arrangement (e.g. collateral management arrangements)? If yes, please specify how your proposal would ensure compliance with the relevant requirements of the AIFMD and Level 2 Regulation. </w:t>
      </w:r>
    </w:p>
    <w:p w:rsidR="00254581" w:rsidRPr="00CF109B" w:rsidRDefault="00254581" w:rsidP="00254581">
      <w:pPr>
        <w:autoSpaceDE w:val="0"/>
        <w:autoSpaceDN w:val="0"/>
        <w:adjustRightInd w:val="0"/>
        <w:spacing w:after="0" w:line="240" w:lineRule="auto"/>
        <w:rPr>
          <w:rFonts w:ascii="Helvetica" w:hAnsi="Helvetica" w:cs="Helv"/>
          <w:color w:val="000000"/>
          <w:sz w:val="20"/>
          <w:szCs w:val="20"/>
        </w:rPr>
      </w:pPr>
    </w:p>
    <w:p w:rsidR="00BB6172" w:rsidRPr="00BB6172" w:rsidRDefault="00BB6172" w:rsidP="00BB6172">
      <w:pPr>
        <w:autoSpaceDE w:val="0"/>
        <w:autoSpaceDN w:val="0"/>
        <w:adjustRightInd w:val="0"/>
        <w:spacing w:after="0" w:line="240" w:lineRule="auto"/>
        <w:ind w:left="720"/>
        <w:rPr>
          <w:rFonts w:ascii="Helvetica" w:hAnsi="Helvetica" w:cs="Helv"/>
          <w:color w:val="000000"/>
          <w:sz w:val="20"/>
          <w:szCs w:val="20"/>
          <w:lang w:val="en-US"/>
        </w:rPr>
      </w:pPr>
      <w:r w:rsidRPr="00BB6172">
        <w:rPr>
          <w:rFonts w:ascii="Helvetica" w:hAnsi="Helvetica" w:cs="Helv"/>
          <w:color w:val="000000"/>
          <w:sz w:val="20"/>
          <w:szCs w:val="20"/>
          <w:lang w:val="en-US"/>
        </w:rPr>
        <w:t xml:space="preserve">Yes. It should be kept in mind that the AIFM Directive and Regulation provide for the appointment of certain persons as “delegates” of the depositary’s custody function </w:t>
      </w:r>
      <w:proofErr w:type="gramStart"/>
      <w:r w:rsidRPr="00BB6172">
        <w:rPr>
          <w:rFonts w:ascii="Helvetica" w:hAnsi="Helvetica" w:cs="Helv"/>
          <w:color w:val="000000"/>
          <w:sz w:val="20"/>
          <w:szCs w:val="20"/>
          <w:lang w:val="en-US"/>
        </w:rPr>
        <w:t>who</w:t>
      </w:r>
      <w:proofErr w:type="gramEnd"/>
      <w:r w:rsidRPr="00BB6172">
        <w:rPr>
          <w:rFonts w:ascii="Helvetica" w:hAnsi="Helvetica" w:cs="Helv"/>
          <w:color w:val="000000"/>
          <w:sz w:val="20"/>
          <w:szCs w:val="20"/>
          <w:lang w:val="en-US"/>
        </w:rPr>
        <w:t xml:space="preserve"> are not performing a straight-forward custody service. Examples include:</w:t>
      </w:r>
    </w:p>
    <w:p w:rsidR="00BB6172" w:rsidRPr="00BB6172" w:rsidRDefault="00BB6172" w:rsidP="00BB6172">
      <w:pPr>
        <w:autoSpaceDE w:val="0"/>
        <w:autoSpaceDN w:val="0"/>
        <w:adjustRightInd w:val="0"/>
        <w:spacing w:after="0" w:line="240" w:lineRule="auto"/>
        <w:ind w:left="720"/>
        <w:rPr>
          <w:rFonts w:ascii="Helvetica" w:hAnsi="Helvetica" w:cs="Helv"/>
          <w:color w:val="000000"/>
          <w:sz w:val="20"/>
          <w:szCs w:val="20"/>
          <w:lang w:val="en-US"/>
        </w:rPr>
      </w:pPr>
    </w:p>
    <w:p w:rsidR="00BB6172" w:rsidRPr="00BB6172" w:rsidRDefault="00BB6172" w:rsidP="00BB6172">
      <w:pPr>
        <w:numPr>
          <w:ilvl w:val="0"/>
          <w:numId w:val="13"/>
        </w:numPr>
        <w:autoSpaceDE w:val="0"/>
        <w:autoSpaceDN w:val="0"/>
        <w:adjustRightInd w:val="0"/>
        <w:spacing w:after="0" w:line="240" w:lineRule="auto"/>
        <w:rPr>
          <w:rFonts w:ascii="Helvetica" w:hAnsi="Helvetica" w:cs="Helv"/>
          <w:color w:val="000000"/>
          <w:sz w:val="20"/>
          <w:szCs w:val="20"/>
          <w:lang w:val="en-US"/>
        </w:rPr>
      </w:pPr>
      <w:r w:rsidRPr="00BB6172">
        <w:rPr>
          <w:rFonts w:ascii="Helvetica" w:hAnsi="Helvetica" w:cs="Helv"/>
          <w:color w:val="000000"/>
          <w:sz w:val="20"/>
          <w:szCs w:val="20"/>
          <w:lang w:val="en-US"/>
        </w:rPr>
        <w:t>Investment firms, whose custody function is ancillary to the investment services being performed for an AIF/AIFM, and who hold financial instruments as collateral otherwise than under title transfer collateral arrangements</w:t>
      </w:r>
    </w:p>
    <w:p w:rsidR="00BB6172" w:rsidRPr="00BB6172" w:rsidRDefault="00BB6172" w:rsidP="00BB6172">
      <w:pPr>
        <w:numPr>
          <w:ilvl w:val="0"/>
          <w:numId w:val="13"/>
        </w:numPr>
        <w:autoSpaceDE w:val="0"/>
        <w:autoSpaceDN w:val="0"/>
        <w:adjustRightInd w:val="0"/>
        <w:spacing w:after="0" w:line="240" w:lineRule="auto"/>
        <w:rPr>
          <w:rFonts w:ascii="Helvetica" w:hAnsi="Helvetica" w:cs="Helv"/>
          <w:color w:val="000000"/>
          <w:sz w:val="20"/>
          <w:szCs w:val="20"/>
          <w:lang w:val="en-US"/>
        </w:rPr>
      </w:pPr>
      <w:r w:rsidRPr="00BB6172">
        <w:rPr>
          <w:rFonts w:ascii="Helvetica" w:hAnsi="Helvetica" w:cs="Helv"/>
          <w:color w:val="000000"/>
          <w:sz w:val="20"/>
          <w:szCs w:val="20"/>
          <w:lang w:val="en-US"/>
        </w:rPr>
        <w:t xml:space="preserve">Collateral management agents, whose custody function is ancillary to the primary service of calculating margin requirements arising in the context of market transactions between an AIF/AIFM and its counterparty and the movement of margin between accounts to comply with the terms of the relevant </w:t>
      </w:r>
      <w:proofErr w:type="gramStart"/>
      <w:r w:rsidRPr="00BB6172">
        <w:rPr>
          <w:rFonts w:ascii="Helvetica" w:hAnsi="Helvetica" w:cs="Helv"/>
          <w:color w:val="000000"/>
          <w:sz w:val="20"/>
          <w:szCs w:val="20"/>
          <w:lang w:val="en-US"/>
        </w:rPr>
        <w:t>transactions</w:t>
      </w:r>
      <w:proofErr w:type="gramEnd"/>
      <w:r w:rsidRPr="00BB6172">
        <w:rPr>
          <w:rFonts w:ascii="Helvetica" w:hAnsi="Helvetica" w:cs="Helv"/>
          <w:color w:val="000000"/>
          <w:sz w:val="20"/>
          <w:szCs w:val="20"/>
          <w:lang w:val="en-US"/>
        </w:rPr>
        <w:t>.</w:t>
      </w:r>
    </w:p>
    <w:p w:rsidR="00BB6172" w:rsidRPr="00BB6172" w:rsidRDefault="00BB6172" w:rsidP="00BB6172">
      <w:pPr>
        <w:autoSpaceDE w:val="0"/>
        <w:autoSpaceDN w:val="0"/>
        <w:adjustRightInd w:val="0"/>
        <w:spacing w:after="0" w:line="240" w:lineRule="auto"/>
        <w:ind w:left="720"/>
        <w:rPr>
          <w:rFonts w:ascii="Helvetica" w:hAnsi="Helvetica" w:cs="Helv"/>
          <w:color w:val="000000"/>
          <w:sz w:val="20"/>
          <w:szCs w:val="20"/>
          <w:lang w:val="en-US"/>
        </w:rPr>
      </w:pPr>
    </w:p>
    <w:p w:rsidR="00BB6172" w:rsidRPr="00BB6172" w:rsidRDefault="00BB6172" w:rsidP="00BB6172">
      <w:pPr>
        <w:autoSpaceDE w:val="0"/>
        <w:autoSpaceDN w:val="0"/>
        <w:adjustRightInd w:val="0"/>
        <w:spacing w:after="0" w:line="240" w:lineRule="auto"/>
        <w:ind w:left="720"/>
        <w:rPr>
          <w:rFonts w:ascii="Helvetica" w:hAnsi="Helvetica" w:cs="Helv"/>
          <w:color w:val="000000"/>
          <w:sz w:val="20"/>
          <w:szCs w:val="20"/>
          <w:lang w:val="en-US"/>
        </w:rPr>
      </w:pPr>
      <w:r w:rsidRPr="00BB6172">
        <w:rPr>
          <w:rFonts w:ascii="Helvetica" w:hAnsi="Helvetica" w:cs="Helv"/>
          <w:color w:val="000000"/>
          <w:sz w:val="20"/>
          <w:szCs w:val="20"/>
          <w:lang w:val="en-US"/>
        </w:rPr>
        <w:t>The appointment of such persons as “delegates” of the depositary is to ensure that there is a link between the person charged with the custody obligation for the relevant AIF and the person who, in practice, is holding relevant financial instruments in which the AIF has a beneficial interest. This enables independent oversight of the relevant financial instruments and, of course, provides recourse to the depositary in the unlikely event of their loss.</w:t>
      </w:r>
    </w:p>
    <w:p w:rsidR="00BB6172" w:rsidRPr="00BB6172" w:rsidRDefault="00BB6172" w:rsidP="00BB6172">
      <w:pPr>
        <w:autoSpaceDE w:val="0"/>
        <w:autoSpaceDN w:val="0"/>
        <w:adjustRightInd w:val="0"/>
        <w:spacing w:after="0" w:line="240" w:lineRule="auto"/>
        <w:ind w:left="720"/>
        <w:rPr>
          <w:rFonts w:ascii="Helvetica" w:hAnsi="Helvetica" w:cs="Helv"/>
          <w:color w:val="000000"/>
          <w:sz w:val="20"/>
          <w:szCs w:val="20"/>
          <w:lang w:val="en-US"/>
        </w:rPr>
      </w:pPr>
    </w:p>
    <w:p w:rsidR="00BB6172" w:rsidRPr="00BB6172" w:rsidRDefault="00BB6172" w:rsidP="00BB6172">
      <w:pPr>
        <w:autoSpaceDE w:val="0"/>
        <w:autoSpaceDN w:val="0"/>
        <w:adjustRightInd w:val="0"/>
        <w:spacing w:after="0" w:line="240" w:lineRule="auto"/>
        <w:ind w:left="720"/>
        <w:rPr>
          <w:rFonts w:ascii="Helvetica" w:hAnsi="Helvetica" w:cs="Helv"/>
          <w:color w:val="000000"/>
          <w:sz w:val="20"/>
          <w:szCs w:val="20"/>
          <w:lang w:val="en-US"/>
        </w:rPr>
      </w:pPr>
      <w:r w:rsidRPr="00BB6172">
        <w:rPr>
          <w:rFonts w:ascii="Helvetica" w:hAnsi="Helvetica" w:cs="Helv"/>
          <w:color w:val="000000"/>
          <w:sz w:val="20"/>
          <w:szCs w:val="20"/>
          <w:lang w:val="en-US"/>
        </w:rPr>
        <w:t xml:space="preserve">Due to the nature of the services to be performed by a third party such as a collateral management agent, we do see merit in providing specific treatment for circumstances where the depositary is required to appoint such a person as its delegate for the purposes of its custody obligation. In the case of a collateral management agent, it must be </w:t>
      </w:r>
      <w:proofErr w:type="spellStart"/>
      <w:r w:rsidRPr="00BB6172">
        <w:rPr>
          <w:rFonts w:ascii="Helvetica" w:hAnsi="Helvetica" w:cs="Helv"/>
          <w:color w:val="000000"/>
          <w:sz w:val="20"/>
          <w:szCs w:val="20"/>
          <w:lang w:val="en-US"/>
        </w:rPr>
        <w:t>recognised</w:t>
      </w:r>
      <w:proofErr w:type="spellEnd"/>
      <w:r w:rsidRPr="00BB6172">
        <w:rPr>
          <w:rFonts w:ascii="Helvetica" w:hAnsi="Helvetica" w:cs="Helv"/>
          <w:color w:val="000000"/>
          <w:sz w:val="20"/>
          <w:szCs w:val="20"/>
          <w:lang w:val="en-US"/>
        </w:rPr>
        <w:t xml:space="preserve"> that, in the performance of its services, it will need the flexibility to facilitate a high level of movement of assets between accounts, including on an intra-day basis. To achieve this, it will need to be able to effect movements in a way that takes account of the consequences of transfers between accounts at its own delegates. If a collateral management agent is able to maintain a single omnibus account for client assets at its delegate, then its clients – the parties to the relevant market transaction – will have certainty about their possession and control of securities as they enter or leave their accounts with the collateral management agent; i.e., corresponding movements at the level of the delegate would not need to be made to achieve that result. If a collateral management agent has an AIF client and a non-AIF client who are </w:t>
      </w:r>
      <w:proofErr w:type="spellStart"/>
      <w:r w:rsidRPr="00BB6172">
        <w:rPr>
          <w:rFonts w:ascii="Helvetica" w:hAnsi="Helvetica" w:cs="Helv"/>
          <w:color w:val="000000"/>
          <w:sz w:val="20"/>
          <w:szCs w:val="20"/>
          <w:lang w:val="en-US"/>
        </w:rPr>
        <w:t>utilising</w:t>
      </w:r>
      <w:proofErr w:type="spellEnd"/>
      <w:r w:rsidRPr="00BB6172">
        <w:rPr>
          <w:rFonts w:ascii="Helvetica" w:hAnsi="Helvetica" w:cs="Helv"/>
          <w:color w:val="000000"/>
          <w:sz w:val="20"/>
          <w:szCs w:val="20"/>
          <w:lang w:val="en-US"/>
        </w:rPr>
        <w:t xml:space="preserve"> its services, and if it is forced to maintain separate omnibus accounts on each of their behalf at the level of its delegate, then neither the AIF client nor the non-AIF client will have legal certainty about the transfer of collateral unless and until the corresponding movements have been made at the level of the delegate. This introduces legal certainty risk, as well as attendant operational risk, which is unwarranted given the purposes of the AIFM Directive and Regulation.</w:t>
      </w:r>
    </w:p>
    <w:p w:rsidR="00BB6172" w:rsidRDefault="00BB6172" w:rsidP="00D11F67">
      <w:pPr>
        <w:autoSpaceDE w:val="0"/>
        <w:autoSpaceDN w:val="0"/>
        <w:adjustRightInd w:val="0"/>
        <w:spacing w:after="0" w:line="240" w:lineRule="auto"/>
        <w:ind w:left="720"/>
        <w:rPr>
          <w:rFonts w:ascii="Helvetica" w:hAnsi="Helvetica" w:cs="Helv"/>
          <w:color w:val="000000"/>
          <w:sz w:val="20"/>
          <w:szCs w:val="20"/>
        </w:rPr>
      </w:pPr>
    </w:p>
    <w:p w:rsidR="00D11F67" w:rsidRPr="00CF109B" w:rsidRDefault="00095BB0" w:rsidP="00BB6172">
      <w:pPr>
        <w:autoSpaceDE w:val="0"/>
        <w:autoSpaceDN w:val="0"/>
        <w:adjustRightInd w:val="0"/>
        <w:spacing w:after="0" w:line="240" w:lineRule="auto"/>
        <w:ind w:left="720"/>
        <w:rPr>
          <w:rFonts w:ascii="Helvetica" w:hAnsi="Helvetica" w:cs="Helv"/>
          <w:color w:val="000000"/>
          <w:sz w:val="20"/>
          <w:szCs w:val="20"/>
        </w:rPr>
      </w:pPr>
      <w:r w:rsidRPr="00CF109B">
        <w:rPr>
          <w:rFonts w:ascii="Helvetica" w:hAnsi="Helvetica" w:cs="Helv"/>
          <w:color w:val="000000"/>
          <w:sz w:val="20"/>
          <w:szCs w:val="20"/>
        </w:rPr>
        <w:t xml:space="preserve">If ESMA concludes that only Option 1 or Option 2 is available, due to the nature of the services </w:t>
      </w:r>
      <w:r w:rsidR="00BB6172">
        <w:rPr>
          <w:rFonts w:ascii="Helvetica" w:hAnsi="Helvetica" w:cs="Helv"/>
          <w:color w:val="000000"/>
          <w:sz w:val="20"/>
          <w:szCs w:val="20"/>
        </w:rPr>
        <w:t>that are</w:t>
      </w:r>
      <w:r w:rsidRPr="00CF109B">
        <w:rPr>
          <w:rFonts w:ascii="Helvetica" w:hAnsi="Helvetica" w:cs="Helv"/>
          <w:color w:val="000000"/>
          <w:sz w:val="20"/>
          <w:szCs w:val="20"/>
        </w:rPr>
        <w:t xml:space="preserve"> performed </w:t>
      </w:r>
      <w:r w:rsidRPr="00CF109B">
        <w:rPr>
          <w:rFonts w:ascii="Helvetica" w:hAnsi="Helvetica" w:cs="Helv"/>
          <w:color w:val="000000"/>
          <w:sz w:val="20"/>
          <w:szCs w:val="20"/>
        </w:rPr>
        <w:t xml:space="preserve">by </w:t>
      </w:r>
      <w:r w:rsidR="009835DC">
        <w:rPr>
          <w:rFonts w:ascii="Helvetica" w:hAnsi="Helvetica" w:cs="Helv"/>
          <w:color w:val="000000"/>
          <w:sz w:val="20"/>
          <w:szCs w:val="20"/>
        </w:rPr>
        <w:t xml:space="preserve">a </w:t>
      </w:r>
      <w:r w:rsidRPr="00CF109B">
        <w:rPr>
          <w:rFonts w:ascii="Helvetica" w:hAnsi="Helvetica" w:cs="Helv"/>
          <w:color w:val="000000"/>
          <w:sz w:val="20"/>
          <w:szCs w:val="20"/>
        </w:rPr>
        <w:t xml:space="preserve">collateral </w:t>
      </w:r>
      <w:r w:rsidRPr="00CF109B">
        <w:rPr>
          <w:rFonts w:ascii="Helvetica" w:hAnsi="Helvetica" w:cs="Helv"/>
          <w:color w:val="000000"/>
          <w:sz w:val="20"/>
          <w:szCs w:val="20"/>
        </w:rPr>
        <w:t>manage</w:t>
      </w:r>
      <w:r w:rsidR="00BB6172">
        <w:rPr>
          <w:rFonts w:ascii="Helvetica" w:hAnsi="Helvetica" w:cs="Helv"/>
          <w:color w:val="000000"/>
          <w:sz w:val="20"/>
          <w:szCs w:val="20"/>
        </w:rPr>
        <w:t>ment agent</w:t>
      </w:r>
      <w:r w:rsidRPr="00CF109B">
        <w:rPr>
          <w:rFonts w:ascii="Helvetica" w:hAnsi="Helvetica" w:cs="Helv"/>
          <w:color w:val="000000"/>
          <w:sz w:val="20"/>
          <w:szCs w:val="20"/>
        </w:rPr>
        <w:t>, we recommend providing for specific treatment for circumstances where the depositary is required to appoint a collateral manage</w:t>
      </w:r>
      <w:r w:rsidR="00BB6172">
        <w:rPr>
          <w:rFonts w:ascii="Helvetica" w:hAnsi="Helvetica" w:cs="Helv"/>
          <w:color w:val="000000"/>
          <w:sz w:val="20"/>
          <w:szCs w:val="20"/>
        </w:rPr>
        <w:t>ment agent</w:t>
      </w:r>
      <w:r w:rsidRPr="00CF109B">
        <w:rPr>
          <w:rFonts w:ascii="Helvetica" w:hAnsi="Helvetica" w:cs="Helv"/>
          <w:color w:val="000000"/>
          <w:sz w:val="20"/>
          <w:szCs w:val="20"/>
        </w:rPr>
        <w:t xml:space="preserve"> as its third-party delegate for the purposes of safekeeping the AIF’s assets.</w:t>
      </w:r>
      <w:r w:rsidRPr="00CF109B">
        <w:rPr>
          <w:rStyle w:val="FootnoteReference"/>
          <w:rFonts w:ascii="Helvetica" w:hAnsi="Helvetica" w:cs="Helv"/>
          <w:color w:val="000000"/>
          <w:sz w:val="20"/>
          <w:szCs w:val="20"/>
        </w:rPr>
        <w:footnoteReference w:id="12"/>
      </w:r>
      <w:r w:rsidRPr="00CF109B">
        <w:rPr>
          <w:rFonts w:ascii="Helvetica" w:hAnsi="Helvetica" w:cs="Helv"/>
          <w:color w:val="000000"/>
          <w:sz w:val="20"/>
          <w:szCs w:val="20"/>
        </w:rPr>
        <w:t xml:space="preserve">  </w:t>
      </w:r>
    </w:p>
    <w:p w:rsidR="00095BB0" w:rsidRPr="00CF109B" w:rsidRDefault="00095BB0" w:rsidP="00095BB0">
      <w:pPr>
        <w:autoSpaceDE w:val="0"/>
        <w:autoSpaceDN w:val="0"/>
        <w:adjustRightInd w:val="0"/>
        <w:spacing w:after="0" w:line="240" w:lineRule="auto"/>
        <w:rPr>
          <w:rFonts w:ascii="Helvetica" w:hAnsi="Helvetica" w:cs="Helv"/>
          <w:color w:val="000000"/>
          <w:sz w:val="20"/>
          <w:szCs w:val="20"/>
        </w:rPr>
      </w:pPr>
    </w:p>
    <w:p w:rsidR="00D11F67" w:rsidRPr="00CF109B" w:rsidRDefault="00D11F67" w:rsidP="00BB6172">
      <w:pPr>
        <w:autoSpaceDE w:val="0"/>
        <w:autoSpaceDN w:val="0"/>
        <w:adjustRightInd w:val="0"/>
        <w:spacing w:after="0" w:line="240" w:lineRule="auto"/>
        <w:ind w:left="720"/>
        <w:rPr>
          <w:rFonts w:ascii="Helvetica" w:hAnsi="Helvetica" w:cs="Helv"/>
          <w:color w:val="000000"/>
          <w:sz w:val="20"/>
          <w:szCs w:val="20"/>
        </w:rPr>
      </w:pPr>
      <w:r w:rsidRPr="00CF109B">
        <w:rPr>
          <w:rFonts w:ascii="Helvetica" w:hAnsi="Helvetica" w:cs="Helv"/>
          <w:color w:val="000000"/>
          <w:sz w:val="20"/>
          <w:szCs w:val="20"/>
        </w:rPr>
        <w:t xml:space="preserve">Restrictions on the </w:t>
      </w:r>
      <w:r w:rsidR="00BB6172">
        <w:rPr>
          <w:rFonts w:ascii="Helvetica" w:hAnsi="Helvetica" w:cs="Helv"/>
          <w:color w:val="000000"/>
          <w:sz w:val="20"/>
          <w:szCs w:val="20"/>
        </w:rPr>
        <w:t xml:space="preserve">effective </w:t>
      </w:r>
      <w:r w:rsidRPr="00CF109B">
        <w:rPr>
          <w:rFonts w:ascii="Helvetica" w:hAnsi="Helvetica" w:cs="Helv"/>
          <w:color w:val="000000"/>
          <w:sz w:val="20"/>
          <w:szCs w:val="20"/>
        </w:rPr>
        <w:t xml:space="preserve">use and management of collateral </w:t>
      </w:r>
      <w:r w:rsidR="006F0FEC" w:rsidRPr="00CF109B">
        <w:rPr>
          <w:rFonts w:ascii="Helvetica" w:hAnsi="Helvetica" w:cs="Helv"/>
          <w:color w:val="000000"/>
          <w:sz w:val="20"/>
          <w:szCs w:val="20"/>
        </w:rPr>
        <w:t xml:space="preserve">may </w:t>
      </w:r>
      <w:r w:rsidRPr="00CF109B">
        <w:rPr>
          <w:rFonts w:ascii="Helvetica" w:hAnsi="Helvetica" w:cs="Helv"/>
          <w:color w:val="000000"/>
          <w:sz w:val="20"/>
          <w:szCs w:val="20"/>
        </w:rPr>
        <w:t xml:space="preserve">contradict policy objectives of the use of collateral to reduce risk in the financial system. </w:t>
      </w:r>
      <w:r w:rsidR="006F0FEC" w:rsidRPr="00CF109B">
        <w:rPr>
          <w:rFonts w:ascii="Helvetica" w:hAnsi="Helvetica" w:cs="Helv"/>
          <w:color w:val="000000"/>
          <w:sz w:val="20"/>
          <w:szCs w:val="20"/>
        </w:rPr>
        <w:t xml:space="preserve"> </w:t>
      </w:r>
      <w:r w:rsidRPr="00CF109B">
        <w:rPr>
          <w:rFonts w:ascii="Helvetica" w:hAnsi="Helvetica" w:cs="Helv"/>
          <w:color w:val="000000"/>
          <w:sz w:val="20"/>
          <w:szCs w:val="20"/>
        </w:rPr>
        <w:t>Collateral management is systemically important</w:t>
      </w:r>
      <w:r w:rsidR="006F0FEC" w:rsidRPr="00CF109B">
        <w:rPr>
          <w:rFonts w:ascii="Helvetica" w:hAnsi="Helvetica" w:cs="Helv"/>
          <w:color w:val="000000"/>
          <w:sz w:val="20"/>
          <w:szCs w:val="20"/>
        </w:rPr>
        <w:t>: it plays</w:t>
      </w:r>
      <w:r w:rsidRPr="00CF109B">
        <w:rPr>
          <w:rFonts w:ascii="Helvetica" w:hAnsi="Helvetica" w:cs="Helv"/>
          <w:color w:val="000000"/>
          <w:sz w:val="20"/>
          <w:szCs w:val="20"/>
        </w:rPr>
        <w:t xml:space="preserve"> a vital role in the post-financial-crisis economy by reducing risk in the financial system and increasing liquidity. It also enables additional income for funds, which is of benefit to their investors.</w:t>
      </w:r>
      <w:r w:rsidR="006F0FEC" w:rsidRPr="00CF109B">
        <w:rPr>
          <w:rFonts w:ascii="Helvetica" w:hAnsi="Helvetica" w:cs="Helv"/>
          <w:color w:val="000000"/>
          <w:sz w:val="20"/>
          <w:szCs w:val="20"/>
        </w:rPr>
        <w:t xml:space="preserve">  </w:t>
      </w:r>
      <w:r w:rsidR="006F0FEC" w:rsidRPr="00CF109B">
        <w:rPr>
          <w:rFonts w:ascii="Helvetica" w:hAnsi="Helvetica"/>
          <w:sz w:val="20"/>
          <w:szCs w:val="20"/>
        </w:rPr>
        <w:t xml:space="preserve"> </w:t>
      </w:r>
      <w:r w:rsidR="006F0FEC" w:rsidRPr="00CF109B">
        <w:rPr>
          <w:rFonts w:ascii="Helvetica" w:hAnsi="Helvetica" w:cs="Helv"/>
          <w:color w:val="000000"/>
          <w:sz w:val="20"/>
          <w:szCs w:val="20"/>
        </w:rPr>
        <w:t xml:space="preserve">The Committee cautions that asset </w:t>
      </w:r>
      <w:r w:rsidR="006F0FEC" w:rsidRPr="00CF109B">
        <w:rPr>
          <w:rFonts w:ascii="Helvetica" w:hAnsi="Helvetica" w:cs="Helv"/>
          <w:color w:val="000000"/>
          <w:sz w:val="20"/>
          <w:szCs w:val="20"/>
        </w:rPr>
        <w:lastRenderedPageBreak/>
        <w:t xml:space="preserve">segregation requirements imposed at the level of “third-party delegates” need to be carefully designed and implemented so that they do not prevent effective collateral management.  </w:t>
      </w:r>
    </w:p>
    <w:p w:rsidR="00AD1AC9" w:rsidRPr="00CF109B" w:rsidRDefault="00095BB0" w:rsidP="00254581">
      <w:pPr>
        <w:autoSpaceDE w:val="0"/>
        <w:autoSpaceDN w:val="0"/>
        <w:adjustRightInd w:val="0"/>
        <w:spacing w:after="0" w:line="240" w:lineRule="auto"/>
        <w:rPr>
          <w:rFonts w:ascii="Helvetica" w:hAnsi="Helvetica" w:cs="Helv"/>
          <w:color w:val="000000"/>
          <w:sz w:val="20"/>
          <w:szCs w:val="20"/>
        </w:rPr>
      </w:pPr>
      <w:r w:rsidRPr="00CF109B">
        <w:rPr>
          <w:rFonts w:ascii="Helvetica" w:hAnsi="Helvetica" w:cs="Helv"/>
          <w:color w:val="000000"/>
          <w:sz w:val="20"/>
          <w:szCs w:val="20"/>
        </w:rPr>
        <w:t xml:space="preserve"> </w:t>
      </w:r>
    </w:p>
    <w:p w:rsidR="002D083B" w:rsidRPr="00CF109B" w:rsidRDefault="002D083B" w:rsidP="002D083B">
      <w:pPr>
        <w:autoSpaceDE w:val="0"/>
        <w:autoSpaceDN w:val="0"/>
        <w:adjustRightInd w:val="0"/>
        <w:spacing w:after="0" w:line="240" w:lineRule="auto"/>
        <w:rPr>
          <w:rFonts w:ascii="Helvetica" w:hAnsi="Helvetica" w:cs="Helv"/>
          <w:b/>
          <w:color w:val="000000"/>
          <w:sz w:val="20"/>
          <w:szCs w:val="20"/>
        </w:rPr>
      </w:pPr>
    </w:p>
    <w:p w:rsidR="002D083B" w:rsidRPr="00CF109B" w:rsidRDefault="00254581" w:rsidP="002D083B">
      <w:pPr>
        <w:autoSpaceDE w:val="0"/>
        <w:autoSpaceDN w:val="0"/>
        <w:adjustRightInd w:val="0"/>
        <w:spacing w:after="0" w:line="240" w:lineRule="auto"/>
        <w:rPr>
          <w:rFonts w:ascii="Helvetica" w:hAnsi="Helvetica" w:cs="Helv"/>
          <w:b/>
          <w:color w:val="000000"/>
          <w:sz w:val="20"/>
          <w:szCs w:val="20"/>
        </w:rPr>
      </w:pPr>
      <w:r w:rsidRPr="00CF109B">
        <w:rPr>
          <w:rFonts w:ascii="Helvetica" w:hAnsi="Helvetica" w:cs="Helv"/>
          <w:b/>
          <w:color w:val="000000"/>
          <w:sz w:val="20"/>
          <w:szCs w:val="20"/>
        </w:rPr>
        <w:t xml:space="preserve">Q.5: </w:t>
      </w:r>
      <w:r w:rsidR="002D083B" w:rsidRPr="00CF109B">
        <w:rPr>
          <w:rFonts w:ascii="Helvetica" w:hAnsi="Helvetica" w:cs="Helv"/>
          <w:b/>
          <w:bCs/>
          <w:color w:val="000000"/>
          <w:sz w:val="20"/>
          <w:szCs w:val="20"/>
        </w:rPr>
        <w:t xml:space="preserve">Do you agree with ESMA’s approach to discarding the third, fourth and fifth options described in Section 5 of the CBA? </w:t>
      </w:r>
      <w:proofErr w:type="gramStart"/>
      <w:r w:rsidR="002D083B" w:rsidRPr="00CF109B">
        <w:rPr>
          <w:rFonts w:ascii="Helvetica" w:hAnsi="Helvetica" w:cs="Helv"/>
          <w:b/>
          <w:bCs/>
          <w:color w:val="000000"/>
          <w:sz w:val="20"/>
          <w:szCs w:val="20"/>
        </w:rPr>
        <w:t>if</w:t>
      </w:r>
      <w:proofErr w:type="gramEnd"/>
      <w:r w:rsidR="002D083B" w:rsidRPr="00CF109B">
        <w:rPr>
          <w:rFonts w:ascii="Helvetica" w:hAnsi="Helvetica" w:cs="Helv"/>
          <w:b/>
          <w:bCs/>
          <w:color w:val="000000"/>
          <w:sz w:val="20"/>
          <w:szCs w:val="20"/>
        </w:rPr>
        <w:t xml:space="preserve"> not please provide data and information that support your view. </w:t>
      </w:r>
    </w:p>
    <w:p w:rsidR="00254581" w:rsidRPr="00CF109B" w:rsidRDefault="00254581" w:rsidP="00254581">
      <w:pPr>
        <w:autoSpaceDE w:val="0"/>
        <w:autoSpaceDN w:val="0"/>
        <w:adjustRightInd w:val="0"/>
        <w:spacing w:after="0" w:line="240" w:lineRule="auto"/>
        <w:rPr>
          <w:rFonts w:ascii="Helvetica" w:hAnsi="Helvetica" w:cs="Helv"/>
          <w:color w:val="000000"/>
          <w:sz w:val="20"/>
          <w:szCs w:val="20"/>
        </w:rPr>
      </w:pPr>
    </w:p>
    <w:p w:rsidR="00254581" w:rsidRPr="00CF109B" w:rsidRDefault="00AD1AC9" w:rsidP="00152473">
      <w:pPr>
        <w:autoSpaceDE w:val="0"/>
        <w:autoSpaceDN w:val="0"/>
        <w:adjustRightInd w:val="0"/>
        <w:spacing w:after="0" w:line="240" w:lineRule="auto"/>
        <w:ind w:left="720"/>
        <w:rPr>
          <w:rFonts w:ascii="Helvetica" w:hAnsi="Helvetica" w:cs="Helv"/>
          <w:color w:val="000000"/>
          <w:sz w:val="20"/>
          <w:szCs w:val="20"/>
        </w:rPr>
      </w:pPr>
      <w:r w:rsidRPr="00CF109B">
        <w:rPr>
          <w:rFonts w:ascii="Helvetica" w:hAnsi="Helvetica" w:cs="Helv"/>
          <w:color w:val="000000"/>
          <w:sz w:val="20"/>
          <w:szCs w:val="20"/>
        </w:rPr>
        <w:t>As indicated above, and for the reasons stated,</w:t>
      </w:r>
      <w:r w:rsidR="00254581" w:rsidRPr="00CF109B">
        <w:rPr>
          <w:rFonts w:ascii="Helvetica" w:hAnsi="Helvetica" w:cs="Helv"/>
          <w:color w:val="000000"/>
          <w:sz w:val="20"/>
          <w:szCs w:val="20"/>
        </w:rPr>
        <w:t xml:space="preserve"> </w:t>
      </w:r>
      <w:r w:rsidR="00340C64" w:rsidRPr="00CF109B">
        <w:rPr>
          <w:rFonts w:ascii="Helvetica" w:hAnsi="Helvetica" w:cs="Helv"/>
          <w:color w:val="000000"/>
          <w:sz w:val="20"/>
          <w:szCs w:val="20"/>
        </w:rPr>
        <w:t>the Committee</w:t>
      </w:r>
      <w:r w:rsidR="00254581" w:rsidRPr="00CF109B">
        <w:rPr>
          <w:rFonts w:ascii="Helvetica" w:hAnsi="Helvetica" w:cs="Helv"/>
          <w:color w:val="000000"/>
          <w:sz w:val="20"/>
          <w:szCs w:val="20"/>
        </w:rPr>
        <w:t xml:space="preserve"> disagree</w:t>
      </w:r>
      <w:r w:rsidR="00340C64" w:rsidRPr="00CF109B">
        <w:rPr>
          <w:rFonts w:ascii="Helvetica" w:hAnsi="Helvetica" w:cs="Helv"/>
          <w:color w:val="000000"/>
          <w:sz w:val="20"/>
          <w:szCs w:val="20"/>
        </w:rPr>
        <w:t>s</w:t>
      </w:r>
      <w:r w:rsidR="00254581" w:rsidRPr="00CF109B">
        <w:rPr>
          <w:rFonts w:ascii="Helvetica" w:hAnsi="Helvetica" w:cs="Helv"/>
          <w:color w:val="000000"/>
          <w:sz w:val="20"/>
          <w:szCs w:val="20"/>
        </w:rPr>
        <w:t xml:space="preserve"> with ESMA's discarding of Option 4</w:t>
      </w:r>
      <w:r w:rsidRPr="00CF109B">
        <w:rPr>
          <w:rFonts w:ascii="Helvetica" w:hAnsi="Helvetica" w:cs="Helv"/>
          <w:color w:val="000000"/>
          <w:sz w:val="20"/>
          <w:szCs w:val="20"/>
        </w:rPr>
        <w:t xml:space="preserve">.  </w:t>
      </w:r>
      <w:r w:rsidR="00254581" w:rsidRPr="00CF109B">
        <w:rPr>
          <w:rFonts w:ascii="Helvetica" w:hAnsi="Helvetica" w:cs="Helv"/>
          <w:color w:val="000000"/>
          <w:sz w:val="20"/>
          <w:szCs w:val="20"/>
        </w:rPr>
        <w:t xml:space="preserve">We </w:t>
      </w:r>
      <w:r w:rsidRPr="00CF109B">
        <w:rPr>
          <w:rFonts w:ascii="Helvetica" w:hAnsi="Helvetica" w:cs="Helv"/>
          <w:color w:val="000000"/>
          <w:sz w:val="20"/>
          <w:szCs w:val="20"/>
        </w:rPr>
        <w:t xml:space="preserve">believe Option 1 and </w:t>
      </w:r>
      <w:r w:rsidRPr="00CF109B">
        <w:rPr>
          <w:rFonts w:ascii="Helvetica" w:hAnsi="Helvetica" w:cs="Helv"/>
          <w:color w:val="000000"/>
          <w:sz w:val="20"/>
          <w:szCs w:val="20"/>
        </w:rPr>
        <w:t xml:space="preserve">Option 2 would </w:t>
      </w:r>
      <w:r w:rsidR="009835DC">
        <w:rPr>
          <w:rFonts w:ascii="Helvetica" w:hAnsi="Helvetica" w:cs="Helv"/>
          <w:color w:val="000000"/>
          <w:sz w:val="20"/>
          <w:szCs w:val="20"/>
        </w:rPr>
        <w:t xml:space="preserve">both </w:t>
      </w:r>
      <w:r w:rsidRPr="00CF109B">
        <w:rPr>
          <w:rFonts w:ascii="Helvetica" w:hAnsi="Helvetica" w:cs="Helv"/>
          <w:color w:val="000000"/>
          <w:sz w:val="20"/>
          <w:szCs w:val="20"/>
        </w:rPr>
        <w:t xml:space="preserve">cause significant </w:t>
      </w:r>
      <w:r w:rsidR="00254581" w:rsidRPr="00CF109B">
        <w:rPr>
          <w:rFonts w:ascii="Helvetica" w:hAnsi="Helvetica" w:cs="Helv"/>
          <w:color w:val="000000"/>
          <w:sz w:val="20"/>
          <w:szCs w:val="20"/>
        </w:rPr>
        <w:t>disruption to collateral and capital markets transactions</w:t>
      </w:r>
      <w:r w:rsidR="009835DC">
        <w:rPr>
          <w:rFonts w:ascii="Helvetica" w:hAnsi="Helvetica" w:cs="Helv"/>
          <w:color w:val="000000"/>
          <w:sz w:val="20"/>
          <w:szCs w:val="20"/>
        </w:rPr>
        <w:t>.</w:t>
      </w:r>
      <w:r w:rsidR="00254581" w:rsidRPr="00CF109B">
        <w:rPr>
          <w:rFonts w:ascii="Helvetica" w:hAnsi="Helvetica" w:cs="Helv"/>
          <w:color w:val="000000"/>
          <w:sz w:val="20"/>
          <w:szCs w:val="20"/>
        </w:rPr>
        <w:t xml:space="preserve">  </w:t>
      </w:r>
    </w:p>
    <w:p w:rsidR="000B1116" w:rsidRPr="00CF109B" w:rsidRDefault="000B1116" w:rsidP="00152473">
      <w:pPr>
        <w:spacing w:line="240" w:lineRule="auto"/>
        <w:ind w:left="720"/>
        <w:rPr>
          <w:rFonts w:ascii="Helvetica" w:hAnsi="Helvetica" w:cs="Times New Roman"/>
          <w:color w:val="000000"/>
          <w:sz w:val="20"/>
          <w:szCs w:val="20"/>
        </w:rPr>
      </w:pPr>
    </w:p>
    <w:p w:rsidR="000B1116" w:rsidRPr="00CF109B" w:rsidRDefault="000B1116" w:rsidP="00152473">
      <w:pPr>
        <w:spacing w:line="240" w:lineRule="auto"/>
        <w:ind w:left="720"/>
        <w:rPr>
          <w:rFonts w:ascii="Helvetica" w:hAnsi="Helvetica" w:cs="Times New Roman"/>
          <w:color w:val="000000"/>
          <w:sz w:val="20"/>
          <w:szCs w:val="20"/>
          <w:u w:val="single"/>
        </w:rPr>
      </w:pPr>
      <w:r w:rsidRPr="00CF109B">
        <w:rPr>
          <w:rFonts w:ascii="Helvetica" w:hAnsi="Helvetica" w:cs="Times New Roman"/>
          <w:color w:val="000000"/>
          <w:sz w:val="20"/>
          <w:szCs w:val="20"/>
          <w:u w:val="single"/>
        </w:rPr>
        <w:t>Omnibus Accounts – background and rationale</w:t>
      </w:r>
    </w:p>
    <w:p w:rsidR="00E0053D" w:rsidRDefault="00A04B33" w:rsidP="00E0053D">
      <w:pPr>
        <w:autoSpaceDE w:val="0"/>
        <w:autoSpaceDN w:val="0"/>
        <w:adjustRightInd w:val="0"/>
        <w:spacing w:after="0" w:line="240" w:lineRule="auto"/>
        <w:ind w:left="720"/>
        <w:rPr>
          <w:rFonts w:ascii="Helvetica" w:hAnsi="Helvetica" w:cs="Times New Roman"/>
          <w:color w:val="000000"/>
          <w:sz w:val="20"/>
          <w:szCs w:val="20"/>
        </w:rPr>
      </w:pPr>
      <w:r w:rsidRPr="00E0053D">
        <w:rPr>
          <w:rFonts w:ascii="Helvetica" w:hAnsi="Helvetica" w:cs="Times New Roman"/>
          <w:color w:val="000000"/>
          <w:sz w:val="20"/>
          <w:szCs w:val="20"/>
        </w:rPr>
        <w:t>In practice, a combination of tradition and operational and legal reasons rather than ease of</w:t>
      </w:r>
      <w:r w:rsidR="000B1116" w:rsidRPr="00E0053D">
        <w:rPr>
          <w:rFonts w:ascii="Helvetica" w:hAnsi="Helvetica" w:cs="Times New Roman"/>
          <w:color w:val="000000"/>
          <w:sz w:val="20"/>
          <w:szCs w:val="20"/>
        </w:rPr>
        <w:t xml:space="preserve"> s</w:t>
      </w:r>
      <w:r w:rsidRPr="00E0053D">
        <w:rPr>
          <w:rFonts w:ascii="Helvetica" w:hAnsi="Helvetica" w:cs="Times New Roman"/>
          <w:color w:val="000000"/>
          <w:sz w:val="20"/>
          <w:szCs w:val="20"/>
        </w:rPr>
        <w:t>ettlement of transfers are likely to dictate the use of omnibus accounts. Practice has</w:t>
      </w:r>
      <w:r w:rsidR="000B1116" w:rsidRPr="00E0053D">
        <w:rPr>
          <w:rFonts w:ascii="Helvetica" w:hAnsi="Helvetica" w:cs="Times New Roman"/>
          <w:color w:val="000000"/>
          <w:sz w:val="20"/>
          <w:szCs w:val="20"/>
        </w:rPr>
        <w:t xml:space="preserve"> </w:t>
      </w:r>
      <w:r w:rsidRPr="00E0053D">
        <w:rPr>
          <w:rFonts w:ascii="Helvetica" w:hAnsi="Helvetica" w:cs="Times New Roman"/>
          <w:color w:val="000000"/>
          <w:sz w:val="20"/>
          <w:szCs w:val="20"/>
        </w:rPr>
        <w:t>become entrenched, so that where omnibus accounts are common, the law has tended to</w:t>
      </w:r>
      <w:r w:rsidR="000B1116" w:rsidRPr="00E0053D">
        <w:rPr>
          <w:rFonts w:ascii="Helvetica" w:hAnsi="Helvetica" w:cs="Times New Roman"/>
          <w:color w:val="000000"/>
          <w:sz w:val="20"/>
          <w:szCs w:val="20"/>
        </w:rPr>
        <w:t xml:space="preserve"> </w:t>
      </w:r>
      <w:r w:rsidRPr="00E0053D">
        <w:rPr>
          <w:rFonts w:ascii="Helvetica" w:hAnsi="Helvetica" w:cs="Times New Roman"/>
          <w:color w:val="000000"/>
          <w:sz w:val="20"/>
          <w:szCs w:val="20"/>
        </w:rPr>
        <w:t xml:space="preserve">support their existence. </w:t>
      </w:r>
    </w:p>
    <w:p w:rsidR="00E0053D" w:rsidRDefault="00E0053D" w:rsidP="00E0053D">
      <w:pPr>
        <w:autoSpaceDE w:val="0"/>
        <w:autoSpaceDN w:val="0"/>
        <w:adjustRightInd w:val="0"/>
        <w:spacing w:after="0" w:line="240" w:lineRule="auto"/>
        <w:ind w:left="720"/>
        <w:rPr>
          <w:rFonts w:ascii="Helvetica" w:hAnsi="Helvetica" w:cs="Times New Roman"/>
          <w:color w:val="000000"/>
          <w:sz w:val="20"/>
          <w:szCs w:val="20"/>
        </w:rPr>
      </w:pPr>
    </w:p>
    <w:p w:rsidR="00E0053D" w:rsidRDefault="00977C9E" w:rsidP="00E0053D">
      <w:pPr>
        <w:autoSpaceDE w:val="0"/>
        <w:autoSpaceDN w:val="0"/>
        <w:adjustRightInd w:val="0"/>
        <w:spacing w:after="0" w:line="240" w:lineRule="auto"/>
        <w:ind w:left="720"/>
        <w:rPr>
          <w:rFonts w:ascii="Helvetica" w:hAnsi="Helvetica" w:cs="Times New Roman"/>
          <w:color w:val="000000"/>
          <w:sz w:val="20"/>
          <w:szCs w:val="20"/>
        </w:rPr>
      </w:pPr>
      <w:r>
        <w:rPr>
          <w:rFonts w:ascii="Helvetica" w:hAnsi="Helvetica" w:cs="Times New Roman"/>
          <w:color w:val="000000"/>
          <w:sz w:val="20"/>
          <w:szCs w:val="20"/>
        </w:rPr>
        <w:t>T</w:t>
      </w:r>
      <w:r w:rsidR="00A04B33" w:rsidRPr="00CF109B">
        <w:rPr>
          <w:rFonts w:ascii="Helvetica" w:hAnsi="Helvetica" w:cs="Times New Roman"/>
          <w:color w:val="000000"/>
          <w:sz w:val="20"/>
          <w:szCs w:val="20"/>
        </w:rPr>
        <w:t xml:space="preserve">he technical and operational systems will have grown up domestically in a manner which suits the local legal arrangements, and may be difficult to adapt wholesale. Rather, individual market participants have developed ad-hoc arrangements to cope with local market expectations. </w:t>
      </w:r>
      <w:r w:rsidRPr="00977C9E">
        <w:rPr>
          <w:rFonts w:ascii="Helvetica" w:hAnsi="Helvetica" w:cs="Times New Roman"/>
          <w:color w:val="000000"/>
          <w:sz w:val="20"/>
          <w:szCs w:val="20"/>
        </w:rPr>
        <w:t>The Committee would welcome the opportunity to discuss further with ESMA the legal and other local market factors that would be relevant in particular countries.</w:t>
      </w:r>
    </w:p>
    <w:p w:rsidR="00E0053D" w:rsidRDefault="00E0053D" w:rsidP="00E0053D">
      <w:pPr>
        <w:autoSpaceDE w:val="0"/>
        <w:autoSpaceDN w:val="0"/>
        <w:adjustRightInd w:val="0"/>
        <w:spacing w:after="0" w:line="240" w:lineRule="auto"/>
        <w:ind w:left="720"/>
        <w:rPr>
          <w:rFonts w:ascii="Helvetica" w:hAnsi="Helvetica" w:cs="Times New Roman"/>
          <w:color w:val="000000"/>
          <w:sz w:val="20"/>
          <w:szCs w:val="20"/>
        </w:rPr>
      </w:pPr>
    </w:p>
    <w:p w:rsidR="00A04B33" w:rsidRDefault="00954020" w:rsidP="00E0053D">
      <w:pPr>
        <w:autoSpaceDE w:val="0"/>
        <w:autoSpaceDN w:val="0"/>
        <w:adjustRightInd w:val="0"/>
        <w:spacing w:after="0" w:line="240" w:lineRule="auto"/>
        <w:ind w:left="720"/>
        <w:rPr>
          <w:rFonts w:ascii="Helvetica" w:hAnsi="Helvetica" w:cs="Times New Roman"/>
          <w:color w:val="000000"/>
          <w:sz w:val="20"/>
          <w:szCs w:val="20"/>
        </w:rPr>
      </w:pPr>
      <w:r w:rsidRPr="00954020">
        <w:rPr>
          <w:rFonts w:ascii="Helvetica" w:hAnsi="Helvetica" w:cs="Times New Roman"/>
          <w:color w:val="000000"/>
          <w:sz w:val="20"/>
          <w:szCs w:val="20"/>
        </w:rPr>
        <w:t>In addition to the points raised in our responses to the other questions</w:t>
      </w:r>
      <w:r>
        <w:rPr>
          <w:rFonts w:ascii="Helvetica" w:hAnsi="Helvetica" w:cs="Times New Roman"/>
          <w:color w:val="000000"/>
          <w:sz w:val="20"/>
          <w:szCs w:val="20"/>
        </w:rPr>
        <w:t>, t</w:t>
      </w:r>
      <w:r w:rsidR="00A04B33" w:rsidRPr="00CF109B">
        <w:rPr>
          <w:rFonts w:ascii="Helvetica" w:hAnsi="Helvetica" w:cs="Times New Roman"/>
          <w:color w:val="000000"/>
          <w:sz w:val="20"/>
          <w:szCs w:val="20"/>
        </w:rPr>
        <w:t xml:space="preserve">he following advantages of using omnibus accounts can be stated: </w:t>
      </w:r>
    </w:p>
    <w:p w:rsidR="00E0053D" w:rsidRPr="00CF109B" w:rsidRDefault="00E0053D" w:rsidP="00E0053D">
      <w:pPr>
        <w:autoSpaceDE w:val="0"/>
        <w:autoSpaceDN w:val="0"/>
        <w:adjustRightInd w:val="0"/>
        <w:spacing w:after="0" w:line="240" w:lineRule="auto"/>
        <w:ind w:left="720"/>
        <w:rPr>
          <w:rFonts w:ascii="Helvetica" w:hAnsi="Helvetica" w:cs="Times New Roman"/>
          <w:color w:val="000000"/>
          <w:sz w:val="20"/>
          <w:szCs w:val="20"/>
        </w:rPr>
      </w:pPr>
    </w:p>
    <w:p w:rsidR="00A04B33" w:rsidRPr="00CF109B" w:rsidRDefault="00A04B33" w:rsidP="00152473">
      <w:pPr>
        <w:pStyle w:val="ListParagraph"/>
        <w:numPr>
          <w:ilvl w:val="0"/>
          <w:numId w:val="7"/>
        </w:numPr>
        <w:autoSpaceDE w:val="0"/>
        <w:autoSpaceDN w:val="0"/>
        <w:adjustRightInd w:val="0"/>
        <w:spacing w:after="0" w:line="240" w:lineRule="auto"/>
        <w:rPr>
          <w:rFonts w:ascii="Helvetica" w:hAnsi="Helvetica" w:cs="Times New Roman"/>
          <w:color w:val="000000"/>
          <w:sz w:val="20"/>
          <w:szCs w:val="20"/>
        </w:rPr>
      </w:pPr>
      <w:r w:rsidRPr="00CF109B">
        <w:rPr>
          <w:rFonts w:ascii="Helvetica" w:hAnsi="Helvetica" w:cs="Times New Roman"/>
          <w:color w:val="000000"/>
          <w:sz w:val="20"/>
          <w:szCs w:val="20"/>
          <w:u w:val="single"/>
        </w:rPr>
        <w:t>Cost</w:t>
      </w:r>
      <w:r w:rsidRPr="00CF109B">
        <w:rPr>
          <w:rFonts w:ascii="Helvetica" w:hAnsi="Helvetica" w:cs="Times New Roman"/>
          <w:color w:val="000000"/>
          <w:sz w:val="20"/>
          <w:szCs w:val="20"/>
        </w:rPr>
        <w:t xml:space="preserve">. Only one account is needed for many investors. This should reduce fees associated with (a) maintaining the account and (b) </w:t>
      </w:r>
      <w:r w:rsidRPr="00CF109B">
        <w:rPr>
          <w:rFonts w:ascii="Helvetica" w:hAnsi="Helvetica" w:cs="Times New Roman"/>
          <w:color w:val="000000"/>
          <w:sz w:val="20"/>
          <w:szCs w:val="20"/>
        </w:rPr>
        <w:t>transfers, where credit and debit entries offset and the settlement processing technique permits internalised (or net) settlement.</w:t>
      </w:r>
      <w:r w:rsidRPr="00CF109B">
        <w:rPr>
          <w:rFonts w:ascii="Helvetica" w:hAnsi="Helvetica" w:cs="Times New Roman"/>
          <w:color w:val="000000"/>
          <w:position w:val="8"/>
          <w:sz w:val="20"/>
          <w:szCs w:val="20"/>
          <w:vertAlign w:val="superscript"/>
        </w:rPr>
        <w:t xml:space="preserve"> </w:t>
      </w:r>
    </w:p>
    <w:p w:rsidR="00A04B33" w:rsidRPr="00CF109B" w:rsidRDefault="00A04B33" w:rsidP="00152473">
      <w:pPr>
        <w:pStyle w:val="ListParagraph"/>
        <w:numPr>
          <w:ilvl w:val="0"/>
          <w:numId w:val="7"/>
        </w:numPr>
        <w:autoSpaceDE w:val="0"/>
        <w:autoSpaceDN w:val="0"/>
        <w:adjustRightInd w:val="0"/>
        <w:spacing w:line="240" w:lineRule="auto"/>
        <w:rPr>
          <w:rFonts w:ascii="Helvetica" w:hAnsi="Helvetica" w:cs="Times New Roman"/>
          <w:color w:val="000000"/>
          <w:sz w:val="20"/>
          <w:szCs w:val="20"/>
        </w:rPr>
      </w:pPr>
      <w:r w:rsidRPr="00CF109B">
        <w:rPr>
          <w:rFonts w:ascii="Helvetica" w:hAnsi="Helvetica" w:cs="Times New Roman"/>
          <w:color w:val="000000"/>
          <w:sz w:val="20"/>
          <w:szCs w:val="20"/>
          <w:u w:val="single"/>
        </w:rPr>
        <w:t>Voting and corporate actions</w:t>
      </w:r>
      <w:r w:rsidRPr="00CF109B">
        <w:rPr>
          <w:rFonts w:ascii="Helvetica" w:hAnsi="Helvetica" w:cs="Times New Roman"/>
          <w:color w:val="000000"/>
          <w:sz w:val="20"/>
          <w:szCs w:val="20"/>
        </w:rPr>
        <w:t xml:space="preserve">. Provided that an account provider can gather the voting instructions for the collectively held securities (and contrary voting is permitted - see below) the volume of voting instructions required to be processed by the issuer will be significantly reduced. Likewise, for other corporate actions, the account provider will be responsible for processing the instructions and entitlements for all </w:t>
      </w:r>
      <w:r w:rsidR="009835DC">
        <w:rPr>
          <w:rFonts w:ascii="Helvetica" w:hAnsi="Helvetica" w:cs="Times New Roman"/>
          <w:color w:val="000000"/>
          <w:sz w:val="20"/>
          <w:szCs w:val="20"/>
        </w:rPr>
        <w:t xml:space="preserve">of </w:t>
      </w:r>
      <w:r w:rsidRPr="00CF109B">
        <w:rPr>
          <w:rFonts w:ascii="Helvetica" w:hAnsi="Helvetica" w:cs="Times New Roman"/>
          <w:color w:val="000000"/>
          <w:sz w:val="20"/>
          <w:szCs w:val="20"/>
        </w:rPr>
        <w:t xml:space="preserve">the investors under its account, thereby reducing the burden on the issuer. </w:t>
      </w:r>
    </w:p>
    <w:p w:rsidR="00BA228D" w:rsidRPr="00CF109B" w:rsidRDefault="00A04B33" w:rsidP="00BA228D">
      <w:pPr>
        <w:pStyle w:val="ListParagraph"/>
        <w:numPr>
          <w:ilvl w:val="0"/>
          <w:numId w:val="7"/>
        </w:numPr>
        <w:autoSpaceDE w:val="0"/>
        <w:autoSpaceDN w:val="0"/>
        <w:adjustRightInd w:val="0"/>
        <w:spacing w:after="0" w:line="240" w:lineRule="auto"/>
        <w:jc w:val="both"/>
        <w:rPr>
          <w:rFonts w:ascii="Helvetica" w:hAnsi="Helvetica" w:cs="Times New Roman"/>
          <w:color w:val="000000"/>
          <w:sz w:val="20"/>
          <w:szCs w:val="20"/>
        </w:rPr>
      </w:pPr>
      <w:r w:rsidRPr="00CF109B">
        <w:rPr>
          <w:rFonts w:ascii="Helvetica" w:hAnsi="Helvetica" w:cs="Times New Roman"/>
          <w:color w:val="000000"/>
          <w:sz w:val="20"/>
          <w:szCs w:val="20"/>
          <w:u w:val="single"/>
        </w:rPr>
        <w:t>Reduced burden for issuers</w:t>
      </w:r>
      <w:r w:rsidRPr="00CF109B">
        <w:rPr>
          <w:rFonts w:ascii="Helvetica" w:hAnsi="Helvetica" w:cs="Times New Roman"/>
          <w:color w:val="000000"/>
          <w:sz w:val="20"/>
          <w:szCs w:val="20"/>
        </w:rPr>
        <w:t xml:space="preserve">. Issuers do not need to deal directly with large numbers of investors where they are required legally only to recognise the persons who hold directly from them. This shifts the burden of dealing directly with investors to the account providers. Account providers may </w:t>
      </w:r>
      <w:r w:rsidR="009835DC">
        <w:rPr>
          <w:rFonts w:ascii="Helvetica" w:hAnsi="Helvetica" w:cs="Times New Roman"/>
          <w:color w:val="000000"/>
          <w:sz w:val="20"/>
          <w:szCs w:val="20"/>
        </w:rPr>
        <w:t xml:space="preserve">have more scope </w:t>
      </w:r>
      <w:r w:rsidRPr="00CF109B">
        <w:rPr>
          <w:rFonts w:ascii="Helvetica" w:hAnsi="Helvetica" w:cs="Times New Roman"/>
          <w:color w:val="000000"/>
          <w:sz w:val="20"/>
          <w:szCs w:val="20"/>
        </w:rPr>
        <w:t xml:space="preserve">to negotiate the level of service provided to their account holders, whereas issuers </w:t>
      </w:r>
      <w:r w:rsidRPr="00CF109B">
        <w:rPr>
          <w:rFonts w:ascii="Helvetica" w:hAnsi="Helvetica" w:cs="Times New Roman"/>
          <w:color w:val="000000"/>
          <w:sz w:val="20"/>
          <w:szCs w:val="20"/>
        </w:rPr>
        <w:t xml:space="preserve">will generally be required to treat all holders alike. </w:t>
      </w:r>
    </w:p>
    <w:p w:rsidR="00403DA3" w:rsidRPr="002A74FD" w:rsidRDefault="00403DA3" w:rsidP="002A74FD">
      <w:pPr>
        <w:rPr>
          <w:rFonts w:ascii="Helvetica" w:hAnsi="Helvetica" w:cs="Helvetica"/>
          <w:sz w:val="20"/>
          <w:szCs w:val="20"/>
        </w:rPr>
      </w:pPr>
    </w:p>
    <w:p w:rsidR="002A74FD" w:rsidRPr="002A74FD" w:rsidRDefault="002A74FD" w:rsidP="002A74FD">
      <w:pPr>
        <w:autoSpaceDE w:val="0"/>
        <w:autoSpaceDN w:val="0"/>
        <w:adjustRightInd w:val="0"/>
        <w:spacing w:before="37" w:after="0"/>
        <w:ind w:right="53"/>
        <w:jc w:val="both"/>
        <w:rPr>
          <w:rFonts w:ascii="Helvetica" w:hAnsi="Helvetica" w:cs="Helvetica"/>
          <w:bCs/>
          <w:sz w:val="20"/>
          <w:szCs w:val="20"/>
        </w:rPr>
      </w:pPr>
      <w:r w:rsidRPr="002A74FD">
        <w:rPr>
          <w:rFonts w:ascii="Helvetica" w:hAnsi="Helvetica" w:cs="Helvetica"/>
          <w:bCs/>
          <w:sz w:val="20"/>
          <w:szCs w:val="20"/>
        </w:rPr>
        <w:t xml:space="preserve">We would appreciate the opportunity to share our views on the </w:t>
      </w:r>
      <w:r>
        <w:rPr>
          <w:rFonts w:ascii="Helvetica" w:hAnsi="Helvetica" w:cs="Helvetica"/>
          <w:bCs/>
          <w:sz w:val="20"/>
          <w:szCs w:val="20"/>
        </w:rPr>
        <w:t>C</w:t>
      </w:r>
      <w:r w:rsidRPr="002A74FD">
        <w:rPr>
          <w:rFonts w:ascii="Helvetica" w:hAnsi="Helvetica" w:cs="Helvetica"/>
          <w:bCs/>
          <w:sz w:val="20"/>
          <w:szCs w:val="20"/>
        </w:rPr>
        <w:t xml:space="preserve">onsultation </w:t>
      </w:r>
      <w:r>
        <w:rPr>
          <w:rFonts w:ascii="Helvetica" w:hAnsi="Helvetica" w:cs="Helvetica"/>
          <w:bCs/>
          <w:sz w:val="20"/>
          <w:szCs w:val="20"/>
        </w:rPr>
        <w:t xml:space="preserve">Paper </w:t>
      </w:r>
      <w:r w:rsidRPr="002A74FD">
        <w:rPr>
          <w:rFonts w:ascii="Helvetica" w:hAnsi="Helvetica" w:cs="Helvetica"/>
          <w:bCs/>
          <w:sz w:val="20"/>
          <w:szCs w:val="20"/>
        </w:rPr>
        <w:t xml:space="preserve">and any further discussions in relation to </w:t>
      </w:r>
      <w:r w:rsidR="0010666E">
        <w:rPr>
          <w:rFonts w:ascii="Helvetica" w:hAnsi="Helvetica" w:cs="Helvetica"/>
          <w:bCs/>
          <w:sz w:val="20"/>
          <w:szCs w:val="20"/>
        </w:rPr>
        <w:t xml:space="preserve">the </w:t>
      </w:r>
      <w:r>
        <w:rPr>
          <w:rFonts w:ascii="Helvetica" w:hAnsi="Helvetica" w:cs="Helvetica"/>
          <w:bCs/>
          <w:sz w:val="20"/>
          <w:szCs w:val="20"/>
        </w:rPr>
        <w:t>AIFMD</w:t>
      </w:r>
      <w:r w:rsidRPr="002A74FD">
        <w:rPr>
          <w:rFonts w:ascii="Helvetica" w:hAnsi="Helvetica" w:cs="Helvetica"/>
          <w:bCs/>
          <w:sz w:val="20"/>
          <w:szCs w:val="20"/>
        </w:rPr>
        <w:t>.  Please do not hesitate to contact the undersigned should you wish to discuss any of the above.</w:t>
      </w:r>
    </w:p>
    <w:p w:rsidR="002A74FD" w:rsidRDefault="002A74FD" w:rsidP="002A74FD">
      <w:pPr>
        <w:autoSpaceDE w:val="0"/>
        <w:autoSpaceDN w:val="0"/>
        <w:adjustRightInd w:val="0"/>
        <w:spacing w:before="37" w:after="0"/>
        <w:ind w:right="53"/>
        <w:jc w:val="both"/>
        <w:rPr>
          <w:rFonts w:ascii="Helvetica" w:hAnsi="Helvetica" w:cs="Helvetica"/>
          <w:bCs/>
          <w:sz w:val="20"/>
          <w:szCs w:val="20"/>
        </w:rPr>
      </w:pPr>
    </w:p>
    <w:p w:rsidR="00B06A3F" w:rsidRPr="002A74FD" w:rsidRDefault="00B06A3F" w:rsidP="002A74FD">
      <w:pPr>
        <w:autoSpaceDE w:val="0"/>
        <w:autoSpaceDN w:val="0"/>
        <w:adjustRightInd w:val="0"/>
        <w:spacing w:before="37" w:after="0"/>
        <w:ind w:right="53"/>
        <w:jc w:val="both"/>
        <w:rPr>
          <w:rFonts w:ascii="Helvetica" w:hAnsi="Helvetica" w:cs="Helvetica"/>
          <w:bCs/>
          <w:sz w:val="20"/>
          <w:szCs w:val="20"/>
        </w:rPr>
      </w:pPr>
      <w:r>
        <w:rPr>
          <w:rFonts w:ascii="Helvetica" w:hAnsi="Helvetica" w:cs="Helvetica"/>
          <w:bCs/>
          <w:sz w:val="20"/>
          <w:szCs w:val="20"/>
        </w:rPr>
        <w:t>Sincerely,</w:t>
      </w:r>
    </w:p>
    <w:p w:rsidR="00B06A3F" w:rsidRDefault="00B06A3F" w:rsidP="002A74FD">
      <w:pPr>
        <w:autoSpaceDE w:val="0"/>
        <w:autoSpaceDN w:val="0"/>
        <w:adjustRightInd w:val="0"/>
        <w:spacing w:before="37" w:after="0"/>
        <w:ind w:right="53"/>
        <w:jc w:val="both"/>
        <w:rPr>
          <w:rFonts w:ascii="Helvetica" w:hAnsi="Helvetica" w:cs="Helvetica"/>
          <w:bCs/>
          <w:sz w:val="20"/>
          <w:szCs w:val="20"/>
        </w:rPr>
      </w:pPr>
    </w:p>
    <w:p w:rsidR="002A74FD" w:rsidRPr="002A74FD" w:rsidRDefault="002A74FD" w:rsidP="002A74FD">
      <w:pPr>
        <w:autoSpaceDE w:val="0"/>
        <w:autoSpaceDN w:val="0"/>
        <w:adjustRightInd w:val="0"/>
        <w:spacing w:before="37" w:after="0"/>
        <w:ind w:right="53"/>
        <w:jc w:val="both"/>
        <w:rPr>
          <w:rFonts w:ascii="Helvetica" w:hAnsi="Helvetica" w:cs="Helvetica"/>
          <w:bCs/>
          <w:sz w:val="20"/>
          <w:szCs w:val="20"/>
        </w:rPr>
      </w:pPr>
      <w:r w:rsidRPr="002A74FD">
        <w:rPr>
          <w:rFonts w:ascii="Helvetica" w:hAnsi="Helvetica" w:cs="Helvetica"/>
          <w:bCs/>
          <w:sz w:val="20"/>
          <w:szCs w:val="20"/>
        </w:rPr>
        <w:t>John Siena</w:t>
      </w:r>
    </w:p>
    <w:p w:rsidR="002A74FD" w:rsidRPr="002A74FD" w:rsidRDefault="002A74FD" w:rsidP="002A74FD">
      <w:pPr>
        <w:autoSpaceDE w:val="0"/>
        <w:autoSpaceDN w:val="0"/>
        <w:adjustRightInd w:val="0"/>
        <w:spacing w:before="37" w:after="0"/>
        <w:ind w:right="53"/>
        <w:jc w:val="both"/>
        <w:rPr>
          <w:rFonts w:ascii="Helvetica" w:hAnsi="Helvetica" w:cs="Helvetica"/>
          <w:bCs/>
          <w:sz w:val="20"/>
          <w:szCs w:val="20"/>
        </w:rPr>
      </w:pPr>
      <w:r w:rsidRPr="002A74FD">
        <w:rPr>
          <w:rFonts w:ascii="Helvetica" w:hAnsi="Helvetica" w:cs="Helvetica"/>
          <w:bCs/>
          <w:sz w:val="20"/>
          <w:szCs w:val="20"/>
        </w:rPr>
        <w:t>Chair, European Focus Committee</w:t>
      </w:r>
    </w:p>
    <w:p w:rsidR="002A74FD" w:rsidRPr="002A74FD" w:rsidRDefault="002A74FD" w:rsidP="002A74FD">
      <w:pPr>
        <w:jc w:val="both"/>
        <w:rPr>
          <w:rFonts w:ascii="Helvetica" w:hAnsi="Helvetica" w:cs="Helvetica"/>
          <w:sz w:val="20"/>
          <w:szCs w:val="20"/>
        </w:rPr>
      </w:pPr>
      <w:r w:rsidRPr="002A74FD">
        <w:rPr>
          <w:rFonts w:ascii="Helvetica" w:hAnsi="Helvetica" w:cs="Helvetica"/>
          <w:sz w:val="20"/>
          <w:szCs w:val="20"/>
        </w:rPr>
        <w:t>Association of Global Custodians</w:t>
      </w:r>
    </w:p>
    <w:p w:rsidR="005F2B6B" w:rsidRPr="00CF109B" w:rsidRDefault="00403DA3" w:rsidP="002A74FD">
      <w:pPr>
        <w:jc w:val="center"/>
        <w:rPr>
          <w:rFonts w:ascii="Helvetica" w:hAnsi="Helvetica"/>
          <w:b/>
          <w:i/>
          <w:sz w:val="20"/>
          <w:szCs w:val="20"/>
          <w:u w:val="single"/>
        </w:rPr>
      </w:pPr>
      <w:r w:rsidRPr="002A74FD">
        <w:rPr>
          <w:rFonts w:ascii="Helvetica" w:hAnsi="Helvetica" w:cs="Helvetica"/>
          <w:i/>
          <w:sz w:val="20"/>
          <w:szCs w:val="20"/>
          <w:u w:val="single"/>
        </w:rPr>
        <w:br w:type="page"/>
      </w:r>
      <w:r w:rsidR="005F2B6B" w:rsidRPr="00CF109B">
        <w:rPr>
          <w:rFonts w:ascii="Helvetica" w:hAnsi="Helvetica"/>
          <w:b/>
          <w:i/>
          <w:sz w:val="20"/>
          <w:szCs w:val="20"/>
          <w:u w:val="single"/>
        </w:rPr>
        <w:lastRenderedPageBreak/>
        <w:t>A</w:t>
      </w:r>
      <w:r w:rsidR="000B1116" w:rsidRPr="00CF109B">
        <w:rPr>
          <w:rFonts w:ascii="Helvetica" w:hAnsi="Helvetica"/>
          <w:b/>
          <w:i/>
          <w:sz w:val="20"/>
          <w:szCs w:val="20"/>
          <w:u w:val="single"/>
        </w:rPr>
        <w:t>NNEX I</w:t>
      </w:r>
      <w:bookmarkStart w:id="0" w:name="_GoBack"/>
      <w:bookmarkEnd w:id="0"/>
    </w:p>
    <w:p w:rsidR="002A74FD" w:rsidRDefault="000B1116" w:rsidP="002A74FD">
      <w:pPr>
        <w:jc w:val="center"/>
        <w:rPr>
          <w:rFonts w:ascii="Helvetica" w:hAnsi="Helvetica"/>
          <w:b/>
          <w:bCs/>
          <w:iCs/>
          <w:sz w:val="20"/>
          <w:szCs w:val="20"/>
        </w:rPr>
      </w:pPr>
      <w:r w:rsidRPr="00CF109B">
        <w:rPr>
          <w:rFonts w:ascii="Helvetica" w:hAnsi="Helvetica"/>
          <w:b/>
          <w:bCs/>
          <w:iCs/>
          <w:sz w:val="20"/>
          <w:szCs w:val="20"/>
        </w:rPr>
        <w:t>Annex 7 of the Impact Assessment accompanying the AIFMD Level 2 Regulation</w:t>
      </w:r>
    </w:p>
    <w:p w:rsidR="000B1116" w:rsidRPr="00CF109B" w:rsidRDefault="000B1116" w:rsidP="002A74FD">
      <w:pPr>
        <w:jc w:val="center"/>
        <w:rPr>
          <w:rFonts w:ascii="Helvetica" w:hAnsi="Helvetica"/>
          <w:b/>
          <w:bCs/>
          <w:iCs/>
          <w:sz w:val="20"/>
          <w:szCs w:val="20"/>
        </w:rPr>
      </w:pPr>
      <w:r w:rsidRPr="00CF109B">
        <w:rPr>
          <w:rFonts w:ascii="Helvetica" w:hAnsi="Helvetica"/>
          <w:b/>
          <w:bCs/>
          <w:iCs/>
          <w:sz w:val="20"/>
          <w:szCs w:val="20"/>
        </w:rPr>
        <w:t>[Extract]</w:t>
      </w:r>
    </w:p>
    <w:p w:rsidR="000B1116" w:rsidRPr="00CF109B" w:rsidRDefault="000B1116" w:rsidP="005F2B6B">
      <w:pPr>
        <w:ind w:left="720"/>
        <w:rPr>
          <w:rFonts w:ascii="Helvetica" w:hAnsi="Helvetica"/>
          <w:b/>
          <w:bCs/>
          <w:i/>
          <w:iCs/>
          <w:sz w:val="20"/>
          <w:szCs w:val="20"/>
        </w:rPr>
      </w:pPr>
    </w:p>
    <w:p w:rsidR="005F2B6B" w:rsidRPr="00CF109B" w:rsidRDefault="005F2B6B" w:rsidP="005F2B6B">
      <w:pPr>
        <w:ind w:left="720"/>
        <w:rPr>
          <w:rFonts w:ascii="Helvetica" w:hAnsi="Helvetica"/>
          <w:sz w:val="20"/>
          <w:szCs w:val="20"/>
        </w:rPr>
      </w:pPr>
      <w:r w:rsidRPr="00CF109B">
        <w:rPr>
          <w:rFonts w:ascii="Helvetica" w:hAnsi="Helvetica"/>
          <w:b/>
          <w:bCs/>
          <w:i/>
          <w:iCs/>
          <w:sz w:val="20"/>
          <w:szCs w:val="20"/>
        </w:rPr>
        <w:t xml:space="preserve">Issue 15 – The segregation obligation </w:t>
      </w:r>
    </w:p>
    <w:p w:rsidR="005F2B6B" w:rsidRPr="00CF109B" w:rsidRDefault="005F2B6B" w:rsidP="005F2B6B">
      <w:pPr>
        <w:ind w:left="720"/>
        <w:rPr>
          <w:rFonts w:ascii="Helvetica" w:hAnsi="Helvetica"/>
          <w:sz w:val="20"/>
          <w:szCs w:val="20"/>
        </w:rPr>
      </w:pPr>
      <w:r w:rsidRPr="00CF109B">
        <w:rPr>
          <w:rFonts w:ascii="Helvetica" w:hAnsi="Helvetica"/>
          <w:b/>
          <w:bCs/>
          <w:i/>
          <w:iCs/>
          <w:sz w:val="20"/>
          <w:szCs w:val="20"/>
        </w:rPr>
        <w:t xml:space="preserve">Article 21, paragraph 10; implementing powers, Article 21, paragraph 15: </w:t>
      </w:r>
    </w:p>
    <w:p w:rsidR="005F2B6B" w:rsidRPr="00CF109B" w:rsidRDefault="005F2B6B" w:rsidP="005F2B6B">
      <w:pPr>
        <w:ind w:left="720"/>
        <w:rPr>
          <w:rFonts w:ascii="Helvetica" w:hAnsi="Helvetica"/>
          <w:sz w:val="20"/>
          <w:szCs w:val="20"/>
        </w:rPr>
      </w:pPr>
      <w:r w:rsidRPr="00CF109B">
        <w:rPr>
          <w:rFonts w:ascii="Helvetica" w:hAnsi="Helvetica"/>
          <w:i/>
          <w:iCs/>
          <w:sz w:val="20"/>
          <w:szCs w:val="20"/>
        </w:rPr>
        <w:t xml:space="preserve">The depositary may only delegate to third parties provided that, among others, the depositary has ensured that the third party segregates the assets of the depositary's clients from its own assets and from the assets of the depositary in such a way that </w:t>
      </w:r>
      <w:r w:rsidRPr="00CF109B">
        <w:rPr>
          <w:rFonts w:ascii="Helvetica" w:hAnsi="Helvetica"/>
          <w:sz w:val="20"/>
          <w:szCs w:val="20"/>
        </w:rPr>
        <w:t xml:space="preserve">14 </w:t>
      </w:r>
      <w:r w:rsidRPr="00CF109B">
        <w:rPr>
          <w:rFonts w:ascii="Helvetica" w:hAnsi="Helvetica"/>
          <w:i/>
          <w:iCs/>
          <w:sz w:val="20"/>
          <w:szCs w:val="20"/>
        </w:rPr>
        <w:t xml:space="preserve">they can at any time be clearly identified as belonging to clients of a given depositary and that it complies with this requirement on an ongoing basis. The third party may, in turn, sub-delegate those functions subject to the same requirements. </w:t>
      </w:r>
    </w:p>
    <w:p w:rsidR="005F2B6B" w:rsidRPr="00CF109B" w:rsidRDefault="005F2B6B" w:rsidP="005F2B6B">
      <w:pPr>
        <w:ind w:left="720"/>
        <w:rPr>
          <w:rFonts w:ascii="Helvetica" w:hAnsi="Helvetica"/>
          <w:sz w:val="20"/>
          <w:szCs w:val="20"/>
        </w:rPr>
      </w:pPr>
      <w:r w:rsidRPr="00CF109B">
        <w:rPr>
          <w:rFonts w:ascii="Helvetica" w:hAnsi="Helvetica"/>
          <w:i/>
          <w:iCs/>
          <w:sz w:val="20"/>
          <w:szCs w:val="20"/>
        </w:rPr>
        <w:t xml:space="preserve">Delegated acts should specify this segregation obligation. </w:t>
      </w:r>
    </w:p>
    <w:p w:rsidR="005F2B6B" w:rsidRPr="00CF109B" w:rsidRDefault="005F2B6B" w:rsidP="005F2B6B">
      <w:pPr>
        <w:ind w:left="720"/>
        <w:rPr>
          <w:rFonts w:ascii="Helvetica" w:hAnsi="Helvetica"/>
          <w:sz w:val="20"/>
          <w:szCs w:val="20"/>
        </w:rPr>
      </w:pPr>
      <w:r w:rsidRPr="00CF109B">
        <w:rPr>
          <w:rFonts w:ascii="Helvetica" w:hAnsi="Helvetica"/>
          <w:b/>
          <w:bCs/>
          <w:i/>
          <w:iCs/>
          <w:sz w:val="20"/>
          <w:szCs w:val="20"/>
        </w:rPr>
        <w:t xml:space="preserve">Assessment of IA need </w:t>
      </w:r>
    </w:p>
    <w:p w:rsidR="005F2B6B" w:rsidRPr="00CF109B" w:rsidRDefault="005F2B6B" w:rsidP="005F2B6B">
      <w:pPr>
        <w:ind w:left="720"/>
        <w:rPr>
          <w:rFonts w:ascii="Helvetica" w:hAnsi="Helvetica"/>
          <w:sz w:val="20"/>
          <w:szCs w:val="20"/>
        </w:rPr>
      </w:pPr>
      <w:r w:rsidRPr="00CF109B">
        <w:rPr>
          <w:rFonts w:ascii="Helvetica" w:hAnsi="Helvetica"/>
          <w:i/>
          <w:iCs/>
          <w:sz w:val="20"/>
          <w:szCs w:val="20"/>
        </w:rPr>
        <w:t xml:space="preserve">Similar rules exist already in </w:t>
      </w:r>
      <w:proofErr w:type="spellStart"/>
      <w:r w:rsidRPr="00CF109B">
        <w:rPr>
          <w:rFonts w:ascii="Helvetica" w:hAnsi="Helvetica"/>
          <w:i/>
          <w:iCs/>
          <w:sz w:val="20"/>
          <w:szCs w:val="20"/>
        </w:rPr>
        <w:t>MiFID</w:t>
      </w:r>
      <w:proofErr w:type="spellEnd"/>
      <w:r w:rsidRPr="00CF109B">
        <w:rPr>
          <w:rFonts w:ascii="Helvetica" w:hAnsi="Helvetica"/>
          <w:i/>
          <w:iCs/>
          <w:sz w:val="20"/>
          <w:szCs w:val="20"/>
        </w:rPr>
        <w:t xml:space="preserve">. As there is no obvious reason to deviate substantially from those, there is also no need for a detailed IA. As regards the segregation of assets in case of further delegation, Level 1 imposes the same requirements. In such a case, the delegate of the third party would therefore need to segregate the assets of the third party's clients from its own assets and from the assets of the third party in such a way that they can at any time be clearly identified as belonging to clients of a particular third party. </w:t>
      </w:r>
    </w:p>
    <w:p w:rsidR="005F2B6B" w:rsidRPr="00CF109B" w:rsidRDefault="005F2B6B" w:rsidP="005F2B6B">
      <w:pPr>
        <w:ind w:left="720"/>
        <w:rPr>
          <w:rFonts w:ascii="Helvetica" w:hAnsi="Helvetica"/>
          <w:sz w:val="20"/>
          <w:szCs w:val="20"/>
        </w:rPr>
      </w:pPr>
      <w:r w:rsidRPr="00CF109B">
        <w:rPr>
          <w:rFonts w:ascii="Helvetica" w:hAnsi="Helvetica"/>
          <w:i/>
          <w:iCs/>
          <w:sz w:val="20"/>
          <w:szCs w:val="20"/>
        </w:rPr>
        <w:t>This provides for a clear rule without any obvious substantive alternative option. While one could consider either to impose stronger obligation (e.g. to require individual segregation of assets of depositary's clients) or to impose less strict obligation (e.g. assets would not need to be identified as belonging to clients of a particular third party) but such options would not be consistent with Level 1 that only allows further delegation under the same conditions.</w:t>
      </w:r>
    </w:p>
    <w:sectPr w:rsidR="005F2B6B" w:rsidRPr="00CF109B" w:rsidSect="00BE3E5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DB6" w:rsidRDefault="00A93DB6" w:rsidP="00A04B33">
      <w:pPr>
        <w:spacing w:after="0" w:line="240" w:lineRule="auto"/>
      </w:pPr>
      <w:r>
        <w:separator/>
      </w:r>
    </w:p>
  </w:endnote>
  <w:endnote w:type="continuationSeparator" w:id="0">
    <w:p w:rsidR="00A93DB6" w:rsidRDefault="00A93DB6" w:rsidP="00A04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408731"/>
      <w:docPartObj>
        <w:docPartGallery w:val="Page Numbers (Bottom of Page)"/>
        <w:docPartUnique/>
      </w:docPartObj>
    </w:sdtPr>
    <w:sdtEndPr>
      <w:rPr>
        <w:noProof/>
      </w:rPr>
    </w:sdtEndPr>
    <w:sdtContent>
      <w:p w:rsidR="007707E3" w:rsidRDefault="00BE3E53">
        <w:pPr>
          <w:pStyle w:val="Footer"/>
          <w:jc w:val="center"/>
        </w:pPr>
        <w:r>
          <w:fldChar w:fldCharType="begin"/>
        </w:r>
        <w:r w:rsidR="007707E3">
          <w:instrText xml:space="preserve"> PAGE   \* MERGEFORMAT </w:instrText>
        </w:r>
        <w:r>
          <w:fldChar w:fldCharType="separate"/>
        </w:r>
        <w:r w:rsidR="00B06A3F">
          <w:rPr>
            <w:noProof/>
          </w:rPr>
          <w:t>1</w:t>
        </w:r>
        <w:r>
          <w:rPr>
            <w:noProof/>
          </w:rPr>
          <w:fldChar w:fldCharType="end"/>
        </w:r>
      </w:p>
    </w:sdtContent>
  </w:sdt>
  <w:p w:rsidR="007707E3" w:rsidRDefault="00770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DB6" w:rsidRDefault="00A93DB6" w:rsidP="00A04B33">
      <w:pPr>
        <w:spacing w:after="0" w:line="240" w:lineRule="auto"/>
      </w:pPr>
      <w:r>
        <w:separator/>
      </w:r>
    </w:p>
  </w:footnote>
  <w:footnote w:type="continuationSeparator" w:id="0">
    <w:p w:rsidR="00A93DB6" w:rsidRDefault="00A93DB6" w:rsidP="00A04B33">
      <w:pPr>
        <w:spacing w:after="0" w:line="240" w:lineRule="auto"/>
      </w:pPr>
      <w:r>
        <w:continuationSeparator/>
      </w:r>
    </w:p>
  </w:footnote>
  <w:footnote w:id="1">
    <w:p w:rsidR="002D083B" w:rsidRPr="00977C9E" w:rsidRDefault="002D083B" w:rsidP="002D083B">
      <w:pPr>
        <w:pStyle w:val="FootnoteText"/>
        <w:rPr>
          <w:rFonts w:ascii="Helvetica" w:hAnsi="Helvetica"/>
          <w:sz w:val="18"/>
          <w:szCs w:val="18"/>
        </w:rPr>
      </w:pPr>
      <w:r w:rsidRPr="00977C9E">
        <w:rPr>
          <w:rStyle w:val="FootnoteReference"/>
          <w:rFonts w:ascii="Helvetica" w:hAnsi="Helvetica"/>
          <w:sz w:val="18"/>
          <w:szCs w:val="18"/>
        </w:rPr>
        <w:footnoteRef/>
      </w:r>
      <w:r w:rsidRPr="00977C9E">
        <w:rPr>
          <w:rFonts w:ascii="Helvetica" w:hAnsi="Helvetica"/>
          <w:sz w:val="18"/>
          <w:szCs w:val="18"/>
        </w:rPr>
        <w:t xml:space="preserve"> The members of the Association of Global Custodians are: BNY Mellon; Brown Brothers Harriman &amp; Co; Citibank, N.A.; Deutsche Bank; HSBC Securities Services; JP Morgan; Northern Trust; RBC Investor &amp; Treasury Services; </w:t>
      </w:r>
      <w:proofErr w:type="spellStart"/>
      <w:r w:rsidRPr="00977C9E">
        <w:rPr>
          <w:rFonts w:ascii="Helvetica" w:hAnsi="Helvetica"/>
          <w:sz w:val="18"/>
          <w:szCs w:val="18"/>
        </w:rPr>
        <w:t>Skandinaviska</w:t>
      </w:r>
      <w:proofErr w:type="spellEnd"/>
      <w:r w:rsidRPr="00977C9E">
        <w:rPr>
          <w:rFonts w:ascii="Helvetica" w:hAnsi="Helvetica"/>
          <w:sz w:val="18"/>
          <w:szCs w:val="18"/>
        </w:rPr>
        <w:t xml:space="preserve"> </w:t>
      </w:r>
      <w:proofErr w:type="spellStart"/>
      <w:r w:rsidRPr="00977C9E">
        <w:rPr>
          <w:rFonts w:ascii="Helvetica" w:hAnsi="Helvetica"/>
          <w:sz w:val="18"/>
          <w:szCs w:val="18"/>
        </w:rPr>
        <w:t>Enskilda</w:t>
      </w:r>
      <w:proofErr w:type="spellEnd"/>
      <w:r w:rsidRPr="00977C9E">
        <w:rPr>
          <w:rFonts w:ascii="Helvetica" w:hAnsi="Helvetica"/>
          <w:sz w:val="18"/>
          <w:szCs w:val="18"/>
        </w:rPr>
        <w:t xml:space="preserve"> </w:t>
      </w:r>
      <w:proofErr w:type="spellStart"/>
      <w:r w:rsidRPr="00977C9E">
        <w:rPr>
          <w:rFonts w:ascii="Helvetica" w:hAnsi="Helvetica"/>
          <w:sz w:val="18"/>
          <w:szCs w:val="18"/>
        </w:rPr>
        <w:t>Banken</w:t>
      </w:r>
      <w:proofErr w:type="spellEnd"/>
      <w:r w:rsidRPr="00977C9E">
        <w:rPr>
          <w:rFonts w:ascii="Helvetica" w:hAnsi="Helvetica"/>
          <w:sz w:val="18"/>
          <w:szCs w:val="18"/>
        </w:rPr>
        <w:t>; Standard Chartered Bank; and State Street Bank and trust Company.</w:t>
      </w:r>
    </w:p>
  </w:footnote>
  <w:footnote w:id="2">
    <w:p w:rsidR="00FC51E9" w:rsidRPr="00977C9E" w:rsidRDefault="00FC51E9">
      <w:pPr>
        <w:pStyle w:val="FootnoteText"/>
        <w:rPr>
          <w:rFonts w:ascii="Helvetica" w:hAnsi="Helvetica"/>
          <w:sz w:val="18"/>
          <w:szCs w:val="18"/>
        </w:rPr>
      </w:pPr>
      <w:r w:rsidRPr="00977C9E">
        <w:rPr>
          <w:rStyle w:val="FootnoteReference"/>
          <w:rFonts w:ascii="Helvetica" w:hAnsi="Helvetica"/>
          <w:sz w:val="18"/>
          <w:szCs w:val="18"/>
        </w:rPr>
        <w:footnoteRef/>
      </w:r>
      <w:r w:rsidRPr="00977C9E">
        <w:rPr>
          <w:rFonts w:ascii="Helvetica" w:hAnsi="Helvetica"/>
          <w:sz w:val="18"/>
          <w:szCs w:val="18"/>
        </w:rPr>
        <w:t xml:space="preserve"> This aspect is discussed more broadly in our response to question 2, below.</w:t>
      </w:r>
    </w:p>
  </w:footnote>
  <w:footnote w:id="3">
    <w:p w:rsidR="00A04B33" w:rsidRDefault="00A04B33">
      <w:pPr>
        <w:pStyle w:val="FootnoteText"/>
      </w:pPr>
      <w:r w:rsidRPr="00977C9E">
        <w:rPr>
          <w:rStyle w:val="FootnoteReference"/>
          <w:rFonts w:ascii="Helvetica" w:hAnsi="Helvetica"/>
          <w:sz w:val="18"/>
          <w:szCs w:val="18"/>
        </w:rPr>
        <w:footnoteRef/>
      </w:r>
      <w:r w:rsidRPr="00977C9E">
        <w:rPr>
          <w:rFonts w:ascii="Helvetica" w:hAnsi="Helvetica"/>
          <w:sz w:val="18"/>
          <w:szCs w:val="18"/>
        </w:rPr>
        <w:t xml:space="preserve"> </w:t>
      </w:r>
      <w:proofErr w:type="gramStart"/>
      <w:r w:rsidRPr="00977C9E">
        <w:rPr>
          <w:rFonts w:ascii="Helvetica" w:hAnsi="Helvetica"/>
          <w:sz w:val="18"/>
          <w:szCs w:val="18"/>
        </w:rPr>
        <w:t xml:space="preserve">Consultation Paper, </w:t>
      </w:r>
      <w:r w:rsidR="00CA0692" w:rsidRPr="00977C9E">
        <w:rPr>
          <w:rFonts w:ascii="Helvetica" w:hAnsi="Helvetica"/>
          <w:sz w:val="18"/>
          <w:szCs w:val="18"/>
        </w:rPr>
        <w:t>Part 2 (“</w:t>
      </w:r>
      <w:r w:rsidRPr="00977C9E">
        <w:rPr>
          <w:rFonts w:ascii="Helvetica" w:hAnsi="Helvetica"/>
          <w:sz w:val="18"/>
          <w:szCs w:val="18"/>
        </w:rPr>
        <w:t>Background</w:t>
      </w:r>
      <w:r w:rsidR="00CA0692" w:rsidRPr="00977C9E">
        <w:rPr>
          <w:rFonts w:ascii="Helvetica" w:hAnsi="Helvetica"/>
          <w:sz w:val="18"/>
          <w:szCs w:val="18"/>
        </w:rPr>
        <w:t>”)</w:t>
      </w:r>
      <w:r w:rsidRPr="00977C9E">
        <w:rPr>
          <w:rFonts w:ascii="Helvetica" w:hAnsi="Helvetica"/>
          <w:sz w:val="18"/>
          <w:szCs w:val="18"/>
        </w:rPr>
        <w:t xml:space="preserve">, </w:t>
      </w:r>
      <w:proofErr w:type="spellStart"/>
      <w:r w:rsidRPr="00977C9E">
        <w:rPr>
          <w:rFonts w:ascii="Helvetica" w:hAnsi="Helvetica"/>
          <w:sz w:val="18"/>
          <w:szCs w:val="18"/>
        </w:rPr>
        <w:t>para</w:t>
      </w:r>
      <w:proofErr w:type="spellEnd"/>
      <w:r w:rsidRPr="00977C9E">
        <w:rPr>
          <w:rFonts w:ascii="Helvetica" w:hAnsi="Helvetica"/>
          <w:sz w:val="18"/>
          <w:szCs w:val="18"/>
        </w:rPr>
        <w:t>.</w:t>
      </w:r>
      <w:proofErr w:type="gramEnd"/>
      <w:r w:rsidRPr="00977C9E">
        <w:rPr>
          <w:rFonts w:ascii="Helvetica" w:hAnsi="Helvetica"/>
          <w:sz w:val="18"/>
          <w:szCs w:val="18"/>
        </w:rPr>
        <w:t xml:space="preserve"> 5, page 5.</w:t>
      </w:r>
    </w:p>
  </w:footnote>
  <w:footnote w:id="4">
    <w:p w:rsidR="00851DEE" w:rsidRPr="00977C9E" w:rsidRDefault="00851DEE">
      <w:pPr>
        <w:pStyle w:val="FootnoteText"/>
        <w:rPr>
          <w:rFonts w:ascii="Helvetica" w:hAnsi="Helvetica"/>
          <w:sz w:val="18"/>
          <w:szCs w:val="18"/>
        </w:rPr>
      </w:pPr>
      <w:r w:rsidRPr="00977C9E">
        <w:rPr>
          <w:rStyle w:val="FootnoteReference"/>
          <w:rFonts w:ascii="Helvetica" w:hAnsi="Helvetica"/>
          <w:sz w:val="18"/>
          <w:szCs w:val="18"/>
        </w:rPr>
        <w:footnoteRef/>
      </w:r>
      <w:r w:rsidRPr="00977C9E">
        <w:rPr>
          <w:rFonts w:ascii="Helvetica" w:hAnsi="Helvetica"/>
          <w:sz w:val="18"/>
          <w:szCs w:val="18"/>
        </w:rPr>
        <w:t xml:space="preserve"> </w:t>
      </w:r>
      <w:proofErr w:type="gramStart"/>
      <w:r w:rsidR="00544F4F" w:rsidRPr="00977C9E">
        <w:rPr>
          <w:rFonts w:ascii="Helvetica" w:hAnsi="Helvetica"/>
          <w:sz w:val="18"/>
          <w:szCs w:val="18"/>
        </w:rPr>
        <w:t xml:space="preserve">Consultation Paper, Part 5.2 (“Annex II, Cost-Benefit Analysis”), </w:t>
      </w:r>
      <w:proofErr w:type="spellStart"/>
      <w:r w:rsidR="00544F4F" w:rsidRPr="00977C9E">
        <w:rPr>
          <w:rFonts w:ascii="Helvetica" w:hAnsi="Helvetica"/>
          <w:sz w:val="18"/>
          <w:szCs w:val="18"/>
        </w:rPr>
        <w:t>para</w:t>
      </w:r>
      <w:proofErr w:type="spellEnd"/>
      <w:r w:rsidR="00544F4F" w:rsidRPr="00977C9E">
        <w:rPr>
          <w:rFonts w:ascii="Helvetica" w:hAnsi="Helvetica"/>
          <w:sz w:val="18"/>
          <w:szCs w:val="18"/>
        </w:rPr>
        <w:t>.</w:t>
      </w:r>
      <w:proofErr w:type="gramEnd"/>
      <w:r w:rsidR="00544F4F" w:rsidRPr="00977C9E">
        <w:rPr>
          <w:rFonts w:ascii="Helvetica" w:hAnsi="Helvetica"/>
          <w:sz w:val="18"/>
          <w:szCs w:val="18"/>
        </w:rPr>
        <w:t xml:space="preserve"> </w:t>
      </w:r>
      <w:proofErr w:type="gramStart"/>
      <w:r w:rsidR="00544F4F" w:rsidRPr="00977C9E">
        <w:rPr>
          <w:rFonts w:ascii="Helvetica" w:hAnsi="Helvetica"/>
          <w:sz w:val="18"/>
          <w:szCs w:val="18"/>
        </w:rPr>
        <w:t>5.15 (“Option 5”, “Preferred Options”), page 16.</w:t>
      </w:r>
      <w:proofErr w:type="gramEnd"/>
    </w:p>
  </w:footnote>
  <w:footnote w:id="5">
    <w:p w:rsidR="00635828" w:rsidRPr="00635828" w:rsidRDefault="00635828">
      <w:pPr>
        <w:pStyle w:val="FootnoteText"/>
        <w:rPr>
          <w:rFonts w:ascii="Helvetica" w:hAnsi="Helvetica"/>
          <w:sz w:val="18"/>
          <w:szCs w:val="18"/>
        </w:rPr>
      </w:pPr>
      <w:r w:rsidRPr="00635828">
        <w:rPr>
          <w:rStyle w:val="FootnoteReference"/>
          <w:rFonts w:ascii="Helvetica" w:hAnsi="Helvetica"/>
          <w:sz w:val="18"/>
          <w:szCs w:val="18"/>
        </w:rPr>
        <w:footnoteRef/>
      </w:r>
      <w:r w:rsidRPr="00635828">
        <w:rPr>
          <w:rFonts w:ascii="Helvetica" w:hAnsi="Helvetica"/>
          <w:sz w:val="18"/>
          <w:szCs w:val="18"/>
        </w:rPr>
        <w:t xml:space="preserve"> </w:t>
      </w:r>
      <w:proofErr w:type="gramStart"/>
      <w:r w:rsidRPr="00635828">
        <w:rPr>
          <w:rFonts w:ascii="Helvetica" w:hAnsi="Helvetica"/>
          <w:sz w:val="18"/>
          <w:szCs w:val="18"/>
        </w:rPr>
        <w:t xml:space="preserve">Consultation Paper, Part 5.2 (“Annex II, Cost-Benefit Analysis”), </w:t>
      </w:r>
      <w:proofErr w:type="spellStart"/>
      <w:r w:rsidRPr="00635828">
        <w:rPr>
          <w:rFonts w:ascii="Helvetica" w:hAnsi="Helvetica"/>
          <w:sz w:val="18"/>
          <w:szCs w:val="18"/>
        </w:rPr>
        <w:t>para</w:t>
      </w:r>
      <w:proofErr w:type="spellEnd"/>
      <w:r w:rsidRPr="00635828">
        <w:rPr>
          <w:rFonts w:ascii="Helvetica" w:hAnsi="Helvetica"/>
          <w:sz w:val="18"/>
          <w:szCs w:val="18"/>
        </w:rPr>
        <w:t>.</w:t>
      </w:r>
      <w:proofErr w:type="gramEnd"/>
      <w:r w:rsidRPr="00635828">
        <w:rPr>
          <w:rFonts w:ascii="Helvetica" w:hAnsi="Helvetica"/>
          <w:sz w:val="18"/>
          <w:szCs w:val="18"/>
        </w:rPr>
        <w:t xml:space="preserve"> </w:t>
      </w:r>
      <w:proofErr w:type="gramStart"/>
      <w:r w:rsidRPr="00635828">
        <w:rPr>
          <w:rFonts w:ascii="Helvetica" w:hAnsi="Helvetica"/>
          <w:sz w:val="18"/>
          <w:szCs w:val="18"/>
        </w:rPr>
        <w:t>1.12, page 14.</w:t>
      </w:r>
      <w:proofErr w:type="gramEnd"/>
    </w:p>
  </w:footnote>
  <w:footnote w:id="6">
    <w:p w:rsidR="00635828" w:rsidRPr="00635828" w:rsidRDefault="00635828">
      <w:pPr>
        <w:pStyle w:val="FootnoteText"/>
        <w:rPr>
          <w:rFonts w:ascii="Helvetica" w:hAnsi="Helvetica"/>
          <w:sz w:val="18"/>
          <w:szCs w:val="18"/>
        </w:rPr>
      </w:pPr>
      <w:r w:rsidRPr="00635828">
        <w:rPr>
          <w:rStyle w:val="FootnoteReference"/>
          <w:rFonts w:ascii="Helvetica" w:hAnsi="Helvetica"/>
          <w:sz w:val="18"/>
          <w:szCs w:val="18"/>
        </w:rPr>
        <w:footnoteRef/>
      </w:r>
      <w:r w:rsidRPr="00635828">
        <w:rPr>
          <w:rFonts w:ascii="Helvetica" w:hAnsi="Helvetica"/>
          <w:sz w:val="18"/>
          <w:szCs w:val="18"/>
        </w:rPr>
        <w:t xml:space="preserve"> Whilst we understand ESMA’s stated goal of not producing any further guidance on “the interpretation and proper application” of Article 21(11</w:t>
      </w:r>
      <w:proofErr w:type="gramStart"/>
      <w:r w:rsidRPr="00635828">
        <w:rPr>
          <w:rFonts w:ascii="Helvetica" w:hAnsi="Helvetica"/>
          <w:sz w:val="18"/>
          <w:szCs w:val="18"/>
        </w:rPr>
        <w:t>)(</w:t>
      </w:r>
      <w:proofErr w:type="gramEnd"/>
      <w:r w:rsidRPr="00635828">
        <w:rPr>
          <w:rFonts w:ascii="Helvetica" w:hAnsi="Helvetica"/>
          <w:sz w:val="18"/>
          <w:szCs w:val="18"/>
        </w:rPr>
        <w:t xml:space="preserve">d)(iii) of the AIFMD and the related implementing measures (Article 99(1)(a) of the Level 2 Regulation), we believe it is consistent with ESMA’s role </w:t>
      </w:r>
      <w:r w:rsidR="00954020">
        <w:rPr>
          <w:rFonts w:ascii="Helvetica" w:hAnsi="Helvetica"/>
          <w:sz w:val="18"/>
          <w:szCs w:val="18"/>
        </w:rPr>
        <w:t xml:space="preserve">in ensuring </w:t>
      </w:r>
      <w:r w:rsidRPr="00635828">
        <w:rPr>
          <w:rFonts w:ascii="Helvetica" w:hAnsi="Helvetica"/>
          <w:sz w:val="18"/>
          <w:szCs w:val="18"/>
        </w:rPr>
        <w:t>a harmonised approach across the EU to advise on the interpretation and proper application of these</w:t>
      </w:r>
      <w:r w:rsidR="00574767">
        <w:rPr>
          <w:rFonts w:ascii="Helvetica" w:hAnsi="Helvetica"/>
          <w:sz w:val="18"/>
          <w:szCs w:val="18"/>
        </w:rPr>
        <w:t xml:space="preserve"> provisions</w:t>
      </w:r>
      <w:r w:rsidRPr="00635828">
        <w:rPr>
          <w:rFonts w:ascii="Helvetica" w:hAnsi="Helvetica"/>
          <w:sz w:val="18"/>
          <w:szCs w:val="18"/>
        </w:rPr>
        <w:t>.</w:t>
      </w:r>
    </w:p>
  </w:footnote>
  <w:footnote w:id="7">
    <w:p w:rsidR="005F2B6B" w:rsidRPr="00977C9E" w:rsidRDefault="005F2B6B">
      <w:pPr>
        <w:pStyle w:val="FootnoteText"/>
        <w:rPr>
          <w:rFonts w:ascii="Helvetica" w:hAnsi="Helvetica"/>
          <w:sz w:val="18"/>
          <w:szCs w:val="18"/>
        </w:rPr>
      </w:pPr>
      <w:r w:rsidRPr="00635828">
        <w:rPr>
          <w:rStyle w:val="FootnoteReference"/>
          <w:rFonts w:ascii="Helvetica" w:hAnsi="Helvetica"/>
          <w:sz w:val="18"/>
          <w:szCs w:val="18"/>
        </w:rPr>
        <w:footnoteRef/>
      </w:r>
      <w:r w:rsidRPr="00635828">
        <w:rPr>
          <w:rFonts w:ascii="Helvetica" w:hAnsi="Helvetica"/>
          <w:sz w:val="18"/>
          <w:szCs w:val="18"/>
        </w:rPr>
        <w:t xml:space="preserve"> The relevant provisions of Annex 7 of the Impact Assessment accompanying the Level 2 Regulation </w:t>
      </w:r>
      <w:r w:rsidRPr="00954020">
        <w:rPr>
          <w:rFonts w:ascii="Helvetica" w:hAnsi="Helvetica"/>
          <w:sz w:val="18"/>
          <w:szCs w:val="18"/>
        </w:rPr>
        <w:t xml:space="preserve">are attached hereto as </w:t>
      </w:r>
      <w:r w:rsidRPr="00BB6172">
        <w:rPr>
          <w:rFonts w:ascii="Helvetica" w:hAnsi="Helvetica"/>
          <w:sz w:val="18"/>
          <w:szCs w:val="18"/>
          <w:u w:val="single"/>
        </w:rPr>
        <w:t>Annex I</w:t>
      </w:r>
      <w:r w:rsidRPr="00BB6172">
        <w:rPr>
          <w:rFonts w:ascii="Helvetica" w:hAnsi="Helvetica"/>
          <w:sz w:val="18"/>
          <w:szCs w:val="18"/>
        </w:rPr>
        <w:t>.</w:t>
      </w:r>
    </w:p>
  </w:footnote>
  <w:footnote w:id="8">
    <w:p w:rsidR="00814C64" w:rsidRDefault="00814C64">
      <w:pPr>
        <w:pStyle w:val="FootnoteText"/>
      </w:pPr>
      <w:r w:rsidRPr="00977C9E">
        <w:rPr>
          <w:rStyle w:val="FootnoteReference"/>
          <w:rFonts w:ascii="Helvetica" w:hAnsi="Helvetica"/>
          <w:sz w:val="18"/>
          <w:szCs w:val="18"/>
        </w:rPr>
        <w:footnoteRef/>
      </w:r>
      <w:r w:rsidRPr="00977C9E">
        <w:rPr>
          <w:rFonts w:ascii="Helvetica" w:hAnsi="Helvetica"/>
          <w:sz w:val="18"/>
          <w:szCs w:val="18"/>
        </w:rPr>
        <w:t xml:space="preserve"> </w:t>
      </w:r>
      <w:proofErr w:type="gramStart"/>
      <w:r w:rsidRPr="00977C9E">
        <w:rPr>
          <w:rFonts w:ascii="Helvetica" w:hAnsi="Helvetica"/>
          <w:sz w:val="18"/>
          <w:szCs w:val="18"/>
        </w:rPr>
        <w:t xml:space="preserve">Consultation Paper, Part 5.2 (“Annex II, Cost-Benefit Analysis”), </w:t>
      </w:r>
      <w:proofErr w:type="spellStart"/>
      <w:r w:rsidRPr="00977C9E">
        <w:rPr>
          <w:rFonts w:ascii="Helvetica" w:hAnsi="Helvetica"/>
          <w:sz w:val="18"/>
          <w:szCs w:val="18"/>
        </w:rPr>
        <w:t>para</w:t>
      </w:r>
      <w:proofErr w:type="spellEnd"/>
      <w:r w:rsidRPr="00977C9E">
        <w:rPr>
          <w:rFonts w:ascii="Helvetica" w:hAnsi="Helvetica"/>
          <w:sz w:val="18"/>
          <w:szCs w:val="18"/>
        </w:rPr>
        <w:t>.</w:t>
      </w:r>
      <w:proofErr w:type="gramEnd"/>
      <w:r w:rsidRPr="00977C9E">
        <w:rPr>
          <w:rFonts w:ascii="Helvetica" w:hAnsi="Helvetica"/>
          <w:sz w:val="18"/>
          <w:szCs w:val="18"/>
        </w:rPr>
        <w:t xml:space="preserve"> </w:t>
      </w:r>
      <w:r w:rsidR="00A90973" w:rsidRPr="00977C9E">
        <w:rPr>
          <w:rFonts w:ascii="Helvetica" w:hAnsi="Helvetica"/>
          <w:sz w:val="18"/>
          <w:szCs w:val="18"/>
        </w:rPr>
        <w:t>6</w:t>
      </w:r>
      <w:r w:rsidRPr="00977C9E">
        <w:rPr>
          <w:rFonts w:ascii="Helvetica" w:hAnsi="Helvetica"/>
          <w:sz w:val="18"/>
          <w:szCs w:val="18"/>
        </w:rPr>
        <w:t>, page 1</w:t>
      </w:r>
      <w:r w:rsidR="00A90973" w:rsidRPr="00977C9E">
        <w:rPr>
          <w:rFonts w:ascii="Helvetica" w:hAnsi="Helvetica"/>
          <w:sz w:val="18"/>
          <w:szCs w:val="18"/>
        </w:rPr>
        <w:t>7</w:t>
      </w:r>
      <w:r w:rsidRPr="00977C9E">
        <w:rPr>
          <w:rFonts w:ascii="Helvetica" w:hAnsi="Helvetica"/>
          <w:sz w:val="18"/>
          <w:szCs w:val="18"/>
        </w:rPr>
        <w:t>.</w:t>
      </w:r>
    </w:p>
  </w:footnote>
  <w:footnote w:id="9">
    <w:p w:rsidR="00A90973" w:rsidRPr="00977C9E" w:rsidRDefault="00A90973">
      <w:pPr>
        <w:pStyle w:val="FootnoteText"/>
        <w:rPr>
          <w:rFonts w:ascii="Helvetica" w:hAnsi="Helvetica"/>
          <w:sz w:val="18"/>
          <w:szCs w:val="18"/>
        </w:rPr>
      </w:pPr>
      <w:r w:rsidRPr="00977C9E">
        <w:rPr>
          <w:rStyle w:val="FootnoteReference"/>
          <w:rFonts w:ascii="Helvetica" w:hAnsi="Helvetica"/>
          <w:sz w:val="18"/>
          <w:szCs w:val="18"/>
        </w:rPr>
        <w:footnoteRef/>
      </w:r>
      <w:r w:rsidRPr="00977C9E">
        <w:rPr>
          <w:rFonts w:ascii="Helvetica" w:hAnsi="Helvetica"/>
          <w:sz w:val="18"/>
          <w:szCs w:val="18"/>
        </w:rPr>
        <w:t xml:space="preserve"> Ibid.</w:t>
      </w:r>
    </w:p>
  </w:footnote>
  <w:footnote w:id="10">
    <w:p w:rsidR="00CA2AC5" w:rsidRPr="00977C9E" w:rsidRDefault="00CA2AC5">
      <w:pPr>
        <w:pStyle w:val="FootnoteText"/>
        <w:rPr>
          <w:rFonts w:ascii="Helvetica" w:hAnsi="Helvetica"/>
          <w:sz w:val="18"/>
          <w:szCs w:val="18"/>
        </w:rPr>
      </w:pPr>
      <w:r w:rsidRPr="00977C9E">
        <w:rPr>
          <w:rStyle w:val="FootnoteReference"/>
          <w:rFonts w:ascii="Helvetica" w:hAnsi="Helvetica"/>
          <w:sz w:val="18"/>
          <w:szCs w:val="18"/>
        </w:rPr>
        <w:footnoteRef/>
      </w:r>
      <w:r w:rsidRPr="00977C9E">
        <w:rPr>
          <w:rFonts w:ascii="Helvetica" w:hAnsi="Helvetica"/>
          <w:sz w:val="18"/>
          <w:szCs w:val="18"/>
        </w:rPr>
        <w:t xml:space="preserve">  Letter of the Committee dated 24</w:t>
      </w:r>
      <w:r w:rsidRPr="00977C9E">
        <w:rPr>
          <w:rFonts w:ascii="Helvetica" w:hAnsi="Helvetica"/>
          <w:sz w:val="18"/>
          <w:szCs w:val="18"/>
          <w:vertAlign w:val="superscript"/>
        </w:rPr>
        <w:t>th</w:t>
      </w:r>
      <w:r w:rsidRPr="00977C9E">
        <w:rPr>
          <w:rFonts w:ascii="Helvetica" w:hAnsi="Helvetica"/>
          <w:sz w:val="18"/>
          <w:szCs w:val="18"/>
        </w:rPr>
        <w:t xml:space="preserve"> October 2014 regarding ESMA’s technical advice to the European Commission on delegated acts required by the UCITS V Directive dated 26th September 2014 (the “UCITS V Consultation”).</w:t>
      </w:r>
    </w:p>
  </w:footnote>
  <w:footnote w:id="11">
    <w:p w:rsidR="00CA2AC5" w:rsidRPr="00977C9E" w:rsidRDefault="00CA2AC5">
      <w:pPr>
        <w:pStyle w:val="FootnoteText"/>
        <w:rPr>
          <w:rFonts w:ascii="Helvetica" w:hAnsi="Helvetica"/>
          <w:sz w:val="18"/>
          <w:szCs w:val="18"/>
        </w:rPr>
      </w:pPr>
      <w:r w:rsidRPr="00977C9E">
        <w:rPr>
          <w:rStyle w:val="FootnoteReference"/>
          <w:rFonts w:ascii="Helvetica" w:hAnsi="Helvetica"/>
          <w:sz w:val="18"/>
          <w:szCs w:val="18"/>
        </w:rPr>
        <w:footnoteRef/>
      </w:r>
      <w:r w:rsidRPr="00977C9E">
        <w:rPr>
          <w:rFonts w:ascii="Helvetica" w:hAnsi="Helvetica"/>
          <w:sz w:val="18"/>
          <w:szCs w:val="18"/>
        </w:rPr>
        <w:t xml:space="preserve"> e.g., U.S. law and market practice relating to broker-dealers and, under the law of the People’s Republic of China, so-called A-shares held via the Hong Kong-Shanghai Stock Connect Scheme.</w:t>
      </w:r>
    </w:p>
  </w:footnote>
  <w:footnote w:id="12">
    <w:p w:rsidR="00095BB0" w:rsidRDefault="00095BB0">
      <w:pPr>
        <w:pStyle w:val="FootnoteText"/>
      </w:pPr>
      <w:r w:rsidRPr="00977C9E">
        <w:rPr>
          <w:rStyle w:val="FootnoteReference"/>
          <w:rFonts w:ascii="Helvetica" w:hAnsi="Helvetica"/>
          <w:sz w:val="18"/>
          <w:szCs w:val="18"/>
        </w:rPr>
        <w:footnoteRef/>
      </w:r>
      <w:r w:rsidRPr="00977C9E">
        <w:rPr>
          <w:rFonts w:ascii="Helvetica" w:hAnsi="Helvetica"/>
          <w:sz w:val="18"/>
          <w:szCs w:val="18"/>
        </w:rPr>
        <w:t xml:space="preserve"> Such “specific” treatment would not be required if </w:t>
      </w:r>
      <w:r w:rsidR="00D11F67" w:rsidRPr="00977C9E">
        <w:rPr>
          <w:rFonts w:ascii="Helvetica" w:hAnsi="Helvetica"/>
          <w:sz w:val="18"/>
          <w:szCs w:val="18"/>
        </w:rPr>
        <w:t xml:space="preserve">Option </w:t>
      </w:r>
      <w:r w:rsidRPr="00977C9E">
        <w:rPr>
          <w:rFonts w:ascii="Helvetica" w:hAnsi="Helvetica"/>
          <w:sz w:val="18"/>
          <w:szCs w:val="18"/>
        </w:rPr>
        <w:t>4 remain</w:t>
      </w:r>
      <w:r w:rsidR="00977C9E">
        <w:rPr>
          <w:rFonts w:ascii="Helvetica" w:hAnsi="Helvetica"/>
          <w:sz w:val="18"/>
          <w:szCs w:val="18"/>
        </w:rPr>
        <w:t>s</w:t>
      </w:r>
      <w:r w:rsidRPr="00977C9E">
        <w:rPr>
          <w:rFonts w:ascii="Helvetica" w:hAnsi="Helvetica"/>
          <w:sz w:val="18"/>
          <w:szCs w:val="18"/>
        </w:rPr>
        <w:t xml:space="preserve"> permissible.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49A"/>
    <w:multiLevelType w:val="hybridMultilevel"/>
    <w:tmpl w:val="138663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D82714"/>
    <w:multiLevelType w:val="hybridMultilevel"/>
    <w:tmpl w:val="DEA86BA6"/>
    <w:lvl w:ilvl="0" w:tplc="494ECA20">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
    <w:nsid w:val="16975556"/>
    <w:multiLevelType w:val="hybridMultilevel"/>
    <w:tmpl w:val="21B47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D3E0EBA"/>
    <w:multiLevelType w:val="hybridMultilevel"/>
    <w:tmpl w:val="42DC5C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25544A40"/>
    <w:multiLevelType w:val="hybridMultilevel"/>
    <w:tmpl w:val="56D47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A85F07"/>
    <w:multiLevelType w:val="hybridMultilevel"/>
    <w:tmpl w:val="C2409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A535212"/>
    <w:multiLevelType w:val="hybridMultilevel"/>
    <w:tmpl w:val="7CE865CA"/>
    <w:lvl w:ilvl="0" w:tplc="75EC7C7E">
      <w:start w:val="8"/>
      <w:numFmt w:val="bullet"/>
      <w:lvlText w:val="-"/>
      <w:lvlJc w:val="left"/>
      <w:pPr>
        <w:ind w:left="1080" w:hanging="360"/>
      </w:pPr>
      <w:rPr>
        <w:rFonts w:ascii="Helv" w:eastAsiaTheme="minorHAnsi" w:hAnsi="Helv" w:cs="Helv"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DA1417"/>
    <w:multiLevelType w:val="hybridMultilevel"/>
    <w:tmpl w:val="BF34B1F6"/>
    <w:lvl w:ilvl="0" w:tplc="41E07C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BCD2C63"/>
    <w:multiLevelType w:val="hybridMultilevel"/>
    <w:tmpl w:val="B67E7F56"/>
    <w:lvl w:ilvl="0" w:tplc="CBE6CB8E">
      <w:numFmt w:val="bullet"/>
      <w:lvlText w:val="•"/>
      <w:lvlJc w:val="left"/>
      <w:pPr>
        <w:ind w:left="1290" w:hanging="570"/>
      </w:pPr>
      <w:rPr>
        <w:rFonts w:ascii="Helvetica" w:eastAsiaTheme="minorHAnsi" w:hAnsi="Helvetica" w:cs="Helv"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E2E0A57"/>
    <w:multiLevelType w:val="hybridMultilevel"/>
    <w:tmpl w:val="63B80696"/>
    <w:lvl w:ilvl="0" w:tplc="75EC7C7E">
      <w:start w:val="8"/>
      <w:numFmt w:val="bullet"/>
      <w:lvlText w:val="-"/>
      <w:lvlJc w:val="left"/>
      <w:pPr>
        <w:ind w:left="1080" w:hanging="360"/>
      </w:pPr>
      <w:rPr>
        <w:rFonts w:ascii="Helv" w:eastAsiaTheme="minorHAnsi" w:hAnsi="Helv" w:cs="Helv"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EC06CA4"/>
    <w:multiLevelType w:val="hybridMultilevel"/>
    <w:tmpl w:val="1EC25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5E15610"/>
    <w:multiLevelType w:val="hybridMultilevel"/>
    <w:tmpl w:val="E2EAB3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7CE3759F"/>
    <w:multiLevelType w:val="hybridMultilevel"/>
    <w:tmpl w:val="6C6A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7"/>
  </w:num>
  <w:num w:numId="5">
    <w:abstractNumId w:val="12"/>
  </w:num>
  <w:num w:numId="6">
    <w:abstractNumId w:val="3"/>
  </w:num>
  <w:num w:numId="7">
    <w:abstractNumId w:val="11"/>
  </w:num>
  <w:num w:numId="8">
    <w:abstractNumId w:val="1"/>
  </w:num>
  <w:num w:numId="9">
    <w:abstractNumId w:val="5"/>
  </w:num>
  <w:num w:numId="10">
    <w:abstractNumId w:val="2"/>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81"/>
    <w:rsid w:val="0001104E"/>
    <w:rsid w:val="00095BB0"/>
    <w:rsid w:val="000B1116"/>
    <w:rsid w:val="000D22CE"/>
    <w:rsid w:val="0010036C"/>
    <w:rsid w:val="0010666E"/>
    <w:rsid w:val="00152473"/>
    <w:rsid w:val="00166203"/>
    <w:rsid w:val="00171E3F"/>
    <w:rsid w:val="001E2EC3"/>
    <w:rsid w:val="001E65B3"/>
    <w:rsid w:val="00254581"/>
    <w:rsid w:val="002A74FD"/>
    <w:rsid w:val="002D083B"/>
    <w:rsid w:val="002D2FD1"/>
    <w:rsid w:val="002D4EFD"/>
    <w:rsid w:val="002F6D14"/>
    <w:rsid w:val="00340C64"/>
    <w:rsid w:val="003D4FAB"/>
    <w:rsid w:val="00403DA3"/>
    <w:rsid w:val="00433ED8"/>
    <w:rsid w:val="00544F4F"/>
    <w:rsid w:val="00574767"/>
    <w:rsid w:val="005F2B6B"/>
    <w:rsid w:val="00635828"/>
    <w:rsid w:val="00653A1D"/>
    <w:rsid w:val="006F0FEC"/>
    <w:rsid w:val="007707E3"/>
    <w:rsid w:val="00791739"/>
    <w:rsid w:val="007F1D10"/>
    <w:rsid w:val="00814C64"/>
    <w:rsid w:val="00851DEE"/>
    <w:rsid w:val="0092526E"/>
    <w:rsid w:val="00954020"/>
    <w:rsid w:val="00976F0F"/>
    <w:rsid w:val="00977C9E"/>
    <w:rsid w:val="009835DC"/>
    <w:rsid w:val="00985C0C"/>
    <w:rsid w:val="009B6C2F"/>
    <w:rsid w:val="009F052E"/>
    <w:rsid w:val="00A04B33"/>
    <w:rsid w:val="00A90973"/>
    <w:rsid w:val="00A93DB6"/>
    <w:rsid w:val="00AD1AC9"/>
    <w:rsid w:val="00B06A3F"/>
    <w:rsid w:val="00B12934"/>
    <w:rsid w:val="00B36EEC"/>
    <w:rsid w:val="00BA228D"/>
    <w:rsid w:val="00BB6172"/>
    <w:rsid w:val="00BE3E53"/>
    <w:rsid w:val="00C1195A"/>
    <w:rsid w:val="00C90D69"/>
    <w:rsid w:val="00CA0692"/>
    <w:rsid w:val="00CA2AC5"/>
    <w:rsid w:val="00CC02CC"/>
    <w:rsid w:val="00CF109B"/>
    <w:rsid w:val="00CF3BCE"/>
    <w:rsid w:val="00D11F67"/>
    <w:rsid w:val="00DA67D9"/>
    <w:rsid w:val="00DB3457"/>
    <w:rsid w:val="00E0053D"/>
    <w:rsid w:val="00E746D6"/>
    <w:rsid w:val="00ED04E1"/>
    <w:rsid w:val="00EF15EB"/>
    <w:rsid w:val="00FB5714"/>
    <w:rsid w:val="00FC5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4B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4B33"/>
    <w:rPr>
      <w:sz w:val="20"/>
      <w:szCs w:val="20"/>
    </w:rPr>
  </w:style>
  <w:style w:type="character" w:styleId="FootnoteReference">
    <w:name w:val="footnote reference"/>
    <w:basedOn w:val="DefaultParagraphFont"/>
    <w:uiPriority w:val="99"/>
    <w:semiHidden/>
    <w:unhideWhenUsed/>
    <w:rsid w:val="00A04B33"/>
    <w:rPr>
      <w:vertAlign w:val="superscript"/>
    </w:rPr>
  </w:style>
  <w:style w:type="paragraph" w:styleId="ListParagraph">
    <w:name w:val="List Paragraph"/>
    <w:basedOn w:val="Normal"/>
    <w:uiPriority w:val="34"/>
    <w:qFormat/>
    <w:rsid w:val="00851DEE"/>
    <w:pPr>
      <w:ind w:left="720"/>
      <w:contextualSpacing/>
    </w:pPr>
  </w:style>
  <w:style w:type="paragraph" w:styleId="Header">
    <w:name w:val="header"/>
    <w:basedOn w:val="Normal"/>
    <w:link w:val="HeaderChar"/>
    <w:uiPriority w:val="99"/>
    <w:unhideWhenUsed/>
    <w:rsid w:val="00770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7E3"/>
  </w:style>
  <w:style w:type="paragraph" w:styleId="Footer">
    <w:name w:val="footer"/>
    <w:basedOn w:val="Normal"/>
    <w:link w:val="FooterChar"/>
    <w:uiPriority w:val="99"/>
    <w:unhideWhenUsed/>
    <w:rsid w:val="00770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7E3"/>
  </w:style>
  <w:style w:type="character" w:styleId="CommentReference">
    <w:name w:val="annotation reference"/>
    <w:basedOn w:val="DefaultParagraphFont"/>
    <w:uiPriority w:val="99"/>
    <w:semiHidden/>
    <w:unhideWhenUsed/>
    <w:rsid w:val="000D22CE"/>
    <w:rPr>
      <w:sz w:val="16"/>
      <w:szCs w:val="16"/>
    </w:rPr>
  </w:style>
  <w:style w:type="paragraph" w:styleId="CommentText">
    <w:name w:val="annotation text"/>
    <w:basedOn w:val="Normal"/>
    <w:link w:val="CommentTextChar"/>
    <w:uiPriority w:val="99"/>
    <w:semiHidden/>
    <w:unhideWhenUsed/>
    <w:rsid w:val="000D22CE"/>
    <w:pPr>
      <w:spacing w:line="240" w:lineRule="auto"/>
    </w:pPr>
    <w:rPr>
      <w:sz w:val="20"/>
      <w:szCs w:val="20"/>
    </w:rPr>
  </w:style>
  <w:style w:type="character" w:customStyle="1" w:styleId="CommentTextChar">
    <w:name w:val="Comment Text Char"/>
    <w:basedOn w:val="DefaultParagraphFont"/>
    <w:link w:val="CommentText"/>
    <w:uiPriority w:val="99"/>
    <w:semiHidden/>
    <w:rsid w:val="000D22CE"/>
    <w:rPr>
      <w:sz w:val="20"/>
      <w:szCs w:val="20"/>
    </w:rPr>
  </w:style>
  <w:style w:type="paragraph" w:styleId="CommentSubject">
    <w:name w:val="annotation subject"/>
    <w:basedOn w:val="CommentText"/>
    <w:next w:val="CommentText"/>
    <w:link w:val="CommentSubjectChar"/>
    <w:uiPriority w:val="99"/>
    <w:semiHidden/>
    <w:unhideWhenUsed/>
    <w:rsid w:val="000D22CE"/>
    <w:rPr>
      <w:b/>
      <w:bCs/>
    </w:rPr>
  </w:style>
  <w:style w:type="character" w:customStyle="1" w:styleId="CommentSubjectChar">
    <w:name w:val="Comment Subject Char"/>
    <w:basedOn w:val="CommentTextChar"/>
    <w:link w:val="CommentSubject"/>
    <w:uiPriority w:val="99"/>
    <w:semiHidden/>
    <w:rsid w:val="000D22CE"/>
    <w:rPr>
      <w:b/>
      <w:bCs/>
      <w:sz w:val="20"/>
      <w:szCs w:val="20"/>
    </w:rPr>
  </w:style>
  <w:style w:type="paragraph" w:styleId="BalloonText">
    <w:name w:val="Balloon Text"/>
    <w:basedOn w:val="Normal"/>
    <w:link w:val="BalloonTextChar"/>
    <w:uiPriority w:val="99"/>
    <w:semiHidden/>
    <w:unhideWhenUsed/>
    <w:rsid w:val="000D2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2CE"/>
    <w:rPr>
      <w:rFonts w:ascii="Tahoma" w:hAnsi="Tahoma" w:cs="Tahoma"/>
      <w:sz w:val="16"/>
      <w:szCs w:val="16"/>
    </w:rPr>
  </w:style>
  <w:style w:type="paragraph" w:customStyle="1" w:styleId="CM1">
    <w:name w:val="CM1"/>
    <w:basedOn w:val="Normal"/>
    <w:next w:val="Normal"/>
    <w:uiPriority w:val="99"/>
    <w:rsid w:val="00EF15EB"/>
    <w:pPr>
      <w:autoSpaceDE w:val="0"/>
      <w:autoSpaceDN w:val="0"/>
      <w:adjustRightInd w:val="0"/>
      <w:spacing w:after="0" w:line="240" w:lineRule="auto"/>
    </w:pPr>
    <w:rPr>
      <w:rFonts w:ascii="EUAlbertina" w:hAnsi="EUAlbertina"/>
      <w:sz w:val="24"/>
      <w:szCs w:val="24"/>
      <w:lang w:val="en-US"/>
    </w:rPr>
  </w:style>
  <w:style w:type="paragraph" w:customStyle="1" w:styleId="CM3">
    <w:name w:val="CM3"/>
    <w:basedOn w:val="Normal"/>
    <w:next w:val="Normal"/>
    <w:uiPriority w:val="99"/>
    <w:rsid w:val="00EF15EB"/>
    <w:pPr>
      <w:autoSpaceDE w:val="0"/>
      <w:autoSpaceDN w:val="0"/>
      <w:adjustRightInd w:val="0"/>
      <w:spacing w:after="0" w:line="240" w:lineRule="auto"/>
    </w:pPr>
    <w:rPr>
      <w:rFonts w:ascii="EUAlbertina" w:hAnsi="EUAlbertina"/>
      <w:sz w:val="24"/>
      <w:szCs w:val="24"/>
      <w:lang w:val="en-US"/>
    </w:rPr>
  </w:style>
  <w:style w:type="character" w:styleId="Hyperlink">
    <w:name w:val="Hyperlink"/>
    <w:basedOn w:val="DefaultParagraphFont"/>
    <w:uiPriority w:val="99"/>
    <w:unhideWhenUsed/>
    <w:rsid w:val="002D08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4B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4B33"/>
    <w:rPr>
      <w:sz w:val="20"/>
      <w:szCs w:val="20"/>
    </w:rPr>
  </w:style>
  <w:style w:type="character" w:styleId="FootnoteReference">
    <w:name w:val="footnote reference"/>
    <w:basedOn w:val="DefaultParagraphFont"/>
    <w:uiPriority w:val="99"/>
    <w:semiHidden/>
    <w:unhideWhenUsed/>
    <w:rsid w:val="00A04B33"/>
    <w:rPr>
      <w:vertAlign w:val="superscript"/>
    </w:rPr>
  </w:style>
  <w:style w:type="paragraph" w:styleId="ListParagraph">
    <w:name w:val="List Paragraph"/>
    <w:basedOn w:val="Normal"/>
    <w:uiPriority w:val="34"/>
    <w:qFormat/>
    <w:rsid w:val="00851DEE"/>
    <w:pPr>
      <w:ind w:left="720"/>
      <w:contextualSpacing/>
    </w:pPr>
  </w:style>
  <w:style w:type="paragraph" w:styleId="Header">
    <w:name w:val="header"/>
    <w:basedOn w:val="Normal"/>
    <w:link w:val="HeaderChar"/>
    <w:uiPriority w:val="99"/>
    <w:unhideWhenUsed/>
    <w:rsid w:val="00770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7E3"/>
  </w:style>
  <w:style w:type="paragraph" w:styleId="Footer">
    <w:name w:val="footer"/>
    <w:basedOn w:val="Normal"/>
    <w:link w:val="FooterChar"/>
    <w:uiPriority w:val="99"/>
    <w:unhideWhenUsed/>
    <w:rsid w:val="00770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7E3"/>
  </w:style>
  <w:style w:type="character" w:styleId="CommentReference">
    <w:name w:val="annotation reference"/>
    <w:basedOn w:val="DefaultParagraphFont"/>
    <w:uiPriority w:val="99"/>
    <w:semiHidden/>
    <w:unhideWhenUsed/>
    <w:rsid w:val="000D22CE"/>
    <w:rPr>
      <w:sz w:val="16"/>
      <w:szCs w:val="16"/>
    </w:rPr>
  </w:style>
  <w:style w:type="paragraph" w:styleId="CommentText">
    <w:name w:val="annotation text"/>
    <w:basedOn w:val="Normal"/>
    <w:link w:val="CommentTextChar"/>
    <w:uiPriority w:val="99"/>
    <w:semiHidden/>
    <w:unhideWhenUsed/>
    <w:rsid w:val="000D22CE"/>
    <w:pPr>
      <w:spacing w:line="240" w:lineRule="auto"/>
    </w:pPr>
    <w:rPr>
      <w:sz w:val="20"/>
      <w:szCs w:val="20"/>
    </w:rPr>
  </w:style>
  <w:style w:type="character" w:customStyle="1" w:styleId="CommentTextChar">
    <w:name w:val="Comment Text Char"/>
    <w:basedOn w:val="DefaultParagraphFont"/>
    <w:link w:val="CommentText"/>
    <w:uiPriority w:val="99"/>
    <w:semiHidden/>
    <w:rsid w:val="000D22CE"/>
    <w:rPr>
      <w:sz w:val="20"/>
      <w:szCs w:val="20"/>
    </w:rPr>
  </w:style>
  <w:style w:type="paragraph" w:styleId="CommentSubject">
    <w:name w:val="annotation subject"/>
    <w:basedOn w:val="CommentText"/>
    <w:next w:val="CommentText"/>
    <w:link w:val="CommentSubjectChar"/>
    <w:uiPriority w:val="99"/>
    <w:semiHidden/>
    <w:unhideWhenUsed/>
    <w:rsid w:val="000D22CE"/>
    <w:rPr>
      <w:b/>
      <w:bCs/>
    </w:rPr>
  </w:style>
  <w:style w:type="character" w:customStyle="1" w:styleId="CommentSubjectChar">
    <w:name w:val="Comment Subject Char"/>
    <w:basedOn w:val="CommentTextChar"/>
    <w:link w:val="CommentSubject"/>
    <w:uiPriority w:val="99"/>
    <w:semiHidden/>
    <w:rsid w:val="000D22CE"/>
    <w:rPr>
      <w:b/>
      <w:bCs/>
      <w:sz w:val="20"/>
      <w:szCs w:val="20"/>
    </w:rPr>
  </w:style>
  <w:style w:type="paragraph" w:styleId="BalloonText">
    <w:name w:val="Balloon Text"/>
    <w:basedOn w:val="Normal"/>
    <w:link w:val="BalloonTextChar"/>
    <w:uiPriority w:val="99"/>
    <w:semiHidden/>
    <w:unhideWhenUsed/>
    <w:rsid w:val="000D2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2CE"/>
    <w:rPr>
      <w:rFonts w:ascii="Tahoma" w:hAnsi="Tahoma" w:cs="Tahoma"/>
      <w:sz w:val="16"/>
      <w:szCs w:val="16"/>
    </w:rPr>
  </w:style>
  <w:style w:type="paragraph" w:customStyle="1" w:styleId="CM1">
    <w:name w:val="CM1"/>
    <w:basedOn w:val="Normal"/>
    <w:next w:val="Normal"/>
    <w:uiPriority w:val="99"/>
    <w:rsid w:val="00EF15EB"/>
    <w:pPr>
      <w:autoSpaceDE w:val="0"/>
      <w:autoSpaceDN w:val="0"/>
      <w:adjustRightInd w:val="0"/>
      <w:spacing w:after="0" w:line="240" w:lineRule="auto"/>
    </w:pPr>
    <w:rPr>
      <w:rFonts w:ascii="EUAlbertina" w:hAnsi="EUAlbertina"/>
      <w:sz w:val="24"/>
      <w:szCs w:val="24"/>
      <w:lang w:val="en-US"/>
    </w:rPr>
  </w:style>
  <w:style w:type="paragraph" w:customStyle="1" w:styleId="CM3">
    <w:name w:val="CM3"/>
    <w:basedOn w:val="Normal"/>
    <w:next w:val="Normal"/>
    <w:uiPriority w:val="99"/>
    <w:rsid w:val="00EF15EB"/>
    <w:pPr>
      <w:autoSpaceDE w:val="0"/>
      <w:autoSpaceDN w:val="0"/>
      <w:adjustRightInd w:val="0"/>
      <w:spacing w:after="0" w:line="240" w:lineRule="auto"/>
    </w:pPr>
    <w:rPr>
      <w:rFonts w:ascii="EUAlbertina" w:hAnsi="EUAlbertina"/>
      <w:sz w:val="24"/>
      <w:szCs w:val="24"/>
      <w:lang w:val="en-US"/>
    </w:rPr>
  </w:style>
  <w:style w:type="character" w:styleId="Hyperlink">
    <w:name w:val="Hyperlink"/>
    <w:basedOn w:val="DefaultParagraphFont"/>
    <w:uiPriority w:val="99"/>
    <w:unhideWhenUsed/>
    <w:rsid w:val="002D08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s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EC086-B7EF-48C2-9BD4-86BE983A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3357</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Brown Brothers Harriman &amp; Co.</Company>
  <LinksUpToDate>false</LinksUpToDate>
  <CharactersWithSpaces>22454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Siena, John</dc:creator>
  <cp:lastModifiedBy>Siena, John</cp:lastModifiedBy>
  <cp:revision>6</cp:revision>
  <cp:lastPrinted>2015-01-30T09:40:00Z</cp:lastPrinted>
  <dcterms:created xsi:type="dcterms:W3CDTF">2015-01-30T15:24:00Z</dcterms:created>
  <dcterms:modified xsi:type="dcterms:W3CDTF">2015-01-30T16:33:00Z</dcterms:modified>
</cp:coreProperties>
</file>