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bookmarkStart w:id="0" w:name="_GoBack"/>
            <w:bookmarkEnd w:id="0"/>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1"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4"/>
      <w:r w:rsidRPr="00616B9B">
        <w:rPr>
          <w:rFonts w:ascii="Arial" w:hAnsi="Arial" w:cs="Arial"/>
          <w:b/>
          <w:bCs/>
          <w:i/>
          <w:color w:val="000000"/>
          <w:szCs w:val="20"/>
          <w:lang w:eastAsia="en-GB"/>
        </w:rPr>
        <w:t>Publication of responses</w:t>
      </w:r>
      <w:bookmarkEnd w:id="2"/>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3" w:name="_Toc335141335"/>
      <w:r w:rsidRPr="00616B9B">
        <w:rPr>
          <w:rFonts w:ascii="Arial" w:hAnsi="Arial" w:cs="Arial"/>
          <w:b/>
          <w:bCs/>
          <w:i/>
          <w:color w:val="000000"/>
          <w:szCs w:val="20"/>
          <w:lang w:eastAsia="en-GB"/>
        </w:rPr>
        <w:t>Data protection</w:t>
      </w:r>
      <w:bookmarkEnd w:id="3"/>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1"/>
    <w:p w:rsidR="00C535E2" w:rsidRPr="0026621B" w:rsidRDefault="00C535E2" w:rsidP="00C535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D936DE"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79579507" w:edGrp="everyone"/>
                <w:r w:rsidR="0069586E">
                  <w:rPr>
                    <w:rFonts w:ascii="Arial" w:hAnsi="Arial" w:cs="Arial"/>
                    <w:sz w:val="22"/>
                    <w:szCs w:val="22"/>
                  </w:rPr>
                  <w:t>No</w:t>
                </w:r>
                <w:permEnd w:id="79579507"/>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D936DE"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714149435" w:edGrp="everyone"/>
                <w:r w:rsidR="0069586E">
                  <w:rPr>
                    <w:rFonts w:ascii="Arial" w:hAnsi="Arial" w:cs="Arial"/>
                    <w:sz w:val="22"/>
                    <w:szCs w:val="22"/>
                  </w:rPr>
                  <w:t>Central Securities Depository</w:t>
                </w:r>
                <w:permEnd w:id="714149435"/>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616929093" w:edGrp="everyone" w:displacedByCustomXml="prev"/>
            <w:tc>
              <w:tcPr>
                <w:tcW w:w="6118" w:type="dxa"/>
              </w:tcPr>
              <w:p w:rsidR="00F32462" w:rsidRPr="0026621B" w:rsidRDefault="0069586E" w:rsidP="00E66DAF">
                <w:pPr>
                  <w:rPr>
                    <w:rFonts w:ascii="Arial" w:hAnsi="Arial" w:cs="Arial"/>
                    <w:sz w:val="22"/>
                    <w:szCs w:val="22"/>
                  </w:rPr>
                </w:pPr>
                <w:r>
                  <w:rPr>
                    <w:rFonts w:ascii="Arial" w:hAnsi="Arial" w:cs="Arial"/>
                    <w:sz w:val="22"/>
                    <w:szCs w:val="22"/>
                  </w:rPr>
                  <w:t>Norway</w:t>
                </w:r>
              </w:p>
            </w:tc>
            <w:permEnd w:id="1616929093"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A35728" w:rsidRPr="00616B9B" w:rsidRDefault="0069586E" w:rsidP="00A35728">
      <w:pPr>
        <w:rPr>
          <w:rFonts w:ascii="Arial" w:hAnsi="Arial" w:cs="Arial"/>
          <w:sz w:val="22"/>
          <w:szCs w:val="22"/>
        </w:rPr>
      </w:pPr>
      <w:permStart w:id="612322246" w:edGrp="everyone"/>
      <w:r>
        <w:t>VPS refer to the response of ECSDA which we fully support</w:t>
      </w:r>
      <w:r w:rsidR="00127895">
        <w:t>.</w:t>
      </w:r>
    </w:p>
    <w:permEnd w:id="612322246"/>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A35728" w:rsidRPr="00616B9B" w:rsidRDefault="0069586E" w:rsidP="00A35728">
      <w:pPr>
        <w:rPr>
          <w:rFonts w:ascii="Arial" w:hAnsi="Arial" w:cs="Arial"/>
          <w:sz w:val="22"/>
          <w:szCs w:val="22"/>
        </w:rPr>
      </w:pPr>
      <w:permStart w:id="711087033" w:edGrp="everyone"/>
      <w:r>
        <w:t>VPS refer</w:t>
      </w:r>
      <w:r w:rsidR="00687D04">
        <w:t>s</w:t>
      </w:r>
      <w:r>
        <w:t xml:space="preserve"> to the response of ECSDA</w:t>
      </w:r>
      <w:r w:rsidR="00687D04">
        <w:t>,</w:t>
      </w:r>
      <w:r>
        <w:t xml:space="preserve"> which we fully support</w:t>
      </w:r>
      <w:r w:rsidR="00127895">
        <w:t>.</w:t>
      </w:r>
    </w:p>
    <w:permEnd w:id="711087033"/>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A35728" w:rsidRPr="00616B9B" w:rsidRDefault="0069586E" w:rsidP="00A35728">
      <w:pPr>
        <w:rPr>
          <w:rFonts w:ascii="Arial" w:hAnsi="Arial" w:cs="Arial"/>
          <w:sz w:val="22"/>
          <w:szCs w:val="22"/>
        </w:rPr>
      </w:pPr>
      <w:permStart w:id="1483547532" w:edGrp="everyone"/>
      <w:r>
        <w:t>VPS refer</w:t>
      </w:r>
      <w:r w:rsidR="00687D04">
        <w:t>s</w:t>
      </w:r>
      <w:r>
        <w:t xml:space="preserve"> to the response of ECSDA</w:t>
      </w:r>
      <w:r w:rsidR="00687D04">
        <w:t>,</w:t>
      </w:r>
      <w:r>
        <w:t xml:space="preserve"> which we fully support</w:t>
      </w:r>
      <w:r w:rsidR="00127895">
        <w:t>.</w:t>
      </w:r>
    </w:p>
    <w:permEnd w:id="1483547532"/>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69586E" w:rsidP="00A35728">
      <w:pPr>
        <w:rPr>
          <w:rFonts w:ascii="Arial" w:hAnsi="Arial" w:cs="Arial"/>
          <w:sz w:val="22"/>
          <w:szCs w:val="22"/>
        </w:rPr>
      </w:pPr>
      <w:permStart w:id="1961236987" w:edGrp="everyone"/>
      <w:r>
        <w:t>VPS refer</w:t>
      </w:r>
      <w:r w:rsidR="00687D04">
        <w:t>s</w:t>
      </w:r>
      <w:r>
        <w:t xml:space="preserve"> to the response of ECSDA</w:t>
      </w:r>
      <w:r w:rsidR="00687D04">
        <w:t>,</w:t>
      </w:r>
      <w:r>
        <w:t xml:space="preserve"> which we fully support</w:t>
      </w:r>
      <w:r w:rsidR="00127895">
        <w:t>.</w:t>
      </w:r>
    </w:p>
    <w:permEnd w:id="1961236987"/>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69586E" w:rsidP="00A35728">
      <w:pPr>
        <w:rPr>
          <w:rFonts w:ascii="Arial" w:hAnsi="Arial" w:cs="Arial"/>
          <w:sz w:val="22"/>
          <w:szCs w:val="22"/>
        </w:rPr>
      </w:pPr>
      <w:permStart w:id="284452330" w:edGrp="everyone"/>
      <w:r>
        <w:t>VPS refer</w:t>
      </w:r>
      <w:r w:rsidR="00687D04">
        <w:t>s</w:t>
      </w:r>
      <w:r>
        <w:t xml:space="preserve"> to the response of ECSDA</w:t>
      </w:r>
      <w:r w:rsidR="00687D04">
        <w:t>,</w:t>
      </w:r>
      <w:r>
        <w:t xml:space="preserve"> which we fully support</w:t>
      </w:r>
    </w:p>
    <w:permEnd w:id="284452330"/>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69586E" w:rsidRPr="0069586E" w:rsidRDefault="0069586E" w:rsidP="00A35728">
      <w:pPr>
        <w:rPr>
          <w:rFonts w:ascii="Arial" w:hAnsi="Arial" w:cs="Arial"/>
          <w:bCs/>
        </w:rPr>
      </w:pPr>
      <w:permStart w:id="1219497686" w:edGrp="everyone"/>
      <w:r>
        <w:t>VPS refer</w:t>
      </w:r>
      <w:r w:rsidR="00687D04">
        <w:t>s</w:t>
      </w:r>
      <w:r>
        <w:t xml:space="preserve"> to the response of ECSDA</w:t>
      </w:r>
      <w:r w:rsidR="00687D04">
        <w:t>,</w:t>
      </w:r>
      <w:r>
        <w:t xml:space="preserve"> which we fully support. In particular VPS would like to refer to ECSDA</w:t>
      </w:r>
      <w:r w:rsidR="00687D04">
        <w:t>’</w:t>
      </w:r>
      <w:r>
        <w:t xml:space="preserve">s statement that </w:t>
      </w:r>
      <w:r w:rsidRPr="005609B2">
        <w:rPr>
          <w:rFonts w:ascii="Arial" w:hAnsi="Arial" w:cs="Arial"/>
          <w:bCs/>
        </w:rPr>
        <w:t>the notion of “provision of services” should be limited to cases where the CSD has set up a branch in another Member State or provides notary and/or central maintenance services in that country</w:t>
      </w:r>
      <w:r>
        <w:rPr>
          <w:rFonts w:ascii="Arial" w:hAnsi="Arial" w:cs="Arial"/>
          <w:bCs/>
        </w:rPr>
        <w:t>,</w:t>
      </w:r>
      <w:r w:rsidRPr="005609B2">
        <w:rPr>
          <w:rFonts w:ascii="Arial" w:hAnsi="Arial" w:cs="Arial"/>
          <w:bCs/>
        </w:rPr>
        <w:t xml:space="preserve"> i.e. excluding the settlement service. </w:t>
      </w:r>
      <w:r>
        <w:rPr>
          <w:rFonts w:ascii="Arial" w:hAnsi="Arial" w:cs="Arial"/>
          <w:bCs/>
        </w:rPr>
        <w:t xml:space="preserve">In our opinion this is necessary for the regulation to be in line with </w:t>
      </w:r>
      <w:r w:rsidRPr="005609B2">
        <w:rPr>
          <w:rFonts w:ascii="Arial" w:hAnsi="Arial" w:cs="Arial"/>
          <w:bCs/>
        </w:rPr>
        <w:t xml:space="preserve">article 23 </w:t>
      </w:r>
      <w:r>
        <w:rPr>
          <w:rFonts w:ascii="Arial" w:hAnsi="Arial" w:cs="Arial"/>
          <w:bCs/>
        </w:rPr>
        <w:t>and 24 of</w:t>
      </w:r>
      <w:r w:rsidR="00687D04">
        <w:rPr>
          <w:rFonts w:ascii="Arial" w:hAnsi="Arial" w:cs="Arial"/>
          <w:bCs/>
        </w:rPr>
        <w:t xml:space="preserve"> the </w:t>
      </w:r>
      <w:r>
        <w:rPr>
          <w:rFonts w:ascii="Arial" w:hAnsi="Arial" w:cs="Arial"/>
          <w:bCs/>
        </w:rPr>
        <w:t>CSD</w:t>
      </w:r>
      <w:r w:rsidR="00687D04">
        <w:rPr>
          <w:rFonts w:ascii="Arial" w:hAnsi="Arial" w:cs="Arial"/>
          <w:bCs/>
        </w:rPr>
        <w:t>R</w:t>
      </w:r>
      <w:r>
        <w:rPr>
          <w:rFonts w:ascii="Arial" w:hAnsi="Arial" w:cs="Arial"/>
          <w:bCs/>
        </w:rPr>
        <w:t xml:space="preserve">. </w:t>
      </w:r>
      <w:r w:rsidR="00687D04">
        <w:rPr>
          <w:rFonts w:ascii="Arial" w:hAnsi="Arial" w:cs="Arial"/>
          <w:bCs/>
        </w:rPr>
        <w:t>Thus we</w:t>
      </w:r>
      <w:r>
        <w:rPr>
          <w:rFonts w:ascii="Arial" w:hAnsi="Arial" w:cs="Arial"/>
          <w:bCs/>
        </w:rPr>
        <w:t xml:space="preserve"> disagree with Section 3.5 of the ESMA Consultation Paper on technical advice </w:t>
      </w:r>
      <w:r w:rsidRPr="00D624D1">
        <w:rPr>
          <w:rFonts w:ascii="Arial" w:hAnsi="Arial" w:cs="Arial"/>
          <w:bCs/>
        </w:rPr>
        <w:t>(p.22-24)</w:t>
      </w:r>
      <w:r>
        <w:rPr>
          <w:rFonts w:ascii="Arial" w:hAnsi="Arial" w:cs="Arial"/>
          <w:bCs/>
        </w:rPr>
        <w:t xml:space="preserve"> and believe that the "settlement indicator" is not appropriate.</w:t>
      </w:r>
    </w:p>
    <w:permEnd w:id="1219497686"/>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69586E" w:rsidP="00A35728">
      <w:pPr>
        <w:rPr>
          <w:rFonts w:ascii="Arial" w:hAnsi="Arial" w:cs="Arial"/>
          <w:sz w:val="22"/>
          <w:szCs w:val="22"/>
        </w:rPr>
      </w:pPr>
      <w:permStart w:id="1791315438" w:edGrp="everyone"/>
      <w:r>
        <w:t>VPS refer to the response of ECSDA which we fully support</w:t>
      </w:r>
      <w:r w:rsidR="00127895">
        <w:t>.</w:t>
      </w:r>
    </w:p>
    <w:permEnd w:id="1791315438"/>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6F08DC" w:rsidRPr="00616B9B" w:rsidRDefault="0069586E" w:rsidP="006F08DC">
      <w:pPr>
        <w:rPr>
          <w:rFonts w:ascii="Arial" w:hAnsi="Arial" w:cs="Arial"/>
          <w:sz w:val="22"/>
          <w:szCs w:val="22"/>
        </w:rPr>
      </w:pPr>
      <w:permStart w:id="252663693" w:edGrp="everyone"/>
      <w:r>
        <w:t>VPS refer to the response of ECSDA which we fully support</w:t>
      </w:r>
      <w:r w:rsidR="00127895">
        <w:t>.</w:t>
      </w:r>
    </w:p>
    <w:permEnd w:id="252663693"/>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E8" w:rsidRDefault="001470E8">
      <w:r>
        <w:separator/>
      </w:r>
    </w:p>
    <w:p w:rsidR="001470E8" w:rsidRDefault="001470E8"/>
  </w:endnote>
  <w:endnote w:type="continuationSeparator" w:id="0">
    <w:p w:rsidR="001470E8" w:rsidRDefault="001470E8">
      <w:r>
        <w:continuationSeparator/>
      </w:r>
    </w:p>
    <w:p w:rsidR="001470E8" w:rsidRDefault="001470E8"/>
  </w:endnote>
  <w:endnote w:type="continuationNotice" w:id="1">
    <w:p w:rsidR="001470E8" w:rsidRDefault="001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D936DE">
            <w:rPr>
              <w:rFonts w:ascii="Arial" w:hAnsi="Arial" w:cs="Arial"/>
              <w:noProof/>
              <w:sz w:val="22"/>
              <w:szCs w:val="22"/>
            </w:rPr>
            <w:t>3</w:t>
          </w:r>
          <w:r w:rsidRPr="00616B9B">
            <w:rPr>
              <w:rFonts w:ascii="Arial" w:hAnsi="Arial"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E8" w:rsidRDefault="001470E8">
      <w:r>
        <w:separator/>
      </w:r>
    </w:p>
    <w:p w:rsidR="001470E8" w:rsidRDefault="001470E8"/>
  </w:footnote>
  <w:footnote w:type="continuationSeparator" w:id="0">
    <w:p w:rsidR="001470E8" w:rsidRDefault="001470E8">
      <w:r>
        <w:continuationSeparator/>
      </w:r>
    </w:p>
    <w:p w:rsidR="001470E8" w:rsidRDefault="001470E8"/>
  </w:footnote>
  <w:footnote w:type="continuationNotice" w:id="1">
    <w:p w:rsidR="001470E8" w:rsidRDefault="00147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val="nb-NO" w:eastAsia="nb-NO"/>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b-NO" w:eastAsia="nb-NO"/>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val="nb-NO" w:eastAsia="nb-NO"/>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b-NO" w:eastAsia="nb-NO"/>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nb-NO" w:eastAsia="nb-NO"/>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b-NO" w:eastAsia="nb-NO"/>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27895"/>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87D04"/>
    <w:rsid w:val="00690F0E"/>
    <w:rsid w:val="006911C0"/>
    <w:rsid w:val="00691B7C"/>
    <w:rsid w:val="00694B73"/>
    <w:rsid w:val="00694DF2"/>
    <w:rsid w:val="0069586E"/>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36D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02FC"/>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cehold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2D3005"/>
    <w:rsid w:val="00392976"/>
    <w:rsid w:val="00464746"/>
    <w:rsid w:val="0072030F"/>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D786-1475-4E75-9D3E-9D7013DB1341}">
  <ds:schemaRefs>
    <ds:schemaRef ds:uri="http://schemas.openxmlformats.org/officeDocument/2006/bibliography"/>
  </ds:schemaRefs>
</ds:datastoreItem>
</file>

<file path=customXml/itemProps2.xml><?xml version="1.0" encoding="utf-8"?>
<ds:datastoreItem xmlns:ds="http://schemas.openxmlformats.org/officeDocument/2006/customXml" ds:itemID="{B1BC290B-4F18-45ED-97B4-3B52630B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E1BABEF9</Template>
  <TotalTime>0</TotalTime>
  <Pages>6</Pages>
  <Words>779</Words>
  <Characters>4455</Characters>
  <Application>Microsoft Office Word</Application>
  <DocSecurity>8</DocSecurity>
  <Lines>37</Lines>
  <Paragraphs>10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5224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vsasjbo</cp:lastModifiedBy>
  <cp:revision>2</cp:revision>
  <cp:lastPrinted>2015-02-18T17:08:00Z</cp:lastPrinted>
  <dcterms:created xsi:type="dcterms:W3CDTF">2015-02-19T14:11:00Z</dcterms:created>
  <dcterms:modified xsi:type="dcterms:W3CDTF">2015-02-19T14:11:00Z</dcterms:modified>
</cp:coreProperties>
</file>