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D6CD0" w:rsidP="00A35728">
            <w:pPr>
              <w:pStyle w:val="00bDBInfo"/>
              <w:rPr>
                <w:rFonts w:ascii="Arial" w:hAnsi="Arial" w:cs="Arial"/>
              </w:rPr>
            </w:pPr>
            <w:r>
              <w:rPr>
                <w:rFonts w:ascii="Arial" w:hAnsi="Arial" w:cs="Arial"/>
              </w:rPr>
              <w:t>18</w:t>
            </w:r>
            <w:r w:rsidR="004E49B0">
              <w:rPr>
                <w:rFonts w:ascii="Arial" w:hAnsi="Arial" w:cs="Arial"/>
              </w:rPr>
              <w:t xml:space="preserve"> December</w:t>
            </w:r>
            <w:r w:rsidR="00ED351E" w:rsidRPr="004E49B0">
              <w:rPr>
                <w:rFonts w:ascii="Arial" w:hAnsi="Arial" w:cs="Arial"/>
              </w:rPr>
              <w:t xml:space="preserve"> </w:t>
            </w:r>
            <w:r w:rsidR="006F4B04" w:rsidRPr="004E49B0">
              <w:rPr>
                <w:rFonts w:ascii="Arial" w:hAnsi="Arial" w:cs="Arial"/>
              </w:rPr>
              <w:t>2014</w:t>
            </w:r>
          </w:p>
        </w:tc>
      </w:tr>
    </w:tbl>
    <w:p w:rsidR="00FD7A8D" w:rsidRPr="00616B9B" w:rsidRDefault="00FD7A8D" w:rsidP="00FD7A8D">
      <w:pPr>
        <w:rPr>
          <w:rFonts w:ascii="Arial" w:hAnsi="Arial"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ascii="Arial" w:hAnsi="Arial" w:cs="Arial"/>
              </w:rPr>
            </w:pPr>
            <w:r w:rsidRPr="00616B9B">
              <w:rPr>
                <w:rFonts w:ascii="Arial" w:hAnsi="Arial" w:cs="Arial"/>
              </w:rPr>
              <w:t>Reply form</w:t>
            </w:r>
            <w:r w:rsidR="00B835D5" w:rsidRPr="00616B9B">
              <w:rPr>
                <w:rFonts w:ascii="Arial" w:hAnsi="Arial" w:cs="Arial"/>
              </w:rPr>
              <w:t xml:space="preserve"> </w:t>
            </w:r>
            <w:r w:rsidR="0043173B" w:rsidRPr="00616B9B">
              <w:rPr>
                <w:rFonts w:ascii="Arial" w:hAnsi="Arial" w:cs="Arial"/>
              </w:rPr>
              <w:t>for</w:t>
            </w:r>
            <w:r w:rsidR="00027ECF" w:rsidRPr="00616B9B">
              <w:rPr>
                <w:rFonts w:ascii="Arial" w:hAnsi="Arial" w:cs="Arial"/>
              </w:rPr>
              <w:t xml:space="preserve"> the </w:t>
            </w:r>
          </w:p>
          <w:p w:rsidR="00422A7D" w:rsidRPr="00616B9B" w:rsidRDefault="00A35728" w:rsidP="00C000A5">
            <w:pPr>
              <w:pStyle w:val="01aDBTitle"/>
              <w:rPr>
                <w:rFonts w:ascii="Arial" w:hAnsi="Arial" w:cs="Arial"/>
              </w:rPr>
            </w:pPr>
            <w:r w:rsidRPr="00616B9B">
              <w:rPr>
                <w:rFonts w:ascii="Arial" w:hAnsi="Arial" w:cs="Arial"/>
              </w:rPr>
              <w:t>Technical Advice under the CSDR</w:t>
            </w:r>
            <w:r w:rsidR="00422A7D" w:rsidRPr="00616B9B">
              <w:rPr>
                <w:rFonts w:ascii="Arial" w:hAnsi="Arial" w:cs="Arial"/>
              </w:rPr>
              <w:t xml:space="preserve"> </w:t>
            </w:r>
          </w:p>
          <w:p w:rsidR="00791EB4" w:rsidRPr="00616B9B" w:rsidRDefault="00791EB4" w:rsidP="00C000A5">
            <w:pPr>
              <w:pStyle w:val="01aDBTitle"/>
              <w:rPr>
                <w:rFonts w:ascii="Arial" w:hAnsi="Arial"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ascii="Arial" w:hAnsi="Arial"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4E49B0">
            <w:pPr>
              <w:pStyle w:val="02Date"/>
              <w:rPr>
                <w:rFonts w:ascii="Arial" w:hAnsi="Arial" w:cs="Arial"/>
              </w:rPr>
            </w:pPr>
            <w:r w:rsidRPr="004E49B0">
              <w:rPr>
                <w:rFonts w:ascii="Arial" w:hAnsi="Arial" w:cs="Arial"/>
              </w:rPr>
              <w:lastRenderedPageBreak/>
              <w:t xml:space="preserve">Date: </w:t>
            </w:r>
            <w:r w:rsidR="003D6CD0">
              <w:rPr>
                <w:rFonts w:ascii="Arial" w:hAnsi="Arial" w:cs="Arial"/>
              </w:rPr>
              <w:t>18</w:t>
            </w:r>
            <w:r w:rsidR="004E49B0" w:rsidRPr="004E49B0">
              <w:rPr>
                <w:rFonts w:ascii="Arial" w:hAnsi="Arial" w:cs="Arial"/>
              </w:rPr>
              <w:t xml:space="preserve"> December 2014</w:t>
            </w:r>
          </w:p>
        </w:tc>
      </w:tr>
    </w:tbl>
    <w:p w:rsidR="0088244C" w:rsidRPr="00616B9B" w:rsidRDefault="0088244C" w:rsidP="00F574D0">
      <w:pPr>
        <w:pStyle w:val="05HeadlinenoIndex"/>
        <w:rPr>
          <w:rFonts w:ascii="Arial" w:hAnsi="Arial" w:cs="Arial"/>
        </w:rPr>
      </w:pPr>
      <w:bookmarkStart w:id="0" w:name="_Toc280628648"/>
    </w:p>
    <w:p w:rsidR="00F574D0" w:rsidRPr="00616B9B" w:rsidRDefault="0088244C" w:rsidP="00F574D0">
      <w:pPr>
        <w:pStyle w:val="05HeadlinenoIndex"/>
        <w:rPr>
          <w:rFonts w:ascii="Arial" w:hAnsi="Arial" w:cs="Arial"/>
        </w:rPr>
      </w:pPr>
      <w:r w:rsidRPr="00616B9B">
        <w:rPr>
          <w:rFonts w:ascii="Arial" w:hAnsi="Arial" w:cs="Arial"/>
        </w:rPr>
        <w:br w:type="page"/>
      </w:r>
      <w:r w:rsidR="00F574D0" w:rsidRPr="00616B9B">
        <w:rPr>
          <w:rFonts w:ascii="Arial" w:hAnsi="Arial" w:cs="Arial"/>
        </w:rPr>
        <w:lastRenderedPageBreak/>
        <w:t xml:space="preserve">Responding to this paper </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The European Securities and Markets Authority (ESMA) invites responses to the specific questions listed in the ESMA </w:t>
      </w:r>
      <w:r w:rsidR="0060674A" w:rsidRPr="00616B9B">
        <w:rPr>
          <w:rFonts w:ascii="Arial" w:hAnsi="Arial" w:cs="Arial"/>
        </w:rPr>
        <w:t>Consultation Paper - D</w:t>
      </w:r>
      <w:r w:rsidR="00A35728" w:rsidRPr="00616B9B">
        <w:rPr>
          <w:rFonts w:ascii="Arial" w:hAnsi="Arial" w:cs="Arial"/>
        </w:rPr>
        <w:t xml:space="preserve"> Technical Advice under the CSDR</w:t>
      </w:r>
      <w:r w:rsidR="00015B5E" w:rsidRPr="00616B9B">
        <w:rPr>
          <w:rFonts w:ascii="Arial" w:hAnsi="Arial" w:cs="Arial"/>
        </w:rPr>
        <w:t>, published on the ESMA website</w:t>
      </w:r>
      <w:r w:rsidR="004E49B0">
        <w:rPr>
          <w:rFonts w:ascii="Arial" w:hAnsi="Arial" w:cs="Arial"/>
        </w:rPr>
        <w:t>.</w:t>
      </w:r>
    </w:p>
    <w:p w:rsidR="00F574D0" w:rsidRPr="00616B9B" w:rsidRDefault="00F574D0" w:rsidP="00F574D0">
      <w:pPr>
        <w:pStyle w:val="04BodyText"/>
        <w:spacing w:before="120" w:after="120"/>
        <w:rPr>
          <w:rFonts w:ascii="Arial" w:hAnsi="Arial" w:cs="Arial"/>
        </w:rPr>
      </w:pP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r w:rsidRPr="00616B9B">
        <w:rPr>
          <w:rFonts w:ascii="Arial" w:hAnsi="Arial" w:cs="Arial"/>
          <w:b/>
          <w:bCs/>
          <w:i/>
          <w:color w:val="000000"/>
          <w:szCs w:val="20"/>
          <w:lang w:eastAsia="en-GB"/>
        </w:rPr>
        <w:t>Instructions</w:t>
      </w:r>
    </w:p>
    <w:p w:rsidR="00F574D0" w:rsidRPr="00616B9B" w:rsidRDefault="00D75FEE" w:rsidP="00F574D0">
      <w:pPr>
        <w:pStyle w:val="04BodyText"/>
        <w:spacing w:before="120" w:after="120"/>
        <w:rPr>
          <w:rFonts w:ascii="Arial" w:hAnsi="Arial" w:cs="Arial"/>
        </w:rPr>
      </w:pPr>
      <w:r w:rsidRPr="00616B9B">
        <w:rPr>
          <w:rFonts w:ascii="Arial" w:hAnsi="Arial" w:cs="Arial"/>
        </w:rPr>
        <w:t>Please note that, in order to facilitate the analysis of the large number of responses expected, you are requested to use this file to send your response to ESMA so as to allow us to process it properly. Ther</w:t>
      </w:r>
      <w:r w:rsidRPr="00616B9B">
        <w:rPr>
          <w:rFonts w:ascii="Arial" w:hAnsi="Arial" w:cs="Arial"/>
        </w:rPr>
        <w:t>e</w:t>
      </w:r>
      <w:r w:rsidRPr="00616B9B">
        <w:rPr>
          <w:rFonts w:ascii="Arial" w:hAnsi="Arial" w:cs="Arial"/>
        </w:rPr>
        <w:t>fore, please follow the instructions described below</w:t>
      </w:r>
      <w:r w:rsidR="00F574D0" w:rsidRPr="00616B9B">
        <w:rPr>
          <w:rFonts w:ascii="Arial" w:hAnsi="Arial" w:cs="Arial"/>
        </w:rPr>
        <w:t>:</w:t>
      </w:r>
    </w:p>
    <w:p w:rsidR="00F574D0" w:rsidRPr="00616B9B" w:rsidRDefault="00F574D0" w:rsidP="00F574D0">
      <w:pPr>
        <w:pStyle w:val="04bList"/>
        <w:numPr>
          <w:ilvl w:val="0"/>
          <w:numId w:val="5"/>
        </w:numPr>
        <w:spacing w:before="120" w:after="120"/>
        <w:ind w:left="720"/>
        <w:rPr>
          <w:rFonts w:ascii="Arial" w:hAnsi="Arial" w:cs="Arial"/>
        </w:rPr>
      </w:pPr>
      <w:r w:rsidRPr="00616B9B">
        <w:rPr>
          <w:rFonts w:ascii="Arial" w:hAnsi="Arial" w:cs="Arial"/>
        </w:rPr>
        <w:t xml:space="preserve">use this </w:t>
      </w:r>
      <w:r w:rsidR="003F5C06" w:rsidRPr="00616B9B">
        <w:rPr>
          <w:rFonts w:ascii="Arial" w:hAnsi="Arial" w:cs="Arial"/>
        </w:rPr>
        <w:t>form</w:t>
      </w:r>
      <w:r w:rsidRPr="00616B9B">
        <w:rPr>
          <w:rFonts w:ascii="Arial" w:hAnsi="Arial" w:cs="Arial"/>
        </w:rPr>
        <w:t xml:space="preserve"> and send </w:t>
      </w:r>
      <w:r w:rsidR="00D75FEE" w:rsidRPr="00616B9B">
        <w:rPr>
          <w:rFonts w:ascii="Arial" w:hAnsi="Arial" w:cs="Arial"/>
        </w:rPr>
        <w:t>your</w:t>
      </w:r>
      <w:r w:rsidRPr="00616B9B">
        <w:rPr>
          <w:rFonts w:ascii="Arial" w:hAnsi="Arial" w:cs="Arial"/>
        </w:rPr>
        <w:t xml:space="preserve"> responses in Word format;</w:t>
      </w:r>
    </w:p>
    <w:p w:rsidR="00F574D0" w:rsidRPr="00616B9B" w:rsidRDefault="00D75FEE" w:rsidP="00F574D0">
      <w:pPr>
        <w:pStyle w:val="04bList"/>
        <w:numPr>
          <w:ilvl w:val="0"/>
          <w:numId w:val="5"/>
        </w:numPr>
        <w:spacing w:before="120" w:after="120"/>
        <w:ind w:left="720"/>
        <w:rPr>
          <w:rFonts w:ascii="Arial" w:hAnsi="Arial" w:cs="Arial"/>
        </w:rPr>
      </w:pPr>
      <w:r w:rsidRPr="00616B9B">
        <w:rPr>
          <w:rFonts w:ascii="Arial" w:hAnsi="Arial" w:cs="Arial"/>
        </w:rPr>
        <w:t xml:space="preserve">do </w:t>
      </w:r>
      <w:r w:rsidR="00F574D0" w:rsidRPr="00616B9B">
        <w:rPr>
          <w:rFonts w:ascii="Arial" w:hAnsi="Arial" w:cs="Arial"/>
        </w:rPr>
        <w:t>not remove the tags of type &lt;ESMA_QUESTION_</w:t>
      </w:r>
      <w:r w:rsidR="00C8677B" w:rsidRPr="00616B9B">
        <w:rPr>
          <w:rFonts w:ascii="Arial" w:hAnsi="Arial" w:cs="Arial"/>
        </w:rPr>
        <w:t>T</w:t>
      </w:r>
      <w:r w:rsidR="00E9344E" w:rsidRPr="00616B9B">
        <w:rPr>
          <w:rFonts w:ascii="Arial" w:hAnsi="Arial" w:cs="Arial"/>
        </w:rPr>
        <w:t>A</w:t>
      </w:r>
      <w:r w:rsidR="00A35728" w:rsidRPr="00616B9B">
        <w:rPr>
          <w:rFonts w:ascii="Arial" w:hAnsi="Arial" w:cs="Arial"/>
        </w:rPr>
        <w:t>_CSDR</w:t>
      </w:r>
      <w:r w:rsidR="00E9344E" w:rsidRPr="00616B9B">
        <w:rPr>
          <w:rFonts w:ascii="Arial" w:hAnsi="Arial" w:cs="Arial"/>
        </w:rPr>
        <w:t>_</w:t>
      </w:r>
      <w:r w:rsidR="00F574D0" w:rsidRPr="00616B9B">
        <w:rPr>
          <w:rFonts w:ascii="Arial" w:hAnsi="Arial" w:cs="Arial"/>
        </w:rPr>
        <w:t>1&gt; - i.e. the response to one question has to be framed by the 2 tags corresponding to the question; and</w:t>
      </w:r>
    </w:p>
    <w:p w:rsidR="00F574D0" w:rsidRPr="00616B9B" w:rsidRDefault="00F574D0" w:rsidP="00F574D0">
      <w:pPr>
        <w:pStyle w:val="04bList"/>
        <w:numPr>
          <w:ilvl w:val="0"/>
          <w:numId w:val="5"/>
        </w:numPr>
        <w:spacing w:before="120" w:after="120"/>
        <w:ind w:left="720"/>
        <w:rPr>
          <w:rFonts w:ascii="Arial" w:hAnsi="Arial" w:cs="Arial"/>
        </w:rPr>
      </w:pPr>
      <w:r w:rsidRPr="00616B9B">
        <w:rPr>
          <w:rFonts w:ascii="Arial" w:hAnsi="Arial" w:cs="Arial"/>
        </w:rPr>
        <w:t xml:space="preserve">if </w:t>
      </w:r>
      <w:r w:rsidR="00D75FEE" w:rsidRPr="00616B9B">
        <w:rPr>
          <w:rFonts w:ascii="Arial" w:hAnsi="Arial" w:cs="Arial"/>
        </w:rPr>
        <w:t>you do not have a</w:t>
      </w:r>
      <w:r w:rsidRPr="00616B9B">
        <w:rPr>
          <w:rFonts w:ascii="Arial" w:hAnsi="Arial" w:cs="Arial"/>
        </w:rPr>
        <w:t xml:space="preserve"> response to a question, </w:t>
      </w:r>
      <w:r w:rsidR="00D75FEE" w:rsidRPr="00616B9B">
        <w:rPr>
          <w:rFonts w:ascii="Arial" w:hAnsi="Arial" w:cs="Arial"/>
        </w:rPr>
        <w:t xml:space="preserve">do </w:t>
      </w:r>
      <w:r w:rsidRPr="00616B9B">
        <w:rPr>
          <w:rFonts w:ascii="Arial" w:hAnsi="Arial" w:cs="Arial"/>
        </w:rPr>
        <w:t>not delete it and leave the text “TYPE YOUR TEXT HERE” between the tags.</w:t>
      </w:r>
    </w:p>
    <w:p w:rsidR="00F574D0" w:rsidRPr="00616B9B" w:rsidRDefault="00F574D0" w:rsidP="00F574D0">
      <w:pPr>
        <w:pStyle w:val="04bList"/>
        <w:numPr>
          <w:ilvl w:val="0"/>
          <w:numId w:val="0"/>
        </w:numPr>
        <w:spacing w:before="120" w:after="120"/>
        <w:rPr>
          <w:rFonts w:ascii="Arial" w:hAnsi="Arial" w:cs="Arial"/>
        </w:rPr>
      </w:pPr>
      <w:r w:rsidRPr="00616B9B">
        <w:rPr>
          <w:rFonts w:ascii="Arial" w:hAnsi="Arial" w:cs="Arial"/>
        </w:rPr>
        <w:t>Responses are most helpful:</w:t>
      </w:r>
    </w:p>
    <w:p w:rsidR="00F574D0" w:rsidRPr="00616B9B" w:rsidRDefault="00F574D0" w:rsidP="002067BA">
      <w:pPr>
        <w:pStyle w:val="04bList"/>
        <w:numPr>
          <w:ilvl w:val="0"/>
          <w:numId w:val="33"/>
        </w:numPr>
        <w:spacing w:before="120" w:after="120"/>
        <w:rPr>
          <w:rFonts w:ascii="Arial" w:hAnsi="Arial" w:cs="Arial"/>
        </w:rPr>
      </w:pPr>
      <w:r w:rsidRPr="00616B9B">
        <w:rPr>
          <w:rFonts w:ascii="Arial" w:hAnsi="Arial" w:cs="Arial"/>
        </w:rPr>
        <w:t>if they respond to the question stated;</w:t>
      </w:r>
    </w:p>
    <w:p w:rsidR="00F574D0" w:rsidRPr="00616B9B" w:rsidRDefault="00F574D0" w:rsidP="002067BA">
      <w:pPr>
        <w:pStyle w:val="04bList"/>
        <w:numPr>
          <w:ilvl w:val="0"/>
          <w:numId w:val="33"/>
        </w:numPr>
        <w:spacing w:before="120" w:after="120"/>
        <w:rPr>
          <w:rFonts w:ascii="Arial" w:hAnsi="Arial" w:cs="Arial"/>
        </w:rPr>
      </w:pPr>
      <w:r w:rsidRPr="00616B9B">
        <w:rPr>
          <w:rFonts w:ascii="Arial" w:hAnsi="Arial" w:cs="Arial"/>
        </w:rPr>
        <w:t>contain a clear rationale, including on any related costs and benefits; and</w:t>
      </w:r>
    </w:p>
    <w:p w:rsidR="00A35728" w:rsidRPr="00616B9B" w:rsidRDefault="00F574D0" w:rsidP="000D17AA">
      <w:pPr>
        <w:pStyle w:val="04bList"/>
        <w:numPr>
          <w:ilvl w:val="0"/>
          <w:numId w:val="33"/>
        </w:numPr>
        <w:spacing w:before="120" w:after="120"/>
        <w:rPr>
          <w:rFonts w:ascii="Arial" w:hAnsi="Arial" w:cs="Arial"/>
        </w:rPr>
      </w:pPr>
      <w:r w:rsidRPr="00616B9B">
        <w:rPr>
          <w:rFonts w:ascii="Arial" w:hAnsi="Arial" w:cs="Arial"/>
        </w:rPr>
        <w:t>describe any alternatives that ESMA should consider</w:t>
      </w:r>
    </w:p>
    <w:p w:rsidR="000D17AA" w:rsidRPr="00616B9B" w:rsidRDefault="000D17AA" w:rsidP="000D17AA">
      <w:pPr>
        <w:pStyle w:val="04BodyText"/>
        <w:spacing w:before="120" w:after="120"/>
        <w:jc w:val="left"/>
        <w:rPr>
          <w:rFonts w:ascii="Arial" w:hAnsi="Arial" w:cs="Arial"/>
          <w:b/>
        </w:rPr>
      </w:pPr>
      <w:r w:rsidRPr="00616B9B">
        <w:rPr>
          <w:rFonts w:ascii="Arial" w:hAnsi="Arial" w:cs="Arial"/>
          <w:b/>
        </w:rPr>
        <w:t>Naming protocol:</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In order to facilitate the handling of stakeholders responses please save your document using the follo</w:t>
      </w:r>
      <w:r w:rsidRPr="00616B9B">
        <w:rPr>
          <w:rFonts w:ascii="Arial" w:hAnsi="Arial" w:cs="Arial"/>
        </w:rPr>
        <w:t>w</w:t>
      </w:r>
      <w:r w:rsidRPr="00616B9B">
        <w:rPr>
          <w:rFonts w:ascii="Arial" w:hAnsi="Arial" w:cs="Arial"/>
        </w:rPr>
        <w:t>ing format:</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ESMA_ TA_CSDR _NAMEOFCOMPANY_NAMEOFDOCUMENT.</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E.g. if the respondent were ESMA, the name of the reply form would be ESMA_ TA_CSDR _ESMA_REPLYFORM or ESMA_CE_AIFMD_ESMA_ANNEX1</w:t>
      </w:r>
    </w:p>
    <w:p w:rsidR="004E1A0F" w:rsidRPr="00616B9B" w:rsidRDefault="004E1A0F" w:rsidP="00F574D0">
      <w:pPr>
        <w:pStyle w:val="04bList"/>
        <w:numPr>
          <w:ilvl w:val="0"/>
          <w:numId w:val="0"/>
        </w:numPr>
        <w:spacing w:before="120" w:after="120"/>
        <w:rPr>
          <w:rFonts w:ascii="Arial" w:hAnsi="Arial" w:cs="Arial"/>
        </w:rPr>
      </w:pPr>
      <w:r w:rsidRPr="00616B9B">
        <w:rPr>
          <w:rFonts w:ascii="Arial" w:hAnsi="Arial" w:cs="Arial"/>
        </w:rPr>
        <w:t>To help you navigate this document more easily, bookmarks are available in “Navigation Pane” for Word 2010 and in “Document Map” for Word 2007.</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Responses must reach us by </w:t>
      </w:r>
      <w:r w:rsidR="00D43F14" w:rsidRPr="004E49B0">
        <w:rPr>
          <w:rFonts w:ascii="Arial" w:hAnsi="Arial" w:cs="Arial"/>
          <w:b/>
        </w:rPr>
        <w:t>1</w:t>
      </w:r>
      <w:r w:rsidR="004E49B0" w:rsidRPr="004E49B0">
        <w:rPr>
          <w:rFonts w:ascii="Arial" w:hAnsi="Arial" w:cs="Arial"/>
          <w:b/>
        </w:rPr>
        <w:t>9</w:t>
      </w:r>
      <w:r w:rsidR="00D43F14" w:rsidRPr="004E49B0">
        <w:rPr>
          <w:rFonts w:ascii="Arial" w:hAnsi="Arial" w:cs="Arial"/>
          <w:b/>
        </w:rPr>
        <w:t xml:space="preserve"> </w:t>
      </w:r>
      <w:r w:rsidR="004E49B0" w:rsidRPr="004E49B0">
        <w:rPr>
          <w:rFonts w:ascii="Arial" w:hAnsi="Arial" w:cs="Arial"/>
          <w:b/>
        </w:rPr>
        <w:t>February</w:t>
      </w:r>
      <w:r w:rsidR="00D43F14" w:rsidRPr="004E49B0">
        <w:rPr>
          <w:rFonts w:ascii="Arial" w:hAnsi="Arial" w:cs="Arial"/>
          <w:b/>
        </w:rPr>
        <w:t xml:space="preserve"> </w:t>
      </w:r>
      <w:r w:rsidRPr="004E49B0">
        <w:rPr>
          <w:rFonts w:ascii="Arial" w:hAnsi="Arial" w:cs="Arial"/>
          <w:b/>
        </w:rPr>
        <w:t>201</w:t>
      </w:r>
      <w:r w:rsidR="004E49B0" w:rsidRPr="004E49B0">
        <w:rPr>
          <w:rFonts w:ascii="Arial" w:hAnsi="Arial" w:cs="Arial"/>
          <w:b/>
        </w:rPr>
        <w:t>5</w:t>
      </w:r>
      <w:r w:rsidRPr="004E49B0">
        <w:rPr>
          <w:rFonts w:ascii="Arial" w:hAnsi="Arial" w:cs="Arial"/>
        </w:rPr>
        <w:t>.</w:t>
      </w:r>
      <w:r w:rsidRPr="00616B9B">
        <w:rPr>
          <w:rFonts w:ascii="Arial" w:hAnsi="Arial" w:cs="Arial"/>
        </w:rPr>
        <w:t xml:space="preserve"> </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All contributions should be submitted online at </w:t>
      </w:r>
      <w:hyperlink r:id="rId13" w:history="1">
        <w:r w:rsidRPr="00616B9B">
          <w:rPr>
            <w:rStyle w:val="Hyperlink"/>
            <w:rFonts w:ascii="Arial" w:hAnsi="Arial" w:cs="Arial"/>
          </w:rPr>
          <w:t>www.esma.europa.eu</w:t>
        </w:r>
      </w:hyperlink>
      <w:r w:rsidRPr="00616B9B">
        <w:rPr>
          <w:rFonts w:ascii="Arial" w:hAnsi="Arial" w:cs="Arial"/>
        </w:rPr>
        <w:t xml:space="preserve"> under the heading ‘Your i</w:t>
      </w:r>
      <w:r w:rsidRPr="00616B9B">
        <w:rPr>
          <w:rFonts w:ascii="Arial" w:hAnsi="Arial" w:cs="Arial"/>
        </w:rPr>
        <w:t>n</w:t>
      </w:r>
      <w:r w:rsidRPr="00616B9B">
        <w:rPr>
          <w:rFonts w:ascii="Arial" w:hAnsi="Arial" w:cs="Arial"/>
        </w:rPr>
        <w:t xml:space="preserve">put/Consultations’. </w:t>
      </w: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bookmarkStart w:id="1" w:name="_Toc335141334"/>
      <w:r w:rsidRPr="00616B9B">
        <w:rPr>
          <w:rFonts w:ascii="Arial" w:hAnsi="Arial" w:cs="Arial"/>
          <w:b/>
          <w:bCs/>
          <w:i/>
          <w:color w:val="000000"/>
          <w:szCs w:val="20"/>
          <w:lang w:eastAsia="en-GB"/>
        </w:rPr>
        <w:t>Publication of responses</w:t>
      </w:r>
      <w:bookmarkEnd w:id="1"/>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All contributions received will be published following the end of the consultation period, unless otherwise requested. </w:t>
      </w:r>
      <w:r w:rsidRPr="00616B9B">
        <w:rPr>
          <w:rFonts w:ascii="Arial" w:hAnsi="Arial"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616B9B">
        <w:rPr>
          <w:rFonts w:ascii="Arial" w:hAnsi="Arial" w:cs="Arial"/>
        </w:rPr>
        <w:t xml:space="preserve"> Note also that a confidential response may be requested from us in accordance with ESMA’s rules on access to doc</w:t>
      </w:r>
      <w:r w:rsidRPr="00616B9B">
        <w:rPr>
          <w:rFonts w:ascii="Arial" w:hAnsi="Arial" w:cs="Arial"/>
        </w:rPr>
        <w:t>u</w:t>
      </w:r>
      <w:r w:rsidRPr="00616B9B">
        <w:rPr>
          <w:rFonts w:ascii="Arial" w:hAnsi="Arial" w:cs="Arial"/>
        </w:rPr>
        <w:t>ments. We may consult you if we receive such a request. Any decision we make is reviewable by ESMA’s Board of Appeal and the European Ombudsman.</w:t>
      </w: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bookmarkStart w:id="2" w:name="_Toc335141335"/>
      <w:r w:rsidRPr="00616B9B">
        <w:rPr>
          <w:rFonts w:ascii="Arial" w:hAnsi="Arial" w:cs="Arial"/>
          <w:b/>
          <w:bCs/>
          <w:i/>
          <w:color w:val="000000"/>
          <w:szCs w:val="20"/>
          <w:lang w:eastAsia="en-GB"/>
        </w:rPr>
        <w:t>Data protection</w:t>
      </w:r>
      <w:bookmarkEnd w:id="2"/>
    </w:p>
    <w:p w:rsidR="00F574D0" w:rsidRPr="00616B9B" w:rsidRDefault="00F574D0" w:rsidP="00F574D0">
      <w:pPr>
        <w:autoSpaceDE w:val="0"/>
        <w:autoSpaceDN w:val="0"/>
        <w:adjustRightInd w:val="0"/>
        <w:spacing w:before="120" w:after="120" w:line="276" w:lineRule="auto"/>
        <w:jc w:val="both"/>
        <w:rPr>
          <w:rFonts w:ascii="Arial" w:hAnsi="Arial" w:cs="Arial"/>
          <w:szCs w:val="20"/>
        </w:rPr>
      </w:pPr>
      <w:r w:rsidRPr="00616B9B">
        <w:rPr>
          <w:rFonts w:ascii="Arial" w:hAnsi="Arial" w:cs="Arial"/>
          <w:szCs w:val="20"/>
        </w:rPr>
        <w:t xml:space="preserve">Information on data protection can be found at </w:t>
      </w:r>
      <w:hyperlink r:id="rId14" w:history="1">
        <w:r w:rsidRPr="00616B9B">
          <w:rPr>
            <w:rStyle w:val="Hyperlink"/>
            <w:rFonts w:ascii="Arial" w:hAnsi="Arial" w:cs="Arial"/>
            <w:szCs w:val="20"/>
          </w:rPr>
          <w:t>www.esma.europa.eu</w:t>
        </w:r>
      </w:hyperlink>
      <w:r w:rsidRPr="00616B9B">
        <w:rPr>
          <w:rFonts w:ascii="Arial" w:hAnsi="Arial" w:cs="Arial"/>
          <w:szCs w:val="20"/>
        </w:rPr>
        <w:t xml:space="preserve"> under the heading ‘Disclaimer’.</w:t>
      </w:r>
    </w:p>
    <w:bookmarkEnd w:id="0"/>
    <w:p w:rsidR="00C535E2" w:rsidRPr="0026621B" w:rsidRDefault="00C535E2" w:rsidP="00C535E2">
      <w:pPr>
        <w:pStyle w:val="Heading1"/>
        <w:numPr>
          <w:ilvl w:val="0"/>
          <w:numId w:val="0"/>
        </w:numPr>
        <w:rPr>
          <w:rFonts w:ascii="Arial" w:hAnsi="Arial"/>
          <w:sz w:val="22"/>
          <w:szCs w:val="22"/>
        </w:rPr>
      </w:pPr>
      <w:r w:rsidRPr="0026621B">
        <w:rPr>
          <w:rFonts w:ascii="Arial" w:hAnsi="Arial"/>
          <w:sz w:val="22"/>
          <w:szCs w:val="22"/>
        </w:rPr>
        <w:lastRenderedPageBreak/>
        <w:t>General information about respondent</w:t>
      </w:r>
    </w:p>
    <w:tbl>
      <w:tblPr>
        <w:tblStyle w:val="TableGrid"/>
        <w:tblW w:w="0" w:type="auto"/>
        <w:tblLook w:val="04A0" w:firstRow="1" w:lastRow="0" w:firstColumn="1" w:lastColumn="0" w:noHBand="0" w:noVBand="1"/>
      </w:tblPr>
      <w:tblGrid>
        <w:gridCol w:w="3510"/>
        <w:gridCol w:w="6118"/>
      </w:tblGrid>
      <w:tr w:rsidR="00F32462" w:rsidRPr="0026621B" w:rsidTr="00E66DAF">
        <w:tc>
          <w:tcPr>
            <w:tcW w:w="3510" w:type="dxa"/>
          </w:tcPr>
          <w:p w:rsidR="00F32462" w:rsidRPr="0026621B" w:rsidRDefault="00F32462" w:rsidP="00E66DAF">
            <w:pPr>
              <w:rPr>
                <w:rFonts w:ascii="Arial" w:hAnsi="Arial" w:cs="Arial"/>
                <w:sz w:val="22"/>
                <w:szCs w:val="22"/>
              </w:rPr>
            </w:pPr>
            <w:r w:rsidRPr="0026621B">
              <w:rPr>
                <w:rFonts w:ascii="Arial" w:hAnsi="Arial" w:cs="Arial"/>
                <w:sz w:val="22"/>
                <w:szCs w:val="22"/>
              </w:rPr>
              <w:t>Are you representing an associ</w:t>
            </w:r>
            <w:r w:rsidRPr="0026621B">
              <w:rPr>
                <w:rFonts w:ascii="Arial" w:hAnsi="Arial" w:cs="Arial"/>
                <w:sz w:val="22"/>
                <w:szCs w:val="22"/>
              </w:rPr>
              <w:t>a</w:t>
            </w:r>
            <w:r w:rsidRPr="0026621B">
              <w:rPr>
                <w:rFonts w:ascii="Arial" w:hAnsi="Arial" w:cs="Arial"/>
                <w:sz w:val="22"/>
                <w:szCs w:val="22"/>
              </w:rPr>
              <w:t>tion?</w:t>
            </w:r>
          </w:p>
        </w:tc>
        <w:tc>
          <w:tcPr>
            <w:tcW w:w="6118" w:type="dxa"/>
          </w:tcPr>
          <w:p w:rsidR="00F32462" w:rsidRPr="0026621B" w:rsidRDefault="00E00D1C" w:rsidP="00E66DAF">
            <w:pPr>
              <w:rPr>
                <w:rFonts w:ascii="Arial" w:hAnsi="Arial" w:cs="Arial"/>
                <w:sz w:val="22"/>
                <w:szCs w:val="22"/>
              </w:rPr>
            </w:pPr>
            <w:sdt>
              <w:sdtPr>
                <w:rPr>
                  <w:rFonts w:ascii="Arial" w:hAnsi="Arial" w:cs="Arial"/>
                  <w:sz w:val="22"/>
                  <w:szCs w:val="22"/>
                </w:rPr>
                <w:alias w:val="Association"/>
                <w:tag w:val="Association"/>
                <w:id w:val="-1769143793"/>
                <w:placeholder>
                  <w:docPart w:val="E7C112EB3D8041C587F3116780B1E3F3"/>
                </w:placeholder>
                <w:comboBox>
                  <w:listItem w:displayText="Yes" w:value="Yes"/>
                  <w:listItem w:displayText="No" w:value="No"/>
                </w:comboBox>
              </w:sdtPr>
              <w:sdtEndPr/>
              <w:sdtContent>
                <w:permStart w:id="1702168435" w:edGrp="everyone"/>
                <w:r w:rsidR="00566189">
                  <w:rPr>
                    <w:rFonts w:ascii="Arial" w:hAnsi="Arial" w:cs="Arial"/>
                    <w:sz w:val="22"/>
                    <w:szCs w:val="22"/>
                  </w:rPr>
                  <w:t>No</w:t>
                </w:r>
                <w:permEnd w:id="1702168435"/>
              </w:sdtContent>
            </w:sdt>
          </w:p>
        </w:tc>
      </w:tr>
      <w:tr w:rsidR="00F32462" w:rsidRPr="0026621B" w:rsidTr="00E66DAF">
        <w:tc>
          <w:tcPr>
            <w:tcW w:w="3510" w:type="dxa"/>
          </w:tcPr>
          <w:p w:rsidR="00F32462" w:rsidRPr="0026621B" w:rsidRDefault="00F32462" w:rsidP="00E66DAF">
            <w:pPr>
              <w:rPr>
                <w:rFonts w:ascii="Arial" w:hAnsi="Arial" w:cs="Arial"/>
                <w:sz w:val="22"/>
                <w:szCs w:val="22"/>
              </w:rPr>
            </w:pPr>
            <w:r w:rsidRPr="0026621B">
              <w:rPr>
                <w:rFonts w:ascii="Arial" w:hAnsi="Arial" w:cs="Arial"/>
                <w:sz w:val="22"/>
                <w:szCs w:val="22"/>
              </w:rPr>
              <w:t>Activity:</w:t>
            </w:r>
          </w:p>
        </w:tc>
        <w:tc>
          <w:tcPr>
            <w:tcW w:w="6118" w:type="dxa"/>
          </w:tcPr>
          <w:p w:rsidR="00F32462" w:rsidRPr="0026621B" w:rsidRDefault="00E00D1C" w:rsidP="00E66DAF">
            <w:pPr>
              <w:rPr>
                <w:rFonts w:ascii="Arial" w:hAnsi="Arial" w:cs="Arial"/>
                <w:sz w:val="22"/>
                <w:szCs w:val="22"/>
              </w:rPr>
            </w:pPr>
            <w:sdt>
              <w:sdtPr>
                <w:rPr>
                  <w:rFonts w:ascii="Arial" w:hAnsi="Arial" w:cs="Arial"/>
                  <w:sz w:val="22"/>
                  <w:szCs w:val="22"/>
                </w:rPr>
                <w:alias w:val="Activity"/>
                <w:tag w:val="Activity"/>
                <w:id w:val="1654095920"/>
                <w:placeholder>
                  <w:docPart w:val="2DC1312B70F74FA0860E38BB0E84A49C"/>
                </w:placeholder>
                <w:comboBox>
                  <w:listItem w:value="Choose an item."/>
                  <w:listItem w:displayText="Central Securities Depository" w:value="Central Securities Depository"/>
                  <w:listItem w:displayText="Central Counterparty" w:value="Central Counterparty"/>
                  <w:listItem w:displayText="Government, Regulatory and Enforcement" w:value="Government, Regulatory and Enforcement"/>
                  <w:listItem w:displayText="Investment Firm" w:value="Investment Firm"/>
                  <w:listItem w:displayText="Credit Institution" w:value="Credit Institution"/>
                  <w:listItem w:displayText="Fund/Investment Company" w:value="Fund/Investment Company"/>
                  <w:listItem w:displayText="Trading Venue" w:value="Trading Venue"/>
                  <w:listItem w:displayText="Service Provider" w:value="Service Provider"/>
                  <w:listItem w:displayText="Issuer" w:value="Issuer"/>
                  <w:listItem w:displayText="Professional Advisor" w:value="Professional Advisor"/>
                  <w:listItem w:displayText="Other" w:value="Other"/>
                </w:comboBox>
              </w:sdtPr>
              <w:sdtEndPr/>
              <w:sdtContent>
                <w:permStart w:id="2020755113" w:edGrp="everyone"/>
                <w:r w:rsidR="00DC49BF">
                  <w:rPr>
                    <w:rFonts w:ascii="Arial" w:hAnsi="Arial" w:cs="Arial"/>
                    <w:sz w:val="22"/>
                    <w:szCs w:val="22"/>
                  </w:rPr>
                  <w:t>Other</w:t>
                </w:r>
                <w:permEnd w:id="2020755113"/>
              </w:sdtContent>
            </w:sdt>
          </w:p>
        </w:tc>
      </w:tr>
      <w:tr w:rsidR="00F32462" w:rsidRPr="0026621B" w:rsidTr="00E66DAF">
        <w:tc>
          <w:tcPr>
            <w:tcW w:w="3510" w:type="dxa"/>
          </w:tcPr>
          <w:p w:rsidR="00F32462" w:rsidRPr="0026621B" w:rsidRDefault="00F32462" w:rsidP="00E66DAF">
            <w:pPr>
              <w:rPr>
                <w:rFonts w:ascii="Arial" w:hAnsi="Arial" w:cs="Arial"/>
                <w:sz w:val="22"/>
                <w:szCs w:val="22"/>
              </w:rPr>
            </w:pPr>
            <w:r w:rsidRPr="0026621B">
              <w:rPr>
                <w:rFonts w:ascii="Arial" w:hAnsi="Arial" w:cs="Arial"/>
                <w:sz w:val="22"/>
                <w:szCs w:val="22"/>
              </w:rPr>
              <w:t>Country/Region</w:t>
            </w:r>
          </w:p>
        </w:tc>
        <w:sdt>
          <w:sdtPr>
            <w:rPr>
              <w:rFonts w:ascii="Arial" w:hAnsi="Arial" w:cs="Arial"/>
              <w:sz w:val="22"/>
              <w:szCs w:val="22"/>
            </w:rPr>
            <w:alias w:val="Country"/>
            <w:tag w:val="Country"/>
            <w:id w:val="-1549134410"/>
            <w:placeholder>
              <w:docPart w:val="7834084FE63541599E2A38657E70D46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663043747" w:edGrp="everyone" w:displacedByCustomXml="prev"/>
            <w:tc>
              <w:tcPr>
                <w:tcW w:w="6118" w:type="dxa"/>
              </w:tcPr>
              <w:p w:rsidR="00F32462" w:rsidRPr="0026621B" w:rsidRDefault="00DC49BF" w:rsidP="00E66DAF">
                <w:pPr>
                  <w:rPr>
                    <w:rFonts w:ascii="Arial" w:hAnsi="Arial" w:cs="Arial"/>
                    <w:sz w:val="22"/>
                    <w:szCs w:val="22"/>
                  </w:rPr>
                </w:pPr>
                <w:r>
                  <w:rPr>
                    <w:rFonts w:ascii="Arial" w:hAnsi="Arial" w:cs="Arial"/>
                    <w:sz w:val="22"/>
                    <w:szCs w:val="22"/>
                  </w:rPr>
                  <w:t>Europe</w:t>
                </w:r>
              </w:p>
            </w:tc>
            <w:permEnd w:id="663043747" w:displacedByCustomXml="next"/>
          </w:sdtContent>
        </w:sdt>
      </w:tr>
    </w:tbl>
    <w:p w:rsidR="00F32462" w:rsidRDefault="00F32462">
      <w:pPr>
        <w:rPr>
          <w:rFonts w:ascii="Arial" w:hAnsi="Arial" w:cs="Arial"/>
          <w:b/>
          <w:sz w:val="22"/>
          <w:szCs w:val="22"/>
          <w:lang w:eastAsia="en-US"/>
        </w:rPr>
      </w:pPr>
      <w:r>
        <w:rPr>
          <w:rFonts w:ascii="Arial" w:hAnsi="Arial" w:cs="Arial"/>
          <w:szCs w:val="22"/>
        </w:rPr>
        <w:br w:type="page"/>
      </w:r>
    </w:p>
    <w:p w:rsidR="00A35728" w:rsidRPr="00616B9B" w:rsidRDefault="00A35728" w:rsidP="00A35728">
      <w:pPr>
        <w:pStyle w:val="Questions-ESMA"/>
        <w:rPr>
          <w:rFonts w:ascii="Arial" w:hAnsi="Arial" w:cs="Arial"/>
          <w:szCs w:val="22"/>
        </w:rPr>
      </w:pPr>
      <w:r w:rsidRPr="00616B9B">
        <w:rPr>
          <w:rFonts w:ascii="Arial" w:hAnsi="Arial" w:cs="Arial"/>
          <w:szCs w:val="22"/>
        </w:rPr>
        <w:lastRenderedPageBreak/>
        <w:t xml:space="preserve">Q1: </w:t>
      </w:r>
      <w:r w:rsidRPr="00616B9B">
        <w:rPr>
          <w:rFonts w:ascii="Arial" w:hAnsi="Arial" w:cs="Arial"/>
          <w:szCs w:val="22"/>
        </w:rPr>
        <w:tab/>
        <w:t xml:space="preserve">What are your views on the proposed basis for the cash penalty calculation? </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&lt;ESMA_QUESTION_TA_CSDR_1&gt;</w:t>
      </w:r>
    </w:p>
    <w:p w:rsidR="00B65CBB" w:rsidRDefault="00B65CBB" w:rsidP="00B65CBB">
      <w:pPr>
        <w:rPr>
          <w:rFonts w:ascii="Arial" w:hAnsi="Arial" w:cs="Arial"/>
          <w:b/>
          <w:u w:val="single"/>
        </w:rPr>
      </w:pPr>
      <w:permStart w:id="1437821694" w:edGrp="everyone"/>
      <w:r w:rsidRPr="00F87C7C">
        <w:rPr>
          <w:rFonts w:ascii="Arial" w:hAnsi="Arial" w:cs="Arial"/>
          <w:b/>
          <w:u w:val="single"/>
        </w:rPr>
        <w:t>T2S Advisory Group (AG) response to Q1</w:t>
      </w:r>
    </w:p>
    <w:p w:rsidR="00B65CBB" w:rsidRDefault="00B65CBB" w:rsidP="00B65CBB">
      <w:pPr>
        <w:rPr>
          <w:rFonts w:ascii="Arial" w:hAnsi="Arial" w:cs="Arial"/>
          <w:b/>
          <w:i/>
          <w:szCs w:val="20"/>
        </w:rPr>
      </w:pPr>
      <w:r w:rsidRPr="00F87C7C">
        <w:rPr>
          <w:rFonts w:ascii="Arial" w:hAnsi="Arial" w:cs="Arial"/>
          <w:b/>
          <w:i/>
          <w:szCs w:val="20"/>
        </w:rPr>
        <w:t>Section 2.1.1</w:t>
      </w:r>
    </w:p>
    <w:p w:rsidR="00B65CBB" w:rsidRPr="00006D53" w:rsidRDefault="00B65CBB" w:rsidP="00B65CBB">
      <w:pPr>
        <w:pStyle w:val="NoSpacing"/>
        <w:rPr>
          <w:rFonts w:ascii="Arial" w:hAnsi="Arial" w:cs="Arial"/>
          <w:sz w:val="20"/>
          <w:szCs w:val="20"/>
        </w:rPr>
      </w:pPr>
      <w:r w:rsidRPr="00006D53">
        <w:rPr>
          <w:rFonts w:ascii="Arial" w:hAnsi="Arial" w:cs="Arial"/>
          <w:sz w:val="20"/>
          <w:szCs w:val="20"/>
        </w:rPr>
        <w:t xml:space="preserve">The T2S Advisory Group (AG) welcomes ESMA’s approach regarding the harmonisation principle for the calculation of penalties (i.e. by the usage of a single </w:t>
      </w:r>
      <w:r w:rsidRPr="00006D53">
        <w:rPr>
          <w:rFonts w:ascii="Arial" w:hAnsi="Arial" w:cs="Arial"/>
          <w:i/>
          <w:sz w:val="20"/>
          <w:szCs w:val="20"/>
        </w:rPr>
        <w:t>reference price</w:t>
      </w:r>
      <w:r w:rsidRPr="00006D53">
        <w:rPr>
          <w:rFonts w:ascii="Arial" w:hAnsi="Arial" w:cs="Arial"/>
          <w:sz w:val="20"/>
          <w:szCs w:val="20"/>
        </w:rPr>
        <w:t>).</w:t>
      </w:r>
    </w:p>
    <w:p w:rsidR="00B65CBB" w:rsidRPr="00006D53" w:rsidRDefault="00B65CBB" w:rsidP="00B65CBB">
      <w:pPr>
        <w:pStyle w:val="NoSpacing"/>
        <w:rPr>
          <w:rFonts w:ascii="Arial" w:hAnsi="Arial" w:cs="Arial"/>
          <w:sz w:val="20"/>
          <w:szCs w:val="20"/>
        </w:rPr>
      </w:pPr>
      <w:r w:rsidRPr="00006D53">
        <w:rPr>
          <w:rFonts w:ascii="Arial" w:hAnsi="Arial" w:cs="Arial"/>
          <w:sz w:val="20"/>
          <w:szCs w:val="20"/>
        </w:rPr>
        <w:t>However, there are issues regarding the required harmonisation/standardisation of the source, data, dates etc. of a harmonised reference price in the EU. If the EU CSD do not use a single source ensuring the standardisation of the reference price data, harmonisation and level playing field would not be possible for CSDs and their participants. See also AG comment on Q6 of the Consultation of ESMA on the Technical Standards under the CSD Regulation regarding the date reference of such reference price</w:t>
      </w:r>
    </w:p>
    <w:permEnd w:id="1437821694"/>
    <w:p w:rsidR="00A35728" w:rsidRDefault="00A35728" w:rsidP="00A35728">
      <w:pPr>
        <w:rPr>
          <w:rFonts w:ascii="Arial" w:hAnsi="Arial" w:cs="Arial"/>
          <w:sz w:val="22"/>
          <w:szCs w:val="22"/>
        </w:rPr>
      </w:pPr>
      <w:r w:rsidRPr="00616B9B">
        <w:rPr>
          <w:rFonts w:ascii="Arial" w:hAnsi="Arial" w:cs="Arial"/>
          <w:sz w:val="22"/>
          <w:szCs w:val="22"/>
        </w:rPr>
        <w:t>&lt;ESMA_QUESTION_TA_CSDR_1&gt;</w:t>
      </w:r>
    </w:p>
    <w:p w:rsidR="00682E4A" w:rsidRPr="00616B9B" w:rsidRDefault="00682E4A"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Q2:</w:t>
      </w:r>
      <w:r w:rsidRPr="00616B9B">
        <w:rPr>
          <w:rFonts w:ascii="Arial" w:hAnsi="Arial" w:cs="Arial"/>
          <w:szCs w:val="22"/>
        </w:rPr>
        <w:tab/>
        <w:t>What are your views on the proposed approach regarding the categories of fina</w:t>
      </w:r>
      <w:r w:rsidRPr="00616B9B">
        <w:rPr>
          <w:rFonts w:ascii="Arial" w:hAnsi="Arial" w:cs="Arial"/>
          <w:szCs w:val="22"/>
        </w:rPr>
        <w:t>n</w:t>
      </w:r>
      <w:r w:rsidRPr="00616B9B">
        <w:rPr>
          <w:rFonts w:ascii="Arial" w:hAnsi="Arial" w:cs="Arial"/>
          <w:szCs w:val="22"/>
        </w:rPr>
        <w:t>cial instruments and the penalty rates?</w:t>
      </w:r>
      <w:r w:rsidR="006F08DC" w:rsidRPr="00616B9B">
        <w:rPr>
          <w:rFonts w:ascii="Arial" w:hAnsi="Arial" w:cs="Arial"/>
          <w:szCs w:val="22"/>
        </w:rPr>
        <w:t xml:space="preserve"> In particular, do you consider that these penalty rates could dis-incentivise trading in small caps? Please provide evidence to support your views.</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&lt;ESMA_QUESTION_TA_CSDR_2&gt;</w:t>
      </w:r>
    </w:p>
    <w:p w:rsidR="00B65CBB" w:rsidRDefault="00B65CBB" w:rsidP="00B65CBB">
      <w:pPr>
        <w:rPr>
          <w:rFonts w:ascii="Arial" w:hAnsi="Arial" w:cs="Arial"/>
          <w:b/>
          <w:u w:val="single"/>
        </w:rPr>
      </w:pPr>
      <w:permStart w:id="442043486" w:edGrp="everyone"/>
      <w:r>
        <w:rPr>
          <w:rFonts w:ascii="Arial" w:hAnsi="Arial" w:cs="Arial"/>
          <w:b/>
          <w:u w:val="single"/>
        </w:rPr>
        <w:t>AG</w:t>
      </w:r>
      <w:r w:rsidRPr="000011CF">
        <w:rPr>
          <w:rFonts w:ascii="Arial" w:hAnsi="Arial" w:cs="Arial"/>
          <w:b/>
          <w:u w:val="single"/>
        </w:rPr>
        <w:t xml:space="preserve"> response to Q2</w:t>
      </w:r>
    </w:p>
    <w:p w:rsidR="00B65CBB" w:rsidRDefault="00B65CBB" w:rsidP="00B65CBB">
      <w:pPr>
        <w:rPr>
          <w:rFonts w:ascii="Arial" w:hAnsi="Arial" w:cs="Arial"/>
          <w:b/>
          <w:i/>
          <w:szCs w:val="20"/>
        </w:rPr>
      </w:pPr>
      <w:r w:rsidRPr="00880BFD">
        <w:rPr>
          <w:rFonts w:ascii="Arial" w:hAnsi="Arial" w:cs="Arial"/>
          <w:b/>
          <w:i/>
          <w:szCs w:val="20"/>
        </w:rPr>
        <w:t>Section 2.1.2</w:t>
      </w:r>
      <w:r>
        <w:rPr>
          <w:rFonts w:ascii="Arial" w:hAnsi="Arial" w:cs="Arial"/>
          <w:b/>
          <w:i/>
          <w:szCs w:val="20"/>
        </w:rPr>
        <w:t>,</w:t>
      </w:r>
      <w:r w:rsidRPr="00880BFD">
        <w:rPr>
          <w:rFonts w:ascii="Arial" w:hAnsi="Arial" w:cs="Arial"/>
          <w:b/>
          <w:i/>
          <w:szCs w:val="20"/>
        </w:rPr>
        <w:t xml:space="preserve"> </w:t>
      </w:r>
    </w:p>
    <w:p w:rsidR="00B65CBB" w:rsidRDefault="00B65CBB" w:rsidP="00B65CBB">
      <w:pPr>
        <w:rPr>
          <w:rFonts w:ascii="Arial" w:hAnsi="Arial" w:cs="Arial"/>
          <w:b/>
          <w:i/>
          <w:szCs w:val="20"/>
        </w:rPr>
      </w:pPr>
      <w:r>
        <w:rPr>
          <w:rFonts w:ascii="Arial" w:hAnsi="Arial" w:cs="Arial"/>
          <w:b/>
          <w:i/>
          <w:szCs w:val="20"/>
        </w:rPr>
        <w:t>P</w:t>
      </w:r>
      <w:r w:rsidRPr="00880BFD">
        <w:rPr>
          <w:rFonts w:ascii="Arial" w:hAnsi="Arial" w:cs="Arial"/>
          <w:b/>
          <w:i/>
          <w:szCs w:val="20"/>
        </w:rPr>
        <w:t>ar</w:t>
      </w:r>
      <w:r>
        <w:rPr>
          <w:rFonts w:ascii="Arial" w:hAnsi="Arial" w:cs="Arial"/>
          <w:b/>
          <w:i/>
          <w:szCs w:val="20"/>
        </w:rPr>
        <w:t>agraph</w:t>
      </w:r>
      <w:r w:rsidRPr="00880BFD">
        <w:rPr>
          <w:rFonts w:ascii="Arial" w:hAnsi="Arial" w:cs="Arial"/>
          <w:b/>
          <w:i/>
          <w:szCs w:val="20"/>
        </w:rPr>
        <w:t xml:space="preserve"> 47</w:t>
      </w:r>
      <w:r>
        <w:rPr>
          <w:rFonts w:ascii="Arial" w:hAnsi="Arial" w:cs="Arial"/>
          <w:b/>
          <w:i/>
          <w:szCs w:val="20"/>
        </w:rPr>
        <w:t>:</w:t>
      </w:r>
    </w:p>
    <w:p w:rsidR="00B65CBB" w:rsidRDefault="00B65CBB" w:rsidP="00B65CBB">
      <w:pPr>
        <w:rPr>
          <w:rFonts w:ascii="Arial" w:hAnsi="Arial" w:cs="Arial"/>
          <w:szCs w:val="20"/>
        </w:rPr>
      </w:pPr>
      <w:r w:rsidRPr="00DF4BEE">
        <w:rPr>
          <w:rFonts w:ascii="Arial" w:hAnsi="Arial" w:cs="Arial"/>
          <w:szCs w:val="20"/>
        </w:rPr>
        <w:t xml:space="preserve">The AG </w:t>
      </w:r>
      <w:r>
        <w:rPr>
          <w:rFonts w:ascii="Arial" w:hAnsi="Arial" w:cs="Arial"/>
          <w:szCs w:val="20"/>
        </w:rPr>
        <w:t xml:space="preserve">would like to note that the ESMA proposed asset classification (e.g. separate category “corporate bonds”) is not in line with the </w:t>
      </w:r>
      <w:r w:rsidRPr="00BF2CE9">
        <w:rPr>
          <w:rFonts w:ascii="Arial" w:hAnsi="Arial" w:cs="Arial"/>
          <w:szCs w:val="20"/>
        </w:rPr>
        <w:t>ISO</w:t>
      </w:r>
      <w:r w:rsidRPr="00880BFD">
        <w:rPr>
          <w:rFonts w:ascii="Arial" w:hAnsi="Arial" w:cs="Arial"/>
          <w:szCs w:val="20"/>
        </w:rPr>
        <w:t xml:space="preserve"> classification</w:t>
      </w:r>
      <w:r>
        <w:rPr>
          <w:rFonts w:ascii="Arial" w:hAnsi="Arial" w:cs="Arial"/>
          <w:szCs w:val="20"/>
        </w:rPr>
        <w:t xml:space="preserve"> (i.e. </w:t>
      </w:r>
      <w:r w:rsidRPr="00880BFD">
        <w:rPr>
          <w:rFonts w:ascii="Arial" w:hAnsi="Arial" w:cs="Arial"/>
          <w:szCs w:val="20"/>
        </w:rPr>
        <w:t xml:space="preserve">ISO 10962 </w:t>
      </w:r>
      <w:r>
        <w:rPr>
          <w:rFonts w:ascii="Arial" w:hAnsi="Arial" w:cs="Arial"/>
          <w:szCs w:val="20"/>
        </w:rPr>
        <w:t xml:space="preserve">regarding the </w:t>
      </w:r>
      <w:r w:rsidRPr="00880BFD">
        <w:rPr>
          <w:rFonts w:ascii="Arial" w:hAnsi="Arial" w:cs="Arial"/>
          <w:szCs w:val="20"/>
        </w:rPr>
        <w:t xml:space="preserve">Classification of Financial Instruments </w:t>
      </w:r>
      <w:r>
        <w:rPr>
          <w:rFonts w:ascii="Arial" w:hAnsi="Arial" w:cs="Arial"/>
          <w:szCs w:val="20"/>
        </w:rPr>
        <w:t>-</w:t>
      </w:r>
      <w:r w:rsidRPr="00880BFD">
        <w:rPr>
          <w:rFonts w:ascii="Arial" w:hAnsi="Arial" w:cs="Arial"/>
          <w:szCs w:val="20"/>
        </w:rPr>
        <w:t>CFI code</w:t>
      </w:r>
      <w:r>
        <w:rPr>
          <w:rFonts w:ascii="Arial" w:hAnsi="Arial" w:cs="Arial"/>
          <w:szCs w:val="20"/>
        </w:rPr>
        <w:t>-</w:t>
      </w:r>
      <w:r w:rsidRPr="00880BFD">
        <w:rPr>
          <w:rFonts w:ascii="Arial" w:hAnsi="Arial" w:cs="Arial"/>
          <w:szCs w:val="20"/>
        </w:rPr>
        <w:t>)</w:t>
      </w:r>
      <w:r>
        <w:rPr>
          <w:rFonts w:ascii="Arial" w:hAnsi="Arial" w:cs="Arial"/>
          <w:szCs w:val="20"/>
        </w:rPr>
        <w:t>.</w:t>
      </w:r>
    </w:p>
    <w:p w:rsidR="00B65CBB" w:rsidRDefault="00B65CBB" w:rsidP="00B65CBB">
      <w:pPr>
        <w:rPr>
          <w:rFonts w:ascii="Arial" w:hAnsi="Arial" w:cs="Arial"/>
          <w:szCs w:val="20"/>
        </w:rPr>
      </w:pPr>
      <w:r>
        <w:rPr>
          <w:rFonts w:ascii="Arial" w:hAnsi="Arial" w:cs="Arial"/>
          <w:szCs w:val="20"/>
        </w:rPr>
        <w:t>See also AG response to Question 5 of the</w:t>
      </w:r>
      <w:r w:rsidRPr="0062228C">
        <w:t xml:space="preserve"> </w:t>
      </w:r>
      <w:r>
        <w:t xml:space="preserve">Consultation of ESMA on the </w:t>
      </w:r>
      <w:r w:rsidRPr="0062228C">
        <w:rPr>
          <w:rFonts w:ascii="Arial" w:hAnsi="Arial" w:cs="Arial"/>
          <w:szCs w:val="20"/>
        </w:rPr>
        <w:t>Technical Standards under the CSD Regulation</w:t>
      </w:r>
      <w:r>
        <w:rPr>
          <w:rFonts w:ascii="Arial" w:hAnsi="Arial" w:cs="Arial"/>
          <w:szCs w:val="20"/>
        </w:rPr>
        <w:t xml:space="preserve">. </w:t>
      </w:r>
    </w:p>
    <w:p w:rsidR="00B65CBB" w:rsidRDefault="00B65CBB" w:rsidP="00B65CBB">
      <w:pPr>
        <w:rPr>
          <w:rFonts w:ascii="Arial" w:hAnsi="Arial" w:cs="Arial"/>
          <w:b/>
          <w:i/>
          <w:szCs w:val="20"/>
        </w:rPr>
      </w:pPr>
      <w:r>
        <w:rPr>
          <w:rFonts w:ascii="Arial" w:hAnsi="Arial" w:cs="Arial"/>
          <w:b/>
          <w:i/>
          <w:szCs w:val="20"/>
        </w:rPr>
        <w:t>Paragraph 52:</w:t>
      </w:r>
    </w:p>
    <w:p w:rsidR="00B65CBB" w:rsidRDefault="00B65CBB" w:rsidP="00B65CBB">
      <w:pPr>
        <w:rPr>
          <w:rFonts w:ascii="Arial" w:hAnsi="Arial" w:cs="Arial"/>
          <w:szCs w:val="20"/>
        </w:rPr>
      </w:pPr>
      <w:r>
        <w:rPr>
          <w:rFonts w:ascii="Arial" w:hAnsi="Arial" w:cs="Arial"/>
          <w:szCs w:val="20"/>
        </w:rPr>
        <w:t>The AG would like to underline that there are discrepancies between the RTS requirements on buy-ins and on those on penalties</w:t>
      </w:r>
      <w:r w:rsidRPr="00880BFD">
        <w:rPr>
          <w:rFonts w:ascii="Arial" w:hAnsi="Arial" w:cs="Arial"/>
          <w:szCs w:val="20"/>
        </w:rPr>
        <w:t xml:space="preserve"> </w:t>
      </w:r>
      <w:r>
        <w:rPr>
          <w:rFonts w:ascii="Arial" w:hAnsi="Arial" w:cs="Arial"/>
          <w:szCs w:val="20"/>
        </w:rPr>
        <w:t xml:space="preserve">(as well as discrepancies between the different categories in this Technical Advice and the rest of the RTS). </w:t>
      </w:r>
    </w:p>
    <w:p w:rsidR="00B65CBB" w:rsidRDefault="00B65CBB" w:rsidP="00B65CBB">
      <w:pPr>
        <w:rPr>
          <w:rFonts w:ascii="Arial" w:hAnsi="Arial" w:cs="Arial"/>
          <w:szCs w:val="20"/>
        </w:rPr>
      </w:pPr>
      <w:r>
        <w:rPr>
          <w:rFonts w:ascii="Arial" w:hAnsi="Arial" w:cs="Arial"/>
          <w:szCs w:val="20"/>
        </w:rPr>
        <w:t xml:space="preserve">For example, </w:t>
      </w:r>
      <w:r w:rsidRPr="00DF4BEE">
        <w:rPr>
          <w:rFonts w:ascii="Arial" w:hAnsi="Arial" w:cs="Arial"/>
          <w:szCs w:val="20"/>
        </w:rPr>
        <w:t xml:space="preserve">in </w:t>
      </w:r>
      <w:r w:rsidRPr="001802DC">
        <w:rPr>
          <w:rFonts w:ascii="Arial" w:hAnsi="Arial" w:cs="Arial"/>
          <w:szCs w:val="20"/>
        </w:rPr>
        <w:t>RTS</w:t>
      </w:r>
      <w:r>
        <w:rPr>
          <w:rFonts w:ascii="Arial" w:hAnsi="Arial" w:cs="Arial"/>
          <w:szCs w:val="20"/>
        </w:rPr>
        <w:t xml:space="preserve"> art. 4(2) d) </w:t>
      </w:r>
      <w:r w:rsidRPr="00FB2977">
        <w:rPr>
          <w:rFonts w:ascii="Arial" w:hAnsi="Arial" w:cs="Arial"/>
          <w:i/>
          <w:szCs w:val="20"/>
        </w:rPr>
        <w:t>(of the system of monitoring fails)</w:t>
      </w:r>
      <w:r>
        <w:rPr>
          <w:rFonts w:ascii="Arial" w:hAnsi="Arial" w:cs="Arial"/>
          <w:szCs w:val="20"/>
        </w:rPr>
        <w:t xml:space="preserve"> the categories of financial instruments, to be differentiated (i.e. equities; fixed-income; exchange-traded funds (ETFs); </w:t>
      </w:r>
      <w:r w:rsidRPr="006B031D">
        <w:rPr>
          <w:rFonts w:ascii="Arial" w:hAnsi="Arial" w:cs="Arial"/>
          <w:szCs w:val="20"/>
        </w:rPr>
        <w:t>units in collective inves</w:t>
      </w:r>
      <w:r w:rsidRPr="006B031D">
        <w:rPr>
          <w:rFonts w:ascii="Arial" w:hAnsi="Arial" w:cs="Arial"/>
          <w:szCs w:val="20"/>
        </w:rPr>
        <w:t>t</w:t>
      </w:r>
      <w:r w:rsidRPr="006B031D">
        <w:rPr>
          <w:rFonts w:ascii="Arial" w:hAnsi="Arial" w:cs="Arial"/>
          <w:szCs w:val="20"/>
        </w:rPr>
        <w:t xml:space="preserve">ment undertakings, other than ETFs; </w:t>
      </w:r>
      <w:r>
        <w:rPr>
          <w:rFonts w:ascii="Arial" w:hAnsi="Arial" w:cs="Arial"/>
          <w:szCs w:val="20"/>
        </w:rPr>
        <w:t xml:space="preserve">money-market instruments; </w:t>
      </w:r>
      <w:r w:rsidRPr="006B031D">
        <w:rPr>
          <w:rFonts w:ascii="Arial" w:hAnsi="Arial" w:cs="Arial"/>
          <w:szCs w:val="20"/>
        </w:rPr>
        <w:t>emission allowances</w:t>
      </w:r>
      <w:r>
        <w:rPr>
          <w:rFonts w:ascii="Arial" w:hAnsi="Arial" w:cs="Arial"/>
          <w:szCs w:val="20"/>
        </w:rPr>
        <w:t>) are different from the ones included in the table for penalties under para 52 of this consultation.</w:t>
      </w:r>
      <w:r w:rsidRPr="006B031D">
        <w:rPr>
          <w:rFonts w:ascii="Arial" w:hAnsi="Arial" w:cs="Arial"/>
          <w:szCs w:val="20"/>
        </w:rPr>
        <w:t xml:space="preserve"> </w:t>
      </w:r>
      <w:r w:rsidRPr="0009044F">
        <w:rPr>
          <w:rFonts w:ascii="Arial" w:hAnsi="Arial" w:cs="Arial"/>
          <w:szCs w:val="20"/>
        </w:rPr>
        <w:t xml:space="preserve">See also </w:t>
      </w:r>
      <w:r w:rsidRPr="00347384">
        <w:rPr>
          <w:rFonts w:ascii="Arial" w:hAnsi="Arial" w:cs="Arial"/>
          <w:szCs w:val="20"/>
        </w:rPr>
        <w:t>the AG response to Q5 of the Consultation of ESMA on the Technical Standards under the CSD Regulation regarding the RTS on Settlement discipline Art. 4(2)(d).</w:t>
      </w:r>
    </w:p>
    <w:p w:rsidR="00B65CBB" w:rsidRDefault="00B65CBB" w:rsidP="00B65CBB">
      <w:pPr>
        <w:rPr>
          <w:rFonts w:ascii="Arial" w:hAnsi="Arial" w:cs="Arial"/>
          <w:szCs w:val="20"/>
        </w:rPr>
      </w:pPr>
      <w:r>
        <w:rPr>
          <w:rFonts w:ascii="Arial" w:hAnsi="Arial" w:cs="Arial"/>
          <w:szCs w:val="20"/>
        </w:rPr>
        <w:t xml:space="preserve">Finally, the T2S AG would invite ESMA  to provide further </w:t>
      </w:r>
      <w:r w:rsidRPr="00870FB7">
        <w:rPr>
          <w:rFonts w:ascii="Arial" w:hAnsi="Arial" w:cs="Arial"/>
          <w:szCs w:val="20"/>
        </w:rPr>
        <w:t>clarity on i) which penalty and ii) from which party the penalties should be charged in the following cases:</w:t>
      </w:r>
    </w:p>
    <w:p w:rsidR="00B65CBB" w:rsidRDefault="00B65CBB" w:rsidP="00B65CBB">
      <w:pPr>
        <w:rPr>
          <w:rFonts w:ascii="Arial" w:hAnsi="Arial" w:cs="Arial"/>
          <w:szCs w:val="20"/>
        </w:rPr>
      </w:pPr>
      <w:r w:rsidRPr="00870FB7">
        <w:rPr>
          <w:rFonts w:ascii="Arial" w:hAnsi="Arial" w:cs="Arial"/>
          <w:szCs w:val="20"/>
        </w:rPr>
        <w:t>a) in the case the reasons of a fail are both “lack of securities” and “lack of cash”;</w:t>
      </w:r>
    </w:p>
    <w:p w:rsidR="00B65CBB" w:rsidRDefault="00B65CBB" w:rsidP="00B65CBB">
      <w:pPr>
        <w:rPr>
          <w:rFonts w:ascii="Arial" w:hAnsi="Arial" w:cs="Arial"/>
          <w:szCs w:val="20"/>
        </w:rPr>
      </w:pPr>
      <w:r w:rsidRPr="00870FB7">
        <w:rPr>
          <w:rFonts w:ascii="Arial" w:hAnsi="Arial" w:cs="Arial"/>
          <w:szCs w:val="20"/>
        </w:rPr>
        <w:t>b) in the case in which one or both counterparties have put the instruction “on hold”</w:t>
      </w:r>
      <w:r>
        <w:rPr>
          <w:rFonts w:ascii="Arial" w:hAnsi="Arial" w:cs="Arial"/>
          <w:szCs w:val="20"/>
        </w:rPr>
        <w:t xml:space="preserve"> (who pays the penalty to whom?)</w:t>
      </w:r>
    </w:p>
    <w:p w:rsidR="00B65CBB" w:rsidRDefault="00B65CBB" w:rsidP="00B65CBB">
      <w:pPr>
        <w:rPr>
          <w:rFonts w:ascii="Arial" w:hAnsi="Arial" w:cs="Arial"/>
          <w:i/>
          <w:szCs w:val="20"/>
        </w:rPr>
      </w:pPr>
      <w:r>
        <w:rPr>
          <w:rFonts w:ascii="Arial" w:hAnsi="Arial" w:cs="Arial"/>
          <w:szCs w:val="20"/>
        </w:rPr>
        <w:t xml:space="preserve">The AG is inviting clarification on the penalties to be paid by the parties when the reason for the fail is that the settlement instruction is “on party/counterparty hold” based on our interpretation of the draft </w:t>
      </w:r>
      <w:r w:rsidRPr="006A5FA5">
        <w:rPr>
          <w:rFonts w:ascii="Arial" w:hAnsi="Arial" w:cs="Arial"/>
          <w:szCs w:val="20"/>
        </w:rPr>
        <w:t xml:space="preserve">RTS on Settlement discipline Art. </w:t>
      </w:r>
      <w:r>
        <w:rPr>
          <w:rFonts w:ascii="Arial" w:hAnsi="Arial" w:cs="Arial"/>
          <w:szCs w:val="20"/>
        </w:rPr>
        <w:t>7</w:t>
      </w:r>
      <w:r w:rsidRPr="006A5FA5">
        <w:rPr>
          <w:rFonts w:ascii="Arial" w:hAnsi="Arial" w:cs="Arial"/>
          <w:szCs w:val="20"/>
        </w:rPr>
        <w:t>(</w:t>
      </w:r>
      <w:r>
        <w:rPr>
          <w:rFonts w:ascii="Arial" w:hAnsi="Arial" w:cs="Arial"/>
          <w:szCs w:val="20"/>
        </w:rPr>
        <w:t>1</w:t>
      </w:r>
      <w:r w:rsidRPr="006A5FA5">
        <w:rPr>
          <w:rFonts w:ascii="Arial" w:hAnsi="Arial" w:cs="Arial"/>
          <w:szCs w:val="20"/>
        </w:rPr>
        <w:t xml:space="preserve">) </w:t>
      </w:r>
      <w:r w:rsidRPr="006A5FA5">
        <w:rPr>
          <w:rFonts w:ascii="Arial" w:hAnsi="Arial" w:cs="Arial"/>
          <w:i/>
          <w:szCs w:val="20"/>
        </w:rPr>
        <w:t>“The CSD shall calculate penalties for each settlement instruction that fails to settle, on the intended settlement date including for settlement instructions that are on hold.”</w:t>
      </w:r>
      <w:r>
        <w:rPr>
          <w:rFonts w:ascii="Arial" w:hAnsi="Arial" w:cs="Arial"/>
          <w:i/>
          <w:szCs w:val="20"/>
        </w:rPr>
        <w:t xml:space="preserve"> </w:t>
      </w:r>
    </w:p>
    <w:p w:rsidR="00B65CBB" w:rsidRDefault="00B65CBB" w:rsidP="00B65CBB">
      <w:pPr>
        <w:rPr>
          <w:rFonts w:ascii="Arial" w:hAnsi="Arial" w:cs="Arial"/>
          <w:szCs w:val="20"/>
        </w:rPr>
      </w:pPr>
      <w:r>
        <w:rPr>
          <w:rFonts w:ascii="Arial" w:hAnsi="Arial" w:cs="Arial"/>
          <w:szCs w:val="20"/>
        </w:rPr>
        <w:t>The AG does not challenge that instructions set “on hold” by the counterparties should be subject to penalties. However, the AG would invite ESMA to consider whether instructions set on hold by market infrastructures (i.e. CSDs and CCPs) should be exempted from the penalty regime. The AG is of the opinion that there are important reasons why an infrastructure may set instructions on hold and these reasons are not for circumventing the penalty regime:</w:t>
      </w:r>
    </w:p>
    <w:p w:rsidR="00B65CBB" w:rsidRDefault="00B65CBB" w:rsidP="00B65CBB">
      <w:pPr>
        <w:rPr>
          <w:rFonts w:ascii="Arial" w:hAnsi="Arial" w:cs="Arial"/>
          <w:szCs w:val="20"/>
        </w:rPr>
      </w:pPr>
      <w:r>
        <w:rPr>
          <w:rFonts w:ascii="Arial" w:hAnsi="Arial" w:cs="Arial"/>
          <w:szCs w:val="20"/>
        </w:rPr>
        <w:t>a) pending validation process;</w:t>
      </w:r>
    </w:p>
    <w:p w:rsidR="00B65CBB" w:rsidRDefault="00B65CBB" w:rsidP="00B65CBB">
      <w:pPr>
        <w:rPr>
          <w:rFonts w:ascii="Arial" w:hAnsi="Arial" w:cs="Arial"/>
          <w:szCs w:val="20"/>
        </w:rPr>
      </w:pPr>
      <w:r>
        <w:rPr>
          <w:rFonts w:ascii="Arial" w:hAnsi="Arial" w:cs="Arial"/>
          <w:szCs w:val="20"/>
        </w:rPr>
        <w:t>b) temporary blocking of settlement which is pending on payment of the cash related to the transaction (possibly cash payment outside the settlement system);</w:t>
      </w:r>
    </w:p>
    <w:p w:rsidR="00B65CBB" w:rsidRDefault="00B65CBB" w:rsidP="00B65CBB">
      <w:pPr>
        <w:rPr>
          <w:rFonts w:ascii="Arial" w:hAnsi="Arial" w:cs="Arial"/>
          <w:szCs w:val="20"/>
        </w:rPr>
      </w:pPr>
      <w:r>
        <w:rPr>
          <w:rFonts w:ascii="Arial" w:hAnsi="Arial" w:cs="Arial"/>
          <w:szCs w:val="20"/>
        </w:rPr>
        <w:t>c) instructions on hold due to buyer protection (see AG response to Q3 below);</w:t>
      </w:r>
    </w:p>
    <w:p w:rsidR="00267E62" w:rsidRDefault="00267E62" w:rsidP="00B65CBB">
      <w:pPr>
        <w:rPr>
          <w:rFonts w:ascii="Arial" w:hAnsi="Arial" w:cs="Arial"/>
          <w:szCs w:val="20"/>
        </w:rPr>
      </w:pPr>
      <w:r w:rsidRPr="0030551E">
        <w:rPr>
          <w:rFonts w:ascii="Arial" w:hAnsi="Arial" w:cs="Arial"/>
          <w:szCs w:val="20"/>
        </w:rPr>
        <w:lastRenderedPageBreak/>
        <w:t>d) a CSD is asked to implement some restrictive court order, etc.</w:t>
      </w:r>
    </w:p>
    <w:permEnd w:id="442043486"/>
    <w:p w:rsidR="00A35728" w:rsidRDefault="00A35728" w:rsidP="00A35728">
      <w:pPr>
        <w:rPr>
          <w:rFonts w:ascii="Arial" w:hAnsi="Arial" w:cs="Arial"/>
          <w:sz w:val="22"/>
          <w:szCs w:val="22"/>
        </w:rPr>
      </w:pPr>
      <w:r w:rsidRPr="00F32462">
        <w:rPr>
          <w:rFonts w:ascii="Arial" w:hAnsi="Arial" w:cs="Arial"/>
          <w:sz w:val="22"/>
          <w:szCs w:val="22"/>
        </w:rPr>
        <w:t>&lt;ESMA_QUESTION_TA_CSDR_2&gt;</w:t>
      </w:r>
    </w:p>
    <w:p w:rsidR="00682E4A" w:rsidRPr="00F32462" w:rsidRDefault="00682E4A"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Q3:</w:t>
      </w:r>
      <w:r w:rsidRPr="00616B9B">
        <w:rPr>
          <w:rFonts w:ascii="Arial" w:hAnsi="Arial" w:cs="Arial"/>
          <w:szCs w:val="22"/>
        </w:rPr>
        <w:tab/>
        <w:t>What are your views on the proposed approach regarding the increase and redu</w:t>
      </w:r>
      <w:r w:rsidRPr="00616B9B">
        <w:rPr>
          <w:rFonts w:ascii="Arial" w:hAnsi="Arial" w:cs="Arial"/>
          <w:szCs w:val="22"/>
        </w:rPr>
        <w:t>c</w:t>
      </w:r>
      <w:r w:rsidRPr="00616B9B">
        <w:rPr>
          <w:rFonts w:ascii="Arial" w:hAnsi="Arial" w:cs="Arial"/>
          <w:szCs w:val="22"/>
        </w:rPr>
        <w:t>tion of the basic penalty amount?</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&lt;ESMA_QUESTION_TA_CSDR_3&gt;</w:t>
      </w:r>
    </w:p>
    <w:p w:rsidR="00267E62" w:rsidRPr="0033364C" w:rsidRDefault="00267E62" w:rsidP="00697497">
      <w:pPr>
        <w:pStyle w:val="NoSpacing"/>
        <w:rPr>
          <w:rFonts w:ascii="Arial" w:hAnsi="Arial" w:cs="Arial"/>
          <w:b/>
          <w:sz w:val="20"/>
          <w:szCs w:val="20"/>
          <w:u w:val="single"/>
        </w:rPr>
      </w:pPr>
      <w:permStart w:id="1375829118" w:edGrp="everyone"/>
      <w:r w:rsidRPr="0033364C">
        <w:rPr>
          <w:rFonts w:ascii="Arial" w:hAnsi="Arial" w:cs="Arial"/>
          <w:b/>
          <w:sz w:val="20"/>
          <w:szCs w:val="20"/>
          <w:u w:val="single"/>
        </w:rPr>
        <w:t>AG response to Q3</w:t>
      </w:r>
    </w:p>
    <w:p w:rsidR="00267E62" w:rsidRDefault="00267E62" w:rsidP="00697497">
      <w:pPr>
        <w:pStyle w:val="NoSpacing"/>
        <w:rPr>
          <w:rFonts w:ascii="Arial" w:hAnsi="Arial" w:cs="Arial"/>
          <w:b/>
          <w:i/>
          <w:sz w:val="20"/>
          <w:szCs w:val="20"/>
        </w:rPr>
      </w:pPr>
      <w:r w:rsidRPr="00FB2977">
        <w:rPr>
          <w:rFonts w:ascii="Arial" w:hAnsi="Arial" w:cs="Arial"/>
          <w:b/>
          <w:i/>
          <w:sz w:val="20"/>
          <w:szCs w:val="20"/>
        </w:rPr>
        <w:t>Section 2.2:</w:t>
      </w:r>
    </w:p>
    <w:p w:rsidR="00267E62" w:rsidRDefault="00267E62" w:rsidP="00697497">
      <w:pPr>
        <w:pStyle w:val="NoSpacing"/>
        <w:rPr>
          <w:rFonts w:ascii="Arial" w:hAnsi="Arial" w:cs="Arial"/>
          <w:sz w:val="20"/>
          <w:szCs w:val="20"/>
        </w:rPr>
      </w:pPr>
      <w:r w:rsidRPr="00BD3B1A">
        <w:rPr>
          <w:rFonts w:ascii="Arial" w:hAnsi="Arial" w:cs="Arial"/>
          <w:sz w:val="20"/>
          <w:szCs w:val="20"/>
        </w:rPr>
        <w:t>The AG supports the view expressed by ESMA in paragraph 59 that for standard activity, and under standard circumstances, the system should be simple, and that no increase or decrease should be used.</w:t>
      </w:r>
    </w:p>
    <w:p w:rsidR="00267E62" w:rsidRDefault="00267E62" w:rsidP="00697497">
      <w:pPr>
        <w:pStyle w:val="NoSpacing"/>
        <w:rPr>
          <w:rFonts w:ascii="Arial" w:hAnsi="Arial" w:cs="Arial"/>
          <w:sz w:val="20"/>
          <w:szCs w:val="20"/>
        </w:rPr>
      </w:pPr>
      <w:r>
        <w:rPr>
          <w:rFonts w:ascii="Arial" w:hAnsi="Arial" w:cs="Arial"/>
          <w:sz w:val="20"/>
          <w:szCs w:val="20"/>
        </w:rPr>
        <w:t xml:space="preserve">In </w:t>
      </w:r>
      <w:r w:rsidRPr="00FB2977">
        <w:rPr>
          <w:rFonts w:ascii="Arial" w:hAnsi="Arial" w:cs="Arial"/>
          <w:sz w:val="20"/>
          <w:szCs w:val="20"/>
        </w:rPr>
        <w:t>para</w:t>
      </w:r>
      <w:r>
        <w:rPr>
          <w:rFonts w:ascii="Arial" w:hAnsi="Arial" w:cs="Arial"/>
          <w:sz w:val="20"/>
          <w:szCs w:val="20"/>
        </w:rPr>
        <w:t>graph</w:t>
      </w:r>
      <w:r w:rsidRPr="00FB2977">
        <w:rPr>
          <w:rFonts w:ascii="Arial" w:hAnsi="Arial" w:cs="Arial"/>
          <w:sz w:val="20"/>
          <w:szCs w:val="20"/>
        </w:rPr>
        <w:t xml:space="preserve"> 60</w:t>
      </w:r>
      <w:r>
        <w:rPr>
          <w:rFonts w:ascii="Arial" w:hAnsi="Arial" w:cs="Arial"/>
          <w:sz w:val="20"/>
          <w:szCs w:val="20"/>
        </w:rPr>
        <w:t xml:space="preserve">, </w:t>
      </w:r>
      <w:r w:rsidRPr="00FB2977">
        <w:rPr>
          <w:rFonts w:ascii="Arial" w:hAnsi="Arial" w:cs="Arial"/>
          <w:sz w:val="20"/>
          <w:szCs w:val="20"/>
        </w:rPr>
        <w:t xml:space="preserve">ESMA provides some examples of situations when the penalty </w:t>
      </w:r>
      <w:r>
        <w:rPr>
          <w:rFonts w:ascii="Arial" w:hAnsi="Arial" w:cs="Arial"/>
          <w:sz w:val="20"/>
          <w:szCs w:val="20"/>
        </w:rPr>
        <w:t xml:space="preserve">could be reduced to </w:t>
      </w:r>
      <w:r w:rsidRPr="00FB2977">
        <w:rPr>
          <w:rFonts w:ascii="Arial" w:hAnsi="Arial" w:cs="Arial"/>
          <w:sz w:val="20"/>
          <w:szCs w:val="20"/>
        </w:rPr>
        <w:t>zero. The AG would like to express its support for this approach.</w:t>
      </w:r>
      <w:r>
        <w:rPr>
          <w:rFonts w:ascii="Arial" w:hAnsi="Arial" w:cs="Arial"/>
          <w:sz w:val="20"/>
          <w:szCs w:val="20"/>
        </w:rPr>
        <w:t xml:space="preserve"> However, </w:t>
      </w:r>
      <w:r w:rsidRPr="00FB2977">
        <w:rPr>
          <w:rFonts w:ascii="Arial" w:hAnsi="Arial" w:cs="Arial"/>
          <w:sz w:val="20"/>
          <w:szCs w:val="20"/>
        </w:rPr>
        <w:t xml:space="preserve">the AG would like to ask ESMA to provide clearer guidance on the </w:t>
      </w:r>
      <w:r>
        <w:rPr>
          <w:rFonts w:ascii="Arial" w:hAnsi="Arial" w:cs="Arial"/>
          <w:sz w:val="20"/>
          <w:szCs w:val="20"/>
        </w:rPr>
        <w:t xml:space="preserve">exact </w:t>
      </w:r>
      <w:r w:rsidRPr="00FB2977">
        <w:rPr>
          <w:rFonts w:ascii="Arial" w:hAnsi="Arial" w:cs="Arial"/>
          <w:sz w:val="20"/>
          <w:szCs w:val="20"/>
        </w:rPr>
        <w:t xml:space="preserve">cases where the penalty rate </w:t>
      </w:r>
      <w:r>
        <w:rPr>
          <w:rFonts w:ascii="Arial" w:hAnsi="Arial" w:cs="Arial"/>
          <w:sz w:val="20"/>
          <w:szCs w:val="20"/>
        </w:rPr>
        <w:t xml:space="preserve">can be </w:t>
      </w:r>
      <w:r w:rsidRPr="00FB2977">
        <w:rPr>
          <w:rFonts w:ascii="Arial" w:hAnsi="Arial" w:cs="Arial"/>
          <w:sz w:val="20"/>
          <w:szCs w:val="20"/>
        </w:rPr>
        <w:t>reduced to zero</w:t>
      </w:r>
      <w:r>
        <w:rPr>
          <w:rFonts w:ascii="Arial" w:hAnsi="Arial" w:cs="Arial"/>
          <w:sz w:val="20"/>
          <w:szCs w:val="20"/>
        </w:rPr>
        <w:t>. A harmonised approach on this policy would exclude that different markets follow their own rules resulting in a non-level playing field in the EU and possibly in regulatory arbitrage</w:t>
      </w:r>
      <w:r w:rsidRPr="00FB2977">
        <w:rPr>
          <w:rFonts w:ascii="Arial" w:hAnsi="Arial" w:cs="Arial"/>
          <w:sz w:val="20"/>
          <w:szCs w:val="20"/>
        </w:rPr>
        <w:t xml:space="preserve">. </w:t>
      </w:r>
    </w:p>
    <w:p w:rsidR="00267E62" w:rsidRDefault="00267E62" w:rsidP="00697497">
      <w:pPr>
        <w:pStyle w:val="NoSpacing"/>
        <w:rPr>
          <w:rFonts w:ascii="Arial" w:hAnsi="Arial" w:cs="Arial"/>
          <w:sz w:val="20"/>
          <w:szCs w:val="20"/>
        </w:rPr>
      </w:pPr>
      <w:r>
        <w:rPr>
          <w:rFonts w:ascii="Arial" w:hAnsi="Arial" w:cs="Arial"/>
          <w:sz w:val="20"/>
          <w:szCs w:val="20"/>
        </w:rPr>
        <w:t>Furthermore, from the point of view of necessary IT developments to implement the cash penalties r</w:t>
      </w:r>
      <w:r>
        <w:rPr>
          <w:rFonts w:ascii="Arial" w:hAnsi="Arial" w:cs="Arial"/>
          <w:sz w:val="20"/>
          <w:szCs w:val="20"/>
        </w:rPr>
        <w:t>e</w:t>
      </w:r>
      <w:r>
        <w:rPr>
          <w:rFonts w:ascii="Arial" w:hAnsi="Arial" w:cs="Arial"/>
          <w:sz w:val="20"/>
          <w:szCs w:val="20"/>
        </w:rPr>
        <w:t>gime, there needs to be absolute clarity, across all EU CSDs, on the exact cases when the cash penalties should be applied.</w:t>
      </w:r>
    </w:p>
    <w:p w:rsidR="00267E62" w:rsidRDefault="00267E62" w:rsidP="00697497">
      <w:pPr>
        <w:pStyle w:val="NoSpacing"/>
        <w:rPr>
          <w:rFonts w:ascii="Arial" w:hAnsi="Arial" w:cs="Arial"/>
          <w:sz w:val="20"/>
          <w:szCs w:val="20"/>
        </w:rPr>
      </w:pPr>
      <w:r>
        <w:rPr>
          <w:rFonts w:ascii="Arial" w:hAnsi="Arial" w:cs="Arial"/>
          <w:sz w:val="20"/>
          <w:szCs w:val="20"/>
        </w:rPr>
        <w:t xml:space="preserve">In this respect, the AG would like to propose to ESMA that </w:t>
      </w:r>
      <w:r w:rsidRPr="00FB2977">
        <w:rPr>
          <w:rFonts w:ascii="Arial" w:hAnsi="Arial" w:cs="Arial"/>
          <w:sz w:val="20"/>
          <w:szCs w:val="20"/>
        </w:rPr>
        <w:t xml:space="preserve">penalties </w:t>
      </w:r>
      <w:r>
        <w:rPr>
          <w:rFonts w:ascii="Arial" w:hAnsi="Arial" w:cs="Arial"/>
          <w:sz w:val="20"/>
          <w:szCs w:val="20"/>
        </w:rPr>
        <w:t>should be</w:t>
      </w:r>
      <w:r w:rsidRPr="00FB2977">
        <w:rPr>
          <w:rFonts w:ascii="Arial" w:hAnsi="Arial" w:cs="Arial"/>
          <w:sz w:val="20"/>
          <w:szCs w:val="20"/>
        </w:rPr>
        <w:t xml:space="preserve"> charged only for fails with </w:t>
      </w:r>
      <w:r>
        <w:rPr>
          <w:rFonts w:ascii="Arial" w:hAnsi="Arial" w:cs="Arial"/>
          <w:sz w:val="20"/>
          <w:szCs w:val="20"/>
        </w:rPr>
        <w:t xml:space="preserve">a fail </w:t>
      </w:r>
      <w:r w:rsidRPr="00FB2977">
        <w:rPr>
          <w:rFonts w:ascii="Arial" w:hAnsi="Arial" w:cs="Arial"/>
          <w:sz w:val="20"/>
          <w:szCs w:val="20"/>
        </w:rPr>
        <w:t>reason</w:t>
      </w:r>
      <w:r>
        <w:rPr>
          <w:rFonts w:ascii="Arial" w:hAnsi="Arial" w:cs="Arial"/>
          <w:sz w:val="20"/>
          <w:szCs w:val="20"/>
        </w:rPr>
        <w:t xml:space="preserve"> </w:t>
      </w:r>
      <w:r w:rsidRPr="00FB2977">
        <w:rPr>
          <w:rFonts w:ascii="Arial" w:hAnsi="Arial" w:cs="Arial"/>
          <w:sz w:val="20"/>
          <w:szCs w:val="20"/>
        </w:rPr>
        <w:t>“Lack of securities”, “Lack of cash” and “Settlement instructions on party</w:t>
      </w:r>
      <w:r>
        <w:rPr>
          <w:rFonts w:ascii="Arial" w:hAnsi="Arial" w:cs="Arial"/>
          <w:sz w:val="20"/>
          <w:szCs w:val="20"/>
        </w:rPr>
        <w:t>/counterparty</w:t>
      </w:r>
      <w:r w:rsidRPr="00FB2977">
        <w:rPr>
          <w:rFonts w:ascii="Arial" w:hAnsi="Arial" w:cs="Arial"/>
          <w:sz w:val="20"/>
          <w:szCs w:val="20"/>
        </w:rPr>
        <w:t xml:space="preserve"> hold</w:t>
      </w:r>
      <w:r w:rsidRPr="00DC655F">
        <w:rPr>
          <w:rFonts w:ascii="Arial" w:hAnsi="Arial" w:cs="Arial"/>
          <w:sz w:val="20"/>
          <w:szCs w:val="20"/>
        </w:rPr>
        <w:t>”</w:t>
      </w:r>
      <w:r>
        <w:rPr>
          <w:rFonts w:ascii="Arial" w:hAnsi="Arial" w:cs="Arial"/>
          <w:sz w:val="20"/>
          <w:szCs w:val="20"/>
        </w:rPr>
        <w:t xml:space="preserve">; on all other fails, penalties on instructions should not be charged. This proposal has the benefit that it will provide clarity to CSDs for implementing initially a simplified cash penalties regime, which is easier to implement in practice. </w:t>
      </w:r>
      <w:r w:rsidRPr="009B3C50">
        <w:rPr>
          <w:rFonts w:ascii="Arial" w:hAnsi="Arial" w:cs="Arial"/>
          <w:sz w:val="20"/>
          <w:szCs w:val="20"/>
        </w:rPr>
        <w:t xml:space="preserve">Such a simplified initial approach does not prevent ESMA from extending the cash penalties to </w:t>
      </w:r>
      <w:r>
        <w:rPr>
          <w:rFonts w:ascii="Arial" w:hAnsi="Arial" w:cs="Arial"/>
          <w:sz w:val="20"/>
          <w:szCs w:val="20"/>
        </w:rPr>
        <w:t xml:space="preserve">failing </w:t>
      </w:r>
      <w:r w:rsidRPr="009B3C50">
        <w:rPr>
          <w:rFonts w:ascii="Arial" w:hAnsi="Arial" w:cs="Arial"/>
          <w:sz w:val="20"/>
          <w:szCs w:val="20"/>
        </w:rPr>
        <w:t>instructions</w:t>
      </w:r>
      <w:r>
        <w:rPr>
          <w:rFonts w:ascii="Arial" w:hAnsi="Arial" w:cs="Arial"/>
          <w:sz w:val="20"/>
          <w:szCs w:val="20"/>
        </w:rPr>
        <w:t xml:space="preserve">, which fail for </w:t>
      </w:r>
      <w:r w:rsidRPr="009B3C50">
        <w:rPr>
          <w:rFonts w:ascii="Arial" w:hAnsi="Arial" w:cs="Arial"/>
          <w:sz w:val="20"/>
          <w:szCs w:val="20"/>
        </w:rPr>
        <w:t xml:space="preserve">other reasons at a later stage if it considers that this limited scope of reasons for fails is abused by the CSD participants. </w:t>
      </w:r>
      <w:r>
        <w:rPr>
          <w:rFonts w:ascii="Arial" w:hAnsi="Arial" w:cs="Arial"/>
          <w:sz w:val="20"/>
          <w:szCs w:val="20"/>
        </w:rPr>
        <w:t xml:space="preserve">In particular, there are currently almost 20 standard ISO reasons codes </w:t>
      </w:r>
      <w:r w:rsidRPr="00D52F74">
        <w:rPr>
          <w:rFonts w:ascii="Arial" w:hAnsi="Arial" w:cs="Arial"/>
          <w:i/>
          <w:sz w:val="20"/>
          <w:szCs w:val="20"/>
        </w:rPr>
        <w:t>(see our reply to Q23 of Consultation on RTS on CSDR)</w:t>
      </w:r>
      <w:r>
        <w:rPr>
          <w:rFonts w:ascii="Arial" w:hAnsi="Arial" w:cs="Arial"/>
          <w:sz w:val="20"/>
          <w:szCs w:val="20"/>
        </w:rPr>
        <w:t xml:space="preserve"> that are used to identify the reason a transaction is failing and there are multiple codes which are provided in certain cases. In each case there should be enough guidance from ESMA for each reason: </w:t>
      </w:r>
    </w:p>
    <w:p w:rsidR="00267E62" w:rsidRDefault="00267E62" w:rsidP="00697497">
      <w:pPr>
        <w:pStyle w:val="NoSpacing"/>
        <w:rPr>
          <w:rFonts w:ascii="Arial" w:hAnsi="Arial" w:cs="Arial"/>
          <w:sz w:val="20"/>
          <w:szCs w:val="20"/>
        </w:rPr>
      </w:pPr>
      <w:r>
        <w:rPr>
          <w:rFonts w:ascii="Arial" w:hAnsi="Arial" w:cs="Arial"/>
          <w:sz w:val="20"/>
          <w:szCs w:val="20"/>
        </w:rPr>
        <w:t xml:space="preserve">1) what penalty rate should be applied </w:t>
      </w:r>
    </w:p>
    <w:p w:rsidR="00267E62" w:rsidRDefault="00267E62" w:rsidP="00697497">
      <w:pPr>
        <w:pStyle w:val="NoSpacing"/>
        <w:rPr>
          <w:rFonts w:ascii="Arial" w:hAnsi="Arial" w:cs="Arial"/>
          <w:sz w:val="20"/>
          <w:szCs w:val="20"/>
        </w:rPr>
      </w:pPr>
      <w:r>
        <w:rPr>
          <w:rFonts w:ascii="Arial" w:hAnsi="Arial" w:cs="Arial"/>
          <w:sz w:val="20"/>
          <w:szCs w:val="20"/>
        </w:rPr>
        <w:t xml:space="preserve">and </w:t>
      </w:r>
    </w:p>
    <w:p w:rsidR="00267E62" w:rsidRDefault="00267E62" w:rsidP="00697497">
      <w:pPr>
        <w:pStyle w:val="NoSpacing"/>
        <w:rPr>
          <w:rFonts w:ascii="Arial" w:hAnsi="Arial" w:cs="Arial"/>
          <w:sz w:val="20"/>
          <w:szCs w:val="20"/>
        </w:rPr>
      </w:pPr>
      <w:r>
        <w:rPr>
          <w:rFonts w:ascii="Arial" w:hAnsi="Arial" w:cs="Arial"/>
          <w:sz w:val="20"/>
          <w:szCs w:val="20"/>
        </w:rPr>
        <w:t>2) which party to the transaction should be charged.</w:t>
      </w:r>
    </w:p>
    <w:p w:rsidR="00267E62" w:rsidRDefault="00267E62" w:rsidP="00697497">
      <w:pPr>
        <w:pStyle w:val="NoSpacing"/>
        <w:rPr>
          <w:rFonts w:ascii="Arial" w:hAnsi="Arial" w:cs="Arial"/>
          <w:sz w:val="20"/>
          <w:szCs w:val="20"/>
        </w:rPr>
      </w:pPr>
      <w:r>
        <w:rPr>
          <w:rFonts w:ascii="Arial" w:hAnsi="Arial" w:cs="Arial"/>
          <w:sz w:val="20"/>
          <w:szCs w:val="20"/>
        </w:rPr>
        <w:t>While these are straightforward and covered by ESMA for the separate reasons “Lack of securities” and “Lack of cash” in the table provided in para 52, no such information is provided for the other cases of the same table. In particular, information is lacking on who should be charged with what amount in case the instruction is “on party hold”. (see AG response to Q2 above).</w:t>
      </w:r>
    </w:p>
    <w:p w:rsidR="00267E62" w:rsidRDefault="00267E62" w:rsidP="00A35728">
      <w:pPr>
        <w:rPr>
          <w:rFonts w:ascii="Arial" w:hAnsi="Arial" w:cs="Arial"/>
          <w:szCs w:val="20"/>
        </w:rPr>
      </w:pPr>
      <w:r>
        <w:rPr>
          <w:rFonts w:ascii="Arial" w:hAnsi="Arial" w:cs="Arial"/>
          <w:szCs w:val="20"/>
        </w:rPr>
        <w:t>Finally, ESMA could provide further clarifications in the cases of pending instructions put “on hold” by CSDs/CCPs on which “buyer protection” has been exercised. A buyer protection reflects the buyer’s choice of proceeds (on a pending transaction</w:t>
      </w:r>
      <w:r w:rsidRPr="00AF7438">
        <w:rPr>
          <w:rFonts w:ascii="Arial" w:hAnsi="Arial" w:cs="Arial"/>
          <w:szCs w:val="20"/>
        </w:rPr>
        <w:t xml:space="preserve"> </w:t>
      </w:r>
      <w:r>
        <w:rPr>
          <w:rFonts w:ascii="Arial" w:hAnsi="Arial" w:cs="Arial"/>
          <w:szCs w:val="20"/>
        </w:rPr>
        <w:t>related to an optional corporate action) where the buyer has not yet received the securities on his account.  The AG is of the opinion that when settlement instructions are put “on hold” as a result of buyer protection rules by CSDs or CCPs, no penalties should apply on such instructions “on hold”.  This is because a pending instruction subject to buyer protection will eventua</w:t>
      </w:r>
      <w:r>
        <w:rPr>
          <w:rFonts w:ascii="Arial" w:hAnsi="Arial" w:cs="Arial"/>
          <w:szCs w:val="20"/>
        </w:rPr>
        <w:t>l</w:t>
      </w:r>
      <w:r>
        <w:rPr>
          <w:rFonts w:ascii="Arial" w:hAnsi="Arial" w:cs="Arial"/>
          <w:szCs w:val="20"/>
        </w:rPr>
        <w:t>ly be cancelled by the CSDs/CCPs and converted into one or more new instructions by the CSD/CCP (in accordance with the EU corporate action standards).</w:t>
      </w:r>
    </w:p>
    <w:permEnd w:id="1375829118"/>
    <w:p w:rsidR="00A35728" w:rsidRDefault="00A35728" w:rsidP="00A35728">
      <w:pPr>
        <w:rPr>
          <w:rFonts w:ascii="Arial" w:hAnsi="Arial" w:cs="Arial"/>
          <w:sz w:val="22"/>
          <w:szCs w:val="22"/>
        </w:rPr>
      </w:pPr>
      <w:r w:rsidRPr="00616B9B">
        <w:rPr>
          <w:rFonts w:ascii="Arial" w:hAnsi="Arial" w:cs="Arial"/>
          <w:sz w:val="22"/>
          <w:szCs w:val="22"/>
        </w:rPr>
        <w:t>&lt;ESMA_QUESTION_TA_CSDR_3&gt;</w:t>
      </w:r>
    </w:p>
    <w:p w:rsidR="009A7E2F" w:rsidRPr="00616B9B" w:rsidRDefault="009A7E2F"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Q4:</w:t>
      </w:r>
      <w:r w:rsidRPr="00616B9B">
        <w:rPr>
          <w:rFonts w:ascii="Arial" w:hAnsi="Arial" w:cs="Arial"/>
          <w:szCs w:val="22"/>
        </w:rPr>
        <w:tab/>
        <w:t>What are your views on the proposed approach regarding the cash penalties in the context of chains of interdependent transactions?</w:t>
      </w:r>
      <w:r w:rsidRPr="00616B9B">
        <w:rPr>
          <w:rFonts w:ascii="Arial" w:hAnsi="Arial" w:cs="Arial"/>
          <w:szCs w:val="22"/>
        </w:rPr>
        <w:tab/>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&lt;ESMA_QUESTION_TA_CSDR_4&gt;</w:t>
      </w:r>
    </w:p>
    <w:p w:rsidR="0033364C" w:rsidRDefault="0033364C" w:rsidP="0033364C">
      <w:pPr>
        <w:pStyle w:val="NoSpacing"/>
        <w:rPr>
          <w:rFonts w:ascii="Arial" w:hAnsi="Arial" w:cs="Arial"/>
          <w:b/>
          <w:sz w:val="20"/>
          <w:szCs w:val="20"/>
          <w:u w:val="single"/>
        </w:rPr>
      </w:pPr>
      <w:permStart w:id="2084973793" w:edGrp="everyone"/>
      <w:r w:rsidRPr="00C93D31">
        <w:rPr>
          <w:rFonts w:ascii="Arial" w:hAnsi="Arial" w:cs="Arial"/>
          <w:b/>
          <w:sz w:val="20"/>
          <w:szCs w:val="20"/>
          <w:u w:val="single"/>
        </w:rPr>
        <w:t>AG response to Q4</w:t>
      </w:r>
    </w:p>
    <w:p w:rsidR="0033364C" w:rsidRDefault="0033364C" w:rsidP="0033364C">
      <w:pPr>
        <w:pStyle w:val="NoSpacing"/>
        <w:rPr>
          <w:rFonts w:ascii="Arial" w:hAnsi="Arial" w:cs="Arial"/>
          <w:sz w:val="20"/>
          <w:szCs w:val="20"/>
        </w:rPr>
      </w:pPr>
      <w:r>
        <w:rPr>
          <w:rFonts w:ascii="Arial" w:hAnsi="Arial" w:cs="Arial"/>
          <w:sz w:val="20"/>
          <w:szCs w:val="20"/>
        </w:rPr>
        <w:t>The T2S AG could not identify how “chains of interdependent (settlement) transactions”, whatever the exact definition of such term could entail, could be identified by a CSD.  The view of the AG is that in a framework of fungible book entry securities, identifying chains of individual and interdependent transa</w:t>
      </w:r>
      <w:r>
        <w:rPr>
          <w:rFonts w:ascii="Arial" w:hAnsi="Arial" w:cs="Arial"/>
          <w:sz w:val="20"/>
          <w:szCs w:val="20"/>
        </w:rPr>
        <w:t>c</w:t>
      </w:r>
      <w:r>
        <w:rPr>
          <w:rFonts w:ascii="Arial" w:hAnsi="Arial" w:cs="Arial"/>
          <w:sz w:val="20"/>
          <w:szCs w:val="20"/>
        </w:rPr>
        <w:t>tions is not possible, neither domestically nor cross-border. There can be a multitude of identical settl</w:t>
      </w:r>
      <w:r>
        <w:rPr>
          <w:rFonts w:ascii="Arial" w:hAnsi="Arial" w:cs="Arial"/>
          <w:sz w:val="20"/>
          <w:szCs w:val="20"/>
        </w:rPr>
        <w:t>e</w:t>
      </w:r>
      <w:r>
        <w:rPr>
          <w:rFonts w:ascii="Arial" w:hAnsi="Arial" w:cs="Arial"/>
          <w:sz w:val="20"/>
          <w:szCs w:val="20"/>
        </w:rPr>
        <w:t>ment transactions in a settlement engine and, in the absence of an additional and time consuming info</w:t>
      </w:r>
      <w:r>
        <w:rPr>
          <w:rFonts w:ascii="Arial" w:hAnsi="Arial" w:cs="Arial"/>
          <w:sz w:val="20"/>
          <w:szCs w:val="20"/>
        </w:rPr>
        <w:t>r</w:t>
      </w:r>
      <w:r>
        <w:rPr>
          <w:rFonts w:ascii="Arial" w:hAnsi="Arial" w:cs="Arial"/>
          <w:sz w:val="20"/>
          <w:szCs w:val="20"/>
        </w:rPr>
        <w:lastRenderedPageBreak/>
        <w:t>mation flows from the custodian chain, no CSD is in a position to identify the business connection of these transactions. The AG understands that ESMA implicitly recognises this issue by proposing as a work</w:t>
      </w:r>
      <w:r>
        <w:rPr>
          <w:rFonts w:ascii="Arial" w:hAnsi="Arial" w:cs="Arial"/>
          <w:sz w:val="20"/>
          <w:szCs w:val="20"/>
        </w:rPr>
        <w:t>a</w:t>
      </w:r>
      <w:r>
        <w:rPr>
          <w:rFonts w:ascii="Arial" w:hAnsi="Arial" w:cs="Arial"/>
          <w:sz w:val="20"/>
          <w:szCs w:val="20"/>
        </w:rPr>
        <w:t>round solution the management of the distribution mechanism at the settlement level. See also</w:t>
      </w:r>
      <w:r w:rsidRPr="00EA0505">
        <w:rPr>
          <w:rFonts w:ascii="Arial" w:hAnsi="Arial" w:cs="Arial"/>
          <w:sz w:val="20"/>
          <w:szCs w:val="20"/>
        </w:rPr>
        <w:t xml:space="preserve"> the AG comments on Q7 on the Technical Standards </w:t>
      </w:r>
      <w:r w:rsidRPr="00DF4BEE">
        <w:rPr>
          <w:rFonts w:ascii="Arial" w:hAnsi="Arial" w:cs="Arial"/>
          <w:sz w:val="20"/>
          <w:szCs w:val="20"/>
        </w:rPr>
        <w:t>regarding Art. 1</w:t>
      </w:r>
      <w:r>
        <w:rPr>
          <w:rFonts w:ascii="Arial" w:hAnsi="Arial" w:cs="Arial"/>
          <w:sz w:val="20"/>
          <w:szCs w:val="20"/>
        </w:rPr>
        <w:t>1</w:t>
      </w:r>
      <w:r w:rsidRPr="00DF4BEE">
        <w:rPr>
          <w:rFonts w:ascii="Arial" w:hAnsi="Arial" w:cs="Arial"/>
          <w:sz w:val="20"/>
          <w:szCs w:val="20"/>
        </w:rPr>
        <w:t>(1</w:t>
      </w:r>
      <w:r>
        <w:rPr>
          <w:rFonts w:ascii="Arial" w:hAnsi="Arial" w:cs="Arial"/>
          <w:sz w:val="20"/>
          <w:szCs w:val="20"/>
        </w:rPr>
        <w:t>0</w:t>
      </w:r>
      <w:r w:rsidRPr="00DF4BEE">
        <w:rPr>
          <w:rFonts w:ascii="Arial" w:hAnsi="Arial" w:cs="Arial"/>
          <w:sz w:val="20"/>
          <w:szCs w:val="20"/>
        </w:rPr>
        <w:t xml:space="preserve">) of </w:t>
      </w:r>
      <w:r w:rsidRPr="00EA0505">
        <w:rPr>
          <w:rFonts w:ascii="Arial" w:hAnsi="Arial" w:cs="Arial"/>
          <w:sz w:val="20"/>
          <w:szCs w:val="20"/>
        </w:rPr>
        <w:t>RTS on settlement discipline.</w:t>
      </w:r>
    </w:p>
    <w:p w:rsidR="0033364C" w:rsidRDefault="0033364C" w:rsidP="0033364C">
      <w:r>
        <w:rPr>
          <w:rFonts w:ascii="Arial" w:hAnsi="Arial" w:cs="Arial"/>
          <w:szCs w:val="20"/>
        </w:rPr>
        <w:t>S</w:t>
      </w:r>
      <w:r w:rsidRPr="00B97730">
        <w:rPr>
          <w:rFonts w:ascii="Arial" w:hAnsi="Arial" w:cs="Arial"/>
          <w:szCs w:val="20"/>
        </w:rPr>
        <w:t xml:space="preserve">ome AG members raised the point that when partial settlement is done, there are quantity thresholds </w:t>
      </w:r>
      <w:r>
        <w:rPr>
          <w:rFonts w:ascii="Arial" w:hAnsi="Arial" w:cs="Arial"/>
          <w:szCs w:val="20"/>
        </w:rPr>
        <w:t xml:space="preserve">that </w:t>
      </w:r>
      <w:r w:rsidRPr="00B97730">
        <w:rPr>
          <w:rFonts w:ascii="Arial" w:hAnsi="Arial" w:cs="Arial"/>
          <w:szCs w:val="20"/>
        </w:rPr>
        <w:t>are applied. In certain cases, this may result in impeding the “immunization principle” (</w:t>
      </w:r>
      <w:r>
        <w:rPr>
          <w:rFonts w:ascii="Arial" w:hAnsi="Arial" w:cs="Arial"/>
          <w:szCs w:val="20"/>
        </w:rPr>
        <w:t>see</w:t>
      </w:r>
      <w:r w:rsidRPr="00B97730">
        <w:rPr>
          <w:rFonts w:ascii="Arial" w:hAnsi="Arial" w:cs="Arial"/>
          <w:szCs w:val="20"/>
        </w:rPr>
        <w:t xml:space="preserve"> ESMA’s Consultation </w:t>
      </w:r>
      <w:r>
        <w:rPr>
          <w:rFonts w:ascii="Arial" w:hAnsi="Arial" w:cs="Arial"/>
          <w:szCs w:val="20"/>
        </w:rPr>
        <w:t xml:space="preserve">paper </w:t>
      </w:r>
      <w:r w:rsidRPr="00B97730">
        <w:rPr>
          <w:rFonts w:ascii="Arial" w:hAnsi="Arial" w:cs="Arial"/>
          <w:szCs w:val="20"/>
        </w:rPr>
        <w:t>on the Technical Advice para 6</w:t>
      </w:r>
      <w:r>
        <w:rPr>
          <w:rFonts w:ascii="Arial" w:hAnsi="Arial" w:cs="Arial"/>
          <w:szCs w:val="20"/>
        </w:rPr>
        <w:t>1-63</w:t>
      </w:r>
      <w:r w:rsidRPr="00B97730">
        <w:rPr>
          <w:rFonts w:ascii="Arial" w:hAnsi="Arial" w:cs="Arial"/>
          <w:szCs w:val="20"/>
        </w:rPr>
        <w:t>)</w:t>
      </w:r>
      <w:r>
        <w:rPr>
          <w:rFonts w:ascii="Arial" w:hAnsi="Arial" w:cs="Arial"/>
          <w:szCs w:val="20"/>
        </w:rPr>
        <w:t>,</w:t>
      </w:r>
      <w:r w:rsidRPr="00B97730">
        <w:rPr>
          <w:rFonts w:ascii="Arial" w:hAnsi="Arial" w:cs="Arial"/>
          <w:szCs w:val="20"/>
        </w:rPr>
        <w:t xml:space="preserve"> which could be particularly problematic when a CCP is involved in the transaction chain.</w:t>
      </w:r>
    </w:p>
    <w:permEnd w:id="2084973793"/>
    <w:p w:rsidR="00A35728" w:rsidRPr="00616B9B" w:rsidRDefault="00A35728" w:rsidP="00A35728">
      <w:pPr>
        <w:rPr>
          <w:rFonts w:ascii="Arial" w:hAnsi="Arial" w:cs="Arial"/>
          <w:sz w:val="22"/>
          <w:szCs w:val="22"/>
        </w:rPr>
      </w:pPr>
      <w:r w:rsidRPr="00616B9B">
        <w:rPr>
          <w:rFonts w:ascii="Arial" w:hAnsi="Arial" w:cs="Arial"/>
          <w:sz w:val="22"/>
          <w:szCs w:val="22"/>
        </w:rPr>
        <w:t>&lt;ESMA_QUESTION_TA_CSDR_4&gt;</w:t>
      </w:r>
    </w:p>
    <w:p w:rsidR="00A35728" w:rsidRPr="00616B9B" w:rsidRDefault="00A35728"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Q5:</w:t>
      </w:r>
      <w:r w:rsidRPr="00616B9B">
        <w:rPr>
          <w:rFonts w:ascii="Arial" w:hAnsi="Arial" w:cs="Arial"/>
          <w:szCs w:val="22"/>
        </w:rPr>
        <w:tab/>
        <w:t>Do you agree with the proposed frequency of one year for the assessment of the substantial importance of a CSD in another Member State?</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&lt;ESMA_QUESTION_TA_CSDR_5&gt;</w:t>
      </w:r>
    </w:p>
    <w:p w:rsidR="0079663B" w:rsidRDefault="0079663B" w:rsidP="00A35728">
      <w:pPr>
        <w:rPr>
          <w:rFonts w:ascii="Arial" w:hAnsi="Arial" w:cs="Arial"/>
          <w:szCs w:val="20"/>
        </w:rPr>
      </w:pPr>
      <w:permStart w:id="226979797" w:edGrp="everyone"/>
      <w:r w:rsidRPr="00EE4E11">
        <w:rPr>
          <w:rFonts w:ascii="Arial" w:hAnsi="Arial" w:cs="Arial"/>
          <w:szCs w:val="20"/>
        </w:rPr>
        <w:t>The T2S Advisory Group (AG) considers the scope of this question as not directly relevant for T2S.</w:t>
      </w:r>
    </w:p>
    <w:permEnd w:id="226979797"/>
    <w:p w:rsidR="00A35728" w:rsidRPr="00616B9B" w:rsidRDefault="00A35728" w:rsidP="00A35728">
      <w:pPr>
        <w:rPr>
          <w:rFonts w:ascii="Arial" w:hAnsi="Arial" w:cs="Arial"/>
          <w:sz w:val="22"/>
          <w:szCs w:val="22"/>
        </w:rPr>
      </w:pPr>
      <w:r w:rsidRPr="00616B9B">
        <w:rPr>
          <w:rFonts w:ascii="Arial" w:hAnsi="Arial" w:cs="Arial"/>
          <w:sz w:val="22"/>
          <w:szCs w:val="22"/>
        </w:rPr>
        <w:t>&lt;ESMA_QUESTION_TA_CSDR_5&gt;</w:t>
      </w:r>
    </w:p>
    <w:p w:rsidR="00A35728" w:rsidRPr="00616B9B" w:rsidRDefault="00A35728"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 xml:space="preserve">Q6: </w:t>
      </w:r>
      <w:r w:rsidRPr="00616B9B">
        <w:rPr>
          <w:rFonts w:ascii="Arial" w:hAnsi="Arial" w:cs="Arial"/>
          <w:szCs w:val="22"/>
        </w:rPr>
        <w:tab/>
        <w:t xml:space="preserve">What are your views on the proposed indicators? </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&lt;ESMA_QUESTION_TA_CSDR_6&gt;</w:t>
      </w:r>
    </w:p>
    <w:p w:rsidR="0079663B" w:rsidRDefault="0079663B" w:rsidP="00A35728">
      <w:pPr>
        <w:rPr>
          <w:rFonts w:ascii="Arial" w:hAnsi="Arial" w:cs="Arial"/>
          <w:szCs w:val="20"/>
        </w:rPr>
      </w:pPr>
      <w:permStart w:id="1465722096" w:edGrp="everyone"/>
      <w:r w:rsidRPr="00EE4E11">
        <w:rPr>
          <w:rFonts w:ascii="Arial" w:hAnsi="Arial" w:cs="Arial"/>
          <w:szCs w:val="20"/>
        </w:rPr>
        <w:t>The T2S Advisory Group (AG) considers the scope of this question as not directly relevant for T2S.</w:t>
      </w:r>
    </w:p>
    <w:permEnd w:id="1465722096"/>
    <w:p w:rsidR="00A35728" w:rsidRPr="00616B9B" w:rsidRDefault="00A35728" w:rsidP="00A35728">
      <w:pPr>
        <w:rPr>
          <w:rFonts w:ascii="Arial" w:hAnsi="Arial" w:cs="Arial"/>
          <w:sz w:val="22"/>
          <w:szCs w:val="22"/>
        </w:rPr>
      </w:pPr>
      <w:r w:rsidRPr="00616B9B">
        <w:rPr>
          <w:rFonts w:ascii="Arial" w:hAnsi="Arial" w:cs="Arial"/>
          <w:sz w:val="22"/>
          <w:szCs w:val="22"/>
        </w:rPr>
        <w:t>&lt;ESMA_QUESTION_TA_CSDR_6&gt;</w:t>
      </w:r>
    </w:p>
    <w:p w:rsidR="00A35728" w:rsidRPr="00616B9B" w:rsidRDefault="00A35728"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 xml:space="preserve">Q7: </w:t>
      </w:r>
      <w:r w:rsidRPr="00616B9B">
        <w:rPr>
          <w:rFonts w:ascii="Arial" w:hAnsi="Arial" w:cs="Arial"/>
          <w:szCs w:val="22"/>
        </w:rPr>
        <w:tab/>
        <w:t>What are your views on the proposed thresholds?</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&lt;ESMA_QUESTION_TA_CSDR_7&gt;</w:t>
      </w:r>
    </w:p>
    <w:p w:rsidR="0079663B" w:rsidRDefault="0079663B" w:rsidP="00A35728">
      <w:pPr>
        <w:rPr>
          <w:rFonts w:ascii="Arial" w:hAnsi="Arial" w:cs="Arial"/>
          <w:szCs w:val="20"/>
        </w:rPr>
      </w:pPr>
      <w:permStart w:id="1866750727" w:edGrp="everyone"/>
      <w:r w:rsidRPr="00EE4E11">
        <w:rPr>
          <w:rFonts w:ascii="Arial" w:hAnsi="Arial" w:cs="Arial"/>
          <w:szCs w:val="20"/>
        </w:rPr>
        <w:t>The T2S Advisory Group (AG) considers the scope of this question as not directly relevant for T2S.</w:t>
      </w:r>
    </w:p>
    <w:permEnd w:id="1866750727"/>
    <w:p w:rsidR="00A35728" w:rsidRPr="00616B9B" w:rsidRDefault="00A35728" w:rsidP="00A35728">
      <w:pPr>
        <w:rPr>
          <w:rFonts w:ascii="Arial" w:hAnsi="Arial" w:cs="Arial"/>
          <w:sz w:val="22"/>
          <w:szCs w:val="22"/>
        </w:rPr>
      </w:pPr>
      <w:r w:rsidRPr="00616B9B">
        <w:rPr>
          <w:rFonts w:ascii="Arial" w:hAnsi="Arial" w:cs="Arial"/>
          <w:sz w:val="22"/>
          <w:szCs w:val="22"/>
        </w:rPr>
        <w:t>&lt;ESMA_QUESTION_TA_CSDR_7&gt;</w:t>
      </w:r>
    </w:p>
    <w:p w:rsidR="00A35728" w:rsidRPr="00616B9B" w:rsidRDefault="00A35728" w:rsidP="00A35728">
      <w:pPr>
        <w:rPr>
          <w:rFonts w:ascii="Arial" w:hAnsi="Arial" w:cs="Arial"/>
          <w:sz w:val="22"/>
          <w:szCs w:val="22"/>
        </w:rPr>
      </w:pPr>
    </w:p>
    <w:p w:rsidR="006F08DC" w:rsidRPr="00616B9B" w:rsidRDefault="006F08DC" w:rsidP="006F08DC">
      <w:pPr>
        <w:pStyle w:val="Questions-ESMA"/>
        <w:rPr>
          <w:rFonts w:ascii="Arial" w:hAnsi="Arial" w:cs="Arial"/>
          <w:szCs w:val="22"/>
        </w:rPr>
      </w:pPr>
      <w:r w:rsidRPr="00616B9B">
        <w:rPr>
          <w:rFonts w:ascii="Arial" w:hAnsi="Arial" w:cs="Arial"/>
          <w:szCs w:val="22"/>
        </w:rPr>
        <w:t xml:space="preserve">Q8: </w:t>
      </w:r>
      <w:r w:rsidRPr="00616B9B">
        <w:rPr>
          <w:rFonts w:ascii="Arial" w:hAnsi="Arial" w:cs="Arial"/>
          <w:szCs w:val="22"/>
        </w:rPr>
        <w:tab/>
        <w:t>Do you believe that the proposed indicators and thresholds are relevant in the case of government bonds? If not, please provide details and arguments.</w:t>
      </w:r>
    </w:p>
    <w:p w:rsidR="006F08DC" w:rsidRPr="00616B9B" w:rsidRDefault="006F08DC" w:rsidP="006F08DC">
      <w:pPr>
        <w:rPr>
          <w:rFonts w:ascii="Arial" w:hAnsi="Arial" w:cs="Arial"/>
          <w:sz w:val="22"/>
          <w:szCs w:val="22"/>
        </w:rPr>
      </w:pPr>
      <w:r w:rsidRPr="00616B9B">
        <w:rPr>
          <w:rFonts w:ascii="Arial" w:hAnsi="Arial" w:cs="Arial"/>
          <w:sz w:val="22"/>
          <w:szCs w:val="22"/>
        </w:rPr>
        <w:t>&lt;ESMA_QUESTION_TA_CSDR_8&gt;</w:t>
      </w:r>
    </w:p>
    <w:p w:rsidR="0079663B" w:rsidRDefault="0079663B" w:rsidP="00B156CF">
      <w:pPr>
        <w:rPr>
          <w:rFonts w:ascii="Arial" w:hAnsi="Arial" w:cs="Arial"/>
          <w:szCs w:val="20"/>
        </w:rPr>
      </w:pPr>
      <w:permStart w:id="1360748385" w:edGrp="everyone"/>
      <w:r w:rsidRPr="00EE4E11">
        <w:rPr>
          <w:rFonts w:ascii="Arial" w:hAnsi="Arial" w:cs="Arial"/>
          <w:szCs w:val="20"/>
        </w:rPr>
        <w:t>The T2S Advisory Group (AG) considers the scope of this question as not directly relevant for T2S.</w:t>
      </w:r>
    </w:p>
    <w:permEnd w:id="1360748385"/>
    <w:p w:rsidR="003A6E9A" w:rsidRPr="00616B9B" w:rsidRDefault="006F08DC" w:rsidP="00B156CF">
      <w:pPr>
        <w:rPr>
          <w:rFonts w:ascii="Arial" w:hAnsi="Arial" w:cs="Arial"/>
          <w:sz w:val="22"/>
          <w:szCs w:val="22"/>
        </w:rPr>
      </w:pPr>
      <w:r w:rsidRPr="00616B9B">
        <w:rPr>
          <w:rFonts w:ascii="Arial" w:hAnsi="Arial" w:cs="Arial"/>
          <w:sz w:val="22"/>
          <w:szCs w:val="22"/>
        </w:rPr>
        <w:t>&lt;ESMA_QUESTION_TA_CSDR_8&gt;</w:t>
      </w:r>
    </w:p>
    <w:sectPr w:rsidR="003A6E9A" w:rsidRPr="00616B9B" w:rsidSect="000D17AA">
      <w:headerReference w:type="even" r:id="rId15"/>
      <w:headerReference w:type="first" r:id="rId16"/>
      <w:footerReference w:type="first" r:id="rId17"/>
      <w:pgSz w:w="11906" w:h="16838" w:code="9"/>
      <w:pgMar w:top="2552"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D1C" w:rsidRDefault="00E00D1C">
      <w:r>
        <w:separator/>
      </w:r>
    </w:p>
    <w:p w:rsidR="00E00D1C" w:rsidRDefault="00E00D1C"/>
  </w:endnote>
  <w:endnote w:type="continuationSeparator" w:id="0">
    <w:p w:rsidR="00E00D1C" w:rsidRDefault="00E00D1C">
      <w:r>
        <w:continuationSeparator/>
      </w:r>
    </w:p>
    <w:p w:rsidR="00E00D1C" w:rsidRDefault="00E00D1C"/>
  </w:endnote>
  <w:endnote w:type="continuationNotice" w:id="1">
    <w:p w:rsidR="00E00D1C" w:rsidRDefault="00E00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ascii="Arial" w:hAnsi="Arial" w:cs="Arial"/>
              <w:sz w:val="22"/>
              <w:szCs w:val="22"/>
            </w:rPr>
          </w:pPr>
          <w:r w:rsidRPr="00616B9B">
            <w:rPr>
              <w:rFonts w:ascii="Arial" w:hAnsi="Arial" w:cs="Arial"/>
              <w:sz w:val="22"/>
              <w:szCs w:val="22"/>
            </w:rPr>
            <w:fldChar w:fldCharType="begin"/>
          </w:r>
          <w:r w:rsidRPr="00616B9B">
            <w:rPr>
              <w:rFonts w:ascii="Arial" w:hAnsi="Arial" w:cs="Arial"/>
              <w:sz w:val="22"/>
              <w:szCs w:val="22"/>
            </w:rPr>
            <w:instrText xml:space="preserve"> PAGE </w:instrText>
          </w:r>
          <w:r w:rsidRPr="00616B9B">
            <w:rPr>
              <w:rFonts w:ascii="Arial" w:hAnsi="Arial" w:cs="Arial"/>
              <w:sz w:val="22"/>
              <w:szCs w:val="22"/>
            </w:rPr>
            <w:fldChar w:fldCharType="separate"/>
          </w:r>
          <w:r w:rsidR="00566189">
            <w:rPr>
              <w:rFonts w:ascii="Arial" w:hAnsi="Arial" w:cs="Arial"/>
              <w:noProof/>
              <w:sz w:val="22"/>
              <w:szCs w:val="22"/>
            </w:rPr>
            <w:t>4</w:t>
          </w:r>
          <w:r w:rsidRPr="00616B9B">
            <w:rPr>
              <w:rFonts w:ascii="Arial" w:hAnsi="Arial"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D1C" w:rsidRDefault="00E00D1C">
      <w:r>
        <w:separator/>
      </w:r>
    </w:p>
    <w:p w:rsidR="00E00D1C" w:rsidRDefault="00E00D1C"/>
  </w:footnote>
  <w:footnote w:type="continuationSeparator" w:id="0">
    <w:p w:rsidR="00E00D1C" w:rsidRDefault="00E00D1C">
      <w:r>
        <w:continuationSeparator/>
      </w:r>
    </w:p>
    <w:p w:rsidR="00E00D1C" w:rsidRDefault="00E00D1C"/>
  </w:footnote>
  <w:footnote w:type="continuationNotice" w:id="1">
    <w:p w:rsidR="00E00D1C" w:rsidRDefault="00E00D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1445A5"/>
    <w:multiLevelType w:val="hybridMultilevel"/>
    <w:tmpl w:val="44B89740"/>
    <w:lvl w:ilvl="0" w:tplc="ECEE1116">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CE40D9"/>
    <w:multiLevelType w:val="hybridMultilevel"/>
    <w:tmpl w:val="0B7041FA"/>
    <w:lvl w:ilvl="0" w:tplc="043E357C">
      <w:start w:val="1"/>
      <w:numFmt w:val="decimal"/>
      <w:lvlText w:val="Q%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2DF2A0F"/>
    <w:multiLevelType w:val="hybridMultilevel"/>
    <w:tmpl w:val="56322E2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7">
    <w:nsid w:val="7DAF7975"/>
    <w:multiLevelType w:val="hybridMultilevel"/>
    <w:tmpl w:val="1442AF7E"/>
    <w:lvl w:ilvl="0" w:tplc="13F03C78">
      <w:start w:val="2"/>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7"/>
  </w:num>
  <w:num w:numId="2">
    <w:abstractNumId w:val="20"/>
  </w:num>
  <w:num w:numId="3">
    <w:abstractNumId w:val="13"/>
  </w:num>
  <w:num w:numId="4">
    <w:abstractNumId w:val="24"/>
  </w:num>
  <w:num w:numId="5">
    <w:abstractNumId w:val="3"/>
  </w:num>
  <w:num w:numId="6">
    <w:abstractNumId w:val="26"/>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31"/>
  </w:num>
  <w:num w:numId="15">
    <w:abstractNumId w:val="23"/>
  </w:num>
  <w:num w:numId="16">
    <w:abstractNumId w:val="11"/>
  </w:num>
  <w:num w:numId="17">
    <w:abstractNumId w:val="1"/>
  </w:num>
  <w:num w:numId="18">
    <w:abstractNumId w:val="15"/>
  </w:num>
  <w:num w:numId="19">
    <w:abstractNumId w:val="16"/>
  </w:num>
  <w:num w:numId="20">
    <w:abstractNumId w:val="18"/>
  </w:num>
  <w:num w:numId="21">
    <w:abstractNumId w:val="27"/>
  </w:num>
  <w:num w:numId="22">
    <w:abstractNumId w:val="34"/>
  </w:num>
  <w:num w:numId="23">
    <w:abstractNumId w:val="25"/>
  </w:num>
  <w:num w:numId="24">
    <w:abstractNumId w:val="10"/>
  </w:num>
  <w:num w:numId="25">
    <w:abstractNumId w:val="30"/>
  </w:num>
  <w:num w:numId="26">
    <w:abstractNumId w:val="29"/>
  </w:num>
  <w:num w:numId="27">
    <w:abstractNumId w:val="21"/>
  </w:num>
  <w:num w:numId="28">
    <w:abstractNumId w:val="33"/>
  </w:num>
  <w:num w:numId="29">
    <w:abstractNumId w:val="36"/>
  </w:num>
  <w:num w:numId="30">
    <w:abstractNumId w:val="8"/>
  </w:num>
  <w:num w:numId="31">
    <w:abstractNumId w:val="4"/>
  </w:num>
  <w:num w:numId="32">
    <w:abstractNumId w:val="22"/>
  </w:num>
  <w:num w:numId="33">
    <w:abstractNumId w:val="2"/>
  </w:num>
  <w:num w:numId="34">
    <w:abstractNumId w:val="4"/>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4"/>
    <w:lvlOverride w:ilvl="0">
      <w:startOverride w:val="2"/>
      <w:lvl w:ilvl="0">
        <w:start w:val="2"/>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startOverride w:val="20"/>
      <w:lvl w:ilvl="1">
        <w:start w:val="20"/>
        <w:numFmt w:val="decimal"/>
        <w:pStyle w:val="NEW-Level1"/>
        <w:suff w:val="space"/>
        <w:lvlText w:val="%1.%2."/>
        <w:lvlJc w:val="left"/>
        <w:pPr>
          <w:ind w:left="0" w:firstLine="0"/>
        </w:pPr>
        <w:rPr>
          <w:rFonts w:hint="default"/>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6">
    <w:abstractNumId w:val="12"/>
  </w:num>
  <w:num w:numId="3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Z4QBOZoeFLhVtdr+5Kzp0nq4F6s=" w:salt="3M9yBqqYhiFxTLTQeQgxbg=="/>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6305"/>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0E8"/>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67E62"/>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1C62"/>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406"/>
    <w:rsid w:val="00332D8D"/>
    <w:rsid w:val="0033364C"/>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CD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189"/>
    <w:rsid w:val="00566CE5"/>
    <w:rsid w:val="00566D3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2E4A"/>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63B"/>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19E8"/>
    <w:rsid w:val="008525FF"/>
    <w:rsid w:val="00852C03"/>
    <w:rsid w:val="0085590C"/>
    <w:rsid w:val="008575EB"/>
    <w:rsid w:val="00857F5C"/>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96E43"/>
    <w:rsid w:val="009A07A6"/>
    <w:rsid w:val="009A0D56"/>
    <w:rsid w:val="009A31B9"/>
    <w:rsid w:val="009A4D4F"/>
    <w:rsid w:val="009A53D8"/>
    <w:rsid w:val="009A597F"/>
    <w:rsid w:val="009A7B72"/>
    <w:rsid w:val="009A7E2F"/>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CB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9BF"/>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0D1C"/>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34F9"/>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682E4A"/>
    <w:pPr>
      <w:spacing w:after="120" w:line="264" w:lineRule="auto"/>
      <w:ind w:left="703" w:hanging="703"/>
      <w:jc w:val="both"/>
      <w:outlineLvl w:val="1"/>
    </w:pPr>
    <w:rPr>
      <w:rFonts w:ascii="Calibri" w:hAnsi="Calibri"/>
      <w:b/>
      <w:sz w:val="22"/>
      <w:szCs w:val="20"/>
      <w:lang w:eastAsia="en-US"/>
    </w:rPr>
  </w:style>
  <w:style w:type="character" w:customStyle="1" w:styleId="Questions-ESMAChar">
    <w:name w:val="Questions-ESMA Char"/>
    <w:link w:val="Questions-ESMA"/>
    <w:rsid w:val="00682E4A"/>
    <w:rPr>
      <w:rFonts w:ascii="Calibri" w:hAnsi="Calibri"/>
      <w:b/>
      <w:sz w:val="22"/>
      <w:lang w:eastAsia="en-US"/>
    </w:rPr>
  </w:style>
  <w:style w:type="paragraph" w:styleId="NoSpacing">
    <w:name w:val="No Spacing"/>
    <w:uiPriority w:val="1"/>
    <w:qFormat/>
    <w:rsid w:val="00B65CBB"/>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682E4A"/>
    <w:pPr>
      <w:spacing w:after="120" w:line="264" w:lineRule="auto"/>
      <w:ind w:left="703" w:hanging="703"/>
      <w:jc w:val="both"/>
      <w:outlineLvl w:val="1"/>
    </w:pPr>
    <w:rPr>
      <w:rFonts w:ascii="Calibri" w:hAnsi="Calibri"/>
      <w:b/>
      <w:sz w:val="22"/>
      <w:szCs w:val="20"/>
      <w:lang w:eastAsia="en-US"/>
    </w:rPr>
  </w:style>
  <w:style w:type="character" w:customStyle="1" w:styleId="Questions-ESMAChar">
    <w:name w:val="Questions-ESMA Char"/>
    <w:link w:val="Questions-ESMA"/>
    <w:rsid w:val="00682E4A"/>
    <w:rPr>
      <w:rFonts w:ascii="Calibri" w:hAnsi="Calibri"/>
      <w:b/>
      <w:sz w:val="22"/>
      <w:lang w:eastAsia="en-US"/>
    </w:rPr>
  </w:style>
  <w:style w:type="paragraph" w:styleId="NoSpacing">
    <w:name w:val="No Spacing"/>
    <w:uiPriority w:val="1"/>
    <w:qFormat/>
    <w:rsid w:val="00B65CB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7C112EB3D8041C587F3116780B1E3F3"/>
        <w:category>
          <w:name w:val="General"/>
          <w:gallery w:val="placeholder"/>
        </w:category>
        <w:types>
          <w:type w:val="bbPlcHdr"/>
        </w:types>
        <w:behaviors>
          <w:behavior w:val="content"/>
        </w:behaviors>
        <w:guid w:val="{A063AFDD-5E61-41F9-B9CC-C85989D5E1BA}"/>
      </w:docPartPr>
      <w:docPartBody>
        <w:p w:rsidR="00464746" w:rsidRDefault="00ED03BC" w:rsidP="00ED03BC">
          <w:pPr>
            <w:pStyle w:val="E7C112EB3D8041C587F3116780B1E3F3"/>
          </w:pPr>
          <w:r w:rsidRPr="000E3791">
            <w:rPr>
              <w:rStyle w:val="PlaceholderText"/>
            </w:rPr>
            <w:t>Choose an item.</w:t>
          </w:r>
        </w:p>
      </w:docPartBody>
    </w:docPart>
    <w:docPart>
      <w:docPartPr>
        <w:name w:val="2DC1312B70F74FA0860E38BB0E84A49C"/>
        <w:category>
          <w:name w:val="General"/>
          <w:gallery w:val="placeholder"/>
        </w:category>
        <w:types>
          <w:type w:val="bbPlcHdr"/>
        </w:types>
        <w:behaviors>
          <w:behavior w:val="content"/>
        </w:behaviors>
        <w:guid w:val="{4F83A857-F4BD-484F-BCBF-AEE5FC66B414}"/>
      </w:docPartPr>
      <w:docPartBody>
        <w:p w:rsidR="00464746" w:rsidRDefault="00ED03BC" w:rsidP="00ED03BC">
          <w:pPr>
            <w:pStyle w:val="2DC1312B70F74FA0860E38BB0E84A49C"/>
          </w:pPr>
          <w:r w:rsidRPr="000E3791">
            <w:rPr>
              <w:rStyle w:val="PlaceholderText"/>
            </w:rPr>
            <w:t>Choose an item.</w:t>
          </w:r>
        </w:p>
      </w:docPartBody>
    </w:docPart>
    <w:docPart>
      <w:docPartPr>
        <w:name w:val="7834084FE63541599E2A38657E70D469"/>
        <w:category>
          <w:name w:val="General"/>
          <w:gallery w:val="placeholder"/>
        </w:category>
        <w:types>
          <w:type w:val="bbPlcHdr"/>
        </w:types>
        <w:behaviors>
          <w:behavior w:val="content"/>
        </w:behaviors>
        <w:guid w:val="{208ECCFC-3D8D-4356-B1C9-40528A99061A}"/>
      </w:docPartPr>
      <w:docPartBody>
        <w:p w:rsidR="00464746" w:rsidRDefault="00ED03BC" w:rsidP="00ED03BC">
          <w:pPr>
            <w:pStyle w:val="7834084FE63541599E2A38657E70D469"/>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30F"/>
    <w:rsid w:val="00055A67"/>
    <w:rsid w:val="002D3005"/>
    <w:rsid w:val="00392976"/>
    <w:rsid w:val="00464746"/>
    <w:rsid w:val="0048389C"/>
    <w:rsid w:val="0063339F"/>
    <w:rsid w:val="0072030F"/>
    <w:rsid w:val="00A530AE"/>
    <w:rsid w:val="00E923C1"/>
    <w:rsid w:val="00ED0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3BC"/>
    <w:rPr>
      <w:color w:val="808080"/>
    </w:rPr>
  </w:style>
  <w:style w:type="paragraph" w:customStyle="1" w:styleId="D8FE2C1CFBC64DA085CEB68206EC4D5F">
    <w:name w:val="D8FE2C1CFBC64DA085CEB68206EC4D5F"/>
    <w:rsid w:val="0072030F"/>
  </w:style>
  <w:style w:type="paragraph" w:customStyle="1" w:styleId="0081D286CDF0459F9B97CC72A4311E14">
    <w:name w:val="0081D286CDF0459F9B97CC72A4311E14"/>
    <w:rsid w:val="0072030F"/>
  </w:style>
  <w:style w:type="paragraph" w:customStyle="1" w:styleId="953C28196CA0444E89CB3C4F46FF034D">
    <w:name w:val="953C28196CA0444E89CB3C4F46FF034D"/>
    <w:rsid w:val="0072030F"/>
  </w:style>
  <w:style w:type="paragraph" w:customStyle="1" w:styleId="840B1874448842BA8A0739FDBCC2D7D6">
    <w:name w:val="840B1874448842BA8A0739FDBCC2D7D6"/>
    <w:rsid w:val="0072030F"/>
  </w:style>
  <w:style w:type="paragraph" w:customStyle="1" w:styleId="B8A8F59C81394C7EA1B533D9AD21C18C">
    <w:name w:val="B8A8F59C81394C7EA1B533D9AD21C18C"/>
    <w:rsid w:val="0072030F"/>
  </w:style>
  <w:style w:type="paragraph" w:customStyle="1" w:styleId="244991D339784149A998E73649C9BA3F">
    <w:name w:val="244991D339784149A998E73649C9BA3F"/>
    <w:rsid w:val="0072030F"/>
  </w:style>
  <w:style w:type="paragraph" w:customStyle="1" w:styleId="E7C112EB3D8041C587F3116780B1E3F3">
    <w:name w:val="E7C112EB3D8041C587F3116780B1E3F3"/>
    <w:rsid w:val="00ED03BC"/>
  </w:style>
  <w:style w:type="paragraph" w:customStyle="1" w:styleId="2DC1312B70F74FA0860E38BB0E84A49C">
    <w:name w:val="2DC1312B70F74FA0860E38BB0E84A49C"/>
    <w:rsid w:val="00ED03BC"/>
  </w:style>
  <w:style w:type="paragraph" w:customStyle="1" w:styleId="7834084FE63541599E2A38657E70D469">
    <w:name w:val="7834084FE63541599E2A38657E70D469"/>
    <w:rsid w:val="00ED0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3BC"/>
    <w:rPr>
      <w:color w:val="808080"/>
    </w:rPr>
  </w:style>
  <w:style w:type="paragraph" w:customStyle="1" w:styleId="D8FE2C1CFBC64DA085CEB68206EC4D5F">
    <w:name w:val="D8FE2C1CFBC64DA085CEB68206EC4D5F"/>
    <w:rsid w:val="0072030F"/>
  </w:style>
  <w:style w:type="paragraph" w:customStyle="1" w:styleId="0081D286CDF0459F9B97CC72A4311E14">
    <w:name w:val="0081D286CDF0459F9B97CC72A4311E14"/>
    <w:rsid w:val="0072030F"/>
  </w:style>
  <w:style w:type="paragraph" w:customStyle="1" w:styleId="953C28196CA0444E89CB3C4F46FF034D">
    <w:name w:val="953C28196CA0444E89CB3C4F46FF034D"/>
    <w:rsid w:val="0072030F"/>
  </w:style>
  <w:style w:type="paragraph" w:customStyle="1" w:styleId="840B1874448842BA8A0739FDBCC2D7D6">
    <w:name w:val="840B1874448842BA8A0739FDBCC2D7D6"/>
    <w:rsid w:val="0072030F"/>
  </w:style>
  <w:style w:type="paragraph" w:customStyle="1" w:styleId="B8A8F59C81394C7EA1B533D9AD21C18C">
    <w:name w:val="B8A8F59C81394C7EA1B533D9AD21C18C"/>
    <w:rsid w:val="0072030F"/>
  </w:style>
  <w:style w:type="paragraph" w:customStyle="1" w:styleId="244991D339784149A998E73649C9BA3F">
    <w:name w:val="244991D339784149A998E73649C9BA3F"/>
    <w:rsid w:val="0072030F"/>
  </w:style>
  <w:style w:type="paragraph" w:customStyle="1" w:styleId="E7C112EB3D8041C587F3116780B1E3F3">
    <w:name w:val="E7C112EB3D8041C587F3116780B1E3F3"/>
    <w:rsid w:val="00ED03BC"/>
  </w:style>
  <w:style w:type="paragraph" w:customStyle="1" w:styleId="2DC1312B70F74FA0860E38BB0E84A49C">
    <w:name w:val="2DC1312B70F74FA0860E38BB0E84A49C"/>
    <w:rsid w:val="00ED03BC"/>
  </w:style>
  <w:style w:type="paragraph" w:customStyle="1" w:styleId="7834084FE63541599E2A38657E70D469">
    <w:name w:val="7834084FE63541599E2A38657E70D469"/>
    <w:rsid w:val="00ED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222B9-404E-4178-92A0-6E2EEBF8DC3C}">
  <ds:schemaRefs>
    <ds:schemaRef ds:uri="http://schemas.openxmlformats.org/officeDocument/2006/bibliography"/>
  </ds:schemaRefs>
</ds:datastoreItem>
</file>

<file path=customXml/itemProps2.xml><?xml version="1.0" encoding="utf-8"?>
<ds:datastoreItem xmlns:ds="http://schemas.openxmlformats.org/officeDocument/2006/customXml" ds:itemID="{D18CFC9B-DFB5-43DA-91FA-864D68E45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1885</Words>
  <Characters>10751</Characters>
  <Application>Microsoft Office Word</Application>
  <DocSecurity>8</DocSecurity>
  <Lines>89</Lines>
  <Paragraphs>25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12611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Kalogeropoulos, George</cp:lastModifiedBy>
  <cp:revision>2</cp:revision>
  <cp:lastPrinted>2014-05-08T16:06:00Z</cp:lastPrinted>
  <dcterms:created xsi:type="dcterms:W3CDTF">2015-02-19T09:50:00Z</dcterms:created>
  <dcterms:modified xsi:type="dcterms:W3CDTF">2015-02-19T09:50:00Z</dcterms:modified>
</cp:coreProperties>
</file>