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032350" w:rsidP="000E4A37">
            <w:pPr>
              <w:pStyle w:val="00bDBInfo"/>
              <w:rPr>
                <w:rFonts w:cs="Arial"/>
              </w:rPr>
            </w:pPr>
            <w:r>
              <w:rPr>
                <w:rFonts w:cs="Arial"/>
              </w:rPr>
              <w:t>26</w:t>
            </w:r>
            <w:r w:rsidR="003A5DAC">
              <w:rPr>
                <w:rFonts w:cs="Arial"/>
              </w:rPr>
              <w:t xml:space="preserve"> </w:t>
            </w:r>
            <w:r w:rsidR="000E4A37">
              <w:rPr>
                <w:rFonts w:cs="Arial"/>
              </w:rPr>
              <w:t>August</w:t>
            </w:r>
            <w:r w:rsidR="00ED351E" w:rsidRPr="004E49B0">
              <w:rPr>
                <w:rFonts w:cs="Arial"/>
              </w:rPr>
              <w:t xml:space="preserve"> </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791EB4" w:rsidRPr="00616B9B" w:rsidRDefault="00B31F8C" w:rsidP="00B31F8C">
            <w:pPr>
              <w:pStyle w:val="01aDBTitle"/>
              <w:rPr>
                <w:rFonts w:cs="Arial"/>
              </w:rPr>
            </w:pPr>
            <w:r w:rsidRPr="00B31F8C">
              <w:rPr>
                <w:rFonts w:cs="Arial"/>
              </w:rPr>
              <w:t>Discussion Paper on Review of Article 26 of RTS 153/2013</w:t>
            </w: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032350">
            <w:pPr>
              <w:pStyle w:val="02Date"/>
              <w:rPr>
                <w:rFonts w:cs="Arial"/>
              </w:rPr>
            </w:pPr>
            <w:r w:rsidRPr="004E49B0">
              <w:rPr>
                <w:rFonts w:cs="Arial"/>
              </w:rPr>
              <w:lastRenderedPageBreak/>
              <w:t xml:space="preserve">Date: </w:t>
            </w:r>
            <w:r w:rsidR="00032350">
              <w:rPr>
                <w:rFonts w:cs="Arial"/>
              </w:rPr>
              <w:t>26</w:t>
            </w:r>
            <w:r w:rsidR="004E49B0" w:rsidRPr="004E49B0">
              <w:rPr>
                <w:rFonts w:cs="Arial"/>
              </w:rPr>
              <w:t xml:space="preserve"> </w:t>
            </w:r>
            <w:r w:rsidR="000E4A37">
              <w:rPr>
                <w:rFonts w:cs="Arial"/>
              </w:rPr>
              <w:t>August</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B31F8C" w:rsidRPr="00B31F8C">
        <w:rPr>
          <w:rFonts w:cs="Arial"/>
        </w:rPr>
        <w:t>Discussion Paper on Review of Article 26 of RTS 153/2013</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 xml:space="preserve"> QUESTION_</w:t>
      </w:r>
      <w:r w:rsidR="000E4A37">
        <w:rPr>
          <w:rFonts w:cs="Arial"/>
        </w:rPr>
        <w:t>RTS_153_26</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ESMA_</w:t>
      </w:r>
      <w:r w:rsidR="000E4A37" w:rsidRPr="000E4A37">
        <w:rPr>
          <w:rFonts w:cs="Arial"/>
        </w:rPr>
        <w:t xml:space="preserve"> </w:t>
      </w:r>
      <w:r w:rsidR="000E4A37">
        <w:rPr>
          <w:rFonts w:cs="Arial"/>
        </w:rPr>
        <w:t>RTS_153_26</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0E4A37">
        <w:rPr>
          <w:rFonts w:cs="Arial"/>
        </w:rPr>
        <w:t>XXXX</w:t>
      </w:r>
      <w:r w:rsidRPr="00EF0769">
        <w:rPr>
          <w:rFonts w:cs="Arial"/>
        </w:rPr>
        <w:t xml:space="preserve">, the </w:t>
      </w:r>
      <w:r w:rsidR="00021E83" w:rsidRPr="00EF0769">
        <w:rPr>
          <w:rFonts w:cs="Arial"/>
        </w:rPr>
        <w:t>name of the reply form would be:</w:t>
      </w:r>
    </w:p>
    <w:p w:rsidR="00021E83" w:rsidRPr="00EF0769" w:rsidRDefault="00021E83" w:rsidP="000D17AA">
      <w:pPr>
        <w:pStyle w:val="04BodyText"/>
        <w:spacing w:before="120" w:after="120"/>
        <w:jc w:val="left"/>
        <w:rPr>
          <w:rFonts w:cs="Arial"/>
        </w:rPr>
      </w:pPr>
      <w:r w:rsidRPr="00EF0769">
        <w:rPr>
          <w:rFonts w:cs="Arial"/>
        </w:rPr>
        <w:t>ESMA_</w:t>
      </w:r>
      <w:r w:rsidR="000E4A37">
        <w:rPr>
          <w:rFonts w:cs="Arial"/>
        </w:rPr>
        <w:t>RTS_153_26</w:t>
      </w:r>
      <w:r w:rsidR="00332304">
        <w:rPr>
          <w:rFonts w:cs="Arial"/>
        </w:rPr>
        <w:t>_</w:t>
      </w:r>
      <w:r w:rsidR="000E4A37">
        <w:rPr>
          <w:rFonts w:cs="Arial"/>
        </w:rPr>
        <w:t>XXXX</w:t>
      </w:r>
      <w:r w:rsidRPr="00EF0769">
        <w:rPr>
          <w:rFonts w:cs="Arial"/>
        </w:rPr>
        <w:t xml:space="preserve">_REPLYFORM or </w:t>
      </w:r>
    </w:p>
    <w:p w:rsidR="000D17AA" w:rsidRPr="00EF0769" w:rsidRDefault="00021E83" w:rsidP="000D17AA">
      <w:pPr>
        <w:pStyle w:val="04BodyText"/>
        <w:spacing w:before="120" w:after="120"/>
        <w:jc w:val="left"/>
        <w:rPr>
          <w:rFonts w:cs="Arial"/>
        </w:rPr>
      </w:pPr>
      <w:r w:rsidRPr="00EF0769">
        <w:rPr>
          <w:rFonts w:cs="Arial"/>
        </w:rPr>
        <w:t>ESMA_</w:t>
      </w:r>
      <w:r w:rsidR="000E4A37">
        <w:rPr>
          <w:rFonts w:cs="Arial"/>
        </w:rPr>
        <w:t>RTS_153_26_XXXX</w:t>
      </w:r>
      <w:r w:rsidRPr="00EF0769">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5C46AD">
        <w:rPr>
          <w:rFonts w:cs="Arial"/>
          <w:b/>
        </w:rPr>
        <w:t xml:space="preserve">30 September </w:t>
      </w:r>
      <w:r w:rsidR="00021E83" w:rsidRPr="00EF0769">
        <w:rPr>
          <w:rFonts w:cs="Arial"/>
          <w:b/>
        </w:rPr>
        <w:t>2015.</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w:t>
      </w:r>
      <w:r w:rsidR="00032350">
        <w:rPr>
          <w:rFonts w:cs="Arial"/>
        </w:rPr>
        <w:t xml:space="preserve"> acc</w:t>
      </w:r>
      <w:r w:rsidRPr="00EF0769">
        <w:rPr>
          <w:rFonts w:cs="Arial"/>
        </w:rPr>
        <w:t>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4"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Default="00D34282" w:rsidP="00D34282">
      <w:pPr>
        <w:pStyle w:val="Heading1"/>
        <w:numPr>
          <w:ilvl w:val="0"/>
          <w:numId w:val="0"/>
        </w:numPr>
        <w:ind w:left="431" w:hanging="431"/>
      </w:pPr>
      <w:r>
        <w:lastRenderedPageBreak/>
        <w:t>Introduction</w:t>
      </w:r>
    </w:p>
    <w:p w:rsidR="00D34282" w:rsidRPr="001D47A5" w:rsidRDefault="00D34282" w:rsidP="00D34282">
      <w:pPr>
        <w:rPr>
          <w:rStyle w:val="IntenseEmphasis"/>
        </w:rPr>
      </w:pPr>
      <w:r w:rsidRPr="001D47A5">
        <w:rPr>
          <w:rStyle w:val="IntenseEmphasis"/>
        </w:rPr>
        <w:t>Please make your introductory comments below, if any:</w:t>
      </w:r>
    </w:p>
    <w:p w:rsidR="00D34282" w:rsidRPr="00C25863" w:rsidRDefault="00D34282" w:rsidP="00D34282">
      <w:r w:rsidRPr="00C25863">
        <w:t>&lt;</w:t>
      </w:r>
      <w:r w:rsidRPr="00D74C9D">
        <w:t xml:space="preserve"> </w:t>
      </w:r>
      <w:r>
        <w:t>ESMA_COMMENT</w:t>
      </w:r>
      <w:r w:rsidRPr="00C25863">
        <w:t>_</w:t>
      </w:r>
      <w:r w:rsidR="00F62D30">
        <w:rPr>
          <w:rFonts w:cs="Arial"/>
        </w:rPr>
        <w:t>RTS_153_26</w:t>
      </w:r>
      <w:r w:rsidRPr="00C25863">
        <w:t>_1&gt;</w:t>
      </w:r>
    </w:p>
    <w:p w:rsidR="00D34282" w:rsidRDefault="00BD44AA" w:rsidP="00D34282">
      <w:pPr>
        <w:rPr>
          <w:rFonts w:cs="Arial"/>
        </w:rPr>
      </w:pPr>
      <w:permStart w:id="940206555" w:edGrp="everyone"/>
      <w:r>
        <w:t xml:space="preserve">Shell </w:t>
      </w:r>
      <w:r w:rsidR="00035D92">
        <w:t xml:space="preserve">welcomes the opportunity to respond to </w:t>
      </w:r>
      <w:r w:rsidR="00035D92" w:rsidRPr="00EF0769">
        <w:rPr>
          <w:rFonts w:cs="Arial"/>
        </w:rPr>
        <w:t>ESMA</w:t>
      </w:r>
      <w:r w:rsidR="00035D92">
        <w:rPr>
          <w:rFonts w:cs="Arial"/>
        </w:rPr>
        <w:t>’s</w:t>
      </w:r>
      <w:r w:rsidR="00035D92" w:rsidRPr="00EF0769">
        <w:rPr>
          <w:rFonts w:cs="Arial"/>
        </w:rPr>
        <w:t xml:space="preserve"> </w:t>
      </w:r>
      <w:r w:rsidR="00035D92" w:rsidRPr="00B31F8C">
        <w:rPr>
          <w:rFonts w:cs="Arial"/>
        </w:rPr>
        <w:t xml:space="preserve">Discussion Paper on </w:t>
      </w:r>
      <w:r w:rsidR="00035D92">
        <w:rPr>
          <w:rFonts w:cs="Arial"/>
        </w:rPr>
        <w:t xml:space="preserve">the </w:t>
      </w:r>
      <w:r w:rsidR="00035D92" w:rsidRPr="00B31F8C">
        <w:rPr>
          <w:rFonts w:cs="Arial"/>
        </w:rPr>
        <w:t>Review of Article 26 of RTS 153/2013</w:t>
      </w:r>
      <w:r w:rsidR="00035D92">
        <w:rPr>
          <w:rFonts w:cs="Arial"/>
        </w:rPr>
        <w:t xml:space="preserve">. Shell broadly supports the responses provided by ISDA and FIA on this important topic. However, we would like to highlight several matters that could </w:t>
      </w:r>
      <w:r w:rsidR="0009758C">
        <w:rPr>
          <w:rFonts w:cs="Arial"/>
        </w:rPr>
        <w:t xml:space="preserve">1) </w:t>
      </w:r>
      <w:r w:rsidR="00035D92">
        <w:rPr>
          <w:rFonts w:cs="Arial"/>
        </w:rPr>
        <w:t>have a material impact on market partic</w:t>
      </w:r>
      <w:r w:rsidR="00035D92">
        <w:rPr>
          <w:rFonts w:cs="Arial"/>
        </w:rPr>
        <w:t>i</w:t>
      </w:r>
      <w:r w:rsidR="00035D92">
        <w:rPr>
          <w:rFonts w:cs="Arial"/>
        </w:rPr>
        <w:t xml:space="preserve">pants such as Shell who are clearing members of CCPs </w:t>
      </w:r>
      <w:r w:rsidR="006808CE">
        <w:rPr>
          <w:rFonts w:cs="Arial"/>
        </w:rPr>
        <w:t xml:space="preserve">but </w:t>
      </w:r>
      <w:r w:rsidR="00035D92">
        <w:rPr>
          <w:rFonts w:cs="Arial"/>
        </w:rPr>
        <w:t>only clear transactions on behalf of other members of the same group</w:t>
      </w:r>
      <w:r w:rsidR="006808CE">
        <w:rPr>
          <w:rFonts w:cs="Arial"/>
        </w:rPr>
        <w:t xml:space="preserve"> and </w:t>
      </w:r>
      <w:r w:rsidR="0009758C">
        <w:rPr>
          <w:rFonts w:cs="Arial"/>
        </w:rPr>
        <w:t xml:space="preserve">2) </w:t>
      </w:r>
      <w:r w:rsidR="006808CE">
        <w:rPr>
          <w:rFonts w:cs="Arial"/>
        </w:rPr>
        <w:t xml:space="preserve">result in additional </w:t>
      </w:r>
      <w:r w:rsidR="00BC6F7B">
        <w:rPr>
          <w:rFonts w:cs="Arial"/>
        </w:rPr>
        <w:t>risk being introduced into the financial system</w:t>
      </w:r>
      <w:r w:rsidR="006808CE">
        <w:rPr>
          <w:rFonts w:cs="Arial"/>
        </w:rPr>
        <w:t>.</w:t>
      </w:r>
    </w:p>
    <w:p w:rsidR="006808CE" w:rsidRDefault="006808CE" w:rsidP="00D34282">
      <w:pPr>
        <w:rPr>
          <w:rFonts w:cs="Arial"/>
        </w:rPr>
      </w:pPr>
    </w:p>
    <w:p w:rsidR="009919AE" w:rsidRDefault="006808CE" w:rsidP="00D34282">
      <w:pPr>
        <w:rPr>
          <w:rFonts w:cs="Arial"/>
        </w:rPr>
      </w:pPr>
      <w:r>
        <w:rPr>
          <w:rFonts w:cs="Arial"/>
        </w:rPr>
        <w:t xml:space="preserve">Shell International Trading and Shipping Company Limited </w:t>
      </w:r>
      <w:r w:rsidR="00BC6F7B">
        <w:rPr>
          <w:rFonts w:cs="Arial"/>
        </w:rPr>
        <w:t xml:space="preserve">(“STASCO”) is a clearing member of ICE Futures Europe and ICE Clear Europe. It maintains those memberships in order to execute and clear commodity derivatives for its own account and on behalf of other entities within the Royal Dutch Shell Group. Such ‘self-clearing’ arrangements </w:t>
      </w:r>
      <w:r w:rsidR="009919AE">
        <w:rPr>
          <w:rFonts w:cs="Arial"/>
        </w:rPr>
        <w:t>substantially eliminate</w:t>
      </w:r>
      <w:r w:rsidR="00BC6F7B">
        <w:rPr>
          <w:rFonts w:cs="Arial"/>
        </w:rPr>
        <w:t xml:space="preserve"> </w:t>
      </w:r>
      <w:r w:rsidR="009919AE">
        <w:rPr>
          <w:rFonts w:cs="Arial"/>
        </w:rPr>
        <w:t xml:space="preserve">any systemic risk Shell’s trading activities </w:t>
      </w:r>
      <w:r w:rsidR="0009758C">
        <w:rPr>
          <w:rFonts w:cs="Arial"/>
        </w:rPr>
        <w:t xml:space="preserve">potentially </w:t>
      </w:r>
      <w:r w:rsidR="009919AE">
        <w:rPr>
          <w:rFonts w:cs="Arial"/>
        </w:rPr>
        <w:t>pose to the wider financial system and enable Shell to deploy its capital more efficiently.</w:t>
      </w:r>
    </w:p>
    <w:p w:rsidR="009919AE" w:rsidRDefault="009919AE" w:rsidP="00D34282">
      <w:pPr>
        <w:rPr>
          <w:rFonts w:cs="Arial"/>
        </w:rPr>
      </w:pPr>
    </w:p>
    <w:p w:rsidR="009919AE" w:rsidRDefault="00195B25" w:rsidP="00D34282">
      <w:pPr>
        <w:rPr>
          <w:rFonts w:cs="Arial"/>
        </w:rPr>
      </w:pPr>
      <w:r>
        <w:rPr>
          <w:rFonts w:cs="Arial"/>
        </w:rPr>
        <w:t xml:space="preserve">We are particularly concerned by ESMA’s proposal that </w:t>
      </w:r>
      <w:r w:rsidRPr="00195B25">
        <w:rPr>
          <w:rFonts w:cs="Arial"/>
        </w:rPr>
        <w:t xml:space="preserve">house accounts and accounts of entities in the same group of the clearing members should continue to be margined with the same </w:t>
      </w:r>
      <w:r>
        <w:rPr>
          <w:rFonts w:cs="Arial"/>
        </w:rPr>
        <w:t xml:space="preserve">2 day </w:t>
      </w:r>
      <w:r w:rsidRPr="00195B25">
        <w:rPr>
          <w:rFonts w:cs="Arial"/>
        </w:rPr>
        <w:t>MPOR</w:t>
      </w:r>
      <w:r w:rsidR="009919AE">
        <w:rPr>
          <w:rFonts w:cs="Arial"/>
        </w:rPr>
        <w:t xml:space="preserve">. </w:t>
      </w:r>
    </w:p>
    <w:p w:rsidR="009919AE" w:rsidRDefault="009919AE" w:rsidP="00D34282">
      <w:pPr>
        <w:rPr>
          <w:rFonts w:cs="Arial"/>
        </w:rPr>
      </w:pPr>
    </w:p>
    <w:p w:rsidR="006808CE" w:rsidRDefault="004E5463" w:rsidP="00D34282">
      <w:r>
        <w:rPr>
          <w:rFonts w:cs="Arial"/>
        </w:rPr>
        <w:t xml:space="preserve">In light of the above, </w:t>
      </w:r>
      <w:r w:rsidR="00195B25">
        <w:rPr>
          <w:rFonts w:cs="Arial"/>
        </w:rPr>
        <w:t>we have limited our comments to this specific issue</w:t>
      </w:r>
      <w:r w:rsidR="00B75660">
        <w:rPr>
          <w:rFonts w:cs="Arial"/>
        </w:rPr>
        <w:t xml:space="preserve"> in our response to Question 6</w:t>
      </w:r>
      <w:r w:rsidR="00195B25">
        <w:rPr>
          <w:rFonts w:cs="Arial"/>
        </w:rPr>
        <w:t>.</w:t>
      </w:r>
      <w:r w:rsidR="009919AE">
        <w:rPr>
          <w:rFonts w:cs="Arial"/>
        </w:rPr>
        <w:t xml:space="preserve"> </w:t>
      </w:r>
      <w:r w:rsidR="00BC6F7B">
        <w:rPr>
          <w:rFonts w:cs="Arial"/>
        </w:rPr>
        <w:t xml:space="preserve"> </w:t>
      </w:r>
    </w:p>
    <w:permEnd w:id="940206555"/>
    <w:p w:rsidR="00D34282" w:rsidRPr="00C25863" w:rsidRDefault="00D34282" w:rsidP="00D34282">
      <w:r w:rsidRPr="00C25863">
        <w:t>&lt;</w:t>
      </w:r>
      <w:r w:rsidRPr="00D74C9D">
        <w:t xml:space="preserve"> </w:t>
      </w:r>
      <w:r>
        <w:t>ESMA_COMMENT</w:t>
      </w:r>
      <w:r w:rsidRPr="00C25863">
        <w:t>_</w:t>
      </w:r>
      <w:r w:rsidR="00F62D30" w:rsidRPr="00F62D30">
        <w:rPr>
          <w:rFonts w:cs="Arial"/>
        </w:rPr>
        <w:t xml:space="preserve"> </w:t>
      </w:r>
      <w:r w:rsidR="00F62D30">
        <w:rPr>
          <w:rFonts w:cs="Arial"/>
        </w:rPr>
        <w:t>RTS_153_26</w:t>
      </w:r>
      <w:r w:rsidRPr="00C25863">
        <w:t>_1&gt;</w:t>
      </w:r>
    </w:p>
    <w:p w:rsidR="00DD478C" w:rsidRPr="00DD478C" w:rsidRDefault="00F32462" w:rsidP="00DD478C">
      <w:pPr>
        <w:pStyle w:val="CPQuestions"/>
      </w:pPr>
      <w:r>
        <w:rPr>
          <w:rFonts w:cs="Arial"/>
          <w:szCs w:val="22"/>
        </w:rPr>
        <w:br w:type="page"/>
      </w:r>
      <w:r w:rsidR="00DD478C" w:rsidRPr="00DD478C">
        <w:rPr>
          <w:rFonts w:cs="Arial"/>
          <w:szCs w:val="22"/>
        </w:rPr>
        <w:lastRenderedPageBreak/>
        <w:t>ESMA welcomes views on the assumption that client margins maintained at CCP level on a OSA gross margining with one-day liquidation period would generally be higher than margin held at the CCP under an OSA net with a two-day liquidation period. Please, provide quantitative analysis on the effect of the reduction of ma</w:t>
      </w:r>
      <w:r w:rsidR="00DD478C" w:rsidRPr="00DD478C">
        <w:rPr>
          <w:rFonts w:cs="Arial"/>
          <w:szCs w:val="22"/>
        </w:rPr>
        <w:t>r</w:t>
      </w:r>
      <w:r w:rsidR="00DD478C" w:rsidRPr="00DD478C">
        <w:rPr>
          <w:rFonts w:cs="Arial"/>
          <w:szCs w:val="22"/>
        </w:rPr>
        <w:t>gin on the basis of 2 vs. 1 day MPOR and of the net (between clients’ positions) margining vs gross margining. Please also consider the potential impact of the case in which a one-day OSA gross is considered equivalent to the EU system and the RTS are not changed and the impact for the whole system if the MPOR at CCP level is reduced.</w:t>
      </w:r>
    </w:p>
    <w:p w:rsidR="00A8728B" w:rsidRDefault="00A8728B" w:rsidP="00A8728B">
      <w:r>
        <w:t>&lt;ESMA_QUESTION_</w:t>
      </w:r>
      <w:r w:rsidR="002A38B9">
        <w:t>RTS_153_26</w:t>
      </w:r>
      <w:r>
        <w:t>_1&gt;</w:t>
      </w:r>
    </w:p>
    <w:p w:rsidR="00C15B26" w:rsidRDefault="00C15B26" w:rsidP="00A8728B">
      <w:permStart w:id="1921650034" w:edGrp="everyone"/>
    </w:p>
    <w:p w:rsidR="00A8728B" w:rsidRDefault="00BC25EC" w:rsidP="00A8728B">
      <w:r>
        <w:t xml:space="preserve"> </w:t>
      </w:r>
    </w:p>
    <w:permEnd w:id="1921650034"/>
    <w:p w:rsidR="00A8728B" w:rsidRDefault="00A8728B" w:rsidP="00A8728B">
      <w:r>
        <w:t>&lt;ESMA_QUESTION_</w:t>
      </w:r>
      <w:r w:rsidR="002A38B9">
        <w:t>RTS_153_26</w:t>
      </w:r>
      <w:r>
        <w:t>_1&gt;</w:t>
      </w:r>
    </w:p>
    <w:p w:rsidR="009D3687" w:rsidRDefault="009D3687" w:rsidP="009D3687">
      <w:pPr>
        <w:pStyle w:val="CPQuestions"/>
      </w:pPr>
      <w:r w:rsidRPr="009D3687">
        <w:t>If the RTS were modified to allow one-day gross margin collection for ETDs, should this be extended to financial instruments other than OTC derivatives? What are the costs and benefits of either approach?</w:t>
      </w:r>
    </w:p>
    <w:p w:rsidR="00A8728B" w:rsidRDefault="00A8728B" w:rsidP="00A8728B">
      <w:r>
        <w:t>&lt;ESMA_QUESTION_</w:t>
      </w:r>
      <w:r w:rsidR="002A38B9">
        <w:t>RTS_153_26</w:t>
      </w:r>
      <w:r>
        <w:t>_2&gt;</w:t>
      </w:r>
    </w:p>
    <w:p w:rsidR="00A8728B" w:rsidRDefault="00A8728B" w:rsidP="00A8728B">
      <w:permStart w:id="2027974165" w:edGrp="everyone"/>
      <w:r>
        <w:t>TYPE YOUR TEXT HERE</w:t>
      </w:r>
    </w:p>
    <w:permEnd w:id="2027974165"/>
    <w:p w:rsidR="00A8728B" w:rsidRDefault="00A8728B" w:rsidP="00A8728B">
      <w:r>
        <w:t>&lt;ESMA_QUESTION_</w:t>
      </w:r>
      <w:r w:rsidR="002A38B9">
        <w:t>RTS_153_26</w:t>
      </w:r>
      <w:r>
        <w:t>_2&gt;</w:t>
      </w:r>
    </w:p>
    <w:p w:rsidR="009D3687" w:rsidRPr="00B62727" w:rsidRDefault="009D3687" w:rsidP="009D3687">
      <w:pPr>
        <w:pStyle w:val="CPQuestions"/>
      </w:pPr>
      <w:r w:rsidRPr="009D3687">
        <w:t>If a differentiation of MPOR is made for ETDs depending on the gross or net colle</w:t>
      </w:r>
      <w:r w:rsidRPr="009D3687">
        <w:t>c</w:t>
      </w:r>
      <w:r w:rsidRPr="009D3687">
        <w:t>tion of margins, should this differentiation be made for OTC derivatives as well? Would seven days MPOR for OTC derivatives be appropriate for net OSA? Please, provide quantitative analyses in support of your answer.</w:t>
      </w:r>
    </w:p>
    <w:p w:rsidR="00A8728B" w:rsidRDefault="00A8728B" w:rsidP="00A8728B">
      <w:r>
        <w:t>&lt;ESMA_QUESTION_</w:t>
      </w:r>
      <w:r w:rsidR="002A38B9">
        <w:t>RTS_153_26</w:t>
      </w:r>
      <w:r>
        <w:t>_3&gt;</w:t>
      </w:r>
    </w:p>
    <w:p w:rsidR="00A8728B" w:rsidRDefault="00A8728B" w:rsidP="00A8728B">
      <w:permStart w:id="2103798003" w:edGrp="everyone"/>
      <w:r>
        <w:t>TYPE YOUR TEXT HERE</w:t>
      </w:r>
    </w:p>
    <w:permEnd w:id="2103798003"/>
    <w:p w:rsidR="00A8728B" w:rsidRDefault="00A8728B" w:rsidP="00A8728B">
      <w:r>
        <w:t>&lt;ESMA_QUESTION_</w:t>
      </w:r>
      <w:r w:rsidR="002A38B9">
        <w:t>RTS_153_26</w:t>
      </w:r>
      <w:r>
        <w:t>_3&gt;</w:t>
      </w:r>
    </w:p>
    <w:p w:rsidR="00A8728B" w:rsidRPr="00B62727" w:rsidRDefault="002A38B9" w:rsidP="002A38B9">
      <w:pPr>
        <w:pStyle w:val="CPQuestions"/>
      </w:pPr>
      <w:r w:rsidRPr="002A38B9">
        <w:t>Should ISA and gross OSA be treated equally in terms of MPOR? Please provide quantitative evidence to support your arguments.</w:t>
      </w:r>
    </w:p>
    <w:p w:rsidR="00A8728B" w:rsidRDefault="00A8728B" w:rsidP="00A8728B">
      <w:r>
        <w:t>&lt;ESMA_QUESTION_</w:t>
      </w:r>
      <w:r w:rsidR="002A38B9">
        <w:t>RTS_153_26</w:t>
      </w:r>
      <w:r>
        <w:t>_4&gt;</w:t>
      </w:r>
    </w:p>
    <w:p w:rsidR="00A8728B" w:rsidRDefault="00A8728B" w:rsidP="00A8728B">
      <w:permStart w:id="45838183" w:edGrp="everyone"/>
      <w:r>
        <w:t>TYPE YOUR TEXT HERE</w:t>
      </w:r>
    </w:p>
    <w:permEnd w:id="45838183"/>
    <w:p w:rsidR="00A8728B" w:rsidRDefault="00A8728B" w:rsidP="00A8728B">
      <w:r>
        <w:t>&lt;ESMA_QUESTION_</w:t>
      </w:r>
      <w:r w:rsidR="002A38B9">
        <w:t>RTS_153_26</w:t>
      </w:r>
      <w:r>
        <w:t>_4&gt;</w:t>
      </w:r>
    </w:p>
    <w:p w:rsidR="00A8728B" w:rsidRPr="00B62727" w:rsidRDefault="002A38B9" w:rsidP="002A38B9">
      <w:pPr>
        <w:pStyle w:val="CPQuestions"/>
      </w:pPr>
      <w:r w:rsidRPr="002A38B9">
        <w:t>Do you consider that specific conditions should apply in order to ensure that ma</w:t>
      </w:r>
      <w:r w:rsidRPr="002A38B9">
        <w:t>r</w:t>
      </w:r>
      <w:r w:rsidRPr="002A38B9">
        <w:t>gins are called intraday in case the MPOR is reduced to 1-day under a gross client margins collection?</w:t>
      </w:r>
    </w:p>
    <w:p w:rsidR="00A8728B" w:rsidRDefault="00A8728B" w:rsidP="00A8728B">
      <w:r>
        <w:t>&lt;ESMA_QUESTION_</w:t>
      </w:r>
      <w:r w:rsidR="002A38B9">
        <w:t>RTS_153_26</w:t>
      </w:r>
      <w:r>
        <w:t>_5&gt;</w:t>
      </w:r>
    </w:p>
    <w:p w:rsidR="00A8728B" w:rsidRDefault="00A8728B" w:rsidP="00A8728B">
      <w:permStart w:id="440690528" w:edGrp="everyone"/>
      <w:r>
        <w:t>TYPE YOUR TEXT HERE</w:t>
      </w:r>
    </w:p>
    <w:permEnd w:id="440690528"/>
    <w:p w:rsidR="00A8728B" w:rsidRDefault="00A8728B" w:rsidP="00A8728B">
      <w:r>
        <w:t>&lt;ESMA_QUESTION_</w:t>
      </w:r>
      <w:r w:rsidR="002A38B9">
        <w:t>RTS_153_26</w:t>
      </w:r>
      <w:r>
        <w:t>_5&gt;</w:t>
      </w:r>
    </w:p>
    <w:p w:rsidR="00A8728B" w:rsidRDefault="002A38B9" w:rsidP="002A38B9">
      <w:pPr>
        <w:pStyle w:val="CPQuestions"/>
      </w:pPr>
      <w:r w:rsidRPr="002A38B9">
        <w:lastRenderedPageBreak/>
        <w:t>Do you agree that entities of the same group as clearing members should not be allowed to benefit from a lower MPOR even if they chose an OSA gross or ISA a</w:t>
      </w:r>
      <w:r w:rsidRPr="002A38B9">
        <w:t>c</w:t>
      </w:r>
      <w:r w:rsidRPr="002A38B9">
        <w:t>count? What are the costs and benefits of either approach?</w:t>
      </w:r>
    </w:p>
    <w:p w:rsidR="00A8728B" w:rsidRDefault="00A8728B" w:rsidP="00A8728B">
      <w:r>
        <w:t>&lt;ESMA_QUESTION_</w:t>
      </w:r>
      <w:r w:rsidR="002A38B9">
        <w:t>RTS_153_26</w:t>
      </w:r>
      <w:r>
        <w:t>_6&gt;</w:t>
      </w:r>
    </w:p>
    <w:p w:rsidR="00705C6D" w:rsidRDefault="00B75660" w:rsidP="00A8728B">
      <w:permStart w:id="1231573582" w:edGrp="everyone"/>
      <w:r>
        <w:t>As noted in our introductory remarks, STASCO fulfils an important role in providing access to CCP clea</w:t>
      </w:r>
      <w:r>
        <w:t>r</w:t>
      </w:r>
      <w:r>
        <w:t>ing arrangements for other Shell group companies</w:t>
      </w:r>
      <w:r w:rsidR="00705C6D">
        <w:t xml:space="preserve">. In doing so, it enables Shell to manage risk more effectively and deploy its capital efficiently. Unlike most other clearing members, STASCO does not have any other external third party clients to whom it provides clearing services. </w:t>
      </w:r>
    </w:p>
    <w:p w:rsidR="00705C6D" w:rsidRDefault="00705C6D" w:rsidP="00A8728B"/>
    <w:p w:rsidR="00406902" w:rsidRDefault="00705C6D" w:rsidP="00406902">
      <w:r>
        <w:t xml:space="preserve">By imposing the same 2 day MPOR as house accounts on affiliates, </w:t>
      </w:r>
      <w:r w:rsidR="00406902">
        <w:t>self-clearers such as Shell are placed at a significant competitive disad</w:t>
      </w:r>
      <w:r w:rsidR="0009758C">
        <w:t>vantage to those who are not. It also could introduce</w:t>
      </w:r>
      <w:r w:rsidR="00406902">
        <w:t xml:space="preserve"> unne</w:t>
      </w:r>
      <w:r w:rsidR="00406902">
        <w:t>c</w:t>
      </w:r>
      <w:r w:rsidR="00406902">
        <w:t>essary risks into the financial system. A</w:t>
      </w:r>
      <w:r w:rsidR="002E11B0">
        <w:t xml:space="preserve">s noted in paragraph 37 of the Discussion Paper, </w:t>
      </w:r>
      <w:r>
        <w:t>ESMA does indeed create an ince</w:t>
      </w:r>
      <w:r>
        <w:t>n</w:t>
      </w:r>
      <w:r>
        <w:t xml:space="preserve">tive for clearing members such as STASCO to reconsider restructuring its activities. </w:t>
      </w:r>
      <w:r w:rsidR="00406902">
        <w:t>We see no reason why affiliates should be treated any differently t</w:t>
      </w:r>
      <w:r w:rsidR="0009758C">
        <w:t>o any other third party client. We firmly believe affiliates</w:t>
      </w:r>
      <w:r w:rsidR="00406902">
        <w:t xml:space="preserve"> </w:t>
      </w:r>
      <w:r w:rsidR="0009758C">
        <w:t xml:space="preserve">should </w:t>
      </w:r>
      <w:r w:rsidR="00406902">
        <w:t>benefit from the same MPOR treatment.</w:t>
      </w:r>
    </w:p>
    <w:p w:rsidR="00406902" w:rsidRDefault="00406902" w:rsidP="00406902"/>
    <w:p w:rsidR="00406902" w:rsidRDefault="00406902" w:rsidP="00406902">
      <w:r>
        <w:t>ESMA’s proposals will have the effect of forcing self-clearers such as Shell into the arms of a clearing broker</w:t>
      </w:r>
      <w:r w:rsidR="003C0E99">
        <w:t>. This would have the perverse effect of increasing risk in the system rather than mitigating it due to</w:t>
      </w:r>
      <w:r>
        <w:t>:</w:t>
      </w:r>
    </w:p>
    <w:p w:rsidR="00406902" w:rsidRDefault="00406902" w:rsidP="00406902"/>
    <w:p w:rsidR="003C0E99" w:rsidRDefault="00406902" w:rsidP="00406902">
      <w:pPr>
        <w:pStyle w:val="ListParagraph"/>
        <w:numPr>
          <w:ilvl w:val="0"/>
          <w:numId w:val="50"/>
        </w:numPr>
      </w:pPr>
      <w:r>
        <w:t>Increase</w:t>
      </w:r>
      <w:r w:rsidR="003C0E99">
        <w:t>s</w:t>
      </w:r>
      <w:r>
        <w:t xml:space="preserve"> in counterparty risk when counterparty is a clearing broker and not the CCP</w:t>
      </w:r>
    </w:p>
    <w:p w:rsidR="003C0E99" w:rsidRDefault="00406902" w:rsidP="00406902">
      <w:pPr>
        <w:pStyle w:val="ListParagraph"/>
        <w:numPr>
          <w:ilvl w:val="0"/>
          <w:numId w:val="50"/>
        </w:numPr>
      </w:pPr>
      <w:r>
        <w:t>Certain elements of processes/controls that the self-clearer operates may need to be released to the clearing broker (monitoring, trade checking, reporting etc.), which changes the risk profile of the self-clearer</w:t>
      </w:r>
    </w:p>
    <w:p w:rsidR="003C0E99" w:rsidRDefault="003C0E99" w:rsidP="00406902">
      <w:pPr>
        <w:pStyle w:val="ListParagraph"/>
        <w:numPr>
          <w:ilvl w:val="0"/>
          <w:numId w:val="50"/>
        </w:numPr>
      </w:pPr>
      <w:r>
        <w:t>The m</w:t>
      </w:r>
      <w:r w:rsidR="00406902">
        <w:t>ovement of systemic risk away from CCP’s and onto Clearing Brokers</w:t>
      </w:r>
    </w:p>
    <w:p w:rsidR="00406902" w:rsidRDefault="003C0E99" w:rsidP="00406902">
      <w:pPr>
        <w:pStyle w:val="ListParagraph"/>
        <w:numPr>
          <w:ilvl w:val="0"/>
          <w:numId w:val="50"/>
        </w:numPr>
      </w:pPr>
      <w:r>
        <w:t xml:space="preserve">Increased  </w:t>
      </w:r>
      <w:r w:rsidR="00406902">
        <w:t>g</w:t>
      </w:r>
      <w:r>
        <w:t>uaranty fund contributions resulting from fewer clearing members</w:t>
      </w:r>
      <w:r w:rsidR="00406902">
        <w:t>,</w:t>
      </w:r>
      <w:r w:rsidR="0009758C">
        <w:t xml:space="preserve"> which increases</w:t>
      </w:r>
      <w:r w:rsidR="00406902">
        <w:t xml:space="preserve"> concen</w:t>
      </w:r>
      <w:r w:rsidR="0009758C">
        <w:t>tration risk; this</w:t>
      </w:r>
      <w:r w:rsidR="00406902">
        <w:t xml:space="preserve"> further increases incentive for House accounts to move to Clearing Br</w:t>
      </w:r>
      <w:r w:rsidR="0009758C">
        <w:t>o</w:t>
      </w:r>
      <w:r w:rsidR="00406902">
        <w:t xml:space="preserve">kers, </w:t>
      </w:r>
      <w:r w:rsidR="0009758C">
        <w:t>creating what is e</w:t>
      </w:r>
      <w:r w:rsidR="00406902">
        <w:t xml:space="preserve">ssentially a feedback loop </w:t>
      </w:r>
      <w:r w:rsidR="0009758C">
        <w:t xml:space="preserve">that </w:t>
      </w:r>
      <w:r w:rsidR="00406902">
        <w:t>concentr</w:t>
      </w:r>
      <w:r>
        <w:t>at</w:t>
      </w:r>
      <w:r w:rsidR="0009758C">
        <w:t>es</w:t>
      </w:r>
      <w:r w:rsidR="00406902">
        <w:t xml:space="preserve"> risk at  the Clearing Brokers (of whom there is a diminishing pool)</w:t>
      </w:r>
    </w:p>
    <w:p w:rsidR="003C0E99" w:rsidRDefault="003C0E99" w:rsidP="00406902"/>
    <w:p w:rsidR="002E11B0" w:rsidRDefault="002E11B0" w:rsidP="00A8728B">
      <w:bookmarkStart w:id="3" w:name="_GoBack"/>
      <w:bookmarkEnd w:id="3"/>
    </w:p>
    <w:permEnd w:id="1231573582"/>
    <w:p w:rsidR="00A8728B" w:rsidRDefault="00A8728B" w:rsidP="00A8728B">
      <w:r>
        <w:t>&lt;ESMA_QUESTION_</w:t>
      </w:r>
      <w:r w:rsidR="002A38B9">
        <w:t>RTS_153_26</w:t>
      </w:r>
      <w:r>
        <w:t>_6&gt;</w:t>
      </w:r>
    </w:p>
    <w:p w:rsidR="00A8728B" w:rsidRPr="00C24BCA" w:rsidRDefault="002A38B9" w:rsidP="002A38B9">
      <w:pPr>
        <w:pStyle w:val="CPQuestions"/>
      </w:pPr>
      <w:r w:rsidRPr="002A38B9">
        <w:t>Do you consider that specific conditions (e.g. compulsory pre-existing arrang</w:t>
      </w:r>
      <w:r w:rsidRPr="002A38B9">
        <w:t>e</w:t>
      </w:r>
      <w:r w:rsidRPr="002A38B9">
        <w:t>ment with a back-up clearing member) should apply in order to enhance the port</w:t>
      </w:r>
      <w:r w:rsidRPr="002A38B9">
        <w:t>a</w:t>
      </w:r>
      <w:r w:rsidRPr="002A38B9">
        <w:t>bility of client positions in order to benefit for the gross margining with one-day liquidation period? What conditions in your view would enhance the portability of client accounts? What are the costs and benefits of the suggested condition? Is it feasible that each client in an OSA would nominate a back-up clearing member or could this be a practical impediment to the establishment of gross margining? Is it feasible to expect an alternative clearing member to guarantee to accept porting of a client’s positions in the event of the primary clearing member’s default?</w:t>
      </w:r>
    </w:p>
    <w:p w:rsidR="00A8728B" w:rsidRDefault="00A8728B" w:rsidP="00A8728B">
      <w:r>
        <w:t>&lt;ESMA_QUESTION_</w:t>
      </w:r>
      <w:r w:rsidR="002A38B9">
        <w:t>RTS_153_26</w:t>
      </w:r>
      <w:r>
        <w:t>_7&gt;</w:t>
      </w:r>
    </w:p>
    <w:p w:rsidR="00A8728B" w:rsidRDefault="00A8728B" w:rsidP="00A8728B">
      <w:permStart w:id="671769427" w:edGrp="everyone"/>
      <w:r>
        <w:t>TYPE YOUR TEXT HERE</w:t>
      </w:r>
    </w:p>
    <w:permEnd w:id="671769427"/>
    <w:p w:rsidR="00A8728B" w:rsidRDefault="00A8728B" w:rsidP="00A8728B">
      <w:r>
        <w:t>&lt;ESMA_QUESTION_</w:t>
      </w:r>
      <w:r w:rsidR="002A38B9">
        <w:t>RTS_153_26</w:t>
      </w:r>
      <w:r>
        <w:t>_7&gt;</w:t>
      </w:r>
    </w:p>
    <w:p w:rsidR="00A8728B" w:rsidRPr="00C24BCA" w:rsidRDefault="002A38B9" w:rsidP="002A38B9">
      <w:pPr>
        <w:pStyle w:val="CPQuestions"/>
      </w:pPr>
      <w:r w:rsidRPr="002A38B9">
        <w:t xml:space="preserve">Is there any other aspect or concern that ESMA should consider when reviewing Article 26 with respect to client accounts? </w:t>
      </w:r>
      <w:r>
        <w:t xml:space="preserve"> </w:t>
      </w:r>
    </w:p>
    <w:p w:rsidR="00A8728B" w:rsidRDefault="00A8728B" w:rsidP="00A8728B">
      <w:r>
        <w:t>&lt;ESMA_QUESTION_</w:t>
      </w:r>
      <w:r w:rsidR="002A38B9">
        <w:t>RTS_153_26</w:t>
      </w:r>
      <w:r>
        <w:t>_8&gt;</w:t>
      </w:r>
    </w:p>
    <w:p w:rsidR="00A8728B" w:rsidRDefault="00A8728B" w:rsidP="00A8728B">
      <w:permStart w:id="1025133734" w:edGrp="everyone"/>
      <w:r>
        <w:t>TYPE YOUR TEXT HERE</w:t>
      </w:r>
    </w:p>
    <w:permEnd w:id="1025133734"/>
    <w:p w:rsidR="00A8728B" w:rsidRDefault="00A8728B" w:rsidP="00A8728B">
      <w:r>
        <w:t>&lt;ESMA_QUESTION_</w:t>
      </w:r>
      <w:r w:rsidR="002A38B9">
        <w:t>RTS_153_26</w:t>
      </w:r>
      <w:r>
        <w:t>_8&gt;</w:t>
      </w:r>
    </w:p>
    <w:sectPr w:rsidR="00A8728B" w:rsidSect="00A8728B">
      <w:headerReference w:type="even" r:id="rId15"/>
      <w:headerReference w:type="first" r:id="rId16"/>
      <w:footerReference w:type="first" r:id="rId17"/>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310" w:rsidRDefault="00464310">
      <w:r>
        <w:separator/>
      </w:r>
    </w:p>
    <w:p w:rsidR="00464310" w:rsidRDefault="00464310"/>
  </w:endnote>
  <w:endnote w:type="continuationSeparator" w:id="0">
    <w:p w:rsidR="00464310" w:rsidRDefault="00464310">
      <w:r>
        <w:continuationSeparator/>
      </w:r>
    </w:p>
    <w:p w:rsidR="00464310" w:rsidRDefault="00464310"/>
  </w:endnote>
  <w:endnote w:type="continuationNotice" w:id="1">
    <w:p w:rsidR="00464310" w:rsidRDefault="00464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09758C">
            <w:rPr>
              <w:rFonts w:cs="Arial"/>
              <w:noProof/>
              <w:sz w:val="22"/>
              <w:szCs w:val="22"/>
            </w:rPr>
            <w:t>6</w:t>
          </w:r>
          <w:r w:rsidRPr="00616B9B">
            <w:rPr>
              <w:rFonts w:cs="Arial"/>
              <w:noProof/>
              <w:sz w:val="22"/>
              <w:szCs w:val="22"/>
            </w:rPr>
            <w:fldChar w:fldCharType="end"/>
          </w:r>
        </w:p>
      </w:tc>
    </w:tr>
  </w:tbl>
  <w:p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310" w:rsidRDefault="00464310">
      <w:r>
        <w:separator/>
      </w:r>
    </w:p>
    <w:p w:rsidR="00464310" w:rsidRDefault="00464310"/>
  </w:footnote>
  <w:footnote w:type="continuationSeparator" w:id="0">
    <w:p w:rsidR="00464310" w:rsidRDefault="00464310">
      <w:r>
        <w:continuationSeparator/>
      </w:r>
    </w:p>
    <w:p w:rsidR="00464310" w:rsidRDefault="00464310"/>
  </w:footnote>
  <w:footnote w:type="continuationNotice" w:id="1">
    <w:p w:rsidR="00464310" w:rsidRDefault="0046431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2E9D748B" wp14:editId="698CC512">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587135CE" wp14:editId="0A29F9C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1">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701FEA"/>
    <w:multiLevelType w:val="hybridMultilevel"/>
    <w:tmpl w:val="F4CCD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5"/>
  </w:num>
  <w:num w:numId="2">
    <w:abstractNumId w:val="17"/>
  </w:num>
  <w:num w:numId="3">
    <w:abstractNumId w:val="11"/>
  </w:num>
  <w:num w:numId="4">
    <w:abstractNumId w:val="22"/>
  </w:num>
  <w:num w:numId="5">
    <w:abstractNumId w:val="24"/>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9"/>
  </w:num>
  <w:num w:numId="14">
    <w:abstractNumId w:val="21"/>
  </w:num>
  <w:num w:numId="15">
    <w:abstractNumId w:val="10"/>
  </w:num>
  <w:num w:numId="16">
    <w:abstractNumId w:val="1"/>
  </w:num>
  <w:num w:numId="17">
    <w:abstractNumId w:val="13"/>
  </w:num>
  <w:num w:numId="18">
    <w:abstractNumId w:val="14"/>
  </w:num>
  <w:num w:numId="19">
    <w:abstractNumId w:val="16"/>
  </w:num>
  <w:num w:numId="20">
    <w:abstractNumId w:val="25"/>
  </w:num>
  <w:num w:numId="21">
    <w:abstractNumId w:val="35"/>
  </w:num>
  <w:num w:numId="22">
    <w:abstractNumId w:val="23"/>
  </w:num>
  <w:num w:numId="23">
    <w:abstractNumId w:val="9"/>
  </w:num>
  <w:num w:numId="24">
    <w:abstractNumId w:val="28"/>
  </w:num>
  <w:num w:numId="25">
    <w:abstractNumId w:val="27"/>
  </w:num>
  <w:num w:numId="26">
    <w:abstractNumId w:val="18"/>
  </w:num>
  <w:num w:numId="27">
    <w:abstractNumId w:val="31"/>
  </w:num>
  <w:num w:numId="28">
    <w:abstractNumId w:val="37"/>
  </w:num>
  <w:num w:numId="29">
    <w:abstractNumId w:val="7"/>
  </w:num>
  <w:num w:numId="30">
    <w:abstractNumId w:val="3"/>
  </w:num>
  <w:num w:numId="31">
    <w:abstractNumId w:val="20"/>
  </w:num>
  <w:num w:numId="32">
    <w:abstractNumId w:val="2"/>
  </w:num>
  <w:num w:numId="33">
    <w:abstractNumId w:val="6"/>
  </w:num>
  <w:num w:numId="34">
    <w:abstractNumId w:val="19"/>
  </w:num>
  <w:num w:numId="35">
    <w:abstractNumId w:val="33"/>
  </w:num>
  <w:num w:numId="36">
    <w:abstractNumId w:val="33"/>
    <w:lvlOverride w:ilvl="0">
      <w:startOverride w:val="1"/>
    </w:lvlOverride>
  </w:num>
  <w:num w:numId="37">
    <w:abstractNumId w:val="33"/>
    <w:lvlOverride w:ilvl="0">
      <w:startOverride w:val="1"/>
    </w:lvlOverride>
  </w:num>
  <w:num w:numId="38">
    <w:abstractNumId w:val="33"/>
    <w:lvlOverride w:ilvl="0">
      <w:startOverride w:val="1"/>
    </w:lvlOverride>
  </w:num>
  <w:num w:numId="39">
    <w:abstractNumId w:val="33"/>
    <w:lvlOverride w:ilvl="0">
      <w:startOverride w:val="1"/>
    </w:lvlOverride>
  </w:num>
  <w:num w:numId="40">
    <w:abstractNumId w:val="33"/>
    <w:lvlOverride w:ilvl="0">
      <w:startOverride w:val="1"/>
    </w:lvlOverride>
  </w:num>
  <w:num w:numId="41">
    <w:abstractNumId w:val="33"/>
  </w:num>
  <w:num w:numId="42">
    <w:abstractNumId w:val="33"/>
    <w:lvlOverride w:ilvl="0">
      <w:startOverride w:val="1"/>
    </w:lvlOverride>
  </w:num>
  <w:num w:numId="43">
    <w:abstractNumId w:val="33"/>
    <w:lvlOverride w:ilvl="0">
      <w:startOverride w:val="1"/>
    </w:lvlOverride>
  </w:num>
  <w:num w:numId="44">
    <w:abstractNumId w:val="33"/>
    <w:lvlOverride w:ilvl="0">
      <w:startOverride w:val="1"/>
    </w:lvlOverride>
  </w:num>
  <w:num w:numId="45">
    <w:abstractNumId w:val="33"/>
    <w:lvlOverride w:ilvl="0">
      <w:startOverride w:val="1"/>
    </w:lvlOverride>
  </w:num>
  <w:num w:numId="46">
    <w:abstractNumId w:val="33"/>
    <w:lvlOverride w:ilvl="0">
      <w:startOverride w:val="1"/>
    </w:lvlOverride>
  </w:num>
  <w:num w:numId="47">
    <w:abstractNumId w:val="32"/>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lvlOverride w:ilvl="0">
      <w:startOverride w:val="1"/>
    </w:lvlOverride>
  </w:num>
  <w:num w:numId="50">
    <w:abstractNumId w:val="3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YZ+c4YY9TRWLZATpFdI43x0bWWo=" w:salt="jws5g/9wGua90+Vx0Qv54g=="/>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83A"/>
    <w:rsid w:val="00003AEB"/>
    <w:rsid w:val="00003E1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2350"/>
    <w:rsid w:val="000344D6"/>
    <w:rsid w:val="00034960"/>
    <w:rsid w:val="00035D92"/>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58C"/>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4A37"/>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4B16"/>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5B25"/>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4DE"/>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15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8B9"/>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1B0"/>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0E99"/>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4AF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902"/>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4310"/>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5463"/>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6AD"/>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08CE"/>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05C6D"/>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2F3D"/>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B76A3"/>
    <w:rsid w:val="008C0320"/>
    <w:rsid w:val="008C2A81"/>
    <w:rsid w:val="008C3863"/>
    <w:rsid w:val="008C4BDC"/>
    <w:rsid w:val="008C50FF"/>
    <w:rsid w:val="008C5435"/>
    <w:rsid w:val="008C6BD1"/>
    <w:rsid w:val="008C72C3"/>
    <w:rsid w:val="008D2DB5"/>
    <w:rsid w:val="008D3F10"/>
    <w:rsid w:val="008D611D"/>
    <w:rsid w:val="008E1B6A"/>
    <w:rsid w:val="008E3054"/>
    <w:rsid w:val="008E32FF"/>
    <w:rsid w:val="008E3FBB"/>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240"/>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19AE"/>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687"/>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2A4C"/>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1F8C"/>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5660"/>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25EC"/>
    <w:rsid w:val="00BC3C06"/>
    <w:rsid w:val="00BC4E8B"/>
    <w:rsid w:val="00BC5622"/>
    <w:rsid w:val="00BC6060"/>
    <w:rsid w:val="00BC6F7B"/>
    <w:rsid w:val="00BC7897"/>
    <w:rsid w:val="00BD0F35"/>
    <w:rsid w:val="00BD44AA"/>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5B2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478C"/>
    <w:rsid w:val="00DD61F5"/>
    <w:rsid w:val="00DE64A6"/>
    <w:rsid w:val="00DE66EB"/>
    <w:rsid w:val="00DE7035"/>
    <w:rsid w:val="00DF12E3"/>
    <w:rsid w:val="00DF3F1D"/>
    <w:rsid w:val="00DF3F8B"/>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2D30"/>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F26ED-B919-4FF7-96B1-0642FFEE82E3}">
  <ds:schemaRefs>
    <ds:schemaRef ds:uri="http://schemas.openxmlformats.org/officeDocument/2006/bibliography"/>
  </ds:schemaRefs>
</ds:datastoreItem>
</file>

<file path=customXml/itemProps2.xml><?xml version="1.0" encoding="utf-8"?>
<ds:datastoreItem xmlns:ds="http://schemas.openxmlformats.org/officeDocument/2006/customXml" ds:itemID="{56089868-0B7E-4FCB-B56F-C085BA76A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1380</Words>
  <Characters>7871</Characters>
  <Application>Microsoft Office Word</Application>
  <DocSecurity>8</DocSecurity>
  <Lines>65</Lines>
  <Paragraphs>18</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9233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Callaway, Harry STASCO-ITD/TP</cp:lastModifiedBy>
  <cp:revision>2</cp:revision>
  <cp:lastPrinted>2015-02-18T11:01:00Z</cp:lastPrinted>
  <dcterms:created xsi:type="dcterms:W3CDTF">2015-09-30T12:49:00Z</dcterms:created>
  <dcterms:modified xsi:type="dcterms:W3CDTF">2015-09-30T12:49:00Z</dcterms:modified>
</cp:coreProperties>
</file>