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51" w:type="dxa"/>
        <w:tblLayout w:type="fixed"/>
        <w:tblCellMar>
          <w:left w:w="70" w:type="dxa"/>
          <w:right w:w="70" w:type="dxa"/>
        </w:tblCellMar>
        <w:tblLook w:val="0000" w:firstRow="0" w:lastRow="0" w:firstColumn="0" w:lastColumn="0" w:noHBand="0" w:noVBand="0"/>
      </w:tblPr>
      <w:tblGrid>
        <w:gridCol w:w="5102"/>
        <w:gridCol w:w="4649"/>
      </w:tblGrid>
      <w:tr w:rsidR="00E245DF" w:rsidRPr="00441A0C" w:rsidTr="001453AB">
        <w:trPr>
          <w:trHeight w:hRule="exact" w:val="2977"/>
        </w:trPr>
        <w:tc>
          <w:tcPr>
            <w:tcW w:w="5102" w:type="dxa"/>
          </w:tcPr>
          <w:p w:rsidR="00E245DF" w:rsidRPr="00441A0C" w:rsidRDefault="00E245DF" w:rsidP="001453AB">
            <w:pPr>
              <w:rPr>
                <w:b/>
                <w:lang w:val="en-GB"/>
              </w:rPr>
            </w:pPr>
          </w:p>
          <w:p w:rsidR="00E245DF" w:rsidRPr="00441A0C" w:rsidRDefault="00E245DF" w:rsidP="001453AB">
            <w:pPr>
              <w:rPr>
                <w:lang w:val="en-GB"/>
              </w:rPr>
            </w:pPr>
          </w:p>
          <w:p w:rsidR="00E245DF" w:rsidRPr="00441A0C" w:rsidRDefault="00E245DF" w:rsidP="001453AB">
            <w:pPr>
              <w:rPr>
                <w:lang w:val="en-GB"/>
              </w:rPr>
            </w:pPr>
          </w:p>
          <w:p w:rsidR="00E245DF" w:rsidRPr="00441A0C" w:rsidRDefault="00E245DF" w:rsidP="001453AB">
            <w:pPr>
              <w:rPr>
                <w:lang w:val="en-GB"/>
              </w:rPr>
            </w:pPr>
          </w:p>
          <w:p w:rsidR="00E245DF" w:rsidRPr="00441A0C" w:rsidRDefault="00076293" w:rsidP="001453AB">
            <w:pPr>
              <w:rPr>
                <w:lang w:val="en-GB"/>
              </w:rPr>
            </w:pPr>
            <w:r>
              <w:rPr>
                <w:lang w:val="en-GB"/>
              </w:rPr>
              <w:t>ESMA</w:t>
            </w:r>
          </w:p>
          <w:p w:rsidR="00E245DF" w:rsidRPr="00441A0C" w:rsidRDefault="00E245DF" w:rsidP="001453AB">
            <w:pPr>
              <w:rPr>
                <w:lang w:val="en-GB"/>
              </w:rPr>
            </w:pPr>
          </w:p>
        </w:tc>
        <w:tc>
          <w:tcPr>
            <w:tcW w:w="4649" w:type="dxa"/>
          </w:tcPr>
          <w:p w:rsidR="00E245DF" w:rsidRPr="00441A0C" w:rsidRDefault="00E245DF" w:rsidP="001453AB">
            <w:pPr>
              <w:rPr>
                <w:b/>
                <w:lang w:val="en-GB"/>
              </w:rPr>
            </w:pPr>
          </w:p>
          <w:p w:rsidR="00E245DF" w:rsidRPr="00441A0C" w:rsidRDefault="00E245DF" w:rsidP="001453AB">
            <w:pPr>
              <w:rPr>
                <w:b/>
                <w:lang w:val="en-GB"/>
              </w:rPr>
            </w:pPr>
          </w:p>
          <w:p w:rsidR="00E245DF" w:rsidRPr="00441A0C" w:rsidRDefault="00E245DF" w:rsidP="001453AB">
            <w:pPr>
              <w:rPr>
                <w:b/>
                <w:lang w:val="en-GB"/>
              </w:rPr>
            </w:pPr>
          </w:p>
          <w:p w:rsidR="00E245DF" w:rsidRPr="00441A0C" w:rsidRDefault="00E245DF" w:rsidP="001453AB">
            <w:pPr>
              <w:rPr>
                <w:b/>
                <w:lang w:val="en-GB"/>
              </w:rPr>
            </w:pPr>
            <w:proofErr w:type="spellStart"/>
            <w:r w:rsidRPr="00441A0C">
              <w:rPr>
                <w:b/>
                <w:lang w:val="en-GB"/>
              </w:rPr>
              <w:t>Bundessparte</w:t>
            </w:r>
            <w:proofErr w:type="spellEnd"/>
            <w:r w:rsidRPr="00441A0C">
              <w:rPr>
                <w:b/>
                <w:lang w:val="en-GB"/>
              </w:rPr>
              <w:t xml:space="preserve"> Bank und Versicherung</w:t>
            </w:r>
            <w:bookmarkStart w:id="0" w:name="abs1"/>
            <w:bookmarkEnd w:id="0"/>
          </w:p>
          <w:p w:rsidR="00E245DF" w:rsidRPr="00441A0C" w:rsidRDefault="00E245DF" w:rsidP="001453AB">
            <w:pPr>
              <w:rPr>
                <w:b/>
                <w:lang w:val="en-GB"/>
              </w:rPr>
            </w:pPr>
            <w:proofErr w:type="spellStart"/>
            <w:r w:rsidRPr="00441A0C">
              <w:rPr>
                <w:b/>
                <w:lang w:val="en-GB"/>
              </w:rPr>
              <w:t>Wirtschaftskammer</w:t>
            </w:r>
            <w:proofErr w:type="spellEnd"/>
            <w:r w:rsidRPr="00441A0C">
              <w:rPr>
                <w:b/>
                <w:lang w:val="en-GB"/>
              </w:rPr>
              <w:t xml:space="preserve"> </w:t>
            </w:r>
            <w:proofErr w:type="spellStart"/>
            <w:r w:rsidRPr="00441A0C">
              <w:rPr>
                <w:b/>
                <w:lang w:val="en-GB"/>
              </w:rPr>
              <w:t>Österreich</w:t>
            </w:r>
            <w:proofErr w:type="spellEnd"/>
          </w:p>
          <w:p w:rsidR="00E245DF" w:rsidRPr="00441A0C" w:rsidRDefault="00E245DF" w:rsidP="001453AB">
            <w:pPr>
              <w:rPr>
                <w:sz w:val="20"/>
                <w:lang w:val="en-GB"/>
              </w:rPr>
            </w:pPr>
            <w:proofErr w:type="spellStart"/>
            <w:r w:rsidRPr="00441A0C">
              <w:rPr>
                <w:sz w:val="20"/>
                <w:lang w:val="en-GB"/>
              </w:rPr>
              <w:t>Wiedner</w:t>
            </w:r>
            <w:proofErr w:type="spellEnd"/>
            <w:r w:rsidRPr="00441A0C">
              <w:rPr>
                <w:sz w:val="20"/>
                <w:lang w:val="en-GB"/>
              </w:rPr>
              <w:t xml:space="preserve"> </w:t>
            </w:r>
            <w:proofErr w:type="spellStart"/>
            <w:r w:rsidRPr="00441A0C">
              <w:rPr>
                <w:sz w:val="20"/>
                <w:lang w:val="en-GB"/>
              </w:rPr>
              <w:t>Hauptstraße</w:t>
            </w:r>
            <w:proofErr w:type="spellEnd"/>
            <w:r w:rsidRPr="00441A0C">
              <w:rPr>
                <w:sz w:val="20"/>
                <w:lang w:val="en-GB"/>
              </w:rPr>
              <w:t xml:space="preserve"> 63 | </w:t>
            </w:r>
            <w:proofErr w:type="spellStart"/>
            <w:r w:rsidRPr="00441A0C">
              <w:rPr>
                <w:sz w:val="20"/>
                <w:lang w:val="en-GB"/>
              </w:rPr>
              <w:t>Postfach</w:t>
            </w:r>
            <w:proofErr w:type="spellEnd"/>
            <w:r w:rsidRPr="00441A0C">
              <w:rPr>
                <w:sz w:val="20"/>
                <w:lang w:val="en-GB"/>
              </w:rPr>
              <w:t xml:space="preserve"> 320</w:t>
            </w:r>
          </w:p>
          <w:p w:rsidR="00E245DF" w:rsidRPr="00441A0C" w:rsidRDefault="00E245DF" w:rsidP="001453AB">
            <w:pPr>
              <w:rPr>
                <w:sz w:val="20"/>
                <w:lang w:val="en-GB"/>
              </w:rPr>
            </w:pPr>
            <w:r w:rsidRPr="00441A0C">
              <w:rPr>
                <w:sz w:val="20"/>
                <w:lang w:val="en-GB"/>
              </w:rPr>
              <w:t>1045 Wien</w:t>
            </w:r>
          </w:p>
          <w:p w:rsidR="00E245DF" w:rsidRPr="00441A0C" w:rsidRDefault="00E245DF" w:rsidP="001453AB">
            <w:pPr>
              <w:rPr>
                <w:sz w:val="20"/>
                <w:lang w:val="en-GB"/>
              </w:rPr>
            </w:pPr>
            <w:r w:rsidRPr="00441A0C">
              <w:rPr>
                <w:sz w:val="20"/>
                <w:lang w:val="en-GB"/>
              </w:rPr>
              <w:t>T +43 (0)5 90 900-DW | F +43 (0)5 90 900-272</w:t>
            </w:r>
          </w:p>
          <w:p w:rsidR="00E245DF" w:rsidRPr="00441A0C" w:rsidRDefault="00E245DF" w:rsidP="001453AB">
            <w:pPr>
              <w:rPr>
                <w:sz w:val="20"/>
                <w:lang w:val="en-GB"/>
              </w:rPr>
            </w:pPr>
            <w:r w:rsidRPr="00441A0C">
              <w:rPr>
                <w:sz w:val="20"/>
                <w:lang w:val="en-GB"/>
              </w:rPr>
              <w:t>E  bsbv@wko.at</w:t>
            </w:r>
          </w:p>
          <w:p w:rsidR="00E245DF" w:rsidRPr="00441A0C" w:rsidRDefault="00E245DF" w:rsidP="001453AB">
            <w:pPr>
              <w:rPr>
                <w:lang w:val="en-GB"/>
              </w:rPr>
            </w:pPr>
            <w:r w:rsidRPr="00441A0C">
              <w:rPr>
                <w:sz w:val="20"/>
                <w:lang w:val="en-GB"/>
              </w:rPr>
              <w:t>W  http://wko.at/bsbv</w:t>
            </w:r>
          </w:p>
        </w:tc>
      </w:tr>
    </w:tbl>
    <w:p w:rsidR="00E245DF" w:rsidRPr="00441A0C" w:rsidRDefault="00E245DF" w:rsidP="00E245DF">
      <w:pPr>
        <w:tabs>
          <w:tab w:val="left" w:pos="2977"/>
          <w:tab w:val="left" w:pos="5954"/>
          <w:tab w:val="left" w:pos="7655"/>
          <w:tab w:val="left" w:pos="8364"/>
        </w:tabs>
        <w:ind w:right="-1"/>
        <w:rPr>
          <w:rFonts w:cs="Trebuchet MS"/>
          <w:sz w:val="16"/>
          <w:szCs w:val="16"/>
          <w:lang w:val="en-GB"/>
        </w:rPr>
      </w:pPr>
    </w:p>
    <w:p w:rsidR="00E245DF" w:rsidRPr="00441A0C" w:rsidRDefault="00E245DF" w:rsidP="00E245DF">
      <w:pPr>
        <w:tabs>
          <w:tab w:val="left" w:pos="2977"/>
          <w:tab w:val="left" w:pos="5954"/>
          <w:tab w:val="left" w:pos="7655"/>
          <w:tab w:val="left" w:pos="8364"/>
        </w:tabs>
        <w:ind w:right="-1"/>
        <w:rPr>
          <w:rFonts w:cs="Trebuchet MS"/>
          <w:sz w:val="16"/>
          <w:szCs w:val="16"/>
          <w:lang w:val="en-GB"/>
        </w:rPr>
      </w:pPr>
    </w:p>
    <w:p w:rsidR="00E245DF" w:rsidRPr="00441A0C" w:rsidRDefault="00E245DF" w:rsidP="00E245DF">
      <w:pPr>
        <w:tabs>
          <w:tab w:val="left" w:pos="2977"/>
          <w:tab w:val="left" w:pos="5954"/>
          <w:tab w:val="left" w:pos="7655"/>
          <w:tab w:val="left" w:pos="8364"/>
        </w:tabs>
        <w:ind w:right="-1"/>
        <w:rPr>
          <w:rFonts w:cs="Trebuchet MS"/>
          <w:sz w:val="16"/>
          <w:szCs w:val="16"/>
          <w:lang w:val="en-GB"/>
        </w:rPr>
      </w:pPr>
    </w:p>
    <w:p w:rsidR="00E245DF" w:rsidRPr="00441A0C" w:rsidRDefault="00E245DF" w:rsidP="00E245DF">
      <w:pPr>
        <w:tabs>
          <w:tab w:val="left" w:pos="2977"/>
          <w:tab w:val="left" w:pos="5954"/>
          <w:tab w:val="left" w:pos="7655"/>
          <w:tab w:val="left" w:pos="8364"/>
        </w:tabs>
        <w:ind w:right="-1"/>
        <w:rPr>
          <w:rFonts w:cs="Trebuchet MS"/>
          <w:sz w:val="16"/>
          <w:szCs w:val="16"/>
          <w:lang w:val="en-GB"/>
        </w:rPr>
      </w:pPr>
      <w:proofErr w:type="spellStart"/>
      <w:r w:rsidRPr="00441A0C">
        <w:rPr>
          <w:rFonts w:cs="Trebuchet MS"/>
          <w:sz w:val="16"/>
          <w:szCs w:val="16"/>
          <w:lang w:val="en-GB"/>
        </w:rPr>
        <w:t>Ihr</w:t>
      </w:r>
      <w:proofErr w:type="spellEnd"/>
      <w:r w:rsidRPr="00441A0C">
        <w:rPr>
          <w:rFonts w:cs="Trebuchet MS"/>
          <w:sz w:val="16"/>
          <w:szCs w:val="16"/>
          <w:lang w:val="en-GB"/>
        </w:rPr>
        <w:t xml:space="preserve"> </w:t>
      </w:r>
      <w:proofErr w:type="spellStart"/>
      <w:r w:rsidRPr="00441A0C">
        <w:rPr>
          <w:rFonts w:cs="Trebuchet MS"/>
          <w:sz w:val="16"/>
          <w:szCs w:val="16"/>
          <w:lang w:val="en-GB"/>
        </w:rPr>
        <w:t>Zeichen</w:t>
      </w:r>
      <w:proofErr w:type="spellEnd"/>
      <w:r w:rsidRPr="00441A0C">
        <w:rPr>
          <w:rFonts w:cs="Trebuchet MS"/>
          <w:sz w:val="16"/>
          <w:szCs w:val="16"/>
          <w:lang w:val="en-GB"/>
        </w:rPr>
        <w:t xml:space="preserve">, </w:t>
      </w:r>
      <w:proofErr w:type="spellStart"/>
      <w:r w:rsidRPr="00441A0C">
        <w:rPr>
          <w:rFonts w:cs="Trebuchet MS"/>
          <w:sz w:val="16"/>
          <w:szCs w:val="16"/>
          <w:lang w:val="en-GB"/>
        </w:rPr>
        <w:t>Ihre</w:t>
      </w:r>
      <w:proofErr w:type="spellEnd"/>
      <w:r w:rsidRPr="00441A0C">
        <w:rPr>
          <w:rFonts w:cs="Trebuchet MS"/>
          <w:sz w:val="16"/>
          <w:szCs w:val="16"/>
          <w:lang w:val="en-GB"/>
        </w:rPr>
        <w:t xml:space="preserve"> </w:t>
      </w:r>
      <w:proofErr w:type="spellStart"/>
      <w:r w:rsidRPr="00441A0C">
        <w:rPr>
          <w:rFonts w:cs="Trebuchet MS"/>
          <w:sz w:val="16"/>
          <w:szCs w:val="16"/>
          <w:lang w:val="en-GB"/>
        </w:rPr>
        <w:t>Nachricht</w:t>
      </w:r>
      <w:proofErr w:type="spellEnd"/>
      <w:r w:rsidRPr="00441A0C">
        <w:rPr>
          <w:rFonts w:cs="Trebuchet MS"/>
          <w:sz w:val="16"/>
          <w:szCs w:val="16"/>
          <w:lang w:val="en-GB"/>
        </w:rPr>
        <w:t xml:space="preserve"> </w:t>
      </w:r>
      <w:proofErr w:type="spellStart"/>
      <w:r w:rsidRPr="00441A0C">
        <w:rPr>
          <w:rFonts w:cs="Trebuchet MS"/>
          <w:sz w:val="16"/>
          <w:szCs w:val="16"/>
          <w:lang w:val="en-GB"/>
        </w:rPr>
        <w:t>vom</w:t>
      </w:r>
      <w:proofErr w:type="spellEnd"/>
      <w:r w:rsidRPr="00441A0C">
        <w:rPr>
          <w:rFonts w:cs="Trebuchet MS"/>
          <w:sz w:val="16"/>
          <w:szCs w:val="16"/>
          <w:lang w:val="en-GB"/>
        </w:rPr>
        <w:tab/>
        <w:t xml:space="preserve">Unser </w:t>
      </w:r>
      <w:proofErr w:type="spellStart"/>
      <w:r w:rsidRPr="00441A0C">
        <w:rPr>
          <w:rFonts w:cs="Trebuchet MS"/>
          <w:sz w:val="16"/>
          <w:szCs w:val="16"/>
          <w:lang w:val="en-GB"/>
        </w:rPr>
        <w:t>Zeichen</w:t>
      </w:r>
      <w:proofErr w:type="spellEnd"/>
      <w:r w:rsidRPr="00441A0C">
        <w:rPr>
          <w:rFonts w:cs="Trebuchet MS"/>
          <w:sz w:val="16"/>
          <w:szCs w:val="16"/>
          <w:lang w:val="en-GB"/>
        </w:rPr>
        <w:t xml:space="preserve">, </w:t>
      </w:r>
      <w:proofErr w:type="spellStart"/>
      <w:r w:rsidRPr="00441A0C">
        <w:rPr>
          <w:rFonts w:cs="Trebuchet MS"/>
          <w:sz w:val="16"/>
          <w:szCs w:val="16"/>
          <w:lang w:val="en-GB"/>
        </w:rPr>
        <w:t>Sacharbeiter</w:t>
      </w:r>
      <w:proofErr w:type="spellEnd"/>
      <w:r w:rsidRPr="00441A0C">
        <w:rPr>
          <w:rFonts w:cs="Trebuchet MS"/>
          <w:sz w:val="16"/>
          <w:szCs w:val="16"/>
          <w:lang w:val="en-GB"/>
        </w:rPr>
        <w:tab/>
      </w:r>
      <w:proofErr w:type="spellStart"/>
      <w:r w:rsidRPr="00441A0C">
        <w:rPr>
          <w:rFonts w:cs="Trebuchet MS"/>
          <w:sz w:val="16"/>
          <w:szCs w:val="16"/>
          <w:lang w:val="en-GB"/>
        </w:rPr>
        <w:t>Durchwahl</w:t>
      </w:r>
      <w:proofErr w:type="spellEnd"/>
      <w:r w:rsidRPr="00441A0C">
        <w:rPr>
          <w:rFonts w:cs="Trebuchet MS"/>
          <w:sz w:val="16"/>
          <w:szCs w:val="16"/>
          <w:lang w:val="en-GB"/>
        </w:rPr>
        <w:tab/>
        <w:t>Datum</w:t>
      </w:r>
    </w:p>
    <w:p w:rsidR="00E245DF" w:rsidRPr="00441A0C" w:rsidRDefault="00E245DF" w:rsidP="00E245DF">
      <w:pPr>
        <w:tabs>
          <w:tab w:val="left" w:pos="2977"/>
          <w:tab w:val="left" w:pos="5954"/>
          <w:tab w:val="left" w:pos="7655"/>
        </w:tabs>
        <w:ind w:right="-1"/>
        <w:rPr>
          <w:rFonts w:cs="Trebuchet MS"/>
          <w:snapToGrid w:val="0"/>
          <w:color w:val="000000"/>
          <w:szCs w:val="22"/>
          <w:u w:color="000000"/>
          <w:lang w:val="en-GB"/>
        </w:rPr>
      </w:pPr>
      <w:r w:rsidRPr="00441A0C">
        <w:rPr>
          <w:rFonts w:cs="Trebuchet MS"/>
          <w:snapToGrid w:val="0"/>
          <w:color w:val="000000"/>
          <w:u w:color="000000"/>
          <w:lang w:val="en-GB"/>
        </w:rPr>
        <w:tab/>
      </w:r>
      <w:r w:rsidRPr="00441A0C">
        <w:rPr>
          <w:rFonts w:cs="Trebuchet MS"/>
          <w:snapToGrid w:val="0"/>
          <w:color w:val="000000"/>
          <w:szCs w:val="22"/>
          <w:u w:color="000000"/>
          <w:lang w:val="en-GB"/>
        </w:rPr>
        <w:t xml:space="preserve">BSBV </w:t>
      </w:r>
      <w:r>
        <w:rPr>
          <w:rFonts w:cs="Trebuchet MS"/>
          <w:snapToGrid w:val="0"/>
          <w:color w:val="000000"/>
          <w:szCs w:val="22"/>
          <w:u w:color="000000"/>
          <w:lang w:val="en-GB"/>
        </w:rPr>
        <w:t>64</w:t>
      </w:r>
      <w:r w:rsidRPr="00441A0C">
        <w:rPr>
          <w:rFonts w:cs="Trebuchet MS"/>
          <w:snapToGrid w:val="0"/>
          <w:color w:val="000000"/>
          <w:szCs w:val="22"/>
          <w:u w:color="000000"/>
          <w:lang w:val="en-GB"/>
        </w:rPr>
        <w:t>/Dr. Priester/</w:t>
      </w:r>
      <w:proofErr w:type="spellStart"/>
      <w:r>
        <w:rPr>
          <w:rFonts w:cs="Trebuchet MS"/>
          <w:snapToGrid w:val="0"/>
          <w:color w:val="000000"/>
          <w:szCs w:val="22"/>
          <w:u w:color="000000"/>
          <w:lang w:val="en-GB"/>
        </w:rPr>
        <w:t>Sc</w:t>
      </w:r>
      <w:proofErr w:type="spellEnd"/>
      <w:r w:rsidR="00076293">
        <w:rPr>
          <w:rFonts w:cs="Trebuchet MS"/>
          <w:snapToGrid w:val="0"/>
          <w:color w:val="000000"/>
          <w:szCs w:val="22"/>
          <w:u w:color="000000"/>
          <w:lang w:val="en-GB"/>
        </w:rPr>
        <w:tab/>
        <w:t xml:space="preserve">3132            </w:t>
      </w:r>
      <w:r w:rsidR="00475637">
        <w:rPr>
          <w:rFonts w:cs="Trebuchet MS"/>
          <w:snapToGrid w:val="0"/>
          <w:color w:val="000000"/>
          <w:szCs w:val="22"/>
          <w:u w:color="000000"/>
          <w:lang w:val="en-GB"/>
        </w:rPr>
        <w:t>24</w:t>
      </w:r>
      <w:r w:rsidR="00076293">
        <w:rPr>
          <w:rFonts w:cs="Trebuchet MS"/>
          <w:snapToGrid w:val="0"/>
          <w:color w:val="000000"/>
          <w:szCs w:val="22"/>
          <w:u w:color="000000"/>
          <w:lang w:val="en-GB"/>
        </w:rPr>
        <w:t xml:space="preserve"> October</w:t>
      </w:r>
      <w:r w:rsidRPr="00441A0C">
        <w:rPr>
          <w:rFonts w:cs="Trebuchet MS"/>
          <w:snapToGrid w:val="0"/>
          <w:color w:val="000000"/>
          <w:szCs w:val="22"/>
          <w:u w:color="000000"/>
          <w:lang w:val="en-GB"/>
        </w:rPr>
        <w:t>2014</w:t>
      </w:r>
    </w:p>
    <w:p w:rsidR="00E736C4" w:rsidRDefault="00E736C4"/>
    <w:p w:rsidR="00E245DF" w:rsidRDefault="00E245DF"/>
    <w:p w:rsidR="00E245DF" w:rsidRPr="00441A0C" w:rsidRDefault="00D23647" w:rsidP="00E245DF">
      <w:pPr>
        <w:rPr>
          <w:u w:val="single"/>
          <w:lang w:val="en-GB"/>
        </w:rPr>
      </w:pPr>
      <w:r>
        <w:rPr>
          <w:lang w:val="en-GB"/>
        </w:rPr>
        <w:t>Re:</w:t>
      </w:r>
      <w:r w:rsidR="00E245DF" w:rsidRPr="00441A0C">
        <w:rPr>
          <w:b/>
          <w:lang w:val="en-GB"/>
        </w:rPr>
        <w:t xml:space="preserve"> </w:t>
      </w:r>
      <w:r>
        <w:rPr>
          <w:b/>
          <w:u w:val="single"/>
          <w:lang w:val="en-GB"/>
        </w:rPr>
        <w:t>ESMA Consultation regarding</w:t>
      </w:r>
      <w:r w:rsidR="00E245DF">
        <w:rPr>
          <w:b/>
          <w:u w:val="single"/>
          <w:lang w:val="en-GB"/>
        </w:rPr>
        <w:t xml:space="preserve"> UCITS V</w:t>
      </w:r>
      <w:r w:rsidR="00BD06D9">
        <w:rPr>
          <w:b/>
          <w:u w:val="single"/>
          <w:lang w:val="en-GB"/>
        </w:rPr>
        <w:t xml:space="preserve">; </w:t>
      </w:r>
      <w:r w:rsidR="00BD06D9" w:rsidRPr="00BD06D9">
        <w:rPr>
          <w:b/>
          <w:color w:val="FF0000"/>
          <w:u w:val="single"/>
          <w:lang w:val="en-GB"/>
        </w:rPr>
        <w:t>corrected version</w:t>
      </w:r>
    </w:p>
    <w:p w:rsidR="00E245DF" w:rsidRPr="00441A0C" w:rsidRDefault="00E245DF" w:rsidP="00E245DF">
      <w:pPr>
        <w:rPr>
          <w:lang w:val="en-GB"/>
        </w:rPr>
      </w:pPr>
    </w:p>
    <w:p w:rsidR="00E245DF" w:rsidRDefault="00E245DF" w:rsidP="00E245DF">
      <w:pPr>
        <w:rPr>
          <w:lang w:val="en-GB"/>
        </w:rPr>
      </w:pPr>
    </w:p>
    <w:p w:rsidR="00B61C7D" w:rsidRDefault="00B61C7D" w:rsidP="00E245DF">
      <w:pPr>
        <w:rPr>
          <w:lang w:val="en-GB"/>
        </w:rPr>
      </w:pPr>
      <w:r>
        <w:rPr>
          <w:lang w:val="en-GB"/>
        </w:rPr>
        <w:t>Please regard this version as the final one. The one submitted earlier today contains one error.</w:t>
      </w:r>
      <w:bookmarkStart w:id="1" w:name="_GoBack"/>
      <w:bookmarkEnd w:id="1"/>
      <w:r>
        <w:rPr>
          <w:lang w:val="en-GB"/>
        </w:rPr>
        <w:t xml:space="preserve"> </w:t>
      </w:r>
    </w:p>
    <w:p w:rsidR="00B61C7D" w:rsidRDefault="00B61C7D" w:rsidP="00E245DF">
      <w:pPr>
        <w:rPr>
          <w:lang w:val="en-GB"/>
        </w:rPr>
      </w:pPr>
    </w:p>
    <w:p w:rsidR="00A1002E" w:rsidRDefault="00A1002E" w:rsidP="00A1002E">
      <w:pPr>
        <w:pStyle w:val="berschrift5"/>
        <w:keepNext w:val="0"/>
        <w:keepLines w:val="0"/>
        <w:numPr>
          <w:ilvl w:val="0"/>
          <w:numId w:val="0"/>
        </w:numPr>
        <w:spacing w:after="250" w:line="276" w:lineRule="auto"/>
      </w:pPr>
      <w:bookmarkStart w:id="2" w:name="_Toc398029983"/>
      <w:r w:rsidRPr="00D72304">
        <w:t xml:space="preserve">Advice on the insolvency protection of UCITS assets when delegating safekeeping (Art. </w:t>
      </w:r>
      <w:proofErr w:type="gramStart"/>
      <w:r w:rsidRPr="00D72304">
        <w:t>22a(</w:t>
      </w:r>
      <w:proofErr w:type="gramEnd"/>
      <w:r w:rsidRPr="00D72304">
        <w:t>3)(e)</w:t>
      </w:r>
      <w:r w:rsidRPr="00D72304">
        <w:rPr>
          <w:vertAlign w:val="superscript"/>
        </w:rPr>
        <w:footnoteReference w:id="1"/>
      </w:r>
      <w:r w:rsidRPr="00D72304">
        <w:t xml:space="preserve"> and 26b(e) UCITS V)</w:t>
      </w:r>
      <w:bookmarkEnd w:id="2"/>
    </w:p>
    <w:p w:rsidR="00A1002E" w:rsidRDefault="00A1002E" w:rsidP="00A1002E">
      <w:pPr>
        <w:pStyle w:val="berschrift5"/>
        <w:keepNext w:val="0"/>
        <w:keepLines w:val="0"/>
        <w:numPr>
          <w:ilvl w:val="0"/>
          <w:numId w:val="2"/>
        </w:numPr>
        <w:spacing w:after="250" w:line="276" w:lineRule="auto"/>
        <w:ind w:left="0" w:firstLine="0"/>
      </w:pPr>
      <w:r>
        <w:t>Do you agree that the steps to be taken by the third party are ultimately intended to ensure that the level of segregation foreseen under 22a(3)(d) of the UCITS Directive is recognised in the context of an insolvency proceeding involving the third party?</w:t>
      </w:r>
    </w:p>
    <w:p w:rsidR="004045DE" w:rsidRDefault="004045DE" w:rsidP="004045DE">
      <w:r>
        <w:t>Yes.</w:t>
      </w:r>
    </w:p>
    <w:p w:rsidR="004045DE" w:rsidRPr="004045DE" w:rsidRDefault="004045DE" w:rsidP="004045DE">
      <w:pPr>
        <w:rPr>
          <w:lang w:val="en-GB"/>
        </w:rPr>
      </w:pPr>
    </w:p>
    <w:p w:rsidR="00A1002E" w:rsidRDefault="00A1002E" w:rsidP="00A1002E">
      <w:pPr>
        <w:pStyle w:val="berschrift5"/>
        <w:keepNext w:val="0"/>
        <w:keepLines w:val="0"/>
        <w:numPr>
          <w:ilvl w:val="0"/>
          <w:numId w:val="2"/>
        </w:numPr>
        <w:spacing w:after="250" w:line="276" w:lineRule="auto"/>
        <w:ind w:left="0" w:firstLine="0"/>
      </w:pPr>
      <w:r>
        <w:t xml:space="preserve">Do you consider that the level of segregation foreseen under Art </w:t>
      </w:r>
      <w:proofErr w:type="gramStart"/>
      <w:r>
        <w:t>22a(</w:t>
      </w:r>
      <w:proofErr w:type="gramEnd"/>
      <w:r>
        <w:t>3)(d) of the UCITS Directive should protect UCITS assets from claims by creditors of an insolvent third party which had been delegated the safekeeping of the assets by the UCITS' depositary?</w:t>
      </w:r>
    </w:p>
    <w:p w:rsidR="004045DE" w:rsidRDefault="004045DE" w:rsidP="004045DE">
      <w:r>
        <w:t xml:space="preserve">Yes. Such </w:t>
      </w:r>
      <w:proofErr w:type="spellStart"/>
      <w:r>
        <w:t>protection</w:t>
      </w:r>
      <w:proofErr w:type="spellEnd"/>
      <w:r>
        <w:t xml:space="preserve"> will </w:t>
      </w:r>
      <w:proofErr w:type="spellStart"/>
      <w:r>
        <w:t>however</w:t>
      </w:r>
      <w:proofErr w:type="spellEnd"/>
      <w:r>
        <w:t xml:space="preserve"> </w:t>
      </w:r>
      <w:proofErr w:type="spellStart"/>
      <w:r>
        <w:t>depend</w:t>
      </w:r>
      <w:proofErr w:type="spellEnd"/>
      <w:r>
        <w:t xml:space="preserve"> on </w:t>
      </w:r>
      <w:proofErr w:type="spellStart"/>
      <w:r>
        <w:t>the</w:t>
      </w:r>
      <w:proofErr w:type="spellEnd"/>
      <w:r>
        <w:t xml:space="preserve"> </w:t>
      </w:r>
      <w:proofErr w:type="spellStart"/>
      <w:r>
        <w:t>local</w:t>
      </w:r>
      <w:proofErr w:type="spellEnd"/>
      <w:r>
        <w:t xml:space="preserve"> </w:t>
      </w:r>
      <w:proofErr w:type="spellStart"/>
      <w:r>
        <w:t>insolvency</w:t>
      </w:r>
      <w:proofErr w:type="spellEnd"/>
      <w:r>
        <w:t xml:space="preserve"> </w:t>
      </w:r>
      <w:proofErr w:type="spellStart"/>
      <w:r>
        <w:t>laws</w:t>
      </w:r>
      <w:proofErr w:type="spellEnd"/>
      <w:r>
        <w:t xml:space="preserve">, </w:t>
      </w:r>
      <w:proofErr w:type="spellStart"/>
      <w:r>
        <w:t>which</w:t>
      </w:r>
      <w:proofErr w:type="spellEnd"/>
      <w:r>
        <w:t xml:space="preserve"> will </w:t>
      </w:r>
      <w:proofErr w:type="spellStart"/>
      <w:r>
        <w:t>affect</w:t>
      </w:r>
      <w:proofErr w:type="spellEnd"/>
      <w:r>
        <w:t xml:space="preserve"> at least </w:t>
      </w:r>
      <w:proofErr w:type="spellStart"/>
      <w:r>
        <w:t>securities</w:t>
      </w:r>
      <w:proofErr w:type="spellEnd"/>
      <w:r>
        <w:t xml:space="preserve"> </w:t>
      </w:r>
      <w:proofErr w:type="spellStart"/>
      <w:r>
        <w:t>issued</w:t>
      </w:r>
      <w:proofErr w:type="spellEnd"/>
      <w:r>
        <w:t xml:space="preserve"> in such </w:t>
      </w:r>
      <w:proofErr w:type="spellStart"/>
      <w:r>
        <w:t>jurisdictions</w:t>
      </w:r>
      <w:proofErr w:type="spellEnd"/>
      <w:r>
        <w:t>.</w:t>
      </w:r>
    </w:p>
    <w:p w:rsidR="004045DE" w:rsidRDefault="004045DE" w:rsidP="004045DE">
      <w:pPr>
        <w:rPr>
          <w:lang w:val="en-GB"/>
        </w:rPr>
      </w:pPr>
    </w:p>
    <w:p w:rsidR="00A1002E" w:rsidRDefault="00A1002E" w:rsidP="00A1002E">
      <w:pPr>
        <w:pStyle w:val="berschrift5"/>
        <w:keepNext w:val="0"/>
        <w:keepLines w:val="0"/>
        <w:numPr>
          <w:ilvl w:val="0"/>
          <w:numId w:val="2"/>
        </w:numPr>
        <w:spacing w:after="250" w:line="276" w:lineRule="auto"/>
        <w:ind w:left="0" w:firstLine="0"/>
      </w:pPr>
      <w:r>
        <w:t>Are there other measures which could also help achieve this objective?</w:t>
      </w:r>
    </w:p>
    <w:p w:rsidR="00205517" w:rsidRDefault="00205517" w:rsidP="00205517">
      <w:proofErr w:type="spellStart"/>
      <w:r>
        <w:t>No</w:t>
      </w:r>
      <w:proofErr w:type="spellEnd"/>
      <w:r>
        <w:t>.</w:t>
      </w:r>
    </w:p>
    <w:p w:rsidR="00205517" w:rsidRPr="00205517" w:rsidRDefault="00205517" w:rsidP="00205517">
      <w:pPr>
        <w:rPr>
          <w:lang w:val="en-GB"/>
        </w:rPr>
      </w:pPr>
    </w:p>
    <w:p w:rsidR="00A1002E" w:rsidRDefault="00A1002E" w:rsidP="00A1002E">
      <w:pPr>
        <w:pStyle w:val="berschrift5"/>
        <w:keepNext w:val="0"/>
        <w:keepLines w:val="0"/>
        <w:numPr>
          <w:ilvl w:val="0"/>
          <w:numId w:val="2"/>
        </w:numPr>
        <w:spacing w:after="250" w:line="276" w:lineRule="auto"/>
        <w:ind w:left="0" w:firstLine="0"/>
      </w:pPr>
      <w:r>
        <w:t>Do you agree with the steps to be taken by the third party as identified above? If not, please explain the reasons.</w:t>
      </w:r>
    </w:p>
    <w:p w:rsidR="00205517" w:rsidRDefault="00205517" w:rsidP="00205517">
      <w:pPr>
        <w:rPr>
          <w:lang w:val="en-GB"/>
        </w:rPr>
      </w:pPr>
      <w:r>
        <w:rPr>
          <w:lang w:val="en-GB"/>
        </w:rPr>
        <w:t>Yes.</w:t>
      </w:r>
    </w:p>
    <w:p w:rsidR="007C1031" w:rsidRDefault="007C1031" w:rsidP="00205517">
      <w:pPr>
        <w:rPr>
          <w:lang w:val="en-GB"/>
        </w:rPr>
      </w:pPr>
    </w:p>
    <w:p w:rsidR="00205517" w:rsidRPr="00205517" w:rsidRDefault="00205517" w:rsidP="00205517">
      <w:pPr>
        <w:rPr>
          <w:lang w:val="en-GB"/>
        </w:rPr>
      </w:pPr>
    </w:p>
    <w:p w:rsidR="00A1002E" w:rsidRDefault="00A1002E" w:rsidP="00A1002E">
      <w:pPr>
        <w:pStyle w:val="berschrift5"/>
        <w:keepNext w:val="0"/>
        <w:keepLines w:val="0"/>
        <w:numPr>
          <w:ilvl w:val="0"/>
          <w:numId w:val="2"/>
        </w:numPr>
        <w:spacing w:after="250" w:line="276" w:lineRule="auto"/>
        <w:ind w:left="0" w:firstLine="0"/>
      </w:pPr>
      <w:r>
        <w:t>Do you consider that there are any specific difficulties that may arise in verifying the applicable insolvency regime that makes the proposed rules difficult to be complied with? In particular, do you consider the requirement for the third party located in a jurisdiction outside the Union to obtain independent legal advice could give rise to specific issues?</w:t>
      </w:r>
    </w:p>
    <w:p w:rsidR="00205517" w:rsidRDefault="00205517" w:rsidP="00205517">
      <w:r>
        <w:t xml:space="preserve">Yes, </w:t>
      </w:r>
      <w:proofErr w:type="spellStart"/>
      <w:r>
        <w:t>if</w:t>
      </w:r>
      <w:proofErr w:type="spellEnd"/>
      <w:r>
        <w:t xml:space="preserve"> </w:t>
      </w:r>
      <w:proofErr w:type="spellStart"/>
      <w:r>
        <w:t>the</w:t>
      </w:r>
      <w:proofErr w:type="spellEnd"/>
      <w:r>
        <w:t xml:space="preserve"> legal </w:t>
      </w:r>
      <w:proofErr w:type="spellStart"/>
      <w:r>
        <w:t>advice</w:t>
      </w:r>
      <w:proofErr w:type="spellEnd"/>
      <w:r>
        <w:t xml:space="preserve"> </w:t>
      </w:r>
      <w:proofErr w:type="spellStart"/>
      <w:r>
        <w:t>obtained</w:t>
      </w:r>
      <w:proofErr w:type="spellEnd"/>
      <w:r>
        <w:t xml:space="preserve"> </w:t>
      </w:r>
      <w:proofErr w:type="spellStart"/>
      <w:r>
        <w:t>is</w:t>
      </w:r>
      <w:proofErr w:type="spellEnd"/>
      <w:r>
        <w:t xml:space="preserve"> </w:t>
      </w:r>
      <w:proofErr w:type="spellStart"/>
      <w:r>
        <w:t>subject</w:t>
      </w:r>
      <w:proofErr w:type="spellEnd"/>
      <w:r>
        <w:t xml:space="preserve"> </w:t>
      </w:r>
      <w:proofErr w:type="spellStart"/>
      <w:r>
        <w:t>to</w:t>
      </w:r>
      <w:proofErr w:type="spellEnd"/>
      <w:r>
        <w:t xml:space="preserve"> </w:t>
      </w:r>
      <w:proofErr w:type="spellStart"/>
      <w:r>
        <w:t>qualifications</w:t>
      </w:r>
      <w:proofErr w:type="spellEnd"/>
      <w:r>
        <w:t xml:space="preserve">, i.e. </w:t>
      </w:r>
      <w:proofErr w:type="spellStart"/>
      <w:r>
        <w:t>that</w:t>
      </w:r>
      <w:proofErr w:type="spellEnd"/>
      <w:r>
        <w:t xml:space="preserve"> </w:t>
      </w:r>
      <w:proofErr w:type="spellStart"/>
      <w:r>
        <w:t>no</w:t>
      </w:r>
      <w:proofErr w:type="spellEnd"/>
      <w:r>
        <w:t xml:space="preserve"> clean legal </w:t>
      </w:r>
      <w:proofErr w:type="spellStart"/>
      <w:r>
        <w:t>opinion</w:t>
      </w:r>
      <w:proofErr w:type="spellEnd"/>
      <w:r>
        <w:t xml:space="preserve"> </w:t>
      </w:r>
      <w:proofErr w:type="spellStart"/>
      <w:r>
        <w:t>can</w:t>
      </w:r>
      <w:proofErr w:type="spellEnd"/>
      <w:r>
        <w:t xml:space="preserve"> </w:t>
      </w:r>
      <w:proofErr w:type="spellStart"/>
      <w:r>
        <w:t>be</w:t>
      </w:r>
      <w:proofErr w:type="spellEnd"/>
      <w:r>
        <w:t xml:space="preserve"> </w:t>
      </w:r>
      <w:proofErr w:type="spellStart"/>
      <w:r>
        <w:t>obtained</w:t>
      </w:r>
      <w:proofErr w:type="spellEnd"/>
      <w:r>
        <w:t>.</w:t>
      </w:r>
    </w:p>
    <w:p w:rsidR="00205517" w:rsidRPr="00205517" w:rsidRDefault="00205517" w:rsidP="00205517">
      <w:pPr>
        <w:rPr>
          <w:lang w:val="en-GB"/>
        </w:rPr>
      </w:pPr>
    </w:p>
    <w:p w:rsidR="00A1002E" w:rsidRDefault="00A1002E" w:rsidP="00A1002E">
      <w:pPr>
        <w:pStyle w:val="berschrift5"/>
        <w:keepNext w:val="0"/>
        <w:keepLines w:val="0"/>
        <w:numPr>
          <w:ilvl w:val="0"/>
          <w:numId w:val="2"/>
        </w:numPr>
        <w:spacing w:after="250" w:line="276" w:lineRule="auto"/>
        <w:ind w:left="0" w:firstLine="0"/>
      </w:pPr>
      <w:r>
        <w:t>Do you expect a significant increase in terms of costs that would be faced by the third party delegated entities located in jurisdictions outside the Union in order to obtain independent legal advice on the applicable insolvency regime? If yes, please provide any available data and/or estimation.</w:t>
      </w:r>
    </w:p>
    <w:p w:rsidR="00205517" w:rsidRDefault="00205517" w:rsidP="00205517">
      <w:proofErr w:type="spellStart"/>
      <w:r>
        <w:t>If</w:t>
      </w:r>
      <w:proofErr w:type="spellEnd"/>
      <w:r>
        <w:t xml:space="preserve"> </w:t>
      </w:r>
      <w:proofErr w:type="spellStart"/>
      <w:r>
        <w:t>the</w:t>
      </w:r>
      <w:proofErr w:type="spellEnd"/>
      <w:r>
        <w:t xml:space="preserve"> </w:t>
      </w:r>
      <w:proofErr w:type="spellStart"/>
      <w:r>
        <w:t>third</w:t>
      </w:r>
      <w:proofErr w:type="spellEnd"/>
      <w:r>
        <w:t xml:space="preserve"> </w:t>
      </w:r>
      <w:proofErr w:type="spellStart"/>
      <w:r>
        <w:t>party</w:t>
      </w:r>
      <w:proofErr w:type="spellEnd"/>
      <w:r>
        <w:t xml:space="preserve"> </w:t>
      </w:r>
      <w:proofErr w:type="spellStart"/>
      <w:r>
        <w:t>provides</w:t>
      </w:r>
      <w:proofErr w:type="spellEnd"/>
      <w:r>
        <w:t xml:space="preserve"> </w:t>
      </w:r>
      <w:proofErr w:type="spellStart"/>
      <w:r>
        <w:t>the</w:t>
      </w:r>
      <w:proofErr w:type="spellEnd"/>
      <w:r>
        <w:t xml:space="preserve"> legal </w:t>
      </w:r>
      <w:proofErr w:type="spellStart"/>
      <w:r>
        <w:t>advice</w:t>
      </w:r>
      <w:proofErr w:type="spellEnd"/>
      <w:r>
        <w:t xml:space="preserve">, </w:t>
      </w:r>
      <w:proofErr w:type="spellStart"/>
      <w:r>
        <w:t>no</w:t>
      </w:r>
      <w:proofErr w:type="spellEnd"/>
      <w:r>
        <w:t xml:space="preserve"> </w:t>
      </w:r>
      <w:proofErr w:type="spellStart"/>
      <w:r>
        <w:t>cost</w:t>
      </w:r>
      <w:proofErr w:type="spellEnd"/>
      <w:r>
        <w:t xml:space="preserve"> will </w:t>
      </w:r>
      <w:proofErr w:type="spellStart"/>
      <w:r>
        <w:t>accrue</w:t>
      </w:r>
      <w:proofErr w:type="spellEnd"/>
      <w:r>
        <w:t xml:space="preserve">; </w:t>
      </w:r>
      <w:proofErr w:type="spellStart"/>
      <w:r>
        <w:t>otherwise</w:t>
      </w:r>
      <w:proofErr w:type="spellEnd"/>
      <w:r>
        <w:t xml:space="preserve"> </w:t>
      </w:r>
      <w:proofErr w:type="spellStart"/>
      <w:r>
        <w:t>estimated</w:t>
      </w:r>
      <w:proofErr w:type="spellEnd"/>
      <w:r>
        <w:t xml:space="preserve"> EUR 200,000 will </w:t>
      </w:r>
      <w:proofErr w:type="spellStart"/>
      <w:r>
        <w:t>accrue</w:t>
      </w:r>
      <w:proofErr w:type="spellEnd"/>
      <w:r>
        <w:t xml:space="preserve"> upon </w:t>
      </w:r>
      <w:proofErr w:type="spellStart"/>
      <w:r>
        <w:t>implementation</w:t>
      </w:r>
      <w:proofErr w:type="spellEnd"/>
      <w:r>
        <w:t>.</w:t>
      </w:r>
    </w:p>
    <w:p w:rsidR="00205517" w:rsidRPr="00205517" w:rsidRDefault="00205517" w:rsidP="00205517">
      <w:pPr>
        <w:rPr>
          <w:lang w:val="en-GB"/>
        </w:rPr>
      </w:pPr>
    </w:p>
    <w:p w:rsidR="00A1002E" w:rsidRDefault="00A1002E" w:rsidP="00A1002E">
      <w:pPr>
        <w:pStyle w:val="berschrift5"/>
        <w:keepNext w:val="0"/>
        <w:keepLines w:val="0"/>
        <w:numPr>
          <w:ilvl w:val="0"/>
          <w:numId w:val="2"/>
        </w:numPr>
        <w:spacing w:after="250" w:line="276" w:lineRule="auto"/>
        <w:ind w:left="0" w:firstLine="0"/>
      </w:pPr>
      <w:r>
        <w:t>Would you suggest requiring the third party to take any further steps which are not foreseen in the draft advice?</w:t>
      </w:r>
    </w:p>
    <w:p w:rsidR="00205517" w:rsidRDefault="00205517" w:rsidP="00205517">
      <w:pPr>
        <w:rPr>
          <w:lang w:val="en-GB"/>
        </w:rPr>
      </w:pPr>
      <w:r>
        <w:rPr>
          <w:lang w:val="en-GB"/>
        </w:rPr>
        <w:t>No.</w:t>
      </w:r>
    </w:p>
    <w:p w:rsidR="00205517" w:rsidRPr="00205517" w:rsidRDefault="00205517" w:rsidP="00205517">
      <w:pPr>
        <w:rPr>
          <w:lang w:val="en-GB"/>
        </w:rPr>
      </w:pPr>
    </w:p>
    <w:p w:rsidR="00A1002E" w:rsidRDefault="00A1002E" w:rsidP="00A1002E">
      <w:pPr>
        <w:pStyle w:val="berschrift5"/>
        <w:keepNext w:val="0"/>
        <w:keepLines w:val="0"/>
        <w:numPr>
          <w:ilvl w:val="0"/>
          <w:numId w:val="2"/>
        </w:numPr>
        <w:spacing w:after="250" w:line="276" w:lineRule="auto"/>
        <w:ind w:left="0" w:firstLine="0"/>
      </w:pPr>
      <w:r>
        <w:t>Should any specific consideration be given to the scenario where the third party further sub-delegates the safe-keeping of the UCITS’ assets in accordance with Article 22a(3), last sub-paragraph of the UCITS Directive (as inserted by UCITS V)? Should the third party take any additional/different steps or measures in this case?</w:t>
      </w:r>
    </w:p>
    <w:p w:rsidR="00205517" w:rsidRDefault="00205517" w:rsidP="00205517">
      <w:pPr>
        <w:rPr>
          <w:lang w:val="en-GB"/>
        </w:rPr>
      </w:pPr>
      <w:r>
        <w:rPr>
          <w:lang w:val="en-GB"/>
        </w:rPr>
        <w:t>No.</w:t>
      </w:r>
    </w:p>
    <w:p w:rsidR="00205517" w:rsidRPr="00205517" w:rsidRDefault="00205517" w:rsidP="00205517">
      <w:pPr>
        <w:rPr>
          <w:lang w:val="en-GB"/>
        </w:rPr>
      </w:pPr>
    </w:p>
    <w:p w:rsidR="00A1002E" w:rsidRDefault="00A1002E" w:rsidP="00A1002E">
      <w:pPr>
        <w:pStyle w:val="berschrift5"/>
        <w:keepNext w:val="0"/>
        <w:keepLines w:val="0"/>
        <w:numPr>
          <w:ilvl w:val="0"/>
          <w:numId w:val="2"/>
        </w:numPr>
        <w:spacing w:after="250" w:line="276" w:lineRule="auto"/>
        <w:ind w:left="0" w:firstLine="0"/>
      </w:pPr>
      <w:r>
        <w:t>Do you agree with the steps to be taken by the depositary as identified above? If not, please explain the reasons.</w:t>
      </w:r>
    </w:p>
    <w:p w:rsidR="00A1002E" w:rsidRDefault="00A1002E" w:rsidP="00A1002E">
      <w:r>
        <w:t xml:space="preserve">Yes. </w:t>
      </w:r>
      <w:proofErr w:type="spellStart"/>
      <w:r>
        <w:t>However</w:t>
      </w:r>
      <w:proofErr w:type="spellEnd"/>
      <w:r>
        <w:t xml:space="preserve">, </w:t>
      </w:r>
      <w:proofErr w:type="spellStart"/>
      <w:r>
        <w:t>it</w:t>
      </w:r>
      <w:proofErr w:type="spellEnd"/>
      <w:r>
        <w:t xml:space="preserve"> </w:t>
      </w:r>
      <w:proofErr w:type="spellStart"/>
      <w:r>
        <w:t>is</w:t>
      </w:r>
      <w:proofErr w:type="spellEnd"/>
      <w:r>
        <w:t xml:space="preserve"> </w:t>
      </w:r>
      <w:proofErr w:type="spellStart"/>
      <w:r>
        <w:t>well</w:t>
      </w:r>
      <w:proofErr w:type="spellEnd"/>
      <w:r>
        <w:t xml:space="preserve"> </w:t>
      </w:r>
      <w:proofErr w:type="spellStart"/>
      <w:r>
        <w:t>understood</w:t>
      </w:r>
      <w:proofErr w:type="spellEnd"/>
      <w:r>
        <w:t xml:space="preserve"> </w:t>
      </w:r>
      <w:proofErr w:type="spellStart"/>
      <w:r>
        <w:t>that</w:t>
      </w:r>
      <w:proofErr w:type="spellEnd"/>
      <w:r>
        <w:t xml:space="preserve"> </w:t>
      </w:r>
      <w:proofErr w:type="spellStart"/>
      <w:r>
        <w:t>the</w:t>
      </w:r>
      <w:proofErr w:type="spellEnd"/>
      <w:r>
        <w:t xml:space="preserve"> </w:t>
      </w:r>
      <w:proofErr w:type="spellStart"/>
      <w:r>
        <w:t>depositary</w:t>
      </w:r>
      <w:proofErr w:type="spellEnd"/>
      <w:r>
        <w:t xml:space="preserve"> </w:t>
      </w:r>
      <w:proofErr w:type="spellStart"/>
      <w:r>
        <w:t>does</w:t>
      </w:r>
      <w:proofErr w:type="spellEnd"/>
      <w:r>
        <w:t xml:space="preserve"> not </w:t>
      </w:r>
      <w:proofErr w:type="spellStart"/>
      <w:r>
        <w:t>guarantee</w:t>
      </w:r>
      <w:proofErr w:type="spellEnd"/>
      <w:r>
        <w:t xml:space="preserve"> </w:t>
      </w:r>
      <w:proofErr w:type="spellStart"/>
      <w:r>
        <w:t>the</w:t>
      </w:r>
      <w:proofErr w:type="spellEnd"/>
      <w:r>
        <w:t xml:space="preserve"> </w:t>
      </w:r>
      <w:proofErr w:type="spellStart"/>
      <w:r>
        <w:t>insolvency-remoteness</w:t>
      </w:r>
      <w:proofErr w:type="spellEnd"/>
      <w:r>
        <w:t xml:space="preserve">. In </w:t>
      </w:r>
      <w:proofErr w:type="spellStart"/>
      <w:r>
        <w:t>case</w:t>
      </w:r>
      <w:proofErr w:type="spellEnd"/>
      <w:r>
        <w:t xml:space="preserve"> </w:t>
      </w:r>
      <w:proofErr w:type="spellStart"/>
      <w:r>
        <w:t>of</w:t>
      </w:r>
      <w:proofErr w:type="spellEnd"/>
      <w:r>
        <w:t xml:space="preserve"> </w:t>
      </w:r>
      <w:proofErr w:type="spellStart"/>
      <w:r>
        <w:t>jurisdictions</w:t>
      </w:r>
      <w:proofErr w:type="spellEnd"/>
      <w:r>
        <w:t xml:space="preserve"> </w:t>
      </w:r>
      <w:proofErr w:type="spellStart"/>
      <w:r>
        <w:t>where</w:t>
      </w:r>
      <w:proofErr w:type="spellEnd"/>
      <w:r>
        <w:t xml:space="preserve"> an </w:t>
      </w:r>
      <w:proofErr w:type="spellStart"/>
      <w:r>
        <w:t>impact</w:t>
      </w:r>
      <w:proofErr w:type="spellEnd"/>
      <w:r>
        <w:t xml:space="preserve"> </w:t>
      </w:r>
      <w:proofErr w:type="spellStart"/>
      <w:r>
        <w:t>of</w:t>
      </w:r>
      <w:proofErr w:type="spellEnd"/>
      <w:r>
        <w:t xml:space="preserve"> </w:t>
      </w:r>
      <w:proofErr w:type="spellStart"/>
      <w:r>
        <w:t>third</w:t>
      </w:r>
      <w:proofErr w:type="spellEnd"/>
      <w:r>
        <w:t xml:space="preserve">-party </w:t>
      </w:r>
      <w:proofErr w:type="spellStart"/>
      <w:r>
        <w:t>insolvency</w:t>
      </w:r>
      <w:proofErr w:type="spellEnd"/>
      <w:r>
        <w:t xml:space="preserve"> on </w:t>
      </w:r>
      <w:proofErr w:type="spellStart"/>
      <w:r>
        <w:t>the</w:t>
      </w:r>
      <w:proofErr w:type="spellEnd"/>
      <w:r>
        <w:t xml:space="preserve"> UCITS </w:t>
      </w:r>
      <w:proofErr w:type="spellStart"/>
      <w:r>
        <w:t>assets</w:t>
      </w:r>
      <w:proofErr w:type="spellEnd"/>
      <w:r>
        <w:t xml:space="preserve"> </w:t>
      </w:r>
      <w:proofErr w:type="spellStart"/>
      <w:r>
        <w:t>cannot</w:t>
      </w:r>
      <w:proofErr w:type="spellEnd"/>
      <w:r>
        <w:t xml:space="preserve"> </w:t>
      </w:r>
      <w:proofErr w:type="spellStart"/>
      <w:r>
        <w:t>be</w:t>
      </w:r>
      <w:proofErr w:type="spellEnd"/>
      <w:r>
        <w:t xml:space="preserve"> </w:t>
      </w:r>
      <w:proofErr w:type="spellStart"/>
      <w:r>
        <w:t>avoided</w:t>
      </w:r>
      <w:proofErr w:type="spellEnd"/>
      <w:r>
        <w:t xml:space="preserve">, a </w:t>
      </w:r>
      <w:proofErr w:type="spellStart"/>
      <w:r>
        <w:t>mitigating</w:t>
      </w:r>
      <w:proofErr w:type="spellEnd"/>
      <w:r>
        <w:t xml:space="preserve"> </w:t>
      </w:r>
      <w:proofErr w:type="spellStart"/>
      <w:r>
        <w:t>action</w:t>
      </w:r>
      <w:proofErr w:type="spellEnd"/>
      <w:r>
        <w:t xml:space="preserve"> </w:t>
      </w:r>
      <w:proofErr w:type="spellStart"/>
      <w:r>
        <w:t>may</w:t>
      </w:r>
      <w:proofErr w:type="spellEnd"/>
      <w:r>
        <w:t xml:space="preserve"> </w:t>
      </w:r>
      <w:proofErr w:type="spellStart"/>
      <w:r>
        <w:t>be</w:t>
      </w:r>
      <w:proofErr w:type="spellEnd"/>
      <w:r>
        <w:t xml:space="preserve"> </w:t>
      </w:r>
      <w:proofErr w:type="spellStart"/>
      <w:r>
        <w:t>the</w:t>
      </w:r>
      <w:proofErr w:type="spellEnd"/>
      <w:r>
        <w:t xml:space="preserve"> </w:t>
      </w:r>
      <w:proofErr w:type="spellStart"/>
      <w:r>
        <w:t>disclosure</w:t>
      </w:r>
      <w:proofErr w:type="spellEnd"/>
      <w:r>
        <w:t xml:space="preserve"> </w:t>
      </w:r>
      <w:proofErr w:type="spellStart"/>
      <w:r>
        <w:t>of</w:t>
      </w:r>
      <w:proofErr w:type="spellEnd"/>
      <w:r>
        <w:t xml:space="preserve"> </w:t>
      </w:r>
      <w:proofErr w:type="spellStart"/>
      <w:r>
        <w:t>the</w:t>
      </w:r>
      <w:proofErr w:type="spellEnd"/>
      <w:r>
        <w:t xml:space="preserve"> </w:t>
      </w:r>
      <w:proofErr w:type="spellStart"/>
      <w:r>
        <w:t>risk</w:t>
      </w:r>
      <w:proofErr w:type="spellEnd"/>
      <w:r>
        <w:t xml:space="preserve"> </w:t>
      </w:r>
      <w:proofErr w:type="spellStart"/>
      <w:r>
        <w:t>to</w:t>
      </w:r>
      <w:proofErr w:type="spellEnd"/>
      <w:r>
        <w:t xml:space="preserve"> </w:t>
      </w:r>
      <w:proofErr w:type="spellStart"/>
      <w:r>
        <w:t>the</w:t>
      </w:r>
      <w:proofErr w:type="spellEnd"/>
      <w:r>
        <w:t xml:space="preserve"> </w:t>
      </w:r>
      <w:proofErr w:type="spellStart"/>
      <w:r>
        <w:t>investment</w:t>
      </w:r>
      <w:proofErr w:type="spellEnd"/>
      <w:r>
        <w:t xml:space="preserve"> </w:t>
      </w:r>
      <w:proofErr w:type="spellStart"/>
      <w:r>
        <w:t>company</w:t>
      </w:r>
      <w:proofErr w:type="spellEnd"/>
      <w:r>
        <w:t>/</w:t>
      </w:r>
      <w:proofErr w:type="spellStart"/>
      <w:r>
        <w:t>management</w:t>
      </w:r>
      <w:proofErr w:type="spellEnd"/>
      <w:r>
        <w:t xml:space="preserve"> </w:t>
      </w:r>
      <w:proofErr w:type="spellStart"/>
      <w:r>
        <w:t>company</w:t>
      </w:r>
      <w:proofErr w:type="spellEnd"/>
      <w:r>
        <w:t xml:space="preserve">, </w:t>
      </w:r>
      <w:proofErr w:type="spellStart"/>
      <w:r>
        <w:t>who</w:t>
      </w:r>
      <w:proofErr w:type="spellEnd"/>
      <w:r>
        <w:t xml:space="preserve"> </w:t>
      </w:r>
      <w:proofErr w:type="spellStart"/>
      <w:r>
        <w:t>shall</w:t>
      </w:r>
      <w:proofErr w:type="spellEnd"/>
      <w:r>
        <w:t xml:space="preserve"> </w:t>
      </w:r>
      <w:proofErr w:type="spellStart"/>
      <w:r>
        <w:t>provide</w:t>
      </w:r>
      <w:proofErr w:type="spellEnd"/>
      <w:r>
        <w:t xml:space="preserve"> </w:t>
      </w:r>
      <w:proofErr w:type="spellStart"/>
      <w:r>
        <w:t>for</w:t>
      </w:r>
      <w:proofErr w:type="spellEnd"/>
      <w:r>
        <w:t xml:space="preserve"> </w:t>
      </w:r>
      <w:proofErr w:type="spellStart"/>
      <w:r>
        <w:t>divestment</w:t>
      </w:r>
      <w:proofErr w:type="spellEnd"/>
      <w:r>
        <w:t xml:space="preserve"> </w:t>
      </w:r>
      <w:proofErr w:type="spellStart"/>
      <w:r>
        <w:t>of</w:t>
      </w:r>
      <w:proofErr w:type="spellEnd"/>
      <w:r>
        <w:t xml:space="preserve"> </w:t>
      </w:r>
      <w:proofErr w:type="spellStart"/>
      <w:r>
        <w:t>the</w:t>
      </w:r>
      <w:proofErr w:type="spellEnd"/>
      <w:r>
        <w:t xml:space="preserve"> UCITS in such </w:t>
      </w:r>
      <w:proofErr w:type="spellStart"/>
      <w:r>
        <w:t>jurisdictions</w:t>
      </w:r>
      <w:proofErr w:type="spellEnd"/>
      <w:r>
        <w:t xml:space="preserve"> after </w:t>
      </w:r>
      <w:proofErr w:type="spellStart"/>
      <w:r>
        <w:t>appropriate</w:t>
      </w:r>
      <w:proofErr w:type="spellEnd"/>
      <w:r>
        <w:t xml:space="preserve"> </w:t>
      </w:r>
      <w:proofErr w:type="spellStart"/>
      <w:r>
        <w:t>risk</w:t>
      </w:r>
      <w:proofErr w:type="spellEnd"/>
      <w:r>
        <w:t xml:space="preserve"> </w:t>
      </w:r>
      <w:proofErr w:type="spellStart"/>
      <w:r>
        <w:t>evaluation</w:t>
      </w:r>
      <w:proofErr w:type="spellEnd"/>
      <w:r>
        <w:t>.</w:t>
      </w:r>
    </w:p>
    <w:p w:rsidR="00A1002E" w:rsidRDefault="00A1002E" w:rsidP="00A1002E"/>
    <w:p w:rsidR="00A1002E" w:rsidRDefault="00A1002E" w:rsidP="00A1002E">
      <w:pPr>
        <w:pStyle w:val="berschrift5"/>
        <w:keepNext w:val="0"/>
        <w:keepLines w:val="0"/>
        <w:numPr>
          <w:ilvl w:val="0"/>
          <w:numId w:val="2"/>
        </w:numPr>
        <w:spacing w:after="250" w:line="276" w:lineRule="auto"/>
        <w:ind w:left="0" w:firstLine="0"/>
      </w:pPr>
      <w:r>
        <w:t>Do you expect any significant one-off and ongoing compliance costs for depositaries in order to take the steps identified above? If yes, please provide any available data and/or estimation.</w:t>
      </w:r>
    </w:p>
    <w:p w:rsidR="00A1002E" w:rsidRDefault="00A1002E" w:rsidP="00A1002E">
      <w:r>
        <w:t xml:space="preserve">Yes, </w:t>
      </w:r>
      <w:proofErr w:type="spellStart"/>
      <w:r>
        <w:t>estimated</w:t>
      </w:r>
      <w:proofErr w:type="spellEnd"/>
      <w:r>
        <w:t xml:space="preserve"> 300,000 p.a.</w:t>
      </w:r>
    </w:p>
    <w:p w:rsidR="00A1002E" w:rsidRDefault="00A1002E" w:rsidP="00A1002E"/>
    <w:p w:rsidR="00A1002E" w:rsidRDefault="00A1002E" w:rsidP="00A1002E">
      <w:pPr>
        <w:pStyle w:val="berschrift5"/>
        <w:keepNext w:val="0"/>
        <w:keepLines w:val="0"/>
        <w:numPr>
          <w:ilvl w:val="0"/>
          <w:numId w:val="2"/>
        </w:numPr>
        <w:spacing w:after="250" w:line="276" w:lineRule="auto"/>
        <w:ind w:left="0" w:firstLine="0"/>
      </w:pPr>
      <w:r>
        <w:t>Would you suggest requiring the depositary to take any further steps which are not foreseen in the draft advice?</w:t>
      </w:r>
    </w:p>
    <w:p w:rsidR="00A1002E" w:rsidRDefault="00A1002E" w:rsidP="00A1002E">
      <w:proofErr w:type="spellStart"/>
      <w:r>
        <w:t>No</w:t>
      </w:r>
      <w:proofErr w:type="spellEnd"/>
      <w:r w:rsidR="00205517">
        <w:t>.</w:t>
      </w:r>
    </w:p>
    <w:p w:rsidR="00205517" w:rsidRDefault="00205517" w:rsidP="00A1002E"/>
    <w:p w:rsidR="00A1002E" w:rsidRDefault="00A1002E" w:rsidP="00A1002E"/>
    <w:p w:rsidR="00A1002E" w:rsidRDefault="00A1002E" w:rsidP="00A1002E">
      <w:pPr>
        <w:pStyle w:val="berschrift5"/>
        <w:keepNext w:val="0"/>
        <w:keepLines w:val="0"/>
        <w:numPr>
          <w:ilvl w:val="0"/>
          <w:numId w:val="2"/>
        </w:numPr>
        <w:spacing w:after="250" w:line="276" w:lineRule="auto"/>
        <w:ind w:left="0" w:firstLine="0"/>
      </w:pPr>
      <w:r>
        <w:t>Which measures do you think should be taken by the depositary and/or the investment company/management company in the best interest of the investors once the depositary has informed the investment company or the management company on behalf of the UCITS that the segregation of the UCITS’ assets in the event of insolvency of the third party is no longer guaranteed in a given jurisdiction located outside the Union? Would the transfer of the relevant UCITS’ assets held by the third party in a non-EU jurisdiction to another (EU or non-EU) jurisdiction which recognises the segregation of the UCITS’ assets in the event of insolvency of the third party/depositary be a possible measure?</w:t>
      </w:r>
    </w:p>
    <w:p w:rsidR="00A1002E" w:rsidRDefault="00A1002E" w:rsidP="00A1002E">
      <w:proofErr w:type="spellStart"/>
      <w:r>
        <w:t>Normally</w:t>
      </w:r>
      <w:proofErr w:type="spellEnd"/>
      <w:r>
        <w:t xml:space="preserve"> </w:t>
      </w:r>
      <w:proofErr w:type="spellStart"/>
      <w:r>
        <w:t>the</w:t>
      </w:r>
      <w:proofErr w:type="spellEnd"/>
      <w:r>
        <w:t xml:space="preserve"> </w:t>
      </w:r>
      <w:proofErr w:type="spellStart"/>
      <w:r>
        <w:t>assets</w:t>
      </w:r>
      <w:proofErr w:type="spellEnd"/>
      <w:r>
        <w:t xml:space="preserve"> </w:t>
      </w:r>
      <w:proofErr w:type="spellStart"/>
      <w:r>
        <w:t>of</w:t>
      </w:r>
      <w:proofErr w:type="spellEnd"/>
      <w:r>
        <w:t xml:space="preserve"> an UCITS (</w:t>
      </w:r>
      <w:proofErr w:type="spellStart"/>
      <w:r>
        <w:t>securities</w:t>
      </w:r>
      <w:proofErr w:type="spellEnd"/>
      <w:r>
        <w:t xml:space="preserve">) </w:t>
      </w:r>
      <w:proofErr w:type="spellStart"/>
      <w:r>
        <w:t>are</w:t>
      </w:r>
      <w:proofErr w:type="spellEnd"/>
      <w:r>
        <w:t xml:space="preserve"> </w:t>
      </w:r>
      <w:proofErr w:type="spellStart"/>
      <w:r>
        <w:t>held</w:t>
      </w:r>
      <w:proofErr w:type="spellEnd"/>
      <w:r>
        <w:t xml:space="preserve"> </w:t>
      </w:r>
      <w:proofErr w:type="spellStart"/>
      <w:r>
        <w:t>by</w:t>
      </w:r>
      <w:proofErr w:type="spellEnd"/>
      <w:r>
        <w:t xml:space="preserve"> a </w:t>
      </w:r>
      <w:proofErr w:type="spellStart"/>
      <w:r>
        <w:t>third</w:t>
      </w:r>
      <w:proofErr w:type="spellEnd"/>
      <w:r>
        <w:t xml:space="preserve"> </w:t>
      </w:r>
      <w:proofErr w:type="spellStart"/>
      <w:r>
        <w:t>party</w:t>
      </w:r>
      <w:proofErr w:type="spellEnd"/>
      <w:r>
        <w:t xml:space="preserve"> in </w:t>
      </w:r>
      <w:proofErr w:type="spellStart"/>
      <w:r>
        <w:t>the</w:t>
      </w:r>
      <w:proofErr w:type="spellEnd"/>
      <w:r>
        <w:t xml:space="preserve"> </w:t>
      </w:r>
      <w:proofErr w:type="spellStart"/>
      <w:r>
        <w:t>jurisdiction</w:t>
      </w:r>
      <w:proofErr w:type="spellEnd"/>
      <w:r>
        <w:t xml:space="preserve"> </w:t>
      </w:r>
      <w:proofErr w:type="spellStart"/>
      <w:r>
        <w:t>of</w:t>
      </w:r>
      <w:proofErr w:type="spellEnd"/>
      <w:r>
        <w:t xml:space="preserve"> </w:t>
      </w:r>
      <w:proofErr w:type="spellStart"/>
      <w:r>
        <w:t>the</w:t>
      </w:r>
      <w:proofErr w:type="spellEnd"/>
      <w:r>
        <w:t xml:space="preserve"> </w:t>
      </w:r>
      <w:proofErr w:type="spellStart"/>
      <w:r>
        <w:t>issuance</w:t>
      </w:r>
      <w:proofErr w:type="spellEnd"/>
      <w:r>
        <w:t xml:space="preserve"> </w:t>
      </w:r>
      <w:proofErr w:type="spellStart"/>
      <w:r>
        <w:t>of</w:t>
      </w:r>
      <w:proofErr w:type="spellEnd"/>
      <w:r>
        <w:t xml:space="preserve"> </w:t>
      </w:r>
      <w:proofErr w:type="spellStart"/>
      <w:r>
        <w:t>the</w:t>
      </w:r>
      <w:proofErr w:type="spellEnd"/>
      <w:r>
        <w:t xml:space="preserve"> </w:t>
      </w:r>
      <w:proofErr w:type="spellStart"/>
      <w:r>
        <w:t>securities</w:t>
      </w:r>
      <w:proofErr w:type="spellEnd"/>
      <w:r>
        <w:t xml:space="preserve">. </w:t>
      </w:r>
      <w:proofErr w:type="spellStart"/>
      <w:r>
        <w:t>Therefore</w:t>
      </w:r>
      <w:proofErr w:type="spellEnd"/>
      <w:r>
        <w:t xml:space="preserve">, </w:t>
      </w:r>
      <w:proofErr w:type="spellStart"/>
      <w:r>
        <w:t>transfer</w:t>
      </w:r>
      <w:proofErr w:type="spellEnd"/>
      <w:r>
        <w:t xml:space="preserve"> </w:t>
      </w:r>
      <w:proofErr w:type="spellStart"/>
      <w:r>
        <w:t>to</w:t>
      </w:r>
      <w:proofErr w:type="spellEnd"/>
      <w:r>
        <w:t xml:space="preserve"> a </w:t>
      </w:r>
      <w:proofErr w:type="spellStart"/>
      <w:r>
        <w:t>third</w:t>
      </w:r>
      <w:proofErr w:type="spellEnd"/>
      <w:r>
        <w:t xml:space="preserve"> </w:t>
      </w:r>
      <w:proofErr w:type="spellStart"/>
      <w:r>
        <w:t>party</w:t>
      </w:r>
      <w:proofErr w:type="spellEnd"/>
      <w:r>
        <w:t xml:space="preserve"> in </w:t>
      </w:r>
      <w:proofErr w:type="spellStart"/>
      <w:r>
        <w:t>another</w:t>
      </w:r>
      <w:proofErr w:type="spellEnd"/>
      <w:r>
        <w:t xml:space="preserve"> </w:t>
      </w:r>
      <w:proofErr w:type="spellStart"/>
      <w:r>
        <w:t>jurisdiction</w:t>
      </w:r>
      <w:proofErr w:type="spellEnd"/>
      <w:r>
        <w:t xml:space="preserve"> will not </w:t>
      </w:r>
      <w:proofErr w:type="spellStart"/>
      <w:r>
        <w:t>mitigate</w:t>
      </w:r>
      <w:proofErr w:type="spellEnd"/>
      <w:r>
        <w:t xml:space="preserve"> </w:t>
      </w:r>
      <w:proofErr w:type="spellStart"/>
      <w:r>
        <w:t>the</w:t>
      </w:r>
      <w:proofErr w:type="spellEnd"/>
      <w:r>
        <w:t xml:space="preserve"> </w:t>
      </w:r>
      <w:proofErr w:type="spellStart"/>
      <w:r>
        <w:t>risk</w:t>
      </w:r>
      <w:proofErr w:type="spellEnd"/>
      <w:r>
        <w:t xml:space="preserve">, </w:t>
      </w:r>
      <w:proofErr w:type="spellStart"/>
      <w:r>
        <w:t>as</w:t>
      </w:r>
      <w:proofErr w:type="spellEnd"/>
      <w:r>
        <w:t xml:space="preserve"> such </w:t>
      </w:r>
      <w:proofErr w:type="spellStart"/>
      <w:r>
        <w:t>third</w:t>
      </w:r>
      <w:proofErr w:type="spellEnd"/>
      <w:r>
        <w:t xml:space="preserve"> </w:t>
      </w:r>
      <w:proofErr w:type="spellStart"/>
      <w:r>
        <w:t>party</w:t>
      </w:r>
      <w:proofErr w:type="spellEnd"/>
      <w:r>
        <w:t xml:space="preserve"> will </w:t>
      </w:r>
      <w:proofErr w:type="spellStart"/>
      <w:r>
        <w:t>again</w:t>
      </w:r>
      <w:proofErr w:type="spellEnd"/>
      <w:r>
        <w:t xml:space="preserve"> </w:t>
      </w:r>
      <w:proofErr w:type="spellStart"/>
      <w:r>
        <w:t>have</w:t>
      </w:r>
      <w:proofErr w:type="spellEnd"/>
      <w:r>
        <w:t xml:space="preserve"> </w:t>
      </w:r>
      <w:proofErr w:type="spellStart"/>
      <w:r>
        <w:t>to</w:t>
      </w:r>
      <w:proofErr w:type="spellEnd"/>
      <w:r>
        <w:t xml:space="preserve"> hold such </w:t>
      </w:r>
      <w:proofErr w:type="spellStart"/>
      <w:r>
        <w:t>assets</w:t>
      </w:r>
      <w:proofErr w:type="spellEnd"/>
      <w:r>
        <w:t xml:space="preserve"> </w:t>
      </w:r>
      <w:proofErr w:type="spellStart"/>
      <w:r>
        <w:t>through</w:t>
      </w:r>
      <w:proofErr w:type="spellEnd"/>
      <w:r>
        <w:t xml:space="preserve"> a </w:t>
      </w:r>
      <w:proofErr w:type="spellStart"/>
      <w:r>
        <w:t>fourth</w:t>
      </w:r>
      <w:proofErr w:type="spellEnd"/>
      <w:r>
        <w:t xml:space="preserve"> </w:t>
      </w:r>
      <w:proofErr w:type="spellStart"/>
      <w:r>
        <w:t>party</w:t>
      </w:r>
      <w:proofErr w:type="spellEnd"/>
      <w:r>
        <w:t xml:space="preserve"> in </w:t>
      </w:r>
      <w:proofErr w:type="spellStart"/>
      <w:r>
        <w:t>the</w:t>
      </w:r>
      <w:proofErr w:type="spellEnd"/>
      <w:r>
        <w:t xml:space="preserve"> </w:t>
      </w:r>
      <w:proofErr w:type="spellStart"/>
      <w:r>
        <w:t>jurisdiction</w:t>
      </w:r>
      <w:proofErr w:type="spellEnd"/>
      <w:r>
        <w:t xml:space="preserve"> </w:t>
      </w:r>
      <w:proofErr w:type="spellStart"/>
      <w:r>
        <w:t>of</w:t>
      </w:r>
      <w:proofErr w:type="spellEnd"/>
      <w:r>
        <w:t xml:space="preserve"> </w:t>
      </w:r>
      <w:proofErr w:type="spellStart"/>
      <w:r>
        <w:t>issuance</w:t>
      </w:r>
      <w:proofErr w:type="spellEnd"/>
      <w:r>
        <w:t xml:space="preserve"> </w:t>
      </w:r>
      <w:proofErr w:type="spellStart"/>
      <w:r>
        <w:t>of</w:t>
      </w:r>
      <w:proofErr w:type="spellEnd"/>
      <w:r>
        <w:t xml:space="preserve"> </w:t>
      </w:r>
      <w:proofErr w:type="spellStart"/>
      <w:r>
        <w:t>the</w:t>
      </w:r>
      <w:proofErr w:type="spellEnd"/>
      <w:r>
        <w:t xml:space="preserve"> </w:t>
      </w:r>
      <w:proofErr w:type="spellStart"/>
      <w:r>
        <w:t>securities</w:t>
      </w:r>
      <w:proofErr w:type="spellEnd"/>
      <w:r>
        <w:t xml:space="preserve">.  A </w:t>
      </w:r>
      <w:proofErr w:type="spellStart"/>
      <w:r>
        <w:t>mitigating</w:t>
      </w:r>
      <w:proofErr w:type="spellEnd"/>
      <w:r>
        <w:t xml:space="preserve"> </w:t>
      </w:r>
      <w:proofErr w:type="spellStart"/>
      <w:r>
        <w:t>action</w:t>
      </w:r>
      <w:proofErr w:type="spellEnd"/>
      <w:r>
        <w:t xml:space="preserve"> </w:t>
      </w:r>
      <w:proofErr w:type="spellStart"/>
      <w:r>
        <w:t>may</w:t>
      </w:r>
      <w:proofErr w:type="spellEnd"/>
      <w:r>
        <w:t xml:space="preserve"> </w:t>
      </w:r>
      <w:proofErr w:type="spellStart"/>
      <w:r>
        <w:t>be</w:t>
      </w:r>
      <w:proofErr w:type="spellEnd"/>
      <w:r>
        <w:t xml:space="preserve"> </w:t>
      </w:r>
      <w:proofErr w:type="spellStart"/>
      <w:r>
        <w:t>the</w:t>
      </w:r>
      <w:proofErr w:type="spellEnd"/>
      <w:r>
        <w:t xml:space="preserve"> </w:t>
      </w:r>
      <w:proofErr w:type="spellStart"/>
      <w:r>
        <w:t>disclosure</w:t>
      </w:r>
      <w:proofErr w:type="spellEnd"/>
      <w:r>
        <w:t xml:space="preserve"> </w:t>
      </w:r>
      <w:proofErr w:type="spellStart"/>
      <w:r>
        <w:t>of</w:t>
      </w:r>
      <w:proofErr w:type="spellEnd"/>
      <w:r>
        <w:t xml:space="preserve"> </w:t>
      </w:r>
      <w:proofErr w:type="spellStart"/>
      <w:r>
        <w:t>the</w:t>
      </w:r>
      <w:proofErr w:type="spellEnd"/>
      <w:r>
        <w:t xml:space="preserve"> </w:t>
      </w:r>
      <w:proofErr w:type="spellStart"/>
      <w:r>
        <w:t>risk</w:t>
      </w:r>
      <w:proofErr w:type="spellEnd"/>
      <w:r>
        <w:t xml:space="preserve"> </w:t>
      </w:r>
      <w:proofErr w:type="spellStart"/>
      <w:r>
        <w:t>to</w:t>
      </w:r>
      <w:proofErr w:type="spellEnd"/>
      <w:r>
        <w:t xml:space="preserve"> </w:t>
      </w:r>
      <w:proofErr w:type="spellStart"/>
      <w:r>
        <w:t>the</w:t>
      </w:r>
      <w:proofErr w:type="spellEnd"/>
      <w:r>
        <w:t xml:space="preserve"> </w:t>
      </w:r>
      <w:proofErr w:type="spellStart"/>
      <w:r>
        <w:t>investment</w:t>
      </w:r>
      <w:proofErr w:type="spellEnd"/>
      <w:r>
        <w:t xml:space="preserve"> </w:t>
      </w:r>
      <w:proofErr w:type="spellStart"/>
      <w:r>
        <w:t>company</w:t>
      </w:r>
      <w:proofErr w:type="spellEnd"/>
      <w:r>
        <w:t>/</w:t>
      </w:r>
      <w:proofErr w:type="spellStart"/>
      <w:r>
        <w:t>management</w:t>
      </w:r>
      <w:proofErr w:type="spellEnd"/>
      <w:r>
        <w:t xml:space="preserve"> </w:t>
      </w:r>
      <w:proofErr w:type="spellStart"/>
      <w:r>
        <w:t>company</w:t>
      </w:r>
      <w:proofErr w:type="spellEnd"/>
      <w:r>
        <w:t xml:space="preserve">, </w:t>
      </w:r>
      <w:proofErr w:type="spellStart"/>
      <w:r>
        <w:t>who</w:t>
      </w:r>
      <w:proofErr w:type="spellEnd"/>
      <w:r>
        <w:t xml:space="preserve"> </w:t>
      </w:r>
      <w:proofErr w:type="spellStart"/>
      <w:r>
        <w:t>shall</w:t>
      </w:r>
      <w:proofErr w:type="spellEnd"/>
      <w:r>
        <w:t xml:space="preserve"> </w:t>
      </w:r>
      <w:proofErr w:type="spellStart"/>
      <w:r>
        <w:t>provide</w:t>
      </w:r>
      <w:proofErr w:type="spellEnd"/>
      <w:r>
        <w:t xml:space="preserve"> </w:t>
      </w:r>
      <w:proofErr w:type="spellStart"/>
      <w:r>
        <w:t>for</w:t>
      </w:r>
      <w:proofErr w:type="spellEnd"/>
      <w:r>
        <w:t xml:space="preserve"> </w:t>
      </w:r>
      <w:proofErr w:type="spellStart"/>
      <w:r>
        <w:t>divestment</w:t>
      </w:r>
      <w:proofErr w:type="spellEnd"/>
      <w:r>
        <w:t xml:space="preserve"> </w:t>
      </w:r>
      <w:proofErr w:type="spellStart"/>
      <w:r>
        <w:t>of</w:t>
      </w:r>
      <w:proofErr w:type="spellEnd"/>
      <w:r>
        <w:t xml:space="preserve"> the UCITS in such </w:t>
      </w:r>
      <w:proofErr w:type="spellStart"/>
      <w:r>
        <w:t>jurisdictions</w:t>
      </w:r>
      <w:proofErr w:type="spellEnd"/>
      <w:r>
        <w:t xml:space="preserve"> after </w:t>
      </w:r>
      <w:proofErr w:type="spellStart"/>
      <w:r>
        <w:t>appropriate</w:t>
      </w:r>
      <w:proofErr w:type="spellEnd"/>
      <w:r>
        <w:t xml:space="preserve"> </w:t>
      </w:r>
      <w:proofErr w:type="spellStart"/>
      <w:r>
        <w:t>risk</w:t>
      </w:r>
      <w:proofErr w:type="spellEnd"/>
      <w:r>
        <w:t xml:space="preserve"> </w:t>
      </w:r>
      <w:proofErr w:type="spellStart"/>
      <w:r>
        <w:t>evaluation</w:t>
      </w:r>
      <w:proofErr w:type="spellEnd"/>
      <w:r>
        <w:t>.</w:t>
      </w:r>
    </w:p>
    <w:p w:rsidR="004045DE" w:rsidRDefault="004045DE" w:rsidP="00A1002E"/>
    <w:p w:rsidR="00A1002E" w:rsidRPr="00CE2878" w:rsidRDefault="00A1002E" w:rsidP="00A1002E">
      <w:pPr>
        <w:keepNext/>
        <w:tabs>
          <w:tab w:val="left" w:pos="284"/>
          <w:tab w:val="left" w:pos="397"/>
        </w:tabs>
        <w:spacing w:after="280" w:line="280" w:lineRule="exact"/>
        <w:ind w:left="284" w:hanging="284"/>
        <w:jc w:val="both"/>
        <w:rPr>
          <w:b/>
        </w:rPr>
      </w:pPr>
      <w:bookmarkStart w:id="3" w:name="_Toc398029991"/>
      <w:r>
        <w:rPr>
          <w:b/>
        </w:rPr>
        <w:t xml:space="preserve">IV. </w:t>
      </w:r>
      <w:proofErr w:type="spellStart"/>
      <w:r w:rsidRPr="00CE2878">
        <w:rPr>
          <w:b/>
        </w:rPr>
        <w:t>Advice</w:t>
      </w:r>
      <w:proofErr w:type="spellEnd"/>
      <w:r w:rsidRPr="00CE2878">
        <w:rPr>
          <w:b/>
        </w:rPr>
        <w:t xml:space="preserve"> on </w:t>
      </w:r>
      <w:proofErr w:type="spellStart"/>
      <w:r w:rsidRPr="00CE2878">
        <w:rPr>
          <w:b/>
        </w:rPr>
        <w:t>the</w:t>
      </w:r>
      <w:proofErr w:type="spellEnd"/>
      <w:r w:rsidRPr="00CE2878">
        <w:rPr>
          <w:b/>
        </w:rPr>
        <w:t xml:space="preserve"> </w:t>
      </w:r>
      <w:proofErr w:type="spellStart"/>
      <w:r w:rsidRPr="00CE2878">
        <w:rPr>
          <w:b/>
        </w:rPr>
        <w:t>independence</w:t>
      </w:r>
      <w:proofErr w:type="spellEnd"/>
      <w:r w:rsidRPr="00CE2878">
        <w:rPr>
          <w:b/>
        </w:rPr>
        <w:t xml:space="preserve"> </w:t>
      </w:r>
      <w:proofErr w:type="spellStart"/>
      <w:r w:rsidRPr="00CE2878">
        <w:rPr>
          <w:b/>
        </w:rPr>
        <w:t>requirement</w:t>
      </w:r>
      <w:proofErr w:type="spellEnd"/>
      <w:r w:rsidRPr="00CE2878">
        <w:rPr>
          <w:b/>
        </w:rPr>
        <w:t xml:space="preserve"> (Art. 25(2) and 26(b)(h) UCITS V)</w:t>
      </w:r>
      <w:bookmarkEnd w:id="3"/>
    </w:p>
    <w:p w:rsidR="00A1002E" w:rsidRDefault="00A1002E" w:rsidP="00A1002E">
      <w:pPr>
        <w:pStyle w:val="berschrift5"/>
        <w:keepNext w:val="0"/>
        <w:keepLines w:val="0"/>
        <w:numPr>
          <w:ilvl w:val="0"/>
          <w:numId w:val="2"/>
        </w:numPr>
        <w:spacing w:after="250" w:line="276" w:lineRule="auto"/>
        <w:ind w:left="0" w:firstLine="0"/>
      </w:pPr>
      <w:r>
        <w:t>Do you agree with the identified links that may jeopardise the independence of the Relevant Entities? If not, please explain the reasons.</w:t>
      </w:r>
    </w:p>
    <w:p w:rsidR="00252C74" w:rsidRPr="00252C74" w:rsidRDefault="00252C74" w:rsidP="00252C74">
      <w:pPr>
        <w:autoSpaceDE w:val="0"/>
        <w:autoSpaceDN w:val="0"/>
        <w:adjustRightInd w:val="0"/>
        <w:jc w:val="both"/>
        <w:rPr>
          <w:rFonts w:cs="Arial"/>
          <w:lang w:val="en-US"/>
        </w:rPr>
      </w:pPr>
      <w:r w:rsidRPr="00252C74">
        <w:rPr>
          <w:rFonts w:cs="Arial"/>
          <w:lang w:val="en-US"/>
        </w:rPr>
        <w:t xml:space="preserve">We disagree with the definition of cross-shareholdings and group inclusion as identified links that may jeopardize the independence of the Relevant Entities. Many financial groups have developed asset management as well as depositary bank businesses. This is common practice in the European Member States, where financial groups are active in both asset management and depositary activities, thus putting their know-how to the best use for their customers. </w:t>
      </w:r>
    </w:p>
    <w:p w:rsidR="00252C74" w:rsidRPr="00252C74" w:rsidRDefault="00252C74" w:rsidP="00252C74">
      <w:pPr>
        <w:autoSpaceDE w:val="0"/>
        <w:autoSpaceDN w:val="0"/>
        <w:adjustRightInd w:val="0"/>
        <w:jc w:val="both"/>
        <w:rPr>
          <w:rFonts w:cs="Arial"/>
          <w:lang w:val="en-US"/>
        </w:rPr>
      </w:pPr>
    </w:p>
    <w:p w:rsidR="00252C74" w:rsidRPr="00252C74" w:rsidRDefault="00252C74" w:rsidP="00252C74">
      <w:pPr>
        <w:autoSpaceDE w:val="0"/>
        <w:autoSpaceDN w:val="0"/>
        <w:adjustRightInd w:val="0"/>
        <w:jc w:val="both"/>
        <w:rPr>
          <w:rFonts w:cs="Arial"/>
          <w:lang w:val="en-US"/>
        </w:rPr>
      </w:pPr>
      <w:r w:rsidRPr="00252C74">
        <w:rPr>
          <w:rFonts w:cs="Arial"/>
          <w:lang w:val="en-US"/>
        </w:rPr>
        <w:t xml:space="preserve">Not allowing management companies and depositaries to be included within a group of undertakings heavily breaks with very common historically grown forms of organization which have been proven and tested for over more than half a century throughout the EU. </w:t>
      </w:r>
    </w:p>
    <w:p w:rsidR="00252C74" w:rsidRPr="00252C74" w:rsidRDefault="00252C74" w:rsidP="00252C74">
      <w:pPr>
        <w:autoSpaceDE w:val="0"/>
        <w:autoSpaceDN w:val="0"/>
        <w:adjustRightInd w:val="0"/>
        <w:jc w:val="both"/>
        <w:rPr>
          <w:rFonts w:cs="Arial"/>
          <w:lang w:val="en-US"/>
        </w:rPr>
      </w:pPr>
    </w:p>
    <w:p w:rsidR="00A1002E" w:rsidRPr="004D5AA1" w:rsidRDefault="00252C74" w:rsidP="00252C74">
      <w:pPr>
        <w:autoSpaceDE w:val="0"/>
        <w:autoSpaceDN w:val="0"/>
        <w:adjustRightInd w:val="0"/>
        <w:jc w:val="both"/>
        <w:rPr>
          <w:rFonts w:cs="Arial"/>
          <w:lang w:val="en-US"/>
        </w:rPr>
      </w:pPr>
      <w:r w:rsidRPr="00252C74">
        <w:rPr>
          <w:rFonts w:cs="Arial"/>
          <w:lang w:val="en-US"/>
        </w:rPr>
        <w:t>We also disagree with the interpretation of the scope o</w:t>
      </w:r>
      <w:r>
        <w:rPr>
          <w:rFonts w:cs="Arial"/>
          <w:lang w:val="en-US"/>
        </w:rPr>
        <w:t>f the mandate given by the Euro</w:t>
      </w:r>
      <w:r w:rsidRPr="00252C74">
        <w:rPr>
          <w:rFonts w:cs="Arial"/>
          <w:lang w:val="en-US"/>
        </w:rPr>
        <w:t>pean Commission to ESMA concerning the conditions for fulfilling the independence requirement referred to in Article 25(2) of the UCITS V Directive.</w:t>
      </w:r>
    </w:p>
    <w:p w:rsidR="00252C74" w:rsidRDefault="00252C74" w:rsidP="00A1002E">
      <w:pPr>
        <w:autoSpaceDE w:val="0"/>
        <w:autoSpaceDN w:val="0"/>
        <w:adjustRightInd w:val="0"/>
        <w:jc w:val="both"/>
        <w:rPr>
          <w:rFonts w:cs="Arial"/>
          <w:lang w:val="en-US"/>
        </w:rPr>
      </w:pPr>
    </w:p>
    <w:p w:rsidR="00A1002E" w:rsidRPr="004D5AA1" w:rsidRDefault="00A1002E" w:rsidP="00A1002E">
      <w:pPr>
        <w:autoSpaceDE w:val="0"/>
        <w:autoSpaceDN w:val="0"/>
        <w:adjustRightInd w:val="0"/>
        <w:jc w:val="both"/>
        <w:rPr>
          <w:rFonts w:cs="Arial"/>
          <w:lang w:val="en-US"/>
        </w:rPr>
      </w:pPr>
      <w:r w:rsidRPr="004D5AA1">
        <w:rPr>
          <w:rFonts w:cs="Arial"/>
          <w:lang w:val="en-US"/>
        </w:rPr>
        <w:t>As it is clearly stated in the new article 26b (h) of the UCITS V Directive, which defines the scope of the Commission’s empowerment to adopt delegated acts, the conditions for the independence of the depositary must be founded upon a legal basis laid down in article 25 (2) which provides that the management company and the depositary have to “act honestly, fairly, independently and solely in the interest of the UCITS and the investors of the UCITS […]</w:t>
      </w:r>
      <w:r w:rsidR="00A8502A">
        <w:rPr>
          <w:rFonts w:cs="Arial"/>
          <w:lang w:val="en-US"/>
        </w:rPr>
        <w:t>”.</w:t>
      </w:r>
    </w:p>
    <w:p w:rsidR="00A1002E" w:rsidRPr="004D5AA1" w:rsidRDefault="00A1002E" w:rsidP="00A1002E">
      <w:pPr>
        <w:autoSpaceDE w:val="0"/>
        <w:autoSpaceDN w:val="0"/>
        <w:adjustRightInd w:val="0"/>
        <w:jc w:val="both"/>
        <w:rPr>
          <w:rFonts w:cs="Arial"/>
          <w:lang w:val="en-US"/>
        </w:rPr>
      </w:pPr>
    </w:p>
    <w:p w:rsidR="00A1002E" w:rsidRDefault="00D04EBB" w:rsidP="00A1002E">
      <w:pPr>
        <w:autoSpaceDE w:val="0"/>
        <w:autoSpaceDN w:val="0"/>
        <w:adjustRightInd w:val="0"/>
        <w:jc w:val="both"/>
        <w:rPr>
          <w:rFonts w:cs="Arial"/>
          <w:lang w:val="en-US"/>
        </w:rPr>
      </w:pPr>
      <w:r w:rsidRPr="00964479">
        <w:rPr>
          <w:rFonts w:cs="Arial"/>
          <w:lang w:val="en-GB"/>
        </w:rPr>
        <w:t>Therefore we believe t</w:t>
      </w:r>
      <w:r>
        <w:rPr>
          <w:rFonts w:cs="Arial"/>
          <w:lang w:val="en-GB"/>
        </w:rPr>
        <w:t>hat the links identified</w:t>
      </w:r>
      <w:r w:rsidRPr="00964479">
        <w:rPr>
          <w:rFonts w:cs="Arial"/>
          <w:lang w:val="en-GB"/>
        </w:rPr>
        <w:t>, common management/supervision as well as cross-share</w:t>
      </w:r>
      <w:r>
        <w:rPr>
          <w:rFonts w:cs="Arial"/>
          <w:lang w:val="en-GB"/>
        </w:rPr>
        <w:t>holdings/group inclusion, go</w:t>
      </w:r>
      <w:r w:rsidRPr="00964479">
        <w:rPr>
          <w:rFonts w:cs="Arial"/>
          <w:lang w:val="en-GB"/>
        </w:rPr>
        <w:t xml:space="preserve"> beyond the objectives and the legal basis set out in the level 1 of the UCITS V directive</w:t>
      </w:r>
    </w:p>
    <w:p w:rsidR="00252C74" w:rsidRPr="004D5AA1" w:rsidRDefault="00252C74" w:rsidP="00A1002E">
      <w:pPr>
        <w:autoSpaceDE w:val="0"/>
        <w:autoSpaceDN w:val="0"/>
        <w:adjustRightInd w:val="0"/>
        <w:jc w:val="both"/>
        <w:rPr>
          <w:rFonts w:cs="Arial"/>
          <w:bCs/>
          <w:lang w:val="en-US"/>
        </w:rPr>
      </w:pPr>
    </w:p>
    <w:p w:rsidR="00D04EBB" w:rsidRPr="00964479" w:rsidRDefault="00D04EBB" w:rsidP="00D04EBB">
      <w:pPr>
        <w:tabs>
          <w:tab w:val="right" w:pos="9100"/>
        </w:tabs>
        <w:rPr>
          <w:rFonts w:cs="Arial"/>
          <w:lang w:val="en-GB"/>
        </w:rPr>
      </w:pPr>
      <w:r w:rsidRPr="00964479">
        <w:rPr>
          <w:rFonts w:cs="Arial"/>
          <w:lang w:val="en-GB"/>
        </w:rPr>
        <w:lastRenderedPageBreak/>
        <w:t>Instead the proposed option 1 with regard to shareholding structures of management companies and depositaries creates an automatic and, in our view, false link between a widely common form of organisation and the independence of the 2 entities.</w:t>
      </w:r>
    </w:p>
    <w:p w:rsidR="00D04EBB" w:rsidRPr="00964479" w:rsidRDefault="00D04EBB" w:rsidP="00D04EBB">
      <w:pPr>
        <w:tabs>
          <w:tab w:val="right" w:pos="9100"/>
        </w:tabs>
        <w:rPr>
          <w:rFonts w:cs="Arial"/>
          <w:lang w:val="en-GB"/>
        </w:rPr>
      </w:pPr>
    </w:p>
    <w:p w:rsidR="00D04EBB" w:rsidRPr="00964479" w:rsidRDefault="00D04EBB" w:rsidP="00D04EBB">
      <w:pPr>
        <w:tabs>
          <w:tab w:val="right" w:pos="9100"/>
        </w:tabs>
        <w:rPr>
          <w:rFonts w:cs="Arial"/>
          <w:lang w:val="en-GB"/>
        </w:rPr>
      </w:pPr>
      <w:r w:rsidRPr="00964479">
        <w:rPr>
          <w:rFonts w:cs="Arial"/>
          <w:lang w:val="en-GB"/>
        </w:rPr>
        <w:t xml:space="preserve">We do not believe that the featured links make it possible to supply a </w:t>
      </w:r>
      <w:r>
        <w:rPr>
          <w:rFonts w:cs="Arial"/>
          <w:lang w:val="en-GB"/>
        </w:rPr>
        <w:t>useful guidance on how independ</w:t>
      </w:r>
      <w:r w:rsidRPr="00964479">
        <w:rPr>
          <w:rFonts w:cs="Arial"/>
          <w:lang w:val="en-GB"/>
        </w:rPr>
        <w:t>ence-criteria can be fulfilled. The negative point about this is that many entities will be forced to completely change the very fabric of their organisational structure in order to comply with the technical standard and remove a threat which has not been exerted by them. The prohibition of cross-shareholding (1st option) will therefore lead to substantial additional costs for the whole economy, as it would imply the separation of a large number of entities in most Members States such as France, Germany, Luxembourg, Belgium, Denmark, Sweden and Austria.</w:t>
      </w:r>
    </w:p>
    <w:p w:rsidR="00D04EBB" w:rsidRPr="00964479" w:rsidRDefault="00D04EBB" w:rsidP="00D04EBB">
      <w:pPr>
        <w:tabs>
          <w:tab w:val="right" w:pos="9100"/>
        </w:tabs>
        <w:rPr>
          <w:rFonts w:cs="Arial"/>
          <w:lang w:val="en-GB"/>
        </w:rPr>
      </w:pPr>
    </w:p>
    <w:p w:rsidR="00D04EBB" w:rsidRPr="00964479" w:rsidRDefault="00D04EBB" w:rsidP="00D04EBB">
      <w:pPr>
        <w:tabs>
          <w:tab w:val="right" w:pos="9100"/>
        </w:tabs>
        <w:rPr>
          <w:rFonts w:cs="Arial"/>
          <w:lang w:val="en-GB"/>
        </w:rPr>
      </w:pPr>
      <w:r w:rsidRPr="00964479">
        <w:rPr>
          <w:rFonts w:cs="Arial"/>
          <w:lang w:val="en-GB"/>
        </w:rPr>
        <w:t>Thus we urge to propose final r</w:t>
      </w:r>
      <w:r>
        <w:rPr>
          <w:rFonts w:cs="Arial"/>
          <w:lang w:val="en-GB"/>
        </w:rPr>
        <w:t>ecommendations that are</w:t>
      </w:r>
      <w:r w:rsidRPr="00964479">
        <w:rPr>
          <w:rFonts w:cs="Arial"/>
          <w:lang w:val="en-GB"/>
        </w:rPr>
        <w:t xml:space="preserve"> proportionate. The principle of proportionality is intended to ensure that regulatory measures go no further than required to achieve a set objective, which in this case is to ensure that both the management company and the depositary have specific safeguards against conflicts of interest to allow for the independent performance of its activities.</w:t>
      </w:r>
    </w:p>
    <w:p w:rsidR="00D04EBB" w:rsidRPr="00964479" w:rsidRDefault="00D04EBB" w:rsidP="00D04EBB">
      <w:pPr>
        <w:tabs>
          <w:tab w:val="right" w:pos="9100"/>
        </w:tabs>
        <w:rPr>
          <w:rFonts w:cs="Arial"/>
          <w:lang w:val="en-GB"/>
        </w:rPr>
      </w:pPr>
    </w:p>
    <w:p w:rsidR="00D04EBB" w:rsidRPr="00964479" w:rsidRDefault="00D04EBB" w:rsidP="00D04EBB">
      <w:pPr>
        <w:tabs>
          <w:tab w:val="right" w:pos="9100"/>
        </w:tabs>
        <w:rPr>
          <w:rFonts w:cs="Arial"/>
          <w:lang w:val="en-GB"/>
        </w:rPr>
      </w:pPr>
      <w:r w:rsidRPr="00964479">
        <w:rPr>
          <w:rFonts w:cs="Arial"/>
          <w:lang w:val="en-GB"/>
        </w:rPr>
        <w:t>We are convinced that proposing recommendations based on the identified links (as mentioned above) will not achieve the final objective of higher investor protection but will rather lead to disproportionate costs and have a substantive impact on the existing shareholding structures of management companies and depositaries in Europe.</w:t>
      </w:r>
    </w:p>
    <w:p w:rsidR="00A1002E" w:rsidRPr="00CD1B74" w:rsidRDefault="00A1002E" w:rsidP="00A1002E">
      <w:pPr>
        <w:autoSpaceDE w:val="0"/>
        <w:autoSpaceDN w:val="0"/>
        <w:adjustRightInd w:val="0"/>
        <w:jc w:val="both"/>
        <w:rPr>
          <w:rFonts w:cs="Arial"/>
          <w:lang w:val="en-US"/>
        </w:rPr>
      </w:pPr>
    </w:p>
    <w:p w:rsidR="00A1002E" w:rsidRPr="007C1031" w:rsidRDefault="004045DE" w:rsidP="00A1002E">
      <w:pPr>
        <w:pStyle w:val="Listenabsatz"/>
        <w:ind w:left="0"/>
        <w:rPr>
          <w:rFonts w:ascii="Trebuchet MS" w:hAnsi="Trebuchet MS" w:cs="Arial"/>
          <w:sz w:val="22"/>
          <w:szCs w:val="22"/>
        </w:rPr>
      </w:pPr>
      <w:r w:rsidRPr="007C1031">
        <w:rPr>
          <w:rFonts w:ascii="Trebuchet MS" w:hAnsi="Trebuchet MS" w:cs="Arial"/>
          <w:sz w:val="22"/>
          <w:szCs w:val="22"/>
        </w:rPr>
        <w:t>We</w:t>
      </w:r>
      <w:r w:rsidR="00252C74">
        <w:rPr>
          <w:rFonts w:ascii="Trebuchet MS" w:hAnsi="Trebuchet MS" w:cs="Arial"/>
          <w:sz w:val="22"/>
          <w:szCs w:val="22"/>
        </w:rPr>
        <w:t xml:space="preserve"> believe that these </w:t>
      </w:r>
      <w:r w:rsidR="00A1002E" w:rsidRPr="007C1031">
        <w:rPr>
          <w:rFonts w:ascii="Trebuchet MS" w:hAnsi="Trebuchet MS" w:cs="Arial"/>
          <w:sz w:val="22"/>
          <w:szCs w:val="22"/>
        </w:rPr>
        <w:t>long established market practice</w:t>
      </w:r>
      <w:r w:rsidR="00252C74">
        <w:rPr>
          <w:rFonts w:ascii="Trebuchet MS" w:hAnsi="Trebuchet MS" w:cs="Arial"/>
          <w:sz w:val="22"/>
          <w:szCs w:val="22"/>
        </w:rPr>
        <w:t>s</w:t>
      </w:r>
      <w:r w:rsidR="00A1002E" w:rsidRPr="007C1031">
        <w:rPr>
          <w:rFonts w:ascii="Trebuchet MS" w:hAnsi="Trebuchet MS" w:cs="Arial"/>
          <w:sz w:val="22"/>
          <w:szCs w:val="22"/>
        </w:rPr>
        <w:t xml:space="preserve"> should not be restricted by any level – 2 measures for the following reasons:</w:t>
      </w:r>
    </w:p>
    <w:p w:rsidR="00A1002E" w:rsidRPr="007C1031" w:rsidRDefault="00A1002E" w:rsidP="00A1002E">
      <w:pPr>
        <w:pStyle w:val="Listenabsatz"/>
        <w:ind w:left="0"/>
        <w:rPr>
          <w:rFonts w:ascii="Trebuchet MS" w:hAnsi="Trebuchet MS" w:cs="Arial"/>
          <w:sz w:val="22"/>
          <w:szCs w:val="22"/>
        </w:rPr>
      </w:pPr>
    </w:p>
    <w:p w:rsidR="00A1002E" w:rsidRPr="007C1031" w:rsidRDefault="00A1002E" w:rsidP="007C1031">
      <w:pPr>
        <w:pStyle w:val="Listenabsatz"/>
        <w:numPr>
          <w:ilvl w:val="0"/>
          <w:numId w:val="4"/>
        </w:numPr>
        <w:jc w:val="both"/>
        <w:rPr>
          <w:rFonts w:ascii="Trebuchet MS" w:hAnsi="Trebuchet MS" w:cs="Arial"/>
          <w:sz w:val="22"/>
          <w:szCs w:val="22"/>
          <w:lang w:val="en-US"/>
        </w:rPr>
      </w:pPr>
      <w:r w:rsidRPr="007C1031">
        <w:rPr>
          <w:rFonts w:ascii="Trebuchet MS" w:hAnsi="Trebuchet MS" w:cs="Arial"/>
          <w:sz w:val="22"/>
          <w:szCs w:val="22"/>
        </w:rPr>
        <w:t>The absence of evidenced market failure: r</w:t>
      </w:r>
      <w:proofErr w:type="spellStart"/>
      <w:r w:rsidRPr="007C1031">
        <w:rPr>
          <w:rFonts w:ascii="Trebuchet MS" w:hAnsi="Trebuchet MS" w:cs="Arial"/>
          <w:sz w:val="22"/>
          <w:szCs w:val="22"/>
          <w:lang w:val="en-US"/>
        </w:rPr>
        <w:t>ecent</w:t>
      </w:r>
      <w:proofErr w:type="spellEnd"/>
      <w:r w:rsidRPr="007C1031">
        <w:rPr>
          <w:rFonts w:ascii="Trebuchet MS" w:hAnsi="Trebuchet MS" w:cs="Arial"/>
          <w:sz w:val="22"/>
          <w:szCs w:val="22"/>
          <w:lang w:val="en-US"/>
        </w:rPr>
        <w:t xml:space="preserve"> events affecting UCITS, such as the Madoff scandal were not connected to circumstances where the asset management companies and funds depositories belonged to the same financial group. However, it was </w:t>
      </w:r>
      <w:r w:rsidR="00D04EBB" w:rsidRPr="007C1031">
        <w:rPr>
          <w:rFonts w:ascii="Trebuchet MS" w:hAnsi="Trebuchet MS" w:cs="Arial"/>
          <w:sz w:val="22"/>
          <w:szCs w:val="22"/>
          <w:lang w:val="en-US"/>
        </w:rPr>
        <w:t>recognized</w:t>
      </w:r>
      <w:r w:rsidRPr="007C1031">
        <w:rPr>
          <w:rFonts w:ascii="Trebuchet MS" w:hAnsi="Trebuchet MS" w:cs="Arial"/>
          <w:sz w:val="22"/>
          <w:szCs w:val="22"/>
          <w:lang w:val="en-US"/>
        </w:rPr>
        <w:t xml:space="preserve"> that a better clarification and </w:t>
      </w:r>
      <w:r w:rsidR="00D04EBB" w:rsidRPr="007C1031">
        <w:rPr>
          <w:rFonts w:ascii="Trebuchet MS" w:hAnsi="Trebuchet MS" w:cs="Arial"/>
          <w:sz w:val="22"/>
          <w:szCs w:val="22"/>
          <w:lang w:val="en-US"/>
        </w:rPr>
        <w:t>harmonization</w:t>
      </w:r>
      <w:r w:rsidRPr="007C1031">
        <w:rPr>
          <w:rFonts w:ascii="Trebuchet MS" w:hAnsi="Trebuchet MS" w:cs="Arial"/>
          <w:sz w:val="22"/>
          <w:szCs w:val="22"/>
          <w:lang w:val="en-US"/>
        </w:rPr>
        <w:t xml:space="preserve"> of depositary duties and liability regime were necessary. These issues were adequately addressed in the AIFMD. The AIFM level1 and level 2 establish strict requirements with regard to oversight duties, asset segregation, due diligence, and the liability </w:t>
      </w:r>
      <w:r w:rsidR="004045DE" w:rsidRPr="007C1031">
        <w:rPr>
          <w:rFonts w:ascii="Trebuchet MS" w:hAnsi="Trebuchet MS" w:cs="Arial"/>
          <w:sz w:val="22"/>
          <w:szCs w:val="22"/>
          <w:lang w:val="en-US"/>
        </w:rPr>
        <w:t>regime for</w:t>
      </w:r>
      <w:r w:rsidR="00A8502A">
        <w:rPr>
          <w:rFonts w:ascii="Trebuchet MS" w:hAnsi="Trebuchet MS" w:cs="Arial"/>
          <w:sz w:val="22"/>
          <w:szCs w:val="22"/>
          <w:lang w:val="en-US"/>
        </w:rPr>
        <w:t xml:space="preserve"> depositories. In addition </w:t>
      </w:r>
      <w:r w:rsidRPr="007C1031">
        <w:rPr>
          <w:rFonts w:ascii="Trebuchet MS" w:hAnsi="Trebuchet MS" w:cs="Arial"/>
          <w:sz w:val="22"/>
          <w:szCs w:val="22"/>
          <w:lang w:val="en-US"/>
        </w:rPr>
        <w:t>AIFMD Article 21 4 (a) provides that an AIFM shall not act as a depositary. AIFMD does not impose additional requirements.</w:t>
      </w:r>
    </w:p>
    <w:p w:rsidR="00A1002E" w:rsidRPr="007C1031" w:rsidRDefault="00A1002E" w:rsidP="00A1002E">
      <w:pPr>
        <w:pStyle w:val="Listenabsatz"/>
        <w:ind w:left="360"/>
        <w:rPr>
          <w:rFonts w:ascii="Trebuchet MS" w:hAnsi="Trebuchet MS" w:cs="Arial"/>
          <w:sz w:val="22"/>
          <w:szCs w:val="22"/>
          <w:lang w:val="en-US"/>
        </w:rPr>
      </w:pPr>
    </w:p>
    <w:p w:rsidR="00A1002E" w:rsidRPr="007C1031" w:rsidRDefault="00A1002E" w:rsidP="007C1031">
      <w:pPr>
        <w:pStyle w:val="Listenabsatz"/>
        <w:numPr>
          <w:ilvl w:val="0"/>
          <w:numId w:val="4"/>
        </w:numPr>
        <w:shd w:val="clear" w:color="auto" w:fill="FFFFFF"/>
        <w:jc w:val="both"/>
        <w:rPr>
          <w:rFonts w:ascii="Trebuchet MS" w:hAnsi="Trebuchet MS" w:cs="Arial"/>
          <w:sz w:val="22"/>
          <w:szCs w:val="22"/>
          <w:lang w:val="en-US"/>
        </w:rPr>
      </w:pPr>
      <w:r w:rsidRPr="007C1031">
        <w:rPr>
          <w:rFonts w:ascii="Trebuchet MS" w:hAnsi="Trebuchet MS" w:cs="Arial"/>
          <w:sz w:val="22"/>
          <w:szCs w:val="22"/>
          <w:lang w:val="en-US"/>
        </w:rPr>
        <w:t>The n</w:t>
      </w:r>
      <w:r w:rsidR="00A8502A">
        <w:rPr>
          <w:rFonts w:ascii="Trebuchet MS" w:hAnsi="Trebuchet MS" w:cs="Arial"/>
          <w:sz w:val="22"/>
          <w:szCs w:val="22"/>
          <w:lang w:val="en-US"/>
        </w:rPr>
        <w:t xml:space="preserve">ew UCITS </w:t>
      </w:r>
      <w:r w:rsidR="00D04EBB">
        <w:rPr>
          <w:rFonts w:ascii="Trebuchet MS" w:hAnsi="Trebuchet MS" w:cs="Arial"/>
          <w:sz w:val="22"/>
          <w:szCs w:val="22"/>
          <w:lang w:val="en-US"/>
        </w:rPr>
        <w:t xml:space="preserve">regulatory framework </w:t>
      </w:r>
      <w:r w:rsidRPr="007C1031">
        <w:rPr>
          <w:rFonts w:ascii="Trebuchet MS" w:hAnsi="Trebuchet MS" w:cs="Arial"/>
          <w:sz w:val="22"/>
          <w:szCs w:val="22"/>
          <w:lang w:val="en-US"/>
        </w:rPr>
        <w:t xml:space="preserve">will </w:t>
      </w:r>
      <w:r w:rsidR="00D04EBB">
        <w:rPr>
          <w:rFonts w:ascii="Trebuchet MS" w:hAnsi="Trebuchet MS" w:cs="Arial"/>
          <w:sz w:val="22"/>
          <w:szCs w:val="22"/>
          <w:lang w:val="en-US"/>
        </w:rPr>
        <w:t xml:space="preserve">already </w:t>
      </w:r>
      <w:r w:rsidRPr="007C1031">
        <w:rPr>
          <w:rFonts w:ascii="Trebuchet MS" w:hAnsi="Trebuchet MS" w:cs="Arial"/>
          <w:sz w:val="22"/>
          <w:szCs w:val="22"/>
          <w:lang w:val="en-US"/>
        </w:rPr>
        <w:t>provide in</w:t>
      </w:r>
      <w:r w:rsidR="007C1031">
        <w:rPr>
          <w:rFonts w:ascii="Trebuchet MS" w:hAnsi="Trebuchet MS" w:cs="Arial"/>
          <w:sz w:val="22"/>
          <w:szCs w:val="22"/>
          <w:lang w:val="en-US"/>
        </w:rPr>
        <w:t xml:space="preserve">vestors with a greater level of </w:t>
      </w:r>
      <w:r w:rsidRPr="007C1031">
        <w:rPr>
          <w:rFonts w:ascii="Trebuchet MS" w:hAnsi="Trebuchet MS" w:cs="Arial"/>
          <w:sz w:val="22"/>
          <w:szCs w:val="22"/>
          <w:lang w:val="en-US"/>
        </w:rPr>
        <w:t>protection:</w:t>
      </w:r>
    </w:p>
    <w:p w:rsidR="00D04EBB" w:rsidRDefault="00A1002E" w:rsidP="007C1031">
      <w:pPr>
        <w:pStyle w:val="Default"/>
        <w:numPr>
          <w:ilvl w:val="0"/>
          <w:numId w:val="6"/>
        </w:numPr>
        <w:shd w:val="clear" w:color="auto" w:fill="FFFFFF"/>
        <w:autoSpaceDE/>
        <w:autoSpaceDN/>
        <w:adjustRightInd/>
        <w:contextualSpacing/>
        <w:jc w:val="both"/>
        <w:rPr>
          <w:rFonts w:ascii="Trebuchet MS" w:hAnsi="Trebuchet MS" w:cs="Arial"/>
          <w:sz w:val="22"/>
          <w:szCs w:val="22"/>
          <w:lang w:val="en-US"/>
        </w:rPr>
      </w:pPr>
      <w:r w:rsidRPr="007C1031">
        <w:rPr>
          <w:rFonts w:ascii="Trebuchet MS" w:hAnsi="Trebuchet MS" w:cs="Arial"/>
          <w:sz w:val="22"/>
          <w:szCs w:val="22"/>
          <w:lang w:val="en-US"/>
        </w:rPr>
        <w:t>The strict liability regime of the depository in UCITS V goes even further than AIFMD as the depositary’s liability can, in no circums</w:t>
      </w:r>
      <w:r w:rsidR="00D04EBB">
        <w:rPr>
          <w:rFonts w:ascii="Trebuchet MS" w:hAnsi="Trebuchet MS" w:cs="Arial"/>
          <w:sz w:val="22"/>
          <w:szCs w:val="22"/>
          <w:lang w:val="en-US"/>
        </w:rPr>
        <w:t>tances, be contractually waived</w:t>
      </w:r>
      <w:r w:rsidR="00A8502A">
        <w:rPr>
          <w:rFonts w:ascii="Trebuchet MS" w:hAnsi="Trebuchet MS" w:cs="Arial"/>
          <w:sz w:val="22"/>
          <w:szCs w:val="22"/>
          <w:lang w:val="en-US"/>
        </w:rPr>
        <w:t>.</w:t>
      </w:r>
    </w:p>
    <w:p w:rsidR="00D04EBB" w:rsidRDefault="00A1002E" w:rsidP="007C1031">
      <w:pPr>
        <w:pStyle w:val="Default"/>
        <w:numPr>
          <w:ilvl w:val="0"/>
          <w:numId w:val="6"/>
        </w:numPr>
        <w:shd w:val="clear" w:color="auto" w:fill="FFFFFF"/>
        <w:autoSpaceDE/>
        <w:autoSpaceDN/>
        <w:adjustRightInd/>
        <w:contextualSpacing/>
        <w:jc w:val="both"/>
        <w:rPr>
          <w:rFonts w:ascii="Trebuchet MS" w:hAnsi="Trebuchet MS" w:cs="Arial"/>
          <w:sz w:val="22"/>
          <w:szCs w:val="22"/>
          <w:lang w:val="en-US"/>
        </w:rPr>
      </w:pPr>
      <w:r w:rsidRPr="007C1031">
        <w:rPr>
          <w:rFonts w:ascii="Trebuchet MS" w:hAnsi="Trebuchet MS" w:cs="Arial"/>
          <w:sz w:val="22"/>
          <w:szCs w:val="22"/>
          <w:lang w:val="en-US"/>
        </w:rPr>
        <w:t xml:space="preserve">Depositaries are regulated </w:t>
      </w:r>
      <w:r w:rsidR="00D04EBB" w:rsidRPr="007C1031">
        <w:rPr>
          <w:rFonts w:ascii="Trebuchet MS" w:hAnsi="Trebuchet MS" w:cs="Arial"/>
          <w:sz w:val="22"/>
          <w:szCs w:val="22"/>
          <w:lang w:val="en-US"/>
        </w:rPr>
        <w:t>entities;</w:t>
      </w:r>
      <w:r w:rsidRPr="007C1031">
        <w:rPr>
          <w:rFonts w:ascii="Trebuchet MS" w:hAnsi="Trebuchet MS" w:cs="Arial"/>
          <w:sz w:val="22"/>
          <w:szCs w:val="22"/>
          <w:lang w:val="en-US"/>
        </w:rPr>
        <w:t xml:space="preserve"> </w:t>
      </w:r>
      <w:r w:rsidR="00D04EBB">
        <w:rPr>
          <w:rFonts w:ascii="Trebuchet MS" w:hAnsi="Trebuchet MS" w:cs="Arial"/>
          <w:sz w:val="22"/>
          <w:szCs w:val="22"/>
          <w:lang w:val="en-US"/>
        </w:rPr>
        <w:t xml:space="preserve">they </w:t>
      </w:r>
      <w:r w:rsidRPr="007C1031">
        <w:rPr>
          <w:rFonts w:ascii="Trebuchet MS" w:hAnsi="Trebuchet MS" w:cs="Arial"/>
          <w:sz w:val="22"/>
          <w:szCs w:val="22"/>
          <w:lang w:val="en-US"/>
        </w:rPr>
        <w:t>must comply with stringent eligibility crite</w:t>
      </w:r>
      <w:r w:rsidR="004045DE" w:rsidRPr="007C1031">
        <w:rPr>
          <w:rFonts w:ascii="Trebuchet MS" w:hAnsi="Trebuchet MS" w:cs="Arial"/>
          <w:sz w:val="22"/>
          <w:szCs w:val="22"/>
          <w:lang w:val="en-US"/>
        </w:rPr>
        <w:t>ria</w:t>
      </w:r>
      <w:r w:rsidRPr="007C1031">
        <w:rPr>
          <w:rFonts w:ascii="Trebuchet MS" w:hAnsi="Trebuchet MS" w:cs="Arial"/>
          <w:sz w:val="22"/>
          <w:szCs w:val="22"/>
          <w:lang w:val="en-US"/>
        </w:rPr>
        <w:t xml:space="preserve"> and are subject to ongoing supervision.</w:t>
      </w:r>
      <w:r w:rsidR="004045DE" w:rsidRPr="007C1031">
        <w:rPr>
          <w:rFonts w:ascii="Trebuchet MS" w:hAnsi="Trebuchet MS" w:cs="Arial"/>
          <w:sz w:val="22"/>
          <w:szCs w:val="22"/>
          <w:lang w:val="en-US"/>
        </w:rPr>
        <w:t xml:space="preserve"> </w:t>
      </w:r>
      <w:r w:rsidR="00D04EBB">
        <w:rPr>
          <w:rFonts w:ascii="Trebuchet MS" w:hAnsi="Trebuchet MS" w:cs="Arial"/>
          <w:sz w:val="22"/>
          <w:szCs w:val="22"/>
          <w:lang w:val="en-US"/>
        </w:rPr>
        <w:t>They have to comply with strict obligations as regards transparency requirements and reporting obligations to supervisors.</w:t>
      </w:r>
    </w:p>
    <w:p w:rsidR="00A1002E" w:rsidRPr="007C1031" w:rsidRDefault="00A1002E" w:rsidP="007C1031">
      <w:pPr>
        <w:pStyle w:val="Default"/>
        <w:numPr>
          <w:ilvl w:val="0"/>
          <w:numId w:val="6"/>
        </w:numPr>
        <w:shd w:val="clear" w:color="auto" w:fill="FFFFFF"/>
        <w:autoSpaceDE/>
        <w:autoSpaceDN/>
        <w:adjustRightInd/>
        <w:contextualSpacing/>
        <w:jc w:val="both"/>
        <w:rPr>
          <w:rFonts w:ascii="Trebuchet MS" w:hAnsi="Trebuchet MS" w:cs="Arial"/>
          <w:sz w:val="22"/>
          <w:szCs w:val="22"/>
          <w:lang w:val="en-US"/>
        </w:rPr>
      </w:pPr>
      <w:r w:rsidRPr="007C1031">
        <w:rPr>
          <w:rFonts w:ascii="Trebuchet MS" w:hAnsi="Trebuchet MS" w:cs="Arial"/>
          <w:sz w:val="22"/>
          <w:szCs w:val="22"/>
          <w:lang w:val="en-US"/>
        </w:rPr>
        <w:t xml:space="preserve">Article 5 of the current UCITS IV Directive, requires that “The competent authorities of the UCITS home Member State shall not </w:t>
      </w:r>
      <w:r w:rsidR="00D04EBB" w:rsidRPr="007C1031">
        <w:rPr>
          <w:rFonts w:ascii="Trebuchet MS" w:hAnsi="Trebuchet MS" w:cs="Arial"/>
          <w:sz w:val="22"/>
          <w:szCs w:val="22"/>
          <w:lang w:val="en-US"/>
        </w:rPr>
        <w:t>authorize</w:t>
      </w:r>
      <w:r w:rsidRPr="007C1031">
        <w:rPr>
          <w:rFonts w:ascii="Trebuchet MS" w:hAnsi="Trebuchet MS" w:cs="Arial"/>
          <w:sz w:val="22"/>
          <w:szCs w:val="22"/>
          <w:lang w:val="en-US"/>
        </w:rPr>
        <w:t xml:space="preserve"> a UCITS if the directors of the depositary are not of sufficiently good repute or are not sufficiently experienced also in relation to the type of UCITS to be managed (…….) . Directors shall mean those persons who, under the law or the instruments of incorporation, represent the depositary, or who effectively determine the policy of the depositary.” </w:t>
      </w:r>
    </w:p>
    <w:p w:rsidR="00BD06D9" w:rsidRDefault="00BD06D9" w:rsidP="00BD06D9">
      <w:pPr>
        <w:pStyle w:val="Default"/>
        <w:numPr>
          <w:ilvl w:val="0"/>
          <w:numId w:val="6"/>
        </w:numPr>
        <w:shd w:val="clear" w:color="auto" w:fill="FFFFFF"/>
        <w:jc w:val="both"/>
        <w:rPr>
          <w:rFonts w:ascii="Trebuchet MS" w:hAnsi="Trebuchet MS" w:cs="Arial"/>
          <w:sz w:val="22"/>
          <w:szCs w:val="22"/>
          <w:lang w:val="en-US"/>
        </w:rPr>
      </w:pPr>
      <w:r w:rsidRPr="00BD06D9">
        <w:rPr>
          <w:rFonts w:ascii="Trebuchet MS" w:hAnsi="Trebuchet MS" w:cs="Arial"/>
          <w:sz w:val="22"/>
          <w:szCs w:val="22"/>
          <w:lang w:val="en-US"/>
        </w:rPr>
        <w:lastRenderedPageBreak/>
        <w:t>Depositories are required to have in place and implement strict and detailed internal procedures for the prevention of conflicts of interest. They are also subject to a regular internal control process for the adequacy of resources and competences as well as to the supervision of internal audit, external audit and regulators.</w:t>
      </w:r>
    </w:p>
    <w:p w:rsidR="00A1002E" w:rsidRPr="007C1031" w:rsidRDefault="00A1002E" w:rsidP="007C1031">
      <w:pPr>
        <w:pStyle w:val="Default"/>
        <w:numPr>
          <w:ilvl w:val="0"/>
          <w:numId w:val="6"/>
        </w:numPr>
        <w:shd w:val="clear" w:color="auto" w:fill="FFFFFF"/>
        <w:jc w:val="both"/>
        <w:rPr>
          <w:rFonts w:ascii="Trebuchet MS" w:hAnsi="Trebuchet MS" w:cs="Arial"/>
          <w:sz w:val="22"/>
          <w:szCs w:val="22"/>
          <w:lang w:val="en-US"/>
        </w:rPr>
      </w:pPr>
      <w:r w:rsidRPr="007C1031">
        <w:rPr>
          <w:rFonts w:ascii="Trebuchet MS" w:hAnsi="Trebuchet MS" w:cs="Arial"/>
          <w:sz w:val="22"/>
          <w:szCs w:val="22"/>
          <w:lang w:val="en-US"/>
        </w:rPr>
        <w:t>In addition MIFID reporting obligations include; on an annual basis, specific reporting on the safeguard of assets performed by an independent audit firm.</w:t>
      </w:r>
    </w:p>
    <w:p w:rsidR="00A1002E" w:rsidRDefault="00A1002E" w:rsidP="00A1002E"/>
    <w:p w:rsidR="00A1002E" w:rsidRDefault="00A1002E" w:rsidP="00A1002E">
      <w:pPr>
        <w:pStyle w:val="berschrift5"/>
        <w:keepNext w:val="0"/>
        <w:keepLines w:val="0"/>
        <w:numPr>
          <w:ilvl w:val="0"/>
          <w:numId w:val="2"/>
        </w:numPr>
        <w:spacing w:after="250" w:line="276" w:lineRule="auto"/>
        <w:ind w:left="0" w:firstLine="0"/>
      </w:pPr>
      <w:r>
        <w:t>Do you consider that any additional links should be taken into account such as, for instance, the existence of any contractual commitment or other relationship which would affect the independence of the Relevant Entities? If yes, please provide details.</w:t>
      </w:r>
    </w:p>
    <w:p w:rsidR="00A1002E" w:rsidRDefault="00A1002E" w:rsidP="00A1002E">
      <w:proofErr w:type="spellStart"/>
      <w:r>
        <w:t>No</w:t>
      </w:r>
      <w:proofErr w:type="spellEnd"/>
      <w:r>
        <w:t>.</w:t>
      </w:r>
    </w:p>
    <w:p w:rsidR="00A1002E" w:rsidRDefault="00A1002E" w:rsidP="00A1002E"/>
    <w:p w:rsidR="00A1002E" w:rsidRDefault="00A1002E" w:rsidP="00A1002E">
      <w:pPr>
        <w:pStyle w:val="berschrift5"/>
        <w:keepNext w:val="0"/>
        <w:keepLines w:val="0"/>
        <w:numPr>
          <w:ilvl w:val="0"/>
          <w:numId w:val="2"/>
        </w:numPr>
        <w:spacing w:after="250" w:line="276" w:lineRule="auto"/>
        <w:ind w:left="0" w:firstLine="0"/>
      </w:pPr>
      <w:r>
        <w:t>Do you consider that the cumulative presence of all or some of the identified links is necessary to jeopardise the independence of the Relevant Entities or the presence of any of these links is sufficient to determine a lack of independence?</w:t>
      </w:r>
    </w:p>
    <w:p w:rsidR="00A1002E" w:rsidRPr="00024F8B" w:rsidRDefault="00672BCD" w:rsidP="00A1002E">
      <w:r>
        <w:rPr>
          <w:rFonts w:cs="Arial"/>
          <w:bCs/>
          <w:lang w:val="en-US"/>
        </w:rPr>
        <w:t xml:space="preserve">We are </w:t>
      </w:r>
      <w:r w:rsidR="00A1002E" w:rsidRPr="00024F8B">
        <w:rPr>
          <w:rFonts w:cs="Arial"/>
          <w:bCs/>
          <w:lang w:val="en-US"/>
        </w:rPr>
        <w:t xml:space="preserve">opposed to the </w:t>
      </w:r>
      <w:r w:rsidR="00A1002E" w:rsidRPr="00024F8B">
        <w:rPr>
          <w:rFonts w:cs="Arial"/>
          <w:lang w:val="en-US"/>
        </w:rPr>
        <w:t xml:space="preserve">cross-shareholdings/group inclusion </w:t>
      </w:r>
      <w:r w:rsidR="00A1002E" w:rsidRPr="00024F8B">
        <w:rPr>
          <w:rFonts w:cs="Arial"/>
          <w:bCs/>
          <w:lang w:val="en-US"/>
        </w:rPr>
        <w:t>links as it cannot pre determine a lack of independence of the Relevant Entities</w:t>
      </w:r>
      <w:r w:rsidR="00A1002E" w:rsidRPr="00024F8B">
        <w:t>.</w:t>
      </w:r>
    </w:p>
    <w:p w:rsidR="00A1002E" w:rsidRDefault="00A1002E" w:rsidP="00A1002E"/>
    <w:p w:rsidR="00A1002E" w:rsidRDefault="00A1002E" w:rsidP="00A1002E">
      <w:pPr>
        <w:pStyle w:val="berschrift5"/>
        <w:keepNext w:val="0"/>
        <w:keepLines w:val="0"/>
        <w:numPr>
          <w:ilvl w:val="0"/>
          <w:numId w:val="2"/>
        </w:numPr>
        <w:spacing w:after="250" w:line="276" w:lineRule="auto"/>
        <w:ind w:left="0" w:firstLine="0"/>
      </w:pPr>
      <w:r>
        <w:t xml:space="preserve">Do you agree with the proposed option to ensure the separation of the management bodies/bodies in charge of the supervisory functions of the Relevant Entities? </w:t>
      </w:r>
    </w:p>
    <w:p w:rsidR="00A1002E" w:rsidRDefault="00A1002E" w:rsidP="00A1002E">
      <w:pPr>
        <w:pStyle w:val="berschrift5"/>
        <w:keepNext w:val="0"/>
        <w:keepLines w:val="0"/>
        <w:numPr>
          <w:ilvl w:val="0"/>
          <w:numId w:val="0"/>
        </w:numPr>
        <w:spacing w:after="250" w:line="276" w:lineRule="auto"/>
      </w:pPr>
      <w:r>
        <w:t>Do you have any alternative options to suggest, taking into account those identified under paragraph 47?</w:t>
      </w:r>
    </w:p>
    <w:p w:rsidR="00A1002E" w:rsidRDefault="00A1002E" w:rsidP="00A1002E">
      <w:proofErr w:type="spellStart"/>
      <w:r>
        <w:t>We</w:t>
      </w:r>
      <w:proofErr w:type="spellEnd"/>
      <w:r>
        <w:t xml:space="preserve"> </w:t>
      </w:r>
      <w:proofErr w:type="spellStart"/>
      <w:r>
        <w:t>agree</w:t>
      </w:r>
      <w:proofErr w:type="spellEnd"/>
      <w:r>
        <w:t xml:space="preserve"> </w:t>
      </w:r>
      <w:proofErr w:type="spellStart"/>
      <w:r>
        <w:t>with</w:t>
      </w:r>
      <w:proofErr w:type="spellEnd"/>
      <w:r>
        <w:t xml:space="preserve"> </w:t>
      </w:r>
      <w:proofErr w:type="spellStart"/>
      <w:r>
        <w:t>the</w:t>
      </w:r>
      <w:proofErr w:type="spellEnd"/>
      <w:r>
        <w:t xml:space="preserve"> </w:t>
      </w:r>
      <w:proofErr w:type="spellStart"/>
      <w:r>
        <w:t>proposed</w:t>
      </w:r>
      <w:proofErr w:type="spellEnd"/>
      <w:r>
        <w:t xml:space="preserve"> </w:t>
      </w:r>
      <w:proofErr w:type="spellStart"/>
      <w:r>
        <w:t>option</w:t>
      </w:r>
      <w:proofErr w:type="spellEnd"/>
      <w:r>
        <w:t xml:space="preserve"> </w:t>
      </w:r>
      <w:proofErr w:type="spellStart"/>
      <w:r>
        <w:t>with</w:t>
      </w:r>
      <w:proofErr w:type="spellEnd"/>
      <w:r>
        <w:t xml:space="preserve"> </w:t>
      </w:r>
      <w:proofErr w:type="spellStart"/>
      <w:r>
        <w:t>regards</w:t>
      </w:r>
      <w:proofErr w:type="spellEnd"/>
      <w:r>
        <w:t xml:space="preserve"> </w:t>
      </w:r>
      <w:proofErr w:type="spellStart"/>
      <w:r>
        <w:t>to</w:t>
      </w:r>
      <w:proofErr w:type="spellEnd"/>
      <w:r>
        <w:t xml:space="preserve"> </w:t>
      </w:r>
      <w:proofErr w:type="spellStart"/>
      <w:r>
        <w:t>members</w:t>
      </w:r>
      <w:proofErr w:type="spellEnd"/>
      <w:r>
        <w:t xml:space="preserve"> </w:t>
      </w:r>
      <w:proofErr w:type="spellStart"/>
      <w:r>
        <w:t>of</w:t>
      </w:r>
      <w:proofErr w:type="spellEnd"/>
      <w:r>
        <w:t xml:space="preserve"> </w:t>
      </w:r>
      <w:proofErr w:type="spellStart"/>
      <w:r>
        <w:t>management</w:t>
      </w:r>
      <w:proofErr w:type="spellEnd"/>
      <w:r>
        <w:t xml:space="preserve"> </w:t>
      </w:r>
      <w:proofErr w:type="spellStart"/>
      <w:r>
        <w:t>bodies</w:t>
      </w:r>
      <w:proofErr w:type="spellEnd"/>
      <w:r>
        <w:t xml:space="preserve">; </w:t>
      </w:r>
      <w:proofErr w:type="spellStart"/>
      <w:r>
        <w:t>however</w:t>
      </w:r>
      <w:proofErr w:type="spellEnd"/>
      <w:r>
        <w:t xml:space="preserve"> </w:t>
      </w:r>
      <w:proofErr w:type="spellStart"/>
      <w:r>
        <w:t>we</w:t>
      </w:r>
      <w:proofErr w:type="spellEnd"/>
      <w:r>
        <w:t xml:space="preserve"> do not </w:t>
      </w:r>
      <w:proofErr w:type="spellStart"/>
      <w:r>
        <w:t>deem</w:t>
      </w:r>
      <w:proofErr w:type="spellEnd"/>
      <w:r>
        <w:t xml:space="preserve"> </w:t>
      </w:r>
      <w:proofErr w:type="spellStart"/>
      <w:r>
        <w:t>it</w:t>
      </w:r>
      <w:proofErr w:type="spellEnd"/>
      <w:r>
        <w:t xml:space="preserve"> </w:t>
      </w:r>
      <w:proofErr w:type="spellStart"/>
      <w:r>
        <w:t>necessary</w:t>
      </w:r>
      <w:proofErr w:type="spellEnd"/>
      <w:r>
        <w:t xml:space="preserve"> </w:t>
      </w:r>
      <w:proofErr w:type="spellStart"/>
      <w:r>
        <w:t>to</w:t>
      </w:r>
      <w:proofErr w:type="spellEnd"/>
      <w:r>
        <w:t xml:space="preserve"> </w:t>
      </w:r>
      <w:proofErr w:type="spellStart"/>
      <w:r>
        <w:t>include</w:t>
      </w:r>
      <w:proofErr w:type="spellEnd"/>
      <w:r>
        <w:t xml:space="preserve"> </w:t>
      </w:r>
      <w:proofErr w:type="spellStart"/>
      <w:r>
        <w:t>employees</w:t>
      </w:r>
      <w:proofErr w:type="spellEnd"/>
      <w:r>
        <w:t xml:space="preserve"> </w:t>
      </w:r>
      <w:proofErr w:type="spellStart"/>
      <w:r>
        <w:t>and</w:t>
      </w:r>
      <w:proofErr w:type="spellEnd"/>
      <w:r>
        <w:t xml:space="preserve"> </w:t>
      </w:r>
      <w:proofErr w:type="spellStart"/>
      <w:r>
        <w:t>members</w:t>
      </w:r>
      <w:proofErr w:type="spellEnd"/>
      <w:r>
        <w:t xml:space="preserve"> </w:t>
      </w:r>
      <w:proofErr w:type="spellStart"/>
      <w:r>
        <w:t>of</w:t>
      </w:r>
      <w:proofErr w:type="spellEnd"/>
      <w:r>
        <w:t xml:space="preserve"> </w:t>
      </w:r>
      <w:proofErr w:type="spellStart"/>
      <w:r>
        <w:t>the</w:t>
      </w:r>
      <w:proofErr w:type="spellEnd"/>
      <w:r>
        <w:t xml:space="preserve"> </w:t>
      </w:r>
      <w:proofErr w:type="spellStart"/>
      <w:r>
        <w:t>supervisory</w:t>
      </w:r>
      <w:proofErr w:type="spellEnd"/>
      <w:r>
        <w:t xml:space="preserve"> </w:t>
      </w:r>
      <w:proofErr w:type="spellStart"/>
      <w:r>
        <w:t>board</w:t>
      </w:r>
      <w:proofErr w:type="spellEnd"/>
      <w:r>
        <w:t xml:space="preserve"> in </w:t>
      </w:r>
      <w:proofErr w:type="spellStart"/>
      <w:r>
        <w:t>the</w:t>
      </w:r>
      <w:proofErr w:type="spellEnd"/>
      <w:r>
        <w:t xml:space="preserve"> </w:t>
      </w:r>
      <w:proofErr w:type="spellStart"/>
      <w:r>
        <w:t>prohibition</w:t>
      </w:r>
      <w:proofErr w:type="spellEnd"/>
      <w:r>
        <w:t xml:space="preserve"> </w:t>
      </w:r>
      <w:proofErr w:type="spellStart"/>
      <w:r>
        <w:t>to</w:t>
      </w:r>
      <w:proofErr w:type="spellEnd"/>
      <w:r>
        <w:t xml:space="preserve"> </w:t>
      </w:r>
      <w:proofErr w:type="spellStart"/>
      <w:r>
        <w:t>act</w:t>
      </w:r>
      <w:proofErr w:type="spellEnd"/>
      <w:r>
        <w:t xml:space="preserve"> </w:t>
      </w:r>
      <w:proofErr w:type="spellStart"/>
      <w:r>
        <w:t>as</w:t>
      </w:r>
      <w:proofErr w:type="spellEnd"/>
      <w:r>
        <w:t xml:space="preserve"> </w:t>
      </w:r>
      <w:proofErr w:type="spellStart"/>
      <w:r>
        <w:t>supervisory</w:t>
      </w:r>
      <w:proofErr w:type="spellEnd"/>
      <w:r>
        <w:t xml:space="preserve"> </w:t>
      </w:r>
      <w:proofErr w:type="spellStart"/>
      <w:r>
        <w:t>board</w:t>
      </w:r>
      <w:proofErr w:type="spellEnd"/>
      <w:r>
        <w:t xml:space="preserve"> </w:t>
      </w:r>
      <w:proofErr w:type="spellStart"/>
      <w:r>
        <w:t>members</w:t>
      </w:r>
      <w:proofErr w:type="spellEnd"/>
      <w:r>
        <w:t xml:space="preserve"> </w:t>
      </w:r>
      <w:proofErr w:type="spellStart"/>
      <w:r>
        <w:t>of</w:t>
      </w:r>
      <w:proofErr w:type="spellEnd"/>
      <w:r>
        <w:t xml:space="preserve"> </w:t>
      </w:r>
      <w:proofErr w:type="spellStart"/>
      <w:r>
        <w:t>the</w:t>
      </w:r>
      <w:proofErr w:type="spellEnd"/>
      <w:r>
        <w:t xml:space="preserve"> </w:t>
      </w:r>
      <w:proofErr w:type="spellStart"/>
      <w:r>
        <w:t>other</w:t>
      </w:r>
      <w:proofErr w:type="spellEnd"/>
      <w:r>
        <w:t xml:space="preserve"> </w:t>
      </w:r>
      <w:proofErr w:type="spellStart"/>
      <w:r>
        <w:t>entity</w:t>
      </w:r>
      <w:proofErr w:type="spellEnd"/>
      <w:r>
        <w:t>.</w:t>
      </w:r>
    </w:p>
    <w:p w:rsidR="004045DE" w:rsidRDefault="004045DE" w:rsidP="00A1002E"/>
    <w:p w:rsidR="00A1002E" w:rsidRDefault="00A1002E" w:rsidP="00A1002E">
      <w:pPr>
        <w:pStyle w:val="berschrift5"/>
        <w:keepNext w:val="0"/>
        <w:keepLines w:val="0"/>
        <w:numPr>
          <w:ilvl w:val="0"/>
          <w:numId w:val="2"/>
        </w:numPr>
        <w:spacing w:after="250" w:line="276" w:lineRule="auto"/>
        <w:ind w:left="0" w:firstLine="0"/>
      </w:pPr>
      <w:r>
        <w:t>Do you consider that the cap of one third of members of the body in charge of the supervisory functions of one of the Relevant Entities to also be members of the management body, the body in charge of the supervisory functions or employees of the other Relevant Entity is appropriate?</w:t>
      </w:r>
      <w:r>
        <w:rPr>
          <w:sz w:val="22"/>
        </w:rPr>
        <w:t xml:space="preserve"> </w:t>
      </w:r>
      <w:r>
        <w:t>Would you suggest any alternative percentage? If yes, please provide the reasons why.</w:t>
      </w:r>
    </w:p>
    <w:p w:rsidR="00BD06D9" w:rsidRDefault="00BD06D9" w:rsidP="00BD06D9">
      <w:r w:rsidRPr="00BD06D9">
        <w:t xml:space="preserve">We do not see the benefit of such a low percentage for entities with a dual structure. In addition to the fact that there actually are two separate bodies, various stringent rules and that the governance structure of the relevant entities already make an </w:t>
      </w:r>
      <w:proofErr w:type="spellStart"/>
      <w:r w:rsidRPr="00BD06D9">
        <w:t>abuse</w:t>
      </w:r>
      <w:proofErr w:type="spellEnd"/>
      <w:r w:rsidRPr="00BD06D9">
        <w:t xml:space="preserve"> </w:t>
      </w:r>
      <w:proofErr w:type="spellStart"/>
      <w:r w:rsidRPr="00BD06D9">
        <w:t>of</w:t>
      </w:r>
      <w:proofErr w:type="spellEnd"/>
      <w:r w:rsidRPr="00BD06D9">
        <w:t xml:space="preserve"> </w:t>
      </w:r>
      <w:proofErr w:type="spellStart"/>
      <w:r w:rsidRPr="00BD06D9">
        <w:t>these</w:t>
      </w:r>
      <w:proofErr w:type="spellEnd"/>
      <w:r w:rsidRPr="00BD06D9">
        <w:t xml:space="preserve"> </w:t>
      </w:r>
      <w:proofErr w:type="spellStart"/>
      <w:r w:rsidRPr="00BD06D9">
        <w:t>positions</w:t>
      </w:r>
      <w:proofErr w:type="spellEnd"/>
      <w:r w:rsidRPr="00BD06D9">
        <w:t xml:space="preserve"> </w:t>
      </w:r>
      <w:proofErr w:type="spellStart"/>
      <w:r w:rsidRPr="00BD06D9">
        <w:t>very</w:t>
      </w:r>
      <w:proofErr w:type="spellEnd"/>
      <w:r w:rsidRPr="00BD06D9">
        <w:t xml:space="preserve"> </w:t>
      </w:r>
      <w:proofErr w:type="spellStart"/>
      <w:r w:rsidRPr="00BD06D9">
        <w:t>hard</w:t>
      </w:r>
      <w:proofErr w:type="spellEnd"/>
      <w:r w:rsidRPr="00BD06D9">
        <w:t>.</w:t>
      </w:r>
    </w:p>
    <w:p w:rsidR="00BD06D9" w:rsidRDefault="00BD06D9" w:rsidP="00BD06D9"/>
    <w:p w:rsidR="00A1002E" w:rsidRDefault="00A1002E" w:rsidP="00A1002E">
      <w:pPr>
        <w:pStyle w:val="berschrift5"/>
        <w:keepNext w:val="0"/>
        <w:keepLines w:val="0"/>
        <w:numPr>
          <w:ilvl w:val="0"/>
          <w:numId w:val="2"/>
        </w:numPr>
        <w:spacing w:after="250" w:line="276" w:lineRule="auto"/>
        <w:ind w:left="0" w:firstLine="0"/>
      </w:pPr>
      <w:r>
        <w:t>Do you have knowledge of any restructuring in the composition of the management bodies/bodies in charge of the supervisory functions of any Relevant Entities that would be triggered by the identified option? If yes, please provide data and an estimation of the one-off and ongoing costs that would be incurred.</w:t>
      </w:r>
    </w:p>
    <w:p w:rsidR="00A1002E" w:rsidRDefault="00A1002E" w:rsidP="00A1002E">
      <w:proofErr w:type="spellStart"/>
      <w:r>
        <w:t>No</w:t>
      </w:r>
      <w:proofErr w:type="spellEnd"/>
      <w:r>
        <w:t>.</w:t>
      </w:r>
    </w:p>
    <w:p w:rsidR="00A1002E" w:rsidRDefault="00A1002E" w:rsidP="00A1002E"/>
    <w:p w:rsidR="00A1002E" w:rsidRDefault="00A1002E" w:rsidP="00A1002E">
      <w:pPr>
        <w:pStyle w:val="berschrift5"/>
        <w:keepNext w:val="0"/>
        <w:keepLines w:val="0"/>
        <w:numPr>
          <w:ilvl w:val="0"/>
          <w:numId w:val="2"/>
        </w:numPr>
        <w:spacing w:after="250" w:line="276" w:lineRule="auto"/>
        <w:ind w:left="0" w:firstLine="0"/>
      </w:pPr>
      <w:r>
        <w:lastRenderedPageBreak/>
        <w:t>Which of the two identified options do you prefer? Would you suggest any alternative option? If yes, please provide details.</w:t>
      </w:r>
    </w:p>
    <w:p w:rsidR="00D04EBB" w:rsidRDefault="00D04EBB" w:rsidP="00A1002E">
      <w:pPr>
        <w:rPr>
          <w:rFonts w:cs="Arial"/>
          <w:lang w:val="en-US"/>
        </w:rPr>
      </w:pPr>
      <w:r w:rsidRPr="00D04EBB">
        <w:rPr>
          <w:rFonts w:cs="Arial"/>
          <w:lang w:val="en-US"/>
        </w:rPr>
        <w:t>Since we do not believe that any of the links is a conclusive indicator for a threat of the independence of the relevant entities, we had rather not chose any of the two options. Since the set time frame is too short for the development of a new model and only two alternatives are given we have to state the following:</w:t>
      </w:r>
    </w:p>
    <w:p w:rsidR="00D04EBB" w:rsidRDefault="00D04EBB" w:rsidP="00A1002E">
      <w:pPr>
        <w:rPr>
          <w:rFonts w:cs="Arial"/>
          <w:lang w:val="en-US"/>
        </w:rPr>
      </w:pPr>
    </w:p>
    <w:p w:rsidR="00A1002E" w:rsidRDefault="00A1002E" w:rsidP="00A1002E">
      <w:pPr>
        <w:rPr>
          <w:rFonts w:cs="Arial"/>
          <w:lang w:val="en-US"/>
        </w:rPr>
      </w:pPr>
      <w:r w:rsidRPr="00A76F6B">
        <w:rPr>
          <w:rFonts w:cs="Arial"/>
          <w:lang w:val="en-US"/>
        </w:rPr>
        <w:t xml:space="preserve">For the reasons set out in our response to question 13, we find the first option unacceptable and potentially </w:t>
      </w:r>
      <w:r w:rsidR="00D04EBB" w:rsidRPr="00A76F6B">
        <w:rPr>
          <w:rFonts w:cs="Arial"/>
          <w:lang w:val="en-US"/>
        </w:rPr>
        <w:t>destabilizing</w:t>
      </w:r>
      <w:r w:rsidRPr="00A76F6B">
        <w:rPr>
          <w:rFonts w:cs="Arial"/>
          <w:lang w:val="en-US"/>
        </w:rPr>
        <w:t xml:space="preserve"> for the banking industry in the EU. </w:t>
      </w:r>
    </w:p>
    <w:p w:rsidR="00D04EBB" w:rsidRDefault="00D04EBB" w:rsidP="00A1002E">
      <w:pPr>
        <w:rPr>
          <w:rFonts w:cs="Arial"/>
          <w:lang w:val="en-US"/>
        </w:rPr>
      </w:pPr>
    </w:p>
    <w:p w:rsidR="00D04EBB" w:rsidRPr="00C46B38" w:rsidRDefault="00D04EBB" w:rsidP="00D04EBB">
      <w:pPr>
        <w:rPr>
          <w:lang w:val="en-GB"/>
        </w:rPr>
      </w:pPr>
      <w:r w:rsidRPr="00C46B38">
        <w:rPr>
          <w:lang w:val="en-GB"/>
        </w:rPr>
        <w:t>Option 1 contains new requirements which go beyond Level 1 and prevent the management company and depositary to be group related companies. We believe that this long established and well working market practice should not be restricted by any Level 2 measures.</w:t>
      </w:r>
    </w:p>
    <w:p w:rsidR="00D04EBB" w:rsidRPr="00C46B38" w:rsidRDefault="00D04EBB" w:rsidP="00D04EBB">
      <w:pPr>
        <w:rPr>
          <w:lang w:val="en-GB"/>
        </w:rPr>
      </w:pPr>
    </w:p>
    <w:p w:rsidR="00D04EBB" w:rsidRPr="00C46B38" w:rsidRDefault="00D04EBB" w:rsidP="00D04EBB">
      <w:pPr>
        <w:rPr>
          <w:lang w:val="en-GB"/>
        </w:rPr>
      </w:pPr>
      <w:r w:rsidRPr="00C46B38">
        <w:rPr>
          <w:lang w:val="en-GB"/>
        </w:rPr>
        <w:t xml:space="preserve">The principle of proportionality is intended to ensure that regulatory measures go no further than required to achieve a set objective, which is to ensure that both the management company and the depositary have specific safeguards against conflicts of interest to allow for the independent performance of its activities. The limitation of solutions within the group inevitably leads to a restriction of the design and operating freedom for the affected investment firms and depositary banks. </w:t>
      </w:r>
    </w:p>
    <w:p w:rsidR="00D04EBB" w:rsidRPr="00C46B38" w:rsidRDefault="00D04EBB" w:rsidP="00D04EBB">
      <w:pPr>
        <w:rPr>
          <w:lang w:val="en-GB"/>
        </w:rPr>
      </w:pPr>
    </w:p>
    <w:p w:rsidR="00D04EBB" w:rsidRPr="00C46B38" w:rsidRDefault="00D04EBB" w:rsidP="00D04EBB">
      <w:pPr>
        <w:rPr>
          <w:lang w:val="en-GB"/>
        </w:rPr>
      </w:pPr>
      <w:r w:rsidRPr="00C46B38">
        <w:rPr>
          <w:lang w:val="en-GB"/>
        </w:rPr>
        <w:t>We tentatively support the second option, which aims at harmonizing governance and organizational arrangements.</w:t>
      </w:r>
    </w:p>
    <w:p w:rsidR="00D04EBB" w:rsidRPr="00C46B38" w:rsidRDefault="00D04EBB" w:rsidP="00D04EBB">
      <w:pPr>
        <w:rPr>
          <w:lang w:val="en-GB"/>
        </w:rPr>
      </w:pPr>
    </w:p>
    <w:p w:rsidR="00D04EBB" w:rsidRDefault="00D04EBB" w:rsidP="00D04EBB">
      <w:pPr>
        <w:rPr>
          <w:lang w:val="en-GB"/>
        </w:rPr>
      </w:pPr>
      <w:r w:rsidRPr="00C46B38">
        <w:rPr>
          <w:lang w:val="en-GB"/>
        </w:rPr>
        <w:t>Notwithstanding the relative preference for option 2, we consider to demand the existence of at least one third of independent members of the management body of the management company/investment company and the depositary or at least one third of the members of the body in charge of the supervisory function.</w:t>
      </w:r>
      <w:r>
        <w:rPr>
          <w:lang w:val="en-GB"/>
        </w:rPr>
        <w:t xml:space="preserve"> We also believe that independent directors </w:t>
      </w:r>
      <w:r w:rsidRPr="00EA4F22">
        <w:rPr>
          <w:lang w:val="en-GB"/>
        </w:rPr>
        <w:t>should be allowed to be employees of any of the other undertakings within the group [except for the second relevant entity]</w:t>
      </w:r>
      <w:r>
        <w:rPr>
          <w:lang w:val="en-GB"/>
        </w:rPr>
        <w:t xml:space="preserve"> [see our answer to Q21]</w:t>
      </w:r>
      <w:r w:rsidRPr="00EA4F22">
        <w:rPr>
          <w:lang w:val="en-GB"/>
        </w:rPr>
        <w:t>.</w:t>
      </w:r>
    </w:p>
    <w:p w:rsidR="00D04EBB" w:rsidRDefault="00D04EBB" w:rsidP="00D04EBB">
      <w:pPr>
        <w:rPr>
          <w:lang w:val="en-GB"/>
        </w:rPr>
      </w:pPr>
    </w:p>
    <w:p w:rsidR="00D04EBB" w:rsidRDefault="00D04EBB" w:rsidP="00D04EBB">
      <w:pPr>
        <w:rPr>
          <w:rFonts w:cs="Arial"/>
          <w:lang w:val="en-US"/>
        </w:rPr>
      </w:pPr>
      <w:r>
        <w:rPr>
          <w:lang w:val="en-GB"/>
        </w:rPr>
        <w:t xml:space="preserve">We believe that in this regard </w:t>
      </w:r>
      <w:r w:rsidRPr="00E819A7">
        <w:rPr>
          <w:lang w:val="en-GB"/>
        </w:rPr>
        <w:t xml:space="preserve">option 2 </w:t>
      </w:r>
      <w:r>
        <w:rPr>
          <w:lang w:val="en-GB"/>
        </w:rPr>
        <w:t xml:space="preserve">needs </w:t>
      </w:r>
      <w:r w:rsidR="00A8502A">
        <w:rPr>
          <w:lang w:val="en-GB"/>
        </w:rPr>
        <w:t xml:space="preserve">an </w:t>
      </w:r>
      <w:r w:rsidRPr="00E819A7">
        <w:rPr>
          <w:lang w:val="en-GB"/>
        </w:rPr>
        <w:t>extensive revision.</w:t>
      </w:r>
    </w:p>
    <w:p w:rsidR="00A1002E" w:rsidRDefault="00A1002E" w:rsidP="00A1002E"/>
    <w:p w:rsidR="00A1002E" w:rsidRDefault="00A1002E" w:rsidP="00A1002E">
      <w:pPr>
        <w:pStyle w:val="berschrift5"/>
        <w:keepNext w:val="0"/>
        <w:keepLines w:val="0"/>
        <w:numPr>
          <w:ilvl w:val="0"/>
          <w:numId w:val="2"/>
        </w:numPr>
        <w:spacing w:after="250" w:line="276" w:lineRule="auto"/>
        <w:ind w:left="0" w:firstLine="0"/>
      </w:pPr>
      <w:r>
        <w:t xml:space="preserve">Under the second option, do you consider that it would be appropriate to require that – whenever the Relevant Entities are part of the same group – at least one third of the members of the management body of the management company/investment company and depositary should be independent? Would you suggest any alternative percentage? If yes, please provide the reasons why. </w:t>
      </w:r>
    </w:p>
    <w:p w:rsidR="007C1031" w:rsidRDefault="007C1031" w:rsidP="00A1002E">
      <w:pPr>
        <w:rPr>
          <w:rFonts w:cs="Arial"/>
          <w:color w:val="000000"/>
          <w:lang w:val="en-US"/>
        </w:rPr>
      </w:pPr>
    </w:p>
    <w:p w:rsidR="00A1002E" w:rsidRDefault="00A1002E" w:rsidP="00A1002E">
      <w:pPr>
        <w:rPr>
          <w:rFonts w:cs="Arial"/>
          <w:color w:val="000000"/>
          <w:lang w:val="en-US"/>
        </w:rPr>
      </w:pPr>
      <w:r w:rsidRPr="00A76F6B">
        <w:rPr>
          <w:rFonts w:cs="Arial"/>
          <w:color w:val="000000"/>
          <w:lang w:val="en-US"/>
        </w:rPr>
        <w:t xml:space="preserve">We do not support the requirement of at least one third of the members of the management body of </w:t>
      </w:r>
      <w:r w:rsidRPr="00A76F6B">
        <w:rPr>
          <w:rFonts w:cs="Calibri"/>
          <w:lang w:val="en-US"/>
        </w:rPr>
        <w:t>both entities should be independent</w:t>
      </w:r>
      <w:r w:rsidRPr="00A76F6B">
        <w:rPr>
          <w:rFonts w:cs="Arial"/>
          <w:color w:val="000000"/>
          <w:lang w:val="en-US"/>
        </w:rPr>
        <w:t>. This would raise many practical issues, (in particular for small structures and structures with joint or multiple shareholdings). An additional operational hurdle would also be the regulatory limits imposed on the number of directorships held by directors.</w:t>
      </w:r>
    </w:p>
    <w:p w:rsidR="00A1002E" w:rsidRDefault="00A1002E" w:rsidP="00A1002E">
      <w:pPr>
        <w:rPr>
          <w:rFonts w:cs="Arial"/>
          <w:color w:val="000000"/>
          <w:lang w:val="en-US"/>
        </w:rPr>
      </w:pPr>
    </w:p>
    <w:p w:rsidR="00A1002E" w:rsidRDefault="00A1002E" w:rsidP="00A1002E">
      <w:pPr>
        <w:rPr>
          <w:rFonts w:cs="Arial"/>
          <w:color w:val="000000"/>
          <w:lang w:val="en-US"/>
        </w:rPr>
      </w:pPr>
      <w:r>
        <w:rPr>
          <w:rFonts w:cs="Arial"/>
          <w:color w:val="000000"/>
          <w:lang w:val="en-US"/>
        </w:rPr>
        <w:lastRenderedPageBreak/>
        <w:t>Should independent directors be imposed, we suggest limiting the number to 1 and the application only to the management company/investment company and not to the depositary</w:t>
      </w:r>
      <w:r w:rsidR="00D04EBB">
        <w:rPr>
          <w:rFonts w:cs="Arial"/>
          <w:color w:val="000000"/>
          <w:lang w:val="en-US"/>
        </w:rPr>
        <w:t>.</w:t>
      </w:r>
    </w:p>
    <w:p w:rsidR="00A1002E" w:rsidRDefault="00A1002E" w:rsidP="00A1002E">
      <w:pPr>
        <w:rPr>
          <w:rFonts w:cs="Arial"/>
          <w:color w:val="000000"/>
          <w:lang w:val="en-US"/>
        </w:rPr>
      </w:pPr>
    </w:p>
    <w:p w:rsidR="00A1002E" w:rsidRPr="004045DE" w:rsidRDefault="00A1002E" w:rsidP="00A1002E">
      <w:pPr>
        <w:rPr>
          <w:rFonts w:cs="Arial"/>
          <w:color w:val="000000"/>
          <w:lang w:val="en-US"/>
        </w:rPr>
      </w:pPr>
      <w:r>
        <w:rPr>
          <w:rFonts w:cs="Arial"/>
          <w:color w:val="000000"/>
          <w:lang w:val="en-US"/>
        </w:rPr>
        <w:t>This arrangement would allow reaching the same objectives without unnecessary constraints.</w:t>
      </w:r>
    </w:p>
    <w:p w:rsidR="00A1002E" w:rsidRDefault="00A1002E" w:rsidP="00A1002E"/>
    <w:p w:rsidR="00A1002E" w:rsidRDefault="00A1002E" w:rsidP="00A1002E">
      <w:pPr>
        <w:pStyle w:val="berschrift5"/>
        <w:keepNext w:val="0"/>
        <w:keepLines w:val="0"/>
        <w:numPr>
          <w:ilvl w:val="0"/>
          <w:numId w:val="2"/>
        </w:numPr>
        <w:spacing w:after="250" w:line="276" w:lineRule="auto"/>
        <w:ind w:left="0" w:firstLine="0"/>
      </w:pPr>
      <w:r>
        <w:t xml:space="preserve">Do you agree that the concept of independence should be understood as requiring that independent directors should not be member of the management body or the body in charge of the supervisory function </w:t>
      </w:r>
      <w:proofErr w:type="gramStart"/>
      <w:r>
        <w:t>nor</w:t>
      </w:r>
      <w:proofErr w:type="gramEnd"/>
      <w:r>
        <w:t xml:space="preserve"> employees of any of the undertakings within the group?</w:t>
      </w:r>
    </w:p>
    <w:p w:rsidR="00A1002E" w:rsidRDefault="00A1002E" w:rsidP="00A1002E">
      <w:proofErr w:type="spellStart"/>
      <w:r>
        <w:t>No</w:t>
      </w:r>
      <w:proofErr w:type="spellEnd"/>
      <w:r>
        <w:t xml:space="preserve"> </w:t>
      </w:r>
      <w:proofErr w:type="spellStart"/>
      <w:r>
        <w:t>we</w:t>
      </w:r>
      <w:proofErr w:type="spellEnd"/>
      <w:r>
        <w:t xml:space="preserve"> do not </w:t>
      </w:r>
      <w:proofErr w:type="spellStart"/>
      <w:r>
        <w:t>deem</w:t>
      </w:r>
      <w:proofErr w:type="spellEnd"/>
      <w:r>
        <w:t xml:space="preserve"> </w:t>
      </w:r>
      <w:proofErr w:type="spellStart"/>
      <w:r>
        <w:t>it</w:t>
      </w:r>
      <w:proofErr w:type="spellEnd"/>
      <w:r>
        <w:t xml:space="preserve"> </w:t>
      </w:r>
      <w:proofErr w:type="spellStart"/>
      <w:r>
        <w:t>proportionate</w:t>
      </w:r>
      <w:proofErr w:type="spellEnd"/>
      <w:r>
        <w:t>.</w:t>
      </w:r>
    </w:p>
    <w:p w:rsidR="00A1002E" w:rsidRDefault="00A1002E" w:rsidP="00A1002E"/>
    <w:p w:rsidR="00A1002E" w:rsidRDefault="00A1002E" w:rsidP="00A1002E">
      <w:pPr>
        <w:pStyle w:val="berschrift5"/>
        <w:keepNext w:val="0"/>
        <w:keepLines w:val="0"/>
        <w:numPr>
          <w:ilvl w:val="0"/>
          <w:numId w:val="2"/>
        </w:numPr>
        <w:spacing w:after="250" w:line="276" w:lineRule="auto"/>
        <w:ind w:left="0" w:firstLine="0"/>
      </w:pPr>
      <w:r>
        <w:t>Do you have knowledge of the impact that each of the two options identified would have in terms of restructuring the shareholding of any Relevant Entities or finding alternative service providers? If yes, please provide data and an estimation of the one-off and ongoing costs that would be incurred.</w:t>
      </w:r>
    </w:p>
    <w:p w:rsidR="00A1002E" w:rsidRPr="00214757" w:rsidRDefault="00A1002E" w:rsidP="00A1002E">
      <w:r w:rsidRPr="00214757">
        <w:t xml:space="preserve">The </w:t>
      </w:r>
      <w:proofErr w:type="spellStart"/>
      <w:r w:rsidRPr="00214757">
        <w:t>prohibition</w:t>
      </w:r>
      <w:proofErr w:type="spellEnd"/>
      <w:r w:rsidRPr="00214757">
        <w:t xml:space="preserve"> </w:t>
      </w:r>
      <w:proofErr w:type="spellStart"/>
      <w:r w:rsidRPr="00214757">
        <w:t>of</w:t>
      </w:r>
      <w:proofErr w:type="spellEnd"/>
      <w:r w:rsidRPr="00214757">
        <w:t xml:space="preserve"> </w:t>
      </w:r>
      <w:proofErr w:type="spellStart"/>
      <w:r w:rsidRPr="00214757">
        <w:t>cross</w:t>
      </w:r>
      <w:proofErr w:type="spellEnd"/>
      <w:r w:rsidRPr="00214757">
        <w:t xml:space="preserve"> shareholding, </w:t>
      </w:r>
      <w:proofErr w:type="spellStart"/>
      <w:r w:rsidRPr="00214757">
        <w:t>as</w:t>
      </w:r>
      <w:proofErr w:type="spellEnd"/>
      <w:r w:rsidRPr="00214757">
        <w:t xml:space="preserve"> </w:t>
      </w:r>
      <w:proofErr w:type="spellStart"/>
      <w:r w:rsidRPr="00214757">
        <w:t>envisaged</w:t>
      </w:r>
      <w:proofErr w:type="spellEnd"/>
      <w:r w:rsidRPr="00214757">
        <w:t xml:space="preserve"> in </w:t>
      </w:r>
      <w:proofErr w:type="spellStart"/>
      <w:r w:rsidRPr="00214757">
        <w:t>option</w:t>
      </w:r>
      <w:proofErr w:type="spellEnd"/>
      <w:r w:rsidRPr="00214757">
        <w:t xml:space="preserve"> 1 (“</w:t>
      </w:r>
      <w:proofErr w:type="spellStart"/>
      <w:r w:rsidRPr="00214757">
        <w:t>the</w:t>
      </w:r>
      <w:proofErr w:type="spellEnd"/>
      <w:r w:rsidRPr="00214757">
        <w:t xml:space="preserve"> </w:t>
      </w:r>
      <w:proofErr w:type="spellStart"/>
      <w:r w:rsidRPr="00214757">
        <w:t>management</w:t>
      </w:r>
      <w:proofErr w:type="spellEnd"/>
      <w:r w:rsidRPr="00214757">
        <w:t xml:space="preserve"> </w:t>
      </w:r>
      <w:proofErr w:type="spellStart"/>
      <w:r w:rsidRPr="00214757">
        <w:t>company</w:t>
      </w:r>
      <w:proofErr w:type="spellEnd"/>
      <w:r w:rsidRPr="00214757">
        <w:t xml:space="preserve"> </w:t>
      </w:r>
      <w:proofErr w:type="spellStart"/>
      <w:r w:rsidRPr="00214757">
        <w:t>company</w:t>
      </w:r>
      <w:proofErr w:type="spellEnd"/>
      <w:r w:rsidRPr="00214757">
        <w:t>/</w:t>
      </w:r>
      <w:proofErr w:type="spellStart"/>
      <w:r w:rsidRPr="00214757">
        <w:t>investment</w:t>
      </w:r>
      <w:proofErr w:type="spellEnd"/>
      <w:r w:rsidRPr="00214757">
        <w:t xml:space="preserve"> </w:t>
      </w:r>
      <w:proofErr w:type="spellStart"/>
      <w:r w:rsidRPr="00214757">
        <w:t>company</w:t>
      </w:r>
      <w:proofErr w:type="spellEnd"/>
      <w:r w:rsidRPr="00214757">
        <w:t xml:space="preserve"> </w:t>
      </w:r>
      <w:proofErr w:type="spellStart"/>
      <w:r w:rsidRPr="00214757">
        <w:t>shall</w:t>
      </w:r>
      <w:proofErr w:type="spellEnd"/>
      <w:r w:rsidRPr="00214757">
        <w:t xml:space="preserve"> not </w:t>
      </w:r>
      <w:proofErr w:type="spellStart"/>
      <w:r w:rsidRPr="00214757">
        <w:t>be</w:t>
      </w:r>
      <w:proofErr w:type="spellEnd"/>
      <w:r w:rsidRPr="00214757">
        <w:t xml:space="preserve"> </w:t>
      </w:r>
      <w:proofErr w:type="spellStart"/>
      <w:r w:rsidRPr="00214757">
        <w:t>included</w:t>
      </w:r>
      <w:proofErr w:type="spellEnd"/>
      <w:r w:rsidRPr="00214757">
        <w:t xml:space="preserve"> in </w:t>
      </w:r>
      <w:proofErr w:type="spellStart"/>
      <w:r w:rsidRPr="00214757">
        <w:t>the</w:t>
      </w:r>
      <w:proofErr w:type="spellEnd"/>
      <w:r w:rsidRPr="00214757">
        <w:t xml:space="preserve"> same </w:t>
      </w:r>
      <w:proofErr w:type="spellStart"/>
      <w:r w:rsidRPr="00214757">
        <w:t>gro</w:t>
      </w:r>
      <w:r w:rsidR="00D04EBB">
        <w:t>up</w:t>
      </w:r>
      <w:proofErr w:type="spellEnd"/>
      <w:r w:rsidR="00D04EBB">
        <w:t xml:space="preserve">...”) </w:t>
      </w:r>
      <w:proofErr w:type="spellStart"/>
      <w:r w:rsidR="00D04EBB">
        <w:t>may</w:t>
      </w:r>
      <w:proofErr w:type="spellEnd"/>
      <w:r w:rsidR="00D04EBB">
        <w:t xml:space="preserve">, </w:t>
      </w:r>
      <w:proofErr w:type="spellStart"/>
      <w:r w:rsidR="00D04EBB">
        <w:t>if</w:t>
      </w:r>
      <w:proofErr w:type="spellEnd"/>
      <w:r w:rsidR="00D04EBB">
        <w:t xml:space="preserve"> </w:t>
      </w:r>
      <w:proofErr w:type="spellStart"/>
      <w:r w:rsidR="00D04EBB">
        <w:t>retained</w:t>
      </w:r>
      <w:proofErr w:type="spellEnd"/>
      <w:r w:rsidRPr="00214757">
        <w:t xml:space="preserve">, </w:t>
      </w:r>
      <w:proofErr w:type="spellStart"/>
      <w:r w:rsidRPr="00214757">
        <w:t>lead</w:t>
      </w:r>
      <w:proofErr w:type="spellEnd"/>
      <w:r w:rsidRPr="00214757">
        <w:t xml:space="preserve"> </w:t>
      </w:r>
      <w:proofErr w:type="spellStart"/>
      <w:r w:rsidRPr="00214757">
        <w:t>to</w:t>
      </w:r>
      <w:proofErr w:type="spellEnd"/>
      <w:r w:rsidRPr="00214757">
        <w:t xml:space="preserve"> 2 </w:t>
      </w:r>
      <w:proofErr w:type="spellStart"/>
      <w:r w:rsidRPr="00214757">
        <w:t>types</w:t>
      </w:r>
      <w:proofErr w:type="spellEnd"/>
      <w:r w:rsidRPr="00214757">
        <w:t xml:space="preserve"> </w:t>
      </w:r>
      <w:proofErr w:type="spellStart"/>
      <w:r w:rsidRPr="00214757">
        <w:t>of</w:t>
      </w:r>
      <w:proofErr w:type="spellEnd"/>
      <w:r w:rsidRPr="00214757">
        <w:t xml:space="preserve"> </w:t>
      </w:r>
      <w:proofErr w:type="spellStart"/>
      <w:r w:rsidRPr="00214757">
        <w:t>consequences</w:t>
      </w:r>
      <w:proofErr w:type="spellEnd"/>
      <w:r w:rsidRPr="00214757">
        <w:t xml:space="preserve">, </w:t>
      </w:r>
      <w:proofErr w:type="spellStart"/>
      <w:r w:rsidRPr="00214757">
        <w:t>both</w:t>
      </w:r>
      <w:proofErr w:type="spellEnd"/>
      <w:r w:rsidRPr="00214757">
        <w:t xml:space="preserve"> </w:t>
      </w:r>
      <w:proofErr w:type="spellStart"/>
      <w:r w:rsidRPr="00214757">
        <w:t>significantly</w:t>
      </w:r>
      <w:proofErr w:type="spellEnd"/>
      <w:r w:rsidRPr="00214757">
        <w:t xml:space="preserve"> </w:t>
      </w:r>
      <w:proofErr w:type="spellStart"/>
      <w:r w:rsidRPr="00214757">
        <w:t>detrimental</w:t>
      </w:r>
      <w:proofErr w:type="spellEnd"/>
      <w:r w:rsidRPr="00214757">
        <w:t xml:space="preserve"> </w:t>
      </w:r>
      <w:proofErr w:type="spellStart"/>
      <w:r w:rsidRPr="00214757">
        <w:t>to</w:t>
      </w:r>
      <w:proofErr w:type="spellEnd"/>
      <w:r w:rsidRPr="00214757">
        <w:t xml:space="preserve"> </w:t>
      </w:r>
      <w:proofErr w:type="spellStart"/>
      <w:r w:rsidRPr="00214757">
        <w:t>the</w:t>
      </w:r>
      <w:proofErr w:type="spellEnd"/>
      <w:r w:rsidRPr="00214757">
        <w:t xml:space="preserve"> </w:t>
      </w:r>
      <w:proofErr w:type="spellStart"/>
      <w:r w:rsidRPr="00214757">
        <w:t>investors</w:t>
      </w:r>
      <w:proofErr w:type="spellEnd"/>
      <w:r w:rsidRPr="00214757">
        <w:t xml:space="preserve">: </w:t>
      </w:r>
    </w:p>
    <w:p w:rsidR="00A1002E" w:rsidRPr="00214757" w:rsidRDefault="00A1002E" w:rsidP="00A1002E"/>
    <w:p w:rsidR="00A1002E" w:rsidRPr="00214757" w:rsidRDefault="00D04EBB" w:rsidP="00A1002E">
      <w:r>
        <w:t xml:space="preserve">- </w:t>
      </w:r>
      <w:r w:rsidR="00A1002E" w:rsidRPr="00214757">
        <w:t>European-</w:t>
      </w:r>
      <w:proofErr w:type="spellStart"/>
      <w:r w:rsidR="00A1002E" w:rsidRPr="00214757">
        <w:t>based</w:t>
      </w:r>
      <w:proofErr w:type="spellEnd"/>
      <w:r w:rsidR="00A1002E" w:rsidRPr="00214757">
        <w:t xml:space="preserve"> </w:t>
      </w:r>
      <w:proofErr w:type="spellStart"/>
      <w:r w:rsidR="00A1002E" w:rsidRPr="00214757">
        <w:t>diversified</w:t>
      </w:r>
      <w:proofErr w:type="spellEnd"/>
      <w:r w:rsidR="00A1002E" w:rsidRPr="00214757">
        <w:t xml:space="preserve"> </w:t>
      </w:r>
      <w:proofErr w:type="spellStart"/>
      <w:r w:rsidR="00A1002E" w:rsidRPr="00214757">
        <w:t>financial</w:t>
      </w:r>
      <w:proofErr w:type="spellEnd"/>
      <w:r w:rsidR="00A1002E" w:rsidRPr="00214757">
        <w:t xml:space="preserve"> </w:t>
      </w:r>
      <w:proofErr w:type="spellStart"/>
      <w:r w:rsidR="00A1002E" w:rsidRPr="00214757">
        <w:t>groups</w:t>
      </w:r>
      <w:proofErr w:type="spellEnd"/>
      <w:r w:rsidR="00A1002E" w:rsidRPr="00214757">
        <w:t xml:space="preserve"> </w:t>
      </w:r>
      <w:proofErr w:type="spellStart"/>
      <w:r w:rsidR="00A1002E" w:rsidRPr="00214757">
        <w:t>with</w:t>
      </w:r>
      <w:proofErr w:type="spellEnd"/>
      <w:r w:rsidR="00A1002E" w:rsidRPr="00214757">
        <w:t xml:space="preserve"> a </w:t>
      </w:r>
      <w:proofErr w:type="spellStart"/>
      <w:r w:rsidR="00A1002E" w:rsidRPr="00214757">
        <w:t>depositary</w:t>
      </w:r>
      <w:proofErr w:type="spellEnd"/>
      <w:r w:rsidR="00A1002E" w:rsidRPr="00214757">
        <w:t xml:space="preserve"> arm will </w:t>
      </w:r>
      <w:proofErr w:type="spellStart"/>
      <w:r w:rsidR="00A1002E" w:rsidRPr="00214757">
        <w:t>be</w:t>
      </w:r>
      <w:proofErr w:type="spellEnd"/>
      <w:r w:rsidR="00A1002E" w:rsidRPr="00214757">
        <w:t xml:space="preserve"> </w:t>
      </w:r>
      <w:proofErr w:type="spellStart"/>
      <w:r w:rsidR="00A1002E" w:rsidRPr="00214757">
        <w:t>compelled</w:t>
      </w:r>
      <w:proofErr w:type="spellEnd"/>
      <w:r w:rsidR="00A1002E" w:rsidRPr="00214757">
        <w:t xml:space="preserve"> </w:t>
      </w:r>
      <w:proofErr w:type="spellStart"/>
      <w:r w:rsidR="00A1002E" w:rsidRPr="00214757">
        <w:t>to</w:t>
      </w:r>
      <w:proofErr w:type="spellEnd"/>
      <w:r w:rsidR="00A1002E" w:rsidRPr="00214757">
        <w:t xml:space="preserve"> </w:t>
      </w:r>
      <w:proofErr w:type="spellStart"/>
      <w:r w:rsidR="00A1002E" w:rsidRPr="00214757">
        <w:t>limit</w:t>
      </w:r>
      <w:proofErr w:type="spellEnd"/>
      <w:r w:rsidR="00A1002E" w:rsidRPr="00214757">
        <w:t xml:space="preserve"> </w:t>
      </w:r>
      <w:proofErr w:type="spellStart"/>
      <w:r w:rsidR="00A1002E" w:rsidRPr="00214757">
        <w:t>their</w:t>
      </w:r>
      <w:proofErr w:type="spellEnd"/>
      <w:r w:rsidR="00A1002E" w:rsidRPr="00214757">
        <w:t xml:space="preserve"> </w:t>
      </w:r>
      <w:proofErr w:type="spellStart"/>
      <w:r w:rsidR="00A1002E" w:rsidRPr="00214757">
        <w:t>operations</w:t>
      </w:r>
      <w:proofErr w:type="spellEnd"/>
      <w:r w:rsidR="00A1002E" w:rsidRPr="00214757">
        <w:t xml:space="preserve"> in </w:t>
      </w:r>
      <w:proofErr w:type="spellStart"/>
      <w:r w:rsidR="00A1002E" w:rsidRPr="00214757">
        <w:t>asset</w:t>
      </w:r>
      <w:proofErr w:type="spellEnd"/>
      <w:r w:rsidR="00A1002E" w:rsidRPr="00214757">
        <w:t xml:space="preserve"> </w:t>
      </w:r>
      <w:proofErr w:type="spellStart"/>
      <w:r w:rsidR="00A1002E" w:rsidRPr="00214757">
        <w:t>management</w:t>
      </w:r>
      <w:proofErr w:type="spellEnd"/>
      <w:r w:rsidR="00A1002E" w:rsidRPr="00214757">
        <w:t xml:space="preserve">, </w:t>
      </w:r>
      <w:proofErr w:type="spellStart"/>
      <w:r w:rsidR="00A1002E" w:rsidRPr="00214757">
        <w:t>thus</w:t>
      </w:r>
      <w:proofErr w:type="spellEnd"/>
      <w:r w:rsidR="00A1002E" w:rsidRPr="00214757">
        <w:t xml:space="preserve"> </w:t>
      </w:r>
      <w:proofErr w:type="spellStart"/>
      <w:r w:rsidR="00A1002E" w:rsidRPr="00214757">
        <w:t>depriving</w:t>
      </w:r>
      <w:proofErr w:type="spellEnd"/>
      <w:r w:rsidR="00A1002E" w:rsidRPr="00214757">
        <w:t xml:space="preserve"> </w:t>
      </w:r>
      <w:proofErr w:type="spellStart"/>
      <w:r w:rsidR="00A1002E" w:rsidRPr="00214757">
        <w:t>the</w:t>
      </w:r>
      <w:proofErr w:type="spellEnd"/>
      <w:r w:rsidR="00A1002E" w:rsidRPr="00214757">
        <w:t xml:space="preserve"> </w:t>
      </w:r>
      <w:proofErr w:type="spellStart"/>
      <w:r w:rsidR="00A1002E" w:rsidRPr="00214757">
        <w:t>market</w:t>
      </w:r>
      <w:proofErr w:type="spellEnd"/>
      <w:r w:rsidR="00A1002E" w:rsidRPr="00214757">
        <w:t xml:space="preserve"> </w:t>
      </w:r>
      <w:proofErr w:type="spellStart"/>
      <w:r w:rsidR="00A1002E" w:rsidRPr="00214757">
        <w:t>of</w:t>
      </w:r>
      <w:proofErr w:type="spellEnd"/>
      <w:r w:rsidR="00A1002E" w:rsidRPr="00214757">
        <w:t xml:space="preserve"> a substantial </w:t>
      </w:r>
      <w:proofErr w:type="spellStart"/>
      <w:r w:rsidR="00A1002E" w:rsidRPr="00214757">
        <w:t>part</w:t>
      </w:r>
      <w:proofErr w:type="spellEnd"/>
      <w:r w:rsidR="00A1002E" w:rsidRPr="00214757">
        <w:t xml:space="preserve"> </w:t>
      </w:r>
      <w:proofErr w:type="spellStart"/>
      <w:r w:rsidR="00A1002E" w:rsidRPr="00214757">
        <w:t>of</w:t>
      </w:r>
      <w:proofErr w:type="spellEnd"/>
      <w:r w:rsidR="00A1002E" w:rsidRPr="00214757">
        <w:t xml:space="preserve"> </w:t>
      </w:r>
      <w:proofErr w:type="spellStart"/>
      <w:r w:rsidR="00A1002E" w:rsidRPr="00214757">
        <w:t>the</w:t>
      </w:r>
      <w:proofErr w:type="spellEnd"/>
      <w:r w:rsidR="00A1002E" w:rsidRPr="00214757">
        <w:t xml:space="preserve"> </w:t>
      </w:r>
      <w:proofErr w:type="spellStart"/>
      <w:r w:rsidR="00A1002E" w:rsidRPr="00214757">
        <w:t>range</w:t>
      </w:r>
      <w:proofErr w:type="spellEnd"/>
      <w:r w:rsidR="00A1002E" w:rsidRPr="00214757">
        <w:t xml:space="preserve"> </w:t>
      </w:r>
      <w:proofErr w:type="spellStart"/>
      <w:r w:rsidR="00A1002E" w:rsidRPr="00214757">
        <w:t>of</w:t>
      </w:r>
      <w:proofErr w:type="spellEnd"/>
      <w:r w:rsidR="00A1002E" w:rsidRPr="00214757">
        <w:t xml:space="preserve"> </w:t>
      </w:r>
      <w:proofErr w:type="spellStart"/>
      <w:r w:rsidR="00A1002E" w:rsidRPr="00214757">
        <w:t>products</w:t>
      </w:r>
      <w:proofErr w:type="spellEnd"/>
      <w:r w:rsidR="00A1002E" w:rsidRPr="00214757">
        <w:t xml:space="preserve"> </w:t>
      </w:r>
      <w:proofErr w:type="spellStart"/>
      <w:r w:rsidR="00A1002E" w:rsidRPr="00214757">
        <w:t>available</w:t>
      </w:r>
      <w:proofErr w:type="spellEnd"/>
      <w:r w:rsidR="00A1002E" w:rsidRPr="00214757">
        <w:t xml:space="preserve"> </w:t>
      </w:r>
      <w:proofErr w:type="spellStart"/>
      <w:r w:rsidR="00A1002E" w:rsidRPr="00214757">
        <w:t>for</w:t>
      </w:r>
      <w:proofErr w:type="spellEnd"/>
      <w:r w:rsidR="00A1002E" w:rsidRPr="00214757">
        <w:t xml:space="preserve"> </w:t>
      </w:r>
      <w:proofErr w:type="spellStart"/>
      <w:r w:rsidR="00A1002E" w:rsidRPr="00214757">
        <w:t>investment</w:t>
      </w:r>
      <w:proofErr w:type="spellEnd"/>
      <w:r w:rsidR="00A1002E" w:rsidRPr="00214757">
        <w:t xml:space="preserve"> </w:t>
      </w:r>
      <w:proofErr w:type="spellStart"/>
      <w:r w:rsidR="00A1002E" w:rsidRPr="00214757">
        <w:t>for</w:t>
      </w:r>
      <w:proofErr w:type="spellEnd"/>
      <w:r w:rsidR="00A1002E" w:rsidRPr="00214757">
        <w:t xml:space="preserve"> </w:t>
      </w:r>
      <w:proofErr w:type="spellStart"/>
      <w:r w:rsidR="00A1002E" w:rsidRPr="00214757">
        <w:t>the</w:t>
      </w:r>
      <w:proofErr w:type="spellEnd"/>
      <w:r w:rsidR="00A1002E" w:rsidRPr="00214757">
        <w:t xml:space="preserve"> </w:t>
      </w:r>
      <w:proofErr w:type="spellStart"/>
      <w:r w:rsidR="00A1002E" w:rsidRPr="00214757">
        <w:t>retail</w:t>
      </w:r>
      <w:proofErr w:type="spellEnd"/>
      <w:r w:rsidR="00A1002E" w:rsidRPr="00214757">
        <w:t xml:space="preserve"> </w:t>
      </w:r>
      <w:proofErr w:type="spellStart"/>
      <w:r w:rsidR="00A1002E" w:rsidRPr="00214757">
        <w:t>market</w:t>
      </w:r>
      <w:proofErr w:type="spellEnd"/>
      <w:r w:rsidR="00A1002E" w:rsidRPr="00214757">
        <w:t xml:space="preserve">. A </w:t>
      </w:r>
      <w:proofErr w:type="spellStart"/>
      <w:r w:rsidR="00A1002E" w:rsidRPr="00214757">
        <w:t>significant</w:t>
      </w:r>
      <w:proofErr w:type="spellEnd"/>
      <w:r w:rsidR="00A1002E" w:rsidRPr="00214757">
        <w:t xml:space="preserve"> </w:t>
      </w:r>
      <w:proofErr w:type="spellStart"/>
      <w:r w:rsidR="00A1002E" w:rsidRPr="00214757">
        <w:t>amount</w:t>
      </w:r>
      <w:proofErr w:type="spellEnd"/>
      <w:r w:rsidR="00A1002E" w:rsidRPr="00214757">
        <w:t xml:space="preserve"> </w:t>
      </w:r>
      <w:proofErr w:type="spellStart"/>
      <w:r w:rsidR="00A1002E" w:rsidRPr="00214757">
        <w:t>of</w:t>
      </w:r>
      <w:proofErr w:type="spellEnd"/>
      <w:r w:rsidR="00A1002E" w:rsidRPr="00214757">
        <w:t xml:space="preserve"> UCITS </w:t>
      </w:r>
      <w:proofErr w:type="spellStart"/>
      <w:r w:rsidR="00A1002E" w:rsidRPr="00214757">
        <w:t>would</w:t>
      </w:r>
      <w:proofErr w:type="spellEnd"/>
      <w:r w:rsidR="00A1002E" w:rsidRPr="00214757">
        <w:t xml:space="preserve"> </w:t>
      </w:r>
      <w:proofErr w:type="spellStart"/>
      <w:r w:rsidR="00A1002E" w:rsidRPr="00214757">
        <w:t>be</w:t>
      </w:r>
      <w:proofErr w:type="spellEnd"/>
      <w:r w:rsidR="00A1002E" w:rsidRPr="00214757">
        <w:t xml:space="preserve"> </w:t>
      </w:r>
      <w:proofErr w:type="spellStart"/>
      <w:r w:rsidR="00A1002E" w:rsidRPr="00214757">
        <w:t>closed</w:t>
      </w:r>
      <w:proofErr w:type="spellEnd"/>
      <w:r w:rsidR="00A1002E" w:rsidRPr="00214757">
        <w:t xml:space="preserve"> </w:t>
      </w:r>
      <w:proofErr w:type="spellStart"/>
      <w:r w:rsidR="00A1002E" w:rsidRPr="00214757">
        <w:t>and</w:t>
      </w:r>
      <w:proofErr w:type="spellEnd"/>
      <w:r w:rsidR="00A1002E" w:rsidRPr="00214757">
        <w:t xml:space="preserve"> </w:t>
      </w:r>
      <w:proofErr w:type="spellStart"/>
      <w:r w:rsidR="00A1002E" w:rsidRPr="00214757">
        <w:t>their</w:t>
      </w:r>
      <w:proofErr w:type="spellEnd"/>
      <w:r w:rsidR="00A1002E" w:rsidRPr="00214757">
        <w:t xml:space="preserve"> </w:t>
      </w:r>
      <w:proofErr w:type="spellStart"/>
      <w:r w:rsidR="00A1002E" w:rsidRPr="00214757">
        <w:t>assets</w:t>
      </w:r>
      <w:proofErr w:type="spellEnd"/>
      <w:r w:rsidR="00A1002E" w:rsidRPr="00214757">
        <w:t xml:space="preserve"> </w:t>
      </w:r>
      <w:proofErr w:type="spellStart"/>
      <w:r w:rsidR="00A1002E" w:rsidRPr="00214757">
        <w:t>could</w:t>
      </w:r>
      <w:proofErr w:type="spellEnd"/>
      <w:r w:rsidR="00A1002E" w:rsidRPr="00214757">
        <w:t xml:space="preserve"> </w:t>
      </w:r>
      <w:proofErr w:type="spellStart"/>
      <w:r w:rsidR="00A1002E" w:rsidRPr="00214757">
        <w:t>be</w:t>
      </w:r>
      <w:proofErr w:type="spellEnd"/>
      <w:r w:rsidR="00A1002E" w:rsidRPr="00214757">
        <w:t xml:space="preserve"> </w:t>
      </w:r>
      <w:proofErr w:type="spellStart"/>
      <w:r w:rsidR="00A1002E" w:rsidRPr="00214757">
        <w:t>transferred</w:t>
      </w:r>
      <w:proofErr w:type="spellEnd"/>
      <w:r w:rsidR="00A1002E" w:rsidRPr="00214757">
        <w:t xml:space="preserve"> </w:t>
      </w:r>
      <w:proofErr w:type="spellStart"/>
      <w:r w:rsidR="00A1002E" w:rsidRPr="00214757">
        <w:t>to</w:t>
      </w:r>
      <w:proofErr w:type="spellEnd"/>
      <w:r w:rsidR="00A1002E" w:rsidRPr="00214757">
        <w:t xml:space="preserve"> </w:t>
      </w:r>
      <w:proofErr w:type="spellStart"/>
      <w:r w:rsidR="00A1002E" w:rsidRPr="00214757">
        <w:t>other</w:t>
      </w:r>
      <w:proofErr w:type="spellEnd"/>
      <w:r w:rsidR="00A1002E" w:rsidRPr="00214757">
        <w:t xml:space="preserve"> </w:t>
      </w:r>
      <w:proofErr w:type="spellStart"/>
      <w:r w:rsidR="00A1002E" w:rsidRPr="00214757">
        <w:t>investment</w:t>
      </w:r>
      <w:proofErr w:type="spellEnd"/>
      <w:r w:rsidR="00A1002E" w:rsidRPr="00214757">
        <w:t xml:space="preserve"> </w:t>
      </w:r>
      <w:proofErr w:type="spellStart"/>
      <w:r w:rsidR="00A1002E" w:rsidRPr="00214757">
        <w:t>vehicles</w:t>
      </w:r>
      <w:proofErr w:type="spellEnd"/>
      <w:r w:rsidR="00A1002E" w:rsidRPr="00214757">
        <w:t xml:space="preserve"> </w:t>
      </w:r>
      <w:proofErr w:type="spellStart"/>
      <w:r w:rsidR="00A1002E" w:rsidRPr="00214757">
        <w:t>offering</w:t>
      </w:r>
      <w:proofErr w:type="spellEnd"/>
      <w:r w:rsidR="00A1002E" w:rsidRPr="00214757">
        <w:t xml:space="preserve"> </w:t>
      </w:r>
      <w:proofErr w:type="spellStart"/>
      <w:r w:rsidR="00A1002E" w:rsidRPr="00214757">
        <w:t>less</w:t>
      </w:r>
      <w:proofErr w:type="spellEnd"/>
      <w:r w:rsidR="00A1002E" w:rsidRPr="00214757">
        <w:t xml:space="preserve"> </w:t>
      </w:r>
      <w:proofErr w:type="spellStart"/>
      <w:r w:rsidR="00A1002E" w:rsidRPr="00214757">
        <w:t>protection</w:t>
      </w:r>
      <w:proofErr w:type="spellEnd"/>
      <w:r w:rsidR="00A1002E" w:rsidRPr="00214757">
        <w:t xml:space="preserve">. </w:t>
      </w:r>
    </w:p>
    <w:p w:rsidR="00A1002E" w:rsidRPr="00214757" w:rsidRDefault="00A1002E" w:rsidP="00A1002E"/>
    <w:p w:rsidR="00A1002E" w:rsidRPr="00214757" w:rsidRDefault="00A1002E" w:rsidP="00A1002E">
      <w:r w:rsidRPr="00214757">
        <w:t>- European-</w:t>
      </w:r>
      <w:proofErr w:type="spellStart"/>
      <w:r w:rsidRPr="00214757">
        <w:t>based</w:t>
      </w:r>
      <w:proofErr w:type="spellEnd"/>
      <w:r w:rsidRPr="00214757">
        <w:t xml:space="preserve"> </w:t>
      </w:r>
      <w:proofErr w:type="spellStart"/>
      <w:r w:rsidRPr="00214757">
        <w:t>diversified</w:t>
      </w:r>
      <w:proofErr w:type="spellEnd"/>
      <w:r w:rsidRPr="00214757">
        <w:t xml:space="preserve"> </w:t>
      </w:r>
      <w:proofErr w:type="spellStart"/>
      <w:r w:rsidRPr="00214757">
        <w:t>financial</w:t>
      </w:r>
      <w:proofErr w:type="spellEnd"/>
      <w:r w:rsidRPr="00214757">
        <w:t xml:space="preserve"> </w:t>
      </w:r>
      <w:proofErr w:type="spellStart"/>
      <w:r w:rsidRPr="00214757">
        <w:t>groups</w:t>
      </w:r>
      <w:proofErr w:type="spellEnd"/>
      <w:r w:rsidRPr="00214757">
        <w:t xml:space="preserve"> </w:t>
      </w:r>
      <w:proofErr w:type="spellStart"/>
      <w:r w:rsidRPr="00214757">
        <w:t>with</w:t>
      </w:r>
      <w:proofErr w:type="spellEnd"/>
      <w:r w:rsidRPr="00214757">
        <w:t xml:space="preserve"> an </w:t>
      </w:r>
      <w:proofErr w:type="spellStart"/>
      <w:r w:rsidRPr="00214757">
        <w:t>asset</w:t>
      </w:r>
      <w:proofErr w:type="spellEnd"/>
      <w:r w:rsidRPr="00214757">
        <w:t xml:space="preserve"> </w:t>
      </w:r>
      <w:proofErr w:type="spellStart"/>
      <w:r w:rsidRPr="00214757">
        <w:t>management</w:t>
      </w:r>
      <w:proofErr w:type="spellEnd"/>
      <w:r w:rsidRPr="00214757">
        <w:t xml:space="preserve"> arm will </w:t>
      </w:r>
      <w:proofErr w:type="spellStart"/>
      <w:r w:rsidRPr="00214757">
        <w:t>exit</w:t>
      </w:r>
      <w:proofErr w:type="spellEnd"/>
      <w:r w:rsidRPr="00214757">
        <w:t xml:space="preserve"> </w:t>
      </w:r>
      <w:proofErr w:type="spellStart"/>
      <w:r w:rsidRPr="00214757">
        <w:t>the</w:t>
      </w:r>
      <w:proofErr w:type="spellEnd"/>
      <w:r w:rsidRPr="00214757">
        <w:t xml:space="preserve"> </w:t>
      </w:r>
      <w:proofErr w:type="spellStart"/>
      <w:r w:rsidRPr="00214757">
        <w:t>depositary</w:t>
      </w:r>
      <w:proofErr w:type="spellEnd"/>
      <w:r w:rsidRPr="00214757">
        <w:t xml:space="preserve"> </w:t>
      </w:r>
      <w:proofErr w:type="spellStart"/>
      <w:r w:rsidRPr="00214757">
        <w:t>sector</w:t>
      </w:r>
      <w:proofErr w:type="spellEnd"/>
      <w:r w:rsidRPr="00214757">
        <w:t xml:space="preserve">. </w:t>
      </w:r>
      <w:proofErr w:type="spellStart"/>
      <w:r w:rsidRPr="00214757">
        <w:t>Depositary</w:t>
      </w:r>
      <w:proofErr w:type="spellEnd"/>
      <w:r w:rsidRPr="00214757">
        <w:t xml:space="preserve"> </w:t>
      </w:r>
      <w:proofErr w:type="spellStart"/>
      <w:r w:rsidRPr="00214757">
        <w:t>service</w:t>
      </w:r>
      <w:proofErr w:type="spellEnd"/>
      <w:r w:rsidRPr="00214757">
        <w:t xml:space="preserve"> </w:t>
      </w:r>
      <w:proofErr w:type="spellStart"/>
      <w:r w:rsidRPr="00214757">
        <w:t>offering</w:t>
      </w:r>
      <w:proofErr w:type="spellEnd"/>
      <w:r w:rsidRPr="00214757">
        <w:t xml:space="preserve"> in </w:t>
      </w:r>
      <w:proofErr w:type="spellStart"/>
      <w:r w:rsidRPr="00214757">
        <w:t>the</w:t>
      </w:r>
      <w:proofErr w:type="spellEnd"/>
      <w:r w:rsidRPr="00214757">
        <w:t xml:space="preserve"> UE will </w:t>
      </w:r>
      <w:proofErr w:type="spellStart"/>
      <w:r w:rsidRPr="00214757">
        <w:t>therefore</w:t>
      </w:r>
      <w:proofErr w:type="spellEnd"/>
      <w:r w:rsidRPr="00214757">
        <w:t xml:space="preserve"> </w:t>
      </w:r>
      <w:proofErr w:type="spellStart"/>
      <w:r w:rsidRPr="00214757">
        <w:t>be</w:t>
      </w:r>
      <w:proofErr w:type="spellEnd"/>
      <w:r w:rsidRPr="00214757">
        <w:t xml:space="preserve"> </w:t>
      </w:r>
      <w:proofErr w:type="spellStart"/>
      <w:r w:rsidRPr="00214757">
        <w:t>reduced</w:t>
      </w:r>
      <w:proofErr w:type="spellEnd"/>
      <w:r w:rsidRPr="00214757">
        <w:t xml:space="preserve">, </w:t>
      </w:r>
      <w:proofErr w:type="spellStart"/>
      <w:r w:rsidRPr="00214757">
        <w:t>be</w:t>
      </w:r>
      <w:proofErr w:type="spellEnd"/>
      <w:r w:rsidRPr="00214757">
        <w:t xml:space="preserve"> limited </w:t>
      </w:r>
      <w:proofErr w:type="spellStart"/>
      <w:r w:rsidRPr="00214757">
        <w:t>to</w:t>
      </w:r>
      <w:proofErr w:type="spellEnd"/>
      <w:r w:rsidRPr="00214757">
        <w:t xml:space="preserve"> </w:t>
      </w:r>
      <w:proofErr w:type="spellStart"/>
      <w:r w:rsidRPr="00214757">
        <w:t>fewer</w:t>
      </w:r>
      <w:proofErr w:type="spellEnd"/>
      <w:r w:rsidRPr="00214757">
        <w:t xml:space="preserve"> </w:t>
      </w:r>
      <w:proofErr w:type="spellStart"/>
      <w:r w:rsidRPr="00214757">
        <w:t>players</w:t>
      </w:r>
      <w:proofErr w:type="spellEnd"/>
      <w:r w:rsidRPr="00214757">
        <w:t xml:space="preserve">, </w:t>
      </w:r>
      <w:proofErr w:type="spellStart"/>
      <w:r w:rsidRPr="00214757">
        <w:t>and</w:t>
      </w:r>
      <w:proofErr w:type="spellEnd"/>
      <w:r w:rsidRPr="00214757">
        <w:t xml:space="preserve"> </w:t>
      </w:r>
      <w:proofErr w:type="spellStart"/>
      <w:r w:rsidRPr="00214757">
        <w:t>is</w:t>
      </w:r>
      <w:proofErr w:type="spellEnd"/>
      <w:r w:rsidRPr="00214757">
        <w:t xml:space="preserve"> </w:t>
      </w:r>
      <w:proofErr w:type="spellStart"/>
      <w:r w:rsidRPr="00214757">
        <w:t>likely</w:t>
      </w:r>
      <w:proofErr w:type="spellEnd"/>
      <w:r w:rsidRPr="00214757">
        <w:t xml:space="preserve"> </w:t>
      </w:r>
      <w:proofErr w:type="spellStart"/>
      <w:r w:rsidRPr="00214757">
        <w:t>to</w:t>
      </w:r>
      <w:proofErr w:type="spellEnd"/>
      <w:r w:rsidRPr="00214757">
        <w:t xml:space="preserve"> </w:t>
      </w:r>
      <w:proofErr w:type="spellStart"/>
      <w:r w:rsidRPr="00214757">
        <w:t>be</w:t>
      </w:r>
      <w:proofErr w:type="spellEnd"/>
      <w:r w:rsidRPr="00214757">
        <w:t xml:space="preserve"> </w:t>
      </w:r>
      <w:proofErr w:type="spellStart"/>
      <w:r w:rsidRPr="00214757">
        <w:t>offered</w:t>
      </w:r>
      <w:proofErr w:type="spellEnd"/>
      <w:r w:rsidRPr="00214757">
        <w:t xml:space="preserve"> </w:t>
      </w:r>
      <w:proofErr w:type="spellStart"/>
      <w:r w:rsidRPr="00214757">
        <w:t>by</w:t>
      </w:r>
      <w:proofErr w:type="spellEnd"/>
      <w:r w:rsidRPr="00214757">
        <w:t xml:space="preserve"> </w:t>
      </w:r>
      <w:proofErr w:type="spellStart"/>
      <w:r w:rsidRPr="00214757">
        <w:t>banks</w:t>
      </w:r>
      <w:proofErr w:type="spellEnd"/>
      <w:r w:rsidRPr="00214757">
        <w:t xml:space="preserve"> </w:t>
      </w:r>
      <w:proofErr w:type="spellStart"/>
      <w:r w:rsidRPr="00214757">
        <w:t>somewhat</w:t>
      </w:r>
      <w:proofErr w:type="spellEnd"/>
      <w:r w:rsidRPr="00214757">
        <w:t xml:space="preserve"> </w:t>
      </w:r>
      <w:proofErr w:type="spellStart"/>
      <w:r w:rsidRPr="00214757">
        <w:t>away</w:t>
      </w:r>
      <w:proofErr w:type="spellEnd"/>
      <w:r w:rsidRPr="00214757">
        <w:t xml:space="preserve"> </w:t>
      </w:r>
      <w:proofErr w:type="spellStart"/>
      <w:r w:rsidRPr="00214757">
        <w:t>from</w:t>
      </w:r>
      <w:proofErr w:type="spellEnd"/>
      <w:r w:rsidRPr="00214757">
        <w:t xml:space="preserve"> </w:t>
      </w:r>
      <w:proofErr w:type="spellStart"/>
      <w:r w:rsidRPr="00214757">
        <w:t>the</w:t>
      </w:r>
      <w:proofErr w:type="spellEnd"/>
      <w:r w:rsidRPr="00214757">
        <w:t xml:space="preserve"> </w:t>
      </w:r>
      <w:proofErr w:type="spellStart"/>
      <w:r w:rsidRPr="00214757">
        <w:t>asset</w:t>
      </w:r>
      <w:proofErr w:type="spellEnd"/>
      <w:r w:rsidRPr="00214757">
        <w:t xml:space="preserve"> </w:t>
      </w:r>
      <w:proofErr w:type="spellStart"/>
      <w:r w:rsidRPr="00214757">
        <w:t>industry</w:t>
      </w:r>
      <w:proofErr w:type="spellEnd"/>
      <w:r w:rsidRPr="00214757">
        <w:t xml:space="preserve"> </w:t>
      </w:r>
      <w:proofErr w:type="spellStart"/>
      <w:r w:rsidRPr="00214757">
        <w:t>constraints</w:t>
      </w:r>
      <w:proofErr w:type="spellEnd"/>
      <w:r w:rsidRPr="00214757">
        <w:t>.</w:t>
      </w:r>
    </w:p>
    <w:p w:rsidR="00A1002E" w:rsidRPr="00214757" w:rsidRDefault="00A1002E" w:rsidP="00A1002E"/>
    <w:p w:rsidR="00A1002E" w:rsidRPr="00214757" w:rsidRDefault="00A1002E" w:rsidP="00A1002E">
      <w:r w:rsidRPr="00214757">
        <w:t xml:space="preserve">Option 1 </w:t>
      </w:r>
      <w:proofErr w:type="spellStart"/>
      <w:r w:rsidRPr="00214757">
        <w:t>would</w:t>
      </w:r>
      <w:proofErr w:type="spellEnd"/>
      <w:r w:rsidRPr="00214757">
        <w:t xml:space="preserve"> </w:t>
      </w:r>
      <w:proofErr w:type="spellStart"/>
      <w:r w:rsidRPr="00214757">
        <w:t>entail</w:t>
      </w:r>
      <w:proofErr w:type="spellEnd"/>
      <w:r w:rsidRPr="00214757">
        <w:t xml:space="preserve"> </w:t>
      </w:r>
      <w:proofErr w:type="spellStart"/>
      <w:r w:rsidRPr="00214757">
        <w:t>huge</w:t>
      </w:r>
      <w:proofErr w:type="spellEnd"/>
      <w:r w:rsidRPr="00214757">
        <w:t xml:space="preserve"> </w:t>
      </w:r>
      <w:proofErr w:type="spellStart"/>
      <w:r w:rsidRPr="00214757">
        <w:t>costs</w:t>
      </w:r>
      <w:proofErr w:type="spellEnd"/>
      <w:r w:rsidRPr="00214757">
        <w:t xml:space="preserve"> </w:t>
      </w:r>
      <w:proofErr w:type="spellStart"/>
      <w:r w:rsidRPr="00214757">
        <w:t>and</w:t>
      </w:r>
      <w:proofErr w:type="spellEnd"/>
      <w:r w:rsidRPr="00214757">
        <w:t xml:space="preserve"> a </w:t>
      </w:r>
      <w:proofErr w:type="spellStart"/>
      <w:r w:rsidRPr="00214757">
        <w:t>complete</w:t>
      </w:r>
      <w:proofErr w:type="spellEnd"/>
      <w:r w:rsidRPr="00214757">
        <w:t xml:space="preserve"> </w:t>
      </w:r>
      <w:proofErr w:type="spellStart"/>
      <w:r w:rsidRPr="00214757">
        <w:t>transformation</w:t>
      </w:r>
      <w:proofErr w:type="spellEnd"/>
      <w:r w:rsidRPr="00214757">
        <w:t xml:space="preserve"> </w:t>
      </w:r>
      <w:proofErr w:type="spellStart"/>
      <w:r w:rsidRPr="00214757">
        <w:t>of</w:t>
      </w:r>
      <w:proofErr w:type="spellEnd"/>
      <w:r w:rsidRPr="00214757">
        <w:t xml:space="preserve"> </w:t>
      </w:r>
      <w:proofErr w:type="spellStart"/>
      <w:r w:rsidRPr="00214757">
        <w:t>the</w:t>
      </w:r>
      <w:proofErr w:type="spellEnd"/>
      <w:r w:rsidRPr="00214757">
        <w:t xml:space="preserve"> </w:t>
      </w:r>
      <w:proofErr w:type="spellStart"/>
      <w:r w:rsidRPr="00214757">
        <w:t>existing</w:t>
      </w:r>
      <w:proofErr w:type="spellEnd"/>
      <w:r w:rsidRPr="00214757">
        <w:t xml:space="preserve"> </w:t>
      </w:r>
      <w:proofErr w:type="spellStart"/>
      <w:r w:rsidRPr="00214757">
        <w:t>models</w:t>
      </w:r>
      <w:proofErr w:type="spellEnd"/>
      <w:r w:rsidRPr="00214757">
        <w:t xml:space="preserve"> </w:t>
      </w:r>
      <w:proofErr w:type="spellStart"/>
      <w:r w:rsidRPr="00214757">
        <w:t>with</w:t>
      </w:r>
      <w:proofErr w:type="spellEnd"/>
      <w:r w:rsidRPr="00214757">
        <w:t xml:space="preserve"> a </w:t>
      </w:r>
      <w:proofErr w:type="spellStart"/>
      <w:r w:rsidRPr="00214757">
        <w:t>chance</w:t>
      </w:r>
      <w:proofErr w:type="spellEnd"/>
      <w:r w:rsidRPr="00214757">
        <w:t xml:space="preserve"> </w:t>
      </w:r>
      <w:proofErr w:type="spellStart"/>
      <w:r w:rsidRPr="00214757">
        <w:t>to</w:t>
      </w:r>
      <w:proofErr w:type="spellEnd"/>
      <w:r w:rsidRPr="00214757">
        <w:t xml:space="preserve"> </w:t>
      </w:r>
      <w:proofErr w:type="spellStart"/>
      <w:r w:rsidRPr="00214757">
        <w:t>put</w:t>
      </w:r>
      <w:proofErr w:type="spellEnd"/>
      <w:r w:rsidRPr="00214757">
        <w:t xml:space="preserve"> at </w:t>
      </w:r>
      <w:proofErr w:type="spellStart"/>
      <w:r w:rsidRPr="00214757">
        <w:t>risk</w:t>
      </w:r>
      <w:proofErr w:type="spellEnd"/>
      <w:r w:rsidRPr="00214757">
        <w:t xml:space="preserve"> </w:t>
      </w:r>
      <w:proofErr w:type="spellStart"/>
      <w:r w:rsidRPr="00214757">
        <w:t>and</w:t>
      </w:r>
      <w:proofErr w:type="spellEnd"/>
      <w:r w:rsidRPr="00214757">
        <w:t xml:space="preserve"> </w:t>
      </w:r>
      <w:proofErr w:type="spellStart"/>
      <w:r w:rsidRPr="00214757">
        <w:t>to</w:t>
      </w:r>
      <w:proofErr w:type="spellEnd"/>
      <w:r w:rsidRPr="00214757">
        <w:t xml:space="preserve"> </w:t>
      </w:r>
      <w:proofErr w:type="spellStart"/>
      <w:r w:rsidRPr="00214757">
        <w:t>weaken</w:t>
      </w:r>
      <w:proofErr w:type="spellEnd"/>
      <w:r w:rsidRPr="00214757">
        <w:t xml:space="preserve">  </w:t>
      </w:r>
      <w:proofErr w:type="spellStart"/>
      <w:r w:rsidRPr="00214757">
        <w:t>the</w:t>
      </w:r>
      <w:proofErr w:type="spellEnd"/>
      <w:r w:rsidRPr="00214757">
        <w:t xml:space="preserve"> </w:t>
      </w:r>
      <w:proofErr w:type="spellStart"/>
      <w:r w:rsidRPr="00214757">
        <w:t>overall</w:t>
      </w:r>
      <w:proofErr w:type="spellEnd"/>
      <w:r w:rsidRPr="00214757">
        <w:t xml:space="preserve"> </w:t>
      </w:r>
      <w:proofErr w:type="spellStart"/>
      <w:r w:rsidRPr="00214757">
        <w:t>sector</w:t>
      </w:r>
      <w:proofErr w:type="spellEnd"/>
      <w:r w:rsidRPr="00214757">
        <w:t xml:space="preserve">. These </w:t>
      </w:r>
      <w:proofErr w:type="spellStart"/>
      <w:r w:rsidRPr="00214757">
        <w:t>costs</w:t>
      </w:r>
      <w:proofErr w:type="spellEnd"/>
      <w:r w:rsidRPr="00214757">
        <w:t xml:space="preserve"> </w:t>
      </w:r>
      <w:proofErr w:type="spellStart"/>
      <w:r w:rsidRPr="00214757">
        <w:t>would</w:t>
      </w:r>
      <w:proofErr w:type="spellEnd"/>
      <w:r w:rsidRPr="00214757">
        <w:t xml:space="preserve"> </w:t>
      </w:r>
      <w:proofErr w:type="spellStart"/>
      <w:r w:rsidRPr="00214757">
        <w:t>ultimately</w:t>
      </w:r>
      <w:proofErr w:type="spellEnd"/>
      <w:r w:rsidRPr="00214757">
        <w:t xml:space="preserve"> </w:t>
      </w:r>
      <w:proofErr w:type="spellStart"/>
      <w:r w:rsidRPr="00214757">
        <w:t>be</w:t>
      </w:r>
      <w:proofErr w:type="spellEnd"/>
      <w:r w:rsidRPr="00214757">
        <w:t xml:space="preserve"> </w:t>
      </w:r>
      <w:proofErr w:type="spellStart"/>
      <w:r w:rsidRPr="00214757">
        <w:t>borne</w:t>
      </w:r>
      <w:proofErr w:type="spellEnd"/>
      <w:r w:rsidRPr="00214757">
        <w:t xml:space="preserve"> </w:t>
      </w:r>
      <w:proofErr w:type="spellStart"/>
      <w:r w:rsidRPr="00214757">
        <w:t>by</w:t>
      </w:r>
      <w:proofErr w:type="spellEnd"/>
      <w:r w:rsidRPr="00214757">
        <w:t xml:space="preserve"> UCITS </w:t>
      </w:r>
      <w:proofErr w:type="spellStart"/>
      <w:r w:rsidRPr="00214757">
        <w:t>investors</w:t>
      </w:r>
      <w:proofErr w:type="spellEnd"/>
      <w:r w:rsidRPr="00214757">
        <w:t xml:space="preserve"> </w:t>
      </w:r>
      <w:proofErr w:type="spellStart"/>
      <w:r w:rsidRPr="00214757">
        <w:t>with</w:t>
      </w:r>
      <w:proofErr w:type="spellEnd"/>
      <w:r w:rsidRPr="00214757">
        <w:t xml:space="preserve"> </w:t>
      </w:r>
      <w:proofErr w:type="spellStart"/>
      <w:r w:rsidRPr="00214757">
        <w:t>no</w:t>
      </w:r>
      <w:proofErr w:type="spellEnd"/>
      <w:r w:rsidRPr="00214757">
        <w:t xml:space="preserve"> </w:t>
      </w:r>
      <w:proofErr w:type="spellStart"/>
      <w:r w:rsidRPr="00214757">
        <w:t>added</w:t>
      </w:r>
      <w:proofErr w:type="spellEnd"/>
      <w:r w:rsidRPr="00214757">
        <w:t xml:space="preserve"> </w:t>
      </w:r>
      <w:proofErr w:type="spellStart"/>
      <w:r w:rsidRPr="00214757">
        <w:t>benefits</w:t>
      </w:r>
      <w:proofErr w:type="spellEnd"/>
      <w:r w:rsidRPr="00214757">
        <w:t xml:space="preserve"> in </w:t>
      </w:r>
      <w:proofErr w:type="spellStart"/>
      <w:r w:rsidRPr="00214757">
        <w:t>terms</w:t>
      </w:r>
      <w:proofErr w:type="spellEnd"/>
      <w:r w:rsidRPr="00214757">
        <w:t xml:space="preserve"> </w:t>
      </w:r>
      <w:proofErr w:type="spellStart"/>
      <w:r w:rsidRPr="00214757">
        <w:t>of</w:t>
      </w:r>
      <w:proofErr w:type="spellEnd"/>
      <w:r w:rsidRPr="00214757">
        <w:t xml:space="preserve"> </w:t>
      </w:r>
      <w:proofErr w:type="spellStart"/>
      <w:r w:rsidRPr="00214757">
        <w:t>protection</w:t>
      </w:r>
      <w:proofErr w:type="spellEnd"/>
      <w:r w:rsidRPr="00214757">
        <w:t xml:space="preserve"> </w:t>
      </w:r>
      <w:proofErr w:type="spellStart"/>
      <w:r w:rsidRPr="00214757">
        <w:t>given</w:t>
      </w:r>
      <w:proofErr w:type="spellEnd"/>
      <w:r w:rsidRPr="00214757">
        <w:t xml:space="preserve"> </w:t>
      </w:r>
      <w:proofErr w:type="spellStart"/>
      <w:r w:rsidRPr="00214757">
        <w:t>the</w:t>
      </w:r>
      <w:proofErr w:type="spellEnd"/>
      <w:r w:rsidRPr="00214757">
        <w:t xml:space="preserve"> </w:t>
      </w:r>
      <w:proofErr w:type="spellStart"/>
      <w:r w:rsidRPr="00214757">
        <w:t>absence</w:t>
      </w:r>
      <w:proofErr w:type="spellEnd"/>
      <w:r w:rsidRPr="00214757">
        <w:t xml:space="preserve"> </w:t>
      </w:r>
      <w:proofErr w:type="spellStart"/>
      <w:r w:rsidRPr="00214757">
        <w:t>of</w:t>
      </w:r>
      <w:proofErr w:type="spellEnd"/>
      <w:r w:rsidRPr="00214757">
        <w:t xml:space="preserve"> </w:t>
      </w:r>
      <w:proofErr w:type="spellStart"/>
      <w:r w:rsidRPr="00214757">
        <w:t>evidenced</w:t>
      </w:r>
      <w:proofErr w:type="spellEnd"/>
      <w:r w:rsidRPr="00214757">
        <w:t xml:space="preserve"> </w:t>
      </w:r>
      <w:proofErr w:type="spellStart"/>
      <w:r w:rsidRPr="00214757">
        <w:t>market</w:t>
      </w:r>
      <w:proofErr w:type="spellEnd"/>
      <w:r w:rsidRPr="00214757">
        <w:t xml:space="preserve"> </w:t>
      </w:r>
      <w:proofErr w:type="spellStart"/>
      <w:r w:rsidRPr="00214757">
        <w:t>failure</w:t>
      </w:r>
      <w:proofErr w:type="spellEnd"/>
      <w:r w:rsidRPr="00214757">
        <w:t>.</w:t>
      </w:r>
    </w:p>
    <w:p w:rsidR="00A1002E" w:rsidRDefault="00A1002E" w:rsidP="00A1002E"/>
    <w:p w:rsidR="00A1002E" w:rsidRPr="00A76F6B" w:rsidRDefault="00A1002E" w:rsidP="00A1002E">
      <w:pPr>
        <w:autoSpaceDE w:val="0"/>
        <w:autoSpaceDN w:val="0"/>
        <w:jc w:val="both"/>
        <w:rPr>
          <w:rFonts w:cs="Arial"/>
          <w:color w:val="000000"/>
          <w:lang w:val="en-US" w:eastAsia="fr-FR"/>
        </w:rPr>
      </w:pPr>
      <w:r w:rsidRPr="00A76F6B">
        <w:rPr>
          <w:rFonts w:cs="Arial"/>
          <w:color w:val="000000"/>
          <w:lang w:val="en-US" w:eastAsia="fr-FR"/>
        </w:rPr>
        <w:t>But these costs would go far beyond the costs of transfer since option 1 would, in our view contradict, without any compelling grounds, the freedom of enterprise in the European financial and lead to a far reaching market restructuration detrimental to:</w:t>
      </w:r>
    </w:p>
    <w:p w:rsidR="00A1002E" w:rsidRPr="00A76F6B" w:rsidRDefault="00A1002E" w:rsidP="00A1002E">
      <w:pPr>
        <w:rPr>
          <w:rFonts w:cs="Arial"/>
          <w:color w:val="000000"/>
          <w:lang w:val="en-US" w:eastAsia="fr-FR"/>
        </w:rPr>
      </w:pPr>
      <w:r w:rsidRPr="00A76F6B">
        <w:rPr>
          <w:rFonts w:cs="Arial"/>
          <w:color w:val="000000"/>
          <w:lang w:val="en-US" w:eastAsia="fr-FR"/>
        </w:rPr>
        <w:t xml:space="preserve">1) The employment in the </w:t>
      </w:r>
      <w:proofErr w:type="spellStart"/>
      <w:r w:rsidRPr="00214757">
        <w:t>financing</w:t>
      </w:r>
      <w:proofErr w:type="spellEnd"/>
      <w:r w:rsidRPr="00A76F6B">
        <w:rPr>
          <w:rFonts w:cs="Arial"/>
          <w:color w:val="000000"/>
          <w:lang w:val="en-US" w:eastAsia="fr-FR"/>
        </w:rPr>
        <w:t xml:space="preserve"> sector</w:t>
      </w:r>
    </w:p>
    <w:p w:rsidR="00A1002E" w:rsidRPr="00A76F6B" w:rsidRDefault="00A1002E" w:rsidP="00A1002E">
      <w:pPr>
        <w:autoSpaceDE w:val="0"/>
        <w:autoSpaceDN w:val="0"/>
        <w:jc w:val="both"/>
        <w:rPr>
          <w:rFonts w:cs="Arial"/>
          <w:color w:val="000000"/>
          <w:lang w:val="en-US" w:eastAsia="fr-FR"/>
        </w:rPr>
      </w:pPr>
      <w:r w:rsidRPr="00A76F6B">
        <w:rPr>
          <w:rFonts w:cs="Arial"/>
          <w:color w:val="000000"/>
          <w:lang w:val="en-US" w:eastAsia="fr-FR"/>
        </w:rPr>
        <w:t xml:space="preserve">2) The financing of the economy </w:t>
      </w:r>
    </w:p>
    <w:p w:rsidR="00A1002E" w:rsidRPr="00A76F6B" w:rsidRDefault="00A1002E" w:rsidP="00A1002E">
      <w:pPr>
        <w:autoSpaceDE w:val="0"/>
        <w:autoSpaceDN w:val="0"/>
        <w:jc w:val="both"/>
        <w:rPr>
          <w:rFonts w:cs="Arial"/>
          <w:color w:val="000000"/>
          <w:lang w:val="en-US" w:eastAsia="fr-FR"/>
        </w:rPr>
      </w:pPr>
      <w:r w:rsidRPr="00A76F6B">
        <w:rPr>
          <w:rFonts w:cs="Arial"/>
          <w:color w:val="000000"/>
          <w:lang w:val="en-US" w:eastAsia="fr-FR"/>
        </w:rPr>
        <w:t>3) The stability and safety of the whole UCITS model</w:t>
      </w:r>
    </w:p>
    <w:p w:rsidR="00A1002E" w:rsidRDefault="00A1002E" w:rsidP="00A1002E">
      <w:pPr>
        <w:rPr>
          <w:rFonts w:cs="Arial"/>
          <w:color w:val="000000"/>
          <w:lang w:val="en-US" w:eastAsia="fr-FR"/>
        </w:rPr>
      </w:pPr>
      <w:r w:rsidRPr="00A76F6B">
        <w:rPr>
          <w:rFonts w:cs="Arial"/>
          <w:color w:val="000000"/>
          <w:lang w:val="en-US" w:eastAsia="fr-FR"/>
        </w:rPr>
        <w:t xml:space="preserve">4) The stability of the banking sector. </w:t>
      </w:r>
    </w:p>
    <w:p w:rsidR="00A1002E" w:rsidRDefault="00A1002E" w:rsidP="00A1002E">
      <w:pPr>
        <w:rPr>
          <w:rFonts w:cs="Arial"/>
          <w:color w:val="000000"/>
          <w:lang w:val="en-US" w:eastAsia="fr-FR"/>
        </w:rPr>
      </w:pPr>
    </w:p>
    <w:p w:rsidR="00A1002E" w:rsidRDefault="00A1002E" w:rsidP="00A1002E">
      <w:pPr>
        <w:rPr>
          <w:rFonts w:cs="Arial"/>
          <w:color w:val="000000"/>
          <w:lang w:val="en-US" w:eastAsia="fr-FR"/>
        </w:rPr>
      </w:pPr>
      <w:r>
        <w:rPr>
          <w:rFonts w:cs="Arial"/>
          <w:color w:val="000000"/>
          <w:lang w:val="en-US" w:eastAsia="fr-FR"/>
        </w:rPr>
        <w:t>Option 1 would provide undue advantage to a low number of market participants who exercise depositary business on the basis of a single business concept and thereby would lead to a market concentration.</w:t>
      </w:r>
    </w:p>
    <w:p w:rsidR="00A1002E" w:rsidRDefault="00A1002E" w:rsidP="00A1002E"/>
    <w:p w:rsidR="00A1002E" w:rsidRDefault="00A1002E" w:rsidP="00A1002E">
      <w:pPr>
        <w:rPr>
          <w:b/>
        </w:rPr>
      </w:pPr>
      <w:r>
        <w:rPr>
          <w:b/>
        </w:rPr>
        <w:t>Annex III</w:t>
      </w:r>
    </w:p>
    <w:p w:rsidR="00A1002E" w:rsidRDefault="00A1002E" w:rsidP="00A1002E">
      <w:pPr>
        <w:rPr>
          <w:b/>
        </w:rPr>
      </w:pPr>
    </w:p>
    <w:p w:rsidR="00A1002E" w:rsidRPr="00037818" w:rsidRDefault="00A1002E" w:rsidP="00A1002E">
      <w:pPr>
        <w:rPr>
          <w:b/>
        </w:rPr>
      </w:pPr>
      <w:proofErr w:type="spellStart"/>
      <w:r w:rsidRPr="00037818">
        <w:rPr>
          <w:b/>
        </w:rPr>
        <w:t>Cost-benefit</w:t>
      </w:r>
      <w:proofErr w:type="spellEnd"/>
      <w:r w:rsidRPr="00037818">
        <w:rPr>
          <w:b/>
        </w:rPr>
        <w:t xml:space="preserve"> </w:t>
      </w:r>
      <w:proofErr w:type="spellStart"/>
      <w:r w:rsidRPr="00037818">
        <w:rPr>
          <w:b/>
        </w:rPr>
        <w:t>analysis</w:t>
      </w:r>
      <w:proofErr w:type="spellEnd"/>
    </w:p>
    <w:p w:rsidR="00A1002E" w:rsidRDefault="00A1002E" w:rsidP="00A1002E"/>
    <w:p w:rsidR="00A1002E" w:rsidRDefault="00A1002E" w:rsidP="00A1002E">
      <w:pPr>
        <w:pStyle w:val="berschrift5"/>
        <w:keepNext w:val="0"/>
        <w:keepLines w:val="0"/>
        <w:numPr>
          <w:ilvl w:val="0"/>
          <w:numId w:val="2"/>
        </w:numPr>
        <w:spacing w:after="250" w:line="276" w:lineRule="auto"/>
        <w:ind w:left="0" w:firstLine="0"/>
      </w:pPr>
      <w:r>
        <w:t>Do you agree with ESMA’s approach to discard the second and third options described above?</w:t>
      </w:r>
    </w:p>
    <w:p w:rsidR="00E245DF" w:rsidRDefault="00D04EBB">
      <w:pPr>
        <w:rPr>
          <w:lang w:val="en-GB"/>
        </w:rPr>
      </w:pPr>
      <w:r w:rsidRPr="00C46B38">
        <w:rPr>
          <w:lang w:val="en-GB"/>
        </w:rPr>
        <w:t>We could not disagree more with ESMA’s approach to discard the second option. For the reasons given, we see option 1 as a grave mistake and believe that option 2 could be an acceptable option however still would need extensive revision.</w:t>
      </w:r>
    </w:p>
    <w:p w:rsidR="00076293" w:rsidRDefault="00076293">
      <w:pPr>
        <w:rPr>
          <w:lang w:val="en-GB"/>
        </w:rPr>
      </w:pPr>
    </w:p>
    <w:p w:rsidR="00076293" w:rsidRDefault="00076293">
      <w:proofErr w:type="spellStart"/>
      <w:r>
        <w:t>Yours</w:t>
      </w:r>
      <w:proofErr w:type="spellEnd"/>
      <w:r>
        <w:t xml:space="preserve"> </w:t>
      </w:r>
      <w:proofErr w:type="spellStart"/>
      <w:r>
        <w:t>sincerely</w:t>
      </w:r>
      <w:proofErr w:type="spellEnd"/>
      <w:r>
        <w:t>,</w:t>
      </w:r>
    </w:p>
    <w:p w:rsidR="00076293" w:rsidRDefault="00076293"/>
    <w:p w:rsidR="00076293" w:rsidRDefault="00076293"/>
    <w:p w:rsidR="00076293" w:rsidRDefault="00076293">
      <w:r>
        <w:t>Dr. Franz Rudorfer</w:t>
      </w:r>
    </w:p>
    <w:p w:rsidR="00076293" w:rsidRDefault="00076293">
      <w:r>
        <w:t xml:space="preserve">Managing </w:t>
      </w:r>
      <w:proofErr w:type="spellStart"/>
      <w:r>
        <w:t>Director</w:t>
      </w:r>
      <w:proofErr w:type="spellEnd"/>
    </w:p>
    <w:p w:rsidR="00076293" w:rsidRDefault="00076293">
      <w:r>
        <w:t xml:space="preserve">Division Bank </w:t>
      </w:r>
      <w:proofErr w:type="spellStart"/>
      <w:r>
        <w:t>and</w:t>
      </w:r>
      <w:proofErr w:type="spellEnd"/>
      <w:r>
        <w:t xml:space="preserve"> Insurance</w:t>
      </w:r>
    </w:p>
    <w:sectPr w:rsidR="00076293" w:rsidSect="00E736C4">
      <w:head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45DF" w:rsidRDefault="00E245DF" w:rsidP="00E245DF">
      <w:pPr>
        <w:spacing w:line="240" w:lineRule="auto"/>
      </w:pPr>
      <w:r>
        <w:separator/>
      </w:r>
    </w:p>
  </w:endnote>
  <w:endnote w:type="continuationSeparator" w:id="0">
    <w:p w:rsidR="00E245DF" w:rsidRDefault="00E245DF" w:rsidP="00E245D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0" w:usb2="00000000" w:usb3="00000000" w:csb0="0000009F" w:csb1="00000000"/>
  </w:font>
  <w:font w:name="Optima">
    <w:altName w:val="Courier New"/>
    <w:charset w:val="00"/>
    <w:family w:val="auto"/>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45DF" w:rsidRDefault="00E245DF" w:rsidP="00E245DF">
      <w:pPr>
        <w:spacing w:line="240" w:lineRule="auto"/>
      </w:pPr>
      <w:r>
        <w:separator/>
      </w:r>
    </w:p>
  </w:footnote>
  <w:footnote w:type="continuationSeparator" w:id="0">
    <w:p w:rsidR="00E245DF" w:rsidRDefault="00E245DF" w:rsidP="00E245DF">
      <w:pPr>
        <w:spacing w:line="240" w:lineRule="auto"/>
      </w:pPr>
      <w:r>
        <w:continuationSeparator/>
      </w:r>
    </w:p>
  </w:footnote>
  <w:footnote w:id="1">
    <w:p w:rsidR="00A1002E" w:rsidRDefault="00A1002E" w:rsidP="00A1002E">
      <w:pPr>
        <w:pStyle w:val="Funotentext"/>
      </w:pPr>
      <w:r>
        <w:rPr>
          <w:rStyle w:val="Funotenzeichen"/>
        </w:rPr>
        <w:footnoteRef/>
      </w:r>
      <w:r>
        <w:t xml:space="preserve"> </w:t>
      </w:r>
      <w:proofErr w:type="spellStart"/>
      <w:r w:rsidRPr="00395D33">
        <w:t>Article</w:t>
      </w:r>
      <w:proofErr w:type="spellEnd"/>
      <w:r w:rsidRPr="00395D33">
        <w:t xml:space="preserve"> 22a(3)(d) in </w:t>
      </w:r>
      <w:proofErr w:type="spellStart"/>
      <w:r w:rsidRPr="00395D33">
        <w:t>the</w:t>
      </w:r>
      <w:proofErr w:type="spellEnd"/>
      <w:r w:rsidRPr="00395D33">
        <w:t xml:space="preserve"> </w:t>
      </w:r>
      <w:proofErr w:type="spellStart"/>
      <w:r w:rsidRPr="00395D33">
        <w:t>text</w:t>
      </w:r>
      <w:proofErr w:type="spellEnd"/>
      <w:r w:rsidRPr="00395D33">
        <w:t xml:space="preserve"> </w:t>
      </w:r>
      <w:proofErr w:type="spellStart"/>
      <w:r w:rsidRPr="00395D33">
        <w:t>of</w:t>
      </w:r>
      <w:proofErr w:type="spellEnd"/>
      <w:r w:rsidRPr="00395D33">
        <w:t xml:space="preserve"> UCITS V </w:t>
      </w:r>
      <w:proofErr w:type="spellStart"/>
      <w:r w:rsidRPr="00395D33">
        <w:t>published</w:t>
      </w:r>
      <w:proofErr w:type="spellEnd"/>
      <w:r w:rsidRPr="00395D33">
        <w:t xml:space="preserve"> in </w:t>
      </w:r>
      <w:proofErr w:type="spellStart"/>
      <w:r w:rsidRPr="00395D33">
        <w:t>the</w:t>
      </w:r>
      <w:proofErr w:type="spellEnd"/>
      <w:r w:rsidRPr="00395D33">
        <w:t xml:space="preserve"> Official Journal.</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45DF" w:rsidRDefault="00E245DF">
    <w:pPr>
      <w:pStyle w:val="Kopfzeile"/>
    </w:pPr>
    <w:r>
      <w:rPr>
        <w:noProof/>
        <w:lang w:val="de-AT" w:eastAsia="de-AT"/>
      </w:rPr>
      <w:drawing>
        <wp:anchor distT="0" distB="0" distL="114300" distR="114300" simplePos="0" relativeHeight="251659264" behindDoc="0" locked="1" layoutInCell="1" allowOverlap="1" wp14:anchorId="12A23616" wp14:editId="7401B538">
          <wp:simplePos x="0" y="0"/>
          <wp:positionH relativeFrom="page">
            <wp:posOffset>5012055</wp:posOffset>
          </wp:positionH>
          <wp:positionV relativeFrom="page">
            <wp:posOffset>349885</wp:posOffset>
          </wp:positionV>
          <wp:extent cx="2210435" cy="861695"/>
          <wp:effectExtent l="0" t="0" r="0" b="0"/>
          <wp:wrapTopAndBottom/>
          <wp:docPr id="1" name="Bild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10435" cy="86169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1653D6"/>
    <w:multiLevelType w:val="hybridMultilevel"/>
    <w:tmpl w:val="26F60562"/>
    <w:lvl w:ilvl="0" w:tplc="F2486A16">
      <w:start w:val="1"/>
      <w:numFmt w:val="decimal"/>
      <w:lvlText w:val="%1"/>
      <w:lvlJc w:val="left"/>
      <w:pPr>
        <w:ind w:left="0" w:firstLine="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16957DF0"/>
    <w:multiLevelType w:val="hybridMultilevel"/>
    <w:tmpl w:val="10B2DD8A"/>
    <w:lvl w:ilvl="0" w:tplc="18090001">
      <w:start w:val="1"/>
      <w:numFmt w:val="bullet"/>
      <w:lvlText w:val=""/>
      <w:lvlJc w:val="left"/>
      <w:pPr>
        <w:ind w:left="1776" w:hanging="360"/>
      </w:pPr>
      <w:rPr>
        <w:rFonts w:ascii="Symbol" w:hAnsi="Symbol" w:hint="default"/>
      </w:rPr>
    </w:lvl>
    <w:lvl w:ilvl="1" w:tplc="18090003">
      <w:start w:val="1"/>
      <w:numFmt w:val="bullet"/>
      <w:lvlText w:val="o"/>
      <w:lvlJc w:val="left"/>
      <w:pPr>
        <w:ind w:left="2496" w:hanging="360"/>
      </w:pPr>
      <w:rPr>
        <w:rFonts w:ascii="Courier New" w:hAnsi="Courier New" w:cs="Courier New" w:hint="default"/>
      </w:rPr>
    </w:lvl>
    <w:lvl w:ilvl="2" w:tplc="18090005" w:tentative="1">
      <w:start w:val="1"/>
      <w:numFmt w:val="bullet"/>
      <w:lvlText w:val=""/>
      <w:lvlJc w:val="left"/>
      <w:pPr>
        <w:ind w:left="3216" w:hanging="360"/>
      </w:pPr>
      <w:rPr>
        <w:rFonts w:ascii="Wingdings" w:hAnsi="Wingdings" w:hint="default"/>
      </w:rPr>
    </w:lvl>
    <w:lvl w:ilvl="3" w:tplc="18090001" w:tentative="1">
      <w:start w:val="1"/>
      <w:numFmt w:val="bullet"/>
      <w:lvlText w:val=""/>
      <w:lvlJc w:val="left"/>
      <w:pPr>
        <w:ind w:left="3936" w:hanging="360"/>
      </w:pPr>
      <w:rPr>
        <w:rFonts w:ascii="Symbol" w:hAnsi="Symbol" w:hint="default"/>
      </w:rPr>
    </w:lvl>
    <w:lvl w:ilvl="4" w:tplc="18090003" w:tentative="1">
      <w:start w:val="1"/>
      <w:numFmt w:val="bullet"/>
      <w:lvlText w:val="o"/>
      <w:lvlJc w:val="left"/>
      <w:pPr>
        <w:ind w:left="4656" w:hanging="360"/>
      </w:pPr>
      <w:rPr>
        <w:rFonts w:ascii="Courier New" w:hAnsi="Courier New" w:cs="Courier New" w:hint="default"/>
      </w:rPr>
    </w:lvl>
    <w:lvl w:ilvl="5" w:tplc="18090005" w:tentative="1">
      <w:start w:val="1"/>
      <w:numFmt w:val="bullet"/>
      <w:lvlText w:val=""/>
      <w:lvlJc w:val="left"/>
      <w:pPr>
        <w:ind w:left="5376" w:hanging="360"/>
      </w:pPr>
      <w:rPr>
        <w:rFonts w:ascii="Wingdings" w:hAnsi="Wingdings" w:hint="default"/>
      </w:rPr>
    </w:lvl>
    <w:lvl w:ilvl="6" w:tplc="18090001" w:tentative="1">
      <w:start w:val="1"/>
      <w:numFmt w:val="bullet"/>
      <w:lvlText w:val=""/>
      <w:lvlJc w:val="left"/>
      <w:pPr>
        <w:ind w:left="6096" w:hanging="360"/>
      </w:pPr>
      <w:rPr>
        <w:rFonts w:ascii="Symbol" w:hAnsi="Symbol" w:hint="default"/>
      </w:rPr>
    </w:lvl>
    <w:lvl w:ilvl="7" w:tplc="18090003" w:tentative="1">
      <w:start w:val="1"/>
      <w:numFmt w:val="bullet"/>
      <w:lvlText w:val="o"/>
      <w:lvlJc w:val="left"/>
      <w:pPr>
        <w:ind w:left="6816" w:hanging="360"/>
      </w:pPr>
      <w:rPr>
        <w:rFonts w:ascii="Courier New" w:hAnsi="Courier New" w:cs="Courier New" w:hint="default"/>
      </w:rPr>
    </w:lvl>
    <w:lvl w:ilvl="8" w:tplc="18090005" w:tentative="1">
      <w:start w:val="1"/>
      <w:numFmt w:val="bullet"/>
      <w:lvlText w:val=""/>
      <w:lvlJc w:val="left"/>
      <w:pPr>
        <w:ind w:left="7536" w:hanging="360"/>
      </w:pPr>
      <w:rPr>
        <w:rFonts w:ascii="Wingdings" w:hAnsi="Wingdings" w:hint="default"/>
      </w:rPr>
    </w:lvl>
  </w:abstractNum>
  <w:abstractNum w:abstractNumId="2">
    <w:nsid w:val="172F245F"/>
    <w:multiLevelType w:val="hybridMultilevel"/>
    <w:tmpl w:val="00D41A64"/>
    <w:lvl w:ilvl="0" w:tplc="E896658E">
      <w:start w:val="1"/>
      <w:numFmt w:val="decimal"/>
      <w:lvlText w:val="Q%1:"/>
      <w:lvlJc w:val="left"/>
      <w:pPr>
        <w:ind w:left="360" w:hanging="360"/>
      </w:pPr>
      <w:rPr>
        <w:b/>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
    <w:nsid w:val="3E627419"/>
    <w:multiLevelType w:val="hybridMultilevel"/>
    <w:tmpl w:val="7690E62E"/>
    <w:lvl w:ilvl="0" w:tplc="744612AA">
      <w:start w:val="1"/>
      <w:numFmt w:val="bullet"/>
      <w:lvlText w:val=""/>
      <w:lvlJc w:val="left"/>
      <w:pPr>
        <w:ind w:left="357" w:hanging="357"/>
      </w:pPr>
      <w:rPr>
        <w:rFonts w:ascii="Symbol" w:hAnsi="Symbol" w:hint="default"/>
      </w:rPr>
    </w:lvl>
    <w:lvl w:ilvl="1" w:tplc="18090003">
      <w:start w:val="1"/>
      <w:numFmt w:val="bullet"/>
      <w:lvlText w:val="o"/>
      <w:lvlJc w:val="left"/>
      <w:pPr>
        <w:ind w:left="2496" w:hanging="360"/>
      </w:pPr>
      <w:rPr>
        <w:rFonts w:ascii="Courier New" w:hAnsi="Courier New" w:cs="Courier New" w:hint="default"/>
      </w:rPr>
    </w:lvl>
    <w:lvl w:ilvl="2" w:tplc="18090005" w:tentative="1">
      <w:start w:val="1"/>
      <w:numFmt w:val="bullet"/>
      <w:lvlText w:val=""/>
      <w:lvlJc w:val="left"/>
      <w:pPr>
        <w:ind w:left="3216" w:hanging="360"/>
      </w:pPr>
      <w:rPr>
        <w:rFonts w:ascii="Wingdings" w:hAnsi="Wingdings" w:hint="default"/>
      </w:rPr>
    </w:lvl>
    <w:lvl w:ilvl="3" w:tplc="18090001" w:tentative="1">
      <w:start w:val="1"/>
      <w:numFmt w:val="bullet"/>
      <w:lvlText w:val=""/>
      <w:lvlJc w:val="left"/>
      <w:pPr>
        <w:ind w:left="3936" w:hanging="360"/>
      </w:pPr>
      <w:rPr>
        <w:rFonts w:ascii="Symbol" w:hAnsi="Symbol" w:hint="default"/>
      </w:rPr>
    </w:lvl>
    <w:lvl w:ilvl="4" w:tplc="18090003" w:tentative="1">
      <w:start w:val="1"/>
      <w:numFmt w:val="bullet"/>
      <w:lvlText w:val="o"/>
      <w:lvlJc w:val="left"/>
      <w:pPr>
        <w:ind w:left="4656" w:hanging="360"/>
      </w:pPr>
      <w:rPr>
        <w:rFonts w:ascii="Courier New" w:hAnsi="Courier New" w:cs="Courier New" w:hint="default"/>
      </w:rPr>
    </w:lvl>
    <w:lvl w:ilvl="5" w:tplc="18090005" w:tentative="1">
      <w:start w:val="1"/>
      <w:numFmt w:val="bullet"/>
      <w:lvlText w:val=""/>
      <w:lvlJc w:val="left"/>
      <w:pPr>
        <w:ind w:left="5376" w:hanging="360"/>
      </w:pPr>
      <w:rPr>
        <w:rFonts w:ascii="Wingdings" w:hAnsi="Wingdings" w:hint="default"/>
      </w:rPr>
    </w:lvl>
    <w:lvl w:ilvl="6" w:tplc="18090001" w:tentative="1">
      <w:start w:val="1"/>
      <w:numFmt w:val="bullet"/>
      <w:lvlText w:val=""/>
      <w:lvlJc w:val="left"/>
      <w:pPr>
        <w:ind w:left="6096" w:hanging="360"/>
      </w:pPr>
      <w:rPr>
        <w:rFonts w:ascii="Symbol" w:hAnsi="Symbol" w:hint="default"/>
      </w:rPr>
    </w:lvl>
    <w:lvl w:ilvl="7" w:tplc="18090003" w:tentative="1">
      <w:start w:val="1"/>
      <w:numFmt w:val="bullet"/>
      <w:lvlText w:val="o"/>
      <w:lvlJc w:val="left"/>
      <w:pPr>
        <w:ind w:left="6816" w:hanging="360"/>
      </w:pPr>
      <w:rPr>
        <w:rFonts w:ascii="Courier New" w:hAnsi="Courier New" w:cs="Courier New" w:hint="default"/>
      </w:rPr>
    </w:lvl>
    <w:lvl w:ilvl="8" w:tplc="18090005" w:tentative="1">
      <w:start w:val="1"/>
      <w:numFmt w:val="bullet"/>
      <w:lvlText w:val=""/>
      <w:lvlJc w:val="left"/>
      <w:pPr>
        <w:ind w:left="7536" w:hanging="360"/>
      </w:pPr>
      <w:rPr>
        <w:rFonts w:ascii="Wingdings" w:hAnsi="Wingdings" w:hint="default"/>
      </w:rPr>
    </w:lvl>
  </w:abstractNum>
  <w:abstractNum w:abstractNumId="4">
    <w:nsid w:val="605735B9"/>
    <w:multiLevelType w:val="hybridMultilevel"/>
    <w:tmpl w:val="AD1C76E8"/>
    <w:lvl w:ilvl="0" w:tplc="6658B948">
      <w:start w:val="1"/>
      <w:numFmt w:val="decimal"/>
      <w:pStyle w:val="berschrift5"/>
      <w:lvlText w:val="Q%1:"/>
      <w:lvlJc w:val="left"/>
      <w:pPr>
        <w:ind w:left="360" w:hanging="360"/>
      </w:pPr>
      <w:rPr>
        <w:rFonts w:hint="default"/>
        <w:b/>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EE22755"/>
    <w:multiLevelType w:val="hybridMultilevel"/>
    <w:tmpl w:val="63FA0BFE"/>
    <w:lvl w:ilvl="0" w:tplc="B55E7C30">
      <w:start w:val="1"/>
      <w:numFmt w:val="bullet"/>
      <w:lvlText w:val=""/>
      <w:lvlJc w:val="left"/>
      <w:pPr>
        <w:ind w:left="3759" w:hanging="3759"/>
      </w:pPr>
      <w:rPr>
        <w:rFonts w:ascii="Symbol" w:hAnsi="Symbol" w:hint="default"/>
      </w:rPr>
    </w:lvl>
    <w:lvl w:ilvl="1" w:tplc="18090003">
      <w:start w:val="1"/>
      <w:numFmt w:val="bullet"/>
      <w:lvlText w:val="o"/>
      <w:lvlJc w:val="left"/>
      <w:pPr>
        <w:ind w:left="2496" w:hanging="360"/>
      </w:pPr>
      <w:rPr>
        <w:rFonts w:ascii="Courier New" w:hAnsi="Courier New" w:cs="Courier New" w:hint="default"/>
      </w:rPr>
    </w:lvl>
    <w:lvl w:ilvl="2" w:tplc="18090005" w:tentative="1">
      <w:start w:val="1"/>
      <w:numFmt w:val="bullet"/>
      <w:lvlText w:val=""/>
      <w:lvlJc w:val="left"/>
      <w:pPr>
        <w:ind w:left="3216" w:hanging="360"/>
      </w:pPr>
      <w:rPr>
        <w:rFonts w:ascii="Wingdings" w:hAnsi="Wingdings" w:hint="default"/>
      </w:rPr>
    </w:lvl>
    <w:lvl w:ilvl="3" w:tplc="18090001" w:tentative="1">
      <w:start w:val="1"/>
      <w:numFmt w:val="bullet"/>
      <w:lvlText w:val=""/>
      <w:lvlJc w:val="left"/>
      <w:pPr>
        <w:ind w:left="3936" w:hanging="360"/>
      </w:pPr>
      <w:rPr>
        <w:rFonts w:ascii="Symbol" w:hAnsi="Symbol" w:hint="default"/>
      </w:rPr>
    </w:lvl>
    <w:lvl w:ilvl="4" w:tplc="18090003" w:tentative="1">
      <w:start w:val="1"/>
      <w:numFmt w:val="bullet"/>
      <w:lvlText w:val="o"/>
      <w:lvlJc w:val="left"/>
      <w:pPr>
        <w:ind w:left="4656" w:hanging="360"/>
      </w:pPr>
      <w:rPr>
        <w:rFonts w:ascii="Courier New" w:hAnsi="Courier New" w:cs="Courier New" w:hint="default"/>
      </w:rPr>
    </w:lvl>
    <w:lvl w:ilvl="5" w:tplc="18090005" w:tentative="1">
      <w:start w:val="1"/>
      <w:numFmt w:val="bullet"/>
      <w:lvlText w:val=""/>
      <w:lvlJc w:val="left"/>
      <w:pPr>
        <w:ind w:left="5376" w:hanging="360"/>
      </w:pPr>
      <w:rPr>
        <w:rFonts w:ascii="Wingdings" w:hAnsi="Wingdings" w:hint="default"/>
      </w:rPr>
    </w:lvl>
    <w:lvl w:ilvl="6" w:tplc="18090001" w:tentative="1">
      <w:start w:val="1"/>
      <w:numFmt w:val="bullet"/>
      <w:lvlText w:val=""/>
      <w:lvlJc w:val="left"/>
      <w:pPr>
        <w:ind w:left="6096" w:hanging="360"/>
      </w:pPr>
      <w:rPr>
        <w:rFonts w:ascii="Symbol" w:hAnsi="Symbol" w:hint="default"/>
      </w:rPr>
    </w:lvl>
    <w:lvl w:ilvl="7" w:tplc="18090003" w:tentative="1">
      <w:start w:val="1"/>
      <w:numFmt w:val="bullet"/>
      <w:lvlText w:val="o"/>
      <w:lvlJc w:val="left"/>
      <w:pPr>
        <w:ind w:left="6816" w:hanging="360"/>
      </w:pPr>
      <w:rPr>
        <w:rFonts w:ascii="Courier New" w:hAnsi="Courier New" w:cs="Courier New" w:hint="default"/>
      </w:rPr>
    </w:lvl>
    <w:lvl w:ilvl="8" w:tplc="18090005" w:tentative="1">
      <w:start w:val="1"/>
      <w:numFmt w:val="bullet"/>
      <w:lvlText w:val=""/>
      <w:lvlJc w:val="left"/>
      <w:pPr>
        <w:ind w:left="7536" w:hanging="360"/>
      </w:pPr>
      <w:rPr>
        <w:rFonts w:ascii="Wingdings" w:hAnsi="Wingdings" w:hint="default"/>
      </w:rPr>
    </w:lvl>
  </w:abstractNum>
  <w:num w:numId="1">
    <w:abstractNumId w:val="4"/>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45DF"/>
    <w:rsid w:val="00002CAE"/>
    <w:rsid w:val="0000713F"/>
    <w:rsid w:val="000127E2"/>
    <w:rsid w:val="00012D1A"/>
    <w:rsid w:val="00016D43"/>
    <w:rsid w:val="0003719F"/>
    <w:rsid w:val="00041E2C"/>
    <w:rsid w:val="000608E2"/>
    <w:rsid w:val="000641B8"/>
    <w:rsid w:val="00071001"/>
    <w:rsid w:val="00075857"/>
    <w:rsid w:val="00076293"/>
    <w:rsid w:val="00082C8C"/>
    <w:rsid w:val="000A71B3"/>
    <w:rsid w:val="000A71EA"/>
    <w:rsid w:val="000B7855"/>
    <w:rsid w:val="000C4EA0"/>
    <w:rsid w:val="000D607B"/>
    <w:rsid w:val="000D7CD2"/>
    <w:rsid w:val="000F1496"/>
    <w:rsid w:val="000F69DE"/>
    <w:rsid w:val="00102C32"/>
    <w:rsid w:val="00102E04"/>
    <w:rsid w:val="00103E15"/>
    <w:rsid w:val="00106C6F"/>
    <w:rsid w:val="00123FF7"/>
    <w:rsid w:val="001455FF"/>
    <w:rsid w:val="00166D5F"/>
    <w:rsid w:val="001675EA"/>
    <w:rsid w:val="00193FBA"/>
    <w:rsid w:val="001A04D8"/>
    <w:rsid w:val="001A1F7F"/>
    <w:rsid w:val="001C5380"/>
    <w:rsid w:val="001E2D12"/>
    <w:rsid w:val="001F25D1"/>
    <w:rsid w:val="00200EC8"/>
    <w:rsid w:val="0020107C"/>
    <w:rsid w:val="00205517"/>
    <w:rsid w:val="00213287"/>
    <w:rsid w:val="00220E0E"/>
    <w:rsid w:val="00226ADD"/>
    <w:rsid w:val="00240497"/>
    <w:rsid w:val="00252C74"/>
    <w:rsid w:val="002535CA"/>
    <w:rsid w:val="00253970"/>
    <w:rsid w:val="00261C4B"/>
    <w:rsid w:val="00271D63"/>
    <w:rsid w:val="00277E56"/>
    <w:rsid w:val="00283BF5"/>
    <w:rsid w:val="002971D3"/>
    <w:rsid w:val="002A2E36"/>
    <w:rsid w:val="002A6A53"/>
    <w:rsid w:val="002C33A7"/>
    <w:rsid w:val="002D4063"/>
    <w:rsid w:val="002E40B7"/>
    <w:rsid w:val="003258AF"/>
    <w:rsid w:val="00326AD7"/>
    <w:rsid w:val="00331C9B"/>
    <w:rsid w:val="003351AC"/>
    <w:rsid w:val="00353145"/>
    <w:rsid w:val="00354C94"/>
    <w:rsid w:val="00356823"/>
    <w:rsid w:val="0037643C"/>
    <w:rsid w:val="00382B0A"/>
    <w:rsid w:val="00385222"/>
    <w:rsid w:val="003925AD"/>
    <w:rsid w:val="003C7BD4"/>
    <w:rsid w:val="003D1A2B"/>
    <w:rsid w:val="003D621A"/>
    <w:rsid w:val="003D70C4"/>
    <w:rsid w:val="003D7AD3"/>
    <w:rsid w:val="003E3102"/>
    <w:rsid w:val="003F3096"/>
    <w:rsid w:val="003F6C84"/>
    <w:rsid w:val="003F72E9"/>
    <w:rsid w:val="003F792D"/>
    <w:rsid w:val="004045DE"/>
    <w:rsid w:val="00411B54"/>
    <w:rsid w:val="004270E2"/>
    <w:rsid w:val="00442A54"/>
    <w:rsid w:val="00446AEB"/>
    <w:rsid w:val="00446BE3"/>
    <w:rsid w:val="00450DC1"/>
    <w:rsid w:val="00454F8D"/>
    <w:rsid w:val="00470A23"/>
    <w:rsid w:val="00471400"/>
    <w:rsid w:val="00475637"/>
    <w:rsid w:val="00482ED1"/>
    <w:rsid w:val="00484B00"/>
    <w:rsid w:val="004A0C5F"/>
    <w:rsid w:val="004A2074"/>
    <w:rsid w:val="004C5BD9"/>
    <w:rsid w:val="004D5B87"/>
    <w:rsid w:val="004F23C4"/>
    <w:rsid w:val="005073AE"/>
    <w:rsid w:val="005154D9"/>
    <w:rsid w:val="005246B6"/>
    <w:rsid w:val="00527B54"/>
    <w:rsid w:val="00531490"/>
    <w:rsid w:val="00547A59"/>
    <w:rsid w:val="005501F5"/>
    <w:rsid w:val="005534B9"/>
    <w:rsid w:val="00596D89"/>
    <w:rsid w:val="005A7E33"/>
    <w:rsid w:val="005B7474"/>
    <w:rsid w:val="005B7B2B"/>
    <w:rsid w:val="005C5376"/>
    <w:rsid w:val="005D0BA5"/>
    <w:rsid w:val="005D282D"/>
    <w:rsid w:val="005D3BF4"/>
    <w:rsid w:val="005D6B25"/>
    <w:rsid w:val="005D714A"/>
    <w:rsid w:val="005F6829"/>
    <w:rsid w:val="0060498F"/>
    <w:rsid w:val="00617DBA"/>
    <w:rsid w:val="00626C2B"/>
    <w:rsid w:val="00631FED"/>
    <w:rsid w:val="006327CF"/>
    <w:rsid w:val="00640476"/>
    <w:rsid w:val="0066391E"/>
    <w:rsid w:val="00665515"/>
    <w:rsid w:val="00667712"/>
    <w:rsid w:val="00672BCD"/>
    <w:rsid w:val="006A78D2"/>
    <w:rsid w:val="006B464D"/>
    <w:rsid w:val="006D58B7"/>
    <w:rsid w:val="006E0005"/>
    <w:rsid w:val="006E2E0E"/>
    <w:rsid w:val="006E5EB7"/>
    <w:rsid w:val="006F2C6D"/>
    <w:rsid w:val="007050C2"/>
    <w:rsid w:val="00733E21"/>
    <w:rsid w:val="00737458"/>
    <w:rsid w:val="00744E03"/>
    <w:rsid w:val="00746591"/>
    <w:rsid w:val="007572B2"/>
    <w:rsid w:val="00757D59"/>
    <w:rsid w:val="007624B1"/>
    <w:rsid w:val="00764C39"/>
    <w:rsid w:val="00765216"/>
    <w:rsid w:val="00765322"/>
    <w:rsid w:val="007766FC"/>
    <w:rsid w:val="00780333"/>
    <w:rsid w:val="00782F87"/>
    <w:rsid w:val="00786DF5"/>
    <w:rsid w:val="007933D7"/>
    <w:rsid w:val="007A6524"/>
    <w:rsid w:val="007C1031"/>
    <w:rsid w:val="007D472B"/>
    <w:rsid w:val="007F0DCC"/>
    <w:rsid w:val="007F47AD"/>
    <w:rsid w:val="008042C9"/>
    <w:rsid w:val="00813C58"/>
    <w:rsid w:val="00813D37"/>
    <w:rsid w:val="00822213"/>
    <w:rsid w:val="00831F79"/>
    <w:rsid w:val="00835A38"/>
    <w:rsid w:val="008401B3"/>
    <w:rsid w:val="00841B66"/>
    <w:rsid w:val="0085688E"/>
    <w:rsid w:val="00861D96"/>
    <w:rsid w:val="00864BB9"/>
    <w:rsid w:val="00873CCE"/>
    <w:rsid w:val="00875856"/>
    <w:rsid w:val="008862DB"/>
    <w:rsid w:val="00886998"/>
    <w:rsid w:val="00897409"/>
    <w:rsid w:val="008A0FF8"/>
    <w:rsid w:val="008A24DF"/>
    <w:rsid w:val="008A713B"/>
    <w:rsid w:val="008B46EE"/>
    <w:rsid w:val="008C62EC"/>
    <w:rsid w:val="008D08A5"/>
    <w:rsid w:val="008D6D1E"/>
    <w:rsid w:val="008F40A5"/>
    <w:rsid w:val="00905D69"/>
    <w:rsid w:val="00947228"/>
    <w:rsid w:val="00951D89"/>
    <w:rsid w:val="00954E0A"/>
    <w:rsid w:val="00964715"/>
    <w:rsid w:val="00976333"/>
    <w:rsid w:val="00982719"/>
    <w:rsid w:val="00990658"/>
    <w:rsid w:val="009A789A"/>
    <w:rsid w:val="009B14CE"/>
    <w:rsid w:val="009C58B4"/>
    <w:rsid w:val="009D6188"/>
    <w:rsid w:val="009F7963"/>
    <w:rsid w:val="00A01D86"/>
    <w:rsid w:val="00A04226"/>
    <w:rsid w:val="00A07A71"/>
    <w:rsid w:val="00A1002E"/>
    <w:rsid w:val="00A26AF1"/>
    <w:rsid w:val="00A30D99"/>
    <w:rsid w:val="00A40993"/>
    <w:rsid w:val="00A40F7B"/>
    <w:rsid w:val="00A44660"/>
    <w:rsid w:val="00A675D0"/>
    <w:rsid w:val="00A741F1"/>
    <w:rsid w:val="00A8502A"/>
    <w:rsid w:val="00AC215F"/>
    <w:rsid w:val="00AC28F5"/>
    <w:rsid w:val="00AC617A"/>
    <w:rsid w:val="00AD057B"/>
    <w:rsid w:val="00AD104F"/>
    <w:rsid w:val="00AD16CA"/>
    <w:rsid w:val="00AD6225"/>
    <w:rsid w:val="00AE2B70"/>
    <w:rsid w:val="00B05EEA"/>
    <w:rsid w:val="00B158EE"/>
    <w:rsid w:val="00B20F70"/>
    <w:rsid w:val="00B259C5"/>
    <w:rsid w:val="00B27DDA"/>
    <w:rsid w:val="00B313B9"/>
    <w:rsid w:val="00B3531E"/>
    <w:rsid w:val="00B56534"/>
    <w:rsid w:val="00B61C7D"/>
    <w:rsid w:val="00B84E69"/>
    <w:rsid w:val="00BA1C24"/>
    <w:rsid w:val="00BB4B43"/>
    <w:rsid w:val="00BB5056"/>
    <w:rsid w:val="00BB6754"/>
    <w:rsid w:val="00BC2477"/>
    <w:rsid w:val="00BC6C12"/>
    <w:rsid w:val="00BD06D9"/>
    <w:rsid w:val="00BD39D5"/>
    <w:rsid w:val="00BD567B"/>
    <w:rsid w:val="00BE79A7"/>
    <w:rsid w:val="00BF2B69"/>
    <w:rsid w:val="00BF312C"/>
    <w:rsid w:val="00C04A90"/>
    <w:rsid w:val="00C10E89"/>
    <w:rsid w:val="00C160EC"/>
    <w:rsid w:val="00C36B74"/>
    <w:rsid w:val="00C42CFE"/>
    <w:rsid w:val="00C65C5C"/>
    <w:rsid w:val="00C779A5"/>
    <w:rsid w:val="00C8448C"/>
    <w:rsid w:val="00CB1F99"/>
    <w:rsid w:val="00CB4B04"/>
    <w:rsid w:val="00CB71CB"/>
    <w:rsid w:val="00CD434B"/>
    <w:rsid w:val="00CD6209"/>
    <w:rsid w:val="00CD7345"/>
    <w:rsid w:val="00CE4DF9"/>
    <w:rsid w:val="00CE7A80"/>
    <w:rsid w:val="00CF5188"/>
    <w:rsid w:val="00CF54DF"/>
    <w:rsid w:val="00D00A67"/>
    <w:rsid w:val="00D00D00"/>
    <w:rsid w:val="00D04EBB"/>
    <w:rsid w:val="00D23647"/>
    <w:rsid w:val="00D4620F"/>
    <w:rsid w:val="00D5367E"/>
    <w:rsid w:val="00D55033"/>
    <w:rsid w:val="00D55BF3"/>
    <w:rsid w:val="00D60841"/>
    <w:rsid w:val="00D615F1"/>
    <w:rsid w:val="00D710D2"/>
    <w:rsid w:val="00D86C87"/>
    <w:rsid w:val="00D90FF5"/>
    <w:rsid w:val="00D956B6"/>
    <w:rsid w:val="00D96F6A"/>
    <w:rsid w:val="00DA37ED"/>
    <w:rsid w:val="00DA5D6E"/>
    <w:rsid w:val="00DB3E70"/>
    <w:rsid w:val="00DB65F5"/>
    <w:rsid w:val="00DB6699"/>
    <w:rsid w:val="00DC7BC0"/>
    <w:rsid w:val="00DD11C1"/>
    <w:rsid w:val="00DD288B"/>
    <w:rsid w:val="00DD6B4B"/>
    <w:rsid w:val="00DE516A"/>
    <w:rsid w:val="00DE5505"/>
    <w:rsid w:val="00DE7501"/>
    <w:rsid w:val="00DF0080"/>
    <w:rsid w:val="00E11A80"/>
    <w:rsid w:val="00E245DF"/>
    <w:rsid w:val="00E33347"/>
    <w:rsid w:val="00E3381F"/>
    <w:rsid w:val="00E50617"/>
    <w:rsid w:val="00E51955"/>
    <w:rsid w:val="00E70AE7"/>
    <w:rsid w:val="00E736C4"/>
    <w:rsid w:val="00E76A26"/>
    <w:rsid w:val="00E8086C"/>
    <w:rsid w:val="00E95F0C"/>
    <w:rsid w:val="00EA367F"/>
    <w:rsid w:val="00EB42A2"/>
    <w:rsid w:val="00EB432D"/>
    <w:rsid w:val="00EB5344"/>
    <w:rsid w:val="00EC5392"/>
    <w:rsid w:val="00EC5E56"/>
    <w:rsid w:val="00EC6603"/>
    <w:rsid w:val="00EE25FD"/>
    <w:rsid w:val="00F11A35"/>
    <w:rsid w:val="00F12014"/>
    <w:rsid w:val="00F2629E"/>
    <w:rsid w:val="00F31D66"/>
    <w:rsid w:val="00F325D3"/>
    <w:rsid w:val="00F45B5D"/>
    <w:rsid w:val="00F56473"/>
    <w:rsid w:val="00F7001B"/>
    <w:rsid w:val="00F723C7"/>
    <w:rsid w:val="00F86929"/>
    <w:rsid w:val="00F94622"/>
    <w:rsid w:val="00FA68C6"/>
    <w:rsid w:val="00FA7B80"/>
    <w:rsid w:val="00FB1AEA"/>
    <w:rsid w:val="00FB3022"/>
    <w:rsid w:val="00FB5F64"/>
    <w:rsid w:val="00FC6679"/>
    <w:rsid w:val="00FD3DA0"/>
    <w:rsid w:val="00FE13A5"/>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Bidi"/>
        <w:sz w:val="22"/>
        <w:szCs w:val="22"/>
        <w:lang w:val="de-AT" w:eastAsia="en-US" w:bidi="ar-SA"/>
      </w:rPr>
    </w:rPrDefault>
    <w:pPrDefault>
      <w:pPr>
        <w:spacing w:line="28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Title" w:semiHidden="0" w:uiPriority="10" w:unhideWhenUsed="0" w:qFormat="1"/>
    <w:lsdException w:name="Default Paragraph Fo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E245DF"/>
    <w:rPr>
      <w:rFonts w:ascii="Trebuchet MS" w:hAnsi="Trebuchet MS" w:cs="Times New Roman"/>
      <w:szCs w:val="20"/>
      <w:lang w:val="de-DE" w:eastAsia="de-DE"/>
    </w:rPr>
  </w:style>
  <w:style w:type="paragraph" w:styleId="berschrift1">
    <w:name w:val="heading 1"/>
    <w:basedOn w:val="Standard"/>
    <w:next w:val="Standard"/>
    <w:link w:val="berschrift1Zchn"/>
    <w:qFormat/>
    <w:rsid w:val="00BC2477"/>
    <w:pPr>
      <w:keepNext/>
      <w:pageBreakBefore/>
      <w:spacing w:after="360"/>
      <w:outlineLvl w:val="0"/>
    </w:pPr>
    <w:rPr>
      <w:rFonts w:ascii="Optima" w:hAnsi="Optima"/>
      <w:b/>
      <w:caps/>
      <w:kern w:val="28"/>
      <w:sz w:val="48"/>
    </w:rPr>
  </w:style>
  <w:style w:type="paragraph" w:styleId="berschrift2">
    <w:name w:val="heading 2"/>
    <w:basedOn w:val="Standard"/>
    <w:next w:val="Standard"/>
    <w:link w:val="berschrift2Zchn"/>
    <w:qFormat/>
    <w:rsid w:val="00BC2477"/>
    <w:pPr>
      <w:keepNext/>
      <w:spacing w:before="240" w:after="240"/>
      <w:outlineLvl w:val="1"/>
    </w:pPr>
    <w:rPr>
      <w:rFonts w:ascii="Optima" w:hAnsi="Optima"/>
      <w:b/>
      <w:caps/>
      <w:sz w:val="32"/>
    </w:rPr>
  </w:style>
  <w:style w:type="paragraph" w:styleId="berschrift3">
    <w:name w:val="heading 3"/>
    <w:basedOn w:val="Standard"/>
    <w:next w:val="Standard"/>
    <w:link w:val="berschrift3Zchn"/>
    <w:qFormat/>
    <w:rsid w:val="00BC2477"/>
    <w:pPr>
      <w:keepNext/>
      <w:spacing w:before="240" w:after="240"/>
      <w:outlineLvl w:val="2"/>
    </w:pPr>
    <w:rPr>
      <w:rFonts w:ascii="Optima" w:hAnsi="Optima"/>
      <w:b/>
      <w:sz w:val="28"/>
    </w:rPr>
  </w:style>
  <w:style w:type="paragraph" w:styleId="berschrift5">
    <w:name w:val="heading 5"/>
    <w:aliases w:val="Questions"/>
    <w:basedOn w:val="Standard"/>
    <w:next w:val="Standard"/>
    <w:link w:val="berschrift5Zchn"/>
    <w:qFormat/>
    <w:rsid w:val="00A1002E"/>
    <w:pPr>
      <w:keepNext/>
      <w:keepLines/>
      <w:numPr>
        <w:numId w:val="1"/>
      </w:numPr>
      <w:spacing w:line="240" w:lineRule="auto"/>
      <w:ind w:left="0" w:firstLine="0"/>
      <w:jc w:val="both"/>
      <w:outlineLvl w:val="4"/>
    </w:pPr>
    <w:rPr>
      <w:rFonts w:ascii="Georgia" w:hAnsi="Georgia"/>
      <w:b/>
      <w:sz w:val="20"/>
      <w:szCs w:val="24"/>
      <w:lang w:val="en-G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unhideWhenUsed/>
    <w:rsid w:val="00385222"/>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rsid w:val="00385222"/>
    <w:rPr>
      <w:rFonts w:ascii="Tahoma" w:hAnsi="Tahoma" w:cs="Tahoma"/>
      <w:sz w:val="16"/>
      <w:szCs w:val="16"/>
    </w:rPr>
  </w:style>
  <w:style w:type="paragraph" w:styleId="Funotentext">
    <w:name w:val="footnote text"/>
    <w:aliases w:val="Char3, Char3,Fußnotentextf,Fußnotentextr,stile 1,Footnote1,Footnote2,Footnote3,Footnote4,Footnote5,Footnote6,Footnote7,Footnote8,Footnote9,Footnote10,Footnote11,Footnote21,Footnote31,Footnote41,Footnote51,Footnote61,Footnote71"/>
    <w:basedOn w:val="Standard"/>
    <w:link w:val="FunotentextZchn"/>
    <w:rsid w:val="00BC2477"/>
    <w:rPr>
      <w:sz w:val="18"/>
    </w:rPr>
  </w:style>
  <w:style w:type="character" w:customStyle="1" w:styleId="FunotentextZchn">
    <w:name w:val="Fußnotentext Zchn"/>
    <w:aliases w:val="Char3 Zchn, Char3 Zchn,Fußnotentextf Zchn,Fußnotentextr Zchn,stile 1 Zchn,Footnote1 Zchn,Footnote2 Zchn,Footnote3 Zchn,Footnote4 Zchn,Footnote5 Zchn,Footnote6 Zchn,Footnote7 Zchn,Footnote8 Zchn,Footnote9 Zchn,Footnote10 Zchn"/>
    <w:basedOn w:val="Absatz-Standardschriftart"/>
    <w:link w:val="Funotentext"/>
    <w:uiPriority w:val="99"/>
    <w:rsid w:val="00BC2477"/>
    <w:rPr>
      <w:rFonts w:ascii="Trebuchet MS" w:eastAsia="Times New Roman" w:hAnsi="Trebuchet MS" w:cs="Times New Roman"/>
      <w:sz w:val="18"/>
      <w:szCs w:val="20"/>
      <w:lang w:val="de-DE" w:eastAsia="de-DE"/>
    </w:rPr>
  </w:style>
  <w:style w:type="character" w:customStyle="1" w:styleId="berschrift1Zchn">
    <w:name w:val="Überschrift 1 Zchn"/>
    <w:basedOn w:val="Absatz-Standardschriftart"/>
    <w:link w:val="berschrift1"/>
    <w:rsid w:val="00BC2477"/>
    <w:rPr>
      <w:rFonts w:ascii="Optima" w:eastAsia="Times New Roman" w:hAnsi="Optima" w:cs="Times New Roman"/>
      <w:b/>
      <w:caps/>
      <w:kern w:val="28"/>
      <w:sz w:val="48"/>
      <w:szCs w:val="20"/>
      <w:lang w:val="de-DE" w:eastAsia="de-DE"/>
    </w:rPr>
  </w:style>
  <w:style w:type="character" w:customStyle="1" w:styleId="berschrift2Zchn">
    <w:name w:val="Überschrift 2 Zchn"/>
    <w:basedOn w:val="Absatz-Standardschriftart"/>
    <w:link w:val="berschrift2"/>
    <w:rsid w:val="00BC2477"/>
    <w:rPr>
      <w:rFonts w:ascii="Optima" w:eastAsia="Times New Roman" w:hAnsi="Optima" w:cs="Times New Roman"/>
      <w:b/>
      <w:caps/>
      <w:sz w:val="32"/>
      <w:szCs w:val="20"/>
      <w:lang w:val="de-DE" w:eastAsia="de-DE"/>
    </w:rPr>
  </w:style>
  <w:style w:type="character" w:customStyle="1" w:styleId="berschrift3Zchn">
    <w:name w:val="Überschrift 3 Zchn"/>
    <w:basedOn w:val="Absatz-Standardschriftart"/>
    <w:link w:val="berschrift3"/>
    <w:rsid w:val="00BC2477"/>
    <w:rPr>
      <w:rFonts w:ascii="Optima" w:eastAsia="Times New Roman" w:hAnsi="Optima" w:cs="Times New Roman"/>
      <w:b/>
      <w:sz w:val="28"/>
      <w:szCs w:val="20"/>
      <w:lang w:val="de-DE" w:eastAsia="de-DE"/>
    </w:rPr>
  </w:style>
  <w:style w:type="paragraph" w:styleId="Kopfzeile">
    <w:name w:val="header"/>
    <w:basedOn w:val="Standard"/>
    <w:link w:val="KopfzeileZchn"/>
    <w:uiPriority w:val="99"/>
    <w:unhideWhenUsed/>
    <w:rsid w:val="00E245DF"/>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E245DF"/>
    <w:rPr>
      <w:rFonts w:ascii="Trebuchet MS" w:hAnsi="Trebuchet MS" w:cs="Times New Roman"/>
      <w:szCs w:val="20"/>
      <w:lang w:val="de-DE" w:eastAsia="de-DE"/>
    </w:rPr>
  </w:style>
  <w:style w:type="paragraph" w:styleId="Fuzeile">
    <w:name w:val="footer"/>
    <w:basedOn w:val="Standard"/>
    <w:link w:val="FuzeileZchn"/>
    <w:unhideWhenUsed/>
    <w:rsid w:val="00E245DF"/>
    <w:pPr>
      <w:tabs>
        <w:tab w:val="center" w:pos="4536"/>
        <w:tab w:val="right" w:pos="9072"/>
      </w:tabs>
      <w:spacing w:line="240" w:lineRule="auto"/>
    </w:pPr>
  </w:style>
  <w:style w:type="character" w:customStyle="1" w:styleId="FuzeileZchn">
    <w:name w:val="Fußzeile Zchn"/>
    <w:basedOn w:val="Absatz-Standardschriftart"/>
    <w:link w:val="Fuzeile"/>
    <w:uiPriority w:val="99"/>
    <w:rsid w:val="00E245DF"/>
    <w:rPr>
      <w:rFonts w:ascii="Trebuchet MS" w:hAnsi="Trebuchet MS" w:cs="Times New Roman"/>
      <w:szCs w:val="20"/>
      <w:lang w:val="de-DE" w:eastAsia="de-DE"/>
    </w:rPr>
  </w:style>
  <w:style w:type="character" w:customStyle="1" w:styleId="berschrift5Zchn">
    <w:name w:val="Überschrift 5 Zchn"/>
    <w:aliases w:val="Questions Zchn"/>
    <w:basedOn w:val="Absatz-Standardschriftart"/>
    <w:link w:val="berschrift5"/>
    <w:rsid w:val="00A1002E"/>
    <w:rPr>
      <w:rFonts w:ascii="Georgia" w:hAnsi="Georgia" w:cs="Times New Roman"/>
      <w:b/>
      <w:sz w:val="20"/>
      <w:szCs w:val="24"/>
      <w:lang w:val="en-GB" w:eastAsia="de-DE"/>
    </w:rPr>
  </w:style>
  <w:style w:type="character" w:styleId="Funotenzeichen">
    <w:name w:val="footnote reference"/>
    <w:aliases w:val="SUPERS,Footnote reference number,Footnote symbol,note TESI,-E Fußnotenzeichen,number,BVI fnr,Footnote,Footnote Reference Superscript,(Footnote Reference),EN Footnote Reference,Voetnootverwijzing,Times 10 Point,Exposant 3 Poi,16 Point"/>
    <w:uiPriority w:val="99"/>
    <w:rsid w:val="00A1002E"/>
    <w:rPr>
      <w:vertAlign w:val="superscript"/>
    </w:rPr>
  </w:style>
  <w:style w:type="paragraph" w:styleId="Listenabsatz">
    <w:name w:val="List Paragraph"/>
    <w:aliases w:val="Paragraphe EI,Paragraphe de liste1,EC"/>
    <w:basedOn w:val="Standard"/>
    <w:link w:val="ListenabsatzZchn"/>
    <w:uiPriority w:val="34"/>
    <w:qFormat/>
    <w:rsid w:val="00A1002E"/>
    <w:pPr>
      <w:spacing w:line="240" w:lineRule="auto"/>
      <w:ind w:left="720"/>
      <w:contextualSpacing/>
    </w:pPr>
    <w:rPr>
      <w:rFonts w:ascii="Georgia" w:hAnsi="Georgia"/>
      <w:sz w:val="20"/>
      <w:szCs w:val="24"/>
      <w:lang w:val="en-GB"/>
    </w:rPr>
  </w:style>
  <w:style w:type="paragraph" w:customStyle="1" w:styleId="Default">
    <w:name w:val="Default"/>
    <w:rsid w:val="00A1002E"/>
    <w:pPr>
      <w:autoSpaceDE w:val="0"/>
      <w:autoSpaceDN w:val="0"/>
      <w:adjustRightInd w:val="0"/>
      <w:spacing w:line="240" w:lineRule="auto"/>
    </w:pPr>
    <w:rPr>
      <w:rFonts w:ascii="Georgia" w:hAnsi="Georgia" w:cs="Georgia"/>
      <w:color w:val="000000"/>
      <w:sz w:val="24"/>
      <w:szCs w:val="24"/>
      <w:lang w:val="fr-FR" w:eastAsia="en-GB"/>
    </w:rPr>
  </w:style>
  <w:style w:type="character" w:customStyle="1" w:styleId="ListenabsatzZchn">
    <w:name w:val="Listenabsatz Zchn"/>
    <w:aliases w:val="Paragraphe EI Zchn,Paragraphe de liste1 Zchn,EC Zchn"/>
    <w:link w:val="Listenabsatz"/>
    <w:uiPriority w:val="34"/>
    <w:locked/>
    <w:rsid w:val="00A1002E"/>
    <w:rPr>
      <w:rFonts w:ascii="Georgia" w:hAnsi="Georgia" w:cs="Times New Roman"/>
      <w:sz w:val="20"/>
      <w:szCs w:val="24"/>
      <w:lang w:val="en-GB"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Bidi"/>
        <w:sz w:val="22"/>
        <w:szCs w:val="22"/>
        <w:lang w:val="de-AT" w:eastAsia="en-US" w:bidi="ar-SA"/>
      </w:rPr>
    </w:rPrDefault>
    <w:pPrDefault>
      <w:pPr>
        <w:spacing w:line="28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Title" w:semiHidden="0" w:uiPriority="10" w:unhideWhenUsed="0" w:qFormat="1"/>
    <w:lsdException w:name="Default Paragraph Fo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E245DF"/>
    <w:rPr>
      <w:rFonts w:ascii="Trebuchet MS" w:hAnsi="Trebuchet MS" w:cs="Times New Roman"/>
      <w:szCs w:val="20"/>
      <w:lang w:val="de-DE" w:eastAsia="de-DE"/>
    </w:rPr>
  </w:style>
  <w:style w:type="paragraph" w:styleId="berschrift1">
    <w:name w:val="heading 1"/>
    <w:basedOn w:val="Standard"/>
    <w:next w:val="Standard"/>
    <w:link w:val="berschrift1Zchn"/>
    <w:qFormat/>
    <w:rsid w:val="00BC2477"/>
    <w:pPr>
      <w:keepNext/>
      <w:pageBreakBefore/>
      <w:spacing w:after="360"/>
      <w:outlineLvl w:val="0"/>
    </w:pPr>
    <w:rPr>
      <w:rFonts w:ascii="Optima" w:hAnsi="Optima"/>
      <w:b/>
      <w:caps/>
      <w:kern w:val="28"/>
      <w:sz w:val="48"/>
    </w:rPr>
  </w:style>
  <w:style w:type="paragraph" w:styleId="berschrift2">
    <w:name w:val="heading 2"/>
    <w:basedOn w:val="Standard"/>
    <w:next w:val="Standard"/>
    <w:link w:val="berschrift2Zchn"/>
    <w:qFormat/>
    <w:rsid w:val="00BC2477"/>
    <w:pPr>
      <w:keepNext/>
      <w:spacing w:before="240" w:after="240"/>
      <w:outlineLvl w:val="1"/>
    </w:pPr>
    <w:rPr>
      <w:rFonts w:ascii="Optima" w:hAnsi="Optima"/>
      <w:b/>
      <w:caps/>
      <w:sz w:val="32"/>
    </w:rPr>
  </w:style>
  <w:style w:type="paragraph" w:styleId="berschrift3">
    <w:name w:val="heading 3"/>
    <w:basedOn w:val="Standard"/>
    <w:next w:val="Standard"/>
    <w:link w:val="berschrift3Zchn"/>
    <w:qFormat/>
    <w:rsid w:val="00BC2477"/>
    <w:pPr>
      <w:keepNext/>
      <w:spacing w:before="240" w:after="240"/>
      <w:outlineLvl w:val="2"/>
    </w:pPr>
    <w:rPr>
      <w:rFonts w:ascii="Optima" w:hAnsi="Optima"/>
      <w:b/>
      <w:sz w:val="28"/>
    </w:rPr>
  </w:style>
  <w:style w:type="paragraph" w:styleId="berschrift5">
    <w:name w:val="heading 5"/>
    <w:aliases w:val="Questions"/>
    <w:basedOn w:val="Standard"/>
    <w:next w:val="Standard"/>
    <w:link w:val="berschrift5Zchn"/>
    <w:qFormat/>
    <w:rsid w:val="00A1002E"/>
    <w:pPr>
      <w:keepNext/>
      <w:keepLines/>
      <w:numPr>
        <w:numId w:val="1"/>
      </w:numPr>
      <w:spacing w:line="240" w:lineRule="auto"/>
      <w:ind w:left="0" w:firstLine="0"/>
      <w:jc w:val="both"/>
      <w:outlineLvl w:val="4"/>
    </w:pPr>
    <w:rPr>
      <w:rFonts w:ascii="Georgia" w:hAnsi="Georgia"/>
      <w:b/>
      <w:sz w:val="20"/>
      <w:szCs w:val="24"/>
      <w:lang w:val="en-G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unhideWhenUsed/>
    <w:rsid w:val="00385222"/>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rsid w:val="00385222"/>
    <w:rPr>
      <w:rFonts w:ascii="Tahoma" w:hAnsi="Tahoma" w:cs="Tahoma"/>
      <w:sz w:val="16"/>
      <w:szCs w:val="16"/>
    </w:rPr>
  </w:style>
  <w:style w:type="paragraph" w:styleId="Funotentext">
    <w:name w:val="footnote text"/>
    <w:aliases w:val="Char3, Char3,Fußnotentextf,Fußnotentextr,stile 1,Footnote1,Footnote2,Footnote3,Footnote4,Footnote5,Footnote6,Footnote7,Footnote8,Footnote9,Footnote10,Footnote11,Footnote21,Footnote31,Footnote41,Footnote51,Footnote61,Footnote71"/>
    <w:basedOn w:val="Standard"/>
    <w:link w:val="FunotentextZchn"/>
    <w:rsid w:val="00BC2477"/>
    <w:rPr>
      <w:sz w:val="18"/>
    </w:rPr>
  </w:style>
  <w:style w:type="character" w:customStyle="1" w:styleId="FunotentextZchn">
    <w:name w:val="Fußnotentext Zchn"/>
    <w:aliases w:val="Char3 Zchn, Char3 Zchn,Fußnotentextf Zchn,Fußnotentextr Zchn,stile 1 Zchn,Footnote1 Zchn,Footnote2 Zchn,Footnote3 Zchn,Footnote4 Zchn,Footnote5 Zchn,Footnote6 Zchn,Footnote7 Zchn,Footnote8 Zchn,Footnote9 Zchn,Footnote10 Zchn"/>
    <w:basedOn w:val="Absatz-Standardschriftart"/>
    <w:link w:val="Funotentext"/>
    <w:uiPriority w:val="99"/>
    <w:rsid w:val="00BC2477"/>
    <w:rPr>
      <w:rFonts w:ascii="Trebuchet MS" w:eastAsia="Times New Roman" w:hAnsi="Trebuchet MS" w:cs="Times New Roman"/>
      <w:sz w:val="18"/>
      <w:szCs w:val="20"/>
      <w:lang w:val="de-DE" w:eastAsia="de-DE"/>
    </w:rPr>
  </w:style>
  <w:style w:type="character" w:customStyle="1" w:styleId="berschrift1Zchn">
    <w:name w:val="Überschrift 1 Zchn"/>
    <w:basedOn w:val="Absatz-Standardschriftart"/>
    <w:link w:val="berschrift1"/>
    <w:rsid w:val="00BC2477"/>
    <w:rPr>
      <w:rFonts w:ascii="Optima" w:eastAsia="Times New Roman" w:hAnsi="Optima" w:cs="Times New Roman"/>
      <w:b/>
      <w:caps/>
      <w:kern w:val="28"/>
      <w:sz w:val="48"/>
      <w:szCs w:val="20"/>
      <w:lang w:val="de-DE" w:eastAsia="de-DE"/>
    </w:rPr>
  </w:style>
  <w:style w:type="character" w:customStyle="1" w:styleId="berschrift2Zchn">
    <w:name w:val="Überschrift 2 Zchn"/>
    <w:basedOn w:val="Absatz-Standardschriftart"/>
    <w:link w:val="berschrift2"/>
    <w:rsid w:val="00BC2477"/>
    <w:rPr>
      <w:rFonts w:ascii="Optima" w:eastAsia="Times New Roman" w:hAnsi="Optima" w:cs="Times New Roman"/>
      <w:b/>
      <w:caps/>
      <w:sz w:val="32"/>
      <w:szCs w:val="20"/>
      <w:lang w:val="de-DE" w:eastAsia="de-DE"/>
    </w:rPr>
  </w:style>
  <w:style w:type="character" w:customStyle="1" w:styleId="berschrift3Zchn">
    <w:name w:val="Überschrift 3 Zchn"/>
    <w:basedOn w:val="Absatz-Standardschriftart"/>
    <w:link w:val="berschrift3"/>
    <w:rsid w:val="00BC2477"/>
    <w:rPr>
      <w:rFonts w:ascii="Optima" w:eastAsia="Times New Roman" w:hAnsi="Optima" w:cs="Times New Roman"/>
      <w:b/>
      <w:sz w:val="28"/>
      <w:szCs w:val="20"/>
      <w:lang w:val="de-DE" w:eastAsia="de-DE"/>
    </w:rPr>
  </w:style>
  <w:style w:type="paragraph" w:styleId="Kopfzeile">
    <w:name w:val="header"/>
    <w:basedOn w:val="Standard"/>
    <w:link w:val="KopfzeileZchn"/>
    <w:uiPriority w:val="99"/>
    <w:unhideWhenUsed/>
    <w:rsid w:val="00E245DF"/>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E245DF"/>
    <w:rPr>
      <w:rFonts w:ascii="Trebuchet MS" w:hAnsi="Trebuchet MS" w:cs="Times New Roman"/>
      <w:szCs w:val="20"/>
      <w:lang w:val="de-DE" w:eastAsia="de-DE"/>
    </w:rPr>
  </w:style>
  <w:style w:type="paragraph" w:styleId="Fuzeile">
    <w:name w:val="footer"/>
    <w:basedOn w:val="Standard"/>
    <w:link w:val="FuzeileZchn"/>
    <w:unhideWhenUsed/>
    <w:rsid w:val="00E245DF"/>
    <w:pPr>
      <w:tabs>
        <w:tab w:val="center" w:pos="4536"/>
        <w:tab w:val="right" w:pos="9072"/>
      </w:tabs>
      <w:spacing w:line="240" w:lineRule="auto"/>
    </w:pPr>
  </w:style>
  <w:style w:type="character" w:customStyle="1" w:styleId="FuzeileZchn">
    <w:name w:val="Fußzeile Zchn"/>
    <w:basedOn w:val="Absatz-Standardschriftart"/>
    <w:link w:val="Fuzeile"/>
    <w:uiPriority w:val="99"/>
    <w:rsid w:val="00E245DF"/>
    <w:rPr>
      <w:rFonts w:ascii="Trebuchet MS" w:hAnsi="Trebuchet MS" w:cs="Times New Roman"/>
      <w:szCs w:val="20"/>
      <w:lang w:val="de-DE" w:eastAsia="de-DE"/>
    </w:rPr>
  </w:style>
  <w:style w:type="character" w:customStyle="1" w:styleId="berschrift5Zchn">
    <w:name w:val="Überschrift 5 Zchn"/>
    <w:aliases w:val="Questions Zchn"/>
    <w:basedOn w:val="Absatz-Standardschriftart"/>
    <w:link w:val="berschrift5"/>
    <w:rsid w:val="00A1002E"/>
    <w:rPr>
      <w:rFonts w:ascii="Georgia" w:hAnsi="Georgia" w:cs="Times New Roman"/>
      <w:b/>
      <w:sz w:val="20"/>
      <w:szCs w:val="24"/>
      <w:lang w:val="en-GB" w:eastAsia="de-DE"/>
    </w:rPr>
  </w:style>
  <w:style w:type="character" w:styleId="Funotenzeichen">
    <w:name w:val="footnote reference"/>
    <w:aliases w:val="SUPERS,Footnote reference number,Footnote symbol,note TESI,-E Fußnotenzeichen,number,BVI fnr,Footnote,Footnote Reference Superscript,(Footnote Reference),EN Footnote Reference,Voetnootverwijzing,Times 10 Point,Exposant 3 Poi,16 Point"/>
    <w:uiPriority w:val="99"/>
    <w:rsid w:val="00A1002E"/>
    <w:rPr>
      <w:vertAlign w:val="superscript"/>
    </w:rPr>
  </w:style>
  <w:style w:type="paragraph" w:styleId="Listenabsatz">
    <w:name w:val="List Paragraph"/>
    <w:aliases w:val="Paragraphe EI,Paragraphe de liste1,EC"/>
    <w:basedOn w:val="Standard"/>
    <w:link w:val="ListenabsatzZchn"/>
    <w:uiPriority w:val="34"/>
    <w:qFormat/>
    <w:rsid w:val="00A1002E"/>
    <w:pPr>
      <w:spacing w:line="240" w:lineRule="auto"/>
      <w:ind w:left="720"/>
      <w:contextualSpacing/>
    </w:pPr>
    <w:rPr>
      <w:rFonts w:ascii="Georgia" w:hAnsi="Georgia"/>
      <w:sz w:val="20"/>
      <w:szCs w:val="24"/>
      <w:lang w:val="en-GB"/>
    </w:rPr>
  </w:style>
  <w:style w:type="paragraph" w:customStyle="1" w:styleId="Default">
    <w:name w:val="Default"/>
    <w:rsid w:val="00A1002E"/>
    <w:pPr>
      <w:autoSpaceDE w:val="0"/>
      <w:autoSpaceDN w:val="0"/>
      <w:adjustRightInd w:val="0"/>
      <w:spacing w:line="240" w:lineRule="auto"/>
    </w:pPr>
    <w:rPr>
      <w:rFonts w:ascii="Georgia" w:hAnsi="Georgia" w:cs="Georgia"/>
      <w:color w:val="000000"/>
      <w:sz w:val="24"/>
      <w:szCs w:val="24"/>
      <w:lang w:val="fr-FR" w:eastAsia="en-GB"/>
    </w:rPr>
  </w:style>
  <w:style w:type="character" w:customStyle="1" w:styleId="ListenabsatzZchn">
    <w:name w:val="Listenabsatz Zchn"/>
    <w:aliases w:val="Paragraphe EI Zchn,Paragraphe de liste1 Zchn,EC Zchn"/>
    <w:link w:val="Listenabsatz"/>
    <w:uiPriority w:val="34"/>
    <w:locked/>
    <w:rsid w:val="00A1002E"/>
    <w:rPr>
      <w:rFonts w:ascii="Georgia" w:hAnsi="Georgia" w:cs="Times New Roman"/>
      <w:sz w:val="20"/>
      <w:szCs w:val="24"/>
      <w:lang w:val="en-GB"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2594</Words>
  <Characters>16349</Characters>
  <Application>Microsoft Office Word</Application>
  <DocSecurity>0</DocSecurity>
  <Lines>136</Lines>
  <Paragraphs>37</Paragraphs>
  <ScaleCrop>false</ScaleCrop>
  <HeadingPairs>
    <vt:vector size="2" baseType="variant">
      <vt:variant>
        <vt:lpstr>Titel</vt:lpstr>
      </vt:variant>
      <vt:variant>
        <vt:i4>1</vt:i4>
      </vt:variant>
    </vt:vector>
  </HeadingPairs>
  <TitlesOfParts>
    <vt:vector size="1" baseType="lpstr">
      <vt:lpstr/>
    </vt:vector>
  </TitlesOfParts>
  <Company>WKO Inhouse GmbH</Company>
  <LinksUpToDate>false</LinksUpToDate>
  <CharactersWithSpaces>18906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Schmid Christine, WKÖ BSBV</dc:creator>
  <cp:lastModifiedBy>Egger Bernhard, Dr, WKÖ BSBV</cp:lastModifiedBy>
  <cp:revision>10</cp:revision>
  <dcterms:created xsi:type="dcterms:W3CDTF">2014-10-17T12:47:00Z</dcterms:created>
  <dcterms:modified xsi:type="dcterms:W3CDTF">2014-10-24T09:47:00Z</dcterms:modified>
</cp:coreProperties>
</file>