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E679BA" w:rsidTr="00315E96">
        <w:trPr>
          <w:trHeight w:val="284"/>
        </w:trPr>
        <w:tc>
          <w:tcPr>
            <w:tcW w:w="9412" w:type="dxa"/>
          </w:tcPr>
          <w:p w:rsidR="00C2094B" w:rsidRPr="00376B02" w:rsidRDefault="00F77601" w:rsidP="00F77601">
            <w:pPr>
              <w:pStyle w:val="00bDBInfo"/>
            </w:pPr>
            <w:r>
              <w:t>1</w:t>
            </w:r>
            <w:r w:rsidR="001C31C3">
              <w:t xml:space="preserve"> </w:t>
            </w:r>
            <w:r>
              <w:t xml:space="preserve">October </w:t>
            </w:r>
            <w:r w:rsidR="001C31C3">
              <w:t>2014</w:t>
            </w:r>
            <w:r w:rsidR="001C31C3" w:rsidRPr="00AA6DAE">
              <w:t>|</w:t>
            </w:r>
            <w:r w:rsidR="006B342B">
              <w:t>ESMA/</w:t>
            </w:r>
            <w:r w:rsidR="001C31C3">
              <w:t>2014/1185 Reply Form</w:t>
            </w:r>
          </w:p>
        </w:tc>
      </w:tr>
    </w:tbl>
    <w:p w:rsidR="00FD7A8D" w:rsidRPr="00640DCD" w:rsidRDefault="00FD7A8D" w:rsidP="00FD7A8D">
      <w:pPr>
        <w:rPr>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A47063" w:rsidRPr="00CC1C71" w:rsidTr="00885696">
        <w:trPr>
          <w:trHeight w:val="1672"/>
        </w:trPr>
        <w:tc>
          <w:tcPr>
            <w:tcW w:w="9397" w:type="dxa"/>
            <w:vAlign w:val="bottom"/>
          </w:tcPr>
          <w:p w:rsidR="00CC1C71" w:rsidRPr="00CC1C71" w:rsidRDefault="00A47063" w:rsidP="00CC1C71">
            <w:pPr>
              <w:pStyle w:val="01aDBTitle"/>
              <w:rPr>
                <w:sz w:val="36"/>
                <w:szCs w:val="36"/>
              </w:rPr>
            </w:pPr>
            <w:r w:rsidRPr="00CC1C71">
              <w:rPr>
                <w:sz w:val="36"/>
                <w:szCs w:val="36"/>
              </w:rPr>
              <w:t xml:space="preserve">Reply form for the </w:t>
            </w:r>
            <w:r w:rsidR="00CC1C71" w:rsidRPr="00CC1C71">
              <w:rPr>
                <w:sz w:val="36"/>
                <w:szCs w:val="36"/>
              </w:rPr>
              <w:t>Consultation Paper</w:t>
            </w:r>
          </w:p>
          <w:p w:rsidR="00A47063" w:rsidRPr="00CC1C71" w:rsidRDefault="001C31C3" w:rsidP="00CC1C71">
            <w:pPr>
              <w:pStyle w:val="01aDBTitle"/>
              <w:rPr>
                <w:sz w:val="36"/>
                <w:szCs w:val="36"/>
              </w:rPr>
            </w:pPr>
            <w:r>
              <w:rPr>
                <w:sz w:val="36"/>
                <w:szCs w:val="36"/>
              </w:rPr>
              <w:t xml:space="preserve">On the </w:t>
            </w:r>
            <w:r w:rsidR="00CC1C71" w:rsidRPr="00CC1C71">
              <w:rPr>
                <w:sz w:val="36"/>
                <w:szCs w:val="36"/>
              </w:rPr>
              <w:t>Clearing Obligation under EMIR (no. 3)</w:t>
            </w:r>
            <w:r w:rsidR="00A47063" w:rsidRPr="00CC1C71">
              <w:rPr>
                <w:sz w:val="36"/>
                <w:szCs w:val="36"/>
              </w:rPr>
              <w:t xml:space="preserve"> </w:t>
            </w:r>
          </w:p>
          <w:p w:rsidR="00A47063" w:rsidRPr="00CC1C71" w:rsidRDefault="00A47063" w:rsidP="00885696">
            <w:pPr>
              <w:pStyle w:val="01bDBSubtitle"/>
              <w:rPr>
                <w:sz w:val="36"/>
                <w:szCs w:val="36"/>
              </w:rPr>
            </w:pPr>
          </w:p>
        </w:tc>
      </w:tr>
    </w:tbl>
    <w:p w:rsidR="00620D7C" w:rsidRPr="00E679BA" w:rsidRDefault="00620D7C" w:rsidP="00C00012">
      <w:pPr>
        <w:pStyle w:val="05HeadlinenoIndex"/>
        <w:sectPr w:rsidR="00620D7C" w:rsidRPr="00E679BA" w:rsidSect="006E3C72">
          <w:headerReference w:type="default" r:id="rId9"/>
          <w:footerReference w:type="default" r:id="rId10"/>
          <w:headerReference w:type="first" r:id="rId11"/>
          <w:footerReference w:type="first" r:id="rId12"/>
          <w:pgSz w:w="11906" w:h="16838" w:code="9"/>
          <w:pgMar w:top="2835" w:right="1247" w:bottom="1361" w:left="1247" w:header="709" w:footer="709" w:gutter="0"/>
          <w:cols w:space="708"/>
          <w:titlePg/>
          <w:docGrid w:linePitch="360"/>
        </w:sectPr>
      </w:pPr>
      <w:bookmarkStart w:id="0" w:name="_GoBack"/>
      <w:bookmarkEnd w:id="0"/>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E679BA" w:rsidTr="00315E96">
        <w:trPr>
          <w:trHeight w:hRule="exact" w:val="964"/>
        </w:trPr>
        <w:tc>
          <w:tcPr>
            <w:tcW w:w="2325" w:type="dxa"/>
          </w:tcPr>
          <w:p w:rsidR="00620D7C" w:rsidRDefault="00620D7C" w:rsidP="002777CA">
            <w:pPr>
              <w:pStyle w:val="02Date"/>
            </w:pPr>
            <w:r w:rsidRPr="00222D9B">
              <w:lastRenderedPageBreak/>
              <w:t xml:space="preserve">Date: </w:t>
            </w:r>
            <w:r w:rsidR="00F77601">
              <w:t>1</w:t>
            </w:r>
            <w:r w:rsidR="00395EF9">
              <w:t xml:space="preserve"> </w:t>
            </w:r>
            <w:r w:rsidR="00F77601">
              <w:t xml:space="preserve">October </w:t>
            </w:r>
            <w:r w:rsidR="00486C17" w:rsidRPr="00222D9B">
              <w:t>201</w:t>
            </w:r>
            <w:r w:rsidR="006F57F2" w:rsidRPr="00222D9B">
              <w:t>4</w:t>
            </w:r>
          </w:p>
          <w:p w:rsidR="001C31C3" w:rsidRPr="00E679BA" w:rsidRDefault="006B342B" w:rsidP="002777CA">
            <w:pPr>
              <w:pStyle w:val="02Date"/>
            </w:pPr>
            <w:r>
              <w:t>ESMA/</w:t>
            </w:r>
            <w:r w:rsidR="001C31C3">
              <w:t>2014/1185 Reply Form</w:t>
            </w:r>
          </w:p>
        </w:tc>
      </w:tr>
    </w:tbl>
    <w:p w:rsidR="00F574D0" w:rsidRPr="00321CD3" w:rsidRDefault="00F574D0" w:rsidP="00F574D0">
      <w:pPr>
        <w:pStyle w:val="05HeadlinenoIndex"/>
      </w:pPr>
      <w:bookmarkStart w:id="1" w:name="_Toc280628648"/>
      <w:r w:rsidRPr="00321CD3">
        <w:t xml:space="preserve">Responding to this paper </w:t>
      </w:r>
    </w:p>
    <w:p w:rsidR="00F574D0" w:rsidRDefault="00F574D0" w:rsidP="00F574D0">
      <w:pPr>
        <w:pStyle w:val="04BodyText"/>
        <w:spacing w:before="120" w:after="120"/>
      </w:pPr>
      <w:r w:rsidRPr="00321CD3">
        <w:t>The European Securities and Markets Autho</w:t>
      </w:r>
      <w:r>
        <w:t>rity (ESMA) invites responses</w:t>
      </w:r>
      <w:r w:rsidRPr="00321CD3">
        <w:t xml:space="preserve"> </w:t>
      </w:r>
      <w:r>
        <w:t xml:space="preserve">to </w:t>
      </w:r>
      <w:r w:rsidRPr="00321CD3">
        <w:t xml:space="preserve">the specific questions listed in </w:t>
      </w:r>
      <w:r>
        <w:t xml:space="preserve">the ESMA </w:t>
      </w:r>
      <w:r w:rsidR="005F01C0">
        <w:t>Consultation Paper -</w:t>
      </w:r>
      <w:r w:rsidR="005F01C0" w:rsidRPr="005F01C0">
        <w:t xml:space="preserve"> </w:t>
      </w:r>
      <w:r w:rsidR="0004462D" w:rsidRPr="0004462D">
        <w:t>Clearing Obligation under EMIR (no. 3)</w:t>
      </w:r>
      <w:r w:rsidR="00015B5E">
        <w:t xml:space="preserve">, </w:t>
      </w:r>
      <w:r w:rsidR="00015B5E" w:rsidRPr="00015B5E">
        <w:t>published</w:t>
      </w:r>
      <w:r w:rsidR="00015B5E">
        <w:t xml:space="preserve"> on the ESMA website</w:t>
      </w:r>
      <w:r w:rsidR="001C31C3">
        <w:t>.</w:t>
      </w:r>
    </w:p>
    <w:p w:rsidR="001C31C3" w:rsidRPr="0081710D" w:rsidRDefault="001C31C3" w:rsidP="001C31C3">
      <w:pPr>
        <w:pStyle w:val="04bList"/>
        <w:numPr>
          <w:ilvl w:val="0"/>
          <w:numId w:val="0"/>
        </w:numPr>
        <w:spacing w:before="120" w:after="120"/>
      </w:pPr>
      <w:r w:rsidRPr="0081710D">
        <w:t>Responses are most helpful:</w:t>
      </w:r>
    </w:p>
    <w:p w:rsidR="001C31C3" w:rsidRPr="0081710D" w:rsidRDefault="001C31C3" w:rsidP="001C31C3">
      <w:pPr>
        <w:pStyle w:val="04bList"/>
        <w:numPr>
          <w:ilvl w:val="0"/>
          <w:numId w:val="32"/>
        </w:numPr>
        <w:spacing w:before="120" w:after="120"/>
      </w:pPr>
      <w:r w:rsidRPr="0081710D">
        <w:t>if they respond to the question stated;</w:t>
      </w:r>
    </w:p>
    <w:p w:rsidR="001C31C3" w:rsidRPr="0081710D" w:rsidRDefault="001C31C3" w:rsidP="001C31C3">
      <w:pPr>
        <w:pStyle w:val="04bList"/>
        <w:numPr>
          <w:ilvl w:val="0"/>
          <w:numId w:val="32"/>
        </w:numPr>
        <w:spacing w:before="120" w:after="120"/>
      </w:pPr>
      <w:r w:rsidRPr="0081710D">
        <w:t>contain a clear rationale, including on any related costs and benefits; and</w:t>
      </w:r>
    </w:p>
    <w:p w:rsidR="001C31C3" w:rsidRPr="0081710D" w:rsidRDefault="001C31C3" w:rsidP="001C31C3">
      <w:pPr>
        <w:pStyle w:val="04bList"/>
        <w:numPr>
          <w:ilvl w:val="0"/>
          <w:numId w:val="32"/>
        </w:numPr>
        <w:spacing w:before="120" w:after="120"/>
      </w:pPr>
      <w:r w:rsidRPr="0081710D">
        <w:t>describe any alternatives that ESMA should consider</w:t>
      </w:r>
    </w:p>
    <w:p w:rsidR="001C31C3" w:rsidRPr="0081710D" w:rsidRDefault="001C31C3" w:rsidP="001C31C3">
      <w:pPr>
        <w:pStyle w:val="04bList"/>
        <w:numPr>
          <w:ilvl w:val="0"/>
          <w:numId w:val="0"/>
        </w:numPr>
        <w:spacing w:before="120" w:after="120"/>
      </w:pPr>
      <w:r w:rsidRPr="004E1A0F">
        <w:t>To help you navigate this document more easily, bookmarks are available in “Navigation Pane” for Word 2010 and in “Document Map” for Word 2007.</w:t>
      </w:r>
    </w:p>
    <w:p w:rsidR="001C31C3" w:rsidRPr="0081710D" w:rsidRDefault="001C31C3" w:rsidP="001C31C3">
      <w:pPr>
        <w:pStyle w:val="04BodyText"/>
        <w:spacing w:before="120" w:after="120"/>
      </w:pPr>
      <w:r w:rsidRPr="0081710D">
        <w:t xml:space="preserve">Responses must reach us by </w:t>
      </w:r>
      <w:r>
        <w:rPr>
          <w:b/>
        </w:rPr>
        <w:t>6 November 2014</w:t>
      </w:r>
      <w:r w:rsidRPr="0081710D">
        <w:t xml:space="preserve">. </w:t>
      </w:r>
    </w:p>
    <w:p w:rsidR="00F574D0" w:rsidRDefault="001C31C3" w:rsidP="00F574D0">
      <w:pPr>
        <w:pStyle w:val="04BodyText"/>
        <w:spacing w:before="120" w:after="120"/>
      </w:pPr>
      <w:r w:rsidRPr="00321CD3">
        <w:t xml:space="preserve">All contributions should be submitted online at </w:t>
      </w:r>
      <w:hyperlink r:id="rId13" w:history="1">
        <w:r w:rsidRPr="00321CD3">
          <w:rPr>
            <w:rStyle w:val="Hyperlink"/>
          </w:rPr>
          <w:t>www.esma.europa.eu</w:t>
        </w:r>
      </w:hyperlink>
      <w:r w:rsidRPr="00321CD3">
        <w:t xml:space="preserve"> under the heading ‘Your input/Consultations’. </w:t>
      </w:r>
    </w:p>
    <w:p w:rsidR="00F574D0" w:rsidRPr="00F574D0" w:rsidRDefault="00F574D0" w:rsidP="001C31C3">
      <w:pPr>
        <w:pStyle w:val="05HeadlinenoIndex"/>
        <w:rPr>
          <w:rFonts w:cs="Georgia"/>
          <w:b w:val="0"/>
          <w:bCs/>
          <w:i/>
          <w:color w:val="000000"/>
          <w:szCs w:val="20"/>
          <w:lang w:eastAsia="en-GB"/>
        </w:rPr>
      </w:pPr>
      <w:r w:rsidRPr="001C31C3">
        <w:t>Instructions</w:t>
      </w:r>
    </w:p>
    <w:p w:rsidR="00F574D0" w:rsidRPr="0081710D" w:rsidRDefault="00D75FEE" w:rsidP="00F574D0">
      <w:pPr>
        <w:pStyle w:val="04BodyText"/>
        <w:spacing w:before="120" w:after="120"/>
      </w:pPr>
      <w:r w:rsidRPr="00D75FEE">
        <w:t xml:space="preserve">Please note that, in order to facilitate the analysis of the responses, you are requested to use this file to send your response to ESMA so as to allow us to process it properly. Therefore, please follow </w:t>
      </w:r>
      <w:r>
        <w:t>the instructions described below</w:t>
      </w:r>
      <w:r w:rsidR="00F574D0" w:rsidRPr="0081710D">
        <w:t>:</w:t>
      </w:r>
    </w:p>
    <w:p w:rsidR="00F574D0" w:rsidRPr="00C0197A" w:rsidRDefault="00F574D0" w:rsidP="00F574D0">
      <w:pPr>
        <w:pStyle w:val="04bList"/>
        <w:numPr>
          <w:ilvl w:val="0"/>
          <w:numId w:val="5"/>
        </w:numPr>
        <w:spacing w:before="120" w:after="120"/>
        <w:ind w:left="720"/>
      </w:pPr>
      <w:r w:rsidRPr="00C0197A">
        <w:t xml:space="preserve">use this </w:t>
      </w:r>
      <w:r w:rsidR="003F5C06">
        <w:t>form</w:t>
      </w:r>
      <w:r w:rsidRPr="00C0197A">
        <w:t xml:space="preserve"> and send </w:t>
      </w:r>
      <w:r w:rsidR="00D75FEE">
        <w:t>your</w:t>
      </w:r>
      <w:r w:rsidRPr="00C0197A">
        <w:t xml:space="preserve"> response</w:t>
      </w:r>
      <w:r>
        <w:t>s</w:t>
      </w:r>
      <w:r w:rsidRPr="00C0197A">
        <w:t xml:space="preserve"> in Word format;</w:t>
      </w:r>
    </w:p>
    <w:p w:rsidR="00F574D0" w:rsidRPr="0081710D" w:rsidRDefault="00D75FEE" w:rsidP="00F574D0">
      <w:pPr>
        <w:pStyle w:val="04bList"/>
        <w:numPr>
          <w:ilvl w:val="0"/>
          <w:numId w:val="5"/>
        </w:numPr>
        <w:spacing w:before="120" w:after="120"/>
        <w:ind w:left="720"/>
      </w:pPr>
      <w:r>
        <w:t xml:space="preserve">do </w:t>
      </w:r>
      <w:r w:rsidR="00F574D0" w:rsidRPr="0081710D">
        <w:t>not remove the tags of type &lt;</w:t>
      </w:r>
      <w:r w:rsidR="00395EF9" w:rsidRPr="00395EF9">
        <w:t xml:space="preserve"> </w:t>
      </w:r>
      <w:r w:rsidR="00395EF9">
        <w:t>ESMA_</w:t>
      </w:r>
      <w:r w:rsidR="002777CA">
        <w:t>CA3</w:t>
      </w:r>
      <w:r w:rsidR="00395EF9">
        <w:t>_QUESTION</w:t>
      </w:r>
      <w:r w:rsidR="00E9344E">
        <w:t>_</w:t>
      </w:r>
      <w:r w:rsidR="00F574D0" w:rsidRPr="0081710D">
        <w:t>1&gt; - i.e. the response to one question has to be framed by the 2 tags corresponding to the question; and</w:t>
      </w:r>
    </w:p>
    <w:p w:rsidR="00F574D0" w:rsidRPr="00321CD3" w:rsidRDefault="00F574D0" w:rsidP="00F574D0">
      <w:pPr>
        <w:pStyle w:val="04bList"/>
        <w:numPr>
          <w:ilvl w:val="0"/>
          <w:numId w:val="5"/>
        </w:numPr>
        <w:spacing w:before="120" w:after="120"/>
        <w:ind w:left="720"/>
      </w:pPr>
      <w:r w:rsidRPr="0081710D">
        <w:t xml:space="preserve">if </w:t>
      </w:r>
      <w:r w:rsidR="00D75FEE">
        <w:t>you do not have a</w:t>
      </w:r>
      <w:r w:rsidRPr="0081710D">
        <w:t xml:space="preserve"> response to a question, </w:t>
      </w:r>
      <w:r w:rsidR="00D75FEE">
        <w:t xml:space="preserve">do </w:t>
      </w:r>
      <w:r w:rsidRPr="0081710D">
        <w:t>not delete it and leave the text “TYPE YOUR TEXT HERE” between the tags.</w:t>
      </w:r>
    </w:p>
    <w:p w:rsidR="00F574D0" w:rsidRPr="001C31C3" w:rsidRDefault="00F574D0" w:rsidP="001C31C3">
      <w:pPr>
        <w:pStyle w:val="05HeadlinenoIndex"/>
      </w:pPr>
      <w:bookmarkStart w:id="2" w:name="_Toc335141334"/>
      <w:r w:rsidRPr="001C31C3">
        <w:t>Publication of responses</w:t>
      </w:r>
      <w:bookmarkEnd w:id="2"/>
    </w:p>
    <w:p w:rsidR="00F574D0" w:rsidRPr="0081710D" w:rsidRDefault="00F574D0" w:rsidP="00F574D0">
      <w:pPr>
        <w:pStyle w:val="04BodyText"/>
        <w:spacing w:before="120" w:after="120"/>
      </w:pPr>
      <w:r w:rsidRPr="0081710D">
        <w:t xml:space="preserve">All contributions received will be published following the end of the consultation period, unless otherwise requested. </w:t>
      </w:r>
      <w:r w:rsidRPr="0081710D">
        <w:rPr>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81710D">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F574D0" w:rsidRPr="001C31C3" w:rsidRDefault="00F574D0" w:rsidP="001C31C3">
      <w:pPr>
        <w:pStyle w:val="05HeadlinenoIndex"/>
      </w:pPr>
      <w:bookmarkStart w:id="3" w:name="_Toc335141335"/>
      <w:r w:rsidRPr="001C31C3">
        <w:t>Data protection</w:t>
      </w:r>
      <w:bookmarkEnd w:id="3"/>
    </w:p>
    <w:p w:rsidR="00F574D0" w:rsidRDefault="00F574D0" w:rsidP="00F574D0">
      <w:pPr>
        <w:autoSpaceDE w:val="0"/>
        <w:autoSpaceDN w:val="0"/>
        <w:adjustRightInd w:val="0"/>
        <w:spacing w:before="120" w:after="120" w:line="276" w:lineRule="auto"/>
        <w:jc w:val="both"/>
        <w:rPr>
          <w:szCs w:val="20"/>
        </w:rPr>
      </w:pPr>
      <w:r w:rsidRPr="00321CD3">
        <w:rPr>
          <w:szCs w:val="20"/>
        </w:rPr>
        <w:t xml:space="preserve">Information on data protection can be found at </w:t>
      </w:r>
      <w:hyperlink r:id="rId14" w:history="1">
        <w:r w:rsidRPr="00321CD3">
          <w:rPr>
            <w:rStyle w:val="Hyperlink"/>
            <w:szCs w:val="20"/>
          </w:rPr>
          <w:t>www.esma.europa.eu</w:t>
        </w:r>
      </w:hyperlink>
      <w:r w:rsidRPr="00321CD3">
        <w:rPr>
          <w:szCs w:val="20"/>
        </w:rPr>
        <w:t xml:space="preserve"> under the heading ‘Disclaimer’.</w:t>
      </w:r>
    </w:p>
    <w:bookmarkEnd w:id="1"/>
    <w:p w:rsidR="001C31C3" w:rsidRDefault="001C31C3">
      <w:pPr>
        <w:rPr>
          <w:rFonts w:cs="Arial"/>
          <w:b/>
          <w:bCs/>
          <w:kern w:val="32"/>
          <w:sz w:val="24"/>
          <w:szCs w:val="32"/>
        </w:rPr>
      </w:pPr>
      <w:r>
        <w:br w:type="page"/>
      </w:r>
    </w:p>
    <w:p w:rsidR="00F45029" w:rsidRDefault="00F45029" w:rsidP="00F45029">
      <w:pPr>
        <w:pStyle w:val="Heading1"/>
        <w:numPr>
          <w:ilvl w:val="0"/>
          <w:numId w:val="0"/>
        </w:numPr>
      </w:pPr>
      <w:r>
        <w:t>General information about respondent</w:t>
      </w:r>
    </w:p>
    <w:tbl>
      <w:tblPr>
        <w:tblStyle w:val="TableGrid"/>
        <w:tblW w:w="0" w:type="auto"/>
        <w:tblLook w:val="04A0" w:firstRow="1" w:lastRow="0" w:firstColumn="1" w:lastColumn="0" w:noHBand="0" w:noVBand="1"/>
      </w:tblPr>
      <w:tblGrid>
        <w:gridCol w:w="3428"/>
        <w:gridCol w:w="5974"/>
      </w:tblGrid>
      <w:tr w:rsidR="00F45029" w:rsidTr="008B615D">
        <w:tc>
          <w:tcPr>
            <w:tcW w:w="3510" w:type="dxa"/>
          </w:tcPr>
          <w:p w:rsidR="00F45029" w:rsidRDefault="00F45029" w:rsidP="008B615D">
            <w:r>
              <w:t>Are you representing an association?</w:t>
            </w:r>
          </w:p>
        </w:tc>
        <w:tc>
          <w:tcPr>
            <w:tcW w:w="6118" w:type="dxa"/>
          </w:tcPr>
          <w:p w:rsidR="00F45029" w:rsidRDefault="00732454" w:rsidP="008B615D">
            <w:sdt>
              <w:sdtPr>
                <w:alias w:val="Association"/>
                <w:tag w:val="Association"/>
                <w:id w:val="-1769143793"/>
                <w:placeholder>
                  <w:docPart w:val="3B73C2B6D27B46D9B117EDC939FB0C8D"/>
                </w:placeholder>
                <w:comboBox>
                  <w:listItem w:displayText="Yes" w:value="Yes"/>
                  <w:listItem w:displayText="No" w:value="No"/>
                </w:comboBox>
              </w:sdtPr>
              <w:sdtEndPr/>
              <w:sdtContent>
                <w:permStart w:id="2092568796" w:edGrp="everyone"/>
                <w:r w:rsidR="005E4B7E">
                  <w:t>Yes</w:t>
                </w:r>
                <w:permEnd w:id="2092568796"/>
              </w:sdtContent>
            </w:sdt>
          </w:p>
        </w:tc>
      </w:tr>
      <w:tr w:rsidR="00F45029" w:rsidTr="008B615D">
        <w:tc>
          <w:tcPr>
            <w:tcW w:w="3510" w:type="dxa"/>
          </w:tcPr>
          <w:p w:rsidR="00F45029" w:rsidRDefault="00F45029" w:rsidP="008B615D">
            <w:r>
              <w:t>Activity:</w:t>
            </w:r>
          </w:p>
        </w:tc>
        <w:tc>
          <w:tcPr>
            <w:tcW w:w="6118" w:type="dxa"/>
          </w:tcPr>
          <w:p w:rsidR="00F45029" w:rsidRDefault="00732454" w:rsidP="008B615D">
            <w:sdt>
              <w:sdtPr>
                <w:alias w:val="Activity"/>
                <w:tag w:val="Activity"/>
                <w:id w:val="1654095920"/>
                <w:placeholder>
                  <w:docPart w:val="5D7A0B6D2E2348BAA8507A46929D13BC"/>
                </w:placeholder>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permStart w:id="2049841970" w:edGrp="everyone"/>
                <w:r w:rsidR="005E4B7E">
                  <w:t>Regulated markets/Exchanges/Trading Systems</w:t>
                </w:r>
                <w:permEnd w:id="2049841970"/>
              </w:sdtContent>
            </w:sdt>
          </w:p>
        </w:tc>
      </w:tr>
      <w:tr w:rsidR="00F45029" w:rsidTr="008B615D">
        <w:tc>
          <w:tcPr>
            <w:tcW w:w="3510" w:type="dxa"/>
          </w:tcPr>
          <w:p w:rsidR="00F45029" w:rsidRDefault="00F45029" w:rsidP="008B615D">
            <w:r>
              <w:t>Country/Region</w:t>
            </w:r>
          </w:p>
        </w:tc>
        <w:sdt>
          <w:sdtPr>
            <w:alias w:val="Country"/>
            <w:tag w:val="Country"/>
            <w:id w:val="-1549134410"/>
            <w:placeholder>
              <w:docPart w:val="2601290A809E4F0FA43C90989CB57F49"/>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1781795756" w:edGrp="everyone" w:displacedByCustomXml="prev"/>
            <w:tc>
              <w:tcPr>
                <w:tcW w:w="6118" w:type="dxa"/>
              </w:tcPr>
              <w:p w:rsidR="00F45029" w:rsidRDefault="005E4B7E" w:rsidP="008B615D">
                <w:r>
                  <w:t>Europe</w:t>
                </w:r>
              </w:p>
            </w:tc>
            <w:permEnd w:id="1781795756" w:displacedByCustomXml="next"/>
          </w:sdtContent>
        </w:sdt>
      </w:tr>
    </w:tbl>
    <w:p w:rsidR="00CC1C71" w:rsidRDefault="00CC1C71" w:rsidP="00CC1C71"/>
    <w:p w:rsidR="00C7564E" w:rsidRDefault="00C7564E">
      <w:pPr>
        <w:rPr>
          <w:rFonts w:cs="Arial"/>
          <w:b/>
          <w:bCs/>
          <w:kern w:val="32"/>
          <w:sz w:val="24"/>
          <w:szCs w:val="32"/>
        </w:rPr>
      </w:pPr>
      <w:bookmarkStart w:id="4" w:name="_Toc392599420"/>
      <w:bookmarkStart w:id="5" w:name="_Toc390701574"/>
      <w:bookmarkStart w:id="6" w:name="_Toc398140744"/>
      <w:r>
        <w:br w:type="page"/>
      </w:r>
    </w:p>
    <w:p w:rsidR="00C7564E" w:rsidRDefault="00C7564E" w:rsidP="00C7564E">
      <w:pPr>
        <w:pStyle w:val="Heading1"/>
        <w:numPr>
          <w:ilvl w:val="0"/>
          <w:numId w:val="0"/>
        </w:numPr>
      </w:pPr>
      <w:r w:rsidRPr="004C2CD3">
        <w:t>Introduction</w:t>
      </w:r>
      <w:bookmarkEnd w:id="4"/>
    </w:p>
    <w:p w:rsidR="00C7564E" w:rsidRDefault="00C7564E" w:rsidP="00C7564E"/>
    <w:p w:rsidR="00C7564E" w:rsidRPr="008203F7" w:rsidRDefault="00C7564E" w:rsidP="00C7564E">
      <w:pPr>
        <w:rPr>
          <w:b/>
        </w:rPr>
      </w:pPr>
      <w:r w:rsidRPr="008203F7">
        <w:rPr>
          <w:b/>
        </w:rPr>
        <w:t>Please make your introductory comments below:</w:t>
      </w:r>
    </w:p>
    <w:p w:rsidR="00C7564E" w:rsidRDefault="00C7564E" w:rsidP="00C7564E"/>
    <w:p w:rsidR="00C7564E" w:rsidRDefault="00C7564E" w:rsidP="00C7564E">
      <w:r>
        <w:t>&lt;ESMA_CO3_COMMENT_1&gt;</w:t>
      </w:r>
    </w:p>
    <w:p w:rsidR="005E4B7E" w:rsidRDefault="005E4B7E" w:rsidP="005E4B7E">
      <w:pPr>
        <w:jc w:val="both"/>
        <w:rPr>
          <w:rFonts w:asciiTheme="majorHAnsi" w:hAnsiTheme="majorHAnsi"/>
          <w:sz w:val="22"/>
          <w:szCs w:val="22"/>
        </w:rPr>
      </w:pPr>
      <w:permStart w:id="1377595040" w:edGrp="everyone"/>
      <w:r w:rsidRPr="00DB50C5">
        <w:rPr>
          <w:rFonts w:asciiTheme="majorHAnsi" w:hAnsiTheme="majorHAnsi"/>
          <w:sz w:val="22"/>
          <w:szCs w:val="22"/>
        </w:rPr>
        <w:t>The Wholesale Markets Brokers’ Association (WMBA) and the London Energy Brokers’ Association (LEBA) (jointly referred to in this document as ‘WMBA’) are the European industry associations for the wholesale intermediation of organised venue and Over-the-Counter (OTC) markets in financial, energy, commodity and emissions markets and their traded derivatives</w:t>
      </w:r>
      <w:r>
        <w:rPr>
          <w:rFonts w:asciiTheme="majorHAnsi" w:hAnsiTheme="majorHAnsi"/>
          <w:sz w:val="22"/>
          <w:szCs w:val="22"/>
        </w:rPr>
        <w:t xml:space="preserve">.  </w:t>
      </w:r>
      <w:r w:rsidRPr="00DB50C5">
        <w:rPr>
          <w:rFonts w:asciiTheme="majorHAnsi" w:hAnsiTheme="majorHAnsi"/>
          <w:sz w:val="22"/>
          <w:szCs w:val="22"/>
        </w:rPr>
        <w:t>Our members act solely as intermediaries in wholesale financial markets and do not undertake any proprietary trading</w:t>
      </w:r>
      <w:r>
        <w:rPr>
          <w:rFonts w:asciiTheme="majorHAnsi" w:hAnsiTheme="majorHAnsi"/>
          <w:sz w:val="22"/>
          <w:szCs w:val="22"/>
        </w:rPr>
        <w:t xml:space="preserve">.  </w:t>
      </w:r>
      <w:r w:rsidRPr="00DB50C5">
        <w:rPr>
          <w:rFonts w:asciiTheme="majorHAnsi" w:hAnsiTheme="majorHAnsi"/>
          <w:sz w:val="22"/>
          <w:szCs w:val="22"/>
        </w:rPr>
        <w:t>As a result they are classified as Limited Activity and Limited Licence under BIPRU</w:t>
      </w:r>
      <w:r w:rsidRPr="00DB50C5">
        <w:rPr>
          <w:rStyle w:val="FootnoteReference"/>
          <w:rFonts w:asciiTheme="majorHAnsi" w:hAnsiTheme="majorHAnsi"/>
          <w:sz w:val="22"/>
          <w:szCs w:val="22"/>
        </w:rPr>
        <w:footnoteReference w:id="2"/>
      </w:r>
      <w:r w:rsidRPr="00DB50C5">
        <w:rPr>
          <w:rFonts w:asciiTheme="majorHAnsi" w:hAnsiTheme="majorHAnsi"/>
          <w:sz w:val="22"/>
          <w:szCs w:val="22"/>
        </w:rPr>
        <w:t xml:space="preserve"> and IFPRU </w:t>
      </w:r>
      <w:r w:rsidRPr="00DB50C5">
        <w:rPr>
          <w:rStyle w:val="FootnoteReference"/>
          <w:rFonts w:asciiTheme="majorHAnsi" w:hAnsiTheme="majorHAnsi"/>
          <w:sz w:val="22"/>
          <w:szCs w:val="22"/>
        </w:rPr>
        <w:footnoteReference w:id="3"/>
      </w:r>
      <w:r w:rsidRPr="00DB50C5">
        <w:rPr>
          <w:rFonts w:asciiTheme="majorHAnsi" w:hAnsiTheme="majorHAnsi"/>
          <w:sz w:val="22"/>
          <w:szCs w:val="22"/>
        </w:rPr>
        <w:t>in the UK where they carry out the vast majority of their activities regardless of home domicile of the individual holding companies</w:t>
      </w:r>
      <w:r>
        <w:rPr>
          <w:rFonts w:asciiTheme="majorHAnsi" w:hAnsiTheme="majorHAnsi"/>
          <w:sz w:val="22"/>
          <w:szCs w:val="22"/>
        </w:rPr>
        <w:t>.  WMBA members, and those organised platforms that they operate around the globe arrange and execute the vast majority of wholesale transactions in traded FX markets in general and in NDF products in particular. We note transition in recent years for tenors around one month to trade on the electronic screens redolent of the delivered spot market. Outside this tenor, both shorter and longer, the markets remain entirely voice and voice-hybrid. We note that it is rare, but not unknown, for our members to transact CCP cleared trades in the 13 principally traded currencies. Almost all transactions in NDFs however are concluded with at least one counterparty, and often both in the capacity as a prime broker.</w:t>
      </w:r>
    </w:p>
    <w:p w:rsidR="005E4B7E" w:rsidRDefault="005E4B7E" w:rsidP="005E4B7E">
      <w:pPr>
        <w:jc w:val="both"/>
        <w:rPr>
          <w:rFonts w:asciiTheme="majorHAnsi" w:hAnsiTheme="majorHAnsi"/>
          <w:sz w:val="22"/>
          <w:szCs w:val="22"/>
        </w:rPr>
      </w:pPr>
    </w:p>
    <w:p w:rsidR="005E4B7E" w:rsidRDefault="005E4B7E" w:rsidP="005E4B7E">
      <w:pPr>
        <w:jc w:val="both"/>
        <w:rPr>
          <w:rFonts w:asciiTheme="majorHAnsi" w:hAnsiTheme="majorHAnsi"/>
          <w:sz w:val="22"/>
          <w:szCs w:val="22"/>
        </w:rPr>
      </w:pPr>
      <w:r>
        <w:rPr>
          <w:rFonts w:asciiTheme="majorHAnsi" w:hAnsiTheme="majorHAnsi"/>
          <w:sz w:val="22"/>
          <w:szCs w:val="22"/>
        </w:rPr>
        <w:t>The WMBA is a firm and committed supporter of central counterparty clearing for a wide variety of prudential and liquidity reasons which translate to sound business sense, as well as those more closely related to public policy. We were equally ardent supporters of open access and competition, in this line we have been urging regulators all around the globe to address the barriers posed by an absence of interoperability and economic rents for intellectual property rights. All member firms have devoted considerable resources towards the establishment of simple and straightforward connectivity and certainty for CCP clearing over the last 5 years. These have included connectivity to many ‘middleware’ providers and most clearing houses around the world, pre-trade credit modules and client on-boarding, affirmation and confirmation protocols to enhance clearing certainty, and the development of venues at aggregate liquidity across the gamut of CCP options. We have observed the high level of demand by many wholesale market participants to access CCP clearing in order for the efficient deployment of balance sheet, especially in interest rate derivatives and therefore open access and seamless connectivity is business critical to WMBA member firms every day operation.</w:t>
      </w:r>
    </w:p>
    <w:p w:rsidR="005E4B7E" w:rsidRDefault="005E4B7E" w:rsidP="005E4B7E">
      <w:pPr>
        <w:jc w:val="both"/>
        <w:rPr>
          <w:rFonts w:asciiTheme="majorHAnsi" w:hAnsiTheme="majorHAnsi"/>
          <w:sz w:val="22"/>
          <w:szCs w:val="22"/>
        </w:rPr>
      </w:pPr>
    </w:p>
    <w:p w:rsidR="005E4B7E" w:rsidRDefault="005E4B7E" w:rsidP="005E4B7E">
      <w:pPr>
        <w:jc w:val="both"/>
        <w:rPr>
          <w:rFonts w:asciiTheme="majorHAnsi" w:hAnsiTheme="majorHAnsi"/>
          <w:sz w:val="22"/>
          <w:szCs w:val="22"/>
        </w:rPr>
      </w:pPr>
      <w:r>
        <w:rPr>
          <w:rFonts w:asciiTheme="majorHAnsi" w:hAnsiTheme="majorHAnsi"/>
          <w:sz w:val="22"/>
          <w:szCs w:val="22"/>
        </w:rPr>
        <w:t xml:space="preserve">Despite the ‘pro-clearing’ standpoint of the IDB industry outlined above, in the opinion of the WMBA, the FX NDF market presents a very different proposition than those credit and interest rate derivatives that have recently been the focus of the clearing agenda. The participants, product, size, global scope and liquidity structure are all very different. Indeed we underline that the absence of differential access and IP ownership has enabled the NDF market to be both liquid and resilient. NDF market participants, as well as those across the FX Options market desire, and should be offered a variety of CCP clearing options. This is not the case currently and has not been prior to today. Even the more established infrastructures such as LCH FX-Clear and the CME have very few clearing members in this asset class and minimal connectivity compared to the more established IRS and CDS capacity. </w:t>
      </w:r>
      <w:r w:rsidRPr="00533C05">
        <w:rPr>
          <w:rFonts w:asciiTheme="majorHAnsi" w:hAnsiTheme="majorHAnsi"/>
          <w:sz w:val="22"/>
          <w:szCs w:val="22"/>
        </w:rPr>
        <w:t xml:space="preserve">For FX NDFs there are only 20 clearing members at an entity level clearing through </w:t>
      </w:r>
      <w:r>
        <w:rPr>
          <w:rFonts w:asciiTheme="majorHAnsi" w:hAnsiTheme="majorHAnsi"/>
          <w:sz w:val="22"/>
          <w:szCs w:val="22"/>
        </w:rPr>
        <w:t>the</w:t>
      </w:r>
      <w:r w:rsidRPr="00533C05">
        <w:rPr>
          <w:rFonts w:asciiTheme="majorHAnsi" w:hAnsiTheme="majorHAnsi"/>
          <w:sz w:val="22"/>
          <w:szCs w:val="22"/>
        </w:rPr>
        <w:t xml:space="preserve"> </w:t>
      </w:r>
      <w:r>
        <w:rPr>
          <w:rFonts w:asciiTheme="majorHAnsi" w:hAnsiTheme="majorHAnsi"/>
          <w:sz w:val="22"/>
          <w:szCs w:val="22"/>
        </w:rPr>
        <w:t>prime</w:t>
      </w:r>
      <w:r w:rsidRPr="00533C05">
        <w:rPr>
          <w:rFonts w:asciiTheme="majorHAnsi" w:hAnsiTheme="majorHAnsi"/>
          <w:sz w:val="22"/>
          <w:szCs w:val="22"/>
        </w:rPr>
        <w:t xml:space="preserve"> CCP, LCH.Clearnet Ltd, of which only two clearing members currently support client clearing activity</w:t>
      </w:r>
      <w:r>
        <w:rPr>
          <w:rFonts w:asciiTheme="majorHAnsi" w:hAnsiTheme="majorHAnsi"/>
          <w:sz w:val="22"/>
          <w:szCs w:val="22"/>
        </w:rPr>
        <w:t>.</w:t>
      </w:r>
    </w:p>
    <w:p w:rsidR="005E4B7E" w:rsidRDefault="005E4B7E" w:rsidP="005E4B7E">
      <w:pPr>
        <w:jc w:val="both"/>
        <w:rPr>
          <w:rFonts w:asciiTheme="majorHAnsi" w:hAnsiTheme="majorHAnsi"/>
          <w:sz w:val="22"/>
          <w:szCs w:val="22"/>
        </w:rPr>
      </w:pPr>
    </w:p>
    <w:p w:rsidR="005E4B7E" w:rsidRDefault="005E4B7E" w:rsidP="005E4B7E">
      <w:pPr>
        <w:jc w:val="both"/>
        <w:rPr>
          <w:rFonts w:asciiTheme="majorHAnsi" w:hAnsiTheme="majorHAnsi"/>
          <w:sz w:val="22"/>
          <w:szCs w:val="22"/>
        </w:rPr>
      </w:pPr>
      <w:r>
        <w:rPr>
          <w:rFonts w:asciiTheme="majorHAnsi" w:hAnsiTheme="majorHAnsi"/>
          <w:sz w:val="22"/>
          <w:szCs w:val="22"/>
        </w:rPr>
        <w:t>Therefore, we firmly believe that the market is not presently in a position to deal with any mandate for CCP clearing beyond the proportionate costing of the Basle treatment of cleared versus uncleared derivatives. It is unlikely that such a readiness could be achieved prior to 2020. Moreover, given the extensive array of hurdles and risks that CCP clearing entails, both for the system [top down] and for the participants [bottom up] we find it difficult to understand any benefits that a mandate confers over a straightforward offering of choice to market participants.</w:t>
      </w:r>
    </w:p>
    <w:p w:rsidR="005E4B7E" w:rsidRDefault="005E4B7E" w:rsidP="005E4B7E">
      <w:pPr>
        <w:jc w:val="both"/>
        <w:rPr>
          <w:rFonts w:asciiTheme="majorHAnsi" w:hAnsiTheme="majorHAnsi"/>
          <w:sz w:val="22"/>
          <w:szCs w:val="22"/>
        </w:rPr>
      </w:pPr>
    </w:p>
    <w:p w:rsidR="005E4B7E" w:rsidRDefault="005E4B7E" w:rsidP="005E4B7E">
      <w:pPr>
        <w:jc w:val="both"/>
        <w:rPr>
          <w:rFonts w:asciiTheme="majorHAnsi" w:hAnsiTheme="majorHAnsi"/>
          <w:sz w:val="22"/>
          <w:szCs w:val="22"/>
        </w:rPr>
      </w:pPr>
      <w:r>
        <w:rPr>
          <w:rFonts w:asciiTheme="majorHAnsi" w:hAnsiTheme="majorHAnsi"/>
          <w:sz w:val="22"/>
          <w:szCs w:val="22"/>
        </w:rPr>
        <w:t xml:space="preserve">Without entering into undue detail the following characteristics make the FX NDF market unsuitable for any CCP clearing mandate: </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sidRPr="0026007A">
        <w:rPr>
          <w:rFonts w:asciiTheme="majorHAnsi" w:hAnsiTheme="majorHAnsi"/>
          <w:b/>
          <w:sz w:val="22"/>
          <w:szCs w:val="22"/>
        </w:rPr>
        <w:t>Size</w:t>
      </w:r>
      <w:r>
        <w:rPr>
          <w:rFonts w:asciiTheme="majorHAnsi" w:hAnsiTheme="majorHAnsi"/>
          <w:sz w:val="22"/>
          <w:szCs w:val="22"/>
        </w:rPr>
        <w:t>: T</w:t>
      </w:r>
      <w:r w:rsidRPr="0026007A">
        <w:rPr>
          <w:rFonts w:asciiTheme="majorHAnsi" w:hAnsiTheme="majorHAnsi"/>
          <w:sz w:val="22"/>
          <w:szCs w:val="22"/>
        </w:rPr>
        <w:t xml:space="preserve">he FX NDF market is significantly smaller than </w:t>
      </w:r>
      <w:r>
        <w:rPr>
          <w:rFonts w:asciiTheme="majorHAnsi" w:hAnsiTheme="majorHAnsi"/>
          <w:sz w:val="22"/>
          <w:szCs w:val="22"/>
        </w:rPr>
        <w:t xml:space="preserve">those </w:t>
      </w:r>
      <w:r w:rsidRPr="0026007A">
        <w:rPr>
          <w:rFonts w:asciiTheme="majorHAnsi" w:hAnsiTheme="majorHAnsi"/>
          <w:sz w:val="22"/>
          <w:szCs w:val="22"/>
        </w:rPr>
        <w:t>other OTC derivative asset classes</w:t>
      </w:r>
      <w:r>
        <w:rPr>
          <w:rFonts w:asciiTheme="majorHAnsi" w:hAnsiTheme="majorHAnsi"/>
          <w:sz w:val="22"/>
          <w:szCs w:val="22"/>
        </w:rPr>
        <w:t xml:space="preserve"> currently being considered on either side of the Atlantic for a clearing mandate. As outlined in the ESMA CP, it is also a very small part of the FX market.</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sidRPr="0026007A">
        <w:rPr>
          <w:rFonts w:asciiTheme="majorHAnsi" w:hAnsiTheme="majorHAnsi"/>
          <w:b/>
          <w:sz w:val="22"/>
          <w:szCs w:val="22"/>
        </w:rPr>
        <w:t>Establishment</w:t>
      </w:r>
      <w:r>
        <w:rPr>
          <w:rFonts w:asciiTheme="majorHAnsi" w:hAnsiTheme="majorHAnsi"/>
          <w:sz w:val="22"/>
          <w:szCs w:val="22"/>
        </w:rPr>
        <w:t xml:space="preserve">: CCP clearing of any FX products, least of all the NDFs is a very new and immature infrastructure. We include the longstanding but purely tertiary clearing of DCMs in the US in this comment. </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sidRPr="006C0718">
        <w:rPr>
          <w:rFonts w:asciiTheme="majorHAnsi" w:hAnsiTheme="majorHAnsi"/>
          <w:b/>
          <w:sz w:val="22"/>
          <w:szCs w:val="22"/>
        </w:rPr>
        <w:t>Netting Sets</w:t>
      </w:r>
      <w:r w:rsidRPr="009F52AC">
        <w:rPr>
          <w:rFonts w:asciiTheme="majorHAnsi" w:hAnsiTheme="majorHAnsi"/>
          <w:sz w:val="22"/>
          <w:szCs w:val="22"/>
        </w:rPr>
        <w:t xml:space="preserve">: </w:t>
      </w:r>
      <w:r>
        <w:rPr>
          <w:rFonts w:asciiTheme="majorHAnsi" w:hAnsiTheme="majorHAnsi"/>
          <w:sz w:val="22"/>
          <w:szCs w:val="22"/>
        </w:rPr>
        <w:t xml:space="preserve">Placing a clearing mandate around one small section of a risk set serves to fragment markets and gross-up normally offsetting risks in portfolios. Most of the underlying assets, receivables or positions in regional emerging markets are not going to be CCP cleared inside the EU. </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Pr>
          <w:rFonts w:asciiTheme="majorHAnsi" w:hAnsiTheme="majorHAnsi"/>
          <w:b/>
          <w:sz w:val="22"/>
          <w:szCs w:val="22"/>
        </w:rPr>
        <w:t>Trading Protocols and Clearing Certainty</w:t>
      </w:r>
      <w:r w:rsidRPr="009F52AC">
        <w:rPr>
          <w:rFonts w:asciiTheme="majorHAnsi" w:hAnsiTheme="majorHAnsi"/>
          <w:sz w:val="22"/>
          <w:szCs w:val="22"/>
        </w:rPr>
        <w:t xml:space="preserve">: </w:t>
      </w:r>
      <w:r>
        <w:rPr>
          <w:rFonts w:asciiTheme="majorHAnsi" w:hAnsiTheme="majorHAnsi"/>
          <w:sz w:val="22"/>
          <w:szCs w:val="22"/>
        </w:rPr>
        <w:t xml:space="preserve">In markets which operate largely as voice/hybrid and universally operate across geographical regions it adds considerable complications for the participants to guaranty novation and clearing certainty until some point after the trade has been alleged. This puts a degree of doubt into market pricing and serves to ‘ration’ best pricing only to those prime self-clearing counterparties and their fully on-boarded </w:t>
      </w:r>
      <w:r w:rsidRPr="006F3320">
        <w:rPr>
          <w:rFonts w:asciiTheme="majorHAnsi" w:hAnsiTheme="majorHAnsi"/>
          <w:sz w:val="22"/>
          <w:szCs w:val="22"/>
        </w:rPr>
        <w:t>clients</w:t>
      </w:r>
      <w:r>
        <w:rPr>
          <w:rFonts w:asciiTheme="majorHAnsi" w:hAnsiTheme="majorHAnsi"/>
          <w:sz w:val="22"/>
          <w:szCs w:val="22"/>
        </w:rPr>
        <w:t xml:space="preserve">. Additionally the uncertainty with regards to </w:t>
      </w:r>
      <w:r w:rsidRPr="006F3320">
        <w:rPr>
          <w:rFonts w:asciiTheme="majorHAnsi" w:hAnsiTheme="majorHAnsi"/>
          <w:i/>
          <w:sz w:val="22"/>
          <w:szCs w:val="22"/>
        </w:rPr>
        <w:t>Void-ab-Initio</w:t>
      </w:r>
      <w:r>
        <w:rPr>
          <w:rFonts w:asciiTheme="majorHAnsi" w:hAnsiTheme="majorHAnsi"/>
          <w:sz w:val="22"/>
          <w:szCs w:val="22"/>
        </w:rPr>
        <w:t xml:space="preserve"> versus bilateral settlement is very disruptive to wholesale counterparties.  </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sidRPr="009F52AC">
        <w:rPr>
          <w:rFonts w:asciiTheme="majorHAnsi" w:hAnsiTheme="majorHAnsi"/>
          <w:b/>
          <w:sz w:val="22"/>
          <w:szCs w:val="22"/>
        </w:rPr>
        <w:t>Liquidity Fragmentation</w:t>
      </w:r>
      <w:r>
        <w:rPr>
          <w:rFonts w:asciiTheme="majorHAnsi" w:hAnsiTheme="majorHAnsi"/>
          <w:sz w:val="22"/>
          <w:szCs w:val="22"/>
        </w:rPr>
        <w:t>: For venues to offer liquid markets into one primary clearing pool for a set of wholesale participants able to self-clear has proved difficult but possible in credit markets and some interest rate markets; however for venues to offer multiple CCP liquidity pools, to assess pre trade credit between those and to assess their equivalence across borders and regions can only serve to diminish market utility to its participants.</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sidRPr="006C0718">
        <w:rPr>
          <w:rFonts w:asciiTheme="majorHAnsi" w:hAnsiTheme="majorHAnsi"/>
          <w:b/>
          <w:sz w:val="22"/>
          <w:szCs w:val="22"/>
        </w:rPr>
        <w:t>Geography</w:t>
      </w:r>
      <w:r>
        <w:rPr>
          <w:rFonts w:asciiTheme="majorHAnsi" w:hAnsiTheme="majorHAnsi"/>
          <w:sz w:val="22"/>
          <w:szCs w:val="22"/>
        </w:rPr>
        <w:t>: Placing a clearing mandate around one small geographical subset of a traded market serves to encourage migration, to fragment market liquidity and gross-up normally offsetting risks in portfolios</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sidRPr="006C0718">
        <w:rPr>
          <w:rFonts w:asciiTheme="majorHAnsi" w:hAnsiTheme="majorHAnsi"/>
          <w:b/>
          <w:sz w:val="22"/>
          <w:szCs w:val="22"/>
        </w:rPr>
        <w:t>Collateral</w:t>
      </w:r>
      <w:r>
        <w:rPr>
          <w:rFonts w:asciiTheme="majorHAnsi" w:hAnsiTheme="majorHAnsi"/>
          <w:sz w:val="22"/>
          <w:szCs w:val="22"/>
        </w:rPr>
        <w:t xml:space="preserve">: Given that the collateral will be in assets not the same as those being cleared (one cannot margin using an FX pair) the imposition of clearing creates systemic risks and linkages not related to the underlying markets. </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Pr>
          <w:rFonts w:asciiTheme="majorHAnsi" w:hAnsiTheme="majorHAnsi"/>
          <w:b/>
          <w:sz w:val="22"/>
          <w:szCs w:val="22"/>
        </w:rPr>
        <w:t>Margining</w:t>
      </w:r>
      <w:r w:rsidRPr="008B481F">
        <w:rPr>
          <w:rFonts w:asciiTheme="majorHAnsi" w:hAnsiTheme="majorHAnsi"/>
          <w:sz w:val="22"/>
          <w:szCs w:val="22"/>
        </w:rPr>
        <w:t>:</w:t>
      </w:r>
      <w:r>
        <w:rPr>
          <w:rFonts w:asciiTheme="majorHAnsi" w:hAnsiTheme="majorHAnsi"/>
          <w:sz w:val="22"/>
          <w:szCs w:val="22"/>
        </w:rPr>
        <w:t xml:space="preserve"> given that the underlying markets are voice-hybrid and essentially illiquid, establishing variation margin prices is an approximate and risky process. Evidently there is a circular and self-fulfilling paradox present whereby those FX markets that are not deliverable and illiquid are those considered to mandated mutualisation and taxpayer subsidy [via CCP access to central bank money] in third countries such as the EU.</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sidRPr="006C0718">
        <w:rPr>
          <w:rFonts w:asciiTheme="majorHAnsi" w:hAnsiTheme="majorHAnsi"/>
          <w:b/>
          <w:sz w:val="22"/>
          <w:szCs w:val="22"/>
        </w:rPr>
        <w:t>Costs</w:t>
      </w:r>
      <w:r>
        <w:rPr>
          <w:rFonts w:asciiTheme="majorHAnsi" w:hAnsiTheme="majorHAnsi"/>
          <w:sz w:val="22"/>
          <w:szCs w:val="22"/>
        </w:rPr>
        <w:t>: Whilst CCP access and connectivity is relatively simple for those ‘self-clearing’ participants, it is a costly and burdensome imposition for all other participants for a wide variety of obligations. We note here that given the choice, the market has clearly opted to use Prime Brokerage services in this respect.</w:t>
      </w:r>
    </w:p>
    <w:p w:rsidR="005E4B7E"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sidRPr="006C0718">
        <w:rPr>
          <w:rFonts w:asciiTheme="majorHAnsi" w:hAnsiTheme="majorHAnsi"/>
          <w:b/>
          <w:sz w:val="22"/>
          <w:szCs w:val="22"/>
        </w:rPr>
        <w:t>Benefits</w:t>
      </w:r>
      <w:r>
        <w:rPr>
          <w:rFonts w:asciiTheme="majorHAnsi" w:hAnsiTheme="majorHAnsi"/>
          <w:sz w:val="22"/>
          <w:szCs w:val="22"/>
        </w:rPr>
        <w:t>: There are no immediate and apparent benefits for requiring those trades not otherwise efficient under CCP clearing to be coerced into these infrastructures</w:t>
      </w:r>
    </w:p>
    <w:p w:rsidR="005E4B7E" w:rsidRPr="0026007A" w:rsidRDefault="005E4B7E" w:rsidP="005E4B7E">
      <w:pPr>
        <w:pStyle w:val="ListParagraph"/>
        <w:widowControl w:val="0"/>
        <w:numPr>
          <w:ilvl w:val="0"/>
          <w:numId w:val="37"/>
        </w:numPr>
        <w:suppressAutoHyphens/>
        <w:autoSpaceDN w:val="0"/>
        <w:jc w:val="both"/>
        <w:textAlignment w:val="baseline"/>
        <w:rPr>
          <w:rFonts w:asciiTheme="majorHAnsi" w:hAnsiTheme="majorHAnsi"/>
          <w:sz w:val="22"/>
          <w:szCs w:val="22"/>
        </w:rPr>
      </w:pPr>
      <w:r>
        <w:rPr>
          <w:rFonts w:asciiTheme="majorHAnsi" w:hAnsiTheme="majorHAnsi"/>
          <w:b/>
          <w:sz w:val="22"/>
          <w:szCs w:val="22"/>
        </w:rPr>
        <w:t>Third Countries</w:t>
      </w:r>
      <w:r w:rsidRPr="008B481F">
        <w:rPr>
          <w:rFonts w:asciiTheme="majorHAnsi" w:hAnsiTheme="majorHAnsi"/>
          <w:sz w:val="22"/>
          <w:szCs w:val="22"/>
        </w:rPr>
        <w:t>:</w:t>
      </w:r>
      <w:r>
        <w:rPr>
          <w:rFonts w:asciiTheme="majorHAnsi" w:hAnsiTheme="majorHAnsi"/>
          <w:sz w:val="22"/>
          <w:szCs w:val="22"/>
        </w:rPr>
        <w:t xml:space="preserve"> Without full and reciprocal equivalence between the EU and those countries whose currencies would be mandated, we believe that trade barriers, uneven playing fields and asset migration could ensue.</w:t>
      </w:r>
    </w:p>
    <w:p w:rsidR="005E4B7E" w:rsidRDefault="005E4B7E" w:rsidP="005E4B7E">
      <w:pPr>
        <w:jc w:val="both"/>
        <w:rPr>
          <w:rFonts w:asciiTheme="majorHAnsi" w:hAnsiTheme="majorHAnsi"/>
          <w:sz w:val="22"/>
          <w:szCs w:val="22"/>
        </w:rPr>
      </w:pPr>
    </w:p>
    <w:p w:rsidR="005E4B7E" w:rsidRDefault="005E4B7E" w:rsidP="005E4B7E">
      <w:pPr>
        <w:jc w:val="both"/>
        <w:rPr>
          <w:rFonts w:asciiTheme="majorHAnsi" w:hAnsiTheme="majorHAnsi"/>
          <w:sz w:val="22"/>
          <w:szCs w:val="22"/>
        </w:rPr>
      </w:pPr>
      <w:r>
        <w:rPr>
          <w:rFonts w:asciiTheme="majorHAnsi" w:hAnsiTheme="majorHAnsi"/>
          <w:sz w:val="22"/>
          <w:szCs w:val="22"/>
        </w:rPr>
        <w:t>There are related issues that whilst neither conferred upon ESMA as a level 2 mandate under EMIR, nor especially the sole province of structural and conduct regulation in the EU, but still need to be borne in mind when considering the issues in scope here. These relate to the overall objectives and relative importance priorities in the set of market regulations currently being implemented:</w:t>
      </w:r>
    </w:p>
    <w:p w:rsidR="005E4B7E" w:rsidRDefault="005E4B7E" w:rsidP="005E4B7E">
      <w:pPr>
        <w:pStyle w:val="ListParagraph"/>
        <w:widowControl w:val="0"/>
        <w:numPr>
          <w:ilvl w:val="0"/>
          <w:numId w:val="38"/>
        </w:numPr>
        <w:suppressAutoHyphens/>
        <w:autoSpaceDN w:val="0"/>
        <w:jc w:val="both"/>
        <w:textAlignment w:val="baseline"/>
        <w:rPr>
          <w:rFonts w:asciiTheme="majorHAnsi" w:hAnsiTheme="majorHAnsi"/>
          <w:sz w:val="22"/>
          <w:szCs w:val="22"/>
        </w:rPr>
      </w:pPr>
      <w:r>
        <w:rPr>
          <w:rFonts w:asciiTheme="majorHAnsi" w:hAnsiTheme="majorHAnsi"/>
          <w:sz w:val="22"/>
          <w:szCs w:val="22"/>
        </w:rPr>
        <w:t>Clearing for NDFs by Banks in the EU as ‘self-clearers’ with sufficiently large portfolios to benefit from cross netting</w:t>
      </w:r>
    </w:p>
    <w:p w:rsidR="005E4B7E" w:rsidRDefault="005E4B7E" w:rsidP="005E4B7E">
      <w:pPr>
        <w:pStyle w:val="ListParagraph"/>
        <w:widowControl w:val="0"/>
        <w:numPr>
          <w:ilvl w:val="0"/>
          <w:numId w:val="38"/>
        </w:numPr>
        <w:suppressAutoHyphens/>
        <w:autoSpaceDN w:val="0"/>
        <w:jc w:val="both"/>
        <w:textAlignment w:val="baseline"/>
        <w:rPr>
          <w:rFonts w:asciiTheme="majorHAnsi" w:hAnsiTheme="majorHAnsi"/>
          <w:sz w:val="22"/>
          <w:szCs w:val="22"/>
        </w:rPr>
      </w:pPr>
      <w:r>
        <w:rPr>
          <w:rFonts w:asciiTheme="majorHAnsi" w:hAnsiTheme="majorHAnsi"/>
          <w:sz w:val="22"/>
          <w:szCs w:val="22"/>
        </w:rPr>
        <w:t>Clearing for NDFs by all counterparties in the EU who will likely need to break netting sets</w:t>
      </w:r>
    </w:p>
    <w:p w:rsidR="005E4B7E" w:rsidRDefault="005E4B7E" w:rsidP="005E4B7E">
      <w:pPr>
        <w:pStyle w:val="ListParagraph"/>
        <w:widowControl w:val="0"/>
        <w:numPr>
          <w:ilvl w:val="0"/>
          <w:numId w:val="38"/>
        </w:numPr>
        <w:suppressAutoHyphens/>
        <w:autoSpaceDN w:val="0"/>
        <w:jc w:val="both"/>
        <w:textAlignment w:val="baseline"/>
        <w:rPr>
          <w:rFonts w:asciiTheme="majorHAnsi" w:hAnsiTheme="majorHAnsi"/>
          <w:sz w:val="22"/>
          <w:szCs w:val="22"/>
        </w:rPr>
      </w:pPr>
      <w:r>
        <w:rPr>
          <w:rFonts w:asciiTheme="majorHAnsi" w:hAnsiTheme="majorHAnsi"/>
          <w:sz w:val="22"/>
          <w:szCs w:val="22"/>
        </w:rPr>
        <w:t>Preservation of Gross netting sets involving FX NDFs for all counterparties</w:t>
      </w:r>
    </w:p>
    <w:p w:rsidR="005E4B7E" w:rsidRDefault="005E4B7E" w:rsidP="005E4B7E">
      <w:pPr>
        <w:pStyle w:val="ListParagraph"/>
        <w:widowControl w:val="0"/>
        <w:numPr>
          <w:ilvl w:val="0"/>
          <w:numId w:val="38"/>
        </w:numPr>
        <w:suppressAutoHyphens/>
        <w:autoSpaceDN w:val="0"/>
        <w:jc w:val="both"/>
        <w:textAlignment w:val="baseline"/>
        <w:rPr>
          <w:rFonts w:asciiTheme="majorHAnsi" w:hAnsiTheme="majorHAnsi"/>
          <w:sz w:val="22"/>
          <w:szCs w:val="22"/>
        </w:rPr>
      </w:pPr>
      <w:r>
        <w:rPr>
          <w:rFonts w:asciiTheme="majorHAnsi" w:hAnsiTheme="majorHAnsi"/>
          <w:sz w:val="22"/>
          <w:szCs w:val="22"/>
        </w:rPr>
        <w:t>Migration of FX trading from NDF Cash settled to Delivered onshore markets</w:t>
      </w:r>
    </w:p>
    <w:p w:rsidR="005E4B7E" w:rsidRDefault="005E4B7E" w:rsidP="005E4B7E">
      <w:pPr>
        <w:pStyle w:val="ListParagraph"/>
        <w:widowControl w:val="0"/>
        <w:numPr>
          <w:ilvl w:val="0"/>
          <w:numId w:val="38"/>
        </w:numPr>
        <w:suppressAutoHyphens/>
        <w:autoSpaceDN w:val="0"/>
        <w:jc w:val="both"/>
        <w:textAlignment w:val="baseline"/>
        <w:rPr>
          <w:rFonts w:asciiTheme="majorHAnsi" w:hAnsiTheme="majorHAnsi"/>
          <w:sz w:val="22"/>
          <w:szCs w:val="22"/>
        </w:rPr>
      </w:pPr>
      <w:r>
        <w:rPr>
          <w:rFonts w:asciiTheme="majorHAnsi" w:hAnsiTheme="majorHAnsi"/>
          <w:sz w:val="22"/>
          <w:szCs w:val="22"/>
        </w:rPr>
        <w:t>Migration of NDF markets from EU to those countries whose currency is being traded</w:t>
      </w:r>
    </w:p>
    <w:p w:rsidR="005E4B7E" w:rsidRDefault="005E4B7E" w:rsidP="005E4B7E">
      <w:pPr>
        <w:pStyle w:val="ListParagraph"/>
        <w:widowControl w:val="0"/>
        <w:numPr>
          <w:ilvl w:val="0"/>
          <w:numId w:val="38"/>
        </w:numPr>
        <w:suppressAutoHyphens/>
        <w:autoSpaceDN w:val="0"/>
        <w:jc w:val="both"/>
        <w:textAlignment w:val="baseline"/>
        <w:rPr>
          <w:rFonts w:asciiTheme="majorHAnsi" w:hAnsiTheme="majorHAnsi"/>
          <w:sz w:val="22"/>
          <w:szCs w:val="22"/>
        </w:rPr>
      </w:pPr>
      <w:r>
        <w:rPr>
          <w:rFonts w:asciiTheme="majorHAnsi" w:hAnsiTheme="majorHAnsi"/>
          <w:sz w:val="22"/>
          <w:szCs w:val="22"/>
        </w:rPr>
        <w:t>Migration of NDF markets from EU to those third counties where Gross netting sets can be preserved</w:t>
      </w:r>
    </w:p>
    <w:p w:rsidR="005E4B7E" w:rsidRDefault="005E4B7E" w:rsidP="005E4B7E">
      <w:pPr>
        <w:pStyle w:val="ListParagraph"/>
        <w:widowControl w:val="0"/>
        <w:numPr>
          <w:ilvl w:val="0"/>
          <w:numId w:val="38"/>
        </w:numPr>
        <w:suppressAutoHyphens/>
        <w:autoSpaceDN w:val="0"/>
        <w:jc w:val="both"/>
        <w:textAlignment w:val="baseline"/>
        <w:rPr>
          <w:rFonts w:asciiTheme="majorHAnsi" w:hAnsiTheme="majorHAnsi"/>
          <w:sz w:val="22"/>
          <w:szCs w:val="22"/>
        </w:rPr>
      </w:pPr>
      <w:r>
        <w:rPr>
          <w:rFonts w:asciiTheme="majorHAnsi" w:hAnsiTheme="majorHAnsi"/>
          <w:sz w:val="22"/>
          <w:szCs w:val="22"/>
        </w:rPr>
        <w:t>Consolidated and heterogeneous or globally fragmented NDF liquidity pools</w:t>
      </w:r>
    </w:p>
    <w:p w:rsidR="005E4B7E" w:rsidRPr="0071476B" w:rsidRDefault="005E4B7E" w:rsidP="005E4B7E">
      <w:pPr>
        <w:jc w:val="both"/>
        <w:rPr>
          <w:rFonts w:asciiTheme="majorHAnsi" w:hAnsiTheme="majorHAnsi"/>
          <w:sz w:val="22"/>
          <w:szCs w:val="22"/>
        </w:rPr>
      </w:pPr>
      <w:r w:rsidRPr="0071476B">
        <w:rPr>
          <w:rFonts w:asciiTheme="majorHAnsi" w:hAnsiTheme="majorHAnsi"/>
          <w:sz w:val="22"/>
          <w:szCs w:val="22"/>
        </w:rPr>
        <w:t xml:space="preserve"> </w:t>
      </w:r>
    </w:p>
    <w:p w:rsidR="005E4B7E" w:rsidRPr="0071476B" w:rsidRDefault="005E4B7E" w:rsidP="005E4B7E">
      <w:pPr>
        <w:jc w:val="both"/>
        <w:rPr>
          <w:rFonts w:asciiTheme="majorHAnsi" w:hAnsiTheme="majorHAnsi"/>
          <w:sz w:val="22"/>
          <w:szCs w:val="22"/>
        </w:rPr>
      </w:pPr>
    </w:p>
    <w:p w:rsidR="005E4B7E" w:rsidRDefault="005E4B7E" w:rsidP="005E4B7E">
      <w:pPr>
        <w:pStyle w:val="Standard"/>
        <w:jc w:val="center"/>
        <w:rPr>
          <w:rFonts w:asciiTheme="majorHAnsi" w:hAnsiTheme="majorHAnsi"/>
          <w:sz w:val="22"/>
          <w:szCs w:val="22"/>
        </w:rPr>
      </w:pPr>
      <w:r w:rsidRPr="00DB50C5">
        <w:rPr>
          <w:rFonts w:asciiTheme="majorHAnsi" w:hAnsiTheme="majorHAnsi"/>
          <w:noProof/>
          <w:sz w:val="22"/>
          <w:szCs w:val="22"/>
          <w:lang w:eastAsia="en-GB" w:bidi="ar-SA"/>
        </w:rPr>
        <w:drawing>
          <wp:inline distT="0" distB="0" distL="0" distR="0" wp14:anchorId="708B4F3E" wp14:editId="2B6BE54D">
            <wp:extent cx="4532243" cy="262891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62961" cy="2646729"/>
                    </a:xfrm>
                    <a:prstGeom prst="rect">
                      <a:avLst/>
                    </a:prstGeom>
                  </pic:spPr>
                </pic:pic>
              </a:graphicData>
            </a:graphic>
          </wp:inline>
        </w:drawing>
      </w:r>
    </w:p>
    <w:p w:rsidR="005E4B7E" w:rsidRPr="00DB50C5" w:rsidRDefault="005E4B7E" w:rsidP="005E4B7E">
      <w:pPr>
        <w:pStyle w:val="Standard"/>
        <w:jc w:val="center"/>
        <w:rPr>
          <w:rFonts w:asciiTheme="majorHAnsi" w:hAnsiTheme="majorHAnsi"/>
          <w:sz w:val="22"/>
          <w:szCs w:val="22"/>
        </w:rPr>
      </w:pPr>
      <w:r w:rsidRPr="00DB50C5">
        <w:rPr>
          <w:rFonts w:asciiTheme="majorHAnsi" w:hAnsiTheme="majorHAnsi"/>
          <w:noProof/>
          <w:sz w:val="22"/>
          <w:szCs w:val="22"/>
          <w:lang w:eastAsia="en-GB" w:bidi="ar-SA"/>
        </w:rPr>
        <w:drawing>
          <wp:inline distT="0" distB="0" distL="0" distR="0" wp14:anchorId="6548847A" wp14:editId="2A0F1D6E">
            <wp:extent cx="4587405" cy="2933124"/>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06312" cy="2945213"/>
                    </a:xfrm>
                    <a:prstGeom prst="rect">
                      <a:avLst/>
                    </a:prstGeom>
                  </pic:spPr>
                </pic:pic>
              </a:graphicData>
            </a:graphic>
          </wp:inline>
        </w:drawing>
      </w:r>
    </w:p>
    <w:p w:rsidR="005E4B7E" w:rsidRDefault="005E4B7E" w:rsidP="005E4B7E">
      <w:pPr>
        <w:rPr>
          <w:rFonts w:asciiTheme="majorHAnsi" w:hAnsiTheme="majorHAnsi"/>
          <w:b/>
          <w:noProof/>
          <w:color w:val="FF0000"/>
          <w:sz w:val="22"/>
          <w:szCs w:val="22"/>
          <w:lang w:eastAsia="en-GB"/>
        </w:rPr>
      </w:pPr>
      <w:r>
        <w:rPr>
          <w:rFonts w:asciiTheme="majorHAnsi" w:hAnsiTheme="majorHAnsi"/>
          <w:b/>
          <w:noProof/>
          <w:color w:val="FF0000"/>
          <w:sz w:val="22"/>
          <w:szCs w:val="22"/>
          <w:lang w:eastAsia="en-GB"/>
        </w:rPr>
        <w:br w:type="page"/>
      </w:r>
    </w:p>
    <w:p w:rsidR="005E4B7E" w:rsidRPr="00DE01B7" w:rsidRDefault="005E4B7E" w:rsidP="005E4B7E">
      <w:pPr>
        <w:rPr>
          <w:rFonts w:asciiTheme="majorHAnsi" w:hAnsiTheme="majorHAnsi"/>
          <w:sz w:val="22"/>
          <w:szCs w:val="22"/>
        </w:rPr>
      </w:pPr>
      <w:r w:rsidRPr="00DE01B7">
        <w:rPr>
          <w:rFonts w:asciiTheme="majorHAnsi" w:hAnsiTheme="majorHAnsi"/>
          <w:sz w:val="22"/>
          <w:szCs w:val="22"/>
        </w:rPr>
        <w:t xml:space="preserve">If you would like any further information/clarification in respect of these issues, please do not hesitate to contact the persons named below.  WMBA are happy for these comments to be disclosed. </w:t>
      </w:r>
    </w:p>
    <w:p w:rsidR="005E4B7E" w:rsidRDefault="005E4B7E" w:rsidP="005E4B7E">
      <w:pPr>
        <w:spacing w:line="259" w:lineRule="auto"/>
        <w:rPr>
          <w:rFonts w:asciiTheme="majorHAnsi" w:hAnsiTheme="majorHAnsi"/>
          <w:sz w:val="22"/>
          <w:szCs w:val="22"/>
        </w:rPr>
      </w:pPr>
      <w:r>
        <w:t xml:space="preserve"> </w:t>
      </w:r>
      <w:r w:rsidRPr="00DE01B7">
        <w:rPr>
          <w:rFonts w:asciiTheme="majorHAnsi" w:hAnsiTheme="majorHAnsi"/>
          <w:sz w:val="22"/>
          <w:szCs w:val="22"/>
        </w:rPr>
        <w:t xml:space="preserve"> </w:t>
      </w:r>
    </w:p>
    <w:p w:rsidR="005E4B7E" w:rsidRPr="00DE01B7" w:rsidRDefault="005E4B7E" w:rsidP="005E4B7E">
      <w:pPr>
        <w:spacing w:line="259" w:lineRule="auto"/>
        <w:rPr>
          <w:rFonts w:asciiTheme="majorHAnsi" w:hAnsiTheme="majorHAnsi"/>
          <w:sz w:val="22"/>
          <w:szCs w:val="22"/>
        </w:rPr>
      </w:pPr>
    </w:p>
    <w:p w:rsidR="005E4B7E" w:rsidRDefault="005E4B7E" w:rsidP="005E4B7E">
      <w:pPr>
        <w:tabs>
          <w:tab w:val="center" w:pos="2160"/>
          <w:tab w:val="center" w:pos="2880"/>
          <w:tab w:val="center" w:pos="3600"/>
          <w:tab w:val="center" w:pos="4320"/>
          <w:tab w:val="center" w:pos="5040"/>
          <w:tab w:val="center" w:pos="6587"/>
        </w:tabs>
        <w:spacing w:after="26"/>
        <w:rPr>
          <w:rFonts w:asciiTheme="majorHAnsi" w:hAnsiTheme="majorHAnsi"/>
          <w:sz w:val="22"/>
          <w:szCs w:val="22"/>
        </w:rPr>
      </w:pPr>
      <w:r w:rsidRPr="00DE01B7">
        <w:rPr>
          <w:rFonts w:asciiTheme="majorHAnsi" w:hAnsiTheme="majorHAnsi"/>
          <w:sz w:val="22"/>
          <w:szCs w:val="22"/>
        </w:rPr>
        <w:t>Alex McDonald</w:t>
      </w:r>
    </w:p>
    <w:p w:rsidR="005E4B7E" w:rsidRPr="00C934E0" w:rsidRDefault="005E4B7E" w:rsidP="005E4B7E">
      <w:pPr>
        <w:tabs>
          <w:tab w:val="center" w:pos="2160"/>
          <w:tab w:val="center" w:pos="2880"/>
          <w:tab w:val="center" w:pos="3600"/>
          <w:tab w:val="center" w:pos="4320"/>
          <w:tab w:val="center" w:pos="5040"/>
          <w:tab w:val="center" w:pos="6587"/>
        </w:tabs>
        <w:spacing w:after="26"/>
        <w:rPr>
          <w:rFonts w:asciiTheme="majorHAnsi" w:hAnsiTheme="majorHAnsi"/>
          <w:sz w:val="22"/>
          <w:szCs w:val="22"/>
          <w:u w:val="single"/>
        </w:rPr>
      </w:pPr>
      <w:r w:rsidRPr="00C934E0">
        <w:rPr>
          <w:rFonts w:asciiTheme="majorHAnsi" w:hAnsiTheme="majorHAnsi"/>
          <w:sz w:val="22"/>
          <w:szCs w:val="22"/>
          <w:u w:val="single"/>
        </w:rPr>
        <w:t xml:space="preserve">Chief Executive </w:t>
      </w:r>
    </w:p>
    <w:p w:rsidR="005E4B7E" w:rsidRPr="00DE01B7" w:rsidRDefault="005E4B7E" w:rsidP="005E4B7E">
      <w:pPr>
        <w:spacing w:line="259" w:lineRule="auto"/>
        <w:rPr>
          <w:rFonts w:asciiTheme="majorHAnsi" w:hAnsiTheme="majorHAnsi"/>
          <w:sz w:val="22"/>
          <w:szCs w:val="22"/>
        </w:rPr>
      </w:pPr>
      <w:r w:rsidRPr="00DE01B7">
        <w:rPr>
          <w:rFonts w:asciiTheme="majorHAnsi" w:hAnsiTheme="majorHAnsi"/>
          <w:sz w:val="22"/>
          <w:szCs w:val="22"/>
        </w:rPr>
        <w:t xml:space="preserve"> </w:t>
      </w:r>
    </w:p>
    <w:p w:rsidR="005E4B7E" w:rsidRPr="00DE01B7" w:rsidRDefault="005E4B7E" w:rsidP="005E4B7E">
      <w:pPr>
        <w:spacing w:line="259" w:lineRule="auto"/>
        <w:rPr>
          <w:rFonts w:asciiTheme="majorHAnsi" w:hAnsiTheme="majorHAnsi"/>
          <w:sz w:val="22"/>
          <w:szCs w:val="22"/>
        </w:rPr>
      </w:pPr>
      <w:r w:rsidRPr="00DE01B7">
        <w:rPr>
          <w:rFonts w:asciiTheme="majorHAnsi" w:hAnsiTheme="majorHAnsi"/>
          <w:sz w:val="22"/>
          <w:szCs w:val="22"/>
        </w:rPr>
        <w:t xml:space="preserve"> </w:t>
      </w:r>
    </w:p>
    <w:p w:rsidR="005E4B7E" w:rsidRPr="00C934E0" w:rsidRDefault="005E4B7E" w:rsidP="005E4B7E">
      <w:pPr>
        <w:spacing w:line="259" w:lineRule="auto"/>
        <w:ind w:right="-7"/>
        <w:jc w:val="right"/>
        <w:rPr>
          <w:rFonts w:asciiTheme="majorHAnsi" w:hAnsiTheme="majorHAnsi"/>
          <w:b/>
          <w:sz w:val="22"/>
          <w:szCs w:val="22"/>
        </w:rPr>
      </w:pPr>
      <w:r w:rsidRPr="00C934E0">
        <w:rPr>
          <w:rFonts w:asciiTheme="majorHAnsi" w:hAnsiTheme="majorHAnsi"/>
          <w:b/>
          <w:sz w:val="22"/>
          <w:szCs w:val="22"/>
        </w:rPr>
        <w:t xml:space="preserve">Wholesale Markets Brokers’ Association and </w:t>
      </w:r>
    </w:p>
    <w:p w:rsidR="005E4B7E" w:rsidRPr="00C934E0" w:rsidRDefault="005E4B7E" w:rsidP="005E4B7E">
      <w:pPr>
        <w:spacing w:line="259" w:lineRule="auto"/>
        <w:ind w:right="-7"/>
        <w:jc w:val="right"/>
        <w:rPr>
          <w:rFonts w:asciiTheme="majorHAnsi" w:hAnsiTheme="majorHAnsi"/>
          <w:b/>
          <w:sz w:val="22"/>
          <w:szCs w:val="22"/>
        </w:rPr>
      </w:pPr>
      <w:r w:rsidRPr="00C934E0">
        <w:rPr>
          <w:rFonts w:asciiTheme="majorHAnsi" w:hAnsiTheme="majorHAnsi"/>
          <w:b/>
          <w:sz w:val="22"/>
          <w:szCs w:val="22"/>
        </w:rPr>
        <w:t xml:space="preserve">London Energy Brokers’ Association </w:t>
      </w:r>
    </w:p>
    <w:p w:rsidR="005E4B7E" w:rsidRPr="00DE01B7" w:rsidRDefault="005E4B7E" w:rsidP="005E4B7E">
      <w:pPr>
        <w:spacing w:line="259" w:lineRule="auto"/>
        <w:ind w:right="-7"/>
        <w:jc w:val="right"/>
        <w:rPr>
          <w:rFonts w:asciiTheme="majorHAnsi" w:hAnsiTheme="majorHAnsi"/>
          <w:sz w:val="22"/>
          <w:szCs w:val="22"/>
        </w:rPr>
      </w:pPr>
      <w:r w:rsidRPr="00DE01B7">
        <w:rPr>
          <w:rFonts w:asciiTheme="majorHAnsi" w:hAnsiTheme="majorHAnsi"/>
          <w:sz w:val="22"/>
          <w:szCs w:val="22"/>
        </w:rPr>
        <w:t xml:space="preserve">Warnford Court </w:t>
      </w:r>
    </w:p>
    <w:p w:rsidR="005E4B7E" w:rsidRPr="00DE01B7" w:rsidRDefault="005E4B7E" w:rsidP="005E4B7E">
      <w:pPr>
        <w:spacing w:line="259" w:lineRule="auto"/>
        <w:ind w:right="-7"/>
        <w:jc w:val="right"/>
        <w:rPr>
          <w:rFonts w:asciiTheme="majorHAnsi" w:hAnsiTheme="majorHAnsi"/>
          <w:sz w:val="22"/>
          <w:szCs w:val="22"/>
        </w:rPr>
      </w:pPr>
      <w:r w:rsidRPr="00DE01B7">
        <w:rPr>
          <w:rFonts w:asciiTheme="majorHAnsi" w:hAnsiTheme="majorHAnsi"/>
          <w:sz w:val="22"/>
          <w:szCs w:val="22"/>
        </w:rPr>
        <w:t xml:space="preserve">29 Throgmorton Street </w:t>
      </w:r>
    </w:p>
    <w:p w:rsidR="005E4B7E" w:rsidRPr="00DE01B7" w:rsidRDefault="005E4B7E" w:rsidP="005E4B7E">
      <w:pPr>
        <w:spacing w:line="259" w:lineRule="auto"/>
        <w:ind w:right="-7"/>
        <w:jc w:val="right"/>
        <w:rPr>
          <w:rFonts w:asciiTheme="majorHAnsi" w:hAnsiTheme="majorHAnsi"/>
          <w:sz w:val="22"/>
          <w:szCs w:val="22"/>
        </w:rPr>
      </w:pPr>
      <w:r w:rsidRPr="00DE01B7">
        <w:rPr>
          <w:rFonts w:asciiTheme="majorHAnsi" w:hAnsiTheme="majorHAnsi"/>
          <w:sz w:val="22"/>
          <w:szCs w:val="22"/>
        </w:rPr>
        <w:t xml:space="preserve">London EC2N 2AT </w:t>
      </w:r>
    </w:p>
    <w:p w:rsidR="005E4B7E" w:rsidRDefault="005E4B7E" w:rsidP="005E4B7E">
      <w:pPr>
        <w:jc w:val="right"/>
        <w:rPr>
          <w:rFonts w:asciiTheme="majorHAnsi" w:hAnsiTheme="majorHAnsi"/>
          <w:sz w:val="22"/>
          <w:szCs w:val="22"/>
        </w:rPr>
      </w:pPr>
      <w:r>
        <w:rPr>
          <w:rFonts w:asciiTheme="majorHAnsi" w:hAnsiTheme="majorHAnsi"/>
          <w:sz w:val="22"/>
          <w:szCs w:val="22"/>
        </w:rPr>
        <w:t xml:space="preserve">Telephone: 020 7947 4900 </w:t>
      </w:r>
    </w:p>
    <w:p w:rsidR="005E4B7E" w:rsidRDefault="005E4B7E" w:rsidP="005E4B7E">
      <w:pPr>
        <w:jc w:val="right"/>
        <w:rPr>
          <w:rFonts w:asciiTheme="majorHAnsi" w:hAnsiTheme="majorHAnsi"/>
          <w:sz w:val="22"/>
          <w:szCs w:val="22"/>
        </w:rPr>
      </w:pPr>
      <w:r>
        <w:rPr>
          <w:rFonts w:asciiTheme="majorHAnsi" w:hAnsiTheme="majorHAnsi"/>
          <w:sz w:val="22"/>
          <w:szCs w:val="22"/>
        </w:rPr>
        <w:t xml:space="preserve">Email: </w:t>
      </w:r>
      <w:hyperlink r:id="rId17" w:history="1">
        <w:r w:rsidRPr="009F491E">
          <w:rPr>
            <w:rStyle w:val="Hyperlink"/>
            <w:rFonts w:asciiTheme="majorHAnsi" w:hAnsiTheme="majorHAnsi"/>
            <w:sz w:val="22"/>
            <w:szCs w:val="22"/>
          </w:rPr>
          <w:t>compliance@wmba.org.uk</w:t>
        </w:r>
      </w:hyperlink>
    </w:p>
    <w:p w:rsidR="005E4B7E" w:rsidRDefault="005E4B7E" w:rsidP="005E4B7E">
      <w:pPr>
        <w:rPr>
          <w:rFonts w:asciiTheme="majorHAnsi" w:hAnsiTheme="majorHAnsi"/>
          <w:b/>
          <w:noProof/>
          <w:color w:val="FF0000"/>
          <w:sz w:val="22"/>
          <w:szCs w:val="22"/>
          <w:lang w:eastAsia="en-GB"/>
        </w:rPr>
      </w:pPr>
    </w:p>
    <w:permEnd w:id="1377595040"/>
    <w:p w:rsidR="00C7564E" w:rsidRDefault="00C7564E" w:rsidP="00C7564E">
      <w:r>
        <w:t>&lt;ESMA_CO3_COMMENT_1&gt;</w:t>
      </w:r>
    </w:p>
    <w:p w:rsidR="00CC1C71" w:rsidRPr="0058137B" w:rsidRDefault="00CC1C71" w:rsidP="00CC1C71">
      <w:pPr>
        <w:pStyle w:val="Heading2"/>
        <w:keepLines w:val="0"/>
        <w:pageBreakBefore/>
        <w:numPr>
          <w:ilvl w:val="0"/>
          <w:numId w:val="36"/>
        </w:numPr>
        <w:spacing w:before="0" w:after="250" w:line="276" w:lineRule="auto"/>
        <w:ind w:left="357" w:hanging="357"/>
        <w:jc w:val="both"/>
      </w:pPr>
      <w:r w:rsidRPr="0058137B">
        <w:t>The clearing obligation procedure</w:t>
      </w:r>
      <w:bookmarkStart w:id="7" w:name="_Toc390952336"/>
      <w:bookmarkStart w:id="8" w:name="_Toc391310566"/>
      <w:bookmarkStart w:id="9" w:name="_Toc391310591"/>
      <w:bookmarkStart w:id="10" w:name="_Toc391310651"/>
      <w:bookmarkStart w:id="11" w:name="_Toc391313043"/>
      <w:bookmarkEnd w:id="5"/>
      <w:bookmarkEnd w:id="6"/>
      <w:bookmarkEnd w:id="7"/>
      <w:bookmarkEnd w:id="8"/>
      <w:bookmarkEnd w:id="9"/>
      <w:bookmarkEnd w:id="10"/>
      <w:bookmarkEnd w:id="11"/>
    </w:p>
    <w:p w:rsidR="00CC1C71" w:rsidRDefault="00CC1C71" w:rsidP="00CC1C71"/>
    <w:p w:rsidR="00CC1C71" w:rsidRDefault="00CC1C71" w:rsidP="00CC1C71">
      <w:pPr>
        <w:pStyle w:val="Heading5"/>
      </w:pPr>
      <w:r>
        <w:t>Do you have any comment on the clearing obligation procedure described in Section 1?</w:t>
      </w:r>
    </w:p>
    <w:p w:rsidR="00CC1C71" w:rsidRDefault="00CC1C71" w:rsidP="00CC1C71"/>
    <w:p w:rsidR="00CC1C71" w:rsidRDefault="00CC1C71" w:rsidP="00CC1C71">
      <w:r>
        <w:t>&lt;ESMA_CO3_QUESTION_1&gt;</w:t>
      </w:r>
    </w:p>
    <w:p w:rsidR="005E4B7E" w:rsidRDefault="005E4B7E" w:rsidP="005E4B7E">
      <w:pPr>
        <w:rPr>
          <w:rFonts w:asciiTheme="majorHAnsi" w:hAnsiTheme="majorHAnsi"/>
          <w:noProof/>
          <w:sz w:val="22"/>
          <w:szCs w:val="22"/>
          <w:lang w:eastAsia="en-GB"/>
        </w:rPr>
      </w:pPr>
      <w:permStart w:id="101992475" w:edGrp="everyone"/>
      <w:r>
        <w:rPr>
          <w:rFonts w:asciiTheme="majorHAnsi" w:hAnsiTheme="majorHAnsi"/>
          <w:noProof/>
          <w:sz w:val="22"/>
          <w:szCs w:val="22"/>
          <w:lang w:eastAsia="en-GB"/>
        </w:rPr>
        <w:t xml:space="preserve">Unlike their trading of CDS and IRS products, </w:t>
      </w:r>
      <w:r w:rsidRPr="004E509C">
        <w:rPr>
          <w:rFonts w:asciiTheme="majorHAnsi" w:hAnsiTheme="majorHAnsi"/>
          <w:noProof/>
          <w:sz w:val="22"/>
          <w:szCs w:val="22"/>
          <w:lang w:eastAsia="en-GB"/>
        </w:rPr>
        <w:t>Category 1 counterparties</w:t>
      </w:r>
      <w:r>
        <w:rPr>
          <w:rFonts w:asciiTheme="majorHAnsi" w:hAnsiTheme="majorHAnsi"/>
          <w:noProof/>
          <w:sz w:val="22"/>
          <w:szCs w:val="22"/>
          <w:lang w:eastAsia="en-GB"/>
        </w:rPr>
        <w:t xml:space="preserve"> themselves do not currently have the connectivity and contracts in place with neither the WMBA member firm venues, nor with the relevant CCPs in order to enact post-trade affirmation</w:t>
      </w:r>
      <w:r w:rsidRPr="006B2BA3">
        <w:rPr>
          <w:rFonts w:asciiTheme="majorHAnsi" w:hAnsiTheme="majorHAnsi"/>
          <w:noProof/>
          <w:sz w:val="22"/>
          <w:szCs w:val="22"/>
          <w:lang w:eastAsia="en-GB"/>
        </w:rPr>
        <w:t xml:space="preserve"> </w:t>
      </w:r>
      <w:r>
        <w:rPr>
          <w:rFonts w:asciiTheme="majorHAnsi" w:hAnsiTheme="majorHAnsi"/>
          <w:noProof/>
          <w:sz w:val="22"/>
          <w:szCs w:val="22"/>
          <w:lang w:eastAsia="en-GB"/>
        </w:rPr>
        <w:t>and novation. We note that even in the ongoing operation of SEFs by WMBA members, there is no such capability for venue led novation (nor indeed STR reporting) and the FX NDFs all remain ‘permitted’ rather than ‘required’ products. The below table sets out the contrasting quantum of activity between NDF and other derivatives markets.</w:t>
      </w:r>
    </w:p>
    <w:p w:rsidR="005E4B7E" w:rsidRDefault="005E4B7E" w:rsidP="005E4B7E">
      <w:pPr>
        <w:rPr>
          <w:rFonts w:asciiTheme="majorHAnsi" w:hAnsiTheme="majorHAnsi"/>
          <w:noProof/>
          <w:sz w:val="22"/>
          <w:szCs w:val="22"/>
          <w:lang w:eastAsia="en-GB"/>
        </w:rPr>
      </w:pPr>
    </w:p>
    <w:p w:rsidR="005E4B7E" w:rsidRDefault="005E4B7E" w:rsidP="005E4B7E">
      <w:pPr>
        <w:rPr>
          <w:rFonts w:asciiTheme="majorHAnsi" w:hAnsiTheme="majorHAnsi"/>
          <w:noProof/>
          <w:sz w:val="22"/>
          <w:szCs w:val="22"/>
          <w:lang w:eastAsia="en-GB"/>
        </w:rPr>
      </w:pPr>
      <w:r>
        <w:rPr>
          <w:rFonts w:asciiTheme="majorHAnsi" w:hAnsiTheme="majorHAnsi"/>
          <w:noProof/>
          <w:sz w:val="22"/>
          <w:szCs w:val="22"/>
          <w:lang w:eastAsia="en-GB"/>
        </w:rPr>
        <w:t xml:space="preserve">Therefore, to attain the necessary proportionality, we believe that </w:t>
      </w:r>
      <w:r w:rsidRPr="007A7241">
        <w:rPr>
          <w:rFonts w:asciiTheme="majorHAnsi" w:hAnsiTheme="majorHAnsi"/>
          <w:noProof/>
          <w:sz w:val="22"/>
          <w:szCs w:val="22"/>
          <w:lang w:eastAsia="en-GB"/>
        </w:rPr>
        <w:t>ESMA should adopt a single</w:t>
      </w:r>
      <w:r>
        <w:rPr>
          <w:rFonts w:asciiTheme="majorHAnsi" w:hAnsiTheme="majorHAnsi"/>
          <w:noProof/>
          <w:sz w:val="22"/>
          <w:szCs w:val="22"/>
          <w:lang w:eastAsia="en-GB"/>
        </w:rPr>
        <w:t xml:space="preserve"> core</w:t>
      </w:r>
      <w:r w:rsidRPr="007A7241">
        <w:rPr>
          <w:rFonts w:asciiTheme="majorHAnsi" w:hAnsiTheme="majorHAnsi"/>
          <w:noProof/>
          <w:sz w:val="22"/>
          <w:szCs w:val="22"/>
          <w:lang w:eastAsia="en-GB"/>
        </w:rPr>
        <w:t xml:space="preserve"> RTS </w:t>
      </w:r>
      <w:r>
        <w:rPr>
          <w:rFonts w:asciiTheme="majorHAnsi" w:hAnsiTheme="majorHAnsi"/>
          <w:noProof/>
          <w:sz w:val="22"/>
          <w:szCs w:val="22"/>
          <w:lang w:eastAsia="en-GB"/>
        </w:rPr>
        <w:t xml:space="preserve">into </w:t>
      </w:r>
      <w:r w:rsidRPr="007A7241">
        <w:rPr>
          <w:rFonts w:asciiTheme="majorHAnsi" w:hAnsiTheme="majorHAnsi"/>
          <w:noProof/>
          <w:sz w:val="22"/>
          <w:szCs w:val="22"/>
          <w:lang w:eastAsia="en-GB"/>
        </w:rPr>
        <w:t xml:space="preserve">which the </w:t>
      </w:r>
      <w:r>
        <w:rPr>
          <w:rFonts w:asciiTheme="majorHAnsi" w:hAnsiTheme="majorHAnsi"/>
          <w:noProof/>
          <w:sz w:val="22"/>
          <w:szCs w:val="22"/>
          <w:lang w:eastAsia="en-GB"/>
        </w:rPr>
        <w:t>application</w:t>
      </w:r>
      <w:r w:rsidRPr="007A7241">
        <w:rPr>
          <w:rFonts w:asciiTheme="majorHAnsi" w:hAnsiTheme="majorHAnsi"/>
          <w:noProof/>
          <w:sz w:val="22"/>
          <w:szCs w:val="22"/>
          <w:lang w:eastAsia="en-GB"/>
        </w:rPr>
        <w:t xml:space="preserve"> of multiple annexes</w:t>
      </w:r>
      <w:r>
        <w:rPr>
          <w:rFonts w:asciiTheme="majorHAnsi" w:hAnsiTheme="majorHAnsi"/>
          <w:noProof/>
          <w:sz w:val="22"/>
          <w:szCs w:val="22"/>
          <w:lang w:eastAsia="en-GB"/>
        </w:rPr>
        <w:t xml:space="preserve"> may be set</w:t>
      </w:r>
      <w:r w:rsidRPr="007A7241">
        <w:rPr>
          <w:rFonts w:asciiTheme="majorHAnsi" w:hAnsiTheme="majorHAnsi"/>
          <w:noProof/>
          <w:sz w:val="22"/>
          <w:szCs w:val="22"/>
          <w:lang w:eastAsia="en-GB"/>
        </w:rPr>
        <w:t xml:space="preserve">, as </w:t>
      </w:r>
      <w:r>
        <w:rPr>
          <w:rFonts w:asciiTheme="majorHAnsi" w:hAnsiTheme="majorHAnsi"/>
          <w:noProof/>
          <w:sz w:val="22"/>
          <w:szCs w:val="22"/>
          <w:lang w:eastAsia="en-GB"/>
        </w:rPr>
        <w:t>the considered</w:t>
      </w:r>
      <w:r w:rsidRPr="007A7241">
        <w:rPr>
          <w:rFonts w:asciiTheme="majorHAnsi" w:hAnsiTheme="majorHAnsi"/>
          <w:noProof/>
          <w:sz w:val="22"/>
          <w:szCs w:val="22"/>
          <w:lang w:eastAsia="en-GB"/>
        </w:rPr>
        <w:t xml:space="preserve"> classes of OTC derivatives are declared subject to the clearing obligation.</w:t>
      </w:r>
    </w:p>
    <w:p w:rsidR="005E4B7E" w:rsidRDefault="005E4B7E" w:rsidP="005E4B7E">
      <w:pPr>
        <w:jc w:val="both"/>
        <w:rPr>
          <w:rFonts w:asciiTheme="majorHAnsi" w:hAnsiTheme="majorHAnsi"/>
          <w:noProof/>
          <w:sz w:val="22"/>
          <w:szCs w:val="22"/>
          <w:lang w:eastAsia="en-GB"/>
        </w:rPr>
      </w:pPr>
    </w:p>
    <w:p w:rsidR="005E4B7E" w:rsidRDefault="005E4B7E" w:rsidP="005E4B7E">
      <w:pPr>
        <w:jc w:val="both"/>
        <w:rPr>
          <w:rFonts w:asciiTheme="majorHAnsi" w:hAnsiTheme="majorHAnsi"/>
          <w:noProof/>
          <w:sz w:val="22"/>
          <w:szCs w:val="22"/>
          <w:lang w:eastAsia="en-GB"/>
        </w:rPr>
      </w:pPr>
    </w:p>
    <w:tbl>
      <w:tblPr>
        <w:tblStyle w:val="TableGrid"/>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21"/>
        <w:gridCol w:w="2608"/>
        <w:gridCol w:w="1767"/>
        <w:gridCol w:w="1878"/>
      </w:tblGrid>
      <w:tr w:rsidR="005E4B7E" w:rsidRPr="008677EA" w:rsidTr="00A13A7B">
        <w:tc>
          <w:tcPr>
            <w:tcW w:w="3060" w:type="dxa"/>
            <w:tcBorders>
              <w:top w:val="single" w:sz="12" w:space="0" w:color="auto"/>
              <w:bottom w:val="single" w:sz="12" w:space="0" w:color="auto"/>
            </w:tcBorders>
            <w:shd w:val="clear" w:color="auto" w:fill="C6D9F1" w:themeFill="text2" w:themeFillTint="33"/>
          </w:tcPr>
          <w:p w:rsidR="005E4B7E" w:rsidRPr="003D5650" w:rsidRDefault="005E4B7E" w:rsidP="00A13A7B">
            <w:pPr>
              <w:keepNext/>
              <w:keepLines/>
              <w:spacing w:before="15" w:after="15"/>
              <w:jc w:val="center"/>
              <w:rPr>
                <w:rFonts w:asciiTheme="majorHAnsi" w:hAnsiTheme="majorHAnsi"/>
                <w:b/>
                <w:sz w:val="18"/>
                <w:szCs w:val="18"/>
              </w:rPr>
            </w:pPr>
            <w:r w:rsidRPr="003D5650">
              <w:rPr>
                <w:rFonts w:asciiTheme="majorHAnsi" w:hAnsiTheme="majorHAnsi"/>
                <w:b/>
                <w:sz w:val="18"/>
                <w:szCs w:val="18"/>
              </w:rPr>
              <w:t>OTC Derivatives</w:t>
            </w:r>
          </w:p>
        </w:tc>
        <w:tc>
          <w:tcPr>
            <w:tcW w:w="2629" w:type="dxa"/>
            <w:tcBorders>
              <w:top w:val="single" w:sz="12" w:space="0" w:color="auto"/>
              <w:bottom w:val="single" w:sz="12" w:space="0" w:color="auto"/>
            </w:tcBorders>
            <w:shd w:val="clear" w:color="auto" w:fill="C6D9F1" w:themeFill="text2" w:themeFillTint="33"/>
          </w:tcPr>
          <w:p w:rsidR="005E4B7E" w:rsidRPr="003D5650" w:rsidRDefault="005E4B7E" w:rsidP="00A13A7B">
            <w:pPr>
              <w:keepNext/>
              <w:keepLines/>
              <w:spacing w:before="15" w:after="15"/>
              <w:jc w:val="center"/>
              <w:rPr>
                <w:rFonts w:asciiTheme="majorHAnsi" w:hAnsiTheme="majorHAnsi"/>
                <w:b/>
                <w:sz w:val="18"/>
                <w:szCs w:val="18"/>
              </w:rPr>
            </w:pPr>
            <w:r w:rsidRPr="003D5650">
              <w:rPr>
                <w:rFonts w:asciiTheme="majorHAnsi" w:hAnsiTheme="majorHAnsi"/>
                <w:b/>
                <w:sz w:val="18"/>
                <w:szCs w:val="18"/>
              </w:rPr>
              <w:t>Rates</w:t>
            </w:r>
          </w:p>
        </w:tc>
        <w:tc>
          <w:tcPr>
            <w:tcW w:w="1781" w:type="dxa"/>
            <w:tcBorders>
              <w:top w:val="single" w:sz="12" w:space="0" w:color="auto"/>
              <w:bottom w:val="single" w:sz="12" w:space="0" w:color="auto"/>
            </w:tcBorders>
            <w:shd w:val="clear" w:color="auto" w:fill="C6D9F1" w:themeFill="text2" w:themeFillTint="33"/>
          </w:tcPr>
          <w:p w:rsidR="005E4B7E" w:rsidRPr="003D5650" w:rsidRDefault="005E4B7E" w:rsidP="00A13A7B">
            <w:pPr>
              <w:keepNext/>
              <w:keepLines/>
              <w:tabs>
                <w:tab w:val="left" w:pos="882"/>
              </w:tabs>
              <w:spacing w:before="15" w:after="15"/>
              <w:jc w:val="center"/>
              <w:rPr>
                <w:rFonts w:asciiTheme="majorHAnsi" w:hAnsiTheme="majorHAnsi"/>
                <w:b/>
                <w:sz w:val="18"/>
                <w:szCs w:val="18"/>
              </w:rPr>
            </w:pPr>
            <w:r w:rsidRPr="003D5650">
              <w:rPr>
                <w:rFonts w:asciiTheme="majorHAnsi" w:hAnsiTheme="majorHAnsi"/>
                <w:b/>
                <w:sz w:val="18"/>
                <w:szCs w:val="18"/>
              </w:rPr>
              <w:t>Credit</w:t>
            </w:r>
          </w:p>
        </w:tc>
        <w:tc>
          <w:tcPr>
            <w:tcW w:w="1890" w:type="dxa"/>
            <w:tcBorders>
              <w:top w:val="single" w:sz="12" w:space="0" w:color="auto"/>
              <w:bottom w:val="single" w:sz="12" w:space="0" w:color="auto"/>
            </w:tcBorders>
            <w:shd w:val="clear" w:color="auto" w:fill="C6D9F1" w:themeFill="text2" w:themeFillTint="33"/>
          </w:tcPr>
          <w:p w:rsidR="005E4B7E" w:rsidRPr="003D5650" w:rsidRDefault="005E4B7E" w:rsidP="00A13A7B">
            <w:pPr>
              <w:keepNext/>
              <w:keepLines/>
              <w:spacing w:before="15" w:after="15"/>
              <w:jc w:val="center"/>
              <w:rPr>
                <w:rFonts w:asciiTheme="majorHAnsi" w:hAnsiTheme="majorHAnsi"/>
                <w:b/>
                <w:sz w:val="18"/>
                <w:szCs w:val="18"/>
              </w:rPr>
            </w:pPr>
            <w:r w:rsidRPr="003D5650">
              <w:rPr>
                <w:rFonts w:asciiTheme="majorHAnsi" w:hAnsiTheme="majorHAnsi"/>
                <w:b/>
                <w:sz w:val="18"/>
                <w:szCs w:val="18"/>
              </w:rPr>
              <w:t>FX NDFs</w:t>
            </w:r>
          </w:p>
        </w:tc>
      </w:tr>
      <w:tr w:rsidR="005E4B7E" w:rsidRPr="008677EA" w:rsidTr="00A13A7B">
        <w:tc>
          <w:tcPr>
            <w:tcW w:w="3060" w:type="dxa"/>
            <w:tcBorders>
              <w:top w:val="single" w:sz="12" w:space="0" w:color="auto"/>
              <w:bottom w:val="single" w:sz="4" w:space="0" w:color="auto"/>
            </w:tcBorders>
          </w:tcPr>
          <w:p w:rsidR="005E4B7E" w:rsidRPr="003D5650" w:rsidRDefault="005E4B7E" w:rsidP="00A13A7B">
            <w:pPr>
              <w:keepNext/>
              <w:keepLines/>
              <w:spacing w:before="15" w:after="15"/>
              <w:jc w:val="both"/>
              <w:rPr>
                <w:rFonts w:asciiTheme="majorHAnsi" w:hAnsiTheme="majorHAnsi"/>
                <w:b/>
                <w:sz w:val="18"/>
                <w:szCs w:val="18"/>
              </w:rPr>
            </w:pPr>
            <w:r w:rsidRPr="003D5650">
              <w:rPr>
                <w:rFonts w:asciiTheme="majorHAnsi" w:hAnsiTheme="majorHAnsi"/>
                <w:b/>
                <w:sz w:val="18"/>
                <w:szCs w:val="18"/>
              </w:rPr>
              <w:t>Average daily turnover</w:t>
            </w:r>
          </w:p>
        </w:tc>
        <w:tc>
          <w:tcPr>
            <w:tcW w:w="2629" w:type="dxa"/>
            <w:tcBorders>
              <w:top w:val="single" w:sz="12" w:space="0" w:color="auto"/>
              <w:bottom w:val="single" w:sz="4" w:space="0" w:color="auto"/>
            </w:tcBorders>
          </w:tcPr>
          <w:p w:rsidR="005E4B7E" w:rsidRPr="003D5650" w:rsidRDefault="005E4B7E" w:rsidP="00A13A7B">
            <w:pPr>
              <w:keepNext/>
              <w:keepLines/>
              <w:tabs>
                <w:tab w:val="left" w:pos="1422"/>
              </w:tabs>
              <w:spacing w:before="15" w:after="15"/>
              <w:jc w:val="both"/>
              <w:rPr>
                <w:rFonts w:asciiTheme="majorHAnsi" w:hAnsiTheme="majorHAnsi"/>
                <w:sz w:val="18"/>
                <w:szCs w:val="18"/>
              </w:rPr>
            </w:pPr>
            <w:r w:rsidRPr="003D5650">
              <w:rPr>
                <w:rFonts w:asciiTheme="majorHAnsi" w:hAnsiTheme="majorHAnsi"/>
                <w:sz w:val="18"/>
                <w:szCs w:val="18"/>
              </w:rPr>
              <w:t>$2,000</w:t>
            </w:r>
          </w:p>
        </w:tc>
        <w:tc>
          <w:tcPr>
            <w:tcW w:w="1781" w:type="dxa"/>
            <w:tcBorders>
              <w:top w:val="single" w:sz="12"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p>
        </w:tc>
        <w:tc>
          <w:tcPr>
            <w:tcW w:w="1890" w:type="dxa"/>
            <w:tcBorders>
              <w:top w:val="single" w:sz="12"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$127</w:t>
            </w:r>
          </w:p>
        </w:tc>
      </w:tr>
      <w:tr w:rsidR="005E4B7E" w:rsidRPr="008677EA" w:rsidTr="00A13A7B">
        <w:tc>
          <w:tcPr>
            <w:tcW w:w="3060" w:type="dxa"/>
            <w:tcBorders>
              <w:top w:val="single" w:sz="4" w:space="0" w:color="auto"/>
              <w:bottom w:val="single" w:sz="4" w:space="0" w:color="auto"/>
            </w:tcBorders>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Cleared</w:t>
            </w:r>
          </w:p>
        </w:tc>
        <w:tc>
          <w:tcPr>
            <w:tcW w:w="2629" w:type="dxa"/>
            <w:tcBorders>
              <w:top w:val="single" w:sz="4" w:space="0" w:color="auto"/>
              <w:bottom w:val="single" w:sz="4" w:space="0" w:color="auto"/>
            </w:tcBorders>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$1,700-1,800</w:t>
            </w:r>
            <w:r w:rsidRPr="003D5650">
              <w:rPr>
                <w:rFonts w:asciiTheme="majorHAnsi" w:hAnsiTheme="majorHAnsi"/>
                <w:sz w:val="18"/>
                <w:szCs w:val="18"/>
              </w:rPr>
              <w:tab/>
              <w:t>(76-79%)</w:t>
            </w:r>
          </w:p>
        </w:tc>
        <w:tc>
          <w:tcPr>
            <w:tcW w:w="1781" w:type="dxa"/>
            <w:tcBorders>
              <w:top w:val="single" w:sz="4"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p>
        </w:tc>
        <w:tc>
          <w:tcPr>
            <w:tcW w:w="1890" w:type="dxa"/>
            <w:tcBorders>
              <w:top w:val="single" w:sz="4"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$4.6</w:t>
            </w:r>
            <w:r w:rsidRPr="003D5650">
              <w:rPr>
                <w:rFonts w:asciiTheme="majorHAnsi" w:hAnsiTheme="majorHAnsi"/>
                <w:sz w:val="18"/>
                <w:szCs w:val="18"/>
              </w:rPr>
              <w:tab/>
              <w:t>(3.6%)</w:t>
            </w:r>
          </w:p>
        </w:tc>
      </w:tr>
      <w:tr w:rsidR="005E4B7E" w:rsidRPr="008677EA" w:rsidTr="00A13A7B">
        <w:tc>
          <w:tcPr>
            <w:tcW w:w="3060" w:type="dxa"/>
            <w:tcBorders>
              <w:top w:val="single" w:sz="4" w:space="0" w:color="auto"/>
              <w:bottom w:val="single" w:sz="12" w:space="0" w:color="auto"/>
            </w:tcBorders>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Uncleared</w:t>
            </w:r>
          </w:p>
        </w:tc>
        <w:tc>
          <w:tcPr>
            <w:tcW w:w="2629" w:type="dxa"/>
            <w:tcBorders>
              <w:top w:val="single" w:sz="4" w:space="0" w:color="auto"/>
              <w:bottom w:val="single" w:sz="12" w:space="0" w:color="auto"/>
            </w:tcBorders>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$500-600</w:t>
            </w:r>
            <w:r w:rsidRPr="003D5650">
              <w:rPr>
                <w:rFonts w:asciiTheme="majorHAnsi" w:hAnsiTheme="majorHAnsi"/>
                <w:sz w:val="18"/>
                <w:szCs w:val="18"/>
              </w:rPr>
              <w:tab/>
              <w:t>(21-24%)</w:t>
            </w:r>
          </w:p>
        </w:tc>
        <w:tc>
          <w:tcPr>
            <w:tcW w:w="1781" w:type="dxa"/>
            <w:tcBorders>
              <w:top w:val="single" w:sz="4" w:space="0" w:color="auto"/>
              <w:bottom w:val="single" w:sz="12"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p>
        </w:tc>
        <w:tc>
          <w:tcPr>
            <w:tcW w:w="1890" w:type="dxa"/>
            <w:tcBorders>
              <w:top w:val="single" w:sz="4" w:space="0" w:color="auto"/>
              <w:bottom w:val="single" w:sz="12"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$122.4</w:t>
            </w:r>
            <w:r w:rsidRPr="003D5650">
              <w:rPr>
                <w:rFonts w:asciiTheme="majorHAnsi" w:hAnsiTheme="majorHAnsi"/>
                <w:sz w:val="18"/>
                <w:szCs w:val="18"/>
              </w:rPr>
              <w:tab/>
              <w:t>(96.4%)</w:t>
            </w:r>
          </w:p>
        </w:tc>
      </w:tr>
      <w:tr w:rsidR="005E4B7E" w:rsidRPr="008677EA" w:rsidTr="00A13A7B">
        <w:tc>
          <w:tcPr>
            <w:tcW w:w="3060" w:type="dxa"/>
            <w:tcBorders>
              <w:top w:val="single" w:sz="12" w:space="0" w:color="auto"/>
              <w:bottom w:val="single" w:sz="12" w:space="0" w:color="auto"/>
            </w:tcBorders>
          </w:tcPr>
          <w:p w:rsidR="005E4B7E" w:rsidRPr="003D5650" w:rsidRDefault="005E4B7E" w:rsidP="00A13A7B">
            <w:pPr>
              <w:keepNext/>
              <w:keepLines/>
              <w:spacing w:before="15" w:after="15"/>
              <w:jc w:val="both"/>
              <w:rPr>
                <w:rFonts w:asciiTheme="majorHAnsi" w:hAnsiTheme="majorHAnsi"/>
                <w:b/>
                <w:sz w:val="18"/>
                <w:szCs w:val="18"/>
              </w:rPr>
            </w:pPr>
            <w:r w:rsidRPr="003D5650">
              <w:rPr>
                <w:rFonts w:asciiTheme="majorHAnsi" w:hAnsiTheme="majorHAnsi"/>
                <w:b/>
                <w:sz w:val="18"/>
                <w:szCs w:val="18"/>
              </w:rPr>
              <w:t xml:space="preserve">Total market value </w:t>
            </w:r>
          </w:p>
        </w:tc>
        <w:tc>
          <w:tcPr>
            <w:tcW w:w="2629" w:type="dxa"/>
            <w:tcBorders>
              <w:top w:val="single" w:sz="12" w:space="0" w:color="auto"/>
              <w:bottom w:val="single" w:sz="12" w:space="0" w:color="auto"/>
            </w:tcBorders>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$14,000</w:t>
            </w:r>
          </w:p>
        </w:tc>
        <w:tc>
          <w:tcPr>
            <w:tcW w:w="1781" w:type="dxa"/>
            <w:tcBorders>
              <w:top w:val="single" w:sz="12" w:space="0" w:color="auto"/>
              <w:bottom w:val="single" w:sz="12"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$700</w:t>
            </w:r>
          </w:p>
        </w:tc>
        <w:tc>
          <w:tcPr>
            <w:tcW w:w="1890" w:type="dxa"/>
            <w:tcBorders>
              <w:top w:val="single" w:sz="12" w:space="0" w:color="auto"/>
              <w:bottom w:val="single" w:sz="12"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$90</w:t>
            </w:r>
          </w:p>
        </w:tc>
      </w:tr>
      <w:tr w:rsidR="005E4B7E" w:rsidRPr="008677EA" w:rsidTr="00A13A7B">
        <w:tc>
          <w:tcPr>
            <w:tcW w:w="3060" w:type="dxa"/>
            <w:tcBorders>
              <w:top w:val="single" w:sz="12" w:space="0" w:color="auto"/>
              <w:bottom w:val="single" w:sz="4" w:space="0" w:color="auto"/>
            </w:tcBorders>
          </w:tcPr>
          <w:p w:rsidR="005E4B7E" w:rsidRPr="003D5650" w:rsidRDefault="005E4B7E" w:rsidP="00A13A7B">
            <w:pPr>
              <w:keepNext/>
              <w:keepLines/>
              <w:spacing w:before="15" w:after="15"/>
              <w:jc w:val="both"/>
              <w:rPr>
                <w:rFonts w:asciiTheme="majorHAnsi" w:hAnsiTheme="majorHAnsi"/>
                <w:b/>
                <w:sz w:val="18"/>
                <w:szCs w:val="18"/>
              </w:rPr>
            </w:pPr>
            <w:r w:rsidRPr="003D5650">
              <w:rPr>
                <w:rFonts w:asciiTheme="majorHAnsi" w:hAnsiTheme="majorHAnsi"/>
                <w:b/>
                <w:sz w:val="18"/>
                <w:szCs w:val="18"/>
              </w:rPr>
              <w:t>Total notional outstanding</w:t>
            </w:r>
          </w:p>
        </w:tc>
        <w:tc>
          <w:tcPr>
            <w:tcW w:w="2629" w:type="dxa"/>
            <w:tcBorders>
              <w:top w:val="single" w:sz="12" w:space="0" w:color="auto"/>
              <w:bottom w:val="single" w:sz="4" w:space="0" w:color="auto"/>
            </w:tcBorders>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$584,000</w:t>
            </w:r>
          </w:p>
        </w:tc>
        <w:tc>
          <w:tcPr>
            <w:tcW w:w="1781" w:type="dxa"/>
            <w:tcBorders>
              <w:top w:val="single" w:sz="12"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 xml:space="preserve">$21,000 </w:t>
            </w:r>
          </w:p>
        </w:tc>
        <w:tc>
          <w:tcPr>
            <w:tcW w:w="1890" w:type="dxa"/>
            <w:tcBorders>
              <w:top w:val="single" w:sz="12"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$2,800</w:t>
            </w:r>
          </w:p>
        </w:tc>
      </w:tr>
      <w:tr w:rsidR="005E4B7E" w:rsidRPr="008677EA" w:rsidTr="00A13A7B">
        <w:tc>
          <w:tcPr>
            <w:tcW w:w="3060" w:type="dxa"/>
            <w:tcBorders>
              <w:top w:val="single" w:sz="4" w:space="0" w:color="auto"/>
              <w:bottom w:val="single" w:sz="4" w:space="0" w:color="auto"/>
            </w:tcBorders>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Cleared</w:t>
            </w:r>
          </w:p>
        </w:tc>
        <w:tc>
          <w:tcPr>
            <w:tcW w:w="2629" w:type="dxa"/>
            <w:tcBorders>
              <w:top w:val="single" w:sz="4" w:space="0" w:color="auto"/>
              <w:bottom w:val="single" w:sz="4" w:space="0" w:color="auto"/>
            </w:tcBorders>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$443,000-461,000</w:t>
            </w:r>
            <w:r w:rsidRPr="003D5650">
              <w:rPr>
                <w:rFonts w:asciiTheme="majorHAnsi" w:hAnsiTheme="majorHAnsi"/>
                <w:sz w:val="18"/>
                <w:szCs w:val="18"/>
              </w:rPr>
              <w:tab/>
              <w:t>(76-79%)</w:t>
            </w:r>
          </w:p>
        </w:tc>
        <w:tc>
          <w:tcPr>
            <w:tcW w:w="1781" w:type="dxa"/>
            <w:tcBorders>
              <w:top w:val="single" w:sz="4"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 xml:space="preserve">$5,500 </w:t>
            </w:r>
            <w:r w:rsidRPr="003D5650">
              <w:rPr>
                <w:rFonts w:asciiTheme="majorHAnsi" w:hAnsiTheme="majorHAnsi"/>
                <w:sz w:val="18"/>
                <w:szCs w:val="18"/>
              </w:rPr>
              <w:tab/>
              <w:t>(26%)</w:t>
            </w:r>
          </w:p>
        </w:tc>
        <w:tc>
          <w:tcPr>
            <w:tcW w:w="1890" w:type="dxa"/>
            <w:tcBorders>
              <w:top w:val="single" w:sz="4"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$101</w:t>
            </w:r>
            <w:r w:rsidRPr="003D5650">
              <w:rPr>
                <w:rFonts w:asciiTheme="majorHAnsi" w:hAnsiTheme="majorHAnsi"/>
                <w:sz w:val="18"/>
                <w:szCs w:val="18"/>
              </w:rPr>
              <w:tab/>
              <w:t>(4%)</w:t>
            </w:r>
          </w:p>
        </w:tc>
      </w:tr>
      <w:tr w:rsidR="005E4B7E" w:rsidRPr="008677EA" w:rsidTr="00A13A7B">
        <w:tc>
          <w:tcPr>
            <w:tcW w:w="3060" w:type="dxa"/>
            <w:tcBorders>
              <w:top w:val="single" w:sz="4" w:space="0" w:color="auto"/>
              <w:bottom w:val="single" w:sz="12" w:space="0" w:color="auto"/>
            </w:tcBorders>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Uncleared</w:t>
            </w:r>
          </w:p>
        </w:tc>
        <w:tc>
          <w:tcPr>
            <w:tcW w:w="2629" w:type="dxa"/>
            <w:tcBorders>
              <w:top w:val="single" w:sz="4" w:space="0" w:color="auto"/>
              <w:bottom w:val="single" w:sz="12" w:space="0" w:color="auto"/>
            </w:tcBorders>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$123,000-141,000</w:t>
            </w:r>
            <w:r w:rsidRPr="003D5650">
              <w:rPr>
                <w:rFonts w:asciiTheme="majorHAnsi" w:hAnsiTheme="majorHAnsi"/>
                <w:sz w:val="18"/>
                <w:szCs w:val="18"/>
              </w:rPr>
              <w:tab/>
              <w:t>(21-24%)</w:t>
            </w:r>
          </w:p>
        </w:tc>
        <w:tc>
          <w:tcPr>
            <w:tcW w:w="1781" w:type="dxa"/>
            <w:tcBorders>
              <w:top w:val="single" w:sz="4" w:space="0" w:color="auto"/>
              <w:bottom w:val="single" w:sz="12"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 xml:space="preserve">$15,500 </w:t>
            </w:r>
            <w:r w:rsidRPr="003D5650">
              <w:rPr>
                <w:rFonts w:asciiTheme="majorHAnsi" w:hAnsiTheme="majorHAnsi"/>
                <w:sz w:val="18"/>
                <w:szCs w:val="18"/>
              </w:rPr>
              <w:tab/>
              <w:t>(74%)</w:t>
            </w:r>
          </w:p>
        </w:tc>
        <w:tc>
          <w:tcPr>
            <w:tcW w:w="1890" w:type="dxa"/>
            <w:tcBorders>
              <w:top w:val="single" w:sz="4" w:space="0" w:color="auto"/>
              <w:bottom w:val="single" w:sz="12"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$2,700</w:t>
            </w:r>
            <w:r w:rsidRPr="003D5650">
              <w:rPr>
                <w:rFonts w:asciiTheme="majorHAnsi" w:hAnsiTheme="majorHAnsi"/>
                <w:sz w:val="18"/>
                <w:szCs w:val="18"/>
              </w:rPr>
              <w:tab/>
              <w:t>(96%)</w:t>
            </w:r>
          </w:p>
        </w:tc>
      </w:tr>
      <w:tr w:rsidR="005E4B7E" w:rsidRPr="008677EA" w:rsidTr="00A13A7B">
        <w:tc>
          <w:tcPr>
            <w:tcW w:w="3060" w:type="dxa"/>
            <w:tcBorders>
              <w:top w:val="single" w:sz="12" w:space="0" w:color="auto"/>
              <w:bottom w:val="single" w:sz="4" w:space="0" w:color="auto"/>
            </w:tcBorders>
          </w:tcPr>
          <w:p w:rsidR="005E4B7E" w:rsidRPr="003D5650" w:rsidRDefault="005E4B7E" w:rsidP="00A13A7B">
            <w:pPr>
              <w:keepNext/>
              <w:keepLines/>
              <w:spacing w:before="15" w:after="15"/>
              <w:jc w:val="both"/>
              <w:rPr>
                <w:rFonts w:asciiTheme="majorHAnsi" w:hAnsiTheme="majorHAnsi"/>
                <w:b/>
                <w:sz w:val="18"/>
                <w:szCs w:val="18"/>
              </w:rPr>
            </w:pPr>
            <w:r w:rsidRPr="003D5650">
              <w:rPr>
                <w:rFonts w:asciiTheme="majorHAnsi" w:hAnsiTheme="majorHAnsi"/>
                <w:b/>
                <w:sz w:val="18"/>
                <w:szCs w:val="18"/>
              </w:rPr>
              <w:t>Tenor of total notional outstanding</w:t>
            </w:r>
          </w:p>
        </w:tc>
        <w:tc>
          <w:tcPr>
            <w:tcW w:w="2629" w:type="dxa"/>
            <w:tcBorders>
              <w:top w:val="single" w:sz="12" w:space="0" w:color="auto"/>
              <w:bottom w:val="single" w:sz="4" w:space="0" w:color="auto"/>
            </w:tcBorders>
          </w:tcPr>
          <w:p w:rsidR="005E4B7E" w:rsidRPr="003D5650" w:rsidRDefault="005E4B7E" w:rsidP="00A13A7B">
            <w:pPr>
              <w:keepNext/>
              <w:keepLines/>
              <w:tabs>
                <w:tab w:val="left" w:pos="1422"/>
                <w:tab w:val="left" w:pos="1602"/>
              </w:tabs>
              <w:spacing w:before="15" w:after="15"/>
              <w:jc w:val="both"/>
              <w:rPr>
                <w:rFonts w:asciiTheme="majorHAnsi" w:hAnsiTheme="majorHAnsi"/>
                <w:i/>
                <w:sz w:val="18"/>
                <w:szCs w:val="18"/>
              </w:rPr>
            </w:pPr>
          </w:p>
        </w:tc>
        <w:tc>
          <w:tcPr>
            <w:tcW w:w="1781" w:type="dxa"/>
            <w:tcBorders>
              <w:top w:val="single" w:sz="12"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i/>
                <w:sz w:val="18"/>
                <w:szCs w:val="18"/>
              </w:rPr>
            </w:pPr>
          </w:p>
        </w:tc>
        <w:tc>
          <w:tcPr>
            <w:tcW w:w="1890" w:type="dxa"/>
            <w:tcBorders>
              <w:top w:val="single" w:sz="12" w:space="0" w:color="auto"/>
              <w:bottom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i/>
                <w:sz w:val="18"/>
                <w:szCs w:val="18"/>
              </w:rPr>
              <w:t>Based on DTCC dataset</w:t>
            </w:r>
            <w:r w:rsidRPr="003D5650">
              <w:rPr>
                <w:rStyle w:val="FootnoteReference"/>
                <w:rFonts w:asciiTheme="majorHAnsi" w:hAnsiTheme="majorHAnsi"/>
                <w:sz w:val="18"/>
                <w:szCs w:val="18"/>
              </w:rPr>
              <w:footnoteReference w:id="4"/>
            </w:r>
          </w:p>
        </w:tc>
      </w:tr>
      <w:tr w:rsidR="005E4B7E" w:rsidRPr="008677EA" w:rsidTr="00A13A7B">
        <w:tc>
          <w:tcPr>
            <w:tcW w:w="3060" w:type="dxa"/>
            <w:tcBorders>
              <w:top w:val="single" w:sz="4" w:space="0" w:color="auto"/>
            </w:tcBorders>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Less than three months</w:t>
            </w:r>
          </w:p>
        </w:tc>
        <w:tc>
          <w:tcPr>
            <w:tcW w:w="2629" w:type="dxa"/>
            <w:tcBorders>
              <w:top w:val="single" w:sz="4" w:space="0" w:color="auto"/>
            </w:tcBorders>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p>
        </w:tc>
        <w:tc>
          <w:tcPr>
            <w:tcW w:w="1781" w:type="dxa"/>
            <w:tcBorders>
              <w:top w:val="single" w:sz="4" w:space="0" w:color="auto"/>
            </w:tcBorders>
          </w:tcPr>
          <w:p w:rsidR="005E4B7E" w:rsidRPr="003D5650" w:rsidRDefault="005E4B7E" w:rsidP="00A13A7B">
            <w:pPr>
              <w:keepNext/>
              <w:keepLines/>
              <w:tabs>
                <w:tab w:val="left" w:pos="792"/>
              </w:tabs>
              <w:spacing w:before="15" w:after="15"/>
              <w:jc w:val="both"/>
              <w:rPr>
                <w:rFonts w:asciiTheme="majorHAnsi" w:hAnsiTheme="majorHAnsi"/>
                <w:sz w:val="18"/>
                <w:szCs w:val="18"/>
              </w:rPr>
            </w:pPr>
          </w:p>
        </w:tc>
        <w:tc>
          <w:tcPr>
            <w:tcW w:w="1890" w:type="dxa"/>
            <w:tcBorders>
              <w:top w:val="single" w:sz="4" w:space="0" w:color="auto"/>
            </w:tcBorders>
          </w:tcPr>
          <w:p w:rsidR="005E4B7E" w:rsidRPr="003D5650" w:rsidRDefault="005E4B7E" w:rsidP="00A13A7B">
            <w:pPr>
              <w:keepNext/>
              <w:keepLines/>
              <w:tabs>
                <w:tab w:val="left" w:pos="792"/>
                <w:tab w:val="left" w:pos="1089"/>
              </w:tabs>
              <w:spacing w:before="15" w:after="15"/>
              <w:jc w:val="both"/>
              <w:rPr>
                <w:rFonts w:asciiTheme="majorHAnsi" w:hAnsiTheme="majorHAnsi"/>
                <w:sz w:val="18"/>
                <w:szCs w:val="18"/>
              </w:rPr>
            </w:pPr>
            <w:r w:rsidRPr="003D5650">
              <w:rPr>
                <w:rFonts w:asciiTheme="majorHAnsi" w:hAnsiTheme="majorHAnsi"/>
                <w:sz w:val="18"/>
                <w:szCs w:val="18"/>
              </w:rPr>
              <w:t>$2,520</w:t>
            </w:r>
            <w:r w:rsidRPr="003D5650">
              <w:rPr>
                <w:rFonts w:asciiTheme="majorHAnsi" w:hAnsiTheme="majorHAnsi"/>
                <w:sz w:val="18"/>
                <w:szCs w:val="18"/>
              </w:rPr>
              <w:tab/>
              <w:t>(90%)</w:t>
            </w:r>
          </w:p>
        </w:tc>
      </w:tr>
      <w:tr w:rsidR="005E4B7E" w:rsidRPr="008677EA" w:rsidTr="00A13A7B">
        <w:tc>
          <w:tcPr>
            <w:tcW w:w="3060" w:type="dxa"/>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Over three months up to six months</w:t>
            </w:r>
          </w:p>
        </w:tc>
        <w:tc>
          <w:tcPr>
            <w:tcW w:w="2629" w:type="dxa"/>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p>
        </w:tc>
        <w:tc>
          <w:tcPr>
            <w:tcW w:w="1781" w:type="dxa"/>
          </w:tcPr>
          <w:p w:rsidR="005E4B7E" w:rsidRPr="003D5650" w:rsidRDefault="005E4B7E" w:rsidP="00A13A7B">
            <w:pPr>
              <w:keepNext/>
              <w:keepLines/>
              <w:tabs>
                <w:tab w:val="left" w:pos="792"/>
              </w:tabs>
              <w:spacing w:before="15" w:after="15"/>
              <w:jc w:val="both"/>
              <w:rPr>
                <w:rFonts w:asciiTheme="majorHAnsi" w:hAnsiTheme="majorHAnsi"/>
                <w:sz w:val="18"/>
                <w:szCs w:val="18"/>
              </w:rPr>
            </w:pPr>
          </w:p>
        </w:tc>
        <w:tc>
          <w:tcPr>
            <w:tcW w:w="1890" w:type="dxa"/>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$224</w:t>
            </w:r>
            <w:r w:rsidRPr="003D5650">
              <w:rPr>
                <w:rFonts w:asciiTheme="majorHAnsi" w:hAnsiTheme="majorHAnsi"/>
                <w:sz w:val="18"/>
                <w:szCs w:val="18"/>
              </w:rPr>
              <w:tab/>
              <w:t>(8%)</w:t>
            </w:r>
          </w:p>
        </w:tc>
      </w:tr>
      <w:tr w:rsidR="005E4B7E" w:rsidRPr="008677EA" w:rsidTr="00A13A7B">
        <w:tc>
          <w:tcPr>
            <w:tcW w:w="3060" w:type="dxa"/>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Over six months up to one year</w:t>
            </w:r>
          </w:p>
        </w:tc>
        <w:tc>
          <w:tcPr>
            <w:tcW w:w="2629" w:type="dxa"/>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 xml:space="preserve">$198,302 </w:t>
            </w:r>
            <w:r w:rsidRPr="003D5650">
              <w:rPr>
                <w:rFonts w:asciiTheme="majorHAnsi" w:hAnsiTheme="majorHAnsi"/>
                <w:sz w:val="18"/>
                <w:szCs w:val="18"/>
              </w:rPr>
              <w:tab/>
              <w:t>(34%)</w:t>
            </w:r>
          </w:p>
        </w:tc>
        <w:tc>
          <w:tcPr>
            <w:tcW w:w="1781" w:type="dxa"/>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$3,655</w:t>
            </w:r>
            <w:r w:rsidRPr="003D5650">
              <w:rPr>
                <w:rFonts w:asciiTheme="majorHAnsi" w:hAnsiTheme="majorHAnsi"/>
                <w:sz w:val="18"/>
                <w:szCs w:val="18"/>
              </w:rPr>
              <w:tab/>
              <w:t>(17%)</w:t>
            </w:r>
          </w:p>
        </w:tc>
        <w:tc>
          <w:tcPr>
            <w:tcW w:w="1890" w:type="dxa"/>
          </w:tcPr>
          <w:p w:rsidR="005E4B7E" w:rsidRPr="003D5650" w:rsidRDefault="005E4B7E" w:rsidP="00A13A7B">
            <w:pPr>
              <w:keepNext/>
              <w:keepLines/>
              <w:tabs>
                <w:tab w:val="left" w:pos="792"/>
                <w:tab w:val="left" w:pos="1089"/>
              </w:tabs>
              <w:spacing w:before="15" w:after="15"/>
              <w:jc w:val="both"/>
              <w:rPr>
                <w:rFonts w:asciiTheme="majorHAnsi" w:hAnsiTheme="majorHAnsi"/>
                <w:sz w:val="18"/>
                <w:szCs w:val="18"/>
              </w:rPr>
            </w:pPr>
            <w:r w:rsidRPr="003D5650">
              <w:rPr>
                <w:rFonts w:asciiTheme="majorHAnsi" w:hAnsiTheme="majorHAnsi"/>
                <w:sz w:val="18"/>
                <w:szCs w:val="18"/>
              </w:rPr>
              <w:t>$28</w:t>
            </w:r>
            <w:r w:rsidRPr="003D5650">
              <w:rPr>
                <w:rFonts w:asciiTheme="majorHAnsi" w:hAnsiTheme="majorHAnsi"/>
                <w:sz w:val="18"/>
                <w:szCs w:val="18"/>
              </w:rPr>
              <w:tab/>
              <w:t>(1%)</w:t>
            </w:r>
          </w:p>
        </w:tc>
      </w:tr>
      <w:tr w:rsidR="005E4B7E" w:rsidRPr="008677EA" w:rsidTr="00A13A7B">
        <w:tc>
          <w:tcPr>
            <w:tcW w:w="3060" w:type="dxa"/>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Over one year up to five years</w:t>
            </w:r>
          </w:p>
        </w:tc>
        <w:tc>
          <w:tcPr>
            <w:tcW w:w="2629" w:type="dxa"/>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 xml:space="preserve">$234,284 </w:t>
            </w:r>
            <w:r w:rsidRPr="003D5650">
              <w:rPr>
                <w:rFonts w:asciiTheme="majorHAnsi" w:hAnsiTheme="majorHAnsi"/>
                <w:sz w:val="18"/>
                <w:szCs w:val="18"/>
              </w:rPr>
              <w:tab/>
              <w:t>(40%)</w:t>
            </w:r>
          </w:p>
        </w:tc>
        <w:tc>
          <w:tcPr>
            <w:tcW w:w="1781" w:type="dxa"/>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$16,162</w:t>
            </w:r>
            <w:r w:rsidRPr="003D5650">
              <w:rPr>
                <w:rFonts w:asciiTheme="majorHAnsi" w:hAnsiTheme="majorHAnsi"/>
                <w:sz w:val="18"/>
                <w:szCs w:val="18"/>
              </w:rPr>
              <w:tab/>
              <w:t>(77%)</w:t>
            </w:r>
          </w:p>
        </w:tc>
        <w:tc>
          <w:tcPr>
            <w:tcW w:w="1890" w:type="dxa"/>
          </w:tcPr>
          <w:p w:rsidR="005E4B7E" w:rsidRPr="003D5650" w:rsidRDefault="005E4B7E" w:rsidP="00A13A7B">
            <w:pPr>
              <w:keepNext/>
              <w:keepLines/>
              <w:tabs>
                <w:tab w:val="left" w:pos="792"/>
                <w:tab w:val="left" w:pos="1089"/>
              </w:tabs>
              <w:spacing w:before="15" w:after="15"/>
              <w:jc w:val="both"/>
              <w:rPr>
                <w:rFonts w:asciiTheme="majorHAnsi" w:hAnsiTheme="majorHAnsi"/>
                <w:sz w:val="18"/>
                <w:szCs w:val="18"/>
              </w:rPr>
            </w:pPr>
            <w:r w:rsidRPr="003D5650">
              <w:rPr>
                <w:rFonts w:asciiTheme="majorHAnsi" w:hAnsiTheme="majorHAnsi"/>
                <w:sz w:val="18"/>
                <w:szCs w:val="18"/>
              </w:rPr>
              <w:t>$28</w:t>
            </w:r>
            <w:r w:rsidRPr="003D5650">
              <w:rPr>
                <w:rFonts w:asciiTheme="majorHAnsi" w:hAnsiTheme="majorHAnsi"/>
                <w:sz w:val="18"/>
                <w:szCs w:val="18"/>
              </w:rPr>
              <w:tab/>
              <w:t>(1%)</w:t>
            </w:r>
          </w:p>
        </w:tc>
      </w:tr>
      <w:tr w:rsidR="005E4B7E" w:rsidRPr="008677EA" w:rsidTr="00A13A7B">
        <w:tc>
          <w:tcPr>
            <w:tcW w:w="3060" w:type="dxa"/>
          </w:tcPr>
          <w:p w:rsidR="005E4B7E" w:rsidRPr="003D5650" w:rsidRDefault="005E4B7E" w:rsidP="00A13A7B">
            <w:pPr>
              <w:keepNext/>
              <w:keepLines/>
              <w:spacing w:before="15" w:after="15"/>
              <w:jc w:val="both"/>
              <w:rPr>
                <w:rFonts w:asciiTheme="majorHAnsi" w:hAnsiTheme="majorHAnsi"/>
                <w:sz w:val="18"/>
                <w:szCs w:val="18"/>
              </w:rPr>
            </w:pPr>
            <w:r w:rsidRPr="003D5650">
              <w:rPr>
                <w:rFonts w:asciiTheme="majorHAnsi" w:hAnsiTheme="majorHAnsi"/>
                <w:sz w:val="18"/>
                <w:szCs w:val="18"/>
              </w:rPr>
              <w:t xml:space="preserve">     Over five years</w:t>
            </w:r>
          </w:p>
        </w:tc>
        <w:tc>
          <w:tcPr>
            <w:tcW w:w="2629" w:type="dxa"/>
          </w:tcPr>
          <w:p w:rsidR="005E4B7E" w:rsidRPr="003D5650" w:rsidRDefault="005E4B7E" w:rsidP="00A13A7B">
            <w:pPr>
              <w:keepNext/>
              <w:keepLines/>
              <w:tabs>
                <w:tab w:val="left" w:pos="1422"/>
                <w:tab w:val="left" w:pos="1602"/>
              </w:tabs>
              <w:spacing w:before="15" w:after="15"/>
              <w:jc w:val="both"/>
              <w:rPr>
                <w:rFonts w:asciiTheme="majorHAnsi" w:hAnsiTheme="majorHAnsi"/>
                <w:sz w:val="18"/>
                <w:szCs w:val="18"/>
              </w:rPr>
            </w:pPr>
            <w:r w:rsidRPr="003D5650">
              <w:rPr>
                <w:rFonts w:asciiTheme="majorHAnsi" w:hAnsiTheme="majorHAnsi"/>
                <w:sz w:val="18"/>
                <w:szCs w:val="18"/>
              </w:rPr>
              <w:t>$151,778</w:t>
            </w:r>
            <w:r w:rsidRPr="003D5650">
              <w:rPr>
                <w:rFonts w:asciiTheme="majorHAnsi" w:hAnsiTheme="majorHAnsi"/>
                <w:sz w:val="18"/>
                <w:szCs w:val="18"/>
              </w:rPr>
              <w:tab/>
              <w:t>(26%)</w:t>
            </w:r>
          </w:p>
        </w:tc>
        <w:tc>
          <w:tcPr>
            <w:tcW w:w="1781" w:type="dxa"/>
          </w:tcPr>
          <w:p w:rsidR="005E4B7E" w:rsidRPr="003D5650" w:rsidRDefault="005E4B7E" w:rsidP="00A13A7B">
            <w:pPr>
              <w:keepNext/>
              <w:keepLines/>
              <w:tabs>
                <w:tab w:val="left" w:pos="792"/>
              </w:tabs>
              <w:spacing w:before="15" w:after="15"/>
              <w:jc w:val="both"/>
              <w:rPr>
                <w:rFonts w:asciiTheme="majorHAnsi" w:hAnsiTheme="majorHAnsi"/>
                <w:sz w:val="18"/>
                <w:szCs w:val="18"/>
              </w:rPr>
            </w:pPr>
            <w:r w:rsidRPr="003D5650">
              <w:rPr>
                <w:rFonts w:asciiTheme="majorHAnsi" w:hAnsiTheme="majorHAnsi"/>
                <w:sz w:val="18"/>
                <w:szCs w:val="18"/>
              </w:rPr>
              <w:t>$1,203</w:t>
            </w:r>
            <w:r w:rsidRPr="003D5650">
              <w:rPr>
                <w:rFonts w:asciiTheme="majorHAnsi" w:hAnsiTheme="majorHAnsi"/>
                <w:sz w:val="18"/>
                <w:szCs w:val="18"/>
              </w:rPr>
              <w:tab/>
              <w:t>(6%)</w:t>
            </w:r>
          </w:p>
        </w:tc>
        <w:tc>
          <w:tcPr>
            <w:tcW w:w="1890" w:type="dxa"/>
          </w:tcPr>
          <w:p w:rsidR="005E4B7E" w:rsidRPr="003D5650" w:rsidRDefault="005E4B7E" w:rsidP="00A13A7B">
            <w:pPr>
              <w:keepNext/>
              <w:keepLines/>
              <w:tabs>
                <w:tab w:val="left" w:pos="792"/>
                <w:tab w:val="left" w:pos="1089"/>
              </w:tabs>
              <w:spacing w:before="15" w:after="15"/>
              <w:jc w:val="both"/>
              <w:rPr>
                <w:rFonts w:asciiTheme="majorHAnsi" w:hAnsiTheme="majorHAnsi"/>
                <w:sz w:val="18"/>
                <w:szCs w:val="18"/>
              </w:rPr>
            </w:pPr>
          </w:p>
        </w:tc>
      </w:tr>
    </w:tbl>
    <w:p w:rsidR="005E4B7E" w:rsidRDefault="005E4B7E" w:rsidP="005E4B7E">
      <w:pPr>
        <w:jc w:val="both"/>
        <w:rPr>
          <w:rFonts w:asciiTheme="majorHAnsi" w:hAnsiTheme="majorHAnsi"/>
          <w:noProof/>
          <w:sz w:val="22"/>
          <w:szCs w:val="22"/>
          <w:lang w:eastAsia="en-GB"/>
        </w:rPr>
      </w:pPr>
    </w:p>
    <w:permEnd w:id="101992475"/>
    <w:p w:rsidR="00CC1C71" w:rsidRDefault="00CC1C71" w:rsidP="00CC1C71">
      <w:r>
        <w:t>&lt;ESMA_CO3_QUESTION_1&gt;</w:t>
      </w:r>
    </w:p>
    <w:p w:rsidR="00CC1C71" w:rsidRDefault="00CC1C71" w:rsidP="00CC1C71"/>
    <w:p w:rsidR="00CC1C71" w:rsidRDefault="00CC1C71" w:rsidP="00CC1C71">
      <w:pPr>
        <w:pStyle w:val="Heading2"/>
        <w:keepLines w:val="0"/>
        <w:pageBreakBefore/>
        <w:numPr>
          <w:ilvl w:val="0"/>
          <w:numId w:val="36"/>
        </w:numPr>
        <w:spacing w:before="0" w:after="250" w:line="276" w:lineRule="auto"/>
        <w:ind w:left="357" w:hanging="357"/>
        <w:jc w:val="both"/>
      </w:pPr>
      <w:bookmarkStart w:id="12" w:name="_Ref392685388"/>
      <w:bookmarkStart w:id="13" w:name="_Toc398140745"/>
      <w:r>
        <w:t>Structure of the non-deliverable forward derivatives classes</w:t>
      </w:r>
      <w:bookmarkEnd w:id="12"/>
      <w:bookmarkEnd w:id="13"/>
    </w:p>
    <w:p w:rsidR="00CC1C71" w:rsidRDefault="00CC1C71" w:rsidP="00CC1C71"/>
    <w:p w:rsidR="00CC1C71" w:rsidRPr="0075124D" w:rsidRDefault="00CC1C71" w:rsidP="00CC1C71">
      <w:pPr>
        <w:pStyle w:val="Heading5"/>
      </w:pPr>
      <w:r w:rsidRPr="0075124D">
        <w:t>Do you consider that the proposed structure for the FX NDF classes enables counterparties to identify which contracts are subject to the clearing obligation?</w:t>
      </w:r>
    </w:p>
    <w:p w:rsidR="00CC1C71" w:rsidRDefault="00CC1C71" w:rsidP="00CC1C71"/>
    <w:p w:rsidR="00CC1C71" w:rsidRDefault="00CC1C71" w:rsidP="00CC1C71">
      <w:r>
        <w:t>&lt;ESMA_CO3_QUESTION_2&gt;</w:t>
      </w:r>
    </w:p>
    <w:p w:rsidR="005E4B7E" w:rsidRDefault="005E4B7E" w:rsidP="005E4B7E">
      <w:pPr>
        <w:jc w:val="both"/>
        <w:rPr>
          <w:rFonts w:asciiTheme="majorHAnsi" w:hAnsiTheme="majorHAnsi"/>
          <w:noProof/>
          <w:sz w:val="22"/>
          <w:szCs w:val="22"/>
          <w:lang w:eastAsia="en-GB"/>
        </w:rPr>
      </w:pPr>
      <w:permStart w:id="1023237217" w:edGrp="everyone"/>
      <w:r>
        <w:rPr>
          <w:rFonts w:asciiTheme="majorHAnsi" w:hAnsiTheme="majorHAnsi"/>
          <w:noProof/>
          <w:sz w:val="22"/>
          <w:szCs w:val="22"/>
          <w:lang w:eastAsia="en-GB"/>
        </w:rPr>
        <w:t xml:space="preserve">Yes the WMBA notes that the </w:t>
      </w:r>
      <w:r w:rsidRPr="00CF4703">
        <w:rPr>
          <w:rFonts w:asciiTheme="majorHAnsi" w:hAnsiTheme="majorHAnsi"/>
          <w:noProof/>
          <w:sz w:val="22"/>
          <w:szCs w:val="22"/>
          <w:lang w:eastAsia="en-GB"/>
        </w:rPr>
        <w:t>proposed structure for the FX NDF classes</w:t>
      </w:r>
      <w:r>
        <w:rPr>
          <w:rFonts w:asciiTheme="majorHAnsi" w:hAnsiTheme="majorHAnsi"/>
          <w:noProof/>
          <w:sz w:val="22"/>
          <w:szCs w:val="22"/>
          <w:lang w:eastAsia="en-GB"/>
        </w:rPr>
        <w:t xml:space="preserve"> is adequate. </w:t>
      </w:r>
    </w:p>
    <w:p w:rsidR="005E4B7E" w:rsidRDefault="005E4B7E" w:rsidP="005E4B7E">
      <w:pPr>
        <w:jc w:val="both"/>
        <w:rPr>
          <w:rFonts w:asciiTheme="majorHAnsi" w:hAnsiTheme="majorHAnsi"/>
          <w:noProof/>
          <w:sz w:val="22"/>
          <w:szCs w:val="22"/>
          <w:lang w:eastAsia="en-GB"/>
        </w:rPr>
      </w:pPr>
    </w:p>
    <w:p w:rsidR="005E4B7E" w:rsidRDefault="005E4B7E" w:rsidP="005E4B7E">
      <w:pPr>
        <w:jc w:val="both"/>
        <w:rPr>
          <w:rFonts w:asciiTheme="majorHAnsi" w:hAnsiTheme="majorHAnsi"/>
          <w:noProof/>
          <w:sz w:val="22"/>
          <w:szCs w:val="22"/>
          <w:lang w:eastAsia="en-GB"/>
        </w:rPr>
      </w:pPr>
      <w:r>
        <w:rPr>
          <w:rFonts w:asciiTheme="majorHAnsi" w:hAnsiTheme="majorHAnsi"/>
          <w:noProof/>
          <w:sz w:val="22"/>
          <w:szCs w:val="22"/>
          <w:lang w:eastAsia="en-GB"/>
        </w:rPr>
        <w:t>We do however note that other issues such as embedded optionality of the delivarable currency, declaration of sanctions or ‘</w:t>
      </w:r>
      <w:r w:rsidRPr="00295391">
        <w:rPr>
          <w:rFonts w:asciiTheme="majorHAnsi" w:hAnsiTheme="majorHAnsi"/>
          <w:i/>
          <w:noProof/>
          <w:sz w:val="22"/>
          <w:szCs w:val="22"/>
          <w:lang w:eastAsia="en-GB"/>
        </w:rPr>
        <w:t>currency manipulator’</w:t>
      </w:r>
      <w:r>
        <w:rPr>
          <w:rFonts w:asciiTheme="majorHAnsi" w:hAnsiTheme="majorHAnsi"/>
          <w:noProof/>
          <w:sz w:val="22"/>
          <w:szCs w:val="22"/>
          <w:lang w:eastAsia="en-GB"/>
        </w:rPr>
        <w:t xml:space="preserve"> status and ceastion of the fixing benchmark add areas of complexity that CCPs may be unable to simply and uniformly deal with. Principally this is because of the remote cross border nature of this proposed mandate to countires which by definition ESMA considers sub-equivilent (by definition).</w:t>
      </w:r>
    </w:p>
    <w:permEnd w:id="1023237217"/>
    <w:p w:rsidR="00CC1C71" w:rsidRDefault="00CC1C71" w:rsidP="00CC1C71">
      <w:r>
        <w:t>&lt;ESMA_CO3_QUESTION_2&gt;</w:t>
      </w:r>
    </w:p>
    <w:p w:rsidR="00CC1C71" w:rsidRDefault="00CC1C71" w:rsidP="00CC1C71"/>
    <w:p w:rsidR="00CC1C71" w:rsidRPr="00A84770" w:rsidRDefault="00CC1C71" w:rsidP="00CC1C71">
      <w:pPr>
        <w:pStyle w:val="Heading2"/>
        <w:keepLines w:val="0"/>
        <w:pageBreakBefore/>
        <w:numPr>
          <w:ilvl w:val="0"/>
          <w:numId w:val="36"/>
        </w:numPr>
        <w:spacing w:before="0" w:after="250" w:line="276" w:lineRule="auto"/>
        <w:ind w:left="357" w:hanging="357"/>
        <w:jc w:val="both"/>
      </w:pPr>
      <w:bookmarkStart w:id="14" w:name="_Toc389466262"/>
      <w:bookmarkStart w:id="15" w:name="_Toc389496893"/>
      <w:bookmarkStart w:id="16" w:name="_Toc398140746"/>
      <w:r>
        <w:t>Determination of the classes</w:t>
      </w:r>
      <w:r w:rsidRPr="00A84770">
        <w:t xml:space="preserve"> of OTC </w:t>
      </w:r>
      <w:r>
        <w:t>d</w:t>
      </w:r>
      <w:r w:rsidRPr="00A84770">
        <w:t>erivatives to be subject to the clearing obligation</w:t>
      </w:r>
      <w:bookmarkEnd w:id="14"/>
      <w:bookmarkEnd w:id="15"/>
      <w:bookmarkEnd w:id="16"/>
    </w:p>
    <w:p w:rsidR="00CC1C71" w:rsidRDefault="00CC1C71" w:rsidP="00CC1C71"/>
    <w:p w:rsidR="00CC1C71" w:rsidRDefault="00CC1C71" w:rsidP="00CC1C71">
      <w:pPr>
        <w:pStyle w:val="Heading5"/>
      </w:pPr>
      <w:r>
        <w:t xml:space="preserve">In view of the criteria set in Article 5(4) of EMIR, do you consider that the determination of this class addresses appropriately the objective of reduction of the systemic risk associated to NDF derivatives? </w:t>
      </w:r>
    </w:p>
    <w:p w:rsidR="00CC1C71" w:rsidRDefault="00CC1C71" w:rsidP="00CC1C71"/>
    <w:p w:rsidR="00CC1C71" w:rsidRDefault="00CC1C71" w:rsidP="00CC1C71">
      <w:r>
        <w:t>&lt;ESMA_CO3_QUESTION_3&gt;</w:t>
      </w:r>
    </w:p>
    <w:p w:rsidR="005E4B7E" w:rsidRDefault="005E4B7E" w:rsidP="005E4B7E">
      <w:pPr>
        <w:jc w:val="both"/>
        <w:rPr>
          <w:rFonts w:asciiTheme="majorHAnsi" w:hAnsiTheme="majorHAnsi"/>
          <w:noProof/>
          <w:sz w:val="22"/>
          <w:szCs w:val="22"/>
          <w:lang w:eastAsia="en-GB"/>
        </w:rPr>
      </w:pPr>
      <w:permStart w:id="1592949933" w:edGrp="everyone"/>
      <w:r>
        <w:rPr>
          <w:rFonts w:asciiTheme="majorHAnsi" w:hAnsiTheme="majorHAnsi"/>
          <w:noProof/>
          <w:sz w:val="22"/>
          <w:szCs w:val="22"/>
          <w:lang w:eastAsia="en-GB"/>
        </w:rPr>
        <w:t xml:space="preserve">From the brief outlined points made in the introduction above, the WMBA does not believe that mandating the listed </w:t>
      </w:r>
      <w:r w:rsidRPr="00CF4703">
        <w:rPr>
          <w:rFonts w:asciiTheme="majorHAnsi" w:hAnsiTheme="majorHAnsi"/>
          <w:noProof/>
          <w:sz w:val="22"/>
          <w:szCs w:val="22"/>
          <w:lang w:eastAsia="en-GB"/>
        </w:rPr>
        <w:t xml:space="preserve">set of </w:t>
      </w:r>
      <w:r>
        <w:rPr>
          <w:rFonts w:asciiTheme="majorHAnsi" w:hAnsiTheme="majorHAnsi"/>
          <w:noProof/>
          <w:sz w:val="22"/>
          <w:szCs w:val="22"/>
          <w:lang w:eastAsia="en-GB"/>
        </w:rPr>
        <w:t xml:space="preserve">FX NDF </w:t>
      </w:r>
      <w:r w:rsidRPr="00CF4703">
        <w:rPr>
          <w:rFonts w:asciiTheme="majorHAnsi" w:hAnsiTheme="majorHAnsi"/>
          <w:noProof/>
          <w:sz w:val="22"/>
          <w:szCs w:val="22"/>
          <w:lang w:eastAsia="en-GB"/>
        </w:rPr>
        <w:t xml:space="preserve">classes addresses appropriately </w:t>
      </w:r>
      <w:r>
        <w:rPr>
          <w:rFonts w:asciiTheme="majorHAnsi" w:hAnsiTheme="majorHAnsi"/>
          <w:noProof/>
          <w:sz w:val="22"/>
          <w:szCs w:val="22"/>
          <w:lang w:eastAsia="en-GB"/>
        </w:rPr>
        <w:t>any of the</w:t>
      </w:r>
      <w:r w:rsidRPr="00CF4703">
        <w:rPr>
          <w:rFonts w:asciiTheme="majorHAnsi" w:hAnsiTheme="majorHAnsi"/>
          <w:noProof/>
          <w:sz w:val="22"/>
          <w:szCs w:val="22"/>
          <w:lang w:eastAsia="en-GB"/>
        </w:rPr>
        <w:t xml:space="preserve"> systemic risk associated to NDF derivatives</w:t>
      </w:r>
      <w:r>
        <w:rPr>
          <w:rFonts w:asciiTheme="majorHAnsi" w:hAnsiTheme="majorHAnsi"/>
          <w:noProof/>
          <w:sz w:val="22"/>
          <w:szCs w:val="22"/>
          <w:lang w:eastAsia="en-GB"/>
        </w:rPr>
        <w:t xml:space="preserve">. Indeed it would be more likely to transport systemic risk between the country of the quoted NDF and that of the residence of the CCP and to those of its clearing members. </w:t>
      </w:r>
    </w:p>
    <w:p w:rsidR="005E4B7E" w:rsidRDefault="005E4B7E" w:rsidP="005E4B7E">
      <w:pPr>
        <w:jc w:val="both"/>
        <w:rPr>
          <w:rFonts w:asciiTheme="majorHAnsi" w:hAnsiTheme="majorHAnsi"/>
          <w:noProof/>
          <w:sz w:val="22"/>
          <w:szCs w:val="22"/>
          <w:lang w:eastAsia="en-GB"/>
        </w:rPr>
      </w:pPr>
    </w:p>
    <w:p w:rsidR="005E4B7E" w:rsidRDefault="005E4B7E" w:rsidP="005E4B7E">
      <w:pPr>
        <w:jc w:val="both"/>
        <w:rPr>
          <w:rFonts w:asciiTheme="majorHAnsi" w:hAnsiTheme="majorHAnsi"/>
          <w:noProof/>
          <w:sz w:val="22"/>
          <w:szCs w:val="22"/>
          <w:lang w:eastAsia="en-GB"/>
        </w:rPr>
      </w:pPr>
      <w:r>
        <w:rPr>
          <w:rFonts w:asciiTheme="majorHAnsi" w:hAnsiTheme="majorHAnsi"/>
          <w:noProof/>
          <w:sz w:val="22"/>
          <w:szCs w:val="22"/>
          <w:lang w:eastAsia="en-GB"/>
        </w:rPr>
        <w:t>Furthermore, if the market seeks to preserve its netting sets and therefore its operational efficiency and competitiveness, then the outcome from the criteria would be to migrate the market liquidity away from the EU. Should the FX pair currently quoted as NDF become widely deliverable, then a migration back to the home state of the currency may be appropriate, but without this conditiion being satisfied the consequences would be purely unintentional.</w:t>
      </w:r>
    </w:p>
    <w:p w:rsidR="005E4B7E" w:rsidRDefault="005E4B7E" w:rsidP="005E4B7E">
      <w:pPr>
        <w:jc w:val="both"/>
        <w:rPr>
          <w:rFonts w:asciiTheme="majorHAnsi" w:hAnsiTheme="majorHAnsi"/>
          <w:noProof/>
          <w:sz w:val="22"/>
          <w:szCs w:val="22"/>
          <w:lang w:eastAsia="en-GB"/>
        </w:rPr>
      </w:pPr>
    </w:p>
    <w:p w:rsidR="005E4B7E" w:rsidRDefault="005E4B7E" w:rsidP="005E4B7E">
      <w:pPr>
        <w:jc w:val="both"/>
        <w:rPr>
          <w:rFonts w:asciiTheme="majorHAnsi" w:hAnsiTheme="majorHAnsi"/>
          <w:noProof/>
          <w:sz w:val="22"/>
          <w:szCs w:val="22"/>
          <w:lang w:eastAsia="en-GB"/>
        </w:rPr>
      </w:pPr>
      <w:r>
        <w:rPr>
          <w:rFonts w:asciiTheme="majorHAnsi" w:hAnsiTheme="majorHAnsi"/>
          <w:noProof/>
          <w:sz w:val="22"/>
          <w:szCs w:val="22"/>
          <w:lang w:eastAsia="en-GB"/>
        </w:rPr>
        <w:t xml:space="preserve">Given that </w:t>
      </w:r>
      <w:r w:rsidRPr="00966126">
        <w:rPr>
          <w:rFonts w:asciiTheme="majorHAnsi" w:hAnsiTheme="majorHAnsi"/>
          <w:noProof/>
          <w:sz w:val="22"/>
          <w:szCs w:val="22"/>
          <w:lang w:eastAsia="en-GB"/>
        </w:rPr>
        <w:t xml:space="preserve">FX NDFs represent </w:t>
      </w:r>
      <w:r>
        <w:rPr>
          <w:rFonts w:asciiTheme="majorHAnsi" w:hAnsiTheme="majorHAnsi"/>
          <w:noProof/>
          <w:sz w:val="22"/>
          <w:szCs w:val="22"/>
          <w:lang w:eastAsia="en-GB"/>
        </w:rPr>
        <w:t>only 2 ½</w:t>
      </w:r>
      <w:r w:rsidRPr="00966126">
        <w:rPr>
          <w:rFonts w:asciiTheme="majorHAnsi" w:hAnsiTheme="majorHAnsi"/>
          <w:noProof/>
          <w:sz w:val="22"/>
          <w:szCs w:val="22"/>
          <w:lang w:eastAsia="en-GB"/>
        </w:rPr>
        <w:t>% of the average daily turnover of the global OTC FX market</w:t>
      </w:r>
      <w:r>
        <w:rPr>
          <w:rStyle w:val="FootnoteReference"/>
          <w:rFonts w:asciiTheme="majorHAnsi" w:hAnsiTheme="majorHAnsi"/>
          <w:noProof/>
          <w:sz w:val="22"/>
          <w:szCs w:val="22"/>
          <w:lang w:eastAsia="en-GB"/>
        </w:rPr>
        <w:footnoteReference w:id="5"/>
      </w:r>
      <w:r>
        <w:rPr>
          <w:rFonts w:asciiTheme="majorHAnsi" w:hAnsiTheme="majorHAnsi"/>
          <w:noProof/>
          <w:sz w:val="22"/>
          <w:szCs w:val="22"/>
          <w:lang w:eastAsia="en-GB"/>
        </w:rPr>
        <w:t xml:space="preserve">, it is hard to see the immediate systemic benefits of such a small segment. Indeed it remains readily apparent to the WMBA that since the principal systemic risk present is that of the destabilisation of the underlying currency and therefore of the NDF fixing index. The only proper route towards the mitigation of systemic risk is rather to redesignate trading in these currencies to an onshore nostro delivered market with the associated </w:t>
      </w:r>
      <w:r w:rsidRPr="00295391">
        <w:rPr>
          <w:rFonts w:asciiTheme="majorHAnsi" w:hAnsiTheme="majorHAnsi"/>
          <w:i/>
          <w:noProof/>
          <w:sz w:val="22"/>
          <w:szCs w:val="22"/>
          <w:lang w:eastAsia="en-GB"/>
        </w:rPr>
        <w:t>herstatt risks</w:t>
      </w:r>
      <w:r>
        <w:rPr>
          <w:rFonts w:asciiTheme="majorHAnsi" w:hAnsiTheme="majorHAnsi"/>
          <w:noProof/>
          <w:sz w:val="22"/>
          <w:szCs w:val="22"/>
          <w:lang w:eastAsia="en-GB"/>
        </w:rPr>
        <w:t xml:space="preserve"> being mitigated by real time CLS settlement.  </w:t>
      </w:r>
    </w:p>
    <w:permEnd w:id="1592949933"/>
    <w:p w:rsidR="00CC1C71" w:rsidRDefault="00CC1C71" w:rsidP="00CC1C71">
      <w:r>
        <w:t>&lt;ESMA_CO3_QUESTION_3&gt;</w:t>
      </w:r>
    </w:p>
    <w:p w:rsidR="00CC1C71" w:rsidRDefault="00CC1C71" w:rsidP="00CC1C71"/>
    <w:p w:rsidR="00CC1C71" w:rsidRDefault="00CC1C71" w:rsidP="00CC1C71">
      <w:pPr>
        <w:pStyle w:val="Heading5"/>
      </w:pPr>
      <w:r>
        <w:t xml:space="preserve">For the currency pairs proposed for the clearing obligation on the NDF class, do you consider there are risks to include longer maturities, up to the 2 year tenor? </w:t>
      </w:r>
    </w:p>
    <w:p w:rsidR="00CC1C71" w:rsidRDefault="00CC1C71" w:rsidP="00CC1C71"/>
    <w:p w:rsidR="00CC1C71" w:rsidRDefault="00CC1C71" w:rsidP="00CC1C71">
      <w:r>
        <w:t>&lt;ESMA_CO3_QUESTION_4&gt;</w:t>
      </w:r>
    </w:p>
    <w:p w:rsidR="005E4B7E" w:rsidRDefault="005E4B7E" w:rsidP="005E4B7E">
      <w:pPr>
        <w:jc w:val="both"/>
        <w:rPr>
          <w:rFonts w:asciiTheme="majorHAnsi" w:hAnsiTheme="majorHAnsi"/>
          <w:noProof/>
          <w:sz w:val="22"/>
          <w:szCs w:val="22"/>
          <w:lang w:eastAsia="en-GB"/>
        </w:rPr>
      </w:pPr>
      <w:permStart w:id="558580534" w:edGrp="everyone"/>
      <w:r>
        <w:rPr>
          <w:rFonts w:asciiTheme="majorHAnsi" w:hAnsiTheme="majorHAnsi"/>
          <w:noProof/>
          <w:sz w:val="22"/>
          <w:szCs w:val="22"/>
          <w:lang w:eastAsia="en-GB"/>
        </w:rPr>
        <w:t xml:space="preserve">The WMBA understands that the benefits of clearing are proportionate to the term of the contract. As such any mandate for contracts under 1 month would appear to us to be without any particular reason or merit. For NDF markets, this 1 month point tends to act as the liquid or ‘spot’ tenor and as such is the only tenor widely liquid and available as addressable electronic liquidity. Short dated FX NDF contracts with under 1 month remaining to maturity do not offer systemic threats and indeed are better netted within trading books or prime brokerage accounts. Simply put, these have little different risk profiles to delivered forwards. </w:t>
      </w:r>
    </w:p>
    <w:p w:rsidR="005E4B7E" w:rsidRDefault="005E4B7E" w:rsidP="005E4B7E">
      <w:pPr>
        <w:jc w:val="both"/>
        <w:rPr>
          <w:rFonts w:asciiTheme="majorHAnsi" w:hAnsiTheme="majorHAnsi"/>
          <w:noProof/>
          <w:sz w:val="22"/>
          <w:szCs w:val="22"/>
          <w:lang w:eastAsia="en-GB"/>
        </w:rPr>
      </w:pPr>
    </w:p>
    <w:p w:rsidR="005E4B7E" w:rsidRDefault="005E4B7E" w:rsidP="005E4B7E">
      <w:pPr>
        <w:jc w:val="both"/>
        <w:rPr>
          <w:rFonts w:asciiTheme="majorHAnsi" w:hAnsiTheme="majorHAnsi"/>
          <w:noProof/>
          <w:sz w:val="22"/>
          <w:szCs w:val="22"/>
          <w:lang w:eastAsia="en-GB"/>
        </w:rPr>
      </w:pPr>
      <w:r>
        <w:rPr>
          <w:rFonts w:asciiTheme="majorHAnsi" w:hAnsiTheme="majorHAnsi"/>
          <w:noProof/>
          <w:sz w:val="22"/>
          <w:szCs w:val="22"/>
          <w:lang w:eastAsia="en-GB"/>
        </w:rPr>
        <w:t>For longer dated tenors over 12 months the market would have an appetite to self-clear if a large enough netting set can be entered onto a single CCP. It is difficult however to understand how these ‘bottom up’ considerations within the trading book of each wholesale market counterparty could be replaicated in EU law. Rather the market would be motivated to rebook via non USD denominators or in non-EU subsidiaries where the mandate would promote inefficiencies. This process does not appear to us to be symbiotic with a reduction of systemic risk.</w:t>
      </w:r>
    </w:p>
    <w:p w:rsidR="005E4B7E" w:rsidRDefault="005E4B7E" w:rsidP="005E4B7E">
      <w:pPr>
        <w:jc w:val="both"/>
        <w:rPr>
          <w:rFonts w:asciiTheme="majorHAnsi" w:hAnsiTheme="majorHAnsi"/>
          <w:noProof/>
          <w:sz w:val="22"/>
          <w:szCs w:val="22"/>
          <w:lang w:eastAsia="en-GB"/>
        </w:rPr>
      </w:pPr>
    </w:p>
    <w:p w:rsidR="005E4B7E" w:rsidRDefault="005E4B7E" w:rsidP="005E4B7E">
      <w:pPr>
        <w:jc w:val="both"/>
        <w:rPr>
          <w:rFonts w:asciiTheme="majorHAnsi" w:hAnsiTheme="majorHAnsi"/>
          <w:noProof/>
          <w:sz w:val="22"/>
          <w:szCs w:val="22"/>
          <w:lang w:eastAsia="en-GB"/>
        </w:rPr>
      </w:pPr>
      <w:r>
        <w:rPr>
          <w:rFonts w:asciiTheme="majorHAnsi" w:hAnsiTheme="majorHAnsi"/>
          <w:noProof/>
          <w:sz w:val="22"/>
          <w:szCs w:val="22"/>
          <w:lang w:eastAsia="en-GB"/>
        </w:rPr>
        <w:t>Therefore form a systemic risk perspective, for all the currencies cited in Table 10 of the ESMA CP. we would recommend a purely volentary approach to CCP clearing in accordance with maximising liquidity and minimising collateral usage and Basle metric capital costs. (We note that t</w:t>
      </w:r>
      <w:r w:rsidRPr="00456210">
        <w:rPr>
          <w:rFonts w:asciiTheme="majorHAnsi" w:hAnsiTheme="majorHAnsi"/>
          <w:noProof/>
          <w:sz w:val="22"/>
          <w:szCs w:val="22"/>
          <w:lang w:eastAsia="en-GB"/>
        </w:rPr>
        <w:t>he phase-in of margin requirements for uncleared derivative transactions will begin at the end of 2015, which will increase the cost of continuing to transact FX NDFs bilaterally.</w:t>
      </w:r>
      <w:r>
        <w:rPr>
          <w:rFonts w:asciiTheme="majorHAnsi" w:hAnsiTheme="majorHAnsi"/>
          <w:noProof/>
          <w:sz w:val="22"/>
          <w:szCs w:val="22"/>
          <w:lang w:eastAsia="en-GB"/>
        </w:rPr>
        <w:t>)</w:t>
      </w:r>
    </w:p>
    <w:permEnd w:id="558580534"/>
    <w:p w:rsidR="00CC1C71" w:rsidRDefault="00CC1C71" w:rsidP="00CC1C71">
      <w:r>
        <w:t>&lt;ESMA_CO3_QUESTION_4&gt;</w:t>
      </w:r>
    </w:p>
    <w:p w:rsidR="00CC1C71" w:rsidRDefault="00CC1C71" w:rsidP="00CC1C71"/>
    <w:p w:rsidR="00CC1C71" w:rsidRDefault="00CC1C71" w:rsidP="00CC1C71">
      <w:pPr>
        <w:pStyle w:val="Heading2"/>
        <w:keepLines w:val="0"/>
        <w:pageBreakBefore/>
        <w:numPr>
          <w:ilvl w:val="0"/>
          <w:numId w:val="36"/>
        </w:numPr>
        <w:spacing w:before="0" w:after="250" w:line="276" w:lineRule="auto"/>
        <w:ind w:left="357" w:hanging="357"/>
        <w:jc w:val="both"/>
      </w:pPr>
      <w:bookmarkStart w:id="17" w:name="_Toc398140747"/>
      <w:r w:rsidRPr="00412C4C">
        <w:t xml:space="preserve">Determination of the </w:t>
      </w:r>
      <w:r>
        <w:t xml:space="preserve">dates on which the obligation applies and </w:t>
      </w:r>
      <w:r w:rsidRPr="00412C4C">
        <w:t>the categories of counterparties</w:t>
      </w:r>
      <w:bookmarkEnd w:id="17"/>
    </w:p>
    <w:p w:rsidR="00CC1C71" w:rsidRDefault="00CC1C71" w:rsidP="00CC1C71"/>
    <w:p w:rsidR="00CC1C71" w:rsidRPr="00284213" w:rsidRDefault="00CC1C71" w:rsidP="00CC1C71">
      <w:pPr>
        <w:pStyle w:val="Heading5"/>
      </w:pPr>
      <w:r>
        <w:t xml:space="preserve"> Do you have any comment on the analysis presented in Section </w:t>
      </w:r>
      <w:r>
        <w:fldChar w:fldCharType="begin"/>
      </w:r>
      <w:r>
        <w:instrText xml:space="preserve"> REF _Ref392684359 \r \h </w:instrText>
      </w:r>
      <w:r>
        <w:fldChar w:fldCharType="separate"/>
      </w:r>
      <w:r>
        <w:t>4.1</w:t>
      </w:r>
      <w:r>
        <w:fldChar w:fldCharType="end"/>
      </w:r>
      <w:r>
        <w:t>?</w:t>
      </w:r>
    </w:p>
    <w:p w:rsidR="00CC1C71" w:rsidRDefault="00CC1C71" w:rsidP="00CC1C71"/>
    <w:p w:rsidR="00CC1C71" w:rsidRDefault="00CC1C71" w:rsidP="00CC1C71">
      <w:r>
        <w:t>&lt;ESMA_CO3_QUESTION_5&gt;</w:t>
      </w:r>
    </w:p>
    <w:p w:rsidR="005E4B7E" w:rsidRDefault="005E4B7E" w:rsidP="005E4B7E">
      <w:pPr>
        <w:jc w:val="both"/>
        <w:rPr>
          <w:rFonts w:asciiTheme="majorHAnsi" w:hAnsiTheme="majorHAnsi"/>
          <w:noProof/>
          <w:sz w:val="22"/>
          <w:szCs w:val="22"/>
          <w:lang w:eastAsia="en-GB"/>
        </w:rPr>
      </w:pPr>
      <w:permStart w:id="1446666588" w:edGrp="everyone"/>
      <w:r w:rsidRPr="00456210">
        <w:rPr>
          <w:rFonts w:asciiTheme="majorHAnsi" w:hAnsiTheme="majorHAnsi"/>
          <w:noProof/>
          <w:sz w:val="22"/>
          <w:szCs w:val="22"/>
          <w:lang w:eastAsia="en-GB"/>
        </w:rPr>
        <w:t>Voluntary clearing</w:t>
      </w:r>
      <w:r>
        <w:rPr>
          <w:rFonts w:asciiTheme="majorHAnsi" w:hAnsiTheme="majorHAnsi"/>
          <w:noProof/>
          <w:sz w:val="22"/>
          <w:szCs w:val="22"/>
          <w:lang w:eastAsia="en-GB"/>
        </w:rPr>
        <w:t xml:space="preserve"> for the FX NDF market</w:t>
      </w:r>
      <w:r w:rsidRPr="00456210">
        <w:rPr>
          <w:rFonts w:asciiTheme="majorHAnsi" w:hAnsiTheme="majorHAnsi"/>
          <w:noProof/>
          <w:sz w:val="22"/>
          <w:szCs w:val="22"/>
          <w:lang w:eastAsia="en-GB"/>
        </w:rPr>
        <w:t>, which represent</w:t>
      </w:r>
      <w:r>
        <w:rPr>
          <w:rFonts w:asciiTheme="majorHAnsi" w:hAnsiTheme="majorHAnsi"/>
          <w:noProof/>
          <w:sz w:val="22"/>
          <w:szCs w:val="22"/>
          <w:lang w:eastAsia="en-GB"/>
        </w:rPr>
        <w:t>s only</w:t>
      </w:r>
      <w:r w:rsidRPr="00456210">
        <w:rPr>
          <w:rFonts w:asciiTheme="majorHAnsi" w:hAnsiTheme="majorHAnsi"/>
          <w:noProof/>
          <w:sz w:val="22"/>
          <w:szCs w:val="22"/>
          <w:lang w:eastAsia="en-GB"/>
        </w:rPr>
        <w:t xml:space="preserve"> 2.4% of the average daily turnover of the OTC FX market,</w:t>
      </w:r>
      <w:r>
        <w:rPr>
          <w:rFonts w:asciiTheme="majorHAnsi" w:hAnsiTheme="majorHAnsi"/>
          <w:noProof/>
          <w:sz w:val="22"/>
          <w:szCs w:val="22"/>
          <w:lang w:eastAsia="en-GB"/>
        </w:rPr>
        <w:t xml:space="preserve"> </w:t>
      </w:r>
      <w:r w:rsidRPr="00456210">
        <w:rPr>
          <w:rFonts w:asciiTheme="majorHAnsi" w:hAnsiTheme="majorHAnsi"/>
          <w:noProof/>
          <w:sz w:val="22"/>
          <w:szCs w:val="22"/>
          <w:lang w:eastAsia="en-GB"/>
        </w:rPr>
        <w:t>is estimated to be 0.4%-3.6% depending on the currencies involved.</w:t>
      </w:r>
      <w:r>
        <w:rPr>
          <w:rFonts w:asciiTheme="majorHAnsi" w:hAnsiTheme="majorHAnsi"/>
          <w:noProof/>
          <w:sz w:val="22"/>
          <w:szCs w:val="22"/>
          <w:lang w:eastAsia="en-GB"/>
        </w:rPr>
        <w:t xml:space="preserve"> Therefore, at only 1/5000</w:t>
      </w:r>
      <w:r w:rsidRPr="00456210">
        <w:rPr>
          <w:rFonts w:asciiTheme="majorHAnsi" w:hAnsiTheme="majorHAnsi"/>
          <w:noProof/>
          <w:sz w:val="22"/>
          <w:szCs w:val="22"/>
          <w:vertAlign w:val="superscript"/>
          <w:lang w:eastAsia="en-GB"/>
        </w:rPr>
        <w:t>th</w:t>
      </w:r>
      <w:r>
        <w:rPr>
          <w:rFonts w:asciiTheme="majorHAnsi" w:hAnsiTheme="majorHAnsi"/>
          <w:noProof/>
          <w:sz w:val="22"/>
          <w:szCs w:val="22"/>
          <w:lang w:eastAsia="en-GB"/>
        </w:rPr>
        <w:t xml:space="preserve"> of the market place, it is difficult to see either the commercial viability of many CCPs continuing without mandating of  clearing, and conversely it is hard to endorse legislation attempting to fundamentally renavigate any market, let alone a quintessentially international one. </w:t>
      </w:r>
    </w:p>
    <w:p w:rsidR="005E4B7E" w:rsidRDefault="005E4B7E" w:rsidP="005E4B7E">
      <w:pPr>
        <w:jc w:val="both"/>
        <w:rPr>
          <w:rFonts w:asciiTheme="majorHAnsi" w:hAnsiTheme="majorHAnsi"/>
          <w:noProof/>
          <w:sz w:val="22"/>
          <w:szCs w:val="22"/>
          <w:lang w:eastAsia="en-GB"/>
        </w:rPr>
      </w:pPr>
    </w:p>
    <w:p w:rsidR="005E4B7E" w:rsidRDefault="005E4B7E" w:rsidP="005E4B7E">
      <w:pPr>
        <w:jc w:val="both"/>
        <w:rPr>
          <w:rFonts w:asciiTheme="majorHAnsi" w:hAnsiTheme="majorHAnsi"/>
          <w:noProof/>
          <w:sz w:val="22"/>
          <w:szCs w:val="22"/>
          <w:lang w:eastAsia="en-GB"/>
        </w:rPr>
      </w:pPr>
      <w:r w:rsidRPr="00636827">
        <w:rPr>
          <w:rFonts w:asciiTheme="majorHAnsi" w:hAnsiTheme="majorHAnsi"/>
          <w:noProof/>
          <w:sz w:val="22"/>
          <w:szCs w:val="22"/>
          <w:lang w:eastAsia="en-GB"/>
        </w:rPr>
        <w:t>ESMA’s conclusion that IRS and CDS contracts were appropriate for a clearing mandate via a “bottom-up” approach was predicated on a market infrastructures which had demonstrated real operational capacity to clear such contracts, as evidenced by the statistics noted above (i.e., approximately 60% of IRS contracts and 30% of CDS contracts were being voluntarily cleared since 1999 and 2009, respectively).  Making a clearing determination now, in the context of the FX NDF market as currently constituted, may be better analysed substantively through the lens of a “top-down” rather than a “bottom-up” approach.</w:t>
      </w:r>
    </w:p>
    <w:permEnd w:id="1446666588"/>
    <w:p w:rsidR="00CC1C71" w:rsidRDefault="00CC1C71" w:rsidP="00CC1C71">
      <w:r>
        <w:t>&lt;ESMA_CO3_QUESTION_5&gt;</w:t>
      </w:r>
    </w:p>
    <w:p w:rsidR="00CC1C71" w:rsidRDefault="00CC1C71" w:rsidP="00CC1C71"/>
    <w:p w:rsidR="00CC1C71" w:rsidRPr="00301767" w:rsidRDefault="00CC1C71" w:rsidP="00CC1C71">
      <w:pPr>
        <w:pStyle w:val="Heading5"/>
      </w:pPr>
      <w:r>
        <w:t>Do you agree with the proposal to keep the same definition of the categories of counterparties for the NDF classes than for the credit and the interest rate classes</w:t>
      </w:r>
      <w:r w:rsidRPr="004A3DCD">
        <w:t>? Please explain why and possible alternatives.</w:t>
      </w:r>
    </w:p>
    <w:p w:rsidR="00CC1C71" w:rsidRDefault="00CC1C71" w:rsidP="00CC1C71"/>
    <w:p w:rsidR="00CC1C71" w:rsidRDefault="00CC1C71" w:rsidP="00CC1C71">
      <w:r>
        <w:t>&lt;ESMA_CO3_QUESTION_6&gt;</w:t>
      </w:r>
    </w:p>
    <w:p w:rsidR="005E4B7E" w:rsidRDefault="005E4B7E" w:rsidP="005E4B7E">
      <w:pPr>
        <w:jc w:val="both"/>
        <w:rPr>
          <w:rFonts w:asciiTheme="majorHAnsi" w:hAnsiTheme="majorHAnsi"/>
          <w:noProof/>
          <w:sz w:val="22"/>
          <w:szCs w:val="22"/>
          <w:lang w:eastAsia="en-GB"/>
        </w:rPr>
      </w:pPr>
      <w:permStart w:id="764692505" w:edGrp="everyone"/>
      <w:r>
        <w:rPr>
          <w:rFonts w:asciiTheme="majorHAnsi" w:hAnsiTheme="majorHAnsi"/>
          <w:noProof/>
          <w:sz w:val="22"/>
          <w:szCs w:val="22"/>
          <w:lang w:eastAsia="en-GB"/>
        </w:rPr>
        <w:t>Yes the WMBA does agree with the standardisations of the definitions of counterparties. This does not preclude the equivilent treatment for different product sets however.</w:t>
      </w:r>
    </w:p>
    <w:permEnd w:id="764692505"/>
    <w:p w:rsidR="00CC1C71" w:rsidRDefault="00CC1C71" w:rsidP="00CC1C71">
      <w:r>
        <w:t>&lt;ESMA_CO3_QUESTION_6&gt;</w:t>
      </w:r>
    </w:p>
    <w:p w:rsidR="00CC1C71" w:rsidRDefault="00CC1C71" w:rsidP="00CC1C71"/>
    <w:p w:rsidR="00CC1C71" w:rsidRDefault="00CC1C71" w:rsidP="00CC1C71">
      <w:pPr>
        <w:pStyle w:val="Heading5"/>
      </w:pPr>
      <w:r>
        <w:t xml:space="preserve"> </w:t>
      </w:r>
      <w:r w:rsidRPr="0067104A">
        <w:t>Do you consider that the proposed dates of application ensure a smooth implementation of the clearing obligation? Please explain why and possible alternatives.</w:t>
      </w:r>
      <w:bookmarkStart w:id="18" w:name="_Toc392684952"/>
      <w:bookmarkStart w:id="19" w:name="_Toc390952341"/>
      <w:bookmarkStart w:id="20" w:name="_Toc391310571"/>
      <w:bookmarkStart w:id="21" w:name="_Toc391310596"/>
      <w:bookmarkStart w:id="22" w:name="_Toc391310655"/>
      <w:bookmarkStart w:id="23" w:name="_Toc391313047"/>
      <w:bookmarkStart w:id="24" w:name="_Toc390262886"/>
      <w:bookmarkStart w:id="25" w:name="_Toc390262889"/>
      <w:bookmarkStart w:id="26" w:name="_Toc390262891"/>
      <w:bookmarkStart w:id="27" w:name="_Toc390262899"/>
      <w:bookmarkEnd w:id="18"/>
      <w:bookmarkEnd w:id="19"/>
      <w:bookmarkEnd w:id="20"/>
      <w:bookmarkEnd w:id="21"/>
      <w:bookmarkEnd w:id="22"/>
      <w:bookmarkEnd w:id="23"/>
      <w:bookmarkEnd w:id="24"/>
      <w:bookmarkEnd w:id="25"/>
      <w:bookmarkEnd w:id="26"/>
      <w:bookmarkEnd w:id="27"/>
    </w:p>
    <w:p w:rsidR="00CC1C71" w:rsidRDefault="00CC1C71" w:rsidP="00CC1C71"/>
    <w:p w:rsidR="00CC1C71" w:rsidRDefault="00CC1C71" w:rsidP="00CC1C71">
      <w:r>
        <w:t>&lt;ESMA_CO3_QUESTION_7&gt;</w:t>
      </w:r>
    </w:p>
    <w:p w:rsidR="005E4B7E" w:rsidRDefault="005E4B7E" w:rsidP="005E4B7E">
      <w:pPr>
        <w:jc w:val="both"/>
        <w:rPr>
          <w:rFonts w:asciiTheme="majorHAnsi" w:hAnsiTheme="majorHAnsi"/>
          <w:noProof/>
          <w:sz w:val="22"/>
          <w:szCs w:val="22"/>
          <w:lang w:eastAsia="en-GB"/>
        </w:rPr>
      </w:pPr>
      <w:permStart w:id="1188710606" w:edGrp="everyone"/>
      <w:r>
        <w:rPr>
          <w:rFonts w:asciiTheme="majorHAnsi" w:hAnsiTheme="majorHAnsi"/>
          <w:noProof/>
          <w:sz w:val="22"/>
          <w:szCs w:val="22"/>
          <w:lang w:eastAsia="en-GB"/>
        </w:rPr>
        <w:t>No the WMBA does not agree with the proposed dates as the complexities of the issues involved demand further consideration and would only be feasible in tandem with clearing for delivered FX and for FX options across a wider set of jurisdictions. Even in this case, clearing beyond the set of wholesale global financial counterparties is of dubious value. We would however, envisage global NDF markets to be widely settled physically into the pertinent domestic banking systems by this point in time.</w:t>
      </w:r>
    </w:p>
    <w:permEnd w:id="1188710606"/>
    <w:p w:rsidR="00CC1C71" w:rsidRDefault="00CC1C71" w:rsidP="00CC1C71">
      <w:r>
        <w:t>&lt;ESMA_CO3_QUESTION_7&gt;</w:t>
      </w:r>
    </w:p>
    <w:p w:rsidR="00CC1C71" w:rsidRDefault="00CC1C71" w:rsidP="00CC1C71"/>
    <w:p w:rsidR="00CC1C71" w:rsidRDefault="00CC1C71" w:rsidP="00CC1C71">
      <w:pPr>
        <w:pStyle w:val="Heading2"/>
        <w:keepLines w:val="0"/>
        <w:pageBreakBefore/>
        <w:numPr>
          <w:ilvl w:val="0"/>
          <w:numId w:val="36"/>
        </w:numPr>
        <w:spacing w:before="0" w:after="250" w:line="276" w:lineRule="auto"/>
        <w:ind w:left="357" w:hanging="357"/>
        <w:jc w:val="both"/>
      </w:pPr>
      <w:bookmarkStart w:id="28" w:name="_Toc398140748"/>
      <w:r w:rsidRPr="00A84770">
        <w:t>Remaining maturity</w:t>
      </w:r>
      <w:r>
        <w:t xml:space="preserve"> and frontloading</w:t>
      </w:r>
      <w:bookmarkEnd w:id="28"/>
    </w:p>
    <w:p w:rsidR="00C7564E" w:rsidRDefault="00C7564E" w:rsidP="00C7564E">
      <w:pPr>
        <w:pStyle w:val="Heading5"/>
      </w:pPr>
      <w:r>
        <w:t>Do you have comments on the minimum remaining maturities for NDF?</w:t>
      </w:r>
    </w:p>
    <w:p w:rsidR="00C7564E" w:rsidRPr="00CC1C71" w:rsidRDefault="00C7564E" w:rsidP="00C7564E"/>
    <w:p w:rsidR="00C7564E" w:rsidRDefault="00C7564E" w:rsidP="00C7564E">
      <w:r>
        <w:t>&lt;ESMA_CO3_QUESTION_8&gt;</w:t>
      </w:r>
    </w:p>
    <w:p w:rsidR="005E4B7E" w:rsidRDefault="005E4B7E" w:rsidP="005E4B7E">
      <w:pPr>
        <w:jc w:val="both"/>
        <w:rPr>
          <w:rFonts w:asciiTheme="majorHAnsi" w:hAnsiTheme="majorHAnsi"/>
          <w:noProof/>
          <w:sz w:val="22"/>
          <w:szCs w:val="22"/>
          <w:lang w:eastAsia="en-GB"/>
        </w:rPr>
      </w:pPr>
      <w:permStart w:id="1515482965" w:edGrp="everyone"/>
      <w:r>
        <w:rPr>
          <w:rFonts w:asciiTheme="majorHAnsi" w:hAnsiTheme="majorHAnsi"/>
          <w:noProof/>
          <w:sz w:val="22"/>
          <w:szCs w:val="22"/>
          <w:lang w:eastAsia="en-GB"/>
        </w:rPr>
        <w:t xml:space="preserve">The WMBA </w:t>
      </w:r>
      <w:r w:rsidRPr="00B907CD">
        <w:rPr>
          <w:rFonts w:asciiTheme="majorHAnsi" w:hAnsiTheme="majorHAnsi"/>
          <w:noProof/>
          <w:sz w:val="22"/>
          <w:szCs w:val="22"/>
          <w:lang w:eastAsia="en-GB"/>
        </w:rPr>
        <w:t>believes that there would be limited value in applying a “frontloading” requirement to FX NDF contracts, and that any clearing obligation for these contracts only apply to FX NDF contracts entered into or novated on the date of the clearing obligation takes effect</w:t>
      </w:r>
      <w:r>
        <w:rPr>
          <w:rFonts w:asciiTheme="majorHAnsi" w:hAnsiTheme="majorHAnsi"/>
          <w:noProof/>
          <w:sz w:val="22"/>
          <w:szCs w:val="22"/>
          <w:lang w:eastAsia="en-GB"/>
        </w:rPr>
        <w:t>.</w:t>
      </w:r>
    </w:p>
    <w:p w:rsidR="005E4B7E" w:rsidRDefault="005E4B7E" w:rsidP="005E4B7E">
      <w:pPr>
        <w:jc w:val="both"/>
        <w:rPr>
          <w:rFonts w:asciiTheme="majorHAnsi" w:hAnsiTheme="majorHAnsi"/>
          <w:noProof/>
          <w:sz w:val="22"/>
          <w:szCs w:val="22"/>
          <w:lang w:eastAsia="en-GB"/>
        </w:rPr>
      </w:pPr>
    </w:p>
    <w:p w:rsidR="005E4B7E" w:rsidRDefault="005E4B7E" w:rsidP="005E4B7E">
      <w:pPr>
        <w:jc w:val="both"/>
        <w:rPr>
          <w:rFonts w:asciiTheme="majorHAnsi" w:hAnsiTheme="majorHAnsi"/>
          <w:noProof/>
          <w:sz w:val="22"/>
          <w:szCs w:val="22"/>
          <w:lang w:eastAsia="en-GB"/>
        </w:rPr>
      </w:pPr>
      <w:r>
        <w:rPr>
          <w:rFonts w:asciiTheme="majorHAnsi" w:hAnsiTheme="majorHAnsi"/>
          <w:noProof/>
          <w:sz w:val="22"/>
          <w:szCs w:val="22"/>
          <w:lang w:eastAsia="en-GB"/>
        </w:rPr>
        <w:t>WMBA also believes that given the widely accepted 1 month ‘effective spot’ protocol for NDFs, that any NDFs with under 1 month remaining to maturity should not be included into any clearing obligation.</w:t>
      </w:r>
    </w:p>
    <w:permEnd w:id="1515482965"/>
    <w:p w:rsidR="00C7564E" w:rsidRDefault="00C7564E" w:rsidP="00C7564E">
      <w:r>
        <w:t>&lt;ESMA_CO3_QUESTION_8&gt;</w:t>
      </w:r>
    </w:p>
    <w:p w:rsidR="00CC1C71" w:rsidRDefault="00CC1C71" w:rsidP="00CC1C71"/>
    <w:p w:rsidR="00CC1C71" w:rsidRDefault="00CC1C71" w:rsidP="00CC1C71"/>
    <w:p w:rsidR="00CC1C71" w:rsidRDefault="00CC1C71" w:rsidP="00CC1C71">
      <w:r>
        <w:br w:type="page"/>
      </w:r>
    </w:p>
    <w:p w:rsidR="00CC1C71" w:rsidRDefault="00CC1C71" w:rsidP="00CC1C71">
      <w:pPr>
        <w:pStyle w:val="Heading1"/>
        <w:numPr>
          <w:ilvl w:val="0"/>
          <w:numId w:val="0"/>
        </w:numPr>
        <w:ind w:left="284"/>
      </w:pPr>
      <w:bookmarkStart w:id="29" w:name="_Ref389466688"/>
      <w:bookmarkStart w:id="30" w:name="_Toc398140750"/>
      <w:r w:rsidRPr="006579BC">
        <w:t xml:space="preserve">Annex </w:t>
      </w:r>
      <w:fldSimple w:instr=" SEQ Annex \* ROMAN ">
        <w:r>
          <w:rPr>
            <w:noProof/>
          </w:rPr>
          <w:t>II</w:t>
        </w:r>
      </w:fldSimple>
      <w:bookmarkEnd w:id="29"/>
      <w:r w:rsidRPr="006579BC">
        <w:t xml:space="preserve"> - Draft Regulatory Technical Standards on the Clearing Obligation</w:t>
      </w:r>
      <w:bookmarkEnd w:id="30"/>
    </w:p>
    <w:p w:rsidR="00CC1C71" w:rsidRPr="00CC1C71" w:rsidRDefault="00CC1C71" w:rsidP="00CC1C71"/>
    <w:p w:rsidR="00CC1C71" w:rsidRDefault="00CC1C71" w:rsidP="00CC1C71"/>
    <w:p w:rsidR="00CC1C71" w:rsidRDefault="00CC1C71" w:rsidP="00CC1C71">
      <w:pPr>
        <w:pStyle w:val="Heading5"/>
      </w:pPr>
      <w:r>
        <w:t>Please indicate your comments on the draft RTS other than those already made in the previous questions.</w:t>
      </w:r>
    </w:p>
    <w:p w:rsidR="00CC1C71" w:rsidRDefault="00CC1C71" w:rsidP="00CC1C71"/>
    <w:p w:rsidR="00CC1C71" w:rsidRDefault="00CC1C71" w:rsidP="00CC1C71">
      <w:r>
        <w:t>&lt;ESMA_CO3_QUESTION_9&gt;</w:t>
      </w:r>
    </w:p>
    <w:p w:rsidR="005E4B7E" w:rsidRDefault="005E4B7E" w:rsidP="005E4B7E">
      <w:pPr>
        <w:jc w:val="both"/>
        <w:rPr>
          <w:rFonts w:asciiTheme="majorHAnsi" w:hAnsiTheme="majorHAnsi"/>
          <w:noProof/>
          <w:sz w:val="22"/>
          <w:szCs w:val="22"/>
          <w:lang w:eastAsia="en-GB"/>
        </w:rPr>
      </w:pPr>
      <w:permStart w:id="1073946620" w:edGrp="everyone"/>
      <w:r>
        <w:rPr>
          <w:rFonts w:asciiTheme="majorHAnsi" w:hAnsiTheme="majorHAnsi"/>
          <w:noProof/>
          <w:sz w:val="22"/>
          <w:szCs w:val="22"/>
          <w:lang w:eastAsia="en-GB"/>
        </w:rPr>
        <w:t>We refer to the answers above.</w:t>
      </w:r>
    </w:p>
    <w:permEnd w:id="1073946620"/>
    <w:p w:rsidR="00CC1C71" w:rsidRDefault="00CC1C71" w:rsidP="00CC1C71">
      <w:r>
        <w:t>&lt;ESMA_CO3_QUESTION_9&gt;</w:t>
      </w:r>
    </w:p>
    <w:p w:rsidR="00CC1C71" w:rsidRDefault="00CC1C71" w:rsidP="00CC1C71">
      <w:r>
        <w:br w:type="page"/>
      </w:r>
    </w:p>
    <w:p w:rsidR="00CC1C71" w:rsidRPr="0030524D" w:rsidRDefault="00CC1C71" w:rsidP="00CC1C71">
      <w:pPr>
        <w:pStyle w:val="Heading1"/>
        <w:numPr>
          <w:ilvl w:val="0"/>
          <w:numId w:val="0"/>
        </w:numPr>
        <w:ind w:left="284"/>
      </w:pPr>
      <w:bookmarkStart w:id="31" w:name="_Toc398140751"/>
      <w:r w:rsidRPr="0030524D">
        <w:t xml:space="preserve">Annex </w:t>
      </w:r>
      <w:fldSimple w:instr=" SEQ Annex \* ROMAN ">
        <w:r>
          <w:rPr>
            <w:noProof/>
          </w:rPr>
          <w:t>III</w:t>
        </w:r>
      </w:fldSimple>
      <w:r w:rsidRPr="0030524D">
        <w:t xml:space="preserve"> </w:t>
      </w:r>
      <w:r>
        <w:t>–</w:t>
      </w:r>
      <w:r w:rsidRPr="0030524D">
        <w:t xml:space="preserve"> </w:t>
      </w:r>
      <w:r>
        <w:t>Impact assessment</w:t>
      </w:r>
      <w:bookmarkEnd w:id="31"/>
    </w:p>
    <w:p w:rsidR="00CC1C71" w:rsidRDefault="00CC1C71" w:rsidP="00CC1C71"/>
    <w:p w:rsidR="00CC1C71" w:rsidRDefault="00CC1C71" w:rsidP="00CC1C71">
      <w:pPr>
        <w:pStyle w:val="Heading5"/>
      </w:pPr>
      <w:r>
        <w:t>Please indicate your comments on the Impact Assessment.</w:t>
      </w:r>
    </w:p>
    <w:p w:rsidR="00CC1C71" w:rsidRDefault="00CC1C71" w:rsidP="00CC1C71"/>
    <w:p w:rsidR="00CC1C71" w:rsidRDefault="00CC1C71" w:rsidP="00CC1C71">
      <w:r>
        <w:t>&lt;ESMA_CO3_QUESTION_10&gt;</w:t>
      </w:r>
    </w:p>
    <w:p w:rsidR="005E4B7E" w:rsidRDefault="005E4B7E" w:rsidP="005E4B7E">
      <w:pPr>
        <w:jc w:val="both"/>
        <w:rPr>
          <w:rFonts w:asciiTheme="majorHAnsi" w:hAnsiTheme="majorHAnsi"/>
          <w:noProof/>
          <w:sz w:val="22"/>
          <w:szCs w:val="22"/>
          <w:lang w:eastAsia="en-GB"/>
        </w:rPr>
      </w:pPr>
      <w:permStart w:id="1960410890" w:edGrp="everyone"/>
      <w:r>
        <w:rPr>
          <w:rFonts w:asciiTheme="majorHAnsi" w:hAnsiTheme="majorHAnsi"/>
          <w:noProof/>
          <w:sz w:val="22"/>
          <w:szCs w:val="22"/>
          <w:lang w:eastAsia="en-GB"/>
        </w:rPr>
        <w:t>We refer to the answers above.</w:t>
      </w:r>
    </w:p>
    <w:permEnd w:id="1960410890"/>
    <w:p w:rsidR="00CC1C71" w:rsidRDefault="00CC1C71" w:rsidP="00CC1C71">
      <w:r>
        <w:t>&lt;ESMA_CO3_QUESTION_10&gt;</w:t>
      </w:r>
    </w:p>
    <w:p w:rsidR="00CC1C71" w:rsidRDefault="00CC1C71" w:rsidP="00CC1C71"/>
    <w:p w:rsidR="00510C18" w:rsidRDefault="00510C18" w:rsidP="00510C18"/>
    <w:sectPr w:rsidR="00510C18" w:rsidSect="000C06C9">
      <w:headerReference w:type="even" r:id="rId18"/>
      <w:headerReference w:type="first" r:id="rId19"/>
      <w:footerReference w:type="first" r:id="rId20"/>
      <w:pgSz w:w="11906" w:h="16838" w:code="9"/>
      <w:pgMar w:top="2552" w:right="1247" w:bottom="1361"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454" w:rsidRDefault="00732454">
      <w:r>
        <w:separator/>
      </w:r>
    </w:p>
    <w:p w:rsidR="00732454" w:rsidRDefault="00732454"/>
  </w:endnote>
  <w:endnote w:type="continuationSeparator" w:id="0">
    <w:p w:rsidR="00732454" w:rsidRDefault="00732454">
      <w:r>
        <w:continuationSeparator/>
      </w:r>
    </w:p>
    <w:p w:rsidR="00732454" w:rsidRDefault="00732454"/>
  </w:endnote>
  <w:endnote w:type="continuationNotice" w:id="1">
    <w:p w:rsidR="00732454" w:rsidRDefault="00732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EUAlbertina">
    <w:altName w:val="EU Albertin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510C18" w:rsidRPr="00315E96" w:rsidTr="00315E96">
      <w:trPr>
        <w:trHeight w:val="284"/>
      </w:trPr>
      <w:tc>
        <w:tcPr>
          <w:tcW w:w="8460" w:type="dxa"/>
        </w:tcPr>
        <w:p w:rsidR="00510C18" w:rsidRPr="00315E96" w:rsidRDefault="00510C18" w:rsidP="00315E96">
          <w:pPr>
            <w:pStyle w:val="00Footer"/>
            <w:rPr>
              <w:lang w:val="fr-FR"/>
            </w:rPr>
          </w:pPr>
        </w:p>
      </w:tc>
      <w:tc>
        <w:tcPr>
          <w:tcW w:w="952" w:type="dxa"/>
        </w:tcPr>
        <w:p w:rsidR="00510C18" w:rsidRPr="002C5B2D" w:rsidRDefault="00510C18" w:rsidP="002C5B2D">
          <w:pPr>
            <w:pStyle w:val="00aPagenumber"/>
          </w:pPr>
          <w:r>
            <w:fldChar w:fldCharType="begin"/>
          </w:r>
          <w:r>
            <w:instrText xml:space="preserve"> PAGE </w:instrText>
          </w:r>
          <w:r>
            <w:fldChar w:fldCharType="separate"/>
          </w:r>
          <w:r w:rsidR="005E4B7E">
            <w:rPr>
              <w:noProof/>
            </w:rPr>
            <w:t>16</w:t>
          </w:r>
          <w:r>
            <w:rPr>
              <w:noProof/>
            </w:rPr>
            <w:fldChar w:fldCharType="end"/>
          </w:r>
        </w:p>
      </w:tc>
    </w:tr>
  </w:tbl>
  <w:p w:rsidR="00510C18" w:rsidRDefault="00510C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18" w:rsidRDefault="00510C18" w:rsidP="00395EF9">
    <w:pPr>
      <w:pStyle w:val="Footer"/>
      <w:tabs>
        <w:tab w:val="clear" w:pos="4536"/>
        <w:tab w:val="clear" w:pos="9072"/>
        <w:tab w:val="left" w:pos="811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18" w:rsidRDefault="00510C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454" w:rsidRDefault="00732454">
      <w:r>
        <w:separator/>
      </w:r>
    </w:p>
    <w:p w:rsidR="00732454" w:rsidRDefault="00732454"/>
  </w:footnote>
  <w:footnote w:type="continuationSeparator" w:id="0">
    <w:p w:rsidR="00732454" w:rsidRDefault="00732454">
      <w:r>
        <w:continuationSeparator/>
      </w:r>
    </w:p>
    <w:p w:rsidR="00732454" w:rsidRDefault="00732454"/>
  </w:footnote>
  <w:footnote w:type="continuationNotice" w:id="1">
    <w:p w:rsidR="00732454" w:rsidRDefault="00732454"/>
  </w:footnote>
  <w:footnote w:id="2">
    <w:p w:rsidR="005E4B7E" w:rsidRDefault="005E4B7E" w:rsidP="005E4B7E">
      <w:pPr>
        <w:pStyle w:val="FootnoteText"/>
        <w:spacing w:before="100" w:beforeAutospacing="1" w:after="100" w:afterAutospacing="1"/>
        <w:contextualSpacing/>
      </w:pPr>
      <w:r>
        <w:rPr>
          <w:rStyle w:val="FootnoteReference"/>
        </w:rPr>
        <w:footnoteRef/>
      </w:r>
      <w:r>
        <w:t xml:space="preserve"> </w:t>
      </w:r>
      <w:hyperlink r:id="rId1" w:history="1">
        <w:r w:rsidRPr="00FB2E7A">
          <w:rPr>
            <w:rStyle w:val="Hyperlink"/>
          </w:rPr>
          <w:t>http://fshandbook.info/FS/html/FCA/BIPRU</w:t>
        </w:r>
      </w:hyperlink>
    </w:p>
  </w:footnote>
  <w:footnote w:id="3">
    <w:p w:rsidR="005E4B7E" w:rsidRDefault="005E4B7E" w:rsidP="005E4B7E">
      <w:pPr>
        <w:pStyle w:val="FootnoteText"/>
        <w:spacing w:before="100" w:beforeAutospacing="1" w:after="100" w:afterAutospacing="1"/>
        <w:contextualSpacing/>
      </w:pPr>
      <w:r>
        <w:rPr>
          <w:rStyle w:val="FootnoteReference"/>
        </w:rPr>
        <w:footnoteRef/>
      </w:r>
      <w:r>
        <w:t xml:space="preserve"> </w:t>
      </w:r>
      <w:hyperlink r:id="rId2" w:history="1">
        <w:r w:rsidRPr="00FB2E7A">
          <w:rPr>
            <w:rStyle w:val="Hyperlink"/>
          </w:rPr>
          <w:t>http://fshandbook.info/FS/html/FCA/IFPRU</w:t>
        </w:r>
      </w:hyperlink>
    </w:p>
  </w:footnote>
  <w:footnote w:id="4">
    <w:p w:rsidR="005E4B7E" w:rsidRPr="003D7F74" w:rsidRDefault="005E4B7E" w:rsidP="005E4B7E">
      <w:pPr>
        <w:pStyle w:val="FootnoteText"/>
        <w:tabs>
          <w:tab w:val="left" w:pos="180"/>
        </w:tabs>
        <w:rPr>
          <w:rFonts w:ascii="Garamond" w:hAnsi="Garamond"/>
          <w:sz w:val="18"/>
          <w:lang w:val="en-US"/>
        </w:rPr>
      </w:pPr>
      <w:r w:rsidRPr="003D7F74">
        <w:rPr>
          <w:rStyle w:val="FootnoteReference"/>
          <w:rFonts w:ascii="Garamond" w:hAnsi="Garamond"/>
          <w:sz w:val="18"/>
        </w:rPr>
        <w:footnoteRef/>
      </w:r>
      <w:r>
        <w:rPr>
          <w:rFonts w:ascii="Garamond" w:hAnsi="Garamond"/>
          <w:sz w:val="18"/>
        </w:rPr>
        <w:tab/>
        <w:t>See Consultation Paper, page 32.  Figures in the table above exclude CNY (one of the less liquid FX NDF currencies among the 11 considered by this Consultation Paper) where the share of trades with a maturity between six months and 1 year is 10%.</w:t>
      </w:r>
    </w:p>
  </w:footnote>
  <w:footnote w:id="5">
    <w:p w:rsidR="005E4B7E" w:rsidRDefault="005E4B7E" w:rsidP="005E4B7E">
      <w:pPr>
        <w:pStyle w:val="FootnoteText"/>
      </w:pPr>
      <w:r>
        <w:rPr>
          <w:rStyle w:val="FootnoteReference"/>
        </w:rPr>
        <w:footnoteRef/>
      </w:r>
      <w:r>
        <w:t xml:space="preserve"> </w:t>
      </w:r>
      <w:r w:rsidRPr="00567B70">
        <w:rPr>
          <w:rFonts w:ascii="Garamond" w:hAnsi="Garamond"/>
          <w:sz w:val="18"/>
          <w:lang w:val="en-US"/>
        </w:rPr>
        <w:t xml:space="preserve">See BIS Triennial Central Bank Survey:  Global foreign exchange market turnover in 2013 (February 2014); available at </w:t>
      </w:r>
      <w:hyperlink r:id="rId3" w:history="1">
        <w:r w:rsidRPr="00567B70">
          <w:rPr>
            <w:rStyle w:val="Hyperlink"/>
            <w:rFonts w:ascii="Garamond" w:hAnsi="Garamond"/>
            <w:sz w:val="18"/>
            <w:lang w:val="en-US"/>
          </w:rPr>
          <w:t>http://www.bis.org/publ/rpfxf13fxt.pdf</w:t>
        </w:r>
      </w:hyperlink>
      <w:r w:rsidRPr="00567B70">
        <w:rPr>
          <w:rFonts w:ascii="Garamond" w:hAnsi="Garamond"/>
          <w:sz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18" w:rsidRDefault="009C7A70">
    <w:pPr>
      <w:pStyle w:val="Header"/>
    </w:pPr>
    <w:r>
      <w:rPr>
        <w:noProof/>
        <w:lang w:eastAsia="en-GB"/>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0658B"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18" w:rsidRDefault="009C7A70" w:rsidP="00013CCE">
    <w:pPr>
      <w:pStyle w:val="Header"/>
      <w:jc w:val="right"/>
    </w:pPr>
    <w:r>
      <w:rPr>
        <w:noProof/>
        <w:lang w:eastAsia="en-GB"/>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C1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18" w:rsidRDefault="00510C1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510C18" w:rsidRPr="002F4496" w:rsidTr="000C06C9">
      <w:trPr>
        <w:trHeight w:val="284"/>
      </w:trPr>
      <w:tc>
        <w:tcPr>
          <w:tcW w:w="8460" w:type="dxa"/>
        </w:tcPr>
        <w:p w:rsidR="00510C18" w:rsidRPr="000C3B6D" w:rsidRDefault="00510C18" w:rsidP="000C06C9">
          <w:pPr>
            <w:pStyle w:val="00Footer"/>
            <w:rPr>
              <w:lang w:val="fr-FR"/>
            </w:rPr>
          </w:pPr>
        </w:p>
      </w:tc>
      <w:tc>
        <w:tcPr>
          <w:tcW w:w="952" w:type="dxa"/>
        </w:tcPr>
        <w:p w:rsidR="00510C18" w:rsidRPr="00146B34" w:rsidRDefault="00510C18" w:rsidP="000C06C9">
          <w:pPr>
            <w:pStyle w:val="00aPagenumber"/>
            <w:rPr>
              <w:lang w:val="fr-FR"/>
            </w:rPr>
          </w:pPr>
        </w:p>
      </w:tc>
    </w:tr>
  </w:tbl>
  <w:p w:rsidR="00510C18" w:rsidRPr="00DB46C3" w:rsidRDefault="00510C18">
    <w:pPr>
      <w:rPr>
        <w:lang w:val="fr-FR"/>
      </w:rPr>
    </w:pPr>
  </w:p>
  <w:p w:rsidR="00510C18" w:rsidRPr="002F4496" w:rsidRDefault="00510C18">
    <w:pPr>
      <w:pStyle w:val="Header"/>
      <w:rPr>
        <w:lang w:val="fr-FR"/>
      </w:rPr>
    </w:pPr>
  </w:p>
  <w:p w:rsidR="00510C18" w:rsidRPr="002F4496" w:rsidRDefault="00510C18" w:rsidP="000C06C9">
    <w:pPr>
      <w:pStyle w:val="Header"/>
      <w:tabs>
        <w:tab w:val="clear" w:pos="4536"/>
        <w:tab w:val="clear" w:pos="9072"/>
        <w:tab w:val="left" w:pos="8227"/>
      </w:tabs>
      <w:rPr>
        <w:lang w:val="fr-FR"/>
      </w:rPr>
    </w:pPr>
  </w:p>
  <w:p w:rsidR="00510C18" w:rsidRPr="002F4496" w:rsidRDefault="00510C18" w:rsidP="000C06C9">
    <w:pPr>
      <w:pStyle w:val="Header"/>
      <w:tabs>
        <w:tab w:val="clear" w:pos="4536"/>
        <w:tab w:val="clear" w:pos="9072"/>
        <w:tab w:val="left" w:pos="8227"/>
      </w:tabs>
      <w:rPr>
        <w:lang w:val="fr-FR"/>
      </w:rPr>
    </w:pPr>
  </w:p>
  <w:p w:rsidR="00510C18" w:rsidRPr="002F4496" w:rsidRDefault="00510C18">
    <w:pPr>
      <w:pStyle w:val="Header"/>
      <w:rPr>
        <w:lang w:val="fr-FR"/>
      </w:rPr>
    </w:pPr>
  </w:p>
  <w:p w:rsidR="00510C18" w:rsidRPr="002F4496" w:rsidRDefault="00510C18">
    <w:pPr>
      <w:pStyle w:val="Header"/>
      <w:rPr>
        <w:lang w:val="fr-FR"/>
      </w:rPr>
    </w:pPr>
  </w:p>
  <w:p w:rsidR="00510C18" w:rsidRPr="002F4496" w:rsidRDefault="00510C18">
    <w:pPr>
      <w:pStyle w:val="Header"/>
      <w:rPr>
        <w:lang w:val="fr-FR"/>
      </w:rPr>
    </w:pPr>
  </w:p>
  <w:p w:rsidR="00510C18" w:rsidRPr="002F4496" w:rsidRDefault="00510C18">
    <w:pPr>
      <w:pStyle w:val="Header"/>
      <w:rPr>
        <w:lang w:val="fr-FR"/>
      </w:rPr>
    </w:pPr>
  </w:p>
  <w:p w:rsidR="00510C18" w:rsidRPr="002F4496" w:rsidRDefault="00510C18">
    <w:pPr>
      <w:pStyle w:val="Header"/>
      <w:rPr>
        <w:highlight w:val="yellow"/>
        <w:lang w:val="fr-FR"/>
      </w:rPr>
    </w:pPr>
  </w:p>
  <w:p w:rsidR="00510C18" w:rsidRDefault="009C7A70">
    <w:pPr>
      <w:pStyle w:val="Header"/>
    </w:pPr>
    <w:r>
      <w:rPr>
        <w:noProof/>
        <w:lang w:eastAsia="en-GB"/>
      </w:rPr>
      <mc:AlternateContent>
        <mc:Choice Requires="wps">
          <w:drawing>
            <wp:anchor distT="0" distB="0" distL="114299" distR="114299" simplePos="0" relativeHeight="251660288" behindDoc="0" locked="0" layoutInCell="1" allowOverlap="1">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536B0"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3017BBD"/>
    <w:multiLevelType w:val="hybridMultilevel"/>
    <w:tmpl w:val="83EA1CC8"/>
    <w:lvl w:ilvl="0" w:tplc="00DA126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34FE7"/>
    <w:multiLevelType w:val="hybridMultilevel"/>
    <w:tmpl w:val="83EA1CC8"/>
    <w:lvl w:ilvl="0" w:tplc="00DA126C">
      <w:start w:val="1"/>
      <w:numFmt w:val="lowerRoman"/>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3">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5">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7">
    <w:nsid w:val="40AC4AAF"/>
    <w:multiLevelType w:val="hybridMultilevel"/>
    <w:tmpl w:val="C06A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9">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0">
    <w:nsid w:val="48B92853"/>
    <w:multiLevelType w:val="multilevel"/>
    <w:tmpl w:val="B66CF7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2">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518822ED"/>
    <w:multiLevelType w:val="hybridMultilevel"/>
    <w:tmpl w:val="3652603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8">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1">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2">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nsid w:val="77EA1592"/>
    <w:multiLevelType w:val="hybridMultilevel"/>
    <w:tmpl w:val="EE0856C8"/>
    <w:lvl w:ilvl="0" w:tplc="6100DA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6">
    <w:nsid w:val="79870C5F"/>
    <w:multiLevelType w:val="hybridMultilevel"/>
    <w:tmpl w:val="716CCDC8"/>
    <w:lvl w:ilvl="0" w:tplc="C44E8248">
      <w:start w:val="1"/>
      <w:numFmt w:val="decimal"/>
      <w:pStyle w:val="Heading5"/>
      <w:lvlText w:val="Q%1:"/>
      <w:lvlJc w:val="left"/>
      <w:pPr>
        <w:ind w:left="360" w:hanging="360"/>
      </w:pPr>
      <w:rPr>
        <w:rFonts w:cs="Times New Roman" w:hint="default"/>
        <w:b/>
      </w:rPr>
    </w:lvl>
    <w:lvl w:ilvl="1" w:tplc="12102CAC">
      <w:start w:val="1"/>
      <w:numFmt w:val="lowerRoman"/>
      <w:lvlText w:val="(%2)"/>
      <w:lvlJc w:val="left"/>
      <w:pPr>
        <w:ind w:left="1800" w:hanging="720"/>
      </w:pPr>
      <w:rPr>
        <w:rFonts w:cs="Times New Roman"/>
        <w:i w:val="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7">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5"/>
  </w:num>
  <w:num w:numId="2">
    <w:abstractNumId w:val="18"/>
  </w:num>
  <w:num w:numId="3">
    <w:abstractNumId w:val="11"/>
  </w:num>
  <w:num w:numId="4">
    <w:abstractNumId w:val="24"/>
  </w:num>
  <w:num w:numId="5">
    <w:abstractNumId w:val="3"/>
  </w:num>
  <w:num w:numId="6">
    <w:abstractNumId w:val="26"/>
  </w:num>
  <w:num w:numId="7">
    <w:abstractNumId w:val="0"/>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2"/>
  </w:num>
  <w:num w:numId="15">
    <w:abstractNumId w:val="10"/>
  </w:num>
  <w:num w:numId="16">
    <w:abstractNumId w:val="1"/>
  </w:num>
  <w:num w:numId="17">
    <w:abstractNumId w:val="13"/>
  </w:num>
  <w:num w:numId="18">
    <w:abstractNumId w:val="14"/>
  </w:num>
  <w:num w:numId="19">
    <w:abstractNumId w:val="16"/>
  </w:num>
  <w:num w:numId="20">
    <w:abstractNumId w:val="27"/>
  </w:num>
  <w:num w:numId="21">
    <w:abstractNumId w:val="33"/>
  </w:num>
  <w:num w:numId="22">
    <w:abstractNumId w:val="25"/>
  </w:num>
  <w:num w:numId="23">
    <w:abstractNumId w:val="9"/>
  </w:num>
  <w:num w:numId="24">
    <w:abstractNumId w:val="30"/>
  </w:num>
  <w:num w:numId="25">
    <w:abstractNumId w:val="29"/>
  </w:num>
  <w:num w:numId="26">
    <w:abstractNumId w:val="19"/>
  </w:num>
  <w:num w:numId="27">
    <w:abstractNumId w:val="32"/>
  </w:num>
  <w:num w:numId="28">
    <w:abstractNumId w:val="37"/>
  </w:num>
  <w:num w:numId="29">
    <w:abstractNumId w:val="7"/>
  </w:num>
  <w:num w:numId="30">
    <w:abstractNumId w:val="4"/>
  </w:num>
  <w:num w:numId="31">
    <w:abstractNumId w:val="21"/>
  </w:num>
  <w:num w:numId="32">
    <w:abstractNumId w:val="2"/>
  </w:num>
  <w:num w:numId="33">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36"/>
  </w:num>
  <w:num w:numId="35">
    <w:abstractNumId w:val="34"/>
  </w:num>
  <w:num w:numId="36">
    <w:abstractNumId w:val="20"/>
  </w:num>
  <w:num w:numId="37">
    <w:abstractNumId w:val="23"/>
  </w:num>
  <w:num w:numId="38">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tUoFXd+EZ4hAlmNkbsvJyl5nGfc=" w:salt="ZgOvKpV0Euf98kucWRvogA=="/>
  <w:defaultTabStop w:val="709"/>
  <w:autoHyphenation/>
  <w:hyphenationZone w:val="567"/>
  <w:characterSpacingControl w:val="doNotCompress"/>
  <w:savePreviewPicture/>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3713"/>
    <w:rsid w:val="00023C4D"/>
    <w:rsid w:val="00025E71"/>
    <w:rsid w:val="00026269"/>
    <w:rsid w:val="00027154"/>
    <w:rsid w:val="00027ECF"/>
    <w:rsid w:val="000303BE"/>
    <w:rsid w:val="000344D6"/>
    <w:rsid w:val="00034960"/>
    <w:rsid w:val="00036FAE"/>
    <w:rsid w:val="00041858"/>
    <w:rsid w:val="0004389E"/>
    <w:rsid w:val="0004462D"/>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DF2"/>
    <w:rsid w:val="000C06C9"/>
    <w:rsid w:val="000C1DCC"/>
    <w:rsid w:val="000C1FBC"/>
    <w:rsid w:val="000C2B6A"/>
    <w:rsid w:val="000C2F88"/>
    <w:rsid w:val="000C55C8"/>
    <w:rsid w:val="000C57C4"/>
    <w:rsid w:val="000C5FD3"/>
    <w:rsid w:val="000C701D"/>
    <w:rsid w:val="000C7C4A"/>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4BAC"/>
    <w:rsid w:val="001459E3"/>
    <w:rsid w:val="00146A0B"/>
    <w:rsid w:val="0014761E"/>
    <w:rsid w:val="00151907"/>
    <w:rsid w:val="00151C82"/>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31C3"/>
    <w:rsid w:val="001C4679"/>
    <w:rsid w:val="001C5770"/>
    <w:rsid w:val="001C6195"/>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97B"/>
    <w:rsid w:val="002005A6"/>
    <w:rsid w:val="00204CBC"/>
    <w:rsid w:val="002051F1"/>
    <w:rsid w:val="002067BA"/>
    <w:rsid w:val="0021058D"/>
    <w:rsid w:val="00211E2F"/>
    <w:rsid w:val="00211E9E"/>
    <w:rsid w:val="00214479"/>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369"/>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777CA"/>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3E49"/>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AEF"/>
    <w:rsid w:val="00376367"/>
    <w:rsid w:val="00376B02"/>
    <w:rsid w:val="0037733A"/>
    <w:rsid w:val="003776DC"/>
    <w:rsid w:val="003779C1"/>
    <w:rsid w:val="00380FEC"/>
    <w:rsid w:val="00381226"/>
    <w:rsid w:val="00381FF6"/>
    <w:rsid w:val="00383D7D"/>
    <w:rsid w:val="00384CCE"/>
    <w:rsid w:val="003865E5"/>
    <w:rsid w:val="003926C1"/>
    <w:rsid w:val="00392900"/>
    <w:rsid w:val="00393357"/>
    <w:rsid w:val="00395E7B"/>
    <w:rsid w:val="00395EF9"/>
    <w:rsid w:val="00395F4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A4C"/>
    <w:rsid w:val="003C4F05"/>
    <w:rsid w:val="003C6191"/>
    <w:rsid w:val="003C6E49"/>
    <w:rsid w:val="003D0CBF"/>
    <w:rsid w:val="003D0DD6"/>
    <w:rsid w:val="003D4B73"/>
    <w:rsid w:val="003D503B"/>
    <w:rsid w:val="003D605E"/>
    <w:rsid w:val="003D61D1"/>
    <w:rsid w:val="003D6780"/>
    <w:rsid w:val="003D6FCB"/>
    <w:rsid w:val="003E0F84"/>
    <w:rsid w:val="003E1CD1"/>
    <w:rsid w:val="003E1FF3"/>
    <w:rsid w:val="003E3ACA"/>
    <w:rsid w:val="003E50EA"/>
    <w:rsid w:val="003E68C7"/>
    <w:rsid w:val="003E79B0"/>
    <w:rsid w:val="003F0403"/>
    <w:rsid w:val="003F1094"/>
    <w:rsid w:val="003F2E45"/>
    <w:rsid w:val="003F3EFE"/>
    <w:rsid w:val="003F40B8"/>
    <w:rsid w:val="003F5261"/>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2E75"/>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62E9"/>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88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2D3A"/>
    <w:rsid w:val="004D374D"/>
    <w:rsid w:val="004D42C8"/>
    <w:rsid w:val="004D4F57"/>
    <w:rsid w:val="004D50F6"/>
    <w:rsid w:val="004D5A0D"/>
    <w:rsid w:val="004D7910"/>
    <w:rsid w:val="004D7DEA"/>
    <w:rsid w:val="004E0A28"/>
    <w:rsid w:val="004E1A0F"/>
    <w:rsid w:val="004E2E89"/>
    <w:rsid w:val="004E33C2"/>
    <w:rsid w:val="004E3B9A"/>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0C18"/>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6379"/>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E5"/>
    <w:rsid w:val="00566D36"/>
    <w:rsid w:val="00567DF6"/>
    <w:rsid w:val="00573569"/>
    <w:rsid w:val="0057389E"/>
    <w:rsid w:val="005765C0"/>
    <w:rsid w:val="005778DE"/>
    <w:rsid w:val="00580B3F"/>
    <w:rsid w:val="005825F2"/>
    <w:rsid w:val="005860AF"/>
    <w:rsid w:val="00587F1D"/>
    <w:rsid w:val="00590348"/>
    <w:rsid w:val="00591161"/>
    <w:rsid w:val="00592318"/>
    <w:rsid w:val="00593133"/>
    <w:rsid w:val="0059575D"/>
    <w:rsid w:val="00596825"/>
    <w:rsid w:val="005A150A"/>
    <w:rsid w:val="005A2B3E"/>
    <w:rsid w:val="005A3609"/>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663C"/>
    <w:rsid w:val="005C6860"/>
    <w:rsid w:val="005D1023"/>
    <w:rsid w:val="005D148F"/>
    <w:rsid w:val="005D2AD2"/>
    <w:rsid w:val="005D4A86"/>
    <w:rsid w:val="005D5EB1"/>
    <w:rsid w:val="005D6A29"/>
    <w:rsid w:val="005E0481"/>
    <w:rsid w:val="005E10BF"/>
    <w:rsid w:val="005E1834"/>
    <w:rsid w:val="005E49E5"/>
    <w:rsid w:val="005E4B7E"/>
    <w:rsid w:val="005E5481"/>
    <w:rsid w:val="005E55E4"/>
    <w:rsid w:val="005E6C5F"/>
    <w:rsid w:val="005E7636"/>
    <w:rsid w:val="005F01C0"/>
    <w:rsid w:val="005F028E"/>
    <w:rsid w:val="005F04B4"/>
    <w:rsid w:val="005F11A4"/>
    <w:rsid w:val="005F19F8"/>
    <w:rsid w:val="005F3FB1"/>
    <w:rsid w:val="005F5ACF"/>
    <w:rsid w:val="005F60DC"/>
    <w:rsid w:val="006000DD"/>
    <w:rsid w:val="00600F63"/>
    <w:rsid w:val="006012E1"/>
    <w:rsid w:val="00602253"/>
    <w:rsid w:val="006023E1"/>
    <w:rsid w:val="00605531"/>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2B"/>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4391"/>
    <w:rsid w:val="00724C18"/>
    <w:rsid w:val="00726630"/>
    <w:rsid w:val="00727F73"/>
    <w:rsid w:val="00730705"/>
    <w:rsid w:val="00730944"/>
    <w:rsid w:val="00732454"/>
    <w:rsid w:val="0073248E"/>
    <w:rsid w:val="00733EE9"/>
    <w:rsid w:val="00735B8E"/>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556"/>
    <w:rsid w:val="007E5E44"/>
    <w:rsid w:val="007F0DDA"/>
    <w:rsid w:val="007F1939"/>
    <w:rsid w:val="007F2495"/>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9C1"/>
    <w:rsid w:val="00831A4A"/>
    <w:rsid w:val="00832134"/>
    <w:rsid w:val="0083219E"/>
    <w:rsid w:val="0083497C"/>
    <w:rsid w:val="008352A6"/>
    <w:rsid w:val="00835B5B"/>
    <w:rsid w:val="008367AE"/>
    <w:rsid w:val="00836E50"/>
    <w:rsid w:val="00840477"/>
    <w:rsid w:val="0084121D"/>
    <w:rsid w:val="008419C1"/>
    <w:rsid w:val="00844515"/>
    <w:rsid w:val="00844DFF"/>
    <w:rsid w:val="00845D87"/>
    <w:rsid w:val="00846C3A"/>
    <w:rsid w:val="008477BF"/>
    <w:rsid w:val="008503DA"/>
    <w:rsid w:val="00850B68"/>
    <w:rsid w:val="00850E82"/>
    <w:rsid w:val="0085122D"/>
    <w:rsid w:val="008525FF"/>
    <w:rsid w:val="00852C03"/>
    <w:rsid w:val="00853DF5"/>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696"/>
    <w:rsid w:val="00885E6F"/>
    <w:rsid w:val="0088604A"/>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5FA4"/>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60B3"/>
    <w:rsid w:val="0095745E"/>
    <w:rsid w:val="00957CE0"/>
    <w:rsid w:val="0096002E"/>
    <w:rsid w:val="0096039E"/>
    <w:rsid w:val="00962CEF"/>
    <w:rsid w:val="00963766"/>
    <w:rsid w:val="00963FDF"/>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43A7"/>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B7FB4"/>
    <w:rsid w:val="009C10FE"/>
    <w:rsid w:val="009C13BC"/>
    <w:rsid w:val="009C1CA4"/>
    <w:rsid w:val="009C2532"/>
    <w:rsid w:val="009C2BA4"/>
    <w:rsid w:val="009C6091"/>
    <w:rsid w:val="009C634F"/>
    <w:rsid w:val="009C7A70"/>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6EE3"/>
    <w:rsid w:val="00A37435"/>
    <w:rsid w:val="00A4173D"/>
    <w:rsid w:val="00A41A95"/>
    <w:rsid w:val="00A4248B"/>
    <w:rsid w:val="00A42F7C"/>
    <w:rsid w:val="00A4376E"/>
    <w:rsid w:val="00A4572B"/>
    <w:rsid w:val="00A46246"/>
    <w:rsid w:val="00A46349"/>
    <w:rsid w:val="00A46D5E"/>
    <w:rsid w:val="00A47063"/>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4F80"/>
    <w:rsid w:val="00B06544"/>
    <w:rsid w:val="00B105F2"/>
    <w:rsid w:val="00B10991"/>
    <w:rsid w:val="00B12128"/>
    <w:rsid w:val="00B12945"/>
    <w:rsid w:val="00B12C1E"/>
    <w:rsid w:val="00B155D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02D3"/>
    <w:rsid w:val="00BA1354"/>
    <w:rsid w:val="00BA24F8"/>
    <w:rsid w:val="00BA31AA"/>
    <w:rsid w:val="00BA45D8"/>
    <w:rsid w:val="00BA5828"/>
    <w:rsid w:val="00BA64B3"/>
    <w:rsid w:val="00BA754A"/>
    <w:rsid w:val="00BA7820"/>
    <w:rsid w:val="00BA794C"/>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4749"/>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FC1"/>
    <w:rsid w:val="00C56438"/>
    <w:rsid w:val="00C570B3"/>
    <w:rsid w:val="00C6009F"/>
    <w:rsid w:val="00C60417"/>
    <w:rsid w:val="00C6046F"/>
    <w:rsid w:val="00C638C2"/>
    <w:rsid w:val="00C651D4"/>
    <w:rsid w:val="00C6669E"/>
    <w:rsid w:val="00C672B0"/>
    <w:rsid w:val="00C729C7"/>
    <w:rsid w:val="00C7564E"/>
    <w:rsid w:val="00C777AD"/>
    <w:rsid w:val="00C80C53"/>
    <w:rsid w:val="00C81195"/>
    <w:rsid w:val="00C85387"/>
    <w:rsid w:val="00C85E52"/>
    <w:rsid w:val="00C86471"/>
    <w:rsid w:val="00C8677B"/>
    <w:rsid w:val="00C86F96"/>
    <w:rsid w:val="00C909C6"/>
    <w:rsid w:val="00C923B7"/>
    <w:rsid w:val="00C94D4C"/>
    <w:rsid w:val="00CA012C"/>
    <w:rsid w:val="00CA0AA6"/>
    <w:rsid w:val="00CA1E39"/>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1C71"/>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74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28FB"/>
    <w:rsid w:val="00D25AC4"/>
    <w:rsid w:val="00D305F6"/>
    <w:rsid w:val="00D30B25"/>
    <w:rsid w:val="00D3175A"/>
    <w:rsid w:val="00D31A00"/>
    <w:rsid w:val="00D323E4"/>
    <w:rsid w:val="00D32871"/>
    <w:rsid w:val="00D33881"/>
    <w:rsid w:val="00D366B1"/>
    <w:rsid w:val="00D37AE0"/>
    <w:rsid w:val="00D416A8"/>
    <w:rsid w:val="00D4257C"/>
    <w:rsid w:val="00D425AC"/>
    <w:rsid w:val="00D42823"/>
    <w:rsid w:val="00D42D5E"/>
    <w:rsid w:val="00D43F14"/>
    <w:rsid w:val="00D44C18"/>
    <w:rsid w:val="00D4556D"/>
    <w:rsid w:val="00D511C6"/>
    <w:rsid w:val="00D5121D"/>
    <w:rsid w:val="00D516AC"/>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47C7A"/>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9FE"/>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D7C"/>
    <w:rsid w:val="00EF40E2"/>
    <w:rsid w:val="00EF61C1"/>
    <w:rsid w:val="00EF6E68"/>
    <w:rsid w:val="00EF76DB"/>
    <w:rsid w:val="00F005FD"/>
    <w:rsid w:val="00F02C04"/>
    <w:rsid w:val="00F03AF1"/>
    <w:rsid w:val="00F04BCD"/>
    <w:rsid w:val="00F05A8C"/>
    <w:rsid w:val="00F06211"/>
    <w:rsid w:val="00F10A54"/>
    <w:rsid w:val="00F123D0"/>
    <w:rsid w:val="00F13200"/>
    <w:rsid w:val="00F13411"/>
    <w:rsid w:val="00F143BA"/>
    <w:rsid w:val="00F2081B"/>
    <w:rsid w:val="00F20A43"/>
    <w:rsid w:val="00F20C51"/>
    <w:rsid w:val="00F21049"/>
    <w:rsid w:val="00F218AE"/>
    <w:rsid w:val="00F22232"/>
    <w:rsid w:val="00F2228E"/>
    <w:rsid w:val="00F22D3C"/>
    <w:rsid w:val="00F23C3D"/>
    <w:rsid w:val="00F23D66"/>
    <w:rsid w:val="00F24E6F"/>
    <w:rsid w:val="00F26069"/>
    <w:rsid w:val="00F26B7E"/>
    <w:rsid w:val="00F27D7D"/>
    <w:rsid w:val="00F3002B"/>
    <w:rsid w:val="00F30BC9"/>
    <w:rsid w:val="00F32FF7"/>
    <w:rsid w:val="00F33EDE"/>
    <w:rsid w:val="00F3568B"/>
    <w:rsid w:val="00F377CD"/>
    <w:rsid w:val="00F40C3B"/>
    <w:rsid w:val="00F40CE0"/>
    <w:rsid w:val="00F42DBC"/>
    <w:rsid w:val="00F4308D"/>
    <w:rsid w:val="00F44012"/>
    <w:rsid w:val="00F44947"/>
    <w:rsid w:val="00F45029"/>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CB"/>
    <w:rsid w:val="00F71AC2"/>
    <w:rsid w:val="00F739D4"/>
    <w:rsid w:val="00F77601"/>
    <w:rsid w:val="00F77D43"/>
    <w:rsid w:val="00F80953"/>
    <w:rsid w:val="00F81312"/>
    <w:rsid w:val="00F81B90"/>
    <w:rsid w:val="00F81E6F"/>
    <w:rsid w:val="00F82FF3"/>
    <w:rsid w:val="00F8453C"/>
    <w:rsid w:val="00F84D4C"/>
    <w:rsid w:val="00F85D53"/>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15:docId w15:val="{4B265B7E-AE15-498F-9426-66841A4F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6F4"/>
    <w:rPr>
      <w:rFonts w:ascii="Georgia" w:hAnsi="Georgia"/>
      <w:szCs w:val="24"/>
      <w:lang w:eastAsia="de-DE"/>
    </w:rPr>
  </w:style>
  <w:style w:type="paragraph" w:styleId="Heading1">
    <w:name w:val="heading 1"/>
    <w:basedOn w:val="Normal"/>
    <w:next w:val="Normal"/>
    <w:link w:val="Heading1Char"/>
    <w:qFormat/>
    <w:rsid w:val="009E7724"/>
    <w:pPr>
      <w:keepNext/>
      <w:numPr>
        <w:numId w:val="6"/>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510C18"/>
    <w:pPr>
      <w:numPr>
        <w:numId w:val="34"/>
      </w:numPr>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uiPriority w:val="5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Car"/>
    <w:basedOn w:val="Normal"/>
    <w:link w:val="FootnoteTextChar"/>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Car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7"/>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val="en-GB"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9"/>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lang w:val="en-GB" w:eastAsia="en-GB"/>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val="en-GB" w:eastAsia="de-DE"/>
    </w:rPr>
  </w:style>
  <w:style w:type="character" w:customStyle="1" w:styleId="Heading8Char">
    <w:name w:val="Heading 8 Char"/>
    <w:link w:val="Heading8"/>
    <w:rsid w:val="002D6E1A"/>
    <w:rPr>
      <w:i/>
      <w:iCs/>
      <w:szCs w:val="24"/>
      <w:lang w:val="en-GB"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10"/>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1"/>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2"/>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3"/>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510C18"/>
    <w:rPr>
      <w:rFonts w:ascii="Georgia" w:hAnsi="Georgia"/>
      <w:b/>
      <w:szCs w:val="24"/>
      <w:lang w:val="en-GB"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ascii="Arial" w:hAnsi="Arial"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val="en-GB" w:eastAsia="de-DE"/>
    </w:rPr>
  </w:style>
  <w:style w:type="character" w:customStyle="1" w:styleId="NEW-Paragraph-level3Char">
    <w:name w:val="NEW-Paragraph-level3 Char"/>
    <w:link w:val="NEW-Paragraph-level3"/>
    <w:rsid w:val="00F90EF4"/>
    <w:rPr>
      <w:rFonts w:ascii="Georgia" w:hAnsi="Georgia"/>
      <w:lang w:val="en-GB"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val="en-GB" w:eastAsia="de-DE"/>
    </w:rPr>
  </w:style>
  <w:style w:type="character" w:customStyle="1" w:styleId="aNEW-Level1Char">
    <w:name w:val="aNEW-Level1 Char"/>
    <w:link w:val="aNEW-Level1"/>
    <w:rsid w:val="000636A1"/>
    <w:rPr>
      <w:rFonts w:ascii="Georgia" w:hAnsi="Georgia" w:cs="Arial"/>
      <w:b/>
      <w:bCs/>
      <w:kern w:val="32"/>
      <w:sz w:val="24"/>
      <w:szCs w:val="32"/>
      <w:lang w:val="en-GB"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8"/>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val="en-GB"/>
    </w:rPr>
  </w:style>
  <w:style w:type="character" w:customStyle="1" w:styleId="aNEW-ParagraphChar">
    <w:name w:val="aNEW-Paragraph Char"/>
    <w:link w:val="aNEW-Paragraph"/>
    <w:rsid w:val="001244CD"/>
    <w:rPr>
      <w:rFonts w:ascii="Georgia" w:eastAsia="Calibri" w:hAnsi="Georgia"/>
      <w:lang w:val="en-GB"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val="en-GB" w:eastAsia="de-DE"/>
    </w:rPr>
  </w:style>
  <w:style w:type="character" w:customStyle="1" w:styleId="aNEW-Paragraph-level3Char">
    <w:name w:val="aNEW-Paragraph-level3 Char"/>
    <w:link w:val="aNEW-Paragraph-level3"/>
    <w:rsid w:val="00566D36"/>
    <w:rPr>
      <w:rFonts w:ascii="Georgia" w:hAnsi="Georgia"/>
      <w:lang w:val="en-GB"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character" w:customStyle="1" w:styleId="QuestionChar">
    <w:name w:val="Question Char"/>
    <w:locked/>
    <w:rsid w:val="0088604A"/>
    <w:rPr>
      <w:rFonts w:ascii="Georgia" w:eastAsia="Calibri" w:hAnsi="Georgia"/>
      <w:b/>
      <w:szCs w:val="24"/>
    </w:rPr>
  </w:style>
  <w:style w:type="paragraph" w:customStyle="1" w:styleId="Standard">
    <w:name w:val="Standard"/>
    <w:rsid w:val="005E4B7E"/>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59987554">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354038857">
      <w:bodyDiv w:val="1"/>
      <w:marLeft w:val="0"/>
      <w:marRight w:val="0"/>
      <w:marTop w:val="0"/>
      <w:marBottom w:val="0"/>
      <w:divBdr>
        <w:top w:val="none" w:sz="0" w:space="0" w:color="auto"/>
        <w:left w:val="none" w:sz="0" w:space="0" w:color="auto"/>
        <w:bottom w:val="none" w:sz="0" w:space="0" w:color="auto"/>
        <w:right w:val="none" w:sz="0" w:space="0" w:color="auto"/>
      </w:divBdr>
    </w:div>
    <w:div w:id="376857839">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475756679">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56060847">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1955095643">
      <w:bodyDiv w:val="1"/>
      <w:marLeft w:val="0"/>
      <w:marRight w:val="0"/>
      <w:marTop w:val="0"/>
      <w:marBottom w:val="0"/>
      <w:divBdr>
        <w:top w:val="none" w:sz="0" w:space="0" w:color="auto"/>
        <w:left w:val="none" w:sz="0" w:space="0" w:color="auto"/>
        <w:bottom w:val="none" w:sz="0" w:space="0" w:color="auto"/>
        <w:right w:val="none" w:sz="0" w:space="0" w:color="auto"/>
      </w:divBdr>
    </w:div>
    <w:div w:id="19706211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ma.europa.eu"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ompliance@wmba.org.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esma.europa.eu" TargetMode="Externa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bis.org/publ/rpfxf13fxt.pdf" TargetMode="External"/><Relationship Id="rId2" Type="http://schemas.openxmlformats.org/officeDocument/2006/relationships/hyperlink" Target="http://fshandbook.info/FS/html/FCA/IFPRU" TargetMode="External"/><Relationship Id="rId1" Type="http://schemas.openxmlformats.org/officeDocument/2006/relationships/hyperlink" Target="http://fshandbook.info/FS/html/FCA/BIP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73C2B6D27B46D9B117EDC939FB0C8D"/>
        <w:category>
          <w:name w:val="General"/>
          <w:gallery w:val="placeholder"/>
        </w:category>
        <w:types>
          <w:type w:val="bbPlcHdr"/>
        </w:types>
        <w:behaviors>
          <w:behavior w:val="content"/>
        </w:behaviors>
        <w:guid w:val="{D6733732-3628-4793-8625-9C4E4D75D7E9}"/>
      </w:docPartPr>
      <w:docPartBody>
        <w:p w:rsidR="008D3C96" w:rsidRDefault="00774BE9" w:rsidP="00774BE9">
          <w:pPr>
            <w:pStyle w:val="3B73C2B6D27B46D9B117EDC939FB0C8D"/>
          </w:pPr>
          <w:r w:rsidRPr="000E3791">
            <w:rPr>
              <w:rStyle w:val="PlaceholderText"/>
            </w:rPr>
            <w:t>Choose an item.</w:t>
          </w:r>
        </w:p>
      </w:docPartBody>
    </w:docPart>
    <w:docPart>
      <w:docPartPr>
        <w:name w:val="5D7A0B6D2E2348BAA8507A46929D13BC"/>
        <w:category>
          <w:name w:val="General"/>
          <w:gallery w:val="placeholder"/>
        </w:category>
        <w:types>
          <w:type w:val="bbPlcHdr"/>
        </w:types>
        <w:behaviors>
          <w:behavior w:val="content"/>
        </w:behaviors>
        <w:guid w:val="{21DFE96D-C1DF-4338-9875-E113C0288FDC}"/>
      </w:docPartPr>
      <w:docPartBody>
        <w:p w:rsidR="008D3C96" w:rsidRDefault="00774BE9" w:rsidP="00774BE9">
          <w:pPr>
            <w:pStyle w:val="5D7A0B6D2E2348BAA8507A46929D13BC"/>
          </w:pPr>
          <w:r w:rsidRPr="000E3791">
            <w:rPr>
              <w:rStyle w:val="PlaceholderText"/>
            </w:rPr>
            <w:t>Choose an item.</w:t>
          </w:r>
        </w:p>
      </w:docPartBody>
    </w:docPart>
    <w:docPart>
      <w:docPartPr>
        <w:name w:val="2601290A809E4F0FA43C90989CB57F49"/>
        <w:category>
          <w:name w:val="General"/>
          <w:gallery w:val="placeholder"/>
        </w:category>
        <w:types>
          <w:type w:val="bbPlcHdr"/>
        </w:types>
        <w:behaviors>
          <w:behavior w:val="content"/>
        </w:behaviors>
        <w:guid w:val="{83FFF809-3AD9-4C6B-B50C-48B03FFC8581}"/>
      </w:docPartPr>
      <w:docPartBody>
        <w:p w:rsidR="008D3C96" w:rsidRDefault="00774BE9" w:rsidP="00774BE9">
          <w:pPr>
            <w:pStyle w:val="2601290A809E4F0FA43C90989CB57F49"/>
          </w:pPr>
          <w:r w:rsidRPr="000E379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EUAlbertina">
    <w:altName w:val="EU Albertin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BE9"/>
    <w:rsid w:val="003C218D"/>
    <w:rsid w:val="00774BE9"/>
    <w:rsid w:val="008D3C96"/>
    <w:rsid w:val="00DD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4BE9"/>
    <w:rPr>
      <w:color w:val="808080"/>
    </w:rPr>
  </w:style>
  <w:style w:type="paragraph" w:customStyle="1" w:styleId="3D6FDE3CE0CD4AF7BCC4312E2A614EF2">
    <w:name w:val="3D6FDE3CE0CD4AF7BCC4312E2A614EF2"/>
    <w:rsid w:val="00774BE9"/>
  </w:style>
  <w:style w:type="paragraph" w:customStyle="1" w:styleId="ADFC737229784021A17F6083FCF378DD">
    <w:name w:val="ADFC737229784021A17F6083FCF378DD"/>
    <w:rsid w:val="00774BE9"/>
  </w:style>
  <w:style w:type="paragraph" w:customStyle="1" w:styleId="0F47F5DFF1704F7CA3555C12CEBFEEAC">
    <w:name w:val="0F47F5DFF1704F7CA3555C12CEBFEEAC"/>
    <w:rsid w:val="00774BE9"/>
  </w:style>
  <w:style w:type="paragraph" w:customStyle="1" w:styleId="3B73C2B6D27B46D9B117EDC939FB0C8D">
    <w:name w:val="3B73C2B6D27B46D9B117EDC939FB0C8D"/>
    <w:rsid w:val="00774BE9"/>
  </w:style>
  <w:style w:type="paragraph" w:customStyle="1" w:styleId="5D7A0B6D2E2348BAA8507A46929D13BC">
    <w:name w:val="5D7A0B6D2E2348BAA8507A46929D13BC"/>
    <w:rsid w:val="00774BE9"/>
  </w:style>
  <w:style w:type="paragraph" w:customStyle="1" w:styleId="2601290A809E4F0FA43C90989CB57F49">
    <w:name w:val="2601290A809E4F0FA43C90989CB57F49"/>
    <w:rsid w:val="00774B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35276-F3FC-49D3-A5D9-51F53F5D5EDA}">
  <ds:schemaRefs>
    <ds:schemaRef ds:uri="http://schemas.openxmlformats.org/officeDocument/2006/bibliography"/>
  </ds:schemaRefs>
</ds:datastoreItem>
</file>

<file path=customXml/itemProps2.xml><?xml version="1.0" encoding="utf-8"?>
<ds:datastoreItem xmlns:ds="http://schemas.openxmlformats.org/officeDocument/2006/customXml" ds:itemID="{EB70930F-BAD5-4F1F-8AC8-A65B24F3B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3257</Words>
  <Characters>18569</Characters>
  <Application>Microsoft Office Word</Application>
  <DocSecurity>8</DocSecurity>
  <Lines>154</Lines>
  <Paragraphs>43</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21783</CharactersWithSpaces>
  <SharedDoc>false</SharedDoc>
  <HLinks>
    <vt:vector size="18" baseType="variant">
      <vt:variant>
        <vt:i4>3932286</vt:i4>
      </vt:variant>
      <vt:variant>
        <vt:i4>6</vt:i4>
      </vt:variant>
      <vt:variant>
        <vt:i4>0</vt:i4>
      </vt:variant>
      <vt:variant>
        <vt:i4>5</vt:i4>
      </vt:variant>
      <vt:variant>
        <vt:lpwstr>http://www.esma.europa.eu/</vt:lpwstr>
      </vt:variant>
      <vt:variant>
        <vt:lpwstr/>
      </vt:variant>
      <vt:variant>
        <vt:i4>3932286</vt:i4>
      </vt:variant>
      <vt:variant>
        <vt:i4>3</vt:i4>
      </vt:variant>
      <vt:variant>
        <vt:i4>0</vt:i4>
      </vt:variant>
      <vt:variant>
        <vt:i4>5</vt:i4>
      </vt:variant>
      <vt:variant>
        <vt:lpwstr>http://www.esma.europa.eu/</vt:lpwstr>
      </vt:variant>
      <vt:variant>
        <vt:lpwstr/>
      </vt:variant>
      <vt:variant>
        <vt:i4>7929981</vt:i4>
      </vt:variant>
      <vt:variant>
        <vt:i4>0</vt:i4>
      </vt:variant>
      <vt:variant>
        <vt:i4>0</vt:i4>
      </vt:variant>
      <vt:variant>
        <vt:i4>5</vt:i4>
      </vt:variant>
      <vt:variant>
        <vt:lpwstr>http://www.esma.europa.eu/consultation/Consultation-implementing-measures-Regulations-EuSEF-and-EuVECA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Alex McDonald</cp:lastModifiedBy>
  <cp:revision>2</cp:revision>
  <cp:lastPrinted>2014-05-08T15:06:00Z</cp:lastPrinted>
  <dcterms:created xsi:type="dcterms:W3CDTF">2014-11-06T22:30:00Z</dcterms:created>
  <dcterms:modified xsi:type="dcterms:W3CDTF">2014-11-06T22:30:00Z</dcterms:modified>
</cp:coreProperties>
</file>