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footerReference w:type="first" r:id="rId13"/>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w:t>
      </w:r>
      <w:r w:rsidR="00015B5E">
        <w:t>b</w:t>
      </w:r>
      <w:r w:rsidR="00015B5E">
        <w:t>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w:t>
      </w:r>
      <w:r>
        <w:t>c</w:t>
      </w:r>
      <w:r>
        <w:t>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45029" w:rsidTr="008B615D">
        <w:tc>
          <w:tcPr>
            <w:tcW w:w="3510" w:type="dxa"/>
          </w:tcPr>
          <w:p w:rsidR="00F45029" w:rsidRDefault="00F45029" w:rsidP="008B615D">
            <w:r>
              <w:t>Are you representing an association?</w:t>
            </w:r>
          </w:p>
        </w:tc>
        <w:tc>
          <w:tcPr>
            <w:tcW w:w="6118" w:type="dxa"/>
          </w:tcPr>
          <w:p w:rsidR="00F45029" w:rsidRDefault="00437BC1"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204958807" w:edGrp="everyone"/>
                <w:r>
                  <w:t>No</w:t>
                </w:r>
                <w:permEnd w:id="204958807"/>
              </w:sdtContent>
            </w:sdt>
          </w:p>
        </w:tc>
      </w:tr>
      <w:tr w:rsidR="00F45029" w:rsidTr="008B615D">
        <w:tc>
          <w:tcPr>
            <w:tcW w:w="3510" w:type="dxa"/>
          </w:tcPr>
          <w:p w:rsidR="00F45029" w:rsidRDefault="00F45029" w:rsidP="008B615D">
            <w:r>
              <w:t>Activity:</w:t>
            </w:r>
          </w:p>
        </w:tc>
        <w:tc>
          <w:tcPr>
            <w:tcW w:w="6118" w:type="dxa"/>
          </w:tcPr>
          <w:p w:rsidR="00F45029" w:rsidRDefault="00437BC1" w:rsidP="008B615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123764460" w:edGrp="everyone"/>
                <w:r>
                  <w:t>Other Financial service providers</w:t>
                </w:r>
                <w:permEnd w:id="1123764460"/>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400183238" w:edGrp="everyone" w:displacedByCustomXml="prev"/>
            <w:tc>
              <w:tcPr>
                <w:tcW w:w="6118" w:type="dxa"/>
              </w:tcPr>
              <w:p w:rsidR="00F45029" w:rsidRDefault="00437BC1" w:rsidP="008B615D">
                <w:r>
                  <w:t>International</w:t>
                </w:r>
              </w:p>
            </w:tc>
            <w:permEnd w:id="400183238"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Heading1"/>
        <w:numPr>
          <w:ilvl w:val="0"/>
          <w:numId w:val="0"/>
        </w:numPr>
      </w:pPr>
      <w:r w:rsidRPr="004C2CD3">
        <w:lastRenderedPageBreak/>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437BC1" w:rsidRPr="00B02D13" w:rsidRDefault="00437BC1" w:rsidP="00437BC1">
      <w:pPr>
        <w:jc w:val="both"/>
        <w:rPr>
          <w:rFonts w:ascii="Arial" w:hAnsi="Arial" w:cs="Arial"/>
          <w:sz w:val="22"/>
        </w:rPr>
      </w:pPr>
      <w:permStart w:id="1873352501" w:edGrp="everyone"/>
      <w:r w:rsidRPr="00B02D13">
        <w:rPr>
          <w:rFonts w:ascii="Arial" w:hAnsi="Arial" w:cs="Arial"/>
          <w:sz w:val="22"/>
        </w:rPr>
        <w:t xml:space="preserve">Dear Sirs, </w:t>
      </w:r>
    </w:p>
    <w:p w:rsidR="00437BC1" w:rsidRPr="00B02D13" w:rsidRDefault="00437BC1" w:rsidP="00437BC1">
      <w:pPr>
        <w:jc w:val="both"/>
        <w:rPr>
          <w:rFonts w:ascii="Arial" w:hAnsi="Arial" w:cs="Arial"/>
          <w:sz w:val="22"/>
        </w:rPr>
      </w:pPr>
    </w:p>
    <w:p w:rsidR="00437BC1" w:rsidRPr="00AE6817" w:rsidRDefault="00437BC1" w:rsidP="00437BC1">
      <w:pPr>
        <w:jc w:val="both"/>
        <w:rPr>
          <w:rFonts w:ascii="Arial" w:hAnsi="Arial" w:cs="Arial"/>
          <w:b/>
          <w:bCs/>
          <w:sz w:val="22"/>
        </w:rPr>
      </w:pPr>
      <w:r w:rsidRPr="00B02D13">
        <w:rPr>
          <w:rFonts w:ascii="Arial" w:hAnsi="Arial" w:cs="Arial"/>
          <w:bCs/>
          <w:color w:val="000000"/>
          <w:sz w:val="22"/>
          <w:szCs w:val="22"/>
          <w:lang w:eastAsia="en-US"/>
        </w:rPr>
        <w:t xml:space="preserve">We welcome the publication of </w:t>
      </w:r>
      <w:r>
        <w:rPr>
          <w:rFonts w:ascii="Arial" w:hAnsi="Arial" w:cs="Arial"/>
          <w:bCs/>
          <w:color w:val="000000"/>
          <w:sz w:val="22"/>
          <w:szCs w:val="22"/>
          <w:lang w:eastAsia="en-US"/>
        </w:rPr>
        <w:t>ESMA’s</w:t>
      </w:r>
      <w:r w:rsidRPr="00B02D13">
        <w:rPr>
          <w:rFonts w:ascii="Arial" w:hAnsi="Arial" w:cs="Arial"/>
          <w:bCs/>
          <w:color w:val="000000"/>
          <w:sz w:val="22"/>
          <w:szCs w:val="22"/>
          <w:lang w:eastAsia="en-US"/>
        </w:rPr>
        <w:t xml:space="preserve"> </w:t>
      </w:r>
      <w:r w:rsidRPr="00736D0B">
        <w:rPr>
          <w:rFonts w:ascii="Arial" w:hAnsi="Arial" w:cs="Arial"/>
          <w:bCs/>
          <w:sz w:val="22"/>
        </w:rPr>
        <w:t>Consultation Paper on the</w:t>
      </w:r>
      <w:r>
        <w:rPr>
          <w:rFonts w:ascii="Arial" w:hAnsi="Arial" w:cs="Arial"/>
          <w:bCs/>
          <w:i/>
          <w:sz w:val="22"/>
        </w:rPr>
        <w:t xml:space="preserve"> Clearing Obligation under EMIR (no.3)</w:t>
      </w:r>
      <w:r w:rsidRPr="00B02D13">
        <w:rPr>
          <w:rFonts w:ascii="Arial" w:hAnsi="Arial" w:cs="Arial"/>
          <w:bCs/>
          <w:sz w:val="22"/>
        </w:rPr>
        <w:t xml:space="preserve"> (the “</w:t>
      </w:r>
      <w:r>
        <w:rPr>
          <w:rFonts w:ascii="Arial" w:hAnsi="Arial" w:cs="Arial"/>
          <w:b/>
          <w:bCs/>
          <w:i/>
          <w:sz w:val="22"/>
        </w:rPr>
        <w:t xml:space="preserve">Consultation </w:t>
      </w:r>
      <w:r w:rsidRPr="00AE6817">
        <w:rPr>
          <w:rFonts w:ascii="Arial" w:hAnsi="Arial" w:cs="Arial"/>
          <w:b/>
          <w:bCs/>
          <w:i/>
          <w:sz w:val="22"/>
        </w:rPr>
        <w:t>Paper</w:t>
      </w:r>
      <w:r w:rsidRPr="00B02D13">
        <w:rPr>
          <w:rFonts w:ascii="Arial" w:hAnsi="Arial" w:cs="Arial"/>
          <w:bCs/>
          <w:sz w:val="22"/>
        </w:rPr>
        <w:t>” or “</w:t>
      </w:r>
      <w:r>
        <w:rPr>
          <w:rFonts w:ascii="Arial" w:hAnsi="Arial" w:cs="Arial"/>
          <w:b/>
          <w:bCs/>
          <w:i/>
          <w:sz w:val="22"/>
        </w:rPr>
        <w:t>C</w:t>
      </w:r>
      <w:r w:rsidRPr="00AE6817">
        <w:rPr>
          <w:rFonts w:ascii="Arial" w:hAnsi="Arial" w:cs="Arial"/>
          <w:b/>
          <w:bCs/>
          <w:i/>
          <w:sz w:val="22"/>
        </w:rPr>
        <w:t>P</w:t>
      </w:r>
      <w:r w:rsidRPr="001F4B1F">
        <w:rPr>
          <w:rFonts w:ascii="Arial" w:hAnsi="Arial" w:cs="Arial"/>
          <w:bCs/>
          <w:sz w:val="22"/>
        </w:rPr>
        <w:t>”</w:t>
      </w:r>
      <w:r w:rsidRPr="00B02D13">
        <w:rPr>
          <w:rFonts w:ascii="Arial" w:hAnsi="Arial" w:cs="Arial"/>
          <w:bCs/>
          <w:sz w:val="22"/>
        </w:rPr>
        <w:t xml:space="preserve">) and we appreciate the opportunity to provide you with our comments. </w:t>
      </w:r>
    </w:p>
    <w:p w:rsidR="00437BC1" w:rsidRDefault="00437BC1" w:rsidP="00437BC1">
      <w:pPr>
        <w:autoSpaceDE w:val="0"/>
        <w:autoSpaceDN w:val="0"/>
        <w:adjustRightInd w:val="0"/>
        <w:rPr>
          <w:rFonts w:ascii="Arial" w:hAnsi="Arial" w:cs="Arial"/>
          <w:b/>
          <w:bCs/>
          <w:color w:val="000000"/>
          <w:sz w:val="22"/>
          <w:szCs w:val="22"/>
          <w:lang w:eastAsia="en-US"/>
        </w:rPr>
      </w:pPr>
    </w:p>
    <w:p w:rsidR="00437BC1" w:rsidRDefault="00437BC1" w:rsidP="00437BC1">
      <w:pPr>
        <w:autoSpaceDE w:val="0"/>
        <w:autoSpaceDN w:val="0"/>
        <w:adjustRightInd w:val="0"/>
        <w:jc w:val="both"/>
        <w:rPr>
          <w:rFonts w:ascii="Arial" w:hAnsi="Arial" w:cs="Arial"/>
          <w:bCs/>
          <w:color w:val="000000"/>
          <w:sz w:val="22"/>
          <w:szCs w:val="22"/>
          <w:lang w:eastAsia="en-US"/>
        </w:rPr>
      </w:pPr>
      <w:r w:rsidRPr="008D181C">
        <w:rPr>
          <w:rFonts w:ascii="Arial" w:hAnsi="Arial" w:cs="Arial"/>
          <w:bCs/>
          <w:color w:val="000000"/>
          <w:sz w:val="22"/>
          <w:szCs w:val="22"/>
          <w:lang w:eastAsia="en-US"/>
        </w:rPr>
        <w:t xml:space="preserve">Markit is a provider of financial information services to the global financial markets, offering independent data, valuations, </w:t>
      </w:r>
      <w:r>
        <w:rPr>
          <w:rFonts w:ascii="Arial" w:hAnsi="Arial" w:cs="Arial"/>
          <w:bCs/>
          <w:color w:val="000000"/>
          <w:sz w:val="22"/>
          <w:szCs w:val="22"/>
          <w:lang w:eastAsia="en-US"/>
        </w:rPr>
        <w:t xml:space="preserve">processing and connectivity services, </w:t>
      </w:r>
      <w:r w:rsidRPr="008D181C">
        <w:rPr>
          <w:rFonts w:ascii="Arial" w:hAnsi="Arial" w:cs="Arial"/>
          <w:bCs/>
          <w:color w:val="000000"/>
          <w:sz w:val="22"/>
          <w:szCs w:val="22"/>
          <w:lang w:eastAsia="en-US"/>
        </w:rPr>
        <w:t>risk analytics for internal capital models, and related services across regions, asset classes and financial instruments. Our products and services are used by numerous market participants to reduce risk, increase transparency, and improve the operational efficiency in their financial markets activities.</w:t>
      </w:r>
      <w:r>
        <w:rPr>
          <w:rStyle w:val="FootnoteReference"/>
          <w:rFonts w:ascii="Arial" w:hAnsi="Arial"/>
          <w:bCs/>
          <w:color w:val="000000"/>
          <w:sz w:val="22"/>
          <w:szCs w:val="22"/>
          <w:lang w:eastAsia="en-US"/>
        </w:rPr>
        <w:footnoteReference w:id="2"/>
      </w:r>
      <w:r w:rsidRPr="008D181C">
        <w:rPr>
          <w:rFonts w:ascii="Arial" w:hAnsi="Arial" w:cs="Arial"/>
          <w:bCs/>
          <w:color w:val="000000"/>
          <w:sz w:val="22"/>
          <w:szCs w:val="22"/>
          <w:lang w:eastAsia="en-US"/>
        </w:rPr>
        <w:t xml:space="preserve"> </w:t>
      </w:r>
    </w:p>
    <w:p w:rsidR="00437BC1" w:rsidRPr="008D181C" w:rsidRDefault="00437BC1" w:rsidP="00437BC1">
      <w:pPr>
        <w:autoSpaceDE w:val="0"/>
        <w:autoSpaceDN w:val="0"/>
        <w:adjustRightInd w:val="0"/>
        <w:rPr>
          <w:rFonts w:ascii="Arial" w:hAnsi="Arial" w:cs="Arial"/>
          <w:bCs/>
          <w:color w:val="000000"/>
          <w:sz w:val="22"/>
          <w:szCs w:val="22"/>
          <w:lang w:eastAsia="en-US"/>
        </w:rPr>
      </w:pPr>
    </w:p>
    <w:p w:rsidR="00437BC1" w:rsidRDefault="00437BC1" w:rsidP="00437BC1">
      <w:pPr>
        <w:jc w:val="both"/>
        <w:rPr>
          <w:rFonts w:ascii="Arial" w:hAnsi="Arial" w:cs="Arial"/>
          <w:color w:val="000000"/>
          <w:sz w:val="22"/>
          <w:szCs w:val="22"/>
          <w:lang w:eastAsia="en-US"/>
        </w:rPr>
      </w:pPr>
      <w:r w:rsidRPr="00E85C87">
        <w:rPr>
          <w:rFonts w:ascii="Arial" w:hAnsi="Arial" w:cs="Arial"/>
          <w:bCs/>
          <w:color w:val="000000"/>
          <w:sz w:val="22"/>
          <w:szCs w:val="22"/>
          <w:lang w:eastAsia="en-US"/>
        </w:rPr>
        <w:t xml:space="preserve">Markit has been actively and constructively engaged in the debate about regulatory reform </w:t>
      </w:r>
      <w:r>
        <w:rPr>
          <w:rFonts w:ascii="Arial" w:hAnsi="Arial" w:cs="Arial"/>
          <w:bCs/>
          <w:color w:val="000000"/>
          <w:sz w:val="22"/>
          <w:szCs w:val="22"/>
          <w:lang w:eastAsia="en-US"/>
        </w:rPr>
        <w:t xml:space="preserve">in financial markets, including topics such as the </w:t>
      </w:r>
      <w:r w:rsidRPr="00E85C87">
        <w:rPr>
          <w:rFonts w:ascii="Arial" w:hAnsi="Arial" w:cs="Arial"/>
          <w:bCs/>
          <w:color w:val="000000"/>
          <w:sz w:val="22"/>
          <w:szCs w:val="22"/>
          <w:lang w:eastAsia="en-US"/>
        </w:rPr>
        <w:t>implementation of the G20 commitments</w:t>
      </w:r>
      <w:r>
        <w:rPr>
          <w:rFonts w:ascii="Arial" w:hAnsi="Arial" w:cs="Arial"/>
          <w:bCs/>
          <w:color w:val="000000"/>
          <w:sz w:val="22"/>
          <w:szCs w:val="22"/>
          <w:lang w:eastAsia="en-US"/>
        </w:rPr>
        <w:t xml:space="preserve"> for OTC derivatives and the design of a regulatory regime for benchmarks</w:t>
      </w:r>
      <w:r w:rsidRPr="00E85C87">
        <w:rPr>
          <w:rFonts w:ascii="Arial" w:hAnsi="Arial" w:cs="Arial"/>
          <w:bCs/>
          <w:color w:val="000000"/>
          <w:sz w:val="22"/>
          <w:szCs w:val="22"/>
          <w:lang w:eastAsia="en-US"/>
        </w:rPr>
        <w:t>. Over the past years, we have submitted more than 1</w:t>
      </w:r>
      <w:r>
        <w:rPr>
          <w:rFonts w:ascii="Arial" w:hAnsi="Arial" w:cs="Arial"/>
          <w:bCs/>
          <w:color w:val="000000"/>
          <w:sz w:val="22"/>
          <w:szCs w:val="22"/>
          <w:lang w:eastAsia="en-US"/>
        </w:rPr>
        <w:t>15</w:t>
      </w:r>
      <w:r w:rsidRPr="00E85C87">
        <w:rPr>
          <w:rFonts w:ascii="Arial" w:hAnsi="Arial" w:cs="Arial"/>
          <w:bCs/>
          <w:color w:val="000000"/>
          <w:sz w:val="22"/>
          <w:szCs w:val="22"/>
          <w:lang w:eastAsia="en-US"/>
        </w:rPr>
        <w:t xml:space="preserve"> comment letters to regulatory authorities around the world and have participated in numerous</w:t>
      </w:r>
      <w:r w:rsidRPr="008D181C">
        <w:rPr>
          <w:rFonts w:ascii="Arial" w:hAnsi="Arial" w:cs="Arial"/>
          <w:color w:val="000000"/>
          <w:sz w:val="22"/>
          <w:szCs w:val="22"/>
          <w:lang w:eastAsia="en-US"/>
        </w:rPr>
        <w:t xml:space="preserve"> roundtables. We also regularly provide relevant authorities with our insights on current market practice, for example, in relation to valuation methodologies, the provision of scenario analysis, or the use of reliable and secure means to provide daily mid-market marks. We have also advised regulatory authorities on appropriate approaches to en</w:t>
      </w:r>
      <w:r w:rsidRPr="008D181C">
        <w:rPr>
          <w:rFonts w:ascii="Arial" w:hAnsi="Arial" w:cs="Arial"/>
          <w:color w:val="000000"/>
          <w:sz w:val="22"/>
          <w:szCs w:val="22"/>
          <w:lang w:eastAsia="en-US"/>
        </w:rPr>
        <w:t>a</w:t>
      </w:r>
      <w:r w:rsidRPr="008D181C">
        <w:rPr>
          <w:rFonts w:ascii="Arial" w:hAnsi="Arial" w:cs="Arial"/>
          <w:color w:val="000000"/>
          <w:sz w:val="22"/>
          <w:szCs w:val="22"/>
          <w:lang w:eastAsia="en-US"/>
        </w:rPr>
        <w:t xml:space="preserve">bling a timely and cost-effective implementation of newly established </w:t>
      </w:r>
      <w:r>
        <w:rPr>
          <w:rFonts w:ascii="Arial" w:hAnsi="Arial" w:cs="Arial"/>
          <w:color w:val="000000"/>
          <w:sz w:val="22"/>
          <w:szCs w:val="22"/>
          <w:lang w:eastAsia="en-US"/>
        </w:rPr>
        <w:t xml:space="preserve">regulatory </w:t>
      </w:r>
      <w:r w:rsidRPr="008D181C">
        <w:rPr>
          <w:rFonts w:ascii="Arial" w:hAnsi="Arial" w:cs="Arial"/>
          <w:color w:val="000000"/>
          <w:sz w:val="22"/>
          <w:szCs w:val="22"/>
          <w:lang w:eastAsia="en-US"/>
        </w:rPr>
        <w:t>requirements</w:t>
      </w:r>
      <w:r>
        <w:rPr>
          <w:rFonts w:ascii="Arial" w:hAnsi="Arial" w:cs="Arial"/>
          <w:color w:val="000000"/>
          <w:sz w:val="22"/>
          <w:szCs w:val="22"/>
          <w:lang w:eastAsia="en-US"/>
        </w:rPr>
        <w:t>, for example</w:t>
      </w:r>
      <w:r w:rsidRPr="008D181C">
        <w:rPr>
          <w:rFonts w:ascii="Arial" w:hAnsi="Arial" w:cs="Arial"/>
          <w:color w:val="000000"/>
          <w:sz w:val="22"/>
          <w:szCs w:val="22"/>
          <w:lang w:eastAsia="en-US"/>
        </w:rPr>
        <w:t xml:space="preserve"> through the use of multi-layered phase-in or by providing </w:t>
      </w:r>
      <w:r>
        <w:rPr>
          <w:rFonts w:ascii="Arial" w:hAnsi="Arial" w:cs="Arial"/>
          <w:color w:val="000000"/>
          <w:sz w:val="22"/>
          <w:szCs w:val="22"/>
          <w:lang w:eastAsia="en-US"/>
        </w:rPr>
        <w:t xml:space="preserve">market </w:t>
      </w:r>
      <w:r w:rsidRPr="008D181C">
        <w:rPr>
          <w:rFonts w:ascii="Arial" w:hAnsi="Arial" w:cs="Arial"/>
          <w:color w:val="000000"/>
          <w:sz w:val="22"/>
          <w:szCs w:val="22"/>
          <w:lang w:eastAsia="en-US"/>
        </w:rPr>
        <w:t xml:space="preserve">participants with a choice of means for satisfying regulatory requirements. </w:t>
      </w:r>
    </w:p>
    <w:p w:rsidR="00437BC1" w:rsidRDefault="00437BC1" w:rsidP="00437BC1">
      <w:pPr>
        <w:jc w:val="both"/>
        <w:rPr>
          <w:rFonts w:ascii="Arial" w:hAnsi="Arial" w:cstheme="majorHAnsi"/>
          <w:b/>
          <w:color w:val="000000"/>
          <w:sz w:val="22"/>
          <w:szCs w:val="22"/>
        </w:rPr>
      </w:pPr>
    </w:p>
    <w:p w:rsidR="00437BC1" w:rsidRDefault="00437BC1" w:rsidP="00437BC1">
      <w:pPr>
        <w:jc w:val="both"/>
        <w:rPr>
          <w:rFonts w:ascii="Arial" w:hAnsi="Arial" w:cstheme="majorHAnsi"/>
          <w:b/>
          <w:color w:val="000000"/>
          <w:sz w:val="22"/>
          <w:szCs w:val="22"/>
        </w:rPr>
      </w:pPr>
      <w:r>
        <w:rPr>
          <w:rFonts w:ascii="Arial" w:hAnsi="Arial" w:cstheme="majorHAnsi"/>
          <w:b/>
          <w:color w:val="000000"/>
          <w:sz w:val="22"/>
          <w:szCs w:val="22"/>
        </w:rPr>
        <w:t>Introduction</w:t>
      </w:r>
    </w:p>
    <w:p w:rsidR="00437BC1" w:rsidRDefault="00437BC1" w:rsidP="00437BC1">
      <w:pPr>
        <w:jc w:val="both"/>
        <w:rPr>
          <w:rFonts w:ascii="Arial" w:hAnsi="Arial" w:cs="Arial"/>
          <w:color w:val="000000"/>
          <w:lang w:val="en-US" w:eastAsia="en-US"/>
        </w:rPr>
      </w:pPr>
    </w:p>
    <w:p w:rsidR="00437BC1" w:rsidRDefault="00437BC1" w:rsidP="00437BC1">
      <w:pPr>
        <w:pStyle w:val="Default"/>
        <w:jc w:val="both"/>
        <w:rPr>
          <w:rFonts w:ascii="Arial" w:hAnsi="Arial" w:cs="Arial"/>
          <w:sz w:val="22"/>
          <w:szCs w:val="22"/>
          <w:lang w:val="en-US" w:eastAsia="en-US"/>
        </w:rPr>
      </w:pPr>
      <w:proofErr w:type="spellStart"/>
      <w:r w:rsidRPr="000D4A13">
        <w:rPr>
          <w:rFonts w:ascii="Arial" w:hAnsi="Arial" w:cs="Arial"/>
          <w:sz w:val="22"/>
          <w:szCs w:val="22"/>
          <w:lang w:val="en-US" w:eastAsia="en-US"/>
        </w:rPr>
        <w:t>Markit’s</w:t>
      </w:r>
      <w:proofErr w:type="spellEnd"/>
      <w:r w:rsidRPr="000D4A13">
        <w:rPr>
          <w:rFonts w:ascii="Arial" w:hAnsi="Arial" w:cs="Arial"/>
          <w:sz w:val="22"/>
          <w:szCs w:val="22"/>
          <w:lang w:val="en-US" w:eastAsia="en-US"/>
        </w:rPr>
        <w:t xml:space="preserve"> most relevant services in the context of </w:t>
      </w:r>
      <w:r>
        <w:rPr>
          <w:rFonts w:ascii="Arial" w:hAnsi="Arial" w:cs="Arial"/>
          <w:sz w:val="22"/>
          <w:szCs w:val="22"/>
          <w:lang w:val="en-US" w:eastAsia="en-US"/>
        </w:rPr>
        <w:t>ESMA’s</w:t>
      </w:r>
      <w:r w:rsidRPr="000D4A13">
        <w:rPr>
          <w:rFonts w:ascii="Arial" w:hAnsi="Arial" w:cs="Arial"/>
          <w:sz w:val="22"/>
          <w:szCs w:val="22"/>
          <w:lang w:val="en-US" w:eastAsia="en-US"/>
        </w:rPr>
        <w:t xml:space="preserve"> CP are our derivatives processing platforms which facilitate confirmation, matching and processing for OTC derivatives across regions and asset classes and provide universal middleware connectivity for downstream pr</w:t>
      </w:r>
      <w:r w:rsidRPr="000D4A13">
        <w:rPr>
          <w:rFonts w:ascii="Arial" w:hAnsi="Arial" w:cs="Arial"/>
          <w:sz w:val="22"/>
          <w:szCs w:val="22"/>
          <w:lang w:val="en-US" w:eastAsia="en-US"/>
        </w:rPr>
        <w:t>o</w:t>
      </w:r>
      <w:r w:rsidRPr="000D4A13">
        <w:rPr>
          <w:rFonts w:ascii="Arial" w:hAnsi="Arial" w:cs="Arial"/>
          <w:sz w:val="22"/>
          <w:szCs w:val="22"/>
          <w:lang w:val="en-US" w:eastAsia="en-US"/>
        </w:rPr>
        <w:t>cessing such as clearing and reporting.</w:t>
      </w:r>
      <w:r>
        <w:rPr>
          <w:rFonts w:ascii="Arial" w:hAnsi="Arial" w:cs="Arial"/>
          <w:sz w:val="22"/>
          <w:szCs w:val="22"/>
          <w:lang w:val="en-US" w:eastAsia="en-US"/>
        </w:rPr>
        <w:t xml:space="preserve">  </w:t>
      </w:r>
      <w:r w:rsidRPr="000D4A13">
        <w:rPr>
          <w:rFonts w:ascii="Arial" w:hAnsi="Arial" w:cs="Arial"/>
          <w:sz w:val="22"/>
          <w:szCs w:val="22"/>
          <w:lang w:val="en-US" w:eastAsia="en-US"/>
        </w:rPr>
        <w:t xml:space="preserve">Specifically, the </w:t>
      </w:r>
      <w:proofErr w:type="spellStart"/>
      <w:r w:rsidRPr="000D4A13">
        <w:rPr>
          <w:rFonts w:ascii="Arial" w:hAnsi="Arial" w:cs="Arial"/>
          <w:sz w:val="22"/>
          <w:szCs w:val="22"/>
          <w:lang w:val="en-US" w:eastAsia="en-US"/>
        </w:rPr>
        <w:t>MarkitSERV</w:t>
      </w:r>
      <w:proofErr w:type="spellEnd"/>
      <w:r>
        <w:rPr>
          <w:rStyle w:val="FootnoteReference"/>
          <w:rFonts w:ascii="Arial" w:hAnsi="Arial"/>
          <w:sz w:val="22"/>
          <w:szCs w:val="22"/>
          <w:lang w:val="en-US" w:eastAsia="en-US"/>
        </w:rPr>
        <w:footnoteReference w:id="3"/>
      </w:r>
      <w:r w:rsidRPr="000D4A13">
        <w:rPr>
          <w:rFonts w:ascii="Arial" w:hAnsi="Arial" w:cs="Arial"/>
          <w:sz w:val="14"/>
          <w:szCs w:val="14"/>
          <w:lang w:val="en-US" w:eastAsia="en-US"/>
        </w:rPr>
        <w:t xml:space="preserve"> </w:t>
      </w:r>
      <w:r w:rsidRPr="000D4A13">
        <w:rPr>
          <w:rFonts w:ascii="Arial" w:hAnsi="Arial" w:cs="Arial"/>
          <w:sz w:val="22"/>
          <w:szCs w:val="22"/>
          <w:lang w:val="en-US" w:eastAsia="en-US"/>
        </w:rPr>
        <w:t>platforms a) facilitate the agreemen</w:t>
      </w:r>
      <w:r>
        <w:rPr>
          <w:rFonts w:ascii="Arial" w:hAnsi="Arial" w:cs="Arial"/>
          <w:sz w:val="22"/>
          <w:szCs w:val="22"/>
          <w:lang w:val="en-US" w:eastAsia="en-US"/>
        </w:rPr>
        <w:t>t</w:t>
      </w:r>
      <w:r>
        <w:rPr>
          <w:rStyle w:val="FootnoteReference"/>
          <w:rFonts w:ascii="Arial" w:hAnsi="Arial"/>
          <w:sz w:val="22"/>
          <w:szCs w:val="22"/>
          <w:lang w:val="en-US" w:eastAsia="en-US"/>
        </w:rPr>
        <w:footnoteReference w:id="4"/>
      </w:r>
      <w:r w:rsidRPr="000D4A13">
        <w:rPr>
          <w:rFonts w:ascii="Arial" w:hAnsi="Arial" w:cs="Arial"/>
          <w:sz w:val="14"/>
          <w:szCs w:val="14"/>
          <w:lang w:val="en-US" w:eastAsia="en-US"/>
        </w:rPr>
        <w:t xml:space="preserve"> </w:t>
      </w:r>
      <w:r w:rsidRPr="000D4A13">
        <w:rPr>
          <w:rFonts w:ascii="Arial" w:hAnsi="Arial" w:cs="Arial"/>
          <w:sz w:val="22"/>
          <w:szCs w:val="22"/>
          <w:lang w:val="en-US" w:eastAsia="en-US"/>
        </w:rPr>
        <w:t>between parties on the details of the</w:t>
      </w:r>
      <w:r>
        <w:rPr>
          <w:rFonts w:ascii="Arial" w:hAnsi="Arial" w:cs="Arial"/>
          <w:sz w:val="22"/>
          <w:szCs w:val="22"/>
          <w:lang w:val="en-US" w:eastAsia="en-US"/>
        </w:rPr>
        <w:t xml:space="preserve"> </w:t>
      </w:r>
    </w:p>
    <w:p w:rsidR="00437BC1" w:rsidRDefault="00437BC1" w:rsidP="00437BC1">
      <w:pPr>
        <w:jc w:val="both"/>
        <w:rPr>
          <w:rFonts w:ascii="Arial" w:hAnsi="Arial" w:cstheme="majorHAnsi"/>
          <w:color w:val="000000"/>
          <w:sz w:val="22"/>
          <w:szCs w:val="22"/>
        </w:rPr>
      </w:pPr>
    </w:p>
    <w:p w:rsidR="00437BC1" w:rsidRPr="00F94FC2" w:rsidRDefault="00437BC1" w:rsidP="00437BC1">
      <w:pPr>
        <w:autoSpaceDE w:val="0"/>
        <w:autoSpaceDN w:val="0"/>
        <w:adjustRightInd w:val="0"/>
        <w:jc w:val="both"/>
        <w:rPr>
          <w:rFonts w:ascii="Arial" w:hAnsi="Arial" w:cs="Arial"/>
          <w:color w:val="000000"/>
          <w:sz w:val="14"/>
          <w:szCs w:val="14"/>
          <w:lang w:val="en-US" w:eastAsia="en-US"/>
        </w:rPr>
      </w:pPr>
      <w:r w:rsidRPr="000D4A13">
        <w:rPr>
          <w:rFonts w:ascii="Arial" w:hAnsi="Arial" w:cs="Arial"/>
          <w:color w:val="000000"/>
          <w:sz w:val="22"/>
          <w:szCs w:val="22"/>
          <w:lang w:val="en-US" w:eastAsia="en-US"/>
        </w:rPr>
        <w:t>transactions that they have entered into, b) provide them with connectivity to CCPs,</w:t>
      </w:r>
      <w:r>
        <w:rPr>
          <w:rStyle w:val="FootnoteReference"/>
          <w:rFonts w:ascii="Arial" w:hAnsi="Arial"/>
          <w:color w:val="000000"/>
          <w:sz w:val="22"/>
          <w:szCs w:val="22"/>
          <w:lang w:val="en-US" w:eastAsia="en-US"/>
        </w:rPr>
        <w:footnoteReference w:id="5"/>
      </w:r>
      <w:r w:rsidRPr="000D4A13">
        <w:rPr>
          <w:rFonts w:ascii="Arial" w:hAnsi="Arial" w:cs="Arial"/>
          <w:color w:val="000000"/>
          <w:sz w:val="14"/>
          <w:szCs w:val="14"/>
          <w:lang w:val="en-US" w:eastAsia="en-US"/>
        </w:rPr>
        <w:t xml:space="preserve"> </w:t>
      </w:r>
      <w:r w:rsidRPr="000D4A13">
        <w:rPr>
          <w:rFonts w:ascii="Arial" w:hAnsi="Arial" w:cs="Arial"/>
          <w:color w:val="000000"/>
          <w:sz w:val="22"/>
          <w:szCs w:val="22"/>
          <w:lang w:val="en-US" w:eastAsia="en-US"/>
        </w:rPr>
        <w:t>trading venues (“</w:t>
      </w:r>
      <w:r w:rsidRPr="000D4A13">
        <w:rPr>
          <w:rFonts w:ascii="Arial" w:hAnsi="Arial" w:cs="Arial"/>
          <w:b/>
          <w:bCs/>
          <w:i/>
          <w:iCs/>
          <w:color w:val="000000"/>
          <w:sz w:val="22"/>
          <w:szCs w:val="22"/>
          <w:lang w:val="en-US" w:eastAsia="en-US"/>
        </w:rPr>
        <w:t>TVs</w:t>
      </w:r>
      <w:r w:rsidRPr="000D4A13">
        <w:rPr>
          <w:rFonts w:ascii="Arial" w:hAnsi="Arial" w:cs="Arial"/>
          <w:color w:val="000000"/>
          <w:sz w:val="22"/>
          <w:szCs w:val="22"/>
          <w:lang w:val="en-US" w:eastAsia="en-US"/>
        </w:rPr>
        <w:t>”) and inter-dealer brokers, trade repositories, and the whole range of counterpa</w:t>
      </w:r>
      <w:r w:rsidRPr="000D4A13">
        <w:rPr>
          <w:rFonts w:ascii="Arial" w:hAnsi="Arial" w:cs="Arial"/>
          <w:color w:val="000000"/>
          <w:sz w:val="22"/>
          <w:szCs w:val="22"/>
          <w:lang w:val="en-US" w:eastAsia="en-US"/>
        </w:rPr>
        <w:t>r</w:t>
      </w:r>
      <w:r w:rsidRPr="000D4A13">
        <w:rPr>
          <w:rFonts w:ascii="Arial" w:hAnsi="Arial" w:cs="Arial"/>
          <w:color w:val="000000"/>
          <w:sz w:val="22"/>
          <w:szCs w:val="22"/>
          <w:lang w:val="en-US" w:eastAsia="en-US"/>
        </w:rPr>
        <w:t xml:space="preserve">ties, including </w:t>
      </w:r>
      <w:proofErr w:type="spellStart"/>
      <w:r w:rsidRPr="000D4A13">
        <w:rPr>
          <w:rFonts w:ascii="Arial" w:hAnsi="Arial" w:cs="Arial"/>
          <w:color w:val="000000"/>
          <w:sz w:val="22"/>
          <w:szCs w:val="22"/>
          <w:lang w:val="en-US" w:eastAsia="en-US"/>
        </w:rPr>
        <w:t>buyside</w:t>
      </w:r>
      <w:proofErr w:type="spellEnd"/>
      <w:r w:rsidRPr="000D4A13">
        <w:rPr>
          <w:rFonts w:ascii="Arial" w:hAnsi="Arial" w:cs="Arial"/>
          <w:color w:val="000000"/>
          <w:sz w:val="22"/>
          <w:szCs w:val="22"/>
          <w:lang w:val="en-US" w:eastAsia="en-US"/>
        </w:rPr>
        <w:t xml:space="preserve"> and </w:t>
      </w:r>
      <w:proofErr w:type="spellStart"/>
      <w:r w:rsidRPr="000D4A13">
        <w:rPr>
          <w:rFonts w:ascii="Arial" w:hAnsi="Arial" w:cs="Arial"/>
          <w:color w:val="000000"/>
          <w:sz w:val="22"/>
          <w:szCs w:val="22"/>
          <w:lang w:val="en-US" w:eastAsia="en-US"/>
        </w:rPr>
        <w:t>sellside</w:t>
      </w:r>
      <w:proofErr w:type="spellEnd"/>
      <w:r w:rsidRPr="000D4A13">
        <w:rPr>
          <w:rFonts w:ascii="Arial" w:hAnsi="Arial" w:cs="Arial"/>
          <w:color w:val="000000"/>
          <w:sz w:val="22"/>
          <w:szCs w:val="22"/>
          <w:lang w:val="en-US" w:eastAsia="en-US"/>
        </w:rPr>
        <w:t xml:space="preserve">, and c) report the relevant transaction and counterparty </w:t>
      </w:r>
      <w:r w:rsidRPr="000D4A13">
        <w:rPr>
          <w:rFonts w:ascii="Arial" w:hAnsi="Arial" w:cs="Arial"/>
          <w:color w:val="000000"/>
          <w:sz w:val="22"/>
          <w:szCs w:val="22"/>
          <w:lang w:val="en-US" w:eastAsia="en-US"/>
        </w:rPr>
        <w:lastRenderedPageBreak/>
        <w:t>details to trade repositories under newly established regulatory requirements</w:t>
      </w:r>
      <w:r>
        <w:rPr>
          <w:rFonts w:ascii="Arial" w:hAnsi="Arial" w:cs="Arial"/>
          <w:color w:val="000000"/>
          <w:sz w:val="22"/>
          <w:szCs w:val="22"/>
          <w:lang w:val="en-US" w:eastAsia="en-US"/>
        </w:rPr>
        <w:t>.</w:t>
      </w:r>
      <w:r>
        <w:rPr>
          <w:rStyle w:val="FootnoteReference"/>
          <w:rFonts w:ascii="Arial" w:hAnsi="Arial"/>
          <w:color w:val="000000"/>
          <w:sz w:val="22"/>
          <w:szCs w:val="22"/>
          <w:lang w:val="en-US" w:eastAsia="en-US"/>
        </w:rPr>
        <w:footnoteReference w:id="6"/>
      </w:r>
      <w:r w:rsidRPr="000D4A13">
        <w:rPr>
          <w:rFonts w:ascii="Arial" w:hAnsi="Arial" w:cs="Arial"/>
          <w:color w:val="000000"/>
          <w:sz w:val="14"/>
          <w:szCs w:val="14"/>
          <w:lang w:val="en-US" w:eastAsia="en-US"/>
        </w:rPr>
        <w:t xml:space="preserve"> </w:t>
      </w:r>
      <w:r w:rsidRPr="000D4A13">
        <w:rPr>
          <w:rFonts w:ascii="Arial" w:hAnsi="Arial" w:cs="Arial"/>
          <w:color w:val="000000"/>
          <w:sz w:val="22"/>
          <w:szCs w:val="22"/>
          <w:lang w:val="en-US" w:eastAsia="en-US"/>
        </w:rPr>
        <w:t xml:space="preserve">Such services </w:t>
      </w:r>
      <w:r>
        <w:rPr>
          <w:rFonts w:ascii="Arial" w:hAnsi="Arial" w:cs="Arial"/>
          <w:color w:val="000000"/>
          <w:sz w:val="22"/>
          <w:szCs w:val="22"/>
          <w:lang w:val="en-US" w:eastAsia="en-US"/>
        </w:rPr>
        <w:t xml:space="preserve">that </w:t>
      </w:r>
      <w:r w:rsidRPr="000D4A13">
        <w:rPr>
          <w:rFonts w:ascii="Arial" w:hAnsi="Arial" w:cs="Arial"/>
          <w:color w:val="000000"/>
          <w:sz w:val="22"/>
          <w:szCs w:val="22"/>
          <w:lang w:val="en-US" w:eastAsia="en-US"/>
        </w:rPr>
        <w:t xml:space="preserve">are </w:t>
      </w:r>
      <w:r>
        <w:rPr>
          <w:rFonts w:ascii="Arial" w:hAnsi="Arial" w:cs="Arial"/>
          <w:color w:val="000000"/>
          <w:sz w:val="22"/>
          <w:szCs w:val="22"/>
          <w:lang w:val="en-US" w:eastAsia="en-US"/>
        </w:rPr>
        <w:t xml:space="preserve">also </w:t>
      </w:r>
      <w:r w:rsidRPr="000D4A13">
        <w:rPr>
          <w:rFonts w:ascii="Arial" w:hAnsi="Arial" w:cs="Arial"/>
          <w:color w:val="000000"/>
          <w:sz w:val="22"/>
          <w:szCs w:val="22"/>
          <w:lang w:val="en-US" w:eastAsia="en-US"/>
        </w:rPr>
        <w:t xml:space="preserve">offered by various other providers are widely used by participants in the global OTC derivatives markets today and are </w:t>
      </w:r>
      <w:proofErr w:type="spellStart"/>
      <w:r w:rsidRPr="000D4A13">
        <w:rPr>
          <w:rFonts w:ascii="Arial" w:hAnsi="Arial" w:cs="Arial"/>
          <w:color w:val="000000"/>
          <w:sz w:val="22"/>
          <w:szCs w:val="22"/>
          <w:lang w:val="en-US" w:eastAsia="en-US"/>
        </w:rPr>
        <w:t>recognised</w:t>
      </w:r>
      <w:proofErr w:type="spellEnd"/>
      <w:r w:rsidRPr="000D4A13">
        <w:rPr>
          <w:rFonts w:ascii="Arial" w:hAnsi="Arial" w:cs="Arial"/>
          <w:color w:val="000000"/>
          <w:sz w:val="22"/>
          <w:szCs w:val="22"/>
          <w:lang w:val="en-US" w:eastAsia="en-US"/>
        </w:rPr>
        <w:t xml:space="preserve"> as tools to increase efficiency, secure legal ce</w:t>
      </w:r>
      <w:r w:rsidRPr="000D4A13">
        <w:rPr>
          <w:rFonts w:ascii="Arial" w:hAnsi="Arial" w:cs="Arial"/>
          <w:color w:val="000000"/>
          <w:sz w:val="22"/>
          <w:szCs w:val="22"/>
          <w:lang w:val="en-US" w:eastAsia="en-US"/>
        </w:rPr>
        <w:t>r</w:t>
      </w:r>
      <w:r w:rsidRPr="000D4A13">
        <w:rPr>
          <w:rFonts w:ascii="Arial" w:hAnsi="Arial" w:cs="Arial"/>
          <w:color w:val="000000"/>
          <w:sz w:val="22"/>
          <w:szCs w:val="22"/>
          <w:lang w:val="en-US" w:eastAsia="en-US"/>
        </w:rPr>
        <w:t>tainty</w:t>
      </w:r>
      <w:r>
        <w:rPr>
          <w:rFonts w:ascii="Arial" w:hAnsi="Arial" w:cs="Arial"/>
          <w:color w:val="000000"/>
          <w:sz w:val="22"/>
          <w:szCs w:val="22"/>
          <w:lang w:val="en-US" w:eastAsia="en-US"/>
        </w:rPr>
        <w:t>, and</w:t>
      </w:r>
      <w:r w:rsidRPr="009E426F">
        <w:rPr>
          <w:rFonts w:ascii="Arial" w:hAnsi="Arial" w:cs="Arial"/>
          <w:color w:val="000000"/>
          <w:sz w:val="22"/>
          <w:szCs w:val="22"/>
          <w:lang w:val="en-US" w:eastAsia="en-US"/>
        </w:rPr>
        <w:t xml:space="preserve"> </w:t>
      </w:r>
      <w:r w:rsidRPr="000D4A13">
        <w:rPr>
          <w:rFonts w:ascii="Arial" w:hAnsi="Arial" w:cs="Arial"/>
          <w:color w:val="000000"/>
          <w:sz w:val="22"/>
          <w:szCs w:val="22"/>
          <w:lang w:val="en-US" w:eastAsia="en-US"/>
        </w:rPr>
        <w:t xml:space="preserve">reduce cost. With globally over 1,500 firms using the various </w:t>
      </w:r>
      <w:proofErr w:type="spellStart"/>
      <w:r w:rsidRPr="000D4A13">
        <w:rPr>
          <w:rFonts w:ascii="Arial" w:hAnsi="Arial" w:cs="Arial"/>
          <w:color w:val="000000"/>
          <w:sz w:val="22"/>
          <w:szCs w:val="22"/>
          <w:lang w:val="en-US" w:eastAsia="en-US"/>
        </w:rPr>
        <w:t>MarkitSERV</w:t>
      </w:r>
      <w:proofErr w:type="spellEnd"/>
      <w:r w:rsidRPr="000D4A13">
        <w:rPr>
          <w:rFonts w:ascii="Arial" w:hAnsi="Arial" w:cs="Arial"/>
          <w:color w:val="000000"/>
          <w:sz w:val="22"/>
          <w:szCs w:val="22"/>
          <w:lang w:val="en-US" w:eastAsia="en-US"/>
        </w:rPr>
        <w:t xml:space="preserve"> platforms that process, on average, 80,000 OTC derivative transaction processing events </w:t>
      </w:r>
      <w:r>
        <w:rPr>
          <w:rFonts w:ascii="Arial" w:hAnsi="Arial" w:cs="Arial"/>
          <w:color w:val="000000"/>
          <w:sz w:val="22"/>
          <w:szCs w:val="22"/>
          <w:lang w:val="en-US" w:eastAsia="en-US"/>
        </w:rPr>
        <w:t>per</w:t>
      </w:r>
      <w:r w:rsidRPr="000D4A13">
        <w:rPr>
          <w:rFonts w:ascii="Arial" w:hAnsi="Arial" w:cs="Arial"/>
          <w:color w:val="000000"/>
          <w:sz w:val="22"/>
          <w:szCs w:val="22"/>
          <w:lang w:val="en-US" w:eastAsia="en-US"/>
        </w:rPr>
        <w:t xml:space="preserve"> day, our legal, operational, and technological infrastructure plays an important role in supporting the OTC derivatives markets in Europe, North America, and the Asia-Pacific region. </w:t>
      </w:r>
    </w:p>
    <w:p w:rsidR="00437BC1" w:rsidRDefault="00437BC1" w:rsidP="00437BC1">
      <w:pPr>
        <w:jc w:val="both"/>
        <w:rPr>
          <w:rFonts w:ascii="Arial" w:hAnsi="Arial" w:cstheme="majorHAnsi"/>
          <w:color w:val="000000"/>
          <w:sz w:val="22"/>
          <w:szCs w:val="22"/>
          <w:highlight w:val="yellow"/>
        </w:rPr>
      </w:pPr>
    </w:p>
    <w:p w:rsidR="00437BC1" w:rsidRDefault="00437BC1" w:rsidP="00437BC1">
      <w:pPr>
        <w:jc w:val="both"/>
        <w:rPr>
          <w:rFonts w:ascii="Arial" w:hAnsi="Arial" w:cstheme="majorHAnsi"/>
          <w:b/>
          <w:color w:val="000000"/>
          <w:sz w:val="22"/>
          <w:szCs w:val="22"/>
        </w:rPr>
      </w:pPr>
    </w:p>
    <w:p w:rsidR="00437BC1" w:rsidRDefault="00437BC1" w:rsidP="00437BC1">
      <w:pPr>
        <w:jc w:val="both"/>
        <w:rPr>
          <w:rFonts w:ascii="Arial" w:hAnsi="Arial" w:cs="Arial"/>
          <w:b/>
          <w:color w:val="000000"/>
          <w:sz w:val="22"/>
          <w:szCs w:val="22"/>
          <w:lang w:eastAsia="en-US"/>
        </w:rPr>
      </w:pPr>
      <w:r w:rsidRPr="000F5A26">
        <w:rPr>
          <w:rFonts w:ascii="Arial" w:hAnsi="Arial" w:cstheme="majorHAnsi"/>
          <w:b/>
          <w:color w:val="000000"/>
          <w:sz w:val="22"/>
          <w:szCs w:val="22"/>
        </w:rPr>
        <w:t>Comments</w:t>
      </w:r>
    </w:p>
    <w:p w:rsidR="00437BC1" w:rsidRDefault="00437BC1" w:rsidP="00437BC1">
      <w:pPr>
        <w:autoSpaceDE w:val="0"/>
        <w:autoSpaceDN w:val="0"/>
        <w:adjustRightInd w:val="0"/>
        <w:jc w:val="both"/>
        <w:rPr>
          <w:rFonts w:ascii="Arial" w:hAnsi="Arial" w:cs="Arial"/>
          <w:color w:val="000000"/>
          <w:sz w:val="22"/>
          <w:szCs w:val="22"/>
          <w:lang w:val="en-US" w:eastAsia="en-US"/>
        </w:rPr>
      </w:pPr>
    </w:p>
    <w:p w:rsidR="00437BC1" w:rsidRDefault="00437BC1" w:rsidP="00437BC1">
      <w:pPr>
        <w:jc w:val="both"/>
        <w:rPr>
          <w:rFonts w:ascii="Arial" w:hAnsi="Arial" w:cs="Arial"/>
          <w:color w:val="000000"/>
          <w:sz w:val="22"/>
          <w:szCs w:val="22"/>
          <w:lang w:val="en-US" w:eastAsia="en-US"/>
        </w:rPr>
      </w:pPr>
      <w:r>
        <w:rPr>
          <w:rFonts w:ascii="Arial" w:hAnsi="Arial" w:cs="Arial"/>
          <w:color w:val="000000"/>
          <w:sz w:val="22"/>
          <w:szCs w:val="22"/>
          <w:lang w:val="en-US" w:eastAsia="en-US"/>
        </w:rPr>
        <w:t>We recommend ESMA take into account that the processing and confirmation of transactions in FX derivatives is currently not as centralized or automated as in other asset classes. For exa</w:t>
      </w:r>
      <w:r>
        <w:rPr>
          <w:rFonts w:ascii="Arial" w:hAnsi="Arial" w:cs="Arial"/>
          <w:color w:val="000000"/>
          <w:sz w:val="22"/>
          <w:szCs w:val="22"/>
          <w:lang w:val="en-US" w:eastAsia="en-US"/>
        </w:rPr>
        <w:t>m</w:t>
      </w:r>
      <w:r>
        <w:rPr>
          <w:rFonts w:ascii="Arial" w:hAnsi="Arial" w:cs="Arial"/>
          <w:color w:val="000000"/>
          <w:sz w:val="22"/>
          <w:szCs w:val="22"/>
          <w:lang w:val="en-US" w:eastAsia="en-US"/>
        </w:rPr>
        <w:t xml:space="preserve">ple, given the lack of a central infrastructure for the pairing of trades, agreeing and sharing a unique UTI is more challenging for FX derivatives compared to other asset classes such as interest rates or credit where such central infrastructure is established and widely adopted. </w:t>
      </w:r>
    </w:p>
    <w:p w:rsidR="00437BC1" w:rsidRDefault="00437BC1" w:rsidP="00437BC1">
      <w:pPr>
        <w:jc w:val="both"/>
        <w:rPr>
          <w:rFonts w:ascii="Arial" w:hAnsi="Arial" w:cs="Arial"/>
          <w:color w:val="000000"/>
          <w:sz w:val="22"/>
          <w:szCs w:val="22"/>
          <w:lang w:val="en-US" w:eastAsia="en-US"/>
        </w:rPr>
      </w:pPr>
    </w:p>
    <w:p w:rsidR="00437BC1" w:rsidRDefault="00437BC1" w:rsidP="00437BC1">
      <w:pPr>
        <w:jc w:val="both"/>
        <w:rPr>
          <w:rFonts w:ascii="Arial" w:hAnsi="Arial" w:cs="Arial"/>
          <w:color w:val="000000"/>
          <w:sz w:val="22"/>
          <w:szCs w:val="22"/>
          <w:lang w:val="en-US" w:eastAsia="en-US"/>
        </w:rPr>
      </w:pPr>
      <w:proofErr w:type="spellStart"/>
      <w:r>
        <w:rPr>
          <w:rFonts w:ascii="Arial" w:hAnsi="Arial" w:cs="Arial"/>
          <w:color w:val="000000"/>
          <w:sz w:val="22"/>
          <w:szCs w:val="22"/>
          <w:lang w:val="en-US" w:eastAsia="en-US"/>
        </w:rPr>
        <w:t>Markit</w:t>
      </w:r>
      <w:proofErr w:type="spellEnd"/>
      <w:r>
        <w:rPr>
          <w:rFonts w:ascii="Arial" w:hAnsi="Arial" w:cs="Arial"/>
          <w:color w:val="000000"/>
          <w:sz w:val="22"/>
          <w:szCs w:val="22"/>
          <w:lang w:val="en-US" w:eastAsia="en-US"/>
        </w:rPr>
        <w:t xml:space="preserve"> has been working closely with market participants to launch several risk reducing and efficiency enhancing services for FX derivatives. Such services include a central matching pla</w:t>
      </w:r>
      <w:r>
        <w:rPr>
          <w:rFonts w:ascii="Arial" w:hAnsi="Arial" w:cs="Arial"/>
          <w:color w:val="000000"/>
          <w:sz w:val="22"/>
          <w:szCs w:val="22"/>
          <w:lang w:val="en-US" w:eastAsia="en-US"/>
        </w:rPr>
        <w:t>t</w:t>
      </w:r>
      <w:r>
        <w:rPr>
          <w:rFonts w:ascii="Arial" w:hAnsi="Arial" w:cs="Arial"/>
          <w:color w:val="000000"/>
          <w:sz w:val="22"/>
          <w:szCs w:val="22"/>
          <w:lang w:val="en-US" w:eastAsia="en-US"/>
        </w:rPr>
        <w:t>form with connectivity to several CCPs for FX NDFs,</w:t>
      </w:r>
      <w:r>
        <w:rPr>
          <w:rStyle w:val="FootnoteReference"/>
          <w:rFonts w:ascii="Arial" w:hAnsi="Arial"/>
          <w:color w:val="000000"/>
          <w:sz w:val="22"/>
          <w:szCs w:val="22"/>
          <w:lang w:val="en-US" w:eastAsia="en-US"/>
        </w:rPr>
        <w:footnoteReference w:id="7"/>
      </w:r>
      <w:r>
        <w:rPr>
          <w:rFonts w:ascii="Arial" w:hAnsi="Arial" w:cs="Arial"/>
          <w:color w:val="000000"/>
          <w:sz w:val="22"/>
          <w:szCs w:val="22"/>
          <w:lang w:val="en-US" w:eastAsia="en-US"/>
        </w:rPr>
        <w:t xml:space="preserve"> an FX legal confirmation and an FX option electronic exercise service,</w:t>
      </w:r>
      <w:r>
        <w:rPr>
          <w:rStyle w:val="FootnoteReference"/>
          <w:rFonts w:ascii="Arial" w:hAnsi="Arial"/>
          <w:color w:val="000000"/>
          <w:sz w:val="22"/>
          <w:szCs w:val="22"/>
          <w:lang w:val="en-US" w:eastAsia="en-US"/>
        </w:rPr>
        <w:footnoteReference w:id="8"/>
      </w:r>
      <w:r>
        <w:rPr>
          <w:rFonts w:ascii="Arial" w:hAnsi="Arial" w:cs="Arial"/>
          <w:color w:val="000000"/>
          <w:sz w:val="22"/>
          <w:szCs w:val="22"/>
          <w:lang w:val="en-US" w:eastAsia="en-US"/>
        </w:rPr>
        <w:t xml:space="preserve"> as well as an SEF/IDB affirmation/NOE service.  We offer these newly created services in addition to our existing point-to-point FX connectivity services that have been serving these markets for many years.</w:t>
      </w:r>
      <w:r w:rsidRPr="00F94FC2">
        <w:rPr>
          <w:rFonts w:ascii="Arial" w:hAnsi="Arial" w:cs="Arial"/>
          <w:color w:val="000000"/>
          <w:sz w:val="22"/>
          <w:szCs w:val="22"/>
          <w:lang w:val="en-US" w:eastAsia="en-US"/>
        </w:rPr>
        <w:t xml:space="preserve"> </w:t>
      </w:r>
    </w:p>
    <w:p w:rsidR="00437BC1" w:rsidRDefault="00437BC1" w:rsidP="00437BC1">
      <w:pPr>
        <w:jc w:val="both"/>
        <w:rPr>
          <w:rFonts w:ascii="Arial" w:hAnsi="Arial" w:cs="Arial"/>
          <w:color w:val="000000"/>
          <w:sz w:val="22"/>
          <w:szCs w:val="22"/>
          <w:lang w:val="en-US" w:eastAsia="en-US"/>
        </w:rPr>
      </w:pPr>
    </w:p>
    <w:p w:rsidR="00437BC1" w:rsidRDefault="00437BC1" w:rsidP="00437BC1">
      <w:pPr>
        <w:jc w:val="both"/>
        <w:rPr>
          <w:rFonts w:ascii="Arial" w:hAnsi="Arial" w:cstheme="majorHAnsi"/>
          <w:color w:val="000000"/>
          <w:sz w:val="22"/>
          <w:szCs w:val="22"/>
        </w:rPr>
      </w:pPr>
      <w:r w:rsidRPr="000D4A13">
        <w:rPr>
          <w:rFonts w:ascii="Arial" w:hAnsi="Arial" w:cs="Arial"/>
          <w:color w:val="000000"/>
          <w:sz w:val="22"/>
          <w:szCs w:val="22"/>
          <w:lang w:val="en-US" w:eastAsia="en-US"/>
        </w:rPr>
        <w:t xml:space="preserve">Based on our experience </w:t>
      </w:r>
      <w:r>
        <w:rPr>
          <w:rFonts w:ascii="Arial" w:hAnsi="Arial" w:cs="Arial"/>
          <w:color w:val="000000"/>
          <w:sz w:val="22"/>
          <w:szCs w:val="22"/>
          <w:lang w:val="en-US" w:eastAsia="en-US"/>
        </w:rPr>
        <w:t xml:space="preserve">in </w:t>
      </w:r>
      <w:r w:rsidRPr="000D4A13">
        <w:rPr>
          <w:rFonts w:ascii="Arial" w:hAnsi="Arial" w:cs="Arial"/>
          <w:color w:val="000000"/>
          <w:sz w:val="22"/>
          <w:szCs w:val="22"/>
          <w:lang w:val="en-US" w:eastAsia="en-US"/>
        </w:rPr>
        <w:t>supporting the introduction of clearing requirements in various other jurisdictions</w:t>
      </w:r>
      <w:r w:rsidRPr="00556EA2">
        <w:rPr>
          <w:rFonts w:ascii="Arial" w:hAnsi="Arial" w:cs="Arial"/>
          <w:color w:val="000000"/>
          <w:sz w:val="22"/>
          <w:szCs w:val="22"/>
          <w:lang w:val="en-US" w:eastAsia="en-US"/>
        </w:rPr>
        <w:t xml:space="preserve"> </w:t>
      </w:r>
      <w:r>
        <w:rPr>
          <w:rFonts w:ascii="Arial" w:hAnsi="Arial" w:cs="Arial"/>
          <w:color w:val="000000"/>
          <w:sz w:val="22"/>
          <w:szCs w:val="22"/>
          <w:lang w:val="en-US" w:eastAsia="en-US"/>
        </w:rPr>
        <w:t xml:space="preserve">as well as </w:t>
      </w:r>
      <w:r w:rsidRPr="000D4A13">
        <w:rPr>
          <w:rFonts w:ascii="Arial" w:hAnsi="Arial" w:cs="Arial"/>
          <w:color w:val="000000"/>
          <w:sz w:val="22"/>
          <w:szCs w:val="22"/>
          <w:lang w:val="en-US" w:eastAsia="en-US"/>
        </w:rPr>
        <w:t xml:space="preserve">in </w:t>
      </w:r>
      <w:r>
        <w:rPr>
          <w:rFonts w:ascii="Arial" w:hAnsi="Arial" w:cs="Arial"/>
          <w:color w:val="000000"/>
          <w:sz w:val="22"/>
          <w:szCs w:val="22"/>
          <w:lang w:val="en-US" w:eastAsia="en-US"/>
        </w:rPr>
        <w:t xml:space="preserve">building the above FX derivatives specific services </w:t>
      </w:r>
      <w:r w:rsidRPr="000D4A13">
        <w:rPr>
          <w:rFonts w:ascii="Arial" w:hAnsi="Arial" w:cs="Arial"/>
          <w:color w:val="000000"/>
          <w:sz w:val="22"/>
          <w:szCs w:val="22"/>
          <w:lang w:val="en-US" w:eastAsia="en-US"/>
        </w:rPr>
        <w:t xml:space="preserve">please find </w:t>
      </w:r>
      <w:r>
        <w:rPr>
          <w:rFonts w:ascii="Arial" w:hAnsi="Arial" w:cs="Arial"/>
          <w:color w:val="000000"/>
          <w:sz w:val="22"/>
          <w:szCs w:val="22"/>
          <w:lang w:val="en-US" w:eastAsia="en-US"/>
        </w:rPr>
        <w:t xml:space="preserve">below </w:t>
      </w:r>
      <w:r w:rsidRPr="000D4A13">
        <w:rPr>
          <w:rFonts w:ascii="Arial" w:hAnsi="Arial" w:cs="Arial"/>
          <w:color w:val="000000"/>
          <w:sz w:val="22"/>
          <w:szCs w:val="22"/>
          <w:lang w:val="en-US" w:eastAsia="en-US"/>
        </w:rPr>
        <w:t>our responses to ESMA’s questions.</w:t>
      </w:r>
    </w:p>
    <w:permEnd w:id="1873352501"/>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lastRenderedPageBreak/>
        <w:t>The clearing obligation procedure</w:t>
      </w:r>
      <w:bookmarkStart w:id="6" w:name="_Toc390952336"/>
      <w:bookmarkStart w:id="7" w:name="_Toc391310566"/>
      <w:bookmarkStart w:id="8" w:name="_Toc391310591"/>
      <w:bookmarkStart w:id="9" w:name="_Toc391310651"/>
      <w:bookmarkStart w:id="10" w:name="_Toc391313043"/>
      <w:bookmarkEnd w:id="4"/>
      <w:bookmarkEnd w:id="5"/>
      <w:bookmarkEnd w:id="6"/>
      <w:bookmarkEnd w:id="7"/>
      <w:bookmarkEnd w:id="8"/>
      <w:bookmarkEnd w:id="9"/>
      <w:bookmarkEnd w:id="10"/>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CC1C71" w:rsidRDefault="00CC1C71" w:rsidP="00CC1C71">
      <w:permStart w:id="2052850654" w:edGrp="everyone"/>
      <w:r>
        <w:t>TYPE YOUR TEXT HERE</w:t>
      </w:r>
    </w:p>
    <w:permEnd w:id="2052850654"/>
    <w:p w:rsidR="00CC1C71" w:rsidRDefault="00CC1C71" w:rsidP="00CC1C71">
      <w:r>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1" w:name="_Ref392685388"/>
      <w:bookmarkStart w:id="12" w:name="_Toc398140745"/>
      <w:r>
        <w:lastRenderedPageBreak/>
        <w:t>Structure of the non-deliverable forward derivatives classes</w:t>
      </w:r>
      <w:bookmarkEnd w:id="11"/>
      <w:bookmarkEnd w:id="12"/>
    </w:p>
    <w:p w:rsidR="00CC1C71" w:rsidRDefault="00CC1C71" w:rsidP="00CC1C71"/>
    <w:p w:rsidR="00CC1C71" w:rsidRPr="0075124D" w:rsidRDefault="00CC1C71" w:rsidP="00CC1C71">
      <w:pPr>
        <w:pStyle w:val="Heading5"/>
      </w:pPr>
      <w:r w:rsidRPr="0075124D">
        <w:t>Do you consider that the proposed structure for the FX NDF classes enables cou</w:t>
      </w:r>
      <w:r w:rsidRPr="0075124D">
        <w:t>n</w:t>
      </w:r>
      <w:r w:rsidRPr="0075124D">
        <w:t>terparties to identify which contracts are subject to the clearing obligation?</w:t>
      </w:r>
    </w:p>
    <w:p w:rsidR="00CC1C71" w:rsidRDefault="00CC1C71" w:rsidP="00CC1C71"/>
    <w:p w:rsidR="00CC1C71" w:rsidRDefault="00CC1C71" w:rsidP="00CC1C71">
      <w:r>
        <w:t>&lt;ESMA_CO3_QUESTION_2&gt;</w:t>
      </w:r>
    </w:p>
    <w:p w:rsidR="00CC1C71" w:rsidRDefault="00CC1C71" w:rsidP="00CC1C71">
      <w:permStart w:id="148267414" w:edGrp="everyone"/>
      <w:r>
        <w:t>TYPE YOUR TEXT HERE</w:t>
      </w:r>
    </w:p>
    <w:permEnd w:id="148267414"/>
    <w:p w:rsidR="00CC1C71" w:rsidRDefault="00CC1C71" w:rsidP="00CC1C71">
      <w:r>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3" w:name="_Toc389466262"/>
      <w:bookmarkStart w:id="14" w:name="_Toc389496893"/>
      <w:bookmarkStart w:id="15" w:name="_Toc398140746"/>
      <w:r>
        <w:lastRenderedPageBreak/>
        <w:t>Determination of the classes</w:t>
      </w:r>
      <w:r w:rsidRPr="00A84770">
        <w:t xml:space="preserve"> of OTC </w:t>
      </w:r>
      <w:r>
        <w:t>d</w:t>
      </w:r>
      <w:r w:rsidRPr="00A84770">
        <w:t>erivatives to be subject to the clearing obligation</w:t>
      </w:r>
      <w:bookmarkEnd w:id="13"/>
      <w:bookmarkEnd w:id="14"/>
      <w:bookmarkEnd w:id="15"/>
    </w:p>
    <w:p w:rsidR="00CC1C71" w:rsidRDefault="00CC1C71" w:rsidP="00CC1C71"/>
    <w:p w:rsidR="00CC1C71" w:rsidRDefault="00CC1C71" w:rsidP="00CC1C71">
      <w:pPr>
        <w:pStyle w:val="Heading5"/>
      </w:pPr>
      <w:r>
        <w:t>In view of the criteria set in Article 5(4) of EMIR, do you consider that the determ</w:t>
      </w:r>
      <w:r>
        <w:t>i</w:t>
      </w:r>
      <w:r>
        <w:t xml:space="preserve">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437BC1" w:rsidRPr="00ED2E22" w:rsidRDefault="00437BC1" w:rsidP="00437BC1">
      <w:pPr>
        <w:jc w:val="both"/>
        <w:rPr>
          <w:rFonts w:ascii="Arial" w:hAnsi="Arial" w:cs="Arial"/>
          <w:sz w:val="22"/>
          <w:szCs w:val="22"/>
        </w:rPr>
      </w:pPr>
      <w:permStart w:id="271334033" w:edGrp="everyone"/>
      <w:r w:rsidRPr="00ED2E22">
        <w:rPr>
          <w:rFonts w:ascii="Arial" w:hAnsi="Arial" w:cs="Arial"/>
          <w:sz w:val="22"/>
          <w:szCs w:val="22"/>
        </w:rPr>
        <w:t xml:space="preserve">We believe </w:t>
      </w:r>
      <w:r>
        <w:rPr>
          <w:rFonts w:ascii="Arial" w:hAnsi="Arial" w:cs="Arial"/>
          <w:sz w:val="22"/>
          <w:szCs w:val="22"/>
        </w:rPr>
        <w:t xml:space="preserve">that </w:t>
      </w:r>
      <w:r w:rsidRPr="00ED2E22">
        <w:rPr>
          <w:rFonts w:ascii="Arial" w:hAnsi="Arial" w:cs="Arial"/>
          <w:sz w:val="22"/>
          <w:szCs w:val="22"/>
        </w:rPr>
        <w:t xml:space="preserve">the product scope </w:t>
      </w:r>
      <w:r>
        <w:rPr>
          <w:rFonts w:ascii="Arial" w:hAnsi="Arial" w:cs="Arial"/>
          <w:sz w:val="22"/>
          <w:szCs w:val="22"/>
        </w:rPr>
        <w:t xml:space="preserve">of FX NDFs </w:t>
      </w:r>
      <w:r w:rsidRPr="00ED2E22">
        <w:rPr>
          <w:rFonts w:ascii="Arial" w:hAnsi="Arial" w:cs="Arial"/>
          <w:sz w:val="22"/>
          <w:szCs w:val="22"/>
        </w:rPr>
        <w:t xml:space="preserve">to be subject to the clearing obligation </w:t>
      </w:r>
      <w:r>
        <w:rPr>
          <w:rFonts w:ascii="Arial" w:hAnsi="Arial" w:cs="Arial"/>
          <w:sz w:val="22"/>
          <w:szCs w:val="22"/>
        </w:rPr>
        <w:t xml:space="preserve">as </w:t>
      </w:r>
      <w:r w:rsidRPr="00ED2E22">
        <w:rPr>
          <w:rFonts w:ascii="Arial" w:hAnsi="Arial" w:cs="Arial"/>
          <w:sz w:val="22"/>
          <w:szCs w:val="22"/>
        </w:rPr>
        <w:t>pr</w:t>
      </w:r>
      <w:r w:rsidRPr="00ED2E22">
        <w:rPr>
          <w:rFonts w:ascii="Arial" w:hAnsi="Arial" w:cs="Arial"/>
          <w:sz w:val="22"/>
          <w:szCs w:val="22"/>
        </w:rPr>
        <w:t>o</w:t>
      </w:r>
      <w:r w:rsidRPr="00ED2E22">
        <w:rPr>
          <w:rFonts w:ascii="Arial" w:hAnsi="Arial" w:cs="Arial"/>
          <w:sz w:val="22"/>
          <w:szCs w:val="22"/>
        </w:rPr>
        <w:t xml:space="preserve">posed </w:t>
      </w:r>
      <w:r>
        <w:rPr>
          <w:rFonts w:ascii="Arial" w:hAnsi="Arial" w:cs="Arial"/>
          <w:sz w:val="22"/>
          <w:szCs w:val="22"/>
        </w:rPr>
        <w:t>by ESMA is</w:t>
      </w:r>
      <w:r w:rsidRPr="00ED2E22">
        <w:rPr>
          <w:rFonts w:ascii="Arial" w:hAnsi="Arial" w:cs="Arial"/>
          <w:sz w:val="22"/>
          <w:szCs w:val="22"/>
        </w:rPr>
        <w:t xml:space="preserve"> sensible and </w:t>
      </w:r>
      <w:r>
        <w:rPr>
          <w:rFonts w:ascii="Arial" w:hAnsi="Arial" w:cs="Arial"/>
          <w:sz w:val="22"/>
          <w:szCs w:val="22"/>
        </w:rPr>
        <w:t xml:space="preserve">would </w:t>
      </w:r>
      <w:r w:rsidRPr="00ED2E22">
        <w:rPr>
          <w:rFonts w:ascii="Arial" w:hAnsi="Arial" w:cs="Arial"/>
          <w:sz w:val="22"/>
          <w:szCs w:val="22"/>
        </w:rPr>
        <w:t xml:space="preserve">appropriately address the objective of </w:t>
      </w:r>
      <w:r>
        <w:rPr>
          <w:rFonts w:ascii="Arial" w:hAnsi="Arial" w:cs="Arial"/>
          <w:sz w:val="22"/>
          <w:szCs w:val="22"/>
        </w:rPr>
        <w:t>reducing</w:t>
      </w:r>
      <w:r w:rsidRPr="00ED2E22">
        <w:rPr>
          <w:rFonts w:ascii="Arial" w:hAnsi="Arial" w:cs="Arial"/>
          <w:sz w:val="22"/>
          <w:szCs w:val="22"/>
        </w:rPr>
        <w:t xml:space="preserve"> systemic risk.  However, we </w:t>
      </w:r>
      <w:r>
        <w:rPr>
          <w:rFonts w:ascii="Arial" w:hAnsi="Arial" w:cs="Arial"/>
          <w:sz w:val="22"/>
          <w:szCs w:val="22"/>
        </w:rPr>
        <w:t xml:space="preserve">also </w:t>
      </w:r>
      <w:r w:rsidRPr="00ED2E22">
        <w:rPr>
          <w:rFonts w:ascii="Arial" w:hAnsi="Arial" w:cs="Arial"/>
          <w:sz w:val="22"/>
          <w:szCs w:val="22"/>
        </w:rPr>
        <w:t xml:space="preserve">believe </w:t>
      </w:r>
      <w:r>
        <w:rPr>
          <w:rFonts w:ascii="Arial" w:hAnsi="Arial" w:cs="Arial"/>
          <w:sz w:val="22"/>
          <w:szCs w:val="22"/>
        </w:rPr>
        <w:t xml:space="preserve">that the </w:t>
      </w:r>
      <w:r w:rsidRPr="00ED2E22">
        <w:rPr>
          <w:rFonts w:ascii="Arial" w:hAnsi="Arial" w:cs="Arial"/>
          <w:sz w:val="22"/>
          <w:szCs w:val="22"/>
        </w:rPr>
        <w:t xml:space="preserve">international consistency of </w:t>
      </w:r>
      <w:r>
        <w:rPr>
          <w:rFonts w:ascii="Arial" w:hAnsi="Arial" w:cs="Arial"/>
          <w:sz w:val="22"/>
          <w:szCs w:val="22"/>
        </w:rPr>
        <w:t>clearing mandates</w:t>
      </w:r>
      <w:r w:rsidRPr="00ED2E22">
        <w:rPr>
          <w:rFonts w:ascii="Arial" w:hAnsi="Arial" w:cs="Arial"/>
          <w:sz w:val="22"/>
          <w:szCs w:val="22"/>
        </w:rPr>
        <w:t xml:space="preserve"> is a key ingredient to allow for a smooth implementation of the clearing requirement</w:t>
      </w:r>
      <w:r>
        <w:rPr>
          <w:rFonts w:ascii="Arial" w:hAnsi="Arial" w:cs="Arial"/>
          <w:sz w:val="22"/>
          <w:szCs w:val="22"/>
        </w:rPr>
        <w:t xml:space="preserve"> in the various juri</w:t>
      </w:r>
      <w:r>
        <w:rPr>
          <w:rFonts w:ascii="Arial" w:hAnsi="Arial" w:cs="Arial"/>
          <w:sz w:val="22"/>
          <w:szCs w:val="22"/>
        </w:rPr>
        <w:t>s</w:t>
      </w:r>
      <w:r>
        <w:rPr>
          <w:rFonts w:ascii="Arial" w:hAnsi="Arial" w:cs="Arial"/>
          <w:sz w:val="22"/>
          <w:szCs w:val="22"/>
        </w:rPr>
        <w:t>dictions. It</w:t>
      </w:r>
      <w:r w:rsidRPr="00ED2E22">
        <w:rPr>
          <w:rFonts w:ascii="Arial" w:hAnsi="Arial" w:cs="Arial"/>
          <w:sz w:val="22"/>
          <w:szCs w:val="22"/>
        </w:rPr>
        <w:t xml:space="preserve"> will </w:t>
      </w:r>
      <w:r>
        <w:rPr>
          <w:rFonts w:ascii="Arial" w:hAnsi="Arial" w:cs="Arial"/>
          <w:sz w:val="22"/>
          <w:szCs w:val="22"/>
        </w:rPr>
        <w:t xml:space="preserve">therefore </w:t>
      </w:r>
      <w:r w:rsidRPr="00ED2E22">
        <w:rPr>
          <w:rFonts w:ascii="Arial" w:hAnsi="Arial" w:cs="Arial"/>
          <w:sz w:val="22"/>
          <w:szCs w:val="22"/>
        </w:rPr>
        <w:t>be important for ESMA and the CFTC to harmonize the scope of their FX NDF clearing proposals</w:t>
      </w:r>
      <w:r>
        <w:rPr>
          <w:rFonts w:ascii="Arial" w:hAnsi="Arial" w:cs="Arial"/>
          <w:sz w:val="22"/>
          <w:szCs w:val="22"/>
        </w:rPr>
        <w:t>.</w:t>
      </w:r>
      <w:r w:rsidRPr="00ED2E22">
        <w:rPr>
          <w:rFonts w:ascii="Arial" w:hAnsi="Arial" w:cs="Arial"/>
          <w:sz w:val="22"/>
          <w:szCs w:val="22"/>
        </w:rPr>
        <w:t xml:space="preserve"> </w:t>
      </w:r>
    </w:p>
    <w:p w:rsidR="00437BC1" w:rsidRPr="00ED2E22" w:rsidRDefault="00437BC1" w:rsidP="00437BC1">
      <w:pPr>
        <w:jc w:val="both"/>
        <w:rPr>
          <w:rFonts w:ascii="Arial" w:hAnsi="Arial" w:cs="Arial"/>
          <w:sz w:val="22"/>
          <w:szCs w:val="22"/>
        </w:rPr>
      </w:pPr>
    </w:p>
    <w:p w:rsidR="00437BC1" w:rsidRPr="00B849BD" w:rsidRDefault="00437BC1" w:rsidP="00437BC1">
      <w:pPr>
        <w:jc w:val="both"/>
        <w:rPr>
          <w:rFonts w:ascii="Arial" w:hAnsi="Arial" w:cs="Arial"/>
          <w:color w:val="000000"/>
          <w:sz w:val="22"/>
          <w:szCs w:val="22"/>
          <w:lang w:eastAsia="en-US"/>
        </w:rPr>
      </w:pPr>
      <w:r>
        <w:rPr>
          <w:rFonts w:ascii="Arial" w:hAnsi="Arial" w:cs="Arial"/>
          <w:sz w:val="22"/>
          <w:szCs w:val="22"/>
        </w:rPr>
        <w:t>The CFTC’s Global Markets Advisory Committee recently discussed issues related to the clea</w:t>
      </w:r>
      <w:r>
        <w:rPr>
          <w:rFonts w:ascii="Arial" w:hAnsi="Arial" w:cs="Arial"/>
          <w:sz w:val="22"/>
          <w:szCs w:val="22"/>
        </w:rPr>
        <w:t>r</w:t>
      </w:r>
      <w:r>
        <w:rPr>
          <w:rFonts w:ascii="Arial" w:hAnsi="Arial" w:cs="Arial"/>
          <w:sz w:val="22"/>
          <w:szCs w:val="22"/>
        </w:rPr>
        <w:t>ing of FX NDFs.</w:t>
      </w:r>
      <w:r>
        <w:rPr>
          <w:rStyle w:val="FootnoteReference"/>
          <w:rFonts w:ascii="Arial" w:hAnsi="Arial"/>
          <w:sz w:val="22"/>
          <w:szCs w:val="22"/>
        </w:rPr>
        <w:footnoteReference w:id="9"/>
      </w:r>
      <w:r>
        <w:rPr>
          <w:rFonts w:ascii="Arial" w:hAnsi="Arial" w:cs="Arial"/>
          <w:sz w:val="22"/>
          <w:szCs w:val="22"/>
        </w:rPr>
        <w:t xml:space="preserve">  </w:t>
      </w:r>
      <w:proofErr w:type="gramStart"/>
      <w:r>
        <w:rPr>
          <w:rFonts w:ascii="Arial" w:hAnsi="Arial" w:cs="Arial"/>
          <w:sz w:val="22"/>
          <w:szCs w:val="22"/>
        </w:rPr>
        <w:t>Although</w:t>
      </w:r>
      <w:proofErr w:type="gramEnd"/>
      <w:r>
        <w:rPr>
          <w:rFonts w:ascii="Arial" w:hAnsi="Arial" w:cs="Arial"/>
          <w:sz w:val="22"/>
          <w:szCs w:val="22"/>
        </w:rPr>
        <w:t xml:space="preserve"> the publication of actual proposals is expected only around the end of this year, the CFTC stated that it was considering limiting its mandatory clearing determination to the most liquid FX NDF currency pairs.</w:t>
      </w:r>
      <w:r>
        <w:rPr>
          <w:rStyle w:val="FootnoteReference"/>
          <w:rFonts w:ascii="Arial" w:hAnsi="Arial"/>
          <w:sz w:val="22"/>
          <w:szCs w:val="22"/>
        </w:rPr>
        <w:footnoteReference w:id="10"/>
      </w:r>
      <w:r>
        <w:rPr>
          <w:rFonts w:ascii="Arial" w:hAnsi="Arial" w:cs="Arial"/>
          <w:sz w:val="22"/>
          <w:szCs w:val="22"/>
        </w:rPr>
        <w:t xml:space="preserve">  </w:t>
      </w:r>
      <w:r>
        <w:rPr>
          <w:rFonts w:ascii="Arial" w:hAnsi="Arial" w:cs="Arial"/>
          <w:color w:val="000000"/>
          <w:sz w:val="22"/>
          <w:szCs w:val="22"/>
          <w:lang w:eastAsia="en-US"/>
        </w:rPr>
        <w:t>In the interest of “strengthening international regul</w:t>
      </w:r>
      <w:r>
        <w:rPr>
          <w:rFonts w:ascii="Arial" w:hAnsi="Arial" w:cs="Arial"/>
          <w:color w:val="000000"/>
          <w:sz w:val="22"/>
          <w:szCs w:val="22"/>
          <w:lang w:eastAsia="en-US"/>
        </w:rPr>
        <w:t>a</w:t>
      </w:r>
      <w:r>
        <w:rPr>
          <w:rFonts w:ascii="Arial" w:hAnsi="Arial" w:cs="Arial"/>
          <w:color w:val="000000"/>
          <w:sz w:val="22"/>
          <w:szCs w:val="22"/>
          <w:lang w:eastAsia="en-US"/>
        </w:rPr>
        <w:t>tory convergence”</w:t>
      </w:r>
      <w:r>
        <w:rPr>
          <w:rStyle w:val="FootnoteReference"/>
          <w:rFonts w:ascii="Arial" w:hAnsi="Arial"/>
          <w:color w:val="000000"/>
          <w:sz w:val="22"/>
          <w:szCs w:val="22"/>
          <w:lang w:eastAsia="en-US"/>
        </w:rPr>
        <w:footnoteReference w:id="11"/>
      </w:r>
      <w:r>
        <w:rPr>
          <w:rFonts w:ascii="Arial" w:hAnsi="Arial" w:cs="Arial"/>
          <w:color w:val="000000"/>
          <w:sz w:val="22"/>
          <w:szCs w:val="22"/>
          <w:lang w:eastAsia="en-US"/>
        </w:rPr>
        <w:t xml:space="preserve"> and avoid imposing unnecessary burden on market participants we encou</w:t>
      </w:r>
      <w:r>
        <w:rPr>
          <w:rFonts w:ascii="Arial" w:hAnsi="Arial" w:cs="Arial"/>
          <w:color w:val="000000"/>
          <w:sz w:val="22"/>
          <w:szCs w:val="22"/>
          <w:lang w:eastAsia="en-US"/>
        </w:rPr>
        <w:t>r</w:t>
      </w:r>
      <w:r>
        <w:rPr>
          <w:rFonts w:ascii="Arial" w:hAnsi="Arial" w:cs="Arial"/>
          <w:color w:val="000000"/>
          <w:sz w:val="22"/>
          <w:szCs w:val="22"/>
          <w:lang w:eastAsia="en-US"/>
        </w:rPr>
        <w:t>age ESMA to work closely with the CFTC to agree on a harmonized set of FX NDF currency pairings that shall be exposed to the clearing obligation.</w:t>
      </w:r>
    </w:p>
    <w:permEnd w:id="271334033"/>
    <w:p w:rsidR="00CC1C71" w:rsidRDefault="00CC1C71" w:rsidP="00CC1C71">
      <w:r>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CC1C71" w:rsidRDefault="00CC1C71" w:rsidP="00CC1C71">
      <w:permStart w:id="836706680" w:edGrp="everyone"/>
      <w:r>
        <w:t>TYPE YOUR TEXT HERE</w:t>
      </w:r>
    </w:p>
    <w:permEnd w:id="836706680"/>
    <w:p w:rsidR="00CC1C71" w:rsidRDefault="00CC1C71" w:rsidP="00CC1C71">
      <w:r>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6" w:name="_Toc398140747"/>
      <w:r w:rsidRPr="00412C4C">
        <w:lastRenderedPageBreak/>
        <w:t xml:space="preserve">Determination of the </w:t>
      </w:r>
      <w:r>
        <w:t xml:space="preserve">dates on which the obligation applies and </w:t>
      </w:r>
      <w:r w:rsidRPr="00412C4C">
        <w:t>the categories of cou</w:t>
      </w:r>
      <w:r w:rsidRPr="00412C4C">
        <w:t>n</w:t>
      </w:r>
      <w:r w:rsidRPr="00412C4C">
        <w:t>terparties</w:t>
      </w:r>
      <w:bookmarkEnd w:id="16"/>
    </w:p>
    <w:p w:rsidR="00CC1C71" w:rsidRDefault="00CC1C71" w:rsidP="00CC1C71"/>
    <w:p w:rsidR="00CC1C71" w:rsidRPr="00284213" w:rsidRDefault="00CC1C71" w:rsidP="00CC1C71">
      <w:pPr>
        <w:pStyle w:val="Heading5"/>
      </w:pPr>
      <w:r>
        <w:t xml:space="preserve"> Do you have any comment on the analysis presented in Section </w:t>
      </w:r>
      <w:r>
        <w:fldChar w:fldCharType="begin"/>
      </w:r>
      <w:r>
        <w:instrText xml:space="preserve"> REF _Ref392684359 \r \h </w:instrText>
      </w:r>
      <w:r>
        <w:fldChar w:fldCharType="separate"/>
      </w:r>
      <w:r>
        <w:t>4.1</w:t>
      </w:r>
      <w:r>
        <w:fldChar w:fldCharType="end"/>
      </w:r>
      <w:r>
        <w:t>?</w:t>
      </w:r>
    </w:p>
    <w:p w:rsidR="00CC1C71" w:rsidRDefault="00CC1C71" w:rsidP="00CC1C71"/>
    <w:p w:rsidR="00CC1C71" w:rsidRDefault="00CC1C71" w:rsidP="00CC1C71">
      <w:r>
        <w:t>&lt;ESMA_CO3_QUESTION_5&gt;</w:t>
      </w:r>
    </w:p>
    <w:p w:rsidR="00CC1C71" w:rsidRDefault="00CC1C71" w:rsidP="00CC1C71">
      <w:permStart w:id="462126876" w:edGrp="everyone"/>
      <w:r>
        <w:t>TYPE YOUR TEXT HERE</w:t>
      </w:r>
    </w:p>
    <w:permEnd w:id="462126876"/>
    <w:p w:rsidR="00CC1C71" w:rsidRDefault="00CC1C71" w:rsidP="00CC1C71">
      <w:r>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w:t>
      </w:r>
      <w:r>
        <w:t>n</w:t>
      </w:r>
      <w:r>
        <w:t>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CC1C71" w:rsidRDefault="00CC1C71" w:rsidP="00CC1C71">
      <w:permStart w:id="2139571921" w:edGrp="everyone"/>
      <w:r>
        <w:t>TYPE YOUR TEXT HERE</w:t>
      </w:r>
    </w:p>
    <w:permEnd w:id="2139571921"/>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w:t>
      </w:r>
      <w:r w:rsidRPr="0067104A">
        <w:t>a</w:t>
      </w:r>
      <w:r w:rsidRPr="0067104A">
        <w:t>tion of the clearing obligation? Please explain why and possible alternatives.</w:t>
      </w:r>
      <w:bookmarkStart w:id="17" w:name="_Toc392684952"/>
      <w:bookmarkStart w:id="18" w:name="_Toc390952341"/>
      <w:bookmarkStart w:id="19" w:name="_Toc391310571"/>
      <w:bookmarkStart w:id="20" w:name="_Toc391310596"/>
      <w:bookmarkStart w:id="21" w:name="_Toc391310655"/>
      <w:bookmarkStart w:id="22" w:name="_Toc391313047"/>
      <w:bookmarkStart w:id="23" w:name="_Toc390262886"/>
      <w:bookmarkStart w:id="24" w:name="_Toc390262889"/>
      <w:bookmarkStart w:id="25" w:name="_Toc390262891"/>
      <w:bookmarkStart w:id="26" w:name="_Toc390262899"/>
      <w:bookmarkEnd w:id="17"/>
      <w:bookmarkEnd w:id="18"/>
      <w:bookmarkEnd w:id="19"/>
      <w:bookmarkEnd w:id="20"/>
      <w:bookmarkEnd w:id="21"/>
      <w:bookmarkEnd w:id="22"/>
      <w:bookmarkEnd w:id="23"/>
      <w:bookmarkEnd w:id="24"/>
      <w:bookmarkEnd w:id="25"/>
      <w:bookmarkEnd w:id="26"/>
    </w:p>
    <w:p w:rsidR="00CC1C71" w:rsidRDefault="00CC1C71" w:rsidP="00CC1C71"/>
    <w:p w:rsidR="00CC1C71" w:rsidRDefault="00CC1C71" w:rsidP="00CC1C71">
      <w:r>
        <w:t>&lt;ESMA_CO3_QUESTION_7&gt;</w:t>
      </w:r>
    </w:p>
    <w:p w:rsidR="00437BC1" w:rsidRDefault="00437BC1" w:rsidP="00437BC1">
      <w:pPr>
        <w:jc w:val="both"/>
        <w:rPr>
          <w:rFonts w:ascii="Arial" w:hAnsi="Arial" w:cs="Arial"/>
          <w:sz w:val="18"/>
          <w:szCs w:val="18"/>
          <w:lang w:val="en-US"/>
        </w:rPr>
      </w:pPr>
      <w:permStart w:id="1665086469" w:edGrp="everyone"/>
      <w:r w:rsidRPr="001E7D3F">
        <w:rPr>
          <w:rFonts w:ascii="Arial" w:hAnsi="Arial" w:cs="Arial"/>
          <w:sz w:val="22"/>
          <w:szCs w:val="22"/>
          <w:lang w:val="en-US"/>
        </w:rPr>
        <w:t xml:space="preserve">ESMA </w:t>
      </w:r>
      <w:r>
        <w:rPr>
          <w:rFonts w:ascii="Arial" w:hAnsi="Arial" w:cs="Arial"/>
          <w:sz w:val="22"/>
          <w:szCs w:val="22"/>
          <w:lang w:val="en-US"/>
        </w:rPr>
        <w:t xml:space="preserve">highlights </w:t>
      </w:r>
      <w:r w:rsidRPr="001E7D3F">
        <w:rPr>
          <w:rFonts w:ascii="Arial" w:hAnsi="Arial" w:cs="Arial"/>
          <w:sz w:val="22"/>
          <w:szCs w:val="22"/>
          <w:lang w:val="en-US"/>
        </w:rPr>
        <w:t>in the CP that matching providers are util</w:t>
      </w:r>
      <w:r>
        <w:rPr>
          <w:rFonts w:ascii="Arial" w:hAnsi="Arial" w:cs="Arial"/>
          <w:sz w:val="22"/>
          <w:szCs w:val="22"/>
          <w:lang w:val="en-US"/>
        </w:rPr>
        <w:t>ized for electronic affirmation of FX NDFs. Specifically, it states that</w:t>
      </w:r>
      <w:r w:rsidRPr="001E7D3F">
        <w:rPr>
          <w:rFonts w:ascii="Arial" w:hAnsi="Arial" w:cs="Arial"/>
          <w:sz w:val="22"/>
          <w:szCs w:val="22"/>
          <w:lang w:val="en-US"/>
        </w:rPr>
        <w:t xml:space="preserve"> “</w:t>
      </w:r>
      <w:r>
        <w:rPr>
          <w:rFonts w:ascii="Arial" w:hAnsi="Arial" w:cs="Arial"/>
          <w:sz w:val="22"/>
          <w:szCs w:val="22"/>
          <w:lang w:val="en-US"/>
        </w:rPr>
        <w:t>e</w:t>
      </w:r>
      <w:r w:rsidRPr="001E7D3F">
        <w:rPr>
          <w:rFonts w:ascii="Arial" w:hAnsi="Arial" w:cs="Arial"/>
          <w:sz w:val="22"/>
          <w:szCs w:val="22"/>
          <w:lang w:val="en-US"/>
        </w:rPr>
        <w:t>lectronic affirmation is performed upstream to the CCP by matching providers</w:t>
      </w:r>
      <w:r>
        <w:rPr>
          <w:rFonts w:ascii="Arial" w:hAnsi="Arial" w:cs="Arial"/>
          <w:sz w:val="22"/>
          <w:szCs w:val="22"/>
          <w:lang w:val="en-US"/>
        </w:rPr>
        <w:t>” and that “t</w:t>
      </w:r>
      <w:r w:rsidRPr="001E7D3F">
        <w:rPr>
          <w:rFonts w:ascii="Arial" w:hAnsi="Arial" w:cs="Arial"/>
          <w:sz w:val="22"/>
          <w:szCs w:val="22"/>
          <w:lang w:val="en-US"/>
        </w:rPr>
        <w:t>rades executed on platform are currently received via the matc</w:t>
      </w:r>
      <w:r w:rsidRPr="001E7D3F">
        <w:rPr>
          <w:rFonts w:ascii="Arial" w:hAnsi="Arial" w:cs="Arial"/>
          <w:sz w:val="22"/>
          <w:szCs w:val="22"/>
          <w:lang w:val="en-US"/>
        </w:rPr>
        <w:t>h</w:t>
      </w:r>
      <w:r w:rsidRPr="001E7D3F">
        <w:rPr>
          <w:rFonts w:ascii="Arial" w:hAnsi="Arial" w:cs="Arial"/>
          <w:sz w:val="22"/>
          <w:szCs w:val="22"/>
          <w:lang w:val="en-US"/>
        </w:rPr>
        <w:t xml:space="preserve">ing provider </w:t>
      </w:r>
      <w:r>
        <w:rPr>
          <w:rFonts w:ascii="Arial" w:hAnsi="Arial" w:cs="Arial"/>
          <w:sz w:val="22"/>
          <w:szCs w:val="22"/>
          <w:lang w:val="en-US"/>
        </w:rPr>
        <w:t>…</w:t>
      </w:r>
      <w:proofErr w:type="gramStart"/>
      <w:r w:rsidRPr="001E7D3F">
        <w:rPr>
          <w:rFonts w:ascii="Arial" w:hAnsi="Arial" w:cs="Arial"/>
          <w:sz w:val="22"/>
          <w:szCs w:val="22"/>
          <w:lang w:val="en-US"/>
        </w:rPr>
        <w:t>”</w:t>
      </w:r>
      <w:r>
        <w:rPr>
          <w:rFonts w:ascii="Arial" w:hAnsi="Arial" w:cs="Arial"/>
          <w:sz w:val="22"/>
          <w:szCs w:val="22"/>
          <w:lang w:val="en-US"/>
        </w:rPr>
        <w:t>.</w:t>
      </w:r>
      <w:proofErr w:type="gramEnd"/>
      <w:r w:rsidRPr="001E7D3F">
        <w:rPr>
          <w:rStyle w:val="FootnoteReference"/>
          <w:rFonts w:ascii="Arial" w:hAnsi="Arial"/>
          <w:sz w:val="22"/>
          <w:szCs w:val="22"/>
        </w:rPr>
        <w:t xml:space="preserve"> </w:t>
      </w:r>
      <w:r>
        <w:rPr>
          <w:rStyle w:val="FootnoteReference"/>
          <w:rFonts w:ascii="Arial" w:hAnsi="Arial"/>
          <w:sz w:val="22"/>
          <w:szCs w:val="22"/>
        </w:rPr>
        <w:footnoteReference w:id="12"/>
      </w:r>
      <w:r w:rsidRPr="00ED4FDC">
        <w:rPr>
          <w:rFonts w:ascii="Arial" w:hAnsi="Arial" w:cs="Arial"/>
          <w:sz w:val="18"/>
          <w:szCs w:val="18"/>
          <w:lang w:val="en-US"/>
        </w:rPr>
        <w:t xml:space="preserve">  </w:t>
      </w:r>
    </w:p>
    <w:p w:rsidR="00437BC1" w:rsidRDefault="00437BC1" w:rsidP="00437BC1">
      <w:pPr>
        <w:jc w:val="both"/>
        <w:rPr>
          <w:rFonts w:ascii="Arial" w:hAnsi="Arial" w:cs="Arial"/>
          <w:sz w:val="18"/>
          <w:szCs w:val="18"/>
          <w:lang w:val="en-US"/>
        </w:rPr>
      </w:pPr>
    </w:p>
    <w:p w:rsidR="00437BC1" w:rsidRPr="00804C5C" w:rsidRDefault="00437BC1" w:rsidP="00437BC1">
      <w:pPr>
        <w:jc w:val="both"/>
        <w:rPr>
          <w:rFonts w:ascii="Arial" w:hAnsi="Arial" w:cs="Arial"/>
          <w:sz w:val="22"/>
          <w:szCs w:val="22"/>
        </w:rPr>
      </w:pPr>
      <w:r w:rsidRPr="009406BB">
        <w:rPr>
          <w:rFonts w:ascii="Arial" w:hAnsi="Arial" w:cs="Arial"/>
          <w:sz w:val="22"/>
          <w:szCs w:val="22"/>
        </w:rPr>
        <w:t>To enable a “smooth implementation” of the clearing obligation in Europe and to ensure that ESMA’s analysis of the criteria underlying the clearing determination remains valid</w:t>
      </w:r>
      <w:r>
        <w:rPr>
          <w:rFonts w:ascii="Arial" w:hAnsi="Arial" w:cs="Arial"/>
          <w:sz w:val="22"/>
          <w:szCs w:val="22"/>
        </w:rPr>
        <w:t>,</w:t>
      </w:r>
      <w:r w:rsidRPr="009406BB">
        <w:rPr>
          <w:rFonts w:ascii="Arial" w:hAnsi="Arial" w:cs="Arial"/>
          <w:sz w:val="22"/>
          <w:szCs w:val="22"/>
        </w:rPr>
        <w:t xml:space="preserve"> market participants must be able to continue to use established connectivity to CCPs once the clearing obligation is implemented.</w:t>
      </w:r>
      <w:r w:rsidRPr="009406BB">
        <w:rPr>
          <w:rStyle w:val="FootnoteReference"/>
          <w:rFonts w:ascii="Arial" w:hAnsi="Arial" w:cs="Arial"/>
          <w:color w:val="000000"/>
          <w:sz w:val="22"/>
          <w:szCs w:val="22"/>
          <w:lang w:eastAsia="en-US"/>
        </w:rPr>
        <w:t xml:space="preserve"> </w:t>
      </w:r>
      <w:r w:rsidRPr="009406BB">
        <w:rPr>
          <w:rStyle w:val="FootnoteReference"/>
          <w:rFonts w:ascii="Arial" w:hAnsi="Arial" w:cs="Arial"/>
          <w:color w:val="000000"/>
          <w:sz w:val="22"/>
          <w:szCs w:val="22"/>
          <w:lang w:eastAsia="en-US"/>
        </w:rPr>
        <w:footnoteReference w:id="13"/>
      </w:r>
      <w:r w:rsidRPr="009406BB">
        <w:rPr>
          <w:rFonts w:ascii="Arial" w:hAnsi="Arial" w:cs="Arial"/>
          <w:sz w:val="22"/>
          <w:szCs w:val="22"/>
        </w:rPr>
        <w:t xml:space="preserve"> </w:t>
      </w:r>
      <w:r>
        <w:rPr>
          <w:rFonts w:ascii="Arial" w:hAnsi="Arial" w:cs="Arial"/>
          <w:sz w:val="22"/>
          <w:szCs w:val="22"/>
        </w:rPr>
        <w:t>Although there has been discussion regarding the “access of Tra</w:t>
      </w:r>
      <w:r>
        <w:rPr>
          <w:rFonts w:ascii="Arial" w:hAnsi="Arial" w:cs="Arial"/>
          <w:sz w:val="22"/>
          <w:szCs w:val="22"/>
        </w:rPr>
        <w:t>d</w:t>
      </w:r>
      <w:r>
        <w:rPr>
          <w:rFonts w:ascii="Arial" w:hAnsi="Arial" w:cs="Arial"/>
          <w:sz w:val="22"/>
          <w:szCs w:val="22"/>
        </w:rPr>
        <w:t xml:space="preserve">ing Venues to CCPs” </w:t>
      </w:r>
      <w:r w:rsidRPr="009406BB">
        <w:rPr>
          <w:rFonts w:ascii="Arial" w:hAnsi="Arial" w:cs="Arial"/>
          <w:sz w:val="22"/>
          <w:szCs w:val="22"/>
        </w:rPr>
        <w:t xml:space="preserve">neither Article 35 of </w:t>
      </w:r>
      <w:proofErr w:type="spellStart"/>
      <w:r w:rsidRPr="009406BB">
        <w:rPr>
          <w:rFonts w:ascii="Arial" w:hAnsi="Arial" w:cs="Arial"/>
          <w:sz w:val="22"/>
          <w:szCs w:val="22"/>
        </w:rPr>
        <w:t>MiFIR</w:t>
      </w:r>
      <w:proofErr w:type="spellEnd"/>
      <w:r w:rsidRPr="009406BB">
        <w:rPr>
          <w:rFonts w:ascii="Arial" w:hAnsi="Arial" w:cs="Arial"/>
          <w:sz w:val="22"/>
          <w:szCs w:val="22"/>
        </w:rPr>
        <w:t xml:space="preserve"> nor ESMA’s related DP acknowledg</w:t>
      </w:r>
      <w:r>
        <w:rPr>
          <w:rFonts w:ascii="Arial" w:hAnsi="Arial" w:cs="Arial"/>
          <w:sz w:val="22"/>
          <w:szCs w:val="22"/>
        </w:rPr>
        <w:t>ed</w:t>
      </w:r>
      <w:r w:rsidRPr="009406BB">
        <w:rPr>
          <w:rFonts w:ascii="Arial" w:hAnsi="Arial" w:cs="Arial"/>
          <w:sz w:val="22"/>
          <w:szCs w:val="22"/>
        </w:rPr>
        <w:t xml:space="preserve"> the vital role of third party </w:t>
      </w:r>
      <w:r>
        <w:rPr>
          <w:rFonts w:ascii="Arial" w:hAnsi="Arial" w:cs="Arial"/>
          <w:sz w:val="22"/>
          <w:szCs w:val="22"/>
        </w:rPr>
        <w:t xml:space="preserve">matching and </w:t>
      </w:r>
      <w:r w:rsidRPr="009406BB">
        <w:rPr>
          <w:rFonts w:ascii="Arial" w:hAnsi="Arial" w:cs="Arial"/>
          <w:sz w:val="22"/>
          <w:szCs w:val="22"/>
        </w:rPr>
        <w:t>connectivity providers</w:t>
      </w:r>
      <w:r>
        <w:rPr>
          <w:rFonts w:ascii="Arial" w:hAnsi="Arial" w:cs="Arial"/>
          <w:sz w:val="22"/>
          <w:szCs w:val="22"/>
        </w:rPr>
        <w:t>.</w:t>
      </w:r>
      <w:r w:rsidRPr="009406BB">
        <w:rPr>
          <w:rFonts w:ascii="Arial" w:hAnsi="Arial" w:cs="Arial"/>
          <w:sz w:val="22"/>
          <w:szCs w:val="22"/>
        </w:rPr>
        <w:t xml:space="preserve"> We believe that failure to recognize the role of </w:t>
      </w:r>
      <w:r>
        <w:rPr>
          <w:rFonts w:ascii="Arial" w:hAnsi="Arial" w:cs="Arial"/>
          <w:sz w:val="22"/>
          <w:szCs w:val="22"/>
        </w:rPr>
        <w:t xml:space="preserve">such </w:t>
      </w:r>
      <w:r w:rsidRPr="009406BB">
        <w:rPr>
          <w:rFonts w:ascii="Arial" w:hAnsi="Arial" w:cs="Arial"/>
          <w:sz w:val="22"/>
          <w:szCs w:val="22"/>
        </w:rPr>
        <w:t>third party providers in ESMA’s implementing measures would increase the risk of CCPs abusing their market power by potentially refusing access to third parties that want co</w:t>
      </w:r>
      <w:r w:rsidRPr="009406BB">
        <w:rPr>
          <w:rFonts w:ascii="Arial" w:hAnsi="Arial" w:cs="Arial"/>
          <w:sz w:val="22"/>
          <w:szCs w:val="22"/>
        </w:rPr>
        <w:t>n</w:t>
      </w:r>
      <w:r w:rsidRPr="009406BB">
        <w:rPr>
          <w:rFonts w:ascii="Arial" w:hAnsi="Arial" w:cs="Arial"/>
          <w:sz w:val="22"/>
          <w:szCs w:val="22"/>
        </w:rPr>
        <w:t>nect to them on behalf of counterparties and/or TVs. This risk will be particularly pronounced where CCPs operate their own processing platforms as they could, by requiring TVs and/or counterparties to only use those for establishing connectivity to them, directly foster the deve</w:t>
      </w:r>
      <w:r w:rsidRPr="009406BB">
        <w:rPr>
          <w:rFonts w:ascii="Arial" w:hAnsi="Arial" w:cs="Arial"/>
          <w:sz w:val="22"/>
          <w:szCs w:val="22"/>
        </w:rPr>
        <w:t>l</w:t>
      </w:r>
      <w:r w:rsidRPr="009406BB">
        <w:rPr>
          <w:rFonts w:ascii="Arial" w:hAnsi="Arial" w:cs="Arial"/>
          <w:sz w:val="22"/>
          <w:szCs w:val="22"/>
        </w:rPr>
        <w:t>opment of their own vertical silo or in asset classes where central clearing is only provided by a small number of CCPs, or even just one. By undermining market participants’ level of prepare</w:t>
      </w:r>
      <w:r w:rsidRPr="009406BB">
        <w:rPr>
          <w:rFonts w:ascii="Arial" w:hAnsi="Arial" w:cs="Arial"/>
          <w:sz w:val="22"/>
          <w:szCs w:val="22"/>
        </w:rPr>
        <w:t>d</w:t>
      </w:r>
      <w:r w:rsidRPr="009406BB">
        <w:rPr>
          <w:rFonts w:ascii="Arial" w:hAnsi="Arial" w:cs="Arial"/>
          <w:sz w:val="22"/>
          <w:szCs w:val="22"/>
        </w:rPr>
        <w:t>ness for the introduction of the clearing obligation such behaviour would also question the valid</w:t>
      </w:r>
      <w:r w:rsidRPr="009406BB">
        <w:rPr>
          <w:rFonts w:ascii="Arial" w:hAnsi="Arial" w:cs="Arial"/>
          <w:sz w:val="22"/>
          <w:szCs w:val="22"/>
        </w:rPr>
        <w:t>i</w:t>
      </w:r>
      <w:r w:rsidRPr="009406BB">
        <w:rPr>
          <w:rFonts w:ascii="Arial" w:hAnsi="Arial" w:cs="Arial"/>
          <w:sz w:val="22"/>
          <w:szCs w:val="22"/>
        </w:rPr>
        <w:t xml:space="preserve">ty of ESMA’s analysis of the criteria underlying the clearing determination, in addition to standing in direct conflict with the spirit of Article 35 of </w:t>
      </w:r>
      <w:proofErr w:type="spellStart"/>
      <w:r w:rsidRPr="009406BB">
        <w:rPr>
          <w:rFonts w:ascii="Arial" w:hAnsi="Arial" w:cs="Arial"/>
          <w:sz w:val="22"/>
          <w:szCs w:val="22"/>
        </w:rPr>
        <w:t>MiFIR</w:t>
      </w:r>
      <w:proofErr w:type="spellEnd"/>
      <w:r w:rsidRPr="009406BB">
        <w:rPr>
          <w:rFonts w:ascii="Arial" w:hAnsi="Arial" w:cs="Arial"/>
          <w:sz w:val="22"/>
          <w:szCs w:val="22"/>
        </w:rPr>
        <w:t>.</w:t>
      </w:r>
    </w:p>
    <w:p w:rsidR="00437BC1" w:rsidRDefault="00437BC1" w:rsidP="00437BC1">
      <w:pPr>
        <w:jc w:val="both"/>
        <w:rPr>
          <w:rFonts w:ascii="Arial" w:hAnsi="Arial" w:cs="Arial"/>
          <w:color w:val="000000"/>
          <w:sz w:val="22"/>
          <w:szCs w:val="22"/>
          <w:lang w:eastAsia="en-US"/>
        </w:rPr>
      </w:pPr>
    </w:p>
    <w:p w:rsidR="00437BC1" w:rsidRPr="001E1D3F" w:rsidRDefault="00437BC1" w:rsidP="00437BC1">
      <w:pPr>
        <w:jc w:val="both"/>
        <w:rPr>
          <w:rFonts w:ascii="Arial" w:hAnsi="Arial" w:cs="Arial"/>
          <w:color w:val="000000"/>
          <w:sz w:val="22"/>
          <w:szCs w:val="22"/>
          <w:lang w:eastAsia="en-US"/>
        </w:rPr>
      </w:pPr>
      <w:r w:rsidRPr="001E1D3F">
        <w:rPr>
          <w:rFonts w:ascii="Arial" w:hAnsi="Arial" w:cs="Arial"/>
          <w:sz w:val="22"/>
          <w:szCs w:val="22"/>
        </w:rPr>
        <w:t>ESMA should note that under the United States’ Dodd-Frank Act some CCPs have interpreted “open access” requirements to encompass third party connectivity providers</w:t>
      </w:r>
      <w:r w:rsidRPr="001E1D3F">
        <w:rPr>
          <w:rStyle w:val="FootnoteReference"/>
          <w:rFonts w:ascii="Arial" w:hAnsi="Arial" w:cs="Arial"/>
          <w:sz w:val="22"/>
          <w:szCs w:val="22"/>
        </w:rPr>
        <w:footnoteReference w:id="14"/>
      </w:r>
      <w:r w:rsidRPr="001E1D3F">
        <w:rPr>
          <w:rFonts w:ascii="Arial" w:hAnsi="Arial" w:cs="Arial"/>
          <w:sz w:val="14"/>
          <w:szCs w:val="14"/>
        </w:rPr>
        <w:t xml:space="preserve"> </w:t>
      </w:r>
      <w:r w:rsidRPr="001E1D3F">
        <w:rPr>
          <w:rFonts w:ascii="Arial" w:hAnsi="Arial" w:cs="Arial"/>
          <w:sz w:val="22"/>
          <w:szCs w:val="22"/>
        </w:rPr>
        <w:t>while others e</w:t>
      </w:r>
      <w:r w:rsidRPr="001E1D3F">
        <w:rPr>
          <w:rFonts w:ascii="Arial" w:hAnsi="Arial" w:cs="Arial"/>
          <w:sz w:val="22"/>
          <w:szCs w:val="22"/>
        </w:rPr>
        <w:t>x</w:t>
      </w:r>
      <w:r w:rsidRPr="001E1D3F">
        <w:rPr>
          <w:rFonts w:ascii="Arial" w:hAnsi="Arial" w:cs="Arial"/>
          <w:sz w:val="22"/>
          <w:szCs w:val="22"/>
        </w:rPr>
        <w:lastRenderedPageBreak/>
        <w:t>plicitly allow third party connectivity providers open access under their rules.</w:t>
      </w:r>
      <w:r w:rsidRPr="001E1D3F">
        <w:rPr>
          <w:rStyle w:val="FootnoteReference"/>
          <w:rFonts w:ascii="Arial" w:hAnsi="Arial" w:cs="Arial"/>
          <w:sz w:val="22"/>
          <w:szCs w:val="22"/>
        </w:rPr>
        <w:footnoteReference w:id="15"/>
      </w:r>
      <w:r w:rsidRPr="001E1D3F">
        <w:rPr>
          <w:rFonts w:ascii="Arial" w:hAnsi="Arial" w:cs="Arial"/>
          <w:sz w:val="14"/>
          <w:szCs w:val="14"/>
        </w:rPr>
        <w:t xml:space="preserve"> </w:t>
      </w:r>
      <w:r w:rsidRPr="001E1D3F">
        <w:rPr>
          <w:rFonts w:ascii="Arial" w:hAnsi="Arial" w:cs="Arial"/>
          <w:sz w:val="22"/>
          <w:szCs w:val="22"/>
        </w:rPr>
        <w:t xml:space="preserve">To prevent the occurrence of competition-restricting practices in this respect in Europe, we recommend that ESMA </w:t>
      </w:r>
      <w:r>
        <w:rPr>
          <w:rFonts w:ascii="Arial" w:hAnsi="Arial" w:cs="Arial"/>
          <w:sz w:val="22"/>
          <w:szCs w:val="22"/>
        </w:rPr>
        <w:t xml:space="preserve">should also </w:t>
      </w:r>
      <w:r w:rsidRPr="001E1D3F">
        <w:rPr>
          <w:rFonts w:ascii="Arial" w:hAnsi="Arial" w:cs="Arial"/>
          <w:sz w:val="22"/>
          <w:szCs w:val="22"/>
        </w:rPr>
        <w:t>reflect established market practices and workflows in its various implemen</w:t>
      </w:r>
      <w:r w:rsidRPr="001E1D3F">
        <w:rPr>
          <w:rFonts w:ascii="Arial" w:hAnsi="Arial" w:cs="Arial"/>
          <w:sz w:val="22"/>
          <w:szCs w:val="22"/>
        </w:rPr>
        <w:t>t</w:t>
      </w:r>
      <w:r w:rsidRPr="001E1D3F">
        <w:rPr>
          <w:rFonts w:ascii="Arial" w:hAnsi="Arial" w:cs="Arial"/>
          <w:sz w:val="22"/>
          <w:szCs w:val="22"/>
        </w:rPr>
        <w:t xml:space="preserve">ing measures. Specifically, ESMA should clarify that the requirement for CCPs to provide open, non-discriminatory access to TVs equally applies for the provision of access to </w:t>
      </w:r>
      <w:r w:rsidRPr="001E1D3F">
        <w:rPr>
          <w:rFonts w:ascii="Arial" w:hAnsi="Arial" w:cs="Arial"/>
          <w:i/>
          <w:iCs/>
          <w:sz w:val="22"/>
          <w:szCs w:val="22"/>
        </w:rPr>
        <w:t>third party pr</w:t>
      </w:r>
      <w:r w:rsidRPr="001E1D3F">
        <w:rPr>
          <w:rFonts w:ascii="Arial" w:hAnsi="Arial" w:cs="Arial"/>
          <w:i/>
          <w:iCs/>
          <w:sz w:val="22"/>
          <w:szCs w:val="22"/>
        </w:rPr>
        <w:t>o</w:t>
      </w:r>
      <w:r w:rsidRPr="001E1D3F">
        <w:rPr>
          <w:rFonts w:ascii="Arial" w:hAnsi="Arial" w:cs="Arial"/>
          <w:i/>
          <w:iCs/>
          <w:sz w:val="22"/>
          <w:szCs w:val="22"/>
        </w:rPr>
        <w:t>viders that act (and establish connectivity) on behalf of TVs or counterparties</w:t>
      </w:r>
      <w:r w:rsidRPr="001E1D3F">
        <w:rPr>
          <w:rFonts w:ascii="Arial" w:hAnsi="Arial" w:cs="Arial"/>
          <w:sz w:val="22"/>
          <w:szCs w:val="22"/>
        </w:rPr>
        <w:t>. In addition, in asset classes where the number of CCPs providing central clearing is small</w:t>
      </w:r>
      <w:r>
        <w:rPr>
          <w:rFonts w:ascii="Arial" w:hAnsi="Arial" w:cs="Arial"/>
          <w:sz w:val="22"/>
          <w:szCs w:val="22"/>
        </w:rPr>
        <w:t>,</w:t>
      </w:r>
      <w:r w:rsidRPr="001E1D3F">
        <w:rPr>
          <w:rFonts w:ascii="Arial" w:hAnsi="Arial" w:cs="Arial"/>
          <w:sz w:val="22"/>
          <w:szCs w:val="22"/>
        </w:rPr>
        <w:t xml:space="preserve"> or just one, we encourage ESMA to reflect the elevated risks that this might create for the implementation pr</w:t>
      </w:r>
      <w:r w:rsidRPr="001E1D3F">
        <w:rPr>
          <w:rFonts w:ascii="Arial" w:hAnsi="Arial" w:cs="Arial"/>
          <w:sz w:val="22"/>
          <w:szCs w:val="22"/>
        </w:rPr>
        <w:t>o</w:t>
      </w:r>
      <w:r w:rsidRPr="001E1D3F">
        <w:rPr>
          <w:rFonts w:ascii="Arial" w:hAnsi="Arial" w:cs="Arial"/>
          <w:sz w:val="22"/>
          <w:szCs w:val="22"/>
        </w:rPr>
        <w:t>cess in its clearing determination.</w:t>
      </w:r>
      <w:r w:rsidRPr="001E1D3F">
        <w:rPr>
          <w:rStyle w:val="FootnoteReference"/>
          <w:rFonts w:ascii="Arial" w:hAnsi="Arial" w:cs="Arial"/>
          <w:sz w:val="22"/>
          <w:szCs w:val="22"/>
        </w:rPr>
        <w:footnoteReference w:id="16"/>
      </w:r>
    </w:p>
    <w:p w:rsidR="00437BC1" w:rsidRPr="001E1D3F" w:rsidRDefault="00437BC1" w:rsidP="00437BC1">
      <w:pPr>
        <w:jc w:val="both"/>
        <w:rPr>
          <w:rFonts w:ascii="Arial" w:hAnsi="Arial" w:cs="Arial"/>
          <w:b/>
          <w:color w:val="000000"/>
          <w:sz w:val="22"/>
          <w:szCs w:val="22"/>
          <w:lang w:eastAsia="en-US"/>
        </w:rPr>
      </w:pPr>
    </w:p>
    <w:p w:rsidR="00437BC1" w:rsidRPr="001E1D3F" w:rsidRDefault="00437BC1" w:rsidP="00437BC1">
      <w:pPr>
        <w:jc w:val="both"/>
        <w:rPr>
          <w:rFonts w:ascii="Arial" w:hAnsi="Arial" w:cs="Arial"/>
          <w:b/>
          <w:color w:val="000000"/>
          <w:sz w:val="22"/>
          <w:szCs w:val="22"/>
          <w:lang w:eastAsia="en-US"/>
        </w:rPr>
      </w:pPr>
      <w:r w:rsidRPr="001E1D3F">
        <w:rPr>
          <w:rFonts w:ascii="Arial" w:hAnsi="Arial" w:cs="Arial"/>
          <w:sz w:val="22"/>
          <w:szCs w:val="22"/>
        </w:rPr>
        <w:t>We further believe that ESMA should consider establishing procedural safeguards to ensure non-discriminatory access to clearing for all classes of counterparties, including those using third-party connectivity providers. In this context, ESMA should clarify, for example, that CCPs should submit new rules and rule amendments relevant in relation to access to their competent authority for their review.</w:t>
      </w:r>
      <w:r w:rsidRPr="001E1D3F">
        <w:rPr>
          <w:rStyle w:val="FootnoteReference"/>
          <w:rFonts w:ascii="Arial" w:hAnsi="Arial" w:cs="Arial"/>
          <w:sz w:val="22"/>
          <w:szCs w:val="22"/>
        </w:rPr>
        <w:footnoteReference w:id="17"/>
      </w:r>
      <w:r w:rsidRPr="00A637C4">
        <w:rPr>
          <w:rFonts w:ascii="Arial" w:hAnsi="Arial" w:cs="Arial"/>
          <w:sz w:val="22"/>
          <w:szCs w:val="22"/>
          <w:vertAlign w:val="superscript"/>
        </w:rPr>
        <w:t>,</w:t>
      </w:r>
      <w:r w:rsidRPr="001E1D3F">
        <w:rPr>
          <w:rStyle w:val="FootnoteReference"/>
          <w:rFonts w:ascii="Arial" w:hAnsi="Arial" w:cs="Arial"/>
          <w:sz w:val="22"/>
          <w:szCs w:val="22"/>
        </w:rPr>
        <w:footnoteReference w:id="18"/>
      </w:r>
    </w:p>
    <w:p w:rsidR="00CC1C71" w:rsidRDefault="00CC1C71" w:rsidP="00CC1C71">
      <w:bookmarkStart w:id="27" w:name="_GoBack"/>
      <w:bookmarkEnd w:id="27"/>
      <w:permEnd w:id="1665086469"/>
      <w:r>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28" w:name="_Toc398140748"/>
      <w:r w:rsidRPr="00A84770">
        <w:lastRenderedPageBreak/>
        <w:t>Remaining maturity</w:t>
      </w:r>
      <w:r>
        <w:t xml:space="preserve"> and frontloading</w:t>
      </w:r>
      <w:bookmarkEnd w:id="28"/>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C7564E" w:rsidRDefault="00C7564E" w:rsidP="00C7564E">
      <w:permStart w:id="974602191" w:edGrp="everyone"/>
      <w:r>
        <w:t>TYPE YOUR TEXT HERE</w:t>
      </w:r>
    </w:p>
    <w:permEnd w:id="974602191"/>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29" w:name="_Ref389466688"/>
      <w:bookmarkStart w:id="30" w:name="_Toc398140750"/>
      <w:r w:rsidRPr="006579BC">
        <w:lastRenderedPageBreak/>
        <w:t xml:space="preserve">Annex </w:t>
      </w:r>
      <w:fldSimple w:instr=" SEQ Annex \* ROMAN ">
        <w:r>
          <w:rPr>
            <w:noProof/>
          </w:rPr>
          <w:t>II</w:t>
        </w:r>
      </w:fldSimple>
      <w:bookmarkEnd w:id="29"/>
      <w:r w:rsidRPr="006579BC">
        <w:t xml:space="preserve"> - Draft Regulatory Technical Standards on the Clearing Oblig</w:t>
      </w:r>
      <w:r w:rsidRPr="006579BC">
        <w:t>a</w:t>
      </w:r>
      <w:r w:rsidRPr="006579BC">
        <w:t>tion</w:t>
      </w:r>
      <w:bookmarkEnd w:id="30"/>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CC1C71" w:rsidRDefault="00CC1C71" w:rsidP="00CC1C71">
      <w:permStart w:id="1096831649" w:edGrp="everyone"/>
      <w:r>
        <w:t>TYPE YOUR TEXT HERE</w:t>
      </w:r>
    </w:p>
    <w:permEnd w:id="1096831649"/>
    <w:p w:rsidR="00CC1C71" w:rsidRDefault="00CC1C71" w:rsidP="00CC1C71">
      <w:r>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1" w:name="_Toc398140751"/>
      <w:r w:rsidRPr="0030524D">
        <w:lastRenderedPageBreak/>
        <w:t xml:space="preserve">Annex </w:t>
      </w:r>
      <w:fldSimple w:instr=" SEQ Annex \* ROMAN ">
        <w:r>
          <w:rPr>
            <w:noProof/>
          </w:rPr>
          <w:t>III</w:t>
        </w:r>
      </w:fldSimple>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CC1C71" w:rsidRDefault="00CC1C71" w:rsidP="00CC1C71">
      <w:permStart w:id="1908032495" w:edGrp="everyone"/>
      <w:r>
        <w:t>TYPE YOUR TEXT HERE</w:t>
      </w:r>
    </w:p>
    <w:permEnd w:id="1908032495"/>
    <w:p w:rsidR="00CC1C71" w:rsidRDefault="00CC1C71" w:rsidP="00CC1C71">
      <w:r>
        <w:t>&lt;ESMA_CO3_QUESTION_10&gt;</w:t>
      </w:r>
    </w:p>
    <w:p w:rsidR="00CC1C71" w:rsidRDefault="00CC1C71" w:rsidP="00CC1C71"/>
    <w:p w:rsidR="00510C18" w:rsidRDefault="00510C18" w:rsidP="00510C18"/>
    <w:sectPr w:rsidR="00510C18"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49" w:rsidRDefault="002F3E49">
      <w:r>
        <w:separator/>
      </w:r>
    </w:p>
    <w:p w:rsidR="002F3E49" w:rsidRDefault="002F3E49"/>
  </w:endnote>
  <w:endnote w:type="continuationSeparator" w:id="0">
    <w:p w:rsidR="002F3E49" w:rsidRDefault="002F3E49">
      <w:r>
        <w:continuationSeparator/>
      </w:r>
    </w:p>
    <w:p w:rsidR="002F3E49" w:rsidRDefault="002F3E49"/>
  </w:endnote>
  <w:endnote w:type="continuationNotice" w:id="1">
    <w:p w:rsidR="002F3E49" w:rsidRDefault="002F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437BC1">
            <w:rPr>
              <w:noProof/>
            </w:rPr>
            <w:t>13</w:t>
          </w:r>
          <w:r>
            <w:rPr>
              <w:noProof/>
            </w:rPr>
            <w:fldChar w:fldCharType="end"/>
          </w:r>
        </w:p>
      </w:tc>
    </w:tr>
  </w:tbl>
  <w:p w:rsidR="00510C18" w:rsidRDefault="00510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rsidP="00395EF9">
    <w:pPr>
      <w:pStyle w:val="Footer"/>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49" w:rsidRDefault="002F3E49">
      <w:r>
        <w:separator/>
      </w:r>
    </w:p>
    <w:p w:rsidR="002F3E49" w:rsidRDefault="002F3E49"/>
  </w:footnote>
  <w:footnote w:type="continuationSeparator" w:id="0">
    <w:p w:rsidR="002F3E49" w:rsidRDefault="002F3E49">
      <w:r>
        <w:continuationSeparator/>
      </w:r>
    </w:p>
    <w:p w:rsidR="002F3E49" w:rsidRDefault="002F3E49"/>
  </w:footnote>
  <w:footnote w:type="continuationNotice" w:id="1">
    <w:p w:rsidR="002F3E49" w:rsidRDefault="002F3E49"/>
  </w:footnote>
  <w:footnote w:id="2">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r w:rsidRPr="00ED4FDC">
        <w:rPr>
          <w:rFonts w:ascii="Arial" w:hAnsi="Arial" w:cs="Arial"/>
          <w:sz w:val="18"/>
          <w:szCs w:val="18"/>
          <w:lang w:val="en-US"/>
        </w:rPr>
        <w:t xml:space="preserve">Please see </w:t>
      </w:r>
      <w:hyperlink r:id="rId1" w:history="1">
        <w:r w:rsidRPr="00ED4FDC">
          <w:rPr>
            <w:rStyle w:val="Hyperlink"/>
            <w:rFonts w:ascii="Arial" w:hAnsi="Arial" w:cs="Arial"/>
            <w:sz w:val="18"/>
            <w:szCs w:val="18"/>
            <w:lang w:val="en-US"/>
          </w:rPr>
          <w:t>www.markit.com</w:t>
        </w:r>
      </w:hyperlink>
      <w:r w:rsidRPr="00ED4FDC">
        <w:rPr>
          <w:rFonts w:ascii="Arial" w:hAnsi="Arial" w:cs="Arial"/>
          <w:sz w:val="18"/>
          <w:szCs w:val="18"/>
          <w:lang w:val="en-US"/>
        </w:rPr>
        <w:t xml:space="preserve"> for further information. </w:t>
      </w:r>
    </w:p>
  </w:footnote>
  <w:footnote w:id="3">
    <w:p w:rsidR="00437BC1" w:rsidRPr="00ED4FDC" w:rsidRDefault="00437BC1" w:rsidP="00437BC1">
      <w:pPr>
        <w:pStyle w:val="Defaul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proofErr w:type="spellStart"/>
      <w:r w:rsidRPr="00ED4FDC">
        <w:rPr>
          <w:rFonts w:ascii="Arial" w:hAnsi="Arial" w:cs="Arial"/>
          <w:sz w:val="18"/>
          <w:szCs w:val="18"/>
          <w:lang w:val="en-US" w:eastAsia="en-US"/>
        </w:rPr>
        <w:t>MarkitSERV</w:t>
      </w:r>
      <w:proofErr w:type="spellEnd"/>
      <w:r w:rsidRPr="00ED4FDC">
        <w:rPr>
          <w:rFonts w:ascii="Arial" w:hAnsi="Arial" w:cs="Arial"/>
          <w:sz w:val="18"/>
          <w:szCs w:val="18"/>
          <w:lang w:val="en-US" w:eastAsia="en-US"/>
        </w:rPr>
        <w:t xml:space="preserve">, a wholly owned subsidiary of </w:t>
      </w:r>
      <w:proofErr w:type="spellStart"/>
      <w:r w:rsidRPr="00ED4FDC">
        <w:rPr>
          <w:rFonts w:ascii="Arial" w:hAnsi="Arial" w:cs="Arial"/>
          <w:sz w:val="18"/>
          <w:szCs w:val="18"/>
          <w:lang w:val="en-US" w:eastAsia="en-US"/>
        </w:rPr>
        <w:t>Markit</w:t>
      </w:r>
      <w:proofErr w:type="spellEnd"/>
      <w:r w:rsidRPr="00ED4FDC">
        <w:rPr>
          <w:rFonts w:ascii="Arial" w:hAnsi="Arial" w:cs="Arial"/>
          <w:sz w:val="18"/>
          <w:szCs w:val="18"/>
          <w:lang w:val="en-US" w:eastAsia="en-US"/>
        </w:rPr>
        <w:t xml:space="preserve"> Group Limited, provides a single gateway for OTC derivatives trade processing. The company offers trade processing, confirmation, matching, and reconciliation services across regions and asset classes, including interest rate, credit, equity, and foreign exchange derivatives. </w:t>
      </w:r>
      <w:proofErr w:type="spellStart"/>
      <w:r w:rsidRPr="00ED4FDC">
        <w:rPr>
          <w:rFonts w:ascii="Arial" w:hAnsi="Arial" w:cs="Arial"/>
          <w:sz w:val="18"/>
          <w:szCs w:val="18"/>
          <w:lang w:val="en-US" w:eastAsia="en-US"/>
        </w:rPr>
        <w:t>MarkitSERV</w:t>
      </w:r>
      <w:proofErr w:type="spellEnd"/>
      <w:r w:rsidRPr="00ED4FDC">
        <w:rPr>
          <w:rFonts w:ascii="Arial" w:hAnsi="Arial" w:cs="Arial"/>
          <w:sz w:val="18"/>
          <w:szCs w:val="18"/>
          <w:lang w:val="en-US" w:eastAsia="en-US"/>
        </w:rPr>
        <w:t xml:space="preserve"> also connects dealers and buy-side institutions to trade execution venues, CCPs, and trade repositories. Please see </w:t>
      </w:r>
      <w:hyperlink r:id="rId2" w:history="1">
        <w:r w:rsidRPr="0078235C">
          <w:rPr>
            <w:rStyle w:val="Hyperlink"/>
            <w:rFonts w:ascii="Arial" w:hAnsi="Arial" w:cs="Arial"/>
            <w:sz w:val="18"/>
            <w:szCs w:val="18"/>
            <w:lang w:val="en-US" w:eastAsia="en-US"/>
          </w:rPr>
          <w:t>www.markitserv.com</w:t>
        </w:r>
      </w:hyperlink>
      <w:r>
        <w:rPr>
          <w:rFonts w:ascii="Arial" w:hAnsi="Arial" w:cs="Arial"/>
          <w:sz w:val="18"/>
          <w:szCs w:val="18"/>
          <w:lang w:val="en-US" w:eastAsia="en-US"/>
        </w:rPr>
        <w:t xml:space="preserve"> </w:t>
      </w:r>
      <w:r w:rsidRPr="00ED4FDC">
        <w:rPr>
          <w:rFonts w:ascii="Arial" w:hAnsi="Arial" w:cs="Arial"/>
          <w:sz w:val="18"/>
          <w:szCs w:val="18"/>
          <w:lang w:val="en-US" w:eastAsia="en-US"/>
        </w:rPr>
        <w:t xml:space="preserve">for additional information.  </w:t>
      </w:r>
    </w:p>
  </w:footnote>
  <w:footnote w:id="4">
    <w:p w:rsidR="00437BC1" w:rsidRPr="00ED4FDC" w:rsidRDefault="00437BC1" w:rsidP="00437BC1">
      <w:pPr>
        <w:pStyle w:val="Defaul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r w:rsidRPr="00ED4FDC">
        <w:rPr>
          <w:rFonts w:ascii="Arial" w:hAnsi="Arial" w:cs="Arial"/>
          <w:sz w:val="18"/>
          <w:szCs w:val="18"/>
          <w:lang w:val="en-US" w:eastAsia="en-US"/>
        </w:rPr>
        <w:t xml:space="preserve">Depending on the asset class and type of execution, different methods will be used to achieve such “agreement”, including affirmation/confirmation or matching.  </w:t>
      </w:r>
    </w:p>
  </w:footnote>
  <w:footnote w:id="5">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Our processing platforms are currently connected, or are planning to connect, to more than 10 CCPs around the globe and in various asset classes.  </w:t>
      </w:r>
    </w:p>
  </w:footnote>
  <w:footnote w:id="6">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For the reporting of derivatives transactions to Trade Repositories, the MarkitSERV platforms are now live in Europe, the United States, Japan, Hong Kong, Australia, and Singapore.  </w:t>
      </w:r>
    </w:p>
  </w:footnote>
  <w:footnote w:id="7">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r w:rsidRPr="00ED4FDC">
        <w:rPr>
          <w:rFonts w:ascii="Arial" w:hAnsi="Arial" w:cs="Arial"/>
          <w:sz w:val="18"/>
          <w:szCs w:val="18"/>
          <w:lang w:val="en-US"/>
        </w:rPr>
        <w:t>This service has been live since 2011.</w:t>
      </w:r>
    </w:p>
  </w:footnote>
  <w:footnote w:id="8">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r w:rsidRPr="00ED4FDC">
        <w:rPr>
          <w:rFonts w:ascii="Arial" w:hAnsi="Arial" w:cs="Arial"/>
          <w:sz w:val="18"/>
          <w:szCs w:val="18"/>
          <w:lang w:val="en-US"/>
        </w:rPr>
        <w:t>This service will be phased in starting in Q1</w:t>
      </w:r>
      <w:r>
        <w:rPr>
          <w:rFonts w:ascii="Arial" w:hAnsi="Arial" w:cs="Arial"/>
          <w:sz w:val="18"/>
          <w:szCs w:val="18"/>
          <w:lang w:val="en-US"/>
        </w:rPr>
        <w:t>/</w:t>
      </w:r>
      <w:r w:rsidRPr="00ED4FDC">
        <w:rPr>
          <w:rFonts w:ascii="Arial" w:hAnsi="Arial" w:cs="Arial"/>
          <w:sz w:val="18"/>
          <w:szCs w:val="18"/>
          <w:lang w:val="en-US"/>
        </w:rPr>
        <w:t>2015.</w:t>
      </w:r>
    </w:p>
  </w:footnote>
  <w:footnote w:id="9">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r w:rsidRPr="00ED4FDC">
        <w:rPr>
          <w:rFonts w:ascii="Arial" w:hAnsi="Arial" w:cs="Arial"/>
          <w:sz w:val="18"/>
          <w:szCs w:val="18"/>
          <w:lang w:val="en-US"/>
        </w:rPr>
        <w:t xml:space="preserve">CFTC Event: Advisory Committee Meeting October 9, 2014. </w:t>
      </w:r>
      <w:hyperlink r:id="rId3" w:history="1">
        <w:r w:rsidRPr="00ED4FDC">
          <w:rPr>
            <w:rStyle w:val="Hyperlink"/>
            <w:rFonts w:ascii="Arial" w:hAnsi="Arial" w:cs="Arial"/>
            <w:sz w:val="18"/>
            <w:szCs w:val="18"/>
            <w:lang w:val="en-US"/>
          </w:rPr>
          <w:t>http://www.cftc.gov/PressRoom/Events/opaevent_gmac100914</w:t>
        </w:r>
      </w:hyperlink>
      <w:r w:rsidRPr="00ED4FDC">
        <w:rPr>
          <w:rFonts w:ascii="Arial" w:hAnsi="Arial" w:cs="Arial"/>
          <w:sz w:val="18"/>
          <w:szCs w:val="18"/>
          <w:lang w:val="en-US"/>
        </w:rPr>
        <w:t xml:space="preserve"> </w:t>
      </w:r>
    </w:p>
  </w:footnote>
  <w:footnote w:id="10">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r w:rsidRPr="00ED4FDC">
        <w:rPr>
          <w:rFonts w:ascii="Arial" w:hAnsi="Arial" w:cs="Arial"/>
          <w:sz w:val="18"/>
          <w:szCs w:val="18"/>
          <w:lang w:val="en-US"/>
        </w:rPr>
        <w:t>Brazilian Real, Chinese Yuan, Indian Rupee, Korean Won, Russian Ruble, and Taiwan Dollar.  Additionally the CFTC is considering the Peruvian Nuevo Sol.</w:t>
      </w:r>
    </w:p>
  </w:footnote>
  <w:footnote w:id="11">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proofErr w:type="gramStart"/>
      <w:r w:rsidRPr="00ED4FDC">
        <w:rPr>
          <w:rFonts w:ascii="Arial" w:hAnsi="Arial" w:cs="Arial"/>
          <w:sz w:val="18"/>
          <w:szCs w:val="18"/>
        </w:rPr>
        <w:t>ESMA Consultation Paper on the Clearing Obligation under EMIR (no. 1), p</w:t>
      </w:r>
      <w:r w:rsidRPr="00ED4FDC">
        <w:rPr>
          <w:rFonts w:ascii="Arial" w:hAnsi="Arial" w:cs="Arial"/>
          <w:sz w:val="18"/>
          <w:szCs w:val="18"/>
          <w:lang w:val="en-US"/>
        </w:rPr>
        <w:t>ar. 73.</w:t>
      </w:r>
      <w:proofErr w:type="gramEnd"/>
    </w:p>
  </w:footnote>
  <w:footnote w:id="12">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t>
      </w:r>
      <w:proofErr w:type="gramStart"/>
      <w:r w:rsidRPr="00ED4FDC">
        <w:rPr>
          <w:rFonts w:ascii="Arial" w:hAnsi="Arial" w:cs="Arial"/>
          <w:sz w:val="18"/>
          <w:szCs w:val="18"/>
          <w:lang w:val="en-US"/>
        </w:rPr>
        <w:t>CP par. 38.</w:t>
      </w:r>
      <w:proofErr w:type="gramEnd"/>
    </w:p>
  </w:footnote>
  <w:footnote w:id="13">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See </w:t>
      </w:r>
      <w:proofErr w:type="spellStart"/>
      <w:r w:rsidRPr="00ED4FDC">
        <w:rPr>
          <w:rFonts w:ascii="Arial" w:hAnsi="Arial" w:cs="Arial"/>
          <w:sz w:val="18"/>
          <w:szCs w:val="18"/>
          <w:lang w:val="en-US"/>
        </w:rPr>
        <w:t>Markit’s</w:t>
      </w:r>
      <w:proofErr w:type="spellEnd"/>
      <w:r w:rsidRPr="00ED4FDC">
        <w:rPr>
          <w:rFonts w:ascii="Arial" w:hAnsi="Arial" w:cs="Arial"/>
          <w:sz w:val="18"/>
          <w:szCs w:val="18"/>
          <w:lang w:val="en-US"/>
        </w:rPr>
        <w:t xml:space="preserve"> response ESMA’s Consultation Paper on the Clearing Obligation under EMIR (no 1) and (no 2).</w:t>
      </w:r>
    </w:p>
  </w:footnote>
  <w:footnote w:id="14">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“ICE Clear Credit shall ensure that, consistent with the requirements of [Commodity Exchange Act] Section 2(h</w:t>
      </w:r>
      <w:proofErr w:type="gramStart"/>
      <w:r w:rsidRPr="00ED4FDC">
        <w:rPr>
          <w:rFonts w:ascii="Arial" w:hAnsi="Arial" w:cs="Arial"/>
          <w:sz w:val="18"/>
          <w:szCs w:val="18"/>
        </w:rPr>
        <w:t>)(</w:t>
      </w:r>
      <w:proofErr w:type="gramEnd"/>
      <w:r w:rsidRPr="00ED4FDC">
        <w:rPr>
          <w:rFonts w:ascii="Arial" w:hAnsi="Arial" w:cs="Arial"/>
          <w:sz w:val="18"/>
          <w:szCs w:val="18"/>
        </w:rPr>
        <w:t xml:space="preserve">1)(B) and Securities Exchange Act Section 3C(a)(2), there shall be open access to the clearing system operated by ICE Clear Credit pursuant to these Rules for all execution venues (including, without limitation, designated contract markets, national securities exchanges, swap execution facilities and security-based swap execution facilities) and trade processing platforms…” </w:t>
      </w:r>
      <w:proofErr w:type="gramStart"/>
      <w:r w:rsidRPr="00ED4FDC">
        <w:rPr>
          <w:rFonts w:ascii="Arial" w:hAnsi="Arial" w:cs="Arial"/>
          <w:sz w:val="18"/>
          <w:szCs w:val="18"/>
        </w:rPr>
        <w:t xml:space="preserve">ICC Rulebook, Rule 314, available at </w:t>
      </w:r>
      <w:hyperlink r:id="rId4" w:history="1">
        <w:r w:rsidRPr="001614F4">
          <w:rPr>
            <w:rStyle w:val="Hyperlink"/>
            <w:rFonts w:ascii="Arial" w:hAnsi="Arial" w:cs="Arial"/>
            <w:sz w:val="18"/>
            <w:szCs w:val="18"/>
          </w:rPr>
          <w:t>https://www.theice.com/publicdocs/clear_credit/ICE_Clear_Credit_Rules.pdf</w:t>
        </w:r>
      </w:hyperlink>
      <w:r>
        <w:rPr>
          <w:rFonts w:ascii="Arial" w:hAnsi="Arial" w:cs="Arial"/>
          <w:sz w:val="18"/>
          <w:szCs w:val="18"/>
        </w:rPr>
        <w:t xml:space="preserve"> </w:t>
      </w:r>
      <w:r w:rsidRPr="00ED4FDC">
        <w:rPr>
          <w:rFonts w:ascii="Arial" w:hAnsi="Arial" w:cs="Arial"/>
          <w:sz w:val="18"/>
          <w:szCs w:val="18"/>
        </w:rPr>
        <w:t>(last revised Nov. 18, 2013).</w:t>
      </w:r>
      <w:proofErr w:type="gramEnd"/>
      <w:r w:rsidRPr="00ED4FDC">
        <w:rPr>
          <w:rFonts w:ascii="Arial" w:hAnsi="Arial" w:cs="Arial"/>
          <w:sz w:val="18"/>
          <w:szCs w:val="18"/>
        </w:rPr>
        <w:t xml:space="preserve"> Commodity Exchange Act section 2(h)(1)(B)(ii)(B)’s (as amended by Dodd–Frank Wall Street Reform and Consumer Protection Act (“Dodd-Frank Act”) section 723) open access requirement states that DCOs must “provide for non-discriminatory clearing of a swap (but not a contract of sale of a commodity for future delivery or option on such contract) executed bilaterally or on or through the rules of an unaffiliated designated contract market or swap execution facility.”  </w:t>
      </w:r>
    </w:p>
  </w:footnote>
  <w:footnote w:id="15">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“See CME Rulebook Rule 8H17, available at </w:t>
      </w:r>
      <w:hyperlink r:id="rId5" w:history="1">
        <w:r w:rsidRPr="001614F4">
          <w:rPr>
            <w:rStyle w:val="Hyperlink"/>
            <w:rFonts w:ascii="Arial" w:hAnsi="Arial" w:cs="Arial"/>
            <w:sz w:val="18"/>
            <w:szCs w:val="18"/>
          </w:rPr>
          <w:t>http://www.cmegroup.com/rulebook/CME/I/8H/8H.pdf</w:t>
        </w:r>
      </w:hyperlink>
      <w:r>
        <w:rPr>
          <w:rFonts w:ascii="Arial" w:hAnsi="Arial" w:cs="Arial"/>
          <w:sz w:val="18"/>
          <w:szCs w:val="18"/>
        </w:rPr>
        <w:t xml:space="preserve"> </w:t>
      </w:r>
      <w:r w:rsidRPr="00ED4FDC">
        <w:rPr>
          <w:rFonts w:ascii="Arial" w:hAnsi="Arial" w:cs="Arial"/>
          <w:sz w:val="18"/>
          <w:szCs w:val="18"/>
        </w:rPr>
        <w:t>(“CME shall provide open access to its CDS Contract clearing services for any execution venue or trade processing or confirm</w:t>
      </w:r>
      <w:r w:rsidRPr="00ED4FDC">
        <w:rPr>
          <w:rFonts w:ascii="Arial" w:hAnsi="Arial" w:cs="Arial"/>
          <w:sz w:val="18"/>
          <w:szCs w:val="18"/>
        </w:rPr>
        <w:t>a</w:t>
      </w:r>
      <w:r w:rsidRPr="00ED4FDC">
        <w:rPr>
          <w:rFonts w:ascii="Arial" w:hAnsi="Arial" w:cs="Arial"/>
          <w:sz w:val="18"/>
          <w:szCs w:val="18"/>
        </w:rPr>
        <w:t xml:space="preserve">tion service that desires to facilitate the submission of CDS Product transactions to the Clearing House for clearing, subject to the Clearing House’s normal operational requirements applied to all such third-party services[.]”). See also LCH Rulebook, available at </w:t>
      </w:r>
      <w:hyperlink r:id="rId6" w:history="1">
        <w:r w:rsidRPr="001614F4">
          <w:rPr>
            <w:rStyle w:val="Hyperlink"/>
            <w:rFonts w:ascii="Arial" w:hAnsi="Arial" w:cs="Arial"/>
            <w:sz w:val="18"/>
            <w:szCs w:val="18"/>
          </w:rPr>
          <w:t>http://www.lchclearnet.com/Images/Voluntary%20Submission%20of%20Rulebook%20and%20Supporting%20Materials_tcm6-62205.pdf</w:t>
        </w:r>
      </w:hyperlink>
      <w:r>
        <w:rPr>
          <w:rFonts w:ascii="Arial" w:hAnsi="Arial" w:cs="Arial"/>
          <w:sz w:val="18"/>
          <w:szCs w:val="18"/>
        </w:rPr>
        <w:t xml:space="preserve"> </w:t>
      </w:r>
      <w:r w:rsidRPr="00ED4FDC">
        <w:rPr>
          <w:rFonts w:ascii="Arial" w:hAnsi="Arial" w:cs="Arial"/>
          <w:sz w:val="18"/>
          <w:szCs w:val="18"/>
        </w:rPr>
        <w:t xml:space="preserve">(Definition of “Approved Trade Source System” as “a system or facility, such as an exchange, a clearing house, a swap execution facility, a designated contract market or other similar venue, approved by the Clearing House for executing Transactions and/or presenting such Transactions to the Clearing House.”). LCH Rule 2A.3.3 provides that “Currently the Approved Trade Source Systems designated by the Clearing House for </w:t>
      </w:r>
      <w:proofErr w:type="spellStart"/>
      <w:r w:rsidRPr="00ED4FDC">
        <w:rPr>
          <w:rFonts w:ascii="Arial" w:hAnsi="Arial" w:cs="Arial"/>
          <w:sz w:val="18"/>
          <w:szCs w:val="18"/>
        </w:rPr>
        <w:t>SwapClear</w:t>
      </w:r>
      <w:proofErr w:type="spellEnd"/>
      <w:r w:rsidRPr="00ED4FDC">
        <w:rPr>
          <w:rFonts w:ascii="Arial" w:hAnsi="Arial" w:cs="Arial"/>
          <w:sz w:val="18"/>
          <w:szCs w:val="18"/>
        </w:rPr>
        <w:t xml:space="preserve"> are </w:t>
      </w:r>
      <w:proofErr w:type="spellStart"/>
      <w:r w:rsidRPr="00ED4FDC">
        <w:rPr>
          <w:rFonts w:ascii="Arial" w:hAnsi="Arial" w:cs="Arial"/>
          <w:sz w:val="18"/>
          <w:szCs w:val="18"/>
        </w:rPr>
        <w:t>MarkitWire</w:t>
      </w:r>
      <w:proofErr w:type="spellEnd"/>
      <w:r w:rsidRPr="00ED4FDC">
        <w:rPr>
          <w:rFonts w:ascii="Arial" w:hAnsi="Arial" w:cs="Arial"/>
          <w:sz w:val="18"/>
          <w:szCs w:val="18"/>
        </w:rPr>
        <w:t xml:space="preserve">, Bloomberg and </w:t>
      </w:r>
      <w:proofErr w:type="spellStart"/>
      <w:r w:rsidRPr="00ED4FDC">
        <w:rPr>
          <w:rFonts w:ascii="Arial" w:hAnsi="Arial" w:cs="Arial"/>
          <w:sz w:val="18"/>
          <w:szCs w:val="18"/>
        </w:rPr>
        <w:t>Tradeweb</w:t>
      </w:r>
      <w:proofErr w:type="spellEnd"/>
      <w:r w:rsidRPr="00ED4FDC">
        <w:rPr>
          <w:rFonts w:ascii="Arial" w:hAnsi="Arial" w:cs="Arial"/>
          <w:sz w:val="18"/>
          <w:szCs w:val="18"/>
        </w:rPr>
        <w:t xml:space="preserve">. Where the Clearing House approves additional Approved Trade Source Systems, it will notify Clearing Members via a member circular.”  </w:t>
      </w:r>
    </w:p>
  </w:footnote>
  <w:footnote w:id="16">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We note ESMA’s view that, even if “the existence of a single CCP to clear the class does not lead to an automatic exclusion of the that class from the scope of the clearing obligation determination” it “should not be understood as meaning that the number of CCPs clearing the same class is irrelevant for the purpose of determining the classes.” See CP Par. 89. We believe that introducing a clearing obligation in an asset class with only a small number of CCPs creates significant systemic risk issues and the number of CCPs should hence play an important role in ESMA’s clearing determination.  </w:t>
      </w:r>
    </w:p>
  </w:footnote>
  <w:footnote w:id="17">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Regulation (EU) No 648/2012 at (51)  </w:t>
      </w:r>
    </w:p>
  </w:footnote>
  <w:footnote w:id="18">
    <w:p w:rsidR="00437BC1" w:rsidRPr="00ED4FDC" w:rsidRDefault="00437BC1" w:rsidP="00437BC1">
      <w:pPr>
        <w:pStyle w:val="FootnoteText"/>
        <w:rPr>
          <w:rFonts w:ascii="Arial" w:hAnsi="Arial" w:cs="Arial"/>
          <w:sz w:val="18"/>
          <w:szCs w:val="18"/>
          <w:lang w:val="en-US"/>
        </w:rPr>
      </w:pPr>
      <w:r w:rsidRPr="00ED4FDC">
        <w:rPr>
          <w:rStyle w:val="FootnoteReference"/>
          <w:rFonts w:ascii="Arial" w:hAnsi="Arial" w:cs="Arial"/>
          <w:sz w:val="18"/>
          <w:szCs w:val="18"/>
        </w:rPr>
        <w:footnoteRef/>
      </w:r>
      <w:r w:rsidRPr="00ED4FDC">
        <w:rPr>
          <w:rFonts w:ascii="Arial" w:hAnsi="Arial" w:cs="Arial"/>
          <w:sz w:val="18"/>
          <w:szCs w:val="18"/>
        </w:rPr>
        <w:t xml:space="preserve"> Moreover, the relevant new policy changes should be required to be subjected to competent authority review, i.e. any change in policy, practice, or interpretation affecting in any material respect the CCP’s operations should be deemed to be a proposed rule change. See e.g., SEC Rule 19b-4(c) (17 CFR 240.9b-4), available at </w:t>
      </w:r>
      <w:hyperlink r:id="rId7" w:history="1">
        <w:r w:rsidRPr="0078235C">
          <w:rPr>
            <w:rStyle w:val="Hyperlink"/>
            <w:rFonts w:ascii="Arial" w:hAnsi="Arial" w:cs="Arial"/>
            <w:sz w:val="18"/>
            <w:szCs w:val="18"/>
          </w:rPr>
          <w:t>http://www.law.cornell.edu/cfr/text/17/240.19b-4</w:t>
        </w:r>
      </w:hyperlink>
      <w:r w:rsidRPr="00ED4FDC">
        <w:rPr>
          <w:rFonts w:ascii="Arial" w:hAnsi="Arial" w:cs="Arial"/>
          <w:sz w:val="18"/>
          <w:szCs w:val="18"/>
        </w:rPr>
        <w:t>.</w:t>
      </w:r>
      <w:r>
        <w:rPr>
          <w:rFonts w:ascii="Arial" w:hAnsi="Arial" w:cs="Arial"/>
          <w:sz w:val="18"/>
          <w:szCs w:val="18"/>
        </w:rPr>
        <w:t xml:space="preserve"> </w:t>
      </w:r>
      <w:r w:rsidRPr="00ED4FDC">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Header"/>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highlight w:val="yellow"/>
        <w:lang w:val="fr-FR"/>
      </w:rPr>
    </w:pPr>
  </w:p>
  <w:p w:rsidR="00510C18" w:rsidRDefault="009C7A70">
    <w:pPr>
      <w:pStyle w:val="Header"/>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4">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1"/>
  </w:num>
  <w:num w:numId="22">
    <w:abstractNumId w:val="23"/>
  </w:num>
  <w:num w:numId="23">
    <w:abstractNumId w:val="9"/>
  </w:num>
  <w:num w:numId="24">
    <w:abstractNumId w:val="28"/>
  </w:num>
  <w:num w:numId="25">
    <w:abstractNumId w:val="27"/>
  </w:num>
  <w:num w:numId="26">
    <w:abstractNumId w:val="18"/>
  </w:num>
  <w:num w:numId="27">
    <w:abstractNumId w:val="30"/>
  </w:num>
  <w:num w:numId="28">
    <w:abstractNumId w:val="35"/>
  </w:num>
  <w:num w:numId="29">
    <w:abstractNumId w:val="7"/>
  </w:num>
  <w:num w:numId="30">
    <w:abstractNumId w:val="4"/>
  </w:num>
  <w:num w:numId="31">
    <w:abstractNumId w:val="20"/>
  </w:num>
  <w:num w:numId="32">
    <w:abstractNumId w:val="2"/>
  </w:num>
  <w:num w:numId="3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37BC1"/>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14D"/>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ftc.gov/PressRoom/Events/opaevent_gmac100914" TargetMode="External"/><Relationship Id="rId7" Type="http://schemas.openxmlformats.org/officeDocument/2006/relationships/hyperlink" Target="http://www.law.cornell.edu/cfr/text/17/240.19b-4" TargetMode="External"/><Relationship Id="rId2" Type="http://schemas.openxmlformats.org/officeDocument/2006/relationships/hyperlink" Target="http://www.markitserv.com" TargetMode="External"/><Relationship Id="rId1" Type="http://schemas.openxmlformats.org/officeDocument/2006/relationships/hyperlink" Target="http://www.markit.com" TargetMode="External"/><Relationship Id="rId6" Type="http://schemas.openxmlformats.org/officeDocument/2006/relationships/hyperlink" Target="http://www.lchclearnet.com/Images/Voluntary%20Submission%20of%20Rulebook%20and%20Supporting%20Materials_tcm6-62205.pdf" TargetMode="External"/><Relationship Id="rId5" Type="http://schemas.openxmlformats.org/officeDocument/2006/relationships/hyperlink" Target="http://www.cmegroup.com/rulebook/CME/I/8H/8H.pdf" TargetMode="External"/><Relationship Id="rId4" Type="http://schemas.openxmlformats.org/officeDocument/2006/relationships/hyperlink" Target="https://www.theice.com/publicdocs/clear_credit/ICE_Clear_Credit_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774BE9"/>
    <w:rsid w:val="008D3C96"/>
    <w:rsid w:val="00DD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46A4-36B4-42E0-B3DF-F97D814675D5}">
  <ds:schemaRefs>
    <ds:schemaRef ds:uri="http://schemas.openxmlformats.org/officeDocument/2006/bibliography"/>
  </ds:schemaRefs>
</ds:datastoreItem>
</file>

<file path=customXml/itemProps2.xml><?xml version="1.0" encoding="utf-8"?>
<ds:datastoreItem xmlns:ds="http://schemas.openxmlformats.org/officeDocument/2006/customXml" ds:itemID="{EF93C2D5-4D62-4DD9-B5D6-E6BBE552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5EBE7D59</Template>
  <TotalTime>2</TotalTime>
  <Pages>13</Pages>
  <Words>1985</Words>
  <Characters>11635</Characters>
  <Application>Microsoft Office Word</Application>
  <DocSecurity>8</DocSecurity>
  <Lines>96</Lines>
  <Paragraphs>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13593</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Allison Kelrick</cp:lastModifiedBy>
  <cp:revision>3</cp:revision>
  <cp:lastPrinted>2014-05-08T15:06:00Z</cp:lastPrinted>
  <dcterms:created xsi:type="dcterms:W3CDTF">2014-11-06T15:11:00Z</dcterms:created>
  <dcterms:modified xsi:type="dcterms:W3CDTF">2014-11-06T15:13:00Z</dcterms:modified>
</cp:coreProperties>
</file>