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footerReference w:type="first" r:id="rId13"/>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4" w:history="1">
        <w:r w:rsidRPr="00321CD3">
          <w:rPr>
            <w:rStyle w:val="Lienhypertexte"/>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Lienhypertexte"/>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Titre1"/>
        <w:numPr>
          <w:ilvl w:val="0"/>
          <w:numId w:val="0"/>
        </w:numPr>
      </w:pPr>
      <w:r>
        <w:lastRenderedPageBreak/>
        <w:t>General information about respondent</w:t>
      </w:r>
    </w:p>
    <w:tbl>
      <w:tblPr>
        <w:tblStyle w:val="Grilledutableau"/>
        <w:tblW w:w="0" w:type="auto"/>
        <w:tblLook w:val="04A0" w:firstRow="1" w:lastRow="0" w:firstColumn="1" w:lastColumn="0" w:noHBand="0" w:noVBand="1"/>
      </w:tblPr>
      <w:tblGrid>
        <w:gridCol w:w="3510"/>
        <w:gridCol w:w="6118"/>
      </w:tblGrid>
      <w:tr w:rsidR="00F45029" w:rsidTr="008B615D">
        <w:tc>
          <w:tcPr>
            <w:tcW w:w="3510" w:type="dxa"/>
          </w:tcPr>
          <w:p w:rsidR="00F45029" w:rsidRDefault="00F45029" w:rsidP="008B615D">
            <w:r>
              <w:t>Are you representing an association?</w:t>
            </w:r>
          </w:p>
        </w:tc>
        <w:tc>
          <w:tcPr>
            <w:tcW w:w="6118" w:type="dxa"/>
          </w:tcPr>
          <w:p w:rsidR="00F45029" w:rsidRDefault="004A67FF"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1104302950" w:edGrp="everyone"/>
                <w:r w:rsidR="00C9709A">
                  <w:t>Yes</w:t>
                </w:r>
                <w:permEnd w:id="1104302950"/>
              </w:sdtContent>
            </w:sdt>
          </w:p>
        </w:tc>
      </w:tr>
      <w:tr w:rsidR="00F45029" w:rsidTr="008B615D">
        <w:tc>
          <w:tcPr>
            <w:tcW w:w="3510" w:type="dxa"/>
          </w:tcPr>
          <w:p w:rsidR="00F45029" w:rsidRDefault="00F45029" w:rsidP="008B615D">
            <w:r>
              <w:t>Activity:</w:t>
            </w:r>
          </w:p>
        </w:tc>
        <w:tc>
          <w:tcPr>
            <w:tcW w:w="6118" w:type="dxa"/>
          </w:tcPr>
          <w:p w:rsidR="00F45029" w:rsidRDefault="004A67FF"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461662719" w:edGrp="everyone"/>
                <w:r w:rsidR="001940B1">
                  <w:t>Investment Services</w:t>
                </w:r>
                <w:permEnd w:id="461662719"/>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36026412" w:edGrp="everyone" w:displacedByCustomXml="prev"/>
            <w:tc>
              <w:tcPr>
                <w:tcW w:w="6118" w:type="dxa"/>
              </w:tcPr>
              <w:p w:rsidR="00F45029" w:rsidRDefault="001940B1" w:rsidP="008B615D">
                <w:r>
                  <w:t>France</w:t>
                </w:r>
              </w:p>
            </w:tc>
            <w:permEnd w:id="2036026412"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Titre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B73D24" w:rsidRDefault="00B73D24" w:rsidP="00C7564E">
      <w:permStart w:id="1591614097" w:edGrp="everyone"/>
    </w:p>
    <w:p w:rsidR="00C7564E" w:rsidRDefault="009D4216" w:rsidP="00C7564E">
      <w:r>
        <w:t>AFG</w:t>
      </w:r>
      <w:r w:rsidR="00B73D24">
        <w:t xml:space="preserve"> opposes the suggestion to extend to NDFs the clearing obligation that is anticipated for </w:t>
      </w:r>
      <w:r w:rsidR="0051249D">
        <w:t>many</w:t>
      </w:r>
      <w:r w:rsidR="00B73D24">
        <w:t xml:space="preserve"> IRS and CDS instruments for the following reasons:</w:t>
      </w:r>
    </w:p>
    <w:p w:rsidR="00B73D24" w:rsidRDefault="00B73D24" w:rsidP="00846336">
      <w:pPr>
        <w:pStyle w:val="Paragraphedeliste"/>
        <w:numPr>
          <w:ilvl w:val="0"/>
          <w:numId w:val="38"/>
        </w:numPr>
      </w:pPr>
      <w:r>
        <w:t>the size of the market is very limited and it is very difficult to suspect that it will  bring any syste</w:t>
      </w:r>
      <w:r>
        <w:t>m</w:t>
      </w:r>
      <w:r w:rsidR="00846336">
        <w:t>ic risk: the FX NDFs only represent 2.7</w:t>
      </w:r>
      <w:r w:rsidR="00846336" w:rsidRPr="00846336">
        <w:t>% of the average daily turnover of the OTC FX market</w:t>
      </w:r>
      <w:r w:rsidR="00846336">
        <w:t>;</w:t>
      </w:r>
    </w:p>
    <w:p w:rsidR="009274CF" w:rsidRDefault="009274CF" w:rsidP="00BF1D16">
      <w:pPr>
        <w:pStyle w:val="Paragraphedeliste"/>
        <w:numPr>
          <w:ilvl w:val="0"/>
          <w:numId w:val="38"/>
        </w:numPr>
      </w:pPr>
      <w:r>
        <w:t>the study conducted by ESMA shows that there is a very limited liquidity for NDFs; that is partic</w:t>
      </w:r>
      <w:r>
        <w:t>u</w:t>
      </w:r>
      <w:r w:rsidR="00590397">
        <w:t>larly true and evident for 7 or 8</w:t>
      </w:r>
      <w:r>
        <w:t xml:space="preserve"> of the 11 studied currencies, since two thirds to ¾ </w:t>
      </w:r>
      <w:r w:rsidR="0078410E">
        <w:t>of the activity are</w:t>
      </w:r>
      <w:r>
        <w:t xml:space="preserve"> concentrated on 4 or 3 currencies only; </w:t>
      </w:r>
    </w:p>
    <w:p w:rsidR="009274CF" w:rsidRDefault="009274CF" w:rsidP="009F1144">
      <w:pPr>
        <w:pStyle w:val="Paragraphedeliste"/>
        <w:numPr>
          <w:ilvl w:val="0"/>
          <w:numId w:val="38"/>
        </w:numPr>
      </w:pPr>
      <w:r>
        <w:t>the number of CCPs and CMs clearing NDFs for the account of clients is very limited and will not support the obligation to clear</w:t>
      </w:r>
      <w:r w:rsidR="009F1144">
        <w:t xml:space="preserve">: there are only one EMIR authorised CCP and </w:t>
      </w:r>
      <w:r w:rsidR="009F1144" w:rsidRPr="009F1144">
        <w:t>only 20 clearing me</w:t>
      </w:r>
      <w:r w:rsidR="009F1144">
        <w:t>m</w:t>
      </w:r>
      <w:r w:rsidR="009F1144" w:rsidRPr="009F1144">
        <w:t>bers</w:t>
      </w:r>
      <w:r w:rsidR="009F1144">
        <w:t xml:space="preserve"> for NDF</w:t>
      </w:r>
      <w:r w:rsidR="009F1144" w:rsidRPr="009F1144">
        <w:t>, of which only two currently support the FX NDF client clearing activity</w:t>
      </w:r>
      <w:r w:rsidR="009F1144">
        <w:t xml:space="preserve"> </w:t>
      </w:r>
      <w:r>
        <w:t>;</w:t>
      </w:r>
    </w:p>
    <w:p w:rsidR="009274CF" w:rsidRDefault="009274CF" w:rsidP="00B73D24">
      <w:pPr>
        <w:pStyle w:val="Paragraphedeliste"/>
        <w:numPr>
          <w:ilvl w:val="0"/>
          <w:numId w:val="38"/>
        </w:numPr>
      </w:pPr>
      <w:bookmarkStart w:id="6" w:name="_GoBack"/>
      <w:bookmarkEnd w:id="6"/>
      <w:r>
        <w:t xml:space="preserve">the longer maturities (above 6 months) are totally illiquid and we suspect that it is not possible to have access to proper valuation based on real deals for them; </w:t>
      </w:r>
    </w:p>
    <w:p w:rsidR="00B73D24" w:rsidRDefault="009D4216" w:rsidP="00B73D24">
      <w:pPr>
        <w:pStyle w:val="Paragraphedeliste"/>
        <w:numPr>
          <w:ilvl w:val="0"/>
          <w:numId w:val="38"/>
        </w:numPr>
      </w:pPr>
      <w:r>
        <w:t>AFG</w:t>
      </w:r>
      <w:r w:rsidR="00BF1D16">
        <w:t xml:space="preserve"> is very much concerned with the negative impact of an obligation to clear NDFs; </w:t>
      </w:r>
      <w:r w:rsidR="0051249D">
        <w:t>i</w:t>
      </w:r>
      <w:r w:rsidR="00BF1D16">
        <w:t>t would i</w:t>
      </w:r>
      <w:r w:rsidR="00BF1D16">
        <w:t>m</w:t>
      </w:r>
      <w:r w:rsidR="00BF1D16">
        <w:t>ply the necessity to hold in the fund’s portfolio assets, cash or collateral accepted by the only wor</w:t>
      </w:r>
      <w:r w:rsidR="00BF1D16">
        <w:t>k</w:t>
      </w:r>
      <w:r w:rsidR="00BF1D16">
        <w:t xml:space="preserve">ing CCP, that are not included in the investment universe of the fund. Effectively NDFs </w:t>
      </w:r>
      <w:r w:rsidR="0051249D">
        <w:t>ar</w:t>
      </w:r>
      <w:r w:rsidR="00BF1D16">
        <w:t>e used in funds specialized on emerging markets and few (if any) bonds or shares of these markets are elig</w:t>
      </w:r>
      <w:r w:rsidR="00BF1D16">
        <w:t>i</w:t>
      </w:r>
      <w:r w:rsidR="00BF1D16">
        <w:t xml:space="preserve">ble collateral for LCH </w:t>
      </w:r>
      <w:proofErr w:type="spellStart"/>
      <w:r w:rsidR="00BF1D16">
        <w:t>Clearnet</w:t>
      </w:r>
      <w:proofErr w:type="spellEnd"/>
      <w:r w:rsidR="00BF1D16">
        <w:t xml:space="preserve"> Ltd.</w:t>
      </w:r>
    </w:p>
    <w:p w:rsidR="00BF1D16" w:rsidRDefault="00BF1D16" w:rsidP="00BF1D16">
      <w:r>
        <w:t>We are surprised that ESMA in this consultation breaches the logic of its approach towards clearing obl</w:t>
      </w:r>
      <w:r>
        <w:t>i</w:t>
      </w:r>
      <w:r>
        <w:t xml:space="preserve">gation as developed in the preceding </w:t>
      </w:r>
      <w:r w:rsidR="00AB4635">
        <w:t>two consultations and fear that</w:t>
      </w:r>
      <w:r>
        <w:t xml:space="preserve"> it might give a negative signal </w:t>
      </w:r>
      <w:r w:rsidR="001119B3">
        <w:t xml:space="preserve">to market participants. As a matter of fact we do not understand the rationale of the proposition and see on the contrary many contradictions in ESMA’s reasoning. We </w:t>
      </w:r>
      <w:r>
        <w:t>strongly recommend that ESMA abandon its proposal to impose an obligation to clear NDFs.</w:t>
      </w:r>
    </w:p>
    <w:p w:rsidR="00EC672C" w:rsidRDefault="00EC672C" w:rsidP="00BF1D16">
      <w:r>
        <w:t>Furthermore</w:t>
      </w:r>
      <w:r w:rsidRPr="00EC672C">
        <w:t>, we understand that the consultation was is</w:t>
      </w:r>
      <w:r>
        <w:t xml:space="preserve">sued in order to coordinate ESMA’s and CFTC’s </w:t>
      </w:r>
      <w:r w:rsidRPr="00EC672C">
        <w:t>actions regarding the clearing of the NDF</w:t>
      </w:r>
      <w:r>
        <w:t>s</w:t>
      </w:r>
      <w:r w:rsidRPr="00EC672C">
        <w:t>. We wish to emphasize the importance of ensuring alignment between Dodd Frank and EMIR in order to maintain a consistent market. Nevertheless, we question the fact that a majority of the NDF</w:t>
      </w:r>
      <w:r>
        <w:t>s are treated in local (Asia/Latin America</w:t>
      </w:r>
      <w:r w:rsidRPr="00EC672C">
        <w:t xml:space="preserve">) without </w:t>
      </w:r>
      <w:r>
        <w:t xml:space="preserve">a coordination of </w:t>
      </w:r>
      <w:r w:rsidRPr="00EC672C">
        <w:t>regul</w:t>
      </w:r>
      <w:r w:rsidRPr="00EC672C">
        <w:t>a</w:t>
      </w:r>
      <w:r>
        <w:t xml:space="preserve">tions </w:t>
      </w:r>
      <w:r w:rsidR="00C851AF">
        <w:t xml:space="preserve">and which </w:t>
      </w:r>
      <w:r>
        <w:t xml:space="preserve">can </w:t>
      </w:r>
      <w:r w:rsidRPr="00EC672C">
        <w:t xml:space="preserve">create </w:t>
      </w:r>
      <w:r>
        <w:t xml:space="preserve">a </w:t>
      </w:r>
      <w:r w:rsidRPr="00EC672C">
        <w:t>market fragmentation.</w:t>
      </w:r>
    </w:p>
    <w:p w:rsidR="00EC672C" w:rsidRDefault="00EC672C" w:rsidP="00BF1D16"/>
    <w:permEnd w:id="1591614097"/>
    <w:p w:rsidR="00C7564E" w:rsidRDefault="00C7564E" w:rsidP="00C7564E">
      <w:r>
        <w:t>&lt;ESMA_CO3_COMMENT_1&gt;</w:t>
      </w:r>
    </w:p>
    <w:p w:rsidR="00CC1C71" w:rsidRPr="0058137B" w:rsidRDefault="00CC1C71" w:rsidP="00CC1C71">
      <w:pPr>
        <w:pStyle w:val="Titre2"/>
        <w:keepLines w:val="0"/>
        <w:pageBreakBefore/>
        <w:numPr>
          <w:ilvl w:val="0"/>
          <w:numId w:val="36"/>
        </w:numPr>
        <w:spacing w:before="0" w:after="250" w:line="276" w:lineRule="auto"/>
        <w:ind w:left="357" w:hanging="357"/>
        <w:jc w:val="both"/>
      </w:pPr>
      <w:r w:rsidRPr="0058137B">
        <w:lastRenderedPageBreak/>
        <w:t>The clearing obligation procedure</w:t>
      </w:r>
      <w:bookmarkStart w:id="7" w:name="_Toc390952336"/>
      <w:bookmarkStart w:id="8" w:name="_Toc391310566"/>
      <w:bookmarkStart w:id="9" w:name="_Toc391310591"/>
      <w:bookmarkStart w:id="10" w:name="_Toc391310651"/>
      <w:bookmarkStart w:id="11" w:name="_Toc391313043"/>
      <w:bookmarkEnd w:id="4"/>
      <w:bookmarkEnd w:id="5"/>
      <w:bookmarkEnd w:id="7"/>
      <w:bookmarkEnd w:id="8"/>
      <w:bookmarkEnd w:id="9"/>
      <w:bookmarkEnd w:id="10"/>
      <w:bookmarkEnd w:id="11"/>
    </w:p>
    <w:p w:rsidR="00CC1C71" w:rsidRDefault="00CC1C71" w:rsidP="00CC1C71"/>
    <w:p w:rsidR="00CC1C71" w:rsidRDefault="00CC1C71" w:rsidP="00CC1C71">
      <w:pPr>
        <w:pStyle w:val="Titre5"/>
      </w:pPr>
      <w:r>
        <w:t>Do you have any comment on the clearing obligation procedure described in Section 1?</w:t>
      </w:r>
    </w:p>
    <w:p w:rsidR="00CC1C71" w:rsidRDefault="00CC1C71" w:rsidP="00CC1C71"/>
    <w:p w:rsidR="00CC1C71" w:rsidRDefault="00CC1C71" w:rsidP="00CC1C71">
      <w:r>
        <w:t>&lt;ESMA_CO3_QUESTION_1&gt;</w:t>
      </w:r>
    </w:p>
    <w:p w:rsidR="00CC1C71" w:rsidRDefault="009D4216" w:rsidP="00CC1C71">
      <w:permStart w:id="1500849386" w:edGrp="everyone"/>
      <w:r>
        <w:t>AFG</w:t>
      </w:r>
      <w:r w:rsidR="001119B3">
        <w:t xml:space="preserve"> considers that each currency should be analysed individually. The introduction of a 12</w:t>
      </w:r>
      <w:r w:rsidR="001119B3" w:rsidRPr="001119B3">
        <w:rPr>
          <w:vertAlign w:val="superscript"/>
        </w:rPr>
        <w:t>th</w:t>
      </w:r>
      <w:r w:rsidR="001119B3">
        <w:t xml:space="preserve"> currency, Peruvian Sol, illustrates the fact that a global approach on NDF cannot apply and that a more granular approach is required.</w:t>
      </w:r>
    </w:p>
    <w:permEnd w:id="1500849386"/>
    <w:p w:rsidR="00CC1C71" w:rsidRDefault="00CC1C71" w:rsidP="00CC1C71">
      <w:r>
        <w:t>&lt;ESMA_CO3_QUESTION_1&gt;</w:t>
      </w:r>
    </w:p>
    <w:p w:rsidR="00CC1C71" w:rsidRDefault="00CC1C71" w:rsidP="00CC1C71"/>
    <w:p w:rsidR="00CC1C71" w:rsidRDefault="00CC1C71" w:rsidP="00CC1C71">
      <w:pPr>
        <w:pStyle w:val="Titre2"/>
        <w:keepLines w:val="0"/>
        <w:pageBreakBefore/>
        <w:numPr>
          <w:ilvl w:val="0"/>
          <w:numId w:val="36"/>
        </w:numPr>
        <w:spacing w:before="0" w:after="250" w:line="276" w:lineRule="auto"/>
        <w:ind w:left="357" w:hanging="357"/>
        <w:jc w:val="both"/>
      </w:pPr>
      <w:bookmarkStart w:id="12" w:name="_Ref392685388"/>
      <w:bookmarkStart w:id="13" w:name="_Toc398140745"/>
      <w:r>
        <w:lastRenderedPageBreak/>
        <w:t>Structure of the non-deliverable forward derivatives classes</w:t>
      </w:r>
      <w:bookmarkEnd w:id="12"/>
      <w:bookmarkEnd w:id="13"/>
    </w:p>
    <w:p w:rsidR="00CC1C71" w:rsidRDefault="00CC1C71" w:rsidP="00CC1C71"/>
    <w:p w:rsidR="00CC1C71" w:rsidRPr="0075124D" w:rsidRDefault="00CC1C71" w:rsidP="00CC1C71">
      <w:pPr>
        <w:pStyle w:val="Titre5"/>
      </w:pPr>
      <w:r w:rsidRPr="0075124D">
        <w:t>Do you consider that the proposed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CC1C71" w:rsidRDefault="009D4216" w:rsidP="00CC1C71">
      <w:permStart w:id="1200364470" w:edGrp="everyone"/>
      <w:r>
        <w:t>AFG</w:t>
      </w:r>
      <w:r w:rsidR="001119B3">
        <w:t xml:space="preserve"> agrees with the specification of each class and supports the emergence of</w:t>
      </w:r>
      <w:r w:rsidR="009048E9">
        <w:t xml:space="preserve"> </w:t>
      </w:r>
      <w:r w:rsidR="001119B3">
        <w:t xml:space="preserve">€ or £ as </w:t>
      </w:r>
      <w:r w:rsidR="005A3F5E">
        <w:t>new</w:t>
      </w:r>
      <w:r w:rsidR="001119B3">
        <w:t xml:space="preserve"> currencies eligible for settlement. </w:t>
      </w:r>
      <w:r w:rsidR="009048E9">
        <w:t>Any action to develop European currencies must be encouraged from a political point of view.</w:t>
      </w:r>
    </w:p>
    <w:permEnd w:id="1200364470"/>
    <w:p w:rsidR="00CC1C71" w:rsidRDefault="00CC1C71" w:rsidP="00CC1C71">
      <w:r>
        <w:t>&lt;ESMA_CO3_QUESTION_2&gt;</w:t>
      </w:r>
    </w:p>
    <w:p w:rsidR="00CC1C71" w:rsidRDefault="00CC1C71" w:rsidP="00CC1C71"/>
    <w:p w:rsidR="00CC1C71" w:rsidRPr="00A84770" w:rsidRDefault="00CC1C71" w:rsidP="00CC1C71">
      <w:pPr>
        <w:pStyle w:val="Titre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lastRenderedPageBreak/>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Titre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CC1C71" w:rsidRDefault="009D4216" w:rsidP="00CC1C71">
      <w:permStart w:id="823005189" w:edGrp="everyone"/>
      <w:r>
        <w:t>AFG</w:t>
      </w:r>
      <w:r w:rsidR="009048E9">
        <w:t xml:space="preserve"> is very much impressed by the quantity</w:t>
      </w:r>
      <w:r w:rsidR="0051249D">
        <w:t xml:space="preserve"> and quality</w:t>
      </w:r>
      <w:r w:rsidR="009048E9">
        <w:t xml:space="preserve"> of data that ESMA was able to produce and we feel that, when confronted to article 5 (4) EMIR, they point to the conclusion that NDF</w:t>
      </w:r>
      <w:r w:rsidR="0051249D">
        <w:t>s</w:t>
      </w:r>
      <w:r w:rsidR="009048E9">
        <w:t xml:space="preserve"> should not be subject to an obligation to clear. Let us review the criteria.</w:t>
      </w:r>
    </w:p>
    <w:p w:rsidR="009048E9" w:rsidRDefault="009048E9" w:rsidP="00CC1C71">
      <w:r>
        <w:rPr>
          <w:b/>
        </w:rPr>
        <w:t xml:space="preserve">Standardisation: </w:t>
      </w:r>
      <w:r>
        <w:t>we agree that EMTA and ISDA have drafted a proper framework for NDF.</w:t>
      </w:r>
    </w:p>
    <w:p w:rsidR="009048E9" w:rsidRDefault="00FC0FBC" w:rsidP="00CC1C71">
      <w:pPr>
        <w:rPr>
          <w:b/>
        </w:rPr>
      </w:pPr>
      <w:r>
        <w:rPr>
          <w:b/>
        </w:rPr>
        <w:t>Liquidity:</w:t>
      </w:r>
    </w:p>
    <w:p w:rsidR="009048E9" w:rsidRDefault="009048E9" w:rsidP="005D2041">
      <w:pPr>
        <w:pStyle w:val="Paragraphedeliste"/>
        <w:numPr>
          <w:ilvl w:val="0"/>
          <w:numId w:val="39"/>
        </w:numPr>
      </w:pPr>
      <w:r w:rsidRPr="0051249D">
        <w:rPr>
          <w:u w:val="single"/>
        </w:rPr>
        <w:t>Proportionate margins</w:t>
      </w:r>
      <w:r>
        <w:t>: we consider that ESMA is not in a proper position to assess that margins are not to low based on the fact that Competent Authorities have examined that point when a</w:t>
      </w:r>
      <w:r>
        <w:t>u</w:t>
      </w:r>
      <w:r w:rsidR="001A0CB9">
        <w:t>thorizing CCPs; it sounds like</w:t>
      </w:r>
      <w:r>
        <w:t xml:space="preserve"> a self</w:t>
      </w:r>
      <w:r w:rsidR="005D2041">
        <w:t>- declaration of conformity; §42 deals with the risk that ma</w:t>
      </w:r>
      <w:r w:rsidR="005D2041">
        <w:t>r</w:t>
      </w:r>
      <w:r w:rsidR="005D2041">
        <w:t xml:space="preserve">gins might be too high and the decisive point is that competition between CCPs prevents it to happen; when there is only one CCP authorized to clear NDFs in Europe we cannot follow ESMA and accept that “this CCP is not in a monopoly situation at international level…” : there is no choice for market participants but to clear </w:t>
      </w:r>
      <w:r>
        <w:t xml:space="preserve"> </w:t>
      </w:r>
      <w:r w:rsidR="005D2041">
        <w:t>through this CCP</w:t>
      </w:r>
      <w:r w:rsidR="0051249D">
        <w:t>,</w:t>
      </w:r>
      <w:r w:rsidR="005D2041">
        <w:t xml:space="preserve"> which is the definition of a m</w:t>
      </w:r>
      <w:r w:rsidR="005D2041">
        <w:t>o</w:t>
      </w:r>
      <w:r w:rsidR="005D2041">
        <w:t>nopoly situation. ESMA cannot issue a RTS based on speculation</w:t>
      </w:r>
      <w:r w:rsidR="0051249D">
        <w:t>s</w:t>
      </w:r>
      <w:r w:rsidR="005D2041">
        <w:t xml:space="preserve"> that other CCPs from third countries might be recognised under EMIR. RTS must be based on the situation existing at the time of its writing. </w:t>
      </w:r>
    </w:p>
    <w:p w:rsidR="005D2041" w:rsidRDefault="005D2041" w:rsidP="005D2041">
      <w:pPr>
        <w:pStyle w:val="Paragraphedeliste"/>
        <w:numPr>
          <w:ilvl w:val="0"/>
          <w:numId w:val="39"/>
        </w:numPr>
      </w:pPr>
      <w:r w:rsidRPr="001A0CB9">
        <w:rPr>
          <w:u w:val="single"/>
        </w:rPr>
        <w:t>Stability of the market size and depth</w:t>
      </w:r>
      <w:r>
        <w:t>:</w:t>
      </w:r>
      <w:r w:rsidR="001C571C">
        <w:t xml:space="preserve"> </w:t>
      </w:r>
      <w:r w:rsidR="00DC5D6A">
        <w:t>if the slope of the curve of FX transactions is impressive on figure 2, that of NDF</w:t>
      </w:r>
      <w:r w:rsidR="001A0CB9">
        <w:t>s</w:t>
      </w:r>
      <w:r w:rsidR="00DC5D6A">
        <w:t xml:space="preserve"> is far lower and we think that the drop of NDF activities on the second half of 2013 in London as shown in figure 3 is significant </w:t>
      </w:r>
      <w:r w:rsidR="001A0CB9">
        <w:t xml:space="preserve">evidence </w:t>
      </w:r>
      <w:r w:rsidR="00DC5D6A">
        <w:t>of some instability of the market; furthe</w:t>
      </w:r>
      <w:r w:rsidR="001A0CB9">
        <w:t>r</w:t>
      </w:r>
      <w:r w:rsidR="00DC5D6A">
        <w:t xml:space="preserve">more we conclude from the experience of the Australian dollar that in one year (July 1985 to July 1986) the NDF lost liquidity when regulation became more flexible; we might be at the eve of a comparable phenomenon with Chinese </w:t>
      </w:r>
      <w:proofErr w:type="spellStart"/>
      <w:r w:rsidR="00DC5D6A">
        <w:t>Remninbi</w:t>
      </w:r>
      <w:proofErr w:type="spellEnd"/>
      <w:r w:rsidR="00DC5D6A">
        <w:t xml:space="preserve"> which is one of the 3 most active NDF cu</w:t>
      </w:r>
      <w:r w:rsidR="00DC5D6A">
        <w:t>r</w:t>
      </w:r>
      <w:r w:rsidR="001A0CB9">
        <w:t>r</w:t>
      </w:r>
      <w:r w:rsidR="00DC5D6A">
        <w:t>encies; in pour view these figures evidence a profound instability of the market.</w:t>
      </w:r>
    </w:p>
    <w:p w:rsidR="00DC5D6A" w:rsidRDefault="00DC5D6A" w:rsidP="005D2041">
      <w:pPr>
        <w:pStyle w:val="Paragraphedeliste"/>
        <w:numPr>
          <w:ilvl w:val="0"/>
          <w:numId w:val="39"/>
        </w:numPr>
      </w:pPr>
      <w:r w:rsidRPr="001A0CB9">
        <w:rPr>
          <w:u w:val="single"/>
        </w:rPr>
        <w:t>Market dispersion</w:t>
      </w:r>
      <w:r>
        <w:t xml:space="preserve">: </w:t>
      </w:r>
      <w:r w:rsidR="000518B8">
        <w:t>We agree that 17 members is sufficient</w:t>
      </w:r>
      <w:r w:rsidR="001A0CB9">
        <w:t xml:space="preserve"> if they offer clients servicing</w:t>
      </w:r>
      <w:r w:rsidR="000518B8">
        <w:t xml:space="preserve"> </w:t>
      </w:r>
      <w:r w:rsidR="001A0CB9">
        <w:t xml:space="preserve">(which is apparently not the case) </w:t>
      </w:r>
      <w:r w:rsidR="000518B8">
        <w:t>to provide market dispersion; but once again, we do not share the spec</w:t>
      </w:r>
      <w:r w:rsidR="000518B8">
        <w:t>u</w:t>
      </w:r>
      <w:r w:rsidR="000518B8">
        <w:t>lation, in § 56, on the propensity of these members to connect to other CCPs that might one day be EMIR-recognised;</w:t>
      </w:r>
    </w:p>
    <w:p w:rsidR="0045615C" w:rsidRDefault="000518B8" w:rsidP="0045615C">
      <w:pPr>
        <w:pStyle w:val="Paragraphedeliste"/>
        <w:numPr>
          <w:ilvl w:val="0"/>
          <w:numId w:val="39"/>
        </w:numPr>
      </w:pPr>
      <w:r w:rsidRPr="001A0CB9">
        <w:rPr>
          <w:u w:val="single"/>
        </w:rPr>
        <w:t>Number and value of the transactions</w:t>
      </w:r>
      <w:r>
        <w:t>: if we follow the figures presented by ESMA, OTC FX co</w:t>
      </w:r>
      <w:r>
        <w:t>n</w:t>
      </w:r>
      <w:r>
        <w:t xml:space="preserve">tracts represent 9.9 or 12.2% of the OTC derivative market. NDFs account for 2.7% of the </w:t>
      </w:r>
      <w:proofErr w:type="gramStart"/>
      <w:r>
        <w:t>FX  OTC</w:t>
      </w:r>
      <w:proofErr w:type="gramEnd"/>
      <w:r>
        <w:t xml:space="preserve"> market</w:t>
      </w:r>
      <w:r w:rsidR="00793C77">
        <w:t xml:space="preserve">: NDF represent somewhere around 0.3% of the OTC derivative market. It is difficult to consider it as significant and the Roman principle that </w:t>
      </w:r>
      <w:r w:rsidR="00793C77">
        <w:rPr>
          <w:i/>
        </w:rPr>
        <w:t xml:space="preserve">de </w:t>
      </w:r>
      <w:proofErr w:type="spellStart"/>
      <w:r w:rsidR="00793C77">
        <w:rPr>
          <w:i/>
        </w:rPr>
        <w:t>minimis</w:t>
      </w:r>
      <w:proofErr w:type="spellEnd"/>
      <w:r w:rsidR="00793C77">
        <w:rPr>
          <w:i/>
        </w:rPr>
        <w:t xml:space="preserve"> praetor non </w:t>
      </w:r>
      <w:proofErr w:type="spellStart"/>
      <w:r w:rsidR="00793C77">
        <w:rPr>
          <w:i/>
        </w:rPr>
        <w:t>curat</w:t>
      </w:r>
      <w:proofErr w:type="spellEnd"/>
      <w:r w:rsidR="00793C77">
        <w:t xml:space="preserve"> </w:t>
      </w:r>
      <w:r w:rsidR="008E34E3">
        <w:t>seems appropriate</w:t>
      </w:r>
      <w:r w:rsidR="00793C77">
        <w:t xml:space="preserve"> in this case. Even the figure of trading of $ 127 billion in April is not impressive when we realize that it is the peak</w:t>
      </w:r>
      <w:r w:rsidR="001A0CB9">
        <w:t xml:space="preserve"> level as evidenced in figure 3; the comparison with the total traded on one currency, sterling, on IRS on the same period is not relevant as it compares a global asset class, NDF with many different currencies and diversified risk, to a single sub category.</w:t>
      </w:r>
    </w:p>
    <w:p w:rsidR="0045615C" w:rsidRDefault="0045615C" w:rsidP="0045615C">
      <w:r>
        <w:t xml:space="preserve">The breakdown per currency shows that depending on the figures presented, which are all proxies for real indications of Europe based NDF activity, 3 currencies </w:t>
      </w:r>
      <w:r w:rsidR="001F2082">
        <w:t xml:space="preserve">(China, Korea, India) represent the vast majority of the </w:t>
      </w:r>
      <w:r w:rsidR="008E34E3">
        <w:t>deals and</w:t>
      </w:r>
      <w:r w:rsidR="001F2082">
        <w:t xml:space="preserve"> amount to ¾ o</w:t>
      </w:r>
      <w:r w:rsidR="001A0CB9">
        <w:t>f</w:t>
      </w:r>
      <w:r w:rsidR="001F2082">
        <w:t xml:space="preserve"> </w:t>
      </w:r>
      <w:proofErr w:type="spellStart"/>
      <w:r w:rsidR="001F2082">
        <w:t>Euroclear</w:t>
      </w:r>
      <w:proofErr w:type="spellEnd"/>
      <w:r w:rsidR="001F2082">
        <w:t xml:space="preserve"> cleared transactions. Those only might account for more than a couple of basis points in OTC derivatives.</w:t>
      </w:r>
    </w:p>
    <w:p w:rsidR="00793C77" w:rsidRPr="00793C77" w:rsidRDefault="00793C77" w:rsidP="00793C77">
      <w:r>
        <w:rPr>
          <w:b/>
        </w:rPr>
        <w:t>Availability of pricing information:</w:t>
      </w:r>
      <w:r>
        <w:t xml:space="preserve"> it is clear that the CCP will establish day-closing price in</w:t>
      </w:r>
      <w:r w:rsidR="0045615C">
        <w:t xml:space="preserve"> </w:t>
      </w:r>
      <w:r>
        <w:t xml:space="preserve">order to compute margin calls. </w:t>
      </w:r>
      <w:r w:rsidR="0045615C">
        <w:t>They rely on contributions by CM</w:t>
      </w:r>
      <w:r w:rsidR="001A0CB9">
        <w:t>, what</w:t>
      </w:r>
      <w:r w:rsidR="0045615C">
        <w:t xml:space="preserve"> is certainly questionable when reminding the temptation to manipulate prices in a far more liquid field as Libor. As 98% of the NDF contracts have maturities up to 6 month, there is no real liquidity</w:t>
      </w:r>
      <w:r w:rsidR="002C02A5">
        <w:t xml:space="preserve">, and hence price information, </w:t>
      </w:r>
      <w:r w:rsidR="0045615C">
        <w:t>on longer maturities.</w:t>
      </w:r>
    </w:p>
    <w:permEnd w:id="823005189"/>
    <w:p w:rsidR="00CC1C71" w:rsidRDefault="00CC1C71" w:rsidP="00CC1C71">
      <w:r>
        <w:t>&lt;ESMA_CO3_QUESTION_3&gt;</w:t>
      </w:r>
    </w:p>
    <w:p w:rsidR="00CC1C71" w:rsidRDefault="00CC1C71" w:rsidP="00CC1C71"/>
    <w:p w:rsidR="00CC1C71" w:rsidRDefault="00CC1C71" w:rsidP="00CC1C71">
      <w:pPr>
        <w:pStyle w:val="Titre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CC1C71" w:rsidRDefault="0045615C" w:rsidP="00CC1C71">
      <w:permStart w:id="1390030692" w:edGrp="everyone"/>
      <w:r>
        <w:lastRenderedPageBreak/>
        <w:t>Yes. We acknowledge the fact that past 3 months the liquidity drops and that above 6 month price info</w:t>
      </w:r>
      <w:r>
        <w:t>r</w:t>
      </w:r>
      <w:r>
        <w:t xml:space="preserve">mation will almost exclusively rely on contributions. We </w:t>
      </w:r>
      <w:r w:rsidR="001A0CB9">
        <w:t>strongly recommend of the proposed clearing obligation to limit the scope to NDFs with maturities lower than 6 months</w:t>
      </w:r>
      <w:r w:rsidR="001F2082">
        <w:t>.</w:t>
      </w:r>
    </w:p>
    <w:permEnd w:id="1390030692"/>
    <w:p w:rsidR="00CC1C71" w:rsidRDefault="00CC1C71" w:rsidP="00CC1C71">
      <w:r>
        <w:t>&lt;ESMA_CO3_QUESTION_4&gt;</w:t>
      </w:r>
    </w:p>
    <w:p w:rsidR="00CC1C71" w:rsidRDefault="00CC1C71" w:rsidP="00CC1C71"/>
    <w:p w:rsidR="00CC1C71" w:rsidRDefault="00CC1C71" w:rsidP="00CC1C71">
      <w:pPr>
        <w:pStyle w:val="Titre2"/>
        <w:keepLines w:val="0"/>
        <w:pageBreakBefore/>
        <w:numPr>
          <w:ilvl w:val="0"/>
          <w:numId w:val="36"/>
        </w:numPr>
        <w:spacing w:before="0" w:after="250" w:line="276" w:lineRule="auto"/>
        <w:ind w:left="357" w:hanging="357"/>
        <w:jc w:val="both"/>
      </w:pPr>
      <w:bookmarkStart w:id="17" w:name="_Toc398140747"/>
      <w:r w:rsidRPr="00412C4C">
        <w:lastRenderedPageBreak/>
        <w:t xml:space="preserve">Determination of the </w:t>
      </w:r>
      <w:r>
        <w:t xml:space="preserve">dates on which the obligation applies and </w:t>
      </w:r>
      <w:r w:rsidRPr="00412C4C">
        <w:t>the categories of cou</w:t>
      </w:r>
      <w:r w:rsidRPr="00412C4C">
        <w:t>n</w:t>
      </w:r>
      <w:r w:rsidRPr="00412C4C">
        <w:t>terparties</w:t>
      </w:r>
      <w:bookmarkEnd w:id="17"/>
    </w:p>
    <w:p w:rsidR="00CC1C71" w:rsidRDefault="00CC1C71" w:rsidP="00CC1C71"/>
    <w:p w:rsidR="00CC1C71" w:rsidRPr="00284213" w:rsidRDefault="00CC1C71" w:rsidP="00CC1C71">
      <w:pPr>
        <w:pStyle w:val="Titre5"/>
      </w:pPr>
      <w:r>
        <w:t xml:space="preserve"> Do you have any comment on the analysis presented in Section </w:t>
      </w:r>
      <w:r>
        <w:fldChar w:fldCharType="begin"/>
      </w:r>
      <w:r>
        <w:instrText xml:space="preserve"> REF _Ref392684359 \r \h </w:instrText>
      </w:r>
      <w:r>
        <w:fldChar w:fldCharType="separate"/>
      </w:r>
      <w:r w:rsidR="0078410E">
        <w:rPr>
          <w:b w:val="0"/>
          <w:bCs/>
          <w:lang w:val="fr-FR"/>
        </w:rPr>
        <w:t>Erreur ! Source du renvoi introuvable.</w:t>
      </w:r>
      <w:r>
        <w:fldChar w:fldCharType="end"/>
      </w:r>
      <w:r>
        <w:t>?</w:t>
      </w:r>
    </w:p>
    <w:p w:rsidR="00CC1C71" w:rsidRDefault="00CC1C71" w:rsidP="00CC1C71"/>
    <w:p w:rsidR="00CC1C71" w:rsidRDefault="00CC1C71" w:rsidP="00CC1C71">
      <w:r>
        <w:t>&lt;ESMA_CO3_QUESTION_5&gt;</w:t>
      </w:r>
    </w:p>
    <w:p w:rsidR="00CC1C71" w:rsidRDefault="005A3F5E" w:rsidP="00CC1C71">
      <w:permStart w:id="1881163312" w:edGrp="everyone"/>
      <w:r>
        <w:t>Yes. We thought we had understood the position of ESMA about the minimu</w:t>
      </w:r>
      <w:r w:rsidR="009D4216">
        <w:t>m number of CCPs. Even if AFG</w:t>
      </w:r>
      <w:r>
        <w:t xml:space="preserve"> considers that the existence of a plurality of recognised CCPs offering total individual segregation services should be a prerequisite to any obligation to clear, it received the argument that it would be co</w:t>
      </w:r>
      <w:r>
        <w:t>n</w:t>
      </w:r>
      <w:r>
        <w:t xml:space="preserve">sidered by ESMA as an element </w:t>
      </w:r>
      <w:r w:rsidR="001A0CB9">
        <w:t>when</w:t>
      </w:r>
      <w:r>
        <w:t xml:space="preserve"> assessing the delay before implementation of the clearing obligation. We confess that we are shocked that ESMA </w:t>
      </w:r>
      <w:r w:rsidR="006701ED">
        <w:t>anticipates the recognition of other CCPs and does not extend the delay for implementation of the clearing obligation by at least 1 year to allow time for competing CCPs to develop their offer. We maintain that preparation for a clearing obligation is a heavy process and that it is not practical to switch to another CCP in the middle of the project.</w:t>
      </w:r>
    </w:p>
    <w:p w:rsidR="006701ED" w:rsidRDefault="006701ED" w:rsidP="00CC1C71">
      <w:r>
        <w:t>Furthermore we are surprised that in §92 ESMA might be understood as taking into account the expect</w:t>
      </w:r>
      <w:r>
        <w:t>a</w:t>
      </w:r>
      <w:r>
        <w:t xml:space="preserve">tions of CCPs </w:t>
      </w:r>
      <w:r w:rsidR="00190120">
        <w:t>(</w:t>
      </w:r>
      <w:r w:rsidR="001A0CB9">
        <w:t>who</w:t>
      </w:r>
      <w:r>
        <w:t xml:space="preserve"> </w:t>
      </w:r>
      <w:r w:rsidR="002B6872">
        <w:t>developed an</w:t>
      </w:r>
      <w:r>
        <w:t xml:space="preserve"> offer for clearing NDFs</w:t>
      </w:r>
      <w:r w:rsidR="00190120">
        <w:t>)</w:t>
      </w:r>
      <w:r>
        <w:t xml:space="preserve"> that there would soon be a clearing obligation </w:t>
      </w:r>
      <w:r w:rsidR="00190120">
        <w:t>to</w:t>
      </w:r>
      <w:r>
        <w:t xml:space="preserve"> justify </w:t>
      </w:r>
      <w:r w:rsidRPr="006701ED">
        <w:rPr>
          <w:i/>
        </w:rPr>
        <w:t>ex post</w:t>
      </w:r>
      <w:r>
        <w:t xml:space="preserve"> their investment. The business plan of CCPs should in no way influence ESMA’s decision towards clearing obligation under EMIR.</w:t>
      </w:r>
    </w:p>
    <w:permEnd w:id="1881163312"/>
    <w:p w:rsidR="00CC1C71" w:rsidRDefault="00CC1C71" w:rsidP="00CC1C71">
      <w:r>
        <w:t>&lt;ESMA_CO3_QUESTION_5&gt;</w:t>
      </w:r>
    </w:p>
    <w:p w:rsidR="00CC1C71" w:rsidRDefault="00CC1C71" w:rsidP="00CC1C71"/>
    <w:p w:rsidR="00CC1C71" w:rsidRPr="00301767" w:rsidRDefault="00CC1C71" w:rsidP="00CC1C71">
      <w:pPr>
        <w:pStyle w:val="Titre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CC1C71" w:rsidRDefault="006701ED" w:rsidP="00CC1C71">
      <w:permStart w:id="681270252" w:edGrp="everyone"/>
      <w:r>
        <w:t xml:space="preserve">We would very much prefer to have an assessment of the threshold of 8 billion at a different date for NDF and for IRS </w:t>
      </w:r>
      <w:r w:rsidR="004A75C8">
        <w:t>classes and a longer delay for implementation of a clearing obligation for NDFs under EMIR.</w:t>
      </w:r>
    </w:p>
    <w:permEnd w:id="681270252"/>
    <w:p w:rsidR="00CC1C71" w:rsidRDefault="00CC1C71" w:rsidP="00CC1C71">
      <w:r>
        <w:t>&lt;ESMA_CO3_QUESTION_6&gt;</w:t>
      </w:r>
    </w:p>
    <w:p w:rsidR="00CC1C71" w:rsidRDefault="00CC1C71" w:rsidP="00CC1C71"/>
    <w:p w:rsidR="00CC1C71" w:rsidRDefault="00CC1C71" w:rsidP="00CC1C71">
      <w:pPr>
        <w:pStyle w:val="Titre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4A75C8" w:rsidRDefault="004A75C8" w:rsidP="00CC1C71">
      <w:permStart w:id="1219233116" w:edGrp="everyone"/>
      <w:r>
        <w:t>We stress that the absence</w:t>
      </w:r>
      <w:r w:rsidR="00190120">
        <w:t xml:space="preserve"> of any competition between CCPs</w:t>
      </w:r>
      <w:r>
        <w:t xml:space="preserve"> for clearing of NDFs </w:t>
      </w:r>
      <w:r w:rsidR="00190120">
        <w:t>demands</w:t>
      </w:r>
      <w:r>
        <w:t xml:space="preserve"> that a longer delay apply before the date of application of any obligation of clearing NDFs. This delay should be gained preferably by postponing the publication of RTS till after the recognition of other CCPs or by extending the phase</w:t>
      </w:r>
      <w:r w:rsidR="00190120">
        <w:t>-</w:t>
      </w:r>
      <w:r>
        <w:t>in period by at least 1 year.</w:t>
      </w:r>
    </w:p>
    <w:p w:rsidR="004A75C8" w:rsidRDefault="009D4216" w:rsidP="00CC1C71">
      <w:r>
        <w:t>AFG</w:t>
      </w:r>
      <w:r w:rsidR="004A75C8">
        <w:t xml:space="preserve"> agrees with the suggestion to limit any front</w:t>
      </w:r>
      <w:r w:rsidR="00190120">
        <w:t xml:space="preserve"> loading requirement to category</w:t>
      </w:r>
      <w:r w:rsidR="004A75C8">
        <w:t xml:space="preserve"> 1</w:t>
      </w:r>
      <w:r w:rsidR="00190120">
        <w:t xml:space="preserve"> and 2</w:t>
      </w:r>
      <w:r w:rsidR="004A75C8">
        <w:t xml:space="preserve"> participants.</w:t>
      </w:r>
    </w:p>
    <w:p w:rsidR="00CC1C71" w:rsidRDefault="009D4216" w:rsidP="00CC1C71">
      <w:r>
        <w:t>AFG</w:t>
      </w:r>
      <w:r w:rsidR="004A75C8">
        <w:t xml:space="preserve"> is very much concerned that investors in funds specialized in emerging markets might be severely penalized by the introduction of a clearing obligation on NDFs. These funds do not hold eligible collateral and, if launched as UCITS, will not be able to exchange holdings against eligible collateral since ESMA guidelines prevent them to use received securities or cash as collateral with a CCP. We insist on a rapid review of the guidelines on ETF and other UCITS issues </w:t>
      </w:r>
      <w:r w:rsidR="005C313D">
        <w:t xml:space="preserve">on that point. Otherwise </w:t>
      </w:r>
      <w:r w:rsidR="002B6872">
        <w:t>the exposure</w:t>
      </w:r>
      <w:r w:rsidR="005C313D">
        <w:t xml:space="preserve"> of clients will not be hedged and </w:t>
      </w:r>
      <w:r w:rsidR="00190120">
        <w:t xml:space="preserve">they </w:t>
      </w:r>
      <w:r w:rsidR="005C313D">
        <w:t xml:space="preserve">will </w:t>
      </w:r>
      <w:r w:rsidR="00190120">
        <w:t>suffer</w:t>
      </w:r>
      <w:r w:rsidR="005C313D">
        <w:t xml:space="preserve"> cumulative risks on issues and currency at all times.</w:t>
      </w:r>
    </w:p>
    <w:permEnd w:id="1219233116"/>
    <w:p w:rsidR="00CC1C71" w:rsidRDefault="00CC1C71" w:rsidP="00CC1C71">
      <w:r>
        <w:t>&lt;ESMA_CO3_QUESTION_7&gt;</w:t>
      </w:r>
    </w:p>
    <w:p w:rsidR="00CC1C71" w:rsidRDefault="00CC1C71" w:rsidP="00CC1C71"/>
    <w:p w:rsidR="00CC1C71" w:rsidRDefault="00CC1C71" w:rsidP="00CC1C71">
      <w:pPr>
        <w:pStyle w:val="Titre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Titre5"/>
      </w:pPr>
      <w:r>
        <w:t>Do you have comments on the minimum remaining maturities for NDF?</w:t>
      </w:r>
    </w:p>
    <w:p w:rsidR="00C7564E" w:rsidRPr="00CC1C71" w:rsidRDefault="00C7564E" w:rsidP="00C7564E"/>
    <w:p w:rsidR="00C7564E" w:rsidRDefault="00C7564E" w:rsidP="00C7564E">
      <w:r>
        <w:t>&lt;ESMA_CO3_QUESTION_8&gt;</w:t>
      </w:r>
    </w:p>
    <w:p w:rsidR="00C7564E" w:rsidRDefault="00DD4B17" w:rsidP="00C7564E">
      <w:permStart w:id="247997362" w:edGrp="everyone"/>
      <w:r>
        <w:t xml:space="preserve">In our view the remaining maturities have to be adapted to the fact that only NDFs with </w:t>
      </w:r>
      <w:r w:rsidR="00190120">
        <w:t>a maximum maturity of 6 months sh</w:t>
      </w:r>
      <w:r>
        <w:t>ould be subject to clearing obligation.</w:t>
      </w:r>
    </w:p>
    <w:permEnd w:id="247997362"/>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Titre1"/>
        <w:numPr>
          <w:ilvl w:val="0"/>
          <w:numId w:val="0"/>
        </w:numPr>
        <w:ind w:left="284"/>
      </w:pPr>
      <w:bookmarkStart w:id="29" w:name="_Ref389466688"/>
      <w:bookmarkStart w:id="30" w:name="_Toc398140750"/>
      <w:r w:rsidRPr="006579BC">
        <w:lastRenderedPageBreak/>
        <w:t xml:space="preserve">Annex </w:t>
      </w:r>
      <w:r w:rsidR="004A67FF">
        <w:fldChar w:fldCharType="begin"/>
      </w:r>
      <w:r w:rsidR="004A67FF">
        <w:instrText xml:space="preserve"> SEQ Annex \* ROMAN </w:instrText>
      </w:r>
      <w:r w:rsidR="004A67FF">
        <w:fldChar w:fldCharType="separate"/>
      </w:r>
      <w:r w:rsidR="0078410E">
        <w:rPr>
          <w:noProof/>
        </w:rPr>
        <w:t>I</w:t>
      </w:r>
      <w:r w:rsidR="004A67FF">
        <w:rPr>
          <w:noProof/>
        </w:rPr>
        <w:fldChar w:fldCharType="end"/>
      </w:r>
      <w:bookmarkEnd w:id="29"/>
      <w:r w:rsidRPr="006579BC">
        <w:t xml:space="preserve"> - Draft Regulatory Technical Standards on the Clearing Oblig</w:t>
      </w:r>
      <w:r w:rsidRPr="006579BC">
        <w:t>a</w:t>
      </w:r>
      <w:r w:rsidRPr="006579BC">
        <w:t>tion</w:t>
      </w:r>
      <w:bookmarkEnd w:id="30"/>
    </w:p>
    <w:p w:rsidR="00CC1C71" w:rsidRPr="00CC1C71" w:rsidRDefault="00CC1C71" w:rsidP="00CC1C71"/>
    <w:p w:rsidR="00CC1C71" w:rsidRDefault="00CC1C71" w:rsidP="00CC1C71"/>
    <w:p w:rsidR="00CC1C71" w:rsidRDefault="00CC1C71" w:rsidP="00CC1C71">
      <w:pPr>
        <w:pStyle w:val="Titre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9D4216" w:rsidP="00CC1C71">
      <w:permStart w:id="739526504" w:edGrp="everyone"/>
      <w:r>
        <w:t>AFG</w:t>
      </w:r>
      <w:r w:rsidR="00190120">
        <w:t xml:space="preserve"> insists on the specific constraint that applies to UC</w:t>
      </w:r>
      <w:r w:rsidR="00977717">
        <w:t xml:space="preserve">ITS funds: they cannot </w:t>
      </w:r>
      <w:r w:rsidR="00190120">
        <w:t>use eligible assets received through a collateral swap to fulfil their collateral requirement with the CCP. As a consequence imposing a clearing obligation would ruin many strategies on emerging markets that are highly regarded by many investors.</w:t>
      </w:r>
    </w:p>
    <w:permEnd w:id="739526504"/>
    <w:p w:rsidR="00CC1C71" w:rsidRDefault="00CC1C71" w:rsidP="00CC1C71">
      <w:r>
        <w:t>&lt;ESMA_CO3_QUESTION_9&gt;</w:t>
      </w:r>
    </w:p>
    <w:p w:rsidR="00CC1C71" w:rsidRDefault="00CC1C71" w:rsidP="00CC1C71">
      <w:r>
        <w:br w:type="page"/>
      </w:r>
    </w:p>
    <w:p w:rsidR="00CC1C71" w:rsidRPr="0030524D" w:rsidRDefault="00CC1C71" w:rsidP="00CC1C71">
      <w:pPr>
        <w:pStyle w:val="Titre1"/>
        <w:numPr>
          <w:ilvl w:val="0"/>
          <w:numId w:val="0"/>
        </w:numPr>
        <w:ind w:left="284"/>
      </w:pPr>
      <w:bookmarkStart w:id="31" w:name="_Toc398140751"/>
      <w:r w:rsidRPr="0030524D">
        <w:lastRenderedPageBreak/>
        <w:t xml:space="preserve">Annex </w:t>
      </w:r>
      <w:r w:rsidR="004A67FF">
        <w:fldChar w:fldCharType="begin"/>
      </w:r>
      <w:r w:rsidR="004A67FF">
        <w:instrText xml:space="preserve"> SEQ Annex \* ROMAN </w:instrText>
      </w:r>
      <w:r w:rsidR="004A67FF">
        <w:fldChar w:fldCharType="separate"/>
      </w:r>
      <w:r w:rsidR="0078410E">
        <w:rPr>
          <w:noProof/>
        </w:rPr>
        <w:t>II</w:t>
      </w:r>
      <w:r w:rsidR="004A67FF">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Titre5"/>
      </w:pPr>
      <w:r>
        <w:t>Please indicate your comments on the Impact Assessment.</w:t>
      </w:r>
    </w:p>
    <w:p w:rsidR="00CC1C71" w:rsidRDefault="00CC1C71" w:rsidP="00CC1C71"/>
    <w:p w:rsidR="00CC1C71" w:rsidRDefault="00CC1C71" w:rsidP="00CC1C71">
      <w:r>
        <w:t>&lt;ESMA_CO3_QUESTION_10&gt;</w:t>
      </w:r>
    </w:p>
    <w:p w:rsidR="00CC1C71" w:rsidRDefault="009D4216" w:rsidP="00CC1C71">
      <w:permStart w:id="1144736033" w:edGrp="everyone"/>
      <w:r>
        <w:t>AFG</w:t>
      </w:r>
      <w:r w:rsidR="00DD4B17">
        <w:t xml:space="preserve"> suggests that a specific assessment be made on the consequences </w:t>
      </w:r>
      <w:r w:rsidR="00AF7FB3">
        <w:t>that</w:t>
      </w:r>
      <w:r w:rsidR="00DD4B17">
        <w:t xml:space="preserve"> a</w:t>
      </w:r>
      <w:r w:rsidR="00AF7FB3">
        <w:t>n</w:t>
      </w:r>
      <w:r w:rsidR="00DD4B17">
        <w:t xml:space="preserve"> obligation to clear would have on the risk level of funds specialized on emerging markets. We fear that it would impair the develo</w:t>
      </w:r>
      <w:r w:rsidR="00DD4B17">
        <w:t>p</w:t>
      </w:r>
      <w:r w:rsidR="00DD4B17">
        <w:t>ment of appropriate hedging stra</w:t>
      </w:r>
      <w:r w:rsidR="00AF7FB3">
        <w:t>t</w:t>
      </w:r>
      <w:r w:rsidR="00DD4B17">
        <w:t>egies</w:t>
      </w:r>
      <w:r w:rsidR="00AF7FB3">
        <w:t xml:space="preserve"> and impact the risk /return profile of the funds.</w:t>
      </w:r>
    </w:p>
    <w:permEnd w:id="1144736033"/>
    <w:p w:rsidR="00CC1C71" w:rsidRDefault="00CC1C71" w:rsidP="00CC1C71">
      <w:r>
        <w:t>&lt;ESMA_CO3_QUESTION_10&gt;</w:t>
      </w:r>
    </w:p>
    <w:p w:rsidR="00CC1C71" w:rsidRDefault="00CC1C71" w:rsidP="00CC1C71"/>
    <w:p w:rsidR="00510C18" w:rsidRDefault="00510C18" w:rsidP="00510C18"/>
    <w:sectPr w:rsidR="00510C18"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49" w:rsidRDefault="002F3E49">
      <w:r>
        <w:separator/>
      </w:r>
    </w:p>
    <w:p w:rsidR="002F3E49" w:rsidRDefault="002F3E49"/>
  </w:endnote>
  <w:endnote w:type="continuationSeparator" w:id="0">
    <w:p w:rsidR="002F3E49" w:rsidRDefault="002F3E49">
      <w:r>
        <w:continuationSeparator/>
      </w:r>
    </w:p>
    <w:p w:rsidR="002F3E49" w:rsidRDefault="002F3E49"/>
  </w:endnote>
  <w:endnote w:type="continuationNotice" w:id="1">
    <w:p w:rsidR="002F3E49" w:rsidRDefault="002F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4A67FF">
            <w:rPr>
              <w:noProof/>
            </w:rPr>
            <w:t>4</w:t>
          </w:r>
          <w:r>
            <w:rPr>
              <w:noProof/>
            </w:rPr>
            <w:fldChar w:fldCharType="end"/>
          </w:r>
        </w:p>
      </w:tc>
    </w:tr>
  </w:tbl>
  <w:p w:rsidR="00510C18" w:rsidRDefault="00510C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rsidP="00395EF9">
    <w:pPr>
      <w:pStyle w:val="Pieddepage"/>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49" w:rsidRDefault="002F3E49">
      <w:r>
        <w:separator/>
      </w:r>
    </w:p>
    <w:p w:rsidR="002F3E49" w:rsidRDefault="002F3E49"/>
  </w:footnote>
  <w:footnote w:type="continuationSeparator" w:id="0">
    <w:p w:rsidR="002F3E49" w:rsidRDefault="002F3E49">
      <w:r>
        <w:continuationSeparator/>
      </w:r>
    </w:p>
    <w:p w:rsidR="002F3E49" w:rsidRDefault="002F3E49"/>
  </w:footnote>
  <w:footnote w:type="continuationNotice" w:id="1">
    <w:p w:rsidR="002F3E49" w:rsidRDefault="002F3E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En-tte"/>
      <w:rPr>
        <w:lang w:val="fr-FR"/>
      </w:rPr>
    </w:pPr>
  </w:p>
  <w:p w:rsidR="00510C18" w:rsidRPr="002F4496" w:rsidRDefault="00510C18" w:rsidP="000C06C9">
    <w:pPr>
      <w:pStyle w:val="En-tte"/>
      <w:tabs>
        <w:tab w:val="clear" w:pos="4536"/>
        <w:tab w:val="clear" w:pos="9072"/>
        <w:tab w:val="left" w:pos="8227"/>
      </w:tabs>
      <w:rPr>
        <w:lang w:val="fr-FR"/>
      </w:rPr>
    </w:pPr>
  </w:p>
  <w:p w:rsidR="00510C18" w:rsidRPr="002F4496" w:rsidRDefault="00510C18" w:rsidP="000C06C9">
    <w:pPr>
      <w:pStyle w:val="En-tte"/>
      <w:tabs>
        <w:tab w:val="clear" w:pos="4536"/>
        <w:tab w:val="clear" w:pos="9072"/>
        <w:tab w:val="left" w:pos="8227"/>
      </w:tabs>
      <w:rPr>
        <w:lang w:val="fr-FR"/>
      </w:rPr>
    </w:pPr>
  </w:p>
  <w:p w:rsidR="00510C18" w:rsidRPr="002F4496" w:rsidRDefault="00510C18">
    <w:pPr>
      <w:pStyle w:val="En-tte"/>
      <w:rPr>
        <w:lang w:val="fr-FR"/>
      </w:rPr>
    </w:pPr>
  </w:p>
  <w:p w:rsidR="00510C18" w:rsidRPr="002F4496" w:rsidRDefault="00510C18">
    <w:pPr>
      <w:pStyle w:val="En-tte"/>
      <w:rPr>
        <w:lang w:val="fr-FR"/>
      </w:rPr>
    </w:pPr>
  </w:p>
  <w:p w:rsidR="00510C18" w:rsidRPr="002F4496" w:rsidRDefault="00510C18">
    <w:pPr>
      <w:pStyle w:val="En-tte"/>
      <w:rPr>
        <w:lang w:val="fr-FR"/>
      </w:rPr>
    </w:pPr>
  </w:p>
  <w:p w:rsidR="00510C18" w:rsidRPr="002F4496" w:rsidRDefault="00510C18">
    <w:pPr>
      <w:pStyle w:val="En-tte"/>
      <w:rPr>
        <w:lang w:val="fr-FR"/>
      </w:rPr>
    </w:pPr>
  </w:p>
  <w:p w:rsidR="00510C18" w:rsidRPr="002F4496" w:rsidRDefault="00510C18">
    <w:pPr>
      <w:pStyle w:val="En-tte"/>
      <w:rPr>
        <w:highlight w:val="yellow"/>
        <w:lang w:val="fr-FR"/>
      </w:rPr>
    </w:pPr>
  </w:p>
  <w:p w:rsidR="00510C18" w:rsidRDefault="009C7A70">
    <w:pPr>
      <w:pStyle w:val="En-tte"/>
    </w:pPr>
    <w:r>
      <w:rPr>
        <w:noProof/>
        <w:lang w:val="fr-FR" w:eastAsia="fr-FR"/>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070B1C"/>
    <w:multiLevelType w:val="hybridMultilevel"/>
    <w:tmpl w:val="E83C0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20628D"/>
    <w:multiLevelType w:val="hybridMultilevel"/>
    <w:tmpl w:val="F78422C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9870C5F"/>
    <w:multiLevelType w:val="hybridMultilevel"/>
    <w:tmpl w:val="716CCDC8"/>
    <w:lvl w:ilvl="0" w:tplc="C44E8248">
      <w:start w:val="1"/>
      <w:numFmt w:val="decimal"/>
      <w:pStyle w:val="Titre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F453C33"/>
    <w:multiLevelType w:val="hybridMultilevel"/>
    <w:tmpl w:val="6B308A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2"/>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3"/>
  </w:num>
  <w:num w:numId="15">
    <w:abstractNumId w:val="11"/>
  </w:num>
  <w:num w:numId="16">
    <w:abstractNumId w:val="1"/>
  </w:num>
  <w:num w:numId="17">
    <w:abstractNumId w:val="14"/>
  </w:num>
  <w:num w:numId="18">
    <w:abstractNumId w:val="15"/>
  </w:num>
  <w:num w:numId="19">
    <w:abstractNumId w:val="18"/>
  </w:num>
  <w:num w:numId="20">
    <w:abstractNumId w:val="27"/>
  </w:num>
  <w:num w:numId="21">
    <w:abstractNumId w:val="33"/>
  </w:num>
  <w:num w:numId="22">
    <w:abstractNumId w:val="25"/>
  </w:num>
  <w:num w:numId="23">
    <w:abstractNumId w:val="10"/>
  </w:num>
  <w:num w:numId="24">
    <w:abstractNumId w:val="30"/>
  </w:num>
  <w:num w:numId="25">
    <w:abstractNumId w:val="29"/>
  </w:num>
  <w:num w:numId="26">
    <w:abstractNumId w:val="20"/>
  </w:num>
  <w:num w:numId="27">
    <w:abstractNumId w:val="32"/>
  </w:num>
  <w:num w:numId="28">
    <w:abstractNumId w:val="37"/>
  </w:num>
  <w:num w:numId="29">
    <w:abstractNumId w:val="8"/>
  </w:num>
  <w:num w:numId="30">
    <w:abstractNumId w:val="4"/>
  </w:num>
  <w:num w:numId="31">
    <w:abstractNumId w:val="22"/>
  </w:num>
  <w:num w:numId="32">
    <w:abstractNumId w:val="2"/>
  </w:num>
  <w:num w:numId="33">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6"/>
  </w:num>
  <w:num w:numId="35">
    <w:abstractNumId w:val="34"/>
  </w:num>
  <w:num w:numId="36">
    <w:abstractNumId w:val="21"/>
  </w:num>
  <w:num w:numId="37">
    <w:abstractNumId w:val="5"/>
  </w:num>
  <w:num w:numId="38">
    <w:abstractNumId w:val="38"/>
  </w:num>
  <w:num w:numId="3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8B8"/>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19B3"/>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20"/>
    <w:rsid w:val="0019017A"/>
    <w:rsid w:val="00190B8C"/>
    <w:rsid w:val="00190FF8"/>
    <w:rsid w:val="0019311A"/>
    <w:rsid w:val="001940B1"/>
    <w:rsid w:val="0019508A"/>
    <w:rsid w:val="001960D8"/>
    <w:rsid w:val="00197ADA"/>
    <w:rsid w:val="001A0CB9"/>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1C"/>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2082"/>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72"/>
    <w:rsid w:val="002B7656"/>
    <w:rsid w:val="002C02A5"/>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6A1"/>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5615C"/>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67FF"/>
    <w:rsid w:val="004A75C8"/>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249D"/>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0397"/>
    <w:rsid w:val="00591161"/>
    <w:rsid w:val="00592318"/>
    <w:rsid w:val="00593133"/>
    <w:rsid w:val="0059575D"/>
    <w:rsid w:val="00596825"/>
    <w:rsid w:val="005A150A"/>
    <w:rsid w:val="005A2B3E"/>
    <w:rsid w:val="005A3609"/>
    <w:rsid w:val="005A3644"/>
    <w:rsid w:val="005A3F5E"/>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13D"/>
    <w:rsid w:val="005C3C6C"/>
    <w:rsid w:val="005C3F4C"/>
    <w:rsid w:val="005C43AA"/>
    <w:rsid w:val="005C663C"/>
    <w:rsid w:val="005C6860"/>
    <w:rsid w:val="005D1023"/>
    <w:rsid w:val="005D148F"/>
    <w:rsid w:val="005D2041"/>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01ED"/>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10E"/>
    <w:rsid w:val="00791EB4"/>
    <w:rsid w:val="007928F1"/>
    <w:rsid w:val="0079357D"/>
    <w:rsid w:val="007937CC"/>
    <w:rsid w:val="00793A31"/>
    <w:rsid w:val="00793C77"/>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336"/>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34E3"/>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48E9"/>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4CF"/>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77717"/>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4216"/>
    <w:rsid w:val="009D55CA"/>
    <w:rsid w:val="009D5EF0"/>
    <w:rsid w:val="009D6401"/>
    <w:rsid w:val="009E0711"/>
    <w:rsid w:val="009E1917"/>
    <w:rsid w:val="009E3594"/>
    <w:rsid w:val="009E6B77"/>
    <w:rsid w:val="009E7724"/>
    <w:rsid w:val="009E7D1F"/>
    <w:rsid w:val="009F1144"/>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635"/>
    <w:rsid w:val="00AB4B1D"/>
    <w:rsid w:val="00AB6B5E"/>
    <w:rsid w:val="00AC047F"/>
    <w:rsid w:val="00AC2000"/>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7FB3"/>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3D24"/>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1D16"/>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1AF"/>
    <w:rsid w:val="00C85387"/>
    <w:rsid w:val="00C85E52"/>
    <w:rsid w:val="00C86471"/>
    <w:rsid w:val="00C8677B"/>
    <w:rsid w:val="00C86F96"/>
    <w:rsid w:val="00C909C6"/>
    <w:rsid w:val="00C923B7"/>
    <w:rsid w:val="00C94D4C"/>
    <w:rsid w:val="00C9709A"/>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D6A"/>
    <w:rsid w:val="00DC6463"/>
    <w:rsid w:val="00DC7822"/>
    <w:rsid w:val="00DC7AF1"/>
    <w:rsid w:val="00DD2D92"/>
    <w:rsid w:val="00DD3026"/>
    <w:rsid w:val="00DD33DC"/>
    <w:rsid w:val="00DD3BB0"/>
    <w:rsid w:val="00DD4B17"/>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72C"/>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0FBC"/>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itre1">
    <w:name w:val="heading 1"/>
    <w:basedOn w:val="Normal"/>
    <w:next w:val="Normal"/>
    <w:link w:val="Titre1Car"/>
    <w:qFormat/>
    <w:rsid w:val="009E7724"/>
    <w:pPr>
      <w:keepNext/>
      <w:numPr>
        <w:numId w:val="6"/>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510C18"/>
    <w:pPr>
      <w:numPr>
        <w:numId w:val="34"/>
      </w:numPr>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9"/>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val="en-GB" w:eastAsia="de-DE"/>
    </w:rPr>
  </w:style>
  <w:style w:type="character" w:customStyle="1" w:styleId="Titre8Car">
    <w:name w:val="Titre 8 Car"/>
    <w:link w:val="Titre8"/>
    <w:rsid w:val="002D6E1A"/>
    <w:rPr>
      <w:i/>
      <w:iCs/>
      <w:szCs w:val="24"/>
      <w:lang w:val="en-GB"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510C18"/>
    <w:rPr>
      <w:rFonts w:ascii="Georgia" w:hAnsi="Georgia"/>
      <w:b/>
      <w:szCs w:val="24"/>
      <w:lang w:val="en-GB"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itre1">
    <w:name w:val="heading 1"/>
    <w:basedOn w:val="Normal"/>
    <w:next w:val="Normal"/>
    <w:link w:val="Titre1Car"/>
    <w:qFormat/>
    <w:rsid w:val="009E7724"/>
    <w:pPr>
      <w:keepNext/>
      <w:numPr>
        <w:numId w:val="6"/>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510C18"/>
    <w:pPr>
      <w:numPr>
        <w:numId w:val="34"/>
      </w:numPr>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9"/>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val="en-GB" w:eastAsia="de-DE"/>
    </w:rPr>
  </w:style>
  <w:style w:type="character" w:customStyle="1" w:styleId="Titre8Car">
    <w:name w:val="Titre 8 Car"/>
    <w:link w:val="Titre8"/>
    <w:rsid w:val="002D6E1A"/>
    <w:rPr>
      <w:i/>
      <w:iCs/>
      <w:szCs w:val="24"/>
      <w:lang w:val="en-GB"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510C18"/>
    <w:rPr>
      <w:rFonts w:ascii="Georgia" w:hAnsi="Georgia"/>
      <w:b/>
      <w:szCs w:val="24"/>
      <w:lang w:val="en-GB"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Textedelespacerserv"/>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Textedelespacerserv"/>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774BE9"/>
    <w:rsid w:val="008D3C96"/>
    <w:rsid w:val="00DD01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018B-8876-4EF5-AF3A-8564E041AB38}">
  <ds:schemaRefs>
    <ds:schemaRef ds:uri="http://schemas.openxmlformats.org/officeDocument/2006/bibliography"/>
  </ds:schemaRefs>
</ds:datastoreItem>
</file>

<file path=customXml/itemProps2.xml><?xml version="1.0" encoding="utf-8"?>
<ds:datastoreItem xmlns:ds="http://schemas.openxmlformats.org/officeDocument/2006/customXml" ds:itemID="{D3AA841E-D732-4AF5-BE3F-7B4A2EB5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2424</Words>
  <Characters>12566</Characters>
  <Application>Microsoft Office Word</Application>
  <DocSecurity>8</DocSecurity>
  <Lines>104</Lines>
  <Paragraphs>29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14961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SIDOT Eric</cp:lastModifiedBy>
  <cp:revision>15</cp:revision>
  <cp:lastPrinted>2014-11-05T15:59:00Z</cp:lastPrinted>
  <dcterms:created xsi:type="dcterms:W3CDTF">2014-11-07T09:25:00Z</dcterms:created>
  <dcterms:modified xsi:type="dcterms:W3CDTF">2014-11-07T18:14:00Z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