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bookmarkStart w:id="0" w:name="_GoBack"/>
            <w:bookmarkEnd w:id="0"/>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1"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website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input/Consultations’.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2" w:name="_Toc335141334"/>
      <w:r w:rsidRPr="001C31C3">
        <w:t>Publication of responses</w:t>
      </w:r>
      <w:bookmarkEnd w:id="2"/>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3" w:name="_Toc335141335"/>
      <w:r w:rsidRPr="001C31C3">
        <w:t>Data protection</w:t>
      </w:r>
      <w:bookmarkEnd w:id="3"/>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bookmarkEnd w:id="1"/>
    <w:p w:rsidR="001C31C3" w:rsidRDefault="001C31C3">
      <w:pPr>
        <w:rPr>
          <w:rFonts w:cs="Arial"/>
          <w:b/>
          <w:bCs/>
          <w:kern w:val="32"/>
          <w:sz w:val="24"/>
          <w:szCs w:val="32"/>
        </w:rPr>
      </w:pPr>
      <w:r>
        <w:br w:type="page"/>
      </w:r>
    </w:p>
    <w:p w:rsidR="00F45029" w:rsidRDefault="00F45029" w:rsidP="00F45029">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435"/>
        <w:gridCol w:w="5967"/>
      </w:tblGrid>
      <w:tr w:rsidR="00F45029" w:rsidTr="008B615D">
        <w:tc>
          <w:tcPr>
            <w:tcW w:w="3510" w:type="dxa"/>
          </w:tcPr>
          <w:p w:rsidR="00F45029" w:rsidRDefault="00F45029" w:rsidP="008B615D">
            <w:r>
              <w:t>Are you representing an association?</w:t>
            </w:r>
          </w:p>
        </w:tc>
        <w:tc>
          <w:tcPr>
            <w:tcW w:w="6118" w:type="dxa"/>
          </w:tcPr>
          <w:p w:rsidR="00F45029" w:rsidRDefault="003F3DB1" w:rsidP="008B615D">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1210846543" w:edGrp="everyone"/>
                <w:r w:rsidR="00095430">
                  <w:t>Yes</w:t>
                </w:r>
                <w:permEnd w:id="1210846543"/>
              </w:sdtContent>
            </w:sdt>
          </w:p>
        </w:tc>
      </w:tr>
      <w:tr w:rsidR="00F45029" w:rsidTr="008B615D">
        <w:tc>
          <w:tcPr>
            <w:tcW w:w="3510" w:type="dxa"/>
          </w:tcPr>
          <w:p w:rsidR="00F45029" w:rsidRDefault="00F45029" w:rsidP="008B615D">
            <w:r>
              <w:t>Activity:</w:t>
            </w:r>
          </w:p>
        </w:tc>
        <w:tc>
          <w:tcPr>
            <w:tcW w:w="6118" w:type="dxa"/>
          </w:tcPr>
          <w:p w:rsidR="00F45029" w:rsidRDefault="003F3DB1" w:rsidP="008B615D">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54596175" w:edGrp="everyone"/>
                <w:r w:rsidR="00095430">
                  <w:t>Central Counterparty</w:t>
                </w:r>
                <w:permEnd w:id="54596175"/>
              </w:sdtContent>
            </w:sdt>
          </w:p>
        </w:tc>
      </w:tr>
      <w:tr w:rsidR="00F45029" w:rsidTr="008B615D">
        <w:tc>
          <w:tcPr>
            <w:tcW w:w="3510" w:type="dxa"/>
          </w:tcPr>
          <w:p w:rsidR="00F45029" w:rsidRDefault="00F45029" w:rsidP="008B615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888158339" w:edGrp="everyone" w:displacedByCustomXml="prev"/>
            <w:tc>
              <w:tcPr>
                <w:tcW w:w="6118" w:type="dxa"/>
              </w:tcPr>
              <w:p w:rsidR="00F45029" w:rsidRDefault="00095430" w:rsidP="008B615D">
                <w:r>
                  <w:t>Europe</w:t>
                </w:r>
              </w:p>
            </w:tc>
            <w:permEnd w:id="888158339" w:displacedByCustomXml="next"/>
          </w:sdtContent>
        </w:sdt>
      </w:tr>
    </w:tbl>
    <w:p w:rsidR="00CC1C71" w:rsidRDefault="00CC1C71" w:rsidP="00CC1C71"/>
    <w:p w:rsidR="00C7564E" w:rsidRDefault="00C7564E">
      <w:pPr>
        <w:rPr>
          <w:rFonts w:cs="Arial"/>
          <w:b/>
          <w:bCs/>
          <w:kern w:val="32"/>
          <w:sz w:val="24"/>
          <w:szCs w:val="32"/>
        </w:rPr>
      </w:pPr>
      <w:bookmarkStart w:id="4" w:name="_Toc392599420"/>
      <w:bookmarkStart w:id="5" w:name="_Toc390701574"/>
      <w:bookmarkStart w:id="6" w:name="_Toc398140744"/>
      <w:r>
        <w:br w:type="page"/>
      </w:r>
    </w:p>
    <w:p w:rsidR="00C7564E" w:rsidRDefault="00C7564E" w:rsidP="00C7564E">
      <w:pPr>
        <w:pStyle w:val="Heading1"/>
        <w:numPr>
          <w:ilvl w:val="0"/>
          <w:numId w:val="0"/>
        </w:numPr>
      </w:pPr>
      <w:r w:rsidRPr="004C2CD3">
        <w:lastRenderedPageBreak/>
        <w:t>Introduction</w:t>
      </w:r>
      <w:bookmarkEnd w:id="4"/>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095430" w:rsidRDefault="00095430" w:rsidP="00095430">
      <w:permStart w:id="2128499073" w:edGrp="everyone"/>
      <w:r w:rsidRPr="001E445D">
        <w:t xml:space="preserve">The European Association of CCP Clearing Houses (EACH) is a Belgian not-for-profit organisation (AISBL) founded in 1992 which represents </w:t>
      </w:r>
      <w:r>
        <w:t xml:space="preserve">20 </w:t>
      </w:r>
      <w:r w:rsidRPr="001E445D">
        <w:t>central counterparty clearing houses – or CCPs- in Europe. The membership is open to CCPs based in the European Union and in other European countries. The membership of EACH comprises CCPs incorporated in 1</w:t>
      </w:r>
      <w:r>
        <w:t>6</w:t>
      </w:r>
      <w:r w:rsidRPr="001E445D">
        <w:t xml:space="preserve"> European countries.</w:t>
      </w:r>
      <w:r>
        <w:t xml:space="preserve"> For more information visit </w:t>
      </w:r>
      <w:hyperlink r:id="rId15" w:history="1">
        <w:r w:rsidRPr="00020651">
          <w:rPr>
            <w:rStyle w:val="Hyperlink"/>
          </w:rPr>
          <w:t>www.eachccp.eu</w:t>
        </w:r>
      </w:hyperlink>
      <w:r>
        <w:t xml:space="preserve"> </w:t>
      </w:r>
    </w:p>
    <w:p w:rsidR="00095430" w:rsidRDefault="00095430" w:rsidP="00095430"/>
    <w:p w:rsidR="00C7564E" w:rsidRDefault="00095430" w:rsidP="00095430">
      <w:r>
        <w:t xml:space="preserve">We </w:t>
      </w:r>
      <w:r w:rsidR="002E1CF4">
        <w:t xml:space="preserve">appreciate </w:t>
      </w:r>
      <w:r>
        <w:t>the opportunity to respond to this consultation.</w:t>
      </w:r>
    </w:p>
    <w:permEnd w:id="2128499073"/>
    <w:p w:rsidR="00C7564E" w:rsidRDefault="00C7564E" w:rsidP="00C7564E">
      <w:r>
        <w:t>&lt;ESMA_CO3_COMMENT_1&gt;</w:t>
      </w:r>
    </w:p>
    <w:p w:rsidR="00CC1C71" w:rsidRPr="0058137B" w:rsidRDefault="00CC1C71" w:rsidP="00CC1C71">
      <w:pPr>
        <w:pStyle w:val="Heading2"/>
        <w:keepLines w:val="0"/>
        <w:pageBreakBefore/>
        <w:numPr>
          <w:ilvl w:val="0"/>
          <w:numId w:val="36"/>
        </w:numPr>
        <w:spacing w:before="0" w:after="250" w:line="276" w:lineRule="auto"/>
        <w:ind w:left="357" w:hanging="357"/>
        <w:jc w:val="both"/>
      </w:pPr>
      <w:r w:rsidRPr="0058137B">
        <w:lastRenderedPageBreak/>
        <w:t>The clearing obligation procedure</w:t>
      </w:r>
      <w:bookmarkStart w:id="7" w:name="_Toc390952336"/>
      <w:bookmarkStart w:id="8" w:name="_Toc391310566"/>
      <w:bookmarkStart w:id="9" w:name="_Toc391310591"/>
      <w:bookmarkStart w:id="10" w:name="_Toc391310651"/>
      <w:bookmarkStart w:id="11" w:name="_Toc391313043"/>
      <w:bookmarkEnd w:id="5"/>
      <w:bookmarkEnd w:id="6"/>
      <w:bookmarkEnd w:id="7"/>
      <w:bookmarkEnd w:id="8"/>
      <w:bookmarkEnd w:id="9"/>
      <w:bookmarkEnd w:id="10"/>
      <w:bookmarkEnd w:id="11"/>
    </w:p>
    <w:p w:rsidR="00CC1C71" w:rsidRDefault="00CC1C71" w:rsidP="00CC1C71"/>
    <w:p w:rsidR="00CC1C71" w:rsidRDefault="00CC1C71" w:rsidP="00CC1C71">
      <w:pPr>
        <w:pStyle w:val="Heading5"/>
      </w:pPr>
      <w:r>
        <w:t>Do you have any comment on the clearing obligation procedure described in Section 1?</w:t>
      </w:r>
    </w:p>
    <w:p w:rsidR="00CC1C71" w:rsidRDefault="00CC1C71" w:rsidP="00CC1C71"/>
    <w:p w:rsidR="00CC1C71" w:rsidRDefault="00CC1C71" w:rsidP="00CC1C71">
      <w:r>
        <w:t>&lt;ESMA_CO3_QUESTION_1&gt;</w:t>
      </w:r>
    </w:p>
    <w:p w:rsidR="00CC1C71" w:rsidRDefault="00C347CB" w:rsidP="00CC1C71">
      <w:permStart w:id="1382307116" w:edGrp="everyone"/>
      <w:r w:rsidRPr="00C347CB">
        <w:t>EACH supports the approach taken by ESMA of grouping the clearing obligation consultation papers per asset classes.  We would also urge ESMA to review a decision not to impose a clearing obligation on a class or sub-class of derivatives on a regular basis.  Paragraph 9  of the consultation paper notes that the clearing obligation will be triggered when an EU CCP is first authorised, when an extension of activity is granted or when a third country CCP is recognised by ESMA. We believe that ESMA should clarify the triggers and procedure for reviewing a decision not to impose a clearing obligation</w:t>
      </w:r>
    </w:p>
    <w:permEnd w:id="1382307116"/>
    <w:p w:rsidR="00CC1C71" w:rsidRDefault="00CC1C71" w:rsidP="00CC1C71">
      <w:r>
        <w:t>&lt;ESMA_CO3_QUESTION_1&gt;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2" w:name="_Ref392685388"/>
      <w:bookmarkStart w:id="13" w:name="_Toc398140745"/>
      <w:r>
        <w:lastRenderedPageBreak/>
        <w:t>Structure of the non-deliverable forward derivatives classes</w:t>
      </w:r>
      <w:bookmarkEnd w:id="12"/>
      <w:bookmarkEnd w:id="13"/>
    </w:p>
    <w:p w:rsidR="00CC1C71" w:rsidRDefault="00CC1C71" w:rsidP="00CC1C71"/>
    <w:p w:rsidR="00CC1C71" w:rsidRPr="0075124D" w:rsidRDefault="00CC1C71" w:rsidP="00CC1C71">
      <w:pPr>
        <w:pStyle w:val="Heading5"/>
      </w:pPr>
      <w:r w:rsidRPr="0075124D">
        <w:t>Do you consider that the proposed structure for the FX NDF classes enables counterparties to identify which contracts are subject to the clearing obligation?</w:t>
      </w:r>
    </w:p>
    <w:p w:rsidR="00CC1C71" w:rsidRDefault="00CC1C71" w:rsidP="00CC1C71"/>
    <w:p w:rsidR="00CC1C71" w:rsidRDefault="00CC1C71" w:rsidP="00CC1C71">
      <w:r>
        <w:t>&lt;ESMA_CO3_QUESTION_2&gt;</w:t>
      </w:r>
    </w:p>
    <w:p w:rsidR="00C347CB" w:rsidRDefault="00C347CB" w:rsidP="00C347CB">
      <w:permStart w:id="1468728411" w:edGrp="everyone"/>
      <w:r>
        <w:t>EACH believes the proposed structure for the FX NDF classes enables counterparties to easily identify which contracts are subject to the clearing obligation. We further support the compatibility of ESMA’s proposal with the taxonomy defined by the GFMA Global FX Division.</w:t>
      </w:r>
    </w:p>
    <w:p w:rsidR="00C347CB" w:rsidRDefault="00C347CB" w:rsidP="00C347CB"/>
    <w:p w:rsidR="00C347CB" w:rsidRDefault="00C347CB" w:rsidP="00C347CB">
      <w:r>
        <w:t xml:space="preserve">EACH would like to point out that the term “cash settled forwards” is widely used for those cash settled products in currencies that are not subject to restrictions from </w:t>
      </w:r>
      <w:r w:rsidR="002E1CF4">
        <w:t xml:space="preserve">a </w:t>
      </w:r>
      <w:r>
        <w:t>local central bank and can be physically settled, but for which the user elects to have financial settlement; this is the case for example for GBP/USD, EUR/USD and USD/JPY.  The term NDF, whilst having the underlying feature of cash settlement, is used to refer to the product used for currencies</w:t>
      </w:r>
      <w:r w:rsidR="002E1CF4">
        <w:t>, as listed in table 2,</w:t>
      </w:r>
      <w:r>
        <w:t xml:space="preserve"> on which there are restrictions im</w:t>
      </w:r>
      <w:r w:rsidR="002E1CF4">
        <w:t>posed by a local central bank</w:t>
      </w:r>
      <w:r>
        <w:t xml:space="preserve">. </w:t>
      </w:r>
    </w:p>
    <w:p w:rsidR="00C347CB" w:rsidRDefault="00C347CB" w:rsidP="00C347CB"/>
    <w:p w:rsidR="00CC1C71" w:rsidRDefault="00C347CB" w:rsidP="00C347CB">
      <w:r>
        <w:t>In addition, we suggest that in the final report the definition of non-deliverable forward in paragraph 14 refers to “the official fixing rate, as listed in the EMTA template for that currency” instead of “the spot market exchange rate”.</w:t>
      </w:r>
    </w:p>
    <w:permEnd w:id="1468728411"/>
    <w:p w:rsidR="00CC1C71" w:rsidRDefault="00CC1C71" w:rsidP="00CC1C71">
      <w:r>
        <w:t>&lt;ESMA_CO3_QUESTION_2&gt;</w:t>
      </w:r>
    </w:p>
    <w:p w:rsidR="00CC1C71" w:rsidRDefault="00CC1C71" w:rsidP="00CC1C71"/>
    <w:p w:rsidR="00CC1C71" w:rsidRPr="00A84770" w:rsidRDefault="00CC1C71" w:rsidP="00CC1C71">
      <w:pPr>
        <w:pStyle w:val="Heading2"/>
        <w:keepLines w:val="0"/>
        <w:pageBreakBefore/>
        <w:numPr>
          <w:ilvl w:val="0"/>
          <w:numId w:val="36"/>
        </w:numPr>
        <w:spacing w:before="0" w:after="250" w:line="276" w:lineRule="auto"/>
        <w:ind w:left="357" w:hanging="357"/>
        <w:jc w:val="both"/>
      </w:pPr>
      <w:bookmarkStart w:id="14" w:name="_Toc389466262"/>
      <w:bookmarkStart w:id="15" w:name="_Toc389496893"/>
      <w:bookmarkStart w:id="16" w:name="_Toc398140746"/>
      <w:r>
        <w:lastRenderedPageBreak/>
        <w:t>Determination of the classes</w:t>
      </w:r>
      <w:r w:rsidRPr="00A84770">
        <w:t xml:space="preserve"> of OTC </w:t>
      </w:r>
      <w:r>
        <w:t>d</w:t>
      </w:r>
      <w:r w:rsidRPr="00A84770">
        <w:t>erivatives to be subject to the clearing obligation</w:t>
      </w:r>
      <w:bookmarkEnd w:id="14"/>
      <w:bookmarkEnd w:id="15"/>
      <w:bookmarkEnd w:id="16"/>
    </w:p>
    <w:p w:rsidR="00CC1C71" w:rsidRDefault="00CC1C71" w:rsidP="00CC1C71"/>
    <w:p w:rsidR="00CC1C71" w:rsidRDefault="00CC1C71" w:rsidP="00CC1C71">
      <w:pPr>
        <w:pStyle w:val="Heading5"/>
      </w:pPr>
      <w:r>
        <w:t xml:space="preserve">In view of the criteria set in Article 5(4) of EMIR, do you consider that the determination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2E1CF4" w:rsidRDefault="00C347CB" w:rsidP="00C347CB">
      <w:permStart w:id="1878995093" w:edGrp="everyone"/>
      <w:r w:rsidRPr="009523CE">
        <w:t xml:space="preserve">EACH supports ESMA’s analysis in section 3 of the consultation and considers that the determination of this class addresses appropriately the objective of reduction of the systemic risk associated </w:t>
      </w:r>
      <w:r w:rsidR="002E1CF4">
        <w:t xml:space="preserve">with </w:t>
      </w:r>
      <w:r w:rsidRPr="009523CE">
        <w:t>NDF</w:t>
      </w:r>
      <w:r w:rsidR="002E1CF4">
        <w:t>s</w:t>
      </w:r>
      <w:r w:rsidRPr="009523CE">
        <w:t>.</w:t>
      </w:r>
    </w:p>
    <w:p w:rsidR="00C347CB" w:rsidRPr="009523CE" w:rsidRDefault="00C347CB" w:rsidP="00C347CB">
      <w:r w:rsidRPr="009523CE">
        <w:t xml:space="preserve"> </w:t>
      </w:r>
    </w:p>
    <w:p w:rsidR="00CC1C71" w:rsidRDefault="00C347CB" w:rsidP="00C347CB">
      <w:r w:rsidRPr="009523CE">
        <w:t xml:space="preserve">EACH would like to request further clarification with regard to the definition of maturity, particularly with regard to the 2 year tenor and the corresponding final settlement date that is covered by the clearing obligation. In the case of </w:t>
      </w:r>
      <w:proofErr w:type="spellStart"/>
      <w:r w:rsidRPr="009523CE">
        <w:t>LCH.Clearnet</w:t>
      </w:r>
      <w:proofErr w:type="spellEnd"/>
      <w:r w:rsidRPr="009523CE">
        <w:t xml:space="preserve">, its </w:t>
      </w:r>
      <w:proofErr w:type="spellStart"/>
      <w:r w:rsidRPr="009523CE">
        <w:t>ForexClear</w:t>
      </w:r>
      <w:proofErr w:type="spellEnd"/>
      <w:r w:rsidRPr="009523CE">
        <w:t xml:space="preserve"> service measures the 2 year max</w:t>
      </w:r>
      <w:r w:rsidR="002E1CF4">
        <w:t>imum</w:t>
      </w:r>
      <w:r w:rsidRPr="009523CE">
        <w:t xml:space="preserve"> tenor as the settlement date falling two calendar years plus two business days immediately following the Submission Date.</w:t>
      </w:r>
    </w:p>
    <w:permEnd w:id="1878995093"/>
    <w:p w:rsidR="00CC1C71" w:rsidRDefault="00CC1C71" w:rsidP="00CC1C71">
      <w:r>
        <w:t>&lt;ESMA_CO3_QUESTION_3&gt;</w:t>
      </w:r>
    </w:p>
    <w:p w:rsidR="00CC1C71" w:rsidRDefault="00CC1C71" w:rsidP="00CC1C71"/>
    <w:p w:rsidR="00CC1C71" w:rsidRDefault="00CC1C71" w:rsidP="00CC1C71">
      <w:pPr>
        <w:pStyle w:val="Heading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CC1C71" w:rsidRDefault="00387133" w:rsidP="00CC1C71">
      <w:permStart w:id="1238717256" w:edGrp="everyone"/>
      <w:r>
        <w:t>EACH s</w:t>
      </w:r>
      <w:r w:rsidR="00C347CB" w:rsidRPr="00C347CB">
        <w:t>upport</w:t>
      </w:r>
      <w:r w:rsidR="00E24144">
        <w:t>s</w:t>
      </w:r>
      <w:r w:rsidR="00C347CB" w:rsidRPr="00C347CB">
        <w:t xml:space="preserve"> the 11 currency pairs selected for the clearing obligation. In addition, </w:t>
      </w:r>
      <w:r>
        <w:t>EACH</w:t>
      </w:r>
      <w:r w:rsidR="00C347CB" w:rsidRPr="00C347CB">
        <w:t xml:space="preserve"> believes </w:t>
      </w:r>
      <w:r>
        <w:t>there are no risks to include longer maturities</w:t>
      </w:r>
      <w:r w:rsidR="00B82287">
        <w:t xml:space="preserve">. Therefore, </w:t>
      </w:r>
      <w:r w:rsidR="00C347CB" w:rsidRPr="00C347CB">
        <w:t>NDFs contracts with longer maturities up to the 2 year tenor should not be excluded from the clearing obligation.</w:t>
      </w:r>
    </w:p>
    <w:permEnd w:id="1238717256"/>
    <w:p w:rsidR="00CC1C71" w:rsidRDefault="00CC1C71" w:rsidP="00CC1C71">
      <w:r>
        <w:t>&lt;ESMA_CO3_QUESTION_4&gt;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7" w:name="_Toc398140747"/>
      <w:r w:rsidRPr="00412C4C">
        <w:lastRenderedPageBreak/>
        <w:t xml:space="preserve">Determination of the </w:t>
      </w:r>
      <w:r>
        <w:t xml:space="preserve">dates on which the obligation applies and </w:t>
      </w:r>
      <w:r w:rsidRPr="00412C4C">
        <w:t>the categories of counterparties</w:t>
      </w:r>
      <w:bookmarkEnd w:id="17"/>
    </w:p>
    <w:p w:rsidR="00CC1C71" w:rsidRDefault="00CC1C71" w:rsidP="00CC1C71"/>
    <w:p w:rsidR="00CC1C71" w:rsidRPr="00284213" w:rsidRDefault="00CC1C71" w:rsidP="00CC1C71">
      <w:pPr>
        <w:pStyle w:val="Heading5"/>
      </w:pPr>
      <w:r>
        <w:t xml:space="preserve"> Do you have any comment on the analysis presented in Section </w:t>
      </w:r>
      <w:r>
        <w:fldChar w:fldCharType="begin"/>
      </w:r>
      <w:r>
        <w:instrText xml:space="preserve"> REF _Ref392684359 \r \h </w:instrText>
      </w:r>
      <w:r>
        <w:fldChar w:fldCharType="separate"/>
      </w:r>
      <w:r>
        <w:t>4.1</w:t>
      </w:r>
      <w:r>
        <w:fldChar w:fldCharType="end"/>
      </w:r>
      <w:r>
        <w:t>?</w:t>
      </w:r>
    </w:p>
    <w:p w:rsidR="00CC1C71" w:rsidRDefault="00CC1C71" w:rsidP="00CC1C71"/>
    <w:p w:rsidR="00CC1C71" w:rsidRDefault="00CC1C71" w:rsidP="00CC1C71">
      <w:r>
        <w:t>&lt;ESMA_CO3_QUESTION_5&gt;</w:t>
      </w:r>
    </w:p>
    <w:p w:rsidR="00CC1C71" w:rsidRDefault="00773469" w:rsidP="00660687">
      <w:permStart w:id="1612791053" w:edGrp="everyone"/>
      <w:r>
        <w:t>TYPE YOUR TEXT HERE</w:t>
      </w:r>
    </w:p>
    <w:permEnd w:id="1612791053"/>
    <w:p w:rsidR="00CC1C71" w:rsidRDefault="00CC1C71" w:rsidP="00CC1C71">
      <w:r>
        <w:t>&lt;ESMA_CO3_QUESTION_5&gt;</w:t>
      </w:r>
    </w:p>
    <w:p w:rsidR="00CC1C71" w:rsidRDefault="00CC1C71" w:rsidP="00CC1C71"/>
    <w:p w:rsidR="00CC1C71" w:rsidRPr="00301767" w:rsidRDefault="00CC1C71" w:rsidP="00CC1C71">
      <w:pPr>
        <w:pStyle w:val="Heading5"/>
      </w:pPr>
      <w:r>
        <w:t>Do you agree with the proposal to keep the same definition of the categories of counterparties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C347CB" w:rsidRDefault="00E24144" w:rsidP="00C347CB">
      <w:permStart w:id="748164518" w:edGrp="everyone"/>
      <w:r w:rsidRPr="00E24144">
        <w:t xml:space="preserve">While for </w:t>
      </w:r>
      <w:r w:rsidR="002E1CF4">
        <w:t xml:space="preserve">credit and interest rates classes </w:t>
      </w:r>
      <w:r w:rsidRPr="00E24144">
        <w:t xml:space="preserve">EACH believes </w:t>
      </w:r>
      <w:r w:rsidR="002E1CF4">
        <w:t xml:space="preserve">it is suitable to maintain the </w:t>
      </w:r>
      <w:r w:rsidRPr="00E24144">
        <w:t xml:space="preserve">same definition of categories of counterparties, this </w:t>
      </w:r>
      <w:r w:rsidR="002E1CF4">
        <w:t xml:space="preserve">may </w:t>
      </w:r>
      <w:r w:rsidRPr="00E24144">
        <w:t xml:space="preserve">not </w:t>
      </w:r>
      <w:r w:rsidR="002E1CF4">
        <w:t xml:space="preserve">be </w:t>
      </w:r>
      <w:r w:rsidRPr="00E24144">
        <w:t>the case for the NDF class</w:t>
      </w:r>
      <w:r w:rsidR="00660687">
        <w:t xml:space="preserve">. </w:t>
      </w:r>
      <w:r w:rsidR="00C347CB">
        <w:t xml:space="preserve">Being a significant participant in the credit and the interest rate asset classes does not </w:t>
      </w:r>
      <w:r w:rsidR="002E1CF4">
        <w:t xml:space="preserve">necessarily </w:t>
      </w:r>
      <w:r w:rsidR="00C347CB">
        <w:t xml:space="preserve">imply having the necessary infrastructure or processes in place to clear </w:t>
      </w:r>
      <w:r w:rsidR="002E1CF4">
        <w:t xml:space="preserve">the </w:t>
      </w:r>
      <w:r w:rsidR="00C347CB">
        <w:t xml:space="preserve">FX </w:t>
      </w:r>
      <w:r w:rsidR="002E1CF4">
        <w:t>class</w:t>
      </w:r>
      <w:r w:rsidR="00C347CB">
        <w:t xml:space="preserve">. </w:t>
      </w:r>
      <w:r w:rsidR="002E1CF4">
        <w:t>M</w:t>
      </w:r>
      <w:r w:rsidR="00C347CB">
        <w:t>arket participants were prepared for clearing IRS and CDS classes due to the presence of a mandate under the US Dodd-Frank Act. This is not currently the case for NDFs.</w:t>
      </w:r>
    </w:p>
    <w:p w:rsidR="00C347CB" w:rsidRDefault="00C347CB" w:rsidP="00C347CB"/>
    <w:p w:rsidR="00C347CB" w:rsidRDefault="00C347CB" w:rsidP="00660687">
      <w:r>
        <w:t>More generally, EACH invites ESMA to further consider a mechanism whereby the categorisation of counterparties can be communicated across the market. For example under the Dodd-Frank Act, the CFTC maintains a list of categories, both Swap Dealers and Major Swap Participants, on its website. We encourage ESMA to follow a similar approach to provide transparency and certainty to the market</w:t>
      </w:r>
      <w:r w:rsidR="00285596">
        <w:t>.</w:t>
      </w:r>
    </w:p>
    <w:permEnd w:id="748164518"/>
    <w:p w:rsidR="00CC1C71" w:rsidRDefault="00CC1C71" w:rsidP="00CC1C71">
      <w:r>
        <w:t>&lt;ESMA_CO3_QUESTION_6&gt;</w:t>
      </w:r>
    </w:p>
    <w:p w:rsidR="00CC1C71" w:rsidRDefault="00CC1C71" w:rsidP="00CC1C71"/>
    <w:p w:rsidR="00CC1C71" w:rsidRDefault="00CC1C71" w:rsidP="00CC1C71">
      <w:pPr>
        <w:pStyle w:val="Heading5"/>
      </w:pPr>
      <w:r>
        <w:t xml:space="preserve"> </w:t>
      </w:r>
      <w:r w:rsidRPr="0067104A">
        <w:t>Do you consider that the proposed dates of application ensure a smooth implementation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D10FE0" w:rsidRPr="00E24144" w:rsidRDefault="00E137E3" w:rsidP="00D10FE0">
      <w:permStart w:id="69827925" w:edGrp="everyone"/>
      <w:r w:rsidRPr="00E137E3">
        <w:t>EACH supports the proposed dates of application of the clearing obligation for the NDF class</w:t>
      </w:r>
      <w:r>
        <w:t>.</w:t>
      </w:r>
    </w:p>
    <w:permEnd w:id="69827925"/>
    <w:p w:rsidR="00CC1C71" w:rsidRDefault="00CC1C71" w:rsidP="00CC1C71">
      <w:r>
        <w:t>&lt;ESMA_CO3_QUESTION_7&gt;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28" w:name="_Toc398140748"/>
      <w:r w:rsidRPr="00A84770">
        <w:lastRenderedPageBreak/>
        <w:t>Remaining maturity</w:t>
      </w:r>
      <w:r>
        <w:t xml:space="preserve"> and frontloading</w:t>
      </w:r>
      <w:bookmarkEnd w:id="28"/>
    </w:p>
    <w:p w:rsidR="00C7564E" w:rsidRDefault="00C7564E" w:rsidP="00C7564E">
      <w:pPr>
        <w:pStyle w:val="Heading5"/>
      </w:pPr>
      <w:r>
        <w:t>Do you have comments on the minimum remaining maturities for NDF?</w:t>
      </w:r>
    </w:p>
    <w:p w:rsidR="00C7564E" w:rsidRPr="00CC1C71" w:rsidRDefault="00C7564E" w:rsidP="00C7564E"/>
    <w:p w:rsidR="00C7564E" w:rsidRDefault="00C7564E" w:rsidP="00C7564E">
      <w:r>
        <w:t>&lt;ESMA_CO3_QUESTION_8&gt;</w:t>
      </w:r>
    </w:p>
    <w:p w:rsidR="00C7564E" w:rsidRDefault="00C7564E" w:rsidP="00C7564E">
      <w:permStart w:id="1779387109" w:edGrp="everyone"/>
      <w:r>
        <w:t>TYPE YOUR TEXT HERE</w:t>
      </w:r>
    </w:p>
    <w:permEnd w:id="1779387109"/>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Heading1"/>
        <w:numPr>
          <w:ilvl w:val="0"/>
          <w:numId w:val="0"/>
        </w:numPr>
        <w:ind w:left="284"/>
      </w:pPr>
      <w:bookmarkStart w:id="29" w:name="_Ref389466688"/>
      <w:bookmarkStart w:id="30" w:name="_Toc398140750"/>
      <w:r w:rsidRPr="006579BC">
        <w:lastRenderedPageBreak/>
        <w:t xml:space="preserve">Annex </w:t>
      </w:r>
      <w:r w:rsidR="00F355EC">
        <w:fldChar w:fldCharType="begin"/>
      </w:r>
      <w:r w:rsidR="00F355EC">
        <w:instrText xml:space="preserve"> SEQ Annex \* ROMAN </w:instrText>
      </w:r>
      <w:r w:rsidR="00F355EC">
        <w:fldChar w:fldCharType="separate"/>
      </w:r>
      <w:r>
        <w:rPr>
          <w:noProof/>
        </w:rPr>
        <w:t>II</w:t>
      </w:r>
      <w:r w:rsidR="00F355EC">
        <w:rPr>
          <w:noProof/>
        </w:rPr>
        <w:fldChar w:fldCharType="end"/>
      </w:r>
      <w:bookmarkEnd w:id="29"/>
      <w:r w:rsidRPr="006579BC">
        <w:t xml:space="preserve"> - Draft Regulatory Technical Standards on the Clearing Obligation</w:t>
      </w:r>
      <w:bookmarkEnd w:id="30"/>
    </w:p>
    <w:p w:rsidR="00CC1C71" w:rsidRPr="00CC1C71" w:rsidRDefault="00CC1C71" w:rsidP="00CC1C71"/>
    <w:p w:rsidR="00CC1C71" w:rsidRDefault="00CC1C71" w:rsidP="00CC1C71"/>
    <w:p w:rsidR="00CC1C71" w:rsidRDefault="00CC1C71" w:rsidP="00CC1C71">
      <w:pPr>
        <w:pStyle w:val="Heading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CC1C71" w:rsidRDefault="00CC1C71" w:rsidP="00CC1C71">
      <w:permStart w:id="1088323223" w:edGrp="everyone"/>
      <w:r>
        <w:t>TYPE YOUR TEXT HERE</w:t>
      </w:r>
    </w:p>
    <w:permEnd w:id="1088323223"/>
    <w:p w:rsidR="00CC1C71" w:rsidRDefault="00CC1C71" w:rsidP="00CC1C71">
      <w:r>
        <w:t>&lt;ESMA_CO3_QUESTION_9&gt;</w:t>
      </w:r>
    </w:p>
    <w:p w:rsidR="00CC1C71" w:rsidRDefault="00CC1C71" w:rsidP="00CC1C71">
      <w:r>
        <w:br w:type="page"/>
      </w:r>
    </w:p>
    <w:p w:rsidR="00CC1C71" w:rsidRPr="0030524D" w:rsidRDefault="00CC1C71" w:rsidP="00CC1C71">
      <w:pPr>
        <w:pStyle w:val="Heading1"/>
        <w:numPr>
          <w:ilvl w:val="0"/>
          <w:numId w:val="0"/>
        </w:numPr>
        <w:ind w:left="284"/>
      </w:pPr>
      <w:bookmarkStart w:id="31" w:name="_Toc398140751"/>
      <w:r w:rsidRPr="0030524D">
        <w:lastRenderedPageBreak/>
        <w:t xml:space="preserve">Annex </w:t>
      </w:r>
      <w:r w:rsidR="00F355EC">
        <w:fldChar w:fldCharType="begin"/>
      </w:r>
      <w:r w:rsidR="00F355EC">
        <w:instrText xml:space="preserve"> SEQ Annex \* ROMAN </w:instrText>
      </w:r>
      <w:r w:rsidR="00F355EC">
        <w:fldChar w:fldCharType="separate"/>
      </w:r>
      <w:r>
        <w:rPr>
          <w:noProof/>
        </w:rPr>
        <w:t>III</w:t>
      </w:r>
      <w:r w:rsidR="00F355EC">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Heading5"/>
      </w:pPr>
      <w:r>
        <w:t>Please indicate your comments on the Impact Assessment.</w:t>
      </w:r>
    </w:p>
    <w:p w:rsidR="00CC1C71" w:rsidRDefault="00CC1C71" w:rsidP="00CC1C71"/>
    <w:p w:rsidR="00CC1C71" w:rsidRDefault="00CC1C71" w:rsidP="00CC1C71">
      <w:r>
        <w:t>&lt;ESMA_CO3_QUESTION_10&gt;</w:t>
      </w:r>
    </w:p>
    <w:p w:rsidR="00CC1C71" w:rsidRDefault="00CC1C71" w:rsidP="00CC1C71">
      <w:permStart w:id="206648219" w:edGrp="everyone"/>
      <w:r>
        <w:t>TYPE YOUR TEXT HERE</w:t>
      </w:r>
    </w:p>
    <w:permEnd w:id="206648219"/>
    <w:p w:rsidR="00CC1C71" w:rsidRDefault="00CC1C71" w:rsidP="00CC1C71">
      <w:r>
        <w:t>&lt;ESMA_CO3_QUESTION_10&gt;</w:t>
      </w:r>
    </w:p>
    <w:p w:rsidR="00CC1C71" w:rsidRDefault="00CC1C71" w:rsidP="00CC1C71"/>
    <w:p w:rsidR="00510C18" w:rsidRDefault="00510C18" w:rsidP="00510C18"/>
    <w:sectPr w:rsidR="00510C18" w:rsidSect="000C06C9">
      <w:headerReference w:type="even" r:id="rId16"/>
      <w:headerReference w:type="first" r:id="rId17"/>
      <w:footerReference w:type="first" r:id="rId18"/>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DB1" w:rsidRDefault="003F3DB1">
      <w:r>
        <w:separator/>
      </w:r>
    </w:p>
    <w:p w:rsidR="003F3DB1" w:rsidRDefault="003F3DB1"/>
  </w:endnote>
  <w:endnote w:type="continuationSeparator" w:id="0">
    <w:p w:rsidR="003F3DB1" w:rsidRDefault="003F3DB1">
      <w:r>
        <w:continuationSeparator/>
      </w:r>
    </w:p>
    <w:p w:rsidR="003F3DB1" w:rsidRDefault="003F3DB1"/>
  </w:endnote>
  <w:endnote w:type="continuationNotice" w:id="1">
    <w:p w:rsidR="003F3DB1" w:rsidRDefault="003F3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315E96" w:rsidTr="00315E96">
      <w:trPr>
        <w:trHeight w:val="284"/>
      </w:trPr>
      <w:tc>
        <w:tcPr>
          <w:tcW w:w="8460" w:type="dxa"/>
        </w:tcPr>
        <w:p w:rsidR="00510C18" w:rsidRPr="00315E96" w:rsidRDefault="00510C18" w:rsidP="00315E96">
          <w:pPr>
            <w:pStyle w:val="00Footer"/>
            <w:rPr>
              <w:lang w:val="fr-FR"/>
            </w:rPr>
          </w:pPr>
        </w:p>
      </w:tc>
      <w:tc>
        <w:tcPr>
          <w:tcW w:w="952" w:type="dxa"/>
        </w:tcPr>
        <w:p w:rsidR="00510C18" w:rsidRPr="002C5B2D" w:rsidRDefault="00510C18" w:rsidP="002C5B2D">
          <w:pPr>
            <w:pStyle w:val="00aPagenumber"/>
          </w:pPr>
          <w:r>
            <w:fldChar w:fldCharType="begin"/>
          </w:r>
          <w:r>
            <w:instrText xml:space="preserve"> PAGE </w:instrText>
          </w:r>
          <w:r>
            <w:fldChar w:fldCharType="separate"/>
          </w:r>
          <w:r w:rsidR="00E137E3">
            <w:rPr>
              <w:noProof/>
            </w:rPr>
            <w:t>11</w:t>
          </w:r>
          <w:r>
            <w:rPr>
              <w:noProof/>
            </w:rPr>
            <w:fldChar w:fldCharType="end"/>
          </w:r>
        </w:p>
      </w:tc>
    </w:tr>
  </w:tbl>
  <w:p w:rsidR="00510C18" w:rsidRDefault="00510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rsidP="00395EF9">
    <w:pPr>
      <w:pStyle w:val="Footer"/>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DB1" w:rsidRDefault="003F3DB1">
      <w:r>
        <w:separator/>
      </w:r>
    </w:p>
    <w:p w:rsidR="003F3DB1" w:rsidRDefault="003F3DB1"/>
  </w:footnote>
  <w:footnote w:type="continuationSeparator" w:id="0">
    <w:p w:rsidR="003F3DB1" w:rsidRDefault="003F3DB1">
      <w:r>
        <w:continuationSeparator/>
      </w:r>
    </w:p>
    <w:p w:rsidR="003F3DB1" w:rsidRDefault="003F3DB1"/>
  </w:footnote>
  <w:footnote w:type="continuationNotice" w:id="1">
    <w:p w:rsidR="003F3DB1" w:rsidRDefault="003F3D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9C7A70">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4BE507"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9C7A70"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2F4496" w:rsidTr="000C06C9">
      <w:trPr>
        <w:trHeight w:val="284"/>
      </w:trPr>
      <w:tc>
        <w:tcPr>
          <w:tcW w:w="8460" w:type="dxa"/>
        </w:tcPr>
        <w:p w:rsidR="00510C18" w:rsidRPr="000C3B6D" w:rsidRDefault="00510C18" w:rsidP="000C06C9">
          <w:pPr>
            <w:pStyle w:val="00Footer"/>
            <w:rPr>
              <w:lang w:val="fr-FR"/>
            </w:rPr>
          </w:pPr>
        </w:p>
      </w:tc>
      <w:tc>
        <w:tcPr>
          <w:tcW w:w="952" w:type="dxa"/>
        </w:tcPr>
        <w:p w:rsidR="00510C18" w:rsidRPr="00146B34" w:rsidRDefault="00510C18" w:rsidP="000C06C9">
          <w:pPr>
            <w:pStyle w:val="00aPagenumber"/>
            <w:rPr>
              <w:lang w:val="fr-FR"/>
            </w:rPr>
          </w:pPr>
        </w:p>
      </w:tc>
    </w:tr>
  </w:tbl>
  <w:p w:rsidR="00510C18" w:rsidRPr="00DB46C3" w:rsidRDefault="00510C18">
    <w:pPr>
      <w:rPr>
        <w:lang w:val="fr-FR"/>
      </w:rPr>
    </w:pPr>
  </w:p>
  <w:p w:rsidR="00510C18" w:rsidRPr="002F4496" w:rsidRDefault="00510C18">
    <w:pPr>
      <w:pStyle w:val="Header"/>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highlight w:val="yellow"/>
        <w:lang w:val="fr-FR"/>
      </w:rPr>
    </w:pPr>
  </w:p>
  <w:p w:rsidR="00510C18" w:rsidRDefault="009C7A70">
    <w:pPr>
      <w:pStyle w:val="Header"/>
    </w:pPr>
    <w:r>
      <w:rPr>
        <w:noProof/>
        <w:lang w:val="en-US" w:eastAsia="en-US"/>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1196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4">
    <w:nsid w:val="79870C5F"/>
    <w:multiLevelType w:val="hybridMultilevel"/>
    <w:tmpl w:val="716CCDC8"/>
    <w:lvl w:ilvl="0" w:tplc="C44E8248">
      <w:start w:val="1"/>
      <w:numFmt w:val="decimal"/>
      <w:pStyle w:val="Heading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3"/>
  </w:num>
  <w:num w:numId="6">
    <w:abstractNumId w:val="24"/>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1"/>
  </w:num>
  <w:num w:numId="22">
    <w:abstractNumId w:val="23"/>
  </w:num>
  <w:num w:numId="23">
    <w:abstractNumId w:val="9"/>
  </w:num>
  <w:num w:numId="24">
    <w:abstractNumId w:val="28"/>
  </w:num>
  <w:num w:numId="25">
    <w:abstractNumId w:val="27"/>
  </w:num>
  <w:num w:numId="26">
    <w:abstractNumId w:val="18"/>
  </w:num>
  <w:num w:numId="27">
    <w:abstractNumId w:val="30"/>
  </w:num>
  <w:num w:numId="28">
    <w:abstractNumId w:val="35"/>
  </w:num>
  <w:num w:numId="29">
    <w:abstractNumId w:val="7"/>
  </w:num>
  <w:num w:numId="30">
    <w:abstractNumId w:val="4"/>
  </w:num>
  <w:num w:numId="31">
    <w:abstractNumId w:val="20"/>
  </w:num>
  <w:num w:numId="32">
    <w:abstractNumId w:val="2"/>
  </w:num>
  <w:num w:numId="3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32"/>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3A4"/>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5430"/>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FD3"/>
    <w:rsid w:val="000C701D"/>
    <w:rsid w:val="000C7C4A"/>
    <w:rsid w:val="000D2D0B"/>
    <w:rsid w:val="000D2F62"/>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2022"/>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192C"/>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777CA"/>
    <w:rsid w:val="00280613"/>
    <w:rsid w:val="0028274D"/>
    <w:rsid w:val="00282B96"/>
    <w:rsid w:val="002833D6"/>
    <w:rsid w:val="00283F51"/>
    <w:rsid w:val="00285596"/>
    <w:rsid w:val="00286064"/>
    <w:rsid w:val="002867B1"/>
    <w:rsid w:val="00287BBB"/>
    <w:rsid w:val="00287E3B"/>
    <w:rsid w:val="00290638"/>
    <w:rsid w:val="00291763"/>
    <w:rsid w:val="00291D80"/>
    <w:rsid w:val="00293156"/>
    <w:rsid w:val="00293BE7"/>
    <w:rsid w:val="002946DC"/>
    <w:rsid w:val="00294A73"/>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1CF4"/>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AC8"/>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87133"/>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526A"/>
    <w:rsid w:val="003E68C7"/>
    <w:rsid w:val="003E79B0"/>
    <w:rsid w:val="003F0403"/>
    <w:rsid w:val="003F1094"/>
    <w:rsid w:val="003F2E45"/>
    <w:rsid w:val="003F3DB1"/>
    <w:rsid w:val="003F3EFE"/>
    <w:rsid w:val="003F40B8"/>
    <w:rsid w:val="003F5261"/>
    <w:rsid w:val="003F5C06"/>
    <w:rsid w:val="00400195"/>
    <w:rsid w:val="00401363"/>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813"/>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687"/>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5A3B"/>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46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650E"/>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3CE"/>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287"/>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BEE"/>
    <w:rsid w:val="00C31DF0"/>
    <w:rsid w:val="00C33916"/>
    <w:rsid w:val="00C33BCF"/>
    <w:rsid w:val="00C34749"/>
    <w:rsid w:val="00C347CB"/>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0FE0"/>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37E3"/>
    <w:rsid w:val="00E16FB5"/>
    <w:rsid w:val="00E179D6"/>
    <w:rsid w:val="00E21407"/>
    <w:rsid w:val="00E22668"/>
    <w:rsid w:val="00E227D3"/>
    <w:rsid w:val="00E22BFF"/>
    <w:rsid w:val="00E22CB0"/>
    <w:rsid w:val="00E23798"/>
    <w:rsid w:val="00E24144"/>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5EC"/>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5:docId w15:val="{897B3B74-8BA2-4D32-8AFF-A3237E12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44961465">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73170773">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4831883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68796631">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27312586">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2331831">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 w:id="212634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eachccp.e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cehold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cehold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9"/>
    <w:rsid w:val="00052F7F"/>
    <w:rsid w:val="001B09B4"/>
    <w:rsid w:val="00774BE9"/>
    <w:rsid w:val="008D3C96"/>
    <w:rsid w:val="009D2A1A"/>
    <w:rsid w:val="00A72069"/>
    <w:rsid w:val="00BE0009"/>
    <w:rsid w:val="00CA6DDF"/>
    <w:rsid w:val="00CB0C25"/>
    <w:rsid w:val="00DD0103"/>
    <w:rsid w:val="00FB3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DBD0-AFDF-4518-B6AC-90E7DE5347FD}">
  <ds:schemaRefs>
    <ds:schemaRef ds:uri="http://schemas.openxmlformats.org/officeDocument/2006/bibliography"/>
  </ds:schemaRefs>
</ds:datastoreItem>
</file>

<file path=customXml/itemProps2.xml><?xml version="1.0" encoding="utf-8"?>
<ds:datastoreItem xmlns:ds="http://schemas.openxmlformats.org/officeDocument/2006/customXml" ds:itemID="{84133D2D-FA70-4213-B28C-309610A2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1353</Words>
  <Characters>7713</Characters>
  <Application>Microsoft Office Word</Application>
  <DocSecurity>8</DocSecurity>
  <Lines>64</Lines>
  <Paragraphs>18</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9048</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rafael plata</cp:lastModifiedBy>
  <cp:revision>6</cp:revision>
  <cp:lastPrinted>2014-05-08T15:06:00Z</cp:lastPrinted>
  <dcterms:created xsi:type="dcterms:W3CDTF">2014-11-06T10:05:00Z</dcterms:created>
  <dcterms:modified xsi:type="dcterms:W3CDTF">2014-11-06T17:05:00Z</dcterms:modified>
</cp:coreProperties>
</file>