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0A5184">
        <w:tc>
          <w:tcPr>
            <w:tcW w:w="3929" w:type="dxa"/>
            <w:shd w:val="clear" w:color="auto" w:fill="auto"/>
          </w:tcPr>
          <w:p w:rsidR="00D34282" w:rsidRPr="00AB6D88" w:rsidRDefault="00D34282" w:rsidP="000A5184">
            <w:pPr>
              <w:rPr>
                <w:rFonts w:cs="Arial"/>
              </w:rPr>
            </w:pPr>
            <w:permStart w:id="700074596" w:edGrp="everyone" w:colFirst="1" w:colLast="1"/>
            <w:r w:rsidRPr="00AB6D88">
              <w:rPr>
                <w:rFonts w:cs="Arial"/>
              </w:rPr>
              <w:t>Name of the company / organisation</w:t>
            </w:r>
          </w:p>
        </w:tc>
        <w:tc>
          <w:tcPr>
            <w:tcW w:w="5595" w:type="dxa"/>
            <w:shd w:val="clear" w:color="auto" w:fill="auto"/>
          </w:tcPr>
          <w:p w:rsidR="00D34282" w:rsidRPr="00AB6D88" w:rsidRDefault="00742066" w:rsidP="00B62AA8">
            <w:pPr>
              <w:rPr>
                <w:rStyle w:val="PlaceholderText"/>
                <w:rFonts w:cs="Arial"/>
              </w:rPr>
            </w:pPr>
            <w:r>
              <w:rPr>
                <w:rStyle w:val="PlaceholderText"/>
                <w:rFonts w:cs="Arial"/>
              </w:rPr>
              <w:t>The Wealth Management Association</w:t>
            </w:r>
          </w:p>
        </w:tc>
      </w:tr>
      <w:tr w:rsidR="00D34282" w:rsidRPr="00AB6D88" w:rsidTr="000A5184">
        <w:tc>
          <w:tcPr>
            <w:tcW w:w="3929" w:type="dxa"/>
            <w:shd w:val="clear" w:color="auto" w:fill="auto"/>
          </w:tcPr>
          <w:p w:rsidR="00D34282" w:rsidRPr="00AB6D88" w:rsidRDefault="00D34282" w:rsidP="000A5184">
            <w:pPr>
              <w:rPr>
                <w:rFonts w:cs="Arial"/>
              </w:rPr>
            </w:pPr>
            <w:permStart w:id="247230254" w:edGrp="everyone" w:colFirst="1" w:colLast="1"/>
            <w:permEnd w:id="700074596"/>
            <w:r w:rsidRPr="00AB6D88">
              <w:rPr>
                <w:rFonts w:cs="Arial"/>
              </w:rPr>
              <w:t>Activity</w:t>
            </w:r>
          </w:p>
        </w:tc>
        <w:tc>
          <w:tcPr>
            <w:tcW w:w="5595" w:type="dxa"/>
            <w:shd w:val="clear" w:color="auto" w:fill="auto"/>
          </w:tcPr>
          <w:p w:rsidR="00D34282" w:rsidRPr="00AB6D88" w:rsidRDefault="00786AEB" w:rsidP="000A5184">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782055605" w:edGrp="everyone"/>
                <w:r w:rsidR="00B62AA8">
                  <w:rPr>
                    <w:rFonts w:cs="Arial"/>
                  </w:rPr>
                  <w:t>Investment Services</w:t>
                </w:r>
                <w:permEnd w:id="782055605"/>
              </w:sdtContent>
            </w:sdt>
          </w:p>
        </w:tc>
      </w:tr>
      <w:tr w:rsidR="00D34282" w:rsidRPr="00AB6D88" w:rsidTr="000A5184">
        <w:tc>
          <w:tcPr>
            <w:tcW w:w="3929" w:type="dxa"/>
            <w:shd w:val="clear" w:color="auto" w:fill="auto"/>
          </w:tcPr>
          <w:p w:rsidR="00D34282" w:rsidRPr="00AB6D88" w:rsidRDefault="00D34282" w:rsidP="000A5184">
            <w:pPr>
              <w:rPr>
                <w:rFonts w:cs="Arial"/>
              </w:rPr>
            </w:pPr>
            <w:permStart w:id="2086536364" w:edGrp="everyone" w:colFirst="1" w:colLast="1"/>
            <w:permEnd w:id="247230254"/>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742066" w:rsidP="000A5184">
                <w:pPr>
                  <w:rPr>
                    <w:rFonts w:cs="Arial"/>
                  </w:rPr>
                </w:pPr>
                <w:r>
                  <w:rPr>
                    <w:rFonts w:ascii="MS Gothic" w:eastAsia="MS Gothic" w:hAnsi="MS Gothic" w:cs="Arial" w:hint="eastAsia"/>
                  </w:rPr>
                  <w:t>☒</w:t>
                </w:r>
              </w:p>
            </w:tc>
          </w:sdtContent>
        </w:sdt>
      </w:tr>
      <w:tr w:rsidR="00D34282" w:rsidRPr="00AB6D88" w:rsidTr="000A5184">
        <w:tc>
          <w:tcPr>
            <w:tcW w:w="3929" w:type="dxa"/>
            <w:shd w:val="clear" w:color="auto" w:fill="auto"/>
          </w:tcPr>
          <w:p w:rsidR="00D34282" w:rsidRPr="00AB6D88" w:rsidRDefault="00D34282" w:rsidP="000A5184">
            <w:pPr>
              <w:rPr>
                <w:rFonts w:cs="Arial"/>
              </w:rPr>
            </w:pPr>
            <w:permStart w:id="1497235744" w:edGrp="everyone" w:colFirst="1" w:colLast="1"/>
            <w:permEnd w:id="2086536364"/>
            <w:r w:rsidRPr="00AB6D88">
              <w:rPr>
                <w:rFonts w:cs="Arial"/>
              </w:rPr>
              <w:t>Country/Region</w:t>
            </w:r>
          </w:p>
        </w:tc>
        <w:permStart w:id="32553647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627576176" w:edGrp="everyone" w:displacedByCustomXml="prev"/>
            <w:tc>
              <w:tcPr>
                <w:tcW w:w="5595" w:type="dxa"/>
                <w:shd w:val="clear" w:color="auto" w:fill="auto"/>
              </w:tcPr>
              <w:p w:rsidR="00D34282" w:rsidRPr="00AB6D88" w:rsidRDefault="00B62AA8" w:rsidP="000A5184">
                <w:pPr>
                  <w:rPr>
                    <w:rFonts w:cs="Arial"/>
                  </w:rPr>
                </w:pPr>
                <w:r>
                  <w:rPr>
                    <w:rFonts w:cs="Arial"/>
                  </w:rPr>
                  <w:t>UK</w:t>
                </w:r>
              </w:p>
            </w:tc>
            <w:permEnd w:id="627576176" w:displacedByCustomXml="next"/>
          </w:sdtContent>
        </w:sdt>
        <w:permEnd w:id="325536476" w:displacedByCustomXml="prev"/>
      </w:tr>
      <w:permEnd w:id="1497235744"/>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AD0C7B" w:rsidRDefault="00AD0C7B" w:rsidP="00AD0C7B">
      <w:permStart w:id="965506667" w:edGrp="everyone"/>
      <w:r>
        <w:t>The Wealth Management Association is a trade association representing 183 wealth management firms and associate members. With formal contracted client relationships</w:t>
      </w:r>
      <w:r w:rsidR="00786AEB">
        <w:t>,</w:t>
      </w:r>
      <w:r>
        <w:t xml:space="preserve"> our firms deal in stocks and shares and other financial instruments for individuals, trusts and charities and offer a range of services across a spectrum spanning execution</w:t>
      </w:r>
      <w:r w:rsidR="00786AEB">
        <w:t>-</w:t>
      </w:r>
      <w:r>
        <w:t>only through to full discretionary services. Our member firms act for over 4 million private investors and carry out around 20 million transactions a year in the marketplace. Our members also manage more than £500 billion of wealth in the UK, Ireland, Channel Islands and Isle of Man, operate across more than 580 sites and employ approximately 32</w:t>
      </w:r>
      <w:r w:rsidR="00786AEB">
        <w:t>,</w:t>
      </w:r>
      <w:r>
        <w:t>000 staff. Our aim is to ensure that any changes including operational, regulatory, tax and other business matters across Europe and the rest of the world are appropriate and proportionate for our wealth management community and, most importantly, their clients.</w:t>
      </w:r>
    </w:p>
    <w:p w:rsidR="00AD0C7B" w:rsidRDefault="00AD0C7B" w:rsidP="00AD0C7B"/>
    <w:p w:rsidR="00417B5C" w:rsidRDefault="00417B5C" w:rsidP="00AD0C7B">
      <w:r>
        <w:t xml:space="preserve">WMA firms are involved to a significant extent in the distribution of certain types of PRIIPs (i.e. retail-facing funds), providing advice to clients on the investment options available and effecting transactions as required. Our response to this Technical Discussion Paper, however, has been drafted in conjunction with a small group of WMA members who, while not issuers or manufacturers of products, are actively engaged in the design of products (particularly structured products), specifying the features and parameters that will meet the needs of their client bases. </w:t>
      </w:r>
    </w:p>
    <w:p w:rsidR="00417B5C" w:rsidRDefault="00417B5C" w:rsidP="00AD0C7B"/>
    <w:p w:rsidR="00D34282" w:rsidRDefault="00417B5C" w:rsidP="00AD0C7B">
      <w:r>
        <w:t xml:space="preserve">We appreciate that the Technical Discussion Paper is focussed on determining the methodologies and models to be used in calculating the risk and cost indicators for inclusion in the KID. However, </w:t>
      </w:r>
      <w:r w:rsidR="006D2F2B">
        <w:t xml:space="preserve">we would like to take this opportunity to underline one of the main areas of interest for WMA members as regards </w:t>
      </w:r>
      <w:r>
        <w:t>how information is presented in the KID</w:t>
      </w:r>
      <w:r w:rsidR="006D2F2B">
        <w:t xml:space="preserve">, namely ensuring that the requirements for formatting/presenting PRIIPs’ cost data are consistent with the costs and charges disclosure requirements of MiFID II. </w:t>
      </w:r>
      <w:r w:rsidRPr="00417B5C">
        <w:t>WMA member firms consider it essential that they should be able to use the product cost information provided in KIDs to comply with their obligations under MiFID II to present aggregate costs/charges information to clients</w:t>
      </w:r>
      <w:r w:rsidR="00452322">
        <w:t xml:space="preserve">. While we are aware that some very significant areas of the PRIIPS market are unaffected by MiFID II, there is a significant degree of overlap in the scope of these two pieces of legislation and we believe it is reasonable for industry to expect that regulators will not subject them to unnecessary costs when they are seeking to implement two complex pieces of legislation within a very tight timeframe. </w:t>
      </w:r>
    </w:p>
    <w:permEnd w:id="965506667"/>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F31E57" w:rsidRDefault="00755D40" w:rsidP="00F31E57">
      <w:permStart w:id="387021842" w:edGrp="everyone"/>
      <w:r>
        <w:t xml:space="preserve">We believe a distribution of returns for risk indicator/performance scenario purposes should be established around high-level parameters set by regulatory authorities which are then applied by manufacturers following consistent, recorded in-house processes. Distribution of returns obtained from historical data were generally considered to be problematic on the basis that investors tend to give undue weight/credence to past performance data; consequently, modelling based on forward-looking data is preferred for reasons of transparency and reliability. Of the approaches listed </w:t>
      </w:r>
      <w:r w:rsidR="00452322">
        <w:t xml:space="preserve">in section </w:t>
      </w:r>
      <w:r>
        <w:t>2.2.1.2, our preference i</w:t>
      </w:r>
      <w:r w:rsidR="00534522">
        <w:t>s</w:t>
      </w:r>
      <w:r>
        <w:t xml:space="preserve"> for (c).</w:t>
      </w:r>
    </w:p>
    <w:permEnd w:id="387021842"/>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F31E57" w:rsidRDefault="00DA2C07" w:rsidP="00F31E57">
      <w:permStart w:id="503323883" w:edGrp="everyone"/>
      <w:r>
        <w:t>We believe that distribution of return modelling should be undertaken by manufacturers on the basis of parameters that have been specified by regulators to the greatest extent possible – in addition, manufacturers’ modelling processes should be subject not only to independent oversight but also to record-keeping and audit trail requirements enabling ready access by regulators. If manufacturers are able to select their own model criteria/parameters, extremely variable outputs are likely to ensue, even across products within the same asset class. The specification of base parameters by regulators, however, should enhance comparability across all forms of PRIIPs.</w:t>
      </w:r>
    </w:p>
    <w:permEnd w:id="503323883"/>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534522" w:rsidP="00F31E57">
      <w:permStart w:id="1647514350" w:edGrp="everyone"/>
      <w:r>
        <w:t xml:space="preserve">`Of the approaches listed </w:t>
      </w:r>
      <w:r w:rsidR="00452322">
        <w:t>in section 2.2.3</w:t>
      </w:r>
      <w:r>
        <w:t>, our preference is for a. on the basis that it is the simplest of the three benchmark options to deliver and it will enable a straightforward comparison with deposits. While we can see that some indicator of the impact of inflation may be appropriate for longer-dated products (i.e. pensions), the specification of different inflation measures for differen</w:t>
      </w:r>
      <w:r w:rsidR="00452322">
        <w:t>t</w:t>
      </w:r>
      <w:r>
        <w:t xml:space="preserve"> products by different competent authorities will significantly impact comparability.</w:t>
      </w:r>
    </w:p>
    <w:permEnd w:id="1647514350"/>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3B2342" w:rsidP="00F31E57">
      <w:permStart w:id="659232906" w:edGrp="everyone"/>
      <w:r>
        <w:t xml:space="preserve">Of the approaches listed on page 14, our preference is for b. with risk premiums being prescribed by regulatory authorities in order to achieve maximum consistency/comparability. </w:t>
      </w:r>
    </w:p>
    <w:permEnd w:id="659232906"/>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3B2342" w:rsidRPr="005408FB" w:rsidRDefault="003B2342" w:rsidP="00F31E57">
      <w:pPr>
        <w:rPr>
          <w:b/>
        </w:rPr>
      </w:pPr>
      <w:permStart w:id="1418338868" w:edGrp="everyone"/>
      <w:r>
        <w:lastRenderedPageBreak/>
        <w:t>We believe that the risk indicator/performance scenarios should be based on the same timeframe as the manufacturer is required to specify in the KID as a product’s recommended holding period</w:t>
      </w:r>
      <w:r w:rsidR="00786AEB">
        <w:t>.</w:t>
      </w:r>
      <w:r>
        <w:t xml:space="preserve"> </w:t>
      </w:r>
    </w:p>
    <w:permEnd w:id="1418338868"/>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354E58" w:rsidP="00F31E57">
      <w:permStart w:id="1859022390" w:edGrp="everyone"/>
      <w:r>
        <w:t>Distributors’ due diligence around the creditworthiness of issuers tends to be based on a variety of sources (credit ratings, CDS spreads, bond yields) – once a distributor has established a medium-term view of an issue’s credit risk, it is less likely to place automatic reliance upon credit ratings.</w:t>
      </w:r>
      <w:r w:rsidR="00786AEB">
        <w:t xml:space="preserve"> In addition, the assessment of credit risk </w:t>
      </w:r>
      <w:r w:rsidR="00191034">
        <w:t xml:space="preserve">should </w:t>
      </w:r>
      <w:r w:rsidR="00786AEB">
        <w:t xml:space="preserve">take account of the position of the PRIIP in the issuer’s capital structure – i.e. </w:t>
      </w:r>
      <w:r w:rsidR="00191034">
        <w:t xml:space="preserve">so as to reflect </w:t>
      </w:r>
      <w:r w:rsidR="00786AEB">
        <w:t xml:space="preserve">the credit risk associated with the particular product if this is different from the general senior, unsecured credit risk of the issuer. </w:t>
      </w:r>
      <w:r>
        <w:t xml:space="preserve">Going forward, distributors may need to be more transparent about their criteria/processes for the selection/review of counterparties and product issuers. </w:t>
      </w:r>
    </w:p>
    <w:permEnd w:id="1859022390"/>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F31E57" w:rsidRDefault="00354E58" w:rsidP="00F31E57">
      <w:permStart w:id="646519973" w:edGrp="everyone"/>
      <w:r>
        <w:t>We believe the liquidity risk of a product should be covered in a narrative</w:t>
      </w:r>
      <w:r w:rsidR="006557F5">
        <w:t xml:space="preserve"> accompanying</w:t>
      </w:r>
      <w:r>
        <w:t xml:space="preserve"> </w:t>
      </w:r>
      <w:r w:rsidR="006557F5">
        <w:t xml:space="preserve">the risk indicator </w:t>
      </w:r>
      <w:r>
        <w:t xml:space="preserve">– text explaining any constraints on an investor’s ability to exit </w:t>
      </w:r>
      <w:r w:rsidR="006557F5">
        <w:t xml:space="preserve">a </w:t>
      </w:r>
      <w:r>
        <w:t xml:space="preserve">product is likely to be </w:t>
      </w:r>
      <w:r w:rsidR="006557F5">
        <w:t xml:space="preserve">clearer and </w:t>
      </w:r>
      <w:r>
        <w:t xml:space="preserve">more effective than attempts to incorporate liquidity risk into the risk indicator itself. </w:t>
      </w:r>
    </w:p>
    <w:permEnd w:id="646519973"/>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C41AE2" w:rsidRDefault="00C41AE2" w:rsidP="00F31E57">
      <w:permStart w:id="1103697412" w:edGrp="everyone"/>
      <w:r>
        <w:t>We believe that qualitative measures are the most appropriate way of identifying the liquidity risk of a PRIIP. Working on the basis of liquidity criteria specified by regulatory authorities, manufacturers could designate their products as falling within a particularly category on a liquidity scale and provide supporting text to explain what this designation means in terms of the characteristics of the product in question.</w:t>
      </w:r>
    </w:p>
    <w:p w:rsidR="00C41AE2" w:rsidRDefault="00C41AE2" w:rsidP="00F31E57"/>
    <w:p w:rsidR="00F31E57" w:rsidRDefault="00C41AE2" w:rsidP="00F31E57">
      <w:r>
        <w:t>We do not believe that costs/exit penalties should be considered in the process of determining a product’s liquidity risk – as well as being disclosed elsewhere in the KID, costs/charges of this type are not an intrinsic part of the market environment that determines a product’s liquidity.</w:t>
      </w:r>
    </w:p>
    <w:permEnd w:id="1103697412"/>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9C1D05" w:rsidRDefault="009C1D05" w:rsidP="00F31E57">
      <w:permStart w:id="473591542" w:edGrp="everyone"/>
      <w:r>
        <w:t>We do not support the Option 1</w:t>
      </w:r>
      <w:r w:rsidR="00452322">
        <w:t xml:space="preserve"> </w:t>
      </w:r>
      <w:r>
        <w:t xml:space="preserve">approach to producing a summary risk indicator. </w:t>
      </w:r>
      <w:r w:rsidR="00191034">
        <w:t>Market and liquidity risk are different types of risk – we believe that blending them into a single indicator would conceal information rather than improve understanding.</w:t>
      </w:r>
    </w:p>
    <w:permEnd w:id="473591542"/>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9C1D05" w:rsidP="00F31E57">
      <w:permStart w:id="501748860" w:edGrp="everyone"/>
      <w:r>
        <w:t>We support the two dimensional SRI proposed in Option 2 with market risk and credit risk assessed separately and presented in tandem. Notwithstanding doubts about whether this option meet</w:t>
      </w:r>
      <w:r w:rsidR="00452322">
        <w:t>s</w:t>
      </w:r>
      <w:r>
        <w:t xml:space="preserve"> the Regulation requirement for a single SRI, it seems to be the option that presents market risk and credit risk in the most cogent and readily understandable way. In respect of market risk, it is also reasonably close to the methodology currently used for UCITS and would therefore have the advantage of familiarity for large parts of the industry.</w:t>
      </w:r>
    </w:p>
    <w:permEnd w:id="501748860"/>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9C1D05" w:rsidP="00F31E57">
      <w:permStart w:id="2124051216" w:edGrp="everyone"/>
      <w:r>
        <w:t>Option 3 appears to us to be unnecessarily complex</w:t>
      </w:r>
      <w:r w:rsidR="00452322">
        <w:t>,</w:t>
      </w:r>
      <w:r>
        <w:t xml:space="preserve"> as is the possible variation outlined under Question 12</w:t>
      </w:r>
      <w:r w:rsidR="00452322">
        <w:t>. A</w:t>
      </w:r>
      <w:r>
        <w:t xml:space="preserve">s well as entailing significant implementation costs for industry, </w:t>
      </w:r>
      <w:r w:rsidR="00452322">
        <w:t xml:space="preserve">we question </w:t>
      </w:r>
      <w:r>
        <w:t xml:space="preserve">whether regulatory authorities would have the necessary expertise and resources to supervise and enforce compliance with this approach to producing the SRI. </w:t>
      </w:r>
    </w:p>
    <w:permEnd w:id="2124051216"/>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F31E57" w:rsidRPr="00801059" w:rsidRDefault="003149AC" w:rsidP="00F31E57">
      <w:pPr>
        <w:rPr>
          <w:b/>
        </w:rPr>
      </w:pPr>
      <w:permStart w:id="641479173" w:edGrp="everyone"/>
      <w:r>
        <w:t>TYPE YOUR TEXT HERE</w:t>
      </w:r>
    </w:p>
    <w:permEnd w:id="641479173"/>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F31E57" w:rsidRDefault="00452322" w:rsidP="00F31E57">
      <w:permStart w:id="633344395" w:edGrp="everyone"/>
      <w:r>
        <w:t xml:space="preserve">From an industry </w:t>
      </w:r>
      <w:r w:rsidR="000A5184">
        <w:t xml:space="preserve">perspective, we can see the appeal of a two-level indicator, one categorising the product at a broad headline level and the second providing more granular information on specific risk characteristics. We suspect, however, that most retail investors would not </w:t>
      </w:r>
      <w:r>
        <w:t xml:space="preserve">understand that </w:t>
      </w:r>
      <w:r w:rsidR="000A5184">
        <w:t xml:space="preserve">information presented in this way </w:t>
      </w:r>
      <w:r>
        <w:t xml:space="preserve">should be considered </w:t>
      </w:r>
      <w:r w:rsidR="000A5184">
        <w:t xml:space="preserve">in the round and </w:t>
      </w:r>
      <w:r>
        <w:t xml:space="preserve">would end up relying solely on the high level indicator, thereby undermining the effectiveness of the KID for </w:t>
      </w:r>
      <w:r w:rsidR="000A5184">
        <w:t xml:space="preserve">product comparison purposes. </w:t>
      </w:r>
    </w:p>
    <w:permEnd w:id="633344395"/>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937811" w:rsidRDefault="00937811" w:rsidP="00F31E57">
      <w:permStart w:id="2065525876" w:edGrp="everyone"/>
      <w:r>
        <w:t xml:space="preserve">As regards whether </w:t>
      </w:r>
      <w:r w:rsidR="000A5184">
        <w:t>the SRI scale should be divided into 5 or 7 “buckets”</w:t>
      </w:r>
      <w:r>
        <w:t xml:space="preserve">, we </w:t>
      </w:r>
      <w:r w:rsidR="000A5184">
        <w:t xml:space="preserve">note that industry familiarity with the existing UCITS scale may be advantageous in terms of easing PRIIPs implementation. </w:t>
      </w:r>
      <w:r w:rsidR="00742066">
        <w:t xml:space="preserve">Opting for the </w:t>
      </w:r>
      <w:r>
        <w:t>UCITS scale would have the major benefit of only one methodology being in use in the market at a given time – otherwise, UCITS funds will operate on one model while PRIIPs use another with cross-comparison postponed until such time as UCITS become subject to the new PRIIPs provisions.</w:t>
      </w:r>
    </w:p>
    <w:p w:rsidR="00937811" w:rsidRDefault="00937811" w:rsidP="00F31E57"/>
    <w:p w:rsidR="00F31E57" w:rsidRDefault="00742066" w:rsidP="00F31E57">
      <w:r>
        <w:t xml:space="preserve">We would also note that, beyond the issue of the </w:t>
      </w:r>
      <w:r w:rsidR="000A5184">
        <w:t>number of “buckets”</w:t>
      </w:r>
      <w:r>
        <w:t>, it also important</w:t>
      </w:r>
      <w:r w:rsidR="000A5184">
        <w:t xml:space="preserve"> that they should all be defined in such a way as to reflect/capture at least some products – </w:t>
      </w:r>
      <w:r w:rsidR="003F611D">
        <w:t>experience of the UCITS SRRI suggests that</w:t>
      </w:r>
      <w:r w:rsidR="000A5184">
        <w:t xml:space="preserve"> </w:t>
      </w:r>
      <w:r w:rsidR="003F611D">
        <w:t xml:space="preserve">product manufacturers actively avoid using </w:t>
      </w:r>
      <w:r w:rsidR="000A5184">
        <w:t xml:space="preserve">categories 1 and 7 </w:t>
      </w:r>
      <w:r w:rsidR="003F611D">
        <w:t xml:space="preserve">and that the consequent “bunching” of products within the remaining categories results in the relative riskiness of products being </w:t>
      </w:r>
      <w:r w:rsidR="003F611D">
        <w:lastRenderedPageBreak/>
        <w:t>obscured. More granular guidance around the use of the different risk “buckets”, indicating regulators’ expectations about the characteristics that might result in a product being placed at either end of the risk spectrum, would be particularly helpful.</w:t>
      </w:r>
    </w:p>
    <w:permEnd w:id="2065525876"/>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114739" w:rsidRDefault="00114739" w:rsidP="00F31E57">
      <w:permStart w:id="102784579" w:edGrp="everyone"/>
      <w:r>
        <w:t>In terms of the options presented in 2.4.3 for the preparation/presentation of performance scenarios:</w:t>
      </w:r>
    </w:p>
    <w:p w:rsidR="00114739" w:rsidRDefault="00114739" w:rsidP="00114739">
      <w:pPr>
        <w:pStyle w:val="ListParagraph"/>
        <w:numPr>
          <w:ilvl w:val="0"/>
          <w:numId w:val="51"/>
        </w:numPr>
        <w:ind w:left="284" w:hanging="284"/>
      </w:pPr>
      <w:r>
        <w:t>we agree that use of what-if scenarios chosen by manufacturers on a product-by-product basis will not only be open to abuse but will also significantly undermine the objective of comparability;</w:t>
      </w:r>
    </w:p>
    <w:p w:rsidR="00114739" w:rsidRDefault="00114739" w:rsidP="00114739">
      <w:pPr>
        <w:pStyle w:val="ListParagraph"/>
        <w:numPr>
          <w:ilvl w:val="0"/>
          <w:numId w:val="51"/>
        </w:numPr>
        <w:ind w:left="284" w:hanging="284"/>
      </w:pPr>
      <w:r>
        <w:t>we believe that regulator-prescribed what-</w:t>
      </w:r>
      <w:r w:rsidR="00452322">
        <w:t>i</w:t>
      </w:r>
      <w:r>
        <w:t xml:space="preserve">f scenarios will inevitably be overly rigid, producing unhelpful anomalies and potentially resulting in the presentation of distorted performance data; </w:t>
      </w:r>
    </w:p>
    <w:p w:rsidR="00114739" w:rsidRDefault="00114739" w:rsidP="00E57A6F">
      <w:pPr>
        <w:pStyle w:val="ListParagraph"/>
        <w:numPr>
          <w:ilvl w:val="0"/>
          <w:numId w:val="51"/>
        </w:numPr>
        <w:ind w:left="284" w:hanging="284"/>
      </w:pPr>
      <w:proofErr w:type="gramStart"/>
      <w:r>
        <w:t>we</w:t>
      </w:r>
      <w:proofErr w:type="gramEnd"/>
      <w:r>
        <w:t xml:space="preserve"> favour a probabilistic approach with performance scenarios based on regulator-prescribed parameters and with accompanying text being subject to requirements aimed at ensuring consistency of language and presentation. While we appreciate that consumers may find it difficult to interpret distribution of returns data, we believe that there are standardised ways of presenting this information that could aid client understanding, e.g. what is the chance of you losing money over a 1/3/5 year period?</w:t>
      </w:r>
    </w:p>
    <w:permEnd w:id="102784579"/>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Pr="00801059" w:rsidRDefault="003149AC" w:rsidP="00F31E57">
      <w:pPr>
        <w:rPr>
          <w:b/>
        </w:rPr>
      </w:pPr>
      <w:permStart w:id="1442855100" w:edGrp="everyone"/>
      <w:r>
        <w:t>TYPE YOUR TEXT HERE</w:t>
      </w:r>
    </w:p>
    <w:permEnd w:id="1442855100"/>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F31E57" w:rsidRPr="00801059" w:rsidRDefault="003149AC" w:rsidP="00F31E57">
      <w:pPr>
        <w:rPr>
          <w:b/>
        </w:rPr>
      </w:pPr>
      <w:permStart w:id="903812875" w:edGrp="everyone"/>
      <w:r>
        <w:t>TYPE YOUR TEXT HERE</w:t>
      </w:r>
    </w:p>
    <w:permEnd w:id="903812875"/>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Pr="008C278F" w:rsidRDefault="003149AC" w:rsidP="00F31E57">
      <w:pPr>
        <w:rPr>
          <w:b/>
        </w:rPr>
      </w:pPr>
      <w:permStart w:id="446391549" w:edGrp="everyone"/>
      <w:r>
        <w:t>TYPE YOUR TEXT HERE</w:t>
      </w:r>
    </w:p>
    <w:permEnd w:id="446391549"/>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8C278F" w:rsidP="00F31E57">
      <w:permStart w:id="1558861828" w:edGrp="everyone"/>
      <w:r>
        <w:t>We would support a probability approach based on negative/neutral/positive scenarios with information presented to the investor in terms of the likelihood of losing more than X or making more than Y over the recommended holding period of the product</w:t>
      </w:r>
      <w:r w:rsidR="00140C8C">
        <w:t>. R</w:t>
      </w:r>
      <w:r>
        <w:t>ather than showing probabilities in percentage terms, we would suggest that a presentation based on “odds” is more likely to be understood</w:t>
      </w:r>
      <w:r w:rsidR="00140C8C">
        <w:t xml:space="preserve">, </w:t>
      </w:r>
      <w:r>
        <w:t xml:space="preserve">e.g. there is a 1 in 4 chance of losing more than X, </w:t>
      </w:r>
      <w:proofErr w:type="gramStart"/>
      <w:r>
        <w:t>there</w:t>
      </w:r>
      <w:proofErr w:type="gramEnd"/>
      <w:r>
        <w:t xml:space="preserve"> is a 1 in 7 chance of making more than Y. </w:t>
      </w:r>
    </w:p>
    <w:permEnd w:id="1558861828"/>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think that credit events should be considered in the performance scenarios?</w:t>
      </w:r>
    </w:p>
    <w:p w:rsidR="00F31E57" w:rsidRDefault="00F31E57" w:rsidP="00F31E57"/>
    <w:p w:rsidR="00F31E57" w:rsidRDefault="00F31E57" w:rsidP="00F31E57">
      <w:r>
        <w:t>&lt;ESMA_QUESTION_PRIIPs_20&gt;</w:t>
      </w:r>
    </w:p>
    <w:p w:rsidR="00F31E57" w:rsidRPr="008C278F" w:rsidRDefault="008C278F" w:rsidP="00F31E57">
      <w:pPr>
        <w:rPr>
          <w:b/>
        </w:rPr>
      </w:pPr>
      <w:permStart w:id="457065670" w:edGrp="everyone"/>
      <w:r>
        <w:t xml:space="preserve">Yes. </w:t>
      </w:r>
      <w:r w:rsidR="00FF3937">
        <w:t>For certain products, w</w:t>
      </w:r>
      <w:r>
        <w:t>e believe it would be appropriate to illustrate the likelihood of an investor losing most/all of his investment as a result of the issuer defaulting</w:t>
      </w:r>
      <w:r w:rsidR="00FF3937">
        <w:t xml:space="preserve">, i.e. products where performance is dependent on the ongoing creditworthiness of the manufacturer (e.g. structured notes). </w:t>
      </w:r>
    </w:p>
    <w:permEnd w:id="457065670"/>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6C1F4B" w:rsidRPr="006C1F4B" w:rsidRDefault="006C1F4B" w:rsidP="00F31E57">
      <w:pPr>
        <w:rPr>
          <w:b/>
        </w:rPr>
      </w:pPr>
      <w:permStart w:id="1037128690" w:edGrp="everyone"/>
      <w:r>
        <w:t>Rather than creating performance scenarios to cover specific redemption events, we believe that it should be possible to reflect the likelihood of knock-ins, knock-outs, issuer calls and like events within annualised return data – this could be accompanied by a narrative explaining that, while the product has a recommended holding period of X years, it might be redeemed in the interim at the issuer’s discretion or upon specified trigger events occurring.</w:t>
      </w:r>
    </w:p>
    <w:permEnd w:id="1037128690"/>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F31E57" w:rsidRDefault="006C1F4B" w:rsidP="00F31E57">
      <w:permStart w:id="1304308073" w:edGrp="everyone"/>
      <w:r>
        <w:t>While information of this type might be useful for open-ended, readily-redeemable products (e.g. UCITS), it would be both difficult to produce and less than illuminating for investors in relation to products that have been structured/issued with a specific lifespan. Informing investors of the impact of early exit on performance is only likely to confuse if products have been sold on the basis of a specific timeframe and if, in fact, the possibilities for exit are minimal.</w:t>
      </w:r>
    </w:p>
    <w:permEnd w:id="1304308073"/>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Pr="009F7B25" w:rsidRDefault="003149AC" w:rsidP="00F31E57">
      <w:pPr>
        <w:rPr>
          <w:b/>
        </w:rPr>
      </w:pPr>
      <w:permStart w:id="291054827" w:edGrp="everyone"/>
      <w:r>
        <w:t>TYPE YOUR TEXT HERE</w:t>
      </w:r>
    </w:p>
    <w:permEnd w:id="291054827"/>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9F7B25" w:rsidRPr="009F7B25" w:rsidRDefault="009F7B25" w:rsidP="00F31E57">
      <w:pPr>
        <w:rPr>
          <w:b/>
        </w:rPr>
      </w:pPr>
      <w:permStart w:id="1905013932" w:edGrp="everyone"/>
      <w:r>
        <w:t xml:space="preserve">As a general comment on </w:t>
      </w:r>
      <w:r w:rsidR="00140C8C">
        <w:t xml:space="preserve">section </w:t>
      </w:r>
      <w:r>
        <w:t xml:space="preserve">3.1.1.1 (Qs 24 to 33), we query whether the identification of fund costs at this level of detail might be counterproductive and whether there is a danger </w:t>
      </w:r>
      <w:r w:rsidR="00140C8C">
        <w:t xml:space="preserve">that costs that should be included in </w:t>
      </w:r>
      <w:r>
        <w:t>the aggregated cost indicator</w:t>
      </w:r>
      <w:r w:rsidR="00140C8C">
        <w:t xml:space="preserve"> will be omitted if they are not specifically identified in the technical standards. </w:t>
      </w:r>
      <w:r>
        <w:t xml:space="preserve">Without a final “catch-all” category (e.g. “(u) any other cost, charge or payment that reduces the total sum of a fund’s investment”), the list included in the DP is arguably open to abuse. We believe that a more general formula might reduce this risk – for example, a statement to the effect that any expenditure by/from a fund on anything other than investment assets is necessarily a cost/charge and should be disclosed as such via the aggregated costs indicator. </w:t>
      </w:r>
    </w:p>
    <w:permEnd w:id="1905013932"/>
    <w:p w:rsidR="00F31E57" w:rsidRDefault="00F31E57" w:rsidP="00F31E57">
      <w:r>
        <w:lastRenderedPageBreak/>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3149AC" w:rsidP="00F31E57">
      <w:permStart w:id="372068871" w:edGrp="everyone"/>
      <w:r>
        <w:t>TYPE YOUR TEXT HERE</w:t>
      </w:r>
    </w:p>
    <w:permEnd w:id="372068871"/>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3149AC" w:rsidP="00F31E57">
      <w:permStart w:id="79198566" w:edGrp="everyone"/>
      <w:r>
        <w:t>TYPE YOUR TEXT HERE</w:t>
      </w:r>
      <w:r w:rsidR="00B30759">
        <w:rPr>
          <w:b/>
        </w:rPr>
        <w:t xml:space="preserve"> </w:t>
      </w:r>
    </w:p>
    <w:permEnd w:id="79198566"/>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3149AC" w:rsidP="00F31E57">
      <w:permStart w:id="217655818" w:edGrp="everyone"/>
      <w:r>
        <w:t>TYPE YOUR TEXT HERE</w:t>
      </w:r>
      <w:r w:rsidR="00B30759">
        <w:rPr>
          <w:b/>
        </w:rPr>
        <w:t xml:space="preserve"> </w:t>
      </w:r>
    </w:p>
    <w:permEnd w:id="217655818"/>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3149AC" w:rsidP="00F31E57">
      <w:permStart w:id="1242525051" w:edGrp="everyone"/>
      <w:r>
        <w:t>TYPE YOUR TEXT HERE</w:t>
      </w:r>
      <w:r w:rsidR="00B30759">
        <w:rPr>
          <w:b/>
        </w:rPr>
        <w:t xml:space="preserve"> </w:t>
      </w:r>
    </w:p>
    <w:permEnd w:id="1242525051"/>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1B04B2" w:rsidP="00F31E57">
      <w:permStart w:id="964391898" w:edGrp="everyone"/>
      <w:r>
        <w:t>We query how practical it is for funds to calculate/disclose financing costs on a forward basis, even as part of an aggregated costs indicator – using estimated future interest rates to calculate interest due on estimated future borrowings seems unlikely to produce a figure that is meaningful either for disclosure in its own right or for inclusion in the cost indicator. We believe that narrative disclosing the fact that borrowing has occurred/may occur would be preferable.</w:t>
      </w:r>
    </w:p>
    <w:permEnd w:id="964391898"/>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1B04B2" w:rsidP="00F31E57">
      <w:permStart w:id="235953211" w:edGrp="everyone"/>
      <w:r>
        <w:t xml:space="preserve">We do not believe that the costs of capital guarantees/protection should be included in a fund’s ongoing charges. The costs associated with such guarantees/protection </w:t>
      </w:r>
      <w:r w:rsidR="008726E4">
        <w:t xml:space="preserve">are </w:t>
      </w:r>
      <w:r>
        <w:t xml:space="preserve">not akin to brokerage commissions – </w:t>
      </w:r>
      <w:r>
        <w:lastRenderedPageBreak/>
        <w:t xml:space="preserve">rather, </w:t>
      </w:r>
      <w:r w:rsidR="008B2554">
        <w:t xml:space="preserve">capital guarantees </w:t>
      </w:r>
      <w:r>
        <w:t>are investment</w:t>
      </w:r>
      <w:r w:rsidR="008B2554">
        <w:t xml:space="preserve"> asset</w:t>
      </w:r>
      <w:r>
        <w:t xml:space="preserve">s of themselves, the purpose of which is to effectively hedge the risks arising from other fund assets. Given that performance scenarios will reflect the benefits of capital guarantees/protection as well as the loss of potential upside that their deployment generally involves, we do not believe that the sums involved in their purchase should also be identified as costs. </w:t>
      </w:r>
    </w:p>
    <w:permEnd w:id="235953211"/>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747D37" w:rsidP="00F31E57">
      <w:permStart w:id="22751574" w:edGrp="everyone"/>
      <w:r>
        <w:t>W</w:t>
      </w:r>
      <w:r w:rsidR="00AA66FE">
        <w:t xml:space="preserve">e </w:t>
      </w:r>
      <w:r>
        <w:t xml:space="preserve">believe </w:t>
      </w:r>
      <w:r w:rsidR="00AA66FE">
        <w:t xml:space="preserve">that margin payments on financial derivative instruments </w:t>
      </w:r>
      <w:r>
        <w:t xml:space="preserve">are assets owned by the fund and </w:t>
      </w:r>
      <w:r w:rsidR="00AA66FE">
        <w:t xml:space="preserve">should </w:t>
      </w:r>
      <w:r>
        <w:t xml:space="preserve">not </w:t>
      </w:r>
      <w:r w:rsidR="00AA66FE">
        <w:t>be considered as cost</w:t>
      </w:r>
      <w:r>
        <w:t>s. If a fund goes long an S&amp;P future and the market goes down, the fund has to pay cash to fulfil its margin requirement; if the market goes back up, the fund receives the cash back – consequently, the monies paid in margin are performing as an asset of the fund reflecting the market; they are not paid away, never to be returned, as costs are.</w:t>
      </w:r>
    </w:p>
    <w:permEnd w:id="22751574"/>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4414B3" w:rsidP="00F31E57">
      <w:permStart w:id="736377079" w:edGrp="everyone"/>
      <w:r>
        <w:t xml:space="preserve">On the basis of ESMA’s December 2014 technical advice to the Commission, MiFID II seems likely to significantly reduce the extent to which those acting as portfolio managers can receive goods/services in return for dealing commissions. While MiFID II does not cover the entire PRIIPs universe, ESMA has also indicated that its requirements should be extended to cover UCITS and AIFs. Consequently, assuming a reasonable degree of alignment between PRIIPs and MiFID </w:t>
      </w:r>
      <w:r w:rsidR="00EA088B">
        <w:t xml:space="preserve">II </w:t>
      </w:r>
      <w:r>
        <w:t xml:space="preserve">implementing measures, we do not see a need for further specification of such costs. </w:t>
      </w:r>
    </w:p>
    <w:permEnd w:id="736377079"/>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121707" w:rsidRPr="00121707" w:rsidRDefault="000841D3" w:rsidP="00F31E57">
      <w:pPr>
        <w:rPr>
          <w:b/>
        </w:rPr>
      </w:pPr>
      <w:permStart w:id="879298811" w:edGrp="everyone"/>
      <w:r>
        <w:t>We agree that future dividends can be estimated for the main indices. Furthermore, w</w:t>
      </w:r>
      <w:r w:rsidR="00121707">
        <w:t xml:space="preserve">here dividends on fund investments are not returned to the fund for the benefit of investors, we </w:t>
      </w:r>
      <w:r>
        <w:t xml:space="preserve">believe </w:t>
      </w:r>
      <w:r w:rsidR="00121707">
        <w:t xml:space="preserve">that they should be included in the aggregated costs calculation. However, </w:t>
      </w:r>
      <w:r>
        <w:t xml:space="preserve">where </w:t>
      </w:r>
      <w:r w:rsidR="00121707">
        <w:t>tax is payable on dividends</w:t>
      </w:r>
      <w:r>
        <w:t xml:space="preserve">, </w:t>
      </w:r>
      <w:r w:rsidR="00121707">
        <w:t xml:space="preserve">this should not be considered as a cost on the basis that this cost does not accrue to the product manufacturer, does not arise at the manufacturer’s discretion and is outside the manufacturer’s control. </w:t>
      </w:r>
    </w:p>
    <w:permEnd w:id="879298811"/>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115370114" w:edGrp="everyone"/>
      <w:r>
        <w:t>TYPE YOUR TEXT HERE</w:t>
      </w:r>
    </w:p>
    <w:permEnd w:id="115370114"/>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Pr="003E7436" w:rsidRDefault="003E7436" w:rsidP="00F31E57">
      <w:pPr>
        <w:rPr>
          <w:b/>
        </w:rPr>
      </w:pPr>
      <w:permStart w:id="1692032732" w:edGrp="everyone"/>
      <w:r>
        <w:t xml:space="preserve">We believe that ex-ante broker commissions should be calculated as an average derived from the previous </w:t>
      </w:r>
      <w:r w:rsidR="000841D3">
        <w:t xml:space="preserve">3 to 5 </w:t>
      </w:r>
      <w:r>
        <w:t>years’ cost data and should be expressed as a percentage of the product’s NAV. In calculating an average figure for broker commissions, manufacturers should be able to exclude years where transaction volumes are significantly out of line with the usual level of investment activity associated with the product.</w:t>
      </w:r>
      <w:r w:rsidR="006904A0">
        <w:t xml:space="preserve"> Manufacturers’ should establish procedures setting out the basis upon which </w:t>
      </w:r>
      <w:r w:rsidR="00EA088B">
        <w:t>required</w:t>
      </w:r>
      <w:r w:rsidR="006904A0">
        <w:t xml:space="preserve"> calculation</w:t>
      </w:r>
      <w:r w:rsidR="00EA088B">
        <w:t>s</w:t>
      </w:r>
      <w:r w:rsidR="006904A0">
        <w:t xml:space="preserve"> are made (e.g. methodology, assumptions, processes) </w:t>
      </w:r>
      <w:r w:rsidR="00354EB0">
        <w:t xml:space="preserve">and the rationale for having adopted </w:t>
      </w:r>
      <w:r w:rsidR="00EA088B">
        <w:t xml:space="preserve">their chosen </w:t>
      </w:r>
      <w:r w:rsidR="00354EB0">
        <w:t xml:space="preserve">approach; in addition, they </w:t>
      </w:r>
      <w:r w:rsidR="006904A0">
        <w:t>should ensure that such procedures are cons</w:t>
      </w:r>
      <w:r w:rsidR="00354EB0">
        <w:t xml:space="preserve">istently applied through on-going monitoring with all exceptions and exclusions fully recorded and justified. </w:t>
      </w:r>
    </w:p>
    <w:permEnd w:id="1692032732"/>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E57A6F" w:rsidP="00F31E57">
      <w:permStart w:id="778979977" w:edGrp="everyone"/>
      <w:r>
        <w:t xml:space="preserve">We believe that the approach outlined in response to Q35 above should </w:t>
      </w:r>
      <w:r w:rsidR="00EA088B">
        <w:t xml:space="preserve">also </w:t>
      </w:r>
      <w:r>
        <w:t>be adopted in relation to the ex-ante calculation of transaction taxes</w:t>
      </w:r>
      <w:r w:rsidR="00354EB0">
        <w:t xml:space="preserve">. </w:t>
      </w:r>
    </w:p>
    <w:permEnd w:id="778979977"/>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4B6423" w:rsidRDefault="00F31E57" w:rsidP="00F31E57">
      <w:permStart w:id="1413480766" w:edGrp="everyone"/>
      <w:r>
        <w:t>TYPE YOUR TEXT HERE</w:t>
      </w:r>
      <w:r w:rsidR="004B6423">
        <w:t xml:space="preserve"> </w:t>
      </w:r>
    </w:p>
    <w:permEnd w:id="1413480766"/>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1B2683" w:rsidP="00F31E57">
      <w:permStart w:id="1600868245" w:edGrp="everyone"/>
      <w:r>
        <w:t>In markets where the bid/offer spread for a product can be readily ascertained, we believe it is reasonable to assume that broker commissions will account for approximately 50</w:t>
      </w:r>
      <w:r w:rsidR="00B845D2">
        <w:t>%</w:t>
      </w:r>
      <w:r>
        <w:t xml:space="preserve"> of the difference between the two. </w:t>
      </w:r>
      <w:permEnd w:id="1600868245"/>
      <w:r w:rsidR="00F31E57">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1B2683" w:rsidP="00F31E57">
      <w:permStart w:id="608457340" w:edGrp="everyone"/>
      <w:r>
        <w:t>We do not believe that market impact costs should be included in the aggregated product costs presented in the KID – given that the market impact attributable to a</w:t>
      </w:r>
      <w:r w:rsidR="00B845D2">
        <w:t>ny</w:t>
      </w:r>
      <w:r>
        <w:t xml:space="preserve"> single transaction is extremely difficult to </w:t>
      </w:r>
      <w:r w:rsidR="00B845D2">
        <w:t>isolate/</w:t>
      </w:r>
      <w:r>
        <w:t xml:space="preserve">quantify, we believe that any value attributed would necessarily be extremely arbitrary and would be </w:t>
      </w:r>
      <w:r>
        <w:lastRenderedPageBreak/>
        <w:t>unlikely to add anything useful to the aggregate picture of costs presented to the investor. We also query whether changes in an investment’s price as a result of a transaction being in the market can really be said to be “costs” that are attributable to the product itself given that the manufacturer is unlikely to be able to control/influence the wider market environment giving rise to them.</w:t>
      </w:r>
    </w:p>
    <w:permEnd w:id="608457340"/>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354EB0" w:rsidRDefault="006904A0" w:rsidP="00F31E57">
      <w:permStart w:id="489451444" w:edGrp="everyone"/>
      <w:r w:rsidRPr="006904A0">
        <w:t xml:space="preserve">We believe that the approach outlined in response to Q35 above should </w:t>
      </w:r>
      <w:r w:rsidR="00B845D2">
        <w:t xml:space="preserve">also </w:t>
      </w:r>
      <w:r w:rsidRPr="006904A0">
        <w:t xml:space="preserve">be adopted in relation to the ex-ante calculation of </w:t>
      </w:r>
      <w:r>
        <w:t>entry and exit charges</w:t>
      </w:r>
      <w:r w:rsidR="00354EB0">
        <w:t xml:space="preserve">. </w:t>
      </w:r>
    </w:p>
    <w:permEnd w:id="489451444"/>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263870243" w:edGrp="everyone"/>
      <w:r>
        <w:t>TYPE YOUR TEXT HERE</w:t>
      </w:r>
    </w:p>
    <w:permEnd w:id="263870243"/>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F31E57" w:rsidRDefault="00A6393E" w:rsidP="00F31E57">
      <w:permStart w:id="831853016" w:edGrp="everyone"/>
      <w:r>
        <w:t xml:space="preserve">We would support the inclusion of the IOSCO definition of performance fees in the </w:t>
      </w:r>
      <w:r w:rsidR="00607D7E">
        <w:t>technical standards specifying the methodology for calculating PRIIP costs.</w:t>
      </w:r>
    </w:p>
    <w:permEnd w:id="831853016"/>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DE611A" w:rsidP="00F31E57">
      <w:permStart w:id="849963676" w:edGrp="everyone"/>
      <w:r>
        <w:t>We believe that the assumed rates of return used in the KID performance scenarios should also be used to calculate performance fees.</w:t>
      </w:r>
    </w:p>
    <w:permEnd w:id="849963676"/>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Pr="00DE611A" w:rsidRDefault="00DE611A" w:rsidP="00F31E57">
      <w:permStart w:id="1023885504" w:edGrp="everyone"/>
      <w:r>
        <w:rPr>
          <w:b/>
        </w:rPr>
        <w:t xml:space="preserve"> </w:t>
      </w:r>
      <w:r w:rsidRPr="00DE611A">
        <w:t>We would support</w:t>
      </w:r>
      <w:r>
        <w:t xml:space="preserve"> a combination of Options 1 and 2, i.e. the effect of performance fees should be shown in the performance scenarios section of the KID and should also be included in the total cost indicator. If the total cost indicator is meant to cover all of the costs accruing to a PRIIP (except the price of assets purchased), we see no justification for excluding performance fees. </w:t>
      </w:r>
    </w:p>
    <w:permEnd w:id="1023885504"/>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lastRenderedPageBreak/>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280559982" w:edGrp="everyone"/>
      <w:r>
        <w:t>TYPE YOUR TEXT HERE</w:t>
      </w:r>
    </w:p>
    <w:permEnd w:id="280559982"/>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1984378025" w:edGrp="everyone"/>
      <w:r>
        <w:t>TYPE YOUR TEXT HERE</w:t>
      </w:r>
    </w:p>
    <w:permEnd w:id="1984378025"/>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916087672" w:edGrp="everyone"/>
      <w:r>
        <w:t>TYPE YOUR TEXT HERE</w:t>
      </w:r>
    </w:p>
    <w:permEnd w:id="916087672"/>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1189178657" w:edGrp="everyone"/>
      <w:r>
        <w:t>TYPE YOUR TEXT HERE</w:t>
      </w:r>
    </w:p>
    <w:permEnd w:id="1189178657"/>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92436808" w:edGrp="everyone"/>
      <w:r>
        <w:t>TYPE YOUR TEXT HERE</w:t>
      </w:r>
    </w:p>
    <w:permEnd w:id="92436808"/>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143108497" w:edGrp="everyone"/>
      <w:r>
        <w:t>TYPE YOUR TEXT HERE</w:t>
      </w:r>
    </w:p>
    <w:permEnd w:id="1143108497"/>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lastRenderedPageBreak/>
        <w:t>&lt;ESMA_QUESTION_PRIIPs_51&gt;</w:t>
      </w:r>
    </w:p>
    <w:p w:rsidR="00F31E57" w:rsidRDefault="00F31E57" w:rsidP="00F31E57">
      <w:permStart w:id="1194793860" w:edGrp="everyone"/>
      <w:r>
        <w:t>TYPE YOUR TEXT HERE</w:t>
      </w:r>
    </w:p>
    <w:permEnd w:id="1194793860"/>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297685077" w:edGrp="everyone"/>
      <w:r>
        <w:t>TYPE YOUR TEXT HERE</w:t>
      </w:r>
    </w:p>
    <w:permEnd w:id="297685077"/>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820405819" w:edGrp="everyone"/>
      <w:r>
        <w:t>TYPE YOUR TEXT HERE</w:t>
      </w:r>
    </w:p>
    <w:permEnd w:id="820405819"/>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1331114806" w:edGrp="everyone"/>
      <w:r>
        <w:t>TYPE YOUR TEXT HERE</w:t>
      </w:r>
    </w:p>
    <w:permEnd w:id="1331114806"/>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955845273" w:edGrp="everyone"/>
      <w:r>
        <w:t>TYPE YOUR TEXT HERE</w:t>
      </w:r>
    </w:p>
    <w:permEnd w:id="955845273"/>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591754225" w:edGrp="everyone"/>
      <w:r>
        <w:t>TYPE YOUR TEXT HERE</w:t>
      </w:r>
    </w:p>
    <w:permEnd w:id="591754225"/>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203328237" w:edGrp="everyone"/>
      <w:r>
        <w:t>TYPE YOUR TEXT HERE</w:t>
      </w:r>
    </w:p>
    <w:permEnd w:id="1203328237"/>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547982362" w:edGrp="everyone"/>
      <w:r>
        <w:lastRenderedPageBreak/>
        <w:t>TYPE YOUR TEXT HERE</w:t>
      </w:r>
    </w:p>
    <w:permEnd w:id="1547982362"/>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DE611A" w:rsidP="00F31E57">
      <w:permStart w:id="1189704493" w:edGrp="everyone"/>
      <w:r>
        <w:t xml:space="preserve">While we agree that the two approaches should ultimately lead to the same results, </w:t>
      </w:r>
      <w:r w:rsidR="00B845D2">
        <w:t xml:space="preserve">the approach </w:t>
      </w:r>
      <w:r w:rsidR="006C4FDF">
        <w:t xml:space="preserve">outlined </w:t>
      </w:r>
      <w:r w:rsidR="00B845D2">
        <w:t xml:space="preserve">in the first bullet seems likely to be unduly complex/burdensome to implement. Consequently, we support adoption of the </w:t>
      </w:r>
      <w:r>
        <w:t>“fair value” approach</w:t>
      </w:r>
      <w:r w:rsidR="00B845D2">
        <w:t>.</w:t>
      </w:r>
      <w:r>
        <w:t xml:space="preserve"> </w:t>
      </w:r>
    </w:p>
    <w:permEnd w:id="1189704493"/>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DE611A" w:rsidP="00F31E57">
      <w:permStart w:id="523967376" w:edGrp="everyone"/>
      <w:r>
        <w:t>We are not aware of any significant differences in the cost structures/levels of structured deposits that would require them to be subject to alternative cost disclosure requirement</w:t>
      </w:r>
      <w:r w:rsidR="006C4FDF">
        <w:t>s</w:t>
      </w:r>
      <w:r>
        <w:t xml:space="preserve">. </w:t>
      </w:r>
    </w:p>
    <w:permEnd w:id="523967376"/>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F31E57" w:rsidRDefault="00AD5CC2" w:rsidP="00F31E57">
      <w:permStart w:id="1273389227" w:edGrp="everyone"/>
      <w:r>
        <w:t>While the items listed</w:t>
      </w:r>
      <w:r w:rsidR="006C4FDF">
        <w:t xml:space="preserve"> </w:t>
      </w:r>
      <w:r>
        <w:t xml:space="preserve">in section 3.1.3.1 seem reasonable, we query the value of structured product manufacturers being required to identify/calculate entry costs at this level of granularity, especially given that many of these costs are overarching business costs rather than being directly attributable to a specific product/issue. We believe that a more basic approach </w:t>
      </w:r>
      <w:r w:rsidR="0071735F">
        <w:t xml:space="preserve">predicated on a product’s fair value </w:t>
      </w:r>
      <w:r>
        <w:t>would be preferable</w:t>
      </w:r>
      <w:r w:rsidR="0071735F">
        <w:t xml:space="preserve"> (</w:t>
      </w:r>
      <w:r>
        <w:t>i.e. issue costs</w:t>
      </w:r>
      <w:r w:rsidR="006C4FDF">
        <w:t xml:space="preserve"> minus</w:t>
      </w:r>
      <w:r>
        <w:t xml:space="preserve"> fair value = costs</w:t>
      </w:r>
      <w:r w:rsidR="0071735F">
        <w:t xml:space="preserve">) with fair value being established by the product manufacturer on the basis of standardised and consistently-applied procedures </w:t>
      </w:r>
      <w:r w:rsidR="006C4FDF">
        <w:t xml:space="preserve">that are </w:t>
      </w:r>
      <w:r w:rsidR="0071735F">
        <w:t xml:space="preserve">subject to review/verification by an independent third-party (e.g. auditor, external </w:t>
      </w:r>
      <w:proofErr w:type="spellStart"/>
      <w:r w:rsidR="0071735F">
        <w:t>valuer</w:t>
      </w:r>
      <w:proofErr w:type="spellEnd"/>
      <w:r w:rsidR="0071735F">
        <w:t>).</w:t>
      </w:r>
      <w:r>
        <w:t xml:space="preserve"> </w:t>
      </w:r>
    </w:p>
    <w:permEnd w:id="1273389227"/>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F31E57" w:rsidRDefault="00AD5CC2" w:rsidP="00F31E57">
      <w:permStart w:id="1294364671" w:edGrp="everyone"/>
      <w:r>
        <w:t xml:space="preserve">We do not believe that there is any need for on-going costs to be further defined. On the basis that the on-going costs listed are generally identified up-front and incorporated into the price of the product, we believe that the formula outlined above (issue costs </w:t>
      </w:r>
      <w:r w:rsidR="006C4FDF">
        <w:t>minus</w:t>
      </w:r>
      <w:r>
        <w:t xml:space="preserve"> fair value = costs) constitutes the best approach. </w:t>
      </w:r>
    </w:p>
    <w:permEnd w:id="1294364671"/>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lastRenderedPageBreak/>
        <w:t>&lt;ESMA_QUESTION_PRIIPs_63&gt;</w:t>
      </w:r>
    </w:p>
    <w:p w:rsidR="00F31E57" w:rsidRDefault="0071735F" w:rsidP="00F31E57">
      <w:permStart w:id="1138032964" w:edGrp="everyone"/>
      <w:r>
        <w:t xml:space="preserve">We believe exit costs should be calculated as the bid-mid spread and should be shown as a proportion of the product’s fair value. We are also uncertain what the term “proportional fees” is meant to encompass – if this term were to be included in the technical standards as part of the required calculation methodology, it would certainly require further </w:t>
      </w:r>
      <w:r w:rsidR="006C4FDF">
        <w:t>clarification</w:t>
      </w:r>
      <w:r>
        <w:t xml:space="preserve">. </w:t>
      </w:r>
    </w:p>
    <w:permEnd w:id="1138032964"/>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71735F" w:rsidP="00F31E57">
      <w:permStart w:id="180227245" w:edGrp="everyone"/>
      <w:r>
        <w:t xml:space="preserve">We believe that there is little to be gained from the cost calculation method for structured products requiring the separate identification of many different types of costs – as per Q61 above, costs should be established by reference to a product’s fair value as estimated by the manufacturer and verified by an independent third party. </w:t>
      </w:r>
    </w:p>
    <w:permEnd w:id="180227245"/>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509362057" w:edGrp="everyone"/>
      <w:r>
        <w:t>TYPE YOUR TEXT HERE</w:t>
      </w:r>
    </w:p>
    <w:permEnd w:id="509362057"/>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44457609" w:edGrp="everyone"/>
      <w:r>
        <w:t>TYPE YOUR TEXT HERE</w:t>
      </w:r>
    </w:p>
    <w:permEnd w:id="44457609"/>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7F0B72" w:rsidP="00F31E57">
      <w:permStart w:id="959792543" w:edGrp="everyone"/>
      <w:r>
        <w:t xml:space="preserve">Entry costs should be annualised over the recommended holding period identified for the product in the KID. For derivatives, the notional value or exposure should be the invested capital figure against which costs are calculated. </w:t>
      </w:r>
    </w:p>
    <w:permEnd w:id="959792543"/>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7F0B72" w:rsidP="00F31E57">
      <w:permStart w:id="515334741" w:edGrp="everyone"/>
      <w:r>
        <w:t xml:space="preserve">We believe that, where products have on-going hedging costs, these will be included in the fair value estimated by the manufacturer. </w:t>
      </w:r>
    </w:p>
    <w:permEnd w:id="515334741"/>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7F0B72" w:rsidRDefault="007F0B72" w:rsidP="00F31E57">
      <w:permStart w:id="201523946" w:edGrp="everyone"/>
      <w:r>
        <w:t xml:space="preserve">We do not believe that regulatory authorities should be directly involved in setting the process for calculating fair value, e.g. by mandating the use of specific models or calibration techniques. Rather, manufacturers should be required to establish their own written procedures for the calculation of fair value – </w:t>
      </w:r>
      <w:r w:rsidR="0098312F">
        <w:t>as well as providing detailed justification for the models/methodologies chosen, these</w:t>
      </w:r>
      <w:r>
        <w:t xml:space="preserve"> should identify (a) any conflicts of interest that may impact upon the manufacturer’s calculation processes and how these conflicts are managed/mitigated; (b) arrangements for ensuring the consistent application of the firm’s calculation methodo</w:t>
      </w:r>
      <w:r w:rsidR="0098312F">
        <w:t xml:space="preserve">logies; (c) arrangements for monitoring and reporting on the firm’s application of its chosen models/methodologies; and (d) the role played by independent third parties in reviewing/verifying the firm’s processes and the outcomes of those processes. Alternatively, manufacturers may choose to use the services of independent third party valuation services. </w:t>
      </w:r>
    </w:p>
    <w:permEnd w:id="201523946"/>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A43FB6" w:rsidP="00F31E57">
      <w:permStart w:id="2074216728" w:edGrp="everyone"/>
      <w:r>
        <w:t>In order to avoid constant updates to KIDs, we believe that the technical standards should specify a range (e.g. 3-5% either side of the reference price) within which the fair value attributed to a product can fluctuate without an amended document being required. Furthermore, given that KIDs have been designed to deliver pre-contractual information, updated documents should only be required when the product in question remains open for purchase.</w:t>
      </w:r>
    </w:p>
    <w:permEnd w:id="2074216728"/>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A43FB6" w:rsidP="00F31E57">
      <w:permStart w:id="1018973146" w:edGrp="everyone"/>
      <w:r>
        <w:t>TYPE YOUR TEXT HERE</w:t>
      </w:r>
    </w:p>
    <w:permEnd w:id="1018973146"/>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Pr="00F810EE" w:rsidRDefault="005B1442" w:rsidP="00F31E57">
      <w:pPr>
        <w:rPr>
          <w:b/>
        </w:rPr>
      </w:pPr>
      <w:permStart w:id="1832863270" w:edGrp="everyone"/>
      <w:r>
        <w:t>TYPE YOUR TEXT HERE</w:t>
      </w:r>
    </w:p>
    <w:permEnd w:id="1832863270"/>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5B1442" w:rsidP="00F31E57">
      <w:permStart w:id="1482576156" w:edGrp="everyone"/>
      <w:r>
        <w:t>TYPE YOUR TEXT HERE</w:t>
      </w:r>
    </w:p>
    <w:permEnd w:id="1482576156"/>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5B1442" w:rsidP="00F31E57">
      <w:permStart w:id="1630947565" w:edGrp="everyone"/>
      <w:r>
        <w:t>TYPE YOUR TEXT HERE</w:t>
      </w:r>
    </w:p>
    <w:permEnd w:id="1630947565"/>
    <w:p w:rsidR="00F31E57" w:rsidRDefault="00F31E57" w:rsidP="00F31E57">
      <w:r>
        <w:lastRenderedPageBreak/>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Pr="009F0B5F" w:rsidRDefault="005B1442" w:rsidP="00F31E57">
      <w:pPr>
        <w:rPr>
          <w:b/>
        </w:rPr>
      </w:pPr>
      <w:permStart w:id="1848912487" w:edGrp="everyone"/>
      <w:r>
        <w:t>We do not believe that the technical standards should be prescriptive as regards how an issuer’s credit risk is reflected in its price-setting process. When a manufacturer calculates the fair value of a product, it takes into account both external credit ratings and the outcomes of its own credit risk mechanisms, in each instance justifying/evidencing the basis upon which it has done so. Consequently, the fair value of the product will reflect the level at which the issuer can actually fund rather than the value of an arbitrary CDS</w:t>
      </w:r>
      <w:r w:rsidR="009F0B5F">
        <w:t xml:space="preserve">. </w:t>
      </w:r>
      <w:r w:rsidR="000841D3">
        <w:t xml:space="preserve">Whether credit risk is determined using market data or the internal funding rate applied by the issuer’s treasury function, the manufacturer will need to be able to justify the assumptions made – beyond that, no further prescription is necessary. </w:t>
      </w:r>
    </w:p>
    <w:permEnd w:id="1848912487"/>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5B1442" w:rsidP="00F31E57">
      <w:permStart w:id="431559120" w:edGrp="everyone"/>
      <w:r>
        <w:t>TYPE YOUR TEXT HERE</w:t>
      </w:r>
    </w:p>
    <w:permEnd w:id="431559120"/>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B42C8B" w:rsidP="00F31E57">
      <w:permStart w:id="1888815310" w:edGrp="everyone"/>
      <w:r>
        <w:t>TYPE YOUR TEXT HERE</w:t>
      </w:r>
    </w:p>
    <w:permEnd w:id="1888815310"/>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B42C8B" w:rsidP="00F31E57">
      <w:permStart w:id="376198747" w:edGrp="everyone"/>
      <w:r>
        <w:t>TYPE YOUR TEXT HERE</w:t>
      </w:r>
    </w:p>
    <w:permEnd w:id="376198747"/>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1A1C86" w:rsidP="00F31E57">
      <w:permStart w:id="450917183" w:edGrp="everyone"/>
      <w:r>
        <w:t xml:space="preserve">We do not believe that specific pricing models should be prescribed for structured products, derivatives and CFDs as it would entail very significant upheaval for issuers currently using diverse models. Rather than mandating consistency for its own sake, manufacturers should be free to select whichever pricing model is most appropriate for the product being issued, subject to the proviso that the models chosen and the parameters that drive them are adequately documented and justified. </w:t>
      </w:r>
    </w:p>
    <w:permEnd w:id="450917183"/>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1A1C86" w:rsidRDefault="001A1C86" w:rsidP="001A1C86">
      <w:permStart w:id="13255927" w:edGrp="everyone"/>
      <w:r>
        <w:t>The 5 year record-keeping period that currently applies to the computation/revision of the UCITS SRRI would appear to be a reasonable standard for products</w:t>
      </w:r>
      <w:r w:rsidR="002C33DB">
        <w:t xml:space="preserve"> that have no specified end-date</w:t>
      </w:r>
      <w:r>
        <w:t>. For products with an explicit maturity date</w:t>
      </w:r>
      <w:r w:rsidR="002C33DB">
        <w:t xml:space="preserve">, record should be maintained for </w:t>
      </w:r>
      <w:r w:rsidR="000841D3">
        <w:t xml:space="preserve">5 years after </w:t>
      </w:r>
      <w:r w:rsidR="002C33DB">
        <w:t>maturity.</w:t>
      </w:r>
    </w:p>
    <w:permEnd w:id="13255927"/>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D867AD" w:rsidP="00F31E57">
      <w:permStart w:id="463894613" w:edGrp="everyone"/>
      <w:r>
        <w:t xml:space="preserve">The concept of investments ranking </w:t>
      </w:r>
      <w:proofErr w:type="spellStart"/>
      <w:r>
        <w:t>pari</w:t>
      </w:r>
      <w:proofErr w:type="spellEnd"/>
      <w:r>
        <w:t xml:space="preserve"> </w:t>
      </w:r>
      <w:proofErr w:type="spellStart"/>
      <w:r>
        <w:t>passu</w:t>
      </w:r>
      <w:proofErr w:type="spellEnd"/>
      <w:r>
        <w:t xml:space="preserve"> is one that is generally understood throughout financial markets and we see no </w:t>
      </w:r>
      <w:r w:rsidR="004E571C">
        <w:t>need</w:t>
      </w:r>
      <w:r>
        <w:t xml:space="preserve"> for it to be more specifically defined in relation to PRIIPs. While it should be permissible to use a single aggregated costs calculation across classes of shares ranking </w:t>
      </w:r>
      <w:proofErr w:type="spellStart"/>
      <w:r>
        <w:t>pari</w:t>
      </w:r>
      <w:proofErr w:type="spellEnd"/>
      <w:r>
        <w:t xml:space="preserve"> </w:t>
      </w:r>
      <w:proofErr w:type="spellStart"/>
      <w:r>
        <w:t>passu</w:t>
      </w:r>
      <w:proofErr w:type="spellEnd"/>
      <w:r>
        <w:t xml:space="preserve">, we believe that each such share class should have its own KID. </w:t>
      </w:r>
    </w:p>
    <w:permEnd w:id="463894613"/>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D867AD" w:rsidP="00F31E57">
      <w:permStart w:id="417816008" w:edGrp="everyone"/>
      <w:r>
        <w:t xml:space="preserve">We believe that the initial investment amount should be expressed as 10,000 units of whichever currency the product is denominated in with 1,000 units being used for regular payment products. The suggested figure of 1,000 euros as the initial investment amount is too low – as well as giving a distorted impression of fixed costs, it does not reflect the </w:t>
      </w:r>
      <w:r w:rsidR="004E571C">
        <w:t xml:space="preserve">average </w:t>
      </w:r>
      <w:r>
        <w:t xml:space="preserve">level of investment across all types of PRIIPs. </w:t>
      </w:r>
    </w:p>
    <w:permEnd w:id="417816008"/>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1166214475" w:edGrp="everyone"/>
      <w:r>
        <w:t>TYPE YOUR TEXT HERE</w:t>
      </w:r>
    </w:p>
    <w:permEnd w:id="1166214475"/>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D867AD" w:rsidP="00F31E57">
      <w:permStart w:id="1459513860" w:edGrp="everyone"/>
      <w:r>
        <w:t>As per the illustration on page 99 of the paper, we believe that total costs should be annualised by reference to the product’s recommended holding period, as specified in the KID. The KID should also make clear that whether or not distribution costs are included in this figure will depend upon whether the manufacturer distributes its own products or relie</w:t>
      </w:r>
      <w:r w:rsidR="004E571C">
        <w:t>s</w:t>
      </w:r>
      <w:r>
        <w:t xml:space="preserve"> on the services of third parties. </w:t>
      </w:r>
    </w:p>
    <w:permEnd w:id="1459513860"/>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D867AD" w:rsidP="00F31E57">
      <w:permStart w:id="1850347646" w:edGrp="everyone"/>
      <w:r>
        <w:t xml:space="preserve">We see no need for further assumptions to be specified. </w:t>
      </w:r>
    </w:p>
    <w:permEnd w:id="1850347646"/>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4E571C" w:rsidRDefault="00D867AD" w:rsidP="00F31E57">
      <w:permStart w:id="289631502" w:edGrp="everyone"/>
      <w:r>
        <w:t xml:space="preserve">We believe that total costs for structured products should be calculated as investment cost minus fair value, with these costs annualised over the recommended holding period of the product and expressed as a percentage of the notional value. We consider that adjustments to the TCR to reflect </w:t>
      </w:r>
      <w:r w:rsidR="004E571C">
        <w:t xml:space="preserve">actual </w:t>
      </w:r>
      <w:r>
        <w:t xml:space="preserve">margin/collateral </w:t>
      </w:r>
      <w:r w:rsidR="00C57136">
        <w:t xml:space="preserve">payments would be unduly complex and that the possibility of such payments arising should be disclosed to investors by way of a straightforward narrative. </w:t>
      </w:r>
    </w:p>
    <w:permEnd w:id="289631502"/>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964393749" w:edGrp="everyone"/>
      <w:r>
        <w:t>TYPE YOUR TEXT HERE</w:t>
      </w:r>
    </w:p>
    <w:permEnd w:id="964393749"/>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w:t>
      </w:r>
      <w:r>
        <w:rPr>
          <w:rFonts w:cs="Arial"/>
        </w:rPr>
        <w:lastRenderedPageBreak/>
        <w:t>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877221304" w:edGrp="everyone"/>
      <w:r>
        <w:t>TYPE YOUR TEXT HERE</w:t>
      </w:r>
    </w:p>
    <w:permEnd w:id="877221304"/>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Pr="00B131A8" w:rsidRDefault="00B131A8" w:rsidP="00F31E57">
      <w:pPr>
        <w:rPr>
          <w:b/>
        </w:rPr>
      </w:pPr>
      <w:permStart w:id="1767115118" w:edGrp="everyone"/>
      <w:r>
        <w:t xml:space="preserve">We consider the calculation of the TCR as the ratio of total disclosed costs to NAV </w:t>
      </w:r>
      <w:r w:rsidR="004E571C">
        <w:t xml:space="preserve">to be </w:t>
      </w:r>
      <w:r>
        <w:t>appropriate for all types of funds. In line with our response to Q35, we believe that costs should be calculated as an average derived from the previous</w:t>
      </w:r>
      <w:r w:rsidR="00FF47D3">
        <w:t xml:space="preserve"> 3 to 5 </w:t>
      </w:r>
      <w:r>
        <w:t>years’ cost data rather than being based on the figures for the preceding year, as is currently the case with UCITS</w:t>
      </w:r>
      <w:r w:rsidR="00FF47D3">
        <w:t xml:space="preserve"> – an averaging process would smooth out anomalies in the event of </w:t>
      </w:r>
      <w:r w:rsidR="002A2D9B">
        <w:t xml:space="preserve">one </w:t>
      </w:r>
      <w:r w:rsidR="00FF47D3">
        <w:t xml:space="preserve">year’s costs being </w:t>
      </w:r>
      <w:r w:rsidR="00FF47D3">
        <w:t xml:space="preserve">significantly out of line with the usual </w:t>
      </w:r>
      <w:r w:rsidR="00FF47D3">
        <w:t xml:space="preserve">experience </w:t>
      </w:r>
      <w:r w:rsidR="00FF47D3">
        <w:t xml:space="preserve">of </w:t>
      </w:r>
      <w:r w:rsidR="00FF47D3">
        <w:t>the fund.</w:t>
      </w:r>
      <w:bookmarkStart w:id="3" w:name="_GoBack"/>
      <w:bookmarkEnd w:id="3"/>
    </w:p>
    <w:permEnd w:id="1767115118"/>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B131A8" w:rsidP="00F31E57">
      <w:permStart w:id="1090257824" w:edGrp="everyone"/>
      <w:r>
        <w:t xml:space="preserve">Yes. </w:t>
      </w:r>
    </w:p>
    <w:permEnd w:id="1090257824"/>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1543065920" w:edGrp="everyone"/>
      <w:r>
        <w:t>TYPE YOUR TEXT HERE</w:t>
      </w:r>
    </w:p>
    <w:permEnd w:id="1543065920"/>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w:t>
      </w:r>
      <w:r>
        <w:rPr>
          <w:rFonts w:cs="Arial"/>
        </w:rPr>
        <w:lastRenderedPageBreak/>
        <w:t xml:space="preserve">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976632286" w:edGrp="everyone"/>
      <w:r>
        <w:t>TYPE YOUR TEXT HERE</w:t>
      </w:r>
    </w:p>
    <w:permEnd w:id="976632286"/>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F31E57" w:rsidRDefault="00B131A8" w:rsidP="00F31E57">
      <w:permStart w:id="1857774240" w:edGrp="everyone"/>
      <w:r>
        <w:t xml:space="preserve">No. WMA members have expressed support for the RIY approach on the basis that, although it </w:t>
      </w:r>
      <w:proofErr w:type="gramStart"/>
      <w:r>
        <w:t>produces  very</w:t>
      </w:r>
      <w:proofErr w:type="gramEnd"/>
      <w:r>
        <w:t xml:space="preserve"> similar overall outcomes to the TCR, it tends to give a better view of the impact of events over the life of a product. </w:t>
      </w:r>
    </w:p>
    <w:permEnd w:id="1857774240"/>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644762262" w:edGrp="everyone"/>
      <w:r>
        <w:t>TYPE YOUR TEXT HERE</w:t>
      </w:r>
    </w:p>
    <w:permEnd w:id="644762262"/>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B131A8" w:rsidP="00F31E57">
      <w:permStart w:id="438046570" w:edGrp="everyone"/>
      <w:r>
        <w:t xml:space="preserve">We believe the calculation basis for returns should be the gross amount actually invested, i.e. before the deduction of costs. </w:t>
      </w:r>
    </w:p>
    <w:permEnd w:id="438046570"/>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510618838" w:edGrp="everyone"/>
      <w:r>
        <w:t>TYPE YOUR TEXT HERE</w:t>
      </w:r>
    </w:p>
    <w:permEnd w:id="510618838"/>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849427310" w:edGrp="everyone"/>
      <w:r>
        <w:t>TYPE YOUR TEXT HERE</w:t>
      </w:r>
    </w:p>
    <w:permEnd w:id="849427310"/>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lastRenderedPageBreak/>
        <w:t>&lt;ESMA_QUESTION_PRIIPs_98&gt;</w:t>
      </w:r>
    </w:p>
    <w:p w:rsidR="00F31E57" w:rsidRDefault="00F31E57" w:rsidP="00F31E57">
      <w:permStart w:id="1629058531" w:edGrp="everyone"/>
      <w:r>
        <w:t>TYPE YOUR TEXT HERE</w:t>
      </w:r>
    </w:p>
    <w:permEnd w:id="1629058531"/>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581405969" w:edGrp="everyone"/>
      <w:r>
        <w:t>TYPE YOUR TEXT HERE</w:t>
      </w:r>
    </w:p>
    <w:permEnd w:id="1581405969"/>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0EB" w:rsidRDefault="004540EB">
      <w:r>
        <w:separator/>
      </w:r>
    </w:p>
    <w:p w:rsidR="004540EB" w:rsidRDefault="004540EB"/>
  </w:endnote>
  <w:endnote w:type="continuationSeparator" w:id="0">
    <w:p w:rsidR="004540EB" w:rsidRDefault="004540EB">
      <w:r>
        <w:continuationSeparator/>
      </w:r>
    </w:p>
    <w:p w:rsidR="004540EB" w:rsidRDefault="004540EB"/>
  </w:endnote>
  <w:endnote w:type="continuationNotice" w:id="1">
    <w:p w:rsidR="004540EB" w:rsidRDefault="00454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6AEB" w:rsidRPr="00616B9B" w:rsidTr="00315E96">
      <w:trPr>
        <w:trHeight w:val="284"/>
      </w:trPr>
      <w:tc>
        <w:tcPr>
          <w:tcW w:w="8460" w:type="dxa"/>
        </w:tcPr>
        <w:p w:rsidR="00786AEB" w:rsidRPr="00315E96" w:rsidRDefault="00786AEB" w:rsidP="00315E96">
          <w:pPr>
            <w:pStyle w:val="00Footer"/>
            <w:rPr>
              <w:lang w:val="fr-FR"/>
            </w:rPr>
          </w:pPr>
        </w:p>
      </w:tc>
      <w:tc>
        <w:tcPr>
          <w:tcW w:w="952" w:type="dxa"/>
        </w:tcPr>
        <w:p w:rsidR="00786AEB" w:rsidRPr="00616B9B" w:rsidRDefault="00786AEB"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A2D9B">
            <w:rPr>
              <w:rFonts w:cs="Arial"/>
              <w:noProof/>
              <w:sz w:val="22"/>
              <w:szCs w:val="22"/>
            </w:rPr>
            <w:t>21</w:t>
          </w:r>
          <w:r w:rsidRPr="00616B9B">
            <w:rPr>
              <w:rFonts w:cs="Arial"/>
              <w:noProof/>
              <w:sz w:val="22"/>
              <w:szCs w:val="22"/>
            </w:rPr>
            <w:fldChar w:fldCharType="end"/>
          </w:r>
        </w:p>
      </w:tc>
    </w:tr>
  </w:tbl>
  <w:p w:rsidR="00786AEB" w:rsidRDefault="00786A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EB" w:rsidRDefault="00786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0EB" w:rsidRDefault="004540EB">
      <w:r>
        <w:separator/>
      </w:r>
    </w:p>
    <w:p w:rsidR="004540EB" w:rsidRDefault="004540EB"/>
  </w:footnote>
  <w:footnote w:type="continuationSeparator" w:id="0">
    <w:p w:rsidR="004540EB" w:rsidRDefault="004540EB">
      <w:r>
        <w:continuationSeparator/>
      </w:r>
    </w:p>
    <w:p w:rsidR="004540EB" w:rsidRDefault="004540EB"/>
  </w:footnote>
  <w:footnote w:type="continuationNotice" w:id="1">
    <w:p w:rsidR="004540EB" w:rsidRDefault="004540EB"/>
  </w:footnote>
  <w:footnote w:id="2">
    <w:p w:rsidR="00786AEB" w:rsidRPr="00554E48" w:rsidRDefault="00786AEB"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786AEB" w:rsidRDefault="00786AEB"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EB" w:rsidRDefault="00786A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65849"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EB" w:rsidRDefault="00786A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AEB" w:rsidRDefault="00786AE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6AEB" w:rsidRPr="002F4496" w:rsidTr="000C06C9">
      <w:trPr>
        <w:trHeight w:val="284"/>
      </w:trPr>
      <w:tc>
        <w:tcPr>
          <w:tcW w:w="8460" w:type="dxa"/>
        </w:tcPr>
        <w:p w:rsidR="00786AEB" w:rsidRPr="000C3B6D" w:rsidRDefault="00786AEB" w:rsidP="000C06C9">
          <w:pPr>
            <w:pStyle w:val="00Footer"/>
            <w:rPr>
              <w:lang w:val="fr-FR"/>
            </w:rPr>
          </w:pPr>
        </w:p>
      </w:tc>
      <w:tc>
        <w:tcPr>
          <w:tcW w:w="952" w:type="dxa"/>
        </w:tcPr>
        <w:p w:rsidR="00786AEB" w:rsidRPr="00146B34" w:rsidRDefault="00786AEB" w:rsidP="000C06C9">
          <w:pPr>
            <w:pStyle w:val="00aPagenumber"/>
            <w:rPr>
              <w:lang w:val="fr-FR"/>
            </w:rPr>
          </w:pPr>
        </w:p>
      </w:tc>
    </w:tr>
  </w:tbl>
  <w:p w:rsidR="00786AEB" w:rsidRPr="00DB46C3" w:rsidRDefault="00786AEB">
    <w:pPr>
      <w:rPr>
        <w:lang w:val="fr-FR"/>
      </w:rPr>
    </w:pPr>
  </w:p>
  <w:p w:rsidR="00786AEB" w:rsidRPr="002F4496" w:rsidRDefault="00786AEB">
    <w:pPr>
      <w:pStyle w:val="Header"/>
      <w:rPr>
        <w:lang w:val="fr-FR"/>
      </w:rPr>
    </w:pPr>
  </w:p>
  <w:p w:rsidR="00786AEB" w:rsidRPr="002F4496" w:rsidRDefault="00786AEB" w:rsidP="000C06C9">
    <w:pPr>
      <w:pStyle w:val="Header"/>
      <w:tabs>
        <w:tab w:val="clear" w:pos="4536"/>
        <w:tab w:val="clear" w:pos="9072"/>
        <w:tab w:val="left" w:pos="8227"/>
      </w:tabs>
      <w:rPr>
        <w:lang w:val="fr-FR"/>
      </w:rPr>
    </w:pPr>
  </w:p>
  <w:p w:rsidR="00786AEB" w:rsidRPr="002F4496" w:rsidRDefault="00786AEB" w:rsidP="000C06C9">
    <w:pPr>
      <w:pStyle w:val="Header"/>
      <w:tabs>
        <w:tab w:val="clear" w:pos="4536"/>
        <w:tab w:val="clear" w:pos="9072"/>
        <w:tab w:val="left" w:pos="8227"/>
      </w:tabs>
      <w:rPr>
        <w:lang w:val="fr-FR"/>
      </w:rPr>
    </w:pPr>
  </w:p>
  <w:p w:rsidR="00786AEB" w:rsidRPr="002F4496" w:rsidRDefault="00786AEB">
    <w:pPr>
      <w:pStyle w:val="Header"/>
      <w:rPr>
        <w:lang w:val="fr-FR"/>
      </w:rPr>
    </w:pPr>
  </w:p>
  <w:p w:rsidR="00786AEB" w:rsidRPr="002F4496" w:rsidRDefault="00786AEB">
    <w:pPr>
      <w:pStyle w:val="Header"/>
      <w:rPr>
        <w:lang w:val="fr-FR"/>
      </w:rPr>
    </w:pPr>
  </w:p>
  <w:p w:rsidR="00786AEB" w:rsidRPr="002F4496" w:rsidRDefault="00786AEB">
    <w:pPr>
      <w:pStyle w:val="Header"/>
      <w:rPr>
        <w:lang w:val="fr-FR"/>
      </w:rPr>
    </w:pPr>
  </w:p>
  <w:p w:rsidR="00786AEB" w:rsidRPr="002F4496" w:rsidRDefault="00786AEB">
    <w:pPr>
      <w:pStyle w:val="Header"/>
      <w:rPr>
        <w:lang w:val="fr-FR"/>
      </w:rPr>
    </w:pPr>
  </w:p>
  <w:p w:rsidR="00786AEB" w:rsidRPr="002F4496" w:rsidRDefault="00786AEB">
    <w:pPr>
      <w:pStyle w:val="Header"/>
      <w:rPr>
        <w:highlight w:val="yellow"/>
        <w:lang w:val="fr-FR"/>
      </w:rPr>
    </w:pPr>
  </w:p>
  <w:p w:rsidR="00786AEB" w:rsidRDefault="00786A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76B50"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241A6"/>
    <w:multiLevelType w:val="hybridMultilevel"/>
    <w:tmpl w:val="A01A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10"/>
  </w:num>
  <w:num w:numId="24">
    <w:abstractNumId w:val="30"/>
  </w:num>
  <w:num w:numId="25">
    <w:abstractNumId w:val="29"/>
  </w:num>
  <w:num w:numId="26">
    <w:abstractNumId w:val="19"/>
  </w:num>
  <w:num w:numId="27">
    <w:abstractNumId w:val="33"/>
  </w:num>
  <w:num w:numId="28">
    <w:abstractNumId w:val="38"/>
  </w:num>
  <w:num w:numId="29">
    <w:abstractNumId w:val="8"/>
  </w:num>
  <w:num w:numId="30">
    <w:abstractNumId w:val="3"/>
  </w:num>
  <w:num w:numId="31">
    <w:abstractNumId w:val="21"/>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57E8"/>
    <w:rsid w:val="00036FAE"/>
    <w:rsid w:val="00037C38"/>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41D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184"/>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739"/>
    <w:rsid w:val="001168B2"/>
    <w:rsid w:val="00117C20"/>
    <w:rsid w:val="00120F0E"/>
    <w:rsid w:val="00121707"/>
    <w:rsid w:val="00121BED"/>
    <w:rsid w:val="00123D39"/>
    <w:rsid w:val="001244CD"/>
    <w:rsid w:val="0012566F"/>
    <w:rsid w:val="001262B1"/>
    <w:rsid w:val="00130F41"/>
    <w:rsid w:val="00130FAF"/>
    <w:rsid w:val="00135F2B"/>
    <w:rsid w:val="001372DD"/>
    <w:rsid w:val="001405BA"/>
    <w:rsid w:val="00140C8C"/>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1034"/>
    <w:rsid w:val="0019311A"/>
    <w:rsid w:val="0019508A"/>
    <w:rsid w:val="001960D8"/>
    <w:rsid w:val="001A1642"/>
    <w:rsid w:val="001A1C86"/>
    <w:rsid w:val="001A371B"/>
    <w:rsid w:val="001A4766"/>
    <w:rsid w:val="001A5E5C"/>
    <w:rsid w:val="001A6A0D"/>
    <w:rsid w:val="001A6C51"/>
    <w:rsid w:val="001A6FAA"/>
    <w:rsid w:val="001A7D73"/>
    <w:rsid w:val="001B0363"/>
    <w:rsid w:val="001B04B2"/>
    <w:rsid w:val="001B1355"/>
    <w:rsid w:val="001B2683"/>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840"/>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2D9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33DB"/>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49AC"/>
    <w:rsid w:val="00315389"/>
    <w:rsid w:val="00315746"/>
    <w:rsid w:val="00315E96"/>
    <w:rsid w:val="00317FC8"/>
    <w:rsid w:val="003223D7"/>
    <w:rsid w:val="00323D9F"/>
    <w:rsid w:val="00324FDB"/>
    <w:rsid w:val="00325F48"/>
    <w:rsid w:val="0033194F"/>
    <w:rsid w:val="00332304"/>
    <w:rsid w:val="00332406"/>
    <w:rsid w:val="00332D8D"/>
    <w:rsid w:val="0033405B"/>
    <w:rsid w:val="00336B56"/>
    <w:rsid w:val="00341B25"/>
    <w:rsid w:val="00341EC0"/>
    <w:rsid w:val="0034240C"/>
    <w:rsid w:val="00344496"/>
    <w:rsid w:val="00345039"/>
    <w:rsid w:val="00345968"/>
    <w:rsid w:val="00347667"/>
    <w:rsid w:val="003507E2"/>
    <w:rsid w:val="003522B2"/>
    <w:rsid w:val="0035455E"/>
    <w:rsid w:val="00354A6F"/>
    <w:rsid w:val="00354B48"/>
    <w:rsid w:val="00354E58"/>
    <w:rsid w:val="00354EB0"/>
    <w:rsid w:val="00355789"/>
    <w:rsid w:val="003609B6"/>
    <w:rsid w:val="00361119"/>
    <w:rsid w:val="0036538D"/>
    <w:rsid w:val="00365D12"/>
    <w:rsid w:val="0037018D"/>
    <w:rsid w:val="003704FB"/>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3F1"/>
    <w:rsid w:val="003926C1"/>
    <w:rsid w:val="00392900"/>
    <w:rsid w:val="00393357"/>
    <w:rsid w:val="00395E7B"/>
    <w:rsid w:val="00395F4C"/>
    <w:rsid w:val="003A5DAC"/>
    <w:rsid w:val="003A6591"/>
    <w:rsid w:val="003A6E9A"/>
    <w:rsid w:val="003B08C8"/>
    <w:rsid w:val="003B2342"/>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436"/>
    <w:rsid w:val="003E79B0"/>
    <w:rsid w:val="003F0403"/>
    <w:rsid w:val="003F1094"/>
    <w:rsid w:val="003F2E45"/>
    <w:rsid w:val="003F3EFE"/>
    <w:rsid w:val="003F40B8"/>
    <w:rsid w:val="003F5C06"/>
    <w:rsid w:val="003F611D"/>
    <w:rsid w:val="00400195"/>
    <w:rsid w:val="0040254B"/>
    <w:rsid w:val="00403086"/>
    <w:rsid w:val="00403460"/>
    <w:rsid w:val="004040FF"/>
    <w:rsid w:val="00404284"/>
    <w:rsid w:val="004042C4"/>
    <w:rsid w:val="00406E90"/>
    <w:rsid w:val="00410240"/>
    <w:rsid w:val="00412253"/>
    <w:rsid w:val="004142ED"/>
    <w:rsid w:val="0041634D"/>
    <w:rsid w:val="00417B5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4B3"/>
    <w:rsid w:val="0044162D"/>
    <w:rsid w:val="0044277A"/>
    <w:rsid w:val="004456DC"/>
    <w:rsid w:val="00447FBE"/>
    <w:rsid w:val="0045035E"/>
    <w:rsid w:val="0045175A"/>
    <w:rsid w:val="00451ED9"/>
    <w:rsid w:val="00452180"/>
    <w:rsid w:val="00452322"/>
    <w:rsid w:val="00453072"/>
    <w:rsid w:val="004539F8"/>
    <w:rsid w:val="00453F26"/>
    <w:rsid w:val="004540EB"/>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423"/>
    <w:rsid w:val="004B667B"/>
    <w:rsid w:val="004B71C7"/>
    <w:rsid w:val="004C03AA"/>
    <w:rsid w:val="004C0B9A"/>
    <w:rsid w:val="004C14E7"/>
    <w:rsid w:val="004C1D89"/>
    <w:rsid w:val="004C2A94"/>
    <w:rsid w:val="004C3DAB"/>
    <w:rsid w:val="004C5766"/>
    <w:rsid w:val="004C5F54"/>
    <w:rsid w:val="004C6E76"/>
    <w:rsid w:val="004C7652"/>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571C"/>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522"/>
    <w:rsid w:val="005347CE"/>
    <w:rsid w:val="00535477"/>
    <w:rsid w:val="00535DEA"/>
    <w:rsid w:val="0053723A"/>
    <w:rsid w:val="00537636"/>
    <w:rsid w:val="00537B1D"/>
    <w:rsid w:val="00540191"/>
    <w:rsid w:val="005408FB"/>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44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07D7E"/>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7F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4A0"/>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1F4B"/>
    <w:rsid w:val="006C2253"/>
    <w:rsid w:val="006C2CCB"/>
    <w:rsid w:val="006C4334"/>
    <w:rsid w:val="006C4B0F"/>
    <w:rsid w:val="006C4FDF"/>
    <w:rsid w:val="006C5E96"/>
    <w:rsid w:val="006D2F2B"/>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35F"/>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2066"/>
    <w:rsid w:val="00743DE7"/>
    <w:rsid w:val="0074509E"/>
    <w:rsid w:val="00745B9F"/>
    <w:rsid w:val="0074726F"/>
    <w:rsid w:val="00747D37"/>
    <w:rsid w:val="00752D4F"/>
    <w:rsid w:val="0075409F"/>
    <w:rsid w:val="0075525A"/>
    <w:rsid w:val="00755609"/>
    <w:rsid w:val="00755986"/>
    <w:rsid w:val="00755C86"/>
    <w:rsid w:val="00755D40"/>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AEB"/>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B72"/>
    <w:rsid w:val="007F0DDA"/>
    <w:rsid w:val="007F1939"/>
    <w:rsid w:val="007F365C"/>
    <w:rsid w:val="007F5066"/>
    <w:rsid w:val="007F621C"/>
    <w:rsid w:val="007F7155"/>
    <w:rsid w:val="00800C28"/>
    <w:rsid w:val="00801059"/>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26E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554"/>
    <w:rsid w:val="008B2B9E"/>
    <w:rsid w:val="008B31F5"/>
    <w:rsid w:val="008B4C79"/>
    <w:rsid w:val="008B5D2D"/>
    <w:rsid w:val="008B6361"/>
    <w:rsid w:val="008C0320"/>
    <w:rsid w:val="008C278F"/>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37811"/>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12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1D05"/>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0B5F"/>
    <w:rsid w:val="009F1D82"/>
    <w:rsid w:val="009F37AA"/>
    <w:rsid w:val="009F544C"/>
    <w:rsid w:val="009F5731"/>
    <w:rsid w:val="009F6321"/>
    <w:rsid w:val="009F6378"/>
    <w:rsid w:val="009F7669"/>
    <w:rsid w:val="009F7B25"/>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3FB6"/>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93E"/>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6FE"/>
    <w:rsid w:val="00AA6711"/>
    <w:rsid w:val="00AB2AEC"/>
    <w:rsid w:val="00AB2DC1"/>
    <w:rsid w:val="00AB3102"/>
    <w:rsid w:val="00AB3D9A"/>
    <w:rsid w:val="00AB4B1D"/>
    <w:rsid w:val="00AB6B5E"/>
    <w:rsid w:val="00AC047F"/>
    <w:rsid w:val="00AC3934"/>
    <w:rsid w:val="00AC50C8"/>
    <w:rsid w:val="00AC5581"/>
    <w:rsid w:val="00AC56AD"/>
    <w:rsid w:val="00AC61BE"/>
    <w:rsid w:val="00AD0C7B"/>
    <w:rsid w:val="00AD0CB4"/>
    <w:rsid w:val="00AD11AE"/>
    <w:rsid w:val="00AD1FF2"/>
    <w:rsid w:val="00AD2A21"/>
    <w:rsid w:val="00AD3B43"/>
    <w:rsid w:val="00AD4FF2"/>
    <w:rsid w:val="00AD506C"/>
    <w:rsid w:val="00AD5CC2"/>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31A8"/>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759"/>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2C8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2AA8"/>
    <w:rsid w:val="00B6439A"/>
    <w:rsid w:val="00B6443B"/>
    <w:rsid w:val="00B6517B"/>
    <w:rsid w:val="00B657A2"/>
    <w:rsid w:val="00B65E71"/>
    <w:rsid w:val="00B66C26"/>
    <w:rsid w:val="00B71FB3"/>
    <w:rsid w:val="00B73492"/>
    <w:rsid w:val="00B7512A"/>
    <w:rsid w:val="00B76548"/>
    <w:rsid w:val="00B76BED"/>
    <w:rsid w:val="00B806E6"/>
    <w:rsid w:val="00B82DC1"/>
    <w:rsid w:val="00B835D5"/>
    <w:rsid w:val="00B84028"/>
    <w:rsid w:val="00B84307"/>
    <w:rsid w:val="00B8430D"/>
    <w:rsid w:val="00B845D2"/>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63C1"/>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1AE2"/>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57136"/>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6F7"/>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67AD"/>
    <w:rsid w:val="00D871C6"/>
    <w:rsid w:val="00D91010"/>
    <w:rsid w:val="00DA0FA7"/>
    <w:rsid w:val="00DA12B0"/>
    <w:rsid w:val="00DA2BA0"/>
    <w:rsid w:val="00DA2C07"/>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11A"/>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227"/>
    <w:rsid w:val="00E44B80"/>
    <w:rsid w:val="00E47430"/>
    <w:rsid w:val="00E50FB7"/>
    <w:rsid w:val="00E5199F"/>
    <w:rsid w:val="00E526DF"/>
    <w:rsid w:val="00E53C15"/>
    <w:rsid w:val="00E54EE6"/>
    <w:rsid w:val="00E56715"/>
    <w:rsid w:val="00E56C2C"/>
    <w:rsid w:val="00E57A6F"/>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8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0EE"/>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937"/>
    <w:rsid w:val="00FF3BC4"/>
    <w:rsid w:val="00FF47D3"/>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97FEE3F1-870A-4935-91DB-15E6BE44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75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EF1AF-5DA5-4BC8-8099-13D2D7A2A1B6}">
  <ds:schemaRefs>
    <ds:schemaRef ds:uri="http://schemas.openxmlformats.org/officeDocument/2006/bibliography"/>
  </ds:schemaRefs>
</ds:datastoreItem>
</file>

<file path=customXml/itemProps2.xml><?xml version="1.0" encoding="utf-8"?>
<ds:datastoreItem xmlns:ds="http://schemas.openxmlformats.org/officeDocument/2006/customXml" ds:itemID="{F3F662F3-4BCD-4724-86B8-D1011C71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24</Pages>
  <Words>8366</Words>
  <Characters>47687</Characters>
  <Application>Microsoft Office Word</Application>
  <DocSecurity>8</DocSecurity>
  <Lines>397</Lines>
  <Paragraphs>111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55942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SARAH MCGUFFICK</cp:lastModifiedBy>
  <cp:revision>54</cp:revision>
  <cp:lastPrinted>2015-07-27T15:43:00Z</cp:lastPrinted>
  <dcterms:created xsi:type="dcterms:W3CDTF">2015-07-22T09:50:00Z</dcterms:created>
  <dcterms:modified xsi:type="dcterms:W3CDTF">2015-08-13T11:44:00Z</dcterms:modified>
</cp:coreProperties>
</file>