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0" w:edGrp="everyone" w:colFirst="1" w:colLast="1"/>
            <w:r w:rsidRPr="00AB6D88">
              <w:rPr>
                <w:rFonts w:cs="Arial"/>
              </w:rPr>
              <w:t>Name of the company / organisation</w:t>
            </w:r>
          </w:p>
        </w:tc>
        <w:sdt>
          <w:sdtPr>
            <w:rPr>
              <w:rStyle w:val="PlaceholderText"/>
              <w:rFonts w:cs="Arial"/>
            </w:rPr>
            <w:id w:val="-1905066999"/>
            <w:text/>
          </w:sdtPr>
          <w:sdtContent>
            <w:permStart w:id="1" w:edGrp="everyone" w:displacedByCustomXml="prev"/>
            <w:tc>
              <w:tcPr>
                <w:tcW w:w="5595" w:type="dxa"/>
                <w:shd w:val="clear" w:color="auto" w:fill="auto"/>
              </w:tcPr>
              <w:p w:rsidR="00D34282" w:rsidRPr="00AB6D88" w:rsidRDefault="00CD0702" w:rsidP="00CD0702">
                <w:pPr>
                  <w:rPr>
                    <w:rStyle w:val="PlaceholderText"/>
                    <w:rFonts w:cs="Arial"/>
                  </w:rPr>
                </w:pPr>
                <w:r>
                  <w:rPr>
                    <w:rStyle w:val="PlaceholderText"/>
                    <w:rFonts w:cs="Arial"/>
                  </w:rPr>
                  <w:t>WallStreetDocs Ltd.</w:t>
                </w:r>
              </w:p>
            </w:tc>
            <w:permEnd w:id="1"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200FFF" w:rsidP="007852CC">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852CC">
                  <w:rPr>
                    <w:rFonts w:cs="Arial"/>
                  </w:rPr>
                  <w:t>Document automation and related analytics for structured products</w:t>
                </w:r>
              </w:sdtContent>
            </w:sdt>
          </w:p>
        </w:tc>
      </w:tr>
      <w:tr w:rsidR="00D34282" w:rsidRPr="00AB6D88" w:rsidTr="001F03CA">
        <w:tc>
          <w:tcPr>
            <w:tcW w:w="3929" w:type="dxa"/>
            <w:shd w:val="clear" w:color="auto" w:fill="auto"/>
          </w:tcPr>
          <w:p w:rsidR="00D34282" w:rsidRPr="00AB6D88" w:rsidRDefault="00D34282" w:rsidP="001F03CA">
            <w:pPr>
              <w:rPr>
                <w:rFonts w:cs="Arial"/>
              </w:rPr>
            </w:pPr>
            <w:permStart w:id="3"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r w:rsidR="000D1699">
                  <w:rPr>
                    <w:rFonts w:ascii="MS Gothic" w:eastAsia="MS Gothic" w:hAnsi="MS Gothic" w:cs="MS Gothic"/>
                  </w:rPr>
                  <w:t xml:space="preserve"> NO</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4" w:edGrp="everyone" w:colFirst="1" w:colLast="1"/>
            <w:permEnd w:id="3"/>
            <w:r w:rsidRPr="00AB6D88">
              <w:rPr>
                <w:rFonts w:cs="Arial"/>
              </w:rPr>
              <w:t>Country/Region</w:t>
            </w:r>
          </w:p>
        </w:tc>
        <w:permStart w:id="5"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D34282" w:rsidRPr="00AB6D88" w:rsidRDefault="007852CC" w:rsidP="007852CC">
                <w:pPr>
                  <w:rPr>
                    <w:rFonts w:cs="Arial"/>
                  </w:rPr>
                </w:pPr>
                <w:r>
                  <w:rPr>
                    <w:rFonts w:cs="Arial"/>
                  </w:rPr>
                  <w:t>United Kingdom</w:t>
                </w:r>
              </w:p>
            </w:tc>
          </w:sdtContent>
        </w:sdt>
        <w:permEnd w:id="5" w:displacedByCustomXml="prev"/>
      </w:tr>
      <w:permEnd w:id="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CD0702" w:rsidRDefault="00200FFF" w:rsidP="00CD0702">
      <w:pPr>
        <w:pStyle w:val="Bodynoindent"/>
      </w:pPr>
      <w:permStart w:id="6" w:edGrp="everyone"/>
      <w:r w:rsidRPr="00200FFF">
        <w:rPr>
          <w:noProof/>
        </w:rPr>
        <w:pict>
          <v:shapetype id="_x0000_t202" coordsize="21600,21600" o:spt="202" path="m,l,21600r21600,l21600,xe">
            <v:stroke joinstyle="miter"/>
            <v:path gradientshapeok="t" o:connecttype="rect"/>
          </v:shapetype>
          <v:shape id="Text Box 2" o:spid="_x0000_s1026" type="#_x0000_t202" style="position:absolute;margin-left:301.65pt;margin-top:-11.25pt;width:175.3pt;height:68.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" fillcolor="white [3201]" stroked="f" strokeweight=".5pt">
            <v:path arrowok="t"/>
            <v:textbox>
              <w:txbxContent>
                <w:p w:rsidR="00CD0702" w:rsidRPr="0020369F" w:rsidRDefault="00CD0702" w:rsidP="006B41C3">
                  <w:pPr>
                    <w:jc w:val="center"/>
                  </w:pPr>
                  <w:r w:rsidRPr="0020369F">
                    <w:t>11-12 Tokenhouse Yard</w:t>
                  </w:r>
                  <w:r w:rsidRPr="0020369F">
                    <w:br/>
                    <w:t>London EC2R 7AS</w:t>
                  </w:r>
                  <w:r w:rsidRPr="0020369F">
                    <w:br/>
                    <w:t>United Kingdom</w:t>
                  </w:r>
                </w:p>
              </w:txbxContent>
            </v:textbox>
          </v:shape>
        </w:pict>
      </w:r>
      <w:r w:rsidR="00CD0702">
        <w:rPr>
          <w:noProof/>
          <w:lang w:val="en-GB" w:eastAsia="en-GB"/>
        </w:rPr>
        <w:drawing>
          <wp:anchor distT="0" distB="0" distL="114300" distR="114300" simplePos="0" relativeHeight="251660288" behindDoc="0" locked="0" layoutInCell="1" allowOverlap="1">
            <wp:simplePos x="0" y="0"/>
            <wp:positionH relativeFrom="column">
              <wp:posOffset>-76200</wp:posOffset>
            </wp:positionH>
            <wp:positionV relativeFrom="paragraph">
              <wp:posOffset>-129828</wp:posOffset>
            </wp:positionV>
            <wp:extent cx="2743200" cy="532228"/>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3200" cy="532228"/>
                    </a:xfrm>
                    <a:prstGeom prst="rect">
                      <a:avLst/>
                    </a:prstGeom>
                  </pic:spPr>
                </pic:pic>
              </a:graphicData>
            </a:graphic>
          </wp:anchor>
        </w:drawing>
      </w:r>
    </w:p>
    <w:p w:rsidR="00CD0702" w:rsidRDefault="00CD0702" w:rsidP="00CD0702">
      <w:pPr>
        <w:pStyle w:val="Bodynoindent"/>
      </w:pPr>
    </w:p>
    <w:p w:rsidR="00CD0702" w:rsidRDefault="00CD0702" w:rsidP="00CD0702">
      <w:pPr>
        <w:pStyle w:val="Bodynoindent"/>
      </w:pPr>
    </w:p>
    <w:p w:rsidR="00CD0702" w:rsidRDefault="00CD0702" w:rsidP="00CD0702">
      <w:pPr>
        <w:pStyle w:val="Bodynoindent"/>
      </w:pPr>
    </w:p>
    <w:p w:rsidR="00CD0702" w:rsidRDefault="00CD0702" w:rsidP="00CD0702">
      <w:pPr>
        <w:pStyle w:val="Bodynoindent"/>
        <w:jc w:val="right"/>
      </w:pPr>
      <w:r>
        <w:t>August 17, 2015</w:t>
      </w:r>
    </w:p>
    <w:p w:rsidR="00CD0702" w:rsidRDefault="00CD0702" w:rsidP="00CD0702">
      <w:pPr>
        <w:pStyle w:val="Bodynoindent"/>
      </w:pPr>
    </w:p>
    <w:p w:rsidR="00CD0702" w:rsidRPr="002506A2" w:rsidRDefault="00CD0702" w:rsidP="00CD0702">
      <w:pPr>
        <w:pStyle w:val="Bodynoindent"/>
        <w:jc w:val="both"/>
        <w:rPr>
          <w:u w:val="single"/>
        </w:rPr>
      </w:pPr>
      <w:r w:rsidRPr="002506A2">
        <w:rPr>
          <w:u w:val="single"/>
        </w:rPr>
        <w:t xml:space="preserve">Via Web </w:t>
      </w:r>
      <w:proofErr w:type="gramStart"/>
      <w:r w:rsidRPr="002506A2">
        <w:rPr>
          <w:u w:val="single"/>
        </w:rPr>
        <w:t>Upload</w:t>
      </w:r>
      <w:proofErr w:type="gramEnd"/>
      <w:r w:rsidRPr="002506A2">
        <w:rPr>
          <w:u w:val="single"/>
        </w:rPr>
        <w:t xml:space="preserve"> to www.esma.europa.eu</w:t>
      </w:r>
    </w:p>
    <w:p w:rsidR="00CD0702" w:rsidRDefault="00CD0702" w:rsidP="00CD0702">
      <w:pPr>
        <w:pStyle w:val="Bodynoindent"/>
        <w:jc w:val="both"/>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8417"/>
      </w:tblGrid>
      <w:tr w:rsidR="00CD0702" w:rsidTr="00C02502">
        <w:tc>
          <w:tcPr>
            <w:tcW w:w="810" w:type="dxa"/>
          </w:tcPr>
          <w:p w:rsidR="00CD0702" w:rsidRPr="007E432C" w:rsidRDefault="00CD0702" w:rsidP="00CD0702">
            <w:pPr>
              <w:pStyle w:val="Bodynoindent"/>
              <w:jc w:val="both"/>
            </w:pPr>
            <w:r w:rsidRPr="007E432C">
              <w:t>Re:</w:t>
            </w:r>
          </w:p>
        </w:tc>
        <w:tc>
          <w:tcPr>
            <w:tcW w:w="8417" w:type="dxa"/>
            <w:tcBorders>
              <w:bottom w:val="single" w:sz="4" w:space="0" w:color="auto"/>
            </w:tcBorders>
          </w:tcPr>
          <w:p w:rsidR="00CD0702" w:rsidRPr="007E432C" w:rsidRDefault="00CD0702" w:rsidP="00CD0702">
            <w:pPr>
              <w:pStyle w:val="Bodynoindent"/>
              <w:jc w:val="both"/>
            </w:pPr>
            <w:r w:rsidRPr="007E432C">
              <w:t>Comments on Technical Discussion Paper – Risk, Performance Scenarios and Cost Disclosures In Key Information Documents for Packaged Retail and Insurance-based Investment Products (PRIIPs)</w:t>
            </w:r>
          </w:p>
        </w:tc>
      </w:tr>
    </w:tbl>
    <w:p w:rsidR="00CD0702" w:rsidRDefault="00CD0702" w:rsidP="00CD0702">
      <w:pPr>
        <w:pStyle w:val="Bodynoindent"/>
        <w:jc w:val="both"/>
      </w:pPr>
    </w:p>
    <w:p w:rsidR="00CD0702" w:rsidRPr="007B78B3" w:rsidRDefault="00CD0702" w:rsidP="00CD0702">
      <w:pPr>
        <w:pStyle w:val="Bodynoindent"/>
        <w:jc w:val="both"/>
      </w:pPr>
      <w:r>
        <w:t>Dear Sir or Madam:</w:t>
      </w:r>
    </w:p>
    <w:p w:rsidR="00CD0702" w:rsidRDefault="00CD0702" w:rsidP="00CD0702">
      <w:pPr>
        <w:pStyle w:val="Body"/>
        <w:jc w:val="both"/>
      </w:pPr>
      <w:r>
        <w:t xml:space="preserve">WallStreetDocs provides manufacturers of </w:t>
      </w:r>
      <w:r w:rsidRPr="00835BD3">
        <w:t>Packaged Retail and Insurance-based Investment Products (PRIIPs)</w:t>
      </w:r>
      <w:r>
        <w:t xml:space="preserve"> with document automation and related analytical solutions.  B</w:t>
      </w:r>
      <w:r>
        <w:t>e</w:t>
      </w:r>
      <w:r>
        <w:t>cause we work with manufacturers in all geographic regions, we are familiar with the disclosure practices in different markets.</w:t>
      </w:r>
    </w:p>
    <w:p w:rsidR="00CD0702" w:rsidRDefault="00CD0702" w:rsidP="00CD0702">
      <w:pPr>
        <w:pStyle w:val="Body"/>
      </w:pPr>
      <w:r w:rsidRPr="00335FB8">
        <w:t>We appreciate the opportunity to comment on</w:t>
      </w:r>
      <w:r>
        <w:t xml:space="preserve"> the </w:t>
      </w:r>
      <w:r w:rsidRPr="00335FB8">
        <w:t xml:space="preserve">Technical Discussion Paper – Risk, Performance Scenarios and Cost Disclosures </w:t>
      </w:r>
      <w:proofErr w:type="gramStart"/>
      <w:r w:rsidRPr="00335FB8">
        <w:t>In</w:t>
      </w:r>
      <w:proofErr w:type="gramEnd"/>
      <w:r w:rsidRPr="00335FB8">
        <w:t xml:space="preserve"> Key Information Documents </w:t>
      </w:r>
      <w:r>
        <w:t xml:space="preserve">(KIDs) </w:t>
      </w:r>
      <w:r w:rsidRPr="00335FB8">
        <w:t xml:space="preserve">for </w:t>
      </w:r>
      <w:r>
        <w:t>PRIIPs.</w:t>
      </w:r>
    </w:p>
    <w:p w:rsidR="00CD0702" w:rsidRDefault="00CD0702" w:rsidP="00CD0702">
      <w:pPr>
        <w:pStyle w:val="Body"/>
      </w:pPr>
      <w:r>
        <w:lastRenderedPageBreak/>
        <w:t xml:space="preserve">Our comments focus on structured products.  We do not comment on insurance products, </w:t>
      </w:r>
      <w:r w:rsidRPr="00835BD3">
        <w:t>Undertakings for Collective Investments in Transferable Securities</w:t>
      </w:r>
      <w:r>
        <w:t xml:space="preserve"> (UCITS) funds or other types of PRIIPs.  We begin with a summary of our main points, which we will refer back to in answering specific questions.</w:t>
      </w:r>
    </w:p>
    <w:p w:rsidR="00CD0702" w:rsidRDefault="00CD0702" w:rsidP="00CD0702">
      <w:pPr>
        <w:pStyle w:val="Body"/>
      </w:pPr>
      <w:r>
        <w:t>Our three main points are the following:</w:t>
      </w:r>
    </w:p>
    <w:p w:rsidR="00CD0702" w:rsidRDefault="00CD0702" w:rsidP="00CD0702">
      <w:pPr>
        <w:pStyle w:val="ListBullet"/>
      </w:pPr>
      <w:r>
        <w:t>The market risk indicator and the performance scenarios should clearly show the risk/reward profile of the underlying instrument to which a PRIIP is linked and how the derivative co</w:t>
      </w:r>
      <w:r>
        <w:t>m</w:t>
      </w:r>
      <w:r>
        <w:t>ponent embedded in the PRIIP modifies that profile.</w:t>
      </w:r>
    </w:p>
    <w:p w:rsidR="00CD0702" w:rsidRDefault="00CD0702" w:rsidP="00CD0702">
      <w:pPr>
        <w:pStyle w:val="ListBullet"/>
      </w:pPr>
      <w:r>
        <w:t>The performance scenarios should include both static "what if" scenarios and probabilistic performance scenarios.</w:t>
      </w:r>
    </w:p>
    <w:p w:rsidR="00CD0702" w:rsidRDefault="00CD0702" w:rsidP="00CD0702">
      <w:pPr>
        <w:pStyle w:val="ListBullet"/>
      </w:pPr>
      <w:r>
        <w:t>From a methodology perspective, the market risk indicator and the probabilistic performance scenarios should be calculated using a stationary risk model.</w:t>
      </w:r>
    </w:p>
    <w:p w:rsidR="00CD0702" w:rsidRDefault="00CD0702" w:rsidP="00CD0702">
      <w:pPr>
        <w:pStyle w:val="Body"/>
      </w:pPr>
      <w:r>
        <w:t>We also make a brief observation on the proposed cost disclosure.</w:t>
      </w:r>
    </w:p>
    <w:p w:rsidR="00CD0702" w:rsidRPr="00BB1EEB" w:rsidRDefault="00CD0702" w:rsidP="00CD0702">
      <w:pPr>
        <w:pStyle w:val="Heading1"/>
        <w:rPr>
          <w:rFonts w:ascii="Times New Roman" w:hAnsi="Times New Roman"/>
        </w:rPr>
      </w:pPr>
      <w:r w:rsidRPr="00BB1EEB">
        <w:rPr>
          <w:rFonts w:ascii="Times New Roman" w:hAnsi="Times New Roman"/>
        </w:rPr>
        <w:t>Separation of Underlying Instrument and Derivative Component</w:t>
      </w:r>
    </w:p>
    <w:p w:rsidR="00CD0702" w:rsidRDefault="00CD0702" w:rsidP="00CD0702">
      <w:pPr>
        <w:pStyle w:val="Body"/>
      </w:pPr>
      <w:r>
        <w:t>In connection with its March 2015 publication entitled "Structured Products: Thematic Review of Product Development and Governance", the U.K. Financial Conduct A</w:t>
      </w:r>
      <w:r>
        <w:t>u</w:t>
      </w:r>
      <w:r>
        <w:t>thority (FCA) carried out consumer research with respect to PRIIPs.  This research yielded, among other things, two important insights:</w:t>
      </w:r>
    </w:p>
    <w:p w:rsidR="00CD0702" w:rsidRDefault="00CD0702" w:rsidP="00CD0702">
      <w:pPr>
        <w:pStyle w:val="ListBullet"/>
      </w:pPr>
      <w:r>
        <w:t>Investors' market expectations are "</w:t>
      </w:r>
      <w:r w:rsidRPr="007A478C">
        <w:t>on average quite conservative</w:t>
      </w:r>
      <w:r>
        <w:t>."</w:t>
      </w:r>
    </w:p>
    <w:p w:rsidR="00CD0702" w:rsidRDefault="00CD0702" w:rsidP="00CD0702">
      <w:pPr>
        <w:pStyle w:val="ListBullet"/>
      </w:pPr>
      <w:r>
        <w:t>Even when investors have "relatively modest expectations of [an] underlying," they have "significant misperceptions about the expected performance" of a PRIIP linked to the unde</w:t>
      </w:r>
      <w:r>
        <w:t>r</w:t>
      </w:r>
      <w:r>
        <w:t>lying.</w:t>
      </w:r>
    </w:p>
    <w:p w:rsidR="00CD0702" w:rsidRDefault="00CD0702" w:rsidP="00CD0702">
      <w:pPr>
        <w:pStyle w:val="Body"/>
      </w:pPr>
      <w:r>
        <w:t>Therefore, we believe that the primary focus of the Key Investor Document (KID) should be to enhance investors' understanding of how the PRIIP modifies the risk/reward profile of the underlying to which it is linked.</w:t>
      </w:r>
    </w:p>
    <w:p w:rsidR="00CD0702" w:rsidRDefault="00CD0702" w:rsidP="00CD0702">
      <w:pPr>
        <w:pStyle w:val="Body"/>
      </w:pPr>
      <w:r>
        <w:t>Making a distinction between the PRIIP and the underlying would have two major benefits:</w:t>
      </w:r>
    </w:p>
    <w:p w:rsidR="00CD0702" w:rsidRDefault="00CD0702" w:rsidP="00CD0702">
      <w:pPr>
        <w:pStyle w:val="ListBullet"/>
      </w:pPr>
      <w:r>
        <w:t>It would help investors understand the incremental benefit of purchasing the PRIIP compared with a direct investment in the underlying.  In doing so, it would give investors an intuitive understanding of how much potential upside they have to give up in case of a positive pe</w:t>
      </w:r>
      <w:r>
        <w:t>r</w:t>
      </w:r>
      <w:r>
        <w:t>formance of the underlying in order to obtain the downside protection offered by the PRIIP.  Moreover, it would help them more easily identify situations where the perceived attractiv</w:t>
      </w:r>
      <w:r>
        <w:t>e</w:t>
      </w:r>
      <w:r>
        <w:t>ness of an investment is primarily a function of the underlying and less a function of the d</w:t>
      </w:r>
      <w:r>
        <w:t>e</w:t>
      </w:r>
      <w:r>
        <w:t xml:space="preserve">rivative component embedded in the PRIIP.  For example, the risk/reward profile of a PRIIP linked to a low volatility underlying with a long-term positive trend might look compelling when considered in isolation.  At the same time, the incremental benefit of purchasing the PRIIP might appear less attractive (and, depending on the investor's preferences, might even </w:t>
      </w:r>
      <w:r>
        <w:lastRenderedPageBreak/>
        <w:t>appear unattractive) when considered in comparison with the risk/reward profile of the unde</w:t>
      </w:r>
      <w:r>
        <w:t>r</w:t>
      </w:r>
      <w:r>
        <w:t>lying.</w:t>
      </w:r>
    </w:p>
    <w:p w:rsidR="00CD0702" w:rsidRDefault="00CD0702" w:rsidP="00CD0702">
      <w:pPr>
        <w:pStyle w:val="ListBullet"/>
      </w:pPr>
      <w:r>
        <w:t xml:space="preserve">It would allow investors to more easily compare PRIIPs with different payoffs linked to the same underlying and to compare PRIIPs with the same payoff linked to different </w:t>
      </w:r>
      <w:proofErr w:type="spellStart"/>
      <w:r>
        <w:t>underlyings</w:t>
      </w:r>
      <w:proofErr w:type="spellEnd"/>
      <w:r>
        <w:t>.</w:t>
      </w:r>
    </w:p>
    <w:p w:rsidR="00CD0702" w:rsidRDefault="00CD0702" w:rsidP="00CD0702">
      <w:pPr>
        <w:pStyle w:val="Body"/>
      </w:pPr>
      <w:r>
        <w:t>These benefits, which go to the heart of addressing the often cited lack of tran</w:t>
      </w:r>
      <w:r>
        <w:t>s</w:t>
      </w:r>
      <w:r>
        <w:t xml:space="preserve">parency in the structured products market, would be lost if the market risk indicator and any probabilistic performance scenarios that the </w:t>
      </w:r>
      <w:r w:rsidRPr="0033008D">
        <w:t xml:space="preserve">European Supervisory Authorities (ESAs) </w:t>
      </w:r>
      <w:r>
        <w:t>might require manufacturers to include in the KID were to be calculated for the PRIIP as a whole.</w:t>
      </w:r>
    </w:p>
    <w:p w:rsidR="00CD0702" w:rsidRDefault="00CD0702" w:rsidP="00CD0702">
      <w:pPr>
        <w:pStyle w:val="Body"/>
      </w:pPr>
      <w:r>
        <w:t>Therefore, we would urge the ESAs, in adopting their final guidance, to require that both the market risk indicator and any probabilistic performance scenarios show the risk/reward profile of the underlying instrument and the impact of the derivative component separately.</w:t>
      </w:r>
    </w:p>
    <w:p w:rsidR="00CD0702" w:rsidRPr="00BB1EEB" w:rsidRDefault="00CD0702" w:rsidP="00CD0702">
      <w:pPr>
        <w:pStyle w:val="Heading1"/>
        <w:rPr>
          <w:rFonts w:ascii="Times New Roman" w:hAnsi="Times New Roman"/>
        </w:rPr>
      </w:pPr>
      <w:r w:rsidRPr="00BB1EEB">
        <w:rPr>
          <w:rFonts w:ascii="Times New Roman" w:hAnsi="Times New Roman"/>
        </w:rPr>
        <w:t>Scenarios</w:t>
      </w:r>
    </w:p>
    <w:p w:rsidR="00CD0702" w:rsidRDefault="00CD0702" w:rsidP="00CD0702">
      <w:pPr>
        <w:pStyle w:val="Body"/>
      </w:pPr>
      <w:r>
        <w:t>We believe that KIDs should include both "what if" scenarios and probabilistic performance scenarios.</w:t>
      </w:r>
    </w:p>
    <w:p w:rsidR="00CD0702" w:rsidRDefault="00CD0702" w:rsidP="00CD0702">
      <w:pPr>
        <w:pStyle w:val="Body"/>
      </w:pPr>
      <w:r>
        <w:t>"What if" scenarios, particularly if they are presented in the form of tables or graphs, supplement the narrative description found in the section of the KID entitled "What is this product?" by providing an intuitive and easy-to-understand illustration of the PRIIP's payoff.</w:t>
      </w:r>
    </w:p>
    <w:p w:rsidR="00CD0702" w:rsidRDefault="00CD0702" w:rsidP="00CD0702">
      <w:pPr>
        <w:pStyle w:val="Body"/>
      </w:pPr>
      <w:r>
        <w:t>It is worth noting that the manufacturers which typically include the most sophist</w:t>
      </w:r>
      <w:r>
        <w:t>i</w:t>
      </w:r>
      <w:r>
        <w:t>cated "what if" scenarios in their offering documents are those which operate in markets with an active plaintiffs bar, such as the United States.  This shows that both manufacturers and investors as well as the lawyers representing them believe that such scenarios are critical to help investors understand the payoff mechanics of the PRIIPs they are offered.</w:t>
      </w:r>
    </w:p>
    <w:p w:rsidR="00CD0702" w:rsidRDefault="00CD0702" w:rsidP="00CD0702">
      <w:pPr>
        <w:pStyle w:val="Body"/>
      </w:pPr>
      <w:r>
        <w:t>A number of European manufacturers, particularly those with active issuance pla</w:t>
      </w:r>
      <w:r>
        <w:t>t</w:t>
      </w:r>
      <w:r>
        <w:t xml:space="preserve">forms in Germany, have ample experience with "what if" scenarios in the context of </w:t>
      </w:r>
      <w:r w:rsidRPr="00193AFC">
        <w:rPr>
          <w:i/>
        </w:rPr>
        <w:t>Produktinformationsblätter</w:t>
      </w:r>
      <w:r>
        <w:t xml:space="preserve"> (PIB).  Therefore, the incremental compliance burden of making such scenarios mandatory for KIDs would be very small.</w:t>
      </w:r>
    </w:p>
    <w:p w:rsidR="00CD0702" w:rsidRDefault="00CD0702" w:rsidP="00CD0702">
      <w:pPr>
        <w:pStyle w:val="Body"/>
      </w:pPr>
      <w:r>
        <w:t>For these reasons, the ESAs should require manufacturers to include "what if" scenarios in all of the KIDs they prepare.</w:t>
      </w:r>
    </w:p>
    <w:p w:rsidR="00CD0702" w:rsidRDefault="00CD0702" w:rsidP="00CD0702">
      <w:pPr>
        <w:pStyle w:val="Body"/>
      </w:pPr>
      <w:r>
        <w:t>As the ESAs themselves have noted, the problem with "what if" scenarios is that they present all outcomes as if they were equally likely to materialize.  We agree with the co</w:t>
      </w:r>
      <w:r>
        <w:t>n</w:t>
      </w:r>
      <w:r>
        <w:t>cerns expressed by other respondents to the November 2014 discussion paper in this regard.</w:t>
      </w:r>
    </w:p>
    <w:p w:rsidR="00CD0702" w:rsidRDefault="00CD0702" w:rsidP="00CD0702">
      <w:pPr>
        <w:pStyle w:val="Body"/>
      </w:pPr>
      <w:r>
        <w:t>In our view, however, this issue cannot be rectified by disclosure.  Where three scenarios – upside, par and downside – are presented side by side, no disclaimer, however car</w:t>
      </w:r>
      <w:r>
        <w:t>e</w:t>
      </w:r>
      <w:r>
        <w:lastRenderedPageBreak/>
        <w:t>fully worded, will be capable of preventing investors from subconsciously assigning each scena</w:t>
      </w:r>
      <w:r>
        <w:t>r</w:t>
      </w:r>
      <w:r>
        <w:t>io an equal probability of occurrence.</w:t>
      </w:r>
    </w:p>
    <w:p w:rsidR="00CD0702" w:rsidRDefault="00CD0702" w:rsidP="00CD0702">
      <w:pPr>
        <w:pStyle w:val="Body"/>
      </w:pPr>
      <w:r>
        <w:t>In situations such as this, where a disclaimer is unlikely to be effective, best pra</w:t>
      </w:r>
      <w:r>
        <w:t>c</w:t>
      </w:r>
      <w:r>
        <w:t xml:space="preserve">tice would normally dictate that the problematic disclosure </w:t>
      </w:r>
      <w:proofErr w:type="gramStart"/>
      <w:r>
        <w:t>be</w:t>
      </w:r>
      <w:proofErr w:type="gramEnd"/>
      <w:r>
        <w:t xml:space="preserve"> removed from the disclosure do</w:t>
      </w:r>
      <w:r>
        <w:t>c</w:t>
      </w:r>
      <w:r>
        <w:t>ument.  Given the benefits of "what if" scenarios, however, a better option, which would preserve these benefits while also countering the false impression that such scenarios may create, would be to supplement "what if" scenarios with probabilistic performance scenarios.</w:t>
      </w:r>
    </w:p>
    <w:p w:rsidR="00CD0702" w:rsidRDefault="00CD0702" w:rsidP="00CD0702">
      <w:pPr>
        <w:pStyle w:val="Body"/>
      </w:pPr>
      <w:r>
        <w:t>While manufacturers recognize the limitations of "what if" scenarios, we are co</w:t>
      </w:r>
      <w:r>
        <w:t>n</w:t>
      </w:r>
      <w:r>
        <w:t>cerned that, absent regulatory backing, they will err on the side of caution and opt not to present probabilistic performance scenarios to investors, given the uncertainties around which statistical model to choose (see discussion below) as well as the associated liability risk.</w:t>
      </w:r>
    </w:p>
    <w:p w:rsidR="00CD0702" w:rsidRDefault="00CD0702" w:rsidP="00CD0702">
      <w:pPr>
        <w:pStyle w:val="Body"/>
      </w:pPr>
      <w:r>
        <w:t>This would have the unfortunate effect of creating two classes of investors.  On one end of the spectrum would be institutional and other sophisticated investors with access to the tools and know-how necessary to construct probabilistic performance scenarios on their own.  On the other end would be retail investors who do not have access to such tools and do not po</w:t>
      </w:r>
      <w:r>
        <w:t>s</w:t>
      </w:r>
      <w:r>
        <w:t>sess the required know-how.  These investors would be left to fend for themselves and would be forced to make an investment decision based solely on "what if" scenarios, which are subject to the limitations discussed above.</w:t>
      </w:r>
    </w:p>
    <w:p w:rsidR="00CD0702" w:rsidRDefault="00CD0702" w:rsidP="00CD0702">
      <w:pPr>
        <w:pStyle w:val="Body"/>
      </w:pPr>
      <w:r>
        <w:t>To avoid this, it is critical that the final guidance adopted by the ESAs make it clear that KIDs must include not only "what if" scenarios but probabilistic performance scenarios as well.</w:t>
      </w:r>
    </w:p>
    <w:p w:rsidR="00CD0702" w:rsidRPr="00BB1EEB" w:rsidRDefault="00CD0702" w:rsidP="00CD0702">
      <w:pPr>
        <w:pStyle w:val="Heading1"/>
        <w:rPr>
          <w:rFonts w:ascii="Times New Roman" w:hAnsi="Times New Roman"/>
        </w:rPr>
      </w:pPr>
      <w:r w:rsidRPr="00BB1EEB">
        <w:rPr>
          <w:rFonts w:ascii="Times New Roman" w:hAnsi="Times New Roman"/>
        </w:rPr>
        <w:t>Choice of Risk Model</w:t>
      </w:r>
    </w:p>
    <w:p w:rsidR="00CD0702" w:rsidRDefault="00CD0702" w:rsidP="00CD0702">
      <w:pPr>
        <w:pStyle w:val="Body"/>
      </w:pPr>
      <w:r>
        <w:t>A lot of the debate to date has evolved around the question which statistical model should be used to calculate the market risk indicator and any probabilistic performance scenarios if the ESAs were to require such scenarios.</w:t>
      </w:r>
    </w:p>
    <w:p w:rsidR="00CD0702" w:rsidRDefault="00CD0702" w:rsidP="00CD0702">
      <w:pPr>
        <w:pStyle w:val="Body"/>
      </w:pPr>
      <w:r>
        <w:t>In our view, there are very good reasons to suggest that whichever model is ult</w:t>
      </w:r>
      <w:r>
        <w:t>i</w:t>
      </w:r>
      <w:r>
        <w:t>mately chosen should be a stationary risk model, that is, a model that assumes static market co</w:t>
      </w:r>
      <w:r>
        <w:t>n</w:t>
      </w:r>
      <w:r>
        <w:t>ditions.</w:t>
      </w:r>
    </w:p>
    <w:p w:rsidR="00CD0702" w:rsidRDefault="00CD0702" w:rsidP="00CD0702">
      <w:pPr>
        <w:pStyle w:val="Body"/>
      </w:pPr>
      <w:r>
        <w:t>To understand why a stationary risk model is the most appropriate model for the purposes of the KID, it is useful to keep in mind that the price of an underlying is a function of both (1) exogenous factors, which are driven by macro and micro economic conditions, and (2) endogenous factors related to the trading patterns on the stock exchange on which the unde</w:t>
      </w:r>
      <w:r>
        <w:t>r</w:t>
      </w:r>
      <w:r>
        <w:t>lying is listed.</w:t>
      </w:r>
    </w:p>
    <w:p w:rsidR="00CD0702" w:rsidRDefault="00CD0702" w:rsidP="00CD0702">
      <w:pPr>
        <w:pStyle w:val="Body"/>
      </w:pPr>
      <w:r>
        <w:lastRenderedPageBreak/>
        <w:t>The endogenous dynamic of stock exchange trading has properties characteristic of very complex technical systems with a number of autonomous elements.  These properties are typically described using probabilistic chaos models.</w:t>
      </w:r>
    </w:p>
    <w:p w:rsidR="00CD0702" w:rsidRDefault="00CD0702" w:rsidP="00CD0702">
      <w:pPr>
        <w:pStyle w:val="Body"/>
      </w:pPr>
      <w:r>
        <w:t xml:space="preserve">If the exogenous (market) factors are assumed not to change over time, the trading dynamic of an underlying is more or less stationary.  To put it in basic terms, this means that the trend and volatility of the underlying are constant.  Nevertheless, because of the chaotic nature of the stock exchange trading dynamic, the price of the underlying will fluctuate in an unpredictable manner.  Given this, it is possible only to calculate the probability that the </w:t>
      </w:r>
      <w:proofErr w:type="spellStart"/>
      <w:r>
        <w:t>underlying's</w:t>
      </w:r>
      <w:proofErr w:type="spellEnd"/>
      <w:r>
        <w:t xml:space="preserve"> price will move within particular bands, whereas its exact path cannot be predicted.</w:t>
      </w:r>
    </w:p>
    <w:p w:rsidR="00CD0702" w:rsidRDefault="00CD0702" w:rsidP="00CD0702">
      <w:pPr>
        <w:pStyle w:val="Body"/>
      </w:pPr>
      <w:r>
        <w:t>If, however, the exogenous (market) factors are assumed to change over time, the trend and volatility of the underlying are no longer constant and, in turn, the trading dynamic of the underlying is no longer stationary.  In this case, investors face both endogenous trading risk, which, as discussed, is purely stochastic, and exogenous market risk, which is a function of ec</w:t>
      </w:r>
      <w:r>
        <w:t>o</w:t>
      </w:r>
      <w:r>
        <w:t>nomic and psychological factors that cannot be predicted with any level of certainty on the basis of statistical models.</w:t>
      </w:r>
    </w:p>
    <w:p w:rsidR="00CD0702" w:rsidRDefault="00CD0702" w:rsidP="00CD0702">
      <w:pPr>
        <w:pStyle w:val="Body"/>
      </w:pPr>
      <w:r>
        <w:t xml:space="preserve">We believe that the KID should educate investors about (1) the risk emanating from the endogenous dynamic of stock exchange trading to which the underlying is subject and (2) how that risk is modified by the PRIIP's derivative component.  By contrast, it should not attempt to influence investors' opinions about the </w:t>
      </w:r>
      <w:proofErr w:type="spellStart"/>
      <w:r>
        <w:t>underlying's</w:t>
      </w:r>
      <w:proofErr w:type="spellEnd"/>
      <w:r>
        <w:t xml:space="preserve"> exogenous market risk.  This is due to six reasons:</w:t>
      </w:r>
    </w:p>
    <w:p w:rsidR="00CD0702" w:rsidRDefault="00CD0702" w:rsidP="00CD0702">
      <w:pPr>
        <w:pStyle w:val="ListBullet"/>
      </w:pPr>
      <w:r>
        <w:t xml:space="preserve">Given the FCA's research cited above, retail investors are in far greater need of information about how a PRIIP modifies the risk/return profile of an underlying than they are in need of information about the </w:t>
      </w:r>
      <w:proofErr w:type="spellStart"/>
      <w:r>
        <w:t>underlying's</w:t>
      </w:r>
      <w:proofErr w:type="spellEnd"/>
      <w:r>
        <w:t xml:space="preserve"> market risk.  To convey the former type of information, however, a stationary risk model that excludes market risk is all that is required.</w:t>
      </w:r>
    </w:p>
    <w:p w:rsidR="00CD0702" w:rsidRDefault="00CD0702" w:rsidP="00CD0702">
      <w:pPr>
        <w:pStyle w:val="ListBullet"/>
      </w:pPr>
      <w:r>
        <w:t>Educating investors about the market risk of the underlying to which the PRIIP is linked would also be inconsistent with the fact that, under currently applicable law, retail investors are permitted to purchase stocks and ETFs without any special disclosure about market risk.  There is no theoretical argument to support the proposition that investors in a PRIIP linked to a stock or ETF are in greater need of information about market risk than investors purchasing stocks or ETFs directly.</w:t>
      </w:r>
    </w:p>
    <w:p w:rsidR="00CD0702" w:rsidRDefault="00CD0702" w:rsidP="00CD0702">
      <w:pPr>
        <w:pStyle w:val="ListBullet"/>
      </w:pPr>
      <w:r>
        <w:t>The above analysis is further supported by an analogy to other industries. A consumer inte</w:t>
      </w:r>
      <w:r>
        <w:t>r</w:t>
      </w:r>
      <w:r>
        <w:t xml:space="preserve">ested in purchasing a gun can expect that the gun manufacturer will accurately inform it about the basic characteristics of the gun, such as its reliability, accuracy, ergonomics, </w:t>
      </w:r>
      <w:proofErr w:type="spellStart"/>
      <w:r>
        <w:t>caliber</w:t>
      </w:r>
      <w:proofErr w:type="spellEnd"/>
      <w:r>
        <w:t xml:space="preserve"> and cost/value relationship.  Consumer protection laws typically ensure that this is the case.  By contrast, the consumer cannot reasonably expect – and consumer protection laws do not r</w:t>
      </w:r>
      <w:r>
        <w:t>e</w:t>
      </w:r>
      <w:r>
        <w:t>quire – that the gun manufacturer make any sort of prediction about the wind, temperature, light, e</w:t>
      </w:r>
      <w:r w:rsidRPr="00A94CDE">
        <w:t xml:space="preserve">levation and </w:t>
      </w:r>
      <w:r>
        <w:t>b</w:t>
      </w:r>
      <w:r w:rsidRPr="00A94CDE">
        <w:t xml:space="preserve">arometric </w:t>
      </w:r>
      <w:r>
        <w:t>p</w:t>
      </w:r>
      <w:r w:rsidRPr="00A94CDE">
        <w:t>ressure</w:t>
      </w:r>
      <w:r>
        <w:t xml:space="preserve"> prevailing at a particular shooting range on a partic</w:t>
      </w:r>
      <w:r>
        <w:t>u</w:t>
      </w:r>
      <w:r>
        <w:t>lar date and how these parameters are likely to affect the trajectory of the bullet.  The same reasoning applies to PRIIPs.  While an investor has a legitimate interest in knowing how the derivative component of a PRIIP modifies the risk/return profile of the underlying to which it is linked – these are the "ballistic" properties of a PRIIP – the investor has no legitimate inte</w:t>
      </w:r>
      <w:r>
        <w:t>r</w:t>
      </w:r>
      <w:r>
        <w:lastRenderedPageBreak/>
        <w:t>est in knowing how the PRIIP will fare in light of the market conditions likely to prevail du</w:t>
      </w:r>
      <w:r>
        <w:t>r</w:t>
      </w:r>
      <w:r>
        <w:t>ing, or at the end of, the life of the product.</w:t>
      </w:r>
    </w:p>
    <w:p w:rsidR="00CD0702" w:rsidRDefault="00CD0702" w:rsidP="00CD0702">
      <w:pPr>
        <w:pStyle w:val="ListBullet"/>
      </w:pPr>
      <w:r>
        <w:t>Despite an abundance of proposals for non-stationary risk models, there is, as of today, no evidence that any of these models has any prognostic value.  Nor is there any academic co</w:t>
      </w:r>
      <w:r>
        <w:t>n</w:t>
      </w:r>
      <w:r>
        <w:t>sensus as to what the most appropriate model should be.</w:t>
      </w:r>
    </w:p>
    <w:p w:rsidR="00CD0702" w:rsidRDefault="00CD0702" w:rsidP="00CD0702">
      <w:pPr>
        <w:pStyle w:val="ListBullet"/>
      </w:pPr>
      <w:r>
        <w:t>Any non-stationary risk models would be costly for manufacturers to implement and difficult for regulators to supervise.</w:t>
      </w:r>
    </w:p>
    <w:p w:rsidR="00CD0702" w:rsidRDefault="00CD0702" w:rsidP="00CD0702">
      <w:pPr>
        <w:pStyle w:val="ListBullet"/>
      </w:pPr>
      <w:r>
        <w:t>Moreover, any such models would give investors a false sense of security if it causes them to rely on the model as a prediction of the future.</w:t>
      </w:r>
    </w:p>
    <w:p w:rsidR="00CD0702" w:rsidRDefault="00CD0702" w:rsidP="00CD0702">
      <w:pPr>
        <w:pStyle w:val="Body"/>
      </w:pPr>
      <w:r>
        <w:t>The good news is that, to achieve the above-mentioned objective of educating i</w:t>
      </w:r>
      <w:r>
        <w:t>n</w:t>
      </w:r>
      <w:r>
        <w:t xml:space="preserve">vestors about the endogenous trading risk of the underlying and how that risk is modified by the derivative component of the PRIIP, a stationary risk model (for example, in its simplest form, the Black </w:t>
      </w:r>
      <w:proofErr w:type="spellStart"/>
      <w:r>
        <w:t>Scholes</w:t>
      </w:r>
      <w:proofErr w:type="spellEnd"/>
      <w:r>
        <w:t xml:space="preserve"> model, which assumes a normal distribution of returns, or a more advanced model that assumes a distribution that takes into account stylized facts such as heavy tails) is all that is needed. </w:t>
      </w:r>
    </w:p>
    <w:p w:rsidR="00CD0702" w:rsidRDefault="00CD0702" w:rsidP="00CD0702">
      <w:pPr>
        <w:pStyle w:val="Body"/>
      </w:pPr>
      <w:r>
        <w:t>Using such models, it is possible to calculate the frequency with which the returns of the underlying and the PRIIP fall into particular bands assuming exogenous market factors affecting the underlying remain constant over time.  The assumption that exogenous market factors remain constant is, of course, not realistic.  However, as noted, this is irrelevant for a model whose sole purpose is to show how the derivative component of a PRIIP modifies the risk/return profile of the underlying.</w:t>
      </w:r>
    </w:p>
    <w:p w:rsidR="00CD0702" w:rsidRDefault="00CD0702" w:rsidP="00CD0702">
      <w:pPr>
        <w:pStyle w:val="Body"/>
      </w:pPr>
      <w:r>
        <w:t>To define a stationary risk model, only a few parameters are required.  In the si</w:t>
      </w:r>
      <w:r>
        <w:t>m</w:t>
      </w:r>
      <w:r>
        <w:t>plest case, these are the trend and volatility of the underlying.  The average trend and volatility of the underlying can easily be derived from historical data.  The only difference between the var</w:t>
      </w:r>
      <w:r>
        <w:t>i</w:t>
      </w:r>
      <w:r>
        <w:t>ous types of stationary risk models is whether they assume that the distribution of returns follows a normal distribution or a different type of distribution.  We have no preference in this regard.</w:t>
      </w:r>
    </w:p>
    <w:p w:rsidR="00CD0702" w:rsidRDefault="00CD0702" w:rsidP="00CD0702">
      <w:pPr>
        <w:pStyle w:val="Body"/>
      </w:pPr>
      <w:r>
        <w:t>Once the model is defined, it is straight-forward to develop probabilistic scenarios for both the underlying and the PRIIP.  A comparison of the two demonstrates the effect that the PRIIP has on the risk/return profile of the underlying, while eliminating the temporary ups and downs caused by market factors.  Below we propose several ways in which this relationship can be visualized.</w:t>
      </w:r>
    </w:p>
    <w:p w:rsidR="00CD0702" w:rsidRDefault="00CD0702" w:rsidP="00CD0702">
      <w:pPr>
        <w:pStyle w:val="ListBullet"/>
        <w:keepNext/>
      </w:pPr>
      <w:r w:rsidRPr="00FB137D">
        <w:rPr>
          <w:b/>
        </w:rPr>
        <w:lastRenderedPageBreak/>
        <w:t>PORT diagrams.</w:t>
      </w:r>
      <w:r w:rsidRPr="00AD751F">
        <w:t xml:space="preserve">  </w:t>
      </w:r>
      <w:r>
        <w:t xml:space="preserve">A </w:t>
      </w:r>
      <w:r w:rsidRPr="00AD751F">
        <w:t>Payoff Risk Transport (PORT) diagram merges the information co</w:t>
      </w:r>
      <w:r w:rsidRPr="00AD751F">
        <w:t>n</w:t>
      </w:r>
      <w:r w:rsidRPr="00AD751F">
        <w:t xml:space="preserve">veyed by a </w:t>
      </w:r>
      <w:r>
        <w:t xml:space="preserve">"what if" scenario </w:t>
      </w:r>
      <w:r w:rsidRPr="00AD751F">
        <w:t xml:space="preserve">with </w:t>
      </w:r>
      <w:r>
        <w:t xml:space="preserve">a </w:t>
      </w:r>
      <w:r w:rsidRPr="00AD751F">
        <w:t>f</w:t>
      </w:r>
      <w:r>
        <w:t>requency distribution histogram</w:t>
      </w:r>
      <w:r w:rsidRPr="00AD751F">
        <w:t xml:space="preserve"> in a way that illustrates the effect of the </w:t>
      </w:r>
      <w:r>
        <w:t>derivative component of a PRIIP on the risk/return profile of the underlying</w:t>
      </w:r>
      <w:r w:rsidRPr="00AD751F">
        <w:t>.</w:t>
      </w:r>
    </w:p>
    <w:p w:rsidR="00CD0702" w:rsidRDefault="00CD0702" w:rsidP="00CD0702">
      <w:pPr>
        <w:pStyle w:val="Body"/>
        <w:jc w:val="center"/>
      </w:pPr>
      <w:r>
        <w:rPr>
          <w:noProof/>
          <w:lang w:val="en-GB" w:eastAsia="en-GB"/>
        </w:rPr>
        <w:drawing>
          <wp:inline distT="0" distB="0" distL="0" distR="0">
            <wp:extent cx="3655409" cy="1946031"/>
            <wp:effectExtent l="57150" t="0" r="59690" b="7366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413"/>
                    <a:stretch/>
                  </pic:blipFill>
                  <pic:spPr bwMode="auto">
                    <a:xfrm>
                      <a:off x="0" y="0"/>
                      <a:ext cx="3657600" cy="1947197"/>
                    </a:xfrm>
                    <a:prstGeom prst="rect">
                      <a:avLst/>
                    </a:prstGeom>
                    <a:noFill/>
                    <a:ln>
                      <a:noFill/>
                    </a:ln>
                    <a:effectLst>
                      <a:outerShdw blurRad="50800" dist="50800" dir="5400000" algn="ctr" rotWithShape="0">
                        <a:schemeClr val="bg1">
                          <a:lumMod val="85000"/>
                        </a:scheme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D0702" w:rsidRDefault="00CD0702" w:rsidP="00CD0702">
      <w:pPr>
        <w:pStyle w:val="ListBullet"/>
      </w:pPr>
      <w:r w:rsidRPr="00FB137D">
        <w:rPr>
          <w:b/>
        </w:rPr>
        <w:t>Heat maps.</w:t>
      </w:r>
      <w:r w:rsidRPr="00AD751F">
        <w:t xml:space="preserve">  A heat map visualizes the frequency distributions of the </w:t>
      </w:r>
      <w:proofErr w:type="spellStart"/>
      <w:r w:rsidRPr="00AD751F">
        <w:t>underlying's</w:t>
      </w:r>
      <w:proofErr w:type="spellEnd"/>
      <w:r w:rsidRPr="00AD751F">
        <w:t xml:space="preserve"> returns and those of the </w:t>
      </w:r>
      <w:r>
        <w:t xml:space="preserve">PRIIP </w:t>
      </w:r>
      <w:r w:rsidRPr="00AD751F">
        <w:t xml:space="preserve">using </w:t>
      </w:r>
      <w:proofErr w:type="spellStart"/>
      <w:r w:rsidRPr="00AD751F">
        <w:t>color</w:t>
      </w:r>
      <w:proofErr w:type="spellEnd"/>
      <w:r w:rsidRPr="00AD751F">
        <w:t>, with red indicating a high concentration of returns and blue indicating a low concentration.</w:t>
      </w:r>
    </w:p>
    <w:p w:rsidR="00CD0702" w:rsidRDefault="00CD0702" w:rsidP="00CD0702">
      <w:pPr>
        <w:pStyle w:val="Body"/>
        <w:jc w:val="center"/>
      </w:pPr>
      <w:r>
        <w:rPr>
          <w:noProof/>
          <w:lang w:val="en-GB" w:eastAsia="en-GB"/>
        </w:rPr>
        <w:drawing>
          <wp:inline distT="0" distB="0" distL="0" distR="0">
            <wp:extent cx="852487" cy="2009775"/>
            <wp:effectExtent l="57150" t="0" r="62230" b="857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763" t="2198" b="3622"/>
                    <a:stretch/>
                  </pic:blipFill>
                  <pic:spPr bwMode="auto">
                    <a:xfrm>
                      <a:off x="0" y="0"/>
                      <a:ext cx="852974" cy="2010923"/>
                    </a:xfrm>
                    <a:prstGeom prst="rect">
                      <a:avLst/>
                    </a:prstGeom>
                    <a:noFill/>
                    <a:ln>
                      <a:noFill/>
                    </a:ln>
                    <a:effectLst>
                      <a:outerShdw blurRad="50800" dist="50800" dir="5400000" algn="ctr" rotWithShape="0">
                        <a:schemeClr val="bg1">
                          <a:lumMod val="85000"/>
                        </a:scheme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D0702" w:rsidRDefault="00CD0702" w:rsidP="00CD0702">
      <w:pPr>
        <w:pStyle w:val="ListBullet"/>
      </w:pPr>
      <w:r w:rsidRPr="00FB137D">
        <w:rPr>
          <w:b/>
        </w:rPr>
        <w:t>Rolling portfolio diagrams.</w:t>
      </w:r>
      <w:r w:rsidRPr="00AD751F">
        <w:t xml:space="preserve">  A rolling portfolio diagram tracks the returns of rolling rei</w:t>
      </w:r>
      <w:r w:rsidRPr="00AD751F">
        <w:t>n</w:t>
      </w:r>
      <w:r w:rsidRPr="00AD751F">
        <w:t xml:space="preserve">vestments in each of the underlying and the </w:t>
      </w:r>
      <w:r>
        <w:t xml:space="preserve">PRIIP </w:t>
      </w:r>
      <w:r w:rsidRPr="00AD751F">
        <w:t xml:space="preserve">over a series of consecutive days.  The diagram assumes that the investor purchases the underlying and the </w:t>
      </w:r>
      <w:r>
        <w:t xml:space="preserve">PRIIP </w:t>
      </w:r>
      <w:r w:rsidRPr="00AD751F">
        <w:t>on each day during the relevant period and then holds them for the term of the investment.  The blue line shows the return of the underlying, whereas the red line shows the return of the product.</w:t>
      </w:r>
    </w:p>
    <w:p w:rsidR="00CD0702" w:rsidRDefault="00CD0702" w:rsidP="00CD0702">
      <w:pPr>
        <w:pStyle w:val="Body"/>
        <w:jc w:val="center"/>
      </w:pPr>
      <w:r>
        <w:rPr>
          <w:noProof/>
          <w:lang w:val="en-GB" w:eastAsia="en-GB"/>
        </w:rPr>
        <w:lastRenderedPageBreak/>
        <w:drawing>
          <wp:inline distT="0" distB="0" distL="0" distR="0">
            <wp:extent cx="2452938" cy="1888066"/>
            <wp:effectExtent l="57150" t="0" r="62230" b="1123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01" t="1280" b="1911"/>
                    <a:stretch/>
                  </pic:blipFill>
                  <pic:spPr bwMode="auto">
                    <a:xfrm>
                      <a:off x="0" y="0"/>
                      <a:ext cx="2455334" cy="1889910"/>
                    </a:xfrm>
                    <a:prstGeom prst="rect">
                      <a:avLst/>
                    </a:prstGeom>
                    <a:noFill/>
                    <a:ln>
                      <a:noFill/>
                    </a:ln>
                    <a:effectLst>
                      <a:outerShdw blurRad="50800" dist="50800" dir="5400000" algn="ctr" rotWithShape="0">
                        <a:schemeClr val="bg1">
                          <a:lumMod val="85000"/>
                        </a:scheme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D0702" w:rsidRPr="00BB1EEB" w:rsidRDefault="00CD0702" w:rsidP="00CD0702">
      <w:pPr>
        <w:pStyle w:val="Heading1"/>
        <w:rPr>
          <w:rFonts w:ascii="Times New Roman" w:hAnsi="Times New Roman"/>
        </w:rPr>
      </w:pPr>
      <w:r w:rsidRPr="00BB1EEB">
        <w:rPr>
          <w:rFonts w:ascii="Times New Roman" w:hAnsi="Times New Roman"/>
        </w:rPr>
        <w:t>Costs</w:t>
      </w:r>
    </w:p>
    <w:p w:rsidR="00CD0702" w:rsidRDefault="00CD0702" w:rsidP="00CD0702">
      <w:pPr>
        <w:pStyle w:val="Body"/>
      </w:pPr>
      <w:r>
        <w:t>We do not comment on the ESAs' proposal with respect to cost disclosure in detail beyond the fact that we question whether the focus on costs is appropriate in the first place.</w:t>
      </w:r>
    </w:p>
    <w:p w:rsidR="00CD0702" w:rsidRDefault="00CD0702" w:rsidP="00CD0702">
      <w:pPr>
        <w:pStyle w:val="Body"/>
      </w:pPr>
      <w:r>
        <w:t>In the United States and Germany, estimated value disclosure has become co</w:t>
      </w:r>
      <w:r>
        <w:t>m</w:t>
      </w:r>
      <w:r>
        <w:t>mon in recent years.  Whether this disclosure has benefited investors, however, is, in our view, subject to debate.  The U.S. offering documents of different PRIIP manufacturers invariably show fairly similar estimated values.  Moreover, the related disclosure is typically accompanied by equally similar disclaimers and risk factors that explain why the estimated value of the specific PRIIP being offered is lower than its price immediately after issuance.  It is not immediately obvious how an investor is supposed to draw useful information from this disclosure.</w:t>
      </w:r>
    </w:p>
    <w:p w:rsidR="00CD0702" w:rsidRDefault="00CD0702" w:rsidP="00CD0702">
      <w:pPr>
        <w:pStyle w:val="Body"/>
      </w:pPr>
      <w:r>
        <w:t>Going back to first principles, the desire for meaningful cost disclosure is typically driven by a concern that the costs of a PRIIP are embedded in the payoff in a way that hides them from investors and that, absent a requirement for explicit disclosure, manufacturers may illegit</w:t>
      </w:r>
      <w:r>
        <w:t>i</w:t>
      </w:r>
      <w:r>
        <w:t>mately enrich themselves at the expensive of investors.</w:t>
      </w:r>
    </w:p>
    <w:p w:rsidR="00CD0702" w:rsidRDefault="00CD0702" w:rsidP="00CD0702">
      <w:pPr>
        <w:pStyle w:val="Body"/>
      </w:pPr>
      <w:r>
        <w:t>In our view, this concern is misplaced.  Assuming a competitive market, the fact that a particular manufacturer may have mathematical models and/or processes in place that allow it to incur lower hedging costs and thus reap higher margins than another manufacturer, should not raise regulatory concerns.</w:t>
      </w:r>
    </w:p>
    <w:p w:rsidR="00CD0702" w:rsidRDefault="00CD0702" w:rsidP="00CD0702">
      <w:pPr>
        <w:pStyle w:val="Body"/>
      </w:pPr>
      <w:r>
        <w:t>The primary focus should thus be on ensuring that the marketplace for PRIIPs is competitive.  Industry supported initiatives aimed at making it easier for investors to compare different manufacturers' products, such as the derivatives map published by the European Stru</w:t>
      </w:r>
      <w:r>
        <w:t>c</w:t>
      </w:r>
      <w:r>
        <w:t>tured Investment Products Association (EUSIPA), are important steps in this direction.  The success achieved in Europe in the area of nomenclature standardization is something that market participants in other regions, particularly the United States, look to as an example of how to make the structured products market more transparent.</w:t>
      </w:r>
    </w:p>
    <w:p w:rsidR="00CD0702" w:rsidRDefault="00CD0702" w:rsidP="00CD0702">
      <w:pPr>
        <w:pStyle w:val="Body"/>
      </w:pPr>
      <w:r>
        <w:lastRenderedPageBreak/>
        <w:t>If the ESAs believe additional measures are required, the most straight-forward and least invasive step that could be taken would be to require manufacturers to include an i</w:t>
      </w:r>
      <w:r>
        <w:t>n</w:t>
      </w:r>
      <w:r>
        <w:t>dicative price for constructing the PRIIP based on liquid options.  This would provide an obje</w:t>
      </w:r>
      <w:r>
        <w:t>c</w:t>
      </w:r>
      <w:r>
        <w:t>tive price benchmark that would be comparable across manufacturers, straight-forward to impl</w:t>
      </w:r>
      <w:r>
        <w:t>e</w:t>
      </w:r>
      <w:r>
        <w:t>ment and easy to supervise.</w:t>
      </w:r>
    </w:p>
    <w:p w:rsidR="00CD0702" w:rsidRDefault="00CD0702" w:rsidP="00CD0702">
      <w:pPr>
        <w:pStyle w:val="Body"/>
        <w:ind w:firstLine="0"/>
        <w:jc w:val="center"/>
      </w:pPr>
      <w:r>
        <w:t>*     *     *</w:t>
      </w:r>
    </w:p>
    <w:p w:rsidR="00CD0702" w:rsidRDefault="00CD0702" w:rsidP="00CD0702">
      <w:pPr>
        <w:pStyle w:val="Body"/>
      </w:pPr>
      <w:r>
        <w:t xml:space="preserve">Again, we appreciate the opportunity to comment on the </w:t>
      </w:r>
      <w:r w:rsidRPr="008E4E57">
        <w:t>Technical Discussion P</w:t>
      </w:r>
      <w:r w:rsidRPr="008E4E57">
        <w:t>a</w:t>
      </w:r>
      <w:r w:rsidRPr="008E4E57">
        <w:t xml:space="preserve">per – Risk, Performance Scenarios and Cost Disclosures </w:t>
      </w:r>
      <w:proofErr w:type="gramStart"/>
      <w:r w:rsidRPr="008E4E57">
        <w:t>In</w:t>
      </w:r>
      <w:proofErr w:type="gramEnd"/>
      <w:r w:rsidRPr="008E4E57">
        <w:t xml:space="preserve"> Key Information Documents for Packaged Retail and Insurance-based Investment Products (PRIIPs)</w:t>
      </w:r>
      <w:r>
        <w:t xml:space="preserve">.  We would be happy to discuss the matters raised in this letter further if that would be helpful.  Please contact Mathias </w:t>
      </w:r>
      <w:proofErr w:type="spellStart"/>
      <w:r>
        <w:t>Strasser</w:t>
      </w:r>
      <w:proofErr w:type="spellEnd"/>
      <w:r>
        <w:t xml:space="preserve"> at +44 20 7073-2834 or Jane B. Case at +44 2 7073-2822.  Thank you and best regards.</w:t>
      </w:r>
    </w:p>
    <w:p w:rsidR="00CD0702" w:rsidRDefault="00CD0702" w:rsidP="00CD0702">
      <w:pPr>
        <w:pStyle w:val="Body"/>
      </w:pPr>
      <w:r>
        <w:t>Sincerely,</w:t>
      </w:r>
    </w:p>
    <w:p w:rsidR="00CD0702" w:rsidRDefault="00CD0702" w:rsidP="00CD0702">
      <w:pPr>
        <w:pStyle w:val="Body"/>
      </w:pPr>
      <w:r>
        <w:t xml:space="preserve">WallStreetDocs Ltd. </w:t>
      </w:r>
    </w:p>
    <w:permEnd w:id="6"/>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CD0702" w:rsidRDefault="00CD0702" w:rsidP="00C02502">
      <w:pPr>
        <w:pStyle w:val="Answer"/>
        <w:rPr>
          <w:rFonts w:ascii="Times New Roman" w:hAnsi="Times New Roman"/>
        </w:rPr>
      </w:pPr>
      <w:permStart w:id="7" w:edGrp="everyone"/>
      <w:r>
        <w:rPr>
          <w:rFonts w:ascii="Times New Roman" w:hAnsi="Times New Roman"/>
        </w:rPr>
        <w:t xml:space="preserve">We believe that the ESA should decide in favor of Option A - </w:t>
      </w:r>
      <w:r w:rsidRPr="00364EAA">
        <w:rPr>
          <w:rFonts w:ascii="Times New Roman" w:hAnsi="Times New Roman"/>
        </w:rPr>
        <w:t>Distribution of returns directly obtained from historical data</w:t>
      </w:r>
      <w:r>
        <w:rPr>
          <w:rFonts w:ascii="Times New Roman" w:hAnsi="Times New Roman"/>
        </w:rPr>
        <w:t>.</w:t>
      </w:r>
    </w:p>
    <w:p w:rsidR="00CD0702" w:rsidRPr="006B6F4A" w:rsidRDefault="00CD0702" w:rsidP="00C02502">
      <w:pPr>
        <w:pStyle w:val="Answer"/>
        <w:rPr>
          <w:rFonts w:ascii="Times New Roman" w:hAnsi="Times New Roman"/>
        </w:rPr>
      </w:pPr>
      <w:r>
        <w:rPr>
          <w:rFonts w:ascii="Times New Roman" w:hAnsi="Times New Roman"/>
        </w:rPr>
        <w:t xml:space="preserve">Both the quantitative market risk indicator and any probabilistic performance scenarios that the ESAs may require should be calculated based on a stationary risk model, </w:t>
      </w:r>
      <w:r w:rsidRPr="006E53E2">
        <w:rPr>
          <w:rFonts w:ascii="Times New Roman" w:hAnsi="Times New Roman"/>
        </w:rPr>
        <w:t>that is, a model that assumes static market conditions.</w:t>
      </w:r>
      <w:r w:rsidRPr="006B6F4A">
        <w:rPr>
          <w:rFonts w:ascii="Times New Roman" w:hAnsi="Times New Roman"/>
        </w:rPr>
        <w:t xml:space="preserve"> </w:t>
      </w:r>
      <w:r>
        <w:rPr>
          <w:rFonts w:ascii="Times New Roman" w:hAnsi="Times New Roman"/>
        </w:rPr>
        <w:t xml:space="preserve">Such a model is cost-effective to implement, easy to supervise and all that is required to educate </w:t>
      </w:r>
      <w:r w:rsidRPr="006B6F4A">
        <w:rPr>
          <w:rFonts w:ascii="Times New Roman" w:hAnsi="Times New Roman"/>
        </w:rPr>
        <w:t xml:space="preserve">investors about the endogenous trading risk of the underlying and </w:t>
      </w:r>
      <w:r>
        <w:rPr>
          <w:rFonts w:ascii="Times New Roman" w:hAnsi="Times New Roman"/>
        </w:rPr>
        <w:t xml:space="preserve">about how the </w:t>
      </w:r>
      <w:r w:rsidRPr="006B6F4A">
        <w:rPr>
          <w:rFonts w:ascii="Times New Roman" w:hAnsi="Times New Roman"/>
        </w:rPr>
        <w:t>derivative component of the PRIIP</w:t>
      </w:r>
      <w:r>
        <w:rPr>
          <w:rFonts w:ascii="Times New Roman" w:hAnsi="Times New Roman"/>
        </w:rPr>
        <w:t xml:space="preserve"> modifies this risk. </w:t>
      </w:r>
    </w:p>
    <w:p w:rsidR="00CD0702" w:rsidRDefault="00CD0702" w:rsidP="00C02502">
      <w:pPr>
        <w:pStyle w:val="Answer"/>
        <w:rPr>
          <w:rFonts w:ascii="Times New Roman" w:hAnsi="Times New Roman"/>
        </w:rPr>
      </w:pPr>
      <w:r>
        <w:rPr>
          <w:rFonts w:ascii="Times New Roman" w:hAnsi="Times New Roman"/>
        </w:rPr>
        <w:t xml:space="preserve">The </w:t>
      </w:r>
      <w:r w:rsidRPr="006B6F4A">
        <w:rPr>
          <w:rFonts w:ascii="Times New Roman" w:hAnsi="Times New Roman"/>
        </w:rPr>
        <w:t>assumption that exogenous market factors remain constant is, of course, not realistic.  However, this is irrelevant for a model whose sole purpose is to show how the derivative co</w:t>
      </w:r>
      <w:r w:rsidRPr="006B6F4A">
        <w:rPr>
          <w:rFonts w:ascii="Times New Roman" w:hAnsi="Times New Roman"/>
        </w:rPr>
        <w:t>m</w:t>
      </w:r>
      <w:r w:rsidRPr="006B6F4A">
        <w:rPr>
          <w:rFonts w:ascii="Times New Roman" w:hAnsi="Times New Roman"/>
        </w:rPr>
        <w:t>ponent of a PRIIP modifies the risk/return profile of the underlying.</w:t>
      </w:r>
    </w:p>
    <w:p w:rsidR="00CD0702" w:rsidRDefault="00CD0702" w:rsidP="00C02502">
      <w:pPr>
        <w:pStyle w:val="Answer"/>
        <w:rPr>
          <w:rFonts w:ascii="Times New Roman" w:hAnsi="Times New Roman"/>
        </w:rPr>
      </w:pPr>
      <w:r>
        <w:rPr>
          <w:rFonts w:ascii="Times New Roman" w:hAnsi="Times New Roman"/>
        </w:rPr>
        <w:t>The alternative, a non-stationary risk model,</w:t>
      </w:r>
      <w:r w:rsidRPr="00365B58">
        <w:rPr>
          <w:rFonts w:ascii="Times New Roman" w:hAnsi="Times New Roman"/>
        </w:rPr>
        <w:t xml:space="preserve"> would be costly for manufacturers to implement and difficult for regulators to supervise.</w:t>
      </w:r>
      <w:r>
        <w:rPr>
          <w:rFonts w:ascii="Times New Roman" w:hAnsi="Times New Roman"/>
        </w:rPr>
        <w:t xml:space="preserve">  </w:t>
      </w:r>
      <w:r w:rsidRPr="00365B58">
        <w:rPr>
          <w:rFonts w:ascii="Times New Roman" w:hAnsi="Times New Roman"/>
        </w:rPr>
        <w:t xml:space="preserve">Moreover, any such models would give investors </w:t>
      </w:r>
      <w:r w:rsidRPr="009A676E">
        <w:rPr>
          <w:rFonts w:ascii="Times New Roman" w:hAnsi="Times New Roman"/>
        </w:rPr>
        <w:t xml:space="preserve">a false sense of security if </w:t>
      </w:r>
      <w:r>
        <w:rPr>
          <w:rFonts w:ascii="Times New Roman" w:hAnsi="Times New Roman"/>
        </w:rPr>
        <w:t>it</w:t>
      </w:r>
      <w:r w:rsidRPr="009A676E">
        <w:rPr>
          <w:rFonts w:ascii="Times New Roman" w:hAnsi="Times New Roman"/>
        </w:rPr>
        <w:t xml:space="preserve"> causes them to rely on the model</w:t>
      </w:r>
      <w:r w:rsidRPr="00365B58">
        <w:rPr>
          <w:rFonts w:ascii="Times New Roman" w:hAnsi="Times New Roman"/>
        </w:rPr>
        <w:t xml:space="preserve"> as a prediction of the future.</w:t>
      </w:r>
      <w:r>
        <w:rPr>
          <w:rFonts w:ascii="Times New Roman" w:hAnsi="Times New Roman"/>
        </w:rPr>
        <w:t xml:space="preserve"> </w:t>
      </w:r>
    </w:p>
    <w:p w:rsidR="00CD0702" w:rsidRPr="006B6F4A" w:rsidRDefault="00CD0702" w:rsidP="00C02502">
      <w:pPr>
        <w:pStyle w:val="Answer"/>
        <w:rPr>
          <w:rFonts w:ascii="Times New Roman" w:hAnsi="Times New Roman"/>
        </w:rPr>
      </w:pPr>
      <w:r>
        <w:rPr>
          <w:rFonts w:ascii="Times New Roman" w:hAnsi="Times New Roman"/>
        </w:rPr>
        <w:t>T</w:t>
      </w:r>
      <w:r w:rsidRPr="00CF4C88">
        <w:rPr>
          <w:rFonts w:ascii="Times New Roman" w:hAnsi="Times New Roman"/>
        </w:rPr>
        <w:t xml:space="preserve">he FCA's research </w:t>
      </w:r>
      <w:r>
        <w:rPr>
          <w:rFonts w:ascii="Times New Roman" w:hAnsi="Times New Roman"/>
        </w:rPr>
        <w:t xml:space="preserve">conducted in connection with </w:t>
      </w:r>
      <w:r w:rsidRPr="00CF4C88">
        <w:rPr>
          <w:rFonts w:ascii="Times New Roman" w:hAnsi="Times New Roman"/>
        </w:rPr>
        <w:t>its March 2015 publication entitled "Stru</w:t>
      </w:r>
      <w:r w:rsidRPr="00CF4C88">
        <w:rPr>
          <w:rFonts w:ascii="Times New Roman" w:hAnsi="Times New Roman"/>
        </w:rPr>
        <w:t>c</w:t>
      </w:r>
      <w:r w:rsidRPr="00CF4C88">
        <w:rPr>
          <w:rFonts w:ascii="Times New Roman" w:hAnsi="Times New Roman"/>
        </w:rPr>
        <w:t>tured Products: Thematic Review of Product Development and Governance", the U.K. Fi</w:t>
      </w:r>
      <w:r>
        <w:rPr>
          <w:rFonts w:ascii="Times New Roman" w:hAnsi="Times New Roman"/>
        </w:rPr>
        <w:t>na</w:t>
      </w:r>
      <w:r>
        <w:rPr>
          <w:rFonts w:ascii="Times New Roman" w:hAnsi="Times New Roman"/>
        </w:rPr>
        <w:t>n</w:t>
      </w:r>
      <w:r>
        <w:rPr>
          <w:rFonts w:ascii="Times New Roman" w:hAnsi="Times New Roman"/>
        </w:rPr>
        <w:t>cial Conduct Authority (FCA) suggests that</w:t>
      </w:r>
      <w:r w:rsidRPr="00CF4C88">
        <w:rPr>
          <w:rFonts w:ascii="Times New Roman" w:hAnsi="Times New Roman"/>
        </w:rPr>
        <w:t xml:space="preserve"> retail investors are in far greater need of info</w:t>
      </w:r>
      <w:r w:rsidRPr="00CF4C88">
        <w:rPr>
          <w:rFonts w:ascii="Times New Roman" w:hAnsi="Times New Roman"/>
        </w:rPr>
        <w:t>r</w:t>
      </w:r>
      <w:r w:rsidRPr="00CF4C88">
        <w:rPr>
          <w:rFonts w:ascii="Times New Roman" w:hAnsi="Times New Roman"/>
        </w:rPr>
        <w:t xml:space="preserve">mation about how a PRIIP modifies the risk/return profile of an underlying than they are in need of information about the </w:t>
      </w:r>
      <w:proofErr w:type="spellStart"/>
      <w:r w:rsidRPr="00CF4C88">
        <w:rPr>
          <w:rFonts w:ascii="Times New Roman" w:hAnsi="Times New Roman"/>
        </w:rPr>
        <w:t>underlying's</w:t>
      </w:r>
      <w:proofErr w:type="spellEnd"/>
      <w:r w:rsidRPr="00CF4C88">
        <w:rPr>
          <w:rFonts w:ascii="Times New Roman" w:hAnsi="Times New Roman"/>
        </w:rPr>
        <w:t xml:space="preserve"> market risk.  </w:t>
      </w:r>
      <w:r>
        <w:rPr>
          <w:rFonts w:ascii="Times New Roman" w:hAnsi="Times New Roman"/>
        </w:rPr>
        <w:t>E</w:t>
      </w:r>
      <w:r w:rsidRPr="00CF4C88">
        <w:rPr>
          <w:rFonts w:ascii="Times New Roman" w:hAnsi="Times New Roman"/>
        </w:rPr>
        <w:t>ducating investors about the market risk of the underlying to which the PRIIP is linked would also be inconsistent with the fact under currently applicable law retail investors are permitted to purchase stocks and ETFs without any special disclosure about market risk.  There is no theoretical argument to support the proposition that investors in a PRIIP linked to a stock or ETF are in greater need of i</w:t>
      </w:r>
      <w:r w:rsidRPr="00CF4C88">
        <w:rPr>
          <w:rFonts w:ascii="Times New Roman" w:hAnsi="Times New Roman"/>
        </w:rPr>
        <w:t>n</w:t>
      </w:r>
      <w:r w:rsidRPr="00CF4C88">
        <w:rPr>
          <w:rFonts w:ascii="Times New Roman" w:hAnsi="Times New Roman"/>
        </w:rPr>
        <w:t>formation about market risk than investors purchasing stocks or ETFs directly.</w:t>
      </w:r>
    </w:p>
    <w:p w:rsidR="00CD0702" w:rsidRDefault="00CD0702" w:rsidP="00C02502">
      <w:pPr>
        <w:pStyle w:val="Answer"/>
        <w:rPr>
          <w:rFonts w:ascii="Times New Roman" w:hAnsi="Times New Roman"/>
        </w:rPr>
      </w:pPr>
      <w:r w:rsidRPr="006B6F4A">
        <w:rPr>
          <w:rFonts w:ascii="Times New Roman" w:hAnsi="Times New Roman"/>
        </w:rPr>
        <w:t>To define a stationary risk model</w:t>
      </w:r>
      <w:r>
        <w:rPr>
          <w:rFonts w:ascii="Times New Roman" w:hAnsi="Times New Roman"/>
        </w:rPr>
        <w:t xml:space="preserve"> </w:t>
      </w:r>
      <w:r w:rsidRPr="006B6F4A">
        <w:rPr>
          <w:rFonts w:ascii="Times New Roman" w:hAnsi="Times New Roman"/>
        </w:rPr>
        <w:t xml:space="preserve">(for example, in its simplest form, the Black </w:t>
      </w:r>
      <w:proofErr w:type="spellStart"/>
      <w:r w:rsidRPr="006B6F4A">
        <w:rPr>
          <w:rFonts w:ascii="Times New Roman" w:hAnsi="Times New Roman"/>
        </w:rPr>
        <w:t>Scholes</w:t>
      </w:r>
      <w:proofErr w:type="spellEnd"/>
      <w:r w:rsidRPr="006B6F4A">
        <w:rPr>
          <w:rFonts w:ascii="Times New Roman" w:hAnsi="Times New Roman"/>
        </w:rPr>
        <w:t xml:space="preserve"> model, which assumes a normal distribution of returns, or a more advanced model that assumes a distribution that takes into account stylized facts </w:t>
      </w:r>
      <w:r>
        <w:rPr>
          <w:rFonts w:ascii="Times New Roman" w:hAnsi="Times New Roman"/>
        </w:rPr>
        <w:t>such as</w:t>
      </w:r>
      <w:r w:rsidRPr="006B6F4A">
        <w:rPr>
          <w:rFonts w:ascii="Times New Roman" w:hAnsi="Times New Roman"/>
        </w:rPr>
        <w:t xml:space="preserve"> heavy tails), only a few parameters are required</w:t>
      </w:r>
      <w:r>
        <w:rPr>
          <w:rFonts w:ascii="Times New Roman" w:hAnsi="Times New Roman"/>
        </w:rPr>
        <w:t xml:space="preserve">, such as </w:t>
      </w:r>
      <w:r w:rsidRPr="006B6F4A">
        <w:rPr>
          <w:rFonts w:ascii="Times New Roman" w:hAnsi="Times New Roman"/>
        </w:rPr>
        <w:t>the trend and</w:t>
      </w:r>
      <w:r>
        <w:rPr>
          <w:rFonts w:ascii="Times New Roman" w:hAnsi="Times New Roman"/>
        </w:rPr>
        <w:t xml:space="preserve"> volatility of the underlying.</w:t>
      </w:r>
    </w:p>
    <w:p w:rsidR="00F31E57" w:rsidRDefault="00CD0702" w:rsidP="00F31E57">
      <w:r w:rsidRPr="00CD0702">
        <w:rPr>
          <w:rFonts w:ascii="Times New Roman" w:eastAsiaTheme="minorHAnsi" w:hAnsi="Times New Roman" w:cstheme="minorBidi"/>
          <w:b/>
          <w:i/>
          <w:sz w:val="24"/>
          <w:szCs w:val="22"/>
          <w:lang w:val="en-US" w:eastAsia="en-US"/>
        </w:rPr>
        <w:t>We believe that the model should be set up with the average trend and volatility of the underl</w:t>
      </w:r>
      <w:r w:rsidRPr="00CD0702">
        <w:rPr>
          <w:rFonts w:ascii="Times New Roman" w:eastAsiaTheme="minorHAnsi" w:hAnsi="Times New Roman" w:cstheme="minorBidi"/>
          <w:b/>
          <w:i/>
          <w:sz w:val="24"/>
          <w:szCs w:val="22"/>
          <w:lang w:val="en-US" w:eastAsia="en-US"/>
        </w:rPr>
        <w:t>y</w:t>
      </w:r>
      <w:r w:rsidRPr="00CD0702">
        <w:rPr>
          <w:rFonts w:ascii="Times New Roman" w:eastAsiaTheme="minorHAnsi" w:hAnsi="Times New Roman" w:cstheme="minorBidi"/>
          <w:b/>
          <w:i/>
          <w:sz w:val="24"/>
          <w:szCs w:val="22"/>
          <w:lang w:val="en-US" w:eastAsia="en-US"/>
        </w:rPr>
        <w:t>ing, which can easily be derived from historical data</w:t>
      </w:r>
      <w:proofErr w:type="gramStart"/>
      <w:r w:rsidRPr="00CD0702">
        <w:rPr>
          <w:rFonts w:ascii="Times New Roman" w:eastAsiaTheme="minorHAnsi" w:hAnsi="Times New Roman" w:cstheme="minorBidi"/>
          <w:b/>
          <w:i/>
          <w:sz w:val="24"/>
          <w:szCs w:val="22"/>
          <w:lang w:val="en-US" w:eastAsia="en-US"/>
        </w:rPr>
        <w:t>.</w:t>
      </w:r>
      <w:permEnd w:id="7"/>
      <w:r w:rsidR="00F31E57">
        <w:t>&lt;</w:t>
      </w:r>
      <w:proofErr w:type="gramEnd"/>
      <w:r w:rsidR="00F31E57">
        <w: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Default="00CD0702" w:rsidP="00F31E57">
      <w:permStart w:id="8" w:edGrp="everyone"/>
      <w:r w:rsidRPr="00CD0702">
        <w:rPr>
          <w:rFonts w:ascii="Times New Roman" w:eastAsiaTheme="minorHAnsi" w:hAnsi="Times New Roman" w:cstheme="minorBidi"/>
          <w:b/>
          <w:i/>
          <w:sz w:val="24"/>
          <w:szCs w:val="22"/>
          <w:lang w:val="en-US" w:eastAsia="en-US"/>
        </w:rPr>
        <w:t>See answer to question 1</w:t>
      </w:r>
      <w:proofErr w:type="gramStart"/>
      <w:r w:rsidRPr="00CD0702">
        <w:rPr>
          <w:rFonts w:ascii="Times New Roman" w:eastAsiaTheme="minorHAnsi" w:hAnsi="Times New Roman" w:cstheme="minorBidi"/>
          <w:b/>
          <w:i/>
          <w:sz w:val="24"/>
          <w:szCs w:val="22"/>
          <w:lang w:val="en-US" w:eastAsia="en-US"/>
        </w:rPr>
        <w:t>.</w:t>
      </w:r>
      <w:permEnd w:id="8"/>
      <w:r w:rsidR="00F31E57">
        <w:t>&lt;</w:t>
      </w:r>
      <w:proofErr w:type="gramEnd"/>
      <w:r w:rsidR="00F31E57">
        <w: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w:t>
      </w:r>
      <w:r>
        <w:t>e</w:t>
      </w:r>
      <w:r>
        <w:t>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F31E57" w:rsidP="00F31E57">
      <w:permStart w:id="9" w:edGrp="everyone"/>
      <w:r>
        <w:t>TYPE YOUR TEXT HERE</w:t>
      </w:r>
    </w:p>
    <w:permEnd w:id="9"/>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0" w:edGrp="everyone"/>
      <w:r>
        <w:t>TYPE YOUR TEXT HERE</w:t>
      </w:r>
    </w:p>
    <w:permEnd w:id="10"/>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F31E57" w:rsidP="00F31E57">
      <w:permStart w:id="11" w:edGrp="everyone"/>
      <w:r>
        <w:t>TYPE YOUR TEXT HERE</w:t>
      </w:r>
    </w:p>
    <w:permEnd w:id="11"/>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12" w:edGrp="everyone"/>
      <w:r>
        <w:t>TYPE YOUR TEXT HERE</w:t>
      </w:r>
    </w:p>
    <w:permEnd w:id="12"/>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F31E57" w:rsidP="00F31E57">
      <w:permStart w:id="13" w:edGrp="everyone"/>
      <w:r>
        <w:t>TYPE YOUR TEXT HERE</w:t>
      </w:r>
    </w:p>
    <w:permEnd w:id="13"/>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F31E57" w:rsidP="00F31E57">
      <w:permStart w:id="14" w:edGrp="everyone"/>
      <w:r>
        <w:t>TYPE YOUR TEXT HERE</w:t>
      </w:r>
    </w:p>
    <w:permEnd w:id="14"/>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lastRenderedPageBreak/>
        <w:t>&lt;ESMA_QUESTION_PRIIPs_9&gt;</w:t>
      </w:r>
    </w:p>
    <w:p w:rsidR="00F31E57" w:rsidRDefault="00F31E57" w:rsidP="00F31E57">
      <w:permStart w:id="15" w:edGrp="everyone"/>
      <w:r>
        <w:t>TYPE YOUR TEXT HERE</w:t>
      </w:r>
    </w:p>
    <w:permEnd w:id="15"/>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16" w:edGrp="everyone"/>
      <w:r>
        <w:t>TYPE YOUR TEXT HERE</w:t>
      </w:r>
    </w:p>
    <w:permEnd w:id="16"/>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17" w:edGrp="everyone"/>
      <w:r>
        <w:t>TYPE YOUR TEXT HERE</w:t>
      </w:r>
    </w:p>
    <w:permEnd w:id="17"/>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18" w:edGrp="everyone"/>
      <w:r>
        <w:t>TYPE YOUR TEXT HERE</w:t>
      </w:r>
    </w:p>
    <w:permEnd w:id="18"/>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F31E57" w:rsidP="00F31E57">
      <w:permStart w:id="19" w:edGrp="everyone"/>
      <w:r>
        <w:t>TYPE YOUR TEXT HERE</w:t>
      </w:r>
    </w:p>
    <w:permEnd w:id="19"/>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20" w:edGrp="everyone"/>
      <w:r>
        <w:t>TYPE YOUR TEXT HERE</w:t>
      </w:r>
    </w:p>
    <w:permEnd w:id="20"/>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CD0702" w:rsidRPr="00142D9C" w:rsidRDefault="00CD0702" w:rsidP="00C02502">
      <w:pPr>
        <w:pStyle w:val="Answer"/>
        <w:rPr>
          <w:rFonts w:ascii="Times New Roman" w:hAnsi="Times New Roman"/>
        </w:rPr>
      </w:pPr>
      <w:permStart w:id="21" w:edGrp="everyone"/>
      <w:r w:rsidRPr="00142D9C">
        <w:rPr>
          <w:rFonts w:ascii="Times New Roman" w:hAnsi="Times New Roman"/>
        </w:rPr>
        <w:t>We believe that the ESAs should require that KIDs include both "what if" scenarios and pro</w:t>
      </w:r>
      <w:r w:rsidRPr="00142D9C">
        <w:rPr>
          <w:rFonts w:ascii="Times New Roman" w:hAnsi="Times New Roman"/>
        </w:rPr>
        <w:t>b</w:t>
      </w:r>
      <w:r w:rsidRPr="00142D9C">
        <w:rPr>
          <w:rFonts w:ascii="Times New Roman" w:hAnsi="Times New Roman"/>
        </w:rPr>
        <w:t>abilistic performance scenarios.</w:t>
      </w:r>
    </w:p>
    <w:p w:rsidR="00CD0702" w:rsidRPr="00142D9C" w:rsidRDefault="00CD0702" w:rsidP="00C02502">
      <w:pPr>
        <w:pStyle w:val="Answer"/>
        <w:rPr>
          <w:rFonts w:ascii="Times New Roman" w:hAnsi="Times New Roman"/>
        </w:rPr>
      </w:pPr>
      <w:r w:rsidRPr="00142D9C">
        <w:rPr>
          <w:rFonts w:ascii="Times New Roman" w:hAnsi="Times New Roman"/>
        </w:rPr>
        <w:t>"What if" scenarios, particularly if they are presented in the form of tables or graphs, suppl</w:t>
      </w:r>
      <w:r w:rsidRPr="00142D9C">
        <w:rPr>
          <w:rFonts w:ascii="Times New Roman" w:hAnsi="Times New Roman"/>
        </w:rPr>
        <w:t>e</w:t>
      </w:r>
      <w:r w:rsidRPr="00142D9C">
        <w:rPr>
          <w:rFonts w:ascii="Times New Roman" w:hAnsi="Times New Roman"/>
        </w:rPr>
        <w:t xml:space="preserve">ment the narrative description found in the section of the KID entitled "What is this product?" by </w:t>
      </w:r>
      <w:r>
        <w:rPr>
          <w:rFonts w:ascii="Times New Roman" w:hAnsi="Times New Roman"/>
        </w:rPr>
        <w:t>providing an intuitive and easy-to-</w:t>
      </w:r>
      <w:r w:rsidRPr="00142D9C">
        <w:rPr>
          <w:rFonts w:ascii="Times New Roman" w:hAnsi="Times New Roman"/>
        </w:rPr>
        <w:t>understand illustration of a PRIIP's payoff.</w:t>
      </w:r>
    </w:p>
    <w:p w:rsidR="00CD0702" w:rsidRPr="00142D9C" w:rsidRDefault="00CD0702" w:rsidP="00C02502">
      <w:pPr>
        <w:pStyle w:val="Answer"/>
        <w:rPr>
          <w:rFonts w:ascii="Times New Roman" w:hAnsi="Times New Roman"/>
        </w:rPr>
      </w:pPr>
      <w:r w:rsidRPr="00142D9C">
        <w:rPr>
          <w:rFonts w:ascii="Times New Roman" w:hAnsi="Times New Roman"/>
        </w:rPr>
        <w:lastRenderedPageBreak/>
        <w:t>It should be noted that the manufacturers which typically include the most sophisticated "what if" scenarios in their offering documents are those which are active in markets with an active plaintiffs bar, such as the United States.  This demonstrates that both manufacturers and i</w:t>
      </w:r>
      <w:r w:rsidRPr="00142D9C">
        <w:rPr>
          <w:rFonts w:ascii="Times New Roman" w:hAnsi="Times New Roman"/>
        </w:rPr>
        <w:t>n</w:t>
      </w:r>
      <w:r w:rsidRPr="00142D9C">
        <w:rPr>
          <w:rFonts w:ascii="Times New Roman" w:hAnsi="Times New Roman"/>
        </w:rPr>
        <w:t>vestors as well as the lawyers representing them believe that such scenarios are critical to help investors understand the payoff mechanics of the PRIIPs they are offered.</w:t>
      </w:r>
    </w:p>
    <w:p w:rsidR="00CD0702" w:rsidRPr="00142D9C" w:rsidRDefault="00CD0702" w:rsidP="00C02502">
      <w:pPr>
        <w:pStyle w:val="Answer"/>
        <w:rPr>
          <w:rFonts w:ascii="Times New Roman" w:hAnsi="Times New Roman"/>
        </w:rPr>
      </w:pPr>
      <w:r w:rsidRPr="00142D9C">
        <w:rPr>
          <w:rFonts w:ascii="Times New Roman" w:hAnsi="Times New Roman"/>
        </w:rPr>
        <w:t>Moreover, a number of European manufacturers, particularly those with active issuance pla</w:t>
      </w:r>
      <w:r w:rsidRPr="00142D9C">
        <w:rPr>
          <w:rFonts w:ascii="Times New Roman" w:hAnsi="Times New Roman"/>
        </w:rPr>
        <w:t>t</w:t>
      </w:r>
      <w:r w:rsidRPr="00142D9C">
        <w:rPr>
          <w:rFonts w:ascii="Times New Roman" w:hAnsi="Times New Roman"/>
        </w:rPr>
        <w:t>forms in Germany, have ample experience with "what if" scenarios in the context of Produktinformationsblätter (PIB).  Therefore, the incremental compliance burden of making such scenarios mandatory for KIDs would be very small.</w:t>
      </w:r>
    </w:p>
    <w:p w:rsidR="00CD0702" w:rsidRPr="00142D9C" w:rsidRDefault="00CD0702" w:rsidP="00C02502">
      <w:pPr>
        <w:pStyle w:val="Answer"/>
        <w:rPr>
          <w:rFonts w:ascii="Times New Roman" w:hAnsi="Times New Roman"/>
        </w:rPr>
      </w:pPr>
      <w:r w:rsidRPr="00142D9C">
        <w:rPr>
          <w:rFonts w:ascii="Times New Roman" w:hAnsi="Times New Roman"/>
        </w:rPr>
        <w:t>For these reasons, the ESAs should require manufacturers to include "what if" scenarios in KIDs.</w:t>
      </w:r>
    </w:p>
    <w:p w:rsidR="00CD0702" w:rsidRPr="00142D9C" w:rsidRDefault="00CD0702" w:rsidP="00C02502">
      <w:pPr>
        <w:pStyle w:val="Answer"/>
        <w:rPr>
          <w:rFonts w:ascii="Times New Roman" w:hAnsi="Times New Roman"/>
        </w:rPr>
      </w:pPr>
      <w:r>
        <w:rPr>
          <w:rFonts w:ascii="Times New Roman" w:hAnsi="Times New Roman"/>
        </w:rPr>
        <w:t>T</w:t>
      </w:r>
      <w:r w:rsidRPr="00142D9C">
        <w:rPr>
          <w:rFonts w:ascii="Times New Roman" w:hAnsi="Times New Roman"/>
        </w:rPr>
        <w:t xml:space="preserve">he problem with "what if" </w:t>
      </w:r>
      <w:proofErr w:type="gramStart"/>
      <w:r w:rsidRPr="00142D9C">
        <w:rPr>
          <w:rFonts w:ascii="Times New Roman" w:hAnsi="Times New Roman"/>
        </w:rPr>
        <w:t>scenarios is</w:t>
      </w:r>
      <w:proofErr w:type="gramEnd"/>
      <w:r w:rsidRPr="00142D9C">
        <w:rPr>
          <w:rFonts w:ascii="Times New Roman" w:hAnsi="Times New Roman"/>
        </w:rPr>
        <w:t xml:space="preserve"> that they present all outcomes as if they were equally likely to materialize.  We agree with the concerns expressed by other </w:t>
      </w:r>
      <w:r w:rsidRPr="00DE6DEC">
        <w:rPr>
          <w:rFonts w:ascii="Times New Roman" w:hAnsi="Times New Roman"/>
        </w:rPr>
        <w:t xml:space="preserve">respondents to the </w:t>
      </w:r>
      <w:r>
        <w:rPr>
          <w:rFonts w:ascii="Times New Roman" w:hAnsi="Times New Roman"/>
        </w:rPr>
        <w:t>N</w:t>
      </w:r>
      <w:r>
        <w:rPr>
          <w:rFonts w:ascii="Times New Roman" w:hAnsi="Times New Roman"/>
        </w:rPr>
        <w:t>o</w:t>
      </w:r>
      <w:r>
        <w:rPr>
          <w:rFonts w:ascii="Times New Roman" w:hAnsi="Times New Roman"/>
        </w:rPr>
        <w:t>vember 2014 d</w:t>
      </w:r>
      <w:r w:rsidRPr="00DE6DEC">
        <w:rPr>
          <w:rFonts w:ascii="Times New Roman" w:hAnsi="Times New Roman"/>
        </w:rPr>
        <w:t xml:space="preserve">iscussion </w:t>
      </w:r>
      <w:r>
        <w:rPr>
          <w:rFonts w:ascii="Times New Roman" w:hAnsi="Times New Roman"/>
        </w:rPr>
        <w:t>p</w:t>
      </w:r>
      <w:r w:rsidRPr="00DE6DEC">
        <w:rPr>
          <w:rFonts w:ascii="Times New Roman" w:hAnsi="Times New Roman"/>
        </w:rPr>
        <w:t>aper</w:t>
      </w:r>
      <w:r w:rsidRPr="00142D9C">
        <w:rPr>
          <w:rFonts w:ascii="Times New Roman" w:hAnsi="Times New Roman"/>
        </w:rPr>
        <w:t xml:space="preserve"> in this regard.  In our view, however, this issue cannot be rect</w:t>
      </w:r>
      <w:r w:rsidRPr="00142D9C">
        <w:rPr>
          <w:rFonts w:ascii="Times New Roman" w:hAnsi="Times New Roman"/>
        </w:rPr>
        <w:t>i</w:t>
      </w:r>
      <w:r w:rsidRPr="00142D9C">
        <w:rPr>
          <w:rFonts w:ascii="Times New Roman" w:hAnsi="Times New Roman"/>
        </w:rPr>
        <w:t>fied by disclosure.  Where thr</w:t>
      </w:r>
      <w:r>
        <w:rPr>
          <w:rFonts w:ascii="Times New Roman" w:hAnsi="Times New Roman"/>
        </w:rPr>
        <w:t xml:space="preserve">ee scenarios – upside, par and </w:t>
      </w:r>
      <w:r w:rsidRPr="00142D9C">
        <w:rPr>
          <w:rFonts w:ascii="Times New Roman" w:hAnsi="Times New Roman"/>
        </w:rPr>
        <w:t xml:space="preserve">downside – are presented side by side, no disclaimer, however carefully worded, will be capable of preventing investors from subconsciously assigning each scenario an equal probability </w:t>
      </w:r>
      <w:r>
        <w:rPr>
          <w:rFonts w:ascii="Times New Roman" w:hAnsi="Times New Roman"/>
        </w:rPr>
        <w:t>of</w:t>
      </w:r>
      <w:r w:rsidRPr="00142D9C">
        <w:rPr>
          <w:rFonts w:ascii="Times New Roman" w:hAnsi="Times New Roman"/>
        </w:rPr>
        <w:t xml:space="preserve"> occurrence.</w:t>
      </w:r>
    </w:p>
    <w:p w:rsidR="00CD0702" w:rsidRPr="00875C9E" w:rsidRDefault="00CD0702" w:rsidP="00C02502">
      <w:pPr>
        <w:pStyle w:val="Answer"/>
        <w:rPr>
          <w:rFonts w:ascii="Times New Roman" w:hAnsi="Times New Roman"/>
        </w:rPr>
      </w:pPr>
      <w:r w:rsidRPr="00142D9C">
        <w:rPr>
          <w:rFonts w:ascii="Times New Roman" w:hAnsi="Times New Roman"/>
        </w:rPr>
        <w:t xml:space="preserve">In situations </w:t>
      </w:r>
      <w:r>
        <w:rPr>
          <w:rFonts w:ascii="Times New Roman" w:hAnsi="Times New Roman"/>
        </w:rPr>
        <w:t xml:space="preserve">such as this, </w:t>
      </w:r>
      <w:r w:rsidRPr="00142D9C">
        <w:rPr>
          <w:rFonts w:ascii="Times New Roman" w:hAnsi="Times New Roman"/>
        </w:rPr>
        <w:t xml:space="preserve">where a disclaimer is unlikely to be effective, best practice would normally dictate that the offending disclosure </w:t>
      </w:r>
      <w:proofErr w:type="gramStart"/>
      <w:r w:rsidRPr="00142D9C">
        <w:rPr>
          <w:rFonts w:ascii="Times New Roman" w:hAnsi="Times New Roman"/>
        </w:rPr>
        <w:t>be</w:t>
      </w:r>
      <w:proofErr w:type="gramEnd"/>
      <w:r w:rsidRPr="00142D9C">
        <w:rPr>
          <w:rFonts w:ascii="Times New Roman" w:hAnsi="Times New Roman"/>
        </w:rPr>
        <w:t xml:space="preserve"> removed from the disclosure document.  </w:t>
      </w:r>
      <w:r w:rsidRPr="00875C9E">
        <w:rPr>
          <w:rFonts w:ascii="Times New Roman" w:hAnsi="Times New Roman"/>
        </w:rPr>
        <w:t>Given the benefits of "what if" scenarios, however, a better option, which would preserve these benefits while also countering the false impression that such scenarios may create, would be to supplement "what if" scenarios with probabilistic performance scenarios.</w:t>
      </w:r>
    </w:p>
    <w:p w:rsidR="00CD0702" w:rsidRPr="00142D9C" w:rsidRDefault="00CD0702" w:rsidP="00C02502">
      <w:pPr>
        <w:pStyle w:val="Answer"/>
        <w:rPr>
          <w:rFonts w:ascii="Times New Roman" w:hAnsi="Times New Roman"/>
        </w:rPr>
      </w:pPr>
      <w:r w:rsidRPr="00875C9E">
        <w:rPr>
          <w:rFonts w:ascii="Times New Roman" w:hAnsi="Times New Roman"/>
        </w:rPr>
        <w:t>While manufacturers recognize the limitations of "what if" scenarios, we are concerned that, absent regulatory backing, they will err on the side of caution and opt not to present probabili</w:t>
      </w:r>
      <w:r w:rsidRPr="00875C9E">
        <w:rPr>
          <w:rFonts w:ascii="Times New Roman" w:hAnsi="Times New Roman"/>
        </w:rPr>
        <w:t>s</w:t>
      </w:r>
      <w:r w:rsidRPr="00875C9E">
        <w:rPr>
          <w:rFonts w:ascii="Times New Roman" w:hAnsi="Times New Roman"/>
        </w:rPr>
        <w:t>tic performance scenarios to investors, given the uncertainties around which statistical model to choose (see discussion below) as well as the associated liability risk.</w:t>
      </w:r>
    </w:p>
    <w:p w:rsidR="00CD0702" w:rsidRPr="00142D9C" w:rsidRDefault="00CD0702" w:rsidP="00C02502">
      <w:pPr>
        <w:pStyle w:val="Answer"/>
        <w:rPr>
          <w:rFonts w:ascii="Times New Roman" w:hAnsi="Times New Roman"/>
        </w:rPr>
      </w:pPr>
      <w:r w:rsidRPr="00142D9C">
        <w:rPr>
          <w:rFonts w:ascii="Times New Roman" w:hAnsi="Times New Roman"/>
        </w:rPr>
        <w:t xml:space="preserve">This would have the unfortunate effect of creating two classes of investors.  On the </w:t>
      </w:r>
      <w:r>
        <w:rPr>
          <w:rFonts w:ascii="Times New Roman" w:hAnsi="Times New Roman"/>
        </w:rPr>
        <w:t>one end of the spectrum</w:t>
      </w:r>
      <w:r w:rsidRPr="00142D9C">
        <w:rPr>
          <w:rFonts w:ascii="Times New Roman" w:hAnsi="Times New Roman"/>
        </w:rPr>
        <w:t xml:space="preserve"> would be institutional and other sophisticated investors with access to the tools and know-how necessary to construct probabilistic performance scenarios on their own.  On the other </w:t>
      </w:r>
      <w:r>
        <w:rPr>
          <w:rFonts w:ascii="Times New Roman" w:hAnsi="Times New Roman"/>
        </w:rPr>
        <w:t xml:space="preserve">end </w:t>
      </w:r>
      <w:r w:rsidRPr="00142D9C">
        <w:rPr>
          <w:rFonts w:ascii="Times New Roman" w:hAnsi="Times New Roman"/>
        </w:rPr>
        <w:t>would be retail investors who do not have access to such tools and do not possess the required know-how.  These investors would be left to fend for themselves and would be forced to make an investment decision based solely on "what if" scenarios, which are subject to the limitations discussed above.</w:t>
      </w:r>
    </w:p>
    <w:p w:rsidR="00F31E57" w:rsidRDefault="00CD0702" w:rsidP="00F31E57">
      <w:r w:rsidRPr="00CD0702">
        <w:rPr>
          <w:rFonts w:ascii="Times New Roman" w:eastAsiaTheme="minorHAnsi" w:hAnsi="Times New Roman" w:cstheme="minorBidi"/>
          <w:b/>
          <w:i/>
          <w:sz w:val="24"/>
          <w:szCs w:val="22"/>
          <w:lang w:val="en-US" w:eastAsia="en-US"/>
        </w:rPr>
        <w:t>To avoid this, it is critical that the final guidance adopted by the ESAs make it clear that KIDs must include not only "what if" scenarios but probabilistic performance scenarios as well</w:t>
      </w:r>
      <w:proofErr w:type="gramStart"/>
      <w:r w:rsidRPr="00CD0702">
        <w:rPr>
          <w:rFonts w:ascii="Times New Roman" w:eastAsiaTheme="minorHAnsi" w:hAnsi="Times New Roman" w:cstheme="minorBidi"/>
          <w:b/>
          <w:i/>
          <w:sz w:val="24"/>
          <w:szCs w:val="22"/>
          <w:lang w:val="en-US" w:eastAsia="en-US"/>
        </w:rPr>
        <w:t>.</w:t>
      </w:r>
      <w:permEnd w:id="21"/>
      <w:r w:rsidR="00F31E57">
        <w:t>&lt;</w:t>
      </w:r>
      <w:proofErr w:type="gramEnd"/>
      <w:r w:rsidR="00F31E57">
        <w: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CD0702" w:rsidP="00F31E57">
      <w:permStart w:id="22" w:edGrp="everyone"/>
      <w:r w:rsidRPr="00CD0702">
        <w:rPr>
          <w:rFonts w:ascii="Times New Roman" w:eastAsiaTheme="minorHAnsi" w:hAnsi="Times New Roman" w:cstheme="minorBidi"/>
          <w:b/>
          <w:i/>
          <w:sz w:val="24"/>
          <w:szCs w:val="22"/>
          <w:lang w:val="en-US" w:eastAsia="en-US"/>
        </w:rPr>
        <w:t>We believe that the selection of "what if" scenarios should be left to the manufacturers' discr</w:t>
      </w:r>
      <w:r w:rsidRPr="00CD0702">
        <w:rPr>
          <w:rFonts w:ascii="Times New Roman" w:eastAsiaTheme="minorHAnsi" w:hAnsi="Times New Roman" w:cstheme="minorBidi"/>
          <w:b/>
          <w:i/>
          <w:sz w:val="24"/>
          <w:szCs w:val="22"/>
          <w:lang w:val="en-US" w:eastAsia="en-US"/>
        </w:rPr>
        <w:t>e</w:t>
      </w:r>
      <w:r w:rsidRPr="00CD0702">
        <w:rPr>
          <w:rFonts w:ascii="Times New Roman" w:eastAsiaTheme="minorHAnsi" w:hAnsi="Times New Roman" w:cstheme="minorBidi"/>
          <w:b/>
          <w:i/>
          <w:sz w:val="24"/>
          <w:szCs w:val="22"/>
          <w:lang w:val="en-US" w:eastAsia="en-US"/>
        </w:rPr>
        <w:t>tion.  Experience from other markets in which "what if" scenarios are commonly used shows that manufacturer's disclosure practices</w:t>
      </w:r>
      <w:r w:rsidR="00040F10">
        <w:rPr>
          <w:rFonts w:ascii="Times New Roman" w:eastAsiaTheme="minorHAnsi" w:hAnsi="Times New Roman" w:cstheme="minorBidi"/>
          <w:b/>
          <w:i/>
          <w:sz w:val="24"/>
          <w:szCs w:val="22"/>
          <w:lang w:val="en-US" w:eastAsia="en-US"/>
        </w:rPr>
        <w:t xml:space="preserve"> tend to coalesce around a best </w:t>
      </w:r>
      <w:r w:rsidRPr="00CD0702">
        <w:rPr>
          <w:rFonts w:ascii="Times New Roman" w:eastAsiaTheme="minorHAnsi" w:hAnsi="Times New Roman" w:cstheme="minorBidi"/>
          <w:b/>
          <w:i/>
          <w:sz w:val="24"/>
          <w:szCs w:val="22"/>
          <w:lang w:val="en-US" w:eastAsia="en-US"/>
        </w:rPr>
        <w:t>pra</w:t>
      </w:r>
      <w:r w:rsidR="00040F10">
        <w:rPr>
          <w:rFonts w:ascii="Times New Roman" w:eastAsiaTheme="minorHAnsi" w:hAnsi="Times New Roman" w:cstheme="minorBidi"/>
          <w:b/>
          <w:i/>
          <w:sz w:val="24"/>
          <w:szCs w:val="22"/>
          <w:lang w:val="en-US" w:eastAsia="en-US"/>
        </w:rPr>
        <w:t>c</w:t>
      </w:r>
      <w:r w:rsidRPr="00CD0702">
        <w:rPr>
          <w:rFonts w:ascii="Times New Roman" w:eastAsiaTheme="minorHAnsi" w:hAnsi="Times New Roman" w:cstheme="minorBidi"/>
          <w:b/>
          <w:i/>
          <w:sz w:val="24"/>
          <w:szCs w:val="22"/>
          <w:lang w:val="en-US" w:eastAsia="en-US"/>
        </w:rPr>
        <w:t>tice</w:t>
      </w:r>
      <w:proofErr w:type="gramStart"/>
      <w:r w:rsidRPr="00CD0702">
        <w:rPr>
          <w:rFonts w:ascii="Times New Roman" w:eastAsiaTheme="minorHAnsi" w:hAnsi="Times New Roman" w:cstheme="minorBidi"/>
          <w:b/>
          <w:i/>
          <w:sz w:val="24"/>
          <w:szCs w:val="22"/>
          <w:lang w:val="en-US" w:eastAsia="en-US"/>
        </w:rPr>
        <w:t>.</w:t>
      </w:r>
      <w:permEnd w:id="22"/>
      <w:r w:rsidR="00F31E57">
        <w:t>&lt;</w:t>
      </w:r>
      <w:proofErr w:type="gramEnd"/>
      <w:r w:rsidR="00F31E57">
        <w: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CD0702" w:rsidRPr="00142D9C" w:rsidRDefault="00CD0702" w:rsidP="00C02502">
      <w:pPr>
        <w:pStyle w:val="Answer"/>
        <w:rPr>
          <w:rFonts w:ascii="Times New Roman" w:hAnsi="Times New Roman"/>
        </w:rPr>
      </w:pPr>
      <w:permStart w:id="23" w:edGrp="everyone"/>
      <w:r w:rsidRPr="00142D9C">
        <w:rPr>
          <w:rFonts w:ascii="Times New Roman" w:hAnsi="Times New Roman"/>
        </w:rPr>
        <w:t>We believe that both of the ESAs' suggestions are sensible.</w:t>
      </w:r>
    </w:p>
    <w:p w:rsidR="00CD0702" w:rsidRPr="00142D9C" w:rsidRDefault="00CD0702" w:rsidP="00C02502">
      <w:pPr>
        <w:pStyle w:val="Answer"/>
        <w:rPr>
          <w:rFonts w:ascii="Times New Roman" w:hAnsi="Times New Roman"/>
        </w:rPr>
      </w:pPr>
      <w:r w:rsidRPr="00142D9C">
        <w:rPr>
          <w:rFonts w:ascii="Times New Roman" w:hAnsi="Times New Roman"/>
        </w:rPr>
        <w:t xml:space="preserve">Options </w:t>
      </w:r>
      <w:proofErr w:type="gramStart"/>
      <w:r w:rsidRPr="00142D9C">
        <w:rPr>
          <w:rFonts w:ascii="Times New Roman" w:hAnsi="Times New Roman"/>
        </w:rPr>
        <w:t>A</w:t>
      </w:r>
      <w:proofErr w:type="gramEnd"/>
      <w:r w:rsidRPr="00142D9C">
        <w:rPr>
          <w:rFonts w:ascii="Times New Roman" w:hAnsi="Times New Roman"/>
        </w:rPr>
        <w:t xml:space="preserve"> and B serve different purposes, however.  Option B illustrates the narrative descri</w:t>
      </w:r>
      <w:r w:rsidRPr="00142D9C">
        <w:rPr>
          <w:rFonts w:ascii="Times New Roman" w:hAnsi="Times New Roman"/>
        </w:rPr>
        <w:t>p</w:t>
      </w:r>
      <w:r w:rsidRPr="00142D9C">
        <w:rPr>
          <w:rFonts w:ascii="Times New Roman" w:hAnsi="Times New Roman"/>
        </w:rPr>
        <w:t>tion of the payoff included in the section of the KID entitled "What is this product?", whereas Option A goes beyond a "what if" scenario and incorporates elements of a probabilistic pe</w:t>
      </w:r>
      <w:r w:rsidRPr="00142D9C">
        <w:rPr>
          <w:rFonts w:ascii="Times New Roman" w:hAnsi="Times New Roman"/>
        </w:rPr>
        <w:t>r</w:t>
      </w:r>
      <w:r w:rsidRPr="00142D9C">
        <w:rPr>
          <w:rFonts w:ascii="Times New Roman" w:hAnsi="Times New Roman"/>
        </w:rPr>
        <w:t>formance scenario.</w:t>
      </w:r>
    </w:p>
    <w:p w:rsidR="00CD0702" w:rsidRPr="00142D9C" w:rsidRDefault="00CD0702" w:rsidP="00C02502">
      <w:pPr>
        <w:pStyle w:val="Answer"/>
        <w:rPr>
          <w:rFonts w:ascii="Times New Roman" w:hAnsi="Times New Roman"/>
        </w:rPr>
      </w:pPr>
      <w:r w:rsidRPr="00142D9C">
        <w:rPr>
          <w:rFonts w:ascii="Times New Roman" w:hAnsi="Times New Roman"/>
        </w:rPr>
        <w:t>In this regard, we would point out that Option A would be most useful to investors if the r</w:t>
      </w:r>
      <w:r w:rsidRPr="00142D9C">
        <w:rPr>
          <w:rFonts w:ascii="Times New Roman" w:hAnsi="Times New Roman"/>
        </w:rPr>
        <w:t>e</w:t>
      </w:r>
      <w:r w:rsidRPr="00142D9C">
        <w:rPr>
          <w:rFonts w:ascii="Times New Roman" w:hAnsi="Times New Roman"/>
        </w:rPr>
        <w:t>turns of the underlying were shown side by side with the returns of the PRIIPs over the same period, such as shown in the rolling portfolio diagram below.</w:t>
      </w:r>
    </w:p>
    <w:p w:rsidR="00CD0702" w:rsidRDefault="00CD0702" w:rsidP="00C02502">
      <w:pPr>
        <w:pStyle w:val="Answer"/>
        <w:jc w:val="center"/>
      </w:pPr>
      <w:r>
        <w:rPr>
          <w:noProof/>
          <w:lang w:val="en-GB" w:eastAsia="en-GB"/>
        </w:rPr>
        <w:drawing>
          <wp:inline distT="0" distB="0" distL="0" distR="0">
            <wp:extent cx="2452938" cy="1888066"/>
            <wp:effectExtent l="57150" t="0" r="62230" b="11239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01" t="1280" b="1911"/>
                    <a:stretch/>
                  </pic:blipFill>
                  <pic:spPr bwMode="auto">
                    <a:xfrm>
                      <a:off x="0" y="0"/>
                      <a:ext cx="2455334" cy="1889910"/>
                    </a:xfrm>
                    <a:prstGeom prst="rect">
                      <a:avLst/>
                    </a:prstGeom>
                    <a:noFill/>
                    <a:ln>
                      <a:noFill/>
                    </a:ln>
                    <a:effectLst>
                      <a:outerShdw blurRad="50800" dist="50800" dir="5400000" algn="ctr" rotWithShape="0">
                        <a:schemeClr val="bg1">
                          <a:lumMod val="85000"/>
                        </a:scheme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CD0702" w:rsidRPr="00142D9C" w:rsidRDefault="00CD0702" w:rsidP="00C02502">
      <w:pPr>
        <w:pStyle w:val="Answer"/>
        <w:rPr>
          <w:rFonts w:ascii="Times New Roman" w:hAnsi="Times New Roman"/>
        </w:rPr>
      </w:pPr>
      <w:r w:rsidRPr="00142D9C">
        <w:rPr>
          <w:rFonts w:ascii="Times New Roman" w:hAnsi="Times New Roman"/>
        </w:rPr>
        <w:t>Showing the historical outcomes of an investment in the underlying side by side with the hi</w:t>
      </w:r>
      <w:r w:rsidRPr="00142D9C">
        <w:rPr>
          <w:rFonts w:ascii="Times New Roman" w:hAnsi="Times New Roman"/>
        </w:rPr>
        <w:t>s</w:t>
      </w:r>
      <w:r w:rsidRPr="00142D9C">
        <w:rPr>
          <w:rFonts w:ascii="Times New Roman" w:hAnsi="Times New Roman"/>
        </w:rPr>
        <w:t>torical results of investing in the PRIIP over the same period would clearly show investors the incremental benefits of purchasing the PRIIP compared with a direct investment in the unde</w:t>
      </w:r>
      <w:r w:rsidRPr="00142D9C">
        <w:rPr>
          <w:rFonts w:ascii="Times New Roman" w:hAnsi="Times New Roman"/>
        </w:rPr>
        <w:t>r</w:t>
      </w:r>
      <w:r w:rsidRPr="00142D9C">
        <w:rPr>
          <w:rFonts w:ascii="Times New Roman" w:hAnsi="Times New Roman"/>
        </w:rPr>
        <w:t xml:space="preserve">lying.  This would help investors understand intuitively how much potential upside they have to give up in case of a positive performance of the underlying in order to obtain the downside protection offered by the PRIIP.  Moreover, it would help them more easily identify situations where the perceived attractiveness of an investment is primarily a function of the underlying and less a function of the derivative component embedded in the PRIIP.  For example, the </w:t>
      </w:r>
      <w:r w:rsidRPr="00142D9C">
        <w:rPr>
          <w:rFonts w:ascii="Times New Roman" w:hAnsi="Times New Roman"/>
        </w:rPr>
        <w:lastRenderedPageBreak/>
        <w:t>risk/reward profile of a PRIIP linked to a low volatility underlying with a long-term positive trend might look compelling when considered in isolation.  At the same time, the incremental benefit of purchasing the PRIIP might appear less attractive (and, depending on the investor's preferences, might even appear unattractive) when considered in comparison with the risk/</w:t>
      </w:r>
      <w:r>
        <w:rPr>
          <w:rFonts w:ascii="Times New Roman" w:hAnsi="Times New Roman"/>
        </w:rPr>
        <w:t>reward profile of the underlying</w:t>
      </w:r>
      <w:r w:rsidRPr="00142D9C">
        <w:rPr>
          <w:rFonts w:ascii="Times New Roman" w:hAnsi="Times New Roman"/>
        </w:rPr>
        <w:t>.</w:t>
      </w:r>
    </w:p>
    <w:p w:rsidR="00F31E57" w:rsidRDefault="00CD0702" w:rsidP="00F31E57">
      <w:r w:rsidRPr="00CD0702">
        <w:rPr>
          <w:rFonts w:ascii="Times New Roman" w:eastAsiaTheme="minorHAnsi" w:hAnsi="Times New Roman" w:cstheme="minorBidi"/>
          <w:b/>
          <w:i/>
          <w:sz w:val="24"/>
          <w:szCs w:val="22"/>
          <w:lang w:val="en-US" w:eastAsia="en-US"/>
        </w:rPr>
        <w:t>In addition, this would allow investors to more easily compare PRIIPs with different payoffs linked to the same underlying and also to compare PRIIPs with the same payoff linked to different underlyings</w:t>
      </w:r>
      <w:proofErr w:type="gramStart"/>
      <w:r w:rsidRPr="00CD0702">
        <w:rPr>
          <w:rFonts w:ascii="Times New Roman" w:eastAsiaTheme="minorHAnsi" w:hAnsi="Times New Roman" w:cstheme="minorBidi"/>
          <w:b/>
          <w:i/>
          <w:sz w:val="24"/>
          <w:szCs w:val="22"/>
          <w:lang w:val="en-US" w:eastAsia="en-US"/>
        </w:rPr>
        <w:t>.</w:t>
      </w:r>
      <w:permEnd w:id="23"/>
      <w:r w:rsidR="00F31E57">
        <w:t>&lt;</w:t>
      </w:r>
      <w:proofErr w:type="gramEnd"/>
      <w:r w:rsidR="00F31E57">
        <w: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24" w:edGrp="everyone"/>
      <w:r>
        <w:t>TYPE YOUR TEXT HERE</w:t>
      </w:r>
    </w:p>
    <w:permEnd w:id="24"/>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F31E57" w:rsidP="00F31E57">
      <w:permStart w:id="25" w:edGrp="everyone"/>
      <w:r>
        <w:t>TYPE YOUR TEXT HERE</w:t>
      </w:r>
    </w:p>
    <w:permEnd w:id="25"/>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26" w:edGrp="everyone"/>
      <w:r>
        <w:t>TYPE YOUR TEXT HERE</w:t>
      </w:r>
    </w:p>
    <w:permEnd w:id="26"/>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27" w:edGrp="everyone"/>
      <w:r>
        <w:t>TYPE YOUR TEXT HERE</w:t>
      </w:r>
    </w:p>
    <w:permEnd w:id="27"/>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28" w:edGrp="everyone"/>
      <w:r>
        <w:t>TYPE YOUR TEXT HERE</w:t>
      </w:r>
    </w:p>
    <w:permEnd w:id="28"/>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CD0702" w:rsidRPr="00086003" w:rsidRDefault="00CD0702" w:rsidP="00C02502">
      <w:pPr>
        <w:pStyle w:val="Answer"/>
        <w:rPr>
          <w:rFonts w:ascii="Times New Roman" w:hAnsi="Times New Roman"/>
        </w:rPr>
      </w:pPr>
      <w:permStart w:id="29" w:edGrp="everyone"/>
      <w:r w:rsidRPr="00086003">
        <w:rPr>
          <w:rFonts w:ascii="Times New Roman" w:hAnsi="Times New Roman"/>
        </w:rPr>
        <w:lastRenderedPageBreak/>
        <w:t>We do not comment on the ESAs' proposal with respect to cost disclosure in detail beyond the fact that we question whether the focus on costs is appropriate in the first place.</w:t>
      </w:r>
    </w:p>
    <w:p w:rsidR="00CD0702" w:rsidRPr="00086003" w:rsidRDefault="00CD0702" w:rsidP="00C02502">
      <w:pPr>
        <w:pStyle w:val="Answer"/>
        <w:rPr>
          <w:rFonts w:ascii="Times New Roman" w:hAnsi="Times New Roman"/>
        </w:rPr>
      </w:pPr>
      <w:r w:rsidRPr="00086003">
        <w:rPr>
          <w:rFonts w:ascii="Times New Roman" w:hAnsi="Times New Roman"/>
        </w:rPr>
        <w:t>In the United States and Germany, estimated value disclosure has become common in recent years.  Whether this disclosure has benefited investors, however, is, in our view, subject to debate.  The U.S. offering documents of different PRIIP manufacturers invariably show fairly similar estimated values.  Moreover, the related disclosure is typically accompanied by equally similar disclaimers and risk factors that explain why the estimated value of the specific PRIIP being offered is lower than its price immediately after issuance.  It is not immediately obvious how an investor is supposed to draw useful information from this disclosure.</w:t>
      </w:r>
    </w:p>
    <w:p w:rsidR="00CD0702" w:rsidRPr="00086003" w:rsidRDefault="00CD0702" w:rsidP="00C02502">
      <w:pPr>
        <w:pStyle w:val="Answer"/>
        <w:rPr>
          <w:rFonts w:ascii="Times New Roman" w:hAnsi="Times New Roman"/>
        </w:rPr>
      </w:pPr>
      <w:r w:rsidRPr="00086003">
        <w:rPr>
          <w:rFonts w:ascii="Times New Roman" w:hAnsi="Times New Roman"/>
        </w:rPr>
        <w:t>Going back to first principles, the desire for meaningful cost disclosure is typically driven by a concern that the costs of a PRIIP are embedded in the payoff in a way that hides them from investors and that, absent a requirement for explicit disclosure, manufacturers may illegit</w:t>
      </w:r>
      <w:r w:rsidRPr="00086003">
        <w:rPr>
          <w:rFonts w:ascii="Times New Roman" w:hAnsi="Times New Roman"/>
        </w:rPr>
        <w:t>i</w:t>
      </w:r>
      <w:r w:rsidRPr="00086003">
        <w:rPr>
          <w:rFonts w:ascii="Times New Roman" w:hAnsi="Times New Roman"/>
        </w:rPr>
        <w:t>mately enrich themselves at the expensive of investors.</w:t>
      </w:r>
    </w:p>
    <w:p w:rsidR="00CD0702" w:rsidRPr="00086003" w:rsidRDefault="00CD0702" w:rsidP="00C02502">
      <w:pPr>
        <w:pStyle w:val="Answer"/>
        <w:rPr>
          <w:rFonts w:ascii="Times New Roman" w:hAnsi="Times New Roman"/>
        </w:rPr>
      </w:pPr>
      <w:r w:rsidRPr="00086003">
        <w:rPr>
          <w:rFonts w:ascii="Times New Roman" w:hAnsi="Times New Roman"/>
        </w:rPr>
        <w:t>In our view, this concern is misplaced.  Assuming a competitive market, the fact that a partic</w:t>
      </w:r>
      <w:r w:rsidRPr="00086003">
        <w:rPr>
          <w:rFonts w:ascii="Times New Roman" w:hAnsi="Times New Roman"/>
        </w:rPr>
        <w:t>u</w:t>
      </w:r>
      <w:r w:rsidRPr="00086003">
        <w:rPr>
          <w:rFonts w:ascii="Times New Roman" w:hAnsi="Times New Roman"/>
        </w:rPr>
        <w:t>lar manufacturer may have mathematical models and/or processes in place that allow it to incur lower hedging costs and thus reap higher margins than another manufacturer, should not raise regulatory concerns.</w:t>
      </w:r>
    </w:p>
    <w:p w:rsidR="00CD0702" w:rsidRPr="00086003" w:rsidRDefault="00CD0702" w:rsidP="00C02502">
      <w:pPr>
        <w:pStyle w:val="Answer"/>
        <w:rPr>
          <w:rFonts w:ascii="Times New Roman" w:hAnsi="Times New Roman"/>
        </w:rPr>
      </w:pPr>
      <w:r w:rsidRPr="00086003">
        <w:rPr>
          <w:rFonts w:ascii="Times New Roman" w:hAnsi="Times New Roman"/>
        </w:rPr>
        <w:t>The primary focus should thus be on ensuring that the marketplace for PRIIPs is competitive.  Industry supported initiatives aimed at making it easier for investors to compare different manufacturers' products, such as the derivatives map published by the European Structured Investment Products Association (EUSIPA), are important steps in this direction.  The success achieved in Europe in the area of nomenclature standardization is something that market participants in other regions, particularly the United States, look to as an example of how to make the structured products market more transparent.</w:t>
      </w:r>
    </w:p>
    <w:p w:rsidR="00F31E57" w:rsidRDefault="00CD0702" w:rsidP="00F31E57">
      <w:r w:rsidRPr="00CD0702">
        <w:rPr>
          <w:rFonts w:ascii="Times New Roman" w:eastAsiaTheme="minorHAnsi" w:hAnsi="Times New Roman" w:cstheme="minorBidi"/>
          <w:b/>
          <w:i/>
          <w:sz w:val="24"/>
          <w:szCs w:val="22"/>
          <w:lang w:val="en-US" w:eastAsia="en-US"/>
        </w:rPr>
        <w:t>If the ESAs believe additional measures are required, the most straight-forward and least invasive step that could be taken would be to require manufacturers to include an indicative price for constructing the PRIIP based on liquid options.  This would provide an objective price benchmark that would be comparable across manufacturers, straight-forward to impl</w:t>
      </w:r>
      <w:r w:rsidRPr="00CD0702">
        <w:rPr>
          <w:rFonts w:ascii="Times New Roman" w:eastAsiaTheme="minorHAnsi" w:hAnsi="Times New Roman" w:cstheme="minorBidi"/>
          <w:b/>
          <w:i/>
          <w:sz w:val="24"/>
          <w:szCs w:val="22"/>
          <w:lang w:val="en-US" w:eastAsia="en-US"/>
        </w:rPr>
        <w:t>e</w:t>
      </w:r>
      <w:r w:rsidRPr="00CD0702">
        <w:rPr>
          <w:rFonts w:ascii="Times New Roman" w:eastAsiaTheme="minorHAnsi" w:hAnsi="Times New Roman" w:cstheme="minorBidi"/>
          <w:b/>
          <w:i/>
          <w:sz w:val="24"/>
          <w:szCs w:val="22"/>
          <w:lang w:val="en-US" w:eastAsia="en-US"/>
        </w:rPr>
        <w:t>ment and easy to supervise</w:t>
      </w:r>
      <w:proofErr w:type="gramStart"/>
      <w:r w:rsidRPr="00CD0702">
        <w:rPr>
          <w:rFonts w:ascii="Times New Roman" w:eastAsiaTheme="minorHAnsi" w:hAnsi="Times New Roman" w:cstheme="minorBidi"/>
          <w:b/>
          <w:i/>
          <w:sz w:val="24"/>
          <w:szCs w:val="22"/>
          <w:lang w:val="en-US" w:eastAsia="en-US"/>
        </w:rPr>
        <w:t>.</w:t>
      </w:r>
      <w:permEnd w:id="29"/>
      <w:r w:rsidR="00F31E57">
        <w:t>&lt;</w:t>
      </w:r>
      <w:proofErr w:type="gramEnd"/>
      <w:r w:rsidR="00F31E57">
        <w: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30" w:edGrp="everyone"/>
      <w:r>
        <w:t>TYPE YOUR TEXT HERE</w:t>
      </w:r>
    </w:p>
    <w:permEnd w:id="30"/>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31" w:edGrp="everyone"/>
      <w:r>
        <w:t>TYPE YOUR TEXT HERE</w:t>
      </w:r>
    </w:p>
    <w:permEnd w:id="31"/>
    <w:p w:rsidR="00F31E57" w:rsidRDefault="00F31E57" w:rsidP="00F31E57">
      <w:r>
        <w:lastRenderedPageBreak/>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32" w:edGrp="everyone"/>
      <w:r>
        <w:t>TYPE YOUR TEXT HERE</w:t>
      </w:r>
    </w:p>
    <w:permEnd w:id="32"/>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33" w:edGrp="everyone"/>
      <w:r>
        <w:t>TYPE YOUR TEXT HERE</w:t>
      </w:r>
    </w:p>
    <w:permEnd w:id="33"/>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34" w:edGrp="everyone"/>
      <w:r>
        <w:t>TYPE YOUR TEXT HERE</w:t>
      </w:r>
    </w:p>
    <w:permEnd w:id="34"/>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35" w:edGrp="everyone"/>
      <w:r>
        <w:t>TYPE YOUR TEXT HERE</w:t>
      </w:r>
    </w:p>
    <w:permEnd w:id="35"/>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36" w:edGrp="everyone"/>
      <w:r>
        <w:t>TYPE YOUR TEXT HERE</w:t>
      </w:r>
    </w:p>
    <w:permEnd w:id="36"/>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37" w:edGrp="everyone"/>
      <w:r>
        <w:lastRenderedPageBreak/>
        <w:t>TYPE YOUR TEXT HERE</w:t>
      </w:r>
    </w:p>
    <w:permEnd w:id="37"/>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38" w:edGrp="everyone"/>
      <w:r>
        <w:t>TYPE YOUR TEXT HERE</w:t>
      </w:r>
    </w:p>
    <w:permEnd w:id="38"/>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39" w:edGrp="everyone"/>
      <w:r>
        <w:t>TYPE YOUR TEXT HERE</w:t>
      </w:r>
    </w:p>
    <w:permEnd w:id="39"/>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40" w:edGrp="everyone"/>
      <w:r>
        <w:t>TYPE YOUR TEXT HERE</w:t>
      </w:r>
    </w:p>
    <w:permEnd w:id="40"/>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41" w:edGrp="everyone"/>
      <w:r>
        <w:t>TYPE YOUR TEXT HERE</w:t>
      </w:r>
    </w:p>
    <w:permEnd w:id="41"/>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42" w:edGrp="everyone"/>
      <w:r>
        <w:t>TYPE YOUR TEXT HERE</w:t>
      </w:r>
    </w:p>
    <w:permEnd w:id="42"/>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43" w:edGrp="everyone"/>
      <w:r>
        <w:t>TYPE YOUR TEXT HERE</w:t>
      </w:r>
    </w:p>
    <w:permEnd w:id="43"/>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4" w:edGrp="everyone"/>
      <w:r>
        <w:t>TYPE YOUR TEXT HERE</w:t>
      </w:r>
    </w:p>
    <w:permEnd w:id="44"/>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5" w:edGrp="everyone"/>
      <w:r>
        <w:t>TYPE YOUR TEXT HERE</w:t>
      </w:r>
    </w:p>
    <w:permEnd w:id="45"/>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46" w:edGrp="everyone"/>
      <w:r>
        <w:t>TYPE YOUR TEXT HERE</w:t>
      </w:r>
    </w:p>
    <w:permEnd w:id="46"/>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47" w:edGrp="everyone"/>
      <w:r>
        <w:t>TYPE YOUR TEXT HERE</w:t>
      </w:r>
    </w:p>
    <w:permEnd w:id="47"/>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48" w:edGrp="everyone"/>
      <w:r>
        <w:t>TYPE YOUR TEXT HERE</w:t>
      </w:r>
    </w:p>
    <w:permEnd w:id="48"/>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49" w:edGrp="everyone"/>
      <w:r>
        <w:t>TYPE YOUR TEXT HERE</w:t>
      </w:r>
    </w:p>
    <w:permEnd w:id="49"/>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0" w:edGrp="everyone"/>
      <w:r>
        <w:t>TYPE YOUR TEXT HERE</w:t>
      </w:r>
    </w:p>
    <w:permEnd w:id="50"/>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51" w:edGrp="everyone"/>
      <w:r>
        <w:t>TYPE YOUR TEXT HERE</w:t>
      </w:r>
    </w:p>
    <w:permEnd w:id="51"/>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52" w:edGrp="everyone"/>
      <w:r>
        <w:t>TYPE YOUR TEXT HERE</w:t>
      </w:r>
    </w:p>
    <w:permEnd w:id="52"/>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3" w:edGrp="everyone"/>
      <w:r>
        <w:t>TYPE YOUR TEXT HERE</w:t>
      </w:r>
    </w:p>
    <w:permEnd w:id="53"/>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4" w:edGrp="everyone"/>
      <w:r>
        <w:t>TYPE YOUR TEXT HERE</w:t>
      </w:r>
    </w:p>
    <w:permEnd w:id="54"/>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5" w:edGrp="everyone"/>
      <w:r>
        <w:t>TYPE YOUR TEXT HERE</w:t>
      </w:r>
    </w:p>
    <w:permEnd w:id="5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lastRenderedPageBreak/>
        <w:t>&lt;ESMA_QUESTION_PRIIPs_50&gt;</w:t>
      </w:r>
    </w:p>
    <w:p w:rsidR="00F31E57" w:rsidRDefault="00F31E57" w:rsidP="00F31E57">
      <w:permStart w:id="56" w:edGrp="everyone"/>
      <w:r>
        <w:t>TYPE YOUR TEXT HERE</w:t>
      </w:r>
    </w:p>
    <w:permEnd w:id="56"/>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7" w:edGrp="everyone"/>
      <w:r>
        <w:t>TYPE YOUR TEXT HERE</w:t>
      </w:r>
    </w:p>
    <w:permEnd w:id="57"/>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58" w:edGrp="everyone"/>
      <w:r>
        <w:t>TYPE YOUR TEXT HERE</w:t>
      </w:r>
    </w:p>
    <w:permEnd w:id="58"/>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59" w:edGrp="everyone"/>
      <w:r>
        <w:t>TYPE YOUR TEXT HERE</w:t>
      </w:r>
    </w:p>
    <w:permEnd w:id="5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60" w:edGrp="everyone"/>
      <w:r>
        <w:t>TYPE YOUR TEXT HERE</w:t>
      </w:r>
    </w:p>
    <w:permEnd w:id="60"/>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1" w:edGrp="everyone"/>
      <w:r>
        <w:t>TYPE YOUR TEXT HERE</w:t>
      </w:r>
    </w:p>
    <w:permEnd w:id="61"/>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w:t>
      </w:r>
      <w:r>
        <w:rPr>
          <w:rFonts w:cs="Arial"/>
        </w:rPr>
        <w:t>h</w:t>
      </w:r>
      <w:r>
        <w:rPr>
          <w:rFonts w:cs="Arial"/>
        </w:rPr>
        <w:t>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62" w:edGrp="everyone"/>
      <w:r>
        <w:t>TYPE YOUR TEXT HERE</w:t>
      </w:r>
    </w:p>
    <w:permEnd w:id="62"/>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63" w:edGrp="everyone"/>
      <w:r>
        <w:t>TYPE YOUR TEXT HERE</w:t>
      </w:r>
    </w:p>
    <w:permEnd w:id="63"/>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64" w:edGrp="everyone"/>
      <w:r>
        <w:t>TYPE YOUR TEXT HERE</w:t>
      </w:r>
    </w:p>
    <w:permEnd w:id="64"/>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65" w:edGrp="everyone"/>
      <w:r>
        <w:t>TYPE YOUR TEXT HERE</w:t>
      </w:r>
    </w:p>
    <w:permEnd w:id="65"/>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66" w:edGrp="everyone"/>
      <w:r>
        <w:t>TYPE YOUR TEXT HERE</w:t>
      </w:r>
    </w:p>
    <w:permEnd w:id="66"/>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67" w:edGrp="everyone"/>
      <w:r>
        <w:t>TYPE YOUR TEXT HERE</w:t>
      </w:r>
    </w:p>
    <w:permEnd w:id="67"/>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68" w:edGrp="everyone"/>
      <w:r>
        <w:t>TYPE YOUR TEXT HERE</w:t>
      </w:r>
    </w:p>
    <w:permEnd w:id="68"/>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69" w:edGrp="everyone"/>
      <w:r>
        <w:t>TYPE YOUR TEXT HERE</w:t>
      </w:r>
    </w:p>
    <w:permEnd w:id="69"/>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70" w:edGrp="everyone"/>
      <w:r>
        <w:t>TYPE YOUR TEXT HERE</w:t>
      </w:r>
    </w:p>
    <w:permEnd w:id="70"/>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71" w:edGrp="everyone"/>
      <w:r>
        <w:t>TYPE YOUR TEXT HERE</w:t>
      </w:r>
    </w:p>
    <w:permEnd w:id="71"/>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72" w:edGrp="everyone"/>
      <w:r>
        <w:t>TYPE YOUR TEXT HERE</w:t>
      </w:r>
    </w:p>
    <w:permEnd w:id="72"/>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73" w:edGrp="everyone"/>
      <w:r>
        <w:t>TYPE YOUR TEXT HERE</w:t>
      </w:r>
    </w:p>
    <w:permEnd w:id="73"/>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74" w:edGrp="everyone"/>
      <w:r>
        <w:t>TYPE YOUR TEXT HERE</w:t>
      </w:r>
    </w:p>
    <w:permEnd w:id="74"/>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75" w:edGrp="everyone"/>
      <w:r>
        <w:t>TYPE YOUR TEXT HERE</w:t>
      </w:r>
    </w:p>
    <w:permEnd w:id="75"/>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76" w:edGrp="everyone"/>
      <w:r>
        <w:t>TYPE YOUR TEXT HERE</w:t>
      </w:r>
    </w:p>
    <w:permEnd w:id="76"/>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77" w:edGrp="everyone"/>
      <w:r>
        <w:t>TYPE YOUR TEXT HERE</w:t>
      </w:r>
    </w:p>
    <w:permEnd w:id="77"/>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78" w:edGrp="everyone"/>
      <w:r>
        <w:t>TYPE YOUR TEXT HERE</w:t>
      </w:r>
    </w:p>
    <w:permEnd w:id="78"/>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79" w:edGrp="everyone"/>
      <w:r>
        <w:t>TYPE YOUR TEXT HERE</w:t>
      </w:r>
    </w:p>
    <w:permEnd w:id="79"/>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80" w:edGrp="everyone"/>
      <w:r>
        <w:t>TYPE YOUR TEXT HERE</w:t>
      </w:r>
    </w:p>
    <w:permEnd w:id="80"/>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81" w:edGrp="everyone"/>
      <w:r>
        <w:t>TYPE YOUR TEXT HERE</w:t>
      </w:r>
    </w:p>
    <w:permEnd w:id="81"/>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82" w:edGrp="everyone"/>
      <w:r>
        <w:t>TYPE YOUR TEXT HERE</w:t>
      </w:r>
    </w:p>
    <w:permEnd w:id="82"/>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83" w:edGrp="everyone"/>
      <w:r>
        <w:t>TYPE YOUR TEXT HERE</w:t>
      </w:r>
    </w:p>
    <w:permEnd w:id="83"/>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lastRenderedPageBreak/>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84" w:edGrp="everyone"/>
      <w:r>
        <w:t>TYPE YOUR TEXT HERE</w:t>
      </w:r>
    </w:p>
    <w:permEnd w:id="84"/>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85" w:edGrp="everyone"/>
      <w:r>
        <w:t>TYPE YOUR TEXT HERE</w:t>
      </w:r>
    </w:p>
    <w:permEnd w:id="85"/>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86" w:edGrp="everyone"/>
      <w:r>
        <w:t>TYPE YOUR TEXT HERE</w:t>
      </w:r>
    </w:p>
    <w:permEnd w:id="86"/>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87" w:edGrp="everyone"/>
      <w:r>
        <w:t>TYPE YOUR TEXT HERE</w:t>
      </w:r>
    </w:p>
    <w:permEnd w:id="87"/>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88" w:edGrp="everyone"/>
      <w:r>
        <w:t>TYPE YOUR TEXT HERE</w:t>
      </w:r>
    </w:p>
    <w:permEnd w:id="88"/>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89" w:edGrp="everyone"/>
      <w:r>
        <w:t>TYPE YOUR TEXT HERE</w:t>
      </w:r>
    </w:p>
    <w:permEnd w:id="89"/>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90" w:edGrp="everyone"/>
      <w:r>
        <w:t>TYPE YOUR TEXT HERE</w:t>
      </w:r>
    </w:p>
    <w:permEnd w:id="90"/>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91" w:edGrp="everyone"/>
      <w:r>
        <w:t>TYPE YOUR TEXT HERE</w:t>
      </w:r>
    </w:p>
    <w:permEnd w:id="91"/>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92" w:edGrp="everyone"/>
      <w:r>
        <w:t>TYPE YOUR TEXT HERE</w:t>
      </w:r>
    </w:p>
    <w:permEnd w:id="92"/>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w:t>
      </w:r>
      <w:r>
        <w:rPr>
          <w:rFonts w:cs="Arial"/>
        </w:rPr>
        <w:t>i</w:t>
      </w:r>
      <w:r>
        <w:rPr>
          <w:rFonts w:cs="Arial"/>
        </w:rPr>
        <w:t>tion with the other types of PRIIPs in this regard? Another possible approach could be to use the ratio between the total amount of costs over the holding period and the a</w:t>
      </w:r>
      <w:r>
        <w:rPr>
          <w:rFonts w:cs="Arial"/>
        </w:rPr>
        <w:t>v</w:t>
      </w:r>
      <w:r>
        <w:rPr>
          <w:rFonts w:cs="Arial"/>
        </w:rPr>
        <w:t>erage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3" w:edGrp="everyone"/>
      <w:r>
        <w:t>TYPE YOUR TEXT HERE</w:t>
      </w:r>
    </w:p>
    <w:permEnd w:id="93"/>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lastRenderedPageBreak/>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94" w:edGrp="everyone"/>
      <w:r>
        <w:t>TYPE YOUR TEXT HERE</w:t>
      </w:r>
    </w:p>
    <w:permEnd w:id="9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95" w:edGrp="everyone"/>
      <w:r>
        <w:t>TYPE YOUR TEXT HERE</w:t>
      </w:r>
    </w:p>
    <w:permEnd w:id="95"/>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96" w:edGrp="everyone"/>
      <w:r>
        <w:t>TYPE YOUR TEXT HERE</w:t>
      </w:r>
    </w:p>
    <w:permEnd w:id="96"/>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97" w:edGrp="everyone"/>
      <w:r>
        <w:t>TYPE YOUR TEXT HERE</w:t>
      </w:r>
    </w:p>
    <w:permEnd w:id="97"/>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w:t>
      </w:r>
      <w:r>
        <w:rPr>
          <w:rFonts w:cs="Arial"/>
        </w:rPr>
        <w:t>u</w:t>
      </w:r>
      <w:r>
        <w:rPr>
          <w:rFonts w:cs="Arial"/>
        </w:rPr>
        <w:t>ally are not likely to be designed for per contract calculations. Life insurers may r</w:t>
      </w:r>
      <w:r>
        <w:rPr>
          <w:rFonts w:cs="Arial"/>
        </w:rPr>
        <w:t>e</w:t>
      </w:r>
      <w:r>
        <w:rPr>
          <w:rFonts w:cs="Arial"/>
        </w:rPr>
        <w:t>strict the calculation of technical provisions in the Solvency II-Balance-Sheet to h</w:t>
      </w:r>
      <w:r>
        <w:rPr>
          <w:rFonts w:cs="Arial"/>
        </w:rPr>
        <w:t>o</w:t>
      </w:r>
      <w:r>
        <w:rPr>
          <w:rFonts w:cs="Arial"/>
        </w:rPr>
        <w:t xml:space="preserve">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w:t>
      </w:r>
      <w:r>
        <w:rPr>
          <w:rFonts w:cs="Arial"/>
        </w:rPr>
        <w:lastRenderedPageBreak/>
        <w:t xml:space="preserve">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98" w:edGrp="everyone"/>
      <w:r>
        <w:t>TYPE YOUR TEXT HERE</w:t>
      </w:r>
    </w:p>
    <w:permEnd w:id="98"/>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99" w:edGrp="everyone"/>
      <w:r>
        <w:t>TYPE YOUR TEXT HERE</w:t>
      </w:r>
    </w:p>
    <w:permEnd w:id="99"/>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00" w:edGrp="everyone"/>
      <w:r>
        <w:t>TYPE YOUR TEXT HERE</w:t>
      </w:r>
    </w:p>
    <w:permEnd w:id="100"/>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101" w:edGrp="everyone"/>
      <w:r>
        <w:t>TYPE YOUR TEXT HERE</w:t>
      </w:r>
    </w:p>
    <w:permEnd w:id="101"/>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02" w:edGrp="everyone"/>
      <w:r>
        <w:t>TYPE YOUR TEXT HERE</w:t>
      </w:r>
    </w:p>
    <w:permEnd w:id="102"/>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03" w:edGrp="everyone"/>
      <w:r>
        <w:t>TYPE YOUR TEXT HERE</w:t>
      </w:r>
    </w:p>
    <w:permEnd w:id="103"/>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04" w:edGrp="everyone"/>
      <w:r>
        <w:t>TYPE YOUR TEXT HERE</w:t>
      </w:r>
    </w:p>
    <w:permEnd w:id="104"/>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05" w:edGrp="everyone"/>
      <w:r>
        <w:t>TYPE YOUR TEXT HERE</w:t>
      </w:r>
    </w:p>
    <w:permEnd w:id="105"/>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E5D" w:rsidRDefault="00431E5D">
      <w:r>
        <w:separator/>
      </w:r>
    </w:p>
    <w:p w:rsidR="00431E5D" w:rsidRDefault="00431E5D"/>
  </w:endnote>
  <w:endnote w:type="continuationSeparator" w:id="0">
    <w:p w:rsidR="00431E5D" w:rsidRDefault="00431E5D">
      <w:r>
        <w:continuationSeparator/>
      </w:r>
    </w:p>
    <w:p w:rsidR="00431E5D" w:rsidRDefault="00431E5D"/>
  </w:endnote>
  <w:endnote w:type="continuationNotice" w:id="1">
    <w:p w:rsidR="00431E5D" w:rsidRDefault="00431E5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200FFF" w:rsidP="002C5B2D">
          <w:pPr>
            <w:pStyle w:val="00aPagenumber"/>
            <w:rPr>
              <w:rFonts w:cs="Arial"/>
              <w:sz w:val="22"/>
              <w:szCs w:val="22"/>
            </w:rPr>
          </w:pPr>
          <w:r w:rsidRPr="00616B9B">
            <w:rPr>
              <w:rFonts w:cs="Arial"/>
              <w:sz w:val="22"/>
              <w:szCs w:val="22"/>
            </w:rPr>
            <w:fldChar w:fldCharType="begin"/>
          </w:r>
          <w:r w:rsidR="00811EDA" w:rsidRPr="00616B9B">
            <w:rPr>
              <w:rFonts w:cs="Arial"/>
              <w:sz w:val="22"/>
              <w:szCs w:val="22"/>
            </w:rPr>
            <w:instrText xml:space="preserve"> PAGE </w:instrText>
          </w:r>
          <w:r w:rsidRPr="00616B9B">
            <w:rPr>
              <w:rFonts w:cs="Arial"/>
              <w:sz w:val="22"/>
              <w:szCs w:val="22"/>
            </w:rPr>
            <w:fldChar w:fldCharType="separate"/>
          </w:r>
          <w:r w:rsidR="00C93889">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E5D" w:rsidRDefault="00431E5D">
      <w:r>
        <w:separator/>
      </w:r>
    </w:p>
    <w:p w:rsidR="00431E5D" w:rsidRDefault="00431E5D"/>
  </w:footnote>
  <w:footnote w:type="continuationSeparator" w:id="0">
    <w:p w:rsidR="00431E5D" w:rsidRDefault="00431E5D">
      <w:r>
        <w:continuationSeparator/>
      </w:r>
    </w:p>
    <w:p w:rsidR="00431E5D" w:rsidRDefault="00431E5D"/>
  </w:footnote>
  <w:footnote w:type="continuationNotice" w:id="1">
    <w:p w:rsidR="00431E5D" w:rsidRDefault="00431E5D"/>
  </w:footnote>
  <w:footnote w:id="2">
    <w:p w:rsidR="007E2302" w:rsidRPr="00554E48" w:rsidRDefault="007E2302"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F31E57" w:rsidRDefault="00F31E57"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200FFF" w:rsidRPr="00200FFF">
      <w:rPr>
        <w:noProof/>
        <w:lang w:val="fr-FR" w:eastAsia="fr-FR"/>
      </w:rPr>
      <w:pict>
        <v:line id="Line 16" o:spid="_x0000_s205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rsidR="00811EDA">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DA" w:rsidRDefault="00811ED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200FFF">
    <w:pPr>
      <w:pStyle w:val="Header"/>
    </w:pPr>
    <w:r w:rsidRPr="00200FFF">
      <w:rPr>
        <w:noProof/>
        <w:lang w:val="fr-FR" w:eastAsia="fr-FR"/>
      </w:rPr>
      <w:pict>
        <v:line id="Straight Connector 138" o:spid="_x0000_s2049"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DE66EB">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F01"/>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4098">
      <o:colormru v:ext="edit" colors="#2d4491,#283583"/>
    </o:shapedefaults>
    <o:shapelayout v:ext="edit">
      <o:idmap v:ext="edit" data="2"/>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2193"/>
    <w:rsid w:val="00023713"/>
    <w:rsid w:val="00023C4D"/>
    <w:rsid w:val="00025E71"/>
    <w:rsid w:val="00026269"/>
    <w:rsid w:val="00027154"/>
    <w:rsid w:val="00027ECF"/>
    <w:rsid w:val="000303BE"/>
    <w:rsid w:val="000344D6"/>
    <w:rsid w:val="00034960"/>
    <w:rsid w:val="00036FAE"/>
    <w:rsid w:val="00040F10"/>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699"/>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FFF"/>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E5D"/>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332C"/>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2CC"/>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64C"/>
    <w:rsid w:val="00907776"/>
    <w:rsid w:val="00913401"/>
    <w:rsid w:val="00913567"/>
    <w:rsid w:val="009137B6"/>
    <w:rsid w:val="00913DEC"/>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3"/>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3889"/>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702"/>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0D05"/>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uiPriority w:val="5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Body">
    <w:name w:val="Body"/>
    <w:basedOn w:val="Normal"/>
    <w:qFormat/>
    <w:rsid w:val="00CD0702"/>
    <w:pPr>
      <w:spacing w:before="240" w:line="276" w:lineRule="auto"/>
      <w:ind w:firstLine="1440"/>
    </w:pPr>
    <w:rPr>
      <w:rFonts w:ascii="Times New Roman" w:eastAsiaTheme="minorHAnsi" w:hAnsi="Times New Roman" w:cstheme="minorBidi"/>
      <w:sz w:val="24"/>
      <w:szCs w:val="22"/>
      <w:lang w:val="en-US" w:eastAsia="en-US"/>
    </w:rPr>
  </w:style>
  <w:style w:type="paragraph" w:customStyle="1" w:styleId="Bodynoindent">
    <w:name w:val="Body (no indent)"/>
    <w:basedOn w:val="Body"/>
    <w:qFormat/>
    <w:rsid w:val="00CD0702"/>
    <w:pPr>
      <w:ind w:firstLine="0"/>
    </w:pPr>
  </w:style>
  <w:style w:type="paragraph" w:customStyle="1" w:styleId="Answer">
    <w:name w:val="Answer"/>
    <w:basedOn w:val="Normal"/>
    <w:qFormat/>
    <w:rsid w:val="00CD0702"/>
    <w:pPr>
      <w:spacing w:before="240" w:after="240" w:line="276" w:lineRule="auto"/>
    </w:pPr>
    <w:rPr>
      <w:rFonts w:ascii="Times New Roman Bold" w:eastAsiaTheme="minorHAnsi" w:hAnsi="Times New Roman Bold" w:cstheme="minorBidi"/>
      <w:b/>
      <w:i/>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7BD-E745-435B-BB59-4B5ED0821752}">
  <ds:schemaRefs>
    <ds:schemaRef ds:uri="http://schemas.openxmlformats.org/officeDocument/2006/bibliography"/>
  </ds:schemaRefs>
</ds:datastoreItem>
</file>

<file path=customXml/itemProps2.xml><?xml version="1.0" encoding="utf-8"?>
<ds:datastoreItem xmlns:ds="http://schemas.openxmlformats.org/officeDocument/2006/customXml" ds:itemID="{FC4A7E4D-CBED-4768-B43C-337268AB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8929</Words>
  <Characters>50897</Characters>
  <Application>Microsoft Office Word</Application>
  <DocSecurity>8</DocSecurity>
  <Lines>424</Lines>
  <Paragraphs>119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59707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WSD</cp:lastModifiedBy>
  <cp:revision>2</cp:revision>
  <cp:lastPrinted>2015-02-18T11:01:00Z</cp:lastPrinted>
  <dcterms:created xsi:type="dcterms:W3CDTF">2015-08-17T12:46:00Z</dcterms:created>
  <dcterms:modified xsi:type="dcterms:W3CDTF">2015-08-17T12:46:00Z</dcterms:modified>
</cp:coreProperties>
</file>