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187D0874" w14:textId="77777777" w:rsidTr="00315E96">
        <w:trPr>
          <w:trHeight w:val="284"/>
        </w:trPr>
        <w:tc>
          <w:tcPr>
            <w:tcW w:w="9412" w:type="dxa"/>
          </w:tcPr>
          <w:p w14:paraId="0E9F834E" w14:textId="77777777" w:rsidR="00C2094B" w:rsidRPr="004E49B0" w:rsidRDefault="00FC7841" w:rsidP="00BF557C">
            <w:pPr>
              <w:pStyle w:val="00bDBInfo"/>
              <w:rPr>
                <w:rFonts w:cs="Arial"/>
              </w:rPr>
            </w:pPr>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14:paraId="0FB9F7B3"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5F9FDFD1" w14:textId="77777777" w:rsidTr="00B835D5">
        <w:trPr>
          <w:trHeight w:hRule="exact" w:val="1209"/>
        </w:trPr>
        <w:tc>
          <w:tcPr>
            <w:tcW w:w="9397" w:type="dxa"/>
            <w:vAlign w:val="bottom"/>
          </w:tcPr>
          <w:p w14:paraId="6C605249" w14:textId="77777777"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14:paraId="4641A691" w14:textId="77777777"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14:paraId="072DF674" w14:textId="77777777" w:rsidTr="00B835D5">
        <w:trPr>
          <w:trHeight w:hRule="exact" w:val="605"/>
        </w:trPr>
        <w:tc>
          <w:tcPr>
            <w:tcW w:w="9397" w:type="dxa"/>
            <w:tcMar>
              <w:top w:w="142" w:type="dxa"/>
            </w:tcMar>
          </w:tcPr>
          <w:p w14:paraId="135A3849"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095480E2" w14:textId="77777777"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1A103094" w14:textId="77777777" w:rsidTr="00315E96">
        <w:trPr>
          <w:trHeight w:hRule="exact" w:val="964"/>
        </w:trPr>
        <w:tc>
          <w:tcPr>
            <w:tcW w:w="2325" w:type="dxa"/>
          </w:tcPr>
          <w:p w14:paraId="09E10F2F" w14:textId="77777777" w:rsidR="00620D7C" w:rsidRPr="004E49B0" w:rsidRDefault="00620D7C" w:rsidP="00BF557C">
            <w:pPr>
              <w:pStyle w:val="02Date"/>
              <w:rPr>
                <w:rFonts w:cs="Arial"/>
              </w:rPr>
            </w:pPr>
            <w:r w:rsidRPr="004E49B0">
              <w:rPr>
                <w:rFonts w:cs="Arial"/>
              </w:rPr>
              <w:lastRenderedPageBreak/>
              <w:t xml:space="preserve">Date: </w:t>
            </w:r>
            <w:r w:rsidR="00FC7841">
              <w:rPr>
                <w:rFonts w:cs="Arial"/>
              </w:rPr>
              <w:t>23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14:paraId="7A24619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0C02D00" w14:textId="77777777"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14:paraId="478B48B8" w14:textId="77777777" w:rsidR="007E2302" w:rsidRPr="00F520E3" w:rsidRDefault="007E2302" w:rsidP="007E2302">
      <w:pPr>
        <w:jc w:val="both"/>
      </w:pPr>
    </w:p>
    <w:p w14:paraId="45718E04"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3061FAC2"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14:paraId="39DDAD02"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14:paraId="0842F8FA" w14:textId="77777777"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14:paraId="0C563ABB"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14:paraId="6317DC57"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256CEF97" w14:textId="77777777"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14:paraId="5F30429B" w14:textId="77777777"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14:paraId="59780A7A" w14:textId="77777777"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14:paraId="6D36BFD0" w14:textId="77777777" w:rsidR="001D000A" w:rsidRDefault="001D000A" w:rsidP="000D17AA">
      <w:pPr>
        <w:pStyle w:val="04BodyText"/>
        <w:spacing w:before="120" w:after="120"/>
        <w:jc w:val="left"/>
        <w:rPr>
          <w:rFonts w:cs="Arial"/>
          <w:b/>
        </w:rPr>
      </w:pPr>
    </w:p>
    <w:p w14:paraId="68697211" w14:textId="77777777" w:rsidR="000D17AA" w:rsidRPr="00EF0769" w:rsidRDefault="00606240" w:rsidP="000D17AA">
      <w:pPr>
        <w:pStyle w:val="04BodyText"/>
        <w:spacing w:before="120" w:after="120"/>
        <w:jc w:val="left"/>
        <w:rPr>
          <w:rFonts w:cs="Arial"/>
          <w:b/>
        </w:rPr>
      </w:pPr>
      <w:r>
        <w:rPr>
          <w:rFonts w:cs="Arial"/>
          <w:b/>
        </w:rPr>
        <w:t>Naming protocol</w:t>
      </w:r>
    </w:p>
    <w:p w14:paraId="3049D868" w14:textId="77777777"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14:paraId="1BFFECA5" w14:textId="77777777"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14:paraId="442627C5" w14:textId="77777777"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14:paraId="06D08264" w14:textId="77777777" w:rsidR="00021E83" w:rsidRPr="00EF0769" w:rsidRDefault="00BF557C" w:rsidP="000D17AA">
      <w:pPr>
        <w:pStyle w:val="04BodyText"/>
        <w:spacing w:before="120" w:after="120"/>
        <w:jc w:val="left"/>
        <w:rPr>
          <w:rFonts w:cs="Arial"/>
        </w:rPr>
      </w:pPr>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or </w:t>
      </w:r>
    </w:p>
    <w:p w14:paraId="0826F74B" w14:textId="77777777" w:rsidR="000D17AA" w:rsidRPr="00EF0769" w:rsidRDefault="00BF557C" w:rsidP="000D17AA">
      <w:pPr>
        <w:pStyle w:val="04BodyText"/>
        <w:spacing w:before="120" w:after="120"/>
        <w:jc w:val="left"/>
        <w:rPr>
          <w:rFonts w:cs="Arial"/>
        </w:rPr>
      </w:pPr>
      <w:r w:rsidRPr="00EF0769">
        <w:rPr>
          <w:rFonts w:cs="Arial"/>
        </w:rPr>
        <w:t>ESA_</w:t>
      </w:r>
      <w:r>
        <w:t>TDP_</w:t>
      </w:r>
      <w:r>
        <w:rPr>
          <w:rFonts w:cs="Arial"/>
        </w:rPr>
        <w:t>PRIIPs_XXXX</w:t>
      </w:r>
      <w:r w:rsidR="00021E83" w:rsidRPr="00EF0769">
        <w:rPr>
          <w:rFonts w:cs="Arial"/>
        </w:rPr>
        <w:t>_ANNEX1</w:t>
      </w:r>
    </w:p>
    <w:p w14:paraId="59E9BE3A" w14:textId="77777777"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14:paraId="7733A9EF"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140B2120"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0A02804D"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14:paraId="1D00BBE1" w14:textId="77777777"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14:paraId="4034592A"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14:paraId="334D8377"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3FB93297" w14:textId="77777777" w:rsidR="007E2302" w:rsidRPr="00F520E3" w:rsidRDefault="007E2302" w:rsidP="007E2302">
      <w:pPr>
        <w:jc w:val="both"/>
      </w:pPr>
      <w:bookmarkStart w:id="2"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FootnoteReference"/>
        </w:rPr>
        <w:footnoteReference w:id="2"/>
      </w:r>
      <w:r w:rsidRPr="00F520E3">
        <w:t xml:space="preserve"> We may consult you if we receive such a request. Any decision we make not to disclose the response is reviewable by the Board of Appeal of the ESAs and the European Ombud</w:t>
      </w:r>
      <w:r w:rsidRPr="00F520E3">
        <w:t>s</w:t>
      </w:r>
      <w:r w:rsidRPr="00F520E3">
        <w:t xml:space="preserve">man. </w:t>
      </w:r>
    </w:p>
    <w:p w14:paraId="3ED693D6"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14:paraId="48F24F6F"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12DE353C" w14:textId="77777777"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14:paraId="71AD0574"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15B717FF" w14:textId="77777777" w:rsidR="00332304" w:rsidRDefault="00332304">
      <w:pPr>
        <w:rPr>
          <w:rFonts w:cs="Arial"/>
          <w:b/>
          <w:bCs/>
          <w:kern w:val="32"/>
          <w:sz w:val="24"/>
          <w:szCs w:val="32"/>
        </w:rPr>
      </w:pPr>
      <w:r>
        <w:br w:type="page"/>
      </w:r>
    </w:p>
    <w:p w14:paraId="2C2057FF" w14:textId="77777777" w:rsidR="00D34282" w:rsidRPr="00AB6D88" w:rsidRDefault="00D34282" w:rsidP="00D34282">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14:paraId="7AD33056" w14:textId="77777777" w:rsidTr="00402D10">
        <w:tc>
          <w:tcPr>
            <w:tcW w:w="3929" w:type="dxa"/>
            <w:shd w:val="clear" w:color="auto" w:fill="auto"/>
          </w:tcPr>
          <w:p w14:paraId="6FDC9A9D" w14:textId="77777777" w:rsidR="00D34282" w:rsidRPr="00AB6D88" w:rsidRDefault="00D34282" w:rsidP="00402D10">
            <w:pPr>
              <w:rPr>
                <w:rFonts w:cs="Arial"/>
              </w:rPr>
            </w:pPr>
            <w:permStart w:id="1273442175" w:edGrp="everyone" w:colFirst="1" w:colLast="1"/>
            <w:r w:rsidRPr="00AB6D88">
              <w:rPr>
                <w:rFonts w:cs="Arial"/>
              </w:rPr>
              <w:t>Name of the company / organisation</w:t>
            </w:r>
          </w:p>
        </w:tc>
        <w:sdt>
          <w:sdtPr>
            <w:rPr>
              <w:rStyle w:val="PlaceholderText"/>
              <w:rFonts w:cs="Arial"/>
            </w:rPr>
            <w:id w:val="-1905066999"/>
            <w:text/>
          </w:sdtPr>
          <w:sdtContent>
            <w:permStart w:id="1504274924" w:edGrp="everyone" w:displacedByCustomXml="prev"/>
            <w:tc>
              <w:tcPr>
                <w:tcW w:w="5595" w:type="dxa"/>
                <w:shd w:val="clear" w:color="auto" w:fill="auto"/>
              </w:tcPr>
              <w:p w14:paraId="7D247616" w14:textId="3A723229" w:rsidR="00D34282" w:rsidRPr="00AB6D88" w:rsidRDefault="00E61898" w:rsidP="00E61898">
                <w:pPr>
                  <w:rPr>
                    <w:rStyle w:val="PlaceholderText"/>
                    <w:rFonts w:cs="Arial"/>
                  </w:rPr>
                </w:pPr>
                <w:r>
                  <w:rPr>
                    <w:rStyle w:val="PlaceholderText"/>
                    <w:rFonts w:cs="Arial"/>
                  </w:rPr>
                  <w:t>SSDA</w:t>
                </w:r>
                <w:r w:rsidR="00E50C34">
                  <w:rPr>
                    <w:rStyle w:val="PlaceholderText"/>
                    <w:rFonts w:cs="Arial"/>
                  </w:rPr>
                  <w:t xml:space="preserve"> – Swedish Securities Dealers Association</w:t>
                </w:r>
              </w:p>
            </w:tc>
            <w:permEnd w:id="1504274924" w:displacedByCustomXml="next"/>
          </w:sdtContent>
        </w:sdt>
      </w:tr>
      <w:tr w:rsidR="00D34282" w:rsidRPr="00AB6D88" w14:paraId="513518F7" w14:textId="77777777" w:rsidTr="00402D10">
        <w:tc>
          <w:tcPr>
            <w:tcW w:w="3929" w:type="dxa"/>
            <w:shd w:val="clear" w:color="auto" w:fill="auto"/>
          </w:tcPr>
          <w:p w14:paraId="12F2474F" w14:textId="77777777" w:rsidR="00D34282" w:rsidRPr="00AB6D88" w:rsidRDefault="00D34282" w:rsidP="00402D10">
            <w:pPr>
              <w:rPr>
                <w:rFonts w:cs="Arial"/>
              </w:rPr>
            </w:pPr>
            <w:permStart w:id="303307647" w:edGrp="everyone" w:colFirst="1" w:colLast="1"/>
            <w:permEnd w:id="1273442175"/>
            <w:r w:rsidRPr="00AB6D88">
              <w:rPr>
                <w:rFonts w:cs="Arial"/>
              </w:rPr>
              <w:t>Activity</w:t>
            </w:r>
          </w:p>
        </w:tc>
        <w:tc>
          <w:tcPr>
            <w:tcW w:w="5595" w:type="dxa"/>
            <w:shd w:val="clear" w:color="auto" w:fill="auto"/>
          </w:tcPr>
          <w:p w14:paraId="73A6631C" w14:textId="33BEDFC8" w:rsidR="00D34282" w:rsidRPr="00AB6D88" w:rsidRDefault="00FA1BD9" w:rsidP="00B026A9">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650857687" w:edGrp="everyone"/>
                <w:r w:rsidR="00B026A9">
                  <w:rPr>
                    <w:rFonts w:cs="Arial"/>
                  </w:rPr>
                  <w:t>REPLYFORM</w:t>
                </w:r>
                <w:permEnd w:id="650857687"/>
              </w:sdtContent>
            </w:sdt>
          </w:p>
        </w:tc>
      </w:tr>
      <w:tr w:rsidR="00D34282" w:rsidRPr="00AB6D88" w14:paraId="3C616E38" w14:textId="77777777" w:rsidTr="00402D10">
        <w:tc>
          <w:tcPr>
            <w:tcW w:w="3929" w:type="dxa"/>
            <w:shd w:val="clear" w:color="auto" w:fill="auto"/>
          </w:tcPr>
          <w:p w14:paraId="7D0B95DE" w14:textId="77777777" w:rsidR="00D34282" w:rsidRPr="00AB6D88" w:rsidRDefault="00D34282" w:rsidP="00402D10">
            <w:pPr>
              <w:rPr>
                <w:rFonts w:cs="Arial"/>
              </w:rPr>
            </w:pPr>
            <w:permStart w:id="1494829746" w:edGrp="everyone" w:colFirst="1" w:colLast="1"/>
            <w:permEnd w:id="303307647"/>
            <w:r w:rsidRPr="00AB6D88">
              <w:rPr>
                <w:rFonts w:cs="Arial"/>
              </w:rPr>
              <w:t>Are you representing an association?</w:t>
            </w:r>
          </w:p>
        </w:tc>
        <w:sdt>
          <w:sdtPr>
            <w:rPr>
              <w:rFonts w:cs="Arial"/>
            </w:rPr>
            <w:id w:val="-242871467"/>
            <w14:checkbox>
              <w14:checked w14:val="0"/>
              <w14:checkedState w14:val="2612" w14:font="ＭＳ ゴシック"/>
              <w14:uncheckedState w14:val="2610" w14:font="ＭＳ ゴシック"/>
            </w14:checkbox>
          </w:sdtPr>
          <w:sdtContent>
            <w:tc>
              <w:tcPr>
                <w:tcW w:w="5595" w:type="dxa"/>
                <w:shd w:val="clear" w:color="auto" w:fill="auto"/>
              </w:tcPr>
              <w:p w14:paraId="40815332" w14:textId="77777777" w:rsidR="00D34282" w:rsidRPr="00AB6D88" w:rsidRDefault="00D34282" w:rsidP="00402D10">
                <w:pPr>
                  <w:rPr>
                    <w:rFonts w:cs="Arial"/>
                  </w:rPr>
                </w:pPr>
                <w:r w:rsidRPr="00AB6D88">
                  <w:rPr>
                    <w:rFonts w:ascii="MS Gothic" w:eastAsia="MS Gothic" w:hAnsi="MS Gothic" w:cs="MS Gothic" w:hint="eastAsia"/>
                  </w:rPr>
                  <w:t>☐</w:t>
                </w:r>
              </w:p>
            </w:tc>
          </w:sdtContent>
        </w:sdt>
      </w:tr>
      <w:tr w:rsidR="00D34282" w:rsidRPr="00AB6D88" w14:paraId="065A5134" w14:textId="77777777" w:rsidTr="00402D10">
        <w:tc>
          <w:tcPr>
            <w:tcW w:w="3929" w:type="dxa"/>
            <w:shd w:val="clear" w:color="auto" w:fill="auto"/>
          </w:tcPr>
          <w:p w14:paraId="00CE3802" w14:textId="77777777" w:rsidR="00D34282" w:rsidRPr="00AB6D88" w:rsidRDefault="00D34282" w:rsidP="00402D10">
            <w:pPr>
              <w:rPr>
                <w:rFonts w:cs="Arial"/>
              </w:rPr>
            </w:pPr>
            <w:permStart w:id="1036671089" w:edGrp="everyone" w:colFirst="1" w:colLast="1"/>
            <w:permEnd w:id="1494829746"/>
            <w:r w:rsidRPr="00AB6D88">
              <w:rPr>
                <w:rFonts w:cs="Arial"/>
              </w:rPr>
              <w:t>Country/Region</w:t>
            </w:r>
          </w:p>
        </w:tc>
        <w:permStart w:id="1893531773"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071455395" w:edGrp="everyone" w:displacedByCustomXml="prev"/>
            <w:tc>
              <w:tcPr>
                <w:tcW w:w="5595" w:type="dxa"/>
                <w:shd w:val="clear" w:color="auto" w:fill="auto"/>
              </w:tcPr>
              <w:p w14:paraId="02475A28" w14:textId="37345BA0" w:rsidR="00D34282" w:rsidRPr="00AB6D88" w:rsidRDefault="00E61898" w:rsidP="00E61898">
                <w:pPr>
                  <w:rPr>
                    <w:rFonts w:cs="Arial"/>
                  </w:rPr>
                </w:pPr>
                <w:r>
                  <w:rPr>
                    <w:rFonts w:cs="Arial"/>
                  </w:rPr>
                  <w:t>Sweden</w:t>
                </w:r>
              </w:p>
            </w:tc>
            <w:permEnd w:id="1071455395" w:displacedByCustomXml="next"/>
          </w:sdtContent>
        </w:sdt>
        <w:permEnd w:id="1893531773" w:displacedByCustomXml="prev"/>
      </w:tr>
      <w:permEnd w:id="1036671089"/>
    </w:tbl>
    <w:p w14:paraId="51E9FE5C" w14:textId="77777777" w:rsidR="00D34282" w:rsidRDefault="00D34282" w:rsidP="00D34282">
      <w:pPr>
        <w:spacing w:after="120" w:line="264" w:lineRule="auto"/>
      </w:pPr>
    </w:p>
    <w:p w14:paraId="18CFDF0C" w14:textId="77777777" w:rsidR="00D34282" w:rsidRDefault="00D34282" w:rsidP="00D34282">
      <w:pPr>
        <w:spacing w:after="120" w:line="264" w:lineRule="auto"/>
      </w:pPr>
    </w:p>
    <w:p w14:paraId="79AC7EA3" w14:textId="77777777" w:rsidR="00D34282" w:rsidRDefault="00D34282" w:rsidP="00D34282">
      <w:pPr>
        <w:pStyle w:val="Heading1"/>
        <w:numPr>
          <w:ilvl w:val="0"/>
          <w:numId w:val="0"/>
        </w:numPr>
        <w:ind w:left="431" w:hanging="431"/>
      </w:pPr>
      <w:r>
        <w:t>Introduction</w:t>
      </w:r>
    </w:p>
    <w:p w14:paraId="698324A7" w14:textId="77777777" w:rsidR="00D34282" w:rsidRPr="001D47A5" w:rsidRDefault="00D34282" w:rsidP="00D34282">
      <w:pPr>
        <w:rPr>
          <w:rStyle w:val="IntenseEmphasis"/>
        </w:rPr>
      </w:pPr>
      <w:r w:rsidRPr="001D47A5">
        <w:rPr>
          <w:rStyle w:val="IntenseEmphasis"/>
        </w:rPr>
        <w:t>Please make your introductory comments below, if any:</w:t>
      </w:r>
    </w:p>
    <w:p w14:paraId="67221B2B" w14:textId="77777777" w:rsidR="00D34282" w:rsidRPr="00C25863" w:rsidRDefault="00D34282" w:rsidP="00D34282">
      <w:r w:rsidRPr="00C25863">
        <w:t>&lt;</w:t>
      </w:r>
      <w:r w:rsidRPr="00D74C9D">
        <w:t xml:space="preserve"> </w:t>
      </w:r>
      <w:r>
        <w:t>ESMA_</w:t>
      </w:r>
      <w:r w:rsidR="00F31E57" w:rsidRPr="00F31E57">
        <w:t>COMMENT_PRIIPs</w:t>
      </w:r>
      <w:r w:rsidRPr="00C25863">
        <w:t>_1&gt;</w:t>
      </w:r>
    </w:p>
    <w:p w14:paraId="5CFDF41B" w14:textId="77777777" w:rsidR="00C119A1" w:rsidRDefault="00C119A1" w:rsidP="00D34282">
      <w:permStart w:id="1742284604" w:edGrp="everyone"/>
    </w:p>
    <w:p w14:paraId="666C6DD1" w14:textId="77777777" w:rsidR="002E137E" w:rsidRPr="00393754" w:rsidRDefault="002E137E" w:rsidP="002E137E">
      <w:pPr>
        <w:widowControl w:val="0"/>
        <w:autoSpaceDE w:val="0"/>
        <w:autoSpaceDN w:val="0"/>
        <w:adjustRightInd w:val="0"/>
        <w:rPr>
          <w:rFonts w:eastAsia="MS Mincho" w:cs="Arial"/>
          <w:b/>
          <w:color w:val="000000" w:themeColor="text1"/>
          <w:szCs w:val="20"/>
        </w:rPr>
      </w:pPr>
      <w:r w:rsidRPr="00393754">
        <w:rPr>
          <w:rFonts w:eastAsia="MS Mincho" w:cs="Arial"/>
          <w:b/>
          <w:color w:val="000000" w:themeColor="text1"/>
          <w:szCs w:val="20"/>
        </w:rPr>
        <w:t>The Swedish Securities Dealers Association (SSDA) was founded in 1908 and is an association, which represents the common interest of banks and investment services firms active on the sec</w:t>
      </w:r>
      <w:r w:rsidRPr="00393754">
        <w:rPr>
          <w:rFonts w:eastAsia="MS Mincho" w:cs="Arial"/>
          <w:b/>
          <w:color w:val="000000" w:themeColor="text1"/>
          <w:szCs w:val="20"/>
        </w:rPr>
        <w:t>u</w:t>
      </w:r>
      <w:r w:rsidRPr="00393754">
        <w:rPr>
          <w:rFonts w:eastAsia="MS Mincho" w:cs="Arial"/>
          <w:b/>
          <w:color w:val="000000" w:themeColor="text1"/>
          <w:szCs w:val="20"/>
        </w:rPr>
        <w:t xml:space="preserve">rities market. The mission of SSDA is a sound, strong and efficient Swedish securities market. SSDA promotes member's view in regards to regulatory, market and infrastructure-related issues. </w:t>
      </w:r>
    </w:p>
    <w:p w14:paraId="68BDCC68" w14:textId="77777777" w:rsidR="002E137E" w:rsidRPr="00393754" w:rsidRDefault="002E137E" w:rsidP="002E137E">
      <w:pPr>
        <w:widowControl w:val="0"/>
        <w:autoSpaceDE w:val="0"/>
        <w:autoSpaceDN w:val="0"/>
        <w:adjustRightInd w:val="0"/>
        <w:rPr>
          <w:rFonts w:eastAsia="MS Mincho" w:cs="Arial"/>
          <w:color w:val="000000" w:themeColor="text1"/>
          <w:szCs w:val="20"/>
        </w:rPr>
      </w:pPr>
    </w:p>
    <w:p w14:paraId="545797AF" w14:textId="77777777" w:rsidR="002E137E" w:rsidRPr="00393754" w:rsidRDefault="002E137E" w:rsidP="002E137E">
      <w:pPr>
        <w:widowControl w:val="0"/>
        <w:autoSpaceDE w:val="0"/>
        <w:autoSpaceDN w:val="0"/>
        <w:adjustRightInd w:val="0"/>
        <w:rPr>
          <w:rFonts w:eastAsia="MS Mincho" w:cs="Arial"/>
          <w:color w:val="000000" w:themeColor="text1"/>
          <w:szCs w:val="20"/>
        </w:rPr>
      </w:pPr>
      <w:r w:rsidRPr="00393754">
        <w:rPr>
          <w:rFonts w:eastAsia="MS Mincho" w:cs="Arial"/>
          <w:color w:val="000000" w:themeColor="text1"/>
          <w:szCs w:val="20"/>
        </w:rPr>
        <w:t>Dear Sir, Madam,</w:t>
      </w:r>
    </w:p>
    <w:p w14:paraId="3F62EF9D" w14:textId="77777777" w:rsidR="002E137E" w:rsidRPr="00393754" w:rsidRDefault="002E137E" w:rsidP="002E137E">
      <w:pPr>
        <w:widowControl w:val="0"/>
        <w:autoSpaceDE w:val="0"/>
        <w:autoSpaceDN w:val="0"/>
        <w:adjustRightInd w:val="0"/>
        <w:rPr>
          <w:rFonts w:eastAsia="MS Mincho" w:cs="Arial"/>
          <w:color w:val="000000" w:themeColor="text1"/>
          <w:szCs w:val="20"/>
        </w:rPr>
      </w:pPr>
      <w:r w:rsidRPr="00393754">
        <w:rPr>
          <w:rFonts w:eastAsia="MS Mincho" w:cs="Arial"/>
          <w:color w:val="000000" w:themeColor="text1"/>
          <w:szCs w:val="20"/>
        </w:rPr>
        <w:t> </w:t>
      </w:r>
    </w:p>
    <w:p w14:paraId="518F281C" w14:textId="77777777" w:rsidR="002E137E" w:rsidRPr="00393754" w:rsidRDefault="002E137E" w:rsidP="002E137E">
      <w:pPr>
        <w:widowControl w:val="0"/>
        <w:autoSpaceDE w:val="0"/>
        <w:autoSpaceDN w:val="0"/>
        <w:adjustRightInd w:val="0"/>
        <w:rPr>
          <w:rFonts w:eastAsia="MS Mincho" w:cs="Arial"/>
          <w:color w:val="000000" w:themeColor="text1"/>
          <w:szCs w:val="20"/>
        </w:rPr>
      </w:pPr>
      <w:r w:rsidRPr="00393754">
        <w:rPr>
          <w:rFonts w:eastAsia="MS Mincho" w:cs="Arial"/>
          <w:color w:val="000000" w:themeColor="text1"/>
          <w:szCs w:val="20"/>
        </w:rPr>
        <w:t xml:space="preserve">The Swedish Security Dealers Association (SSDA) welcomes the Joint European Supervisory Authorities’ Technical discussion paper on Key Information Documents for Packaged Retail and Insurance-based Investment Products (PRIIPs) that addresses several concerns that can arise in the establishment of uniform rules on the contents, presentation and calculation of information to be disclosed in the KID. </w:t>
      </w:r>
    </w:p>
    <w:p w14:paraId="7C029E59" w14:textId="77777777" w:rsidR="002E137E" w:rsidRPr="00393754" w:rsidRDefault="002E137E" w:rsidP="002E137E">
      <w:pPr>
        <w:widowControl w:val="0"/>
        <w:autoSpaceDE w:val="0"/>
        <w:autoSpaceDN w:val="0"/>
        <w:adjustRightInd w:val="0"/>
        <w:rPr>
          <w:rFonts w:eastAsia="MS Mincho" w:cs="Arial"/>
          <w:color w:val="000000" w:themeColor="text1"/>
          <w:szCs w:val="20"/>
        </w:rPr>
      </w:pPr>
    </w:p>
    <w:p w14:paraId="0B81B6EB" w14:textId="06CEC7FD" w:rsidR="002E137E" w:rsidRPr="00393754" w:rsidRDefault="002E137E" w:rsidP="002E137E">
      <w:pPr>
        <w:widowControl w:val="0"/>
        <w:autoSpaceDE w:val="0"/>
        <w:autoSpaceDN w:val="0"/>
        <w:adjustRightInd w:val="0"/>
        <w:rPr>
          <w:rFonts w:eastAsia="MS Mincho" w:cs="Arial"/>
          <w:color w:val="000000" w:themeColor="text1"/>
          <w:szCs w:val="20"/>
        </w:rPr>
      </w:pPr>
      <w:proofErr w:type="gramStart"/>
      <w:r w:rsidRPr="00393754">
        <w:rPr>
          <w:rFonts w:eastAsia="MS Mincho" w:cs="Arial"/>
          <w:color w:val="000000" w:themeColor="text1"/>
          <w:szCs w:val="20"/>
        </w:rPr>
        <w:t>The SSDA focus in our comments on the description of risk, performance scenarios and our own proposal of a “risk indicator”.</w:t>
      </w:r>
      <w:proofErr w:type="gramEnd"/>
      <w:r w:rsidRPr="00393754">
        <w:rPr>
          <w:rFonts w:eastAsia="MS Mincho" w:cs="Arial"/>
          <w:color w:val="000000" w:themeColor="text1"/>
          <w:szCs w:val="20"/>
        </w:rPr>
        <w:t xml:space="preserve"> </w:t>
      </w:r>
      <w:r w:rsidR="00E61898" w:rsidRPr="00393754">
        <w:rPr>
          <w:rFonts w:eastAsia="MS Mincho" w:cs="Arial"/>
          <w:color w:val="000000" w:themeColor="text1"/>
          <w:szCs w:val="20"/>
        </w:rPr>
        <w:t xml:space="preserve">The </w:t>
      </w:r>
      <w:r w:rsidR="004C2289" w:rsidRPr="00393754">
        <w:rPr>
          <w:rFonts w:eastAsia="MS Mincho" w:cs="Arial"/>
          <w:color w:val="000000" w:themeColor="text1"/>
          <w:szCs w:val="20"/>
        </w:rPr>
        <w:t xml:space="preserve">SSDA </w:t>
      </w:r>
      <w:r w:rsidR="00E61898" w:rsidRPr="00393754">
        <w:rPr>
          <w:rFonts w:eastAsia="MS Mincho" w:cs="Arial"/>
          <w:color w:val="000000" w:themeColor="text1"/>
          <w:szCs w:val="20"/>
        </w:rPr>
        <w:t>mainly considers</w:t>
      </w:r>
      <w:r w:rsidR="004C2289" w:rsidRPr="00393754">
        <w:rPr>
          <w:rFonts w:eastAsia="MS Mincho" w:cs="Arial"/>
          <w:color w:val="000000" w:themeColor="text1"/>
          <w:szCs w:val="20"/>
        </w:rPr>
        <w:t xml:space="preserve"> the effects for structured products in the Swedish ma</w:t>
      </w:r>
      <w:r w:rsidR="004C2289" w:rsidRPr="00393754">
        <w:rPr>
          <w:rFonts w:eastAsia="MS Mincho" w:cs="Arial"/>
          <w:color w:val="000000" w:themeColor="text1"/>
          <w:szCs w:val="20"/>
        </w:rPr>
        <w:t>r</w:t>
      </w:r>
      <w:r w:rsidR="004C2289" w:rsidRPr="00393754">
        <w:rPr>
          <w:rFonts w:eastAsia="MS Mincho" w:cs="Arial"/>
          <w:color w:val="000000" w:themeColor="text1"/>
          <w:szCs w:val="20"/>
        </w:rPr>
        <w:t>ket.</w:t>
      </w:r>
    </w:p>
    <w:p w14:paraId="0A530F25" w14:textId="77777777" w:rsidR="002E137E" w:rsidRPr="00393754" w:rsidRDefault="002E137E" w:rsidP="002E137E">
      <w:pPr>
        <w:widowControl w:val="0"/>
        <w:autoSpaceDE w:val="0"/>
        <w:autoSpaceDN w:val="0"/>
        <w:adjustRightInd w:val="0"/>
        <w:rPr>
          <w:rFonts w:eastAsia="MS Mincho" w:cs="Arial"/>
          <w:color w:val="000000" w:themeColor="text1"/>
          <w:szCs w:val="20"/>
        </w:rPr>
      </w:pPr>
      <w:r w:rsidRPr="00393754">
        <w:rPr>
          <w:rFonts w:eastAsia="MS Mincho" w:cs="Arial"/>
          <w:color w:val="000000" w:themeColor="text1"/>
          <w:szCs w:val="20"/>
        </w:rPr>
        <w:t> </w:t>
      </w:r>
    </w:p>
    <w:p w14:paraId="2F78B3A4" w14:textId="77777777" w:rsidR="002E137E" w:rsidRPr="00393754" w:rsidRDefault="002E137E" w:rsidP="002E137E">
      <w:pPr>
        <w:widowControl w:val="0"/>
        <w:autoSpaceDE w:val="0"/>
        <w:autoSpaceDN w:val="0"/>
        <w:adjustRightInd w:val="0"/>
        <w:rPr>
          <w:rFonts w:eastAsia="MS Mincho" w:cs="Arial"/>
          <w:b/>
          <w:color w:val="000000" w:themeColor="text1"/>
          <w:szCs w:val="20"/>
        </w:rPr>
      </w:pPr>
      <w:r w:rsidRPr="00393754">
        <w:rPr>
          <w:rFonts w:eastAsia="MS Mincho" w:cs="Arial"/>
          <w:b/>
          <w:color w:val="000000" w:themeColor="text1"/>
          <w:szCs w:val="20"/>
        </w:rPr>
        <w:t>Common issues for both the risk indicator and performance scenarios:</w:t>
      </w:r>
    </w:p>
    <w:p w14:paraId="44907312" w14:textId="77777777" w:rsidR="002E137E" w:rsidRPr="00393754" w:rsidRDefault="002E137E" w:rsidP="002E137E">
      <w:pPr>
        <w:widowControl w:val="0"/>
        <w:autoSpaceDE w:val="0"/>
        <w:autoSpaceDN w:val="0"/>
        <w:adjustRightInd w:val="0"/>
        <w:rPr>
          <w:rFonts w:eastAsia="MS Mincho" w:cs="Arial"/>
          <w:b/>
          <w:color w:val="000000" w:themeColor="text1"/>
          <w:szCs w:val="20"/>
        </w:rPr>
      </w:pPr>
    </w:p>
    <w:p w14:paraId="749B40DE" w14:textId="0E49FB07" w:rsidR="002E137E" w:rsidRPr="00393754" w:rsidRDefault="00E61898" w:rsidP="002E137E">
      <w:pPr>
        <w:pStyle w:val="ListParagraph"/>
        <w:widowControl w:val="0"/>
        <w:numPr>
          <w:ilvl w:val="0"/>
          <w:numId w:val="49"/>
        </w:numPr>
        <w:autoSpaceDE w:val="0"/>
        <w:autoSpaceDN w:val="0"/>
        <w:adjustRightInd w:val="0"/>
        <w:rPr>
          <w:rFonts w:eastAsia="MS Mincho" w:cs="Arial"/>
          <w:color w:val="000000" w:themeColor="text1"/>
          <w:szCs w:val="20"/>
        </w:rPr>
      </w:pPr>
      <w:r w:rsidRPr="00393754">
        <w:rPr>
          <w:rFonts w:eastAsia="MS Mincho" w:cs="Arial"/>
          <w:color w:val="000000" w:themeColor="text1"/>
          <w:szCs w:val="20"/>
        </w:rPr>
        <w:t>The SSDA has</w:t>
      </w:r>
      <w:r w:rsidR="002E137E" w:rsidRPr="00393754">
        <w:rPr>
          <w:rFonts w:eastAsia="MS Mincho" w:cs="Arial"/>
          <w:color w:val="000000" w:themeColor="text1"/>
          <w:szCs w:val="20"/>
        </w:rPr>
        <w:t xml:space="preserve"> the view that stochastic modelling based on predefined parameters estimated from historical data should be used for the calculations of estimations of a distribution of returns. </w:t>
      </w:r>
    </w:p>
    <w:p w14:paraId="031481DC" w14:textId="77777777" w:rsidR="002E137E" w:rsidRPr="00393754" w:rsidRDefault="002E137E" w:rsidP="002E137E">
      <w:pPr>
        <w:pStyle w:val="ListParagraph"/>
        <w:widowControl w:val="0"/>
        <w:autoSpaceDE w:val="0"/>
        <w:autoSpaceDN w:val="0"/>
        <w:adjustRightInd w:val="0"/>
        <w:rPr>
          <w:rFonts w:eastAsia="MS Mincho" w:cs="Arial"/>
          <w:color w:val="000000" w:themeColor="text1"/>
          <w:szCs w:val="20"/>
        </w:rPr>
      </w:pPr>
    </w:p>
    <w:p w14:paraId="44C6761D" w14:textId="15EE591C" w:rsidR="002E137E" w:rsidRPr="00393754" w:rsidRDefault="00E61898" w:rsidP="002E137E">
      <w:pPr>
        <w:pStyle w:val="ListParagraph"/>
        <w:widowControl w:val="0"/>
        <w:numPr>
          <w:ilvl w:val="0"/>
          <w:numId w:val="49"/>
        </w:numPr>
        <w:autoSpaceDE w:val="0"/>
        <w:autoSpaceDN w:val="0"/>
        <w:adjustRightInd w:val="0"/>
        <w:rPr>
          <w:rFonts w:eastAsia="MS Mincho" w:cs="Arial"/>
          <w:color w:val="000000" w:themeColor="text1"/>
          <w:szCs w:val="20"/>
        </w:rPr>
      </w:pPr>
      <w:r w:rsidRPr="00393754">
        <w:rPr>
          <w:rFonts w:eastAsia="MS Mincho" w:cs="Arial"/>
          <w:color w:val="000000" w:themeColor="text1"/>
          <w:szCs w:val="20"/>
        </w:rPr>
        <w:t>The SSDA is</w:t>
      </w:r>
      <w:r w:rsidR="00994A21" w:rsidRPr="00393754">
        <w:rPr>
          <w:rFonts w:eastAsia="MS Mincho" w:cs="Arial"/>
          <w:color w:val="000000" w:themeColor="text1"/>
          <w:szCs w:val="20"/>
        </w:rPr>
        <w:t xml:space="preserve"> in </w:t>
      </w:r>
      <w:r w:rsidR="002E137E" w:rsidRPr="00393754">
        <w:rPr>
          <w:rFonts w:eastAsia="MS Mincho" w:cs="Arial"/>
          <w:color w:val="000000" w:themeColor="text1"/>
          <w:szCs w:val="20"/>
        </w:rPr>
        <w:t xml:space="preserve">favour of allowing manufacturers to choose the most appropriate model. </w:t>
      </w:r>
    </w:p>
    <w:p w14:paraId="0CAE224A" w14:textId="77777777" w:rsidR="002E137E" w:rsidRPr="00393754" w:rsidRDefault="002E137E" w:rsidP="002E137E">
      <w:pPr>
        <w:pStyle w:val="ListParagraph"/>
        <w:widowControl w:val="0"/>
        <w:autoSpaceDE w:val="0"/>
        <w:autoSpaceDN w:val="0"/>
        <w:adjustRightInd w:val="0"/>
        <w:rPr>
          <w:rFonts w:eastAsia="MS Mincho" w:cs="Arial"/>
          <w:color w:val="000000" w:themeColor="text1"/>
          <w:szCs w:val="20"/>
        </w:rPr>
      </w:pPr>
    </w:p>
    <w:p w14:paraId="0F661CA5" w14:textId="0C33608B" w:rsidR="002E137E" w:rsidRPr="00393754" w:rsidRDefault="00E61898" w:rsidP="002E137E">
      <w:pPr>
        <w:widowControl w:val="0"/>
        <w:numPr>
          <w:ilvl w:val="0"/>
          <w:numId w:val="49"/>
        </w:numPr>
        <w:autoSpaceDE w:val="0"/>
        <w:autoSpaceDN w:val="0"/>
        <w:adjustRightInd w:val="0"/>
        <w:contextualSpacing/>
        <w:rPr>
          <w:rFonts w:eastAsia="MS Mincho" w:cs="Arial"/>
          <w:b/>
          <w:color w:val="000000" w:themeColor="text1"/>
          <w:szCs w:val="20"/>
        </w:rPr>
      </w:pPr>
      <w:r w:rsidRPr="00393754">
        <w:rPr>
          <w:rFonts w:eastAsia="MS Mincho" w:cs="Arial"/>
          <w:color w:val="000000" w:themeColor="text1"/>
          <w:szCs w:val="20"/>
        </w:rPr>
        <w:t xml:space="preserve">The </w:t>
      </w:r>
      <w:r w:rsidR="002E137E" w:rsidRPr="00393754">
        <w:rPr>
          <w:rFonts w:eastAsia="MS Mincho" w:cs="Arial"/>
          <w:color w:val="000000" w:themeColor="text1"/>
          <w:szCs w:val="20"/>
        </w:rPr>
        <w:t xml:space="preserve">SSDA </w:t>
      </w:r>
      <w:r w:rsidRPr="00393754">
        <w:rPr>
          <w:rFonts w:eastAsia="MS Mincho" w:cs="Arial"/>
          <w:color w:val="000000" w:themeColor="text1"/>
          <w:szCs w:val="20"/>
        </w:rPr>
        <w:t>has</w:t>
      </w:r>
      <w:r w:rsidR="00994A21" w:rsidRPr="00393754">
        <w:rPr>
          <w:rFonts w:eastAsia="MS Mincho" w:cs="Arial"/>
          <w:color w:val="000000" w:themeColor="text1"/>
          <w:szCs w:val="20"/>
        </w:rPr>
        <w:t xml:space="preserve"> the opinion that </w:t>
      </w:r>
      <w:proofErr w:type="gramStart"/>
      <w:r w:rsidR="00994A21" w:rsidRPr="00393754">
        <w:rPr>
          <w:rFonts w:eastAsia="MS Mincho" w:cs="Arial"/>
          <w:color w:val="000000" w:themeColor="text1"/>
          <w:szCs w:val="20"/>
        </w:rPr>
        <w:t>market,</w:t>
      </w:r>
      <w:proofErr w:type="gramEnd"/>
      <w:r w:rsidR="002E137E" w:rsidRPr="00393754">
        <w:rPr>
          <w:rFonts w:eastAsia="MS Mincho" w:cs="Arial"/>
          <w:color w:val="000000" w:themeColor="text1"/>
          <w:szCs w:val="20"/>
        </w:rPr>
        <w:t xml:space="preserve"> credit and liquidity risk</w:t>
      </w:r>
      <w:r w:rsidR="00994A21" w:rsidRPr="00393754">
        <w:rPr>
          <w:rFonts w:eastAsia="MS Mincho" w:cs="Arial"/>
          <w:color w:val="000000" w:themeColor="text1"/>
          <w:szCs w:val="20"/>
        </w:rPr>
        <w:t>s</w:t>
      </w:r>
      <w:r w:rsidR="002E137E" w:rsidRPr="00393754">
        <w:rPr>
          <w:rFonts w:eastAsia="MS Mincho" w:cs="Arial"/>
          <w:color w:val="000000" w:themeColor="text1"/>
          <w:szCs w:val="20"/>
        </w:rPr>
        <w:t xml:space="preserve"> should be explained under the risk section of the KID.  </w:t>
      </w:r>
    </w:p>
    <w:p w14:paraId="5B659C6A" w14:textId="77777777" w:rsidR="002E137E" w:rsidRPr="00393754" w:rsidRDefault="002E137E" w:rsidP="002E137E">
      <w:pPr>
        <w:widowControl w:val="0"/>
        <w:autoSpaceDE w:val="0"/>
        <w:autoSpaceDN w:val="0"/>
        <w:adjustRightInd w:val="0"/>
        <w:ind w:left="720"/>
        <w:contextualSpacing/>
        <w:rPr>
          <w:rFonts w:eastAsia="MS Mincho" w:cs="Arial"/>
          <w:b/>
          <w:color w:val="000000" w:themeColor="text1"/>
          <w:szCs w:val="20"/>
        </w:rPr>
      </w:pPr>
    </w:p>
    <w:p w14:paraId="642E6A5E" w14:textId="20BB6D93" w:rsidR="002E137E" w:rsidRPr="00393754" w:rsidRDefault="00E61898" w:rsidP="002E137E">
      <w:pPr>
        <w:pStyle w:val="ListParagraph"/>
        <w:numPr>
          <w:ilvl w:val="0"/>
          <w:numId w:val="49"/>
        </w:numPr>
        <w:rPr>
          <w:rFonts w:cs="Arial"/>
          <w:color w:val="000000" w:themeColor="text1"/>
          <w:szCs w:val="20"/>
        </w:rPr>
      </w:pPr>
      <w:r w:rsidRPr="00393754">
        <w:rPr>
          <w:rFonts w:cs="Arial"/>
          <w:color w:val="000000" w:themeColor="text1"/>
          <w:szCs w:val="20"/>
        </w:rPr>
        <w:t xml:space="preserve">The </w:t>
      </w:r>
      <w:r w:rsidR="002E137E" w:rsidRPr="00393754">
        <w:rPr>
          <w:rFonts w:cs="Arial"/>
          <w:color w:val="000000" w:themeColor="text1"/>
          <w:szCs w:val="20"/>
        </w:rPr>
        <w:t xml:space="preserve">SSDA believes it is important to show the risk indicator for the recommended holding period, but also include a warning or narrative text that explains the possible variation in risk over time. </w:t>
      </w:r>
    </w:p>
    <w:p w14:paraId="63B38C83" w14:textId="77777777" w:rsidR="002E137E" w:rsidRPr="00393754" w:rsidRDefault="002E137E" w:rsidP="002E137E">
      <w:pPr>
        <w:widowControl w:val="0"/>
        <w:autoSpaceDE w:val="0"/>
        <w:autoSpaceDN w:val="0"/>
        <w:adjustRightInd w:val="0"/>
        <w:rPr>
          <w:rFonts w:eastAsia="MS Mincho" w:cs="Arial"/>
          <w:color w:val="000000" w:themeColor="text1"/>
          <w:szCs w:val="20"/>
        </w:rPr>
      </w:pPr>
    </w:p>
    <w:p w14:paraId="7A225ACC" w14:textId="15D0E867" w:rsidR="002E137E" w:rsidRPr="00393754" w:rsidRDefault="00E61898" w:rsidP="002E137E">
      <w:pPr>
        <w:widowControl w:val="0"/>
        <w:numPr>
          <w:ilvl w:val="0"/>
          <w:numId w:val="49"/>
        </w:numPr>
        <w:autoSpaceDE w:val="0"/>
        <w:autoSpaceDN w:val="0"/>
        <w:adjustRightInd w:val="0"/>
        <w:contextualSpacing/>
        <w:rPr>
          <w:rFonts w:eastAsia="MS Mincho" w:cs="Arial"/>
          <w:color w:val="000000" w:themeColor="text1"/>
          <w:szCs w:val="20"/>
        </w:rPr>
      </w:pPr>
      <w:r w:rsidRPr="00393754">
        <w:rPr>
          <w:rFonts w:eastAsia="MS Mincho" w:cs="Arial"/>
          <w:color w:val="000000" w:themeColor="text1"/>
          <w:szCs w:val="20"/>
        </w:rPr>
        <w:t>The SSDA is</w:t>
      </w:r>
      <w:r w:rsidR="002E137E" w:rsidRPr="00393754">
        <w:rPr>
          <w:rFonts w:eastAsia="MS Mincho" w:cs="Arial"/>
          <w:color w:val="000000" w:themeColor="text1"/>
          <w:szCs w:val="20"/>
        </w:rPr>
        <w:t xml:space="preserve"> not in favour of integrating the different risks in to one summary risk indicator and suggests </w:t>
      </w:r>
      <w:r w:rsidR="00307DD6" w:rsidRPr="00393754">
        <w:rPr>
          <w:rFonts w:eastAsia="MS Mincho" w:cs="Arial"/>
          <w:color w:val="000000" w:themeColor="text1"/>
          <w:szCs w:val="20"/>
        </w:rPr>
        <w:t xml:space="preserve">instead </w:t>
      </w:r>
      <w:r w:rsidR="002E137E" w:rsidRPr="00393754">
        <w:rPr>
          <w:rFonts w:eastAsia="MS Mincho" w:cs="Arial"/>
          <w:color w:val="000000" w:themeColor="text1"/>
          <w:szCs w:val="20"/>
        </w:rPr>
        <w:t>a multidimensional indicator.</w:t>
      </w:r>
    </w:p>
    <w:p w14:paraId="130242D1" w14:textId="77777777" w:rsidR="002E137E" w:rsidRPr="00393754" w:rsidRDefault="002E137E" w:rsidP="002E137E">
      <w:pPr>
        <w:pStyle w:val="ListParagraph"/>
        <w:widowControl w:val="0"/>
        <w:autoSpaceDE w:val="0"/>
        <w:autoSpaceDN w:val="0"/>
        <w:adjustRightInd w:val="0"/>
        <w:rPr>
          <w:rFonts w:eastAsia="MS Mincho" w:cs="Arial"/>
          <w:b/>
          <w:color w:val="000000" w:themeColor="text1"/>
          <w:szCs w:val="20"/>
        </w:rPr>
      </w:pPr>
    </w:p>
    <w:p w14:paraId="58CA0565" w14:textId="77777777" w:rsidR="002E137E" w:rsidRPr="00393754" w:rsidRDefault="002E137E" w:rsidP="002E137E">
      <w:pPr>
        <w:widowControl w:val="0"/>
        <w:shd w:val="clear" w:color="auto" w:fill="FFFFFF" w:themeFill="background1"/>
        <w:autoSpaceDE w:val="0"/>
        <w:autoSpaceDN w:val="0"/>
        <w:adjustRightInd w:val="0"/>
        <w:rPr>
          <w:rFonts w:eastAsia="MS Mincho" w:cs="Arial"/>
          <w:b/>
          <w:color w:val="000000" w:themeColor="text1"/>
          <w:szCs w:val="20"/>
        </w:rPr>
      </w:pPr>
      <w:r w:rsidRPr="00393754">
        <w:rPr>
          <w:rFonts w:eastAsia="MS Mincho" w:cs="Arial"/>
          <w:b/>
          <w:color w:val="000000" w:themeColor="text1"/>
          <w:szCs w:val="20"/>
        </w:rPr>
        <w:t>Comments to the options and the Swedish Risk Indicator:</w:t>
      </w:r>
    </w:p>
    <w:p w14:paraId="593DD9BE" w14:textId="77777777" w:rsidR="002E137E" w:rsidRPr="00393754" w:rsidRDefault="002E137E" w:rsidP="002E137E">
      <w:pPr>
        <w:widowControl w:val="0"/>
        <w:autoSpaceDE w:val="0"/>
        <w:autoSpaceDN w:val="0"/>
        <w:adjustRightInd w:val="0"/>
        <w:rPr>
          <w:rFonts w:eastAsia="MS Mincho" w:cs="Arial"/>
          <w:b/>
          <w:color w:val="000000" w:themeColor="text1"/>
          <w:szCs w:val="20"/>
        </w:rPr>
      </w:pPr>
    </w:p>
    <w:p w14:paraId="34D73700" w14:textId="0A707D54" w:rsidR="002E137E" w:rsidRPr="00393754" w:rsidRDefault="00E61898" w:rsidP="002E137E">
      <w:pPr>
        <w:pStyle w:val="ListParagraph"/>
        <w:numPr>
          <w:ilvl w:val="0"/>
          <w:numId w:val="43"/>
        </w:numPr>
        <w:rPr>
          <w:rFonts w:cs="Arial"/>
          <w:color w:val="000000" w:themeColor="text1"/>
          <w:szCs w:val="20"/>
        </w:rPr>
      </w:pPr>
      <w:r w:rsidRPr="00393754">
        <w:rPr>
          <w:rFonts w:cs="Arial"/>
          <w:color w:val="000000" w:themeColor="text1"/>
          <w:szCs w:val="20"/>
        </w:rPr>
        <w:t xml:space="preserve">The </w:t>
      </w:r>
      <w:r w:rsidR="002E137E" w:rsidRPr="00393754">
        <w:rPr>
          <w:rFonts w:cs="Arial"/>
          <w:color w:val="000000" w:themeColor="text1"/>
          <w:szCs w:val="20"/>
        </w:rPr>
        <w:t>SSDA has the opinion that option 1 is not suitable as a risk indicator, since it has major dra</w:t>
      </w:r>
      <w:r w:rsidR="002E137E" w:rsidRPr="00393754">
        <w:rPr>
          <w:rFonts w:cs="Arial"/>
          <w:color w:val="000000" w:themeColor="text1"/>
          <w:szCs w:val="20"/>
        </w:rPr>
        <w:t>w</w:t>
      </w:r>
      <w:r w:rsidR="002E137E" w:rsidRPr="00393754">
        <w:rPr>
          <w:rFonts w:cs="Arial"/>
          <w:color w:val="000000" w:themeColor="text1"/>
          <w:szCs w:val="20"/>
        </w:rPr>
        <w:t xml:space="preserve">backs. </w:t>
      </w:r>
    </w:p>
    <w:p w14:paraId="3F65C0D5" w14:textId="77777777" w:rsidR="002E137E" w:rsidRPr="00393754" w:rsidRDefault="002E137E" w:rsidP="002E137E">
      <w:pPr>
        <w:pStyle w:val="ListParagraph"/>
        <w:rPr>
          <w:rFonts w:cs="Arial"/>
          <w:color w:val="000000" w:themeColor="text1"/>
          <w:szCs w:val="20"/>
        </w:rPr>
      </w:pPr>
    </w:p>
    <w:p w14:paraId="3DA3904F" w14:textId="1884C50D" w:rsidR="002E137E" w:rsidRPr="00393754" w:rsidRDefault="00E61898" w:rsidP="002E137E">
      <w:pPr>
        <w:pStyle w:val="ListParagraph"/>
        <w:numPr>
          <w:ilvl w:val="0"/>
          <w:numId w:val="43"/>
        </w:numPr>
        <w:rPr>
          <w:rFonts w:cs="Arial"/>
          <w:color w:val="000000" w:themeColor="text1"/>
          <w:szCs w:val="20"/>
        </w:rPr>
      </w:pPr>
      <w:r w:rsidRPr="00393754">
        <w:rPr>
          <w:rFonts w:cs="Arial"/>
          <w:color w:val="000000" w:themeColor="text1"/>
          <w:szCs w:val="20"/>
        </w:rPr>
        <w:t xml:space="preserve">The </w:t>
      </w:r>
      <w:r w:rsidR="002E137E" w:rsidRPr="00393754">
        <w:rPr>
          <w:rFonts w:cs="Arial"/>
          <w:color w:val="000000" w:themeColor="text1"/>
          <w:szCs w:val="20"/>
        </w:rPr>
        <w:t>SSDA believes that both option 2 and 3 fulfil some of the criteria’s assessed for the metho</w:t>
      </w:r>
      <w:r w:rsidR="002E137E" w:rsidRPr="00393754">
        <w:rPr>
          <w:rFonts w:cs="Arial"/>
          <w:color w:val="000000" w:themeColor="text1"/>
          <w:szCs w:val="20"/>
        </w:rPr>
        <w:t>d</w:t>
      </w:r>
      <w:r w:rsidR="002E137E" w:rsidRPr="00393754">
        <w:rPr>
          <w:rFonts w:cs="Arial"/>
          <w:color w:val="000000" w:themeColor="text1"/>
          <w:szCs w:val="20"/>
        </w:rPr>
        <w:t>ology. But we believe that both the options fail to provide the investor with the most relevant i</w:t>
      </w:r>
      <w:r w:rsidR="002E137E" w:rsidRPr="00393754">
        <w:rPr>
          <w:rFonts w:cs="Arial"/>
          <w:color w:val="000000" w:themeColor="text1"/>
          <w:szCs w:val="20"/>
        </w:rPr>
        <w:t>n</w:t>
      </w:r>
      <w:r w:rsidR="002E137E" w:rsidRPr="00393754">
        <w:rPr>
          <w:rFonts w:cs="Arial"/>
          <w:color w:val="000000" w:themeColor="text1"/>
          <w:szCs w:val="20"/>
        </w:rPr>
        <w:t xml:space="preserve">formation about risks. </w:t>
      </w:r>
    </w:p>
    <w:p w14:paraId="46E3F3E0" w14:textId="77777777" w:rsidR="002E137E" w:rsidRPr="00393754" w:rsidRDefault="002E137E" w:rsidP="002E137E">
      <w:pPr>
        <w:pStyle w:val="ListParagraph"/>
        <w:rPr>
          <w:rFonts w:cs="Arial"/>
          <w:color w:val="000000" w:themeColor="text1"/>
          <w:szCs w:val="20"/>
        </w:rPr>
      </w:pPr>
    </w:p>
    <w:p w14:paraId="320FB5A9" w14:textId="38884CC7" w:rsidR="002E137E" w:rsidRPr="00393754" w:rsidRDefault="00E61898" w:rsidP="002E137E">
      <w:pPr>
        <w:pStyle w:val="ListParagraph"/>
        <w:numPr>
          <w:ilvl w:val="0"/>
          <w:numId w:val="43"/>
        </w:numPr>
        <w:rPr>
          <w:rFonts w:cs="Arial"/>
          <w:color w:val="000000" w:themeColor="text1"/>
          <w:szCs w:val="20"/>
        </w:rPr>
      </w:pPr>
      <w:r w:rsidRPr="00393754">
        <w:rPr>
          <w:rFonts w:cs="Arial"/>
          <w:color w:val="000000" w:themeColor="text1"/>
          <w:szCs w:val="20"/>
        </w:rPr>
        <w:t xml:space="preserve">The </w:t>
      </w:r>
      <w:r w:rsidR="002E137E" w:rsidRPr="00393754">
        <w:rPr>
          <w:rFonts w:cs="Arial"/>
          <w:color w:val="000000" w:themeColor="text1"/>
          <w:szCs w:val="20"/>
        </w:rPr>
        <w:t>SSDA believe</w:t>
      </w:r>
      <w:r w:rsidR="00994A21" w:rsidRPr="00393754">
        <w:rPr>
          <w:rFonts w:cs="Arial"/>
          <w:color w:val="000000" w:themeColor="text1"/>
          <w:szCs w:val="20"/>
        </w:rPr>
        <w:t>s that it i</w:t>
      </w:r>
      <w:r w:rsidR="002E137E" w:rsidRPr="00393754">
        <w:rPr>
          <w:rFonts w:cs="Arial"/>
          <w:color w:val="000000" w:themeColor="text1"/>
          <w:szCs w:val="20"/>
        </w:rPr>
        <w:t>s relevant for retail investors to know the risks in the PRIIP when hol</w:t>
      </w:r>
      <w:r w:rsidR="002E137E" w:rsidRPr="00393754">
        <w:rPr>
          <w:rFonts w:cs="Arial"/>
          <w:color w:val="000000" w:themeColor="text1"/>
          <w:szCs w:val="20"/>
        </w:rPr>
        <w:t>d</w:t>
      </w:r>
      <w:r w:rsidR="002E137E" w:rsidRPr="00393754">
        <w:rPr>
          <w:rFonts w:cs="Arial"/>
          <w:color w:val="000000" w:themeColor="text1"/>
          <w:szCs w:val="20"/>
        </w:rPr>
        <w:t xml:space="preserve">ing the product to the end of the recommended holding period or to the fixed maturity date. Such </w:t>
      </w:r>
      <w:r w:rsidR="002E137E" w:rsidRPr="00393754">
        <w:rPr>
          <w:rFonts w:cs="Arial"/>
          <w:color w:val="000000" w:themeColor="text1"/>
          <w:szCs w:val="20"/>
        </w:rPr>
        <w:lastRenderedPageBreak/>
        <w:t>an approach is more relevant and valuable for the investor compared to a measure that indicates the risk for a shorter time horizon like 10 days as foreseen in option 3.</w:t>
      </w:r>
    </w:p>
    <w:p w14:paraId="1FB8F3B5" w14:textId="77777777" w:rsidR="002E137E" w:rsidRPr="00393754" w:rsidRDefault="002E137E" w:rsidP="002E137E">
      <w:pPr>
        <w:ind w:firstLine="60"/>
        <w:rPr>
          <w:rFonts w:cs="Arial"/>
          <w:color w:val="000000" w:themeColor="text1"/>
          <w:szCs w:val="20"/>
        </w:rPr>
      </w:pPr>
    </w:p>
    <w:p w14:paraId="156A1C08" w14:textId="48C71853" w:rsidR="002E137E" w:rsidRPr="00393754" w:rsidRDefault="00E61898" w:rsidP="002E137E">
      <w:pPr>
        <w:pStyle w:val="ListParagraph"/>
        <w:widowControl w:val="0"/>
        <w:numPr>
          <w:ilvl w:val="0"/>
          <w:numId w:val="43"/>
        </w:numPr>
        <w:shd w:val="clear" w:color="auto" w:fill="FFFFFF" w:themeFill="background1"/>
        <w:autoSpaceDE w:val="0"/>
        <w:autoSpaceDN w:val="0"/>
        <w:adjustRightInd w:val="0"/>
        <w:rPr>
          <w:rFonts w:cs="Arial"/>
          <w:color w:val="000000" w:themeColor="text1"/>
          <w:szCs w:val="20"/>
        </w:rPr>
      </w:pPr>
      <w:r w:rsidRPr="00393754">
        <w:rPr>
          <w:rFonts w:cs="Arial"/>
          <w:color w:val="000000" w:themeColor="text1"/>
          <w:szCs w:val="20"/>
        </w:rPr>
        <w:t>The SSDA is</w:t>
      </w:r>
      <w:r w:rsidR="002E137E" w:rsidRPr="00393754">
        <w:rPr>
          <w:rFonts w:cs="Arial"/>
          <w:color w:val="000000" w:themeColor="text1"/>
          <w:szCs w:val="20"/>
        </w:rPr>
        <w:t xml:space="preserve"> in favour of a variation</w:t>
      </w:r>
      <w:r w:rsidR="002B00C3" w:rsidRPr="00393754">
        <w:rPr>
          <w:rFonts w:cs="Arial"/>
          <w:color w:val="000000" w:themeColor="text1"/>
          <w:szCs w:val="20"/>
        </w:rPr>
        <w:t xml:space="preserve"> of</w:t>
      </w:r>
      <w:r w:rsidR="002E137E" w:rsidRPr="00393754">
        <w:rPr>
          <w:rFonts w:cs="Arial"/>
          <w:color w:val="000000" w:themeColor="text1"/>
          <w:szCs w:val="20"/>
        </w:rPr>
        <w:t xml:space="preserve"> option</w:t>
      </w:r>
      <w:r w:rsidR="00295E97" w:rsidRPr="00393754">
        <w:rPr>
          <w:rFonts w:cs="Arial"/>
          <w:color w:val="000000" w:themeColor="text1"/>
          <w:szCs w:val="20"/>
        </w:rPr>
        <w:t xml:space="preserve"> 3</w:t>
      </w:r>
      <w:r w:rsidR="002E137E" w:rsidRPr="00393754">
        <w:rPr>
          <w:rFonts w:cs="Arial"/>
          <w:color w:val="000000" w:themeColor="text1"/>
          <w:szCs w:val="20"/>
        </w:rPr>
        <w:t xml:space="preserve"> with a forward looking model that uses the end of maturity as the default holding period for products with a fixed maturity. For open-ended products like UCITS funds the holding period could be 3 to 5 years depending on the characteri</w:t>
      </w:r>
      <w:r w:rsidR="002E137E" w:rsidRPr="00393754">
        <w:rPr>
          <w:rFonts w:cs="Arial"/>
          <w:color w:val="000000" w:themeColor="text1"/>
          <w:szCs w:val="20"/>
        </w:rPr>
        <w:t>s</w:t>
      </w:r>
      <w:r w:rsidR="002E137E" w:rsidRPr="00393754">
        <w:rPr>
          <w:rFonts w:cs="Arial"/>
          <w:color w:val="000000" w:themeColor="text1"/>
          <w:szCs w:val="20"/>
        </w:rPr>
        <w:t>tics of the product.</w:t>
      </w:r>
    </w:p>
    <w:p w14:paraId="22C21801" w14:textId="77777777" w:rsidR="002E137E" w:rsidRPr="00393754" w:rsidRDefault="002E137E" w:rsidP="002E137E">
      <w:pPr>
        <w:widowControl w:val="0"/>
        <w:shd w:val="clear" w:color="auto" w:fill="FFFFFF" w:themeFill="background1"/>
        <w:autoSpaceDE w:val="0"/>
        <w:autoSpaceDN w:val="0"/>
        <w:adjustRightInd w:val="0"/>
        <w:rPr>
          <w:rFonts w:eastAsia="MS Mincho" w:cs="Arial"/>
          <w:color w:val="000000" w:themeColor="text1"/>
          <w:szCs w:val="20"/>
        </w:rPr>
      </w:pPr>
    </w:p>
    <w:p w14:paraId="0B1FA194" w14:textId="18FD01B2" w:rsidR="002E137E" w:rsidRPr="00393754" w:rsidRDefault="00E61898" w:rsidP="002E137E">
      <w:pPr>
        <w:widowControl w:val="0"/>
        <w:numPr>
          <w:ilvl w:val="0"/>
          <w:numId w:val="44"/>
        </w:numPr>
        <w:shd w:val="clear" w:color="auto" w:fill="FFFFFF" w:themeFill="background1"/>
        <w:autoSpaceDE w:val="0"/>
        <w:autoSpaceDN w:val="0"/>
        <w:adjustRightInd w:val="0"/>
        <w:contextualSpacing/>
        <w:rPr>
          <w:rFonts w:eastAsia="MS Mincho" w:cs="Arial"/>
          <w:color w:val="000000" w:themeColor="text1"/>
          <w:szCs w:val="20"/>
        </w:rPr>
      </w:pPr>
      <w:r w:rsidRPr="00393754">
        <w:rPr>
          <w:rFonts w:eastAsia="MS Mincho" w:cs="Arial"/>
          <w:color w:val="000000" w:themeColor="text1"/>
          <w:szCs w:val="20"/>
        </w:rPr>
        <w:t xml:space="preserve">The </w:t>
      </w:r>
      <w:r w:rsidR="002E137E" w:rsidRPr="00393754">
        <w:rPr>
          <w:rFonts w:eastAsia="MS Mincho" w:cs="Arial"/>
          <w:color w:val="000000" w:themeColor="text1"/>
          <w:szCs w:val="20"/>
        </w:rPr>
        <w:t>SSDA would like to advocate the risk indicator that the members in Sweden have worked on and decide</w:t>
      </w:r>
      <w:r w:rsidR="00295E97" w:rsidRPr="00393754">
        <w:rPr>
          <w:rFonts w:eastAsia="MS Mincho" w:cs="Arial"/>
          <w:color w:val="000000" w:themeColor="text1"/>
          <w:szCs w:val="20"/>
        </w:rPr>
        <w:t>d</w:t>
      </w:r>
      <w:r w:rsidR="002E137E" w:rsidRPr="00393754">
        <w:rPr>
          <w:rFonts w:eastAsia="MS Mincho" w:cs="Arial"/>
          <w:color w:val="000000" w:themeColor="text1"/>
          <w:szCs w:val="20"/>
        </w:rPr>
        <w:t xml:space="preserve"> to use in Sweden from August 2015. The attached document explains the model and the methodology behind the risk measures in detail. </w:t>
      </w:r>
    </w:p>
    <w:p w14:paraId="3489D762" w14:textId="77777777" w:rsidR="002E137E" w:rsidRPr="00393754" w:rsidRDefault="002E137E" w:rsidP="002E137E">
      <w:pPr>
        <w:widowControl w:val="0"/>
        <w:autoSpaceDE w:val="0"/>
        <w:autoSpaceDN w:val="0"/>
        <w:adjustRightInd w:val="0"/>
        <w:contextualSpacing/>
        <w:rPr>
          <w:rFonts w:eastAsia="MS Mincho" w:cs="Arial"/>
          <w:color w:val="000000" w:themeColor="text1"/>
          <w:szCs w:val="20"/>
        </w:rPr>
      </w:pPr>
    </w:p>
    <w:p w14:paraId="27188BB7" w14:textId="77777777" w:rsidR="002E137E" w:rsidRPr="00393754" w:rsidRDefault="002E137E" w:rsidP="002E137E">
      <w:pPr>
        <w:widowControl w:val="0"/>
        <w:autoSpaceDE w:val="0"/>
        <w:autoSpaceDN w:val="0"/>
        <w:adjustRightInd w:val="0"/>
        <w:rPr>
          <w:rFonts w:eastAsia="MS Mincho" w:cs="Arial"/>
          <w:b/>
          <w:color w:val="000000" w:themeColor="text1"/>
          <w:szCs w:val="20"/>
        </w:rPr>
      </w:pPr>
      <w:r w:rsidRPr="00393754">
        <w:rPr>
          <w:rFonts w:eastAsia="MS Mincho" w:cs="Arial"/>
          <w:b/>
          <w:color w:val="000000" w:themeColor="text1"/>
          <w:szCs w:val="20"/>
        </w:rPr>
        <w:t>Performance Scenarios</w:t>
      </w:r>
    </w:p>
    <w:p w14:paraId="73B4BF66" w14:textId="77777777" w:rsidR="002E137E" w:rsidRPr="00393754" w:rsidRDefault="002E137E" w:rsidP="002E137E">
      <w:pPr>
        <w:widowControl w:val="0"/>
        <w:autoSpaceDE w:val="0"/>
        <w:autoSpaceDN w:val="0"/>
        <w:adjustRightInd w:val="0"/>
        <w:rPr>
          <w:rFonts w:eastAsia="MS Mincho" w:cs="Arial"/>
          <w:color w:val="000000" w:themeColor="text1"/>
          <w:szCs w:val="20"/>
        </w:rPr>
      </w:pPr>
    </w:p>
    <w:p w14:paraId="781F96AD" w14:textId="26B5C85A" w:rsidR="002E137E" w:rsidRPr="00393754" w:rsidRDefault="00E61898" w:rsidP="002E137E">
      <w:pPr>
        <w:pStyle w:val="ListParagraph"/>
        <w:widowControl w:val="0"/>
        <w:numPr>
          <w:ilvl w:val="0"/>
          <w:numId w:val="44"/>
        </w:numPr>
        <w:autoSpaceDE w:val="0"/>
        <w:autoSpaceDN w:val="0"/>
        <w:adjustRightInd w:val="0"/>
        <w:rPr>
          <w:rFonts w:eastAsia="MS Mincho" w:cs="Arial"/>
          <w:color w:val="000000" w:themeColor="text1"/>
          <w:szCs w:val="20"/>
        </w:rPr>
      </w:pPr>
      <w:r w:rsidRPr="00393754">
        <w:rPr>
          <w:rFonts w:eastAsia="MS Mincho" w:cs="Arial"/>
          <w:color w:val="000000" w:themeColor="text1"/>
          <w:szCs w:val="20"/>
        </w:rPr>
        <w:t xml:space="preserve">The </w:t>
      </w:r>
      <w:r w:rsidR="00994A21" w:rsidRPr="00393754">
        <w:rPr>
          <w:rFonts w:eastAsia="MS Mincho" w:cs="Arial"/>
          <w:color w:val="000000" w:themeColor="text1"/>
          <w:szCs w:val="20"/>
        </w:rPr>
        <w:t>SSDA supports</w:t>
      </w:r>
      <w:r w:rsidR="002E137E" w:rsidRPr="00393754">
        <w:rPr>
          <w:rFonts w:eastAsia="MS Mincho" w:cs="Arial"/>
          <w:color w:val="000000" w:themeColor="text1"/>
          <w:szCs w:val="20"/>
        </w:rPr>
        <w:t xml:space="preserve"> an approach using hypothetical scenarios and not probability based scenar</w:t>
      </w:r>
      <w:r w:rsidR="002E137E" w:rsidRPr="00393754">
        <w:rPr>
          <w:rFonts w:eastAsia="MS Mincho" w:cs="Arial"/>
          <w:color w:val="000000" w:themeColor="text1"/>
          <w:szCs w:val="20"/>
        </w:rPr>
        <w:t>i</w:t>
      </w:r>
      <w:r w:rsidR="002E137E" w:rsidRPr="00393754">
        <w:rPr>
          <w:rFonts w:eastAsia="MS Mincho" w:cs="Arial"/>
          <w:color w:val="000000" w:themeColor="text1"/>
          <w:szCs w:val="20"/>
        </w:rPr>
        <w:t>os. Performance scenarios should show possible outcomes feasible under the PRIIP without any implications to their likelihood.</w:t>
      </w:r>
    </w:p>
    <w:p w14:paraId="6EE456F7" w14:textId="77777777" w:rsidR="002E137E" w:rsidRPr="00393754" w:rsidRDefault="002E137E" w:rsidP="002E137E">
      <w:pPr>
        <w:widowControl w:val="0"/>
        <w:shd w:val="clear" w:color="auto" w:fill="FFFFFF" w:themeFill="background1"/>
        <w:autoSpaceDE w:val="0"/>
        <w:autoSpaceDN w:val="0"/>
        <w:adjustRightInd w:val="0"/>
        <w:contextualSpacing/>
        <w:rPr>
          <w:rFonts w:eastAsia="MS Mincho" w:cs="Arial"/>
          <w:color w:val="000000" w:themeColor="text1"/>
          <w:szCs w:val="20"/>
        </w:rPr>
      </w:pPr>
    </w:p>
    <w:p w14:paraId="48E94621" w14:textId="77777777" w:rsidR="002E137E" w:rsidRPr="00393754" w:rsidRDefault="002E137E" w:rsidP="002E137E">
      <w:pPr>
        <w:widowControl w:val="0"/>
        <w:shd w:val="clear" w:color="auto" w:fill="FFFFFF" w:themeFill="background1"/>
        <w:autoSpaceDE w:val="0"/>
        <w:autoSpaceDN w:val="0"/>
        <w:adjustRightInd w:val="0"/>
        <w:contextualSpacing/>
        <w:rPr>
          <w:rFonts w:eastAsia="MS Mincho" w:cs="Arial"/>
          <w:b/>
          <w:color w:val="000000" w:themeColor="text1"/>
          <w:szCs w:val="20"/>
        </w:rPr>
      </w:pPr>
      <w:r w:rsidRPr="00393754">
        <w:rPr>
          <w:rFonts w:eastAsia="MS Mincho" w:cs="Arial"/>
          <w:b/>
          <w:color w:val="000000" w:themeColor="text1"/>
          <w:szCs w:val="20"/>
        </w:rPr>
        <w:t xml:space="preserve">Costs for Structured products </w:t>
      </w:r>
    </w:p>
    <w:p w14:paraId="38343854" w14:textId="77777777" w:rsidR="002E137E" w:rsidRPr="00393754" w:rsidRDefault="002E137E" w:rsidP="002E137E">
      <w:pPr>
        <w:widowControl w:val="0"/>
        <w:shd w:val="clear" w:color="auto" w:fill="FFFFFF" w:themeFill="background1"/>
        <w:autoSpaceDE w:val="0"/>
        <w:autoSpaceDN w:val="0"/>
        <w:adjustRightInd w:val="0"/>
        <w:contextualSpacing/>
        <w:rPr>
          <w:rFonts w:eastAsia="MS Mincho" w:cs="Arial"/>
          <w:color w:val="000000" w:themeColor="text1"/>
          <w:szCs w:val="20"/>
        </w:rPr>
      </w:pPr>
    </w:p>
    <w:p w14:paraId="4661CE46" w14:textId="77777777" w:rsidR="002E137E" w:rsidRPr="00393754" w:rsidRDefault="002E137E" w:rsidP="002E137E">
      <w:pPr>
        <w:pStyle w:val="ListParagraph"/>
        <w:numPr>
          <w:ilvl w:val="0"/>
          <w:numId w:val="50"/>
        </w:numPr>
        <w:rPr>
          <w:rFonts w:cs="Arial"/>
          <w:color w:val="000000" w:themeColor="text1"/>
          <w:szCs w:val="20"/>
        </w:rPr>
      </w:pPr>
      <w:r w:rsidRPr="00393754">
        <w:rPr>
          <w:rFonts w:cs="Arial"/>
          <w:color w:val="000000" w:themeColor="text1"/>
          <w:szCs w:val="20"/>
        </w:rPr>
        <w:t>SSDA believes that it’s important to make a distinction between costs that are borne by the man</w:t>
      </w:r>
      <w:r w:rsidRPr="00393754">
        <w:rPr>
          <w:rFonts w:cs="Arial"/>
          <w:color w:val="000000" w:themeColor="text1"/>
          <w:szCs w:val="20"/>
        </w:rPr>
        <w:t>u</w:t>
      </w:r>
      <w:r w:rsidRPr="00393754">
        <w:rPr>
          <w:rFonts w:cs="Arial"/>
          <w:color w:val="000000" w:themeColor="text1"/>
          <w:szCs w:val="20"/>
        </w:rPr>
        <w:t>facturer such as legal, capital requirements, hedging (i.e. costs where the manufacturer loses money if he made a wrong assumption and these cost raise), and cost that are passed on the cl</w:t>
      </w:r>
      <w:r w:rsidRPr="00393754">
        <w:rPr>
          <w:rFonts w:cs="Arial"/>
          <w:color w:val="000000" w:themeColor="text1"/>
          <w:szCs w:val="20"/>
        </w:rPr>
        <w:t>i</w:t>
      </w:r>
      <w:r w:rsidRPr="00393754">
        <w:rPr>
          <w:rFonts w:cs="Arial"/>
          <w:color w:val="000000" w:themeColor="text1"/>
          <w:szCs w:val="20"/>
        </w:rPr>
        <w:t>ent such as sales commission, distribution cost (i.e. cost which generate revenue for the manufa</w:t>
      </w:r>
      <w:r w:rsidRPr="00393754">
        <w:rPr>
          <w:rFonts w:cs="Arial"/>
          <w:color w:val="000000" w:themeColor="text1"/>
          <w:szCs w:val="20"/>
        </w:rPr>
        <w:t>c</w:t>
      </w:r>
      <w:r w:rsidRPr="00393754">
        <w:rPr>
          <w:rFonts w:cs="Arial"/>
          <w:color w:val="000000" w:themeColor="text1"/>
          <w:szCs w:val="20"/>
        </w:rPr>
        <w:t xml:space="preserve">turer). </w:t>
      </w:r>
    </w:p>
    <w:p w14:paraId="31333284" w14:textId="77777777" w:rsidR="002E137E" w:rsidRPr="00393754" w:rsidRDefault="002E137E" w:rsidP="002E137E">
      <w:pPr>
        <w:pStyle w:val="ListParagraph"/>
        <w:rPr>
          <w:rFonts w:cs="Arial"/>
          <w:color w:val="000000" w:themeColor="text1"/>
          <w:szCs w:val="20"/>
        </w:rPr>
      </w:pPr>
    </w:p>
    <w:p w14:paraId="1425B8B0" w14:textId="77777777" w:rsidR="002E137E" w:rsidRPr="00393754" w:rsidRDefault="002E137E" w:rsidP="002E137E">
      <w:pPr>
        <w:pStyle w:val="ListParagraph"/>
        <w:numPr>
          <w:ilvl w:val="0"/>
          <w:numId w:val="50"/>
        </w:numPr>
        <w:rPr>
          <w:rFonts w:cs="Arial"/>
          <w:color w:val="000000" w:themeColor="text1"/>
          <w:szCs w:val="20"/>
        </w:rPr>
      </w:pPr>
      <w:r w:rsidRPr="00393754">
        <w:rPr>
          <w:rFonts w:cs="Arial"/>
          <w:color w:val="000000" w:themeColor="text1"/>
          <w:szCs w:val="20"/>
        </w:rPr>
        <w:t>We would therefore recommend to display:</w:t>
      </w:r>
    </w:p>
    <w:p w14:paraId="062AFD66" w14:textId="77777777" w:rsidR="002E137E" w:rsidRPr="00393754" w:rsidRDefault="002E137E" w:rsidP="002E137E">
      <w:pPr>
        <w:pStyle w:val="ListParagraph"/>
        <w:numPr>
          <w:ilvl w:val="1"/>
          <w:numId w:val="49"/>
        </w:numPr>
        <w:rPr>
          <w:rFonts w:cs="Arial"/>
          <w:color w:val="000000" w:themeColor="text1"/>
          <w:szCs w:val="20"/>
        </w:rPr>
      </w:pPr>
      <w:r w:rsidRPr="00393754">
        <w:rPr>
          <w:rFonts w:cs="Arial"/>
          <w:color w:val="000000" w:themeColor="text1"/>
          <w:szCs w:val="20"/>
        </w:rPr>
        <w:t>Sales commissions (or distributor commissions) and decompose it into 2 components: u</w:t>
      </w:r>
      <w:r w:rsidRPr="00393754">
        <w:rPr>
          <w:rFonts w:cs="Arial"/>
          <w:color w:val="000000" w:themeColor="text1"/>
          <w:szCs w:val="20"/>
        </w:rPr>
        <w:t>p</w:t>
      </w:r>
      <w:r w:rsidRPr="00393754">
        <w:rPr>
          <w:rFonts w:cs="Arial"/>
          <w:color w:val="000000" w:themeColor="text1"/>
          <w:szCs w:val="20"/>
        </w:rPr>
        <w:t>front sales commission and running sales commission (usually there is no sales commi</w:t>
      </w:r>
      <w:r w:rsidRPr="00393754">
        <w:rPr>
          <w:rFonts w:cs="Arial"/>
          <w:color w:val="000000" w:themeColor="text1"/>
          <w:szCs w:val="20"/>
        </w:rPr>
        <w:t>s</w:t>
      </w:r>
      <w:r w:rsidRPr="00393754">
        <w:rPr>
          <w:rFonts w:cs="Arial"/>
          <w:color w:val="000000" w:themeColor="text1"/>
          <w:szCs w:val="20"/>
        </w:rPr>
        <w:t>sion upon exit)</w:t>
      </w:r>
    </w:p>
    <w:p w14:paraId="3A47F424" w14:textId="77777777" w:rsidR="002E137E" w:rsidRPr="00393754" w:rsidRDefault="002E137E" w:rsidP="002E137E">
      <w:pPr>
        <w:pStyle w:val="ListParagraph"/>
        <w:numPr>
          <w:ilvl w:val="1"/>
          <w:numId w:val="49"/>
        </w:numPr>
        <w:rPr>
          <w:rFonts w:cs="Arial"/>
          <w:color w:val="000000" w:themeColor="text1"/>
          <w:szCs w:val="20"/>
        </w:rPr>
      </w:pPr>
      <w:r w:rsidRPr="00393754">
        <w:rPr>
          <w:rFonts w:cs="Arial"/>
          <w:color w:val="000000" w:themeColor="text1"/>
          <w:szCs w:val="20"/>
        </w:rPr>
        <w:t>Structuring cost (also called "manufacturing cost") decomposed into its 3 components: u</w:t>
      </w:r>
      <w:r w:rsidRPr="00393754">
        <w:rPr>
          <w:rFonts w:cs="Arial"/>
          <w:color w:val="000000" w:themeColor="text1"/>
          <w:szCs w:val="20"/>
        </w:rPr>
        <w:t>p</w:t>
      </w:r>
      <w:r w:rsidRPr="00393754">
        <w:rPr>
          <w:rFonts w:cs="Arial"/>
          <w:color w:val="000000" w:themeColor="text1"/>
          <w:szCs w:val="20"/>
        </w:rPr>
        <w:t>front manufacturing cost, running manufacturing cost and exit charge if any.</w:t>
      </w:r>
    </w:p>
    <w:p w14:paraId="756DEADB" w14:textId="77777777" w:rsidR="002E137E" w:rsidRPr="00393754" w:rsidRDefault="002E137E" w:rsidP="002E137E">
      <w:pPr>
        <w:pStyle w:val="ListParagraph"/>
        <w:rPr>
          <w:rFonts w:cs="Arial"/>
          <w:color w:val="000000" w:themeColor="text1"/>
          <w:szCs w:val="20"/>
        </w:rPr>
      </w:pPr>
    </w:p>
    <w:p w14:paraId="14D7D556" w14:textId="77777777" w:rsidR="002E137E" w:rsidRPr="00393754" w:rsidRDefault="002E137E" w:rsidP="002E137E">
      <w:pPr>
        <w:pStyle w:val="ListParagraph"/>
        <w:numPr>
          <w:ilvl w:val="0"/>
          <w:numId w:val="50"/>
        </w:numPr>
        <w:rPr>
          <w:rFonts w:cs="Arial"/>
          <w:color w:val="000000" w:themeColor="text1"/>
          <w:szCs w:val="20"/>
        </w:rPr>
      </w:pPr>
      <w:r w:rsidRPr="00393754">
        <w:rPr>
          <w:rFonts w:cs="Arial"/>
          <w:color w:val="000000" w:themeColor="text1"/>
          <w:szCs w:val="20"/>
        </w:rPr>
        <w:t xml:space="preserve">There is no need to differentiate between delta one and option based (delta one is a particular case of an option) structured products. </w:t>
      </w:r>
    </w:p>
    <w:p w14:paraId="37200ECC" w14:textId="77777777" w:rsidR="002E137E" w:rsidRPr="00393754" w:rsidRDefault="002E137E" w:rsidP="002E137E">
      <w:pPr>
        <w:pStyle w:val="ListParagraph"/>
        <w:rPr>
          <w:rFonts w:cs="Arial"/>
          <w:color w:val="000000" w:themeColor="text1"/>
          <w:szCs w:val="20"/>
        </w:rPr>
      </w:pPr>
    </w:p>
    <w:p w14:paraId="63E477AE" w14:textId="26D3E895" w:rsidR="002E137E" w:rsidRPr="00393754" w:rsidRDefault="00E61898" w:rsidP="002E137E">
      <w:pPr>
        <w:pStyle w:val="ListParagraph"/>
        <w:numPr>
          <w:ilvl w:val="0"/>
          <w:numId w:val="50"/>
        </w:numPr>
        <w:rPr>
          <w:rFonts w:cs="Arial"/>
          <w:color w:val="000000" w:themeColor="text1"/>
          <w:szCs w:val="20"/>
        </w:rPr>
      </w:pPr>
      <w:r w:rsidRPr="00393754">
        <w:rPr>
          <w:rFonts w:cs="Arial"/>
          <w:color w:val="000000" w:themeColor="text1"/>
          <w:szCs w:val="20"/>
        </w:rPr>
        <w:t xml:space="preserve">The </w:t>
      </w:r>
      <w:r w:rsidR="002E137E" w:rsidRPr="00393754">
        <w:rPr>
          <w:rFonts w:cs="Arial"/>
          <w:color w:val="000000" w:themeColor="text1"/>
          <w:szCs w:val="20"/>
        </w:rPr>
        <w:t>SSDA favour</w:t>
      </w:r>
      <w:r w:rsidR="006E7F66" w:rsidRPr="00393754">
        <w:rPr>
          <w:rFonts w:cs="Arial"/>
          <w:color w:val="000000" w:themeColor="text1"/>
          <w:szCs w:val="20"/>
        </w:rPr>
        <w:t>s</w:t>
      </w:r>
      <w:r w:rsidR="002E137E" w:rsidRPr="00393754">
        <w:rPr>
          <w:rFonts w:cs="Arial"/>
          <w:color w:val="000000" w:themeColor="text1"/>
          <w:szCs w:val="20"/>
        </w:rPr>
        <w:t xml:space="preserve"> the first approach proposed (i.e. “Introduce a distinction between the inves</w:t>
      </w:r>
      <w:r w:rsidR="002E137E" w:rsidRPr="00393754">
        <w:rPr>
          <w:rFonts w:cs="Arial"/>
          <w:color w:val="000000" w:themeColor="text1"/>
          <w:szCs w:val="20"/>
        </w:rPr>
        <w:t>t</w:t>
      </w:r>
      <w:r w:rsidR="002E137E" w:rsidRPr="00393754">
        <w:rPr>
          <w:rFonts w:cs="Arial"/>
          <w:color w:val="000000" w:themeColor="text1"/>
          <w:szCs w:val="20"/>
        </w:rPr>
        <w:t>ment’s price and the margin/fees that have been incorporated in the price”) is more consistent with the aim of ensuring comparability between PRIIPs issued by different manufacturers.</w:t>
      </w:r>
    </w:p>
    <w:p w14:paraId="4ED04AAB" w14:textId="77777777" w:rsidR="002E137E" w:rsidRPr="00393754" w:rsidRDefault="002E137E" w:rsidP="002E137E">
      <w:pPr>
        <w:widowControl w:val="0"/>
        <w:shd w:val="clear" w:color="auto" w:fill="FFFFFF" w:themeFill="background1"/>
        <w:autoSpaceDE w:val="0"/>
        <w:autoSpaceDN w:val="0"/>
        <w:adjustRightInd w:val="0"/>
        <w:rPr>
          <w:rFonts w:eastAsia="MS Mincho" w:cs="Arial"/>
          <w:color w:val="000000" w:themeColor="text1"/>
          <w:szCs w:val="20"/>
        </w:rPr>
      </w:pPr>
    </w:p>
    <w:p w14:paraId="745FA217" w14:textId="063DF5DD" w:rsidR="00551F59" w:rsidRPr="00393754" w:rsidRDefault="00551F59" w:rsidP="00551F59">
      <w:pPr>
        <w:widowControl w:val="0"/>
        <w:shd w:val="clear" w:color="auto" w:fill="FFFFFF" w:themeFill="background1"/>
        <w:autoSpaceDE w:val="0"/>
        <w:autoSpaceDN w:val="0"/>
        <w:adjustRightInd w:val="0"/>
        <w:rPr>
          <w:rFonts w:eastAsia="MS Mincho" w:cs="Arial"/>
          <w:b/>
          <w:color w:val="000000" w:themeColor="text1"/>
          <w:szCs w:val="20"/>
        </w:rPr>
      </w:pPr>
      <w:r w:rsidRPr="00393754">
        <w:rPr>
          <w:rFonts w:eastAsia="MS Mincho" w:cs="Arial"/>
          <w:b/>
          <w:color w:val="000000" w:themeColor="text1"/>
          <w:szCs w:val="20"/>
        </w:rPr>
        <w:t>Products in the scope</w:t>
      </w:r>
    </w:p>
    <w:p w14:paraId="68B7DDB6" w14:textId="77777777" w:rsidR="00551F59" w:rsidRPr="00393754" w:rsidRDefault="00551F59" w:rsidP="00551F59">
      <w:pPr>
        <w:widowControl w:val="0"/>
        <w:shd w:val="clear" w:color="auto" w:fill="FFFFFF" w:themeFill="background1"/>
        <w:autoSpaceDE w:val="0"/>
        <w:autoSpaceDN w:val="0"/>
        <w:adjustRightInd w:val="0"/>
        <w:rPr>
          <w:rFonts w:eastAsia="MS Mincho" w:cs="Arial"/>
          <w:color w:val="000000" w:themeColor="text1"/>
          <w:szCs w:val="20"/>
        </w:rPr>
      </w:pPr>
    </w:p>
    <w:p w14:paraId="0418499B" w14:textId="6187DB4F" w:rsidR="00295E97" w:rsidRPr="00393754" w:rsidRDefault="00551F59" w:rsidP="00295E97">
      <w:pPr>
        <w:widowControl w:val="0"/>
        <w:shd w:val="clear" w:color="auto" w:fill="FFFFFF" w:themeFill="background1"/>
        <w:autoSpaceDE w:val="0"/>
        <w:autoSpaceDN w:val="0"/>
        <w:adjustRightInd w:val="0"/>
        <w:rPr>
          <w:rFonts w:eastAsia="MS Mincho" w:cs="Arial"/>
          <w:color w:val="000000" w:themeColor="text1"/>
          <w:szCs w:val="20"/>
        </w:rPr>
      </w:pPr>
      <w:r w:rsidRPr="00393754">
        <w:rPr>
          <w:rFonts w:eastAsia="MS Mincho" w:cs="Arial"/>
          <w:color w:val="000000" w:themeColor="text1"/>
          <w:szCs w:val="20"/>
        </w:rPr>
        <w:t>It should be clarified which products are included within the</w:t>
      </w:r>
      <w:r w:rsidR="00295E97" w:rsidRPr="00393754">
        <w:rPr>
          <w:rFonts w:eastAsia="MS Mincho" w:cs="Arial"/>
          <w:color w:val="000000" w:themeColor="text1"/>
          <w:szCs w:val="20"/>
        </w:rPr>
        <w:t xml:space="preserve"> scope of the PRIIPs Regulation. We argue that </w:t>
      </w:r>
      <w:proofErr w:type="spellStart"/>
      <w:r w:rsidR="00295E97" w:rsidRPr="00393754">
        <w:rPr>
          <w:rFonts w:eastAsia="MS Mincho" w:cs="Arial"/>
          <w:color w:val="000000" w:themeColor="text1"/>
          <w:szCs w:val="20"/>
        </w:rPr>
        <w:t>atleast</w:t>
      </w:r>
      <w:proofErr w:type="spellEnd"/>
      <w:r w:rsidR="00295E97" w:rsidRPr="00393754">
        <w:rPr>
          <w:rFonts w:eastAsia="MS Mincho" w:cs="Arial"/>
          <w:color w:val="000000" w:themeColor="text1"/>
          <w:szCs w:val="20"/>
        </w:rPr>
        <w:t xml:space="preserve"> these products should be out of the scope.</w:t>
      </w:r>
    </w:p>
    <w:p w14:paraId="70C189EC" w14:textId="77777777" w:rsidR="00551F59" w:rsidRPr="00393754" w:rsidRDefault="00551F59" w:rsidP="00551F59">
      <w:pPr>
        <w:widowControl w:val="0"/>
        <w:shd w:val="clear" w:color="auto" w:fill="FFFFFF" w:themeFill="background1"/>
        <w:autoSpaceDE w:val="0"/>
        <w:autoSpaceDN w:val="0"/>
        <w:adjustRightInd w:val="0"/>
        <w:rPr>
          <w:rFonts w:eastAsia="MS Mincho" w:cs="Arial"/>
          <w:color w:val="000000" w:themeColor="text1"/>
          <w:szCs w:val="20"/>
        </w:rPr>
      </w:pPr>
    </w:p>
    <w:p w14:paraId="3702EF5B" w14:textId="51948FDB" w:rsidR="00551F59" w:rsidRPr="00393754" w:rsidRDefault="00551F59" w:rsidP="00551F59">
      <w:pPr>
        <w:pStyle w:val="ListParagraph"/>
        <w:widowControl w:val="0"/>
        <w:numPr>
          <w:ilvl w:val="0"/>
          <w:numId w:val="66"/>
        </w:numPr>
        <w:shd w:val="clear" w:color="auto" w:fill="FFFFFF" w:themeFill="background1"/>
        <w:autoSpaceDE w:val="0"/>
        <w:autoSpaceDN w:val="0"/>
        <w:adjustRightInd w:val="0"/>
        <w:rPr>
          <w:rFonts w:eastAsia="MS Mincho" w:cs="Arial"/>
          <w:color w:val="000000" w:themeColor="text1"/>
          <w:szCs w:val="20"/>
        </w:rPr>
      </w:pPr>
      <w:r w:rsidRPr="00393754">
        <w:rPr>
          <w:rFonts w:eastAsia="MS Mincho" w:cs="Arial"/>
          <w:color w:val="000000" w:themeColor="text1"/>
          <w:szCs w:val="20"/>
        </w:rPr>
        <w:t xml:space="preserve">Products based on an OTC bilateral contract and </w:t>
      </w:r>
      <w:proofErr w:type="gramStart"/>
      <w:r w:rsidRPr="00393754">
        <w:rPr>
          <w:rFonts w:eastAsia="MS Mincho" w:cs="Arial"/>
          <w:color w:val="000000" w:themeColor="text1"/>
          <w:szCs w:val="20"/>
        </w:rPr>
        <w:t>that are used by the retail clients to hedge its position</w:t>
      </w:r>
      <w:proofErr w:type="gramEnd"/>
      <w:r w:rsidRPr="00393754">
        <w:rPr>
          <w:rFonts w:eastAsia="MS Mincho" w:cs="Arial"/>
          <w:color w:val="000000" w:themeColor="text1"/>
          <w:szCs w:val="20"/>
        </w:rPr>
        <w:t>, such commodity swaps, currency swaps should be outside of the scope. Indeed deriv</w:t>
      </w:r>
      <w:r w:rsidRPr="00393754">
        <w:rPr>
          <w:rFonts w:eastAsia="MS Mincho" w:cs="Arial"/>
          <w:color w:val="000000" w:themeColor="text1"/>
          <w:szCs w:val="20"/>
        </w:rPr>
        <w:t>a</w:t>
      </w:r>
      <w:r w:rsidRPr="00393754">
        <w:rPr>
          <w:rFonts w:eastAsia="MS Mincho" w:cs="Arial"/>
          <w:color w:val="000000" w:themeColor="text1"/>
          <w:szCs w:val="20"/>
        </w:rPr>
        <w:t>tives do not offer an “investment opportunity” but only have a hedging purpose (no speculation at all). They do not exchange amounts repayable (as referred in Recital 6 PRIIPs) but they are su</w:t>
      </w:r>
      <w:r w:rsidRPr="00393754">
        <w:rPr>
          <w:rFonts w:eastAsia="MS Mincho" w:cs="Arial"/>
          <w:color w:val="000000" w:themeColor="text1"/>
          <w:szCs w:val="20"/>
        </w:rPr>
        <w:t>b</w:t>
      </w:r>
      <w:r w:rsidRPr="00393754">
        <w:rPr>
          <w:rFonts w:eastAsia="MS Mincho" w:cs="Arial"/>
          <w:color w:val="000000" w:themeColor="text1"/>
          <w:szCs w:val="20"/>
        </w:rPr>
        <w:t>ject to a payment of a premium.</w:t>
      </w:r>
    </w:p>
    <w:p w14:paraId="62934E14" w14:textId="77777777" w:rsidR="009C0438" w:rsidRPr="00393754" w:rsidRDefault="009C0438" w:rsidP="009C0438">
      <w:pPr>
        <w:pStyle w:val="ListParagraph"/>
        <w:widowControl w:val="0"/>
        <w:shd w:val="clear" w:color="auto" w:fill="FFFFFF" w:themeFill="background1"/>
        <w:autoSpaceDE w:val="0"/>
        <w:autoSpaceDN w:val="0"/>
        <w:adjustRightInd w:val="0"/>
        <w:rPr>
          <w:rFonts w:eastAsia="MS Mincho" w:cs="Arial"/>
          <w:color w:val="000000" w:themeColor="text1"/>
          <w:szCs w:val="20"/>
        </w:rPr>
      </w:pPr>
    </w:p>
    <w:p w14:paraId="0C143D77" w14:textId="25FFD4CC" w:rsidR="00551F59" w:rsidRPr="00393754" w:rsidRDefault="00551F59" w:rsidP="009C0438">
      <w:pPr>
        <w:pStyle w:val="ListParagraph"/>
        <w:widowControl w:val="0"/>
        <w:numPr>
          <w:ilvl w:val="0"/>
          <w:numId w:val="66"/>
        </w:numPr>
        <w:shd w:val="clear" w:color="auto" w:fill="FFFFFF" w:themeFill="background1"/>
        <w:autoSpaceDE w:val="0"/>
        <w:autoSpaceDN w:val="0"/>
        <w:adjustRightInd w:val="0"/>
        <w:rPr>
          <w:rFonts w:eastAsia="MS Mincho" w:cs="Arial"/>
          <w:color w:val="000000" w:themeColor="text1"/>
          <w:szCs w:val="20"/>
        </w:rPr>
      </w:pPr>
      <w:r w:rsidRPr="00393754">
        <w:rPr>
          <w:rFonts w:eastAsia="MS Mincho" w:cs="Arial"/>
          <w:color w:val="000000" w:themeColor="text1"/>
          <w:szCs w:val="20"/>
        </w:rPr>
        <w:t xml:space="preserve">Products based on an interest rate exchange, such as an interest rate swap, a </w:t>
      </w:r>
      <w:proofErr w:type="gramStart"/>
      <w:r w:rsidRPr="00393754">
        <w:rPr>
          <w:rFonts w:eastAsia="MS Mincho" w:cs="Arial"/>
          <w:color w:val="000000" w:themeColor="text1"/>
          <w:szCs w:val="20"/>
        </w:rPr>
        <w:t>forward,</w:t>
      </w:r>
      <w:proofErr w:type="gramEnd"/>
      <w:r w:rsidRPr="00393754">
        <w:rPr>
          <w:rFonts w:eastAsia="MS Mincho" w:cs="Arial"/>
          <w:color w:val="000000" w:themeColor="text1"/>
          <w:szCs w:val="20"/>
        </w:rPr>
        <w:t xml:space="preserve"> an option should be out of scope. We consider</w:t>
      </w:r>
      <w:r w:rsidR="009C0438" w:rsidRPr="00393754">
        <w:rPr>
          <w:rFonts w:eastAsia="MS Mincho" w:cs="Arial"/>
          <w:color w:val="000000" w:themeColor="text1"/>
          <w:szCs w:val="20"/>
        </w:rPr>
        <w:t xml:space="preserve"> </w:t>
      </w:r>
      <w:r w:rsidRPr="00393754">
        <w:rPr>
          <w:rFonts w:eastAsia="MS Mincho" w:cs="Arial"/>
          <w:color w:val="000000" w:themeColor="text1"/>
          <w:szCs w:val="20"/>
        </w:rPr>
        <w:t>that these products ‘do not offer investment opportunities and these products are solely exposed to interest rates’ (recital 7 PRIIPs).</w:t>
      </w:r>
    </w:p>
    <w:p w14:paraId="48274968" w14:textId="77777777" w:rsidR="009C0438" w:rsidRPr="00393754" w:rsidRDefault="009C0438" w:rsidP="009C0438">
      <w:pPr>
        <w:pStyle w:val="ListParagraph"/>
        <w:widowControl w:val="0"/>
        <w:shd w:val="clear" w:color="auto" w:fill="FFFFFF" w:themeFill="background1"/>
        <w:autoSpaceDE w:val="0"/>
        <w:autoSpaceDN w:val="0"/>
        <w:adjustRightInd w:val="0"/>
        <w:rPr>
          <w:rFonts w:eastAsia="MS Mincho" w:cs="Arial"/>
          <w:color w:val="000000" w:themeColor="text1"/>
          <w:szCs w:val="20"/>
        </w:rPr>
      </w:pPr>
    </w:p>
    <w:p w14:paraId="7F86C88E" w14:textId="30324ADF" w:rsidR="00551F59" w:rsidRPr="00393754" w:rsidRDefault="00551F59" w:rsidP="00551F59">
      <w:pPr>
        <w:pStyle w:val="ListParagraph"/>
        <w:widowControl w:val="0"/>
        <w:numPr>
          <w:ilvl w:val="0"/>
          <w:numId w:val="66"/>
        </w:numPr>
        <w:shd w:val="clear" w:color="auto" w:fill="FFFFFF" w:themeFill="background1"/>
        <w:autoSpaceDE w:val="0"/>
        <w:autoSpaceDN w:val="0"/>
        <w:adjustRightInd w:val="0"/>
        <w:rPr>
          <w:rFonts w:eastAsia="MS Mincho" w:cs="Arial"/>
          <w:color w:val="000000" w:themeColor="text1"/>
          <w:szCs w:val="20"/>
        </w:rPr>
      </w:pPr>
      <w:r w:rsidRPr="00393754">
        <w:rPr>
          <w:rFonts w:eastAsia="MS Mincho" w:cs="Arial"/>
          <w:color w:val="000000" w:themeColor="text1"/>
          <w:szCs w:val="20"/>
        </w:rPr>
        <w:t>Employee stock options – this represents a form of equity compensation (part of employee’s r</w:t>
      </w:r>
      <w:r w:rsidRPr="00393754">
        <w:rPr>
          <w:rFonts w:eastAsia="MS Mincho" w:cs="Arial"/>
          <w:color w:val="000000" w:themeColor="text1"/>
          <w:szCs w:val="20"/>
        </w:rPr>
        <w:t>e</w:t>
      </w:r>
      <w:r w:rsidRPr="00393754">
        <w:rPr>
          <w:rFonts w:eastAsia="MS Mincho" w:cs="Arial"/>
          <w:color w:val="000000" w:themeColor="text1"/>
          <w:szCs w:val="20"/>
        </w:rPr>
        <w:t xml:space="preserve">muneration package) granted by the employer to its employees. They give the holder the right to </w:t>
      </w:r>
      <w:r w:rsidRPr="00393754">
        <w:rPr>
          <w:rFonts w:eastAsia="MS Mincho" w:cs="Arial"/>
          <w:color w:val="000000" w:themeColor="text1"/>
          <w:szCs w:val="20"/>
        </w:rPr>
        <w:lastRenderedPageBreak/>
        <w:t xml:space="preserve">purchase the company stock at a specified price for a limited duration of time (as agreed in the options agreement). They should be out of scope. This product has also a different goal than </w:t>
      </w:r>
      <w:proofErr w:type="gramStart"/>
      <w:r w:rsidRPr="00393754">
        <w:rPr>
          <w:rFonts w:eastAsia="MS Mincho" w:cs="Arial"/>
          <w:color w:val="000000" w:themeColor="text1"/>
          <w:szCs w:val="20"/>
        </w:rPr>
        <w:t>an ‘investment</w:t>
      </w:r>
      <w:proofErr w:type="gramEnd"/>
      <w:r w:rsidRPr="00393754">
        <w:rPr>
          <w:rFonts w:eastAsia="MS Mincho" w:cs="Arial"/>
          <w:color w:val="000000" w:themeColor="text1"/>
          <w:szCs w:val="20"/>
        </w:rPr>
        <w:t xml:space="preserve"> opportunity’ – it is a part of the remuneration package of an employee.</w:t>
      </w:r>
    </w:p>
    <w:p w14:paraId="146F207C" w14:textId="77777777" w:rsidR="00551F59" w:rsidRPr="00393754" w:rsidRDefault="00551F59" w:rsidP="00551F59">
      <w:pPr>
        <w:widowControl w:val="0"/>
        <w:shd w:val="clear" w:color="auto" w:fill="FFFFFF" w:themeFill="background1"/>
        <w:autoSpaceDE w:val="0"/>
        <w:autoSpaceDN w:val="0"/>
        <w:adjustRightInd w:val="0"/>
        <w:rPr>
          <w:rFonts w:eastAsia="MS Mincho" w:cs="Arial"/>
          <w:color w:val="000000" w:themeColor="text1"/>
          <w:szCs w:val="20"/>
        </w:rPr>
      </w:pPr>
    </w:p>
    <w:p w14:paraId="2A8E6556" w14:textId="77777777" w:rsidR="00E61898" w:rsidRPr="00393754" w:rsidRDefault="00E61898" w:rsidP="00551F59">
      <w:pPr>
        <w:widowControl w:val="0"/>
        <w:shd w:val="clear" w:color="auto" w:fill="FFFFFF" w:themeFill="background1"/>
        <w:autoSpaceDE w:val="0"/>
        <w:autoSpaceDN w:val="0"/>
        <w:adjustRightInd w:val="0"/>
        <w:rPr>
          <w:rFonts w:eastAsia="MS Mincho" w:cs="Arial"/>
          <w:color w:val="000000" w:themeColor="text1"/>
          <w:szCs w:val="20"/>
        </w:rPr>
      </w:pPr>
    </w:p>
    <w:p w14:paraId="48D38AC5" w14:textId="77777777" w:rsidR="00551F59" w:rsidRPr="00393754" w:rsidRDefault="00551F59" w:rsidP="002E137E">
      <w:pPr>
        <w:widowControl w:val="0"/>
        <w:shd w:val="clear" w:color="auto" w:fill="FFFFFF" w:themeFill="background1"/>
        <w:autoSpaceDE w:val="0"/>
        <w:autoSpaceDN w:val="0"/>
        <w:adjustRightInd w:val="0"/>
        <w:rPr>
          <w:rFonts w:eastAsia="MS Mincho" w:cs="Arial"/>
          <w:color w:val="000000" w:themeColor="text1"/>
          <w:szCs w:val="20"/>
        </w:rPr>
      </w:pPr>
    </w:p>
    <w:p w14:paraId="767F8BD1" w14:textId="77777777" w:rsidR="00551F59" w:rsidRPr="00393754" w:rsidRDefault="00551F59" w:rsidP="002E137E">
      <w:pPr>
        <w:widowControl w:val="0"/>
        <w:shd w:val="clear" w:color="auto" w:fill="FFFFFF" w:themeFill="background1"/>
        <w:autoSpaceDE w:val="0"/>
        <w:autoSpaceDN w:val="0"/>
        <w:adjustRightInd w:val="0"/>
        <w:rPr>
          <w:rFonts w:eastAsia="MS Mincho" w:cs="Arial"/>
          <w:color w:val="000000" w:themeColor="text1"/>
          <w:szCs w:val="20"/>
        </w:rPr>
      </w:pPr>
    </w:p>
    <w:p w14:paraId="27CD50A6" w14:textId="77777777" w:rsidR="002E137E" w:rsidRPr="00393754" w:rsidRDefault="002E137E" w:rsidP="002E137E">
      <w:pPr>
        <w:widowControl w:val="0"/>
        <w:autoSpaceDE w:val="0"/>
        <w:autoSpaceDN w:val="0"/>
        <w:adjustRightInd w:val="0"/>
        <w:rPr>
          <w:rFonts w:eastAsia="MS Mincho" w:cs="Arial"/>
          <w:color w:val="000000" w:themeColor="text1"/>
          <w:szCs w:val="20"/>
        </w:rPr>
      </w:pPr>
      <w:r w:rsidRPr="00393754">
        <w:rPr>
          <w:rFonts w:eastAsia="MS Mincho" w:cs="Arial"/>
          <w:color w:val="000000" w:themeColor="text1"/>
          <w:szCs w:val="20"/>
        </w:rPr>
        <w:t>Best Regards,</w:t>
      </w:r>
    </w:p>
    <w:p w14:paraId="0A9BB192" w14:textId="77777777" w:rsidR="002E137E" w:rsidRPr="00393754" w:rsidRDefault="002E137E" w:rsidP="002E137E">
      <w:pPr>
        <w:rPr>
          <w:rFonts w:eastAsia="MS Mincho" w:cs="Arial"/>
          <w:color w:val="000000" w:themeColor="text1"/>
          <w:szCs w:val="20"/>
        </w:rPr>
      </w:pPr>
    </w:p>
    <w:p w14:paraId="11F7E989" w14:textId="361D6269" w:rsidR="002E137E" w:rsidRPr="00393754" w:rsidRDefault="002E137E" w:rsidP="002E137E">
      <w:pPr>
        <w:rPr>
          <w:rFonts w:eastAsia="MS Mincho" w:cs="Arial"/>
          <w:color w:val="000000" w:themeColor="text1"/>
          <w:szCs w:val="20"/>
        </w:rPr>
      </w:pPr>
      <w:r w:rsidRPr="00393754">
        <w:rPr>
          <w:rFonts w:eastAsia="MS Mincho" w:cs="Arial"/>
          <w:color w:val="000000" w:themeColor="text1"/>
          <w:szCs w:val="20"/>
        </w:rPr>
        <w:t xml:space="preserve">Stefan </w:t>
      </w:r>
      <w:proofErr w:type="spellStart"/>
      <w:r w:rsidRPr="00393754">
        <w:rPr>
          <w:rFonts w:eastAsia="MS Mincho" w:cs="Arial"/>
          <w:color w:val="000000" w:themeColor="text1"/>
          <w:szCs w:val="20"/>
        </w:rPr>
        <w:t>Sonnerstedt</w:t>
      </w:r>
      <w:proofErr w:type="spellEnd"/>
      <w:r w:rsidR="00393754">
        <w:rPr>
          <w:rFonts w:eastAsia="MS Mincho" w:cs="Arial"/>
          <w:color w:val="000000" w:themeColor="text1"/>
          <w:szCs w:val="20"/>
        </w:rPr>
        <w:t xml:space="preserve">, Administrative Director </w:t>
      </w:r>
      <w:r w:rsidR="00223A75">
        <w:rPr>
          <w:rFonts w:eastAsia="MS Mincho" w:cs="Arial"/>
          <w:color w:val="000000" w:themeColor="text1"/>
          <w:szCs w:val="20"/>
        </w:rPr>
        <w:t>at</w:t>
      </w:r>
      <w:r w:rsidR="00393754">
        <w:rPr>
          <w:rFonts w:eastAsia="MS Mincho" w:cs="Arial"/>
          <w:color w:val="000000" w:themeColor="text1"/>
          <w:szCs w:val="20"/>
        </w:rPr>
        <w:t xml:space="preserve"> </w:t>
      </w:r>
      <w:r w:rsidR="00223A75">
        <w:rPr>
          <w:rFonts w:eastAsia="MS Mincho" w:cs="Arial"/>
          <w:color w:val="000000" w:themeColor="text1"/>
          <w:szCs w:val="20"/>
        </w:rPr>
        <w:t>SPIS</w:t>
      </w:r>
      <w:r w:rsidR="00BA6EC7">
        <w:rPr>
          <w:rFonts w:eastAsia="MS Mincho" w:cs="Arial"/>
          <w:color w:val="000000" w:themeColor="text1"/>
          <w:szCs w:val="20"/>
        </w:rPr>
        <w:t xml:space="preserve"> (</w:t>
      </w:r>
      <w:proofErr w:type="spellStart"/>
      <w:r w:rsidR="00BA6EC7">
        <w:rPr>
          <w:rFonts w:eastAsia="MS Mincho" w:cs="Arial"/>
          <w:color w:val="000000" w:themeColor="text1"/>
          <w:szCs w:val="20"/>
        </w:rPr>
        <w:t>Strukturerade</w:t>
      </w:r>
      <w:proofErr w:type="spellEnd"/>
      <w:r w:rsidR="00BA6EC7">
        <w:rPr>
          <w:rFonts w:eastAsia="MS Mincho" w:cs="Arial"/>
          <w:color w:val="000000" w:themeColor="text1"/>
          <w:szCs w:val="20"/>
        </w:rPr>
        <w:t xml:space="preserve"> </w:t>
      </w:r>
      <w:proofErr w:type="spellStart"/>
      <w:r w:rsidR="00BA6EC7">
        <w:rPr>
          <w:rFonts w:eastAsia="MS Mincho" w:cs="Arial"/>
          <w:color w:val="000000" w:themeColor="text1"/>
          <w:szCs w:val="20"/>
        </w:rPr>
        <w:t>Placeringar</w:t>
      </w:r>
      <w:proofErr w:type="spellEnd"/>
      <w:r w:rsidR="00BA6EC7">
        <w:rPr>
          <w:rFonts w:eastAsia="MS Mincho" w:cs="Arial"/>
          <w:color w:val="000000" w:themeColor="text1"/>
          <w:szCs w:val="20"/>
        </w:rPr>
        <w:t xml:space="preserve"> I </w:t>
      </w:r>
      <w:proofErr w:type="spellStart"/>
      <w:r w:rsidR="00BA6EC7">
        <w:rPr>
          <w:rFonts w:eastAsia="MS Mincho" w:cs="Arial"/>
          <w:color w:val="000000" w:themeColor="text1"/>
          <w:szCs w:val="20"/>
        </w:rPr>
        <w:t>Sverige</w:t>
      </w:r>
      <w:proofErr w:type="spellEnd"/>
      <w:r w:rsidR="00BA6EC7">
        <w:rPr>
          <w:rFonts w:eastAsia="MS Mincho" w:cs="Arial"/>
          <w:color w:val="000000" w:themeColor="text1"/>
          <w:szCs w:val="20"/>
        </w:rPr>
        <w:t>)</w:t>
      </w:r>
    </w:p>
    <w:p w14:paraId="3D83053B" w14:textId="77777777" w:rsidR="002E137E" w:rsidRDefault="002E137E" w:rsidP="00D34282"/>
    <w:p w14:paraId="36599440" w14:textId="77777777" w:rsidR="002E137E" w:rsidRDefault="002E137E" w:rsidP="00D34282"/>
    <w:p w14:paraId="158AA3F3" w14:textId="078ADA50" w:rsidR="00C119A1" w:rsidRDefault="00C119A1" w:rsidP="00D34282">
      <w:pPr>
        <w:pBdr>
          <w:bottom w:val="single" w:sz="6" w:space="1" w:color="auto"/>
        </w:pBdr>
      </w:pPr>
    </w:p>
    <w:p w14:paraId="0FEEA8DF" w14:textId="77777777" w:rsidR="00B61E31" w:rsidRDefault="00B61E31" w:rsidP="00D34282"/>
    <w:permEnd w:id="1742284604"/>
    <w:p w14:paraId="1DECF087" w14:textId="77777777" w:rsidR="00D34282" w:rsidRDefault="00D34282" w:rsidP="00D34282">
      <w:r w:rsidRPr="00C25863">
        <w:t>&lt;</w:t>
      </w:r>
      <w:r w:rsidRPr="00D74C9D">
        <w:t xml:space="preserve"> </w:t>
      </w:r>
      <w:r>
        <w:t>ESMA_</w:t>
      </w:r>
      <w:r w:rsidR="00F31E57" w:rsidRPr="00F31E57">
        <w:t>COMMENT_PRIIPs</w:t>
      </w:r>
      <w:r w:rsidRPr="00C25863">
        <w:t>_1&gt;</w:t>
      </w:r>
    </w:p>
    <w:p w14:paraId="25D43AC5" w14:textId="77777777" w:rsidR="00F31E57" w:rsidRDefault="00F31E57" w:rsidP="00D34282"/>
    <w:p w14:paraId="59DF553B" w14:textId="77777777" w:rsidR="00F31E57" w:rsidRDefault="00F31E57">
      <w:r>
        <w:br w:type="page"/>
      </w:r>
    </w:p>
    <w:p w14:paraId="67D5A514"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preference on the general approach how a distribution of returns should be established for the risk indic</w:t>
      </w:r>
      <w:r w:rsidR="001A5E5C">
        <w:t xml:space="preserve">ator and performance scenarios’ </w:t>
      </w:r>
      <w:r>
        <w:t xml:space="preserve">purposes. Include your considerations and caveats. </w:t>
      </w:r>
    </w:p>
    <w:p w14:paraId="0A2AD8A5" w14:textId="77777777" w:rsidR="00F31E57" w:rsidRDefault="00F31E57" w:rsidP="00F31E57"/>
    <w:p w14:paraId="28C5E665" w14:textId="77777777" w:rsidR="00F31E57" w:rsidRDefault="00F31E57" w:rsidP="00F31E57">
      <w:r>
        <w:t>&lt;ESMA_QUESTION_PRIIPs_1&gt;</w:t>
      </w:r>
    </w:p>
    <w:p w14:paraId="4ACAB8DF" w14:textId="77777777" w:rsidR="00C119A1" w:rsidRPr="00393754" w:rsidRDefault="00C119A1" w:rsidP="00F31E57">
      <w:pPr>
        <w:rPr>
          <w:color w:val="000000" w:themeColor="text1"/>
        </w:rPr>
      </w:pPr>
      <w:permStart w:id="1431912350" w:edGrp="everyone"/>
    </w:p>
    <w:p w14:paraId="66375C72" w14:textId="33D2597A" w:rsidR="001327B9" w:rsidRPr="00393754" w:rsidRDefault="00E61898" w:rsidP="00D07ED7">
      <w:pPr>
        <w:pStyle w:val="ListParagraph"/>
        <w:numPr>
          <w:ilvl w:val="0"/>
          <w:numId w:val="45"/>
        </w:numPr>
        <w:rPr>
          <w:color w:val="000000" w:themeColor="text1"/>
        </w:rPr>
      </w:pPr>
      <w:r w:rsidRPr="00393754">
        <w:rPr>
          <w:color w:val="000000" w:themeColor="text1"/>
        </w:rPr>
        <w:t xml:space="preserve">The </w:t>
      </w:r>
      <w:r w:rsidR="001327B9" w:rsidRPr="00393754">
        <w:rPr>
          <w:color w:val="000000" w:themeColor="text1"/>
        </w:rPr>
        <w:t xml:space="preserve">SSDA believes that the best estimation of </w:t>
      </w:r>
      <w:r w:rsidR="00D07ED7" w:rsidRPr="00393754">
        <w:rPr>
          <w:color w:val="000000" w:themeColor="text1"/>
        </w:rPr>
        <w:t xml:space="preserve">distribution of </w:t>
      </w:r>
      <w:r w:rsidR="001327B9" w:rsidRPr="00393754">
        <w:rPr>
          <w:color w:val="000000" w:themeColor="text1"/>
        </w:rPr>
        <w:t>returns is achieved by using alternative b) together with alternative d). The use of historical data i.e. volatility is widely used already today by different market participants and it allows comparisons between different products, most notably UCITS. Furthermore historical da</w:t>
      </w:r>
      <w:r w:rsidR="00126C71" w:rsidRPr="00393754">
        <w:rPr>
          <w:color w:val="000000" w:themeColor="text1"/>
        </w:rPr>
        <w:t xml:space="preserve">ta is difficult to manipulate </w:t>
      </w:r>
      <w:r w:rsidR="001327B9" w:rsidRPr="00393754">
        <w:rPr>
          <w:color w:val="000000" w:themeColor="text1"/>
        </w:rPr>
        <w:t>and is also easier to explain to retail i</w:t>
      </w:r>
      <w:r w:rsidR="001327B9" w:rsidRPr="00393754">
        <w:rPr>
          <w:color w:val="000000" w:themeColor="text1"/>
        </w:rPr>
        <w:t>n</w:t>
      </w:r>
      <w:r w:rsidR="001327B9" w:rsidRPr="00393754">
        <w:rPr>
          <w:color w:val="000000" w:themeColor="text1"/>
        </w:rPr>
        <w:t>vestors compared to stochastic modelling based on parameters estimated from current market prices or p</w:t>
      </w:r>
      <w:r w:rsidR="001327B9" w:rsidRPr="00393754">
        <w:rPr>
          <w:color w:val="000000" w:themeColor="text1"/>
        </w:rPr>
        <w:t>a</w:t>
      </w:r>
      <w:r w:rsidR="001327B9" w:rsidRPr="00393754">
        <w:rPr>
          <w:color w:val="000000" w:themeColor="text1"/>
        </w:rPr>
        <w:t xml:space="preserve">rameters chosen by the manufacturer.  </w:t>
      </w:r>
    </w:p>
    <w:p w14:paraId="74E27AA5" w14:textId="77777777" w:rsidR="001327B9" w:rsidRPr="00393754" w:rsidRDefault="001327B9" w:rsidP="001327B9">
      <w:pPr>
        <w:rPr>
          <w:color w:val="000000" w:themeColor="text1"/>
        </w:rPr>
      </w:pPr>
    </w:p>
    <w:p w14:paraId="2F880819" w14:textId="03E5629A" w:rsidR="001327B9" w:rsidRPr="00393754" w:rsidRDefault="001327B9" w:rsidP="006B2A9F">
      <w:pPr>
        <w:pStyle w:val="ListParagraph"/>
        <w:numPr>
          <w:ilvl w:val="0"/>
          <w:numId w:val="45"/>
        </w:numPr>
        <w:rPr>
          <w:color w:val="000000" w:themeColor="text1"/>
        </w:rPr>
      </w:pPr>
      <w:r w:rsidRPr="00393754">
        <w:rPr>
          <w:color w:val="000000" w:themeColor="text1"/>
        </w:rPr>
        <w:t>The modelling based on historical data must include guidelines on the parameters that should be used in the model to secure objectivity so that manufacturers end up with the s</w:t>
      </w:r>
      <w:r w:rsidR="008F1A6F" w:rsidRPr="00393754">
        <w:rPr>
          <w:color w:val="000000" w:themeColor="text1"/>
        </w:rPr>
        <w:t>imilar</w:t>
      </w:r>
      <w:r w:rsidRPr="00393754">
        <w:rPr>
          <w:color w:val="000000" w:themeColor="text1"/>
        </w:rPr>
        <w:t xml:space="preserve"> results.  </w:t>
      </w:r>
    </w:p>
    <w:p w14:paraId="10AB802D" w14:textId="77777777" w:rsidR="001327B9" w:rsidRPr="00393754" w:rsidRDefault="001327B9" w:rsidP="001327B9">
      <w:pPr>
        <w:pStyle w:val="ListParagraph"/>
        <w:rPr>
          <w:color w:val="000000" w:themeColor="text1"/>
        </w:rPr>
      </w:pPr>
    </w:p>
    <w:p w14:paraId="1E60F0B4" w14:textId="77777777" w:rsidR="001327B9" w:rsidRPr="00393754" w:rsidRDefault="001327B9" w:rsidP="006B2A9F">
      <w:pPr>
        <w:pStyle w:val="ListParagraph"/>
        <w:numPr>
          <w:ilvl w:val="0"/>
          <w:numId w:val="45"/>
        </w:numPr>
        <w:rPr>
          <w:color w:val="000000" w:themeColor="text1"/>
        </w:rPr>
      </w:pPr>
      <w:r w:rsidRPr="00393754">
        <w:rPr>
          <w:color w:val="000000" w:themeColor="text1"/>
        </w:rPr>
        <w:t xml:space="preserve">Parameters that are not easily observable or easily calculated from other observables, e.g. asset class risk premiums, should ideally be predefined and updated by a Competent Authority, in order to ensure objectivity, transparency and comparability between manufacturers. </w:t>
      </w:r>
    </w:p>
    <w:p w14:paraId="7605779D" w14:textId="77777777" w:rsidR="00C119A1" w:rsidRDefault="00C119A1" w:rsidP="00F31E57"/>
    <w:permEnd w:id="1431912350"/>
    <w:p w14:paraId="4EFE0D77" w14:textId="2E6BBB84" w:rsidR="00F31E57" w:rsidRDefault="00F31E57" w:rsidP="00F31E57">
      <w:r>
        <w:t>&lt;ESMA_QUESTION_PRIIPs_1&gt;</w:t>
      </w:r>
    </w:p>
    <w:p w14:paraId="03576154"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determining performance under a variety of scenarios?</w:t>
      </w:r>
    </w:p>
    <w:p w14:paraId="4A3D97DA" w14:textId="77777777" w:rsidR="00F31E57" w:rsidRDefault="00F31E57" w:rsidP="00F31E57"/>
    <w:p w14:paraId="37F752D9" w14:textId="77777777" w:rsidR="00F31E57" w:rsidRDefault="00F31E57" w:rsidP="00F31E57">
      <w:r>
        <w:t>&lt;ESMA_QUESTION_PRIIPs_2&gt;</w:t>
      </w:r>
    </w:p>
    <w:p w14:paraId="3DA4FF34" w14:textId="77777777" w:rsidR="00220495" w:rsidRDefault="00220495" w:rsidP="00F31E57">
      <w:permStart w:id="1097796990" w:edGrp="everyone"/>
    </w:p>
    <w:p w14:paraId="7739026C" w14:textId="58B8B795" w:rsidR="001327B9" w:rsidRPr="00393754" w:rsidRDefault="00E61898" w:rsidP="006B2A9F">
      <w:pPr>
        <w:pStyle w:val="ListParagraph"/>
        <w:numPr>
          <w:ilvl w:val="0"/>
          <w:numId w:val="46"/>
        </w:numPr>
        <w:rPr>
          <w:color w:val="000000" w:themeColor="text1"/>
        </w:rPr>
      </w:pPr>
      <w:r w:rsidRPr="00393754">
        <w:rPr>
          <w:color w:val="000000" w:themeColor="text1"/>
        </w:rPr>
        <w:t xml:space="preserve">The </w:t>
      </w:r>
      <w:r w:rsidR="00EA1DDF" w:rsidRPr="00393754">
        <w:rPr>
          <w:color w:val="000000" w:themeColor="text1"/>
        </w:rPr>
        <w:t xml:space="preserve">SSDA </w:t>
      </w:r>
      <w:r w:rsidRPr="00393754">
        <w:rPr>
          <w:color w:val="000000" w:themeColor="text1"/>
        </w:rPr>
        <w:t xml:space="preserve">is </w:t>
      </w:r>
      <w:r w:rsidR="001327B9" w:rsidRPr="00393754">
        <w:rPr>
          <w:color w:val="000000" w:themeColor="text1"/>
        </w:rPr>
        <w:t>not in favour of allowing manufacturers to choose what they believe is the most appr</w:t>
      </w:r>
      <w:r w:rsidR="001327B9" w:rsidRPr="00393754">
        <w:rPr>
          <w:color w:val="000000" w:themeColor="text1"/>
        </w:rPr>
        <w:t>o</w:t>
      </w:r>
      <w:r w:rsidR="001327B9" w:rsidRPr="00393754">
        <w:rPr>
          <w:color w:val="000000" w:themeColor="text1"/>
        </w:rPr>
        <w:t>priate model. It must be ensured that manufacturers compare products of a particular class on a sim</w:t>
      </w:r>
      <w:r w:rsidR="001327B9" w:rsidRPr="00393754">
        <w:rPr>
          <w:color w:val="000000" w:themeColor="text1"/>
        </w:rPr>
        <w:t>i</w:t>
      </w:r>
      <w:r w:rsidR="001327B9" w:rsidRPr="00393754">
        <w:rPr>
          <w:color w:val="000000" w:themeColor="text1"/>
        </w:rPr>
        <w:t xml:space="preserve">lar basis. SSDA believes that it will be difficult to find one model that fits all products and that the most appropriate model depends on the PRIIP characteristics. </w:t>
      </w:r>
    </w:p>
    <w:p w14:paraId="611EDDBF" w14:textId="77777777" w:rsidR="001327B9" w:rsidRPr="00393754" w:rsidRDefault="001327B9" w:rsidP="001327B9">
      <w:pPr>
        <w:rPr>
          <w:color w:val="000000" w:themeColor="text1"/>
        </w:rPr>
      </w:pPr>
    </w:p>
    <w:p w14:paraId="782DD39B" w14:textId="1982BA83" w:rsidR="001327B9" w:rsidRPr="00393754" w:rsidRDefault="001327B9" w:rsidP="006B2A9F">
      <w:pPr>
        <w:pStyle w:val="ListParagraph"/>
        <w:numPr>
          <w:ilvl w:val="0"/>
          <w:numId w:val="46"/>
        </w:numPr>
        <w:rPr>
          <w:color w:val="000000" w:themeColor="text1"/>
        </w:rPr>
      </w:pPr>
      <w:r w:rsidRPr="00393754">
        <w:rPr>
          <w:color w:val="000000" w:themeColor="text1"/>
        </w:rPr>
        <w:t xml:space="preserve">All manufacturers of a specific product class should use the same </w:t>
      </w:r>
      <w:r w:rsidR="009E2457" w:rsidRPr="00393754">
        <w:rPr>
          <w:color w:val="000000" w:themeColor="text1"/>
        </w:rPr>
        <w:t xml:space="preserve">type of </w:t>
      </w:r>
      <w:r w:rsidRPr="00393754">
        <w:rPr>
          <w:color w:val="000000" w:themeColor="text1"/>
        </w:rPr>
        <w:t xml:space="preserve">model with a clear guideline defining the model parameters. A </w:t>
      </w:r>
      <w:r w:rsidR="00126C71" w:rsidRPr="00393754">
        <w:rPr>
          <w:color w:val="000000" w:themeColor="text1"/>
        </w:rPr>
        <w:t xml:space="preserve">Competent </w:t>
      </w:r>
      <w:r w:rsidRPr="00393754">
        <w:rPr>
          <w:color w:val="000000" w:themeColor="text1"/>
        </w:rPr>
        <w:t>Authority should decide upon the most appropriate model for the different product classes.</w:t>
      </w:r>
    </w:p>
    <w:p w14:paraId="7DDF5297" w14:textId="77777777" w:rsidR="00220495" w:rsidRDefault="00220495" w:rsidP="00F31E57"/>
    <w:permEnd w:id="1097796990"/>
    <w:p w14:paraId="6C43CC2E" w14:textId="77777777" w:rsidR="00F31E57" w:rsidRDefault="00F31E57" w:rsidP="00F31E57">
      <w:r>
        <w:t>&lt;ESMA_QUESTION_PRIIPs_2&gt;</w:t>
      </w:r>
    </w:p>
    <w:p w14:paraId="7FFD0016"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specific products or underlying investments for which a specific growth rate would be more or less applicable?</w:t>
      </w:r>
    </w:p>
    <w:p w14:paraId="27F9441B" w14:textId="77777777" w:rsidR="00F31E57" w:rsidRDefault="00F31E57" w:rsidP="00F31E57"/>
    <w:p w14:paraId="20B679E1" w14:textId="77777777" w:rsidR="00F31E57" w:rsidRDefault="00F31E57" w:rsidP="00F31E57">
      <w:r>
        <w:t>&lt;ESMA_QUESTION_PRIIPs_3&gt;</w:t>
      </w:r>
    </w:p>
    <w:p w14:paraId="54E3861A" w14:textId="77777777" w:rsidR="00220495" w:rsidRPr="00393754" w:rsidRDefault="00220495" w:rsidP="00220495">
      <w:pPr>
        <w:rPr>
          <w:color w:val="000000" w:themeColor="text1"/>
        </w:rPr>
      </w:pPr>
      <w:permStart w:id="928807471" w:edGrp="everyone"/>
    </w:p>
    <w:p w14:paraId="12B2566E" w14:textId="0A1E1A04" w:rsidR="00D07ED7" w:rsidRPr="00393754" w:rsidRDefault="00E61898" w:rsidP="00D07ED7">
      <w:pPr>
        <w:pStyle w:val="ListParagraph"/>
        <w:numPr>
          <w:ilvl w:val="0"/>
          <w:numId w:val="47"/>
        </w:numPr>
        <w:rPr>
          <w:color w:val="000000" w:themeColor="text1"/>
        </w:rPr>
      </w:pPr>
      <w:r w:rsidRPr="00393754">
        <w:rPr>
          <w:color w:val="000000" w:themeColor="text1"/>
        </w:rPr>
        <w:t xml:space="preserve">The </w:t>
      </w:r>
      <w:r w:rsidR="00220495" w:rsidRPr="00393754">
        <w:rPr>
          <w:color w:val="000000" w:themeColor="text1"/>
        </w:rPr>
        <w:t>SSDA’s definition of loss is “How much do I put in and how much do I get out?” This definition corr</w:t>
      </w:r>
      <w:r w:rsidR="00220495" w:rsidRPr="00393754">
        <w:rPr>
          <w:color w:val="000000" w:themeColor="text1"/>
        </w:rPr>
        <w:t>e</w:t>
      </w:r>
      <w:r w:rsidR="00220495" w:rsidRPr="00393754">
        <w:rPr>
          <w:color w:val="000000" w:themeColor="text1"/>
        </w:rPr>
        <w:t>sponds to alternative a).</w:t>
      </w:r>
      <w:r w:rsidR="00D07ED7" w:rsidRPr="00393754">
        <w:rPr>
          <w:color w:val="000000" w:themeColor="text1"/>
        </w:rPr>
        <w:t xml:space="preserve"> This approach allows comparison to simpler products like term deposits or fixed rate notes. Using a growth factor could potentially dilute comparability unless the factors were prescribed. </w:t>
      </w:r>
    </w:p>
    <w:p w14:paraId="1C3A97AE" w14:textId="77777777" w:rsidR="00220495" w:rsidRPr="00393754" w:rsidRDefault="00220495" w:rsidP="00220495">
      <w:pPr>
        <w:rPr>
          <w:color w:val="000000" w:themeColor="text1"/>
        </w:rPr>
      </w:pPr>
    </w:p>
    <w:p w14:paraId="0ED9AE47" w14:textId="77777777" w:rsidR="00220495" w:rsidRPr="00393754" w:rsidRDefault="00220495" w:rsidP="006B2A9F">
      <w:pPr>
        <w:pStyle w:val="ListParagraph"/>
        <w:numPr>
          <w:ilvl w:val="0"/>
          <w:numId w:val="47"/>
        </w:numPr>
        <w:rPr>
          <w:color w:val="000000" w:themeColor="text1"/>
        </w:rPr>
      </w:pPr>
      <w:r w:rsidRPr="00393754">
        <w:rPr>
          <w:color w:val="000000" w:themeColor="text1"/>
        </w:rPr>
        <w:t xml:space="preserve">The performance should be measured against the amount invested without any adjustment for a risk-free or inflation rate growth factor. </w:t>
      </w:r>
    </w:p>
    <w:p w14:paraId="4FFF98E2" w14:textId="77777777" w:rsidR="00220495" w:rsidRPr="00220495" w:rsidRDefault="00220495" w:rsidP="00220495">
      <w:pPr>
        <w:rPr>
          <w:color w:val="FF0000"/>
        </w:rPr>
      </w:pPr>
    </w:p>
    <w:p w14:paraId="379C7561" w14:textId="77777777" w:rsidR="00220495" w:rsidRPr="00CC658F" w:rsidRDefault="00220495" w:rsidP="00220495"/>
    <w:permEnd w:id="928807471"/>
    <w:p w14:paraId="10DD5C92" w14:textId="77777777" w:rsidR="00F31E57" w:rsidRDefault="00F31E57" w:rsidP="00F31E57">
      <w:r>
        <w:lastRenderedPageBreak/>
        <w:t>&lt;ESMA_QUESTION_PRIIPs_3&gt;</w:t>
      </w:r>
    </w:p>
    <w:p w14:paraId="173515DF"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What would be the most reasonable approach to specify the growth rates? Would any of these approaches not work for a specific type of product or underlying i</w:t>
      </w:r>
      <w:r>
        <w:t>n</w:t>
      </w:r>
      <w:r>
        <w:t xml:space="preserve">vestment? </w:t>
      </w:r>
    </w:p>
    <w:p w14:paraId="6A94D4C4" w14:textId="77777777" w:rsidR="00F31E57" w:rsidRDefault="00F31E57" w:rsidP="00F31E57"/>
    <w:p w14:paraId="6AB34B5A" w14:textId="77777777" w:rsidR="00F31E57" w:rsidRDefault="00F31E57" w:rsidP="00F31E57">
      <w:r>
        <w:t>&lt;ESMA_QUESTION_PRIIPs_4&gt;</w:t>
      </w:r>
    </w:p>
    <w:p w14:paraId="1CC0789B" w14:textId="77777777" w:rsidR="00220495" w:rsidRPr="00220495" w:rsidRDefault="00220495" w:rsidP="00220495">
      <w:pPr>
        <w:rPr>
          <w:color w:val="FF0000"/>
        </w:rPr>
      </w:pPr>
      <w:permStart w:id="202706677" w:edGrp="everyone"/>
    </w:p>
    <w:p w14:paraId="753CD532" w14:textId="2FBF32C5" w:rsidR="001327B9" w:rsidRPr="00393754" w:rsidRDefault="00F4362A" w:rsidP="006B2A9F">
      <w:pPr>
        <w:pStyle w:val="ListParagraph"/>
        <w:numPr>
          <w:ilvl w:val="0"/>
          <w:numId w:val="48"/>
        </w:numPr>
        <w:rPr>
          <w:color w:val="000000" w:themeColor="text1"/>
        </w:rPr>
      </w:pPr>
      <w:r w:rsidRPr="00393754">
        <w:rPr>
          <w:color w:val="000000" w:themeColor="text1"/>
        </w:rPr>
        <w:t xml:space="preserve">The </w:t>
      </w:r>
      <w:r w:rsidR="001327B9" w:rsidRPr="00393754">
        <w:rPr>
          <w:color w:val="000000" w:themeColor="text1"/>
        </w:rPr>
        <w:t>SSDA favours alternative c) together with guidelines on how to treat risk premiums on diffe</w:t>
      </w:r>
      <w:r w:rsidR="001327B9" w:rsidRPr="00393754">
        <w:rPr>
          <w:color w:val="000000" w:themeColor="text1"/>
        </w:rPr>
        <w:t>r</w:t>
      </w:r>
      <w:r w:rsidR="001327B9" w:rsidRPr="00393754">
        <w:rPr>
          <w:color w:val="000000" w:themeColor="text1"/>
        </w:rPr>
        <w:t xml:space="preserve">ent markets /assets classes. Risk premiums are </w:t>
      </w:r>
      <w:r w:rsidR="00D458AF" w:rsidRPr="00393754">
        <w:rPr>
          <w:color w:val="000000" w:themeColor="text1"/>
        </w:rPr>
        <w:t>time varying</w:t>
      </w:r>
      <w:r w:rsidR="001327B9" w:rsidRPr="00393754">
        <w:rPr>
          <w:color w:val="000000" w:themeColor="text1"/>
        </w:rPr>
        <w:t xml:space="preserve"> and therefore a Competent A</w:t>
      </w:r>
      <w:r w:rsidR="001327B9" w:rsidRPr="00393754">
        <w:rPr>
          <w:color w:val="000000" w:themeColor="text1"/>
        </w:rPr>
        <w:t>u</w:t>
      </w:r>
      <w:r w:rsidR="001327B9" w:rsidRPr="00393754">
        <w:rPr>
          <w:color w:val="000000" w:themeColor="text1"/>
        </w:rPr>
        <w:t>thority should adjust the risk premiums when needed and also conduct supervision that manufacturers</w:t>
      </w:r>
      <w:r w:rsidR="00B61E31" w:rsidRPr="00393754">
        <w:rPr>
          <w:color w:val="000000" w:themeColor="text1"/>
        </w:rPr>
        <w:t xml:space="preserve"> comply with the given guidelines</w:t>
      </w:r>
      <w:r w:rsidR="001327B9" w:rsidRPr="00393754">
        <w:rPr>
          <w:color w:val="000000" w:themeColor="text1"/>
        </w:rPr>
        <w:t>.</w:t>
      </w:r>
      <w:r w:rsidR="00775D2F" w:rsidRPr="00393754">
        <w:rPr>
          <w:color w:val="000000" w:themeColor="text1"/>
        </w:rPr>
        <w:t xml:space="preserve"> This approach is in line with </w:t>
      </w:r>
      <w:r w:rsidRPr="00393754">
        <w:rPr>
          <w:color w:val="000000" w:themeColor="text1"/>
        </w:rPr>
        <w:t xml:space="preserve">the </w:t>
      </w:r>
      <w:r w:rsidR="00775D2F" w:rsidRPr="00393754">
        <w:rPr>
          <w:color w:val="000000" w:themeColor="text1"/>
        </w:rPr>
        <w:t>SSDA’s risk model.</w:t>
      </w:r>
    </w:p>
    <w:p w14:paraId="1B1BFB70" w14:textId="77777777" w:rsidR="00220495" w:rsidRDefault="00220495" w:rsidP="00220495">
      <w:pPr>
        <w:pStyle w:val="ListParagraph"/>
        <w:rPr>
          <w:color w:val="FF0000"/>
        </w:rPr>
      </w:pPr>
    </w:p>
    <w:permEnd w:id="202706677"/>
    <w:p w14:paraId="795E9AA0" w14:textId="77777777" w:rsidR="00F31E57" w:rsidRDefault="00F31E57" w:rsidP="00F31E57">
      <w:r>
        <w:t>&lt;ESMA_QUESTION_PRIIPs_4&gt;</w:t>
      </w:r>
    </w:p>
    <w:p w14:paraId="3D5EDB8B"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time frame or frames should the Risk Indicator and Performance Scenarios be based</w:t>
      </w:r>
    </w:p>
    <w:p w14:paraId="7B19413A" w14:textId="77777777" w:rsidR="00F31E57" w:rsidRDefault="00F31E57" w:rsidP="00F31E57"/>
    <w:p w14:paraId="12E85731" w14:textId="77777777" w:rsidR="00F31E57" w:rsidRDefault="00F31E57" w:rsidP="00F31E57">
      <w:r>
        <w:t>&lt;ESMA_QUESTION_PRIIPs_5&gt;</w:t>
      </w:r>
    </w:p>
    <w:p w14:paraId="5D10EF48" w14:textId="77777777" w:rsidR="00220495" w:rsidRDefault="00220495" w:rsidP="00F31E57">
      <w:permStart w:id="592788247" w:edGrp="everyone"/>
    </w:p>
    <w:p w14:paraId="1CF0E76E" w14:textId="326A5D15" w:rsidR="00220495" w:rsidRPr="00393754" w:rsidRDefault="00F4362A" w:rsidP="00FF524F">
      <w:pPr>
        <w:pStyle w:val="ListParagraph"/>
        <w:numPr>
          <w:ilvl w:val="0"/>
          <w:numId w:val="47"/>
        </w:numPr>
        <w:rPr>
          <w:color w:val="000000" w:themeColor="text1"/>
        </w:rPr>
      </w:pPr>
      <w:r w:rsidRPr="00393754">
        <w:rPr>
          <w:color w:val="000000" w:themeColor="text1"/>
        </w:rPr>
        <w:t>The SSDA is</w:t>
      </w:r>
      <w:r w:rsidR="00220495" w:rsidRPr="00393754">
        <w:rPr>
          <w:color w:val="000000" w:themeColor="text1"/>
        </w:rPr>
        <w:t xml:space="preserve"> in favour of option c) to show the risk indicator for the recommended holding period, but also include a warning or narrative text that explains the possible variation in risk over time. In fact a potential investor decides to purchase a certain product, having in mind a certain investment hor</w:t>
      </w:r>
      <w:r w:rsidR="00220495" w:rsidRPr="00393754">
        <w:rPr>
          <w:color w:val="000000" w:themeColor="text1"/>
        </w:rPr>
        <w:t>i</w:t>
      </w:r>
      <w:r w:rsidR="00220495" w:rsidRPr="00393754">
        <w:rPr>
          <w:color w:val="000000" w:themeColor="text1"/>
        </w:rPr>
        <w:t>zon, which is translated into a</w:t>
      </w:r>
      <w:r w:rsidR="00FF524F" w:rsidRPr="00393754">
        <w:rPr>
          <w:color w:val="000000" w:themeColor="text1"/>
        </w:rPr>
        <w:t xml:space="preserve"> ‘recommended holding period’. If he prefers another time horizon, then he will simply chose another product which is more suitable for him from this perspective.</w:t>
      </w:r>
    </w:p>
    <w:p w14:paraId="3B0DD68F" w14:textId="77777777" w:rsidR="00220495" w:rsidRPr="00393754" w:rsidRDefault="00220495" w:rsidP="00220495">
      <w:pPr>
        <w:pStyle w:val="ListParagraph"/>
        <w:ind w:left="360"/>
        <w:rPr>
          <w:color w:val="000000" w:themeColor="text1"/>
        </w:rPr>
      </w:pPr>
    </w:p>
    <w:p w14:paraId="48B07F50" w14:textId="60EB399B" w:rsidR="00220495" w:rsidRPr="00393754" w:rsidRDefault="00220495" w:rsidP="006B2A9F">
      <w:pPr>
        <w:pStyle w:val="ListParagraph"/>
        <w:numPr>
          <w:ilvl w:val="0"/>
          <w:numId w:val="47"/>
        </w:numPr>
        <w:rPr>
          <w:color w:val="000000" w:themeColor="text1"/>
        </w:rPr>
      </w:pPr>
      <w:r w:rsidRPr="00393754">
        <w:rPr>
          <w:color w:val="000000" w:themeColor="text1"/>
        </w:rPr>
        <w:t>A narrative text explaining the possible variation in risk over time is required but there is no need to show several intermediate times or different time horizons.</w:t>
      </w:r>
    </w:p>
    <w:p w14:paraId="6DB891AB" w14:textId="77777777" w:rsidR="00220495" w:rsidRDefault="00220495" w:rsidP="00F31E57"/>
    <w:permEnd w:id="592788247"/>
    <w:p w14:paraId="36FEA891" w14:textId="77777777" w:rsidR="00F31E57" w:rsidRDefault="00F31E57" w:rsidP="00F31E57">
      <w:r>
        <w:t>&lt;ESMA_QUESTION_PRIIPs_5&gt;</w:t>
      </w:r>
    </w:p>
    <w:p w14:paraId="62958F07"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t>Do you have any views on these considerations on the assessment of credit risk, and in particular regarding the use of credit ratings?</w:t>
      </w:r>
    </w:p>
    <w:p w14:paraId="1E9CDCE8" w14:textId="77777777" w:rsidR="00F31E57" w:rsidRDefault="00F31E57" w:rsidP="00F31E57">
      <w:pPr>
        <w:rPr>
          <w:rFonts w:eastAsiaTheme="minorHAnsi"/>
          <w:lang w:eastAsia="en-US"/>
        </w:rPr>
      </w:pPr>
    </w:p>
    <w:p w14:paraId="02D37033" w14:textId="77777777" w:rsidR="00F31E57" w:rsidRDefault="00F31E57" w:rsidP="00F31E57">
      <w:r>
        <w:t>&lt;ESMA_QUESTION_PRIIPs_6&gt;</w:t>
      </w:r>
    </w:p>
    <w:p w14:paraId="181A50C3" w14:textId="77777777" w:rsidR="00220495" w:rsidRDefault="00220495" w:rsidP="00F31E57">
      <w:permStart w:id="1690512188" w:edGrp="everyone"/>
    </w:p>
    <w:p w14:paraId="683C6759" w14:textId="3AF26AD9" w:rsidR="00641B12" w:rsidRPr="00393754" w:rsidRDefault="00CB0870" w:rsidP="005E5ECC">
      <w:pPr>
        <w:pStyle w:val="ListParagraph"/>
        <w:numPr>
          <w:ilvl w:val="0"/>
          <w:numId w:val="47"/>
        </w:numPr>
        <w:rPr>
          <w:color w:val="000000" w:themeColor="text1"/>
        </w:rPr>
      </w:pPr>
      <w:r w:rsidRPr="00393754">
        <w:rPr>
          <w:color w:val="000000" w:themeColor="text1"/>
        </w:rPr>
        <w:t xml:space="preserve">The </w:t>
      </w:r>
      <w:r w:rsidR="00641B12" w:rsidRPr="00393754">
        <w:rPr>
          <w:color w:val="000000" w:themeColor="text1"/>
        </w:rPr>
        <w:t>SSDA argues for a clear distinction regarding credit risk:</w:t>
      </w:r>
      <w:r w:rsidR="005E5ECC" w:rsidRPr="00393754">
        <w:rPr>
          <w:color w:val="000000" w:themeColor="text1"/>
        </w:rPr>
        <w:t xml:space="preserve"> </w:t>
      </w:r>
      <w:r w:rsidR="00641B12" w:rsidRPr="00393754">
        <w:rPr>
          <w:color w:val="000000" w:themeColor="text1"/>
          <w:lang w:val="en-US"/>
        </w:rPr>
        <w:t xml:space="preserve">If the return in a structured product is derived from a credit related underlying exposure (e.g. CDS) then such credit exposure should be treated as market risk and calculated as such as for any other </w:t>
      </w:r>
      <w:r w:rsidR="005E5ECC" w:rsidRPr="00393754">
        <w:rPr>
          <w:color w:val="000000" w:themeColor="text1"/>
          <w:lang w:val="en-US"/>
        </w:rPr>
        <w:t xml:space="preserve">underlying </w:t>
      </w:r>
      <w:r w:rsidR="00641B12" w:rsidRPr="00393754">
        <w:rPr>
          <w:color w:val="000000" w:themeColor="text1"/>
          <w:lang w:val="en-US"/>
        </w:rPr>
        <w:t>asset.</w:t>
      </w:r>
    </w:p>
    <w:p w14:paraId="7055A270" w14:textId="77777777" w:rsidR="00641B12" w:rsidRPr="00393754" w:rsidRDefault="00641B12" w:rsidP="00641B12">
      <w:pPr>
        <w:rPr>
          <w:color w:val="000000" w:themeColor="text1"/>
          <w:lang w:val="en-US"/>
        </w:rPr>
      </w:pPr>
    </w:p>
    <w:p w14:paraId="20458C1D" w14:textId="77777777" w:rsidR="00641B12" w:rsidRPr="00393754" w:rsidRDefault="00641B12" w:rsidP="006B2A9F">
      <w:pPr>
        <w:pStyle w:val="ListParagraph"/>
        <w:numPr>
          <w:ilvl w:val="0"/>
          <w:numId w:val="47"/>
        </w:numPr>
        <w:rPr>
          <w:color w:val="000000" w:themeColor="text1"/>
          <w:lang w:val="en-US"/>
        </w:rPr>
      </w:pPr>
      <w:r w:rsidRPr="00393754">
        <w:rPr>
          <w:color w:val="000000" w:themeColor="text1"/>
          <w:lang w:val="en-US"/>
        </w:rPr>
        <w:t>Credit risk in the context of a PRIIP relates to the issuer of the PRIIP’s capability to fulfill its obligation under the PRIIP.</w:t>
      </w:r>
    </w:p>
    <w:p w14:paraId="271CFDE4" w14:textId="77777777" w:rsidR="00641B12" w:rsidRPr="00393754" w:rsidRDefault="00641B12" w:rsidP="00641B12">
      <w:pPr>
        <w:pStyle w:val="ListParagraph"/>
        <w:ind w:left="360"/>
        <w:rPr>
          <w:color w:val="000000" w:themeColor="text1"/>
          <w:lang w:val="en-US"/>
        </w:rPr>
      </w:pPr>
    </w:p>
    <w:p w14:paraId="44990336" w14:textId="00F9D9B5" w:rsidR="00220495" w:rsidRPr="00393754" w:rsidRDefault="00CB0870" w:rsidP="006B2A9F">
      <w:pPr>
        <w:pStyle w:val="ListParagraph"/>
        <w:numPr>
          <w:ilvl w:val="0"/>
          <w:numId w:val="47"/>
        </w:numPr>
        <w:rPr>
          <w:color w:val="000000" w:themeColor="text1"/>
          <w:lang w:val="en-US"/>
        </w:rPr>
      </w:pPr>
      <w:r w:rsidRPr="00393754">
        <w:rPr>
          <w:color w:val="000000" w:themeColor="text1"/>
          <w:lang w:val="en-US"/>
        </w:rPr>
        <w:t xml:space="preserve">The </w:t>
      </w:r>
      <w:r w:rsidR="00EA1DDF" w:rsidRPr="00393754">
        <w:rPr>
          <w:color w:val="000000" w:themeColor="text1"/>
          <w:lang w:val="en-US"/>
        </w:rPr>
        <w:t xml:space="preserve">SSDA </w:t>
      </w:r>
      <w:r w:rsidRPr="00393754">
        <w:rPr>
          <w:color w:val="000000" w:themeColor="text1"/>
          <w:lang w:val="en-US"/>
        </w:rPr>
        <w:t>is</w:t>
      </w:r>
      <w:r w:rsidR="00641B12" w:rsidRPr="00393754">
        <w:rPr>
          <w:color w:val="000000" w:themeColor="text1"/>
          <w:lang w:val="en-US"/>
        </w:rPr>
        <w:t xml:space="preserve"> in favor of using external (S&amp;P, Moody’s) ratings as the primary measure of the PRIIP’s credit risk. </w:t>
      </w:r>
    </w:p>
    <w:p w14:paraId="481B88C6" w14:textId="77777777" w:rsidR="00641B12" w:rsidRPr="00641B12" w:rsidRDefault="00641B12" w:rsidP="00641B12">
      <w:pPr>
        <w:pStyle w:val="ListParagraph"/>
        <w:ind w:left="360"/>
        <w:rPr>
          <w:color w:val="FF0000"/>
          <w:lang w:val="en-US"/>
        </w:rPr>
      </w:pPr>
    </w:p>
    <w:permEnd w:id="1690512188"/>
    <w:p w14:paraId="57DAC40C" w14:textId="77777777" w:rsidR="00F31E57" w:rsidRDefault="00F31E57" w:rsidP="00F31E57">
      <w:r>
        <w:t>&lt;ESMA_QUESTION_PRIIPs_6&gt;</w:t>
      </w:r>
    </w:p>
    <w:p w14:paraId="7E9FD70A"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agree that liquidity issues should be reflected in the risk section, in add</w:t>
      </w:r>
      <w:r>
        <w:t>i</w:t>
      </w:r>
      <w:r>
        <w:t xml:space="preserve">tion to clarifications provided in other section of the KID? </w:t>
      </w:r>
    </w:p>
    <w:p w14:paraId="5509919E" w14:textId="77777777" w:rsidR="00F31E57" w:rsidRDefault="00F31E57" w:rsidP="00F31E57"/>
    <w:p w14:paraId="6B244552" w14:textId="77777777" w:rsidR="00F31E57" w:rsidRDefault="00F31E57" w:rsidP="00F31E57">
      <w:r>
        <w:t>&lt;ESMA_QUESTION_PRIIPs_7&gt;</w:t>
      </w:r>
    </w:p>
    <w:p w14:paraId="69843C58" w14:textId="1530C963" w:rsidR="00F31E57" w:rsidRDefault="00F31E57" w:rsidP="00F31E57">
      <w:permStart w:id="2046059155" w:edGrp="everyone"/>
    </w:p>
    <w:p w14:paraId="285E1FC7" w14:textId="0C21B293" w:rsidR="00220495" w:rsidRPr="00393754" w:rsidRDefault="00CB0870" w:rsidP="00F31E57">
      <w:pPr>
        <w:pStyle w:val="ListParagraph"/>
        <w:numPr>
          <w:ilvl w:val="0"/>
          <w:numId w:val="47"/>
        </w:numPr>
        <w:rPr>
          <w:color w:val="000000" w:themeColor="text1"/>
        </w:rPr>
      </w:pPr>
      <w:r w:rsidRPr="00393754">
        <w:rPr>
          <w:color w:val="000000" w:themeColor="text1"/>
        </w:rPr>
        <w:lastRenderedPageBreak/>
        <w:t xml:space="preserve">The </w:t>
      </w:r>
      <w:r w:rsidR="00220495" w:rsidRPr="00393754">
        <w:rPr>
          <w:color w:val="000000" w:themeColor="text1"/>
        </w:rPr>
        <w:t>SSDA agree</w:t>
      </w:r>
      <w:r w:rsidR="00FF524F" w:rsidRPr="00393754">
        <w:rPr>
          <w:color w:val="000000" w:themeColor="text1"/>
        </w:rPr>
        <w:t>s</w:t>
      </w:r>
      <w:r w:rsidR="00220495" w:rsidRPr="00393754">
        <w:rPr>
          <w:color w:val="000000" w:themeColor="text1"/>
        </w:rPr>
        <w:t xml:space="preserve"> that the liquidity issues should be </w:t>
      </w:r>
      <w:r w:rsidR="009A590C" w:rsidRPr="00393754">
        <w:rPr>
          <w:color w:val="000000" w:themeColor="text1"/>
        </w:rPr>
        <w:t>included</w:t>
      </w:r>
      <w:r w:rsidR="00220495" w:rsidRPr="00393754">
        <w:rPr>
          <w:color w:val="000000" w:themeColor="text1"/>
        </w:rPr>
        <w:t xml:space="preserve"> </w:t>
      </w:r>
      <w:r w:rsidR="009A590C" w:rsidRPr="00393754">
        <w:rPr>
          <w:color w:val="000000" w:themeColor="text1"/>
        </w:rPr>
        <w:t>and be explained separately in a narr</w:t>
      </w:r>
      <w:r w:rsidR="009A590C" w:rsidRPr="00393754">
        <w:rPr>
          <w:color w:val="000000" w:themeColor="text1"/>
        </w:rPr>
        <w:t>a</w:t>
      </w:r>
      <w:r w:rsidR="009A590C" w:rsidRPr="00393754">
        <w:rPr>
          <w:color w:val="000000" w:themeColor="text1"/>
        </w:rPr>
        <w:t xml:space="preserve">tive text </w:t>
      </w:r>
      <w:r w:rsidR="00220495" w:rsidRPr="00393754">
        <w:rPr>
          <w:color w:val="000000" w:themeColor="text1"/>
        </w:rPr>
        <w:t>in the risk section.</w:t>
      </w:r>
      <w:r w:rsidR="00EF7BA4" w:rsidRPr="00393754">
        <w:rPr>
          <w:color w:val="000000" w:themeColor="text1"/>
        </w:rPr>
        <w:t xml:space="preserve"> </w:t>
      </w:r>
    </w:p>
    <w:p w14:paraId="10FE433C" w14:textId="77777777" w:rsidR="009A590C" w:rsidRDefault="009A590C" w:rsidP="009A590C">
      <w:pPr>
        <w:pStyle w:val="ListParagraph"/>
        <w:ind w:left="360"/>
      </w:pPr>
    </w:p>
    <w:permEnd w:id="2046059155"/>
    <w:p w14:paraId="110BE8FE" w14:textId="77777777" w:rsidR="00F31E57" w:rsidRDefault="00F31E57" w:rsidP="00F31E57">
      <w:r>
        <w:t>&lt;ESMA_QUESTION_PRIIPs_7&gt;</w:t>
      </w:r>
    </w:p>
    <w:p w14:paraId="10F616C4"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consider that qualitative measures such as the ones proposed are appr</w:t>
      </w:r>
      <w:r>
        <w:t>o</w:t>
      </w:r>
      <w:r>
        <w:t>priate or that they need to be supplemented with some quantitative measure to some extent?</w:t>
      </w:r>
    </w:p>
    <w:p w14:paraId="4BD42369" w14:textId="77777777" w:rsidR="00F31E57" w:rsidRDefault="00F31E57" w:rsidP="00F31E57"/>
    <w:p w14:paraId="245F548E" w14:textId="77777777" w:rsidR="00F31E57" w:rsidRDefault="00F31E57" w:rsidP="00F31E57">
      <w:r>
        <w:t>&lt;ESMA_QUESTION_PRIIPs_8&gt;</w:t>
      </w:r>
    </w:p>
    <w:p w14:paraId="6ED0764E" w14:textId="77777777" w:rsidR="007F113B" w:rsidRPr="00393754" w:rsidRDefault="007F113B" w:rsidP="007F113B">
      <w:pPr>
        <w:rPr>
          <w:color w:val="000000" w:themeColor="text1"/>
        </w:rPr>
      </w:pPr>
      <w:permStart w:id="1588418818" w:edGrp="everyone"/>
    </w:p>
    <w:p w14:paraId="60DBCD1A" w14:textId="03CC5F43" w:rsidR="007F113B" w:rsidRPr="00393754" w:rsidRDefault="00CB0870" w:rsidP="007F113B">
      <w:pPr>
        <w:pStyle w:val="ListParagraph"/>
        <w:numPr>
          <w:ilvl w:val="0"/>
          <w:numId w:val="50"/>
        </w:numPr>
        <w:rPr>
          <w:color w:val="000000" w:themeColor="text1"/>
        </w:rPr>
      </w:pPr>
      <w:r w:rsidRPr="00393754">
        <w:rPr>
          <w:color w:val="000000" w:themeColor="text1"/>
        </w:rPr>
        <w:t xml:space="preserve">The </w:t>
      </w:r>
      <w:r w:rsidR="00F16CED" w:rsidRPr="00393754">
        <w:rPr>
          <w:color w:val="000000" w:themeColor="text1"/>
        </w:rPr>
        <w:t>SSDA do</w:t>
      </w:r>
      <w:r w:rsidR="00FF524F" w:rsidRPr="00393754">
        <w:rPr>
          <w:color w:val="000000" w:themeColor="text1"/>
        </w:rPr>
        <w:t>es</w:t>
      </w:r>
      <w:r w:rsidR="00952103" w:rsidRPr="00393754">
        <w:rPr>
          <w:color w:val="000000" w:themeColor="text1"/>
        </w:rPr>
        <w:t xml:space="preserve"> not think quantitative measures are appropriate to apprehend liquidity risk as considered measures refer imprecisely to liquidity risk. For example, bid-offer spreads integrate global hedging costs and not only liquidity costs. A precise narrative of liquidity risks seems ther</w:t>
      </w:r>
      <w:r w:rsidR="00952103" w:rsidRPr="00393754">
        <w:rPr>
          <w:color w:val="000000" w:themeColor="text1"/>
        </w:rPr>
        <w:t>e</w:t>
      </w:r>
      <w:r w:rsidR="00952103" w:rsidRPr="00393754">
        <w:rPr>
          <w:color w:val="000000" w:themeColor="text1"/>
        </w:rPr>
        <w:t>fore more accurate.</w:t>
      </w:r>
    </w:p>
    <w:p w14:paraId="3231FD2B" w14:textId="77777777" w:rsidR="007F113B" w:rsidRPr="00393754" w:rsidRDefault="007F113B" w:rsidP="007F113B">
      <w:pPr>
        <w:pStyle w:val="ListParagraph"/>
        <w:rPr>
          <w:color w:val="000000" w:themeColor="text1"/>
        </w:rPr>
      </w:pPr>
    </w:p>
    <w:p w14:paraId="160DB4B7" w14:textId="526F529C" w:rsidR="00952103" w:rsidRPr="00393754" w:rsidRDefault="00CB0870" w:rsidP="00952103">
      <w:pPr>
        <w:pStyle w:val="ListParagraph"/>
        <w:numPr>
          <w:ilvl w:val="0"/>
          <w:numId w:val="50"/>
        </w:numPr>
        <w:rPr>
          <w:color w:val="000000" w:themeColor="text1"/>
        </w:rPr>
      </w:pPr>
      <w:r w:rsidRPr="00393754">
        <w:rPr>
          <w:color w:val="000000" w:themeColor="text1"/>
        </w:rPr>
        <w:t xml:space="preserve">The </w:t>
      </w:r>
      <w:r w:rsidR="00F16CED" w:rsidRPr="00393754">
        <w:rPr>
          <w:color w:val="000000" w:themeColor="text1"/>
        </w:rPr>
        <w:t>SSDA</w:t>
      </w:r>
      <w:r w:rsidR="00952103" w:rsidRPr="00393754">
        <w:rPr>
          <w:color w:val="000000" w:themeColor="text1"/>
        </w:rPr>
        <w:t xml:space="preserve"> agree</w:t>
      </w:r>
      <w:r w:rsidR="00FF524F" w:rsidRPr="00393754">
        <w:rPr>
          <w:color w:val="000000" w:themeColor="text1"/>
        </w:rPr>
        <w:t>s</w:t>
      </w:r>
      <w:r w:rsidR="00952103" w:rsidRPr="00393754">
        <w:rPr>
          <w:color w:val="000000" w:themeColor="text1"/>
        </w:rPr>
        <w:t xml:space="preserve"> that the narrative should refer to the 4 criteria</w:t>
      </w:r>
      <w:r w:rsidR="00126C71" w:rsidRPr="00393754">
        <w:rPr>
          <w:color w:val="000000" w:themeColor="text1"/>
        </w:rPr>
        <w:t>’s</w:t>
      </w:r>
      <w:r w:rsidR="00952103" w:rsidRPr="00393754">
        <w:rPr>
          <w:color w:val="000000" w:themeColor="text1"/>
        </w:rPr>
        <w:t xml:space="preserve"> mentioned in the TDP in the section "qualitative liquidity measures". For reference, these criteria are:</w:t>
      </w:r>
    </w:p>
    <w:p w14:paraId="26DA85FB" w14:textId="42CA1FC8" w:rsidR="00952103" w:rsidRPr="00393754" w:rsidRDefault="00952103" w:rsidP="007F113B">
      <w:pPr>
        <w:ind w:left="709" w:firstLine="709"/>
        <w:rPr>
          <w:color w:val="000000" w:themeColor="text1"/>
        </w:rPr>
      </w:pPr>
      <w:r w:rsidRPr="00393754">
        <w:rPr>
          <w:color w:val="000000" w:themeColor="text1"/>
        </w:rPr>
        <w:t xml:space="preserve">(i) </w:t>
      </w:r>
      <w:proofErr w:type="gramStart"/>
      <w:r w:rsidRPr="00393754">
        <w:rPr>
          <w:color w:val="000000" w:themeColor="text1"/>
        </w:rPr>
        <w:t>a</w:t>
      </w:r>
      <w:proofErr w:type="gramEnd"/>
      <w:r w:rsidRPr="00393754">
        <w:rPr>
          <w:color w:val="000000" w:themeColor="text1"/>
        </w:rPr>
        <w:t xml:space="preserve"> product is traded or will be traded on a regulated market or MTF</w:t>
      </w:r>
    </w:p>
    <w:p w14:paraId="2852BC30" w14:textId="77777777" w:rsidR="00952103" w:rsidRPr="00393754" w:rsidRDefault="00952103" w:rsidP="007F113B">
      <w:pPr>
        <w:ind w:left="709" w:firstLine="709"/>
        <w:rPr>
          <w:color w:val="000000" w:themeColor="text1"/>
        </w:rPr>
      </w:pPr>
      <w:r w:rsidRPr="00393754">
        <w:rPr>
          <w:color w:val="000000" w:themeColor="text1"/>
        </w:rPr>
        <w:t xml:space="preserve">(ii) </w:t>
      </w:r>
      <w:proofErr w:type="gramStart"/>
      <w:r w:rsidRPr="00393754">
        <w:rPr>
          <w:color w:val="000000" w:themeColor="text1"/>
        </w:rPr>
        <w:t>a</w:t>
      </w:r>
      <w:proofErr w:type="gramEnd"/>
      <w:r w:rsidRPr="00393754">
        <w:rPr>
          <w:color w:val="000000" w:themeColor="text1"/>
        </w:rPr>
        <w:t xml:space="preserve"> liquidity provider exists (either manufacturer or other parties) </w:t>
      </w:r>
    </w:p>
    <w:p w14:paraId="090A344A" w14:textId="77777777" w:rsidR="00952103" w:rsidRPr="00393754" w:rsidRDefault="00952103" w:rsidP="007F113B">
      <w:pPr>
        <w:ind w:left="709" w:firstLine="709"/>
        <w:rPr>
          <w:color w:val="000000" w:themeColor="text1"/>
        </w:rPr>
      </w:pPr>
      <w:r w:rsidRPr="00393754">
        <w:rPr>
          <w:color w:val="000000" w:themeColor="text1"/>
        </w:rPr>
        <w:t xml:space="preserve">(iii) </w:t>
      </w:r>
      <w:proofErr w:type="gramStart"/>
      <w:r w:rsidRPr="00393754">
        <w:rPr>
          <w:color w:val="000000" w:themeColor="text1"/>
        </w:rPr>
        <w:t>market</w:t>
      </w:r>
      <w:proofErr w:type="gramEnd"/>
      <w:r w:rsidRPr="00393754">
        <w:rPr>
          <w:color w:val="000000" w:themeColor="text1"/>
        </w:rPr>
        <w:t xml:space="preserve"> rules ensure liquidity under normal conditions and/or, </w:t>
      </w:r>
    </w:p>
    <w:p w14:paraId="6784ACDC" w14:textId="77777777" w:rsidR="00952103" w:rsidRPr="00393754" w:rsidRDefault="00952103" w:rsidP="007F113B">
      <w:pPr>
        <w:ind w:left="1418"/>
        <w:rPr>
          <w:color w:val="000000" w:themeColor="text1"/>
        </w:rPr>
      </w:pPr>
      <w:r w:rsidRPr="00393754">
        <w:rPr>
          <w:color w:val="000000" w:themeColor="text1"/>
        </w:rPr>
        <w:t xml:space="preserve">(iv) </w:t>
      </w:r>
      <w:proofErr w:type="gramStart"/>
      <w:r w:rsidRPr="00393754">
        <w:rPr>
          <w:color w:val="000000" w:themeColor="text1"/>
        </w:rPr>
        <w:t>when</w:t>
      </w:r>
      <w:proofErr w:type="gramEnd"/>
      <w:r w:rsidRPr="00393754">
        <w:rPr>
          <w:color w:val="000000" w:themeColor="text1"/>
        </w:rPr>
        <w:t xml:space="preserve"> regular redemption dates are offered throughout the life of the product under normal market conditions.</w:t>
      </w:r>
    </w:p>
    <w:p w14:paraId="1ABCD86E" w14:textId="77777777" w:rsidR="00952103" w:rsidRPr="00393754" w:rsidRDefault="00952103" w:rsidP="00952103">
      <w:pPr>
        <w:rPr>
          <w:color w:val="000000" w:themeColor="text1"/>
        </w:rPr>
      </w:pPr>
    </w:p>
    <w:p w14:paraId="67E853AE" w14:textId="77777777" w:rsidR="00952103" w:rsidRPr="00393754" w:rsidRDefault="00952103" w:rsidP="00952103">
      <w:pPr>
        <w:rPr>
          <w:b/>
          <w:color w:val="000000" w:themeColor="text1"/>
        </w:rPr>
      </w:pPr>
      <w:r w:rsidRPr="00393754">
        <w:rPr>
          <w:b/>
          <w:color w:val="000000" w:themeColor="text1"/>
        </w:rPr>
        <w:t>Should cost and exit penalties for early redemptions be considered a component of the liquidity risk and hence, be used to define a product as liquid or not for the KID purpose?</w:t>
      </w:r>
    </w:p>
    <w:p w14:paraId="56DF194B" w14:textId="77777777" w:rsidR="00952103" w:rsidRPr="00393754" w:rsidRDefault="00952103" w:rsidP="00952103">
      <w:pPr>
        <w:rPr>
          <w:color w:val="000000" w:themeColor="text1"/>
        </w:rPr>
      </w:pPr>
    </w:p>
    <w:p w14:paraId="47DA3F57" w14:textId="25E5C22F" w:rsidR="00952103" w:rsidRPr="00393754" w:rsidRDefault="00CB0870" w:rsidP="00952103">
      <w:pPr>
        <w:pStyle w:val="ListParagraph"/>
        <w:numPr>
          <w:ilvl w:val="0"/>
          <w:numId w:val="50"/>
        </w:numPr>
        <w:rPr>
          <w:color w:val="000000" w:themeColor="text1"/>
        </w:rPr>
      </w:pPr>
      <w:r w:rsidRPr="00393754">
        <w:rPr>
          <w:color w:val="000000" w:themeColor="text1"/>
        </w:rPr>
        <w:t xml:space="preserve">The </w:t>
      </w:r>
      <w:r w:rsidR="006F6C9D" w:rsidRPr="00393754">
        <w:rPr>
          <w:color w:val="000000" w:themeColor="text1"/>
        </w:rPr>
        <w:t>SSDA believe</w:t>
      </w:r>
      <w:r w:rsidR="00EA1DDF" w:rsidRPr="00393754">
        <w:rPr>
          <w:color w:val="000000" w:themeColor="text1"/>
        </w:rPr>
        <w:t>s</w:t>
      </w:r>
      <w:r w:rsidR="006F6C9D" w:rsidRPr="00393754">
        <w:rPr>
          <w:color w:val="000000" w:themeColor="text1"/>
        </w:rPr>
        <w:t xml:space="preserve"> that l</w:t>
      </w:r>
      <w:r w:rsidR="00952103" w:rsidRPr="00393754">
        <w:rPr>
          <w:color w:val="000000" w:themeColor="text1"/>
        </w:rPr>
        <w:t>iquidity is a different topic than exit penalties</w:t>
      </w:r>
      <w:r w:rsidR="002E6C3D" w:rsidRPr="00393754">
        <w:rPr>
          <w:color w:val="000000" w:themeColor="text1"/>
        </w:rPr>
        <w:t xml:space="preserve"> and</w:t>
      </w:r>
      <w:r w:rsidR="006F6C9D" w:rsidRPr="00393754">
        <w:rPr>
          <w:color w:val="000000" w:themeColor="text1"/>
        </w:rPr>
        <w:t xml:space="preserve"> should therefor not be </w:t>
      </w:r>
      <w:r w:rsidR="00407274" w:rsidRPr="00393754">
        <w:rPr>
          <w:color w:val="000000" w:themeColor="text1"/>
        </w:rPr>
        <w:t>considered</w:t>
      </w:r>
      <w:r w:rsidR="006F6C9D" w:rsidRPr="00393754">
        <w:rPr>
          <w:color w:val="000000" w:themeColor="text1"/>
        </w:rPr>
        <w:t xml:space="preserve"> as a component of the liquidity risk</w:t>
      </w:r>
      <w:r w:rsidR="00952103" w:rsidRPr="00393754">
        <w:rPr>
          <w:color w:val="000000" w:themeColor="text1"/>
        </w:rPr>
        <w:t>. Exit penalties should be dealt with in the cost se</w:t>
      </w:r>
      <w:r w:rsidR="00952103" w:rsidRPr="00393754">
        <w:rPr>
          <w:color w:val="000000" w:themeColor="text1"/>
        </w:rPr>
        <w:t>c</w:t>
      </w:r>
      <w:r w:rsidR="00952103" w:rsidRPr="00393754">
        <w:rPr>
          <w:color w:val="000000" w:themeColor="text1"/>
        </w:rPr>
        <w:t>tion of the KID.</w:t>
      </w:r>
    </w:p>
    <w:p w14:paraId="72851314" w14:textId="77777777" w:rsidR="00220495" w:rsidRDefault="00220495" w:rsidP="00F31E57"/>
    <w:permEnd w:id="1588418818"/>
    <w:p w14:paraId="1E49D1B1" w14:textId="77777777" w:rsidR="00F31E57" w:rsidRDefault="00F31E57" w:rsidP="00F31E57">
      <w:r>
        <w:t>&lt;ESMA_QUESTION_PRIIPs_8&gt;</w:t>
      </w:r>
    </w:p>
    <w:p w14:paraId="10FE4128"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14:paraId="05164472" w14:textId="77777777" w:rsidR="00F31E57" w:rsidRDefault="00F31E57" w:rsidP="00F31E57"/>
    <w:p w14:paraId="424C83A2" w14:textId="77777777" w:rsidR="00F31E57" w:rsidRDefault="00F31E57" w:rsidP="00F31E57">
      <w:r>
        <w:t>&lt;ESMA_QUESTION_PRIIPs_9&gt;</w:t>
      </w:r>
    </w:p>
    <w:p w14:paraId="78286062" w14:textId="77777777" w:rsidR="00AA1BE8" w:rsidRPr="00AA1BE8" w:rsidRDefault="00AA1BE8" w:rsidP="00AA1BE8">
      <w:pPr>
        <w:rPr>
          <w:color w:val="FF0000"/>
        </w:rPr>
      </w:pPr>
      <w:permStart w:id="10052637" w:edGrp="everyone"/>
    </w:p>
    <w:p w14:paraId="7A725015" w14:textId="39F0E998" w:rsidR="00641B12" w:rsidRPr="00393754" w:rsidRDefault="00126C71" w:rsidP="00126C71">
      <w:pPr>
        <w:pStyle w:val="ListParagraph"/>
        <w:numPr>
          <w:ilvl w:val="0"/>
          <w:numId w:val="37"/>
        </w:numPr>
        <w:rPr>
          <w:color w:val="000000" w:themeColor="text1"/>
        </w:rPr>
      </w:pPr>
      <w:r w:rsidRPr="00393754">
        <w:rPr>
          <w:color w:val="000000" w:themeColor="text1"/>
        </w:rPr>
        <w:t xml:space="preserve">Option 1 is easy to implement and update regularly, but </w:t>
      </w:r>
      <w:r w:rsidR="00CB0870" w:rsidRPr="00393754">
        <w:rPr>
          <w:color w:val="000000" w:themeColor="text1"/>
        </w:rPr>
        <w:t xml:space="preserve">the </w:t>
      </w:r>
      <w:r w:rsidR="00FF524F" w:rsidRPr="00393754">
        <w:rPr>
          <w:color w:val="000000" w:themeColor="text1"/>
        </w:rPr>
        <w:t>SSDA is of</w:t>
      </w:r>
      <w:r w:rsidRPr="00393754">
        <w:rPr>
          <w:color w:val="000000" w:themeColor="text1"/>
        </w:rPr>
        <w:t xml:space="preserve"> the opinion that option 1 is not suitable as a risk indicator, since it has too many drawbacks. </w:t>
      </w:r>
    </w:p>
    <w:p w14:paraId="3B18E9FD" w14:textId="77777777" w:rsidR="00126C71" w:rsidRPr="00393754" w:rsidRDefault="00126C71" w:rsidP="00126C71">
      <w:pPr>
        <w:pStyle w:val="ListParagraph"/>
        <w:rPr>
          <w:color w:val="000000" w:themeColor="text1"/>
          <w:lang w:val="en-US"/>
        </w:rPr>
      </w:pPr>
    </w:p>
    <w:p w14:paraId="0E772679" w14:textId="77777777" w:rsidR="00641B12" w:rsidRPr="00393754" w:rsidRDefault="00641B12" w:rsidP="00641B12">
      <w:pPr>
        <w:pStyle w:val="ListParagraph"/>
        <w:numPr>
          <w:ilvl w:val="0"/>
          <w:numId w:val="37"/>
        </w:numPr>
        <w:rPr>
          <w:color w:val="000000" w:themeColor="text1"/>
          <w:lang w:val="en-US"/>
        </w:rPr>
      </w:pPr>
      <w:r w:rsidRPr="00393754">
        <w:rPr>
          <w:color w:val="000000" w:themeColor="text1"/>
          <w:lang w:val="en-US"/>
        </w:rPr>
        <w:t xml:space="preserve">The indicator’s major disadvantages: </w:t>
      </w:r>
    </w:p>
    <w:p w14:paraId="08BAA4F9" w14:textId="77777777" w:rsidR="00044EEE" w:rsidRPr="00393754" w:rsidRDefault="00044EEE" w:rsidP="00044EEE">
      <w:pPr>
        <w:pStyle w:val="ListParagraph"/>
        <w:rPr>
          <w:color w:val="000000" w:themeColor="text1"/>
          <w:lang w:val="en-US"/>
        </w:rPr>
      </w:pPr>
    </w:p>
    <w:p w14:paraId="0C0BB8B7" w14:textId="6A3E3C8A" w:rsidR="00641B12" w:rsidRPr="00393754" w:rsidRDefault="00CB0870" w:rsidP="006B2A9F">
      <w:pPr>
        <w:pStyle w:val="ListParagraph"/>
        <w:numPr>
          <w:ilvl w:val="0"/>
          <w:numId w:val="52"/>
        </w:numPr>
        <w:rPr>
          <w:color w:val="000000" w:themeColor="text1"/>
          <w:lang w:val="en-US"/>
        </w:rPr>
      </w:pPr>
      <w:r w:rsidRPr="00393754">
        <w:rPr>
          <w:color w:val="000000" w:themeColor="text1"/>
          <w:lang w:val="en-US"/>
        </w:rPr>
        <w:t xml:space="preserve">The </w:t>
      </w:r>
      <w:r w:rsidR="00641B12" w:rsidRPr="00393754">
        <w:rPr>
          <w:color w:val="000000" w:themeColor="text1"/>
          <w:lang w:val="en-US"/>
        </w:rPr>
        <w:t>SSDA believes the difficulty with the model is the risk for an arbitrary classification and it is difficult to differentiate variables (</w:t>
      </w:r>
      <w:r w:rsidR="00044EEE" w:rsidRPr="00393754">
        <w:rPr>
          <w:color w:val="000000" w:themeColor="text1"/>
          <w:lang w:val="en-US"/>
        </w:rPr>
        <w:t>maturity, pay</w:t>
      </w:r>
      <w:r w:rsidR="00641B12" w:rsidRPr="00393754">
        <w:rPr>
          <w:color w:val="000000" w:themeColor="text1"/>
          <w:lang w:val="en-US"/>
        </w:rPr>
        <w:t>off, underlying, worst off</w:t>
      </w:r>
      <w:r w:rsidR="00044EEE" w:rsidRPr="00393754">
        <w:rPr>
          <w:color w:val="000000" w:themeColor="text1"/>
          <w:lang w:val="en-US"/>
        </w:rPr>
        <w:t>-feature</w:t>
      </w:r>
      <w:r w:rsidR="00641B12" w:rsidRPr="00393754">
        <w:rPr>
          <w:color w:val="000000" w:themeColor="text1"/>
          <w:lang w:val="en-US"/>
        </w:rPr>
        <w:t xml:space="preserve">). </w:t>
      </w:r>
    </w:p>
    <w:p w14:paraId="38BA0645" w14:textId="77777777" w:rsidR="00641B12" w:rsidRPr="00393754" w:rsidRDefault="00641B12" w:rsidP="00641B12">
      <w:pPr>
        <w:pStyle w:val="ListParagraph"/>
        <w:rPr>
          <w:color w:val="000000" w:themeColor="text1"/>
          <w:lang w:val="en-US"/>
        </w:rPr>
      </w:pPr>
    </w:p>
    <w:p w14:paraId="214BEC11" w14:textId="15B5198A" w:rsidR="00EF7BA4" w:rsidRPr="00393754" w:rsidRDefault="00CB0870" w:rsidP="006B2A9F">
      <w:pPr>
        <w:pStyle w:val="ListParagraph"/>
        <w:numPr>
          <w:ilvl w:val="0"/>
          <w:numId w:val="53"/>
        </w:numPr>
        <w:rPr>
          <w:color w:val="000000" w:themeColor="text1"/>
          <w:lang w:val="en-US"/>
        </w:rPr>
      </w:pPr>
      <w:r w:rsidRPr="00393754">
        <w:rPr>
          <w:color w:val="000000" w:themeColor="text1"/>
          <w:lang w:val="en-US"/>
        </w:rPr>
        <w:t xml:space="preserve">The </w:t>
      </w:r>
      <w:r w:rsidR="00641B12" w:rsidRPr="00393754">
        <w:rPr>
          <w:color w:val="000000" w:themeColor="text1"/>
          <w:lang w:val="en-US"/>
        </w:rPr>
        <w:t>SSDA believes the Risk classes in Option 1 are too blunt in the sense that a signif</w:t>
      </w:r>
      <w:r w:rsidR="00641B12" w:rsidRPr="00393754">
        <w:rPr>
          <w:color w:val="000000" w:themeColor="text1"/>
          <w:lang w:val="en-US"/>
        </w:rPr>
        <w:t>i</w:t>
      </w:r>
      <w:r w:rsidR="00641B12" w:rsidRPr="00393754">
        <w:rPr>
          <w:color w:val="000000" w:themeColor="text1"/>
          <w:lang w:val="en-US"/>
        </w:rPr>
        <w:t>cant part of the structured products offered will end up in Class 3 with no further different</w:t>
      </w:r>
      <w:r w:rsidR="00641B12" w:rsidRPr="00393754">
        <w:rPr>
          <w:color w:val="000000" w:themeColor="text1"/>
          <w:lang w:val="en-US"/>
        </w:rPr>
        <w:t>i</w:t>
      </w:r>
      <w:r w:rsidR="00641B12" w:rsidRPr="00393754">
        <w:rPr>
          <w:color w:val="000000" w:themeColor="text1"/>
          <w:lang w:val="en-US"/>
        </w:rPr>
        <w:t>ation due to lack of detail, adding poor value to end clients and advisors.</w:t>
      </w:r>
    </w:p>
    <w:p w14:paraId="49293663" w14:textId="77777777" w:rsidR="00EF7BA4" w:rsidRPr="00393754" w:rsidRDefault="00EF7BA4" w:rsidP="00EF7BA4">
      <w:pPr>
        <w:pStyle w:val="ListParagraph"/>
        <w:ind w:left="1440"/>
        <w:rPr>
          <w:color w:val="000000" w:themeColor="text1"/>
          <w:lang w:val="en-US"/>
        </w:rPr>
      </w:pPr>
    </w:p>
    <w:p w14:paraId="1D165336" w14:textId="5FA1884A" w:rsidR="00EF7BA4" w:rsidRPr="00393754" w:rsidRDefault="00CB0870" w:rsidP="006B2A9F">
      <w:pPr>
        <w:pStyle w:val="ListParagraph"/>
        <w:numPr>
          <w:ilvl w:val="0"/>
          <w:numId w:val="53"/>
        </w:numPr>
        <w:rPr>
          <w:color w:val="000000" w:themeColor="text1"/>
          <w:lang w:val="en-US"/>
        </w:rPr>
      </w:pPr>
      <w:r w:rsidRPr="00393754">
        <w:rPr>
          <w:color w:val="000000" w:themeColor="text1"/>
          <w:lang w:val="en-US"/>
        </w:rPr>
        <w:t>The SSDA is</w:t>
      </w:r>
      <w:r w:rsidR="00641B12" w:rsidRPr="00393754">
        <w:rPr>
          <w:color w:val="000000" w:themeColor="text1"/>
          <w:lang w:val="en-US"/>
        </w:rPr>
        <w:t xml:space="preserve"> of the opinion that investment products need to be modeled on a quantit</w:t>
      </w:r>
      <w:r w:rsidR="00641B12" w:rsidRPr="00393754">
        <w:rPr>
          <w:color w:val="000000" w:themeColor="text1"/>
          <w:lang w:val="en-US"/>
        </w:rPr>
        <w:t>a</w:t>
      </w:r>
      <w:r w:rsidR="00641B12" w:rsidRPr="00393754">
        <w:rPr>
          <w:color w:val="000000" w:themeColor="text1"/>
          <w:lang w:val="en-US"/>
        </w:rPr>
        <w:t>tively basis and separately and with respect to market risk and not group classified.</w:t>
      </w:r>
    </w:p>
    <w:p w14:paraId="4D185080" w14:textId="77777777" w:rsidR="00EF7BA4" w:rsidRPr="00393754" w:rsidRDefault="00EF7BA4" w:rsidP="00EF7BA4">
      <w:pPr>
        <w:pStyle w:val="ListParagraph"/>
        <w:ind w:left="1440"/>
        <w:rPr>
          <w:color w:val="000000" w:themeColor="text1"/>
          <w:lang w:val="en-US"/>
        </w:rPr>
      </w:pPr>
    </w:p>
    <w:p w14:paraId="357059F4" w14:textId="7C830379" w:rsidR="00641B12" w:rsidRPr="00393754" w:rsidRDefault="00641B12" w:rsidP="006B2A9F">
      <w:pPr>
        <w:pStyle w:val="ListParagraph"/>
        <w:numPr>
          <w:ilvl w:val="0"/>
          <w:numId w:val="53"/>
        </w:numPr>
        <w:rPr>
          <w:color w:val="000000" w:themeColor="text1"/>
          <w:lang w:val="en-US"/>
        </w:rPr>
      </w:pPr>
      <w:r w:rsidRPr="00393754">
        <w:rPr>
          <w:color w:val="000000" w:themeColor="text1"/>
          <w:lang w:val="en-US"/>
        </w:rPr>
        <w:t xml:space="preserve">The need for </w:t>
      </w:r>
      <w:r w:rsidR="00D458AF" w:rsidRPr="00393754">
        <w:rPr>
          <w:color w:val="000000" w:themeColor="text1"/>
          <w:lang w:val="en-US"/>
        </w:rPr>
        <w:t>judgment</w:t>
      </w:r>
      <w:r w:rsidRPr="00393754">
        <w:rPr>
          <w:color w:val="000000" w:themeColor="text1"/>
          <w:lang w:val="en-US"/>
        </w:rPr>
        <w:t xml:space="preserve"> in the classification process means increased room for manipul</w:t>
      </w:r>
      <w:r w:rsidRPr="00393754">
        <w:rPr>
          <w:color w:val="000000" w:themeColor="text1"/>
          <w:lang w:val="en-US"/>
        </w:rPr>
        <w:t>a</w:t>
      </w:r>
      <w:r w:rsidRPr="00393754">
        <w:rPr>
          <w:color w:val="000000" w:themeColor="text1"/>
          <w:lang w:val="en-US"/>
        </w:rPr>
        <w:t>tion</w:t>
      </w:r>
    </w:p>
    <w:p w14:paraId="3237ACAC" w14:textId="77777777" w:rsidR="00641B12" w:rsidRPr="00393754" w:rsidRDefault="00641B12" w:rsidP="00641B12">
      <w:pPr>
        <w:rPr>
          <w:color w:val="000000" w:themeColor="text1"/>
          <w:lang w:val="en-US"/>
        </w:rPr>
      </w:pPr>
    </w:p>
    <w:p w14:paraId="4ED06620" w14:textId="52F671D2" w:rsidR="00357D18" w:rsidRPr="00393754" w:rsidRDefault="00CB0870" w:rsidP="00357D18">
      <w:pPr>
        <w:pStyle w:val="ListParagraph"/>
        <w:numPr>
          <w:ilvl w:val="0"/>
          <w:numId w:val="37"/>
        </w:numPr>
        <w:rPr>
          <w:color w:val="000000" w:themeColor="text1"/>
        </w:rPr>
      </w:pPr>
      <w:r w:rsidRPr="00393754">
        <w:rPr>
          <w:color w:val="000000" w:themeColor="text1"/>
          <w:lang w:val="en-US"/>
        </w:rPr>
        <w:t xml:space="preserve">The </w:t>
      </w:r>
      <w:r w:rsidR="00357D18" w:rsidRPr="00393754">
        <w:rPr>
          <w:color w:val="000000" w:themeColor="text1"/>
          <w:lang w:val="en-US"/>
        </w:rPr>
        <w:t>SSDA</w:t>
      </w:r>
      <w:r w:rsidR="00FF524F" w:rsidRPr="00393754">
        <w:rPr>
          <w:color w:val="000000" w:themeColor="text1"/>
          <w:lang w:val="en-US"/>
        </w:rPr>
        <w:t xml:space="preserve">’s main approach is that </w:t>
      </w:r>
      <w:proofErr w:type="gramStart"/>
      <w:r w:rsidR="00FF524F" w:rsidRPr="00393754">
        <w:rPr>
          <w:color w:val="000000" w:themeColor="text1"/>
          <w:lang w:val="en-US"/>
        </w:rPr>
        <w:t>market,</w:t>
      </w:r>
      <w:proofErr w:type="gramEnd"/>
      <w:r w:rsidR="00357D18" w:rsidRPr="00393754">
        <w:rPr>
          <w:color w:val="000000" w:themeColor="text1"/>
          <w:lang w:val="en-US"/>
        </w:rPr>
        <w:t xml:space="preserve"> credit and liquidity risk should be explained under the risk section of the KID and prefers a “multi-dimensional” risk indicator. </w:t>
      </w:r>
      <w:r w:rsidR="00357D18" w:rsidRPr="00393754">
        <w:rPr>
          <w:color w:val="000000" w:themeColor="text1"/>
        </w:rPr>
        <w:t xml:space="preserve">Market risk could in most cases be subject to a quantitative measure such as </w:t>
      </w:r>
      <w:r w:rsidR="007B6D7E" w:rsidRPr="00393754">
        <w:rPr>
          <w:color w:val="000000" w:themeColor="text1"/>
        </w:rPr>
        <w:t xml:space="preserve">average downside </w:t>
      </w:r>
      <w:r w:rsidR="00D078C9" w:rsidRPr="00393754">
        <w:rPr>
          <w:color w:val="000000" w:themeColor="text1"/>
        </w:rPr>
        <w:t>and Va</w:t>
      </w:r>
      <w:r w:rsidR="00357D18" w:rsidRPr="00393754">
        <w:rPr>
          <w:color w:val="000000" w:themeColor="text1"/>
        </w:rPr>
        <w:t>R. Credit- and l</w:t>
      </w:r>
      <w:r w:rsidR="00357D18" w:rsidRPr="00393754">
        <w:rPr>
          <w:color w:val="000000" w:themeColor="text1"/>
        </w:rPr>
        <w:t>i</w:t>
      </w:r>
      <w:r w:rsidR="00357D18" w:rsidRPr="00393754">
        <w:rPr>
          <w:color w:val="000000" w:themeColor="text1"/>
        </w:rPr>
        <w:t>quidity risk should be explained in qualitative format</w:t>
      </w:r>
      <w:r w:rsidR="00357D18" w:rsidRPr="00393754">
        <w:rPr>
          <w:color w:val="000000" w:themeColor="text1"/>
          <w:lang w:val="en-US"/>
        </w:rPr>
        <w:t xml:space="preserve"> such as credit rating and the characteristics of the PRIIP exit arrangements.</w:t>
      </w:r>
    </w:p>
    <w:p w14:paraId="10B2E0E5" w14:textId="77777777" w:rsidR="00641B12" w:rsidRPr="00393754" w:rsidRDefault="00641B12" w:rsidP="00641B12">
      <w:pPr>
        <w:rPr>
          <w:color w:val="000000" w:themeColor="text1"/>
        </w:rPr>
      </w:pPr>
    </w:p>
    <w:p w14:paraId="396A6E1C" w14:textId="5379778E" w:rsidR="00641B12" w:rsidRPr="00393754" w:rsidRDefault="00CB0870" w:rsidP="00641B12">
      <w:pPr>
        <w:pStyle w:val="ListParagraph"/>
        <w:numPr>
          <w:ilvl w:val="0"/>
          <w:numId w:val="37"/>
        </w:numPr>
        <w:rPr>
          <w:color w:val="000000" w:themeColor="text1"/>
          <w:lang w:val="en-US"/>
        </w:rPr>
      </w:pPr>
      <w:r w:rsidRPr="00393754">
        <w:rPr>
          <w:color w:val="000000" w:themeColor="text1"/>
          <w:lang w:val="en-US"/>
        </w:rPr>
        <w:t xml:space="preserve">The </w:t>
      </w:r>
      <w:r w:rsidR="00EA1DDF" w:rsidRPr="00393754">
        <w:rPr>
          <w:color w:val="000000" w:themeColor="text1"/>
          <w:lang w:val="en-US"/>
        </w:rPr>
        <w:t xml:space="preserve">SSDA believes that </w:t>
      </w:r>
      <w:r w:rsidR="00641B12" w:rsidRPr="00393754">
        <w:rPr>
          <w:color w:val="000000" w:themeColor="text1"/>
          <w:lang w:val="en-US"/>
        </w:rPr>
        <w:t xml:space="preserve">a summary risk indicator causes more damage than good. The reasons for that view are those mentioned on page </w:t>
      </w:r>
      <w:r w:rsidR="00FF524F" w:rsidRPr="00393754">
        <w:rPr>
          <w:color w:val="000000" w:themeColor="text1"/>
          <w:lang w:val="en-US"/>
        </w:rPr>
        <w:t xml:space="preserve">30 in the consultation paper, </w:t>
      </w:r>
      <w:r w:rsidR="00641B12" w:rsidRPr="00393754">
        <w:rPr>
          <w:color w:val="000000" w:themeColor="text1"/>
          <w:lang w:val="en-US"/>
        </w:rPr>
        <w:t>JC/DP/2014/2:</w:t>
      </w:r>
    </w:p>
    <w:p w14:paraId="430EF57F" w14:textId="77777777" w:rsidR="00641B12" w:rsidRPr="006B62B9" w:rsidRDefault="00641B12" w:rsidP="00641B12">
      <w:pPr>
        <w:pStyle w:val="ListParagraph"/>
        <w:rPr>
          <w:color w:val="FF0000"/>
          <w:lang w:val="en-US"/>
        </w:rPr>
      </w:pPr>
    </w:p>
    <w:p w14:paraId="2FECF45C" w14:textId="77777777" w:rsidR="00641B12" w:rsidRDefault="00641B12" w:rsidP="00641B12">
      <w:pPr>
        <w:pStyle w:val="ListParagraph"/>
        <w:rPr>
          <w:color w:val="FF0000"/>
          <w:lang w:val="en-US"/>
        </w:rPr>
      </w:pPr>
      <w:r w:rsidRPr="006B62B9">
        <w:rPr>
          <w:noProof/>
          <w:color w:val="FF0000"/>
          <w:lang w:val="en-US" w:eastAsia="en-US"/>
        </w:rPr>
        <w:drawing>
          <wp:inline distT="0" distB="0" distL="0" distR="0" wp14:anchorId="04BB4BCD" wp14:editId="1976692D">
            <wp:extent cx="4206240" cy="717550"/>
            <wp:effectExtent l="0" t="0" r="10160" b="0"/>
            <wp:docPr id="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8720" cy="717973"/>
                    </a:xfrm>
                    <a:prstGeom prst="rect">
                      <a:avLst/>
                    </a:prstGeom>
                    <a:noFill/>
                    <a:ln>
                      <a:noFill/>
                    </a:ln>
                  </pic:spPr>
                </pic:pic>
              </a:graphicData>
            </a:graphic>
          </wp:inline>
        </w:drawing>
      </w:r>
    </w:p>
    <w:p w14:paraId="38D524DA" w14:textId="77777777" w:rsidR="00EF7BA4" w:rsidRPr="006B62B9" w:rsidRDefault="00EF7BA4" w:rsidP="00641B12">
      <w:pPr>
        <w:pStyle w:val="ListParagraph"/>
        <w:rPr>
          <w:color w:val="FF0000"/>
          <w:lang w:val="en-US"/>
        </w:rPr>
      </w:pPr>
    </w:p>
    <w:permEnd w:id="10052637"/>
    <w:p w14:paraId="03CD6D04" w14:textId="77777777" w:rsidR="00F31E57" w:rsidRDefault="00F31E57" w:rsidP="00F31E57">
      <w:r>
        <w:t>&lt;ESMA_QUESTION_PRIIPs_9&gt;</w:t>
      </w:r>
    </w:p>
    <w:p w14:paraId="7ADBED91"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required parameters and possible amendments to this indicator.</w:t>
      </w:r>
    </w:p>
    <w:p w14:paraId="6235DFF1" w14:textId="77777777" w:rsidR="00F31E57" w:rsidRDefault="00F31E57" w:rsidP="00F31E57"/>
    <w:p w14:paraId="47DCFB97" w14:textId="77777777" w:rsidR="00F31E57" w:rsidRDefault="00F31E57" w:rsidP="00F31E57">
      <w:r>
        <w:t>&lt;ESMA_QUESTION_PRIIPs_10&gt;</w:t>
      </w:r>
    </w:p>
    <w:p w14:paraId="38720C78" w14:textId="77777777" w:rsidR="00C914BA" w:rsidRPr="00C914BA" w:rsidRDefault="00C914BA" w:rsidP="00C914BA">
      <w:pPr>
        <w:rPr>
          <w:color w:val="FF0000"/>
          <w:lang w:val="en-US"/>
        </w:rPr>
      </w:pPr>
      <w:permStart w:id="1043598297" w:edGrp="everyone"/>
    </w:p>
    <w:p w14:paraId="469CBDF8" w14:textId="75EC5C7F" w:rsidR="00641B12" w:rsidRPr="00393754" w:rsidRDefault="00CB0870" w:rsidP="00641B12">
      <w:pPr>
        <w:pStyle w:val="ListParagraph"/>
        <w:numPr>
          <w:ilvl w:val="0"/>
          <w:numId w:val="38"/>
        </w:numPr>
        <w:rPr>
          <w:color w:val="000000" w:themeColor="text1"/>
          <w:lang w:val="en-US"/>
        </w:rPr>
      </w:pPr>
      <w:r w:rsidRPr="00393754">
        <w:rPr>
          <w:color w:val="000000" w:themeColor="text1"/>
          <w:lang w:val="en-US"/>
        </w:rPr>
        <w:t xml:space="preserve">The </w:t>
      </w:r>
      <w:r w:rsidR="00641B12" w:rsidRPr="00393754">
        <w:rPr>
          <w:color w:val="000000" w:themeColor="text1"/>
          <w:lang w:val="en-US"/>
        </w:rPr>
        <w:t>SSDA supports the basic approach in the model (option 2) since it includes the separation of market risk (quantitative measure) from a qualitative measure of the credit risk of the counterpa</w:t>
      </w:r>
      <w:r w:rsidR="00641B12" w:rsidRPr="00393754">
        <w:rPr>
          <w:color w:val="000000" w:themeColor="text1"/>
          <w:lang w:val="en-US"/>
        </w:rPr>
        <w:t>r</w:t>
      </w:r>
      <w:r w:rsidR="00641B12" w:rsidRPr="00393754">
        <w:rPr>
          <w:color w:val="000000" w:themeColor="text1"/>
          <w:lang w:val="en-US"/>
        </w:rPr>
        <w:t>ty/issuer in the model.</w:t>
      </w:r>
    </w:p>
    <w:p w14:paraId="0630AE96" w14:textId="77777777" w:rsidR="00641B12" w:rsidRPr="00393754" w:rsidRDefault="00641B12" w:rsidP="00641B12">
      <w:pPr>
        <w:rPr>
          <w:color w:val="000000" w:themeColor="text1"/>
          <w:lang w:val="en-US"/>
        </w:rPr>
      </w:pPr>
    </w:p>
    <w:p w14:paraId="14A65BA7" w14:textId="07A57325" w:rsidR="00641B12" w:rsidRPr="00393754" w:rsidRDefault="00CB0870" w:rsidP="00641B12">
      <w:pPr>
        <w:pStyle w:val="ListParagraph"/>
        <w:numPr>
          <w:ilvl w:val="0"/>
          <w:numId w:val="38"/>
        </w:numPr>
        <w:rPr>
          <w:color w:val="000000" w:themeColor="text1"/>
          <w:lang w:val="en-US"/>
        </w:rPr>
      </w:pPr>
      <w:r w:rsidRPr="00393754">
        <w:rPr>
          <w:color w:val="000000" w:themeColor="text1"/>
          <w:lang w:val="en-US"/>
        </w:rPr>
        <w:t xml:space="preserve">The </w:t>
      </w:r>
      <w:r w:rsidR="00641B12" w:rsidRPr="00393754">
        <w:rPr>
          <w:color w:val="000000" w:themeColor="text1"/>
          <w:lang w:val="en-US"/>
        </w:rPr>
        <w:t>SSDA differentiates between credit risk attributable to issuer/guarantor counterparty risk and credit risk attributable to the underlying market exposure such as portfolios of bonds or CDS co</w:t>
      </w:r>
      <w:r w:rsidR="00641B12" w:rsidRPr="00393754">
        <w:rPr>
          <w:color w:val="000000" w:themeColor="text1"/>
          <w:lang w:val="en-US"/>
        </w:rPr>
        <w:t>n</w:t>
      </w:r>
      <w:r w:rsidR="00641B12" w:rsidRPr="00393754">
        <w:rPr>
          <w:color w:val="000000" w:themeColor="text1"/>
          <w:lang w:val="en-US"/>
        </w:rPr>
        <w:t>tracts. The former, counterparty risk</w:t>
      </w:r>
      <w:r w:rsidR="00126C71" w:rsidRPr="00393754">
        <w:rPr>
          <w:color w:val="000000" w:themeColor="text1"/>
          <w:lang w:val="en-US"/>
        </w:rPr>
        <w:t>,</w:t>
      </w:r>
      <w:r w:rsidR="00641B12" w:rsidRPr="00393754">
        <w:rPr>
          <w:color w:val="000000" w:themeColor="text1"/>
          <w:lang w:val="en-US"/>
        </w:rPr>
        <w:t xml:space="preserve"> should not be included in a market risk indicator and repor</w:t>
      </w:r>
      <w:r w:rsidR="00641B12" w:rsidRPr="00393754">
        <w:rPr>
          <w:color w:val="000000" w:themeColor="text1"/>
          <w:lang w:val="en-US"/>
        </w:rPr>
        <w:t>t</w:t>
      </w:r>
      <w:r w:rsidR="00641B12" w:rsidRPr="00393754">
        <w:rPr>
          <w:color w:val="000000" w:themeColor="text1"/>
          <w:lang w:val="en-US"/>
        </w:rPr>
        <w:t>ed separately as a qualitative measure based on ratings from any of the major rating agencies. Whether the measure should be a direct reflection of the rating or whether it should be translated into a different scale (</w:t>
      </w:r>
      <w:r w:rsidR="00D458AF" w:rsidRPr="00393754">
        <w:rPr>
          <w:color w:val="000000" w:themeColor="text1"/>
          <w:lang w:val="en-US"/>
        </w:rPr>
        <w:t>i.e.</w:t>
      </w:r>
      <w:r w:rsidR="00641B12" w:rsidRPr="00393754">
        <w:rPr>
          <w:color w:val="000000" w:themeColor="text1"/>
          <w:lang w:val="en-US"/>
        </w:rPr>
        <w:t xml:space="preserve"> A to G proposed in the UK) can be discussed. The latter, should be co</w:t>
      </w:r>
      <w:r w:rsidR="00641B12" w:rsidRPr="00393754">
        <w:rPr>
          <w:color w:val="000000" w:themeColor="text1"/>
          <w:lang w:val="en-US"/>
        </w:rPr>
        <w:t>n</w:t>
      </w:r>
      <w:r w:rsidR="00641B12" w:rsidRPr="00393754">
        <w:rPr>
          <w:color w:val="000000" w:themeColor="text1"/>
          <w:lang w:val="en-US"/>
        </w:rPr>
        <w:t>sidered market risk and be modeled quantitatively and integrated into the market risk indicator.</w:t>
      </w:r>
    </w:p>
    <w:p w14:paraId="4D16E11F" w14:textId="77777777" w:rsidR="00641B12" w:rsidRPr="00393754" w:rsidRDefault="00641B12" w:rsidP="00641B12">
      <w:pPr>
        <w:rPr>
          <w:color w:val="000000" w:themeColor="text1"/>
          <w:lang w:val="en-US"/>
        </w:rPr>
      </w:pPr>
    </w:p>
    <w:p w14:paraId="05D3938A" w14:textId="77777777" w:rsidR="00641B12" w:rsidRPr="00393754" w:rsidRDefault="00641B12" w:rsidP="00641B12">
      <w:pPr>
        <w:pStyle w:val="ListParagraph"/>
        <w:numPr>
          <w:ilvl w:val="0"/>
          <w:numId w:val="38"/>
        </w:numPr>
        <w:rPr>
          <w:color w:val="000000" w:themeColor="text1"/>
          <w:lang w:val="en-US"/>
        </w:rPr>
      </w:pPr>
      <w:r w:rsidRPr="00393754">
        <w:rPr>
          <w:color w:val="000000" w:themeColor="text1"/>
          <w:lang w:val="en-US"/>
        </w:rPr>
        <w:t>The volatility based market risk indicator’s major advantages:</w:t>
      </w:r>
    </w:p>
    <w:p w14:paraId="20CFD7BF" w14:textId="77777777" w:rsidR="00641B12" w:rsidRPr="00393754" w:rsidRDefault="00641B12" w:rsidP="00641B12">
      <w:pPr>
        <w:rPr>
          <w:color w:val="000000" w:themeColor="text1"/>
          <w:lang w:val="en-US"/>
        </w:rPr>
      </w:pPr>
    </w:p>
    <w:p w14:paraId="60948038" w14:textId="4761FBCE" w:rsidR="00641B12" w:rsidRPr="00393754" w:rsidRDefault="00641B12" w:rsidP="00641B12">
      <w:pPr>
        <w:pStyle w:val="ListParagraph"/>
        <w:rPr>
          <w:color w:val="000000" w:themeColor="text1"/>
          <w:lang w:val="en-US"/>
        </w:rPr>
      </w:pPr>
      <w:r w:rsidRPr="00393754">
        <w:rPr>
          <w:color w:val="000000" w:themeColor="text1"/>
          <w:lang w:val="en-US"/>
        </w:rPr>
        <w:t>+ Good that the market risk calculation results in a product volatility; it enables comparison to UCITS funds</w:t>
      </w:r>
      <w:r w:rsidR="00F16CED" w:rsidRPr="00393754">
        <w:rPr>
          <w:color w:val="000000" w:themeColor="text1"/>
          <w:lang w:val="en-US"/>
        </w:rPr>
        <w:t>.</w:t>
      </w:r>
      <w:r w:rsidRPr="00393754">
        <w:rPr>
          <w:color w:val="000000" w:themeColor="text1"/>
          <w:lang w:val="en-US"/>
        </w:rPr>
        <w:t xml:space="preserve"> </w:t>
      </w:r>
    </w:p>
    <w:p w14:paraId="3C07C946" w14:textId="77777777" w:rsidR="00641B12" w:rsidRPr="00393754" w:rsidRDefault="00641B12" w:rsidP="00641B12">
      <w:pPr>
        <w:pStyle w:val="ListParagraph"/>
        <w:rPr>
          <w:color w:val="000000" w:themeColor="text1"/>
          <w:lang w:val="en-US"/>
        </w:rPr>
      </w:pPr>
    </w:p>
    <w:p w14:paraId="11C14F9C" w14:textId="7B5799BA" w:rsidR="00641B12" w:rsidRPr="00393754" w:rsidRDefault="00641B12" w:rsidP="00641B12">
      <w:pPr>
        <w:pStyle w:val="ListParagraph"/>
        <w:rPr>
          <w:color w:val="000000" w:themeColor="text1"/>
          <w:lang w:val="en-US"/>
        </w:rPr>
      </w:pPr>
      <w:proofErr w:type="gramStart"/>
      <w:r w:rsidRPr="00393754">
        <w:rPr>
          <w:color w:val="000000" w:themeColor="text1"/>
          <w:lang w:val="en-US"/>
        </w:rPr>
        <w:t>+ Easy to update regularly, provided that deltas are available</w:t>
      </w:r>
      <w:r w:rsidR="00044EEE" w:rsidRPr="00393754">
        <w:rPr>
          <w:color w:val="000000" w:themeColor="text1"/>
          <w:lang w:val="en-US"/>
        </w:rPr>
        <w:t>.</w:t>
      </w:r>
      <w:proofErr w:type="gramEnd"/>
    </w:p>
    <w:p w14:paraId="4017CA98" w14:textId="77777777" w:rsidR="00641B12" w:rsidRPr="00393754" w:rsidRDefault="00641B12" w:rsidP="00641B12">
      <w:pPr>
        <w:rPr>
          <w:color w:val="000000" w:themeColor="text1"/>
          <w:lang w:val="en-US"/>
        </w:rPr>
      </w:pPr>
    </w:p>
    <w:p w14:paraId="25135C16" w14:textId="77777777" w:rsidR="008F27B0" w:rsidRPr="00393754" w:rsidRDefault="00545157" w:rsidP="008F27B0">
      <w:pPr>
        <w:pStyle w:val="ListParagraph"/>
        <w:numPr>
          <w:ilvl w:val="0"/>
          <w:numId w:val="38"/>
        </w:numPr>
        <w:rPr>
          <w:color w:val="000000" w:themeColor="text1"/>
          <w:lang w:val="en-US"/>
        </w:rPr>
      </w:pPr>
      <w:r w:rsidRPr="00393754">
        <w:rPr>
          <w:color w:val="000000" w:themeColor="text1"/>
          <w:lang w:val="en-US"/>
        </w:rPr>
        <w:t>The model in option 2 is not suitable for structured products for the following reasons</w:t>
      </w:r>
      <w:r w:rsidR="00641B12" w:rsidRPr="00393754">
        <w:rPr>
          <w:color w:val="000000" w:themeColor="text1"/>
          <w:lang w:val="en-US"/>
        </w:rPr>
        <w:t>:</w:t>
      </w:r>
    </w:p>
    <w:p w14:paraId="5FDB533B" w14:textId="77777777" w:rsidR="008F27B0" w:rsidRPr="00393754" w:rsidRDefault="008F27B0" w:rsidP="008F27B0">
      <w:pPr>
        <w:pStyle w:val="ListParagraph"/>
        <w:rPr>
          <w:color w:val="000000" w:themeColor="text1"/>
          <w:lang w:val="en-US"/>
        </w:rPr>
      </w:pPr>
    </w:p>
    <w:p w14:paraId="43FC73D6" w14:textId="659C9D4D" w:rsidR="008F27B0" w:rsidRPr="00393754" w:rsidRDefault="008F27B0" w:rsidP="008F27B0">
      <w:pPr>
        <w:pStyle w:val="ListParagraph"/>
        <w:numPr>
          <w:ilvl w:val="0"/>
          <w:numId w:val="64"/>
        </w:numPr>
        <w:ind w:left="1418" w:hanging="284"/>
        <w:rPr>
          <w:color w:val="000000" w:themeColor="text1"/>
          <w:lang w:val="en-US"/>
        </w:rPr>
      </w:pPr>
      <w:r w:rsidRPr="00393754">
        <w:rPr>
          <w:color w:val="000000" w:themeColor="text1"/>
          <w:lang w:val="en-US"/>
        </w:rPr>
        <w:t>Option 2, this</w:t>
      </w:r>
      <w:r w:rsidR="00545157" w:rsidRPr="00393754">
        <w:rPr>
          <w:color w:val="000000" w:themeColor="text1"/>
          <w:lang w:val="en-US"/>
        </w:rPr>
        <w:t xml:space="preserve"> volatility based market risk indicator,</w:t>
      </w:r>
      <w:r w:rsidR="00641B12" w:rsidRPr="00393754">
        <w:rPr>
          <w:color w:val="000000" w:themeColor="text1"/>
          <w:lang w:val="en-US"/>
        </w:rPr>
        <w:t xml:space="preserve"> mixes implied market data (to calculate delta) and realiz</w:t>
      </w:r>
      <w:r w:rsidR="00F16CED" w:rsidRPr="00393754">
        <w:rPr>
          <w:color w:val="000000" w:themeColor="text1"/>
          <w:lang w:val="en-US"/>
        </w:rPr>
        <w:t>ed/historical market data (for vo</w:t>
      </w:r>
      <w:r w:rsidR="00641B12" w:rsidRPr="00393754">
        <w:rPr>
          <w:color w:val="000000" w:themeColor="text1"/>
          <w:lang w:val="en-US"/>
        </w:rPr>
        <w:t>latility estimation)</w:t>
      </w:r>
      <w:r w:rsidRPr="00393754">
        <w:rPr>
          <w:color w:val="000000" w:themeColor="text1"/>
          <w:lang w:val="en-US"/>
        </w:rPr>
        <w:t xml:space="preserve">. </w:t>
      </w:r>
    </w:p>
    <w:p w14:paraId="360BFD70" w14:textId="77777777" w:rsidR="008F27B0" w:rsidRPr="00393754" w:rsidRDefault="008F27B0" w:rsidP="008F27B0">
      <w:pPr>
        <w:pStyle w:val="ListParagraph"/>
        <w:ind w:left="1418" w:hanging="284"/>
        <w:rPr>
          <w:color w:val="000000" w:themeColor="text1"/>
          <w:lang w:val="en-US"/>
        </w:rPr>
      </w:pPr>
    </w:p>
    <w:p w14:paraId="33617E87" w14:textId="77777777" w:rsidR="008F27B0" w:rsidRPr="00393754" w:rsidRDefault="00641B12" w:rsidP="008F27B0">
      <w:pPr>
        <w:pStyle w:val="ListParagraph"/>
        <w:numPr>
          <w:ilvl w:val="0"/>
          <w:numId w:val="64"/>
        </w:numPr>
        <w:ind w:left="1418" w:hanging="284"/>
        <w:rPr>
          <w:color w:val="000000" w:themeColor="text1"/>
          <w:lang w:val="en-US"/>
        </w:rPr>
      </w:pPr>
      <w:r w:rsidRPr="00393754">
        <w:rPr>
          <w:color w:val="000000" w:themeColor="text1"/>
          <w:lang w:val="en-US"/>
        </w:rPr>
        <w:t>The use of implied data means limited transparency and differences between suppliers</w:t>
      </w:r>
      <w:r w:rsidR="00B81EC9" w:rsidRPr="00393754">
        <w:rPr>
          <w:color w:val="000000" w:themeColor="text1"/>
          <w:lang w:val="en-US"/>
        </w:rPr>
        <w:t>.</w:t>
      </w:r>
    </w:p>
    <w:p w14:paraId="31051590" w14:textId="77777777" w:rsidR="008F27B0" w:rsidRPr="00393754" w:rsidRDefault="008F27B0" w:rsidP="008F27B0">
      <w:pPr>
        <w:pStyle w:val="ListParagraph"/>
        <w:ind w:left="1418"/>
        <w:rPr>
          <w:color w:val="000000" w:themeColor="text1"/>
          <w:lang w:val="en-US"/>
        </w:rPr>
      </w:pPr>
    </w:p>
    <w:p w14:paraId="32078AAC" w14:textId="3E3FCF6B" w:rsidR="00044EEE" w:rsidRPr="00393754" w:rsidRDefault="00641B12" w:rsidP="008F27B0">
      <w:pPr>
        <w:pStyle w:val="ListParagraph"/>
        <w:numPr>
          <w:ilvl w:val="0"/>
          <w:numId w:val="64"/>
        </w:numPr>
        <w:ind w:left="1418" w:hanging="284"/>
        <w:rPr>
          <w:color w:val="000000" w:themeColor="text1"/>
          <w:lang w:val="en-US"/>
        </w:rPr>
      </w:pPr>
      <w:r w:rsidRPr="00393754">
        <w:rPr>
          <w:color w:val="000000" w:themeColor="text1"/>
          <w:lang w:val="en-US"/>
        </w:rPr>
        <w:t xml:space="preserve">Delta is an instantaneous and present measure of </w:t>
      </w:r>
      <w:r w:rsidR="00D458AF" w:rsidRPr="00393754">
        <w:rPr>
          <w:color w:val="000000" w:themeColor="text1"/>
          <w:lang w:val="en-US"/>
        </w:rPr>
        <w:t>risk, which</w:t>
      </w:r>
      <w:r w:rsidRPr="00393754">
        <w:rPr>
          <w:color w:val="000000" w:themeColor="text1"/>
          <w:lang w:val="en-US"/>
        </w:rPr>
        <w:t xml:space="preserve"> disables it from relating to the concept of Recommended Holding </w:t>
      </w:r>
      <w:r w:rsidR="00D458AF" w:rsidRPr="00393754">
        <w:rPr>
          <w:color w:val="000000" w:themeColor="text1"/>
          <w:lang w:val="en-US"/>
        </w:rPr>
        <w:t>Period, which</w:t>
      </w:r>
      <w:r w:rsidRPr="00393754">
        <w:rPr>
          <w:color w:val="000000" w:themeColor="text1"/>
          <w:lang w:val="en-US"/>
        </w:rPr>
        <w:t xml:space="preserve"> in contrast refers to a future point in time.</w:t>
      </w:r>
    </w:p>
    <w:p w14:paraId="02B47B92" w14:textId="77777777" w:rsidR="00044EEE" w:rsidRPr="00393754" w:rsidRDefault="00044EEE" w:rsidP="00044EEE">
      <w:pPr>
        <w:pStyle w:val="ListParagraph"/>
        <w:ind w:left="1440"/>
        <w:rPr>
          <w:color w:val="000000" w:themeColor="text1"/>
          <w:lang w:val="en-US"/>
        </w:rPr>
      </w:pPr>
    </w:p>
    <w:p w14:paraId="2259A3EC" w14:textId="77777777" w:rsidR="008F27B0" w:rsidRPr="00393754" w:rsidRDefault="00B81EC9" w:rsidP="008F27B0">
      <w:pPr>
        <w:pStyle w:val="ListParagraph"/>
        <w:numPr>
          <w:ilvl w:val="0"/>
          <w:numId w:val="54"/>
        </w:numPr>
        <w:rPr>
          <w:color w:val="000000" w:themeColor="text1"/>
          <w:lang w:val="en-US"/>
        </w:rPr>
      </w:pPr>
      <w:r w:rsidRPr="00393754">
        <w:rPr>
          <w:color w:val="000000" w:themeColor="text1"/>
          <w:lang w:val="en-US"/>
        </w:rPr>
        <w:t xml:space="preserve">SSDA questions the rationale for multiplying the delta (instantaneous) with "capital at risk" (at maturity). Delta refers to the market (e.g. equity) exposure of the product's total value, not only the non-protected part. </w:t>
      </w:r>
    </w:p>
    <w:p w14:paraId="63DF8DB9" w14:textId="77777777" w:rsidR="008F27B0" w:rsidRPr="00393754" w:rsidRDefault="008F27B0" w:rsidP="008F27B0">
      <w:pPr>
        <w:pStyle w:val="ListParagraph"/>
        <w:ind w:left="1440"/>
        <w:rPr>
          <w:color w:val="000000" w:themeColor="text1"/>
          <w:lang w:val="en-US"/>
        </w:rPr>
      </w:pPr>
    </w:p>
    <w:p w14:paraId="4586529C" w14:textId="77777777" w:rsidR="008F27B0" w:rsidRPr="00393754" w:rsidRDefault="00641B12" w:rsidP="008F27B0">
      <w:pPr>
        <w:pStyle w:val="ListParagraph"/>
        <w:numPr>
          <w:ilvl w:val="0"/>
          <w:numId w:val="54"/>
        </w:numPr>
        <w:rPr>
          <w:color w:val="000000" w:themeColor="text1"/>
          <w:lang w:val="en-US"/>
        </w:rPr>
      </w:pPr>
      <w:r w:rsidRPr="00393754">
        <w:rPr>
          <w:color w:val="000000" w:themeColor="text1"/>
          <w:lang w:val="en-US"/>
        </w:rPr>
        <w:t>The model can easily be manipulated by constructing an investment product that has a low initial exposure/participation and therefore will be perceived a low risk investment al</w:t>
      </w:r>
      <w:r w:rsidRPr="00393754">
        <w:rPr>
          <w:color w:val="000000" w:themeColor="text1"/>
          <w:lang w:val="en-US"/>
        </w:rPr>
        <w:t>t</w:t>
      </w:r>
      <w:r w:rsidRPr="00393754">
        <w:rPr>
          <w:color w:val="000000" w:themeColor="text1"/>
          <w:lang w:val="en-US"/>
        </w:rPr>
        <w:t>hough this might not be the case in the next sequence. Look Back features, averaging and capping will have this effect on such a risk indicator which can be truly misleading as risks associated with the investment can involve high risk in the future.</w:t>
      </w:r>
      <w:r w:rsidR="00B81EC9" w:rsidRPr="00393754">
        <w:rPr>
          <w:color w:val="000000" w:themeColor="text1"/>
          <w:lang w:val="en-US"/>
        </w:rPr>
        <w:t xml:space="preserve"> Also, some pro</w:t>
      </w:r>
      <w:r w:rsidR="00B81EC9" w:rsidRPr="00393754">
        <w:rPr>
          <w:color w:val="000000" w:themeColor="text1"/>
          <w:lang w:val="en-US"/>
        </w:rPr>
        <w:t>d</w:t>
      </w:r>
      <w:r w:rsidR="00B81EC9" w:rsidRPr="00393754">
        <w:rPr>
          <w:color w:val="000000" w:themeColor="text1"/>
          <w:lang w:val="en-US"/>
        </w:rPr>
        <w:t xml:space="preserve">ucts such as autocallables can experience potentially very high deltas during short time frames, making regular updates of the indicator problematic and potentially misleading. </w:t>
      </w:r>
      <w:r w:rsidRPr="00393754">
        <w:rPr>
          <w:color w:val="000000" w:themeColor="text1"/>
          <w:lang w:val="en-US"/>
        </w:rPr>
        <w:t xml:space="preserve">(This argument is also true with regards to the German approach where a very short common holding period of 10 days is used for </w:t>
      </w:r>
      <w:r w:rsidR="00D078C9" w:rsidRPr="00393754">
        <w:rPr>
          <w:color w:val="000000" w:themeColor="text1"/>
          <w:lang w:val="en-US"/>
        </w:rPr>
        <w:t>the Va</w:t>
      </w:r>
      <w:r w:rsidRPr="00393754">
        <w:rPr>
          <w:color w:val="000000" w:themeColor="text1"/>
          <w:lang w:val="en-US"/>
        </w:rPr>
        <w:t>R-simulations.)</w:t>
      </w:r>
    </w:p>
    <w:p w14:paraId="4816998E" w14:textId="77777777" w:rsidR="008F27B0" w:rsidRPr="00393754" w:rsidRDefault="008F27B0" w:rsidP="008F27B0">
      <w:pPr>
        <w:pStyle w:val="ListParagraph"/>
        <w:ind w:left="1440"/>
        <w:rPr>
          <w:color w:val="000000" w:themeColor="text1"/>
          <w:lang w:val="en-US"/>
        </w:rPr>
      </w:pPr>
    </w:p>
    <w:p w14:paraId="6E8A0596" w14:textId="4D1C0C74" w:rsidR="00641B12" w:rsidRPr="00393754" w:rsidRDefault="00641B12" w:rsidP="008F27B0">
      <w:pPr>
        <w:pStyle w:val="ListParagraph"/>
        <w:numPr>
          <w:ilvl w:val="0"/>
          <w:numId w:val="54"/>
        </w:numPr>
        <w:rPr>
          <w:color w:val="000000" w:themeColor="text1"/>
          <w:lang w:val="en-US"/>
        </w:rPr>
      </w:pPr>
      <w:r w:rsidRPr="00393754">
        <w:rPr>
          <w:color w:val="000000" w:themeColor="text1"/>
          <w:lang w:val="en-US"/>
        </w:rPr>
        <w:t xml:space="preserve">Computation of delta among market participants will have varying outcome and will need supervision </w:t>
      </w:r>
      <w:r w:rsidR="00434753" w:rsidRPr="00393754">
        <w:rPr>
          <w:color w:val="000000" w:themeColor="text1"/>
          <w:lang w:val="en-US"/>
        </w:rPr>
        <w:t xml:space="preserve">guidelines </w:t>
      </w:r>
      <w:r w:rsidRPr="00393754">
        <w:rPr>
          <w:color w:val="000000" w:themeColor="text1"/>
          <w:lang w:val="en-US"/>
        </w:rPr>
        <w:t>in order to enable comparability.</w:t>
      </w:r>
    </w:p>
    <w:p w14:paraId="40054806" w14:textId="77777777" w:rsidR="00641B12" w:rsidRPr="00393754" w:rsidRDefault="00641B12" w:rsidP="00641B12">
      <w:pPr>
        <w:pStyle w:val="ListParagraph"/>
        <w:ind w:left="1080"/>
        <w:rPr>
          <w:color w:val="000000" w:themeColor="text1"/>
          <w:lang w:val="en-US"/>
        </w:rPr>
      </w:pPr>
    </w:p>
    <w:p w14:paraId="25A8E3D3" w14:textId="713F016B" w:rsidR="00641B12" w:rsidRPr="00393754" w:rsidRDefault="00CB0870" w:rsidP="00641B12">
      <w:pPr>
        <w:pStyle w:val="ListParagraph"/>
        <w:numPr>
          <w:ilvl w:val="0"/>
          <w:numId w:val="38"/>
        </w:numPr>
        <w:rPr>
          <w:color w:val="000000" w:themeColor="text1"/>
          <w:lang w:val="en-US"/>
        </w:rPr>
      </w:pPr>
      <w:r w:rsidRPr="00393754">
        <w:rPr>
          <w:color w:val="000000" w:themeColor="text1"/>
          <w:lang w:val="en-US"/>
        </w:rPr>
        <w:t xml:space="preserve">The </w:t>
      </w:r>
      <w:r w:rsidR="00641B12" w:rsidRPr="00393754">
        <w:rPr>
          <w:color w:val="000000" w:themeColor="text1"/>
          <w:lang w:val="en-US"/>
        </w:rPr>
        <w:t>SSDA suggests a multidimensional indicator where market, credit and liquidity risk are sep</w:t>
      </w:r>
      <w:r w:rsidR="00641B12" w:rsidRPr="00393754">
        <w:rPr>
          <w:color w:val="000000" w:themeColor="text1"/>
          <w:lang w:val="en-US"/>
        </w:rPr>
        <w:t>a</w:t>
      </w:r>
      <w:r w:rsidR="00641B12" w:rsidRPr="00393754">
        <w:rPr>
          <w:color w:val="000000" w:themeColor="text1"/>
          <w:lang w:val="en-US"/>
        </w:rPr>
        <w:t xml:space="preserve">rated and have a proposal for a risk indicator that will be </w:t>
      </w:r>
      <w:r w:rsidR="00D458AF" w:rsidRPr="00393754">
        <w:rPr>
          <w:color w:val="000000" w:themeColor="text1"/>
          <w:lang w:val="en-US"/>
        </w:rPr>
        <w:t>implemented</w:t>
      </w:r>
      <w:r w:rsidR="00641B12" w:rsidRPr="00393754">
        <w:rPr>
          <w:color w:val="000000" w:themeColor="text1"/>
          <w:lang w:val="en-US"/>
        </w:rPr>
        <w:t xml:space="preserve"> in the Swedish markets from August 2015. See answer to question 12 for more information and the attached document</w:t>
      </w:r>
      <w:r w:rsidR="00126C71" w:rsidRPr="00393754">
        <w:rPr>
          <w:color w:val="000000" w:themeColor="text1"/>
          <w:lang w:val="en-US"/>
        </w:rPr>
        <w:t xml:space="preserve">, </w:t>
      </w:r>
      <w:r w:rsidR="00126C71" w:rsidRPr="00393754">
        <w:rPr>
          <w:color w:val="000000" w:themeColor="text1"/>
        </w:rPr>
        <w:t>(“SSDA’s Risk Indicator Methodology”),</w:t>
      </w:r>
      <w:r w:rsidR="00641B12" w:rsidRPr="00393754">
        <w:rPr>
          <w:color w:val="000000" w:themeColor="text1"/>
          <w:lang w:val="en-US"/>
        </w:rPr>
        <w:t xml:space="preserve"> describing the model.</w:t>
      </w:r>
    </w:p>
    <w:p w14:paraId="5C84A11D" w14:textId="77777777" w:rsidR="00641B12" w:rsidRDefault="00641B12" w:rsidP="00641B12">
      <w:pPr>
        <w:pStyle w:val="ListParagraph"/>
        <w:rPr>
          <w:color w:val="FF0000"/>
          <w:lang w:val="en-US"/>
        </w:rPr>
      </w:pPr>
    </w:p>
    <w:permEnd w:id="1043598297"/>
    <w:p w14:paraId="39FDA1CC" w14:textId="77777777" w:rsidR="00F31E57" w:rsidRDefault="00F31E57" w:rsidP="00F31E57">
      <w:r>
        <w:t>&lt;ESMA_QUESTION_PRIIPs_10&gt;</w:t>
      </w:r>
    </w:p>
    <w:p w14:paraId="5234E401"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14:paraId="521BCC7C" w14:textId="77777777" w:rsidR="00F31E57" w:rsidRDefault="00F31E57" w:rsidP="00F31E57"/>
    <w:p w14:paraId="0F808DE3" w14:textId="77777777" w:rsidR="00F31E57" w:rsidRDefault="00F31E57" w:rsidP="00F31E57">
      <w:r>
        <w:t>&lt;ESMA_QUESTION_PRIIPs_11&gt;</w:t>
      </w:r>
    </w:p>
    <w:p w14:paraId="13975395" w14:textId="77777777" w:rsidR="009C3FE6" w:rsidRDefault="009C3FE6" w:rsidP="00F31E57">
      <w:permStart w:id="1552876125" w:edGrp="everyone"/>
    </w:p>
    <w:p w14:paraId="18681BD2" w14:textId="192661CE" w:rsidR="00126C71" w:rsidRPr="00393754" w:rsidRDefault="00CB0870" w:rsidP="00126C71">
      <w:pPr>
        <w:pStyle w:val="ListParagraph"/>
        <w:numPr>
          <w:ilvl w:val="0"/>
          <w:numId w:val="38"/>
        </w:numPr>
        <w:rPr>
          <w:color w:val="000000" w:themeColor="text1"/>
        </w:rPr>
      </w:pPr>
      <w:r w:rsidRPr="00393754">
        <w:rPr>
          <w:color w:val="000000" w:themeColor="text1"/>
          <w:lang w:val="en-US"/>
        </w:rPr>
        <w:t xml:space="preserve">The </w:t>
      </w:r>
      <w:r w:rsidR="00126C71" w:rsidRPr="00393754">
        <w:rPr>
          <w:color w:val="000000" w:themeColor="text1"/>
        </w:rPr>
        <w:t>SSDA suggests a multidimensional indicator where market, credit and liquidity risk are sep</w:t>
      </w:r>
      <w:r w:rsidR="00126C71" w:rsidRPr="00393754">
        <w:rPr>
          <w:color w:val="000000" w:themeColor="text1"/>
        </w:rPr>
        <w:t>a</w:t>
      </w:r>
      <w:r w:rsidR="00126C71" w:rsidRPr="00393754">
        <w:rPr>
          <w:color w:val="000000" w:themeColor="text1"/>
        </w:rPr>
        <w:t>rated and can support option 3 with some modifications that are presented in the attached doc</w:t>
      </w:r>
      <w:r w:rsidR="00126C71" w:rsidRPr="00393754">
        <w:rPr>
          <w:color w:val="000000" w:themeColor="text1"/>
        </w:rPr>
        <w:t>u</w:t>
      </w:r>
      <w:r w:rsidR="00126C71" w:rsidRPr="00393754">
        <w:rPr>
          <w:color w:val="000000" w:themeColor="text1"/>
        </w:rPr>
        <w:t>ment (“SSDA’s Risk Indicator Methodology”). See also SSDA answer to question 12.</w:t>
      </w:r>
    </w:p>
    <w:p w14:paraId="674A12E6" w14:textId="77777777" w:rsidR="00B81EC9" w:rsidRPr="00393754" w:rsidRDefault="00B81EC9" w:rsidP="00B81EC9">
      <w:pPr>
        <w:rPr>
          <w:color w:val="000000" w:themeColor="text1"/>
          <w:lang w:val="en-US"/>
        </w:rPr>
      </w:pPr>
    </w:p>
    <w:p w14:paraId="1FC3DFBE" w14:textId="7082E018" w:rsidR="00B81EC9" w:rsidRPr="00393754" w:rsidRDefault="00CB0870" w:rsidP="00B81EC9">
      <w:pPr>
        <w:pStyle w:val="ListParagraph"/>
        <w:numPr>
          <w:ilvl w:val="0"/>
          <w:numId w:val="38"/>
        </w:numPr>
        <w:rPr>
          <w:color w:val="000000" w:themeColor="text1"/>
          <w:lang w:val="en-US"/>
        </w:rPr>
      </w:pPr>
      <w:r w:rsidRPr="00393754">
        <w:rPr>
          <w:color w:val="000000" w:themeColor="text1"/>
          <w:lang w:val="en-US"/>
        </w:rPr>
        <w:t xml:space="preserve">The </w:t>
      </w:r>
      <w:r w:rsidR="00B81EC9" w:rsidRPr="00393754">
        <w:rPr>
          <w:color w:val="000000" w:themeColor="text1"/>
          <w:lang w:val="en-US"/>
        </w:rPr>
        <w:t>SSDA differentiates between credit risk attributable to issuer/guarantor counterparty risk and credit risk attributable to the underlying market exposure such as portfolios of bonds or CDS co</w:t>
      </w:r>
      <w:r w:rsidR="00B81EC9" w:rsidRPr="00393754">
        <w:rPr>
          <w:color w:val="000000" w:themeColor="text1"/>
          <w:lang w:val="en-US"/>
        </w:rPr>
        <w:t>n</w:t>
      </w:r>
      <w:r w:rsidR="00B81EC9" w:rsidRPr="00393754">
        <w:rPr>
          <w:color w:val="000000" w:themeColor="text1"/>
          <w:lang w:val="en-US"/>
        </w:rPr>
        <w:t>tracts. The former, counterparty risk should not be included in a market risk indicator and reported separately as a qualitative measure based on ratings from any of the major rating agencies. Whether the measure should be a direct reflection of the rating or whether it should be translated into a different scale (</w:t>
      </w:r>
      <w:r w:rsidR="00D458AF" w:rsidRPr="00393754">
        <w:rPr>
          <w:color w:val="000000" w:themeColor="text1"/>
          <w:lang w:val="en-US"/>
        </w:rPr>
        <w:t>i.e.</w:t>
      </w:r>
      <w:r w:rsidR="00B81EC9" w:rsidRPr="00393754">
        <w:rPr>
          <w:color w:val="000000" w:themeColor="text1"/>
          <w:lang w:val="en-US"/>
        </w:rPr>
        <w:t xml:space="preserve"> A to G proposed in the UK) can be discussed. The latter, should be co</w:t>
      </w:r>
      <w:r w:rsidR="00B81EC9" w:rsidRPr="00393754">
        <w:rPr>
          <w:color w:val="000000" w:themeColor="text1"/>
          <w:lang w:val="en-US"/>
        </w:rPr>
        <w:t>n</w:t>
      </w:r>
      <w:r w:rsidR="00B81EC9" w:rsidRPr="00393754">
        <w:rPr>
          <w:color w:val="000000" w:themeColor="text1"/>
          <w:lang w:val="en-US"/>
        </w:rPr>
        <w:t>sidered market risk and be modeled quantitatively and integrated into the market risk indicator.</w:t>
      </w:r>
    </w:p>
    <w:p w14:paraId="11B16F6E" w14:textId="77777777" w:rsidR="009C3FE6" w:rsidRPr="00393754" w:rsidRDefault="009C3FE6" w:rsidP="009C3FE6">
      <w:pPr>
        <w:rPr>
          <w:color w:val="000000" w:themeColor="text1"/>
          <w:lang w:val="en-US"/>
        </w:rPr>
      </w:pPr>
    </w:p>
    <w:p w14:paraId="11AC2085" w14:textId="77777777" w:rsidR="00AD393F" w:rsidRPr="00393754" w:rsidRDefault="00AD393F" w:rsidP="00AD393F">
      <w:pPr>
        <w:pStyle w:val="ListParagraph"/>
        <w:numPr>
          <w:ilvl w:val="0"/>
          <w:numId w:val="38"/>
        </w:numPr>
        <w:rPr>
          <w:color w:val="000000" w:themeColor="text1"/>
          <w:lang w:val="en-US"/>
        </w:rPr>
      </w:pPr>
      <w:r w:rsidRPr="00393754">
        <w:rPr>
          <w:color w:val="000000" w:themeColor="text1"/>
          <w:lang w:val="en-US"/>
        </w:rPr>
        <w:t>The indicator’s major advantages:</w:t>
      </w:r>
    </w:p>
    <w:p w14:paraId="136859FF" w14:textId="77777777" w:rsidR="00AD393F" w:rsidRPr="00393754" w:rsidRDefault="00AD393F" w:rsidP="00AD393F">
      <w:pPr>
        <w:pStyle w:val="ListParagraph"/>
        <w:rPr>
          <w:color w:val="000000" w:themeColor="text1"/>
          <w:lang w:val="en-US"/>
        </w:rPr>
      </w:pPr>
    </w:p>
    <w:p w14:paraId="255150A6" w14:textId="67DBE4C3" w:rsidR="00AD393F" w:rsidRPr="00393754" w:rsidRDefault="00CB0870" w:rsidP="006B2A9F">
      <w:pPr>
        <w:pStyle w:val="ListParagraph"/>
        <w:numPr>
          <w:ilvl w:val="0"/>
          <w:numId w:val="57"/>
        </w:numPr>
        <w:rPr>
          <w:color w:val="000000" w:themeColor="text1"/>
          <w:lang w:val="en-US"/>
        </w:rPr>
      </w:pPr>
      <w:r w:rsidRPr="00393754">
        <w:rPr>
          <w:color w:val="000000" w:themeColor="text1"/>
          <w:lang w:val="en-US"/>
        </w:rPr>
        <w:t xml:space="preserve">The </w:t>
      </w:r>
      <w:r w:rsidR="00AD393F" w:rsidRPr="00393754">
        <w:rPr>
          <w:color w:val="000000" w:themeColor="text1"/>
          <w:lang w:val="en-US"/>
        </w:rPr>
        <w:t xml:space="preserve">SSDA supports the use of a "forward looking simulation model" – we believe this is the best option for products underwritten in the primary market (and thus lack price history), and is not intended for short-term holding. </w:t>
      </w:r>
    </w:p>
    <w:p w14:paraId="3B8FAEF2" w14:textId="77777777" w:rsidR="00AD393F" w:rsidRPr="00393754" w:rsidRDefault="00AD393F" w:rsidP="00AD393F">
      <w:pPr>
        <w:ind w:left="700" w:hanging="340"/>
        <w:rPr>
          <w:color w:val="000000" w:themeColor="text1"/>
          <w:lang w:val="en-US"/>
        </w:rPr>
      </w:pPr>
    </w:p>
    <w:p w14:paraId="12374E10" w14:textId="79E40A57" w:rsidR="00AD393F" w:rsidRPr="00393754" w:rsidRDefault="00CB0870" w:rsidP="006B2A9F">
      <w:pPr>
        <w:pStyle w:val="ListParagraph"/>
        <w:numPr>
          <w:ilvl w:val="0"/>
          <w:numId w:val="57"/>
        </w:numPr>
        <w:rPr>
          <w:color w:val="000000" w:themeColor="text1"/>
          <w:lang w:val="en-US"/>
        </w:rPr>
      </w:pPr>
      <w:r w:rsidRPr="00393754">
        <w:rPr>
          <w:color w:val="000000" w:themeColor="text1"/>
          <w:lang w:val="en-US"/>
        </w:rPr>
        <w:t xml:space="preserve">The </w:t>
      </w:r>
      <w:r w:rsidR="00AD393F" w:rsidRPr="00393754">
        <w:rPr>
          <w:color w:val="000000" w:themeColor="text1"/>
          <w:lang w:val="en-US"/>
        </w:rPr>
        <w:t>SSDA supports that the market risk indicator focuses on the down</w:t>
      </w:r>
      <w:r w:rsidR="007B6D7E" w:rsidRPr="00393754">
        <w:rPr>
          <w:color w:val="000000" w:themeColor="text1"/>
          <w:lang w:val="en-US"/>
        </w:rPr>
        <w:t xml:space="preserve"> </w:t>
      </w:r>
      <w:r w:rsidR="00AD393F" w:rsidRPr="00393754">
        <w:rPr>
          <w:color w:val="000000" w:themeColor="text1"/>
          <w:lang w:val="en-US"/>
        </w:rPr>
        <w:t>side - however, it should not (only) focus on extreme outcomes because such measures fails to provide the necessary degree of discrimination between product if they are evaluated on longer time frames. The model developed by SSDA (to be implemented in August 2015 in Sweden) i</w:t>
      </w:r>
      <w:r w:rsidR="00AD393F" w:rsidRPr="00393754">
        <w:rPr>
          <w:color w:val="000000" w:themeColor="text1"/>
          <w:lang w:val="en-US"/>
        </w:rPr>
        <w:t>n</w:t>
      </w:r>
      <w:r w:rsidR="00AD393F" w:rsidRPr="00393754">
        <w:rPr>
          <w:color w:val="000000" w:themeColor="text1"/>
          <w:lang w:val="en-US"/>
        </w:rPr>
        <w:t>cludes an indic</w:t>
      </w:r>
      <w:r w:rsidR="00AD393F" w:rsidRPr="00393754">
        <w:rPr>
          <w:color w:val="000000" w:themeColor="text1"/>
          <w:lang w:val="en-US"/>
        </w:rPr>
        <w:t>a</w:t>
      </w:r>
      <w:r w:rsidR="00AD393F" w:rsidRPr="00393754">
        <w:rPr>
          <w:color w:val="000000" w:themeColor="text1"/>
          <w:lang w:val="en-US"/>
        </w:rPr>
        <w:t>tor based on the “av</w:t>
      </w:r>
      <w:r w:rsidR="00434753" w:rsidRPr="00393754">
        <w:rPr>
          <w:color w:val="000000" w:themeColor="text1"/>
          <w:lang w:val="en-US"/>
        </w:rPr>
        <w:t>erage loss” together with a VaR-</w:t>
      </w:r>
      <w:r w:rsidR="00AD393F" w:rsidRPr="00393754">
        <w:rPr>
          <w:color w:val="000000" w:themeColor="text1"/>
          <w:lang w:val="en-US"/>
        </w:rPr>
        <w:t>99 %-based indicator.</w:t>
      </w:r>
    </w:p>
    <w:p w14:paraId="6EBA6E9D" w14:textId="77777777" w:rsidR="00AD393F" w:rsidRPr="00393754" w:rsidRDefault="00AD393F" w:rsidP="00AD393F">
      <w:pPr>
        <w:rPr>
          <w:color w:val="000000" w:themeColor="text1"/>
          <w:lang w:val="en-US"/>
        </w:rPr>
      </w:pPr>
    </w:p>
    <w:p w14:paraId="01325CB9" w14:textId="77777777" w:rsidR="00AD393F" w:rsidRPr="00393754" w:rsidRDefault="00AD393F" w:rsidP="00AD393F">
      <w:pPr>
        <w:pStyle w:val="ListParagraph"/>
        <w:numPr>
          <w:ilvl w:val="0"/>
          <w:numId w:val="38"/>
        </w:numPr>
        <w:rPr>
          <w:color w:val="000000" w:themeColor="text1"/>
          <w:lang w:val="en-US"/>
        </w:rPr>
      </w:pPr>
      <w:r w:rsidRPr="00393754">
        <w:rPr>
          <w:color w:val="000000" w:themeColor="text1"/>
          <w:lang w:val="en-US"/>
        </w:rPr>
        <w:t>The indicator’s major disadvantages:</w:t>
      </w:r>
    </w:p>
    <w:p w14:paraId="041BD70A" w14:textId="77777777" w:rsidR="00AD393F" w:rsidRPr="00393754" w:rsidRDefault="00AD393F" w:rsidP="00AD393F">
      <w:pPr>
        <w:pStyle w:val="ListParagraph"/>
        <w:rPr>
          <w:color w:val="000000" w:themeColor="text1"/>
          <w:lang w:val="en-US"/>
        </w:rPr>
      </w:pPr>
    </w:p>
    <w:p w14:paraId="3B154618" w14:textId="2F2D8D42" w:rsidR="00AD393F" w:rsidRPr="00393754" w:rsidRDefault="00CB0870" w:rsidP="006B2A9F">
      <w:pPr>
        <w:pStyle w:val="ListParagraph"/>
        <w:numPr>
          <w:ilvl w:val="0"/>
          <w:numId w:val="56"/>
        </w:numPr>
        <w:rPr>
          <w:color w:val="000000" w:themeColor="text1"/>
          <w:lang w:val="en-US"/>
        </w:rPr>
      </w:pPr>
      <w:r w:rsidRPr="00393754">
        <w:rPr>
          <w:color w:val="000000" w:themeColor="text1"/>
          <w:lang w:val="en-US"/>
        </w:rPr>
        <w:t xml:space="preserve">The </w:t>
      </w:r>
      <w:r w:rsidRPr="00393754">
        <w:rPr>
          <w:color w:val="000000" w:themeColor="text1"/>
        </w:rPr>
        <w:t>SSDA is</w:t>
      </w:r>
      <w:r w:rsidR="00AD393F" w:rsidRPr="00393754">
        <w:rPr>
          <w:color w:val="000000" w:themeColor="text1"/>
        </w:rPr>
        <w:t xml:space="preserve"> not in favour of integrating the different risks into one summary risk indic</w:t>
      </w:r>
      <w:r w:rsidR="00AD393F" w:rsidRPr="00393754">
        <w:rPr>
          <w:color w:val="000000" w:themeColor="text1"/>
        </w:rPr>
        <w:t>a</w:t>
      </w:r>
      <w:r w:rsidR="00AD393F" w:rsidRPr="00393754">
        <w:rPr>
          <w:color w:val="000000" w:themeColor="text1"/>
        </w:rPr>
        <w:t>tor. The different risks: market, credit and liquidity should be shown separately in the KID (O</w:t>
      </w:r>
      <w:r w:rsidR="00AD393F" w:rsidRPr="00393754">
        <w:rPr>
          <w:color w:val="000000" w:themeColor="text1"/>
        </w:rPr>
        <w:t>p</w:t>
      </w:r>
      <w:r w:rsidR="00AD393F" w:rsidRPr="00393754">
        <w:rPr>
          <w:color w:val="000000" w:themeColor="text1"/>
        </w:rPr>
        <w:t>tion 2 approach). The issuer’s credit risk should be disclosed qualitatively.</w:t>
      </w:r>
    </w:p>
    <w:p w14:paraId="3A2ED32E" w14:textId="77777777" w:rsidR="00AD393F" w:rsidRPr="00393754" w:rsidRDefault="00AD393F" w:rsidP="00AD393F">
      <w:pPr>
        <w:pStyle w:val="ListParagraph"/>
        <w:rPr>
          <w:color w:val="000000" w:themeColor="text1"/>
        </w:rPr>
      </w:pPr>
    </w:p>
    <w:p w14:paraId="316858BD" w14:textId="26BEE780" w:rsidR="00AD393F" w:rsidRPr="00393754" w:rsidRDefault="00CB0870" w:rsidP="006B2A9F">
      <w:pPr>
        <w:pStyle w:val="ListParagraph"/>
        <w:numPr>
          <w:ilvl w:val="0"/>
          <w:numId w:val="55"/>
        </w:numPr>
        <w:rPr>
          <w:color w:val="000000" w:themeColor="text1"/>
        </w:rPr>
      </w:pPr>
      <w:r w:rsidRPr="00393754">
        <w:rPr>
          <w:color w:val="000000" w:themeColor="text1"/>
          <w:lang w:val="en-US"/>
        </w:rPr>
        <w:lastRenderedPageBreak/>
        <w:t xml:space="preserve">The </w:t>
      </w:r>
      <w:r w:rsidRPr="00393754">
        <w:rPr>
          <w:color w:val="000000" w:themeColor="text1"/>
        </w:rPr>
        <w:t>SSDA is</w:t>
      </w:r>
      <w:r w:rsidR="00FF524F" w:rsidRPr="00393754">
        <w:rPr>
          <w:color w:val="000000" w:themeColor="text1"/>
        </w:rPr>
        <w:t xml:space="preserve"> not</w:t>
      </w:r>
      <w:r w:rsidR="00AD393F" w:rsidRPr="00393754">
        <w:rPr>
          <w:color w:val="000000" w:themeColor="text1"/>
        </w:rPr>
        <w:t xml:space="preserve"> in favour of any referral to Recommended Holding Period and would a</w:t>
      </w:r>
      <w:r w:rsidR="00AD393F" w:rsidRPr="00393754">
        <w:rPr>
          <w:color w:val="000000" w:themeColor="text1"/>
        </w:rPr>
        <w:t>d</w:t>
      </w:r>
      <w:r w:rsidR="00AD393F" w:rsidRPr="00393754">
        <w:rPr>
          <w:color w:val="000000" w:themeColor="text1"/>
        </w:rPr>
        <w:t>vise against the proposed Common Holding Period in Option 3. Arguments presented in Op</w:t>
      </w:r>
      <w:r w:rsidR="00FF524F" w:rsidRPr="00393754">
        <w:rPr>
          <w:color w:val="000000" w:themeColor="text1"/>
        </w:rPr>
        <w:t>tion 3 with regard</w:t>
      </w:r>
      <w:r w:rsidR="00AD393F" w:rsidRPr="00393754">
        <w:rPr>
          <w:color w:val="000000" w:themeColor="text1"/>
        </w:rPr>
        <w:t xml:space="preserve"> to the necessity of using Common Holding Periods to fulfil compar</w:t>
      </w:r>
      <w:r w:rsidR="00AD393F" w:rsidRPr="00393754">
        <w:rPr>
          <w:color w:val="000000" w:themeColor="text1"/>
        </w:rPr>
        <w:t>a</w:t>
      </w:r>
      <w:r w:rsidR="00AD393F" w:rsidRPr="00393754">
        <w:rPr>
          <w:color w:val="000000" w:themeColor="text1"/>
        </w:rPr>
        <w:t>bility is not shared by SSDA due to the fact that only products that have matching Re</w:t>
      </w:r>
      <w:r w:rsidR="00AD393F" w:rsidRPr="00393754">
        <w:rPr>
          <w:color w:val="000000" w:themeColor="text1"/>
        </w:rPr>
        <w:t>c</w:t>
      </w:r>
      <w:r w:rsidR="00AD393F" w:rsidRPr="00393754">
        <w:rPr>
          <w:color w:val="000000" w:themeColor="text1"/>
        </w:rPr>
        <w:t>ommended Holding Periods in relation to the intended investment horizon of the end client should be suitable. Linear products that can be assumed to have varying Recommended Holding Periods will not be affected with regards to the calculated market risk indicator r</w:t>
      </w:r>
      <w:r w:rsidR="00AD393F" w:rsidRPr="00393754">
        <w:rPr>
          <w:color w:val="000000" w:themeColor="text1"/>
        </w:rPr>
        <w:t>e</w:t>
      </w:r>
      <w:r w:rsidR="00AD393F" w:rsidRPr="00393754">
        <w:rPr>
          <w:color w:val="000000" w:themeColor="text1"/>
        </w:rPr>
        <w:t xml:space="preserve">gardless of the holding period used. This approach is in line with the Swedish </w:t>
      </w:r>
      <w:r w:rsidR="000F5D6F" w:rsidRPr="00393754">
        <w:rPr>
          <w:color w:val="000000" w:themeColor="text1"/>
        </w:rPr>
        <w:t>Risk Indic</w:t>
      </w:r>
      <w:r w:rsidR="000F5D6F" w:rsidRPr="00393754">
        <w:rPr>
          <w:color w:val="000000" w:themeColor="text1"/>
        </w:rPr>
        <w:t>a</w:t>
      </w:r>
      <w:r w:rsidR="000F5D6F" w:rsidRPr="00393754">
        <w:rPr>
          <w:color w:val="000000" w:themeColor="text1"/>
        </w:rPr>
        <w:t xml:space="preserve">tor </w:t>
      </w:r>
      <w:r w:rsidR="00AD393F" w:rsidRPr="00393754">
        <w:rPr>
          <w:color w:val="000000" w:themeColor="text1"/>
        </w:rPr>
        <w:t xml:space="preserve">to be implemented in Sweden in August 2015.   </w:t>
      </w:r>
    </w:p>
    <w:p w14:paraId="0B211A03" w14:textId="77777777" w:rsidR="00AD393F" w:rsidRPr="00393754" w:rsidRDefault="00AD393F" w:rsidP="00AD393F">
      <w:pPr>
        <w:pStyle w:val="ListParagraph"/>
        <w:ind w:left="1440"/>
        <w:rPr>
          <w:color w:val="000000" w:themeColor="text1"/>
        </w:rPr>
      </w:pPr>
    </w:p>
    <w:p w14:paraId="0FEFA648" w14:textId="2C8C4408" w:rsidR="00AD393F" w:rsidRPr="00393754" w:rsidRDefault="00AD393F" w:rsidP="006B2A9F">
      <w:pPr>
        <w:pStyle w:val="ListParagraph"/>
        <w:numPr>
          <w:ilvl w:val="0"/>
          <w:numId w:val="55"/>
        </w:numPr>
        <w:rPr>
          <w:color w:val="000000" w:themeColor="text1"/>
        </w:rPr>
      </w:pPr>
      <w:r w:rsidRPr="00393754">
        <w:rPr>
          <w:color w:val="000000" w:themeColor="text1"/>
          <w:lang w:val="en-US"/>
        </w:rPr>
        <w:t>The model</w:t>
      </w:r>
      <w:r w:rsidR="001D3BEE" w:rsidRPr="00393754">
        <w:rPr>
          <w:color w:val="000000" w:themeColor="text1"/>
          <w:lang w:val="en-US"/>
        </w:rPr>
        <w:t xml:space="preserve"> presented in Option 3</w:t>
      </w:r>
      <w:r w:rsidRPr="00393754">
        <w:rPr>
          <w:color w:val="000000" w:themeColor="text1"/>
          <w:lang w:val="en-US"/>
        </w:rPr>
        <w:t xml:space="preserve"> can easily be manipulated by constructing an inves</w:t>
      </w:r>
      <w:r w:rsidRPr="00393754">
        <w:rPr>
          <w:color w:val="000000" w:themeColor="text1"/>
          <w:lang w:val="en-US"/>
        </w:rPr>
        <w:t>t</w:t>
      </w:r>
      <w:r w:rsidRPr="00393754">
        <w:rPr>
          <w:color w:val="000000" w:themeColor="text1"/>
          <w:lang w:val="en-US"/>
        </w:rPr>
        <w:t>ment product that has a low initial exposure/participation and therefore will be perceived a low risk investment although this might not be the case in the next sequence. Look Back features, averaging and capping will have this effect on such a risk indicator which can be truly misleading as risks associated with the investment can involve high risk in the future. Also, some products such as autocallables can experience potentially very high deltas during short time frames, making regular updates of the indicator problematic and pote</w:t>
      </w:r>
      <w:r w:rsidRPr="00393754">
        <w:rPr>
          <w:color w:val="000000" w:themeColor="text1"/>
          <w:lang w:val="en-US"/>
        </w:rPr>
        <w:t>n</w:t>
      </w:r>
      <w:r w:rsidRPr="00393754">
        <w:rPr>
          <w:color w:val="000000" w:themeColor="text1"/>
          <w:lang w:val="en-US"/>
        </w:rPr>
        <w:t xml:space="preserve">tially misleading. (This argument is also true with regards to the German approach where a very short common holding period of 10 days is used for the </w:t>
      </w:r>
      <w:r w:rsidR="00434753" w:rsidRPr="00393754">
        <w:rPr>
          <w:color w:val="000000" w:themeColor="text1"/>
          <w:lang w:val="en-US"/>
        </w:rPr>
        <w:t>Va</w:t>
      </w:r>
      <w:r w:rsidRPr="00393754">
        <w:rPr>
          <w:color w:val="000000" w:themeColor="text1"/>
          <w:lang w:val="en-US"/>
        </w:rPr>
        <w:t>R-simulations.)</w:t>
      </w:r>
    </w:p>
    <w:p w14:paraId="3A1B15B7" w14:textId="77777777" w:rsidR="00AD393F" w:rsidRPr="00393754" w:rsidRDefault="00AD393F" w:rsidP="00AD393F">
      <w:pPr>
        <w:pStyle w:val="ListParagraph"/>
        <w:rPr>
          <w:color w:val="000000" w:themeColor="text1"/>
        </w:rPr>
      </w:pPr>
    </w:p>
    <w:p w14:paraId="3C1CD38A" w14:textId="1E02AEAC" w:rsidR="00AD393F" w:rsidRPr="00393754" w:rsidRDefault="00AD393F" w:rsidP="00AD393F">
      <w:pPr>
        <w:pStyle w:val="ListParagraph"/>
        <w:numPr>
          <w:ilvl w:val="0"/>
          <w:numId w:val="38"/>
        </w:numPr>
        <w:rPr>
          <w:color w:val="000000" w:themeColor="text1"/>
        </w:rPr>
      </w:pPr>
      <w:r w:rsidRPr="00393754">
        <w:rPr>
          <w:color w:val="000000" w:themeColor="text1"/>
        </w:rPr>
        <w:t>Specific comme</w:t>
      </w:r>
      <w:r w:rsidR="00C15AA4" w:rsidRPr="00393754">
        <w:rPr>
          <w:color w:val="000000" w:themeColor="text1"/>
        </w:rPr>
        <w:t>n</w:t>
      </w:r>
      <w:r w:rsidR="00D078C9" w:rsidRPr="00393754">
        <w:rPr>
          <w:color w:val="000000" w:themeColor="text1"/>
        </w:rPr>
        <w:t>ts on the model in option 3 (Va</w:t>
      </w:r>
      <w:r w:rsidRPr="00393754">
        <w:rPr>
          <w:color w:val="000000" w:themeColor="text1"/>
        </w:rPr>
        <w:t xml:space="preserve">R 99%-based market risk indicator):  </w:t>
      </w:r>
    </w:p>
    <w:p w14:paraId="38EC289B" w14:textId="77777777" w:rsidR="00AD393F" w:rsidRPr="00393754" w:rsidRDefault="00AD393F" w:rsidP="00AD393F">
      <w:pPr>
        <w:pStyle w:val="ListParagraph"/>
        <w:rPr>
          <w:color w:val="000000" w:themeColor="text1"/>
        </w:rPr>
      </w:pPr>
    </w:p>
    <w:p w14:paraId="56DE831F" w14:textId="77777777" w:rsidR="00AD393F" w:rsidRPr="00393754" w:rsidRDefault="00AD393F" w:rsidP="00AD393F">
      <w:pPr>
        <w:pStyle w:val="ListParagraph"/>
        <w:numPr>
          <w:ilvl w:val="1"/>
          <w:numId w:val="38"/>
        </w:numPr>
        <w:rPr>
          <w:color w:val="000000" w:themeColor="text1"/>
        </w:rPr>
      </w:pPr>
      <w:r w:rsidRPr="00393754">
        <w:rPr>
          <w:color w:val="000000" w:themeColor="text1"/>
          <w:lang w:val="en-US"/>
        </w:rPr>
        <w:t>A 10-day “worst case” scenario is not necessarily relevant for clients being advised to buy a certain investment product since the intended holding period is typically much longer than for a typical speculative execution only investor (i.e. day-trader).</w:t>
      </w:r>
    </w:p>
    <w:p w14:paraId="31591AAC" w14:textId="77777777" w:rsidR="00AD393F" w:rsidRPr="00393754" w:rsidRDefault="00AD393F" w:rsidP="00AD393F">
      <w:pPr>
        <w:pStyle w:val="ListParagraph"/>
        <w:ind w:left="1440"/>
        <w:rPr>
          <w:color w:val="000000" w:themeColor="text1"/>
        </w:rPr>
      </w:pPr>
    </w:p>
    <w:p w14:paraId="42610D3A" w14:textId="50F0A6C5" w:rsidR="00AD393F" w:rsidRPr="00393754" w:rsidRDefault="00AD393F" w:rsidP="00AD393F">
      <w:pPr>
        <w:pStyle w:val="ListParagraph"/>
        <w:numPr>
          <w:ilvl w:val="1"/>
          <w:numId w:val="38"/>
        </w:numPr>
        <w:rPr>
          <w:color w:val="000000" w:themeColor="text1"/>
        </w:rPr>
      </w:pPr>
      <w:r w:rsidRPr="00393754">
        <w:rPr>
          <w:color w:val="000000" w:themeColor="text1"/>
        </w:rPr>
        <w:t>The 99% is not enough for the model to be used in the longer time horizon and SSDA a</w:t>
      </w:r>
      <w:r w:rsidRPr="00393754">
        <w:rPr>
          <w:color w:val="000000" w:themeColor="text1"/>
        </w:rPr>
        <w:t>d</w:t>
      </w:r>
      <w:r w:rsidRPr="00393754">
        <w:rPr>
          <w:color w:val="000000" w:themeColor="text1"/>
        </w:rPr>
        <w:t xml:space="preserve">vises to also include an average </w:t>
      </w:r>
      <w:r w:rsidR="0065057B" w:rsidRPr="00393754">
        <w:rPr>
          <w:color w:val="000000" w:themeColor="text1"/>
        </w:rPr>
        <w:t>down side</w:t>
      </w:r>
      <w:r w:rsidRPr="00393754">
        <w:rPr>
          <w:color w:val="000000" w:themeColor="text1"/>
        </w:rPr>
        <w:t xml:space="preserve"> measure like the EDV as presented in the Swedish Model being implemented in the Swedish market.</w:t>
      </w:r>
    </w:p>
    <w:p w14:paraId="2045549F" w14:textId="77777777" w:rsidR="00AD393F" w:rsidRPr="00393754" w:rsidRDefault="00AD393F" w:rsidP="00AD393F">
      <w:pPr>
        <w:pStyle w:val="ListParagraph"/>
        <w:rPr>
          <w:color w:val="000000" w:themeColor="text1"/>
        </w:rPr>
      </w:pPr>
    </w:p>
    <w:p w14:paraId="1ECC167B" w14:textId="32B2A680" w:rsidR="00AD393F" w:rsidRPr="00393754" w:rsidRDefault="00AD393F" w:rsidP="00AD393F">
      <w:pPr>
        <w:pStyle w:val="ListParagraph"/>
        <w:numPr>
          <w:ilvl w:val="1"/>
          <w:numId w:val="38"/>
        </w:numPr>
        <w:rPr>
          <w:color w:val="000000" w:themeColor="text1"/>
        </w:rPr>
      </w:pPr>
      <w:r w:rsidRPr="00393754">
        <w:rPr>
          <w:color w:val="000000" w:themeColor="text1"/>
        </w:rPr>
        <w:t>If you choose to make a risk calculation on the "Recommended Holding Period", you should</w:t>
      </w:r>
      <w:r w:rsidR="00D078C9" w:rsidRPr="00393754">
        <w:rPr>
          <w:color w:val="000000" w:themeColor="text1"/>
        </w:rPr>
        <w:t xml:space="preserve"> regardless of risk measures (Va</w:t>
      </w:r>
      <w:r w:rsidRPr="00393754">
        <w:rPr>
          <w:color w:val="000000" w:themeColor="text1"/>
        </w:rPr>
        <w:t xml:space="preserve">R, Average </w:t>
      </w:r>
      <w:r w:rsidR="0065057B" w:rsidRPr="00393754">
        <w:rPr>
          <w:color w:val="000000" w:themeColor="text1"/>
        </w:rPr>
        <w:t>down side</w:t>
      </w:r>
      <w:r w:rsidRPr="00393754">
        <w:rPr>
          <w:color w:val="000000" w:themeColor="text1"/>
        </w:rPr>
        <w:t>) make a translation to vol</w:t>
      </w:r>
      <w:r w:rsidRPr="00393754">
        <w:rPr>
          <w:color w:val="000000" w:themeColor="text1"/>
        </w:rPr>
        <w:t>a</w:t>
      </w:r>
      <w:r w:rsidRPr="00393754">
        <w:rPr>
          <w:color w:val="000000" w:themeColor="text1"/>
        </w:rPr>
        <w:t>tility in order to get the result in the same time scale and thus enable a comparis</w:t>
      </w:r>
      <w:r w:rsidR="00434753" w:rsidRPr="00393754">
        <w:rPr>
          <w:color w:val="000000" w:themeColor="text1"/>
        </w:rPr>
        <w:t>on of risk between time periods.</w:t>
      </w:r>
    </w:p>
    <w:p w14:paraId="16872170" w14:textId="77777777" w:rsidR="00AD393F" w:rsidRPr="00393754" w:rsidRDefault="00AD393F" w:rsidP="00AD393F">
      <w:pPr>
        <w:pStyle w:val="ListParagraph"/>
        <w:ind w:left="1440"/>
        <w:rPr>
          <w:color w:val="000000" w:themeColor="text1"/>
        </w:rPr>
      </w:pPr>
    </w:p>
    <w:p w14:paraId="591A745E" w14:textId="77777777" w:rsidR="00AD393F" w:rsidRPr="00393754" w:rsidRDefault="00AD393F" w:rsidP="00AD393F">
      <w:pPr>
        <w:pStyle w:val="ListParagraph"/>
        <w:numPr>
          <w:ilvl w:val="1"/>
          <w:numId w:val="38"/>
        </w:numPr>
        <w:rPr>
          <w:color w:val="000000" w:themeColor="text1"/>
        </w:rPr>
      </w:pPr>
      <w:r w:rsidRPr="00393754">
        <w:rPr>
          <w:color w:val="000000" w:themeColor="text1"/>
        </w:rPr>
        <w:t>Scale is different from the UCITS SRRI – comparability is important</w:t>
      </w:r>
    </w:p>
    <w:p w14:paraId="66EF1A34" w14:textId="77777777" w:rsidR="00AD393F" w:rsidRPr="00967837" w:rsidRDefault="00AD393F" w:rsidP="00AD393F">
      <w:pPr>
        <w:rPr>
          <w:color w:val="FF0000"/>
        </w:rPr>
      </w:pPr>
    </w:p>
    <w:permEnd w:id="1552876125"/>
    <w:p w14:paraId="31A8BBBB" w14:textId="77777777" w:rsidR="00F31E57" w:rsidRDefault="00F31E57" w:rsidP="00F31E57">
      <w:r>
        <w:t>&lt;ESMA_QUESTION_PRIIPs_11&gt;</w:t>
      </w:r>
    </w:p>
    <w:p w14:paraId="3136D225"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general principles of this approach, should it be s</w:t>
      </w:r>
      <w:r>
        <w:t>e</w:t>
      </w:r>
      <w:r>
        <w:t xml:space="preserve">lected. How would you like to see the risk measure and parameters, why? </w:t>
      </w:r>
    </w:p>
    <w:p w14:paraId="1F28ADC9" w14:textId="77777777" w:rsidR="00F31E57" w:rsidRDefault="00F31E57" w:rsidP="00F31E57"/>
    <w:p w14:paraId="769FB169" w14:textId="77777777" w:rsidR="00F31E57" w:rsidRDefault="00F31E57" w:rsidP="00F31E57">
      <w:r>
        <w:t>&lt;ESMA_QUESTION_PRIIPs_12&gt;</w:t>
      </w:r>
    </w:p>
    <w:p w14:paraId="5E42094A" w14:textId="77777777" w:rsidR="00434753" w:rsidRPr="00434753" w:rsidRDefault="00434753" w:rsidP="00434753">
      <w:pPr>
        <w:rPr>
          <w:color w:val="FF0000"/>
          <w:lang w:val="en-US"/>
        </w:rPr>
      </w:pPr>
      <w:permStart w:id="623519156" w:edGrp="everyone"/>
    </w:p>
    <w:p w14:paraId="20A22740" w14:textId="38AC2D7E" w:rsidR="00A52303" w:rsidRPr="00393754" w:rsidRDefault="00CB0870" w:rsidP="006B2A9F">
      <w:pPr>
        <w:pStyle w:val="ListParagraph"/>
        <w:numPr>
          <w:ilvl w:val="0"/>
          <w:numId w:val="49"/>
        </w:numPr>
        <w:rPr>
          <w:color w:val="000000" w:themeColor="text1"/>
          <w:lang w:val="en-US"/>
        </w:rPr>
      </w:pPr>
      <w:r w:rsidRPr="00393754">
        <w:rPr>
          <w:color w:val="000000" w:themeColor="text1"/>
          <w:lang w:val="en-US"/>
        </w:rPr>
        <w:t>The SSDA is</w:t>
      </w:r>
      <w:r w:rsidR="00BA0E7E" w:rsidRPr="00393754">
        <w:rPr>
          <w:color w:val="000000" w:themeColor="text1"/>
          <w:lang w:val="en-US"/>
        </w:rPr>
        <w:t xml:space="preserve"> of</w:t>
      </w:r>
      <w:r w:rsidR="003E61BB" w:rsidRPr="00393754">
        <w:rPr>
          <w:color w:val="000000" w:themeColor="text1"/>
          <w:lang w:val="en-US"/>
        </w:rPr>
        <w:t xml:space="preserve"> the opinion that both option 2 and 3 </w:t>
      </w:r>
      <w:r w:rsidR="00CD1101" w:rsidRPr="00393754">
        <w:rPr>
          <w:color w:val="000000" w:themeColor="text1"/>
          <w:lang w:val="en-US"/>
        </w:rPr>
        <w:t>fulfill</w:t>
      </w:r>
      <w:r w:rsidR="003E61BB" w:rsidRPr="00393754">
        <w:rPr>
          <w:color w:val="000000" w:themeColor="text1"/>
          <w:lang w:val="en-US"/>
        </w:rPr>
        <w:t xml:space="preserve"> some of the </w:t>
      </w:r>
      <w:r w:rsidR="00CD1101" w:rsidRPr="00393754">
        <w:rPr>
          <w:color w:val="000000" w:themeColor="text1"/>
          <w:lang w:val="en-US"/>
        </w:rPr>
        <w:t>criteria’s</w:t>
      </w:r>
      <w:r w:rsidR="003E61BB" w:rsidRPr="00393754">
        <w:rPr>
          <w:color w:val="000000" w:themeColor="text1"/>
          <w:lang w:val="en-US"/>
        </w:rPr>
        <w:t xml:space="preserve"> assessed for the methodology.</w:t>
      </w:r>
      <w:r w:rsidR="00374576" w:rsidRPr="00393754">
        <w:rPr>
          <w:color w:val="000000" w:themeColor="text1"/>
          <w:lang w:val="en-US"/>
        </w:rPr>
        <w:t xml:space="preserve"> </w:t>
      </w:r>
      <w:r w:rsidR="00324743" w:rsidRPr="00393754">
        <w:rPr>
          <w:color w:val="000000" w:themeColor="text1"/>
          <w:lang w:val="en-US"/>
        </w:rPr>
        <w:t>But SSDA</w:t>
      </w:r>
      <w:r w:rsidR="00374576" w:rsidRPr="00393754">
        <w:rPr>
          <w:color w:val="000000" w:themeColor="text1"/>
          <w:lang w:val="en-US"/>
        </w:rPr>
        <w:t xml:space="preserve"> believe</w:t>
      </w:r>
      <w:r w:rsidR="00324743" w:rsidRPr="00393754">
        <w:rPr>
          <w:color w:val="000000" w:themeColor="text1"/>
          <w:lang w:val="en-US"/>
        </w:rPr>
        <w:t>s</w:t>
      </w:r>
      <w:r w:rsidR="00374576" w:rsidRPr="00393754">
        <w:rPr>
          <w:color w:val="000000" w:themeColor="text1"/>
          <w:lang w:val="en-US"/>
        </w:rPr>
        <w:t xml:space="preserve"> that both options </w:t>
      </w:r>
      <w:r w:rsidR="005F6203" w:rsidRPr="00393754">
        <w:rPr>
          <w:color w:val="000000" w:themeColor="text1"/>
          <w:lang w:val="en-US"/>
        </w:rPr>
        <w:t>fail</w:t>
      </w:r>
      <w:r w:rsidR="00A52303" w:rsidRPr="00393754">
        <w:rPr>
          <w:color w:val="000000" w:themeColor="text1"/>
          <w:lang w:val="en-US"/>
        </w:rPr>
        <w:t xml:space="preserve"> to provide the investor </w:t>
      </w:r>
      <w:r w:rsidR="00374576" w:rsidRPr="00393754">
        <w:rPr>
          <w:color w:val="000000" w:themeColor="text1"/>
          <w:lang w:val="en-US"/>
        </w:rPr>
        <w:t>with the most rel</w:t>
      </w:r>
      <w:r w:rsidR="00374576" w:rsidRPr="00393754">
        <w:rPr>
          <w:color w:val="000000" w:themeColor="text1"/>
          <w:lang w:val="en-US"/>
        </w:rPr>
        <w:t>e</w:t>
      </w:r>
      <w:r w:rsidR="00374576" w:rsidRPr="00393754">
        <w:rPr>
          <w:color w:val="000000" w:themeColor="text1"/>
          <w:lang w:val="en-US"/>
        </w:rPr>
        <w:t xml:space="preserve">vant information about the risks. </w:t>
      </w:r>
    </w:p>
    <w:p w14:paraId="33614F53" w14:textId="77777777" w:rsidR="00A52303" w:rsidRPr="00393754" w:rsidRDefault="00A52303" w:rsidP="00A52303">
      <w:pPr>
        <w:pStyle w:val="ListParagraph"/>
        <w:rPr>
          <w:color w:val="000000" w:themeColor="text1"/>
          <w:lang w:val="en-US"/>
        </w:rPr>
      </w:pPr>
    </w:p>
    <w:p w14:paraId="01DB0A14" w14:textId="6A1DAC13" w:rsidR="00374576" w:rsidRPr="00393754" w:rsidRDefault="00CB0870" w:rsidP="006B2A9F">
      <w:pPr>
        <w:pStyle w:val="ListParagraph"/>
        <w:numPr>
          <w:ilvl w:val="0"/>
          <w:numId w:val="49"/>
        </w:numPr>
        <w:rPr>
          <w:color w:val="000000" w:themeColor="text1"/>
          <w:lang w:val="en-US"/>
        </w:rPr>
      </w:pPr>
      <w:r w:rsidRPr="00393754">
        <w:rPr>
          <w:color w:val="000000" w:themeColor="text1"/>
          <w:lang w:val="en-US"/>
        </w:rPr>
        <w:t xml:space="preserve">The </w:t>
      </w:r>
      <w:r w:rsidR="00374576" w:rsidRPr="00393754">
        <w:rPr>
          <w:color w:val="000000" w:themeColor="text1"/>
          <w:lang w:val="en-US"/>
        </w:rPr>
        <w:t>SSDA believe</w:t>
      </w:r>
      <w:r w:rsidR="00695076" w:rsidRPr="00393754">
        <w:rPr>
          <w:color w:val="000000" w:themeColor="text1"/>
          <w:lang w:val="en-US"/>
        </w:rPr>
        <w:t>s</w:t>
      </w:r>
      <w:r w:rsidR="00374576" w:rsidRPr="00393754">
        <w:rPr>
          <w:color w:val="000000" w:themeColor="text1"/>
          <w:lang w:val="en-US"/>
        </w:rPr>
        <w:t xml:space="preserve"> that it</w:t>
      </w:r>
      <w:r w:rsidR="00695076" w:rsidRPr="00393754">
        <w:rPr>
          <w:color w:val="000000" w:themeColor="text1"/>
          <w:lang w:val="en-US"/>
        </w:rPr>
        <w:t>’</w:t>
      </w:r>
      <w:r w:rsidR="00374576" w:rsidRPr="00393754">
        <w:rPr>
          <w:color w:val="000000" w:themeColor="text1"/>
          <w:lang w:val="en-US"/>
        </w:rPr>
        <w:t>s relevant for reta</w:t>
      </w:r>
      <w:r w:rsidR="00CD1101" w:rsidRPr="00393754">
        <w:rPr>
          <w:color w:val="000000" w:themeColor="text1"/>
          <w:lang w:val="en-US"/>
        </w:rPr>
        <w:t>il investors to know the PRIIPs</w:t>
      </w:r>
      <w:r w:rsidR="00374576" w:rsidRPr="00393754">
        <w:rPr>
          <w:color w:val="000000" w:themeColor="text1"/>
          <w:lang w:val="en-US"/>
        </w:rPr>
        <w:t xml:space="preserve"> risk when holding the product to the end of </w:t>
      </w:r>
      <w:r w:rsidR="00CD1101" w:rsidRPr="00393754">
        <w:rPr>
          <w:color w:val="000000" w:themeColor="text1"/>
          <w:lang w:val="en-US"/>
        </w:rPr>
        <w:t>the recommended</w:t>
      </w:r>
      <w:r w:rsidR="00374576" w:rsidRPr="00393754">
        <w:rPr>
          <w:color w:val="000000" w:themeColor="text1"/>
          <w:lang w:val="en-US"/>
        </w:rPr>
        <w:t xml:space="preserve"> holding period or to the fixed maturity date. Such an a</w:t>
      </w:r>
      <w:r w:rsidR="00374576" w:rsidRPr="00393754">
        <w:rPr>
          <w:color w:val="000000" w:themeColor="text1"/>
          <w:lang w:val="en-US"/>
        </w:rPr>
        <w:t>p</w:t>
      </w:r>
      <w:r w:rsidR="00374576" w:rsidRPr="00393754">
        <w:rPr>
          <w:color w:val="000000" w:themeColor="text1"/>
          <w:lang w:val="en-US"/>
        </w:rPr>
        <w:t>proach is more relevant and valuable for the investor compared to a measure that indicates the risk for a shorter time horizon like 10 days</w:t>
      </w:r>
      <w:r w:rsidR="00A52303" w:rsidRPr="00393754">
        <w:rPr>
          <w:color w:val="000000" w:themeColor="text1"/>
          <w:lang w:val="en-US"/>
        </w:rPr>
        <w:t xml:space="preserve"> as foreseen in option 3</w:t>
      </w:r>
      <w:r w:rsidR="00374576" w:rsidRPr="00393754">
        <w:rPr>
          <w:color w:val="000000" w:themeColor="text1"/>
          <w:lang w:val="en-US"/>
        </w:rPr>
        <w:t>.</w:t>
      </w:r>
    </w:p>
    <w:p w14:paraId="7B3D8C3F" w14:textId="69B45F1C" w:rsidR="003E61BB" w:rsidRPr="00393754" w:rsidRDefault="003E61BB" w:rsidP="003E61BB">
      <w:pPr>
        <w:ind w:firstLine="60"/>
        <w:rPr>
          <w:color w:val="000000" w:themeColor="text1"/>
          <w:lang w:val="en-US"/>
        </w:rPr>
      </w:pPr>
    </w:p>
    <w:p w14:paraId="1ACA894A" w14:textId="6F3CB3AC" w:rsidR="001A6C6B" w:rsidRPr="00393754" w:rsidRDefault="00CB0870" w:rsidP="001A6C6B">
      <w:pPr>
        <w:pStyle w:val="ListParagraph"/>
        <w:widowControl w:val="0"/>
        <w:numPr>
          <w:ilvl w:val="0"/>
          <w:numId w:val="49"/>
        </w:numPr>
        <w:shd w:val="clear" w:color="auto" w:fill="FFFFFF" w:themeFill="background1"/>
        <w:autoSpaceDE w:val="0"/>
        <w:autoSpaceDN w:val="0"/>
        <w:adjustRightInd w:val="0"/>
        <w:rPr>
          <w:rFonts w:eastAsia="MS Mincho" w:cs="Calibri"/>
          <w:color w:val="000000" w:themeColor="text1"/>
          <w:szCs w:val="20"/>
          <w:lang w:val="en-US"/>
        </w:rPr>
      </w:pPr>
      <w:r w:rsidRPr="00393754">
        <w:rPr>
          <w:color w:val="000000" w:themeColor="text1"/>
          <w:lang w:val="en-US"/>
        </w:rPr>
        <w:t>The SSDA is</w:t>
      </w:r>
      <w:r w:rsidR="001A6C6B" w:rsidRPr="00393754">
        <w:rPr>
          <w:color w:val="000000" w:themeColor="text1"/>
          <w:lang w:val="en-US"/>
        </w:rPr>
        <w:t xml:space="preserve"> in favour of a variation </w:t>
      </w:r>
      <w:r w:rsidR="001D3BEE" w:rsidRPr="00393754">
        <w:rPr>
          <w:color w:val="000000" w:themeColor="text1"/>
          <w:lang w:val="en-US"/>
        </w:rPr>
        <w:t xml:space="preserve">of </w:t>
      </w:r>
      <w:r w:rsidR="00BA0E7E" w:rsidRPr="00393754">
        <w:rPr>
          <w:color w:val="000000" w:themeColor="text1"/>
          <w:lang w:val="en-US"/>
        </w:rPr>
        <w:t xml:space="preserve">option 3 </w:t>
      </w:r>
      <w:r w:rsidR="001A6C6B" w:rsidRPr="00393754">
        <w:rPr>
          <w:color w:val="000000" w:themeColor="text1"/>
          <w:lang w:val="en-US"/>
        </w:rPr>
        <w:t xml:space="preserve">with a forward looking model that uses the end of maturity as the default holding period for products with a fixed maturity. For open-ended products like UCITS funds the holding period could be 3 to 5 years depending on the characteristics of the </w:t>
      </w:r>
      <w:r w:rsidR="001A6C6B" w:rsidRPr="00393754">
        <w:rPr>
          <w:color w:val="000000" w:themeColor="text1"/>
          <w:lang w:val="en-US"/>
        </w:rPr>
        <w:lastRenderedPageBreak/>
        <w:t xml:space="preserve">product. </w:t>
      </w:r>
    </w:p>
    <w:p w14:paraId="6EC33C11" w14:textId="73EC3CEF" w:rsidR="003E61BB" w:rsidRPr="00393754" w:rsidRDefault="003E61BB" w:rsidP="003E61BB">
      <w:pPr>
        <w:ind w:firstLine="60"/>
        <w:rPr>
          <w:color w:val="000000" w:themeColor="text1"/>
          <w:lang w:val="en-US"/>
        </w:rPr>
      </w:pPr>
    </w:p>
    <w:p w14:paraId="1319D334" w14:textId="3FF654FA" w:rsidR="003E61BB" w:rsidRPr="00393754" w:rsidRDefault="00CB0870" w:rsidP="006B2A9F">
      <w:pPr>
        <w:pStyle w:val="ListParagraph"/>
        <w:numPr>
          <w:ilvl w:val="0"/>
          <w:numId w:val="49"/>
        </w:numPr>
        <w:rPr>
          <w:color w:val="000000" w:themeColor="text1"/>
          <w:lang w:val="en-US"/>
        </w:rPr>
      </w:pPr>
      <w:r w:rsidRPr="00393754">
        <w:rPr>
          <w:color w:val="000000" w:themeColor="text1"/>
          <w:lang w:val="en-US"/>
        </w:rPr>
        <w:t>The SSDA is</w:t>
      </w:r>
      <w:r w:rsidR="003E61BB" w:rsidRPr="00393754">
        <w:rPr>
          <w:color w:val="000000" w:themeColor="text1"/>
          <w:lang w:val="en-US"/>
        </w:rPr>
        <w:t xml:space="preserve"> in favour of implementing a model –</w:t>
      </w:r>
      <w:r w:rsidR="006116B2" w:rsidRPr="00393754">
        <w:rPr>
          <w:color w:val="000000" w:themeColor="text1"/>
          <w:lang w:val="en-US"/>
        </w:rPr>
        <w:t xml:space="preserve"> a risk indicator – </w:t>
      </w:r>
      <w:r w:rsidR="003E61BB" w:rsidRPr="00393754">
        <w:rPr>
          <w:color w:val="000000" w:themeColor="text1"/>
          <w:lang w:val="en-US"/>
        </w:rPr>
        <w:t>for PRIIPs that is comparable with the UCITS risk indicator both in terms of methodology and presentation using the same 1-7 scale. O</w:t>
      </w:r>
      <w:r w:rsidR="00CD1101" w:rsidRPr="00393754">
        <w:rPr>
          <w:color w:val="000000" w:themeColor="text1"/>
          <w:lang w:val="en-US"/>
        </w:rPr>
        <w:t>ne of the reasons is that UCITS</w:t>
      </w:r>
      <w:r w:rsidR="003E61BB" w:rsidRPr="00393754">
        <w:rPr>
          <w:color w:val="000000" w:themeColor="text1"/>
          <w:lang w:val="en-US"/>
        </w:rPr>
        <w:t xml:space="preserve"> funds are the largest product class in most European count</w:t>
      </w:r>
      <w:r w:rsidR="00CD1101" w:rsidRPr="00393754">
        <w:rPr>
          <w:color w:val="000000" w:themeColor="text1"/>
          <w:lang w:val="en-US"/>
        </w:rPr>
        <w:t>ries and that the current UCITS</w:t>
      </w:r>
      <w:r w:rsidR="003E61BB" w:rsidRPr="00393754">
        <w:rPr>
          <w:color w:val="000000" w:themeColor="text1"/>
          <w:lang w:val="en-US"/>
        </w:rPr>
        <w:t xml:space="preserve"> risk indicator will exist until at least Jan</w:t>
      </w:r>
      <w:r w:rsidR="006116B2" w:rsidRPr="00393754">
        <w:rPr>
          <w:color w:val="000000" w:themeColor="text1"/>
          <w:lang w:val="en-US"/>
        </w:rPr>
        <w:t xml:space="preserve">uary </w:t>
      </w:r>
      <w:r w:rsidR="003E61BB" w:rsidRPr="00393754">
        <w:rPr>
          <w:color w:val="000000" w:themeColor="text1"/>
          <w:lang w:val="en-US"/>
        </w:rPr>
        <w:t>2019. SSDA b</w:t>
      </w:r>
      <w:r w:rsidR="003E61BB" w:rsidRPr="00393754">
        <w:rPr>
          <w:color w:val="000000" w:themeColor="text1"/>
          <w:lang w:val="en-US"/>
        </w:rPr>
        <w:t>e</w:t>
      </w:r>
      <w:r w:rsidR="003E61BB" w:rsidRPr="00393754">
        <w:rPr>
          <w:color w:val="000000" w:themeColor="text1"/>
          <w:lang w:val="en-US"/>
        </w:rPr>
        <w:t>lieve that it´s extremely important that the risk measure in different PRIIPs</w:t>
      </w:r>
      <w:r w:rsidR="006116B2" w:rsidRPr="00393754">
        <w:rPr>
          <w:color w:val="000000" w:themeColor="text1"/>
          <w:lang w:val="en-US"/>
        </w:rPr>
        <w:t>, such as structured products,</w:t>
      </w:r>
      <w:r w:rsidR="003E61BB" w:rsidRPr="00393754">
        <w:rPr>
          <w:color w:val="000000" w:themeColor="text1"/>
          <w:lang w:val="en-US"/>
        </w:rPr>
        <w:t xml:space="preserve"> are easy to be compared with UCITS funds.</w:t>
      </w:r>
    </w:p>
    <w:p w14:paraId="78A86D04" w14:textId="77777777" w:rsidR="006B62B9" w:rsidRPr="00393754" w:rsidRDefault="006B62B9" w:rsidP="00B73F63">
      <w:pPr>
        <w:pStyle w:val="ListParagraph"/>
        <w:rPr>
          <w:color w:val="000000" w:themeColor="text1"/>
          <w:lang w:val="en-US"/>
        </w:rPr>
      </w:pPr>
    </w:p>
    <w:p w14:paraId="2017484F" w14:textId="6826CF1D" w:rsidR="0015218C" w:rsidRPr="00393754" w:rsidRDefault="00CB0870" w:rsidP="0015218C">
      <w:pPr>
        <w:pStyle w:val="ListParagraph"/>
        <w:numPr>
          <w:ilvl w:val="0"/>
          <w:numId w:val="38"/>
        </w:numPr>
        <w:rPr>
          <w:color w:val="000000" w:themeColor="text1"/>
          <w:lang w:val="en-US"/>
        </w:rPr>
      </w:pPr>
      <w:r w:rsidRPr="00393754">
        <w:rPr>
          <w:color w:val="000000" w:themeColor="text1"/>
          <w:lang w:val="en-US"/>
        </w:rPr>
        <w:t xml:space="preserve">The </w:t>
      </w:r>
      <w:r w:rsidR="0015218C" w:rsidRPr="00393754">
        <w:rPr>
          <w:color w:val="000000" w:themeColor="text1"/>
          <w:lang w:val="en-US"/>
        </w:rPr>
        <w:t>SSDA suggests a multidimensional indicator where market, credit and liquidity risk are sep</w:t>
      </w:r>
      <w:r w:rsidR="0015218C" w:rsidRPr="00393754">
        <w:rPr>
          <w:color w:val="000000" w:themeColor="text1"/>
          <w:lang w:val="en-US"/>
        </w:rPr>
        <w:t>a</w:t>
      </w:r>
      <w:r w:rsidR="0015218C" w:rsidRPr="00393754">
        <w:rPr>
          <w:color w:val="000000" w:themeColor="text1"/>
          <w:lang w:val="en-US"/>
        </w:rPr>
        <w:t xml:space="preserve">rated and have a proposal for a risk indicator that will be </w:t>
      </w:r>
      <w:r w:rsidR="00D458AF" w:rsidRPr="00393754">
        <w:rPr>
          <w:color w:val="000000" w:themeColor="text1"/>
          <w:lang w:val="en-US"/>
        </w:rPr>
        <w:t>implemented</w:t>
      </w:r>
      <w:r w:rsidR="0015218C" w:rsidRPr="00393754">
        <w:rPr>
          <w:color w:val="000000" w:themeColor="text1"/>
          <w:lang w:val="en-US"/>
        </w:rPr>
        <w:t xml:space="preserve"> in the Swedish markets from A</w:t>
      </w:r>
      <w:r w:rsidR="0015218C" w:rsidRPr="00393754">
        <w:rPr>
          <w:color w:val="000000" w:themeColor="text1"/>
          <w:lang w:val="en-US"/>
        </w:rPr>
        <w:t>u</w:t>
      </w:r>
      <w:r w:rsidR="0015218C" w:rsidRPr="00393754">
        <w:rPr>
          <w:color w:val="000000" w:themeColor="text1"/>
          <w:lang w:val="en-US"/>
        </w:rPr>
        <w:t xml:space="preserve">gust 2015. </w:t>
      </w:r>
    </w:p>
    <w:p w14:paraId="3398669F" w14:textId="77777777" w:rsidR="0015218C" w:rsidRPr="00393754" w:rsidRDefault="0015218C" w:rsidP="00B73F63">
      <w:pPr>
        <w:pStyle w:val="ListParagraph"/>
        <w:rPr>
          <w:color w:val="000000" w:themeColor="text1"/>
          <w:lang w:val="en-US"/>
        </w:rPr>
      </w:pPr>
    </w:p>
    <w:p w14:paraId="41C00C58" w14:textId="383DBD6A" w:rsidR="00B73F63" w:rsidRPr="00393754" w:rsidRDefault="00B73F63" w:rsidP="00B73F63">
      <w:pPr>
        <w:pStyle w:val="ListParagraph"/>
        <w:rPr>
          <w:b/>
          <w:color w:val="000000" w:themeColor="text1"/>
          <w:lang w:val="en-US"/>
        </w:rPr>
      </w:pPr>
      <w:r w:rsidRPr="00393754">
        <w:rPr>
          <w:b/>
          <w:color w:val="000000" w:themeColor="text1"/>
          <w:lang w:val="en-US"/>
        </w:rPr>
        <w:t>Description of the Swedish Risk indicator model:</w:t>
      </w:r>
    </w:p>
    <w:p w14:paraId="766501EA" w14:textId="77777777" w:rsidR="006D3F4A" w:rsidRPr="00393754" w:rsidRDefault="006D3F4A" w:rsidP="00B73F63">
      <w:pPr>
        <w:pStyle w:val="ListParagraph"/>
        <w:rPr>
          <w:color w:val="000000" w:themeColor="text1"/>
          <w:lang w:val="en-US"/>
        </w:rPr>
      </w:pPr>
    </w:p>
    <w:p w14:paraId="53414DB2" w14:textId="496EC04D" w:rsidR="009C3FE6" w:rsidRPr="00393754" w:rsidRDefault="009C3FE6" w:rsidP="00D2302C">
      <w:pPr>
        <w:pStyle w:val="ListParagraph"/>
        <w:numPr>
          <w:ilvl w:val="0"/>
          <w:numId w:val="38"/>
        </w:numPr>
        <w:rPr>
          <w:color w:val="000000" w:themeColor="text1"/>
          <w:lang w:val="en-US"/>
        </w:rPr>
      </w:pPr>
      <w:r w:rsidRPr="00393754">
        <w:rPr>
          <w:color w:val="000000" w:themeColor="text1"/>
          <w:lang w:val="en-US"/>
        </w:rPr>
        <w:t>The members of Structured Products in Sweden (SPIS)</w:t>
      </w:r>
      <w:r w:rsidR="00DE36E7" w:rsidRPr="00393754">
        <w:rPr>
          <w:color w:val="000000" w:themeColor="text1"/>
          <w:lang w:val="en-US"/>
        </w:rPr>
        <w:t>, within the</w:t>
      </w:r>
      <w:r w:rsidRPr="00393754">
        <w:rPr>
          <w:color w:val="000000" w:themeColor="text1"/>
          <w:lang w:val="en-US"/>
        </w:rPr>
        <w:t xml:space="preserve"> SSDA have agreed upon a risk indicator for the Swed</w:t>
      </w:r>
      <w:r w:rsidR="00DE36E7" w:rsidRPr="00393754">
        <w:rPr>
          <w:color w:val="000000" w:themeColor="text1"/>
          <w:lang w:val="en-US"/>
        </w:rPr>
        <w:t xml:space="preserve">ish Structured Product Market. </w:t>
      </w:r>
      <w:r w:rsidRPr="00393754">
        <w:rPr>
          <w:color w:val="000000" w:themeColor="text1"/>
          <w:lang w:val="en-US"/>
        </w:rPr>
        <w:t xml:space="preserve">Two years ago SPIS </w:t>
      </w:r>
      <w:r w:rsidR="00DE36E7" w:rsidRPr="00393754">
        <w:rPr>
          <w:color w:val="000000" w:themeColor="text1"/>
          <w:lang w:val="en-US"/>
        </w:rPr>
        <w:t>and its members star</w:t>
      </w:r>
      <w:r w:rsidR="00DE36E7" w:rsidRPr="00393754">
        <w:rPr>
          <w:color w:val="000000" w:themeColor="text1"/>
          <w:lang w:val="en-US"/>
        </w:rPr>
        <w:t>t</w:t>
      </w:r>
      <w:r w:rsidR="00DE36E7" w:rsidRPr="00393754">
        <w:rPr>
          <w:color w:val="000000" w:themeColor="text1"/>
          <w:lang w:val="en-US"/>
        </w:rPr>
        <w:t xml:space="preserve">ed </w:t>
      </w:r>
      <w:r w:rsidRPr="00393754">
        <w:rPr>
          <w:color w:val="000000" w:themeColor="text1"/>
          <w:lang w:val="en-US"/>
        </w:rPr>
        <w:t>to develop a new set of risk measures in order to fulfill not only the demand for comparison with other existing measures currently available within the funds industry but also to add a new measure that would successfully describe the concepts of nonlinear exposure.</w:t>
      </w:r>
    </w:p>
    <w:p w14:paraId="0B4E8952" w14:textId="77777777" w:rsidR="009C3FE6" w:rsidRPr="00393754" w:rsidRDefault="009C3FE6" w:rsidP="009C3FE6">
      <w:pPr>
        <w:rPr>
          <w:color w:val="000000" w:themeColor="text1"/>
          <w:lang w:val="en-US"/>
        </w:rPr>
      </w:pPr>
    </w:p>
    <w:p w14:paraId="2308323D" w14:textId="08916A61" w:rsidR="00DE36E7" w:rsidRPr="00393754" w:rsidRDefault="00BA0E7E" w:rsidP="00DE36E7">
      <w:pPr>
        <w:pStyle w:val="ListParagraph"/>
        <w:numPr>
          <w:ilvl w:val="0"/>
          <w:numId w:val="38"/>
        </w:numPr>
        <w:rPr>
          <w:color w:val="000000" w:themeColor="text1"/>
          <w:lang w:val="en-US"/>
        </w:rPr>
      </w:pPr>
      <w:r w:rsidRPr="00393754">
        <w:rPr>
          <w:color w:val="000000" w:themeColor="text1"/>
          <w:lang w:val="en-US"/>
        </w:rPr>
        <w:t>T</w:t>
      </w:r>
      <w:r w:rsidR="00DE36E7" w:rsidRPr="00393754">
        <w:rPr>
          <w:color w:val="000000" w:themeColor="text1"/>
          <w:lang w:val="en-US"/>
        </w:rPr>
        <w:t>he measures should be balanced in terms of being easy to adopt and implement despite still b</w:t>
      </w:r>
      <w:r w:rsidR="00DE36E7" w:rsidRPr="00393754">
        <w:rPr>
          <w:color w:val="000000" w:themeColor="text1"/>
          <w:lang w:val="en-US"/>
        </w:rPr>
        <w:t>e</w:t>
      </w:r>
      <w:r w:rsidR="00DE36E7" w:rsidRPr="00393754">
        <w:rPr>
          <w:color w:val="000000" w:themeColor="text1"/>
          <w:lang w:val="en-US"/>
        </w:rPr>
        <w:t>ing fairly accurate and provide useful guidance to its users among advisors and end clients.</w:t>
      </w:r>
    </w:p>
    <w:p w14:paraId="10EA518A" w14:textId="3C9CDDAD" w:rsidR="003338CD" w:rsidRPr="00393754" w:rsidRDefault="003338CD" w:rsidP="00DE36E7">
      <w:pPr>
        <w:pStyle w:val="ListParagraph"/>
        <w:rPr>
          <w:color w:val="000000" w:themeColor="text1"/>
          <w:lang w:val="en-US"/>
        </w:rPr>
      </w:pPr>
    </w:p>
    <w:p w14:paraId="7F98CD4E" w14:textId="0EB0DD08" w:rsidR="00DE36E7" w:rsidRPr="00393754" w:rsidRDefault="003338CD" w:rsidP="00434753">
      <w:pPr>
        <w:pStyle w:val="ListParagraph"/>
        <w:numPr>
          <w:ilvl w:val="0"/>
          <w:numId w:val="38"/>
        </w:numPr>
        <w:rPr>
          <w:color w:val="000000" w:themeColor="text1"/>
          <w:lang w:val="en-US"/>
        </w:rPr>
      </w:pPr>
      <w:r w:rsidRPr="00393754">
        <w:rPr>
          <w:color w:val="000000" w:themeColor="text1"/>
          <w:lang w:val="en-US"/>
        </w:rPr>
        <w:t>The model has two m</w:t>
      </w:r>
      <w:r w:rsidR="00D078C9" w:rsidRPr="00393754">
        <w:rPr>
          <w:color w:val="000000" w:themeColor="text1"/>
          <w:lang w:val="en-US"/>
        </w:rPr>
        <w:t>arket risk measures: EDV</w:t>
      </w:r>
      <w:r w:rsidR="000F5D6F" w:rsidRPr="00393754">
        <w:rPr>
          <w:color w:val="000000" w:themeColor="text1"/>
          <w:lang w:val="en-US"/>
        </w:rPr>
        <w:t xml:space="preserve"> </w:t>
      </w:r>
      <w:r w:rsidR="000F5D6F" w:rsidRPr="00393754">
        <w:rPr>
          <w:color w:val="000000" w:themeColor="text1"/>
        </w:rPr>
        <w:t>(Expected Down side Value</w:t>
      </w:r>
      <w:r w:rsidR="000B03A2" w:rsidRPr="00393754">
        <w:rPr>
          <w:color w:val="000000" w:themeColor="text1"/>
        </w:rPr>
        <w:t xml:space="preserve">) </w:t>
      </w:r>
      <w:r w:rsidR="000B03A2" w:rsidRPr="00393754">
        <w:rPr>
          <w:color w:val="000000" w:themeColor="text1"/>
          <w:lang w:val="en-US"/>
        </w:rPr>
        <w:t>and</w:t>
      </w:r>
      <w:r w:rsidR="00D078C9" w:rsidRPr="00393754">
        <w:rPr>
          <w:color w:val="000000" w:themeColor="text1"/>
          <w:lang w:val="en-US"/>
        </w:rPr>
        <w:t xml:space="preserve"> Va</w:t>
      </w:r>
      <w:r w:rsidR="00912B3E" w:rsidRPr="00393754">
        <w:rPr>
          <w:color w:val="000000" w:themeColor="text1"/>
          <w:lang w:val="en-US"/>
        </w:rPr>
        <w:t>R</w:t>
      </w:r>
      <w:r w:rsidR="00434753" w:rsidRPr="00393754">
        <w:rPr>
          <w:color w:val="000000" w:themeColor="text1"/>
          <w:lang w:val="en-US"/>
        </w:rPr>
        <w:t>-</w:t>
      </w:r>
      <w:r w:rsidRPr="00393754">
        <w:rPr>
          <w:color w:val="000000" w:themeColor="text1"/>
          <w:lang w:val="en-US"/>
        </w:rPr>
        <w:t xml:space="preserve">99. </w:t>
      </w:r>
    </w:p>
    <w:p w14:paraId="0CA59AD0" w14:textId="77777777" w:rsidR="00DE36E7" w:rsidRPr="00393754" w:rsidRDefault="00DE36E7" w:rsidP="00DE36E7">
      <w:pPr>
        <w:pStyle w:val="ListParagraph"/>
        <w:rPr>
          <w:color w:val="000000" w:themeColor="text1"/>
          <w:lang w:val="en-US"/>
        </w:rPr>
      </w:pPr>
    </w:p>
    <w:p w14:paraId="0BE731F3" w14:textId="33E472A3" w:rsidR="003338CD" w:rsidRPr="00393754" w:rsidRDefault="003338CD" w:rsidP="00DE36E7">
      <w:pPr>
        <w:pStyle w:val="ListParagraph"/>
        <w:numPr>
          <w:ilvl w:val="0"/>
          <w:numId w:val="38"/>
        </w:numPr>
        <w:rPr>
          <w:color w:val="000000" w:themeColor="text1"/>
          <w:lang w:val="en-US"/>
        </w:rPr>
      </w:pPr>
      <w:r w:rsidRPr="00393754">
        <w:rPr>
          <w:color w:val="000000" w:themeColor="text1"/>
          <w:lang w:val="en-US"/>
        </w:rPr>
        <w:t>EDV indicate the market risk under “normal” market conditions, whilst the V</w:t>
      </w:r>
      <w:r w:rsidR="00D078C9" w:rsidRPr="00393754">
        <w:rPr>
          <w:color w:val="000000" w:themeColor="text1"/>
          <w:lang w:val="en-US"/>
        </w:rPr>
        <w:t>a</w:t>
      </w:r>
      <w:r w:rsidR="00912B3E" w:rsidRPr="00393754">
        <w:rPr>
          <w:color w:val="000000" w:themeColor="text1"/>
          <w:lang w:val="en-US"/>
        </w:rPr>
        <w:t>R</w:t>
      </w:r>
      <w:r w:rsidR="00434753" w:rsidRPr="00393754">
        <w:rPr>
          <w:color w:val="000000" w:themeColor="text1"/>
          <w:lang w:val="en-US"/>
        </w:rPr>
        <w:t>-</w:t>
      </w:r>
      <w:r w:rsidRPr="00393754">
        <w:rPr>
          <w:color w:val="000000" w:themeColor="text1"/>
          <w:lang w:val="en-US"/>
        </w:rPr>
        <w:t xml:space="preserve">99 </w:t>
      </w:r>
      <w:r w:rsidR="000B03A2" w:rsidRPr="00393754">
        <w:rPr>
          <w:color w:val="000000" w:themeColor="text1"/>
          <w:lang w:val="en-US"/>
        </w:rPr>
        <w:t>tells</w:t>
      </w:r>
      <w:r w:rsidRPr="00393754">
        <w:rPr>
          <w:color w:val="000000" w:themeColor="text1"/>
          <w:lang w:val="en-US"/>
        </w:rPr>
        <w:t xml:space="preserve"> you how sen</w:t>
      </w:r>
      <w:r w:rsidR="00DE36E7" w:rsidRPr="00393754">
        <w:rPr>
          <w:color w:val="000000" w:themeColor="text1"/>
          <w:lang w:val="en-US"/>
        </w:rPr>
        <w:t>sitive the PRII</w:t>
      </w:r>
      <w:r w:rsidRPr="00393754">
        <w:rPr>
          <w:color w:val="000000" w:themeColor="text1"/>
          <w:lang w:val="en-US"/>
        </w:rPr>
        <w:t xml:space="preserve">P are for “extreme” market conditions. </w:t>
      </w:r>
      <w:r w:rsidR="00CB0870" w:rsidRPr="00393754">
        <w:rPr>
          <w:color w:val="000000" w:themeColor="text1"/>
          <w:lang w:val="en-US"/>
        </w:rPr>
        <w:t xml:space="preserve">The </w:t>
      </w:r>
      <w:r w:rsidRPr="00393754">
        <w:rPr>
          <w:color w:val="000000" w:themeColor="text1"/>
          <w:lang w:val="en-US"/>
        </w:rPr>
        <w:t xml:space="preserve">SSDA </w:t>
      </w:r>
      <w:r w:rsidR="006B2A9F" w:rsidRPr="00393754">
        <w:rPr>
          <w:color w:val="000000" w:themeColor="text1"/>
          <w:lang w:val="en-US"/>
        </w:rPr>
        <w:t>believes</w:t>
      </w:r>
      <w:r w:rsidRPr="00393754">
        <w:rPr>
          <w:color w:val="000000" w:themeColor="text1"/>
          <w:lang w:val="en-US"/>
        </w:rPr>
        <w:t xml:space="preserve"> that the EDV is the most important measure but by adding V</w:t>
      </w:r>
      <w:r w:rsidR="00D078C9" w:rsidRPr="00393754">
        <w:rPr>
          <w:color w:val="000000" w:themeColor="text1"/>
          <w:lang w:val="en-US"/>
        </w:rPr>
        <w:t>a</w:t>
      </w:r>
      <w:r w:rsidR="00912B3E" w:rsidRPr="00393754">
        <w:rPr>
          <w:color w:val="000000" w:themeColor="text1"/>
          <w:lang w:val="en-US"/>
        </w:rPr>
        <w:t>R</w:t>
      </w:r>
      <w:r w:rsidR="00434753" w:rsidRPr="00393754">
        <w:rPr>
          <w:color w:val="000000" w:themeColor="text1"/>
          <w:lang w:val="en-US"/>
        </w:rPr>
        <w:t>-</w:t>
      </w:r>
      <w:r w:rsidRPr="00393754">
        <w:rPr>
          <w:color w:val="000000" w:themeColor="text1"/>
          <w:lang w:val="en-US"/>
        </w:rPr>
        <w:t>99 you can easily capture the impact of the capital guara</w:t>
      </w:r>
      <w:r w:rsidRPr="00393754">
        <w:rPr>
          <w:color w:val="000000" w:themeColor="text1"/>
          <w:lang w:val="en-US"/>
        </w:rPr>
        <w:t>n</w:t>
      </w:r>
      <w:r w:rsidRPr="00393754">
        <w:rPr>
          <w:color w:val="000000" w:themeColor="text1"/>
          <w:lang w:val="en-US"/>
        </w:rPr>
        <w:t>tee mechanism.</w:t>
      </w:r>
    </w:p>
    <w:p w14:paraId="3EE015D6" w14:textId="77777777" w:rsidR="009C3FE6" w:rsidRPr="00393754" w:rsidRDefault="009C3FE6" w:rsidP="009C3FE6">
      <w:pPr>
        <w:rPr>
          <w:color w:val="000000" w:themeColor="text1"/>
          <w:lang w:val="en-US"/>
        </w:rPr>
      </w:pPr>
    </w:p>
    <w:p w14:paraId="35B28BAF" w14:textId="77777777" w:rsidR="009C3FE6" w:rsidRPr="00393754" w:rsidRDefault="009C3FE6" w:rsidP="00D2302C">
      <w:pPr>
        <w:pStyle w:val="ListParagraph"/>
        <w:numPr>
          <w:ilvl w:val="0"/>
          <w:numId w:val="38"/>
        </w:numPr>
        <w:rPr>
          <w:color w:val="000000" w:themeColor="text1"/>
          <w:lang w:val="en-US"/>
        </w:rPr>
      </w:pPr>
      <w:r w:rsidRPr="00393754">
        <w:rPr>
          <w:color w:val="000000" w:themeColor="text1"/>
          <w:lang w:val="en-US"/>
        </w:rPr>
        <w:t>The model includes three isolated measures:</w:t>
      </w:r>
    </w:p>
    <w:p w14:paraId="1DA5835B" w14:textId="77777777" w:rsidR="009C3FE6" w:rsidRPr="00393754" w:rsidRDefault="009C3FE6" w:rsidP="009C3FE6">
      <w:pPr>
        <w:rPr>
          <w:color w:val="000000" w:themeColor="text1"/>
        </w:rPr>
      </w:pPr>
    </w:p>
    <w:p w14:paraId="71ACF82C" w14:textId="47F9E139" w:rsidR="009C3FE6" w:rsidRPr="00393754" w:rsidRDefault="00D078C9" w:rsidP="009C3FE6">
      <w:pPr>
        <w:ind w:left="1418"/>
        <w:rPr>
          <w:color w:val="000000" w:themeColor="text1"/>
        </w:rPr>
      </w:pPr>
      <w:r w:rsidRPr="00393754">
        <w:rPr>
          <w:color w:val="000000" w:themeColor="text1"/>
        </w:rPr>
        <w:t>Va</w:t>
      </w:r>
      <w:r w:rsidR="009C3FE6" w:rsidRPr="00393754">
        <w:rPr>
          <w:color w:val="000000" w:themeColor="text1"/>
        </w:rPr>
        <w:t>R</w:t>
      </w:r>
      <w:r w:rsidR="00434753" w:rsidRPr="00393754">
        <w:rPr>
          <w:color w:val="000000" w:themeColor="text1"/>
        </w:rPr>
        <w:t>-</w:t>
      </w:r>
      <w:r w:rsidR="009C3FE6" w:rsidRPr="00393754">
        <w:rPr>
          <w:color w:val="000000" w:themeColor="text1"/>
        </w:rPr>
        <w:t xml:space="preserve">99 </w:t>
      </w:r>
      <w:r w:rsidR="009C3FE6" w:rsidRPr="00393754">
        <w:rPr>
          <w:color w:val="000000" w:themeColor="text1"/>
        </w:rPr>
        <w:tab/>
      </w:r>
      <w:r w:rsidR="009C3FE6" w:rsidRPr="00393754">
        <w:rPr>
          <w:color w:val="000000" w:themeColor="text1"/>
        </w:rPr>
        <w:tab/>
      </w:r>
      <w:r w:rsidR="001D3BEE" w:rsidRPr="00393754">
        <w:rPr>
          <w:color w:val="000000" w:themeColor="text1"/>
        </w:rPr>
        <w:tab/>
      </w:r>
      <w:r w:rsidR="001D3BEE" w:rsidRPr="00393754">
        <w:rPr>
          <w:color w:val="000000" w:themeColor="text1"/>
        </w:rPr>
        <w:tab/>
      </w:r>
      <w:r w:rsidR="001D3BEE" w:rsidRPr="00393754">
        <w:rPr>
          <w:color w:val="000000" w:themeColor="text1"/>
        </w:rPr>
        <w:tab/>
      </w:r>
      <w:r w:rsidR="009C3FE6" w:rsidRPr="00393754">
        <w:rPr>
          <w:color w:val="000000" w:themeColor="text1"/>
        </w:rPr>
        <w:t>(Extreme market situations)</w:t>
      </w:r>
    </w:p>
    <w:p w14:paraId="13B9A015" w14:textId="77777777" w:rsidR="009C3FE6" w:rsidRPr="00393754" w:rsidRDefault="009C3FE6" w:rsidP="009C3FE6">
      <w:pPr>
        <w:ind w:left="1418"/>
        <w:rPr>
          <w:color w:val="000000" w:themeColor="text1"/>
        </w:rPr>
      </w:pPr>
    </w:p>
    <w:p w14:paraId="533EEEEA" w14:textId="1BB73A88" w:rsidR="009C3FE6" w:rsidRPr="00393754" w:rsidRDefault="009C3FE6" w:rsidP="009C3FE6">
      <w:pPr>
        <w:ind w:left="1418"/>
        <w:rPr>
          <w:color w:val="000000" w:themeColor="text1"/>
        </w:rPr>
      </w:pPr>
      <w:r w:rsidRPr="00393754">
        <w:rPr>
          <w:color w:val="000000" w:themeColor="text1"/>
        </w:rPr>
        <w:t>EDV</w:t>
      </w:r>
      <w:r w:rsidR="001D3BEE" w:rsidRPr="00393754">
        <w:rPr>
          <w:color w:val="000000" w:themeColor="text1"/>
        </w:rPr>
        <w:t xml:space="preserve"> </w:t>
      </w:r>
      <w:r w:rsidR="001D3BEE" w:rsidRPr="00393754">
        <w:rPr>
          <w:color w:val="000000" w:themeColor="text1"/>
          <w:sz w:val="16"/>
          <w:szCs w:val="16"/>
        </w:rPr>
        <w:t>(Expected Down side Value)</w:t>
      </w:r>
      <w:r w:rsidRPr="00393754">
        <w:rPr>
          <w:color w:val="000000" w:themeColor="text1"/>
        </w:rPr>
        <w:tab/>
      </w:r>
      <w:r w:rsidRPr="00393754">
        <w:rPr>
          <w:color w:val="000000" w:themeColor="text1"/>
        </w:rPr>
        <w:tab/>
        <w:t>(Normal market situations)</w:t>
      </w:r>
    </w:p>
    <w:p w14:paraId="30606412" w14:textId="77777777" w:rsidR="009C3FE6" w:rsidRPr="00393754" w:rsidRDefault="009C3FE6" w:rsidP="009C3FE6">
      <w:pPr>
        <w:ind w:left="1418"/>
        <w:rPr>
          <w:color w:val="000000" w:themeColor="text1"/>
          <w:lang w:val="en-US"/>
        </w:rPr>
      </w:pPr>
    </w:p>
    <w:p w14:paraId="7CEBD0F1" w14:textId="2EAE3434" w:rsidR="009C3FE6" w:rsidRPr="00393754" w:rsidRDefault="009C3FE6" w:rsidP="009C3FE6">
      <w:pPr>
        <w:ind w:left="1418"/>
        <w:rPr>
          <w:color w:val="000000" w:themeColor="text1"/>
          <w:lang w:val="en-US"/>
        </w:rPr>
      </w:pPr>
      <w:r w:rsidRPr="00393754">
        <w:rPr>
          <w:color w:val="000000" w:themeColor="text1"/>
          <w:lang w:val="en-US"/>
        </w:rPr>
        <w:t>Credit Rating</w:t>
      </w:r>
      <w:r w:rsidRPr="00393754">
        <w:rPr>
          <w:color w:val="000000" w:themeColor="text1"/>
          <w:lang w:val="en-US"/>
        </w:rPr>
        <w:tab/>
      </w:r>
      <w:r w:rsidR="001D3BEE" w:rsidRPr="00393754">
        <w:rPr>
          <w:color w:val="000000" w:themeColor="text1"/>
          <w:lang w:val="en-US"/>
        </w:rPr>
        <w:tab/>
      </w:r>
      <w:r w:rsidR="001D3BEE" w:rsidRPr="00393754">
        <w:rPr>
          <w:color w:val="000000" w:themeColor="text1"/>
          <w:lang w:val="en-US"/>
        </w:rPr>
        <w:tab/>
      </w:r>
      <w:r w:rsidR="001D3BEE" w:rsidRPr="00393754">
        <w:rPr>
          <w:color w:val="000000" w:themeColor="text1"/>
          <w:lang w:val="en-US"/>
        </w:rPr>
        <w:tab/>
      </w:r>
      <w:r w:rsidRPr="00393754">
        <w:rPr>
          <w:color w:val="000000" w:themeColor="text1"/>
          <w:lang w:val="en-US"/>
        </w:rPr>
        <w:t>(Issuer and guarantor risk)</w:t>
      </w:r>
    </w:p>
    <w:p w14:paraId="7DBB958C" w14:textId="77777777" w:rsidR="009C3FE6" w:rsidRPr="00393754" w:rsidRDefault="009C3FE6" w:rsidP="009C3FE6">
      <w:pPr>
        <w:rPr>
          <w:color w:val="000000" w:themeColor="text1"/>
          <w:lang w:val="en-US"/>
        </w:rPr>
      </w:pPr>
    </w:p>
    <w:p w14:paraId="2065208F" w14:textId="429B636C" w:rsidR="009C3FE6" w:rsidRPr="00393754" w:rsidRDefault="009C3FE6" w:rsidP="00434753">
      <w:pPr>
        <w:pStyle w:val="ListParagraph"/>
        <w:numPr>
          <w:ilvl w:val="0"/>
          <w:numId w:val="38"/>
        </w:numPr>
        <w:rPr>
          <w:color w:val="000000" w:themeColor="text1"/>
        </w:rPr>
      </w:pPr>
      <w:r w:rsidRPr="00393754">
        <w:rPr>
          <w:color w:val="000000" w:themeColor="text1"/>
          <w:lang w:val="en-US"/>
        </w:rPr>
        <w:t xml:space="preserve">SPIS suggested risk disclosure: See figure </w:t>
      </w:r>
      <w:r w:rsidR="00912B3E" w:rsidRPr="00393754">
        <w:rPr>
          <w:color w:val="000000" w:themeColor="text1"/>
          <w:lang w:val="en-US"/>
        </w:rPr>
        <w:t>below</w:t>
      </w:r>
      <w:r w:rsidRPr="00393754">
        <w:rPr>
          <w:color w:val="000000" w:themeColor="text1"/>
          <w:lang w:val="en-US"/>
        </w:rPr>
        <w:t>.</w:t>
      </w:r>
      <w:r w:rsidR="00912B3E" w:rsidRPr="00393754">
        <w:rPr>
          <w:color w:val="000000" w:themeColor="text1"/>
          <w:lang w:val="en-US"/>
        </w:rPr>
        <w:t xml:space="preserve"> </w:t>
      </w:r>
      <w:r w:rsidR="005A0F9B" w:rsidRPr="00393754">
        <w:rPr>
          <w:color w:val="000000" w:themeColor="text1"/>
          <w:lang w:val="en-US"/>
        </w:rPr>
        <w:t>For more detailed information about the met</w:t>
      </w:r>
      <w:r w:rsidR="005A0F9B" w:rsidRPr="00393754">
        <w:rPr>
          <w:color w:val="000000" w:themeColor="text1"/>
          <w:lang w:val="en-US"/>
        </w:rPr>
        <w:t>h</w:t>
      </w:r>
      <w:r w:rsidR="005A0F9B" w:rsidRPr="00393754">
        <w:rPr>
          <w:color w:val="000000" w:themeColor="text1"/>
          <w:lang w:val="en-US"/>
        </w:rPr>
        <w:t>odology for this model, see attached document describing the model</w:t>
      </w:r>
      <w:r w:rsidR="00434753" w:rsidRPr="00393754">
        <w:rPr>
          <w:color w:val="000000" w:themeColor="text1"/>
          <w:lang w:val="en-US"/>
        </w:rPr>
        <w:t xml:space="preserve"> </w:t>
      </w:r>
      <w:r w:rsidR="00434753" w:rsidRPr="00393754">
        <w:rPr>
          <w:color w:val="000000" w:themeColor="text1"/>
        </w:rPr>
        <w:t>(“SSDA’s Risk Indicator Methodology”).</w:t>
      </w:r>
    </w:p>
    <w:p w14:paraId="1C07716F" w14:textId="77777777" w:rsidR="006D3F4A" w:rsidRPr="00393754" w:rsidRDefault="006D3F4A" w:rsidP="006D3F4A">
      <w:pPr>
        <w:pStyle w:val="ListParagraph"/>
        <w:rPr>
          <w:color w:val="000000" w:themeColor="text1"/>
          <w:lang w:val="en-US"/>
        </w:rPr>
      </w:pPr>
    </w:p>
    <w:p w14:paraId="629EDBCC" w14:textId="77777777" w:rsidR="009C3FE6" w:rsidRDefault="009C3FE6" w:rsidP="009C3FE6">
      <w:pPr>
        <w:rPr>
          <w:lang w:val="en-US"/>
        </w:rPr>
      </w:pPr>
      <w:r>
        <w:rPr>
          <w:noProof/>
          <w:lang w:val="en-US" w:eastAsia="en-US"/>
        </w:rPr>
        <w:lastRenderedPageBreak/>
        <w:drawing>
          <wp:inline distT="0" distB="0" distL="0" distR="0" wp14:anchorId="5C29721A" wp14:editId="3D0B3593">
            <wp:extent cx="4772025" cy="2252342"/>
            <wp:effectExtent l="0" t="0" r="0" b="0"/>
            <wp:docPr id="8" name="Bildobjekt 3" descr="cid:image001.png@01D00FD9.27265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cid:image001.png@01D00FD9.27265D9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779707" cy="2255968"/>
                    </a:xfrm>
                    <a:prstGeom prst="rect">
                      <a:avLst/>
                    </a:prstGeom>
                    <a:noFill/>
                    <a:ln>
                      <a:noFill/>
                    </a:ln>
                  </pic:spPr>
                </pic:pic>
              </a:graphicData>
            </a:graphic>
          </wp:inline>
        </w:drawing>
      </w:r>
    </w:p>
    <w:p w14:paraId="036316C0" w14:textId="77777777" w:rsidR="009C3FE6" w:rsidRPr="007702A1" w:rsidRDefault="009C3FE6" w:rsidP="009C3FE6">
      <w:pPr>
        <w:rPr>
          <w:color w:val="FF0000"/>
          <w:lang w:val="en-US"/>
        </w:rPr>
      </w:pPr>
    </w:p>
    <w:permEnd w:id="623519156"/>
    <w:p w14:paraId="514AA406" w14:textId="77777777" w:rsidR="00F31E57" w:rsidRDefault="00F31E57" w:rsidP="00F31E57">
      <w:r>
        <w:t>&lt;ESMA_QUESTION_PRIIPs_12&gt;</w:t>
      </w:r>
    </w:p>
    <w:p w14:paraId="37836CF8"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potential use of a two-level indicator. What kind of differentiators should be set both for the first level and the second level of such an indicator? </w:t>
      </w:r>
    </w:p>
    <w:p w14:paraId="47F84A6C" w14:textId="77777777" w:rsidR="00F31E57" w:rsidRDefault="00F31E57" w:rsidP="00F31E57"/>
    <w:p w14:paraId="1B4BF365" w14:textId="77777777" w:rsidR="00F31E57" w:rsidRDefault="00F31E57" w:rsidP="00F31E57">
      <w:r>
        <w:t>&lt;ESMA_QUESTION_PRIIPs_13&gt;</w:t>
      </w:r>
    </w:p>
    <w:p w14:paraId="63F795AA" w14:textId="77777777" w:rsidR="008806E3" w:rsidRDefault="008806E3" w:rsidP="008806E3">
      <w:pPr>
        <w:rPr>
          <w:color w:val="FF0000"/>
          <w:lang w:val="en-US"/>
        </w:rPr>
      </w:pPr>
      <w:permStart w:id="239861809" w:edGrp="everyone"/>
    </w:p>
    <w:p w14:paraId="7C52AAC4" w14:textId="5E0EAEA8" w:rsidR="00EC0BF9" w:rsidRPr="00393754" w:rsidRDefault="00CB0870" w:rsidP="00082AB8">
      <w:pPr>
        <w:pStyle w:val="ListParagraph"/>
        <w:numPr>
          <w:ilvl w:val="0"/>
          <w:numId w:val="38"/>
        </w:numPr>
        <w:rPr>
          <w:color w:val="000000" w:themeColor="text1"/>
          <w:lang w:val="en-US"/>
        </w:rPr>
      </w:pPr>
      <w:r w:rsidRPr="00393754">
        <w:rPr>
          <w:color w:val="000000" w:themeColor="text1"/>
          <w:lang w:val="en-US"/>
        </w:rPr>
        <w:t xml:space="preserve">The </w:t>
      </w:r>
      <w:r w:rsidR="00AA2D09" w:rsidRPr="00393754">
        <w:rPr>
          <w:color w:val="000000" w:themeColor="text1"/>
          <w:lang w:val="en-US"/>
        </w:rPr>
        <w:t>SSDA believes that the market,</w:t>
      </w:r>
      <w:r w:rsidR="00082AB8" w:rsidRPr="00393754">
        <w:rPr>
          <w:color w:val="000000" w:themeColor="text1"/>
          <w:lang w:val="en-US"/>
        </w:rPr>
        <w:t xml:space="preserve"> credit and liquidity risks are the most essential risks that need to be addressed in the risk indicator as previously advised with respect to quantitative and qualit</w:t>
      </w:r>
      <w:r w:rsidR="00082AB8" w:rsidRPr="00393754">
        <w:rPr>
          <w:color w:val="000000" w:themeColor="text1"/>
          <w:lang w:val="en-US"/>
        </w:rPr>
        <w:t>a</w:t>
      </w:r>
      <w:r w:rsidR="00082AB8" w:rsidRPr="00393754">
        <w:rPr>
          <w:color w:val="000000" w:themeColor="text1"/>
          <w:lang w:val="en-US"/>
        </w:rPr>
        <w:t xml:space="preserve">tive approaches. </w:t>
      </w:r>
    </w:p>
    <w:p w14:paraId="3FA531B4" w14:textId="77777777" w:rsidR="00EC0BF9" w:rsidRPr="00393754" w:rsidRDefault="00EC0BF9" w:rsidP="00EC0BF9">
      <w:pPr>
        <w:pStyle w:val="ListParagraph"/>
        <w:rPr>
          <w:color w:val="000000" w:themeColor="text1"/>
          <w:lang w:val="en-US"/>
        </w:rPr>
      </w:pPr>
    </w:p>
    <w:p w14:paraId="25A784F4" w14:textId="744F3BE5" w:rsidR="00434753" w:rsidRPr="00393754" w:rsidRDefault="00CB0870" w:rsidP="00434753">
      <w:pPr>
        <w:pStyle w:val="ListParagraph"/>
        <w:numPr>
          <w:ilvl w:val="0"/>
          <w:numId w:val="38"/>
        </w:numPr>
        <w:rPr>
          <w:color w:val="000000" w:themeColor="text1"/>
        </w:rPr>
      </w:pPr>
      <w:r w:rsidRPr="00393754">
        <w:rPr>
          <w:color w:val="000000" w:themeColor="text1"/>
          <w:lang w:val="en-US"/>
        </w:rPr>
        <w:t xml:space="preserve">The </w:t>
      </w:r>
      <w:r w:rsidR="00434753" w:rsidRPr="00393754">
        <w:rPr>
          <w:color w:val="000000" w:themeColor="text1"/>
        </w:rPr>
        <w:t>SSDA further believes that option 4 is merely a potential overlay on top of a more detailed model where an initial layer of less granular classification can be conducted on top, such as the distin</w:t>
      </w:r>
      <w:r w:rsidR="00434753" w:rsidRPr="00393754">
        <w:rPr>
          <w:color w:val="000000" w:themeColor="text1"/>
        </w:rPr>
        <w:t>c</w:t>
      </w:r>
      <w:r w:rsidR="00434753" w:rsidRPr="00393754">
        <w:rPr>
          <w:color w:val="000000" w:themeColor="text1"/>
        </w:rPr>
        <w:t xml:space="preserve">tion between capital guarantees versus non-capital guarantee PRIIP. </w:t>
      </w:r>
    </w:p>
    <w:p w14:paraId="16C2992F" w14:textId="77777777" w:rsidR="008806E3" w:rsidRPr="00393754" w:rsidRDefault="008806E3" w:rsidP="008806E3">
      <w:pPr>
        <w:rPr>
          <w:color w:val="000000" w:themeColor="text1"/>
          <w:lang w:val="en-US"/>
        </w:rPr>
      </w:pPr>
    </w:p>
    <w:permEnd w:id="239861809"/>
    <w:p w14:paraId="63B20FA7" w14:textId="77777777" w:rsidR="00F31E57" w:rsidRDefault="00F31E57" w:rsidP="00F31E57">
      <w:r>
        <w:t>&lt;ESMA_QUESTION_PRIIPs_13&gt;</w:t>
      </w:r>
    </w:p>
    <w:p w14:paraId="410F717B"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suggestions or concrete proposals on which risk scale to use and where or how the cut-off points should be determined?</w:t>
      </w:r>
    </w:p>
    <w:p w14:paraId="0881402C" w14:textId="77777777" w:rsidR="00F31E57" w:rsidRDefault="00F31E57" w:rsidP="00F31E57"/>
    <w:p w14:paraId="61878C35" w14:textId="77777777" w:rsidR="00F31E57" w:rsidRDefault="00F31E57" w:rsidP="00F31E57">
      <w:r>
        <w:t>&lt;ESMA_QUESTION_PRIIPs_14&gt;</w:t>
      </w:r>
    </w:p>
    <w:p w14:paraId="2C3F2157" w14:textId="77777777" w:rsidR="007F450C" w:rsidRDefault="007F450C" w:rsidP="00F31E57">
      <w:permStart w:id="116008782" w:edGrp="everyone"/>
    </w:p>
    <w:p w14:paraId="251D3E82" w14:textId="78377130" w:rsidR="00621B96" w:rsidRPr="00393754" w:rsidRDefault="00CB0870" w:rsidP="006B2A9F">
      <w:pPr>
        <w:pStyle w:val="ListParagraph"/>
        <w:numPr>
          <w:ilvl w:val="0"/>
          <w:numId w:val="62"/>
        </w:numPr>
        <w:rPr>
          <w:color w:val="000000" w:themeColor="text1"/>
        </w:rPr>
      </w:pPr>
      <w:r w:rsidRPr="00393754">
        <w:rPr>
          <w:color w:val="000000" w:themeColor="text1"/>
          <w:lang w:val="en-US"/>
        </w:rPr>
        <w:t xml:space="preserve">The </w:t>
      </w:r>
      <w:r w:rsidR="00695076" w:rsidRPr="00393754">
        <w:rPr>
          <w:color w:val="000000" w:themeColor="text1"/>
        </w:rPr>
        <w:t xml:space="preserve">SSDA </w:t>
      </w:r>
      <w:r w:rsidRPr="00393754">
        <w:rPr>
          <w:color w:val="000000" w:themeColor="text1"/>
        </w:rPr>
        <w:t>is</w:t>
      </w:r>
      <w:r w:rsidR="00621B96" w:rsidRPr="00393754">
        <w:rPr>
          <w:color w:val="000000" w:themeColor="text1"/>
        </w:rPr>
        <w:t xml:space="preserve"> in favour of implementing a model – a risk indicator – for PRIIPs that is comparable with the UCITS risk indicator both in terms of methodology and presentation using the same 1-7 scale.</w:t>
      </w:r>
    </w:p>
    <w:p w14:paraId="3C3F6E58" w14:textId="77777777" w:rsidR="00621B96" w:rsidRPr="00393754" w:rsidRDefault="00621B96" w:rsidP="00621B96">
      <w:pPr>
        <w:pStyle w:val="ListParagraph"/>
        <w:rPr>
          <w:color w:val="000000" w:themeColor="text1"/>
        </w:rPr>
      </w:pPr>
    </w:p>
    <w:p w14:paraId="1CE70B0D" w14:textId="6C67EB12" w:rsidR="00434753" w:rsidRPr="00393754" w:rsidRDefault="00434753" w:rsidP="00434753">
      <w:pPr>
        <w:pStyle w:val="ListParagraph"/>
        <w:numPr>
          <w:ilvl w:val="0"/>
          <w:numId w:val="62"/>
        </w:numPr>
        <w:rPr>
          <w:color w:val="000000" w:themeColor="text1"/>
        </w:rPr>
      </w:pPr>
      <w:r w:rsidRPr="00393754">
        <w:rPr>
          <w:color w:val="000000" w:themeColor="text1"/>
        </w:rPr>
        <w:t>We believe</w:t>
      </w:r>
      <w:r w:rsidR="00695076" w:rsidRPr="00393754">
        <w:rPr>
          <w:color w:val="000000" w:themeColor="text1"/>
        </w:rPr>
        <w:t>s</w:t>
      </w:r>
      <w:r w:rsidRPr="00393754">
        <w:rPr>
          <w:color w:val="000000" w:themeColor="text1"/>
        </w:rPr>
        <w:t xml:space="preserve"> that the UCITS 1-7 risk scale has sufficient granularity to differentiate properly the di</w:t>
      </w:r>
      <w:r w:rsidRPr="00393754">
        <w:rPr>
          <w:color w:val="000000" w:themeColor="text1"/>
        </w:rPr>
        <w:t>f</w:t>
      </w:r>
      <w:r w:rsidRPr="00393754">
        <w:rPr>
          <w:color w:val="000000" w:themeColor="text1"/>
        </w:rPr>
        <w:t xml:space="preserve">ferent PRIIPs, however SSDA has the opinion that the cut-off “buckets” in the risk scale needs to be reviewed and harmonised to fit with the new PRIIPs risk indicator. </w:t>
      </w:r>
    </w:p>
    <w:p w14:paraId="4EA175ED" w14:textId="77777777" w:rsidR="003D7A0B" w:rsidRPr="00393754" w:rsidRDefault="003D7A0B" w:rsidP="003D7A0B">
      <w:pPr>
        <w:pStyle w:val="ListParagraph"/>
        <w:rPr>
          <w:color w:val="000000" w:themeColor="text1"/>
        </w:rPr>
      </w:pPr>
    </w:p>
    <w:p w14:paraId="0DB06E0D" w14:textId="01FE33DB" w:rsidR="00621B96" w:rsidRPr="00393754" w:rsidRDefault="00CB0870" w:rsidP="00434753">
      <w:pPr>
        <w:pStyle w:val="ListParagraph"/>
        <w:numPr>
          <w:ilvl w:val="0"/>
          <w:numId w:val="38"/>
        </w:numPr>
        <w:rPr>
          <w:color w:val="000000" w:themeColor="text1"/>
        </w:rPr>
      </w:pPr>
      <w:r w:rsidRPr="00393754">
        <w:rPr>
          <w:color w:val="000000" w:themeColor="text1"/>
          <w:lang w:val="en-US"/>
        </w:rPr>
        <w:t xml:space="preserve">The </w:t>
      </w:r>
      <w:r w:rsidR="00621B96" w:rsidRPr="00393754">
        <w:rPr>
          <w:color w:val="000000" w:themeColor="text1"/>
        </w:rPr>
        <w:t>SSDA proposes that the SSDA</w:t>
      </w:r>
      <w:r w:rsidR="00AA2D09" w:rsidRPr="00393754">
        <w:rPr>
          <w:color w:val="000000" w:themeColor="text1"/>
        </w:rPr>
        <w:t>’</w:t>
      </w:r>
      <w:r w:rsidR="00621B96" w:rsidRPr="00393754">
        <w:rPr>
          <w:color w:val="000000" w:themeColor="text1"/>
        </w:rPr>
        <w:t xml:space="preserve">s risk </w:t>
      </w:r>
      <w:r w:rsidR="00AA2D09" w:rsidRPr="00393754">
        <w:rPr>
          <w:color w:val="000000" w:themeColor="text1"/>
        </w:rPr>
        <w:t>disclosure model should be used.</w:t>
      </w:r>
      <w:r w:rsidR="00621B96" w:rsidRPr="00393754">
        <w:rPr>
          <w:color w:val="000000" w:themeColor="text1"/>
        </w:rPr>
        <w:t xml:space="preserve"> </w:t>
      </w:r>
      <w:r w:rsidR="005A0F9B" w:rsidRPr="00393754">
        <w:rPr>
          <w:color w:val="000000" w:themeColor="text1"/>
          <w:lang w:val="en-US"/>
        </w:rPr>
        <w:t>For more detailed i</w:t>
      </w:r>
      <w:r w:rsidR="005A0F9B" w:rsidRPr="00393754">
        <w:rPr>
          <w:color w:val="000000" w:themeColor="text1"/>
          <w:lang w:val="en-US"/>
        </w:rPr>
        <w:t>n</w:t>
      </w:r>
      <w:r w:rsidR="005A0F9B" w:rsidRPr="00393754">
        <w:rPr>
          <w:color w:val="000000" w:themeColor="text1"/>
          <w:lang w:val="en-US"/>
        </w:rPr>
        <w:t>formation about the methodology for this model, see attached document describing the model</w:t>
      </w:r>
      <w:r w:rsidR="00434753" w:rsidRPr="00393754">
        <w:rPr>
          <w:color w:val="000000" w:themeColor="text1"/>
          <w:lang w:val="en-US"/>
        </w:rPr>
        <w:t xml:space="preserve"> </w:t>
      </w:r>
      <w:r w:rsidR="00434753" w:rsidRPr="00393754">
        <w:rPr>
          <w:color w:val="000000" w:themeColor="text1"/>
        </w:rPr>
        <w:t>(“SSDA’s Risk Indicator Methodology”)</w:t>
      </w:r>
      <w:r w:rsidR="005A0F9B" w:rsidRPr="00393754">
        <w:rPr>
          <w:color w:val="000000" w:themeColor="text1"/>
          <w:lang w:val="en-US"/>
        </w:rPr>
        <w:t>.</w:t>
      </w:r>
    </w:p>
    <w:p w14:paraId="400023C7" w14:textId="77777777" w:rsidR="005A0F9B" w:rsidRPr="00393754" w:rsidRDefault="005A0F9B" w:rsidP="005A0F9B">
      <w:pPr>
        <w:pStyle w:val="ListParagraph"/>
        <w:rPr>
          <w:color w:val="000000" w:themeColor="text1"/>
          <w:lang w:val="en-US"/>
        </w:rPr>
      </w:pPr>
    </w:p>
    <w:permEnd w:id="116008782"/>
    <w:p w14:paraId="25014D6E" w14:textId="77777777" w:rsidR="00F31E57" w:rsidRDefault="00F31E57" w:rsidP="00F31E57">
      <w:r>
        <w:t>&lt;ESMA_QUESTION_PRIIPs_14&gt;</w:t>
      </w:r>
    </w:p>
    <w:p w14:paraId="3E0446EF"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express your views on the assessment described above and the relative relevance of the different criteria that may be considered.</w:t>
      </w:r>
    </w:p>
    <w:p w14:paraId="45220DB9" w14:textId="77777777" w:rsidR="00F31E57" w:rsidRDefault="00F31E57" w:rsidP="00F31E57"/>
    <w:p w14:paraId="46755650" w14:textId="77777777" w:rsidR="00F31E57" w:rsidRDefault="00F31E57" w:rsidP="00F31E57">
      <w:r>
        <w:t>&lt;ESMA_QUESTION_PRIIPs_15&gt;</w:t>
      </w:r>
    </w:p>
    <w:p w14:paraId="5E277A75" w14:textId="77777777" w:rsidR="005E2B23" w:rsidRPr="005578A7" w:rsidRDefault="005E2B23" w:rsidP="00F31E57">
      <w:pPr>
        <w:rPr>
          <w:color w:val="FF0000"/>
        </w:rPr>
      </w:pPr>
      <w:permStart w:id="1327135643" w:edGrp="everyone"/>
    </w:p>
    <w:p w14:paraId="107E1D1C" w14:textId="1017FDF3" w:rsidR="005E2B23" w:rsidRPr="00393754" w:rsidRDefault="00CB0870" w:rsidP="00D2302C">
      <w:pPr>
        <w:pStyle w:val="ListParagraph"/>
        <w:numPr>
          <w:ilvl w:val="0"/>
          <w:numId w:val="40"/>
        </w:numPr>
        <w:rPr>
          <w:color w:val="000000" w:themeColor="text1"/>
        </w:rPr>
      </w:pPr>
      <w:r w:rsidRPr="00393754">
        <w:rPr>
          <w:color w:val="000000" w:themeColor="text1"/>
          <w:lang w:val="en-US"/>
        </w:rPr>
        <w:t xml:space="preserve">The </w:t>
      </w:r>
      <w:r w:rsidR="005E2B23" w:rsidRPr="00393754">
        <w:rPr>
          <w:color w:val="000000" w:themeColor="text1"/>
        </w:rPr>
        <w:t xml:space="preserve">SSDA supports an approach using hypothetical scenarios and not </w:t>
      </w:r>
      <w:r w:rsidR="005578A7" w:rsidRPr="00393754">
        <w:rPr>
          <w:color w:val="000000" w:themeColor="text1"/>
        </w:rPr>
        <w:t xml:space="preserve">probabilistic scenarios. The approach provides a clear explanation about how the product works. </w:t>
      </w:r>
    </w:p>
    <w:p w14:paraId="06A062A7" w14:textId="77777777" w:rsidR="00631495" w:rsidRPr="00393754" w:rsidRDefault="00631495" w:rsidP="00631495">
      <w:pPr>
        <w:pStyle w:val="ListParagraph"/>
        <w:rPr>
          <w:color w:val="000000" w:themeColor="text1"/>
        </w:rPr>
      </w:pPr>
    </w:p>
    <w:p w14:paraId="51F548E7" w14:textId="4A13FFBB" w:rsidR="00631495" w:rsidRPr="00393754" w:rsidRDefault="00CB0870" w:rsidP="005439B7">
      <w:pPr>
        <w:pStyle w:val="ListParagraph"/>
        <w:numPr>
          <w:ilvl w:val="0"/>
          <w:numId w:val="40"/>
        </w:numPr>
        <w:rPr>
          <w:color w:val="000000" w:themeColor="text1"/>
        </w:rPr>
      </w:pPr>
      <w:r w:rsidRPr="00393754">
        <w:rPr>
          <w:color w:val="000000" w:themeColor="text1"/>
          <w:lang w:val="en-US"/>
        </w:rPr>
        <w:t xml:space="preserve">The </w:t>
      </w:r>
      <w:r w:rsidR="00631495" w:rsidRPr="00393754">
        <w:rPr>
          <w:color w:val="000000" w:themeColor="text1"/>
        </w:rPr>
        <w:t>SSDA believes that most relevant criteria for a performance scenario are the illustrative pu</w:t>
      </w:r>
      <w:r w:rsidR="00631495" w:rsidRPr="00393754">
        <w:rPr>
          <w:color w:val="000000" w:themeColor="text1"/>
        </w:rPr>
        <w:t>r</w:t>
      </w:r>
      <w:r w:rsidR="00631495" w:rsidRPr="00393754">
        <w:rPr>
          <w:color w:val="000000" w:themeColor="text1"/>
        </w:rPr>
        <w:t>pose. For structured products, scenarios should help the client</w:t>
      </w:r>
      <w:r w:rsidR="00E271F6" w:rsidRPr="00393754">
        <w:rPr>
          <w:color w:val="000000" w:themeColor="text1"/>
        </w:rPr>
        <w:t xml:space="preserve"> to</w:t>
      </w:r>
      <w:r w:rsidR="00631495" w:rsidRPr="00393754">
        <w:rPr>
          <w:color w:val="000000" w:themeColor="text1"/>
        </w:rPr>
        <w:t xml:space="preserve"> understand how the product works and how ret</w:t>
      </w:r>
      <w:r w:rsidR="005439B7" w:rsidRPr="00393754">
        <w:rPr>
          <w:color w:val="000000" w:themeColor="text1"/>
        </w:rPr>
        <w:t>urns are calculated. T</w:t>
      </w:r>
      <w:r w:rsidR="00631495" w:rsidRPr="00393754">
        <w:rPr>
          <w:color w:val="000000" w:themeColor="text1"/>
        </w:rPr>
        <w:t>he “</w:t>
      </w:r>
      <w:r w:rsidR="005439B7" w:rsidRPr="00393754">
        <w:rPr>
          <w:color w:val="000000" w:themeColor="text1"/>
        </w:rPr>
        <w:t>w</w:t>
      </w:r>
      <w:r w:rsidR="00631495" w:rsidRPr="00393754">
        <w:rPr>
          <w:color w:val="000000" w:themeColor="text1"/>
        </w:rPr>
        <w:t xml:space="preserve">hat-if </w:t>
      </w:r>
      <w:r w:rsidR="005439B7" w:rsidRPr="00393754">
        <w:rPr>
          <w:color w:val="000000" w:themeColor="text1"/>
        </w:rPr>
        <w:t>manufacturers choice</w:t>
      </w:r>
      <w:r w:rsidR="00631495" w:rsidRPr="00393754">
        <w:rPr>
          <w:color w:val="000000" w:themeColor="text1"/>
        </w:rPr>
        <w:t xml:space="preserve">” is </w:t>
      </w:r>
      <w:r w:rsidR="005439B7" w:rsidRPr="00393754">
        <w:rPr>
          <w:color w:val="000000" w:themeColor="text1"/>
        </w:rPr>
        <w:t xml:space="preserve">therefor </w:t>
      </w:r>
      <w:r w:rsidR="00631495" w:rsidRPr="00393754">
        <w:rPr>
          <w:color w:val="000000" w:themeColor="text1"/>
        </w:rPr>
        <w:t xml:space="preserve">the most suitable. </w:t>
      </w:r>
    </w:p>
    <w:p w14:paraId="49FAB483" w14:textId="77777777" w:rsidR="00631495" w:rsidRPr="00393754" w:rsidRDefault="00631495" w:rsidP="00631495">
      <w:pPr>
        <w:rPr>
          <w:color w:val="000000" w:themeColor="text1"/>
        </w:rPr>
      </w:pPr>
    </w:p>
    <w:p w14:paraId="7EA8CF5B" w14:textId="4E6601E3" w:rsidR="00036383" w:rsidRPr="00393754" w:rsidRDefault="00CB0870" w:rsidP="00036383">
      <w:pPr>
        <w:pStyle w:val="ListParagraph"/>
        <w:numPr>
          <w:ilvl w:val="0"/>
          <w:numId w:val="40"/>
        </w:numPr>
        <w:rPr>
          <w:color w:val="000000" w:themeColor="text1"/>
        </w:rPr>
      </w:pPr>
      <w:r w:rsidRPr="00393754">
        <w:rPr>
          <w:color w:val="000000" w:themeColor="text1"/>
          <w:lang w:val="en-US"/>
        </w:rPr>
        <w:t xml:space="preserve">The </w:t>
      </w:r>
      <w:r w:rsidR="00036383" w:rsidRPr="00393754">
        <w:rPr>
          <w:color w:val="000000" w:themeColor="text1"/>
        </w:rPr>
        <w:t>SSDA does not support the use of probabilistic</w:t>
      </w:r>
      <w:r w:rsidR="00EB7016" w:rsidRPr="00393754">
        <w:rPr>
          <w:color w:val="000000" w:themeColor="text1"/>
        </w:rPr>
        <w:t xml:space="preserve"> scenarios</w:t>
      </w:r>
      <w:r w:rsidR="00036383" w:rsidRPr="00393754">
        <w:rPr>
          <w:color w:val="000000" w:themeColor="text1"/>
        </w:rPr>
        <w:t xml:space="preserve"> for the following reasons:</w:t>
      </w:r>
    </w:p>
    <w:p w14:paraId="3E3FF9EF" w14:textId="77777777" w:rsidR="00036383" w:rsidRPr="00393754" w:rsidRDefault="00036383" w:rsidP="00036383">
      <w:pPr>
        <w:pStyle w:val="ListParagraph"/>
        <w:rPr>
          <w:color w:val="000000" w:themeColor="text1"/>
        </w:rPr>
      </w:pPr>
    </w:p>
    <w:p w14:paraId="00251B92" w14:textId="5EDF11F4" w:rsidR="00631495" w:rsidRPr="00393754" w:rsidRDefault="00CB0870" w:rsidP="001B4EA1">
      <w:pPr>
        <w:pStyle w:val="ListParagraph"/>
        <w:numPr>
          <w:ilvl w:val="1"/>
          <w:numId w:val="40"/>
        </w:numPr>
        <w:rPr>
          <w:color w:val="000000" w:themeColor="text1"/>
        </w:rPr>
      </w:pPr>
      <w:r w:rsidRPr="00393754">
        <w:rPr>
          <w:color w:val="000000" w:themeColor="text1"/>
          <w:lang w:val="en-US"/>
        </w:rPr>
        <w:t xml:space="preserve">The </w:t>
      </w:r>
      <w:r w:rsidR="001B4EA1" w:rsidRPr="00393754">
        <w:rPr>
          <w:color w:val="000000" w:themeColor="text1"/>
        </w:rPr>
        <w:t xml:space="preserve">SSDA believes it’s incorrect to predict future performance based on historical data. </w:t>
      </w:r>
      <w:r w:rsidR="00036383" w:rsidRPr="00393754">
        <w:rPr>
          <w:color w:val="000000" w:themeColor="text1"/>
        </w:rPr>
        <w:t xml:space="preserve">Using probabilistic scenarios </w:t>
      </w:r>
      <w:r w:rsidR="001B4EA1" w:rsidRPr="00393754">
        <w:rPr>
          <w:color w:val="000000" w:themeColor="text1"/>
        </w:rPr>
        <w:t>could lead to retail investors building up expectations that are too optimistic and will end up with disappointment when the market don’t repeat itself nor pe</w:t>
      </w:r>
      <w:r w:rsidR="001B4EA1" w:rsidRPr="00393754">
        <w:rPr>
          <w:color w:val="000000" w:themeColor="text1"/>
        </w:rPr>
        <w:t>r</w:t>
      </w:r>
      <w:r w:rsidR="001B4EA1" w:rsidRPr="00393754">
        <w:rPr>
          <w:color w:val="000000" w:themeColor="text1"/>
        </w:rPr>
        <w:t>form in line with the manufacturers predictions.</w:t>
      </w:r>
    </w:p>
    <w:p w14:paraId="773040D7" w14:textId="77777777" w:rsidR="001B4EA1" w:rsidRPr="00393754" w:rsidRDefault="001B4EA1" w:rsidP="001B4EA1">
      <w:pPr>
        <w:pStyle w:val="ListParagraph"/>
        <w:ind w:left="1440"/>
        <w:rPr>
          <w:color w:val="000000" w:themeColor="text1"/>
        </w:rPr>
      </w:pPr>
    </w:p>
    <w:p w14:paraId="390333AD" w14:textId="3AA8928F" w:rsidR="00631495" w:rsidRPr="00393754" w:rsidRDefault="00631495" w:rsidP="00631495">
      <w:pPr>
        <w:pStyle w:val="ListParagraph"/>
        <w:numPr>
          <w:ilvl w:val="1"/>
          <w:numId w:val="40"/>
        </w:numPr>
        <w:rPr>
          <w:color w:val="000000" w:themeColor="text1"/>
        </w:rPr>
      </w:pPr>
      <w:r w:rsidRPr="00393754">
        <w:rPr>
          <w:color w:val="000000" w:themeColor="text1"/>
        </w:rPr>
        <w:t>M</w:t>
      </w:r>
      <w:r w:rsidR="00036383" w:rsidRPr="00393754">
        <w:rPr>
          <w:color w:val="000000" w:themeColor="text1"/>
        </w:rPr>
        <w:t>anufacturers of different PRIIP will make their own assumptions about the future and therefore enter different input parameters into the agreed mod</w:t>
      </w:r>
      <w:r w:rsidRPr="00393754">
        <w:rPr>
          <w:color w:val="000000" w:themeColor="text1"/>
        </w:rPr>
        <w:t>els for performance calcul</w:t>
      </w:r>
      <w:r w:rsidRPr="00393754">
        <w:rPr>
          <w:color w:val="000000" w:themeColor="text1"/>
        </w:rPr>
        <w:t>a</w:t>
      </w:r>
      <w:r w:rsidRPr="00393754">
        <w:rPr>
          <w:color w:val="000000" w:themeColor="text1"/>
        </w:rPr>
        <w:t>tion.</w:t>
      </w:r>
    </w:p>
    <w:p w14:paraId="2B91B94A" w14:textId="77777777" w:rsidR="005E2B23" w:rsidRDefault="005E2B23" w:rsidP="00F31E57"/>
    <w:permEnd w:id="1327135643"/>
    <w:p w14:paraId="3DB4C951" w14:textId="77777777" w:rsidR="00F31E57" w:rsidRDefault="00F31E57" w:rsidP="00F31E57">
      <w:r>
        <w:t>&lt;ESMA_QUESTION_PRIIPs_15&gt;</w:t>
      </w:r>
    </w:p>
    <w:p w14:paraId="5B9C039D"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these principles are sufficient to avoid the risks of manufactu</w:t>
      </w:r>
      <w:r>
        <w:t>r</w:t>
      </w:r>
      <w:r>
        <w:t>ers presenting a non-realistic performance picture of the product? Do you think that they should be reinforced?</w:t>
      </w:r>
    </w:p>
    <w:p w14:paraId="0B437A0D" w14:textId="77777777" w:rsidR="00F31E57" w:rsidRDefault="00F31E57" w:rsidP="00F31E57"/>
    <w:p w14:paraId="36ADFA4C" w14:textId="77777777" w:rsidR="00F31E57" w:rsidRDefault="00F31E57" w:rsidP="00F31E57">
      <w:r>
        <w:t>&lt;ESMA_QUESTION_PRIIPs_16&gt;</w:t>
      </w:r>
    </w:p>
    <w:p w14:paraId="3F054CAD" w14:textId="77777777" w:rsidR="005578A7" w:rsidRDefault="005578A7" w:rsidP="00F31E57">
      <w:permStart w:id="1771462578" w:edGrp="everyone"/>
    </w:p>
    <w:p w14:paraId="13AB9CFB" w14:textId="2EC0941C" w:rsidR="00966B12" w:rsidRPr="00393754" w:rsidRDefault="00CB0870" w:rsidP="00D2302C">
      <w:pPr>
        <w:pStyle w:val="ListParagraph"/>
        <w:numPr>
          <w:ilvl w:val="0"/>
          <w:numId w:val="39"/>
        </w:numPr>
        <w:rPr>
          <w:color w:val="000000" w:themeColor="text1"/>
        </w:rPr>
      </w:pPr>
      <w:r w:rsidRPr="00393754">
        <w:rPr>
          <w:color w:val="000000" w:themeColor="text1"/>
          <w:lang w:val="en-US"/>
        </w:rPr>
        <w:t xml:space="preserve">The </w:t>
      </w:r>
      <w:r w:rsidR="00966B12" w:rsidRPr="00393754">
        <w:rPr>
          <w:color w:val="000000" w:themeColor="text1"/>
        </w:rPr>
        <w:t xml:space="preserve">SSDA supports the “what-if manufacturers” approach since this gives </w:t>
      </w:r>
      <w:r w:rsidR="00AB5638" w:rsidRPr="00393754">
        <w:rPr>
          <w:color w:val="000000" w:themeColor="text1"/>
        </w:rPr>
        <w:t>flexibility</w:t>
      </w:r>
      <w:r w:rsidR="00966B12" w:rsidRPr="00393754">
        <w:rPr>
          <w:color w:val="000000" w:themeColor="text1"/>
        </w:rPr>
        <w:t xml:space="preserve"> to the man</w:t>
      </w:r>
      <w:r w:rsidR="00966B12" w:rsidRPr="00393754">
        <w:rPr>
          <w:color w:val="000000" w:themeColor="text1"/>
        </w:rPr>
        <w:t>u</w:t>
      </w:r>
      <w:r w:rsidR="00966B12" w:rsidRPr="00393754">
        <w:rPr>
          <w:color w:val="000000" w:themeColor="text1"/>
        </w:rPr>
        <w:t>factur</w:t>
      </w:r>
      <w:r w:rsidR="00E139EE" w:rsidRPr="00393754">
        <w:rPr>
          <w:color w:val="000000" w:themeColor="text1"/>
        </w:rPr>
        <w:t xml:space="preserve">er and believes that the </w:t>
      </w:r>
      <w:r w:rsidR="00EC2918" w:rsidRPr="00393754">
        <w:rPr>
          <w:color w:val="000000" w:themeColor="text1"/>
        </w:rPr>
        <w:t>guidelines of UCITS KII guidelines (Key Investor Information doc</w:t>
      </w:r>
      <w:r w:rsidR="00EC2918" w:rsidRPr="00393754">
        <w:rPr>
          <w:color w:val="000000" w:themeColor="text1"/>
        </w:rPr>
        <w:t>u</w:t>
      </w:r>
      <w:r w:rsidR="00EC2918" w:rsidRPr="00393754">
        <w:rPr>
          <w:color w:val="000000" w:themeColor="text1"/>
        </w:rPr>
        <w:t>ment (KII) for structured UCITS, the CESR Guidelines from 2010, http://www.esma.europa.eu/system/files/10_1318.pdf)</w:t>
      </w:r>
      <w:r w:rsidR="00E139EE" w:rsidRPr="00393754">
        <w:rPr>
          <w:color w:val="000000" w:themeColor="text1"/>
        </w:rPr>
        <w:t xml:space="preserve"> are appropriate for that approach.</w:t>
      </w:r>
    </w:p>
    <w:p w14:paraId="7AAFC2A7" w14:textId="77777777" w:rsidR="00966B12" w:rsidRPr="00393754" w:rsidRDefault="00966B12" w:rsidP="00966B12">
      <w:pPr>
        <w:pStyle w:val="ListParagraph"/>
        <w:rPr>
          <w:color w:val="000000" w:themeColor="text1"/>
        </w:rPr>
      </w:pPr>
    </w:p>
    <w:p w14:paraId="68C086AD" w14:textId="70287CED" w:rsidR="00966B12" w:rsidRPr="00393754" w:rsidRDefault="00F67160" w:rsidP="00D2302C">
      <w:pPr>
        <w:pStyle w:val="ListParagraph"/>
        <w:numPr>
          <w:ilvl w:val="0"/>
          <w:numId w:val="39"/>
        </w:numPr>
        <w:rPr>
          <w:color w:val="000000" w:themeColor="text1"/>
        </w:rPr>
      </w:pPr>
      <w:r w:rsidRPr="00393754">
        <w:rPr>
          <w:color w:val="000000" w:themeColor="text1"/>
        </w:rPr>
        <w:t xml:space="preserve">The preferred solution would </w:t>
      </w:r>
      <w:r w:rsidR="00E139EE" w:rsidRPr="00393754">
        <w:rPr>
          <w:color w:val="000000" w:themeColor="text1"/>
        </w:rPr>
        <w:t xml:space="preserve">therefor </w:t>
      </w:r>
      <w:r w:rsidRPr="00393754">
        <w:rPr>
          <w:color w:val="000000" w:themeColor="text1"/>
        </w:rPr>
        <w:t>be to replicate</w:t>
      </w:r>
      <w:r w:rsidR="00966B12" w:rsidRPr="00393754">
        <w:rPr>
          <w:color w:val="000000" w:themeColor="text1"/>
        </w:rPr>
        <w:t xml:space="preserve"> </w:t>
      </w:r>
      <w:r w:rsidRPr="00393754">
        <w:rPr>
          <w:color w:val="000000" w:themeColor="text1"/>
        </w:rPr>
        <w:t>UCITS guidelines on performanc</w:t>
      </w:r>
      <w:r w:rsidR="00E139EE" w:rsidRPr="00393754">
        <w:rPr>
          <w:color w:val="000000" w:themeColor="text1"/>
        </w:rPr>
        <w:t>e scenarios and do not see a need to reinforce them</w:t>
      </w:r>
      <w:r w:rsidRPr="00393754">
        <w:rPr>
          <w:color w:val="000000" w:themeColor="text1"/>
        </w:rPr>
        <w:t xml:space="preserve">. </w:t>
      </w:r>
    </w:p>
    <w:p w14:paraId="016508F2" w14:textId="77777777" w:rsidR="00621B96" w:rsidRPr="00393754" w:rsidRDefault="00621B96" w:rsidP="003D7A0B">
      <w:pPr>
        <w:rPr>
          <w:color w:val="000000" w:themeColor="text1"/>
          <w:lang w:val="en-US"/>
        </w:rPr>
      </w:pPr>
    </w:p>
    <w:p w14:paraId="5ED8D276" w14:textId="6B55EACC" w:rsidR="00621B96" w:rsidRPr="00393754" w:rsidRDefault="00621B96" w:rsidP="00621B96">
      <w:pPr>
        <w:pStyle w:val="ListParagraph"/>
        <w:numPr>
          <w:ilvl w:val="0"/>
          <w:numId w:val="39"/>
        </w:numPr>
        <w:rPr>
          <w:color w:val="000000" w:themeColor="text1"/>
          <w:lang w:val="en-US"/>
        </w:rPr>
      </w:pPr>
      <w:r w:rsidRPr="00393754">
        <w:rPr>
          <w:color w:val="000000" w:themeColor="text1"/>
          <w:lang w:val="en-US"/>
        </w:rPr>
        <w:t xml:space="preserve">A manufacturer in a PRIIP category must comply with the guideline for presenting performance </w:t>
      </w:r>
      <w:r w:rsidR="006B2A9F" w:rsidRPr="00393754">
        <w:rPr>
          <w:color w:val="000000" w:themeColor="text1"/>
          <w:lang w:val="en-US"/>
        </w:rPr>
        <w:t>scenarios</w:t>
      </w:r>
      <w:r w:rsidRPr="00393754">
        <w:rPr>
          <w:color w:val="000000" w:themeColor="text1"/>
          <w:lang w:val="en-US"/>
        </w:rPr>
        <w:t xml:space="preserve"> set by the Competent Authority. </w:t>
      </w:r>
    </w:p>
    <w:p w14:paraId="3F0EF194" w14:textId="77777777" w:rsidR="00621B96" w:rsidRPr="00393754" w:rsidRDefault="00621B96" w:rsidP="00621B96">
      <w:pPr>
        <w:pStyle w:val="ListParagraph"/>
        <w:rPr>
          <w:color w:val="000000" w:themeColor="text1"/>
          <w:lang w:val="en-US"/>
        </w:rPr>
      </w:pPr>
      <w:r w:rsidRPr="00393754">
        <w:rPr>
          <w:color w:val="000000" w:themeColor="text1"/>
          <w:lang w:val="en-US"/>
        </w:rPr>
        <w:t xml:space="preserve"> </w:t>
      </w:r>
    </w:p>
    <w:p w14:paraId="582C7736" w14:textId="1C14D4AD" w:rsidR="00621B96" w:rsidRPr="00393754" w:rsidRDefault="00621B96" w:rsidP="00621B96">
      <w:pPr>
        <w:pStyle w:val="ListParagraph"/>
        <w:numPr>
          <w:ilvl w:val="0"/>
          <w:numId w:val="39"/>
        </w:numPr>
        <w:rPr>
          <w:color w:val="000000" w:themeColor="text1"/>
          <w:lang w:val="en-US"/>
        </w:rPr>
      </w:pPr>
      <w:r w:rsidRPr="00393754">
        <w:rPr>
          <w:color w:val="000000" w:themeColor="text1"/>
          <w:lang w:val="en-US"/>
        </w:rPr>
        <w:t>The Competent Authority should monitor and conduct supervision that manufacturers comply with the guidelines.</w:t>
      </w:r>
    </w:p>
    <w:p w14:paraId="495B5D4B" w14:textId="60B07D5D" w:rsidR="005578A7" w:rsidRDefault="005578A7" w:rsidP="00621B96"/>
    <w:permEnd w:id="1771462578"/>
    <w:p w14:paraId="716AA8DA" w14:textId="77777777" w:rsidR="00F31E57" w:rsidRDefault="00F31E57" w:rsidP="00F31E57">
      <w:r>
        <w:t>&lt;ESMA_QUESTION_PRIIPs_16&gt;</w:t>
      </w:r>
    </w:p>
    <w:p w14:paraId="23DCB247"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the options presented would represent appropriate performance sc</w:t>
      </w:r>
      <w:r>
        <w:t>e</w:t>
      </w:r>
      <w:r>
        <w:t>narios? What other standardized scenarios may be fixed?</w:t>
      </w:r>
    </w:p>
    <w:p w14:paraId="64B003AA" w14:textId="77777777" w:rsidR="00F31E57" w:rsidRDefault="00F31E57" w:rsidP="00F31E57"/>
    <w:p w14:paraId="4F898199" w14:textId="77777777" w:rsidR="00F31E57" w:rsidRDefault="00F31E57" w:rsidP="00F31E57">
      <w:r>
        <w:t>&lt;ESMA_QUESTION_PRIIPs_17&gt;</w:t>
      </w:r>
    </w:p>
    <w:p w14:paraId="63034E1C" w14:textId="77777777" w:rsidR="0033550D" w:rsidRDefault="0033550D" w:rsidP="00F31E57">
      <w:permStart w:id="2032755771" w:edGrp="everyone"/>
    </w:p>
    <w:p w14:paraId="34C327F8" w14:textId="403F2FE1" w:rsidR="00AC7B24" w:rsidRPr="00393754" w:rsidRDefault="00AC7B24" w:rsidP="00AC7B24">
      <w:pPr>
        <w:pStyle w:val="ListParagraph"/>
        <w:numPr>
          <w:ilvl w:val="0"/>
          <w:numId w:val="40"/>
        </w:numPr>
        <w:rPr>
          <w:color w:val="000000" w:themeColor="text1"/>
          <w:lang w:val="en-US"/>
        </w:rPr>
      </w:pPr>
      <w:r w:rsidRPr="00393754">
        <w:rPr>
          <w:color w:val="000000" w:themeColor="text1"/>
          <w:lang w:val="en-US"/>
        </w:rPr>
        <w:lastRenderedPageBreak/>
        <w:t xml:space="preserve">Past performance is not a good indication for future performance. Therefor </w:t>
      </w:r>
      <w:r w:rsidR="00CB0870" w:rsidRPr="00393754">
        <w:rPr>
          <w:color w:val="000000" w:themeColor="text1"/>
          <w:lang w:val="en-US"/>
        </w:rPr>
        <w:t xml:space="preserve">the </w:t>
      </w:r>
      <w:r w:rsidRPr="00393754">
        <w:rPr>
          <w:color w:val="000000" w:themeColor="text1"/>
          <w:lang w:val="en-US"/>
        </w:rPr>
        <w:t>SSDA prefers o</w:t>
      </w:r>
      <w:r w:rsidRPr="00393754">
        <w:rPr>
          <w:color w:val="000000" w:themeColor="text1"/>
          <w:lang w:val="en-US"/>
        </w:rPr>
        <w:t>p</w:t>
      </w:r>
      <w:r w:rsidRPr="00393754">
        <w:rPr>
          <w:color w:val="000000" w:themeColor="text1"/>
          <w:lang w:val="en-US"/>
        </w:rPr>
        <w:t xml:space="preserve">tion b) for defining standard scenarios for PRIIPs. </w:t>
      </w:r>
    </w:p>
    <w:p w14:paraId="400CECF9" w14:textId="77777777" w:rsidR="00AC7B24" w:rsidRPr="00393754" w:rsidRDefault="00AC7B24" w:rsidP="00AC7B24">
      <w:pPr>
        <w:pStyle w:val="ListParagraph"/>
        <w:rPr>
          <w:color w:val="000000" w:themeColor="text1"/>
          <w:lang w:val="en-US"/>
        </w:rPr>
      </w:pPr>
    </w:p>
    <w:p w14:paraId="7D6BED65" w14:textId="77777777" w:rsidR="004D6C56" w:rsidRPr="00393754" w:rsidRDefault="00AC7B24" w:rsidP="00BB6948">
      <w:pPr>
        <w:pStyle w:val="ListParagraph"/>
        <w:numPr>
          <w:ilvl w:val="0"/>
          <w:numId w:val="40"/>
        </w:numPr>
        <w:rPr>
          <w:color w:val="000000" w:themeColor="text1"/>
          <w:lang w:val="en-US"/>
        </w:rPr>
      </w:pPr>
      <w:r w:rsidRPr="00393754">
        <w:rPr>
          <w:color w:val="000000" w:themeColor="text1"/>
          <w:lang w:val="en-US"/>
        </w:rPr>
        <w:t>Option b</w:t>
      </w:r>
      <w:r w:rsidR="005439B7" w:rsidRPr="00393754">
        <w:rPr>
          <w:color w:val="000000" w:themeColor="text1"/>
          <w:lang w:val="en-US"/>
        </w:rPr>
        <w:t>)</w:t>
      </w:r>
      <w:r w:rsidRPr="00393754">
        <w:rPr>
          <w:color w:val="000000" w:themeColor="text1"/>
          <w:lang w:val="en-US"/>
        </w:rPr>
        <w:t xml:space="preserve"> increases the ability to compare products between manufacturers.</w:t>
      </w:r>
    </w:p>
    <w:p w14:paraId="6D15485B" w14:textId="77777777" w:rsidR="008A03EA" w:rsidRPr="00393754" w:rsidRDefault="008A03EA" w:rsidP="008A03EA">
      <w:pPr>
        <w:pStyle w:val="ListParagraph"/>
        <w:rPr>
          <w:color w:val="000000" w:themeColor="text1"/>
          <w:lang w:val="en-US"/>
        </w:rPr>
      </w:pPr>
    </w:p>
    <w:p w14:paraId="5BA53CAB" w14:textId="531C9B83" w:rsidR="008A03EA" w:rsidRPr="00393754" w:rsidRDefault="00CB0870" w:rsidP="008A03EA">
      <w:pPr>
        <w:pStyle w:val="ListParagraph"/>
        <w:numPr>
          <w:ilvl w:val="0"/>
          <w:numId w:val="40"/>
        </w:numPr>
        <w:rPr>
          <w:color w:val="000000" w:themeColor="text1"/>
        </w:rPr>
      </w:pPr>
      <w:r w:rsidRPr="00393754">
        <w:rPr>
          <w:color w:val="000000" w:themeColor="text1"/>
          <w:lang w:val="en-US"/>
        </w:rPr>
        <w:t xml:space="preserve">The </w:t>
      </w:r>
      <w:r w:rsidR="008A03EA" w:rsidRPr="00393754">
        <w:rPr>
          <w:color w:val="000000" w:themeColor="text1"/>
        </w:rPr>
        <w:t>SSDA believes however that the level of prescription should not be too detailed in order to capture the characteristics of different products. S</w:t>
      </w:r>
      <w:r w:rsidR="008A03EA" w:rsidRPr="00393754">
        <w:rPr>
          <w:color w:val="000000" w:themeColor="text1"/>
          <w:lang w:val="en-US"/>
        </w:rPr>
        <w:t>etting a fixed growth rate of the underlying a</w:t>
      </w:r>
      <w:r w:rsidR="008A03EA" w:rsidRPr="00393754">
        <w:rPr>
          <w:color w:val="000000" w:themeColor="text1"/>
          <w:lang w:val="en-US"/>
        </w:rPr>
        <w:t>s</w:t>
      </w:r>
      <w:r w:rsidR="008A03EA" w:rsidRPr="00393754">
        <w:rPr>
          <w:color w:val="000000" w:themeColor="text1"/>
          <w:lang w:val="en-US"/>
        </w:rPr>
        <w:t xml:space="preserve">sets does not seem </w:t>
      </w:r>
      <w:r w:rsidR="00407274" w:rsidRPr="00393754">
        <w:rPr>
          <w:color w:val="000000" w:themeColor="text1"/>
          <w:lang w:val="en-US"/>
        </w:rPr>
        <w:t>appropriate,</w:t>
      </w:r>
      <w:r w:rsidR="008A03EA" w:rsidRPr="00393754">
        <w:rPr>
          <w:color w:val="000000" w:themeColor="text1"/>
          <w:lang w:val="en-US"/>
        </w:rPr>
        <w:t xml:space="preserve"> as the level of the rate needs to be adapted to the Pay-Off.</w:t>
      </w:r>
    </w:p>
    <w:p w14:paraId="646B083E" w14:textId="77777777" w:rsidR="00107DA2" w:rsidRPr="00393754" w:rsidRDefault="00107DA2" w:rsidP="001B4EA1">
      <w:pPr>
        <w:rPr>
          <w:color w:val="000000" w:themeColor="text1"/>
          <w:lang w:val="en-US"/>
        </w:rPr>
      </w:pPr>
    </w:p>
    <w:p w14:paraId="5FC50289" w14:textId="0B86C317" w:rsidR="00370AF4" w:rsidRPr="00393754" w:rsidRDefault="00CB0870" w:rsidP="00370AF4">
      <w:pPr>
        <w:pStyle w:val="ListParagraph"/>
        <w:numPr>
          <w:ilvl w:val="0"/>
          <w:numId w:val="40"/>
        </w:numPr>
        <w:rPr>
          <w:color w:val="000000" w:themeColor="text1"/>
          <w:lang w:val="en-US"/>
        </w:rPr>
      </w:pPr>
      <w:r w:rsidRPr="00393754">
        <w:rPr>
          <w:color w:val="000000" w:themeColor="text1"/>
          <w:lang w:val="en-US"/>
        </w:rPr>
        <w:t xml:space="preserve">The </w:t>
      </w:r>
      <w:r w:rsidR="00370AF4" w:rsidRPr="00393754">
        <w:rPr>
          <w:color w:val="000000" w:themeColor="text1"/>
        </w:rPr>
        <w:t>SSDA supports the “what-if manufacturers” approach since this gives flexibility to the man</w:t>
      </w:r>
      <w:r w:rsidR="00370AF4" w:rsidRPr="00393754">
        <w:rPr>
          <w:color w:val="000000" w:themeColor="text1"/>
        </w:rPr>
        <w:t>u</w:t>
      </w:r>
      <w:r w:rsidR="00370AF4" w:rsidRPr="00393754">
        <w:rPr>
          <w:color w:val="000000" w:themeColor="text1"/>
        </w:rPr>
        <w:t>facturer to include a “break-even scenario” for the product.</w:t>
      </w:r>
    </w:p>
    <w:p w14:paraId="6D9DF4CB" w14:textId="77777777" w:rsidR="00370AF4" w:rsidRPr="00393754" w:rsidRDefault="00370AF4" w:rsidP="00370AF4">
      <w:pPr>
        <w:pStyle w:val="ListParagraph"/>
        <w:rPr>
          <w:color w:val="000000" w:themeColor="text1"/>
          <w:lang w:val="en-US"/>
        </w:rPr>
      </w:pPr>
    </w:p>
    <w:p w14:paraId="068A5C55" w14:textId="4BF6FC4E" w:rsidR="00BB6948" w:rsidRPr="00393754" w:rsidRDefault="00CB0870" w:rsidP="00BB6948">
      <w:pPr>
        <w:pStyle w:val="ListParagraph"/>
        <w:numPr>
          <w:ilvl w:val="0"/>
          <w:numId w:val="40"/>
        </w:numPr>
        <w:rPr>
          <w:color w:val="000000" w:themeColor="text1"/>
          <w:lang w:val="en-US"/>
        </w:rPr>
      </w:pPr>
      <w:r w:rsidRPr="00393754">
        <w:rPr>
          <w:color w:val="000000" w:themeColor="text1"/>
          <w:lang w:val="en-US"/>
        </w:rPr>
        <w:t xml:space="preserve">The </w:t>
      </w:r>
      <w:r w:rsidR="00BB6948" w:rsidRPr="00393754">
        <w:rPr>
          <w:color w:val="000000" w:themeColor="text1"/>
          <w:lang w:val="en-US"/>
        </w:rPr>
        <w:t>SSDA believes that performance scenario describing how the product reacts in case of a h</w:t>
      </w:r>
      <w:r w:rsidR="00BB6948" w:rsidRPr="00393754">
        <w:rPr>
          <w:color w:val="000000" w:themeColor="text1"/>
          <w:lang w:val="en-US"/>
        </w:rPr>
        <w:t>y</w:t>
      </w:r>
      <w:r w:rsidR="00BB6948" w:rsidRPr="00393754">
        <w:rPr>
          <w:color w:val="000000" w:themeColor="text1"/>
          <w:lang w:val="en-US"/>
        </w:rPr>
        <w:t>pothetical development of the underlying should be showed in a table. Se example below:</w:t>
      </w:r>
    </w:p>
    <w:p w14:paraId="0504DF95" w14:textId="77777777" w:rsidR="00BB6948" w:rsidRPr="006B2A9F" w:rsidRDefault="00BB6948" w:rsidP="00BB6948">
      <w:pPr>
        <w:pStyle w:val="ListParagraph"/>
        <w:rPr>
          <w:lang w:val="en-US"/>
        </w:rPr>
      </w:pPr>
    </w:p>
    <w:p w14:paraId="2701FB2C" w14:textId="77777777" w:rsidR="00BB6948" w:rsidRDefault="00BB6948" w:rsidP="00BB6948">
      <w:pPr>
        <w:pStyle w:val="ListParagraph"/>
        <w:rPr>
          <w:color w:val="FF0000"/>
          <w:lang w:val="en-US"/>
        </w:rPr>
      </w:pPr>
      <w:r w:rsidRPr="006B2A9F">
        <w:rPr>
          <w:color w:val="FF0000"/>
          <w:lang w:val="en-US"/>
        </w:rPr>
        <w:t xml:space="preserve"> </w:t>
      </w:r>
      <w:r>
        <w:rPr>
          <w:noProof/>
          <w:lang w:val="en-US" w:eastAsia="en-US"/>
        </w:rPr>
        <w:drawing>
          <wp:inline distT="0" distB="0" distL="0" distR="0" wp14:anchorId="2C3F1A19" wp14:editId="0BD8FEDC">
            <wp:extent cx="4211516" cy="1869100"/>
            <wp:effectExtent l="0" t="0" r="0" b="0"/>
            <wp:docPr id="14" name="Bildobjekt 14" descr="cid:image002.png@01D0148C.483C1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cid:image002.png@01D0148C.483C1B2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214959" cy="1870628"/>
                    </a:xfrm>
                    <a:prstGeom prst="rect">
                      <a:avLst/>
                    </a:prstGeom>
                    <a:noFill/>
                    <a:ln>
                      <a:noFill/>
                    </a:ln>
                  </pic:spPr>
                </pic:pic>
              </a:graphicData>
            </a:graphic>
          </wp:inline>
        </w:drawing>
      </w:r>
    </w:p>
    <w:p w14:paraId="78C5E832" w14:textId="6EABD5FF" w:rsidR="00E139EE" w:rsidRPr="00E139EE" w:rsidRDefault="00E139EE" w:rsidP="00E139EE">
      <w:pPr>
        <w:rPr>
          <w:color w:val="FF0000"/>
        </w:rPr>
      </w:pPr>
    </w:p>
    <w:p w14:paraId="39454CB6" w14:textId="77777777" w:rsidR="00E139EE" w:rsidRDefault="00E139EE" w:rsidP="00E139EE">
      <w:pPr>
        <w:pStyle w:val="ListParagraph"/>
        <w:rPr>
          <w:color w:val="FF0000"/>
        </w:rPr>
      </w:pPr>
    </w:p>
    <w:p w14:paraId="16A4AE09" w14:textId="5D3A29F4" w:rsidR="00E139EE" w:rsidRPr="00393754" w:rsidRDefault="00E139EE" w:rsidP="00E139EE">
      <w:pPr>
        <w:pStyle w:val="ListParagraph"/>
        <w:numPr>
          <w:ilvl w:val="0"/>
          <w:numId w:val="39"/>
        </w:numPr>
        <w:rPr>
          <w:color w:val="000000" w:themeColor="text1"/>
        </w:rPr>
      </w:pPr>
      <w:r w:rsidRPr="00393754">
        <w:rPr>
          <w:color w:val="000000" w:themeColor="text1"/>
        </w:rPr>
        <w:t>In addition to the table described</w:t>
      </w:r>
      <w:r w:rsidR="00407274" w:rsidRPr="00393754">
        <w:rPr>
          <w:color w:val="000000" w:themeColor="text1"/>
        </w:rPr>
        <w:t xml:space="preserve"> above </w:t>
      </w:r>
      <w:r w:rsidR="00CB0870" w:rsidRPr="00393754">
        <w:rPr>
          <w:color w:val="000000" w:themeColor="text1"/>
        </w:rPr>
        <w:t xml:space="preserve">the </w:t>
      </w:r>
      <w:r w:rsidR="00407274" w:rsidRPr="00393754">
        <w:rPr>
          <w:color w:val="000000" w:themeColor="text1"/>
        </w:rPr>
        <w:t>SSDA proposes that a graph</w:t>
      </w:r>
      <w:r w:rsidRPr="00393754">
        <w:rPr>
          <w:color w:val="000000" w:themeColor="text1"/>
        </w:rPr>
        <w:t xml:space="preserve"> should be included showing historical performances of the underlying assets.</w:t>
      </w:r>
    </w:p>
    <w:p w14:paraId="4FEFEB93" w14:textId="77777777" w:rsidR="00E139EE" w:rsidRPr="00E139EE" w:rsidRDefault="00E139EE" w:rsidP="00E139EE">
      <w:pPr>
        <w:rPr>
          <w:color w:val="FF0000"/>
        </w:rPr>
      </w:pPr>
    </w:p>
    <w:p w14:paraId="467B354A" w14:textId="77777777" w:rsidR="005A0F9B" w:rsidRPr="006B2A9F" w:rsidRDefault="005A0F9B" w:rsidP="006B2A9F">
      <w:pPr>
        <w:pStyle w:val="ListParagraph"/>
        <w:rPr>
          <w:lang w:val="en-US"/>
        </w:rPr>
      </w:pPr>
    </w:p>
    <w:permEnd w:id="2032755771"/>
    <w:p w14:paraId="00043071" w14:textId="77777777" w:rsidR="00F31E57" w:rsidRDefault="00F31E57" w:rsidP="00F31E57">
      <w:r>
        <w:t>&lt;ESMA_QUESTION_PRIIPs_17&gt;</w:t>
      </w:r>
    </w:p>
    <w:p w14:paraId="3BC306D7"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14:paraId="43EA2AE4" w14:textId="77777777" w:rsidR="00F31E57" w:rsidRDefault="00F31E57" w:rsidP="00F31E57"/>
    <w:p w14:paraId="097C4ACB" w14:textId="77777777" w:rsidR="00F31E57" w:rsidRDefault="00F31E57" w:rsidP="00F31E57">
      <w:r>
        <w:t>&lt;ESMA_QUESTION_PRIIPs_18&gt;</w:t>
      </w:r>
    </w:p>
    <w:p w14:paraId="082E92EE" w14:textId="77777777" w:rsidR="003227E9" w:rsidRDefault="003227E9" w:rsidP="00F31E57">
      <w:permStart w:id="1925150844" w:edGrp="everyone"/>
    </w:p>
    <w:p w14:paraId="6FE363AD" w14:textId="6E2F2565" w:rsidR="003227E9" w:rsidRPr="00393754" w:rsidRDefault="00CB0870" w:rsidP="00DE2E12">
      <w:pPr>
        <w:pStyle w:val="ListParagraph"/>
        <w:numPr>
          <w:ilvl w:val="0"/>
          <w:numId w:val="41"/>
        </w:numPr>
        <w:rPr>
          <w:color w:val="000000" w:themeColor="text1"/>
        </w:rPr>
      </w:pPr>
      <w:r w:rsidRPr="00393754">
        <w:rPr>
          <w:color w:val="000000" w:themeColor="text1"/>
          <w:lang w:val="en-US"/>
        </w:rPr>
        <w:t xml:space="preserve">The </w:t>
      </w:r>
      <w:r w:rsidR="00695076" w:rsidRPr="00393754">
        <w:rPr>
          <w:color w:val="000000" w:themeColor="text1"/>
        </w:rPr>
        <w:t xml:space="preserve">SSDA </w:t>
      </w:r>
      <w:r w:rsidR="00393754" w:rsidRPr="00393754">
        <w:rPr>
          <w:color w:val="000000" w:themeColor="text1"/>
        </w:rPr>
        <w:t>is</w:t>
      </w:r>
      <w:r w:rsidR="003227E9" w:rsidRPr="00393754">
        <w:rPr>
          <w:color w:val="000000" w:themeColor="text1"/>
        </w:rPr>
        <w:t xml:space="preserve"> not in favour of </w:t>
      </w:r>
      <w:r w:rsidR="00C41D97" w:rsidRPr="00393754">
        <w:rPr>
          <w:color w:val="000000" w:themeColor="text1"/>
        </w:rPr>
        <w:t>probabilistic scenarios</w:t>
      </w:r>
      <w:r w:rsidR="003227E9" w:rsidRPr="00393754">
        <w:rPr>
          <w:color w:val="000000" w:themeColor="text1"/>
        </w:rPr>
        <w:t>.</w:t>
      </w:r>
      <w:r w:rsidR="00641031" w:rsidRPr="00393754">
        <w:rPr>
          <w:color w:val="000000" w:themeColor="text1"/>
        </w:rPr>
        <w:t xml:space="preserve"> </w:t>
      </w:r>
    </w:p>
    <w:p w14:paraId="7319702A" w14:textId="77777777" w:rsidR="00DE2E12" w:rsidRPr="00393754" w:rsidRDefault="00DE2E12" w:rsidP="00DE2E12">
      <w:pPr>
        <w:pStyle w:val="ListParagraph"/>
        <w:ind w:left="360"/>
        <w:rPr>
          <w:color w:val="000000" w:themeColor="text1"/>
        </w:rPr>
      </w:pPr>
    </w:p>
    <w:permEnd w:id="1925150844"/>
    <w:p w14:paraId="4A4A081F" w14:textId="77777777" w:rsidR="00F31E57" w:rsidRDefault="00F31E57" w:rsidP="00F31E57">
      <w:r>
        <w:t>&lt;ESMA_QUESTION_PRIIPs_18&gt;</w:t>
      </w:r>
    </w:p>
    <w:p w14:paraId="15267019"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14:paraId="7EA720FB" w14:textId="77777777" w:rsidR="00F31E57" w:rsidRDefault="00F31E57" w:rsidP="00F31E57"/>
    <w:p w14:paraId="6CA93C56" w14:textId="77777777" w:rsidR="00F31E57" w:rsidRDefault="00F31E57" w:rsidP="00F31E57">
      <w:r>
        <w:t>&lt;ESMA_QUESTION_PRIIPs_19&gt;</w:t>
      </w:r>
    </w:p>
    <w:p w14:paraId="68FBF08D" w14:textId="77777777" w:rsidR="003227E9" w:rsidRDefault="003227E9" w:rsidP="00F31E57">
      <w:permStart w:id="1342002129" w:edGrp="everyone"/>
    </w:p>
    <w:p w14:paraId="6FD3F580" w14:textId="0FFF6258" w:rsidR="00AC7B24" w:rsidRPr="00393754" w:rsidRDefault="00CB0870" w:rsidP="00AC7B24">
      <w:pPr>
        <w:pStyle w:val="ListParagraph"/>
        <w:numPr>
          <w:ilvl w:val="0"/>
          <w:numId w:val="41"/>
        </w:numPr>
        <w:rPr>
          <w:color w:val="000000" w:themeColor="text1"/>
        </w:rPr>
      </w:pPr>
      <w:r w:rsidRPr="00393754">
        <w:rPr>
          <w:color w:val="000000" w:themeColor="text1"/>
          <w:lang w:val="en-US"/>
        </w:rPr>
        <w:t xml:space="preserve">The </w:t>
      </w:r>
      <w:r w:rsidR="003227E9" w:rsidRPr="00393754">
        <w:rPr>
          <w:color w:val="000000" w:themeColor="text1"/>
        </w:rPr>
        <w:t>SSDA believes that the suggested combi</w:t>
      </w:r>
      <w:r w:rsidR="00DF70D0" w:rsidRPr="00393754">
        <w:rPr>
          <w:color w:val="000000" w:themeColor="text1"/>
        </w:rPr>
        <w:t xml:space="preserve">nations might be misleading, </w:t>
      </w:r>
      <w:r w:rsidR="003227E9" w:rsidRPr="00393754">
        <w:rPr>
          <w:color w:val="000000" w:themeColor="text1"/>
        </w:rPr>
        <w:t xml:space="preserve">are </w:t>
      </w:r>
      <w:r w:rsidR="00AB5638" w:rsidRPr="00393754">
        <w:rPr>
          <w:color w:val="000000" w:themeColor="text1"/>
        </w:rPr>
        <w:t>too</w:t>
      </w:r>
      <w:r w:rsidR="003227E9" w:rsidRPr="00393754">
        <w:rPr>
          <w:color w:val="000000" w:themeColor="text1"/>
        </w:rPr>
        <w:t xml:space="preserve"> prescriptive</w:t>
      </w:r>
      <w:r w:rsidR="00DF70D0" w:rsidRPr="00393754">
        <w:rPr>
          <w:color w:val="000000" w:themeColor="text1"/>
        </w:rPr>
        <w:t xml:space="preserve"> and could be difficult to understand for retail investors</w:t>
      </w:r>
      <w:r w:rsidR="003227E9" w:rsidRPr="00393754">
        <w:rPr>
          <w:color w:val="000000" w:themeColor="text1"/>
        </w:rPr>
        <w:t xml:space="preserve">. </w:t>
      </w:r>
    </w:p>
    <w:p w14:paraId="276E83A2" w14:textId="77777777" w:rsidR="00D3159F" w:rsidRPr="00393754" w:rsidRDefault="00D3159F" w:rsidP="00370AF4">
      <w:pPr>
        <w:rPr>
          <w:color w:val="000000" w:themeColor="text1"/>
        </w:rPr>
      </w:pPr>
    </w:p>
    <w:p w14:paraId="17FEDCEF" w14:textId="6256E6A6" w:rsidR="00D3159F" w:rsidRPr="00393754" w:rsidRDefault="00D3159F" w:rsidP="00D2302C">
      <w:pPr>
        <w:pStyle w:val="ListParagraph"/>
        <w:numPr>
          <w:ilvl w:val="0"/>
          <w:numId w:val="41"/>
        </w:numPr>
        <w:rPr>
          <w:color w:val="000000" w:themeColor="text1"/>
        </w:rPr>
      </w:pPr>
      <w:r w:rsidRPr="00393754">
        <w:rPr>
          <w:color w:val="000000" w:themeColor="text1"/>
        </w:rPr>
        <w:t xml:space="preserve">Such combination will </w:t>
      </w:r>
      <w:r w:rsidR="00641031" w:rsidRPr="00393754">
        <w:rPr>
          <w:color w:val="000000" w:themeColor="text1"/>
        </w:rPr>
        <w:t>increase</w:t>
      </w:r>
      <w:r w:rsidRPr="00393754">
        <w:rPr>
          <w:color w:val="000000" w:themeColor="text1"/>
        </w:rPr>
        <w:t xml:space="preserve"> administrative burden since they involve a mix of automated data and manual intervention on the KID.</w:t>
      </w:r>
    </w:p>
    <w:p w14:paraId="037A2A84" w14:textId="77777777" w:rsidR="003227E9" w:rsidRDefault="003227E9" w:rsidP="00F31E57"/>
    <w:permEnd w:id="1342002129"/>
    <w:p w14:paraId="4D0DEC15" w14:textId="77777777" w:rsidR="00F31E57" w:rsidRDefault="00F31E57" w:rsidP="00F31E57">
      <w:r>
        <w:t>&lt;ESMA_QUESTION_PRIIPs_19&gt;</w:t>
      </w:r>
    </w:p>
    <w:p w14:paraId="2A26AD75"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Do you think that credit events should be considered in the performance scenar</w:t>
      </w:r>
      <w:r>
        <w:t>i</w:t>
      </w:r>
      <w:r>
        <w:t>os?</w:t>
      </w:r>
    </w:p>
    <w:p w14:paraId="28D93474" w14:textId="77777777" w:rsidR="00F31E57" w:rsidRDefault="00F31E57" w:rsidP="00F31E57"/>
    <w:p w14:paraId="2FBDFC8A" w14:textId="77777777" w:rsidR="00F31E57" w:rsidRDefault="00F31E57" w:rsidP="00F31E57">
      <w:r>
        <w:t>&lt;ESMA_QUESTION_PRIIPs_20&gt;</w:t>
      </w:r>
    </w:p>
    <w:p w14:paraId="196456FF" w14:textId="77777777" w:rsidR="003227E9" w:rsidRDefault="003227E9" w:rsidP="00F31E57">
      <w:permStart w:id="1948674671" w:edGrp="everyone"/>
    </w:p>
    <w:p w14:paraId="610B0A34" w14:textId="536C8802" w:rsidR="00646AE4" w:rsidRPr="00393754" w:rsidRDefault="00CB0870" w:rsidP="00646AE4">
      <w:pPr>
        <w:pStyle w:val="ListParagraph"/>
        <w:numPr>
          <w:ilvl w:val="0"/>
          <w:numId w:val="41"/>
        </w:numPr>
        <w:rPr>
          <w:color w:val="000000" w:themeColor="text1"/>
        </w:rPr>
      </w:pPr>
      <w:r w:rsidRPr="00393754">
        <w:rPr>
          <w:color w:val="000000" w:themeColor="text1"/>
          <w:lang w:val="en-US"/>
        </w:rPr>
        <w:t xml:space="preserve">The </w:t>
      </w:r>
      <w:r w:rsidR="00646AE4" w:rsidRPr="00393754">
        <w:rPr>
          <w:color w:val="000000" w:themeColor="text1"/>
          <w:lang w:val="en-US"/>
        </w:rPr>
        <w:t xml:space="preserve">SSDA differentiates between credit risk attributable to issuer/guarantor counterparty risk and credit risk attributable to the underlying market exposure such as portfolios of bonds or CDS contracts. </w:t>
      </w:r>
    </w:p>
    <w:p w14:paraId="1760362D" w14:textId="77777777" w:rsidR="00646AE4" w:rsidRPr="00393754" w:rsidRDefault="00646AE4" w:rsidP="00646AE4">
      <w:pPr>
        <w:pStyle w:val="ListParagraph"/>
        <w:ind w:left="360"/>
        <w:rPr>
          <w:color w:val="000000" w:themeColor="text1"/>
        </w:rPr>
      </w:pPr>
    </w:p>
    <w:p w14:paraId="58B1F003" w14:textId="05AA9DDB" w:rsidR="00646AE4" w:rsidRPr="00393754" w:rsidRDefault="00CB0870" w:rsidP="00D2302C">
      <w:pPr>
        <w:pStyle w:val="ListParagraph"/>
        <w:numPr>
          <w:ilvl w:val="0"/>
          <w:numId w:val="41"/>
        </w:numPr>
        <w:rPr>
          <w:color w:val="000000" w:themeColor="text1"/>
        </w:rPr>
      </w:pPr>
      <w:r w:rsidRPr="00393754">
        <w:rPr>
          <w:color w:val="000000" w:themeColor="text1"/>
          <w:lang w:val="en-US"/>
        </w:rPr>
        <w:t xml:space="preserve">The </w:t>
      </w:r>
      <w:r w:rsidR="003227E9" w:rsidRPr="00393754">
        <w:rPr>
          <w:color w:val="000000" w:themeColor="text1"/>
        </w:rPr>
        <w:t>SSDA believes that unless the credit events are part of the market risk, they should not be co</w:t>
      </w:r>
      <w:r w:rsidR="003227E9" w:rsidRPr="00393754">
        <w:rPr>
          <w:color w:val="000000" w:themeColor="text1"/>
        </w:rPr>
        <w:t>n</w:t>
      </w:r>
      <w:r w:rsidR="003227E9" w:rsidRPr="00393754">
        <w:rPr>
          <w:color w:val="000000" w:themeColor="text1"/>
        </w:rPr>
        <w:t xml:space="preserve">sidered in the performance scenarios. </w:t>
      </w:r>
    </w:p>
    <w:p w14:paraId="52756563" w14:textId="77777777" w:rsidR="00646AE4" w:rsidRPr="00393754" w:rsidRDefault="00646AE4" w:rsidP="00646AE4">
      <w:pPr>
        <w:rPr>
          <w:color w:val="000000" w:themeColor="text1"/>
        </w:rPr>
      </w:pPr>
    </w:p>
    <w:p w14:paraId="5FDA0019" w14:textId="203635E0" w:rsidR="00434753" w:rsidRPr="00393754" w:rsidRDefault="00CB0870" w:rsidP="00D3159F">
      <w:pPr>
        <w:pStyle w:val="ListParagraph"/>
        <w:numPr>
          <w:ilvl w:val="0"/>
          <w:numId w:val="41"/>
        </w:numPr>
        <w:rPr>
          <w:color w:val="000000" w:themeColor="text1"/>
        </w:rPr>
      </w:pPr>
      <w:r w:rsidRPr="00393754">
        <w:rPr>
          <w:color w:val="000000" w:themeColor="text1"/>
          <w:lang w:val="en-US"/>
        </w:rPr>
        <w:t xml:space="preserve">The </w:t>
      </w:r>
      <w:r w:rsidRPr="00393754">
        <w:rPr>
          <w:color w:val="000000" w:themeColor="text1"/>
        </w:rPr>
        <w:t>SSDA is</w:t>
      </w:r>
      <w:r w:rsidR="003227E9" w:rsidRPr="00393754">
        <w:rPr>
          <w:color w:val="000000" w:themeColor="text1"/>
        </w:rPr>
        <w:t xml:space="preserve"> in favour of including non-issuer related credit events/risks</w:t>
      </w:r>
      <w:r w:rsidR="0076611B" w:rsidRPr="00393754">
        <w:rPr>
          <w:color w:val="000000" w:themeColor="text1"/>
        </w:rPr>
        <w:t xml:space="preserve"> (</w:t>
      </w:r>
      <w:r w:rsidR="00AB5638" w:rsidRPr="00393754">
        <w:rPr>
          <w:color w:val="000000" w:themeColor="text1"/>
        </w:rPr>
        <w:t>i.e.</w:t>
      </w:r>
      <w:r w:rsidR="0076611B" w:rsidRPr="00393754">
        <w:rPr>
          <w:color w:val="000000" w:themeColor="text1"/>
        </w:rPr>
        <w:t xml:space="preserve"> the development of the market)</w:t>
      </w:r>
      <w:r w:rsidR="003227E9" w:rsidRPr="00393754">
        <w:rPr>
          <w:color w:val="000000" w:themeColor="text1"/>
        </w:rPr>
        <w:t xml:space="preserve"> within performance scenarios.</w:t>
      </w:r>
    </w:p>
    <w:p w14:paraId="41A6FD7E" w14:textId="4942B8FD" w:rsidR="00D3159F" w:rsidRPr="00393754" w:rsidRDefault="003227E9" w:rsidP="00434753">
      <w:pPr>
        <w:pStyle w:val="ListParagraph"/>
        <w:ind w:left="360"/>
        <w:rPr>
          <w:color w:val="000000" w:themeColor="text1"/>
        </w:rPr>
      </w:pPr>
      <w:r w:rsidRPr="00393754">
        <w:rPr>
          <w:color w:val="000000" w:themeColor="text1"/>
        </w:rPr>
        <w:t xml:space="preserve"> </w:t>
      </w:r>
    </w:p>
    <w:permEnd w:id="1948674671"/>
    <w:p w14:paraId="32E351AA" w14:textId="3E57A19E" w:rsidR="00F31E57" w:rsidRDefault="00F31E57" w:rsidP="00F31E57">
      <w:r>
        <w:t>&lt;ESMA_QUESTION_PRIIPs_20&gt;</w:t>
      </w:r>
    </w:p>
    <w:p w14:paraId="55C0C398"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w:t>
      </w:r>
      <w:r>
        <w:t>r</w:t>
      </w:r>
      <w:r>
        <w:t>mance scenarios?</w:t>
      </w:r>
    </w:p>
    <w:p w14:paraId="5F1C7A14" w14:textId="77777777" w:rsidR="00F31E57" w:rsidRDefault="00F31E57" w:rsidP="00F31E57"/>
    <w:p w14:paraId="628445A1" w14:textId="77777777" w:rsidR="00F31E57" w:rsidRDefault="00F31E57" w:rsidP="00F31E57">
      <w:r>
        <w:t>&lt;ESMA_QUESTION_PRIIPs_21&gt;</w:t>
      </w:r>
    </w:p>
    <w:p w14:paraId="2EADB5C3" w14:textId="77777777" w:rsidR="0076611B" w:rsidRPr="0076611B" w:rsidRDefault="0076611B" w:rsidP="00F31E57">
      <w:pPr>
        <w:rPr>
          <w:color w:val="FF0000"/>
        </w:rPr>
      </w:pPr>
      <w:permStart w:id="202454286" w:edGrp="everyone"/>
    </w:p>
    <w:p w14:paraId="5922D733" w14:textId="5ABD8939" w:rsidR="0076611B" w:rsidRPr="00393754" w:rsidRDefault="00CB0870" w:rsidP="00D2302C">
      <w:pPr>
        <w:pStyle w:val="ListParagraph"/>
        <w:numPr>
          <w:ilvl w:val="0"/>
          <w:numId w:val="42"/>
        </w:numPr>
        <w:rPr>
          <w:color w:val="000000" w:themeColor="text1"/>
        </w:rPr>
      </w:pPr>
      <w:r w:rsidRPr="00393754">
        <w:rPr>
          <w:color w:val="000000" w:themeColor="text1"/>
          <w:lang w:val="en-US"/>
        </w:rPr>
        <w:t xml:space="preserve">The </w:t>
      </w:r>
      <w:r w:rsidR="0076611B" w:rsidRPr="00393754">
        <w:rPr>
          <w:color w:val="000000" w:themeColor="text1"/>
        </w:rPr>
        <w:t>SSDA supports an approach using hypothetical scenarios and such a scenario should ca</w:t>
      </w:r>
      <w:r w:rsidR="0076611B" w:rsidRPr="00393754">
        <w:rPr>
          <w:color w:val="000000" w:themeColor="text1"/>
        </w:rPr>
        <w:t>p</w:t>
      </w:r>
      <w:r w:rsidR="0076611B" w:rsidRPr="00393754">
        <w:rPr>
          <w:color w:val="000000" w:themeColor="text1"/>
        </w:rPr>
        <w:t xml:space="preserve">ture risks and </w:t>
      </w:r>
      <w:r w:rsidR="00407274" w:rsidRPr="00393754">
        <w:rPr>
          <w:color w:val="000000" w:themeColor="text1"/>
        </w:rPr>
        <w:t>triggered</w:t>
      </w:r>
      <w:r w:rsidR="00844A4D" w:rsidRPr="00393754">
        <w:rPr>
          <w:color w:val="000000" w:themeColor="text1"/>
        </w:rPr>
        <w:t xml:space="preserve"> </w:t>
      </w:r>
      <w:r w:rsidR="0076611B" w:rsidRPr="00393754">
        <w:rPr>
          <w:color w:val="000000" w:themeColor="text1"/>
        </w:rPr>
        <w:t>redemption events.</w:t>
      </w:r>
    </w:p>
    <w:p w14:paraId="28A6A5CE" w14:textId="77777777" w:rsidR="0076611B" w:rsidRDefault="0076611B" w:rsidP="00F31E57"/>
    <w:permEnd w:id="202454286"/>
    <w:p w14:paraId="70F0C15D" w14:textId="77777777" w:rsidR="00F31E57" w:rsidRDefault="00F31E57" w:rsidP="00F31E57">
      <w:r>
        <w:t>&lt;ESMA_QUESTION_PRIIPs_21&gt;</w:t>
      </w:r>
    </w:p>
    <w:p w14:paraId="5F3712E8"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methodological issues in computing performance in several holding periods?</w:t>
      </w:r>
    </w:p>
    <w:p w14:paraId="5EDD2D83" w14:textId="77777777" w:rsidR="00F31E57" w:rsidRDefault="00F31E57" w:rsidP="00F31E57"/>
    <w:p w14:paraId="6627F59F" w14:textId="77777777" w:rsidR="00F31E57" w:rsidRDefault="00F31E57" w:rsidP="00F31E57">
      <w:r>
        <w:t>&lt;ESMA_QUESTION_PRIIPs_22&gt;</w:t>
      </w:r>
    </w:p>
    <w:p w14:paraId="42DC57B2" w14:textId="77777777" w:rsidR="0076611B" w:rsidRDefault="0076611B" w:rsidP="00F31E57">
      <w:permStart w:id="1216810723" w:edGrp="everyone"/>
    </w:p>
    <w:p w14:paraId="49116F19" w14:textId="3446280C" w:rsidR="006D05A3" w:rsidRPr="00393754" w:rsidRDefault="00CB0870" w:rsidP="00C41D97">
      <w:pPr>
        <w:pStyle w:val="ListParagraph"/>
        <w:numPr>
          <w:ilvl w:val="0"/>
          <w:numId w:val="42"/>
        </w:numPr>
        <w:rPr>
          <w:color w:val="000000" w:themeColor="text1"/>
        </w:rPr>
      </w:pPr>
      <w:r w:rsidRPr="00393754">
        <w:rPr>
          <w:color w:val="000000" w:themeColor="text1"/>
          <w:lang w:val="en-US"/>
        </w:rPr>
        <w:t xml:space="preserve">The </w:t>
      </w:r>
      <w:r w:rsidR="0076611B" w:rsidRPr="00393754">
        <w:rPr>
          <w:color w:val="000000" w:themeColor="text1"/>
        </w:rPr>
        <w:t xml:space="preserve">SSDA </w:t>
      </w:r>
      <w:r w:rsidR="00D3159F" w:rsidRPr="00393754">
        <w:rPr>
          <w:color w:val="000000" w:themeColor="text1"/>
        </w:rPr>
        <w:t>do</w:t>
      </w:r>
      <w:r w:rsidR="006D05A3" w:rsidRPr="00393754">
        <w:rPr>
          <w:color w:val="000000" w:themeColor="text1"/>
        </w:rPr>
        <w:t>es</w:t>
      </w:r>
      <w:r w:rsidR="00D3159F" w:rsidRPr="00393754">
        <w:rPr>
          <w:color w:val="000000" w:themeColor="text1"/>
        </w:rPr>
        <w:t xml:space="preserve"> </w:t>
      </w:r>
      <w:r w:rsidR="0076611B" w:rsidRPr="00393754">
        <w:rPr>
          <w:color w:val="000000" w:themeColor="text1"/>
        </w:rPr>
        <w:t xml:space="preserve">not agree with taking </w:t>
      </w:r>
      <w:r w:rsidR="006D05A3" w:rsidRPr="00393754">
        <w:rPr>
          <w:color w:val="000000" w:themeColor="text1"/>
        </w:rPr>
        <w:t>into account exit before the recommended holding period within performance scenarios.</w:t>
      </w:r>
      <w:r w:rsidR="002F2662" w:rsidRPr="00393754">
        <w:rPr>
          <w:color w:val="000000" w:themeColor="text1"/>
        </w:rPr>
        <w:t xml:space="preserve"> </w:t>
      </w:r>
      <w:r w:rsidR="00407274" w:rsidRPr="00393754">
        <w:rPr>
          <w:color w:val="000000" w:themeColor="text1"/>
        </w:rPr>
        <w:t xml:space="preserve">It is not possible to show since the manufacturer can’t predict the date of possible early exit. </w:t>
      </w:r>
      <w:r w:rsidR="002F2662" w:rsidRPr="00393754">
        <w:rPr>
          <w:color w:val="000000" w:themeColor="text1"/>
        </w:rPr>
        <w:t xml:space="preserve">Furthermore the </w:t>
      </w:r>
      <w:r w:rsidR="00407274" w:rsidRPr="00393754">
        <w:rPr>
          <w:color w:val="000000" w:themeColor="text1"/>
        </w:rPr>
        <w:t>manufacturers in that case need</w:t>
      </w:r>
      <w:r w:rsidR="002F2662" w:rsidRPr="00393754">
        <w:rPr>
          <w:color w:val="000000" w:themeColor="text1"/>
        </w:rPr>
        <w:t xml:space="preserve"> to predict the market conditions</w:t>
      </w:r>
      <w:r w:rsidR="00384C0B" w:rsidRPr="00393754">
        <w:rPr>
          <w:color w:val="000000" w:themeColor="text1"/>
        </w:rPr>
        <w:t xml:space="preserve"> in the future (for example interest rate, performance of the underlying)</w:t>
      </w:r>
      <w:r w:rsidR="002F2662" w:rsidRPr="00393754">
        <w:rPr>
          <w:color w:val="000000" w:themeColor="text1"/>
        </w:rPr>
        <w:t>.</w:t>
      </w:r>
      <w:r w:rsidR="00C41D97" w:rsidRPr="00393754">
        <w:rPr>
          <w:color w:val="000000" w:themeColor="text1"/>
        </w:rPr>
        <w:t xml:space="preserve"> To estimate a “fair a value” in the future faces the same problem.</w:t>
      </w:r>
    </w:p>
    <w:p w14:paraId="76560F9C" w14:textId="77777777" w:rsidR="006D05A3" w:rsidRPr="00393754" w:rsidRDefault="006D05A3" w:rsidP="006D05A3">
      <w:pPr>
        <w:pStyle w:val="ListParagraph"/>
        <w:rPr>
          <w:color w:val="000000" w:themeColor="text1"/>
        </w:rPr>
      </w:pPr>
    </w:p>
    <w:p w14:paraId="1B6698FE" w14:textId="4B8B41FB" w:rsidR="006D05A3" w:rsidRPr="00393754" w:rsidRDefault="006D05A3" w:rsidP="006D05A3">
      <w:pPr>
        <w:pStyle w:val="ListParagraph"/>
        <w:numPr>
          <w:ilvl w:val="0"/>
          <w:numId w:val="42"/>
        </w:numPr>
        <w:rPr>
          <w:color w:val="000000" w:themeColor="text1"/>
        </w:rPr>
      </w:pPr>
      <w:r w:rsidRPr="00393754">
        <w:rPr>
          <w:color w:val="000000" w:themeColor="text1"/>
        </w:rPr>
        <w:t>The product is designed with a recommended holding period in mind. Early exit depends sol</w:t>
      </w:r>
      <w:r w:rsidRPr="00393754">
        <w:rPr>
          <w:color w:val="000000" w:themeColor="text1"/>
        </w:rPr>
        <w:t>e</w:t>
      </w:r>
      <w:r w:rsidRPr="00393754">
        <w:rPr>
          <w:color w:val="000000" w:themeColor="text1"/>
        </w:rPr>
        <w:t>ly on the investor decisions, deeming it even more unpredictable than market parameters. A better a</w:t>
      </w:r>
      <w:r w:rsidRPr="00393754">
        <w:rPr>
          <w:color w:val="000000" w:themeColor="text1"/>
        </w:rPr>
        <w:t>p</w:t>
      </w:r>
      <w:r w:rsidRPr="00393754">
        <w:rPr>
          <w:color w:val="000000" w:themeColor="text1"/>
        </w:rPr>
        <w:t>proach is to inform investors about possible early exit fees/costs</w:t>
      </w:r>
      <w:r w:rsidR="00FC0D99" w:rsidRPr="00393754">
        <w:rPr>
          <w:color w:val="000000" w:themeColor="text1"/>
        </w:rPr>
        <w:t xml:space="preserve">. The investor should be informed that the </w:t>
      </w:r>
      <w:r w:rsidRPr="00393754">
        <w:rPr>
          <w:color w:val="000000" w:themeColor="text1"/>
        </w:rPr>
        <w:t>exit p</w:t>
      </w:r>
      <w:r w:rsidR="00FC0D99" w:rsidRPr="00393754">
        <w:rPr>
          <w:color w:val="000000" w:themeColor="text1"/>
        </w:rPr>
        <w:t xml:space="preserve">rice will be subject to the </w:t>
      </w:r>
      <w:r w:rsidRPr="00393754">
        <w:rPr>
          <w:color w:val="000000" w:themeColor="text1"/>
        </w:rPr>
        <w:t>market conditions</w:t>
      </w:r>
      <w:r w:rsidR="00FC0D99" w:rsidRPr="00393754">
        <w:rPr>
          <w:color w:val="000000" w:themeColor="text1"/>
        </w:rPr>
        <w:t xml:space="preserve"> at the time for the exit and</w:t>
      </w:r>
      <w:r w:rsidRPr="00393754">
        <w:rPr>
          <w:color w:val="000000" w:themeColor="text1"/>
        </w:rPr>
        <w:t xml:space="preserve"> that he may not be able to get his/her money back due to possible liquidity issues.</w:t>
      </w:r>
    </w:p>
    <w:p w14:paraId="1E84A8F0" w14:textId="77777777" w:rsidR="006D05A3" w:rsidRPr="00393754" w:rsidRDefault="006D05A3" w:rsidP="006D05A3">
      <w:pPr>
        <w:pStyle w:val="ListParagraph"/>
        <w:rPr>
          <w:color w:val="000000" w:themeColor="text1"/>
        </w:rPr>
      </w:pPr>
    </w:p>
    <w:p w14:paraId="7CFCB933" w14:textId="33BDCD1D" w:rsidR="00C41D97" w:rsidRPr="00393754" w:rsidRDefault="006D05A3" w:rsidP="00C41D97">
      <w:pPr>
        <w:pStyle w:val="ListParagraph"/>
        <w:numPr>
          <w:ilvl w:val="0"/>
          <w:numId w:val="42"/>
        </w:numPr>
        <w:rPr>
          <w:color w:val="000000" w:themeColor="text1"/>
        </w:rPr>
      </w:pPr>
      <w:r w:rsidRPr="00393754">
        <w:rPr>
          <w:color w:val="000000" w:themeColor="text1"/>
          <w:lang w:val="en-US"/>
        </w:rPr>
        <w:t>A narrative text explaining the possible variation in risk over time is required, but there is no need to show several holding periods.</w:t>
      </w:r>
    </w:p>
    <w:p w14:paraId="4183B7BA" w14:textId="77777777" w:rsidR="00D3159F" w:rsidRDefault="00D3159F" w:rsidP="00D3159F">
      <w:pPr>
        <w:pStyle w:val="ListParagraph"/>
      </w:pPr>
    </w:p>
    <w:permEnd w:id="1216810723"/>
    <w:p w14:paraId="6ADACACD" w14:textId="77777777" w:rsidR="00F31E57" w:rsidRDefault="00F31E57" w:rsidP="00F31E57">
      <w:r>
        <w:t>&lt;ESMA_QUESTION_PRIIPs_22&gt;</w:t>
      </w:r>
    </w:p>
    <w:p w14:paraId="66A31B92"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Are the two types of entry costs listed here clear enough? Should the list be fu</w:t>
      </w:r>
      <w:r>
        <w:rPr>
          <w:rFonts w:cs="Arial"/>
        </w:rPr>
        <w:t>r</w:t>
      </w:r>
      <w:r>
        <w:rPr>
          <w:rFonts w:cs="Arial"/>
        </w:rPr>
        <w:t xml:space="preserve">ther detailed or completed (notably in the case of acquisition costs)? </w:t>
      </w:r>
      <w:r>
        <w:rPr>
          <w:rFonts w:eastAsia="Times New Roman" w:cs="Arial"/>
          <w:lang w:eastAsia="zh-TW"/>
        </w:rPr>
        <w:t xml:space="preserve">Should some of these costs included in the on-going charges? </w:t>
      </w:r>
    </w:p>
    <w:p w14:paraId="1A65AF0C" w14:textId="77777777" w:rsidR="00F31E57" w:rsidRDefault="00F31E57" w:rsidP="00F31E57">
      <w:pPr>
        <w:rPr>
          <w:rFonts w:cstheme="minorBidi"/>
        </w:rPr>
      </w:pPr>
    </w:p>
    <w:p w14:paraId="49F90E44" w14:textId="77777777" w:rsidR="00F31E57" w:rsidRDefault="00F31E57" w:rsidP="00F31E57">
      <w:r>
        <w:t>&lt;ESMA_QUESTION_PRIIPs_23&gt;</w:t>
      </w:r>
    </w:p>
    <w:p w14:paraId="29DE4BC8" w14:textId="77777777" w:rsidR="00FA1BD9" w:rsidRDefault="00FA1BD9" w:rsidP="00F31E57">
      <w:pPr>
        <w:rPr>
          <w:rFonts w:cs="Arial"/>
        </w:rPr>
      </w:pPr>
      <w:permStart w:id="310259568" w:edGrp="everyone"/>
    </w:p>
    <w:p w14:paraId="1453ED1B" w14:textId="77777777" w:rsidR="00FA1BD9" w:rsidRDefault="00FA1BD9" w:rsidP="00F31E57">
      <w:r w:rsidRPr="00EF0769">
        <w:rPr>
          <w:rFonts w:cs="Arial"/>
        </w:rPr>
        <w:t>TYPE YOUR TEXT HERE</w:t>
      </w:r>
      <w:r>
        <w:t xml:space="preserve"> </w:t>
      </w:r>
    </w:p>
    <w:p w14:paraId="500E0236" w14:textId="77777777" w:rsidR="00FA1BD9" w:rsidRDefault="00FA1BD9" w:rsidP="00F31E57"/>
    <w:permEnd w:id="310259568"/>
    <w:p w14:paraId="422F1991" w14:textId="72BBCE17" w:rsidR="00F31E57" w:rsidRDefault="00F31E57" w:rsidP="00F31E57">
      <w:r>
        <w:t>&lt;ESMA_QUESTION_PRIIPs_23&gt;</w:t>
      </w:r>
    </w:p>
    <w:p w14:paraId="23F4AD6A"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carried interest in the case of private equity funds?</w:t>
      </w:r>
    </w:p>
    <w:p w14:paraId="7CAD77E6" w14:textId="77777777" w:rsidR="00F31E57" w:rsidRDefault="00F31E57" w:rsidP="00F31E57">
      <w:pPr>
        <w:rPr>
          <w:rFonts w:cstheme="minorBidi"/>
        </w:rPr>
      </w:pPr>
    </w:p>
    <w:p w14:paraId="25DD9BD5" w14:textId="77777777" w:rsidR="00F31E57" w:rsidRDefault="00F31E57" w:rsidP="00F31E57">
      <w:r>
        <w:t>&lt;ESMA_QUESTION_PRIIPs_24&gt;</w:t>
      </w:r>
    </w:p>
    <w:p w14:paraId="41101AAA" w14:textId="77777777" w:rsidR="00FA1BD9" w:rsidRDefault="00FA1BD9" w:rsidP="00F31E57">
      <w:pPr>
        <w:rPr>
          <w:rFonts w:cs="Arial"/>
        </w:rPr>
      </w:pPr>
      <w:permStart w:id="1852320739" w:edGrp="everyone"/>
    </w:p>
    <w:p w14:paraId="22FBE1B8" w14:textId="77777777" w:rsidR="00FA1BD9" w:rsidRDefault="00FA1BD9" w:rsidP="00F31E57">
      <w:r w:rsidRPr="00EF0769">
        <w:rPr>
          <w:rFonts w:cs="Arial"/>
        </w:rPr>
        <w:t>TYPE YOUR TEXT HERE</w:t>
      </w:r>
      <w:r>
        <w:t xml:space="preserve"> </w:t>
      </w:r>
    </w:p>
    <w:p w14:paraId="21DBCE24" w14:textId="77777777" w:rsidR="00FA1BD9" w:rsidRDefault="00FA1BD9" w:rsidP="00F31E57"/>
    <w:permEnd w:id="1852320739"/>
    <w:p w14:paraId="16756E86" w14:textId="340F111B" w:rsidR="00F31E57" w:rsidRDefault="00F31E57" w:rsidP="00F31E57">
      <w:r>
        <w:t>&lt;ESMA_QUESTION_PRIIPs_24&gt;</w:t>
      </w:r>
    </w:p>
    <w:p w14:paraId="321DD53C"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14:paraId="3D8A2E5F" w14:textId="77777777" w:rsidR="00F31E57" w:rsidRDefault="00F31E57" w:rsidP="00F31E57">
      <w:pPr>
        <w:rPr>
          <w:rFonts w:cstheme="minorBidi"/>
        </w:rPr>
      </w:pPr>
    </w:p>
    <w:p w14:paraId="7921C89A" w14:textId="77777777" w:rsidR="00F31E57" w:rsidRDefault="00F31E57" w:rsidP="00F31E57">
      <w:r>
        <w:t>&lt;ESMA_QUESTION_PRIIPs_25&gt;</w:t>
      </w:r>
    </w:p>
    <w:p w14:paraId="4AB7CD44" w14:textId="6E9035CB" w:rsidR="00EF7BA4" w:rsidRPr="00EF7BA4" w:rsidRDefault="00FA1BD9" w:rsidP="00EF7BA4">
      <w:pPr>
        <w:rPr>
          <w:color w:val="FF0000"/>
        </w:rPr>
      </w:pPr>
      <w:permStart w:id="731077175" w:edGrp="everyone"/>
      <w:r w:rsidRPr="00EF0769">
        <w:rPr>
          <w:rFonts w:cs="Arial"/>
        </w:rPr>
        <w:t>TYPE YOUR TEXT HERE</w:t>
      </w:r>
    </w:p>
    <w:permEnd w:id="731077175"/>
    <w:p w14:paraId="14A1C302" w14:textId="77777777" w:rsidR="00F31E57" w:rsidRDefault="00F31E57" w:rsidP="00F31E57">
      <w:r>
        <w:t>&lt;ESMA_QUESTION_PRIIPs_25&gt;</w:t>
      </w:r>
    </w:p>
    <w:p w14:paraId="1CC2DF39"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w:t>
      </w:r>
      <w:r>
        <w:rPr>
          <w:rFonts w:cs="Arial"/>
        </w:rPr>
        <w:t>f</w:t>
      </w:r>
      <w:r>
        <w:rPr>
          <w:rFonts w:cs="Arial"/>
        </w:rPr>
        <w:t>ference but they will still lose money in the recovering process (fee to be paid).</w:t>
      </w:r>
    </w:p>
    <w:p w14:paraId="7AFA49B9" w14:textId="77777777" w:rsidR="00F31E57" w:rsidRDefault="00F31E57" w:rsidP="00F31E57">
      <w:pPr>
        <w:rPr>
          <w:rFonts w:cstheme="minorBidi"/>
        </w:rPr>
      </w:pPr>
    </w:p>
    <w:p w14:paraId="6EEB2B00" w14:textId="77777777" w:rsidR="00F31E57" w:rsidRDefault="00F31E57" w:rsidP="00F31E57">
      <w:r>
        <w:t>&lt;ESMA_QUESTION_PRIIPs_26&gt;</w:t>
      </w:r>
    </w:p>
    <w:p w14:paraId="084A92C2" w14:textId="36890B35" w:rsidR="00EF7BA4" w:rsidRPr="00EF7BA4" w:rsidRDefault="00FA1BD9" w:rsidP="00EF7BA4">
      <w:pPr>
        <w:rPr>
          <w:color w:val="FF0000"/>
        </w:rPr>
      </w:pPr>
      <w:permStart w:id="506032793" w:edGrp="everyone"/>
      <w:r w:rsidRPr="00EF0769">
        <w:rPr>
          <w:rFonts w:cs="Arial"/>
        </w:rPr>
        <w:t>TYPE YOUR TEXT HERE</w:t>
      </w:r>
    </w:p>
    <w:permEnd w:id="506032793"/>
    <w:p w14:paraId="25B5F0B6" w14:textId="77777777" w:rsidR="00F31E57" w:rsidRDefault="00F31E57" w:rsidP="00F31E57">
      <w:r>
        <w:t>&lt;ESMA_QUESTION_PRIIPs_26&gt;</w:t>
      </w:r>
    </w:p>
    <w:p w14:paraId="4FE03701"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w:t>
      </w:r>
      <w:r>
        <w:rPr>
          <w:rFonts w:cs="Arial"/>
        </w:rPr>
        <w:t>f</w:t>
      </w:r>
      <w:r>
        <w:rPr>
          <w:rFonts w:cs="Arial"/>
        </w:rPr>
        <w:t>ference but they will still lose money in the recovering process (fee to be paid).</w:t>
      </w:r>
    </w:p>
    <w:p w14:paraId="67AB06BD" w14:textId="77777777" w:rsidR="00F31E57" w:rsidRDefault="00F31E57" w:rsidP="00F31E57">
      <w:pPr>
        <w:rPr>
          <w:rFonts w:cstheme="minorBidi"/>
        </w:rPr>
      </w:pPr>
    </w:p>
    <w:p w14:paraId="272E77A6" w14:textId="77777777" w:rsidR="00F31E57" w:rsidRDefault="00F31E57" w:rsidP="00F31E57">
      <w:r>
        <w:t>&lt;ESMA_QUESTION_PRIIPs_27&gt;</w:t>
      </w:r>
    </w:p>
    <w:p w14:paraId="2FECC2EB" w14:textId="2C4C74EE" w:rsidR="00EF7BA4" w:rsidRPr="00EF7BA4" w:rsidRDefault="00FA1BD9" w:rsidP="00EF7BA4">
      <w:pPr>
        <w:rPr>
          <w:color w:val="FF0000"/>
        </w:rPr>
      </w:pPr>
      <w:permStart w:id="1564031582" w:edGrp="everyone"/>
      <w:r w:rsidRPr="00EF0769">
        <w:rPr>
          <w:rFonts w:cs="Arial"/>
        </w:rPr>
        <w:t>TYPE YOUR TEXT HERE</w:t>
      </w:r>
    </w:p>
    <w:permEnd w:id="1564031582"/>
    <w:p w14:paraId="688902D7" w14:textId="77777777" w:rsidR="00F31E57" w:rsidRDefault="00F31E57" w:rsidP="00F31E57">
      <w:r>
        <w:t>&lt;ESMA_QUESTION_PRIIPs_27&gt;</w:t>
      </w:r>
    </w:p>
    <w:p w14:paraId="6B3EDEF9"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This list is taken from the CESR guidelines on cost disclosure for UCITS. What is missing in the case of retail AIFs (real estate funds, private equity funds)? </w:t>
      </w:r>
    </w:p>
    <w:p w14:paraId="65FCF3BC" w14:textId="77777777" w:rsidR="00F31E57" w:rsidRDefault="00F31E57" w:rsidP="00F31E57">
      <w:pPr>
        <w:rPr>
          <w:rFonts w:cstheme="minorBidi"/>
        </w:rPr>
      </w:pPr>
    </w:p>
    <w:p w14:paraId="341F681C" w14:textId="77777777" w:rsidR="00F31E57" w:rsidRDefault="00F31E57" w:rsidP="00F31E57">
      <w:r>
        <w:t>&lt;ESMA_QUESTION_PRIIPs_28&gt;</w:t>
      </w:r>
    </w:p>
    <w:p w14:paraId="28FE6BD1" w14:textId="41E1E926" w:rsidR="00EF7BA4" w:rsidRPr="00EF7BA4" w:rsidRDefault="00FA1BD9" w:rsidP="00EF7BA4">
      <w:pPr>
        <w:rPr>
          <w:color w:val="FF0000"/>
        </w:rPr>
      </w:pPr>
      <w:permStart w:id="400235608" w:edGrp="everyone"/>
      <w:r w:rsidRPr="00EF0769">
        <w:rPr>
          <w:rFonts w:cs="Arial"/>
        </w:rPr>
        <w:t>TYPE YOUR TEXT HERE</w:t>
      </w:r>
    </w:p>
    <w:permEnd w:id="400235608"/>
    <w:p w14:paraId="2D7CDCFF" w14:textId="77777777" w:rsidR="00F31E57" w:rsidRDefault="00F31E57" w:rsidP="00F31E57">
      <w:r>
        <w:t>&lt;ESMA_QUESTION_PRIIPs_28&gt;</w:t>
      </w:r>
    </w:p>
    <w:p w14:paraId="2A36DE48"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14:paraId="15FA3A1D" w14:textId="77777777" w:rsidR="00F31E57" w:rsidRDefault="00F31E57" w:rsidP="00F31E57">
      <w:pPr>
        <w:rPr>
          <w:rFonts w:cstheme="minorBidi"/>
        </w:rPr>
      </w:pPr>
    </w:p>
    <w:p w14:paraId="3B9428BA" w14:textId="77777777" w:rsidR="00F31E57" w:rsidRDefault="00F31E57" w:rsidP="00F31E57">
      <w:r>
        <w:t>&lt;ESMA_QUESTION_PRIIPs_29&gt;</w:t>
      </w:r>
    </w:p>
    <w:p w14:paraId="437AFE7A" w14:textId="25C6B9AB" w:rsidR="00EF7BA4" w:rsidRPr="00EF7BA4" w:rsidRDefault="00FA1BD9" w:rsidP="00EF7BA4">
      <w:pPr>
        <w:rPr>
          <w:color w:val="FF0000"/>
        </w:rPr>
      </w:pPr>
      <w:permStart w:id="731211046" w:edGrp="everyone"/>
      <w:r w:rsidRPr="00EF0769">
        <w:rPr>
          <w:rFonts w:cs="Arial"/>
        </w:rPr>
        <w:t>TYPE YOUR TEXT HERE</w:t>
      </w:r>
    </w:p>
    <w:permEnd w:id="731211046"/>
    <w:p w14:paraId="03DA7A99" w14:textId="77777777" w:rsidR="00F31E57" w:rsidRDefault="00F31E57" w:rsidP="00F31E57">
      <w:r>
        <w:t>&lt;ESMA_QUESTION_PRIIPs_29&gt;</w:t>
      </w:r>
    </w:p>
    <w:p w14:paraId="6F9DF6A7"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Is it relevant to include this type of costs in the costs to be disclosed in the on-going charges? Which are the specific issues in relation to this type of costs? Which definition of Costs for capital guarantee or capital protection would you suggest? (Contribution for deposit insurance or cost of external guarantor?)</w:t>
      </w:r>
    </w:p>
    <w:p w14:paraId="1A0C51EB" w14:textId="77777777" w:rsidR="00F31E57" w:rsidRDefault="00F31E57" w:rsidP="00F31E57">
      <w:pPr>
        <w:rPr>
          <w:rFonts w:cstheme="minorBidi"/>
        </w:rPr>
      </w:pPr>
    </w:p>
    <w:p w14:paraId="65AF518D" w14:textId="77777777" w:rsidR="00F31E57" w:rsidRDefault="00F31E57" w:rsidP="00F31E57">
      <w:r>
        <w:t>&lt;ESMA_QUESTION_PRIIPs_30&gt;</w:t>
      </w:r>
    </w:p>
    <w:p w14:paraId="60816815" w14:textId="6EAA4BCF" w:rsidR="00EF7BA4" w:rsidRPr="00EF7BA4" w:rsidRDefault="00FA1BD9" w:rsidP="00EF7BA4">
      <w:pPr>
        <w:rPr>
          <w:color w:val="FF0000"/>
        </w:rPr>
      </w:pPr>
      <w:permStart w:id="1040072999" w:edGrp="everyone"/>
      <w:r w:rsidRPr="00EF0769">
        <w:rPr>
          <w:rFonts w:cs="Arial"/>
        </w:rPr>
        <w:t>TYPE YOUR TEXT HERE</w:t>
      </w:r>
    </w:p>
    <w:permEnd w:id="1040072999"/>
    <w:p w14:paraId="3927FC70" w14:textId="77777777" w:rsidR="00F31E57" w:rsidRDefault="00F31E57" w:rsidP="00F31E57">
      <w:r>
        <w:t>&lt;ESMA_QUESTION_PRIIPs_30&gt;</w:t>
      </w:r>
    </w:p>
    <w:p w14:paraId="4E0C29CE"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are the specific issues in relation to this type of costs? Should the scope of these costs be narrowed to administrative costs in connection with investments in derivative instruments? In that respect, it could be argued that margin calls itself should not be considered as costs. The possible rationale behind this reasoning would be that margin calls may result in missed revenues, since no return is rea</w:t>
      </w:r>
      <w:r>
        <w:rPr>
          <w:rFonts w:cs="Arial"/>
        </w:rPr>
        <w:t>l</w:t>
      </w:r>
      <w:r>
        <w:rPr>
          <w:rFonts w:cs="Arial"/>
        </w:rPr>
        <w:t xml:space="preserve">ized on the cash amount that is deposited, and that: </w:t>
      </w:r>
    </w:p>
    <w:p w14:paraId="43ACAADD" w14:textId="77777777" w:rsidR="00F31E57" w:rsidRDefault="00F31E57" w:rsidP="00F31E57">
      <w:pPr>
        <w:rPr>
          <w:rFonts w:cstheme="minorBidi"/>
        </w:rPr>
      </w:pPr>
    </w:p>
    <w:p w14:paraId="5223B0C2" w14:textId="77777777" w:rsidR="00F31E57" w:rsidRDefault="00F31E57" w:rsidP="00F31E57">
      <w:r>
        <w:t>&lt;ESMA_QUESTION_PRIIPs_31&gt;</w:t>
      </w:r>
    </w:p>
    <w:p w14:paraId="5F82DEB2" w14:textId="608B5B9A" w:rsidR="00EF7BA4" w:rsidRPr="00EF7BA4" w:rsidRDefault="00FA1BD9" w:rsidP="00EF7BA4">
      <w:pPr>
        <w:rPr>
          <w:color w:val="FF0000"/>
        </w:rPr>
      </w:pPr>
      <w:permStart w:id="372533518" w:edGrp="everyone"/>
      <w:r w:rsidRPr="00EF0769">
        <w:rPr>
          <w:rFonts w:cs="Arial"/>
        </w:rPr>
        <w:t>TYPE YOUR TEXT HERE</w:t>
      </w:r>
    </w:p>
    <w:permEnd w:id="372533518"/>
    <w:p w14:paraId="59C99BAA" w14:textId="77777777" w:rsidR="00F31E57" w:rsidRDefault="00F31E57" w:rsidP="00F31E57">
      <w:r>
        <w:t>&lt;ESMA_QUESTION_PRIIPs_31&gt;</w:t>
      </w:r>
    </w:p>
    <w:p w14:paraId="2665B4E2"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t xml:space="preserve">Which are the specific issues in relation to this type of costs? Should this type of costs be further detailed/ defined? </w:t>
      </w:r>
    </w:p>
    <w:p w14:paraId="26D8F9B3" w14:textId="77777777" w:rsidR="00F31E57" w:rsidRDefault="00F31E57" w:rsidP="00F31E57"/>
    <w:p w14:paraId="6CF01952" w14:textId="77777777" w:rsidR="00F31E57" w:rsidRDefault="00F31E57" w:rsidP="00F31E57">
      <w:r>
        <w:t>&lt;ESMA_QUESTION_PRIIPs_32&gt;</w:t>
      </w:r>
    </w:p>
    <w:p w14:paraId="616063A7" w14:textId="7542755D" w:rsidR="003B36D5" w:rsidRPr="00EF7BA4" w:rsidRDefault="00FA1BD9" w:rsidP="003B36D5">
      <w:pPr>
        <w:rPr>
          <w:color w:val="FF0000"/>
        </w:rPr>
      </w:pPr>
      <w:permStart w:id="1312976344" w:edGrp="everyone"/>
      <w:r w:rsidRPr="00EF0769">
        <w:rPr>
          <w:rFonts w:cs="Arial"/>
        </w:rPr>
        <w:t>TYPE YOUR TEXT HERE</w:t>
      </w:r>
    </w:p>
    <w:permEnd w:id="1312976344"/>
    <w:p w14:paraId="26A6E2A5" w14:textId="77777777" w:rsidR="00F31E57" w:rsidRDefault="00F31E57" w:rsidP="00F31E57">
      <w:r>
        <w:t>&lt;ESMA_QUESTION_PRIIPs_32&gt;</w:t>
      </w:r>
    </w:p>
    <w:p w14:paraId="6B519DD2"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estima</w:t>
      </w:r>
      <w:r>
        <w:rPr>
          <w:rFonts w:cs="Arial"/>
        </w:rPr>
        <w:t>t</w:t>
      </w:r>
      <w:r>
        <w:rPr>
          <w:rFonts w:cs="Arial"/>
        </w:rPr>
        <w:t>ed ex-ante and that estimation of future dividends for main indices are normally available?</w:t>
      </w:r>
    </w:p>
    <w:p w14:paraId="35205EE0" w14:textId="77777777" w:rsidR="00F31E57" w:rsidRDefault="00F31E57" w:rsidP="00F31E57">
      <w:pPr>
        <w:rPr>
          <w:rFonts w:cstheme="minorBidi"/>
        </w:rPr>
      </w:pPr>
    </w:p>
    <w:p w14:paraId="35E48C45" w14:textId="77777777" w:rsidR="00F31E57" w:rsidRDefault="00F31E57" w:rsidP="00F31E57">
      <w:r>
        <w:t>&lt;ESMA_QUESTION_PRIIPs_33&gt;</w:t>
      </w:r>
    </w:p>
    <w:p w14:paraId="3AA6302D" w14:textId="5764ACB0" w:rsidR="00EF7BA4" w:rsidRPr="00EF7BA4" w:rsidRDefault="00FA1BD9" w:rsidP="00EF7BA4">
      <w:pPr>
        <w:rPr>
          <w:color w:val="FF0000"/>
        </w:rPr>
      </w:pPr>
      <w:permStart w:id="542511001" w:edGrp="everyone"/>
      <w:r w:rsidRPr="00EF0769">
        <w:rPr>
          <w:rFonts w:cs="Arial"/>
        </w:rPr>
        <w:t>TYPE YOUR TEXT HERE</w:t>
      </w:r>
    </w:p>
    <w:permEnd w:id="542511001"/>
    <w:p w14:paraId="6261DF46" w14:textId="77777777" w:rsidR="00F31E57" w:rsidRDefault="00F31E57" w:rsidP="00F31E57">
      <w:r>
        <w:t>&lt;ESMA_QUESTION_PRIIPs_33&gt;</w:t>
      </w:r>
    </w:p>
    <w:p w14:paraId="5FBF5C4A"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t xml:space="preserve">Is this description comprehensive? </w:t>
      </w:r>
    </w:p>
    <w:p w14:paraId="4B44773F" w14:textId="77777777" w:rsidR="00F31E57" w:rsidRDefault="00F31E57" w:rsidP="00F31E57">
      <w:pPr>
        <w:rPr>
          <w:rFonts w:eastAsiaTheme="minorHAnsi" w:cstheme="minorBidi"/>
          <w:lang w:eastAsia="en-US"/>
        </w:rPr>
      </w:pPr>
    </w:p>
    <w:p w14:paraId="1C9F891A" w14:textId="77777777" w:rsidR="00F31E57" w:rsidRDefault="00F31E57" w:rsidP="00F31E57">
      <w:r>
        <w:t>&lt;ESMA_QUESTION_PRIIPs_34&gt;</w:t>
      </w:r>
    </w:p>
    <w:p w14:paraId="1492FC33" w14:textId="72D7C2ED" w:rsidR="00EF7BA4" w:rsidRPr="00EF7BA4" w:rsidRDefault="00FA1BD9" w:rsidP="00EF7BA4">
      <w:pPr>
        <w:rPr>
          <w:color w:val="FF0000"/>
        </w:rPr>
      </w:pPr>
      <w:permStart w:id="669991000" w:edGrp="everyone"/>
      <w:r w:rsidRPr="00EF0769">
        <w:rPr>
          <w:rFonts w:cs="Arial"/>
        </w:rPr>
        <w:t>TYPE YOUR TEXT HERE</w:t>
      </w:r>
    </w:p>
    <w:permEnd w:id="669991000"/>
    <w:p w14:paraId="5EF57AFE" w14:textId="77777777" w:rsidR="00F31E57" w:rsidRDefault="00F31E57" w:rsidP="00F31E57">
      <w:r>
        <w:t>&lt;ESMA_QUESTION_PRIIPs_34&gt;</w:t>
      </w:r>
    </w:p>
    <w:p w14:paraId="0A7C415C"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difficulties with calculating and presenting explicit broker commissions? How can explicit broker commissions best be calculated ex-ante?</w:t>
      </w:r>
    </w:p>
    <w:p w14:paraId="5BE42D27" w14:textId="77777777" w:rsidR="00F31E57" w:rsidRDefault="00F31E57" w:rsidP="00F31E57">
      <w:pPr>
        <w:rPr>
          <w:rFonts w:cstheme="minorBidi"/>
        </w:rPr>
      </w:pPr>
    </w:p>
    <w:p w14:paraId="5BA51CFD" w14:textId="77777777" w:rsidR="00F31E57" w:rsidRDefault="00F31E57" w:rsidP="00F31E57">
      <w:r>
        <w:t>&lt;ESMA_QUESTION_PRIIPs_35&gt;</w:t>
      </w:r>
    </w:p>
    <w:p w14:paraId="65E1FFCD" w14:textId="3EC0BA55" w:rsidR="00EF7BA4" w:rsidRPr="00EF7BA4" w:rsidRDefault="00FA1BD9" w:rsidP="00EF7BA4">
      <w:pPr>
        <w:rPr>
          <w:color w:val="FF0000"/>
        </w:rPr>
      </w:pPr>
      <w:permStart w:id="848576400" w:edGrp="everyone"/>
      <w:r w:rsidRPr="00EF0769">
        <w:rPr>
          <w:rFonts w:cs="Arial"/>
        </w:rPr>
        <w:t>TYPE YOUR TEXT HERE</w:t>
      </w:r>
    </w:p>
    <w:permEnd w:id="848576400"/>
    <w:p w14:paraId="460BF134" w14:textId="77777777" w:rsidR="00F31E57" w:rsidRDefault="00F31E57" w:rsidP="00F31E57">
      <w:r>
        <w:t>&lt;ESMA_QUESTION_PRIIPs_35&gt;</w:t>
      </w:r>
    </w:p>
    <w:p w14:paraId="5331334D"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(booking fees paid to custody banks that are billed separately from the annual custodian fee paid for depositing the securities) should be added to this list?</w:t>
      </w:r>
    </w:p>
    <w:p w14:paraId="218A01E4" w14:textId="77777777" w:rsidR="00F31E57" w:rsidRDefault="00F31E57" w:rsidP="00F31E57">
      <w:pPr>
        <w:rPr>
          <w:rFonts w:cstheme="minorBidi"/>
        </w:rPr>
      </w:pPr>
    </w:p>
    <w:p w14:paraId="46775767" w14:textId="77777777" w:rsidR="00F31E57" w:rsidRDefault="00F31E57" w:rsidP="00F31E57">
      <w:r>
        <w:t>&lt;ESMA_QUESTION_PRIIPs_36&gt;</w:t>
      </w:r>
    </w:p>
    <w:p w14:paraId="2A1F3C0F" w14:textId="5DFB8ED6" w:rsidR="00EF7BA4" w:rsidRPr="00EF7BA4" w:rsidRDefault="00FA1BD9" w:rsidP="00EF7BA4">
      <w:pPr>
        <w:rPr>
          <w:color w:val="FF0000"/>
        </w:rPr>
      </w:pPr>
      <w:permStart w:id="808984755" w:edGrp="everyone"/>
      <w:r w:rsidRPr="00EF0769">
        <w:rPr>
          <w:rFonts w:cs="Arial"/>
        </w:rPr>
        <w:t>TYPE YOUR TEXT HERE</w:t>
      </w:r>
    </w:p>
    <w:permEnd w:id="808984755"/>
    <w:p w14:paraId="7E91D01C" w14:textId="77777777" w:rsidR="00F31E57" w:rsidRDefault="00F31E57" w:rsidP="00F31E57">
      <w:r>
        <w:t>&lt;ESMA_QUESTION_PRIIPs_36&gt;</w:t>
      </w:r>
    </w:p>
    <w:p w14:paraId="3AE9D029"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t xml:space="preserve">As regards the abovementioned estimate, </w:t>
      </w:r>
      <w:r>
        <w:rPr>
          <w:rFonts w:cs="Arial"/>
        </w:rPr>
        <w:t>can the fair value approach be used?</w:t>
      </w:r>
      <w:r>
        <w:rPr>
          <w:rStyle w:val="FootnoteReference"/>
          <w:rFonts w:cs="Arial"/>
        </w:rPr>
        <w:footnoteReference w:id="3"/>
      </w:r>
      <w:r>
        <w:rPr>
          <w:rFonts w:cs="Arial"/>
        </w:rPr>
        <w:t xml:space="preserve"> </w:t>
      </w:r>
    </w:p>
    <w:p w14:paraId="36E396D4" w14:textId="77777777" w:rsidR="00F31E57" w:rsidRDefault="00F31E57" w:rsidP="00F31E57">
      <w:pPr>
        <w:rPr>
          <w:rFonts w:eastAsiaTheme="minorHAnsi" w:cstheme="minorBidi"/>
          <w:lang w:eastAsia="en-US"/>
        </w:rPr>
      </w:pPr>
    </w:p>
    <w:p w14:paraId="541E0600" w14:textId="77777777" w:rsidR="00F31E57" w:rsidRDefault="00F31E57" w:rsidP="00F31E57">
      <w:r>
        <w:t>&lt;ESMA_QUESTION_PRIIPs_37&gt;</w:t>
      </w:r>
    </w:p>
    <w:p w14:paraId="49DBF0C2" w14:textId="3D33D4A5" w:rsidR="003B36D5" w:rsidRPr="00EF7BA4" w:rsidRDefault="00FA1BD9" w:rsidP="003B36D5">
      <w:pPr>
        <w:rPr>
          <w:color w:val="FF0000"/>
        </w:rPr>
      </w:pPr>
      <w:permStart w:id="1029906615" w:edGrp="everyone"/>
      <w:r w:rsidRPr="00EF0769">
        <w:rPr>
          <w:rFonts w:cs="Arial"/>
        </w:rPr>
        <w:t>TYPE YOUR TEXT HERE</w:t>
      </w:r>
    </w:p>
    <w:permEnd w:id="1029906615"/>
    <w:p w14:paraId="0947BB2D" w14:textId="77777777" w:rsidR="00F31E57" w:rsidRDefault="00F31E57" w:rsidP="00F31E57">
      <w:r>
        <w:t>&lt;ESMA_QUESTION_PRIIPs_37&gt;</w:t>
      </w:r>
    </w:p>
    <w:p w14:paraId="1FE45609"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other difficulties with calculating and presenting the bid-ask spread? Do you believe broker commissions included in the spread should be di</w:t>
      </w:r>
      <w:r>
        <w:rPr>
          <w:rFonts w:cs="Arial"/>
        </w:rPr>
        <w:t>s</w:t>
      </w:r>
      <w:r>
        <w:rPr>
          <w:rFonts w:cs="Arial"/>
        </w:rPr>
        <w:t>closed? If so, which of the above mentioned approaches do you think would be more suitable for ex-ante calculations or are there alternative methods not e</w:t>
      </w:r>
      <w:r>
        <w:rPr>
          <w:rFonts w:cs="Arial"/>
        </w:rPr>
        <w:t>x</w:t>
      </w:r>
      <w:r>
        <w:rPr>
          <w:rFonts w:cs="Arial"/>
        </w:rPr>
        <w:t xml:space="preserve">plored above? </w:t>
      </w:r>
    </w:p>
    <w:p w14:paraId="15C562F3" w14:textId="77777777" w:rsidR="00F31E57" w:rsidRDefault="00F31E57" w:rsidP="00F31E57">
      <w:pPr>
        <w:rPr>
          <w:rFonts w:cstheme="minorBidi"/>
        </w:rPr>
      </w:pPr>
    </w:p>
    <w:p w14:paraId="5071C949" w14:textId="77777777" w:rsidR="00F31E57" w:rsidRDefault="00F31E57" w:rsidP="00F31E57">
      <w:r>
        <w:t>&lt;ESMA_QUESTION_PRIIPs_38&gt;</w:t>
      </w:r>
    </w:p>
    <w:p w14:paraId="0B4FC419" w14:textId="123B0EB4" w:rsidR="00EF7BA4" w:rsidRPr="00EF7BA4" w:rsidRDefault="00FA1BD9" w:rsidP="00EF7BA4">
      <w:pPr>
        <w:rPr>
          <w:color w:val="FF0000"/>
        </w:rPr>
      </w:pPr>
      <w:permStart w:id="1851929946" w:edGrp="everyone"/>
      <w:r w:rsidRPr="00EF0769">
        <w:rPr>
          <w:rFonts w:cs="Arial"/>
        </w:rPr>
        <w:t>TYPE YOUR TEXT HERE</w:t>
      </w:r>
    </w:p>
    <w:permEnd w:id="1851929946"/>
    <w:p w14:paraId="1E231AD4" w14:textId="77777777" w:rsidR="00F31E57" w:rsidRDefault="00F31E57" w:rsidP="00F31E57">
      <w:r>
        <w:t>&lt;ESMA_QUESTION_PRIIPs_38&gt;</w:t>
      </w:r>
    </w:p>
    <w:p w14:paraId="43C8E9D1"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w:t>
      </w:r>
      <w:r>
        <w:rPr>
          <w:rFonts w:cs="Arial"/>
        </w:rPr>
        <w:t>n</w:t>
      </w:r>
      <w:r>
        <w:rPr>
          <w:rFonts w:cs="Arial"/>
        </w:rPr>
        <w:t>der the PRIIPs regulation? If so, how can the market impact costs best be calcula</w:t>
      </w:r>
      <w:r>
        <w:rPr>
          <w:rFonts w:cs="Arial"/>
        </w:rPr>
        <w:t>t</w:t>
      </w:r>
      <w:r>
        <w:rPr>
          <w:rFonts w:cs="Arial"/>
        </w:rPr>
        <w:t>ed? How should this be done to give the best estimate ex-ante?</w:t>
      </w:r>
    </w:p>
    <w:p w14:paraId="0DBED69D" w14:textId="77777777" w:rsidR="00F31E57" w:rsidRDefault="00F31E57" w:rsidP="00F31E57">
      <w:pPr>
        <w:rPr>
          <w:rFonts w:cstheme="minorBidi"/>
        </w:rPr>
      </w:pPr>
    </w:p>
    <w:p w14:paraId="6D3BF6C9" w14:textId="77777777" w:rsidR="00F31E57" w:rsidRDefault="00F31E57" w:rsidP="00F31E57">
      <w:r>
        <w:t>&lt;ESMA_QUESTION_PRIIPs_39&gt;</w:t>
      </w:r>
    </w:p>
    <w:p w14:paraId="0E22B2D9" w14:textId="05D2B530" w:rsidR="00EF7BA4" w:rsidRPr="00EF7BA4" w:rsidRDefault="00FA1BD9" w:rsidP="00EF7BA4">
      <w:pPr>
        <w:rPr>
          <w:color w:val="FF0000"/>
        </w:rPr>
      </w:pPr>
      <w:permStart w:id="88110427" w:edGrp="everyone"/>
      <w:r w:rsidRPr="00EF0769">
        <w:rPr>
          <w:rFonts w:cs="Arial"/>
        </w:rPr>
        <w:t>TYPE YOUR TEXT HERE</w:t>
      </w:r>
    </w:p>
    <w:permEnd w:id="88110427"/>
    <w:p w14:paraId="70CCDF51" w14:textId="77777777" w:rsidR="00F31E57" w:rsidRDefault="00F31E57" w:rsidP="00F31E57">
      <w:r>
        <w:t>&lt;ESMA_QUESTION_PRIIPs_39&gt;</w:t>
      </w:r>
    </w:p>
    <w:p w14:paraId="7EA0195D"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ex-ante? Can you identify any other problems related to calculating and presenting entry- and exit fees?</w:t>
      </w:r>
    </w:p>
    <w:p w14:paraId="5EF9F733" w14:textId="77777777" w:rsidR="00F31E57" w:rsidRDefault="00F31E57" w:rsidP="00F31E57">
      <w:pPr>
        <w:rPr>
          <w:rFonts w:cstheme="minorBidi"/>
        </w:rPr>
      </w:pPr>
    </w:p>
    <w:p w14:paraId="368D4774" w14:textId="77777777" w:rsidR="00F31E57" w:rsidRDefault="00F31E57" w:rsidP="00F31E57">
      <w:r>
        <w:t>&lt;ESMA_QUESTION_PRIIPs_40&gt;</w:t>
      </w:r>
    </w:p>
    <w:p w14:paraId="5C0BCAF5" w14:textId="2913E93B" w:rsidR="003338CD" w:rsidRPr="00EF7BA4" w:rsidRDefault="00FA1BD9" w:rsidP="003338CD">
      <w:pPr>
        <w:rPr>
          <w:color w:val="FF0000"/>
        </w:rPr>
      </w:pPr>
      <w:permStart w:id="1750732776" w:edGrp="everyone"/>
      <w:r w:rsidRPr="00EF0769">
        <w:rPr>
          <w:rFonts w:cs="Arial"/>
        </w:rPr>
        <w:t>TYPE YOUR TEXT HERE</w:t>
      </w:r>
    </w:p>
    <w:permEnd w:id="1750732776"/>
    <w:p w14:paraId="0CE8C120" w14:textId="77777777" w:rsidR="00F31E57" w:rsidRDefault="00F31E57" w:rsidP="00F31E57">
      <w:r>
        <w:t>&lt;ESMA_QUESTION_PRIIPs_40&gt;</w:t>
      </w:r>
    </w:p>
    <w:p w14:paraId="5845B08E"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other technical specifications would you suggest adding to the abovementioned methodology</w:t>
      </w:r>
      <w:r>
        <w:rPr>
          <w:rFonts w:cs="Arial"/>
        </w:rPr>
        <w:t>? Which other technical issues do you identify as regards the implementation of the methodology?</w:t>
      </w:r>
    </w:p>
    <w:p w14:paraId="04931FD1" w14:textId="77777777" w:rsidR="00F31E57" w:rsidRDefault="00F31E57" w:rsidP="00F31E57">
      <w:pPr>
        <w:rPr>
          <w:rFonts w:cstheme="minorBidi"/>
        </w:rPr>
      </w:pPr>
    </w:p>
    <w:p w14:paraId="1B383B71" w14:textId="77777777" w:rsidR="00F31E57" w:rsidRDefault="00F31E57" w:rsidP="00F31E57">
      <w:r>
        <w:t>&lt;ESMA_QUESTION_PRIIPs_41&gt;</w:t>
      </w:r>
    </w:p>
    <w:p w14:paraId="76291BFC" w14:textId="77777777" w:rsidR="00FA1BD9" w:rsidRDefault="00FA1BD9" w:rsidP="00F31E57">
      <w:permStart w:id="1793621960" w:edGrp="everyone"/>
      <w:r w:rsidRPr="00EF0769">
        <w:rPr>
          <w:rFonts w:cs="Arial"/>
        </w:rPr>
        <w:t>TYPE YOUR TEXT HERE</w:t>
      </w:r>
      <w:r>
        <w:t xml:space="preserve"> </w:t>
      </w:r>
    </w:p>
    <w:permEnd w:id="1793621960"/>
    <w:p w14:paraId="44BCE1A9" w14:textId="22238710" w:rsidR="00F31E57" w:rsidRDefault="00F31E57" w:rsidP="00F31E57">
      <w:r>
        <w:t>&lt;ESMA_QUESTION_PRIIPs_41&gt;</w:t>
      </w:r>
    </w:p>
    <w:p w14:paraId="1D29EA89"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disclosure of the PRIIPs Regulation?</w:t>
      </w:r>
    </w:p>
    <w:p w14:paraId="6C1750F3" w14:textId="77777777" w:rsidR="00F31E57" w:rsidRDefault="00F31E57" w:rsidP="00F31E57">
      <w:pPr>
        <w:rPr>
          <w:rFonts w:cstheme="minorBidi"/>
        </w:rPr>
      </w:pPr>
    </w:p>
    <w:p w14:paraId="5589698B" w14:textId="77777777" w:rsidR="00F31E57" w:rsidRDefault="00F31E57" w:rsidP="00F31E57">
      <w:r>
        <w:t>&lt;ESMA_QUESTION_PRIIPs_42&gt;</w:t>
      </w:r>
    </w:p>
    <w:p w14:paraId="2B8AA39C" w14:textId="77777777" w:rsidR="00FA1BD9" w:rsidRDefault="00FA1BD9" w:rsidP="00F31E57">
      <w:permStart w:id="772738189" w:edGrp="everyone"/>
      <w:r w:rsidRPr="00EF0769">
        <w:rPr>
          <w:rFonts w:cs="Arial"/>
        </w:rPr>
        <w:t>TYPE YOUR TEXT HERE</w:t>
      </w:r>
      <w:r>
        <w:t xml:space="preserve"> </w:t>
      </w:r>
    </w:p>
    <w:permEnd w:id="772738189"/>
    <w:p w14:paraId="6CD0EB07" w14:textId="00B3702B" w:rsidR="00F31E57" w:rsidRDefault="00F31E57" w:rsidP="00F31E57">
      <w:r>
        <w:t>&lt;ESMA_QUESTION_PRIIPs_42&gt;</w:t>
      </w:r>
    </w:p>
    <w:p w14:paraId="25D55412"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the appropriate assumption for the rate of returns, in general and in the specific case of the calculation of performance fees?</w:t>
      </w:r>
    </w:p>
    <w:p w14:paraId="0406F901" w14:textId="77777777" w:rsidR="00F31E57" w:rsidRDefault="00F31E57" w:rsidP="00F31E57">
      <w:pPr>
        <w:rPr>
          <w:rFonts w:cstheme="minorBidi"/>
        </w:rPr>
      </w:pPr>
    </w:p>
    <w:p w14:paraId="1A8B5343" w14:textId="77777777" w:rsidR="00F31E57" w:rsidRDefault="00F31E57" w:rsidP="00F31E57">
      <w:r>
        <w:t>&lt;ESMA_QUESTION_PRIIPs_43&gt;</w:t>
      </w:r>
    </w:p>
    <w:p w14:paraId="78B8BF86" w14:textId="6253A805" w:rsidR="003338CD" w:rsidRPr="00EF7BA4" w:rsidRDefault="00FA1BD9" w:rsidP="003338CD">
      <w:pPr>
        <w:rPr>
          <w:color w:val="FF0000"/>
        </w:rPr>
      </w:pPr>
      <w:permStart w:id="1539583014" w:edGrp="everyone"/>
      <w:r w:rsidRPr="00EF0769">
        <w:rPr>
          <w:rFonts w:cs="Arial"/>
        </w:rPr>
        <w:t>TYPE YOUR TEXT HERE</w:t>
      </w:r>
    </w:p>
    <w:permEnd w:id="1539583014"/>
    <w:p w14:paraId="760D963B" w14:textId="77777777" w:rsidR="00F31E57" w:rsidRDefault="00F31E57" w:rsidP="00F31E57">
      <w:r>
        <w:t>&lt;ESMA_QUESTION_PRIIPs_43&gt;</w:t>
      </w:r>
    </w:p>
    <w:p w14:paraId="024939C4"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option do you favor</w:t>
      </w:r>
      <w:r>
        <w:rPr>
          <w:rFonts w:cs="Arial"/>
        </w:rPr>
        <w:t>? Do you identify another possible approach to the di</w:t>
      </w:r>
      <w:r>
        <w:rPr>
          <w:rFonts w:cs="Arial"/>
        </w:rPr>
        <w:t>s</w:t>
      </w:r>
      <w:r>
        <w:rPr>
          <w:rFonts w:cs="Arial"/>
        </w:rPr>
        <w:t>closure and calculation of performance fees in the context of the KID?</w:t>
      </w:r>
    </w:p>
    <w:p w14:paraId="4E39D012" w14:textId="77777777" w:rsidR="00F31E57" w:rsidRDefault="00F31E57" w:rsidP="00F31E57">
      <w:pPr>
        <w:rPr>
          <w:rFonts w:cstheme="minorBidi"/>
        </w:rPr>
      </w:pPr>
    </w:p>
    <w:p w14:paraId="1AF02167" w14:textId="77777777" w:rsidR="00F31E57" w:rsidRDefault="00F31E57" w:rsidP="00F31E57">
      <w:r>
        <w:t>&lt;ESMA_QUESTION_PRIIPs_44&gt;</w:t>
      </w:r>
    </w:p>
    <w:p w14:paraId="62986333" w14:textId="2987E9F8" w:rsidR="003338CD" w:rsidRPr="00EF7BA4" w:rsidRDefault="00FA1BD9" w:rsidP="003338CD">
      <w:pPr>
        <w:rPr>
          <w:color w:val="FF0000"/>
        </w:rPr>
      </w:pPr>
      <w:permStart w:id="1794779044" w:edGrp="everyone"/>
      <w:r w:rsidRPr="00EF0769">
        <w:rPr>
          <w:rFonts w:cs="Arial"/>
        </w:rPr>
        <w:t>TYPE YOUR TEXT HERE</w:t>
      </w:r>
    </w:p>
    <w:permEnd w:id="1794779044"/>
    <w:p w14:paraId="328DA102" w14:textId="77777777" w:rsidR="00F31E57" w:rsidRDefault="00F31E57" w:rsidP="00F31E57">
      <w:r>
        <w:t>&lt;ESMA_QUESTION_PRIIPs_44&gt;</w:t>
      </w:r>
    </w:p>
    <w:p w14:paraId="7E668B83"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Which of the above mentioned options 1 and 2 for the calculation of aggregate costs would you prefer? Do you agree with above mentioned assumptions on the specificities of the costs of life-insurance products? How should the breakdown of costs showing costs specific to the insurance cover be specified? Do you think that risk-type riders (e.g. term or disability or accident insurances) have to be di</w:t>
      </w:r>
      <w:r>
        <w:rPr>
          <w:rFonts w:eastAsia="Times New Roman" w:cs="Arial"/>
          <w:lang w:eastAsia="hu-HU"/>
        </w:rPr>
        <w:t>s</w:t>
      </w:r>
      <w:r>
        <w:rPr>
          <w:rFonts w:eastAsia="Times New Roman" w:cs="Arial"/>
          <w:lang w:eastAsia="hu-HU"/>
        </w:rPr>
        <w:t xml:space="preserve">regarded in the calculation of the aggregated cost indicator? How shall risk-type rider be defined in this context? (one possible approach might be: A risk-type rider in this context is an additional insurance cover without a savings element, which has separate contractual terms and separate premiums and that the customer is not obliged to buy as a compulsory part of the product). </w:t>
      </w:r>
    </w:p>
    <w:p w14:paraId="3F030CDD" w14:textId="77777777" w:rsidR="00F31E57" w:rsidRDefault="00F31E57" w:rsidP="00F31E57">
      <w:pPr>
        <w:rPr>
          <w:rFonts w:eastAsiaTheme="minorHAnsi" w:cstheme="minorBidi"/>
          <w:lang w:eastAsia="en-US"/>
        </w:rPr>
      </w:pPr>
    </w:p>
    <w:p w14:paraId="73113FE4" w14:textId="77777777" w:rsidR="00F31E57" w:rsidRDefault="00F31E57" w:rsidP="00F31E57">
      <w:r>
        <w:t>&lt;ESMA_QUESTION_PRIIPs_45&gt;</w:t>
      </w:r>
    </w:p>
    <w:p w14:paraId="0B228E8C" w14:textId="3E877742" w:rsidR="003338CD" w:rsidRPr="00EF7BA4" w:rsidRDefault="00FA1BD9" w:rsidP="003338CD">
      <w:pPr>
        <w:rPr>
          <w:color w:val="FF0000"/>
        </w:rPr>
      </w:pPr>
      <w:permStart w:id="16209071" w:edGrp="everyone"/>
      <w:r w:rsidRPr="00EF0769">
        <w:rPr>
          <w:rFonts w:cs="Arial"/>
        </w:rPr>
        <w:t>TYPE YOUR TEXT HERE</w:t>
      </w:r>
    </w:p>
    <w:permEnd w:id="16209071"/>
    <w:p w14:paraId="0F278B86" w14:textId="77777777" w:rsidR="00F31E57" w:rsidRDefault="00F31E57" w:rsidP="00F31E57">
      <w:r>
        <w:t>&lt;ESMA_QUESTION_PRIIPs_45&gt;</w:t>
      </w:r>
    </w:p>
    <w:p w14:paraId="7B20498D"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Do you think this list is comprehensive? Should these different types of costs be further defined? </w:t>
      </w:r>
    </w:p>
    <w:p w14:paraId="20B29711" w14:textId="77777777" w:rsidR="00F31E57" w:rsidRDefault="00F31E57" w:rsidP="00F31E57">
      <w:pPr>
        <w:rPr>
          <w:rFonts w:eastAsiaTheme="minorHAnsi" w:cstheme="minorBidi"/>
          <w:lang w:eastAsia="en-US"/>
        </w:rPr>
      </w:pPr>
    </w:p>
    <w:p w14:paraId="7E5A2FED" w14:textId="77777777" w:rsidR="00F31E57" w:rsidRDefault="00F31E57" w:rsidP="00F31E57">
      <w:r>
        <w:t>&lt;ESMA_QUESTION_PRIIPs_46&gt;</w:t>
      </w:r>
    </w:p>
    <w:p w14:paraId="47C33D5E" w14:textId="3128A30C" w:rsidR="003338CD" w:rsidRPr="00EF7BA4" w:rsidRDefault="00FA1BD9" w:rsidP="003338CD">
      <w:pPr>
        <w:rPr>
          <w:color w:val="FF0000"/>
        </w:rPr>
      </w:pPr>
      <w:permStart w:id="1784030926" w:edGrp="everyone"/>
      <w:r w:rsidRPr="00EF0769">
        <w:rPr>
          <w:rFonts w:cs="Arial"/>
        </w:rPr>
        <w:t>TYPE YOUR TEXT HERE</w:t>
      </w:r>
    </w:p>
    <w:permEnd w:id="1784030926"/>
    <w:p w14:paraId="0BF73E19" w14:textId="77777777" w:rsidR="00F31E57" w:rsidRDefault="00F31E57" w:rsidP="00F31E57">
      <w:r>
        <w:t>&lt;ESMA_QUESTION_PRIIPs_46&gt;</w:t>
      </w:r>
    </w:p>
    <w:p w14:paraId="2715F231"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lastRenderedPageBreak/>
        <w:t>Do you agree that guaranteed interest rate and surrender options should be ha</w:t>
      </w:r>
      <w:r>
        <w:rPr>
          <w:rFonts w:cs="Arial"/>
        </w:rPr>
        <w:t>n</w:t>
      </w:r>
      <w:r>
        <w:rPr>
          <w:rFonts w:cs="Arial"/>
        </w:rPr>
        <w:t>dled in the above mentioned way? Do you know other contractual options, which have to be considered? If yes how?</w:t>
      </w:r>
    </w:p>
    <w:p w14:paraId="0FF9029E" w14:textId="77777777" w:rsidR="00F31E57" w:rsidRDefault="00F31E57" w:rsidP="00F31E57">
      <w:pPr>
        <w:rPr>
          <w:rFonts w:cstheme="minorBidi"/>
        </w:rPr>
      </w:pPr>
    </w:p>
    <w:p w14:paraId="5EE61F71" w14:textId="77777777" w:rsidR="00F31E57" w:rsidRDefault="00F31E57" w:rsidP="00F31E57">
      <w:r>
        <w:t>&lt;ESMA_QUESTION_PRIIPs_47&gt;</w:t>
      </w:r>
    </w:p>
    <w:p w14:paraId="281614F1" w14:textId="4F535093" w:rsidR="003338CD" w:rsidRPr="00EF7BA4" w:rsidRDefault="00FA1BD9" w:rsidP="003338CD">
      <w:pPr>
        <w:rPr>
          <w:color w:val="FF0000"/>
        </w:rPr>
      </w:pPr>
      <w:permStart w:id="785660308" w:edGrp="everyone"/>
      <w:r w:rsidRPr="00EF0769">
        <w:rPr>
          <w:rFonts w:cs="Arial"/>
        </w:rPr>
        <w:t>TYPE YOUR TEXT HERE</w:t>
      </w:r>
    </w:p>
    <w:permEnd w:id="785660308"/>
    <w:p w14:paraId="6E3E4214" w14:textId="77777777" w:rsidR="00F31E57" w:rsidRDefault="00F31E57" w:rsidP="00F31E57">
      <w:r>
        <w:t>&lt;ESMA_QUESTION_PRIIPs_47&gt;</w:t>
      </w:r>
    </w:p>
    <w:p w14:paraId="6579DE58"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14:paraId="0F53B129" w14:textId="77777777" w:rsidR="00F31E57" w:rsidRDefault="00F31E57" w:rsidP="00F31E57">
      <w:pPr>
        <w:rPr>
          <w:rFonts w:eastAsiaTheme="minorHAnsi" w:cstheme="minorBidi"/>
        </w:rPr>
      </w:pPr>
    </w:p>
    <w:p w14:paraId="18C0278C" w14:textId="77777777" w:rsidR="00F31E57" w:rsidRDefault="00F31E57" w:rsidP="00F31E57">
      <w:r>
        <w:t>&lt;ESMA_QUESTION_PRIIPs_48&gt;</w:t>
      </w:r>
    </w:p>
    <w:p w14:paraId="722E3A90" w14:textId="30BBA2FB" w:rsidR="003338CD" w:rsidRPr="00EF7BA4" w:rsidRDefault="00FA1BD9" w:rsidP="003338CD">
      <w:pPr>
        <w:rPr>
          <w:color w:val="FF0000"/>
        </w:rPr>
      </w:pPr>
      <w:permStart w:id="1173759079" w:edGrp="everyone"/>
      <w:r w:rsidRPr="00EF0769">
        <w:rPr>
          <w:rFonts w:cs="Arial"/>
        </w:rPr>
        <w:t>TYPE YOUR TEXT HERE</w:t>
      </w:r>
    </w:p>
    <w:permEnd w:id="1173759079"/>
    <w:p w14:paraId="5B24064B" w14:textId="77777777" w:rsidR="00F31E57" w:rsidRDefault="00F31E57" w:rsidP="00F31E57">
      <w:r>
        <w:t>&lt;ESMA_QUESTION_PRIIPs_48&gt;</w:t>
      </w:r>
    </w:p>
    <w:p w14:paraId="10124457"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this list and breakdown is comprehensive? </w:t>
      </w:r>
    </w:p>
    <w:p w14:paraId="27D46FF6" w14:textId="77777777" w:rsidR="00F31E57" w:rsidRDefault="00F31E57" w:rsidP="00F31E57">
      <w:pPr>
        <w:rPr>
          <w:rFonts w:cstheme="minorBidi"/>
        </w:rPr>
      </w:pPr>
    </w:p>
    <w:p w14:paraId="1BD7E63E" w14:textId="77777777" w:rsidR="00F31E57" w:rsidRDefault="00F31E57" w:rsidP="00F31E57">
      <w:r>
        <w:t>&lt;ESMA_QUESTION_PRIIPs_49&gt;</w:t>
      </w:r>
    </w:p>
    <w:p w14:paraId="72899E6B" w14:textId="35CC077A" w:rsidR="003338CD" w:rsidRPr="00EF7BA4" w:rsidRDefault="00FA1BD9" w:rsidP="003338CD">
      <w:pPr>
        <w:rPr>
          <w:color w:val="FF0000"/>
        </w:rPr>
      </w:pPr>
      <w:permStart w:id="1597252512" w:edGrp="everyone"/>
      <w:r w:rsidRPr="00EF0769">
        <w:rPr>
          <w:rFonts w:cs="Arial"/>
        </w:rPr>
        <w:t>TYPE YOUR TEXT HERE</w:t>
      </w:r>
    </w:p>
    <w:permEnd w:id="1597252512"/>
    <w:p w14:paraId="148225F9" w14:textId="77777777" w:rsidR="00F31E57" w:rsidRDefault="00F31E57" w:rsidP="00F31E57">
      <w:r>
        <w:t>&lt;ESMA_QUESTION_PRIIPs_49&gt;</w:t>
      </w:r>
    </w:p>
    <w:p w14:paraId="5FF7754E"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14:paraId="335C25DA" w14:textId="77777777" w:rsidR="00F31E57" w:rsidRDefault="00F31E57" w:rsidP="00F31E57">
      <w:pPr>
        <w:rPr>
          <w:rFonts w:cstheme="minorBidi"/>
        </w:rPr>
      </w:pPr>
    </w:p>
    <w:p w14:paraId="7124E0FA" w14:textId="77777777" w:rsidR="00F31E57" w:rsidRDefault="00F31E57" w:rsidP="00F31E57">
      <w:r>
        <w:t>&lt;ESMA_QUESTION_PRIIPs_50&gt;</w:t>
      </w:r>
    </w:p>
    <w:p w14:paraId="248F75AB" w14:textId="13C2E91B" w:rsidR="003338CD" w:rsidRPr="00EF7BA4" w:rsidRDefault="00FA1BD9" w:rsidP="003338CD">
      <w:pPr>
        <w:rPr>
          <w:color w:val="FF0000"/>
        </w:rPr>
      </w:pPr>
      <w:permStart w:id="1425150304" w:edGrp="everyone"/>
      <w:r w:rsidRPr="00EF0769">
        <w:rPr>
          <w:rFonts w:cs="Arial"/>
        </w:rPr>
        <w:t>TYPE YOUR TEXT HERE</w:t>
      </w:r>
    </w:p>
    <w:permEnd w:id="1425150304"/>
    <w:p w14:paraId="27EB23BE" w14:textId="77777777" w:rsidR="00F31E57" w:rsidRDefault="00F31E57" w:rsidP="00F31E57">
      <w:r>
        <w:t>&lt;ESMA_QUESTION_PRIIPs_50&gt;</w:t>
      </w:r>
    </w:p>
    <w:p w14:paraId="02C6E8AC"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14:paraId="23D8CE40" w14:textId="77777777" w:rsidR="00F31E57" w:rsidRDefault="00F31E57" w:rsidP="00F31E57">
      <w:pPr>
        <w:rPr>
          <w:rFonts w:cstheme="minorBidi"/>
        </w:rPr>
      </w:pPr>
    </w:p>
    <w:p w14:paraId="4F6D36D5" w14:textId="77777777" w:rsidR="00F31E57" w:rsidRDefault="00F31E57" w:rsidP="00F31E57">
      <w:r>
        <w:t>&lt;ESMA_QUESTION_PRIIPs_51&gt;</w:t>
      </w:r>
    </w:p>
    <w:p w14:paraId="2EA1F245" w14:textId="16E6CB9A" w:rsidR="003338CD" w:rsidRPr="00EF7BA4" w:rsidRDefault="00FA1BD9" w:rsidP="003338CD">
      <w:pPr>
        <w:rPr>
          <w:color w:val="FF0000"/>
        </w:rPr>
      </w:pPr>
      <w:permStart w:id="995065245" w:edGrp="everyone"/>
      <w:r w:rsidRPr="00EF0769">
        <w:rPr>
          <w:rFonts w:cs="Arial"/>
        </w:rPr>
        <w:t>TYPE YOUR TEXT HERE</w:t>
      </w:r>
    </w:p>
    <w:permEnd w:id="995065245"/>
    <w:p w14:paraId="67090EF4" w14:textId="77777777" w:rsidR="00F31E57" w:rsidRDefault="00F31E57" w:rsidP="00F31E57">
      <w:r>
        <w:t>&lt;ESMA_QUESTION_PRIIPs_51&gt;</w:t>
      </w:r>
    </w:p>
    <w:p w14:paraId="618F977B"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14:paraId="5CB338A7" w14:textId="77777777" w:rsidR="00F31E57" w:rsidRDefault="00F31E57" w:rsidP="00F31E57">
      <w:pPr>
        <w:rPr>
          <w:rFonts w:eastAsiaTheme="minorHAnsi" w:cstheme="minorBidi"/>
        </w:rPr>
      </w:pPr>
    </w:p>
    <w:p w14:paraId="629138E1" w14:textId="77777777" w:rsidR="00F31E57" w:rsidRDefault="00F31E57" w:rsidP="00F31E57">
      <w:r>
        <w:t>&lt;ESMA_QUESTION_PRIIPs_52&gt;</w:t>
      </w:r>
    </w:p>
    <w:p w14:paraId="15D8100B" w14:textId="10153457" w:rsidR="003338CD" w:rsidRPr="00EF7BA4" w:rsidRDefault="00FA1BD9" w:rsidP="003338CD">
      <w:pPr>
        <w:rPr>
          <w:color w:val="FF0000"/>
        </w:rPr>
      </w:pPr>
      <w:permStart w:id="1485573863" w:edGrp="everyone"/>
      <w:r w:rsidRPr="00EF0769">
        <w:rPr>
          <w:rFonts w:cs="Arial"/>
        </w:rPr>
        <w:t>TYPE YOUR TEXT HERE</w:t>
      </w:r>
    </w:p>
    <w:permEnd w:id="1485573863"/>
    <w:p w14:paraId="4AEFF666" w14:textId="77777777" w:rsidR="00F31E57" w:rsidRDefault="00F31E57" w:rsidP="00F31E57">
      <w:r>
        <w:t>&lt;ESMA_QUESTION_PRIIPs_52&gt;</w:t>
      </w:r>
    </w:p>
    <w:p w14:paraId="72CC774D"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Should the methodology for the calculation of these costs be further specified? How? Do fund related costs also exist for with profit life insurance products?</w:t>
      </w:r>
    </w:p>
    <w:p w14:paraId="2909B36B" w14:textId="77777777" w:rsidR="00F31E57" w:rsidRDefault="00F31E57" w:rsidP="00F31E57">
      <w:pPr>
        <w:rPr>
          <w:rFonts w:eastAsiaTheme="minorHAnsi" w:cstheme="minorBidi"/>
        </w:rPr>
      </w:pPr>
    </w:p>
    <w:p w14:paraId="7434DFD1" w14:textId="77777777" w:rsidR="00F31E57" w:rsidRDefault="00F31E57" w:rsidP="00F31E57">
      <w:r>
        <w:t>&lt;ESMA_QUESTION_PRIIPs_53&gt;</w:t>
      </w:r>
    </w:p>
    <w:p w14:paraId="1CEC3AB5" w14:textId="72AA792E" w:rsidR="003338CD" w:rsidRPr="00EF7BA4" w:rsidRDefault="00FA1BD9" w:rsidP="003338CD">
      <w:pPr>
        <w:rPr>
          <w:color w:val="FF0000"/>
        </w:rPr>
      </w:pPr>
      <w:permStart w:id="342509889" w:edGrp="everyone"/>
      <w:r w:rsidRPr="00EF0769">
        <w:rPr>
          <w:rFonts w:cs="Arial"/>
        </w:rPr>
        <w:t>TYPE YOUR TEXT HERE</w:t>
      </w:r>
    </w:p>
    <w:permEnd w:id="342509889"/>
    <w:p w14:paraId="3466D15B" w14:textId="77777777" w:rsidR="00F31E57" w:rsidRDefault="00F31E57" w:rsidP="00F31E57">
      <w:r>
        <w:t>&lt;ESMA_QUESTION_PRIIPs_53&gt;</w:t>
      </w:r>
    </w:p>
    <w:p w14:paraId="677A6121"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14:paraId="5CED1D5B" w14:textId="77777777" w:rsidR="00F31E57" w:rsidRDefault="00F31E57" w:rsidP="00F31E57">
      <w:pPr>
        <w:rPr>
          <w:rFonts w:cstheme="minorBidi"/>
        </w:rPr>
      </w:pPr>
    </w:p>
    <w:p w14:paraId="0F8C1B41" w14:textId="77777777" w:rsidR="00F31E57" w:rsidRDefault="00F31E57" w:rsidP="00F31E57">
      <w:r>
        <w:t>&lt;ESMA_QUESTION_PRIIPs_54&gt;</w:t>
      </w:r>
    </w:p>
    <w:p w14:paraId="2D94FAE3" w14:textId="446F6669" w:rsidR="003338CD" w:rsidRPr="00EF7BA4" w:rsidRDefault="00FA1BD9" w:rsidP="003338CD">
      <w:pPr>
        <w:rPr>
          <w:color w:val="FF0000"/>
        </w:rPr>
      </w:pPr>
      <w:permStart w:id="1499092929" w:edGrp="everyone"/>
      <w:r w:rsidRPr="00EF0769">
        <w:rPr>
          <w:rFonts w:cs="Arial"/>
        </w:rPr>
        <w:lastRenderedPageBreak/>
        <w:t>TYPE YOUR TEXT HERE</w:t>
      </w:r>
    </w:p>
    <w:permEnd w:id="1499092929"/>
    <w:p w14:paraId="141DDF4D" w14:textId="77777777" w:rsidR="00F31E57" w:rsidRDefault="00F31E57" w:rsidP="00F31E57">
      <w:r>
        <w:t>&lt;ESMA_QUESTION_PRIIPs_54&gt;</w:t>
      </w:r>
    </w:p>
    <w:p w14:paraId="590C52E1"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14:paraId="48D46DA3" w14:textId="77777777" w:rsidR="00F31E57" w:rsidRDefault="00F31E57" w:rsidP="00F31E57">
      <w:pPr>
        <w:rPr>
          <w:rFonts w:eastAsiaTheme="minorHAnsi" w:cstheme="minorBidi"/>
        </w:rPr>
      </w:pPr>
    </w:p>
    <w:p w14:paraId="187ECF46" w14:textId="77777777" w:rsidR="00F31E57" w:rsidRDefault="00F31E57" w:rsidP="00F31E57">
      <w:r>
        <w:t>&lt;ESMA_QUESTION_PRIIPs_55&gt;</w:t>
      </w:r>
    </w:p>
    <w:p w14:paraId="476994BB" w14:textId="4D7BD60B" w:rsidR="003338CD" w:rsidRPr="00EF7BA4" w:rsidRDefault="00FA1BD9" w:rsidP="003338CD">
      <w:pPr>
        <w:rPr>
          <w:color w:val="FF0000"/>
        </w:rPr>
      </w:pPr>
      <w:permStart w:id="1512580920" w:edGrp="everyone"/>
      <w:r w:rsidRPr="00EF0769">
        <w:rPr>
          <w:rFonts w:cs="Arial"/>
        </w:rPr>
        <w:t>TYPE YOUR TEXT HERE</w:t>
      </w:r>
    </w:p>
    <w:permEnd w:id="1512580920"/>
    <w:p w14:paraId="2FB2265C" w14:textId="77777777" w:rsidR="00F31E57" w:rsidRDefault="00F31E57" w:rsidP="00F31E57">
      <w:r>
        <w:t>&lt;ESMA_QUESTION_PRIIPs_55&gt;</w:t>
      </w:r>
    </w:p>
    <w:p w14:paraId="60765E74"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w:t>
      </w:r>
      <w:r>
        <w:rPr>
          <w:rFonts w:cs="Arial"/>
        </w:rPr>
        <w:t>r</w:t>
      </w:r>
      <w:r>
        <w:rPr>
          <w:rFonts w:cs="Arial"/>
        </w:rPr>
        <w:t>ally, how to measure costs that are passed to policy holders via profit participation mechanisms? Would you say that they are known to the insurance company? Do you think an estimate based on the previous historical data is the most appropr</w:t>
      </w:r>
      <w:r>
        <w:rPr>
          <w:rFonts w:cs="Arial"/>
        </w:rPr>
        <w:t>i</w:t>
      </w:r>
      <w:r>
        <w:rPr>
          <w:rFonts w:cs="Arial"/>
        </w:rPr>
        <w:t>ate methodology for the calculation of these costs?</w:t>
      </w:r>
    </w:p>
    <w:p w14:paraId="38126979" w14:textId="77777777" w:rsidR="00F31E57" w:rsidRDefault="00F31E57" w:rsidP="00F31E57">
      <w:pPr>
        <w:rPr>
          <w:rFonts w:cstheme="minorBidi"/>
        </w:rPr>
      </w:pPr>
    </w:p>
    <w:p w14:paraId="35651EEC" w14:textId="77777777" w:rsidR="00F31E57" w:rsidRDefault="00F31E57" w:rsidP="00F31E57">
      <w:r>
        <w:t>&lt;ESMA_QUESTION_PRIIPs_56&gt;</w:t>
      </w:r>
    </w:p>
    <w:p w14:paraId="203B211A" w14:textId="41CA60DE" w:rsidR="003B36D5" w:rsidRPr="00EF7BA4" w:rsidRDefault="00FA1BD9" w:rsidP="003B36D5">
      <w:pPr>
        <w:rPr>
          <w:color w:val="FF0000"/>
        </w:rPr>
      </w:pPr>
      <w:permStart w:id="604798224" w:edGrp="everyone"/>
      <w:r w:rsidRPr="00EF0769">
        <w:rPr>
          <w:rFonts w:cs="Arial"/>
        </w:rPr>
        <w:t>TYPE YOUR TEXT HERE</w:t>
      </w:r>
    </w:p>
    <w:permEnd w:id="604798224"/>
    <w:p w14:paraId="1AC591C8" w14:textId="77777777" w:rsidR="00F31E57" w:rsidRDefault="00F31E57" w:rsidP="00F31E57">
      <w:r>
        <w:t>&lt;ESMA_QUESTION_PRIIPs_56&gt;</w:t>
      </w:r>
    </w:p>
    <w:p w14:paraId="28766A84"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this type of costs really specific to with-profit life-insurance products? Do you agree that these costs should be accounted for as on-going costs?</w:t>
      </w:r>
    </w:p>
    <w:p w14:paraId="61E12105" w14:textId="77777777" w:rsidR="00F31E57" w:rsidRDefault="00F31E57" w:rsidP="00F31E57">
      <w:pPr>
        <w:rPr>
          <w:rFonts w:cstheme="minorBidi"/>
        </w:rPr>
      </w:pPr>
    </w:p>
    <w:p w14:paraId="14BC9935" w14:textId="77777777" w:rsidR="00F31E57" w:rsidRDefault="00F31E57" w:rsidP="00F31E57">
      <w:r>
        <w:t>&lt;ESMA_QUESTION_PRIIPs_57&gt;</w:t>
      </w:r>
    </w:p>
    <w:p w14:paraId="7B80112E" w14:textId="7829C148" w:rsidR="003B36D5" w:rsidRPr="00EF7BA4" w:rsidRDefault="00FA1BD9" w:rsidP="003B36D5">
      <w:pPr>
        <w:rPr>
          <w:color w:val="FF0000"/>
        </w:rPr>
      </w:pPr>
      <w:permStart w:id="430709394" w:edGrp="everyone"/>
      <w:r w:rsidRPr="00EF0769">
        <w:rPr>
          <w:rFonts w:cs="Arial"/>
        </w:rPr>
        <w:t>TYPE YOUR TEXT HERE</w:t>
      </w:r>
    </w:p>
    <w:permEnd w:id="430709394"/>
    <w:p w14:paraId="2DD2EF10" w14:textId="77777777" w:rsidR="00F31E57" w:rsidRDefault="00F31E57" w:rsidP="00F31E57">
      <w:r>
        <w:t>&lt;ESMA_QUESTION_PRIIPs_57&gt;</w:t>
      </w:r>
    </w:p>
    <w:p w14:paraId="102A13C7"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think the list of costs of life-insurance products presented above is co</w:t>
      </w:r>
      <w:r>
        <w:rPr>
          <w:rFonts w:cs="Arial"/>
        </w:rPr>
        <w:t>m</w:t>
      </w:r>
      <w:r>
        <w:rPr>
          <w:rFonts w:cs="Arial"/>
        </w:rPr>
        <w:t xml:space="preserve">prehensive? Which types of costs should be added? </w:t>
      </w:r>
    </w:p>
    <w:p w14:paraId="39458067" w14:textId="77777777" w:rsidR="00F31E57" w:rsidRDefault="00F31E57" w:rsidP="00F31E57">
      <w:pPr>
        <w:rPr>
          <w:rFonts w:cstheme="minorBidi"/>
        </w:rPr>
      </w:pPr>
    </w:p>
    <w:p w14:paraId="3A5BB15B" w14:textId="77777777" w:rsidR="00F31E57" w:rsidRDefault="00F31E57" w:rsidP="00F31E57">
      <w:r>
        <w:t>&lt;ESMA_QUESTION_PRIIPs_58&gt;</w:t>
      </w:r>
    </w:p>
    <w:p w14:paraId="387BA19A" w14:textId="19856450" w:rsidR="003338CD" w:rsidRPr="00EF7BA4" w:rsidRDefault="00FA1BD9" w:rsidP="003338CD">
      <w:pPr>
        <w:rPr>
          <w:color w:val="FF0000"/>
        </w:rPr>
      </w:pPr>
      <w:permStart w:id="1695553683" w:edGrp="everyone"/>
      <w:r w:rsidRPr="00EF0769">
        <w:rPr>
          <w:rFonts w:cs="Arial"/>
        </w:rPr>
        <w:t>TYPE YOUR TEXT HERE</w:t>
      </w:r>
    </w:p>
    <w:permEnd w:id="1695553683"/>
    <w:p w14:paraId="73FB5892" w14:textId="77777777" w:rsidR="00F31E57" w:rsidRDefault="00F31E57" w:rsidP="00F31E57">
      <w:r>
        <w:t>&lt;ESMA_QUESTION_PRIIPs_58&gt;</w:t>
      </w:r>
    </w:p>
    <w:p w14:paraId="0C81C936"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are those two approaches similar and should lead to the same r</w:t>
      </w:r>
      <w:r>
        <w:rPr>
          <w:rFonts w:cs="Arial"/>
        </w:rPr>
        <w:t>e</w:t>
      </w:r>
      <w:r>
        <w:rPr>
          <w:rFonts w:cs="Arial"/>
        </w:rPr>
        <w:t>sults?</w:t>
      </w:r>
    </w:p>
    <w:p w14:paraId="6A10CCF2" w14:textId="77777777" w:rsidR="00F31E57" w:rsidRDefault="00F31E57" w:rsidP="00F31E57">
      <w:pPr>
        <w:rPr>
          <w:rFonts w:cstheme="minorBidi"/>
        </w:rPr>
      </w:pPr>
    </w:p>
    <w:p w14:paraId="21933FD3" w14:textId="77777777" w:rsidR="00F31E57" w:rsidRDefault="00F31E57" w:rsidP="00F31E57">
      <w:r>
        <w:t>&lt;ESMA_QUESTION_PRIIPs_59&gt;</w:t>
      </w:r>
    </w:p>
    <w:p w14:paraId="728074D7" w14:textId="77777777" w:rsidR="00D170B0" w:rsidRPr="0072738C" w:rsidRDefault="00D170B0" w:rsidP="00F31E57">
      <w:pPr>
        <w:rPr>
          <w:color w:val="000000" w:themeColor="text1"/>
        </w:rPr>
      </w:pPr>
      <w:permStart w:id="1314937500" w:edGrp="everyone"/>
    </w:p>
    <w:p w14:paraId="55B863D0" w14:textId="386F2748" w:rsidR="00C14F44" w:rsidRPr="0072738C" w:rsidRDefault="00CB0870" w:rsidP="00C14F44">
      <w:pPr>
        <w:pStyle w:val="ListParagraph"/>
        <w:numPr>
          <w:ilvl w:val="0"/>
          <w:numId w:val="49"/>
        </w:numPr>
        <w:rPr>
          <w:rFonts w:cs="Arial"/>
          <w:color w:val="000000" w:themeColor="text1"/>
        </w:rPr>
      </w:pPr>
      <w:r w:rsidRPr="0072738C">
        <w:rPr>
          <w:color w:val="000000" w:themeColor="text1"/>
          <w:lang w:val="en-US"/>
        </w:rPr>
        <w:t xml:space="preserve">The </w:t>
      </w:r>
      <w:r w:rsidR="00D170B0" w:rsidRPr="0072738C">
        <w:rPr>
          <w:rFonts w:cs="Arial"/>
          <w:color w:val="000000" w:themeColor="text1"/>
        </w:rPr>
        <w:t xml:space="preserve">SSDA </w:t>
      </w:r>
      <w:r w:rsidR="00D458AF" w:rsidRPr="0072738C">
        <w:rPr>
          <w:rFonts w:cs="Arial"/>
          <w:color w:val="000000" w:themeColor="text1"/>
        </w:rPr>
        <w:t>favour</w:t>
      </w:r>
      <w:r w:rsidR="00AA2D09" w:rsidRPr="0072738C">
        <w:rPr>
          <w:rFonts w:cs="Arial"/>
          <w:color w:val="000000" w:themeColor="text1"/>
        </w:rPr>
        <w:t>s</w:t>
      </w:r>
      <w:r w:rsidR="00D458AF" w:rsidRPr="0072738C">
        <w:rPr>
          <w:rFonts w:cs="Arial"/>
          <w:color w:val="000000" w:themeColor="text1"/>
        </w:rPr>
        <w:t xml:space="preserve"> the</w:t>
      </w:r>
      <w:r w:rsidR="00AA2D09" w:rsidRPr="0072738C">
        <w:rPr>
          <w:rFonts w:cs="Arial"/>
          <w:color w:val="000000" w:themeColor="text1"/>
        </w:rPr>
        <w:t xml:space="preserve"> first approach </w:t>
      </w:r>
      <w:r w:rsidR="00D170B0" w:rsidRPr="0072738C">
        <w:rPr>
          <w:rFonts w:cs="Arial"/>
          <w:color w:val="000000" w:themeColor="text1"/>
        </w:rPr>
        <w:t>(i.e. “Introduce a distinction between the investment’s price and the margin/fees that have been incorporated in the price”)</w:t>
      </w:r>
      <w:r w:rsidR="00AA2D09" w:rsidRPr="0072738C">
        <w:rPr>
          <w:rFonts w:cs="Arial"/>
          <w:color w:val="000000" w:themeColor="text1"/>
        </w:rPr>
        <w:t xml:space="preserve"> because</w:t>
      </w:r>
      <w:r w:rsidR="00D170B0" w:rsidRPr="0072738C">
        <w:rPr>
          <w:rFonts w:cs="Arial"/>
          <w:color w:val="000000" w:themeColor="text1"/>
        </w:rPr>
        <w:t xml:space="preserve"> </w:t>
      </w:r>
      <w:r w:rsidR="00AA2D09" w:rsidRPr="0072738C">
        <w:rPr>
          <w:rFonts w:cs="Arial"/>
          <w:color w:val="000000" w:themeColor="text1"/>
        </w:rPr>
        <w:t xml:space="preserve">it </w:t>
      </w:r>
      <w:r w:rsidR="00D170B0" w:rsidRPr="0072738C">
        <w:rPr>
          <w:rFonts w:cs="Arial"/>
          <w:color w:val="000000" w:themeColor="text1"/>
        </w:rPr>
        <w:t>is more consistent with the aim of ensuring comparability between PRIIPs issued by different manufacturers</w:t>
      </w:r>
      <w:r w:rsidR="00C14F44" w:rsidRPr="0072738C">
        <w:rPr>
          <w:rFonts w:cs="Arial"/>
          <w:color w:val="000000" w:themeColor="text1"/>
        </w:rPr>
        <w:t>. The diffe</w:t>
      </w:r>
      <w:r w:rsidR="00C14F44" w:rsidRPr="0072738C">
        <w:rPr>
          <w:rFonts w:cs="Arial"/>
          <w:color w:val="000000" w:themeColor="text1"/>
        </w:rPr>
        <w:t>r</w:t>
      </w:r>
      <w:r w:rsidR="00C14F44" w:rsidRPr="0072738C">
        <w:rPr>
          <w:rFonts w:cs="Arial"/>
          <w:color w:val="000000" w:themeColor="text1"/>
        </w:rPr>
        <w:t>ence between offering price and manufacturer calculated ‘fair value’ represents the upfront cost to the investor. There is no relevance if they are direct or implicit costs paid by the manufacturer or indeed sales commissions.</w:t>
      </w:r>
    </w:p>
    <w:p w14:paraId="4E1F53D0" w14:textId="77777777" w:rsidR="00C14F44" w:rsidRPr="0072738C" w:rsidRDefault="00C14F44" w:rsidP="00C14F44">
      <w:pPr>
        <w:pStyle w:val="ListParagraph"/>
        <w:rPr>
          <w:rFonts w:cs="Arial"/>
          <w:color w:val="000000" w:themeColor="text1"/>
        </w:rPr>
      </w:pPr>
    </w:p>
    <w:p w14:paraId="636F6EE0" w14:textId="3CD422F5" w:rsidR="00C14F44" w:rsidRPr="0072738C" w:rsidRDefault="00C14F44" w:rsidP="00C14F44">
      <w:pPr>
        <w:pStyle w:val="ListParagraph"/>
        <w:numPr>
          <w:ilvl w:val="0"/>
          <w:numId w:val="49"/>
        </w:numPr>
        <w:rPr>
          <w:rFonts w:cs="Arial"/>
          <w:color w:val="000000" w:themeColor="text1"/>
        </w:rPr>
      </w:pPr>
      <w:r w:rsidRPr="0072738C">
        <w:rPr>
          <w:rFonts w:cs="Arial"/>
          <w:color w:val="000000" w:themeColor="text1"/>
          <w:szCs w:val="20"/>
          <w:lang w:val="en-US"/>
        </w:rPr>
        <w:t>’Fair value’ is not the same for two different manufacturers since the cost of capital varies. In fact an issuer with lower credit rating can produce optically better capital protected products since the notional amount is discounted with higher yield. A prescriptive approach for this alternative would deny the fact that different manufacturers have different production costs and the SSDA doubts that such changed information would be of relevance to the retail investor.</w:t>
      </w:r>
    </w:p>
    <w:p w14:paraId="56F96C39" w14:textId="77777777" w:rsidR="00E64D8D" w:rsidRPr="0072738C" w:rsidRDefault="00E64D8D" w:rsidP="00E64D8D">
      <w:pPr>
        <w:pStyle w:val="ListParagraph"/>
        <w:rPr>
          <w:rFonts w:cs="Arial"/>
          <w:color w:val="000000" w:themeColor="text1"/>
        </w:rPr>
      </w:pPr>
    </w:p>
    <w:p w14:paraId="30E49DBF" w14:textId="1B42D19F" w:rsidR="00BE2E47" w:rsidRPr="0072738C" w:rsidRDefault="00CB0870" w:rsidP="00BE2E47">
      <w:pPr>
        <w:pStyle w:val="ListParagraph"/>
        <w:numPr>
          <w:ilvl w:val="0"/>
          <w:numId w:val="49"/>
        </w:numPr>
        <w:rPr>
          <w:color w:val="000000" w:themeColor="text1"/>
        </w:rPr>
      </w:pPr>
      <w:r w:rsidRPr="0072738C">
        <w:rPr>
          <w:color w:val="000000" w:themeColor="text1"/>
          <w:lang w:val="en-US"/>
        </w:rPr>
        <w:t xml:space="preserve">The </w:t>
      </w:r>
      <w:r w:rsidR="00E64D8D" w:rsidRPr="0072738C">
        <w:rPr>
          <w:rFonts w:cs="Arial"/>
          <w:color w:val="000000" w:themeColor="text1"/>
          <w:szCs w:val="20"/>
          <w:lang w:val="en-US"/>
        </w:rPr>
        <w:t xml:space="preserve">SSDA believes that the two approaches </w:t>
      </w:r>
      <w:r w:rsidR="00503DD6" w:rsidRPr="0072738C">
        <w:rPr>
          <w:rFonts w:cs="Arial"/>
          <w:color w:val="000000" w:themeColor="text1"/>
          <w:szCs w:val="20"/>
          <w:lang w:val="en-US"/>
        </w:rPr>
        <w:t xml:space="preserve">will lead </w:t>
      </w:r>
      <w:r w:rsidR="00BE2E47" w:rsidRPr="0072738C">
        <w:rPr>
          <w:rFonts w:cs="Arial"/>
          <w:color w:val="000000" w:themeColor="text1"/>
          <w:szCs w:val="20"/>
          <w:lang w:val="en-US"/>
        </w:rPr>
        <w:t xml:space="preserve">similar results, but is should be </w:t>
      </w:r>
      <w:r w:rsidR="00BE2E47" w:rsidRPr="0072738C">
        <w:rPr>
          <w:color w:val="000000" w:themeColor="text1"/>
        </w:rPr>
        <w:t>recognised that the "fair value" is a theoretical value that changes from one day to the other during the su</w:t>
      </w:r>
      <w:r w:rsidR="00BE2E47" w:rsidRPr="0072738C">
        <w:rPr>
          <w:color w:val="000000" w:themeColor="text1"/>
        </w:rPr>
        <w:t>b</w:t>
      </w:r>
      <w:r w:rsidR="00BE2E47" w:rsidRPr="0072738C">
        <w:rPr>
          <w:color w:val="000000" w:themeColor="text1"/>
        </w:rPr>
        <w:lastRenderedPageBreak/>
        <w:t>scription period. Furthermore it is model price and should not be confused with an actual tradable price.</w:t>
      </w:r>
    </w:p>
    <w:p w14:paraId="7254A403" w14:textId="2FC5F815" w:rsidR="003173E9" w:rsidRPr="0072738C" w:rsidRDefault="003173E9" w:rsidP="00BE2E47">
      <w:pPr>
        <w:ind w:left="360"/>
        <w:rPr>
          <w:rFonts w:cs="Arial"/>
          <w:color w:val="000000" w:themeColor="text1"/>
        </w:rPr>
      </w:pPr>
    </w:p>
    <w:p w14:paraId="792F9BAF" w14:textId="77777777" w:rsidR="00C14F44" w:rsidRPr="0072738C" w:rsidRDefault="00C14F44" w:rsidP="00C14F44">
      <w:pPr>
        <w:pStyle w:val="ListParagraph"/>
        <w:rPr>
          <w:color w:val="000000" w:themeColor="text1"/>
        </w:rPr>
      </w:pPr>
    </w:p>
    <w:permEnd w:id="1314937500"/>
    <w:p w14:paraId="2456E38E" w14:textId="77777777" w:rsidR="00F31E57" w:rsidRDefault="00F31E57" w:rsidP="00F31E57">
      <w:r>
        <w:t>&lt;ESMA_QUESTION_PRIIPs_59&gt;</w:t>
      </w:r>
    </w:p>
    <w:p w14:paraId="346484CB"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w:t>
      </w:r>
      <w:r>
        <w:rPr>
          <w:rFonts w:cs="Arial"/>
          <w:color w:val="000000"/>
          <w:lang w:eastAsia="it-IT"/>
        </w:rPr>
        <w:t>c</w:t>
      </w:r>
      <w:r>
        <w:rPr>
          <w:rFonts w:cs="Arial"/>
          <w:color w:val="000000"/>
          <w:lang w:eastAsia="it-IT"/>
        </w:rPr>
        <w:t>tured deposits? Do you think that the potential external guarantees of structured deposits might just have to be taken into account in the estimation of the fair value of these products?</w:t>
      </w:r>
    </w:p>
    <w:p w14:paraId="0F474128" w14:textId="77777777" w:rsidR="00F31E57" w:rsidRDefault="00F31E57" w:rsidP="00F31E57">
      <w:pPr>
        <w:rPr>
          <w:rFonts w:cstheme="minorBidi"/>
          <w:lang w:eastAsia="en-US"/>
        </w:rPr>
      </w:pPr>
    </w:p>
    <w:p w14:paraId="3B9B541A" w14:textId="77777777" w:rsidR="00F31E57" w:rsidRDefault="00F31E57" w:rsidP="00F31E57">
      <w:r>
        <w:t>&lt;ESMA_QUESTION_PRIIPs_60&gt;</w:t>
      </w:r>
    </w:p>
    <w:p w14:paraId="42936104" w14:textId="77777777" w:rsidR="00D170B0" w:rsidRPr="00D170B0" w:rsidRDefault="00D170B0" w:rsidP="00D170B0">
      <w:pPr>
        <w:rPr>
          <w:color w:val="FF0000"/>
        </w:rPr>
      </w:pPr>
      <w:permStart w:id="537789767" w:edGrp="everyone"/>
    </w:p>
    <w:p w14:paraId="1DD74221" w14:textId="6D7079C8" w:rsidR="00D170B0" w:rsidRPr="0072738C" w:rsidRDefault="00D016EF" w:rsidP="00F31E57">
      <w:pPr>
        <w:pStyle w:val="ListParagraph"/>
        <w:numPr>
          <w:ilvl w:val="0"/>
          <w:numId w:val="47"/>
        </w:numPr>
        <w:rPr>
          <w:color w:val="000000" w:themeColor="text1"/>
        </w:rPr>
      </w:pPr>
      <w:r w:rsidRPr="0072738C">
        <w:rPr>
          <w:color w:val="000000" w:themeColor="text1"/>
        </w:rPr>
        <w:t xml:space="preserve"> </w:t>
      </w:r>
      <w:r w:rsidR="00CB0870" w:rsidRPr="0072738C">
        <w:rPr>
          <w:color w:val="000000" w:themeColor="text1"/>
          <w:lang w:val="en-US"/>
        </w:rPr>
        <w:t xml:space="preserve">The </w:t>
      </w:r>
      <w:r w:rsidRPr="0072738C">
        <w:rPr>
          <w:color w:val="000000" w:themeColor="text1"/>
        </w:rPr>
        <w:t xml:space="preserve">SSDA does see any </w:t>
      </w:r>
      <w:r w:rsidR="00D170B0" w:rsidRPr="0072738C">
        <w:rPr>
          <w:color w:val="000000" w:themeColor="text1"/>
        </w:rPr>
        <w:t>specific cost</w:t>
      </w:r>
      <w:r w:rsidRPr="0072738C">
        <w:rPr>
          <w:color w:val="000000" w:themeColor="text1"/>
        </w:rPr>
        <w:t>s</w:t>
      </w:r>
      <w:r w:rsidR="00D170B0" w:rsidRPr="0072738C">
        <w:rPr>
          <w:color w:val="000000" w:themeColor="text1"/>
        </w:rPr>
        <w:t xml:space="preserve"> for Structured Deposits</w:t>
      </w:r>
      <w:r w:rsidRPr="0072738C">
        <w:rPr>
          <w:color w:val="000000" w:themeColor="text1"/>
        </w:rPr>
        <w:t>.</w:t>
      </w:r>
    </w:p>
    <w:p w14:paraId="21DB6A8C" w14:textId="77777777" w:rsidR="00D016EF" w:rsidRPr="00D016EF" w:rsidRDefault="00D016EF" w:rsidP="00D016EF">
      <w:pPr>
        <w:pStyle w:val="ListParagraph"/>
        <w:ind w:left="360"/>
        <w:rPr>
          <w:color w:val="FF0000"/>
        </w:rPr>
      </w:pPr>
    </w:p>
    <w:permEnd w:id="537789767"/>
    <w:p w14:paraId="134C3003" w14:textId="77777777" w:rsidR="00F31E57" w:rsidRDefault="00F31E57" w:rsidP="00F31E57">
      <w:r>
        <w:t>&lt;ESMA_QUESTION_PRIIPs_60&gt;</w:t>
      </w:r>
    </w:p>
    <w:p w14:paraId="6CDAA46D"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 mentioned list of entry costs? Which of these costs are embedded in the price? Should we differentiate between “delta 1” and “option based” structured products? In which cases do you think that some of these costs might not be known to the manufacturer? Which of these types of costs should be further defined?</w:t>
      </w:r>
    </w:p>
    <w:p w14:paraId="1AE2D26D" w14:textId="77777777" w:rsidR="00F31E57" w:rsidRDefault="00F31E57" w:rsidP="00F31E57">
      <w:pPr>
        <w:rPr>
          <w:rFonts w:cstheme="minorBidi"/>
        </w:rPr>
      </w:pPr>
    </w:p>
    <w:p w14:paraId="0AAF5793" w14:textId="77777777" w:rsidR="00F31E57" w:rsidRDefault="00F31E57" w:rsidP="00F31E57">
      <w:r>
        <w:t>&lt;ESMA_QUESTION_PRIIPs_61&gt;</w:t>
      </w:r>
    </w:p>
    <w:p w14:paraId="0AE23A82" w14:textId="77777777" w:rsidR="000A7553" w:rsidRPr="000A7553" w:rsidRDefault="000A7553" w:rsidP="000A7553">
      <w:pPr>
        <w:rPr>
          <w:color w:val="FF0000"/>
        </w:rPr>
      </w:pPr>
      <w:permStart w:id="1292395471" w:edGrp="everyone"/>
    </w:p>
    <w:p w14:paraId="06E019C2" w14:textId="0EFCD044" w:rsidR="00D2302C" w:rsidRPr="0072738C" w:rsidRDefault="00CB0870" w:rsidP="000A7553">
      <w:pPr>
        <w:pStyle w:val="ListParagraph"/>
        <w:numPr>
          <w:ilvl w:val="0"/>
          <w:numId w:val="49"/>
        </w:numPr>
        <w:rPr>
          <w:color w:val="000000" w:themeColor="text1"/>
        </w:rPr>
      </w:pPr>
      <w:r w:rsidRPr="0072738C">
        <w:rPr>
          <w:color w:val="000000" w:themeColor="text1"/>
          <w:lang w:val="en-US"/>
        </w:rPr>
        <w:t xml:space="preserve">The </w:t>
      </w:r>
      <w:r w:rsidR="000A7553" w:rsidRPr="0072738C">
        <w:rPr>
          <w:color w:val="000000" w:themeColor="text1"/>
        </w:rPr>
        <w:t>SSDA agree</w:t>
      </w:r>
      <w:r w:rsidR="00695076" w:rsidRPr="0072738C">
        <w:rPr>
          <w:color w:val="000000" w:themeColor="text1"/>
        </w:rPr>
        <w:t>s</w:t>
      </w:r>
      <w:r w:rsidR="000A7553" w:rsidRPr="0072738C">
        <w:rPr>
          <w:color w:val="000000" w:themeColor="text1"/>
        </w:rPr>
        <w:t xml:space="preserve"> to the list, however </w:t>
      </w:r>
      <w:r w:rsidR="00CD1101" w:rsidRPr="0072738C">
        <w:rPr>
          <w:color w:val="000000" w:themeColor="text1"/>
        </w:rPr>
        <w:t>believes</w:t>
      </w:r>
      <w:r w:rsidR="00F83311" w:rsidRPr="0072738C">
        <w:rPr>
          <w:color w:val="000000" w:themeColor="text1"/>
        </w:rPr>
        <w:t xml:space="preserve"> that it’</w:t>
      </w:r>
      <w:r w:rsidR="00D2302C" w:rsidRPr="0072738C">
        <w:rPr>
          <w:color w:val="000000" w:themeColor="text1"/>
        </w:rPr>
        <w:t>s important to make a distinction between costs that are borne by the manufacturer such as legal, capital requirements, hedging (i.e. costs where the manufacturer loses money if he made a wrong assumption and these cost raise), and cost</w:t>
      </w:r>
      <w:r w:rsidR="00AA2D09" w:rsidRPr="0072738C">
        <w:rPr>
          <w:color w:val="000000" w:themeColor="text1"/>
        </w:rPr>
        <w:t>s</w:t>
      </w:r>
      <w:r w:rsidR="00D2302C" w:rsidRPr="0072738C">
        <w:rPr>
          <w:color w:val="000000" w:themeColor="text1"/>
        </w:rPr>
        <w:t xml:space="preserve"> that are passed on the client such as sales commission, distribution cost</w:t>
      </w:r>
      <w:r w:rsidR="00AA2D09" w:rsidRPr="0072738C">
        <w:rPr>
          <w:color w:val="000000" w:themeColor="text1"/>
        </w:rPr>
        <w:t>s</w:t>
      </w:r>
      <w:r w:rsidR="00D2302C" w:rsidRPr="0072738C">
        <w:rPr>
          <w:color w:val="000000" w:themeColor="text1"/>
        </w:rPr>
        <w:t xml:space="preserve"> (i.e. cost which gene</w:t>
      </w:r>
      <w:r w:rsidR="00D2302C" w:rsidRPr="0072738C">
        <w:rPr>
          <w:color w:val="000000" w:themeColor="text1"/>
        </w:rPr>
        <w:t>r</w:t>
      </w:r>
      <w:r w:rsidR="00D2302C" w:rsidRPr="0072738C">
        <w:rPr>
          <w:color w:val="000000" w:themeColor="text1"/>
        </w:rPr>
        <w:t>ate revenue for the manufacturer).</w:t>
      </w:r>
    </w:p>
    <w:p w14:paraId="4DBB692D" w14:textId="77777777" w:rsidR="000A7553" w:rsidRPr="0072738C" w:rsidRDefault="000A7553" w:rsidP="000A7553">
      <w:pPr>
        <w:pStyle w:val="ListParagraph"/>
        <w:rPr>
          <w:color w:val="000000" w:themeColor="text1"/>
        </w:rPr>
      </w:pPr>
    </w:p>
    <w:p w14:paraId="70497932" w14:textId="13CE75AE" w:rsidR="000A7553" w:rsidRPr="0072738C" w:rsidRDefault="00CB0870" w:rsidP="000A7553">
      <w:pPr>
        <w:pStyle w:val="ListParagraph"/>
        <w:numPr>
          <w:ilvl w:val="0"/>
          <w:numId w:val="49"/>
        </w:numPr>
        <w:rPr>
          <w:color w:val="000000" w:themeColor="text1"/>
        </w:rPr>
      </w:pPr>
      <w:r w:rsidRPr="0072738C">
        <w:rPr>
          <w:color w:val="000000" w:themeColor="text1"/>
          <w:lang w:val="en-US"/>
        </w:rPr>
        <w:t xml:space="preserve">The </w:t>
      </w:r>
      <w:r w:rsidR="00695076" w:rsidRPr="0072738C">
        <w:rPr>
          <w:color w:val="000000" w:themeColor="text1"/>
        </w:rPr>
        <w:t>SSDA has</w:t>
      </w:r>
      <w:r w:rsidR="000A7553" w:rsidRPr="0072738C">
        <w:rPr>
          <w:color w:val="000000" w:themeColor="text1"/>
        </w:rPr>
        <w:t xml:space="preserve"> the opinion that all costs except for sales commissions are embedded in the prize of the product and </w:t>
      </w:r>
      <w:r w:rsidR="00407274" w:rsidRPr="0072738C">
        <w:rPr>
          <w:color w:val="000000" w:themeColor="text1"/>
        </w:rPr>
        <w:t>are</w:t>
      </w:r>
      <w:r w:rsidR="000A7553" w:rsidRPr="0072738C">
        <w:rPr>
          <w:color w:val="000000" w:themeColor="text1"/>
        </w:rPr>
        <w:t xml:space="preserve"> borne by the manufacturer.</w:t>
      </w:r>
    </w:p>
    <w:p w14:paraId="015F4B60" w14:textId="77777777" w:rsidR="00462F6B" w:rsidRPr="0072738C" w:rsidRDefault="00462F6B" w:rsidP="00462F6B">
      <w:pPr>
        <w:pStyle w:val="ListParagraph"/>
        <w:rPr>
          <w:color w:val="000000" w:themeColor="text1"/>
        </w:rPr>
      </w:pPr>
    </w:p>
    <w:p w14:paraId="79212ED7" w14:textId="728557CB" w:rsidR="00462F6B" w:rsidRPr="0072738C" w:rsidRDefault="00CB0870" w:rsidP="000A7553">
      <w:pPr>
        <w:pStyle w:val="ListParagraph"/>
        <w:numPr>
          <w:ilvl w:val="0"/>
          <w:numId w:val="49"/>
        </w:numPr>
        <w:rPr>
          <w:color w:val="000000" w:themeColor="text1"/>
        </w:rPr>
      </w:pPr>
      <w:r w:rsidRPr="0072738C">
        <w:rPr>
          <w:color w:val="000000" w:themeColor="text1"/>
          <w:lang w:val="en-US"/>
        </w:rPr>
        <w:t xml:space="preserve">The </w:t>
      </w:r>
      <w:r w:rsidR="00462F6B" w:rsidRPr="0072738C">
        <w:rPr>
          <w:rFonts w:cs="Arial"/>
          <w:color w:val="000000" w:themeColor="text1"/>
        </w:rPr>
        <w:t>SSDA sees no benefit in splitting the total entry costs embedded in a produc</w:t>
      </w:r>
      <w:r w:rsidR="009803AD" w:rsidRPr="0072738C">
        <w:rPr>
          <w:rFonts w:cs="Arial"/>
          <w:color w:val="000000" w:themeColor="text1"/>
        </w:rPr>
        <w:t>t into too many components</w:t>
      </w:r>
      <w:r w:rsidR="00462F6B" w:rsidRPr="0072738C">
        <w:rPr>
          <w:rFonts w:cs="Arial"/>
          <w:color w:val="000000" w:themeColor="text1"/>
        </w:rPr>
        <w:t xml:space="preserve"> since the actual costs are not known on a single structured product basis. Accordin</w:t>
      </w:r>
      <w:r w:rsidR="00462F6B" w:rsidRPr="0072738C">
        <w:rPr>
          <w:rFonts w:cs="Arial"/>
          <w:color w:val="000000" w:themeColor="text1"/>
        </w:rPr>
        <w:t>g</w:t>
      </w:r>
      <w:r w:rsidR="00462F6B" w:rsidRPr="0072738C">
        <w:rPr>
          <w:rFonts w:cs="Arial"/>
          <w:color w:val="000000" w:themeColor="text1"/>
        </w:rPr>
        <w:t xml:space="preserve">ly, cost allocations to single components may change during the </w:t>
      </w:r>
      <w:r w:rsidR="00407274" w:rsidRPr="0072738C">
        <w:rPr>
          <w:rFonts w:cs="Arial"/>
          <w:color w:val="000000" w:themeColor="text1"/>
        </w:rPr>
        <w:t>lifetime</w:t>
      </w:r>
      <w:r w:rsidR="00462F6B" w:rsidRPr="0072738C">
        <w:rPr>
          <w:rFonts w:cs="Arial"/>
          <w:color w:val="000000" w:themeColor="text1"/>
        </w:rPr>
        <w:t xml:space="preserve"> of the product resulting in a reduction of the manufacturer margin. If a separation of costs is imposed, it should consequently be limited to distribution fees and manufacturer fees.</w:t>
      </w:r>
    </w:p>
    <w:p w14:paraId="170685D8" w14:textId="77777777" w:rsidR="000A7553" w:rsidRPr="0072738C" w:rsidRDefault="000A7553" w:rsidP="00D2302C">
      <w:pPr>
        <w:rPr>
          <w:color w:val="000000" w:themeColor="text1"/>
        </w:rPr>
      </w:pPr>
    </w:p>
    <w:p w14:paraId="49C23E91" w14:textId="77777777" w:rsidR="00D2302C" w:rsidRPr="0072738C" w:rsidRDefault="00D2302C" w:rsidP="00D2302C">
      <w:pPr>
        <w:rPr>
          <w:b/>
          <w:color w:val="000000" w:themeColor="text1"/>
        </w:rPr>
      </w:pPr>
      <w:r w:rsidRPr="0072738C">
        <w:rPr>
          <w:b/>
          <w:color w:val="000000" w:themeColor="text1"/>
        </w:rPr>
        <w:t xml:space="preserve">Should we differentiate between “delta 1” and “option based” structured products? </w:t>
      </w:r>
    </w:p>
    <w:p w14:paraId="3BE71F29" w14:textId="77777777" w:rsidR="00D2302C" w:rsidRPr="0072738C" w:rsidRDefault="00D2302C" w:rsidP="00D2302C">
      <w:pPr>
        <w:rPr>
          <w:color w:val="000000" w:themeColor="text1"/>
        </w:rPr>
      </w:pPr>
    </w:p>
    <w:p w14:paraId="2CA3439C" w14:textId="77777777" w:rsidR="00D2302C" w:rsidRPr="0072738C" w:rsidRDefault="00D2302C" w:rsidP="006B2A9F">
      <w:pPr>
        <w:pStyle w:val="ListParagraph"/>
        <w:numPr>
          <w:ilvl w:val="0"/>
          <w:numId w:val="61"/>
        </w:numPr>
        <w:rPr>
          <w:color w:val="000000" w:themeColor="text1"/>
        </w:rPr>
      </w:pPr>
      <w:r w:rsidRPr="0072738C">
        <w:rPr>
          <w:color w:val="000000" w:themeColor="text1"/>
        </w:rPr>
        <w:t>There is no need to differentiate between delta one and option based (delta one is a particular case of an option)</w:t>
      </w:r>
    </w:p>
    <w:p w14:paraId="0E6577BD" w14:textId="77777777" w:rsidR="00D2302C" w:rsidRPr="0072738C" w:rsidRDefault="00D2302C" w:rsidP="00D2302C">
      <w:pPr>
        <w:rPr>
          <w:color w:val="000000" w:themeColor="text1"/>
        </w:rPr>
      </w:pPr>
    </w:p>
    <w:p w14:paraId="65AF4CBF" w14:textId="0E79CA5A" w:rsidR="00D2302C" w:rsidRPr="0072738C" w:rsidRDefault="00D2302C" w:rsidP="00D2302C">
      <w:pPr>
        <w:rPr>
          <w:b/>
          <w:color w:val="000000" w:themeColor="text1"/>
        </w:rPr>
      </w:pPr>
      <w:r w:rsidRPr="0072738C">
        <w:rPr>
          <w:b/>
          <w:color w:val="000000" w:themeColor="text1"/>
        </w:rPr>
        <w:t xml:space="preserve">In which cases do you think that </w:t>
      </w:r>
      <w:r w:rsidR="00D458AF" w:rsidRPr="0072738C">
        <w:rPr>
          <w:b/>
          <w:color w:val="000000" w:themeColor="text1"/>
        </w:rPr>
        <w:t>the manufacturer might not know some of these costs</w:t>
      </w:r>
      <w:r w:rsidRPr="0072738C">
        <w:rPr>
          <w:b/>
          <w:color w:val="000000" w:themeColor="text1"/>
        </w:rPr>
        <w:t>? Which of these types of costs should be further defined?</w:t>
      </w:r>
    </w:p>
    <w:p w14:paraId="11203958" w14:textId="77777777" w:rsidR="00D2302C" w:rsidRPr="0072738C" w:rsidRDefault="00D2302C" w:rsidP="00D2302C">
      <w:pPr>
        <w:rPr>
          <w:color w:val="000000" w:themeColor="text1"/>
        </w:rPr>
      </w:pPr>
    </w:p>
    <w:p w14:paraId="1C44A569" w14:textId="77777777" w:rsidR="00D2302C" w:rsidRPr="0072738C" w:rsidRDefault="00D2302C" w:rsidP="006B2A9F">
      <w:pPr>
        <w:pStyle w:val="ListParagraph"/>
        <w:numPr>
          <w:ilvl w:val="0"/>
          <w:numId w:val="49"/>
        </w:numPr>
        <w:rPr>
          <w:color w:val="000000" w:themeColor="text1"/>
        </w:rPr>
      </w:pPr>
      <w:r w:rsidRPr="0072738C">
        <w:rPr>
          <w:color w:val="000000" w:themeColor="text1"/>
        </w:rPr>
        <w:t>Cases where manufacturer will not know all costs:</w:t>
      </w:r>
    </w:p>
    <w:p w14:paraId="2E7EB7B3" w14:textId="77777777" w:rsidR="00BE74BA" w:rsidRPr="0072738C" w:rsidRDefault="00BE74BA" w:rsidP="00BE74BA">
      <w:pPr>
        <w:pStyle w:val="ListParagraph"/>
        <w:rPr>
          <w:color w:val="000000" w:themeColor="text1"/>
        </w:rPr>
      </w:pPr>
    </w:p>
    <w:p w14:paraId="567B0198" w14:textId="47716D01" w:rsidR="00B212FF" w:rsidRPr="0072738C" w:rsidRDefault="00CD1101" w:rsidP="006B2A9F">
      <w:pPr>
        <w:pStyle w:val="ListParagraph"/>
        <w:numPr>
          <w:ilvl w:val="1"/>
          <w:numId w:val="54"/>
        </w:numPr>
        <w:rPr>
          <w:color w:val="000000" w:themeColor="text1"/>
        </w:rPr>
      </w:pPr>
      <w:r w:rsidRPr="0072738C">
        <w:rPr>
          <w:color w:val="000000" w:themeColor="text1"/>
        </w:rPr>
        <w:t>When</w:t>
      </w:r>
      <w:r w:rsidR="00B212FF" w:rsidRPr="0072738C">
        <w:rPr>
          <w:color w:val="000000" w:themeColor="text1"/>
        </w:rPr>
        <w:t xml:space="preserve"> a product designed by the manufacturer is repackaged in another wrapper, the manufacturer will not know the fees linked to the final wrapper.</w:t>
      </w:r>
    </w:p>
    <w:p w14:paraId="47F910B7" w14:textId="66CBAB7D" w:rsidR="00B212FF" w:rsidRPr="0072738C" w:rsidRDefault="00CD1101" w:rsidP="006B2A9F">
      <w:pPr>
        <w:pStyle w:val="ListParagraph"/>
        <w:numPr>
          <w:ilvl w:val="1"/>
          <w:numId w:val="54"/>
        </w:numPr>
        <w:rPr>
          <w:color w:val="000000" w:themeColor="text1"/>
        </w:rPr>
      </w:pPr>
      <w:r w:rsidRPr="0072738C">
        <w:rPr>
          <w:color w:val="000000" w:themeColor="text1"/>
        </w:rPr>
        <w:t>When</w:t>
      </w:r>
      <w:r w:rsidR="00B212FF" w:rsidRPr="0072738C">
        <w:rPr>
          <w:color w:val="000000" w:themeColor="text1"/>
        </w:rPr>
        <w:t xml:space="preserve"> a fund is the underlying of a structured </w:t>
      </w:r>
      <w:r w:rsidRPr="0072738C">
        <w:rPr>
          <w:color w:val="000000" w:themeColor="text1"/>
        </w:rPr>
        <w:t>product:</w:t>
      </w:r>
      <w:r w:rsidR="00B212FF" w:rsidRPr="0072738C">
        <w:rPr>
          <w:color w:val="000000" w:themeColor="text1"/>
        </w:rPr>
        <w:t xml:space="preserve"> the manufacturer will not know costs linked to the fund</w:t>
      </w:r>
      <w:r w:rsidR="00BE74BA" w:rsidRPr="0072738C">
        <w:rPr>
          <w:color w:val="000000" w:themeColor="text1"/>
        </w:rPr>
        <w:t>.</w:t>
      </w:r>
    </w:p>
    <w:p w14:paraId="4A3559D4" w14:textId="77777777" w:rsidR="00B212FF" w:rsidRPr="00D2302C" w:rsidRDefault="00B212FF" w:rsidP="00F31E57">
      <w:pPr>
        <w:rPr>
          <w:color w:val="FF0000"/>
        </w:rPr>
      </w:pPr>
    </w:p>
    <w:permEnd w:id="1292395471"/>
    <w:p w14:paraId="5C7F9F3B" w14:textId="77777777" w:rsidR="00F31E57" w:rsidRDefault="00F31E57" w:rsidP="00F31E57">
      <w:r>
        <w:t>&lt;ESMA_QUESTION_PRIIPs_61&gt;</w:t>
      </w:r>
    </w:p>
    <w:p w14:paraId="270C7F24"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you think these types of costs should be further defined and d</w:t>
      </w:r>
      <w:r>
        <w:rPr>
          <w:rFonts w:cs="Arial"/>
        </w:rPr>
        <w:t>e</w:t>
      </w:r>
      <w:r>
        <w:rPr>
          <w:rFonts w:cs="Arial"/>
        </w:rPr>
        <w:t xml:space="preserve">tailed? </w:t>
      </w:r>
    </w:p>
    <w:p w14:paraId="2576405A" w14:textId="77777777" w:rsidR="00F31E57" w:rsidRDefault="00F31E57" w:rsidP="00F31E57">
      <w:pPr>
        <w:rPr>
          <w:rFonts w:cstheme="minorBidi"/>
        </w:rPr>
      </w:pPr>
    </w:p>
    <w:p w14:paraId="448F7FFB" w14:textId="77777777" w:rsidR="00F31E57" w:rsidRDefault="00F31E57" w:rsidP="00F31E57">
      <w:r>
        <w:t>&lt;ESMA_QUESTION_PRIIPs_62&gt;</w:t>
      </w:r>
    </w:p>
    <w:p w14:paraId="0B33B875" w14:textId="77777777" w:rsidR="00D2302C" w:rsidRPr="00D2302C" w:rsidRDefault="00D2302C" w:rsidP="00F31E57">
      <w:pPr>
        <w:rPr>
          <w:color w:val="FF0000"/>
        </w:rPr>
      </w:pPr>
      <w:permStart w:id="1151298895" w:edGrp="everyone"/>
    </w:p>
    <w:p w14:paraId="392E1F11" w14:textId="01888DE2" w:rsidR="00F83311" w:rsidRPr="0072738C" w:rsidRDefault="00D2302C" w:rsidP="00EA1DDF">
      <w:pPr>
        <w:pStyle w:val="ListParagraph"/>
        <w:numPr>
          <w:ilvl w:val="0"/>
          <w:numId w:val="49"/>
        </w:numPr>
        <w:rPr>
          <w:color w:val="000000" w:themeColor="text1"/>
        </w:rPr>
      </w:pPr>
      <w:r w:rsidRPr="0072738C">
        <w:rPr>
          <w:color w:val="000000" w:themeColor="text1"/>
        </w:rPr>
        <w:t>C</w:t>
      </w:r>
      <w:r w:rsidR="00AA2D09" w:rsidRPr="0072738C">
        <w:rPr>
          <w:color w:val="000000" w:themeColor="text1"/>
        </w:rPr>
        <w:t>osts related to coupon payments</w:t>
      </w:r>
      <w:r w:rsidRPr="0072738C">
        <w:rPr>
          <w:color w:val="000000" w:themeColor="text1"/>
        </w:rPr>
        <w:t xml:space="preserve"> </w:t>
      </w:r>
      <w:r w:rsidR="00B212FF" w:rsidRPr="0072738C">
        <w:rPr>
          <w:color w:val="000000" w:themeColor="text1"/>
        </w:rPr>
        <w:t>and costs of the underlying</w:t>
      </w:r>
      <w:r w:rsidR="00AA2D09" w:rsidRPr="0072738C">
        <w:rPr>
          <w:color w:val="000000" w:themeColor="text1"/>
        </w:rPr>
        <w:t xml:space="preserve"> </w:t>
      </w:r>
      <w:r w:rsidR="00B212FF" w:rsidRPr="0072738C">
        <w:rPr>
          <w:color w:val="000000" w:themeColor="text1"/>
        </w:rPr>
        <w:t xml:space="preserve">have already been described in the list of "entry costs". These are </w:t>
      </w:r>
      <w:r w:rsidRPr="0072738C">
        <w:rPr>
          <w:color w:val="000000" w:themeColor="text1"/>
        </w:rPr>
        <w:t>not costs passed on to the client and are in the general cost base of manufacturer and they do no impact the client or deteriorate product features. Therefore, it´s irre</w:t>
      </w:r>
      <w:r w:rsidRPr="0072738C">
        <w:rPr>
          <w:color w:val="000000" w:themeColor="text1"/>
        </w:rPr>
        <w:t>l</w:t>
      </w:r>
      <w:r w:rsidRPr="0072738C">
        <w:rPr>
          <w:color w:val="000000" w:themeColor="text1"/>
        </w:rPr>
        <w:t>evant to include them in the list of On-Going costs.</w:t>
      </w:r>
      <w:r w:rsidR="00397415" w:rsidRPr="0072738C">
        <w:rPr>
          <w:color w:val="000000" w:themeColor="text1"/>
        </w:rPr>
        <w:t xml:space="preserve"> </w:t>
      </w:r>
    </w:p>
    <w:p w14:paraId="6EB7CCF9" w14:textId="77777777" w:rsidR="0085009A" w:rsidRPr="0072738C" w:rsidRDefault="0085009A" w:rsidP="0085009A">
      <w:pPr>
        <w:pStyle w:val="ListParagraph"/>
        <w:rPr>
          <w:color w:val="000000" w:themeColor="text1"/>
        </w:rPr>
      </w:pPr>
    </w:p>
    <w:p w14:paraId="360FA296" w14:textId="314AD748" w:rsidR="00D2302C" w:rsidRPr="0072738C" w:rsidRDefault="00D2302C" w:rsidP="006B2A9F">
      <w:pPr>
        <w:pStyle w:val="ListParagraph"/>
        <w:numPr>
          <w:ilvl w:val="0"/>
          <w:numId w:val="49"/>
        </w:numPr>
        <w:rPr>
          <w:color w:val="000000" w:themeColor="text1"/>
        </w:rPr>
      </w:pPr>
      <w:r w:rsidRPr="0072738C">
        <w:rPr>
          <w:color w:val="000000" w:themeColor="text1"/>
        </w:rPr>
        <w:t>In situations where a running fee is paid to the distributor and the fee impacts the product perfo</w:t>
      </w:r>
      <w:r w:rsidRPr="0072738C">
        <w:rPr>
          <w:color w:val="000000" w:themeColor="text1"/>
        </w:rPr>
        <w:t>r</w:t>
      </w:r>
      <w:r w:rsidRPr="0072738C">
        <w:rPr>
          <w:color w:val="000000" w:themeColor="text1"/>
        </w:rPr>
        <w:t>mance (e.g. running fee of a CPPI or a Delta1), this should be disclosed as on-going charge.</w:t>
      </w:r>
    </w:p>
    <w:p w14:paraId="5A381F25" w14:textId="77777777" w:rsidR="00D2302C" w:rsidRPr="0072738C" w:rsidRDefault="00D2302C" w:rsidP="00F31E57">
      <w:pPr>
        <w:rPr>
          <w:color w:val="000000" w:themeColor="text1"/>
        </w:rPr>
      </w:pPr>
    </w:p>
    <w:permEnd w:id="1151298895"/>
    <w:p w14:paraId="0121625B" w14:textId="77777777" w:rsidR="00F31E57" w:rsidRDefault="00F31E57" w:rsidP="00F31E57">
      <w:r>
        <w:t>&lt;ESMA_QUESTION_PRIIPs_62&gt;</w:t>
      </w:r>
    </w:p>
    <w:p w14:paraId="78C6E73D"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avail</w:t>
      </w:r>
      <w:r>
        <w:rPr>
          <w:rFonts w:cs="Arial"/>
        </w:rPr>
        <w:t>a</w:t>
      </w:r>
      <w:r>
        <w:rPr>
          <w:rFonts w:cs="Arial"/>
        </w:rPr>
        <w:t>ble, be considered? Should the term “proportional fees” be further defined? Which definition would you suggest?</w:t>
      </w:r>
    </w:p>
    <w:p w14:paraId="01A2197C" w14:textId="77777777" w:rsidR="00F31E57" w:rsidRDefault="00F31E57" w:rsidP="00F31E57">
      <w:pPr>
        <w:rPr>
          <w:rFonts w:cstheme="minorBidi"/>
        </w:rPr>
      </w:pPr>
    </w:p>
    <w:p w14:paraId="42B84E8A" w14:textId="77777777" w:rsidR="00F31E57" w:rsidRDefault="00F31E57" w:rsidP="00F31E57">
      <w:r>
        <w:t>&lt;ESMA_QUESTION_PRIIPs_63&gt;</w:t>
      </w:r>
    </w:p>
    <w:p w14:paraId="21542113" w14:textId="77777777" w:rsidR="00D2302C" w:rsidRDefault="00D2302C" w:rsidP="00F31E57">
      <w:permStart w:id="1981110767" w:edGrp="everyone"/>
    </w:p>
    <w:p w14:paraId="20B915CC" w14:textId="7EF814B7" w:rsidR="00D2302C" w:rsidRPr="0072738C" w:rsidRDefault="00D2302C" w:rsidP="006B2A9F">
      <w:pPr>
        <w:pStyle w:val="ListParagraph"/>
        <w:numPr>
          <w:ilvl w:val="0"/>
          <w:numId w:val="49"/>
        </w:numPr>
        <w:rPr>
          <w:color w:val="000000" w:themeColor="text1"/>
        </w:rPr>
      </w:pPr>
      <w:r w:rsidRPr="0072738C">
        <w:rPr>
          <w:color w:val="000000" w:themeColor="text1"/>
        </w:rPr>
        <w:t>By Proportional fees, we understand penalties for early exit expressed in % of Notional (e.g. for a product which has exit penalties such as 1% in year 1, 0.5% year 2, 0.25% in year 3 and nothing from and including year 4 until maturity. These should be disclosed in the cost section, but not double counted in the total cost ratio (TCR</w:t>
      </w:r>
      <w:r w:rsidR="00CD1101" w:rsidRPr="0072738C">
        <w:rPr>
          <w:color w:val="000000" w:themeColor="text1"/>
        </w:rPr>
        <w:t>),</w:t>
      </w:r>
      <w:r w:rsidRPr="0072738C">
        <w:rPr>
          <w:color w:val="000000" w:themeColor="text1"/>
        </w:rPr>
        <w:t xml:space="preserve"> as they would only occur under specific circu</w:t>
      </w:r>
      <w:r w:rsidRPr="0072738C">
        <w:rPr>
          <w:color w:val="000000" w:themeColor="text1"/>
        </w:rPr>
        <w:t>m</w:t>
      </w:r>
      <w:r w:rsidRPr="0072738C">
        <w:rPr>
          <w:color w:val="000000" w:themeColor="text1"/>
        </w:rPr>
        <w:t xml:space="preserve">stance. </w:t>
      </w:r>
    </w:p>
    <w:p w14:paraId="396AB082" w14:textId="77777777" w:rsidR="00F83311" w:rsidRPr="0072738C" w:rsidRDefault="00F83311" w:rsidP="00D2302C">
      <w:pPr>
        <w:rPr>
          <w:color w:val="000000" w:themeColor="text1"/>
        </w:rPr>
      </w:pPr>
    </w:p>
    <w:p w14:paraId="7785E6FF" w14:textId="77777777" w:rsidR="00D2302C" w:rsidRPr="0072738C" w:rsidRDefault="00D2302C" w:rsidP="006B2A9F">
      <w:pPr>
        <w:pStyle w:val="ListParagraph"/>
        <w:numPr>
          <w:ilvl w:val="0"/>
          <w:numId w:val="49"/>
        </w:numPr>
        <w:rPr>
          <w:color w:val="000000" w:themeColor="text1"/>
        </w:rPr>
      </w:pPr>
      <w:r w:rsidRPr="0072738C">
        <w:rPr>
          <w:color w:val="000000" w:themeColor="text1"/>
        </w:rPr>
        <w:t xml:space="preserve">(b) Bid-mid spreads paid by the purchaser to sell the product are not exit cost and should not be treated as such. </w:t>
      </w:r>
    </w:p>
    <w:p w14:paraId="4D024331" w14:textId="77777777" w:rsidR="00F83311" w:rsidRPr="0072738C" w:rsidRDefault="00F83311" w:rsidP="00D2302C">
      <w:pPr>
        <w:rPr>
          <w:color w:val="000000" w:themeColor="text1"/>
        </w:rPr>
      </w:pPr>
    </w:p>
    <w:p w14:paraId="66FBA973" w14:textId="179C8E3B" w:rsidR="00D2302C" w:rsidRPr="0072738C" w:rsidRDefault="00D2302C" w:rsidP="006B2A9F">
      <w:pPr>
        <w:pStyle w:val="ListParagraph"/>
        <w:numPr>
          <w:ilvl w:val="0"/>
          <w:numId w:val="49"/>
        </w:numPr>
        <w:rPr>
          <w:color w:val="000000" w:themeColor="text1"/>
        </w:rPr>
      </w:pPr>
      <w:r w:rsidRPr="0072738C">
        <w:rPr>
          <w:color w:val="000000" w:themeColor="text1"/>
        </w:rPr>
        <w:t xml:space="preserve">Maximum spreads should not be considered unless the manufacturer commits to a firm bid-ask maximum spread. </w:t>
      </w:r>
      <w:r w:rsidR="00397415" w:rsidRPr="0072738C">
        <w:rPr>
          <w:color w:val="000000" w:themeColor="text1"/>
        </w:rPr>
        <w:t>Exit fees generally serve the purpose of protecting the sales commissions and structuring costs, it should be explained with an example.</w:t>
      </w:r>
    </w:p>
    <w:p w14:paraId="6AD89214" w14:textId="77777777" w:rsidR="00F83311" w:rsidRPr="0072738C" w:rsidRDefault="00F83311" w:rsidP="00D2302C">
      <w:pPr>
        <w:rPr>
          <w:color w:val="000000" w:themeColor="text1"/>
        </w:rPr>
      </w:pPr>
    </w:p>
    <w:permEnd w:id="1981110767"/>
    <w:p w14:paraId="13993A6B" w14:textId="77777777" w:rsidR="00F31E57" w:rsidRDefault="00F31E57" w:rsidP="00F31E57">
      <w:r>
        <w:t>&lt;ESMA_QUESTION_PRIIPs_63&gt;</w:t>
      </w:r>
    </w:p>
    <w:p w14:paraId="7862E2E0"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agree with the list of costs outlined above? </w:t>
      </w:r>
      <w:r>
        <w:rPr>
          <w:rFonts w:cs="Arial"/>
        </w:rPr>
        <w:t>Which types of costs would r</w:t>
      </w:r>
      <w:r>
        <w:rPr>
          <w:rFonts w:cs="Arial"/>
        </w:rPr>
        <w:t>e</w:t>
      </w:r>
      <w:r>
        <w:rPr>
          <w:rFonts w:cs="Arial"/>
        </w:rPr>
        <w:t>quire more precise definitions? To what extent should the methodology be pr</w:t>
      </w:r>
      <w:r>
        <w:rPr>
          <w:rFonts w:cs="Arial"/>
        </w:rPr>
        <w:t>e</w:t>
      </w:r>
      <w:r>
        <w:rPr>
          <w:rFonts w:cs="Arial"/>
        </w:rPr>
        <w:t>scriptive in the definition and calculation methodologies of the different types of costs?</w:t>
      </w:r>
    </w:p>
    <w:p w14:paraId="04A69A93" w14:textId="77777777" w:rsidR="00F31E57" w:rsidRDefault="00F31E57" w:rsidP="00F31E57">
      <w:pPr>
        <w:rPr>
          <w:rFonts w:cstheme="minorBidi"/>
        </w:rPr>
      </w:pPr>
    </w:p>
    <w:p w14:paraId="06849BCC" w14:textId="77777777" w:rsidR="00F31E57" w:rsidRDefault="00F31E57" w:rsidP="00F31E57">
      <w:r>
        <w:t>&lt;ESMA_QUESTION_PRIIPs_64&gt;</w:t>
      </w:r>
    </w:p>
    <w:p w14:paraId="06946D00" w14:textId="77777777" w:rsidR="00D2302C" w:rsidRDefault="00D2302C" w:rsidP="00F31E57">
      <w:permStart w:id="1565745113" w:edGrp="everyone"/>
    </w:p>
    <w:p w14:paraId="11B6130D" w14:textId="77777777" w:rsidR="005C5AA7" w:rsidRPr="005C5AA7" w:rsidRDefault="005C5AA7" w:rsidP="005C5AA7">
      <w:pPr>
        <w:rPr>
          <w:color w:val="FF0000"/>
        </w:rPr>
      </w:pPr>
    </w:p>
    <w:p w14:paraId="422E4449" w14:textId="008600CF" w:rsidR="00D2302C" w:rsidRPr="0072738C" w:rsidRDefault="00D2302C" w:rsidP="006B2A9F">
      <w:pPr>
        <w:pStyle w:val="ListParagraph"/>
        <w:numPr>
          <w:ilvl w:val="0"/>
          <w:numId w:val="49"/>
        </w:numPr>
        <w:rPr>
          <w:color w:val="000000" w:themeColor="text1"/>
        </w:rPr>
      </w:pPr>
      <w:r w:rsidRPr="0072738C">
        <w:rPr>
          <w:color w:val="000000" w:themeColor="text1"/>
        </w:rPr>
        <w:t xml:space="preserve">As explained in question 61 and 62, </w:t>
      </w:r>
      <w:r w:rsidR="00CB0870" w:rsidRPr="0072738C">
        <w:rPr>
          <w:color w:val="000000" w:themeColor="text1"/>
        </w:rPr>
        <w:t xml:space="preserve">the </w:t>
      </w:r>
      <w:r w:rsidRPr="0072738C">
        <w:rPr>
          <w:color w:val="000000" w:themeColor="text1"/>
        </w:rPr>
        <w:t xml:space="preserve">SSDA believes that it´s important to distinguish between costs that are borne by the manufacturer and costs that are passed on the client. </w:t>
      </w:r>
    </w:p>
    <w:p w14:paraId="6C092EEB" w14:textId="77777777" w:rsidR="00397415" w:rsidRPr="0072738C" w:rsidRDefault="00397415" w:rsidP="00D2302C">
      <w:pPr>
        <w:rPr>
          <w:color w:val="000000" w:themeColor="text1"/>
        </w:rPr>
      </w:pPr>
    </w:p>
    <w:p w14:paraId="58ED54B4" w14:textId="34B8CC6B" w:rsidR="005744BE" w:rsidRPr="0072738C" w:rsidRDefault="00D2302C" w:rsidP="006B2A9F">
      <w:pPr>
        <w:pStyle w:val="ListParagraph"/>
        <w:numPr>
          <w:ilvl w:val="0"/>
          <w:numId w:val="49"/>
        </w:numPr>
        <w:rPr>
          <w:color w:val="000000" w:themeColor="text1"/>
        </w:rPr>
      </w:pPr>
      <w:r w:rsidRPr="0072738C">
        <w:rPr>
          <w:color w:val="000000" w:themeColor="text1"/>
        </w:rPr>
        <w:t xml:space="preserve">It is also fundamental that the list of costs </w:t>
      </w:r>
      <w:r w:rsidR="00AA2D09" w:rsidRPr="0072738C">
        <w:rPr>
          <w:color w:val="000000" w:themeColor="text1"/>
        </w:rPr>
        <w:t xml:space="preserve">is not too long and </w:t>
      </w:r>
      <w:r w:rsidRPr="0072738C">
        <w:rPr>
          <w:color w:val="000000" w:themeColor="text1"/>
        </w:rPr>
        <w:t xml:space="preserve">remains simple to understand for the </w:t>
      </w:r>
      <w:r w:rsidR="00695076" w:rsidRPr="0072738C">
        <w:rPr>
          <w:color w:val="000000" w:themeColor="text1"/>
        </w:rPr>
        <w:t xml:space="preserve">investors. </w:t>
      </w:r>
      <w:r w:rsidR="00596EC9" w:rsidRPr="0072738C">
        <w:rPr>
          <w:color w:val="000000" w:themeColor="text1"/>
        </w:rPr>
        <w:t>A more precise definition of entry costs will not add value to the investors.</w:t>
      </w:r>
    </w:p>
    <w:p w14:paraId="1A3F8152" w14:textId="77777777" w:rsidR="005744BE" w:rsidRPr="0072738C" w:rsidRDefault="005744BE" w:rsidP="005744BE">
      <w:pPr>
        <w:pStyle w:val="ListParagraph"/>
        <w:rPr>
          <w:color w:val="000000" w:themeColor="text1"/>
        </w:rPr>
      </w:pPr>
    </w:p>
    <w:p w14:paraId="2DBF5A2F" w14:textId="23D76B63" w:rsidR="00D2302C" w:rsidRPr="0072738C" w:rsidRDefault="00D2302C" w:rsidP="005744BE">
      <w:pPr>
        <w:pStyle w:val="ListParagraph"/>
        <w:rPr>
          <w:color w:val="000000" w:themeColor="text1"/>
        </w:rPr>
      </w:pPr>
      <w:r w:rsidRPr="0072738C">
        <w:rPr>
          <w:color w:val="000000" w:themeColor="text1"/>
        </w:rPr>
        <w:t>We would therefore recommend to display:</w:t>
      </w:r>
    </w:p>
    <w:p w14:paraId="1150DDCA" w14:textId="77777777" w:rsidR="005744BE" w:rsidRPr="0072738C" w:rsidRDefault="005744BE" w:rsidP="005744BE">
      <w:pPr>
        <w:pStyle w:val="ListParagraph"/>
        <w:rPr>
          <w:color w:val="000000" w:themeColor="text1"/>
        </w:rPr>
      </w:pPr>
    </w:p>
    <w:p w14:paraId="20F39292" w14:textId="3A3EA264" w:rsidR="00D2302C" w:rsidRPr="0072738C" w:rsidRDefault="00F83311" w:rsidP="00C84808">
      <w:pPr>
        <w:pStyle w:val="ListParagraph"/>
        <w:numPr>
          <w:ilvl w:val="1"/>
          <w:numId w:val="49"/>
        </w:numPr>
        <w:rPr>
          <w:color w:val="000000" w:themeColor="text1"/>
        </w:rPr>
      </w:pPr>
      <w:r w:rsidRPr="0072738C">
        <w:rPr>
          <w:color w:val="000000" w:themeColor="text1"/>
        </w:rPr>
        <w:t>S</w:t>
      </w:r>
      <w:r w:rsidR="00D2302C" w:rsidRPr="0072738C">
        <w:rPr>
          <w:color w:val="000000" w:themeColor="text1"/>
        </w:rPr>
        <w:t xml:space="preserve">ales commissions </w:t>
      </w:r>
      <w:r w:rsidR="005C5AA7" w:rsidRPr="0072738C">
        <w:rPr>
          <w:color w:val="000000" w:themeColor="text1"/>
        </w:rPr>
        <w:t xml:space="preserve">when set by the manufacturer, should be </w:t>
      </w:r>
      <w:r w:rsidR="00D2302C" w:rsidRPr="0072738C">
        <w:rPr>
          <w:color w:val="000000" w:themeColor="text1"/>
        </w:rPr>
        <w:t>decompose</w:t>
      </w:r>
      <w:r w:rsidR="005C5AA7" w:rsidRPr="0072738C">
        <w:rPr>
          <w:color w:val="000000" w:themeColor="text1"/>
        </w:rPr>
        <w:t>d</w:t>
      </w:r>
      <w:r w:rsidR="00D2302C" w:rsidRPr="0072738C">
        <w:rPr>
          <w:color w:val="000000" w:themeColor="text1"/>
        </w:rPr>
        <w:t xml:space="preserve"> </w:t>
      </w:r>
      <w:r w:rsidR="005C5AA7" w:rsidRPr="0072738C">
        <w:rPr>
          <w:color w:val="000000" w:themeColor="text1"/>
        </w:rPr>
        <w:t>i</w:t>
      </w:r>
      <w:r w:rsidR="00D2302C" w:rsidRPr="0072738C">
        <w:rPr>
          <w:color w:val="000000" w:themeColor="text1"/>
        </w:rPr>
        <w:t>nto upfront sales commission and run</w:t>
      </w:r>
      <w:r w:rsidR="005C5AA7" w:rsidRPr="0072738C">
        <w:rPr>
          <w:color w:val="000000" w:themeColor="text1"/>
        </w:rPr>
        <w:t xml:space="preserve">ning sales commission </w:t>
      </w:r>
      <w:r w:rsidR="00D2302C" w:rsidRPr="0072738C">
        <w:rPr>
          <w:color w:val="000000" w:themeColor="text1"/>
        </w:rPr>
        <w:t>(usually there is no sales commission upon exit)</w:t>
      </w:r>
      <w:r w:rsidR="00C84808" w:rsidRPr="0072738C">
        <w:rPr>
          <w:color w:val="000000" w:themeColor="text1"/>
        </w:rPr>
        <w:t xml:space="preserve">. In cases </w:t>
      </w:r>
      <w:proofErr w:type="gramStart"/>
      <w:r w:rsidR="00C84808" w:rsidRPr="0072738C">
        <w:rPr>
          <w:color w:val="000000" w:themeColor="text1"/>
        </w:rPr>
        <w:t>where sales commissions are set by the “person selling a PRIIP”</w:t>
      </w:r>
      <w:proofErr w:type="gramEnd"/>
      <w:r w:rsidR="00C84808" w:rsidRPr="0072738C">
        <w:rPr>
          <w:color w:val="000000" w:themeColor="text1"/>
        </w:rPr>
        <w:t xml:space="preserve"> (e</w:t>
      </w:r>
      <w:r w:rsidR="00C84808" w:rsidRPr="0072738C">
        <w:rPr>
          <w:color w:val="000000" w:themeColor="text1"/>
        </w:rPr>
        <w:t>x</w:t>
      </w:r>
      <w:r w:rsidR="00C84808" w:rsidRPr="0072738C">
        <w:rPr>
          <w:color w:val="000000" w:themeColor="text1"/>
        </w:rPr>
        <w:t>ample costs for advisory service, courtage and other fees) the information should be di</w:t>
      </w:r>
      <w:r w:rsidR="00C84808" w:rsidRPr="0072738C">
        <w:rPr>
          <w:color w:val="000000" w:themeColor="text1"/>
        </w:rPr>
        <w:t>s</w:t>
      </w:r>
      <w:r w:rsidR="00C84808" w:rsidRPr="0072738C">
        <w:rPr>
          <w:color w:val="000000" w:themeColor="text1"/>
        </w:rPr>
        <w:t>played in accordance with the MiFID 2 regulation.</w:t>
      </w:r>
    </w:p>
    <w:p w14:paraId="3B4AA82E" w14:textId="37FCEEF1" w:rsidR="00D2302C" w:rsidRPr="0072738C" w:rsidRDefault="00F83311" w:rsidP="006B2A9F">
      <w:pPr>
        <w:pStyle w:val="ListParagraph"/>
        <w:numPr>
          <w:ilvl w:val="1"/>
          <w:numId w:val="49"/>
        </w:numPr>
        <w:rPr>
          <w:color w:val="000000" w:themeColor="text1"/>
        </w:rPr>
      </w:pPr>
      <w:r w:rsidRPr="0072738C">
        <w:rPr>
          <w:color w:val="000000" w:themeColor="text1"/>
        </w:rPr>
        <w:t>S</w:t>
      </w:r>
      <w:r w:rsidR="00D2302C" w:rsidRPr="0072738C">
        <w:rPr>
          <w:color w:val="000000" w:themeColor="text1"/>
        </w:rPr>
        <w:t>tructuring cost (also called "manufacturing cost") decomposed into its 3 components: u</w:t>
      </w:r>
      <w:r w:rsidR="00D2302C" w:rsidRPr="0072738C">
        <w:rPr>
          <w:color w:val="000000" w:themeColor="text1"/>
        </w:rPr>
        <w:t>p</w:t>
      </w:r>
      <w:r w:rsidR="00D2302C" w:rsidRPr="0072738C">
        <w:rPr>
          <w:color w:val="000000" w:themeColor="text1"/>
        </w:rPr>
        <w:t xml:space="preserve">front manufacturing </w:t>
      </w:r>
      <w:r w:rsidR="00D458AF" w:rsidRPr="0072738C">
        <w:rPr>
          <w:color w:val="000000" w:themeColor="text1"/>
        </w:rPr>
        <w:t>cost,</w:t>
      </w:r>
      <w:r w:rsidR="00D2302C" w:rsidRPr="0072738C">
        <w:rPr>
          <w:color w:val="000000" w:themeColor="text1"/>
        </w:rPr>
        <w:t xml:space="preserve"> running manufacturing cost and exit charge if any.</w:t>
      </w:r>
    </w:p>
    <w:p w14:paraId="3A22CEF1" w14:textId="77777777" w:rsidR="00D2302C" w:rsidRPr="0072738C" w:rsidRDefault="00D2302C" w:rsidP="00D2302C">
      <w:pPr>
        <w:rPr>
          <w:color w:val="000000" w:themeColor="text1"/>
        </w:rPr>
      </w:pPr>
    </w:p>
    <w:p w14:paraId="6469D268" w14:textId="2FD9B4A1" w:rsidR="00D2302C" w:rsidRPr="0072738C" w:rsidRDefault="00D2302C" w:rsidP="006B2A9F">
      <w:pPr>
        <w:pStyle w:val="ListParagraph"/>
        <w:numPr>
          <w:ilvl w:val="0"/>
          <w:numId w:val="49"/>
        </w:numPr>
        <w:rPr>
          <w:color w:val="000000" w:themeColor="text1"/>
        </w:rPr>
      </w:pPr>
      <w:r w:rsidRPr="0072738C">
        <w:rPr>
          <w:color w:val="000000" w:themeColor="text1"/>
        </w:rPr>
        <w:t xml:space="preserve">Some guidelines </w:t>
      </w:r>
      <w:r w:rsidR="00AA2D09" w:rsidRPr="0072738C">
        <w:rPr>
          <w:color w:val="000000" w:themeColor="text1"/>
        </w:rPr>
        <w:t xml:space="preserve">from </w:t>
      </w:r>
      <w:r w:rsidR="00CB0870" w:rsidRPr="0072738C">
        <w:rPr>
          <w:color w:val="000000" w:themeColor="text1"/>
        </w:rPr>
        <w:t xml:space="preserve">the </w:t>
      </w:r>
      <w:r w:rsidR="00AA2D09" w:rsidRPr="0072738C">
        <w:rPr>
          <w:color w:val="000000" w:themeColor="text1"/>
        </w:rPr>
        <w:t xml:space="preserve">ESA’s </w:t>
      </w:r>
      <w:r w:rsidRPr="0072738C">
        <w:rPr>
          <w:color w:val="000000" w:themeColor="text1"/>
        </w:rPr>
        <w:t xml:space="preserve">would be welcome together with examples on the </w:t>
      </w:r>
      <w:r w:rsidR="00407274" w:rsidRPr="0072738C">
        <w:rPr>
          <w:color w:val="000000" w:themeColor="text1"/>
        </w:rPr>
        <w:t>calculation</w:t>
      </w:r>
      <w:r w:rsidRPr="0072738C">
        <w:rPr>
          <w:color w:val="000000" w:themeColor="text1"/>
        </w:rPr>
        <w:t xml:space="preserve"> of these costs (sales commissions = distribution </w:t>
      </w:r>
      <w:r w:rsidR="00D458AF" w:rsidRPr="0072738C">
        <w:rPr>
          <w:color w:val="000000" w:themeColor="text1"/>
        </w:rPr>
        <w:t>fees;</w:t>
      </w:r>
      <w:r w:rsidRPr="0072738C">
        <w:rPr>
          <w:color w:val="000000" w:themeColor="text1"/>
        </w:rPr>
        <w:t xml:space="preserve"> structuring cost = margin generating revenue for the </w:t>
      </w:r>
      <w:r w:rsidR="00D458AF" w:rsidRPr="0072738C">
        <w:rPr>
          <w:color w:val="000000" w:themeColor="text1"/>
        </w:rPr>
        <w:t>manufacturer;</w:t>
      </w:r>
      <w:r w:rsidRPr="0072738C">
        <w:rPr>
          <w:color w:val="000000" w:themeColor="text1"/>
        </w:rPr>
        <w:t xml:space="preserve"> all other costs excluded as they are not supported by the investor). Howe</w:t>
      </w:r>
      <w:r w:rsidRPr="0072738C">
        <w:rPr>
          <w:color w:val="000000" w:themeColor="text1"/>
        </w:rPr>
        <w:t>v</w:t>
      </w:r>
      <w:r w:rsidRPr="0072738C">
        <w:rPr>
          <w:color w:val="000000" w:themeColor="text1"/>
        </w:rPr>
        <w:t>er, the manufacturer should remain free to compute the figures at their discretion within the framework of the guidelines.</w:t>
      </w:r>
    </w:p>
    <w:p w14:paraId="072645E3" w14:textId="77777777" w:rsidR="00D2302C" w:rsidRPr="0072738C" w:rsidRDefault="00D2302C" w:rsidP="00F31E57">
      <w:pPr>
        <w:rPr>
          <w:color w:val="000000" w:themeColor="text1"/>
        </w:rPr>
      </w:pPr>
    </w:p>
    <w:permEnd w:id="1565745113"/>
    <w:p w14:paraId="11CB1777" w14:textId="77777777" w:rsidR="00F31E57" w:rsidRDefault="00F31E57" w:rsidP="00F31E57">
      <w:r>
        <w:t>&lt;ESMA_QUESTION_PRIIPs_64&gt;</w:t>
      </w:r>
    </w:p>
    <w:p w14:paraId="374FF5C4"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14:paraId="11942943" w14:textId="77777777" w:rsidR="00F31E57" w:rsidRDefault="00F31E57" w:rsidP="00F31E57">
      <w:pPr>
        <w:rPr>
          <w:rFonts w:cstheme="minorBidi"/>
          <w:lang w:eastAsia="en-US"/>
        </w:rPr>
      </w:pPr>
    </w:p>
    <w:p w14:paraId="7BFFA6A2" w14:textId="77777777" w:rsidR="00F31E57" w:rsidRDefault="00F31E57" w:rsidP="00F31E57">
      <w:r>
        <w:t>&lt;ESMA_QUESTION_PRIIPs_65&gt;</w:t>
      </w:r>
    </w:p>
    <w:p w14:paraId="4B195C23" w14:textId="77777777" w:rsidR="00D2302C" w:rsidRPr="00D2302C" w:rsidRDefault="00D2302C" w:rsidP="00F31E57">
      <w:pPr>
        <w:rPr>
          <w:color w:val="FF0000"/>
        </w:rPr>
      </w:pPr>
      <w:permStart w:id="903248074" w:edGrp="everyone"/>
    </w:p>
    <w:p w14:paraId="0C6BA15D" w14:textId="4DF35D81" w:rsidR="00D2302C" w:rsidRPr="0072738C" w:rsidRDefault="00CB0870" w:rsidP="006B2A9F">
      <w:pPr>
        <w:pStyle w:val="ListParagraph"/>
        <w:numPr>
          <w:ilvl w:val="0"/>
          <w:numId w:val="49"/>
        </w:numPr>
        <w:rPr>
          <w:color w:val="000000" w:themeColor="text1"/>
        </w:rPr>
      </w:pPr>
      <w:r w:rsidRPr="0072738C">
        <w:rPr>
          <w:color w:val="000000" w:themeColor="text1"/>
          <w:lang w:val="en-US"/>
        </w:rPr>
        <w:t xml:space="preserve">The </w:t>
      </w:r>
      <w:r w:rsidR="000D4C2A" w:rsidRPr="0072738C">
        <w:rPr>
          <w:color w:val="000000" w:themeColor="text1"/>
        </w:rPr>
        <w:t xml:space="preserve">SSDA </w:t>
      </w:r>
      <w:r w:rsidR="00D2302C" w:rsidRPr="0072738C">
        <w:rPr>
          <w:color w:val="000000" w:themeColor="text1"/>
        </w:rPr>
        <w:t xml:space="preserve">would </w:t>
      </w:r>
      <w:r w:rsidR="000D4C2A" w:rsidRPr="0072738C">
        <w:rPr>
          <w:color w:val="000000" w:themeColor="text1"/>
        </w:rPr>
        <w:t xml:space="preserve">like to </w:t>
      </w:r>
      <w:r w:rsidR="00D2302C" w:rsidRPr="0072738C">
        <w:rPr>
          <w:color w:val="000000" w:themeColor="text1"/>
        </w:rPr>
        <w:t>include only the</w:t>
      </w:r>
      <w:r w:rsidR="000D4C2A" w:rsidRPr="0072738C">
        <w:rPr>
          <w:color w:val="000000" w:themeColor="text1"/>
        </w:rPr>
        <w:t xml:space="preserve"> costs </w:t>
      </w:r>
      <w:r w:rsidR="00D2302C" w:rsidRPr="0072738C">
        <w:rPr>
          <w:color w:val="000000" w:themeColor="text1"/>
        </w:rPr>
        <w:t>mentioned in our answer to Q64 (with definition provid</w:t>
      </w:r>
      <w:r w:rsidR="000D4C2A" w:rsidRPr="0072738C">
        <w:rPr>
          <w:color w:val="000000" w:themeColor="text1"/>
        </w:rPr>
        <w:t xml:space="preserve">ed by the </w:t>
      </w:r>
      <w:r w:rsidR="00596EC9" w:rsidRPr="0072738C">
        <w:rPr>
          <w:color w:val="000000" w:themeColor="text1"/>
        </w:rPr>
        <w:t>ESA’s in detailed guidelines</w:t>
      </w:r>
      <w:r w:rsidR="00D2302C" w:rsidRPr="0072738C">
        <w:rPr>
          <w:color w:val="000000" w:themeColor="text1"/>
        </w:rPr>
        <w:t>), as these are the only costs passed on to the inve</w:t>
      </w:r>
      <w:r w:rsidR="00D2302C" w:rsidRPr="0072738C">
        <w:rPr>
          <w:color w:val="000000" w:themeColor="text1"/>
        </w:rPr>
        <w:t>s</w:t>
      </w:r>
      <w:r w:rsidR="00D2302C" w:rsidRPr="0072738C">
        <w:rPr>
          <w:color w:val="000000" w:themeColor="text1"/>
        </w:rPr>
        <w:t>tors.</w:t>
      </w:r>
    </w:p>
    <w:p w14:paraId="26F09710" w14:textId="77777777" w:rsidR="00D2302C" w:rsidRDefault="00D2302C" w:rsidP="00F31E57"/>
    <w:permEnd w:id="903248074"/>
    <w:p w14:paraId="73B5C878" w14:textId="77777777" w:rsidR="00F31E57" w:rsidRDefault="00F31E57" w:rsidP="00F31E57">
      <w:r>
        <w:t>&lt;ESMA_QUESTION_PRIIPs_65&gt;</w:t>
      </w:r>
    </w:p>
    <w:p w14:paraId="1FD88BE5"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14:paraId="517BA409" w14:textId="77777777" w:rsidR="00F31E57" w:rsidRDefault="00F31E57" w:rsidP="00F31E57">
      <w:pPr>
        <w:rPr>
          <w:rFonts w:cstheme="minorBidi"/>
          <w:lang w:eastAsia="en-US"/>
        </w:rPr>
      </w:pPr>
    </w:p>
    <w:p w14:paraId="0F50D0ED" w14:textId="77777777" w:rsidR="00F31E57" w:rsidRDefault="00F31E57" w:rsidP="00F31E57">
      <w:r>
        <w:t>&lt;ESMA_QUESTION_PRIIPs_66&gt;</w:t>
      </w:r>
    </w:p>
    <w:p w14:paraId="2BF75399" w14:textId="77777777" w:rsidR="00D2302C" w:rsidRDefault="00D2302C" w:rsidP="00D2302C">
      <w:pPr>
        <w:rPr>
          <w:color w:val="FF0000"/>
        </w:rPr>
      </w:pPr>
      <w:permStart w:id="1812993584" w:edGrp="everyone"/>
    </w:p>
    <w:p w14:paraId="53EFA770" w14:textId="0C56FB1D" w:rsidR="00D2302C" w:rsidRPr="0072738C" w:rsidRDefault="00CB0870" w:rsidP="006B2A9F">
      <w:pPr>
        <w:pStyle w:val="ListParagraph"/>
        <w:numPr>
          <w:ilvl w:val="0"/>
          <w:numId w:val="60"/>
        </w:numPr>
        <w:rPr>
          <w:color w:val="000000" w:themeColor="text1"/>
        </w:rPr>
      </w:pPr>
      <w:r w:rsidRPr="0072738C">
        <w:rPr>
          <w:color w:val="000000" w:themeColor="text1"/>
          <w:lang w:val="en-US"/>
        </w:rPr>
        <w:t xml:space="preserve">The </w:t>
      </w:r>
      <w:r w:rsidR="00F83311" w:rsidRPr="0072738C">
        <w:rPr>
          <w:color w:val="000000" w:themeColor="text1"/>
        </w:rPr>
        <w:t>SSDA believes that c</w:t>
      </w:r>
      <w:r w:rsidR="00D2302C" w:rsidRPr="0072738C">
        <w:rPr>
          <w:color w:val="000000" w:themeColor="text1"/>
        </w:rPr>
        <w:t>ost of the underlying (e.g. index licence cost) is a cost borne by the manufacturer, implicitly included in the Direct Costs and priced upfront.</w:t>
      </w:r>
      <w:r w:rsidR="00F83311" w:rsidRPr="0072738C">
        <w:rPr>
          <w:color w:val="000000" w:themeColor="text1"/>
        </w:rPr>
        <w:t xml:space="preserve"> </w:t>
      </w:r>
      <w:r w:rsidR="00D2302C" w:rsidRPr="0072738C">
        <w:rPr>
          <w:color w:val="000000" w:themeColor="text1"/>
        </w:rPr>
        <w:t>It should not be included in on-going costs.</w:t>
      </w:r>
    </w:p>
    <w:p w14:paraId="4A4EDB3D" w14:textId="77777777" w:rsidR="00D2302C" w:rsidRPr="00D2302C" w:rsidRDefault="00D2302C" w:rsidP="00D2302C">
      <w:pPr>
        <w:rPr>
          <w:color w:val="FF0000"/>
        </w:rPr>
      </w:pPr>
    </w:p>
    <w:permEnd w:id="1812993584"/>
    <w:p w14:paraId="072CBD8A" w14:textId="77777777" w:rsidR="00F31E57" w:rsidRDefault="00F31E57" w:rsidP="00F31E57">
      <w:r>
        <w:t>&lt;ESMA_QUESTION_PRIIPs_66&gt;</w:t>
      </w:r>
    </w:p>
    <w:p w14:paraId="5A7009B5"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How would you deal with the issue of the amortization of the entry costs during the life of the product? </w:t>
      </w:r>
      <w:r>
        <w:rPr>
          <w:rFonts w:cs="Arial"/>
        </w:rPr>
        <w:t>For derivatives it will be notably important to define what the invested capital is, in order to calculate percentages. The possibilities include: the amount paid (i.e. option premium price or initial margin/collateral) or the exposure (to be defined for optional derivatives). Do you see other possible approaches on this specific point?</w:t>
      </w:r>
    </w:p>
    <w:p w14:paraId="173155E6" w14:textId="77777777" w:rsidR="00F31E57" w:rsidRDefault="00F31E57" w:rsidP="00F31E57">
      <w:pPr>
        <w:rPr>
          <w:rFonts w:cstheme="minorBidi"/>
          <w:lang w:eastAsia="en-US"/>
        </w:rPr>
      </w:pPr>
    </w:p>
    <w:p w14:paraId="5AB916AB" w14:textId="77777777" w:rsidR="00F31E57" w:rsidRDefault="00F31E57" w:rsidP="00F31E57">
      <w:r>
        <w:t>&lt;ESMA_QUESTION_PRIIPs_67&gt;</w:t>
      </w:r>
    </w:p>
    <w:p w14:paraId="426CA576" w14:textId="77777777" w:rsidR="001F09E8" w:rsidRPr="001F09E8" w:rsidRDefault="001F09E8" w:rsidP="001F09E8">
      <w:pPr>
        <w:rPr>
          <w:color w:val="FF0000"/>
        </w:rPr>
      </w:pPr>
      <w:permStart w:id="1217291896" w:edGrp="everyone"/>
    </w:p>
    <w:p w14:paraId="141065B5" w14:textId="7FEC5036" w:rsidR="00D2302C" w:rsidRPr="0072738C" w:rsidRDefault="00CB0870" w:rsidP="00C84808">
      <w:pPr>
        <w:pStyle w:val="ListParagraph"/>
        <w:numPr>
          <w:ilvl w:val="0"/>
          <w:numId w:val="49"/>
        </w:numPr>
        <w:rPr>
          <w:color w:val="000000" w:themeColor="text1"/>
        </w:rPr>
      </w:pPr>
      <w:r w:rsidRPr="0072738C">
        <w:rPr>
          <w:color w:val="000000" w:themeColor="text1"/>
          <w:lang w:val="en-US"/>
        </w:rPr>
        <w:t xml:space="preserve">The </w:t>
      </w:r>
      <w:r w:rsidR="00D2302C" w:rsidRPr="0072738C">
        <w:rPr>
          <w:color w:val="000000" w:themeColor="text1"/>
        </w:rPr>
        <w:t xml:space="preserve">SSDA does not foresee any issue with </w:t>
      </w:r>
      <w:r w:rsidR="00C84808" w:rsidRPr="0072738C">
        <w:rPr>
          <w:color w:val="000000" w:themeColor="text1"/>
        </w:rPr>
        <w:t>the amortization of entry cost, i.e. to divide costs du</w:t>
      </w:r>
      <w:r w:rsidR="00C84808" w:rsidRPr="0072738C">
        <w:rPr>
          <w:color w:val="000000" w:themeColor="text1"/>
        </w:rPr>
        <w:t>r</w:t>
      </w:r>
      <w:r w:rsidR="00C84808" w:rsidRPr="0072738C">
        <w:rPr>
          <w:color w:val="000000" w:themeColor="text1"/>
        </w:rPr>
        <w:t xml:space="preserve">ing the lifetime of the product. </w:t>
      </w:r>
      <w:r w:rsidR="00471DD8" w:rsidRPr="0072738C">
        <w:rPr>
          <w:color w:val="000000" w:themeColor="text1"/>
        </w:rPr>
        <w:t>A</w:t>
      </w:r>
      <w:r w:rsidR="00D2302C" w:rsidRPr="0072738C">
        <w:rPr>
          <w:color w:val="000000" w:themeColor="text1"/>
        </w:rPr>
        <w:t xml:space="preserve">mortization </w:t>
      </w:r>
      <w:r w:rsidR="00471DD8" w:rsidRPr="0072738C">
        <w:rPr>
          <w:color w:val="000000" w:themeColor="text1"/>
        </w:rPr>
        <w:t>of costs is already today a standard in the Swedish Structured Product market</w:t>
      </w:r>
      <w:r w:rsidR="00D2302C" w:rsidRPr="0072738C">
        <w:rPr>
          <w:color w:val="000000" w:themeColor="text1"/>
        </w:rPr>
        <w:t>.</w:t>
      </w:r>
    </w:p>
    <w:p w14:paraId="0FE8B3EB" w14:textId="77777777" w:rsidR="00C84808" w:rsidRPr="0072738C" w:rsidRDefault="00C84808" w:rsidP="00C84808">
      <w:pPr>
        <w:pStyle w:val="ListParagraph"/>
        <w:rPr>
          <w:color w:val="000000" w:themeColor="text1"/>
        </w:rPr>
      </w:pPr>
    </w:p>
    <w:p w14:paraId="541A978F" w14:textId="27CE2F2A" w:rsidR="00D2302C" w:rsidRPr="0072738C" w:rsidRDefault="00CB0870" w:rsidP="006B2A9F">
      <w:pPr>
        <w:pStyle w:val="ListParagraph"/>
        <w:numPr>
          <w:ilvl w:val="0"/>
          <w:numId w:val="49"/>
        </w:numPr>
        <w:rPr>
          <w:color w:val="000000" w:themeColor="text1"/>
        </w:rPr>
      </w:pPr>
      <w:r w:rsidRPr="0072738C">
        <w:rPr>
          <w:color w:val="000000" w:themeColor="text1"/>
          <w:lang w:val="en-US"/>
        </w:rPr>
        <w:t xml:space="preserve">The </w:t>
      </w:r>
      <w:r w:rsidR="00D2302C" w:rsidRPr="0072738C">
        <w:rPr>
          <w:color w:val="000000" w:themeColor="text1"/>
        </w:rPr>
        <w:t>SSDA believes the term “invested capital” is misleading for structured products.</w:t>
      </w:r>
    </w:p>
    <w:p w14:paraId="1B353BBE" w14:textId="1EF31D32" w:rsidR="00D2302C" w:rsidRPr="0072738C" w:rsidRDefault="00D2302C" w:rsidP="006B2A9F">
      <w:pPr>
        <w:pStyle w:val="ListParagraph"/>
        <w:numPr>
          <w:ilvl w:val="1"/>
          <w:numId w:val="54"/>
        </w:numPr>
        <w:rPr>
          <w:color w:val="000000" w:themeColor="text1"/>
        </w:rPr>
      </w:pPr>
      <w:r w:rsidRPr="0072738C">
        <w:rPr>
          <w:color w:val="000000" w:themeColor="text1"/>
        </w:rPr>
        <w:lastRenderedPageBreak/>
        <w:t xml:space="preserve">Notional invested or Denomination are the correct legal terms which should be used: the payoff of the structured products is based on the Notional, which may be different from the “invested capital” defined as purchase price * Notional. </w:t>
      </w:r>
    </w:p>
    <w:p w14:paraId="6441A5FD" w14:textId="31C7DA66" w:rsidR="00D2302C" w:rsidRDefault="00D458AF" w:rsidP="006B2A9F">
      <w:pPr>
        <w:pStyle w:val="ListParagraph"/>
        <w:numPr>
          <w:ilvl w:val="1"/>
          <w:numId w:val="54"/>
        </w:numPr>
        <w:rPr>
          <w:color w:val="000000" w:themeColor="text1"/>
        </w:rPr>
      </w:pPr>
      <w:r w:rsidRPr="0072738C">
        <w:rPr>
          <w:color w:val="000000" w:themeColor="text1"/>
        </w:rPr>
        <w:t>For products "in units" (i.e. without a denomination such as Call paying absolute difference between Spot and Strike), a hypothetical Denomination could be set to the Strike level, so that payoff is expressed in percentage of the Strike.</w:t>
      </w:r>
    </w:p>
    <w:p w14:paraId="1BD654D9" w14:textId="77777777" w:rsidR="005152DC" w:rsidRPr="0072738C" w:rsidRDefault="005152DC" w:rsidP="005152DC">
      <w:pPr>
        <w:pStyle w:val="ListParagraph"/>
        <w:ind w:left="2160"/>
        <w:rPr>
          <w:color w:val="000000" w:themeColor="text1"/>
        </w:rPr>
      </w:pPr>
      <w:bookmarkStart w:id="3" w:name="_GoBack"/>
      <w:bookmarkEnd w:id="3"/>
    </w:p>
    <w:p w14:paraId="4589BD11" w14:textId="77777777" w:rsidR="00D2302C" w:rsidRPr="0072738C" w:rsidRDefault="00D2302C" w:rsidP="006B2A9F">
      <w:pPr>
        <w:pStyle w:val="ListParagraph"/>
        <w:numPr>
          <w:ilvl w:val="0"/>
          <w:numId w:val="49"/>
        </w:numPr>
        <w:rPr>
          <w:color w:val="000000" w:themeColor="text1"/>
        </w:rPr>
      </w:pPr>
      <w:r w:rsidRPr="0072738C">
        <w:rPr>
          <w:color w:val="000000" w:themeColor="text1"/>
        </w:rPr>
        <w:t>As long as the Denomination of the Security, or the Notional Invested for a structured deposit, is clearly displayed on the KID, we do not foresee any issues.</w:t>
      </w:r>
    </w:p>
    <w:p w14:paraId="2F6A89DC" w14:textId="77777777" w:rsidR="00D2302C" w:rsidRDefault="00D2302C" w:rsidP="00F31E57"/>
    <w:permEnd w:id="1217291896"/>
    <w:p w14:paraId="7C07A3A0" w14:textId="77777777" w:rsidR="00F31E57" w:rsidRDefault="00F31E57" w:rsidP="00F31E57">
      <w:r>
        <w:t>&lt;ESMA_QUESTION_PRIIPs_67&gt;</w:t>
      </w:r>
    </w:p>
    <w:p w14:paraId="4C1D348C"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that there are products with ongoing hedging costs (to ensure that the manufacturer is able to replicate the performance of the derivative component of the structured product)? </w:t>
      </w:r>
    </w:p>
    <w:p w14:paraId="1775CFC7" w14:textId="77777777" w:rsidR="00F31E57" w:rsidRDefault="00F31E57" w:rsidP="00F31E57">
      <w:pPr>
        <w:rPr>
          <w:rFonts w:cstheme="minorBidi"/>
        </w:rPr>
      </w:pPr>
    </w:p>
    <w:p w14:paraId="1DB0D4DF" w14:textId="77777777" w:rsidR="00F31E57" w:rsidRDefault="00F31E57" w:rsidP="00F31E57">
      <w:r>
        <w:t>&lt;ESMA_QUESTION_PRIIPs_68&gt;</w:t>
      </w:r>
    </w:p>
    <w:p w14:paraId="25378169" w14:textId="77777777" w:rsidR="00D2302C" w:rsidRDefault="00D2302C" w:rsidP="00F31E57">
      <w:permStart w:id="810886243" w:edGrp="everyone"/>
    </w:p>
    <w:p w14:paraId="1EE10025" w14:textId="77777777" w:rsidR="00D2302C" w:rsidRPr="0072738C" w:rsidRDefault="00D2302C" w:rsidP="006B2A9F">
      <w:pPr>
        <w:pStyle w:val="ListParagraph"/>
        <w:numPr>
          <w:ilvl w:val="0"/>
          <w:numId w:val="59"/>
        </w:numPr>
        <w:rPr>
          <w:color w:val="000000" w:themeColor="text1"/>
        </w:rPr>
      </w:pPr>
      <w:r w:rsidRPr="0072738C">
        <w:rPr>
          <w:color w:val="000000" w:themeColor="text1"/>
        </w:rPr>
        <w:t>No: the hedging costs are embedded in the upfront price of the product, and should there be any later adjustment, the induced cost would be supported by the manufacturer and not passed on to the investor.</w:t>
      </w:r>
    </w:p>
    <w:p w14:paraId="5D6C4D5E" w14:textId="77777777" w:rsidR="00D2302C" w:rsidRPr="0072738C" w:rsidRDefault="00D2302C" w:rsidP="00F31E57">
      <w:pPr>
        <w:rPr>
          <w:color w:val="000000" w:themeColor="text1"/>
        </w:rPr>
      </w:pPr>
    </w:p>
    <w:permEnd w:id="810886243"/>
    <w:p w14:paraId="5B1F2D8C" w14:textId="77777777" w:rsidR="00F31E57" w:rsidRDefault="00F31E57" w:rsidP="00F31E57">
      <w:r>
        <w:t>&lt;ESMA_QUESTION_PRIIPs_68&gt;</w:t>
      </w:r>
    </w:p>
    <w:p w14:paraId="56233B7C"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14:paraId="20ADE5E8" w14:textId="77777777" w:rsidR="00F31E57" w:rsidRDefault="00F31E57" w:rsidP="00F31E57">
      <w:pPr>
        <w:rPr>
          <w:rFonts w:cstheme="minorBidi"/>
          <w:lang w:eastAsia="en-US"/>
        </w:rPr>
      </w:pPr>
    </w:p>
    <w:p w14:paraId="4A59B14C" w14:textId="77777777" w:rsidR="00F31E57" w:rsidRDefault="00F31E57" w:rsidP="00F31E57">
      <w:r>
        <w:t>&lt;ESMA_QUESTION_PRIIPs_69&gt;</w:t>
      </w:r>
    </w:p>
    <w:p w14:paraId="730878ED" w14:textId="77777777" w:rsidR="00D2302C" w:rsidRDefault="00D2302C" w:rsidP="00D2302C">
      <w:pPr>
        <w:rPr>
          <w:color w:val="FF0000"/>
        </w:rPr>
      </w:pPr>
      <w:permStart w:id="70809841" w:edGrp="everyone"/>
    </w:p>
    <w:p w14:paraId="264D56D3" w14:textId="2BF4285D" w:rsidR="00D2302C" w:rsidRPr="0072738C" w:rsidRDefault="00CB0870" w:rsidP="006B2A9F">
      <w:pPr>
        <w:pStyle w:val="ListParagraph"/>
        <w:numPr>
          <w:ilvl w:val="0"/>
          <w:numId w:val="49"/>
        </w:numPr>
        <w:rPr>
          <w:color w:val="000000" w:themeColor="text1"/>
        </w:rPr>
      </w:pPr>
      <w:r w:rsidRPr="0072738C">
        <w:rPr>
          <w:color w:val="000000" w:themeColor="text1"/>
          <w:lang w:val="en-US"/>
        </w:rPr>
        <w:t xml:space="preserve">The </w:t>
      </w:r>
      <w:r w:rsidR="00D2302C" w:rsidRPr="0072738C">
        <w:rPr>
          <w:color w:val="000000" w:themeColor="text1"/>
        </w:rPr>
        <w:t>SSDA generally agrees, however the pricing models and pricing parameters used to dete</w:t>
      </w:r>
      <w:r w:rsidR="00D2302C" w:rsidRPr="0072738C">
        <w:rPr>
          <w:color w:val="000000" w:themeColor="text1"/>
        </w:rPr>
        <w:t>r</w:t>
      </w:r>
      <w:r w:rsidR="00D2302C" w:rsidRPr="0072738C">
        <w:rPr>
          <w:color w:val="000000" w:themeColor="text1"/>
        </w:rPr>
        <w:t>mine the IEV and calculate the costs should not be prescriptive as manufacturers will use their i</w:t>
      </w:r>
      <w:r w:rsidR="00D2302C" w:rsidRPr="0072738C">
        <w:rPr>
          <w:color w:val="000000" w:themeColor="text1"/>
        </w:rPr>
        <w:t>n</w:t>
      </w:r>
      <w:r w:rsidR="00D2302C" w:rsidRPr="0072738C">
        <w:rPr>
          <w:color w:val="000000" w:themeColor="text1"/>
        </w:rPr>
        <w:t>ternal models / parameters.</w:t>
      </w:r>
    </w:p>
    <w:p w14:paraId="3D42DD8F" w14:textId="77777777" w:rsidR="000D4C2A" w:rsidRPr="0072738C" w:rsidRDefault="000D4C2A" w:rsidP="000D4C2A">
      <w:pPr>
        <w:pStyle w:val="ListParagraph"/>
        <w:rPr>
          <w:color w:val="000000" w:themeColor="text1"/>
        </w:rPr>
      </w:pPr>
    </w:p>
    <w:p w14:paraId="0008A407" w14:textId="50BD43E9" w:rsidR="00D2302C" w:rsidRPr="0072738C" w:rsidRDefault="000D4C2A" w:rsidP="006B2A9F">
      <w:pPr>
        <w:pStyle w:val="ListParagraph"/>
        <w:numPr>
          <w:ilvl w:val="0"/>
          <w:numId w:val="49"/>
        </w:numPr>
        <w:rPr>
          <w:color w:val="000000" w:themeColor="text1"/>
        </w:rPr>
      </w:pPr>
      <w:r w:rsidRPr="0072738C">
        <w:rPr>
          <w:color w:val="000000" w:themeColor="text1"/>
        </w:rPr>
        <w:t>In more detail,</w:t>
      </w:r>
      <w:r w:rsidR="00D2302C" w:rsidRPr="0072738C">
        <w:rPr>
          <w:color w:val="000000" w:themeColor="text1"/>
        </w:rPr>
        <w:t xml:space="preserve"> there are 2 elements where </w:t>
      </w:r>
      <w:r w:rsidR="00CB0870" w:rsidRPr="0072738C">
        <w:rPr>
          <w:color w:val="000000" w:themeColor="text1"/>
        </w:rPr>
        <w:t xml:space="preserve">the </w:t>
      </w:r>
      <w:r w:rsidR="00D2302C" w:rsidRPr="0072738C">
        <w:rPr>
          <w:color w:val="000000" w:themeColor="text1"/>
        </w:rPr>
        <w:t>SSDA disagrees:</w:t>
      </w:r>
    </w:p>
    <w:p w14:paraId="66894152" w14:textId="3E3026E3" w:rsidR="00D2302C" w:rsidRPr="0072738C" w:rsidRDefault="00D2302C" w:rsidP="006B2A9F">
      <w:pPr>
        <w:pStyle w:val="ListParagraph"/>
        <w:numPr>
          <w:ilvl w:val="1"/>
          <w:numId w:val="54"/>
        </w:numPr>
        <w:rPr>
          <w:color w:val="000000" w:themeColor="text1"/>
        </w:rPr>
      </w:pPr>
      <w:r w:rsidRPr="0072738C">
        <w:rPr>
          <w:color w:val="000000" w:themeColor="text1"/>
        </w:rPr>
        <w:t>“</w:t>
      </w:r>
      <w:r w:rsidR="00CD1101" w:rsidRPr="0072738C">
        <w:rPr>
          <w:color w:val="000000" w:themeColor="text1"/>
        </w:rPr>
        <w:t>The</w:t>
      </w:r>
      <w:r w:rsidRPr="0072738C">
        <w:rPr>
          <w:color w:val="000000" w:themeColor="text1"/>
        </w:rPr>
        <w:t xml:space="preserve"> valuation procedure should be periodically reviewed and updated if nece</w:t>
      </w:r>
      <w:r w:rsidRPr="0072738C">
        <w:rPr>
          <w:color w:val="000000" w:themeColor="text1"/>
        </w:rPr>
        <w:t>s</w:t>
      </w:r>
      <w:r w:rsidRPr="0072738C">
        <w:rPr>
          <w:color w:val="000000" w:themeColor="text1"/>
        </w:rPr>
        <w:t xml:space="preserve">sary, following periodic reporting”. </w:t>
      </w:r>
      <w:r w:rsidR="00D458AF" w:rsidRPr="0072738C">
        <w:rPr>
          <w:color w:val="000000" w:themeColor="text1"/>
        </w:rPr>
        <w:t>External auditors already review CIB’s man</w:t>
      </w:r>
      <w:r w:rsidR="00D458AF" w:rsidRPr="0072738C">
        <w:rPr>
          <w:color w:val="000000" w:themeColor="text1"/>
        </w:rPr>
        <w:t>u</w:t>
      </w:r>
      <w:r w:rsidR="00D458AF" w:rsidRPr="0072738C">
        <w:rPr>
          <w:color w:val="000000" w:themeColor="text1"/>
        </w:rPr>
        <w:t>facturer pricing models</w:t>
      </w:r>
      <w:r w:rsidRPr="0072738C">
        <w:rPr>
          <w:color w:val="000000" w:themeColor="text1"/>
        </w:rPr>
        <w:t>. This should only be updated if the regulator request ma</w:t>
      </w:r>
      <w:r w:rsidRPr="0072738C">
        <w:rPr>
          <w:color w:val="000000" w:themeColor="text1"/>
        </w:rPr>
        <w:t>n</w:t>
      </w:r>
      <w:r w:rsidRPr="0072738C">
        <w:rPr>
          <w:color w:val="000000" w:themeColor="text1"/>
        </w:rPr>
        <w:t xml:space="preserve">ufacturer to do so. </w:t>
      </w:r>
    </w:p>
    <w:p w14:paraId="3A9BE5C2" w14:textId="282AAFDE" w:rsidR="00D2302C" w:rsidRPr="0072738C" w:rsidRDefault="00D2302C" w:rsidP="006B2A9F">
      <w:pPr>
        <w:pStyle w:val="ListParagraph"/>
        <w:numPr>
          <w:ilvl w:val="1"/>
          <w:numId w:val="54"/>
        </w:numPr>
        <w:rPr>
          <w:color w:val="000000" w:themeColor="text1"/>
        </w:rPr>
      </w:pPr>
      <w:r w:rsidRPr="0072738C">
        <w:rPr>
          <w:color w:val="000000" w:themeColor="text1"/>
        </w:rPr>
        <w:t xml:space="preserve">“It is also suggested to disclose hedging costs of structured products”. While the assessment of their initial level is a key component of the initial determination of the product price, their actual realisation is without impact to the cost charged to the investor or to the product’s price on the secondary market. </w:t>
      </w:r>
    </w:p>
    <w:p w14:paraId="0DA58964" w14:textId="77777777" w:rsidR="00590E91" w:rsidRPr="0072738C" w:rsidRDefault="00590E91" w:rsidP="00D2302C">
      <w:pPr>
        <w:rPr>
          <w:color w:val="000000" w:themeColor="text1"/>
        </w:rPr>
      </w:pPr>
    </w:p>
    <w:p w14:paraId="09CA0FC2" w14:textId="356B87D6" w:rsidR="00D2302C" w:rsidRPr="0072738C" w:rsidRDefault="00590E91" w:rsidP="006B2A9F">
      <w:pPr>
        <w:pStyle w:val="ListParagraph"/>
        <w:numPr>
          <w:ilvl w:val="0"/>
          <w:numId w:val="49"/>
        </w:numPr>
        <w:rPr>
          <w:color w:val="000000" w:themeColor="text1"/>
        </w:rPr>
      </w:pPr>
      <w:r w:rsidRPr="0072738C">
        <w:rPr>
          <w:color w:val="000000" w:themeColor="text1"/>
        </w:rPr>
        <w:t>F</w:t>
      </w:r>
      <w:r w:rsidR="00D2302C" w:rsidRPr="0072738C">
        <w:rPr>
          <w:color w:val="000000" w:themeColor="text1"/>
        </w:rPr>
        <w:t>or structured products, as opposed to funds, the profit or loss incurred by the manufacturer in connection with the hedging-trading activity that follows the sale of the product is without impact to the investor on the value of his investment.</w:t>
      </w:r>
    </w:p>
    <w:p w14:paraId="27141D0D" w14:textId="77777777" w:rsidR="00D2302C" w:rsidRPr="0072738C" w:rsidRDefault="00D2302C" w:rsidP="00D2302C">
      <w:pPr>
        <w:rPr>
          <w:color w:val="000000" w:themeColor="text1"/>
        </w:rPr>
      </w:pPr>
    </w:p>
    <w:permEnd w:id="70809841"/>
    <w:p w14:paraId="35EA6EBB" w14:textId="77777777" w:rsidR="00F31E57" w:rsidRDefault="00F31E57" w:rsidP="00F31E57">
      <w:r>
        <w:t>&lt;ESMA_QUESTION_PRIIPs_69&gt;</w:t>
      </w:r>
    </w:p>
    <w:p w14:paraId="7DA6CE93"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14:paraId="034FEB05" w14:textId="77777777" w:rsidR="00F31E57" w:rsidRDefault="00F31E57" w:rsidP="00F31E57">
      <w:pPr>
        <w:rPr>
          <w:rFonts w:cstheme="minorBidi"/>
        </w:rPr>
      </w:pPr>
    </w:p>
    <w:p w14:paraId="2BF7DDFC" w14:textId="77777777" w:rsidR="00F31E57" w:rsidRDefault="00F31E57" w:rsidP="00F31E57">
      <w:r>
        <w:t>&lt;ESMA_QUESTION_PRIIPs_70&gt;</w:t>
      </w:r>
    </w:p>
    <w:p w14:paraId="15FB50F9" w14:textId="77777777" w:rsidR="00D2302C" w:rsidRDefault="00D2302C" w:rsidP="00D2302C">
      <w:pPr>
        <w:rPr>
          <w:color w:val="FF0000"/>
        </w:rPr>
      </w:pPr>
      <w:permStart w:id="65274088" w:edGrp="everyone"/>
    </w:p>
    <w:p w14:paraId="6FFBC863" w14:textId="77777777" w:rsidR="00B05A6E" w:rsidRDefault="00B05A6E" w:rsidP="00B05A6E">
      <w:pPr>
        <w:pStyle w:val="ListParagraph"/>
        <w:rPr>
          <w:color w:val="FF0000"/>
        </w:rPr>
      </w:pPr>
    </w:p>
    <w:p w14:paraId="4EDBD99A" w14:textId="07E33078" w:rsidR="00EA4CF1" w:rsidRPr="0072738C" w:rsidRDefault="00CB0870" w:rsidP="00EA4CF1">
      <w:pPr>
        <w:pStyle w:val="ListParagraph"/>
        <w:numPr>
          <w:ilvl w:val="0"/>
          <w:numId w:val="49"/>
        </w:numPr>
        <w:rPr>
          <w:color w:val="000000" w:themeColor="text1"/>
        </w:rPr>
      </w:pPr>
      <w:r w:rsidRPr="0072738C">
        <w:rPr>
          <w:color w:val="000000" w:themeColor="text1"/>
          <w:lang w:val="en-US"/>
        </w:rPr>
        <w:lastRenderedPageBreak/>
        <w:t xml:space="preserve">The </w:t>
      </w:r>
      <w:r w:rsidR="00EA4CF1" w:rsidRPr="0072738C">
        <w:rPr>
          <w:color w:val="000000" w:themeColor="text1"/>
        </w:rPr>
        <w:t>SSDA believes that cost input should be fixed for all fixed term PRIIPS. For example, for hedging costs, while the assessment of their initial level is a key component of the initial determ</w:t>
      </w:r>
      <w:r w:rsidR="00EA4CF1" w:rsidRPr="0072738C">
        <w:rPr>
          <w:color w:val="000000" w:themeColor="text1"/>
        </w:rPr>
        <w:t>i</w:t>
      </w:r>
      <w:r w:rsidR="00EA4CF1" w:rsidRPr="0072738C">
        <w:rPr>
          <w:color w:val="000000" w:themeColor="text1"/>
        </w:rPr>
        <w:t>nation of the product price, their actual realisation is without impact to the cost charged to the i</w:t>
      </w:r>
      <w:r w:rsidR="00EA4CF1" w:rsidRPr="0072738C">
        <w:rPr>
          <w:color w:val="000000" w:themeColor="text1"/>
        </w:rPr>
        <w:t>n</w:t>
      </w:r>
      <w:r w:rsidR="00EA4CF1" w:rsidRPr="0072738C">
        <w:rPr>
          <w:color w:val="000000" w:themeColor="text1"/>
        </w:rPr>
        <w:t>vestor or to the product price on the secondary market. For structured products, in contrast to funds, the profit or loss incurred by the manufacturer in connection with the hedging-trading activ</w:t>
      </w:r>
      <w:r w:rsidR="00EA4CF1" w:rsidRPr="0072738C">
        <w:rPr>
          <w:color w:val="000000" w:themeColor="text1"/>
        </w:rPr>
        <w:t>i</w:t>
      </w:r>
      <w:r w:rsidR="00EA4CF1" w:rsidRPr="0072738C">
        <w:rPr>
          <w:color w:val="000000" w:themeColor="text1"/>
        </w:rPr>
        <w:t>ty that follows the sale of the product is without impact to the investor as concerns the value of his investment.</w:t>
      </w:r>
    </w:p>
    <w:p w14:paraId="6337D4EB" w14:textId="77777777" w:rsidR="00EA4CF1" w:rsidRPr="0072738C" w:rsidRDefault="00EA4CF1" w:rsidP="00EA4CF1">
      <w:pPr>
        <w:rPr>
          <w:color w:val="000000" w:themeColor="text1"/>
        </w:rPr>
      </w:pPr>
    </w:p>
    <w:p w14:paraId="6FF02265" w14:textId="77777777" w:rsidR="00EA4CF1" w:rsidRPr="0072738C" w:rsidRDefault="00EA4CF1" w:rsidP="00EA4CF1">
      <w:pPr>
        <w:pStyle w:val="ListParagraph"/>
        <w:numPr>
          <w:ilvl w:val="0"/>
          <w:numId w:val="49"/>
        </w:numPr>
        <w:rPr>
          <w:color w:val="000000" w:themeColor="text1"/>
        </w:rPr>
      </w:pPr>
      <w:r w:rsidRPr="0072738C">
        <w:rPr>
          <w:color w:val="000000" w:themeColor="text1"/>
        </w:rPr>
        <w:t>For funds (or open ended PRIIP), KID should be updated whenever the on going or exit cost change.</w:t>
      </w:r>
    </w:p>
    <w:p w14:paraId="5D66A767" w14:textId="77777777" w:rsidR="00D839B1" w:rsidRPr="0072738C" w:rsidRDefault="00D839B1" w:rsidP="00B05A6E">
      <w:pPr>
        <w:pStyle w:val="ListParagraph"/>
        <w:rPr>
          <w:color w:val="000000" w:themeColor="text1"/>
        </w:rPr>
      </w:pPr>
    </w:p>
    <w:p w14:paraId="61FCB751" w14:textId="77777777" w:rsidR="00D839B1" w:rsidRPr="0072738C" w:rsidRDefault="00D839B1" w:rsidP="00B05A6E">
      <w:pPr>
        <w:pStyle w:val="ListParagraph"/>
        <w:rPr>
          <w:color w:val="000000" w:themeColor="text1"/>
        </w:rPr>
      </w:pPr>
    </w:p>
    <w:permEnd w:id="65274088"/>
    <w:p w14:paraId="6187A6B5" w14:textId="77777777" w:rsidR="00F31E57" w:rsidRDefault="00F31E57" w:rsidP="00F31E57">
      <w:r>
        <w:t>&lt;ESMA_QUESTION_PRIIPs_70&gt;</w:t>
      </w:r>
    </w:p>
    <w:p w14:paraId="2C1346FF"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As the evolution of underlying asset/s should be taken into account, are there specific issues to be tackled with in relation to specific types of underlying? To what extent should the RTS be prescriptive on the risk premium?</w:t>
      </w:r>
    </w:p>
    <w:p w14:paraId="7A9764EC" w14:textId="77777777" w:rsidR="00F31E57" w:rsidRDefault="00F31E57" w:rsidP="00F31E57">
      <w:pPr>
        <w:rPr>
          <w:rFonts w:cstheme="minorBidi"/>
          <w:lang w:eastAsia="en-US"/>
        </w:rPr>
      </w:pPr>
    </w:p>
    <w:p w14:paraId="1D07AC18" w14:textId="77777777" w:rsidR="00F31E57" w:rsidRDefault="00F31E57" w:rsidP="00F31E57">
      <w:r>
        <w:t>&lt;ESMA_QUESTION_PRIIPs_71&gt;</w:t>
      </w:r>
    </w:p>
    <w:p w14:paraId="4C0153BB" w14:textId="77777777" w:rsidR="00590E91" w:rsidRPr="0072738C" w:rsidRDefault="00590E91" w:rsidP="00F31E57">
      <w:pPr>
        <w:rPr>
          <w:color w:val="000000" w:themeColor="text1"/>
        </w:rPr>
      </w:pPr>
      <w:permStart w:id="1807314960" w:edGrp="everyone"/>
    </w:p>
    <w:p w14:paraId="7946E1E6" w14:textId="31C71182" w:rsidR="00590E91" w:rsidRPr="0072738C" w:rsidRDefault="00CB0870" w:rsidP="006B2A9F">
      <w:pPr>
        <w:pStyle w:val="ListParagraph"/>
        <w:numPr>
          <w:ilvl w:val="0"/>
          <w:numId w:val="49"/>
        </w:numPr>
        <w:rPr>
          <w:color w:val="000000" w:themeColor="text1"/>
        </w:rPr>
      </w:pPr>
      <w:r w:rsidRPr="0072738C">
        <w:rPr>
          <w:color w:val="000000" w:themeColor="text1"/>
          <w:lang w:val="en-US"/>
        </w:rPr>
        <w:t xml:space="preserve">The </w:t>
      </w:r>
      <w:r w:rsidR="00590E91" w:rsidRPr="0072738C">
        <w:rPr>
          <w:color w:val="000000" w:themeColor="text1"/>
        </w:rPr>
        <w:t>SSDA believes that internal models are the best approach. As pricing models rely on the a</w:t>
      </w:r>
      <w:r w:rsidR="00590E91" w:rsidRPr="0072738C">
        <w:rPr>
          <w:color w:val="000000" w:themeColor="text1"/>
        </w:rPr>
        <w:t>s</w:t>
      </w:r>
      <w:r w:rsidR="00590E91" w:rsidRPr="0072738C">
        <w:rPr>
          <w:color w:val="000000" w:themeColor="text1"/>
        </w:rPr>
        <w:t>sumption that the risk premium is set at zero (risk neutral environment), there is no need for a prescri</w:t>
      </w:r>
      <w:r w:rsidR="00590E91" w:rsidRPr="0072738C">
        <w:rPr>
          <w:color w:val="000000" w:themeColor="text1"/>
        </w:rPr>
        <w:t>p</w:t>
      </w:r>
      <w:r w:rsidR="00590E91" w:rsidRPr="0072738C">
        <w:rPr>
          <w:color w:val="000000" w:themeColor="text1"/>
        </w:rPr>
        <w:t>tive approach.</w:t>
      </w:r>
    </w:p>
    <w:p w14:paraId="2F55277F" w14:textId="77777777" w:rsidR="00590E91" w:rsidRPr="0072738C" w:rsidRDefault="00590E91" w:rsidP="00F31E57">
      <w:pPr>
        <w:rPr>
          <w:color w:val="000000" w:themeColor="text1"/>
        </w:rPr>
      </w:pPr>
    </w:p>
    <w:permEnd w:id="1807314960"/>
    <w:p w14:paraId="27DC0EB6" w14:textId="77777777" w:rsidR="00F31E57" w:rsidRDefault="00F31E57" w:rsidP="00F31E57">
      <w:r>
        <w:t>&lt;ESMA_QUESTION_PRIIPs_71&gt;</w:t>
      </w:r>
    </w:p>
    <w:p w14:paraId="402D2F5D"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14:paraId="207ED50F" w14:textId="77777777" w:rsidR="00F31E57" w:rsidRDefault="00F31E57" w:rsidP="00F31E57">
      <w:pPr>
        <w:rPr>
          <w:rFonts w:cstheme="minorBidi"/>
          <w:lang w:eastAsia="en-US"/>
        </w:rPr>
      </w:pPr>
    </w:p>
    <w:p w14:paraId="3CC064DC" w14:textId="77777777" w:rsidR="00F31E57" w:rsidRDefault="00F31E57" w:rsidP="00F31E57">
      <w:r>
        <w:t>&lt;ESMA_QUESTION_PRIIPs_72&gt;</w:t>
      </w:r>
    </w:p>
    <w:p w14:paraId="3600E9C8" w14:textId="77777777" w:rsidR="00590E91" w:rsidRDefault="00590E91" w:rsidP="00F31E57">
      <w:pPr>
        <w:rPr>
          <w:color w:val="FF0000"/>
        </w:rPr>
      </w:pPr>
      <w:permStart w:id="1493458748" w:edGrp="everyone"/>
    </w:p>
    <w:p w14:paraId="3BEA1F8B" w14:textId="2D661D0B" w:rsidR="00F31E57" w:rsidRPr="0072738C" w:rsidRDefault="00FA1BD9" w:rsidP="00F31E57">
      <w:pPr>
        <w:rPr>
          <w:color w:val="000000" w:themeColor="text1"/>
        </w:rPr>
      </w:pPr>
      <w:r w:rsidRPr="0072738C">
        <w:rPr>
          <w:color w:val="000000" w:themeColor="text1"/>
        </w:rPr>
        <w:t xml:space="preserve">The SSDA: </w:t>
      </w:r>
      <w:r w:rsidR="00590E91" w:rsidRPr="0072738C">
        <w:rPr>
          <w:color w:val="000000" w:themeColor="text1"/>
        </w:rPr>
        <w:t>No</w:t>
      </w:r>
    </w:p>
    <w:p w14:paraId="5C156F67" w14:textId="77777777" w:rsidR="00590E91" w:rsidRPr="0072738C" w:rsidRDefault="00590E91" w:rsidP="00F31E57">
      <w:pPr>
        <w:rPr>
          <w:color w:val="000000" w:themeColor="text1"/>
        </w:rPr>
      </w:pPr>
    </w:p>
    <w:permEnd w:id="1493458748"/>
    <w:p w14:paraId="1FC8E63F" w14:textId="77777777" w:rsidR="00F31E57" w:rsidRDefault="00F31E57" w:rsidP="00F31E57">
      <w:r>
        <w:t>&lt;ESMA_QUESTION_PRIIPs_72&gt;</w:t>
      </w:r>
    </w:p>
    <w:p w14:paraId="7935D50D"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14:paraId="213B4F95" w14:textId="77777777" w:rsidR="00F31E57" w:rsidRDefault="00F31E57" w:rsidP="00F31E57">
      <w:pPr>
        <w:rPr>
          <w:rFonts w:eastAsiaTheme="minorHAnsi" w:cstheme="minorBidi"/>
          <w:lang w:eastAsia="en-US"/>
        </w:rPr>
      </w:pPr>
    </w:p>
    <w:p w14:paraId="7B68C458" w14:textId="77777777" w:rsidR="00F31E57" w:rsidRDefault="00F31E57" w:rsidP="00F31E57">
      <w:r>
        <w:t>&lt;ESMA_QUESTION_PRIIPs_73&gt;</w:t>
      </w:r>
    </w:p>
    <w:p w14:paraId="1CA07169" w14:textId="77777777" w:rsidR="003E61BB" w:rsidRDefault="003E61BB" w:rsidP="00F31E57">
      <w:permStart w:id="217592811" w:edGrp="everyone"/>
    </w:p>
    <w:p w14:paraId="31EB12EE" w14:textId="3D2F4179" w:rsidR="003E61BB" w:rsidRPr="0072738C" w:rsidRDefault="003E61BB" w:rsidP="006B2A9F">
      <w:pPr>
        <w:pStyle w:val="ListParagraph"/>
        <w:numPr>
          <w:ilvl w:val="0"/>
          <w:numId w:val="49"/>
        </w:numPr>
        <w:rPr>
          <w:color w:val="000000" w:themeColor="text1"/>
        </w:rPr>
      </w:pPr>
      <w:r w:rsidRPr="0072738C">
        <w:rPr>
          <w:color w:val="000000" w:themeColor="text1"/>
        </w:rPr>
        <w:t xml:space="preserve">The European industry has a long experience of using </w:t>
      </w:r>
      <w:r w:rsidR="00CD1101" w:rsidRPr="0072738C">
        <w:rPr>
          <w:color w:val="000000" w:themeColor="text1"/>
        </w:rPr>
        <w:t>forward-looking</w:t>
      </w:r>
      <w:r w:rsidRPr="0072738C">
        <w:rPr>
          <w:color w:val="000000" w:themeColor="text1"/>
        </w:rPr>
        <w:t xml:space="preserve"> models based on a well-developed theoretical basis.</w:t>
      </w:r>
    </w:p>
    <w:p w14:paraId="3CF77E9F" w14:textId="77777777" w:rsidR="00CB0870" w:rsidRPr="0072738C" w:rsidRDefault="00CB0870" w:rsidP="00CB0870">
      <w:pPr>
        <w:pStyle w:val="ListParagraph"/>
        <w:rPr>
          <w:color w:val="000000" w:themeColor="text1"/>
        </w:rPr>
      </w:pPr>
    </w:p>
    <w:p w14:paraId="2242022A" w14:textId="77777777" w:rsidR="003E61BB" w:rsidRPr="0072738C" w:rsidRDefault="003E61BB" w:rsidP="006B2A9F">
      <w:pPr>
        <w:pStyle w:val="ListParagraph"/>
        <w:numPr>
          <w:ilvl w:val="0"/>
          <w:numId w:val="49"/>
        </w:numPr>
        <w:rPr>
          <w:color w:val="000000" w:themeColor="text1"/>
        </w:rPr>
      </w:pPr>
      <w:r w:rsidRPr="0072738C">
        <w:rPr>
          <w:color w:val="000000" w:themeColor="text1"/>
        </w:rPr>
        <w:t>Although they are useful to calibrate model parameters, backward looking models cannot be used for valuation purposes as they do not provide a full valuation model: past data do not provide an adequate view on the future evolution of the underlying.</w:t>
      </w:r>
    </w:p>
    <w:p w14:paraId="7B105015" w14:textId="77777777" w:rsidR="003E61BB" w:rsidRDefault="003E61BB" w:rsidP="00F31E57"/>
    <w:permEnd w:id="217592811"/>
    <w:p w14:paraId="4D3A455C" w14:textId="77777777" w:rsidR="00F31E57" w:rsidRDefault="00F31E57" w:rsidP="00F31E57">
      <w:r>
        <w:t>&lt;ESMA_QUESTION_PRIIPs_73&gt;</w:t>
      </w:r>
    </w:p>
    <w:p w14:paraId="4F83B310"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14:paraId="0A794216" w14:textId="77777777" w:rsidR="00F31E57" w:rsidRDefault="00F31E57" w:rsidP="00F31E57">
      <w:pPr>
        <w:rPr>
          <w:rFonts w:eastAsiaTheme="minorHAnsi" w:cstheme="minorBidi"/>
          <w:lang w:eastAsia="en-US"/>
        </w:rPr>
      </w:pPr>
    </w:p>
    <w:p w14:paraId="68E8EE3A" w14:textId="77777777" w:rsidR="00F31E57" w:rsidRDefault="00F31E57" w:rsidP="00F31E57">
      <w:r>
        <w:t>&lt;ESMA_QUESTION_PRIIPs_74&gt;</w:t>
      </w:r>
    </w:p>
    <w:p w14:paraId="64249E0B" w14:textId="77777777" w:rsidR="003E61BB" w:rsidRDefault="003E61BB" w:rsidP="00F31E57">
      <w:permStart w:id="1236748764" w:edGrp="everyone"/>
    </w:p>
    <w:p w14:paraId="0F7F2CCF" w14:textId="4E86591A" w:rsidR="003E61BB" w:rsidRPr="0072738C" w:rsidRDefault="003E61BB" w:rsidP="006B2A9F">
      <w:pPr>
        <w:pStyle w:val="ListParagraph"/>
        <w:numPr>
          <w:ilvl w:val="0"/>
          <w:numId w:val="49"/>
        </w:numPr>
        <w:rPr>
          <w:color w:val="000000" w:themeColor="text1"/>
        </w:rPr>
      </w:pPr>
      <w:r w:rsidRPr="0072738C">
        <w:rPr>
          <w:color w:val="000000" w:themeColor="text1"/>
        </w:rPr>
        <w:lastRenderedPageBreak/>
        <w:t>As the central industry benchmark, the swap rate curve appears to be the best reference accor</w:t>
      </w:r>
      <w:r w:rsidRPr="0072738C">
        <w:rPr>
          <w:color w:val="000000" w:themeColor="text1"/>
        </w:rPr>
        <w:t>d</w:t>
      </w:r>
      <w:r w:rsidRPr="0072738C">
        <w:rPr>
          <w:color w:val="000000" w:themeColor="text1"/>
        </w:rPr>
        <w:t>ing to market practise.</w:t>
      </w:r>
    </w:p>
    <w:p w14:paraId="13151603" w14:textId="77777777" w:rsidR="003E61BB" w:rsidRPr="0072738C" w:rsidRDefault="003E61BB" w:rsidP="003E61BB">
      <w:pPr>
        <w:rPr>
          <w:color w:val="000000" w:themeColor="text1"/>
        </w:rPr>
      </w:pPr>
    </w:p>
    <w:p w14:paraId="1CE6C0BE" w14:textId="4C23C3C2" w:rsidR="003E61BB" w:rsidRPr="0072738C" w:rsidRDefault="003E61BB" w:rsidP="006B2A9F">
      <w:pPr>
        <w:pStyle w:val="ListParagraph"/>
        <w:numPr>
          <w:ilvl w:val="0"/>
          <w:numId w:val="49"/>
        </w:numPr>
        <w:rPr>
          <w:color w:val="000000" w:themeColor="text1"/>
        </w:rPr>
      </w:pPr>
      <w:r w:rsidRPr="0072738C">
        <w:rPr>
          <w:color w:val="000000" w:themeColor="text1"/>
        </w:rPr>
        <w:t>For Nordic currencies like SEK, NOR and DKK however, the manufacturer should have to poss</w:t>
      </w:r>
      <w:r w:rsidRPr="0072738C">
        <w:rPr>
          <w:color w:val="000000" w:themeColor="text1"/>
        </w:rPr>
        <w:t>i</w:t>
      </w:r>
      <w:r w:rsidRPr="0072738C">
        <w:rPr>
          <w:color w:val="000000" w:themeColor="text1"/>
        </w:rPr>
        <w:t>bility to define an appropriate reference.</w:t>
      </w:r>
    </w:p>
    <w:p w14:paraId="225AACC9" w14:textId="77777777" w:rsidR="003E61BB" w:rsidRPr="0072738C" w:rsidRDefault="003E61BB" w:rsidP="00F31E57">
      <w:pPr>
        <w:rPr>
          <w:color w:val="000000" w:themeColor="text1"/>
        </w:rPr>
      </w:pPr>
    </w:p>
    <w:permEnd w:id="1236748764"/>
    <w:p w14:paraId="1033F87F" w14:textId="77777777" w:rsidR="00F31E57" w:rsidRDefault="00F31E57" w:rsidP="00F31E57">
      <w:r>
        <w:t>&lt;ESMA_QUESTION_PRIIPs_74&gt;</w:t>
      </w:r>
    </w:p>
    <w:p w14:paraId="34D0DC88"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think that there are other market data that could be used to determine the credit risk? Do you think that </w:t>
      </w:r>
      <w:r>
        <w:rPr>
          <w:rFonts w:cs="Arial"/>
        </w:rPr>
        <w:t>implied credit spreads from other issuer bonds (ot</w:t>
      </w:r>
      <w:r>
        <w:rPr>
          <w:rFonts w:cs="Arial"/>
        </w:rPr>
        <w:t>h</w:t>
      </w:r>
      <w:r>
        <w:rPr>
          <w:rFonts w:cs="Arial"/>
        </w:rPr>
        <w:t>er than structured products) could be used?</w:t>
      </w:r>
    </w:p>
    <w:p w14:paraId="4BA91051" w14:textId="77777777" w:rsidR="00F31E57" w:rsidRDefault="00F31E57" w:rsidP="00F31E57">
      <w:pPr>
        <w:rPr>
          <w:rFonts w:cstheme="minorBidi"/>
        </w:rPr>
      </w:pPr>
    </w:p>
    <w:p w14:paraId="2FE3D522" w14:textId="77777777" w:rsidR="00F31E57" w:rsidRDefault="00F31E57" w:rsidP="00F31E57">
      <w:r>
        <w:t>&lt;ESMA_QUESTION_PRIIPs_75&gt;</w:t>
      </w:r>
    </w:p>
    <w:p w14:paraId="669E097F" w14:textId="77777777" w:rsidR="00C9739C" w:rsidRDefault="00C9739C" w:rsidP="00F31E57">
      <w:pPr>
        <w:rPr>
          <w:color w:val="FF0000"/>
        </w:rPr>
      </w:pPr>
      <w:permStart w:id="87762792" w:edGrp="everyone"/>
    </w:p>
    <w:p w14:paraId="4C9919FF" w14:textId="7DC15DCB" w:rsidR="00C9739C" w:rsidRPr="0072738C" w:rsidRDefault="00CB0870" w:rsidP="006B2A9F">
      <w:pPr>
        <w:pStyle w:val="ListParagraph"/>
        <w:numPr>
          <w:ilvl w:val="0"/>
          <w:numId w:val="49"/>
        </w:numPr>
        <w:rPr>
          <w:color w:val="000000" w:themeColor="text1"/>
        </w:rPr>
      </w:pPr>
      <w:r w:rsidRPr="0072738C">
        <w:rPr>
          <w:color w:val="000000" w:themeColor="text1"/>
          <w:lang w:val="en-US"/>
        </w:rPr>
        <w:t xml:space="preserve">The </w:t>
      </w:r>
      <w:r w:rsidR="00695076" w:rsidRPr="0072738C">
        <w:rPr>
          <w:color w:val="000000" w:themeColor="text1"/>
        </w:rPr>
        <w:t>SSDA doesn’t</w:t>
      </w:r>
      <w:r w:rsidR="00C9739C" w:rsidRPr="0072738C">
        <w:rPr>
          <w:color w:val="000000" w:themeColor="text1"/>
        </w:rPr>
        <w:t xml:space="preserve"> believe that other market data should be used to determine the credit </w:t>
      </w:r>
      <w:r w:rsidR="00CD1101" w:rsidRPr="0072738C">
        <w:rPr>
          <w:color w:val="000000" w:themeColor="text1"/>
        </w:rPr>
        <w:t>risk,</w:t>
      </w:r>
      <w:r w:rsidR="00C9739C" w:rsidRPr="0072738C">
        <w:rPr>
          <w:color w:val="000000" w:themeColor="text1"/>
        </w:rPr>
        <w:t xml:space="preserve"> as it is already implicitly included in the funding spread curve.</w:t>
      </w:r>
    </w:p>
    <w:p w14:paraId="57DF2D58" w14:textId="77777777" w:rsidR="00C9739C" w:rsidRDefault="00C9739C" w:rsidP="00F31E57">
      <w:pPr>
        <w:rPr>
          <w:color w:val="FF0000"/>
        </w:rPr>
      </w:pPr>
    </w:p>
    <w:permEnd w:id="87762792"/>
    <w:p w14:paraId="52D959C9" w14:textId="288738E2" w:rsidR="00F31E57" w:rsidRDefault="00F31E57" w:rsidP="00F31E57">
      <w:r>
        <w:t>&lt;ESMA_QUESTION_PRIIPs_75&gt;</w:t>
      </w:r>
    </w:p>
    <w:p w14:paraId="77564337"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How would you determine the credit risk in the absence of market data and which are the criteria to identify the comparable?</w:t>
      </w:r>
    </w:p>
    <w:p w14:paraId="435D94F5" w14:textId="77777777" w:rsidR="00F31E57" w:rsidRDefault="00F31E57" w:rsidP="00F31E57">
      <w:pPr>
        <w:rPr>
          <w:rFonts w:cstheme="minorBidi"/>
          <w:lang w:eastAsia="en-US"/>
        </w:rPr>
      </w:pPr>
    </w:p>
    <w:p w14:paraId="78285E22" w14:textId="77777777" w:rsidR="00F31E57" w:rsidRDefault="00F31E57" w:rsidP="00F31E57">
      <w:r>
        <w:t>&lt;ESMA_QUESTION_PRIIPs_76&gt;</w:t>
      </w:r>
    </w:p>
    <w:p w14:paraId="56B6DD84" w14:textId="77777777" w:rsidR="005744BE" w:rsidRDefault="005744BE" w:rsidP="00F31E57">
      <w:pPr>
        <w:rPr>
          <w:color w:val="FF0000"/>
        </w:rPr>
      </w:pPr>
      <w:permStart w:id="340093669" w:edGrp="everyone"/>
    </w:p>
    <w:p w14:paraId="405CF67B" w14:textId="74117522" w:rsidR="005744BE" w:rsidRPr="0072738C" w:rsidRDefault="00C9739C" w:rsidP="006B2A9F">
      <w:pPr>
        <w:pStyle w:val="ListParagraph"/>
        <w:numPr>
          <w:ilvl w:val="0"/>
          <w:numId w:val="49"/>
        </w:numPr>
        <w:rPr>
          <w:color w:val="000000" w:themeColor="text1"/>
        </w:rPr>
      </w:pPr>
      <w:r w:rsidRPr="0072738C">
        <w:rPr>
          <w:color w:val="000000" w:themeColor="text1"/>
        </w:rPr>
        <w:t>The absence of observable market data does not prevent the manufacturer from valuating a pro</w:t>
      </w:r>
      <w:r w:rsidRPr="0072738C">
        <w:rPr>
          <w:color w:val="000000" w:themeColor="text1"/>
        </w:rPr>
        <w:t>d</w:t>
      </w:r>
      <w:r w:rsidRPr="0072738C">
        <w:rPr>
          <w:color w:val="000000" w:themeColor="text1"/>
        </w:rPr>
        <w:t>uct as long as the funding spread is known (the credit risk is implicitly included in the funding</w:t>
      </w:r>
      <w:r w:rsidR="005744BE" w:rsidRPr="0072738C">
        <w:rPr>
          <w:color w:val="000000" w:themeColor="text1"/>
        </w:rPr>
        <w:t xml:space="preserve"> spread</w:t>
      </w:r>
      <w:r w:rsidRPr="0072738C">
        <w:rPr>
          <w:color w:val="000000" w:themeColor="text1"/>
        </w:rPr>
        <w:t>.</w:t>
      </w:r>
    </w:p>
    <w:p w14:paraId="4F7E4C34" w14:textId="77777777" w:rsidR="005744BE" w:rsidRDefault="005744BE" w:rsidP="00F31E57"/>
    <w:permEnd w:id="340093669"/>
    <w:p w14:paraId="6365ED0F" w14:textId="4968AB3E" w:rsidR="00F31E57" w:rsidRDefault="00F31E57" w:rsidP="00F31E57">
      <w:r>
        <w:t>&lt;ESMA_QUESTION_PRIIPs_76&gt;</w:t>
      </w:r>
    </w:p>
    <w:p w14:paraId="58443CB4"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14:paraId="4CD9A094" w14:textId="77777777" w:rsidR="00F31E57" w:rsidRDefault="00F31E57" w:rsidP="00F31E57">
      <w:pPr>
        <w:rPr>
          <w:rFonts w:eastAsiaTheme="minorHAnsi" w:cstheme="minorBidi"/>
          <w:lang w:eastAsia="en-US"/>
        </w:rPr>
      </w:pPr>
    </w:p>
    <w:p w14:paraId="53F229C7" w14:textId="77777777" w:rsidR="00F31E57" w:rsidRDefault="00F31E57" w:rsidP="00F31E57">
      <w:r>
        <w:t>&lt;ESMA_QUESTION_PRIIPs_77&gt;</w:t>
      </w:r>
    </w:p>
    <w:p w14:paraId="363C8AE8" w14:textId="77777777" w:rsidR="005744BE" w:rsidRPr="0072738C" w:rsidRDefault="005744BE" w:rsidP="005744BE">
      <w:pPr>
        <w:rPr>
          <w:color w:val="000000" w:themeColor="text1"/>
        </w:rPr>
      </w:pPr>
      <w:permStart w:id="538132014" w:edGrp="everyone"/>
    </w:p>
    <w:p w14:paraId="6FD6BB61" w14:textId="13690B77" w:rsidR="00C9739C" w:rsidRPr="0072738C" w:rsidRDefault="00C9739C" w:rsidP="006B2A9F">
      <w:pPr>
        <w:pStyle w:val="ListParagraph"/>
        <w:numPr>
          <w:ilvl w:val="0"/>
          <w:numId w:val="49"/>
        </w:numPr>
        <w:rPr>
          <w:color w:val="000000" w:themeColor="text1"/>
        </w:rPr>
      </w:pPr>
      <w:r w:rsidRPr="0072738C">
        <w:rPr>
          <w:color w:val="000000" w:themeColor="text1"/>
        </w:rPr>
        <w:t xml:space="preserve">The appreciation of counterparty risk will depend on the margining scheme in place among the concerned counterparties (i.e. bilateral or multilateral). CVA models are market practice. Though each institution has its own model, each generally relies on common theoretical assumptions. CVA is generally split into two main </w:t>
      </w:r>
      <w:r w:rsidR="00CD1101" w:rsidRPr="0072738C">
        <w:rPr>
          <w:color w:val="000000" w:themeColor="text1"/>
        </w:rPr>
        <w:t>components:</w:t>
      </w:r>
      <w:r w:rsidRPr="0072738C">
        <w:rPr>
          <w:color w:val="000000" w:themeColor="text1"/>
        </w:rPr>
        <w:t xml:space="preserve"> default probability and loss in case of default.</w:t>
      </w:r>
    </w:p>
    <w:p w14:paraId="031B8D2A" w14:textId="77777777" w:rsidR="005744BE" w:rsidRPr="005744BE" w:rsidRDefault="005744BE" w:rsidP="005744BE">
      <w:pPr>
        <w:pStyle w:val="ListParagraph"/>
        <w:rPr>
          <w:color w:val="FF0000"/>
        </w:rPr>
      </w:pPr>
    </w:p>
    <w:permEnd w:id="538132014"/>
    <w:p w14:paraId="17D21368" w14:textId="1BDF6590" w:rsidR="00F31E57" w:rsidRDefault="00F31E57" w:rsidP="00F31E57">
      <w:r>
        <w:t>&lt;ESMA_QUESTION_PRIIPs_77&gt;</w:t>
      </w:r>
    </w:p>
    <w:p w14:paraId="713F2F81"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which circumstances do you think parameters cannot be computed/estimated using market data? What would you suggest to deal with this issue? </w:t>
      </w:r>
    </w:p>
    <w:p w14:paraId="200E66F2" w14:textId="77777777" w:rsidR="00F31E57" w:rsidRDefault="00F31E57" w:rsidP="00F31E57">
      <w:pPr>
        <w:rPr>
          <w:rFonts w:cstheme="minorBidi"/>
          <w:lang w:eastAsia="en-US"/>
        </w:rPr>
      </w:pPr>
    </w:p>
    <w:p w14:paraId="639007C9" w14:textId="77777777" w:rsidR="00F31E57" w:rsidRDefault="00F31E57" w:rsidP="00F31E57">
      <w:r>
        <w:t>&lt;ESMA_QUESTION_PRIIPs_78&gt;</w:t>
      </w:r>
    </w:p>
    <w:p w14:paraId="0265CABA" w14:textId="77777777" w:rsidR="005744BE" w:rsidRPr="005744BE" w:rsidRDefault="005744BE" w:rsidP="005744BE">
      <w:pPr>
        <w:rPr>
          <w:color w:val="FF0000"/>
        </w:rPr>
      </w:pPr>
      <w:permStart w:id="629220905" w:edGrp="everyone"/>
    </w:p>
    <w:p w14:paraId="2A4D541C" w14:textId="7E38323F" w:rsidR="00C9739C" w:rsidRPr="0072738C" w:rsidRDefault="00CB0870" w:rsidP="006B2A9F">
      <w:pPr>
        <w:pStyle w:val="ListParagraph"/>
        <w:numPr>
          <w:ilvl w:val="0"/>
          <w:numId w:val="58"/>
        </w:numPr>
        <w:rPr>
          <w:color w:val="000000" w:themeColor="text1"/>
        </w:rPr>
      </w:pPr>
      <w:r w:rsidRPr="0072738C">
        <w:rPr>
          <w:color w:val="000000" w:themeColor="text1"/>
          <w:lang w:val="en-US"/>
        </w:rPr>
        <w:t xml:space="preserve">The </w:t>
      </w:r>
      <w:r w:rsidR="00C9739C" w:rsidRPr="0072738C">
        <w:rPr>
          <w:color w:val="000000" w:themeColor="text1"/>
        </w:rPr>
        <w:t xml:space="preserve">SSDA do not believe that it would be possible to list all situations where this un-observability may </w:t>
      </w:r>
      <w:r w:rsidR="00CD1101" w:rsidRPr="0072738C">
        <w:rPr>
          <w:color w:val="000000" w:themeColor="text1"/>
        </w:rPr>
        <w:t>happen;</w:t>
      </w:r>
      <w:r w:rsidR="00C9739C" w:rsidRPr="0072738C">
        <w:rPr>
          <w:color w:val="000000" w:themeColor="text1"/>
        </w:rPr>
        <w:t xml:space="preserve"> we note that these situations do not create a detriment to investors and without i</w:t>
      </w:r>
      <w:r w:rsidR="00C9739C" w:rsidRPr="0072738C">
        <w:rPr>
          <w:color w:val="000000" w:themeColor="text1"/>
        </w:rPr>
        <w:t>m</w:t>
      </w:r>
      <w:r w:rsidR="00C9739C" w:rsidRPr="0072738C">
        <w:rPr>
          <w:color w:val="000000" w:themeColor="text1"/>
        </w:rPr>
        <w:t>pact to the cost structure.</w:t>
      </w:r>
    </w:p>
    <w:p w14:paraId="2AF5E34D" w14:textId="77777777" w:rsidR="005744BE" w:rsidRPr="005744BE" w:rsidRDefault="005744BE" w:rsidP="005744BE">
      <w:pPr>
        <w:pStyle w:val="ListParagraph"/>
        <w:rPr>
          <w:color w:val="FF0000"/>
        </w:rPr>
      </w:pPr>
    </w:p>
    <w:permEnd w:id="629220905"/>
    <w:p w14:paraId="184CD8E5" w14:textId="77777777" w:rsidR="00F31E57" w:rsidRDefault="00F31E57" w:rsidP="00F31E57">
      <w:r>
        <w:t>&lt;ESMA_QUESTION_PRIIPs_78&gt;</w:t>
      </w:r>
    </w:p>
    <w:p w14:paraId="57297D0A"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lastRenderedPageBreak/>
        <w:t>Would it be meaningful to prescribe specific pricing models for structured pro</w:t>
      </w:r>
      <w:r>
        <w:rPr>
          <w:rFonts w:cs="Arial"/>
          <w:color w:val="000000"/>
          <w:lang w:eastAsia="it-IT"/>
        </w:rPr>
        <w:t>d</w:t>
      </w:r>
      <w:r>
        <w:rPr>
          <w:rFonts w:cs="Arial"/>
          <w:color w:val="000000"/>
          <w:lang w:eastAsia="it-IT"/>
        </w:rPr>
        <w:t>ucts, derivatives and CFDs? If yes which are the pros and cons of parametric and non-parametric models?</w:t>
      </w:r>
    </w:p>
    <w:p w14:paraId="6DAEDD25" w14:textId="77777777" w:rsidR="00F31E57" w:rsidRDefault="00F31E57" w:rsidP="00F31E57">
      <w:pPr>
        <w:rPr>
          <w:rFonts w:cstheme="minorBidi"/>
        </w:rPr>
      </w:pPr>
    </w:p>
    <w:p w14:paraId="6866BF96" w14:textId="77777777" w:rsidR="00F31E57" w:rsidRDefault="00F31E57" w:rsidP="00F31E57">
      <w:r>
        <w:t>&lt;ESMA_QUESTION_PRIIPs_79&gt;</w:t>
      </w:r>
    </w:p>
    <w:p w14:paraId="47867747" w14:textId="77777777" w:rsidR="00122FF9" w:rsidRDefault="00122FF9" w:rsidP="00F31E57">
      <w:pPr>
        <w:rPr>
          <w:color w:val="FF0000"/>
        </w:rPr>
      </w:pPr>
      <w:permStart w:id="2076050668" w:edGrp="everyone"/>
    </w:p>
    <w:p w14:paraId="742D538D" w14:textId="77777777" w:rsidR="00122FF9" w:rsidRPr="0072738C" w:rsidRDefault="00122FF9" w:rsidP="006B2A9F">
      <w:pPr>
        <w:pStyle w:val="ListParagraph"/>
        <w:numPr>
          <w:ilvl w:val="0"/>
          <w:numId w:val="49"/>
        </w:numPr>
        <w:rPr>
          <w:color w:val="000000" w:themeColor="text1"/>
        </w:rPr>
      </w:pPr>
      <w:r w:rsidRPr="0072738C">
        <w:rPr>
          <w:color w:val="000000" w:themeColor="text1"/>
        </w:rPr>
        <w:t>No. It is not possible to prescribe a model that would give reliable prices for a decent proportion of structured products. Instead it is much effective to rely on internal models, which are audited by prudential regulators.</w:t>
      </w:r>
    </w:p>
    <w:p w14:paraId="0C9ABCAE" w14:textId="77777777" w:rsidR="00122FF9" w:rsidRDefault="00122FF9" w:rsidP="00F31E57">
      <w:pPr>
        <w:rPr>
          <w:color w:val="FF0000"/>
        </w:rPr>
      </w:pPr>
    </w:p>
    <w:permEnd w:id="2076050668"/>
    <w:p w14:paraId="0E65D7E5" w14:textId="2071C45A" w:rsidR="00F31E57" w:rsidRDefault="00F31E57" w:rsidP="00F31E57">
      <w:r>
        <w:t>&lt;ESMA_QUESTION_PRIIPs_79&gt;</w:t>
      </w:r>
    </w:p>
    <w:p w14:paraId="741815A0"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should be the value of x? (in the case of UCITS, x=5, but the extent to which this is appropriate for other types of PRIIPs, notably life-insurance products, is u</w:t>
      </w:r>
      <w:r>
        <w:rPr>
          <w:rFonts w:cs="Arial"/>
        </w:rPr>
        <w:t>n</w:t>
      </w:r>
      <w:r>
        <w:rPr>
          <w:rFonts w:cs="Arial"/>
        </w:rPr>
        <w:t xml:space="preserve">clear). </w:t>
      </w:r>
    </w:p>
    <w:p w14:paraId="5B02861F" w14:textId="77777777" w:rsidR="00F31E57" w:rsidRDefault="00F31E57" w:rsidP="00F31E57">
      <w:pPr>
        <w:rPr>
          <w:rFonts w:cstheme="minorBidi"/>
        </w:rPr>
      </w:pPr>
    </w:p>
    <w:p w14:paraId="0AE03BCA" w14:textId="77777777" w:rsidR="00F31E57" w:rsidRDefault="00F31E57" w:rsidP="00F31E57">
      <w:r>
        <w:t>&lt;ESMA_QUESTION_PRIIPs_80&gt;</w:t>
      </w:r>
    </w:p>
    <w:p w14:paraId="650A2B2D" w14:textId="77777777" w:rsidR="00D2302C" w:rsidRDefault="00D2302C" w:rsidP="00F31E57">
      <w:permStart w:id="401409244" w:edGrp="everyone"/>
    </w:p>
    <w:p w14:paraId="47B344A2" w14:textId="4CECA4AE" w:rsidR="00D2302C" w:rsidRPr="0072738C" w:rsidRDefault="00CB0870" w:rsidP="006B2A9F">
      <w:pPr>
        <w:pStyle w:val="ListParagraph"/>
        <w:numPr>
          <w:ilvl w:val="0"/>
          <w:numId w:val="49"/>
        </w:numPr>
        <w:rPr>
          <w:color w:val="000000" w:themeColor="text1"/>
        </w:rPr>
      </w:pPr>
      <w:r w:rsidRPr="0072738C">
        <w:rPr>
          <w:color w:val="000000" w:themeColor="text1"/>
          <w:lang w:val="en-US"/>
        </w:rPr>
        <w:t xml:space="preserve">The </w:t>
      </w:r>
      <w:r w:rsidR="00D2302C" w:rsidRPr="0072738C">
        <w:rPr>
          <w:color w:val="000000" w:themeColor="text1"/>
        </w:rPr>
        <w:t>SSDA does not foresee any particular issue to keep TCR records for x=5 years, which is the same length as the one applicable to funds</w:t>
      </w:r>
      <w:r w:rsidR="005744BE" w:rsidRPr="0072738C">
        <w:rPr>
          <w:color w:val="000000" w:themeColor="text1"/>
        </w:rPr>
        <w:t>.</w:t>
      </w:r>
    </w:p>
    <w:p w14:paraId="522745F2" w14:textId="77777777" w:rsidR="00D2302C" w:rsidRDefault="00D2302C" w:rsidP="00F31E57"/>
    <w:permEnd w:id="401409244"/>
    <w:p w14:paraId="77733ADB" w14:textId="77777777" w:rsidR="00F31E57" w:rsidRDefault="00F31E57" w:rsidP="00F31E57">
      <w:r>
        <w:t>&lt;ESMA_QUESTION_PRIIPs_80&gt;</w:t>
      </w:r>
    </w:p>
    <w:p w14:paraId="1AA5D4DA"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this principle be further explained / detailed? Should the terms “rank pari passu” be adapted to fit the different types of PRIIPs? </w:t>
      </w:r>
    </w:p>
    <w:p w14:paraId="66E37B3F" w14:textId="77777777" w:rsidR="00F31E57" w:rsidRDefault="00F31E57" w:rsidP="00F31E57">
      <w:pPr>
        <w:rPr>
          <w:rFonts w:cstheme="minorBidi"/>
        </w:rPr>
      </w:pPr>
    </w:p>
    <w:p w14:paraId="3FFC07BD" w14:textId="77777777" w:rsidR="00F31E57" w:rsidRDefault="00F31E57" w:rsidP="00F31E57">
      <w:r>
        <w:t>&lt;ESMA_QUESTION_PRIIPs_81&gt;</w:t>
      </w:r>
    </w:p>
    <w:p w14:paraId="79F35859" w14:textId="432DCB74" w:rsidR="003338CD" w:rsidRDefault="003338CD" w:rsidP="003338CD">
      <w:pPr>
        <w:rPr>
          <w:color w:val="FF0000"/>
        </w:rPr>
      </w:pPr>
      <w:permStart w:id="1592468697" w:edGrp="everyone"/>
    </w:p>
    <w:p w14:paraId="4EE30851" w14:textId="58EF9499" w:rsidR="00D4785A" w:rsidRDefault="00FA1BD9" w:rsidP="003338CD">
      <w:pPr>
        <w:rPr>
          <w:rFonts w:cs="Arial"/>
        </w:rPr>
      </w:pPr>
      <w:r w:rsidRPr="00EF0769">
        <w:rPr>
          <w:rFonts w:cs="Arial"/>
        </w:rPr>
        <w:t>TYPE YOUR TEXT HERE</w:t>
      </w:r>
    </w:p>
    <w:p w14:paraId="7A24A305" w14:textId="77777777" w:rsidR="00FA1BD9" w:rsidRPr="00EF7BA4" w:rsidRDefault="00FA1BD9" w:rsidP="003338CD">
      <w:pPr>
        <w:rPr>
          <w:color w:val="FF0000"/>
        </w:rPr>
      </w:pPr>
    </w:p>
    <w:permEnd w:id="1592468697"/>
    <w:p w14:paraId="1B3F4B78" w14:textId="77777777" w:rsidR="00F31E57" w:rsidRDefault="00F31E57" w:rsidP="00F31E57">
      <w:r>
        <w:t>&lt;ESMA_QUESTION_PRIIPs_81&gt;</w:t>
      </w:r>
    </w:p>
    <w:p w14:paraId="663F0226"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purpose? (Would an invested amount of 1 000 euros per period of time be a relevant figure?) </w:t>
      </w:r>
    </w:p>
    <w:p w14:paraId="1A42578E" w14:textId="77777777" w:rsidR="00F31E57" w:rsidRDefault="00F31E57" w:rsidP="00F31E57">
      <w:pPr>
        <w:rPr>
          <w:rFonts w:cstheme="minorBidi"/>
        </w:rPr>
      </w:pPr>
    </w:p>
    <w:p w14:paraId="7E259DB3" w14:textId="77777777" w:rsidR="00F31E57" w:rsidRDefault="00F31E57" w:rsidP="00F31E57">
      <w:r>
        <w:t>&lt;ESMA_QUESTION_PRIIPs_82&gt;</w:t>
      </w:r>
    </w:p>
    <w:p w14:paraId="6E71CFC8" w14:textId="77777777" w:rsidR="00D2302C" w:rsidRDefault="00D2302C" w:rsidP="00F31E57">
      <w:permStart w:id="1516583297" w:edGrp="everyone"/>
    </w:p>
    <w:p w14:paraId="261BA6E2" w14:textId="2D76828D" w:rsidR="00122FF9" w:rsidRPr="0072738C" w:rsidRDefault="00CB0870" w:rsidP="006B2A9F">
      <w:pPr>
        <w:pStyle w:val="ListParagraph"/>
        <w:numPr>
          <w:ilvl w:val="0"/>
          <w:numId w:val="49"/>
        </w:numPr>
        <w:rPr>
          <w:color w:val="000000" w:themeColor="text1"/>
        </w:rPr>
      </w:pPr>
      <w:r w:rsidRPr="0072738C">
        <w:rPr>
          <w:color w:val="000000" w:themeColor="text1"/>
          <w:lang w:val="en-US"/>
        </w:rPr>
        <w:t xml:space="preserve">The </w:t>
      </w:r>
      <w:r w:rsidR="00122FF9" w:rsidRPr="0072738C">
        <w:rPr>
          <w:color w:val="000000" w:themeColor="text1"/>
        </w:rPr>
        <w:t>SSDA believe that the relevant figure for the initial invested amount should be:</w:t>
      </w:r>
    </w:p>
    <w:p w14:paraId="4AAF10A9" w14:textId="5C368FA6" w:rsidR="00D2302C" w:rsidRPr="0072738C" w:rsidRDefault="00D2302C" w:rsidP="006B2A9F">
      <w:pPr>
        <w:pStyle w:val="ListParagraph"/>
        <w:numPr>
          <w:ilvl w:val="1"/>
          <w:numId w:val="54"/>
        </w:numPr>
        <w:rPr>
          <w:color w:val="000000" w:themeColor="text1"/>
        </w:rPr>
      </w:pPr>
      <w:r w:rsidRPr="0072738C">
        <w:rPr>
          <w:color w:val="000000" w:themeColor="text1"/>
        </w:rPr>
        <w:t>The Denomination/Notional for Securities</w:t>
      </w:r>
    </w:p>
    <w:p w14:paraId="391F02C7" w14:textId="5D383450" w:rsidR="00D2302C" w:rsidRPr="0072738C" w:rsidRDefault="00D458AF" w:rsidP="006B2A9F">
      <w:pPr>
        <w:pStyle w:val="ListParagraph"/>
        <w:numPr>
          <w:ilvl w:val="1"/>
          <w:numId w:val="54"/>
        </w:numPr>
        <w:rPr>
          <w:color w:val="000000" w:themeColor="text1"/>
        </w:rPr>
      </w:pPr>
      <w:r w:rsidRPr="0072738C">
        <w:rPr>
          <w:color w:val="000000" w:themeColor="text1"/>
        </w:rPr>
        <w:t>A</w:t>
      </w:r>
      <w:r w:rsidR="00D2302C" w:rsidRPr="0072738C">
        <w:rPr>
          <w:color w:val="000000" w:themeColor="text1"/>
        </w:rPr>
        <w:t xml:space="preserve"> hypothetical Denomination set to the Strike level for products "in units".</w:t>
      </w:r>
    </w:p>
    <w:p w14:paraId="75BA6EE5" w14:textId="4C385476" w:rsidR="00D2302C" w:rsidRPr="0072738C" w:rsidRDefault="00D2302C" w:rsidP="006B2A9F">
      <w:pPr>
        <w:pStyle w:val="ListParagraph"/>
        <w:numPr>
          <w:ilvl w:val="1"/>
          <w:numId w:val="54"/>
        </w:numPr>
        <w:rPr>
          <w:color w:val="000000" w:themeColor="text1"/>
        </w:rPr>
      </w:pPr>
      <w:r w:rsidRPr="0072738C">
        <w:rPr>
          <w:color w:val="000000" w:themeColor="text1"/>
        </w:rPr>
        <w:t>The Notional for Structured Deposit</w:t>
      </w:r>
      <w:r w:rsidR="00122FF9" w:rsidRPr="0072738C">
        <w:rPr>
          <w:color w:val="000000" w:themeColor="text1"/>
        </w:rPr>
        <w:t>.</w:t>
      </w:r>
    </w:p>
    <w:p w14:paraId="17801848" w14:textId="77777777" w:rsidR="00122FF9" w:rsidRPr="0072738C" w:rsidRDefault="00122FF9" w:rsidP="00D2302C">
      <w:pPr>
        <w:rPr>
          <w:color w:val="000000" w:themeColor="text1"/>
        </w:rPr>
      </w:pPr>
    </w:p>
    <w:p w14:paraId="0C3D48E5" w14:textId="77777777" w:rsidR="00D2302C" w:rsidRPr="0072738C" w:rsidRDefault="00D2302C" w:rsidP="006B2A9F">
      <w:pPr>
        <w:pStyle w:val="ListParagraph"/>
        <w:numPr>
          <w:ilvl w:val="0"/>
          <w:numId w:val="49"/>
        </w:numPr>
        <w:rPr>
          <w:color w:val="000000" w:themeColor="text1"/>
        </w:rPr>
      </w:pPr>
      <w:r w:rsidRPr="0072738C">
        <w:rPr>
          <w:color w:val="000000" w:themeColor="text1"/>
        </w:rPr>
        <w:t>An assumption of EUR 1000 (or equivalent in another currency) seems reasonable as a Denom</w:t>
      </w:r>
      <w:r w:rsidRPr="0072738C">
        <w:rPr>
          <w:color w:val="000000" w:themeColor="text1"/>
        </w:rPr>
        <w:t>i</w:t>
      </w:r>
      <w:r w:rsidRPr="0072738C">
        <w:rPr>
          <w:color w:val="000000" w:themeColor="text1"/>
        </w:rPr>
        <w:t>nation or Notional.</w:t>
      </w:r>
    </w:p>
    <w:p w14:paraId="071EFBD0" w14:textId="77777777" w:rsidR="00D2302C" w:rsidRDefault="00D2302C" w:rsidP="00F31E57"/>
    <w:p w14:paraId="1F3D20C6" w14:textId="77777777" w:rsidR="00D2302C" w:rsidRDefault="00D2302C" w:rsidP="00F31E57"/>
    <w:permEnd w:id="1516583297"/>
    <w:p w14:paraId="571F6048" w14:textId="77777777" w:rsidR="00F31E57" w:rsidRDefault="00F31E57" w:rsidP="00F31E57">
      <w:r>
        <w:t>&lt;ESMA_QUESTION_PRIIPs_82&gt;</w:t>
      </w:r>
    </w:p>
    <w:p w14:paraId="69BD9E98"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lastRenderedPageBreak/>
        <w:t>For some life-insurance products, the costs will differ on the age of the customer and other parameters. How to take into account this specific type of PRIIPs for the purpose of aggregating the costs? Should several KIDs for several ages be considered?</w:t>
      </w:r>
    </w:p>
    <w:p w14:paraId="2A7A1166" w14:textId="77777777" w:rsidR="00F31E57" w:rsidRDefault="00F31E57" w:rsidP="00F31E57">
      <w:pPr>
        <w:rPr>
          <w:rFonts w:cstheme="minorBidi"/>
        </w:rPr>
      </w:pPr>
    </w:p>
    <w:p w14:paraId="27FA4A47" w14:textId="77777777" w:rsidR="00F31E57" w:rsidRDefault="00F31E57" w:rsidP="00F31E57">
      <w:r>
        <w:t>&lt;ESMA_QUESTION_PRIIPs_83&gt;</w:t>
      </w:r>
    </w:p>
    <w:p w14:paraId="169915D2" w14:textId="77777777" w:rsidR="00FA1BD9" w:rsidRDefault="00FA1BD9" w:rsidP="00F31E57">
      <w:permStart w:id="1760171778" w:edGrp="everyone"/>
      <w:r w:rsidRPr="00EF0769">
        <w:rPr>
          <w:rFonts w:cs="Arial"/>
        </w:rPr>
        <w:t>TYPE YOUR TEXT HERE</w:t>
      </w:r>
      <w:r>
        <w:t xml:space="preserve"> </w:t>
      </w:r>
    </w:p>
    <w:permEnd w:id="1760171778"/>
    <w:p w14:paraId="4C9352E0" w14:textId="09E6CF17" w:rsidR="00F31E57" w:rsidRDefault="00F31E57" w:rsidP="00F31E57">
      <w:r>
        <w:t>&lt;ESMA_QUESTION_PRIIPs_83&gt;</w:t>
      </w:r>
    </w:p>
    <w:p w14:paraId="4ADF33DD"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considerations? Which difficulties do you identify in the annualisation of costs?</w:t>
      </w:r>
    </w:p>
    <w:p w14:paraId="6FD592FA" w14:textId="77777777" w:rsidR="00F31E57" w:rsidRDefault="00F31E57" w:rsidP="00F31E57">
      <w:pPr>
        <w:rPr>
          <w:rFonts w:cstheme="minorBidi"/>
        </w:rPr>
      </w:pPr>
    </w:p>
    <w:p w14:paraId="6F747E06" w14:textId="77777777" w:rsidR="00F31E57" w:rsidRDefault="00F31E57" w:rsidP="00F31E57">
      <w:r>
        <w:t>&lt;ESMA_QUESTION_PRIIPs_84&gt;</w:t>
      </w:r>
    </w:p>
    <w:p w14:paraId="74C9E598" w14:textId="77777777" w:rsidR="00D2302C" w:rsidRDefault="00D2302C" w:rsidP="00F31E57">
      <w:pPr>
        <w:rPr>
          <w:color w:val="FF0000"/>
        </w:rPr>
      </w:pPr>
      <w:permStart w:id="276377643" w:edGrp="everyone"/>
    </w:p>
    <w:p w14:paraId="0A0E084D" w14:textId="367B1ECF" w:rsidR="00D2302C" w:rsidRPr="0072738C" w:rsidRDefault="00CB0870" w:rsidP="00B5491E">
      <w:pPr>
        <w:pStyle w:val="ListParagraph"/>
        <w:numPr>
          <w:ilvl w:val="0"/>
          <w:numId w:val="49"/>
        </w:numPr>
        <w:rPr>
          <w:color w:val="000000" w:themeColor="text1"/>
        </w:rPr>
      </w:pPr>
      <w:r w:rsidRPr="0072738C">
        <w:rPr>
          <w:color w:val="000000" w:themeColor="text1"/>
        </w:rPr>
        <w:t xml:space="preserve">The </w:t>
      </w:r>
      <w:r w:rsidR="00D4785A" w:rsidRPr="0072738C">
        <w:rPr>
          <w:color w:val="000000" w:themeColor="text1"/>
        </w:rPr>
        <w:t xml:space="preserve">SSDA: </w:t>
      </w:r>
      <w:r w:rsidR="00D2302C" w:rsidRPr="0072738C">
        <w:rPr>
          <w:color w:val="000000" w:themeColor="text1"/>
        </w:rPr>
        <w:t xml:space="preserve">No difficulties are </w:t>
      </w:r>
      <w:r w:rsidR="00D458AF" w:rsidRPr="0072738C">
        <w:rPr>
          <w:color w:val="000000" w:themeColor="text1"/>
        </w:rPr>
        <w:t>expected;</w:t>
      </w:r>
      <w:r w:rsidR="00D2302C" w:rsidRPr="0072738C">
        <w:rPr>
          <w:color w:val="000000" w:themeColor="text1"/>
        </w:rPr>
        <w:t xml:space="preserve"> the cost should be annualized on the recommended hol</w:t>
      </w:r>
      <w:r w:rsidR="00D2302C" w:rsidRPr="0072738C">
        <w:rPr>
          <w:color w:val="000000" w:themeColor="text1"/>
        </w:rPr>
        <w:t>d</w:t>
      </w:r>
      <w:r w:rsidR="00D2302C" w:rsidRPr="0072738C">
        <w:rPr>
          <w:color w:val="000000" w:themeColor="text1"/>
        </w:rPr>
        <w:t>ing period</w:t>
      </w:r>
      <w:r w:rsidR="005744BE" w:rsidRPr="0072738C">
        <w:rPr>
          <w:color w:val="000000" w:themeColor="text1"/>
        </w:rPr>
        <w:t>.</w:t>
      </w:r>
      <w:r w:rsidR="00D2302C" w:rsidRPr="0072738C">
        <w:rPr>
          <w:color w:val="000000" w:themeColor="text1"/>
        </w:rPr>
        <w:t xml:space="preserve"> </w:t>
      </w:r>
      <w:r w:rsidR="00695076" w:rsidRPr="0072738C">
        <w:rPr>
          <w:color w:val="000000" w:themeColor="text1"/>
        </w:rPr>
        <w:t>For structured products, the most simple is to amortize linearly entry &amp; exit costs over the recommended holding period.</w:t>
      </w:r>
    </w:p>
    <w:p w14:paraId="0079E325" w14:textId="77777777" w:rsidR="00D2302C" w:rsidRDefault="00D2302C" w:rsidP="00F31E57"/>
    <w:permEnd w:id="276377643"/>
    <w:p w14:paraId="020B9CE8" w14:textId="576132DC" w:rsidR="00F31E57" w:rsidRDefault="00F31E57" w:rsidP="00F31E57">
      <w:r>
        <w:t>&lt;ESMA_QUESTION_PRIIPs_84&gt;</w:t>
      </w:r>
    </w:p>
    <w:p w14:paraId="128F325F"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other assumptions would be needed there? In the case of life-insurance products, to what extent should the amortization methodology related to the amo</w:t>
      </w:r>
      <w:r>
        <w:rPr>
          <w:rFonts w:cs="Arial"/>
        </w:rPr>
        <w:t>r</w:t>
      </w:r>
      <w:r>
        <w:rPr>
          <w:rFonts w:cs="Arial"/>
        </w:rPr>
        <w:t>tization methodology of the premium calculation? To what extent should the ch</w:t>
      </w:r>
      <w:r>
        <w:rPr>
          <w:rFonts w:cs="Arial"/>
        </w:rPr>
        <w:t>o</w:t>
      </w:r>
      <w:r>
        <w:rPr>
          <w:rFonts w:cs="Arial"/>
        </w:rPr>
        <w:t>sen holding period be related to the recommended holding period?</w:t>
      </w:r>
    </w:p>
    <w:p w14:paraId="1A8C21EF" w14:textId="77777777" w:rsidR="00F31E57" w:rsidRDefault="00F31E57" w:rsidP="00F31E57">
      <w:pPr>
        <w:rPr>
          <w:rFonts w:cstheme="minorBidi"/>
        </w:rPr>
      </w:pPr>
    </w:p>
    <w:p w14:paraId="0CFE99E1" w14:textId="77777777" w:rsidR="00F31E57" w:rsidRDefault="00F31E57" w:rsidP="00F31E57">
      <w:r>
        <w:t>&lt;ESMA_QUESTION_PRIIPs_85&gt;</w:t>
      </w:r>
    </w:p>
    <w:p w14:paraId="43622833" w14:textId="3C04706E" w:rsidR="00D2302C" w:rsidRDefault="00FA1BD9" w:rsidP="00D2302C">
      <w:pPr>
        <w:rPr>
          <w:color w:val="FF0000"/>
        </w:rPr>
      </w:pPr>
      <w:permStart w:id="908793311" w:edGrp="everyone"/>
      <w:r w:rsidRPr="00EF0769">
        <w:rPr>
          <w:rFonts w:cs="Arial"/>
        </w:rPr>
        <w:t>TYPE YOUR TEXT HERE</w:t>
      </w:r>
    </w:p>
    <w:permEnd w:id="908793311"/>
    <w:p w14:paraId="32C89778" w14:textId="77777777" w:rsidR="00F31E57" w:rsidRDefault="00F31E57" w:rsidP="00F31E57">
      <w:r>
        <w:t>&lt;ESMA_QUESTION_PRIIPs_85&gt;</w:t>
      </w:r>
    </w:p>
    <w:p w14:paraId="5467AC9C"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approach to calculate these costs is to calculate the ratio of the total of these amortized costs to the invested amount in the fund. However in that case the question remains as to how to aggregate this ratio with the on-going charges ratio.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14:paraId="2855CA98" w14:textId="77777777" w:rsidR="00F31E57" w:rsidRDefault="00F31E57" w:rsidP="00F31E57">
      <w:pPr>
        <w:rPr>
          <w:rFonts w:cstheme="minorBidi"/>
        </w:rPr>
      </w:pPr>
    </w:p>
    <w:p w14:paraId="7E49EE99" w14:textId="77777777" w:rsidR="00F31E57" w:rsidRDefault="00F31E57" w:rsidP="00F31E57">
      <w:r>
        <w:t>&lt;ESMA_QUESTION_PRIIPs_86&gt;</w:t>
      </w:r>
    </w:p>
    <w:p w14:paraId="6D170896" w14:textId="6B57DA92" w:rsidR="003338CD" w:rsidRPr="00EF7BA4" w:rsidRDefault="00FA1BD9" w:rsidP="003338CD">
      <w:pPr>
        <w:rPr>
          <w:color w:val="FF0000"/>
        </w:rPr>
      </w:pPr>
      <w:permStart w:id="180305613" w:edGrp="everyone"/>
      <w:r w:rsidRPr="00EF0769">
        <w:rPr>
          <w:rFonts w:cs="Arial"/>
        </w:rPr>
        <w:t>TYPE YOUR TEXT HERE</w:t>
      </w:r>
    </w:p>
    <w:permEnd w:id="180305613"/>
    <w:p w14:paraId="1C4D1A94" w14:textId="77777777" w:rsidR="00F31E57" w:rsidRDefault="00F31E57" w:rsidP="00F31E57">
      <w:r>
        <w:t>&lt;ESMA_QUESTION_PRIIPs_86&gt;</w:t>
      </w:r>
    </w:p>
    <w:p w14:paraId="55015B7C"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would be other options to define the TCR ratio in the case of life-insurance products? What about the case of regular payments or regular increasing? Which definition would you favour? How to ensure a level playing field and a common definition with the other types of PRIIPs in this regard? Another possible approach could be to use the ratio between the total amount of costs over the holding period </w:t>
      </w:r>
      <w:r>
        <w:rPr>
          <w:rFonts w:cs="Arial"/>
        </w:rPr>
        <w:lastRenderedPageBreak/>
        <w:t>and the average net investment (assumed during the whole period, in order to take into account future additional investments, partial withdrawals, payments (i.e. pr</w:t>
      </w:r>
      <w:r>
        <w:rPr>
          <w:rFonts w:cs="Arial"/>
        </w:rPr>
        <w:t>o</w:t>
      </w:r>
      <w:r>
        <w:rPr>
          <w:rFonts w:cs="Arial"/>
        </w:rPr>
        <w:t xml:space="preserve">grammed investments or disinvestments)). Do you think this approach would be appropriate? To what extent do these possible calculation methodologies fit the case of insurance products with regular payments? </w:t>
      </w:r>
    </w:p>
    <w:p w14:paraId="301F74F9" w14:textId="77777777" w:rsidR="00F31E57" w:rsidRDefault="00F31E57" w:rsidP="00F31E57">
      <w:pPr>
        <w:rPr>
          <w:rFonts w:cstheme="minorBidi"/>
        </w:rPr>
      </w:pPr>
    </w:p>
    <w:p w14:paraId="41D72E87" w14:textId="77777777" w:rsidR="00F31E57" w:rsidRDefault="00F31E57" w:rsidP="00F31E57">
      <w:r>
        <w:t>&lt;ESMA_QUESTION_PRIIPs_87&gt;</w:t>
      </w:r>
    </w:p>
    <w:p w14:paraId="27B147A6" w14:textId="6ECBE5AD" w:rsidR="003338CD" w:rsidRPr="00EF7BA4" w:rsidRDefault="00FA1BD9" w:rsidP="003338CD">
      <w:pPr>
        <w:rPr>
          <w:color w:val="FF0000"/>
        </w:rPr>
      </w:pPr>
      <w:permStart w:id="1544028575" w:edGrp="everyone"/>
      <w:r w:rsidRPr="00EF0769">
        <w:rPr>
          <w:rFonts w:cs="Arial"/>
        </w:rPr>
        <w:t>TYPE YOUR TEXT HERE</w:t>
      </w:r>
    </w:p>
    <w:permEnd w:id="1544028575"/>
    <w:p w14:paraId="3EC3C0E8" w14:textId="77777777" w:rsidR="00F31E57" w:rsidRDefault="00F31E57" w:rsidP="00F31E57">
      <w:r>
        <w:t>&lt;ESMA_QUESTION_PRIIPs_87&gt;</w:t>
      </w:r>
    </w:p>
    <w:p w14:paraId="76CC4D2F"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structured products? Do you identify other specific issues in relation to the TCR if applied to structured products?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w:t>
      </w:r>
      <w:r>
        <w:rPr>
          <w:rFonts w:cs="Arial"/>
        </w:rPr>
        <w:t>s</w:t>
      </w:r>
      <w:r>
        <w:rPr>
          <w:rFonts w:cs="Arial"/>
        </w:rPr>
        <w:t>investments)). Do you think this approach would be appropriate? For derivatives, it might be the case that it is necessary to further define the concept of investment to be used as denominator of the ratio. Possibilities include the use of the actual sums paid and received (i.e. initial margins, variation margins, collateral postings, various payoffs, etc.) or the use of the exposure (i.e. market value of the derivative underlying). Do you think these approaches would be appropriate?</w:t>
      </w:r>
    </w:p>
    <w:p w14:paraId="16B9FA2A" w14:textId="77777777" w:rsidR="00F31E57" w:rsidRDefault="00F31E57" w:rsidP="00F31E57">
      <w:pPr>
        <w:rPr>
          <w:rFonts w:cstheme="minorBidi"/>
        </w:rPr>
      </w:pPr>
    </w:p>
    <w:p w14:paraId="77BEDAEC" w14:textId="77777777" w:rsidR="00F31E57" w:rsidRDefault="00F31E57" w:rsidP="00F31E57">
      <w:r>
        <w:t>&lt;ESMA_QUESTION_PRIIPs_88&gt;</w:t>
      </w:r>
    </w:p>
    <w:p w14:paraId="60C5D485" w14:textId="77777777" w:rsidR="005744BE" w:rsidRDefault="005744BE" w:rsidP="00F31E57">
      <w:permStart w:id="769094611" w:edGrp="everyone"/>
    </w:p>
    <w:p w14:paraId="1D25D8C1" w14:textId="6BC7D842" w:rsidR="005744BE" w:rsidRPr="0072738C" w:rsidRDefault="005744BE" w:rsidP="006B2A9F">
      <w:pPr>
        <w:pStyle w:val="ListParagraph"/>
        <w:numPr>
          <w:ilvl w:val="0"/>
          <w:numId w:val="49"/>
        </w:numPr>
        <w:rPr>
          <w:color w:val="000000" w:themeColor="text1"/>
        </w:rPr>
      </w:pPr>
      <w:r w:rsidRPr="0072738C">
        <w:rPr>
          <w:color w:val="000000" w:themeColor="text1"/>
        </w:rPr>
        <w:t>Once the aggregate costs of the structured product are determined, it is straightforward to annua</w:t>
      </w:r>
      <w:r w:rsidRPr="0072738C">
        <w:rPr>
          <w:color w:val="000000" w:themeColor="text1"/>
        </w:rPr>
        <w:t>l</w:t>
      </w:r>
      <w:r w:rsidRPr="0072738C">
        <w:rPr>
          <w:color w:val="000000" w:themeColor="text1"/>
        </w:rPr>
        <w:t>ize them. The question raised here seems to be more about the different ways to measure costs. We think the "average net investment" or the "investment" is misleading and not a relevant co</w:t>
      </w:r>
      <w:r w:rsidRPr="0072738C">
        <w:rPr>
          <w:color w:val="000000" w:themeColor="text1"/>
        </w:rPr>
        <w:t>n</w:t>
      </w:r>
      <w:r w:rsidRPr="0072738C">
        <w:rPr>
          <w:color w:val="000000" w:themeColor="text1"/>
        </w:rPr>
        <w:t xml:space="preserve">cept for structured products. It should be Denomination (for securities) or Notional (for Deposits). </w:t>
      </w:r>
    </w:p>
    <w:p w14:paraId="2076D00E" w14:textId="77777777" w:rsidR="005744BE" w:rsidRPr="005744BE" w:rsidRDefault="005744BE" w:rsidP="00F31E57">
      <w:pPr>
        <w:rPr>
          <w:color w:val="FF0000"/>
        </w:rPr>
      </w:pPr>
    </w:p>
    <w:permEnd w:id="769094611"/>
    <w:p w14:paraId="386D7DC4" w14:textId="77777777" w:rsidR="00F31E57" w:rsidRDefault="00F31E57" w:rsidP="00F31E57">
      <w:r>
        <w:t>&lt;ESMA_QUESTION_PRIIPs_88&gt;</w:t>
      </w:r>
    </w:p>
    <w:p w14:paraId="5B7E8AAA"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14:paraId="209A7A05" w14:textId="77777777" w:rsidR="00F31E57" w:rsidRDefault="00F31E57" w:rsidP="00F31E57">
      <w:pPr>
        <w:rPr>
          <w:rFonts w:cstheme="minorBidi"/>
        </w:rPr>
      </w:pPr>
    </w:p>
    <w:p w14:paraId="6147D89F" w14:textId="77777777" w:rsidR="00F31E57" w:rsidRDefault="00F31E57" w:rsidP="00F31E57">
      <w:r>
        <w:t>&lt;ESMA_QUESTION_PRIIPs_89&gt;</w:t>
      </w:r>
    </w:p>
    <w:p w14:paraId="5716672C" w14:textId="1F9FEC1E" w:rsidR="003338CD" w:rsidRPr="00EF7BA4" w:rsidRDefault="00FA1BD9" w:rsidP="003338CD">
      <w:pPr>
        <w:rPr>
          <w:color w:val="FF0000"/>
        </w:rPr>
      </w:pPr>
      <w:permStart w:id="576802057" w:edGrp="everyone"/>
      <w:r w:rsidRPr="00EF0769">
        <w:rPr>
          <w:rFonts w:cs="Arial"/>
        </w:rPr>
        <w:t>TYPE YOUR TEXT HERE</w:t>
      </w:r>
    </w:p>
    <w:permEnd w:id="576802057"/>
    <w:p w14:paraId="00C28B8E" w14:textId="77777777" w:rsidR="00F31E57" w:rsidRDefault="00F31E57" w:rsidP="00F31E57">
      <w:r>
        <w:t>&lt;ESMA_QUESTION_PRIIPs_89&gt;</w:t>
      </w:r>
    </w:p>
    <w:p w14:paraId="42708261"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These different aforementioned principles are taken from the CESR guidelines on cost disclosure for UCITS. Is it also appropriate in the PRIIPs context?</w:t>
      </w:r>
    </w:p>
    <w:p w14:paraId="71469B21" w14:textId="77777777" w:rsidR="00F31E57" w:rsidRDefault="00F31E57" w:rsidP="00F31E57">
      <w:pPr>
        <w:rPr>
          <w:rFonts w:cstheme="minorBidi"/>
        </w:rPr>
      </w:pPr>
    </w:p>
    <w:p w14:paraId="3CBA28C4" w14:textId="77777777" w:rsidR="00F31E57" w:rsidRDefault="00F31E57" w:rsidP="00F31E57">
      <w:r>
        <w:t>&lt;ESMA_QUESTION_PRIIPs_90&gt;</w:t>
      </w:r>
    </w:p>
    <w:p w14:paraId="1180E1D9" w14:textId="20E4C1ED" w:rsidR="003338CD" w:rsidRPr="00EF7BA4" w:rsidRDefault="00FA1BD9" w:rsidP="003338CD">
      <w:pPr>
        <w:rPr>
          <w:color w:val="FF0000"/>
        </w:rPr>
      </w:pPr>
      <w:permStart w:id="1300304474" w:edGrp="everyone"/>
      <w:r w:rsidRPr="00EF0769">
        <w:rPr>
          <w:rFonts w:cs="Arial"/>
        </w:rPr>
        <w:t>TYPE YOUR TEXT HERE</w:t>
      </w:r>
    </w:p>
    <w:permEnd w:id="1300304474"/>
    <w:p w14:paraId="3119F0DD" w14:textId="77777777" w:rsidR="00F31E57" w:rsidRDefault="00F31E57" w:rsidP="00F31E57">
      <w:r>
        <w:lastRenderedPageBreak/>
        <w:t>&lt;ESMA_QUESTION_PRIIPs_90&gt;</w:t>
      </w:r>
    </w:p>
    <w:p w14:paraId="4B3A1158"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14:paraId="0DB84C9E" w14:textId="77777777" w:rsidR="00F31E57" w:rsidRDefault="00F31E57" w:rsidP="00F31E57">
      <w:pPr>
        <w:rPr>
          <w:rFonts w:cstheme="minorBidi"/>
        </w:rPr>
      </w:pPr>
    </w:p>
    <w:p w14:paraId="725FEF3C" w14:textId="77777777" w:rsidR="00F31E57" w:rsidRDefault="00F31E57" w:rsidP="00F31E57">
      <w:r>
        <w:t>&lt;ESMA_QUESTION_PRIIPs_91&gt;</w:t>
      </w:r>
    </w:p>
    <w:p w14:paraId="1864F3A9" w14:textId="264B69C0" w:rsidR="003338CD" w:rsidRPr="00EF7BA4" w:rsidRDefault="00FA1BD9" w:rsidP="003338CD">
      <w:pPr>
        <w:rPr>
          <w:color w:val="FF0000"/>
        </w:rPr>
      </w:pPr>
      <w:permStart w:id="1606746901" w:edGrp="everyone"/>
      <w:r w:rsidRPr="00EF0769">
        <w:rPr>
          <w:rFonts w:cs="Arial"/>
        </w:rPr>
        <w:t>TYPE YOUR TEXT HERE</w:t>
      </w:r>
    </w:p>
    <w:permEnd w:id="1606746901"/>
    <w:p w14:paraId="25F430A6" w14:textId="77777777" w:rsidR="00F31E57" w:rsidRDefault="00F31E57" w:rsidP="00F31E57">
      <w:r>
        <w:t>&lt;ESMA_QUESTION_PRIIPs_91&gt;</w:t>
      </w:r>
    </w:p>
    <w:p w14:paraId="23FB2713"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t>Do you think this methodology should be further detailed? To what extent do you think this methodology is appropriate and feasible (notably in terms of calibration of the model)? It might indeed be considered that valuation models for Solvency II usually are not likely to be designed for per contract calculations. Life insurers may restrict the calculation of technical provisions in the Solvency II-Balance-Sheet to homogenous risk groups. Furthermore they are allowed to use simplified calculation methods if the error is immaterial at the portfolio level. As profit sha</w:t>
      </w:r>
      <w:r>
        <w:rPr>
          <w:rFonts w:cs="Arial"/>
        </w:rPr>
        <w:t>r</w:t>
      </w:r>
      <w:r>
        <w:rPr>
          <w:rFonts w:cs="Arial"/>
        </w:rPr>
        <w:t>ing mechanisms in many countries are applied on the company level and not on a per contract level, projected cash flows from future discretionary benefits will not easily be broken down on a per product or even a per contract basis with the exis</w:t>
      </w:r>
      <w:r>
        <w:rPr>
          <w:rFonts w:cs="Arial"/>
        </w:rPr>
        <w:t>t</w:t>
      </w:r>
      <w:r>
        <w:rPr>
          <w:rFonts w:cs="Arial"/>
        </w:rPr>
        <w:t xml:space="preserve">ing Solvency II-Valuation-Models. </w:t>
      </w:r>
    </w:p>
    <w:p w14:paraId="7516C46A" w14:textId="77777777" w:rsidR="00F31E57" w:rsidRDefault="00F31E57" w:rsidP="00F31E57">
      <w:pPr>
        <w:rPr>
          <w:rFonts w:cstheme="minorBidi"/>
        </w:rPr>
      </w:pPr>
    </w:p>
    <w:p w14:paraId="0579FF69" w14:textId="77777777" w:rsidR="00F31E57" w:rsidRDefault="00F31E57" w:rsidP="00F31E57">
      <w:r>
        <w:t>&lt;ESMA_QUESTION_PRIIPs_92&gt;</w:t>
      </w:r>
    </w:p>
    <w:p w14:paraId="73E46C37" w14:textId="117E3D78" w:rsidR="003338CD" w:rsidRPr="00EF7BA4" w:rsidRDefault="00FA1BD9" w:rsidP="003338CD">
      <w:pPr>
        <w:rPr>
          <w:color w:val="FF0000"/>
        </w:rPr>
      </w:pPr>
      <w:permStart w:id="859592120" w:edGrp="everyone"/>
      <w:r w:rsidRPr="00EF0769">
        <w:rPr>
          <w:rFonts w:cs="Arial"/>
        </w:rPr>
        <w:t>TYPE YOUR TEXT HERE</w:t>
      </w:r>
    </w:p>
    <w:permEnd w:id="859592120"/>
    <w:p w14:paraId="4DB41BC7" w14:textId="77777777" w:rsidR="00F31E57" w:rsidRDefault="00F31E57" w:rsidP="00F31E57">
      <w:r>
        <w:t>&lt;ESMA_QUESTION_PRIIPs_92&gt;</w:t>
      </w:r>
    </w:p>
    <w:p w14:paraId="119A6E19"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w:t>
      </w:r>
      <w:r>
        <w:rPr>
          <w:rFonts w:cs="Arial"/>
        </w:rPr>
        <w:t>p</w:t>
      </w:r>
      <w:r>
        <w:rPr>
          <w:rFonts w:cs="Arial"/>
        </w:rPr>
        <w:t>proach to funds?</w:t>
      </w:r>
    </w:p>
    <w:p w14:paraId="6C7E6F86" w14:textId="77777777" w:rsidR="00F31E57" w:rsidRDefault="00F31E57" w:rsidP="00F31E57">
      <w:pPr>
        <w:rPr>
          <w:rFonts w:cstheme="minorBidi"/>
        </w:rPr>
      </w:pPr>
    </w:p>
    <w:p w14:paraId="49895B98" w14:textId="77777777" w:rsidR="00F31E57" w:rsidRDefault="00F31E57" w:rsidP="00F31E57">
      <w:r>
        <w:t>&lt;ESMA_QUESTION_PRIIPs_93&gt;</w:t>
      </w:r>
    </w:p>
    <w:p w14:paraId="1D18614F" w14:textId="776DD003" w:rsidR="003338CD" w:rsidRPr="00EF7BA4" w:rsidRDefault="00FA1BD9" w:rsidP="003338CD">
      <w:pPr>
        <w:rPr>
          <w:color w:val="FF0000"/>
        </w:rPr>
      </w:pPr>
      <w:permStart w:id="828062404" w:edGrp="everyone"/>
      <w:r w:rsidRPr="00EF0769">
        <w:rPr>
          <w:rFonts w:cs="Arial"/>
        </w:rPr>
        <w:t>TYPE YOUR TEXT HERE</w:t>
      </w:r>
    </w:p>
    <w:permEnd w:id="828062404"/>
    <w:p w14:paraId="4AEE011F" w14:textId="77777777" w:rsidR="00F31E57" w:rsidRDefault="00F31E57" w:rsidP="00F31E57">
      <w:r>
        <w:t>&lt;ESMA_QUESTION_PRIIPs_93&gt;</w:t>
      </w:r>
    </w:p>
    <w:p w14:paraId="27ADDBA7"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In addition to the abovementioned issues and the issues raised in relation to TCR when applied to structured products, do you identify any other specific issue in r</w:t>
      </w:r>
      <w:r>
        <w:rPr>
          <w:rFonts w:cs="Arial"/>
        </w:rPr>
        <w:t>e</w:t>
      </w:r>
      <w:r>
        <w:rPr>
          <w:rFonts w:cs="Arial"/>
        </w:rPr>
        <w:t>lation to the implementation of the RIY approach to structured products?</w:t>
      </w:r>
    </w:p>
    <w:p w14:paraId="53D063E4" w14:textId="77777777" w:rsidR="00F31E57" w:rsidRDefault="00F31E57" w:rsidP="00F31E57">
      <w:pPr>
        <w:rPr>
          <w:rFonts w:cstheme="minorBidi"/>
        </w:rPr>
      </w:pPr>
    </w:p>
    <w:p w14:paraId="7C9513F1" w14:textId="77777777" w:rsidR="00F31E57" w:rsidRDefault="00F31E57" w:rsidP="00F31E57">
      <w:r>
        <w:t>&lt;ESMA_QUESTION_PRIIPs_94&gt;</w:t>
      </w:r>
    </w:p>
    <w:p w14:paraId="04F3A66E" w14:textId="32B7AC21" w:rsidR="005744BE" w:rsidRDefault="00D174C0" w:rsidP="00F31E57">
      <w:permStart w:id="2115975801" w:edGrp="everyone"/>
      <w:r w:rsidRPr="00EF0769">
        <w:rPr>
          <w:rFonts w:cs="Arial"/>
        </w:rPr>
        <w:t>TYPE YOUR TEXT HERE</w:t>
      </w:r>
    </w:p>
    <w:permEnd w:id="2115975801"/>
    <w:p w14:paraId="514E69DC" w14:textId="77777777" w:rsidR="00F31E57" w:rsidRDefault="00F31E57" w:rsidP="00F31E57">
      <w:r>
        <w:t>&lt;ESMA_QUESTION_PRIIPs_94&gt;</w:t>
      </w:r>
    </w:p>
    <w:p w14:paraId="483FFF74" w14:textId="77777777"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specific issues in relation to the calculation per se of the cumulative effect of costs?</w:t>
      </w:r>
    </w:p>
    <w:p w14:paraId="5A37D982" w14:textId="77777777" w:rsidR="00F31E57" w:rsidRDefault="00F31E57" w:rsidP="00F31E57">
      <w:pPr>
        <w:rPr>
          <w:rFonts w:cstheme="minorBidi"/>
        </w:rPr>
      </w:pPr>
    </w:p>
    <w:p w14:paraId="2BA03E4C" w14:textId="77777777" w:rsidR="00F31E57" w:rsidRDefault="00F31E57" w:rsidP="00F31E57">
      <w:r>
        <w:t>&lt;ESMA_QUESTION_PRIIPs_95&gt;</w:t>
      </w:r>
    </w:p>
    <w:p w14:paraId="4B59D9C2" w14:textId="57242DD5" w:rsidR="003338CD" w:rsidRPr="00EF7BA4" w:rsidRDefault="00D174C0" w:rsidP="003338CD">
      <w:pPr>
        <w:rPr>
          <w:color w:val="FF0000"/>
        </w:rPr>
      </w:pPr>
      <w:permStart w:id="166151822" w:edGrp="everyone"/>
      <w:r w:rsidRPr="00EF0769">
        <w:rPr>
          <w:rFonts w:cs="Arial"/>
        </w:rPr>
        <w:t>TYPE YOUR TEXT HERE</w:t>
      </w:r>
    </w:p>
    <w:permEnd w:id="166151822"/>
    <w:p w14:paraId="5B96CFB3" w14:textId="77777777" w:rsidR="00F31E57" w:rsidRDefault="00F31E57" w:rsidP="00F31E57">
      <w:r>
        <w:t>&lt;ESMA_QUESTION_PRIIPs_95&gt;</w:t>
      </w:r>
    </w:p>
    <w:p w14:paraId="43AAECAE" w14:textId="77777777"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lastRenderedPageBreak/>
        <w:t>Is this the structure of a typical transaction? What costs impact the return avail</w:t>
      </w:r>
      <w:r w:rsidRPr="00F31E57">
        <w:rPr>
          <w:rFonts w:cs="Arial"/>
        </w:rPr>
        <w:t>a</w:t>
      </w:r>
      <w:r w:rsidRPr="00F31E57">
        <w:rPr>
          <w:rFonts w:cs="Arial"/>
        </w:rPr>
        <w:t>ble to purchasers of the product?</w:t>
      </w:r>
    </w:p>
    <w:p w14:paraId="0F46A335" w14:textId="77777777" w:rsidR="00F31E57" w:rsidRDefault="00F31E57" w:rsidP="00F31E57">
      <w:pPr>
        <w:rPr>
          <w:rFonts w:cstheme="minorBidi"/>
        </w:rPr>
      </w:pPr>
    </w:p>
    <w:p w14:paraId="23EFF37C" w14:textId="77777777" w:rsidR="00F31E57" w:rsidRDefault="00F31E57" w:rsidP="00F31E57">
      <w:r>
        <w:t>&lt;ESMA_QUESTION_PRIIPs_96&gt;</w:t>
      </w:r>
    </w:p>
    <w:p w14:paraId="5103BAF2" w14:textId="6A6DB398" w:rsidR="003338CD" w:rsidRPr="00EF7BA4" w:rsidRDefault="00D174C0" w:rsidP="003338CD">
      <w:pPr>
        <w:rPr>
          <w:color w:val="FF0000"/>
        </w:rPr>
      </w:pPr>
      <w:permStart w:id="1765679652" w:edGrp="everyone"/>
      <w:r w:rsidRPr="00EF0769">
        <w:rPr>
          <w:rFonts w:cs="Arial"/>
        </w:rPr>
        <w:t>TYPE YOUR TEXT HERE</w:t>
      </w:r>
    </w:p>
    <w:permEnd w:id="1765679652"/>
    <w:p w14:paraId="4717410A" w14:textId="77777777" w:rsidR="00F31E57" w:rsidRDefault="00F31E57" w:rsidP="00F31E57">
      <w:r>
        <w:t>&lt;ESMA_QUESTION_PRIIPs_96&gt;</w:t>
      </w:r>
    </w:p>
    <w:p w14:paraId="6226EE87" w14:textId="77777777"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costs impact the return paid on the products?</w:t>
      </w:r>
    </w:p>
    <w:p w14:paraId="0A999F57" w14:textId="77777777" w:rsidR="00F31E57" w:rsidRDefault="00F31E57" w:rsidP="00F31E57">
      <w:pPr>
        <w:rPr>
          <w:rFonts w:cstheme="minorBidi"/>
        </w:rPr>
      </w:pPr>
    </w:p>
    <w:p w14:paraId="42828E78" w14:textId="77777777" w:rsidR="00F31E57" w:rsidRDefault="00F31E57" w:rsidP="00F31E57">
      <w:r>
        <w:t>&lt;ESMA_QUESTION_PRIIPs_97&gt;</w:t>
      </w:r>
    </w:p>
    <w:p w14:paraId="1727BD18" w14:textId="2EC2EDA8" w:rsidR="003338CD" w:rsidRPr="00EF7BA4" w:rsidRDefault="00D174C0" w:rsidP="003338CD">
      <w:pPr>
        <w:rPr>
          <w:color w:val="FF0000"/>
        </w:rPr>
      </w:pPr>
      <w:permStart w:id="2057846277" w:edGrp="everyone"/>
      <w:r w:rsidRPr="00EF0769">
        <w:rPr>
          <w:rFonts w:cs="Arial"/>
        </w:rPr>
        <w:t>TYPE YOUR TEXT HERE</w:t>
      </w:r>
    </w:p>
    <w:permEnd w:id="2057846277"/>
    <w:p w14:paraId="1455095F" w14:textId="77777777" w:rsidR="00F31E57" w:rsidRDefault="00F31E57" w:rsidP="00F31E57">
      <w:r>
        <w:t>&lt;ESMA_QUESTION_PRIIPs_97&gt;</w:t>
      </w:r>
    </w:p>
    <w:p w14:paraId="1D554AF2" w14:textId="77777777"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14:paraId="6C28D9B0" w14:textId="77777777" w:rsidR="00F31E57" w:rsidRDefault="00F31E57" w:rsidP="00F31E57">
      <w:pPr>
        <w:rPr>
          <w:rFonts w:cstheme="minorBidi"/>
        </w:rPr>
      </w:pPr>
    </w:p>
    <w:p w14:paraId="7634227B" w14:textId="77777777" w:rsidR="00F31E57" w:rsidRDefault="00F31E57" w:rsidP="00F31E57">
      <w:r>
        <w:t>&lt;ESMA_QUESTION_PRIIPs_98&gt;</w:t>
      </w:r>
    </w:p>
    <w:p w14:paraId="6A8DF9C3" w14:textId="6D27A2D1" w:rsidR="003338CD" w:rsidRPr="00EF7BA4" w:rsidRDefault="00D174C0" w:rsidP="003338CD">
      <w:pPr>
        <w:rPr>
          <w:color w:val="FF0000"/>
        </w:rPr>
      </w:pPr>
      <w:permStart w:id="88686402" w:edGrp="everyone"/>
      <w:r w:rsidRPr="00EF0769">
        <w:rPr>
          <w:rFonts w:cs="Arial"/>
        </w:rPr>
        <w:t>TYPE YOUR TEXT HERE</w:t>
      </w:r>
    </w:p>
    <w:permEnd w:id="88686402"/>
    <w:p w14:paraId="47729B2E" w14:textId="77777777" w:rsidR="00F31E57" w:rsidRDefault="00F31E57" w:rsidP="00F31E57">
      <w:r>
        <w:t>&lt;ESMA_QUESTION_PRIIPs_98&gt;</w:t>
      </w:r>
    </w:p>
    <w:p w14:paraId="12B81678" w14:textId="77777777"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RIY approach?</w:t>
      </w:r>
    </w:p>
    <w:p w14:paraId="3B42BC81" w14:textId="77777777" w:rsidR="00F31E57" w:rsidRDefault="00F31E57" w:rsidP="00F31E57">
      <w:pPr>
        <w:rPr>
          <w:rFonts w:cstheme="minorBidi"/>
        </w:rPr>
      </w:pPr>
    </w:p>
    <w:p w14:paraId="0A468293" w14:textId="77777777" w:rsidR="00F31E57" w:rsidRDefault="00F31E57" w:rsidP="00F31E57">
      <w:r>
        <w:t>&lt;ESMA_QUESTION_PRIIPs_99&gt;</w:t>
      </w:r>
    </w:p>
    <w:p w14:paraId="63B3A8F2" w14:textId="6163FCCC" w:rsidR="003338CD" w:rsidRPr="00EF7BA4" w:rsidRDefault="00D174C0" w:rsidP="003338CD">
      <w:pPr>
        <w:rPr>
          <w:color w:val="FF0000"/>
        </w:rPr>
      </w:pPr>
      <w:permStart w:id="1962633772" w:edGrp="everyone"/>
      <w:r w:rsidRPr="00EF0769">
        <w:rPr>
          <w:rFonts w:cs="Arial"/>
        </w:rPr>
        <w:t>TYPE YOUR TEXT HERE</w:t>
      </w:r>
    </w:p>
    <w:permEnd w:id="1962633772"/>
    <w:p w14:paraId="3AEF36B9" w14:textId="77777777" w:rsidR="00F31E57" w:rsidRDefault="00F31E57" w:rsidP="00F31E57">
      <w:r>
        <w:t>&lt;ESMA_QUESTION_PRIIPs_99&gt;</w:t>
      </w:r>
    </w:p>
    <w:p w14:paraId="06132669" w14:textId="77777777" w:rsidR="00F31E57" w:rsidRDefault="00F31E57" w:rsidP="00F31E57"/>
    <w:p w14:paraId="27B53D66" w14:textId="77777777" w:rsidR="00F32462" w:rsidRDefault="00F32462" w:rsidP="00F31E57">
      <w:pPr>
        <w:pStyle w:val="CPQuestions"/>
        <w:numPr>
          <w:ilvl w:val="0"/>
          <w:numId w:val="0"/>
        </w:numPr>
        <w:rPr>
          <w:rFonts w:cs="Arial"/>
          <w:b w:val="0"/>
          <w:szCs w:val="22"/>
        </w:rPr>
      </w:pPr>
    </w:p>
    <w:sectPr w:rsidR="00F32462"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ED918" w14:textId="77777777" w:rsidR="00393754" w:rsidRDefault="00393754">
      <w:r>
        <w:separator/>
      </w:r>
    </w:p>
    <w:p w14:paraId="4D1B6C32" w14:textId="77777777" w:rsidR="00393754" w:rsidRDefault="00393754"/>
  </w:endnote>
  <w:endnote w:type="continuationSeparator" w:id="0">
    <w:p w14:paraId="574593AF" w14:textId="77777777" w:rsidR="00393754" w:rsidRDefault="00393754">
      <w:r>
        <w:continuationSeparator/>
      </w:r>
    </w:p>
    <w:p w14:paraId="233F8C8C" w14:textId="77777777" w:rsidR="00393754" w:rsidRDefault="00393754"/>
  </w:endnote>
  <w:endnote w:type="continuationNotice" w:id="1">
    <w:p w14:paraId="05B205A5" w14:textId="77777777" w:rsidR="00393754" w:rsidRDefault="003937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Verdana">
    <w:panose1 w:val="020B0604030504040204"/>
    <w:charset w:val="00"/>
    <w:family w:val="auto"/>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93754" w:rsidRPr="00616B9B" w14:paraId="14EB6C2A" w14:textId="77777777" w:rsidTr="00315E96">
      <w:trPr>
        <w:trHeight w:val="284"/>
      </w:trPr>
      <w:tc>
        <w:tcPr>
          <w:tcW w:w="8460" w:type="dxa"/>
        </w:tcPr>
        <w:p w14:paraId="1B2BC1FA" w14:textId="77777777" w:rsidR="00393754" w:rsidRPr="00315E96" w:rsidRDefault="00393754" w:rsidP="00315E96">
          <w:pPr>
            <w:pStyle w:val="00Footer"/>
            <w:rPr>
              <w:lang w:val="fr-FR"/>
            </w:rPr>
          </w:pPr>
        </w:p>
      </w:tc>
      <w:tc>
        <w:tcPr>
          <w:tcW w:w="952" w:type="dxa"/>
        </w:tcPr>
        <w:p w14:paraId="78BD657D" w14:textId="77777777" w:rsidR="00393754" w:rsidRPr="00616B9B" w:rsidRDefault="00393754"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5152DC">
            <w:rPr>
              <w:rFonts w:cs="Arial"/>
              <w:noProof/>
              <w:sz w:val="22"/>
              <w:szCs w:val="22"/>
            </w:rPr>
            <w:t>34</w:t>
          </w:r>
          <w:r w:rsidRPr="00616B9B">
            <w:rPr>
              <w:rFonts w:cs="Arial"/>
              <w:noProof/>
              <w:sz w:val="22"/>
              <w:szCs w:val="22"/>
            </w:rPr>
            <w:fldChar w:fldCharType="end"/>
          </w:r>
        </w:p>
      </w:tc>
    </w:tr>
  </w:tbl>
  <w:p w14:paraId="26A1558F" w14:textId="77777777" w:rsidR="00393754" w:rsidRDefault="0039375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3C733" w14:textId="77777777" w:rsidR="00393754" w:rsidRDefault="0039375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2D043" w14:textId="77777777" w:rsidR="00393754" w:rsidRDefault="00393754">
      <w:r>
        <w:separator/>
      </w:r>
    </w:p>
    <w:p w14:paraId="1B8C9CB8" w14:textId="77777777" w:rsidR="00393754" w:rsidRDefault="00393754"/>
  </w:footnote>
  <w:footnote w:type="continuationSeparator" w:id="0">
    <w:p w14:paraId="480181D7" w14:textId="77777777" w:rsidR="00393754" w:rsidRDefault="00393754">
      <w:r>
        <w:continuationSeparator/>
      </w:r>
    </w:p>
    <w:p w14:paraId="7CDEEE57" w14:textId="77777777" w:rsidR="00393754" w:rsidRDefault="00393754"/>
  </w:footnote>
  <w:footnote w:type="continuationNotice" w:id="1">
    <w:p w14:paraId="05A183E9" w14:textId="77777777" w:rsidR="00393754" w:rsidRDefault="00393754"/>
  </w:footnote>
  <w:footnote w:id="2">
    <w:p w14:paraId="12673C43" w14:textId="77777777" w:rsidR="00393754" w:rsidRPr="00554E48" w:rsidRDefault="00393754" w:rsidP="007E2302">
      <w:pPr>
        <w:pStyle w:val="FootnoteText"/>
        <w:rPr>
          <w:szCs w:val="16"/>
        </w:rPr>
      </w:pPr>
      <w:r w:rsidRPr="00554E48">
        <w:rPr>
          <w:rStyle w:val="FootnoteReference"/>
          <w:szCs w:val="16"/>
        </w:rPr>
        <w:footnoteRef/>
      </w:r>
      <w:r w:rsidRPr="00554E48">
        <w:rPr>
          <w:szCs w:val="16"/>
        </w:rPr>
        <w:t xml:space="preserve"> See </w:t>
      </w:r>
      <w:hyperlink r:id="rId1" w:history="1">
        <w:r w:rsidRPr="00554E48">
          <w:rPr>
            <w:rStyle w:val="Hyperlink"/>
            <w:szCs w:val="16"/>
          </w:rPr>
          <w:t>https://eiopa.europa.eu/about-eiopa/legal-framework/public-access-to-documents/index.html</w:t>
        </w:r>
      </w:hyperlink>
      <w:r w:rsidRPr="00554E48">
        <w:rPr>
          <w:szCs w:val="16"/>
        </w:rPr>
        <w:t xml:space="preserve">. </w:t>
      </w:r>
    </w:p>
  </w:footnote>
  <w:footnote w:id="3">
    <w:p w14:paraId="1D7FA1A5" w14:textId="77777777" w:rsidR="00393754" w:rsidRDefault="00393754" w:rsidP="00F31E57">
      <w:pPr>
        <w:pStyle w:val="FootnoteText"/>
        <w:rPr>
          <w:szCs w:val="16"/>
        </w:rPr>
      </w:pPr>
      <w:r>
        <w:rPr>
          <w:rStyle w:val="FootnoteReference"/>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37C89" w14:textId="77777777" w:rsidR="00393754" w:rsidRDefault="00393754">
    <w:pPr>
      <w:pStyle w:val="Header"/>
    </w:pPr>
    <w:r>
      <w:rPr>
        <w:noProof/>
        <w:lang w:val="en-US" w:eastAsia="en-US"/>
      </w:rPr>
      <w:drawing>
        <wp:anchor distT="0" distB="0" distL="114300" distR="114300" simplePos="0" relativeHeight="251658240" behindDoc="0" locked="0" layoutInCell="1" allowOverlap="1" wp14:anchorId="06D8629B" wp14:editId="364B9B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14:anchorId="0D905A12" wp14:editId="75DC1A42">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48B57" w14:textId="77777777" w:rsidR="00393754" w:rsidRDefault="00393754" w:rsidP="00013CCE">
    <w:pPr>
      <w:pStyle w:val="Header"/>
      <w:jc w:val="right"/>
    </w:pPr>
    <w:r>
      <w:rPr>
        <w:noProof/>
        <w:lang w:val="en-US" w:eastAsia="en-US"/>
      </w:rPr>
      <w:drawing>
        <wp:anchor distT="0" distB="0" distL="114300" distR="114300" simplePos="0" relativeHeight="251657216" behindDoc="0" locked="0" layoutInCell="1" allowOverlap="1" wp14:anchorId="17E85F3F" wp14:editId="489AC4BC">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14:anchorId="747A39C2" wp14:editId="1006C309">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41449" w14:textId="77777777" w:rsidR="00393754" w:rsidRDefault="00393754"/>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93754" w:rsidRPr="002F4496" w14:paraId="04479028" w14:textId="77777777" w:rsidTr="000C06C9">
      <w:trPr>
        <w:trHeight w:val="284"/>
      </w:trPr>
      <w:tc>
        <w:tcPr>
          <w:tcW w:w="8460" w:type="dxa"/>
        </w:tcPr>
        <w:p w14:paraId="63FB3BE6" w14:textId="77777777" w:rsidR="00393754" w:rsidRPr="000C3B6D" w:rsidRDefault="00393754" w:rsidP="000C06C9">
          <w:pPr>
            <w:pStyle w:val="00Footer"/>
            <w:rPr>
              <w:lang w:val="fr-FR"/>
            </w:rPr>
          </w:pPr>
        </w:p>
      </w:tc>
      <w:tc>
        <w:tcPr>
          <w:tcW w:w="952" w:type="dxa"/>
        </w:tcPr>
        <w:p w14:paraId="3835D560" w14:textId="77777777" w:rsidR="00393754" w:rsidRPr="00146B34" w:rsidRDefault="00393754" w:rsidP="000C06C9">
          <w:pPr>
            <w:pStyle w:val="00aPagenumber"/>
            <w:rPr>
              <w:lang w:val="fr-FR"/>
            </w:rPr>
          </w:pPr>
        </w:p>
      </w:tc>
    </w:tr>
  </w:tbl>
  <w:p w14:paraId="4871FE8F" w14:textId="77777777" w:rsidR="00393754" w:rsidRPr="00DB46C3" w:rsidRDefault="00393754">
    <w:pPr>
      <w:rPr>
        <w:lang w:val="fr-FR"/>
      </w:rPr>
    </w:pPr>
  </w:p>
  <w:p w14:paraId="583F9E59" w14:textId="77777777" w:rsidR="00393754" w:rsidRPr="002F4496" w:rsidRDefault="00393754">
    <w:pPr>
      <w:pStyle w:val="Header"/>
      <w:rPr>
        <w:lang w:val="fr-FR"/>
      </w:rPr>
    </w:pPr>
  </w:p>
  <w:p w14:paraId="1BAA937A" w14:textId="77777777" w:rsidR="00393754" w:rsidRPr="002F4496" w:rsidRDefault="00393754" w:rsidP="000C06C9">
    <w:pPr>
      <w:pStyle w:val="Header"/>
      <w:tabs>
        <w:tab w:val="clear" w:pos="4536"/>
        <w:tab w:val="clear" w:pos="9072"/>
        <w:tab w:val="left" w:pos="8227"/>
      </w:tabs>
      <w:rPr>
        <w:lang w:val="fr-FR"/>
      </w:rPr>
    </w:pPr>
  </w:p>
  <w:p w14:paraId="79E86C4F" w14:textId="77777777" w:rsidR="00393754" w:rsidRPr="002F4496" w:rsidRDefault="00393754" w:rsidP="000C06C9">
    <w:pPr>
      <w:pStyle w:val="Header"/>
      <w:tabs>
        <w:tab w:val="clear" w:pos="4536"/>
        <w:tab w:val="clear" w:pos="9072"/>
        <w:tab w:val="left" w:pos="8227"/>
      </w:tabs>
      <w:rPr>
        <w:lang w:val="fr-FR"/>
      </w:rPr>
    </w:pPr>
  </w:p>
  <w:p w14:paraId="64900D5B" w14:textId="77777777" w:rsidR="00393754" w:rsidRPr="002F4496" w:rsidRDefault="00393754">
    <w:pPr>
      <w:pStyle w:val="Header"/>
      <w:rPr>
        <w:lang w:val="fr-FR"/>
      </w:rPr>
    </w:pPr>
  </w:p>
  <w:p w14:paraId="055D433D" w14:textId="77777777" w:rsidR="00393754" w:rsidRPr="002F4496" w:rsidRDefault="00393754">
    <w:pPr>
      <w:pStyle w:val="Header"/>
      <w:rPr>
        <w:lang w:val="fr-FR"/>
      </w:rPr>
    </w:pPr>
  </w:p>
  <w:p w14:paraId="65E93334" w14:textId="77777777" w:rsidR="00393754" w:rsidRPr="002F4496" w:rsidRDefault="00393754">
    <w:pPr>
      <w:pStyle w:val="Header"/>
      <w:rPr>
        <w:lang w:val="fr-FR"/>
      </w:rPr>
    </w:pPr>
  </w:p>
  <w:p w14:paraId="3E5E4D00" w14:textId="77777777" w:rsidR="00393754" w:rsidRPr="002F4496" w:rsidRDefault="00393754">
    <w:pPr>
      <w:pStyle w:val="Header"/>
      <w:rPr>
        <w:lang w:val="fr-FR"/>
      </w:rPr>
    </w:pPr>
  </w:p>
  <w:p w14:paraId="42BCBD2F" w14:textId="77777777" w:rsidR="00393754" w:rsidRPr="002F4496" w:rsidRDefault="00393754">
    <w:pPr>
      <w:pStyle w:val="Header"/>
      <w:rPr>
        <w:highlight w:val="yellow"/>
        <w:lang w:val="fr-FR"/>
      </w:rPr>
    </w:pPr>
  </w:p>
  <w:p w14:paraId="5DB29927" w14:textId="77777777" w:rsidR="00393754" w:rsidRDefault="00393754">
    <w:pPr>
      <w:pStyle w:val="Header"/>
    </w:pPr>
    <w:r>
      <w:rPr>
        <w:noProof/>
        <w:lang w:val="en-US" w:eastAsia="en-US"/>
      </w:rPr>
      <mc:AlternateContent>
        <mc:Choice Requires="wps">
          <w:drawing>
            <wp:anchor distT="0" distB="0" distL="114299" distR="114299" simplePos="0" relativeHeight="251660288" behindDoc="0" locked="0" layoutInCell="1" allowOverlap="1" wp14:anchorId="6E74F7F9" wp14:editId="185A0525">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50840F51" wp14:editId="754C7D13">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CC4"/>
    <w:multiLevelType w:val="hybridMultilevel"/>
    <w:tmpl w:val="85BE4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3CD0EDE"/>
    <w:multiLevelType w:val="hybridMultilevel"/>
    <w:tmpl w:val="562EA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A8244D"/>
    <w:multiLevelType w:val="hybridMultilevel"/>
    <w:tmpl w:val="BBEC0040"/>
    <w:lvl w:ilvl="0" w:tplc="DD50F8E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2A2292"/>
    <w:multiLevelType w:val="hybridMultilevel"/>
    <w:tmpl w:val="DED6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0162AB"/>
    <w:multiLevelType w:val="hybridMultilevel"/>
    <w:tmpl w:val="0DD86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0D380A"/>
    <w:multiLevelType w:val="hybridMultilevel"/>
    <w:tmpl w:val="191A4204"/>
    <w:lvl w:ilvl="0" w:tplc="DD50F8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5BE5191"/>
    <w:multiLevelType w:val="hybridMultilevel"/>
    <w:tmpl w:val="DD7EB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12">
    <w:nsid w:val="1C471689"/>
    <w:multiLevelType w:val="hybridMultilevel"/>
    <w:tmpl w:val="6298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E1413DD"/>
    <w:multiLevelType w:val="hybridMultilevel"/>
    <w:tmpl w:val="E04C4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6C2B98"/>
    <w:multiLevelType w:val="hybridMultilevel"/>
    <w:tmpl w:val="260E2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2A1C361C"/>
    <w:multiLevelType w:val="hybridMultilevel"/>
    <w:tmpl w:val="0DB66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24">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8">
    <w:nsid w:val="3DF47819"/>
    <w:multiLevelType w:val="hybridMultilevel"/>
    <w:tmpl w:val="3CF27B70"/>
    <w:lvl w:ilvl="0" w:tplc="DD50F8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1257545"/>
    <w:multiLevelType w:val="hybridMultilevel"/>
    <w:tmpl w:val="6A048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67248A"/>
    <w:multiLevelType w:val="hybridMultilevel"/>
    <w:tmpl w:val="02500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32">
    <w:nsid w:val="444A2009"/>
    <w:multiLevelType w:val="hybridMultilevel"/>
    <w:tmpl w:val="6778F29E"/>
    <w:lvl w:ilvl="0" w:tplc="DD50F8E6">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3">
    <w:nsid w:val="46E44D8E"/>
    <w:multiLevelType w:val="hybridMultilevel"/>
    <w:tmpl w:val="FC7CE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5">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B7161C5"/>
    <w:multiLevelType w:val="hybridMultilevel"/>
    <w:tmpl w:val="22185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8">
    <w:nsid w:val="4BD572A2"/>
    <w:multiLevelType w:val="hybridMultilevel"/>
    <w:tmpl w:val="1F402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C4239F2"/>
    <w:multiLevelType w:val="hybridMultilevel"/>
    <w:tmpl w:val="9042AE02"/>
    <w:lvl w:ilvl="0" w:tplc="B2D8B5D6">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4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1">
    <w:nsid w:val="4D4C2390"/>
    <w:multiLevelType w:val="hybridMultilevel"/>
    <w:tmpl w:val="E966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F17666B"/>
    <w:multiLevelType w:val="hybridMultilevel"/>
    <w:tmpl w:val="98824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0DC4F4E"/>
    <w:multiLevelType w:val="hybridMultilevel"/>
    <w:tmpl w:val="395A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2AA7AAC"/>
    <w:multiLevelType w:val="hybridMultilevel"/>
    <w:tmpl w:val="8104D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7">
    <w:nsid w:val="5481146A"/>
    <w:multiLevelType w:val="hybridMultilevel"/>
    <w:tmpl w:val="D968EECC"/>
    <w:lvl w:ilvl="0" w:tplc="DD50F8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50">
    <w:nsid w:val="59D22079"/>
    <w:multiLevelType w:val="hybridMultilevel"/>
    <w:tmpl w:val="01EAB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2">
    <w:nsid w:val="5AF36D84"/>
    <w:multiLevelType w:val="hybridMultilevel"/>
    <w:tmpl w:val="95186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54">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55">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57">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nsid w:val="6D81319D"/>
    <w:multiLevelType w:val="hybridMultilevel"/>
    <w:tmpl w:val="1100A25A"/>
    <w:lvl w:ilvl="0" w:tplc="DD50F8E6">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9">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6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EA8025C"/>
    <w:multiLevelType w:val="hybridMultilevel"/>
    <w:tmpl w:val="7C1CB7B8"/>
    <w:lvl w:ilvl="0" w:tplc="DD50F8E6">
      <w:start w:val="1"/>
      <w:numFmt w:val="bullet"/>
      <w:lvlText w:val=""/>
      <w:lvlJc w:val="left"/>
      <w:pPr>
        <w:ind w:left="1440" w:hanging="360"/>
      </w:pPr>
      <w:rPr>
        <w:rFonts w:ascii="Symbol" w:hAnsi="Symbol" w:hint="default"/>
      </w:rPr>
    </w:lvl>
    <w:lvl w:ilvl="1" w:tplc="EB5E0138">
      <w:numFmt w:val="bullet"/>
      <w:lvlText w:val="-"/>
      <w:lvlJc w:val="left"/>
      <w:pPr>
        <w:ind w:left="2160" w:hanging="360"/>
      </w:pPr>
      <w:rPr>
        <w:rFonts w:ascii="Arial" w:eastAsia="Times New Roman" w:hAnsi="Arial" w:cs="Arial"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2">
    <w:nsid w:val="6F206ABE"/>
    <w:multiLevelType w:val="hybridMultilevel"/>
    <w:tmpl w:val="A1781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3">
    <w:nsid w:val="6F573C36"/>
    <w:multiLevelType w:val="hybridMultilevel"/>
    <w:tmpl w:val="02ACB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90800ABC">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5">
    <w:nsid w:val="754A5CC6"/>
    <w:multiLevelType w:val="hybridMultilevel"/>
    <w:tmpl w:val="A6707ED0"/>
    <w:lvl w:ilvl="0" w:tplc="B2D8B5D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67">
    <w:nsid w:val="7B20463B"/>
    <w:multiLevelType w:val="hybridMultilevel"/>
    <w:tmpl w:val="16169924"/>
    <w:lvl w:ilvl="0" w:tplc="DD50F8E6">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8">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26"/>
  </w:num>
  <w:num w:numId="2">
    <w:abstractNumId w:val="31"/>
  </w:num>
  <w:num w:numId="3">
    <w:abstractNumId w:val="22"/>
  </w:num>
  <w:num w:numId="4">
    <w:abstractNumId w:val="45"/>
  </w:num>
  <w:num w:numId="5">
    <w:abstractNumId w:val="48"/>
  </w:num>
  <w:num w:numId="6">
    <w:abstractNumId w:val="1"/>
  </w:num>
  <w:num w:numId="7">
    <w:abstractNumId w:val="1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6"/>
  </w:num>
  <w:num w:numId="1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1"/>
  </w:num>
  <w:num w:numId="13">
    <w:abstractNumId w:val="55"/>
  </w:num>
  <w:num w:numId="14">
    <w:abstractNumId w:val="40"/>
  </w:num>
  <w:num w:numId="15">
    <w:abstractNumId w:val="21"/>
  </w:num>
  <w:num w:numId="16">
    <w:abstractNumId w:val="2"/>
  </w:num>
  <w:num w:numId="17">
    <w:abstractNumId w:val="24"/>
  </w:num>
  <w:num w:numId="18">
    <w:abstractNumId w:val="25"/>
  </w:num>
  <w:num w:numId="19">
    <w:abstractNumId w:val="27"/>
  </w:num>
  <w:num w:numId="20">
    <w:abstractNumId w:val="49"/>
  </w:num>
  <w:num w:numId="21">
    <w:abstractNumId w:val="64"/>
  </w:num>
  <w:num w:numId="22">
    <w:abstractNumId w:val="46"/>
  </w:num>
  <w:num w:numId="23">
    <w:abstractNumId w:val="20"/>
  </w:num>
  <w:num w:numId="24">
    <w:abstractNumId w:val="54"/>
  </w:num>
  <w:num w:numId="25">
    <w:abstractNumId w:val="53"/>
  </w:num>
  <w:num w:numId="26">
    <w:abstractNumId w:val="34"/>
  </w:num>
  <w:num w:numId="27">
    <w:abstractNumId w:val="57"/>
  </w:num>
  <w:num w:numId="28">
    <w:abstractNumId w:val="68"/>
  </w:num>
  <w:num w:numId="29">
    <w:abstractNumId w:val="17"/>
  </w:num>
  <w:num w:numId="30">
    <w:abstractNumId w:val="9"/>
  </w:num>
  <w:num w:numId="31">
    <w:abstractNumId w:val="37"/>
  </w:num>
  <w:num w:numId="32">
    <w:abstractNumId w:val="4"/>
  </w:num>
  <w:num w:numId="33">
    <w:abstractNumId w:val="16"/>
  </w:num>
  <w:num w:numId="34">
    <w:abstractNumId w:val="35"/>
  </w:num>
  <w:num w:numId="35">
    <w:abstractNumId w:val="60"/>
  </w:num>
  <w:num w:numId="36">
    <w:abstractNumId w:val="59"/>
  </w:num>
  <w:num w:numId="37">
    <w:abstractNumId w:val="29"/>
  </w:num>
  <w:num w:numId="38">
    <w:abstractNumId w:val="63"/>
  </w:num>
  <w:num w:numId="39">
    <w:abstractNumId w:val="14"/>
  </w:num>
  <w:num w:numId="40">
    <w:abstractNumId w:val="30"/>
  </w:num>
  <w:num w:numId="41">
    <w:abstractNumId w:val="0"/>
  </w:num>
  <w:num w:numId="42">
    <w:abstractNumId w:val="42"/>
  </w:num>
  <w:num w:numId="43">
    <w:abstractNumId w:val="62"/>
  </w:num>
  <w:num w:numId="44">
    <w:abstractNumId w:val="15"/>
  </w:num>
  <w:num w:numId="45">
    <w:abstractNumId w:val="50"/>
  </w:num>
  <w:num w:numId="46">
    <w:abstractNumId w:val="7"/>
  </w:num>
  <w:num w:numId="47">
    <w:abstractNumId w:val="3"/>
  </w:num>
  <w:num w:numId="48">
    <w:abstractNumId w:val="36"/>
  </w:num>
  <w:num w:numId="49">
    <w:abstractNumId w:val="52"/>
  </w:num>
  <w:num w:numId="50">
    <w:abstractNumId w:val="44"/>
  </w:num>
  <w:num w:numId="51">
    <w:abstractNumId w:val="39"/>
  </w:num>
  <w:num w:numId="52">
    <w:abstractNumId w:val="67"/>
  </w:num>
  <w:num w:numId="53">
    <w:abstractNumId w:val="28"/>
  </w:num>
  <w:num w:numId="54">
    <w:abstractNumId w:val="61"/>
  </w:num>
  <w:num w:numId="55">
    <w:abstractNumId w:val="58"/>
  </w:num>
  <w:num w:numId="56">
    <w:abstractNumId w:val="5"/>
  </w:num>
  <w:num w:numId="57">
    <w:abstractNumId w:val="65"/>
  </w:num>
  <w:num w:numId="58">
    <w:abstractNumId w:val="6"/>
  </w:num>
  <w:num w:numId="59">
    <w:abstractNumId w:val="12"/>
  </w:num>
  <w:num w:numId="60">
    <w:abstractNumId w:val="38"/>
  </w:num>
  <w:num w:numId="61">
    <w:abstractNumId w:val="43"/>
  </w:num>
  <w:num w:numId="62">
    <w:abstractNumId w:val="19"/>
  </w:num>
  <w:num w:numId="63">
    <w:abstractNumId w:val="47"/>
  </w:num>
  <w:num w:numId="64">
    <w:abstractNumId w:val="32"/>
  </w:num>
  <w:num w:numId="65">
    <w:abstractNumId w:val="8"/>
  </w:num>
  <w:num w:numId="66">
    <w:abstractNumId w:val="10"/>
  </w:num>
  <w:num w:numId="67">
    <w:abstractNumId w:val="33"/>
  </w:num>
  <w:num w:numId="68">
    <w:abstractNumId w:val="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AKlUNSdqt1qdSJ/bXvACRVUEOFU=" w:salt="Sb/ILq8wkCk/surSLIht4A=="/>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383"/>
    <w:rsid w:val="00036FAE"/>
    <w:rsid w:val="00041858"/>
    <w:rsid w:val="0004389E"/>
    <w:rsid w:val="00044EE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061"/>
    <w:rsid w:val="00082AB8"/>
    <w:rsid w:val="00082D8E"/>
    <w:rsid w:val="00082E31"/>
    <w:rsid w:val="00083AA3"/>
    <w:rsid w:val="00085947"/>
    <w:rsid w:val="00086898"/>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6B1"/>
    <w:rsid w:val="000A7314"/>
    <w:rsid w:val="000A7553"/>
    <w:rsid w:val="000A7B53"/>
    <w:rsid w:val="000A7B64"/>
    <w:rsid w:val="000B03A2"/>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4C2A"/>
    <w:rsid w:val="000D705D"/>
    <w:rsid w:val="000D7EB9"/>
    <w:rsid w:val="000E0223"/>
    <w:rsid w:val="000E0CF3"/>
    <w:rsid w:val="000E18A8"/>
    <w:rsid w:val="000E1AEC"/>
    <w:rsid w:val="000E3937"/>
    <w:rsid w:val="000E3A9A"/>
    <w:rsid w:val="000E4926"/>
    <w:rsid w:val="000E5F7F"/>
    <w:rsid w:val="000E7086"/>
    <w:rsid w:val="000E7C65"/>
    <w:rsid w:val="000F04D2"/>
    <w:rsid w:val="000F55B7"/>
    <w:rsid w:val="000F5776"/>
    <w:rsid w:val="000F5D6F"/>
    <w:rsid w:val="000F604F"/>
    <w:rsid w:val="000F7399"/>
    <w:rsid w:val="001027F1"/>
    <w:rsid w:val="00102F0A"/>
    <w:rsid w:val="00104F2E"/>
    <w:rsid w:val="001072DD"/>
    <w:rsid w:val="00107DA2"/>
    <w:rsid w:val="00110D7A"/>
    <w:rsid w:val="00111464"/>
    <w:rsid w:val="0011167D"/>
    <w:rsid w:val="00112892"/>
    <w:rsid w:val="00112E48"/>
    <w:rsid w:val="001130EA"/>
    <w:rsid w:val="00114259"/>
    <w:rsid w:val="001168B2"/>
    <w:rsid w:val="00117C20"/>
    <w:rsid w:val="00120F0E"/>
    <w:rsid w:val="00121BED"/>
    <w:rsid w:val="00122FF9"/>
    <w:rsid w:val="00123D39"/>
    <w:rsid w:val="001244CD"/>
    <w:rsid w:val="0012566F"/>
    <w:rsid w:val="001262B1"/>
    <w:rsid w:val="00126C71"/>
    <w:rsid w:val="00130F41"/>
    <w:rsid w:val="00130FAF"/>
    <w:rsid w:val="001327B9"/>
    <w:rsid w:val="00135F2B"/>
    <w:rsid w:val="001372DD"/>
    <w:rsid w:val="001405BA"/>
    <w:rsid w:val="00141497"/>
    <w:rsid w:val="0014253A"/>
    <w:rsid w:val="001425C8"/>
    <w:rsid w:val="001431AE"/>
    <w:rsid w:val="00143B87"/>
    <w:rsid w:val="001459E3"/>
    <w:rsid w:val="00146A0B"/>
    <w:rsid w:val="0014761E"/>
    <w:rsid w:val="00151907"/>
    <w:rsid w:val="0015218C"/>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CDF"/>
    <w:rsid w:val="00182F7C"/>
    <w:rsid w:val="001843B5"/>
    <w:rsid w:val="00186829"/>
    <w:rsid w:val="001868CA"/>
    <w:rsid w:val="00187304"/>
    <w:rsid w:val="001875BE"/>
    <w:rsid w:val="0019017A"/>
    <w:rsid w:val="00190B8C"/>
    <w:rsid w:val="00190FF8"/>
    <w:rsid w:val="00192EAF"/>
    <w:rsid w:val="0019311A"/>
    <w:rsid w:val="0019508A"/>
    <w:rsid w:val="001960D8"/>
    <w:rsid w:val="001A1642"/>
    <w:rsid w:val="001A371B"/>
    <w:rsid w:val="001A4766"/>
    <w:rsid w:val="001A5E5C"/>
    <w:rsid w:val="001A6A0D"/>
    <w:rsid w:val="001A6C51"/>
    <w:rsid w:val="001A6C6B"/>
    <w:rsid w:val="001A6FAA"/>
    <w:rsid w:val="001A7D73"/>
    <w:rsid w:val="001B0363"/>
    <w:rsid w:val="001B1355"/>
    <w:rsid w:val="001B3138"/>
    <w:rsid w:val="001B4E4B"/>
    <w:rsid w:val="001B4EA1"/>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BEE"/>
    <w:rsid w:val="001D3FB6"/>
    <w:rsid w:val="001D4550"/>
    <w:rsid w:val="001D5498"/>
    <w:rsid w:val="001D5BAF"/>
    <w:rsid w:val="001D6401"/>
    <w:rsid w:val="001D66C9"/>
    <w:rsid w:val="001D722A"/>
    <w:rsid w:val="001E04FC"/>
    <w:rsid w:val="001E407D"/>
    <w:rsid w:val="001E40FB"/>
    <w:rsid w:val="001E66EC"/>
    <w:rsid w:val="001E68C5"/>
    <w:rsid w:val="001F09E8"/>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495"/>
    <w:rsid w:val="00220561"/>
    <w:rsid w:val="00220CE4"/>
    <w:rsid w:val="00222D9B"/>
    <w:rsid w:val="00223788"/>
    <w:rsid w:val="00223A75"/>
    <w:rsid w:val="00223D11"/>
    <w:rsid w:val="002242D3"/>
    <w:rsid w:val="0022681F"/>
    <w:rsid w:val="002301E6"/>
    <w:rsid w:val="00232F90"/>
    <w:rsid w:val="00233B08"/>
    <w:rsid w:val="00233C3B"/>
    <w:rsid w:val="0023499C"/>
    <w:rsid w:val="00235CE3"/>
    <w:rsid w:val="0023636A"/>
    <w:rsid w:val="00236F34"/>
    <w:rsid w:val="002372F7"/>
    <w:rsid w:val="00240651"/>
    <w:rsid w:val="00240803"/>
    <w:rsid w:val="0024426D"/>
    <w:rsid w:val="00244D57"/>
    <w:rsid w:val="00244F1D"/>
    <w:rsid w:val="00245004"/>
    <w:rsid w:val="0024548E"/>
    <w:rsid w:val="00245FB4"/>
    <w:rsid w:val="002466E0"/>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95E97"/>
    <w:rsid w:val="002A0C82"/>
    <w:rsid w:val="002A0CD8"/>
    <w:rsid w:val="002A13EB"/>
    <w:rsid w:val="002A35EF"/>
    <w:rsid w:val="002A3DE0"/>
    <w:rsid w:val="002A40EA"/>
    <w:rsid w:val="002A46E8"/>
    <w:rsid w:val="002A491C"/>
    <w:rsid w:val="002B00C3"/>
    <w:rsid w:val="002B1FEF"/>
    <w:rsid w:val="002B2DF8"/>
    <w:rsid w:val="002B2E33"/>
    <w:rsid w:val="002B354F"/>
    <w:rsid w:val="002B3614"/>
    <w:rsid w:val="002B45D1"/>
    <w:rsid w:val="002B4ED8"/>
    <w:rsid w:val="002B4FAA"/>
    <w:rsid w:val="002B52C2"/>
    <w:rsid w:val="002B7656"/>
    <w:rsid w:val="002C1492"/>
    <w:rsid w:val="002C1E8B"/>
    <w:rsid w:val="002C2B1C"/>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37E"/>
    <w:rsid w:val="002E1517"/>
    <w:rsid w:val="002E1B22"/>
    <w:rsid w:val="002E387F"/>
    <w:rsid w:val="002E6C3D"/>
    <w:rsid w:val="002E7F4B"/>
    <w:rsid w:val="002F0C91"/>
    <w:rsid w:val="002F0E3E"/>
    <w:rsid w:val="002F1B19"/>
    <w:rsid w:val="002F1FBF"/>
    <w:rsid w:val="002F2662"/>
    <w:rsid w:val="002F4139"/>
    <w:rsid w:val="00300624"/>
    <w:rsid w:val="00300F56"/>
    <w:rsid w:val="00301006"/>
    <w:rsid w:val="00304A71"/>
    <w:rsid w:val="003066C8"/>
    <w:rsid w:val="0030739D"/>
    <w:rsid w:val="00307AFB"/>
    <w:rsid w:val="00307DD6"/>
    <w:rsid w:val="00311184"/>
    <w:rsid w:val="00312675"/>
    <w:rsid w:val="00314013"/>
    <w:rsid w:val="00314945"/>
    <w:rsid w:val="00315389"/>
    <w:rsid w:val="00315746"/>
    <w:rsid w:val="00315E96"/>
    <w:rsid w:val="003173E9"/>
    <w:rsid w:val="00317FC8"/>
    <w:rsid w:val="003223D7"/>
    <w:rsid w:val="003227E9"/>
    <w:rsid w:val="00323D9F"/>
    <w:rsid w:val="00324743"/>
    <w:rsid w:val="00324FDB"/>
    <w:rsid w:val="00325F48"/>
    <w:rsid w:val="00331463"/>
    <w:rsid w:val="0033194F"/>
    <w:rsid w:val="00332304"/>
    <w:rsid w:val="00332406"/>
    <w:rsid w:val="00332D8D"/>
    <w:rsid w:val="003338CD"/>
    <w:rsid w:val="0033550D"/>
    <w:rsid w:val="00336B56"/>
    <w:rsid w:val="00341B25"/>
    <w:rsid w:val="00341EC0"/>
    <w:rsid w:val="0034240C"/>
    <w:rsid w:val="00344496"/>
    <w:rsid w:val="00345968"/>
    <w:rsid w:val="00347667"/>
    <w:rsid w:val="003507E2"/>
    <w:rsid w:val="003522B2"/>
    <w:rsid w:val="0035455E"/>
    <w:rsid w:val="00354A6F"/>
    <w:rsid w:val="00354B48"/>
    <w:rsid w:val="00355789"/>
    <w:rsid w:val="00357D18"/>
    <w:rsid w:val="003609B6"/>
    <w:rsid w:val="00361119"/>
    <w:rsid w:val="0036328C"/>
    <w:rsid w:val="0036538D"/>
    <w:rsid w:val="00365D12"/>
    <w:rsid w:val="0037018D"/>
    <w:rsid w:val="00370AF4"/>
    <w:rsid w:val="00371E3C"/>
    <w:rsid w:val="00372299"/>
    <w:rsid w:val="00372F02"/>
    <w:rsid w:val="00373729"/>
    <w:rsid w:val="00373C91"/>
    <w:rsid w:val="00374576"/>
    <w:rsid w:val="003748F0"/>
    <w:rsid w:val="003755C6"/>
    <w:rsid w:val="00375AEF"/>
    <w:rsid w:val="00376367"/>
    <w:rsid w:val="00376B02"/>
    <w:rsid w:val="0037733A"/>
    <w:rsid w:val="003776DC"/>
    <w:rsid w:val="003779C1"/>
    <w:rsid w:val="00380FEC"/>
    <w:rsid w:val="00381226"/>
    <w:rsid w:val="00381B1B"/>
    <w:rsid w:val="00381FF6"/>
    <w:rsid w:val="00383D7D"/>
    <w:rsid w:val="00384C0B"/>
    <w:rsid w:val="00384CCE"/>
    <w:rsid w:val="003865E5"/>
    <w:rsid w:val="00391270"/>
    <w:rsid w:val="003926C1"/>
    <w:rsid w:val="00392900"/>
    <w:rsid w:val="00393357"/>
    <w:rsid w:val="00393754"/>
    <w:rsid w:val="00395E7B"/>
    <w:rsid w:val="00395F4C"/>
    <w:rsid w:val="00397415"/>
    <w:rsid w:val="003A0987"/>
    <w:rsid w:val="003A5DAC"/>
    <w:rsid w:val="003A6591"/>
    <w:rsid w:val="003A6E9A"/>
    <w:rsid w:val="003B08C8"/>
    <w:rsid w:val="003B2567"/>
    <w:rsid w:val="003B36D5"/>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B22"/>
    <w:rsid w:val="003D6FCB"/>
    <w:rsid w:val="003D7A0B"/>
    <w:rsid w:val="003E0F84"/>
    <w:rsid w:val="003E1FF3"/>
    <w:rsid w:val="003E3ACA"/>
    <w:rsid w:val="003E50EA"/>
    <w:rsid w:val="003E61BB"/>
    <w:rsid w:val="003E68C7"/>
    <w:rsid w:val="003E79B0"/>
    <w:rsid w:val="003F0403"/>
    <w:rsid w:val="003F1094"/>
    <w:rsid w:val="003F2E45"/>
    <w:rsid w:val="003F3EFE"/>
    <w:rsid w:val="003F40B8"/>
    <w:rsid w:val="003F5C06"/>
    <w:rsid w:val="00400195"/>
    <w:rsid w:val="0040254B"/>
    <w:rsid w:val="00402D10"/>
    <w:rsid w:val="00403086"/>
    <w:rsid w:val="00403460"/>
    <w:rsid w:val="004040FF"/>
    <w:rsid w:val="00404284"/>
    <w:rsid w:val="004042C4"/>
    <w:rsid w:val="00406E90"/>
    <w:rsid w:val="00407274"/>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753"/>
    <w:rsid w:val="00434A74"/>
    <w:rsid w:val="00437929"/>
    <w:rsid w:val="00437A4A"/>
    <w:rsid w:val="00440541"/>
    <w:rsid w:val="0044162D"/>
    <w:rsid w:val="0044277A"/>
    <w:rsid w:val="004456DC"/>
    <w:rsid w:val="00447BF4"/>
    <w:rsid w:val="00447FBE"/>
    <w:rsid w:val="0045035E"/>
    <w:rsid w:val="0045175A"/>
    <w:rsid w:val="00451ED9"/>
    <w:rsid w:val="00452180"/>
    <w:rsid w:val="00453072"/>
    <w:rsid w:val="004539F8"/>
    <w:rsid w:val="00453F26"/>
    <w:rsid w:val="0045503F"/>
    <w:rsid w:val="00455273"/>
    <w:rsid w:val="00460905"/>
    <w:rsid w:val="00461E35"/>
    <w:rsid w:val="004621DB"/>
    <w:rsid w:val="00462F6B"/>
    <w:rsid w:val="004634A7"/>
    <w:rsid w:val="00463787"/>
    <w:rsid w:val="00466926"/>
    <w:rsid w:val="00466FDA"/>
    <w:rsid w:val="004671D0"/>
    <w:rsid w:val="004674D1"/>
    <w:rsid w:val="00470773"/>
    <w:rsid w:val="00471DD8"/>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289"/>
    <w:rsid w:val="004C2654"/>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6C56"/>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DD6"/>
    <w:rsid w:val="00503F59"/>
    <w:rsid w:val="005049A7"/>
    <w:rsid w:val="005053B2"/>
    <w:rsid w:val="00506331"/>
    <w:rsid w:val="00507D11"/>
    <w:rsid w:val="00510662"/>
    <w:rsid w:val="005109B7"/>
    <w:rsid w:val="00510A19"/>
    <w:rsid w:val="00511AAB"/>
    <w:rsid w:val="00514D10"/>
    <w:rsid w:val="005152DC"/>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39B7"/>
    <w:rsid w:val="005441D4"/>
    <w:rsid w:val="00545157"/>
    <w:rsid w:val="00545E45"/>
    <w:rsid w:val="0054672D"/>
    <w:rsid w:val="00550F4E"/>
    <w:rsid w:val="00551F59"/>
    <w:rsid w:val="005532B5"/>
    <w:rsid w:val="00553DF1"/>
    <w:rsid w:val="00554A05"/>
    <w:rsid w:val="00555849"/>
    <w:rsid w:val="005559A8"/>
    <w:rsid w:val="00556465"/>
    <w:rsid w:val="00557048"/>
    <w:rsid w:val="005578A7"/>
    <w:rsid w:val="00557FB5"/>
    <w:rsid w:val="00561AED"/>
    <w:rsid w:val="005648A8"/>
    <w:rsid w:val="00564DE3"/>
    <w:rsid w:val="00564E44"/>
    <w:rsid w:val="00566C6A"/>
    <w:rsid w:val="00566CE5"/>
    <w:rsid w:val="00566D36"/>
    <w:rsid w:val="00573569"/>
    <w:rsid w:val="00573871"/>
    <w:rsid w:val="0057389E"/>
    <w:rsid w:val="005744BE"/>
    <w:rsid w:val="005765C0"/>
    <w:rsid w:val="005778DE"/>
    <w:rsid w:val="005801EE"/>
    <w:rsid w:val="00580B1D"/>
    <w:rsid w:val="00580B3F"/>
    <w:rsid w:val="005825F2"/>
    <w:rsid w:val="005860AF"/>
    <w:rsid w:val="00587F1D"/>
    <w:rsid w:val="00590348"/>
    <w:rsid w:val="00590E91"/>
    <w:rsid w:val="00591161"/>
    <w:rsid w:val="00592318"/>
    <w:rsid w:val="00593133"/>
    <w:rsid w:val="0059575D"/>
    <w:rsid w:val="00596825"/>
    <w:rsid w:val="00596EC9"/>
    <w:rsid w:val="005A0F9B"/>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1B3"/>
    <w:rsid w:val="005C31D7"/>
    <w:rsid w:val="005C3C6C"/>
    <w:rsid w:val="005C3F4C"/>
    <w:rsid w:val="005C43AA"/>
    <w:rsid w:val="005C48C8"/>
    <w:rsid w:val="005C5AA7"/>
    <w:rsid w:val="005C663C"/>
    <w:rsid w:val="005D1023"/>
    <w:rsid w:val="005D148F"/>
    <w:rsid w:val="005D2AD2"/>
    <w:rsid w:val="005D4A86"/>
    <w:rsid w:val="005D5EB1"/>
    <w:rsid w:val="005D6A29"/>
    <w:rsid w:val="005E0481"/>
    <w:rsid w:val="005E10BF"/>
    <w:rsid w:val="005E1834"/>
    <w:rsid w:val="005E2B23"/>
    <w:rsid w:val="005E49E5"/>
    <w:rsid w:val="005E5481"/>
    <w:rsid w:val="005E55E4"/>
    <w:rsid w:val="005E5ECC"/>
    <w:rsid w:val="005E6C5F"/>
    <w:rsid w:val="005E7636"/>
    <w:rsid w:val="005F028E"/>
    <w:rsid w:val="005F04B4"/>
    <w:rsid w:val="005F11A4"/>
    <w:rsid w:val="005F19F8"/>
    <w:rsid w:val="005F3FB1"/>
    <w:rsid w:val="005F5ACF"/>
    <w:rsid w:val="005F60DC"/>
    <w:rsid w:val="005F6203"/>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16B2"/>
    <w:rsid w:val="0061263A"/>
    <w:rsid w:val="00612C41"/>
    <w:rsid w:val="006145DE"/>
    <w:rsid w:val="0061478E"/>
    <w:rsid w:val="00614F25"/>
    <w:rsid w:val="00616A11"/>
    <w:rsid w:val="00616B9B"/>
    <w:rsid w:val="00617520"/>
    <w:rsid w:val="00620D7C"/>
    <w:rsid w:val="00621089"/>
    <w:rsid w:val="00621B96"/>
    <w:rsid w:val="00621E1F"/>
    <w:rsid w:val="006228B2"/>
    <w:rsid w:val="006228E1"/>
    <w:rsid w:val="00622E32"/>
    <w:rsid w:val="00623688"/>
    <w:rsid w:val="006247E0"/>
    <w:rsid w:val="00625F82"/>
    <w:rsid w:val="00627999"/>
    <w:rsid w:val="00630FF7"/>
    <w:rsid w:val="00631495"/>
    <w:rsid w:val="00633433"/>
    <w:rsid w:val="006341B5"/>
    <w:rsid w:val="006346C9"/>
    <w:rsid w:val="00634727"/>
    <w:rsid w:val="00634B64"/>
    <w:rsid w:val="0063578C"/>
    <w:rsid w:val="0063642C"/>
    <w:rsid w:val="0063681E"/>
    <w:rsid w:val="00636FF9"/>
    <w:rsid w:val="00640DCD"/>
    <w:rsid w:val="00641031"/>
    <w:rsid w:val="00641B12"/>
    <w:rsid w:val="00641DC3"/>
    <w:rsid w:val="00642972"/>
    <w:rsid w:val="00644F4D"/>
    <w:rsid w:val="006469B1"/>
    <w:rsid w:val="00646AE4"/>
    <w:rsid w:val="00646C0D"/>
    <w:rsid w:val="006476F7"/>
    <w:rsid w:val="0064779E"/>
    <w:rsid w:val="006501FA"/>
    <w:rsid w:val="0065057B"/>
    <w:rsid w:val="006509B0"/>
    <w:rsid w:val="006521F3"/>
    <w:rsid w:val="006524D5"/>
    <w:rsid w:val="00652BBD"/>
    <w:rsid w:val="00653633"/>
    <w:rsid w:val="00653F69"/>
    <w:rsid w:val="00654936"/>
    <w:rsid w:val="00655485"/>
    <w:rsid w:val="006558B3"/>
    <w:rsid w:val="00660BF0"/>
    <w:rsid w:val="0066189C"/>
    <w:rsid w:val="006630CF"/>
    <w:rsid w:val="00663EFF"/>
    <w:rsid w:val="00664F9A"/>
    <w:rsid w:val="00666F74"/>
    <w:rsid w:val="00667FEA"/>
    <w:rsid w:val="006710D2"/>
    <w:rsid w:val="00671A8B"/>
    <w:rsid w:val="00671F53"/>
    <w:rsid w:val="006725A0"/>
    <w:rsid w:val="0067555E"/>
    <w:rsid w:val="00677FAD"/>
    <w:rsid w:val="006802DE"/>
    <w:rsid w:val="0068032D"/>
    <w:rsid w:val="0068068C"/>
    <w:rsid w:val="00681115"/>
    <w:rsid w:val="0068370A"/>
    <w:rsid w:val="00683920"/>
    <w:rsid w:val="00685147"/>
    <w:rsid w:val="00685653"/>
    <w:rsid w:val="0068590D"/>
    <w:rsid w:val="00685A89"/>
    <w:rsid w:val="006861B3"/>
    <w:rsid w:val="00686FA2"/>
    <w:rsid w:val="006870C5"/>
    <w:rsid w:val="00690F0E"/>
    <w:rsid w:val="006911C0"/>
    <w:rsid w:val="00691B7C"/>
    <w:rsid w:val="00691FA4"/>
    <w:rsid w:val="00692EF9"/>
    <w:rsid w:val="00694B73"/>
    <w:rsid w:val="00694DF2"/>
    <w:rsid w:val="00695076"/>
    <w:rsid w:val="00695F80"/>
    <w:rsid w:val="006966CD"/>
    <w:rsid w:val="00696735"/>
    <w:rsid w:val="0069780E"/>
    <w:rsid w:val="00697D13"/>
    <w:rsid w:val="006A2CA2"/>
    <w:rsid w:val="006A392C"/>
    <w:rsid w:val="006A59B0"/>
    <w:rsid w:val="006B225F"/>
    <w:rsid w:val="006B2A9F"/>
    <w:rsid w:val="006B2D40"/>
    <w:rsid w:val="006B34DF"/>
    <w:rsid w:val="006B39B2"/>
    <w:rsid w:val="006B3AF9"/>
    <w:rsid w:val="006B45A0"/>
    <w:rsid w:val="006B5668"/>
    <w:rsid w:val="006B5F71"/>
    <w:rsid w:val="006B62B9"/>
    <w:rsid w:val="006B6E44"/>
    <w:rsid w:val="006B7059"/>
    <w:rsid w:val="006B7287"/>
    <w:rsid w:val="006B7F2E"/>
    <w:rsid w:val="006C050C"/>
    <w:rsid w:val="006C0BF8"/>
    <w:rsid w:val="006C2253"/>
    <w:rsid w:val="006C2CCB"/>
    <w:rsid w:val="006C4334"/>
    <w:rsid w:val="006C4B0F"/>
    <w:rsid w:val="006C5E96"/>
    <w:rsid w:val="006D05A3"/>
    <w:rsid w:val="006D399F"/>
    <w:rsid w:val="006D3F4A"/>
    <w:rsid w:val="006D4F0C"/>
    <w:rsid w:val="006D5645"/>
    <w:rsid w:val="006D58BE"/>
    <w:rsid w:val="006E0C8A"/>
    <w:rsid w:val="006E2A23"/>
    <w:rsid w:val="006E35E5"/>
    <w:rsid w:val="006E3C72"/>
    <w:rsid w:val="006E4F20"/>
    <w:rsid w:val="006E649A"/>
    <w:rsid w:val="006E7F66"/>
    <w:rsid w:val="006F08DC"/>
    <w:rsid w:val="006F1F7C"/>
    <w:rsid w:val="006F3948"/>
    <w:rsid w:val="006F4403"/>
    <w:rsid w:val="006F45EC"/>
    <w:rsid w:val="006F47B8"/>
    <w:rsid w:val="006F47D2"/>
    <w:rsid w:val="006F4B04"/>
    <w:rsid w:val="006F5456"/>
    <w:rsid w:val="006F57F2"/>
    <w:rsid w:val="006F6468"/>
    <w:rsid w:val="006F6C9D"/>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38C"/>
    <w:rsid w:val="00727F73"/>
    <w:rsid w:val="00730705"/>
    <w:rsid w:val="00730944"/>
    <w:rsid w:val="0073248E"/>
    <w:rsid w:val="00733EE9"/>
    <w:rsid w:val="00735B8E"/>
    <w:rsid w:val="0073673C"/>
    <w:rsid w:val="00736935"/>
    <w:rsid w:val="007373E4"/>
    <w:rsid w:val="00743DE7"/>
    <w:rsid w:val="0074509E"/>
    <w:rsid w:val="007450B4"/>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11B"/>
    <w:rsid w:val="00766F4D"/>
    <w:rsid w:val="00770268"/>
    <w:rsid w:val="007702A1"/>
    <w:rsid w:val="007706B9"/>
    <w:rsid w:val="007707ED"/>
    <w:rsid w:val="00771C3B"/>
    <w:rsid w:val="007726F9"/>
    <w:rsid w:val="00773B94"/>
    <w:rsid w:val="00773C65"/>
    <w:rsid w:val="00775937"/>
    <w:rsid w:val="00775D2F"/>
    <w:rsid w:val="00777046"/>
    <w:rsid w:val="007770DA"/>
    <w:rsid w:val="007805B9"/>
    <w:rsid w:val="00780C3A"/>
    <w:rsid w:val="00782803"/>
    <w:rsid w:val="007834A1"/>
    <w:rsid w:val="0079123D"/>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B6D7E"/>
    <w:rsid w:val="007C02B0"/>
    <w:rsid w:val="007C063E"/>
    <w:rsid w:val="007C1901"/>
    <w:rsid w:val="007C29E8"/>
    <w:rsid w:val="007C49C0"/>
    <w:rsid w:val="007C55C1"/>
    <w:rsid w:val="007C567B"/>
    <w:rsid w:val="007C5738"/>
    <w:rsid w:val="007C5772"/>
    <w:rsid w:val="007C5AC3"/>
    <w:rsid w:val="007C7233"/>
    <w:rsid w:val="007D10EE"/>
    <w:rsid w:val="007D1193"/>
    <w:rsid w:val="007D21D5"/>
    <w:rsid w:val="007D3E8D"/>
    <w:rsid w:val="007D5915"/>
    <w:rsid w:val="007D5B4F"/>
    <w:rsid w:val="007D5C30"/>
    <w:rsid w:val="007D663A"/>
    <w:rsid w:val="007E0660"/>
    <w:rsid w:val="007E1411"/>
    <w:rsid w:val="007E1882"/>
    <w:rsid w:val="007E1BB4"/>
    <w:rsid w:val="007E2302"/>
    <w:rsid w:val="007E3514"/>
    <w:rsid w:val="007E4AAA"/>
    <w:rsid w:val="007E4BD2"/>
    <w:rsid w:val="007E4C29"/>
    <w:rsid w:val="007E5E44"/>
    <w:rsid w:val="007F0DDA"/>
    <w:rsid w:val="007F113B"/>
    <w:rsid w:val="007F1939"/>
    <w:rsid w:val="007F1C29"/>
    <w:rsid w:val="007F365C"/>
    <w:rsid w:val="007F450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39A"/>
    <w:rsid w:val="0083497C"/>
    <w:rsid w:val="008352A6"/>
    <w:rsid w:val="00835B5B"/>
    <w:rsid w:val="008367AE"/>
    <w:rsid w:val="00836E50"/>
    <w:rsid w:val="00840477"/>
    <w:rsid w:val="0084121D"/>
    <w:rsid w:val="008419C1"/>
    <w:rsid w:val="00844515"/>
    <w:rsid w:val="0084465A"/>
    <w:rsid w:val="00844A4D"/>
    <w:rsid w:val="00844DFF"/>
    <w:rsid w:val="00845D87"/>
    <w:rsid w:val="00846C3A"/>
    <w:rsid w:val="00847775"/>
    <w:rsid w:val="008477BF"/>
    <w:rsid w:val="0085009A"/>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06E3"/>
    <w:rsid w:val="0088244C"/>
    <w:rsid w:val="00883367"/>
    <w:rsid w:val="00884C47"/>
    <w:rsid w:val="00885E6F"/>
    <w:rsid w:val="008861AC"/>
    <w:rsid w:val="008868E4"/>
    <w:rsid w:val="00886A60"/>
    <w:rsid w:val="0088759B"/>
    <w:rsid w:val="008909B4"/>
    <w:rsid w:val="008922E8"/>
    <w:rsid w:val="00893916"/>
    <w:rsid w:val="0089442C"/>
    <w:rsid w:val="00895818"/>
    <w:rsid w:val="008A03EA"/>
    <w:rsid w:val="008A2585"/>
    <w:rsid w:val="008A2718"/>
    <w:rsid w:val="008A4CF6"/>
    <w:rsid w:val="008A4E42"/>
    <w:rsid w:val="008A51AA"/>
    <w:rsid w:val="008A6A12"/>
    <w:rsid w:val="008B0DC6"/>
    <w:rsid w:val="008B2B9E"/>
    <w:rsid w:val="008B31F5"/>
    <w:rsid w:val="008B4C79"/>
    <w:rsid w:val="008B5D2D"/>
    <w:rsid w:val="008B6361"/>
    <w:rsid w:val="008C0320"/>
    <w:rsid w:val="008C0494"/>
    <w:rsid w:val="008C2A81"/>
    <w:rsid w:val="008C3863"/>
    <w:rsid w:val="008C4BDC"/>
    <w:rsid w:val="008C50FF"/>
    <w:rsid w:val="008C5435"/>
    <w:rsid w:val="008C6BD1"/>
    <w:rsid w:val="008D2DB5"/>
    <w:rsid w:val="008D3F10"/>
    <w:rsid w:val="008D611D"/>
    <w:rsid w:val="008E1B6A"/>
    <w:rsid w:val="008E2F12"/>
    <w:rsid w:val="008E3054"/>
    <w:rsid w:val="008E32FF"/>
    <w:rsid w:val="008E5625"/>
    <w:rsid w:val="008E5C5B"/>
    <w:rsid w:val="008E6A37"/>
    <w:rsid w:val="008F0354"/>
    <w:rsid w:val="008F085A"/>
    <w:rsid w:val="008F1462"/>
    <w:rsid w:val="008F1A6F"/>
    <w:rsid w:val="008F2413"/>
    <w:rsid w:val="008F248D"/>
    <w:rsid w:val="008F27B0"/>
    <w:rsid w:val="008F4B2C"/>
    <w:rsid w:val="008F4C08"/>
    <w:rsid w:val="008F6851"/>
    <w:rsid w:val="008F7BC4"/>
    <w:rsid w:val="00900562"/>
    <w:rsid w:val="00900E7A"/>
    <w:rsid w:val="00903E11"/>
    <w:rsid w:val="00903EBE"/>
    <w:rsid w:val="009041DE"/>
    <w:rsid w:val="0090508C"/>
    <w:rsid w:val="00905D59"/>
    <w:rsid w:val="009062CA"/>
    <w:rsid w:val="00907631"/>
    <w:rsid w:val="00907776"/>
    <w:rsid w:val="00912B3E"/>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43AD"/>
    <w:rsid w:val="009360F6"/>
    <w:rsid w:val="009371DC"/>
    <w:rsid w:val="0093759D"/>
    <w:rsid w:val="00940239"/>
    <w:rsid w:val="00942BD6"/>
    <w:rsid w:val="00942DED"/>
    <w:rsid w:val="00944404"/>
    <w:rsid w:val="009452D7"/>
    <w:rsid w:val="00945FD1"/>
    <w:rsid w:val="00946CCC"/>
    <w:rsid w:val="009503E5"/>
    <w:rsid w:val="00950F71"/>
    <w:rsid w:val="00952103"/>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6B12"/>
    <w:rsid w:val="00967CE2"/>
    <w:rsid w:val="00971DA3"/>
    <w:rsid w:val="00972161"/>
    <w:rsid w:val="0097261B"/>
    <w:rsid w:val="00974881"/>
    <w:rsid w:val="0097606C"/>
    <w:rsid w:val="009771D1"/>
    <w:rsid w:val="0098012D"/>
    <w:rsid w:val="009803AD"/>
    <w:rsid w:val="00980845"/>
    <w:rsid w:val="00981BD9"/>
    <w:rsid w:val="0098225F"/>
    <w:rsid w:val="00983A3C"/>
    <w:rsid w:val="00983EFA"/>
    <w:rsid w:val="00984C15"/>
    <w:rsid w:val="0098523B"/>
    <w:rsid w:val="00987829"/>
    <w:rsid w:val="00991276"/>
    <w:rsid w:val="009923E7"/>
    <w:rsid w:val="00992697"/>
    <w:rsid w:val="00992D4E"/>
    <w:rsid w:val="00994621"/>
    <w:rsid w:val="009947FF"/>
    <w:rsid w:val="00994A21"/>
    <w:rsid w:val="0099544B"/>
    <w:rsid w:val="009A07A6"/>
    <w:rsid w:val="009A0D56"/>
    <w:rsid w:val="009A31B9"/>
    <w:rsid w:val="009A4D4F"/>
    <w:rsid w:val="009A53D8"/>
    <w:rsid w:val="009A590C"/>
    <w:rsid w:val="009A597F"/>
    <w:rsid w:val="009A7B72"/>
    <w:rsid w:val="009A7F49"/>
    <w:rsid w:val="009B03C4"/>
    <w:rsid w:val="009B0AA2"/>
    <w:rsid w:val="009B1D02"/>
    <w:rsid w:val="009B7133"/>
    <w:rsid w:val="009B7658"/>
    <w:rsid w:val="009B7CD1"/>
    <w:rsid w:val="009B7E22"/>
    <w:rsid w:val="009B7E78"/>
    <w:rsid w:val="009C0438"/>
    <w:rsid w:val="009C10FE"/>
    <w:rsid w:val="009C13BC"/>
    <w:rsid w:val="009C1CA4"/>
    <w:rsid w:val="009C2532"/>
    <w:rsid w:val="009C2BA4"/>
    <w:rsid w:val="009C3FE6"/>
    <w:rsid w:val="009C6091"/>
    <w:rsid w:val="009C634F"/>
    <w:rsid w:val="009D0219"/>
    <w:rsid w:val="009D0D55"/>
    <w:rsid w:val="009D2295"/>
    <w:rsid w:val="009D2511"/>
    <w:rsid w:val="009D3E7C"/>
    <w:rsid w:val="009D55CA"/>
    <w:rsid w:val="009D5EF0"/>
    <w:rsid w:val="009D62D6"/>
    <w:rsid w:val="009D6401"/>
    <w:rsid w:val="009D7942"/>
    <w:rsid w:val="009E0711"/>
    <w:rsid w:val="009E1917"/>
    <w:rsid w:val="009E2457"/>
    <w:rsid w:val="009E2FDB"/>
    <w:rsid w:val="009E3594"/>
    <w:rsid w:val="009E6B77"/>
    <w:rsid w:val="009E7724"/>
    <w:rsid w:val="009E7D1F"/>
    <w:rsid w:val="009F1D82"/>
    <w:rsid w:val="009F37AA"/>
    <w:rsid w:val="009F50A6"/>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77D"/>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CD4"/>
    <w:rsid w:val="00A47DE1"/>
    <w:rsid w:val="00A50847"/>
    <w:rsid w:val="00A512C7"/>
    <w:rsid w:val="00A52303"/>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1671"/>
    <w:rsid w:val="00A74F9F"/>
    <w:rsid w:val="00A750B3"/>
    <w:rsid w:val="00A75559"/>
    <w:rsid w:val="00A7623D"/>
    <w:rsid w:val="00A80205"/>
    <w:rsid w:val="00A820B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BE8"/>
    <w:rsid w:val="00AA1C09"/>
    <w:rsid w:val="00AA2D09"/>
    <w:rsid w:val="00AA2F67"/>
    <w:rsid w:val="00AA3569"/>
    <w:rsid w:val="00AA5F4C"/>
    <w:rsid w:val="00AA615C"/>
    <w:rsid w:val="00AA6711"/>
    <w:rsid w:val="00AB2AEC"/>
    <w:rsid w:val="00AB2DC1"/>
    <w:rsid w:val="00AB3102"/>
    <w:rsid w:val="00AB3D9A"/>
    <w:rsid w:val="00AB4B1D"/>
    <w:rsid w:val="00AB5638"/>
    <w:rsid w:val="00AB6B5E"/>
    <w:rsid w:val="00AC047F"/>
    <w:rsid w:val="00AC3934"/>
    <w:rsid w:val="00AC50C8"/>
    <w:rsid w:val="00AC5581"/>
    <w:rsid w:val="00AC56AD"/>
    <w:rsid w:val="00AC61BE"/>
    <w:rsid w:val="00AC7B24"/>
    <w:rsid w:val="00AD0CB4"/>
    <w:rsid w:val="00AD1FF2"/>
    <w:rsid w:val="00AD2799"/>
    <w:rsid w:val="00AD2A21"/>
    <w:rsid w:val="00AD393F"/>
    <w:rsid w:val="00AD3B43"/>
    <w:rsid w:val="00AD4FF2"/>
    <w:rsid w:val="00AD506C"/>
    <w:rsid w:val="00AD6BE5"/>
    <w:rsid w:val="00AD783E"/>
    <w:rsid w:val="00AE1393"/>
    <w:rsid w:val="00AE3BC6"/>
    <w:rsid w:val="00AE4D4F"/>
    <w:rsid w:val="00AE627C"/>
    <w:rsid w:val="00AE62B0"/>
    <w:rsid w:val="00AE68A2"/>
    <w:rsid w:val="00AE6E61"/>
    <w:rsid w:val="00AF0029"/>
    <w:rsid w:val="00AF0354"/>
    <w:rsid w:val="00AF1236"/>
    <w:rsid w:val="00AF31B7"/>
    <w:rsid w:val="00AF3C29"/>
    <w:rsid w:val="00AF4401"/>
    <w:rsid w:val="00AF4463"/>
    <w:rsid w:val="00AF53CB"/>
    <w:rsid w:val="00AF65C5"/>
    <w:rsid w:val="00B026A9"/>
    <w:rsid w:val="00B03CE2"/>
    <w:rsid w:val="00B04785"/>
    <w:rsid w:val="00B05A6E"/>
    <w:rsid w:val="00B06544"/>
    <w:rsid w:val="00B1016D"/>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2FF"/>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E43"/>
    <w:rsid w:val="00B455D1"/>
    <w:rsid w:val="00B46135"/>
    <w:rsid w:val="00B472AB"/>
    <w:rsid w:val="00B4768A"/>
    <w:rsid w:val="00B47CE4"/>
    <w:rsid w:val="00B503A8"/>
    <w:rsid w:val="00B5121D"/>
    <w:rsid w:val="00B525C0"/>
    <w:rsid w:val="00B52FAB"/>
    <w:rsid w:val="00B5319A"/>
    <w:rsid w:val="00B539F9"/>
    <w:rsid w:val="00B53E56"/>
    <w:rsid w:val="00B546C3"/>
    <w:rsid w:val="00B5491E"/>
    <w:rsid w:val="00B54BD9"/>
    <w:rsid w:val="00B5503C"/>
    <w:rsid w:val="00B55640"/>
    <w:rsid w:val="00B57107"/>
    <w:rsid w:val="00B60D27"/>
    <w:rsid w:val="00B619E4"/>
    <w:rsid w:val="00B61D0B"/>
    <w:rsid w:val="00B61E31"/>
    <w:rsid w:val="00B62B90"/>
    <w:rsid w:val="00B6439A"/>
    <w:rsid w:val="00B6443B"/>
    <w:rsid w:val="00B6517B"/>
    <w:rsid w:val="00B65E71"/>
    <w:rsid w:val="00B66C26"/>
    <w:rsid w:val="00B71FB3"/>
    <w:rsid w:val="00B72EE6"/>
    <w:rsid w:val="00B73492"/>
    <w:rsid w:val="00B73F63"/>
    <w:rsid w:val="00B747AF"/>
    <w:rsid w:val="00B7512A"/>
    <w:rsid w:val="00B76548"/>
    <w:rsid w:val="00B76BED"/>
    <w:rsid w:val="00B806E6"/>
    <w:rsid w:val="00B81818"/>
    <w:rsid w:val="00B81EC9"/>
    <w:rsid w:val="00B82DC1"/>
    <w:rsid w:val="00B835D5"/>
    <w:rsid w:val="00B84028"/>
    <w:rsid w:val="00B84307"/>
    <w:rsid w:val="00B8430D"/>
    <w:rsid w:val="00B845F1"/>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0E7E"/>
    <w:rsid w:val="00BA1354"/>
    <w:rsid w:val="00BA24F8"/>
    <w:rsid w:val="00BA31AA"/>
    <w:rsid w:val="00BA45D8"/>
    <w:rsid w:val="00BA5828"/>
    <w:rsid w:val="00BA64B3"/>
    <w:rsid w:val="00BA6EC7"/>
    <w:rsid w:val="00BA754A"/>
    <w:rsid w:val="00BA7820"/>
    <w:rsid w:val="00BA794C"/>
    <w:rsid w:val="00BB09FB"/>
    <w:rsid w:val="00BB238D"/>
    <w:rsid w:val="00BB37CC"/>
    <w:rsid w:val="00BB48C4"/>
    <w:rsid w:val="00BB622F"/>
    <w:rsid w:val="00BB6907"/>
    <w:rsid w:val="00BB6948"/>
    <w:rsid w:val="00BB7A20"/>
    <w:rsid w:val="00BC15B1"/>
    <w:rsid w:val="00BC1FEA"/>
    <w:rsid w:val="00BC31ED"/>
    <w:rsid w:val="00BC3C06"/>
    <w:rsid w:val="00BC4E8B"/>
    <w:rsid w:val="00BC5622"/>
    <w:rsid w:val="00BC5BCA"/>
    <w:rsid w:val="00BC6060"/>
    <w:rsid w:val="00BC7897"/>
    <w:rsid w:val="00BD0F35"/>
    <w:rsid w:val="00BD45A4"/>
    <w:rsid w:val="00BD4A5F"/>
    <w:rsid w:val="00BD59AA"/>
    <w:rsid w:val="00BD65E6"/>
    <w:rsid w:val="00BD6AF7"/>
    <w:rsid w:val="00BE19EF"/>
    <w:rsid w:val="00BE2E47"/>
    <w:rsid w:val="00BE425B"/>
    <w:rsid w:val="00BE51BB"/>
    <w:rsid w:val="00BE74BA"/>
    <w:rsid w:val="00BE7595"/>
    <w:rsid w:val="00BE77D3"/>
    <w:rsid w:val="00BF0138"/>
    <w:rsid w:val="00BF114B"/>
    <w:rsid w:val="00BF1620"/>
    <w:rsid w:val="00BF1AC3"/>
    <w:rsid w:val="00BF373A"/>
    <w:rsid w:val="00BF557C"/>
    <w:rsid w:val="00BF5EDF"/>
    <w:rsid w:val="00BF62D2"/>
    <w:rsid w:val="00BF6D9E"/>
    <w:rsid w:val="00BF71BB"/>
    <w:rsid w:val="00BF76F7"/>
    <w:rsid w:val="00BF7C9F"/>
    <w:rsid w:val="00C00012"/>
    <w:rsid w:val="00C000A5"/>
    <w:rsid w:val="00C005BB"/>
    <w:rsid w:val="00C006B4"/>
    <w:rsid w:val="00C00938"/>
    <w:rsid w:val="00C00E2A"/>
    <w:rsid w:val="00C025B9"/>
    <w:rsid w:val="00C044B4"/>
    <w:rsid w:val="00C05105"/>
    <w:rsid w:val="00C05A5D"/>
    <w:rsid w:val="00C0654A"/>
    <w:rsid w:val="00C06DE3"/>
    <w:rsid w:val="00C06F97"/>
    <w:rsid w:val="00C10BE6"/>
    <w:rsid w:val="00C11296"/>
    <w:rsid w:val="00C11905"/>
    <w:rsid w:val="00C119A1"/>
    <w:rsid w:val="00C1234A"/>
    <w:rsid w:val="00C12661"/>
    <w:rsid w:val="00C126E3"/>
    <w:rsid w:val="00C1330F"/>
    <w:rsid w:val="00C13ED7"/>
    <w:rsid w:val="00C14615"/>
    <w:rsid w:val="00C14F44"/>
    <w:rsid w:val="00C14F48"/>
    <w:rsid w:val="00C15296"/>
    <w:rsid w:val="00C15AA4"/>
    <w:rsid w:val="00C17750"/>
    <w:rsid w:val="00C2094B"/>
    <w:rsid w:val="00C20DC5"/>
    <w:rsid w:val="00C2294E"/>
    <w:rsid w:val="00C22A5B"/>
    <w:rsid w:val="00C23412"/>
    <w:rsid w:val="00C245F6"/>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1D97"/>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2F7"/>
    <w:rsid w:val="00C729C7"/>
    <w:rsid w:val="00C777AD"/>
    <w:rsid w:val="00C80C53"/>
    <w:rsid w:val="00C81195"/>
    <w:rsid w:val="00C82F99"/>
    <w:rsid w:val="00C84808"/>
    <w:rsid w:val="00C85387"/>
    <w:rsid w:val="00C85E52"/>
    <w:rsid w:val="00C86471"/>
    <w:rsid w:val="00C8677B"/>
    <w:rsid w:val="00C86F96"/>
    <w:rsid w:val="00C909C6"/>
    <w:rsid w:val="00C914BA"/>
    <w:rsid w:val="00C923B7"/>
    <w:rsid w:val="00C94D4C"/>
    <w:rsid w:val="00C9739C"/>
    <w:rsid w:val="00CA012C"/>
    <w:rsid w:val="00CA08B1"/>
    <w:rsid w:val="00CA0AA6"/>
    <w:rsid w:val="00CA2897"/>
    <w:rsid w:val="00CA44F3"/>
    <w:rsid w:val="00CA582C"/>
    <w:rsid w:val="00CA6077"/>
    <w:rsid w:val="00CA715B"/>
    <w:rsid w:val="00CA7988"/>
    <w:rsid w:val="00CA7BA2"/>
    <w:rsid w:val="00CB0870"/>
    <w:rsid w:val="00CB0B78"/>
    <w:rsid w:val="00CB12A5"/>
    <w:rsid w:val="00CB17FA"/>
    <w:rsid w:val="00CB23D8"/>
    <w:rsid w:val="00CB2ED9"/>
    <w:rsid w:val="00CB36A5"/>
    <w:rsid w:val="00CB56B4"/>
    <w:rsid w:val="00CB6D0C"/>
    <w:rsid w:val="00CB7286"/>
    <w:rsid w:val="00CB7947"/>
    <w:rsid w:val="00CC1783"/>
    <w:rsid w:val="00CC3B46"/>
    <w:rsid w:val="00CC3D8B"/>
    <w:rsid w:val="00CC4E27"/>
    <w:rsid w:val="00CC570C"/>
    <w:rsid w:val="00CC62B6"/>
    <w:rsid w:val="00CC76AA"/>
    <w:rsid w:val="00CC7CD2"/>
    <w:rsid w:val="00CD05CF"/>
    <w:rsid w:val="00CD1101"/>
    <w:rsid w:val="00CD1FAE"/>
    <w:rsid w:val="00CD232F"/>
    <w:rsid w:val="00CD279E"/>
    <w:rsid w:val="00CD2F92"/>
    <w:rsid w:val="00CD4EB0"/>
    <w:rsid w:val="00CD512D"/>
    <w:rsid w:val="00CD5831"/>
    <w:rsid w:val="00CD6413"/>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6EF"/>
    <w:rsid w:val="00D01BF4"/>
    <w:rsid w:val="00D0272C"/>
    <w:rsid w:val="00D045CE"/>
    <w:rsid w:val="00D05082"/>
    <w:rsid w:val="00D06163"/>
    <w:rsid w:val="00D078C9"/>
    <w:rsid w:val="00D07AFD"/>
    <w:rsid w:val="00D07ED7"/>
    <w:rsid w:val="00D11749"/>
    <w:rsid w:val="00D12A7D"/>
    <w:rsid w:val="00D13AB0"/>
    <w:rsid w:val="00D1519E"/>
    <w:rsid w:val="00D152B7"/>
    <w:rsid w:val="00D16EDC"/>
    <w:rsid w:val="00D170B0"/>
    <w:rsid w:val="00D174C0"/>
    <w:rsid w:val="00D17FDE"/>
    <w:rsid w:val="00D201CB"/>
    <w:rsid w:val="00D22786"/>
    <w:rsid w:val="00D228B4"/>
    <w:rsid w:val="00D2302C"/>
    <w:rsid w:val="00D25AC4"/>
    <w:rsid w:val="00D305F6"/>
    <w:rsid w:val="00D30B25"/>
    <w:rsid w:val="00D3159F"/>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09B"/>
    <w:rsid w:val="00D4556D"/>
    <w:rsid w:val="00D458AF"/>
    <w:rsid w:val="00D4785A"/>
    <w:rsid w:val="00D511C6"/>
    <w:rsid w:val="00D5121D"/>
    <w:rsid w:val="00D516AC"/>
    <w:rsid w:val="00D521BB"/>
    <w:rsid w:val="00D5246D"/>
    <w:rsid w:val="00D52875"/>
    <w:rsid w:val="00D54050"/>
    <w:rsid w:val="00D54B8F"/>
    <w:rsid w:val="00D56AC0"/>
    <w:rsid w:val="00D6081B"/>
    <w:rsid w:val="00D6240A"/>
    <w:rsid w:val="00D63093"/>
    <w:rsid w:val="00D63599"/>
    <w:rsid w:val="00D63EBD"/>
    <w:rsid w:val="00D67101"/>
    <w:rsid w:val="00D71B45"/>
    <w:rsid w:val="00D71F8A"/>
    <w:rsid w:val="00D7414E"/>
    <w:rsid w:val="00D75603"/>
    <w:rsid w:val="00D75FEE"/>
    <w:rsid w:val="00D76933"/>
    <w:rsid w:val="00D76D88"/>
    <w:rsid w:val="00D77CC9"/>
    <w:rsid w:val="00D839B1"/>
    <w:rsid w:val="00D83D4B"/>
    <w:rsid w:val="00D871C6"/>
    <w:rsid w:val="00D91010"/>
    <w:rsid w:val="00D95051"/>
    <w:rsid w:val="00D975BF"/>
    <w:rsid w:val="00DA0FA7"/>
    <w:rsid w:val="00DA1030"/>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12"/>
    <w:rsid w:val="00DE36E7"/>
    <w:rsid w:val="00DE4AF9"/>
    <w:rsid w:val="00DE64A6"/>
    <w:rsid w:val="00DE66EB"/>
    <w:rsid w:val="00DE7035"/>
    <w:rsid w:val="00DF12E3"/>
    <w:rsid w:val="00DF1850"/>
    <w:rsid w:val="00DF3F1D"/>
    <w:rsid w:val="00DF595C"/>
    <w:rsid w:val="00DF70D0"/>
    <w:rsid w:val="00DF7EA7"/>
    <w:rsid w:val="00E04548"/>
    <w:rsid w:val="00E0484E"/>
    <w:rsid w:val="00E063F8"/>
    <w:rsid w:val="00E100AC"/>
    <w:rsid w:val="00E114D6"/>
    <w:rsid w:val="00E1166E"/>
    <w:rsid w:val="00E116D3"/>
    <w:rsid w:val="00E11DBD"/>
    <w:rsid w:val="00E13211"/>
    <w:rsid w:val="00E139EE"/>
    <w:rsid w:val="00E16FB5"/>
    <w:rsid w:val="00E179D6"/>
    <w:rsid w:val="00E21407"/>
    <w:rsid w:val="00E22668"/>
    <w:rsid w:val="00E227D3"/>
    <w:rsid w:val="00E22BFF"/>
    <w:rsid w:val="00E22CB0"/>
    <w:rsid w:val="00E23798"/>
    <w:rsid w:val="00E2585D"/>
    <w:rsid w:val="00E25DBD"/>
    <w:rsid w:val="00E25FA2"/>
    <w:rsid w:val="00E271F6"/>
    <w:rsid w:val="00E2723D"/>
    <w:rsid w:val="00E27C77"/>
    <w:rsid w:val="00E3179E"/>
    <w:rsid w:val="00E31964"/>
    <w:rsid w:val="00E32AC9"/>
    <w:rsid w:val="00E354DA"/>
    <w:rsid w:val="00E354F5"/>
    <w:rsid w:val="00E3687E"/>
    <w:rsid w:val="00E40974"/>
    <w:rsid w:val="00E40AAB"/>
    <w:rsid w:val="00E41205"/>
    <w:rsid w:val="00E41F32"/>
    <w:rsid w:val="00E42608"/>
    <w:rsid w:val="00E43536"/>
    <w:rsid w:val="00E43DA3"/>
    <w:rsid w:val="00E44B80"/>
    <w:rsid w:val="00E47430"/>
    <w:rsid w:val="00E50C34"/>
    <w:rsid w:val="00E50FB7"/>
    <w:rsid w:val="00E5199F"/>
    <w:rsid w:val="00E526DF"/>
    <w:rsid w:val="00E53C15"/>
    <w:rsid w:val="00E54EE6"/>
    <w:rsid w:val="00E5547F"/>
    <w:rsid w:val="00E56715"/>
    <w:rsid w:val="00E56C2C"/>
    <w:rsid w:val="00E57F8E"/>
    <w:rsid w:val="00E611C8"/>
    <w:rsid w:val="00E61898"/>
    <w:rsid w:val="00E6344A"/>
    <w:rsid w:val="00E64D8D"/>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1DDF"/>
    <w:rsid w:val="00EA2AEA"/>
    <w:rsid w:val="00EA332B"/>
    <w:rsid w:val="00EA3D36"/>
    <w:rsid w:val="00EA40AA"/>
    <w:rsid w:val="00EA4CF1"/>
    <w:rsid w:val="00EA57E2"/>
    <w:rsid w:val="00EA7186"/>
    <w:rsid w:val="00EB018B"/>
    <w:rsid w:val="00EB1003"/>
    <w:rsid w:val="00EB167E"/>
    <w:rsid w:val="00EB24ED"/>
    <w:rsid w:val="00EB2A00"/>
    <w:rsid w:val="00EB309B"/>
    <w:rsid w:val="00EB3AA2"/>
    <w:rsid w:val="00EB4763"/>
    <w:rsid w:val="00EB6CB7"/>
    <w:rsid w:val="00EB7016"/>
    <w:rsid w:val="00EC078B"/>
    <w:rsid w:val="00EC07A0"/>
    <w:rsid w:val="00EC08E4"/>
    <w:rsid w:val="00EC0BF9"/>
    <w:rsid w:val="00EC2918"/>
    <w:rsid w:val="00EC3CB4"/>
    <w:rsid w:val="00EC443E"/>
    <w:rsid w:val="00EC4D83"/>
    <w:rsid w:val="00EC4EEE"/>
    <w:rsid w:val="00EC634F"/>
    <w:rsid w:val="00EC63F8"/>
    <w:rsid w:val="00EC7B97"/>
    <w:rsid w:val="00ED049C"/>
    <w:rsid w:val="00ED07B7"/>
    <w:rsid w:val="00ED19D7"/>
    <w:rsid w:val="00ED2167"/>
    <w:rsid w:val="00ED351E"/>
    <w:rsid w:val="00ED4B27"/>
    <w:rsid w:val="00ED543C"/>
    <w:rsid w:val="00ED6BA4"/>
    <w:rsid w:val="00ED7DA7"/>
    <w:rsid w:val="00EE04C0"/>
    <w:rsid w:val="00EE04CF"/>
    <w:rsid w:val="00EE0598"/>
    <w:rsid w:val="00EE311C"/>
    <w:rsid w:val="00EE56FF"/>
    <w:rsid w:val="00EE5886"/>
    <w:rsid w:val="00EE5FBF"/>
    <w:rsid w:val="00EE6472"/>
    <w:rsid w:val="00EE76F2"/>
    <w:rsid w:val="00EF0769"/>
    <w:rsid w:val="00EF0D7C"/>
    <w:rsid w:val="00EF2918"/>
    <w:rsid w:val="00EF40E2"/>
    <w:rsid w:val="00EF4584"/>
    <w:rsid w:val="00EF61C1"/>
    <w:rsid w:val="00EF6E68"/>
    <w:rsid w:val="00EF76DB"/>
    <w:rsid w:val="00EF7BA4"/>
    <w:rsid w:val="00F005FD"/>
    <w:rsid w:val="00F02C04"/>
    <w:rsid w:val="00F03AF1"/>
    <w:rsid w:val="00F04BCD"/>
    <w:rsid w:val="00F05A8C"/>
    <w:rsid w:val="00F06211"/>
    <w:rsid w:val="00F10A54"/>
    <w:rsid w:val="00F123D0"/>
    <w:rsid w:val="00F13200"/>
    <w:rsid w:val="00F13411"/>
    <w:rsid w:val="00F143BA"/>
    <w:rsid w:val="00F14D98"/>
    <w:rsid w:val="00F16CED"/>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35A"/>
    <w:rsid w:val="00F3568B"/>
    <w:rsid w:val="00F377CD"/>
    <w:rsid w:val="00F40C3B"/>
    <w:rsid w:val="00F40CE0"/>
    <w:rsid w:val="00F42DBC"/>
    <w:rsid w:val="00F4308D"/>
    <w:rsid w:val="00F4362A"/>
    <w:rsid w:val="00F44012"/>
    <w:rsid w:val="00F44947"/>
    <w:rsid w:val="00F458EF"/>
    <w:rsid w:val="00F47121"/>
    <w:rsid w:val="00F4775D"/>
    <w:rsid w:val="00F504DD"/>
    <w:rsid w:val="00F5067C"/>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160"/>
    <w:rsid w:val="00F67F04"/>
    <w:rsid w:val="00F70207"/>
    <w:rsid w:val="00F702CB"/>
    <w:rsid w:val="00F71AC2"/>
    <w:rsid w:val="00F739D4"/>
    <w:rsid w:val="00F77D43"/>
    <w:rsid w:val="00F80953"/>
    <w:rsid w:val="00F81312"/>
    <w:rsid w:val="00F81B90"/>
    <w:rsid w:val="00F81E6F"/>
    <w:rsid w:val="00F82FF3"/>
    <w:rsid w:val="00F83311"/>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1BD9"/>
    <w:rsid w:val="00FA2528"/>
    <w:rsid w:val="00FA5535"/>
    <w:rsid w:val="00FA6A5C"/>
    <w:rsid w:val="00FA7206"/>
    <w:rsid w:val="00FA7EFB"/>
    <w:rsid w:val="00FB0816"/>
    <w:rsid w:val="00FB08C2"/>
    <w:rsid w:val="00FB3DD1"/>
    <w:rsid w:val="00FB51FD"/>
    <w:rsid w:val="00FB5667"/>
    <w:rsid w:val="00FB7A97"/>
    <w:rsid w:val="00FC0D99"/>
    <w:rsid w:val="00FC1B9B"/>
    <w:rsid w:val="00FC318D"/>
    <w:rsid w:val="00FC36CF"/>
    <w:rsid w:val="00FC40BC"/>
    <w:rsid w:val="00FC41FC"/>
    <w:rsid w:val="00FC4F6E"/>
    <w:rsid w:val="00FC506C"/>
    <w:rsid w:val="00FC578C"/>
    <w:rsid w:val="00FC5A37"/>
    <w:rsid w:val="00FC7841"/>
    <w:rsid w:val="00FD13EA"/>
    <w:rsid w:val="00FD29E3"/>
    <w:rsid w:val="00FD5788"/>
    <w:rsid w:val="00FD5EC4"/>
    <w:rsid w:val="00FD7858"/>
    <w:rsid w:val="00FD7A8D"/>
    <w:rsid w:val="00FE1330"/>
    <w:rsid w:val="00FE1CE5"/>
    <w:rsid w:val="00FE2832"/>
    <w:rsid w:val="00FE2883"/>
    <w:rsid w:val="00FE2D38"/>
    <w:rsid w:val="00FE3929"/>
    <w:rsid w:val="00FF097B"/>
    <w:rsid w:val="00FF0B6E"/>
    <w:rsid w:val="00FF1C1B"/>
    <w:rsid w:val="00FF2067"/>
    <w:rsid w:val="00FF3BC4"/>
    <w:rsid w:val="00FF4B66"/>
    <w:rsid w:val="00FF524F"/>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2d4491,#283583"/>
    </o:shapedefaults>
    <o:shapelayout v:ext="edit">
      <o:idmap v:ext="edit" data="1"/>
    </o:shapelayout>
  </w:shapeDefaults>
  <w:decimalSymbol w:val=","/>
  <w:listSeparator w:val=";"/>
  <w14:docId w14:val="0964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eader" Target="header4.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hyperlink" Target="http://www.esma.europa.eu" TargetMode="External"/><Relationship Id="rId14" Type="http://schemas.openxmlformats.org/officeDocument/2006/relationships/image" Target="media/image4.emf"/><Relationship Id="rId15" Type="http://schemas.openxmlformats.org/officeDocument/2006/relationships/image" Target="media/image5.png"/><Relationship Id="rId16" Type="http://schemas.openxmlformats.org/officeDocument/2006/relationships/image" Target="cid:image001.png@01D00FD9.27265D90" TargetMode="External"/><Relationship Id="rId17" Type="http://schemas.openxmlformats.org/officeDocument/2006/relationships/image" Target="media/image6.png"/><Relationship Id="rId18" Type="http://schemas.openxmlformats.org/officeDocument/2006/relationships/image" Target="cid:image002.png@01D0148C.483C1B20" TargetMode="Externa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8D81E-513A-884A-A9BD-7B0785234B07}">
  <ds:schemaRefs>
    <ds:schemaRef ds:uri="http://schemas.openxmlformats.org/officeDocument/2006/bibliography"/>
  </ds:schemaRefs>
</ds:datastoreItem>
</file>

<file path=customXml/itemProps2.xml><?xml version="1.0" encoding="utf-8"?>
<ds:datastoreItem xmlns:ds="http://schemas.openxmlformats.org/officeDocument/2006/customXml" ds:itemID="{3E92C060-A689-C744-901B-89083B237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10647</Words>
  <Characters>60694</Characters>
  <Application>Microsoft Macintosh Word</Application>
  <DocSecurity>8</DocSecurity>
  <Lines>505</Lines>
  <Paragraphs>142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71199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Rickard Ydrenäs</cp:lastModifiedBy>
  <cp:revision>3</cp:revision>
  <cp:lastPrinted>2015-08-17T07:38:00Z</cp:lastPrinted>
  <dcterms:created xsi:type="dcterms:W3CDTF">2015-08-17T13:53:00Z</dcterms:created>
  <dcterms:modified xsi:type="dcterms:W3CDTF">2015-08-17T13:55:00Z</dcterms:modified>
</cp:coreProperties>
</file>