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248" w:tblpY="15820"/>
        <w:tblOverlap w:val="never"/>
        <w:tblW w:w="9412" w:type="dxa"/>
        <w:tblCellMar>
          <w:left w:w="0" w:type="dxa"/>
          <w:right w:w="0" w:type="dxa"/>
        </w:tblCellMar>
        <w:tblLook w:val="01E0"/>
      </w:tblPr>
      <w:tblGrid>
        <w:gridCol w:w="9412"/>
      </w:tblGrid>
      <w:tr w:rsidR="00C2094B" w:rsidRPr="004E49B0" w:rsidTr="00315E96">
        <w:trPr>
          <w:trHeight w:val="284"/>
        </w:trPr>
        <w:tc>
          <w:tcPr>
            <w:tcW w:w="9412" w:type="dxa"/>
          </w:tcPr>
          <w:p w:rsidR="00C2094B" w:rsidRPr="004E49B0" w:rsidRDefault="00FC7841" w:rsidP="00BF557C">
            <w:pPr>
              <w:pStyle w:val="00bDBInfo"/>
              <w:rPr>
                <w:rFonts w:cs="Arial"/>
              </w:rPr>
            </w:pPr>
            <w:r>
              <w:rPr>
                <w:rFonts w:cs="Arial"/>
              </w:rPr>
              <w:t>23</w:t>
            </w:r>
            <w:r w:rsidR="003A5DAC">
              <w:rPr>
                <w:rFonts w:cs="Arial"/>
              </w:rPr>
              <w:t xml:space="preserve"> </w:t>
            </w:r>
            <w:r w:rsidR="00BF557C">
              <w:rPr>
                <w:rFonts w:cs="Arial"/>
              </w:rPr>
              <w:t>June</w:t>
            </w:r>
            <w:r w:rsidR="006F4B04" w:rsidRPr="004E49B0">
              <w:rPr>
                <w:rFonts w:cs="Arial"/>
              </w:rPr>
              <w:t>20</w:t>
            </w:r>
            <w:r w:rsidR="003A5DAC">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791EB4" w:rsidRPr="00616B9B" w:rsidRDefault="00BF557C" w:rsidP="00BF557C">
            <w:pPr>
              <w:pStyle w:val="01aDBTitle"/>
              <w:rPr>
                <w:rFonts w:cs="Arial"/>
              </w:rPr>
            </w:pPr>
            <w:r w:rsidRPr="00BF557C">
              <w:rPr>
                <w:rFonts w:cs="Arial"/>
              </w:rPr>
              <w:t>Technical Discussion Paper</w:t>
            </w:r>
            <w:r>
              <w:rPr>
                <w:rFonts w:cs="Arial"/>
              </w:rPr>
              <w:t xml:space="preserve"> on </w:t>
            </w:r>
            <w:r>
              <w:t xml:space="preserve"> </w:t>
            </w:r>
            <w:r w:rsidRPr="00BF557C">
              <w:rPr>
                <w:rFonts w:cs="Arial"/>
              </w:rPr>
              <w:t>PRIIPs</w:t>
            </w: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tblPr>
      <w:tblGrid>
        <w:gridCol w:w="2325"/>
      </w:tblGrid>
      <w:tr w:rsidR="00620D7C" w:rsidRPr="00616B9B" w:rsidTr="00315E96">
        <w:trPr>
          <w:trHeight w:hRule="exact" w:val="964"/>
        </w:trPr>
        <w:tc>
          <w:tcPr>
            <w:tcW w:w="2325" w:type="dxa"/>
          </w:tcPr>
          <w:p w:rsidR="00620D7C" w:rsidRPr="004E49B0" w:rsidRDefault="00620D7C" w:rsidP="00BF557C">
            <w:pPr>
              <w:pStyle w:val="02Date"/>
              <w:rPr>
                <w:rFonts w:cs="Arial"/>
              </w:rPr>
            </w:pPr>
            <w:r w:rsidRPr="004E49B0">
              <w:rPr>
                <w:rFonts w:cs="Arial"/>
              </w:rPr>
              <w:lastRenderedPageBreak/>
              <w:t xml:space="preserve">Date: </w:t>
            </w:r>
            <w:r w:rsidR="00FC7841">
              <w:rPr>
                <w:rFonts w:cs="Arial"/>
              </w:rPr>
              <w:t>2</w:t>
            </w:r>
            <w:bookmarkStart w:id="0" w:name="_GoBack"/>
            <w:bookmarkEnd w:id="0"/>
            <w:r w:rsidR="00FC7841">
              <w:rPr>
                <w:rFonts w:cs="Arial"/>
              </w:rPr>
              <w:t>3</w:t>
            </w:r>
            <w:r w:rsidR="004E49B0" w:rsidRPr="004E49B0">
              <w:rPr>
                <w:rFonts w:cs="Arial"/>
              </w:rPr>
              <w:t xml:space="preserve"> </w:t>
            </w:r>
            <w:r w:rsidR="00BF557C">
              <w:rPr>
                <w:rFonts w:cs="Arial"/>
              </w:rPr>
              <w:t>June</w:t>
            </w:r>
            <w:r w:rsidR="004E49B0" w:rsidRPr="004E49B0">
              <w:rPr>
                <w:rFonts w:cs="Arial"/>
              </w:rPr>
              <w:t xml:space="preserve"> 201</w:t>
            </w:r>
            <w:r w:rsidR="003A5DAC">
              <w:rPr>
                <w:rFonts w:cs="Arial"/>
              </w:rPr>
              <w:t>5</w:t>
            </w:r>
          </w:p>
        </w:tc>
      </w:tr>
    </w:tbl>
    <w:p w:rsidR="00F574D0" w:rsidRPr="00616B9B" w:rsidRDefault="00F574D0" w:rsidP="00F574D0">
      <w:pPr>
        <w:pStyle w:val="05HeadlinenoIndex"/>
        <w:rPr>
          <w:rFonts w:cs="Arial"/>
        </w:rPr>
      </w:pPr>
      <w:bookmarkStart w:id="1" w:name="_Toc280628648"/>
      <w:r w:rsidRPr="00616B9B">
        <w:rPr>
          <w:rFonts w:cs="Arial"/>
        </w:rPr>
        <w:t xml:space="preserve">Responding to this paper </w:t>
      </w:r>
    </w:p>
    <w:p w:rsidR="007E2302" w:rsidRDefault="007E2302" w:rsidP="007E2302">
      <w:pPr>
        <w:jc w:val="both"/>
      </w:pPr>
      <w:r w:rsidRPr="00F520E3">
        <w:t>EBA, EIOPA and ESMA (the ESAs) welcome comments on this Technical Discussion Paper on Risk, Performance Scenarios and Cost Disclosures in Key Information Documents for Packaged Retail and Insurance-based Investment Products (PRIIPs).</w:t>
      </w:r>
    </w:p>
    <w:p w:rsidR="007E2302" w:rsidRPr="00F520E3" w:rsidRDefault="007E2302" w:rsidP="007E2302">
      <w:pPr>
        <w:jc w:val="both"/>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so as to allow </w:t>
      </w:r>
      <w:r w:rsidR="007E2302">
        <w:rPr>
          <w:rFonts w:cs="Arial"/>
        </w:rPr>
        <w:t xml:space="preserve">them to be </w:t>
      </w:r>
      <w:r w:rsidRPr="00EF0769">
        <w:rPr>
          <w:rFonts w:cs="Arial"/>
        </w:rPr>
        <w:t>process</w:t>
      </w:r>
      <w:r w:rsidR="007E2302">
        <w:rPr>
          <w:rFonts w:cs="Arial"/>
        </w:rPr>
        <w:t>ed more efficiently</w:t>
      </w:r>
      <w:r w:rsidRPr="00EF0769">
        <w:rPr>
          <w:rFonts w:cs="Arial"/>
        </w:rPr>
        <w:t xml:space="preserve">. Therefore, </w:t>
      </w:r>
      <w:r w:rsidR="007E2302">
        <w:rPr>
          <w:rFonts w:cs="Arial"/>
        </w:rPr>
        <w:t xml:space="preserve">the ESAs </w:t>
      </w:r>
      <w:r w:rsidR="00332304">
        <w:rPr>
          <w:rFonts w:cs="Arial"/>
        </w:rPr>
        <w:t xml:space="preserve">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w:t>
      </w:r>
      <w:r w:rsidR="00955F48" w:rsidRPr="00EF0769">
        <w:rPr>
          <w:rFonts w:cs="Arial"/>
        </w:rPr>
        <w:t>x</w:t>
      </w:r>
      <w:r w:rsidR="00955F48" w:rsidRPr="00EF0769">
        <w:rPr>
          <w:rFonts w:cs="Arial"/>
        </w:rPr>
        <w:t>cept for annexes);</w:t>
      </w:r>
    </w:p>
    <w:p w:rsidR="00F574D0" w:rsidRPr="00EF0769" w:rsidRDefault="00D75FEE" w:rsidP="00BF557C">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w:t>
      </w:r>
      <w:r w:rsidR="00BF557C" w:rsidRPr="00BF557C">
        <w:t xml:space="preserve"> </w:t>
      </w:r>
      <w:r w:rsidR="00BF557C" w:rsidRPr="00BF557C">
        <w:rPr>
          <w:rFonts w:cs="Arial"/>
        </w:rPr>
        <w:t>ESMA_QUESTION_PRIIPs</w:t>
      </w:r>
      <w:r w:rsidR="00E9344E" w:rsidRPr="00EF0769">
        <w:rPr>
          <w:rFonts w:cs="Arial"/>
        </w:rPr>
        <w:t>_</w:t>
      </w:r>
      <w:r w:rsidR="00F574D0" w:rsidRPr="00EF0769">
        <w:rPr>
          <w:rFonts w:cs="Arial"/>
        </w:rPr>
        <w:t>1&gt; - i.e. the response to one que</w:t>
      </w:r>
      <w:r w:rsidR="00F574D0" w:rsidRPr="00EF0769">
        <w:rPr>
          <w:rFonts w:cs="Arial"/>
        </w:rPr>
        <w:t>s</w:t>
      </w:r>
      <w:r w:rsidR="00F574D0" w:rsidRPr="00EF0769">
        <w:rPr>
          <w:rFonts w:cs="Arial"/>
        </w:rPr>
        <w:t>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 xml:space="preserve">describe any alternatives that </w:t>
      </w:r>
      <w:r w:rsidR="007E2302">
        <w:rPr>
          <w:rFonts w:cs="Arial"/>
        </w:rPr>
        <w:t>the ESAs</w:t>
      </w:r>
      <w:r w:rsidRPr="00EF0769">
        <w:rPr>
          <w:rFonts w:cs="Arial"/>
        </w:rPr>
        <w:t xml:space="preserve">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ESA_</w:t>
      </w:r>
      <w:r w:rsidR="00BF557C">
        <w:t>TDP_</w:t>
      </w:r>
      <w:r w:rsidR="00BF557C">
        <w:rPr>
          <w:rFonts w:cs="Arial"/>
        </w:rPr>
        <w:t>PRIIPs</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w:t>
      </w:r>
      <w:r w:rsidR="00BF557C">
        <w:rPr>
          <w:rFonts w:cs="Arial"/>
        </w:rPr>
        <w:t>XXXX</w:t>
      </w:r>
      <w:r w:rsidRPr="00EF0769">
        <w:rPr>
          <w:rFonts w:cs="Arial"/>
        </w:rPr>
        <w:t xml:space="preserve">, the </w:t>
      </w:r>
      <w:r w:rsidR="00021E83" w:rsidRPr="00EF0769">
        <w:rPr>
          <w:rFonts w:cs="Arial"/>
        </w:rPr>
        <w:t>name of the reply form would be:</w:t>
      </w:r>
    </w:p>
    <w:p w:rsidR="00021E83" w:rsidRPr="00EF0769" w:rsidRDefault="00BF557C" w:rsidP="000D17AA">
      <w:pPr>
        <w:pStyle w:val="04BodyText"/>
        <w:spacing w:before="120" w:after="120"/>
        <w:jc w:val="left"/>
        <w:rPr>
          <w:rFonts w:cs="Arial"/>
        </w:rPr>
      </w:pPr>
      <w:r w:rsidRPr="00EF0769">
        <w:rPr>
          <w:rFonts w:cs="Arial"/>
        </w:rPr>
        <w:t>ESA_</w:t>
      </w:r>
      <w:r>
        <w:t>TDP_</w:t>
      </w:r>
      <w:r>
        <w:rPr>
          <w:rFonts w:cs="Arial"/>
        </w:rPr>
        <w:t>PRIIPs</w:t>
      </w:r>
      <w:r w:rsidR="00332304">
        <w:rPr>
          <w:rFonts w:cs="Arial"/>
        </w:rPr>
        <w:t>_</w:t>
      </w:r>
      <w:r>
        <w:rPr>
          <w:rFonts w:cs="Arial"/>
        </w:rPr>
        <w:t>XXXX</w:t>
      </w:r>
      <w:r w:rsidR="00021E83" w:rsidRPr="00EF0769">
        <w:rPr>
          <w:rFonts w:cs="Arial"/>
        </w:rPr>
        <w:t xml:space="preserve">_REPLYFORM or </w:t>
      </w:r>
    </w:p>
    <w:p w:rsidR="000D17AA" w:rsidRPr="00EF0769" w:rsidRDefault="00BF557C" w:rsidP="000D17AA">
      <w:pPr>
        <w:pStyle w:val="04BodyText"/>
        <w:spacing w:before="120" w:after="120"/>
        <w:jc w:val="left"/>
        <w:rPr>
          <w:rFonts w:cs="Arial"/>
        </w:rPr>
      </w:pPr>
      <w:r w:rsidRPr="00EF0769">
        <w:rPr>
          <w:rFonts w:cs="Arial"/>
        </w:rPr>
        <w:t>ESA_</w:t>
      </w:r>
      <w:r>
        <w:t>TDP_</w:t>
      </w:r>
      <w:r>
        <w:rPr>
          <w:rFonts w:cs="Arial"/>
        </w:rPr>
        <w:t>PRIIPs_XXXX</w:t>
      </w:r>
      <w:r w:rsidR="00021E83" w:rsidRPr="00EF0769">
        <w:rPr>
          <w:rFonts w:cs="Arial"/>
        </w:rPr>
        <w:t>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7E2302">
        <w:rPr>
          <w:rFonts w:cs="Arial"/>
          <w:b/>
        </w:rPr>
        <w:t>17 August</w:t>
      </w:r>
      <w:r w:rsidR="00021E83" w:rsidRPr="00EF0769">
        <w:rPr>
          <w:rFonts w:cs="Arial"/>
          <w:b/>
        </w:rPr>
        <w:t xml:space="preserve"> 2015.</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2" w:history="1">
        <w:r w:rsidRPr="00EF0769">
          <w:rPr>
            <w:rStyle w:val="Hipervnculo"/>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2"/>
    </w:p>
    <w:p w:rsidR="007E2302" w:rsidRPr="00F520E3" w:rsidRDefault="007E2302" w:rsidP="007E2302">
      <w:pPr>
        <w:jc w:val="both"/>
      </w:pPr>
      <w:bookmarkStart w:id="3" w:name="_Toc335141335"/>
      <w:r w:rsidRPr="00F520E3">
        <w:t>All contributions received will be published following the close of the consultation, unless you request otherwise. A standard confidentiality statement in an email message will not be treated as a request for non-disclosure. A confidential response may be requested from us in accordance with the ESAs’ rules on public access to documents.</w:t>
      </w:r>
      <w:r w:rsidRPr="00F520E3">
        <w:rPr>
          <w:rStyle w:val="Refdenotaalpie"/>
        </w:rPr>
        <w:footnoteReference w:id="2"/>
      </w:r>
      <w:r w:rsidRPr="00F520E3">
        <w:t xml:space="preserve"> We may consult you if we receive such a request. Any decision we make not to disclose the response is reviewable by the Board of Appeal of the ESAs and the European Ombud</w:t>
      </w:r>
      <w:r w:rsidRPr="00F520E3">
        <w:t>s</w:t>
      </w:r>
      <w:r w:rsidRPr="00F520E3">
        <w:t xml:space="preserve">man.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3"/>
    </w:p>
    <w:p w:rsidR="007E2302" w:rsidRPr="00F520E3" w:rsidRDefault="007E2302" w:rsidP="007E2302">
      <w:pPr>
        <w:jc w:val="both"/>
      </w:pPr>
      <w:r w:rsidRPr="00F520E3">
        <w:t xml:space="preserve">Information on data protection can be found </w:t>
      </w:r>
      <w:r>
        <w:t>on</w:t>
      </w:r>
      <w:r w:rsidRPr="00F520E3">
        <w:t xml:space="preserve"> the different ESAs’ websites under the heading ‘Legal notice’.</w:t>
      </w:r>
    </w:p>
    <w:p w:rsidR="003755C6" w:rsidRDefault="003755C6" w:rsidP="00F574D0">
      <w:pPr>
        <w:autoSpaceDE w:val="0"/>
        <w:autoSpaceDN w:val="0"/>
        <w:adjustRightInd w:val="0"/>
        <w:spacing w:before="120" w:after="120" w:line="276" w:lineRule="auto"/>
        <w:jc w:val="both"/>
        <w:rPr>
          <w:rFonts w:cs="Arial"/>
          <w:szCs w:val="20"/>
        </w:rPr>
      </w:pPr>
    </w:p>
    <w:bookmarkEnd w:id="1"/>
    <w:p w:rsidR="00332304" w:rsidRDefault="00332304">
      <w:pPr>
        <w:rPr>
          <w:rFonts w:cs="Arial"/>
          <w:b/>
          <w:bCs/>
          <w:kern w:val="32"/>
          <w:sz w:val="24"/>
          <w:szCs w:val="32"/>
        </w:rPr>
      </w:pPr>
      <w:r>
        <w:br w:type="page"/>
      </w:r>
    </w:p>
    <w:p w:rsidR="00D34282" w:rsidRPr="00AB6D88" w:rsidRDefault="00D34282" w:rsidP="00D34282">
      <w:pPr>
        <w:pStyle w:val="Ttulo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9"/>
        <w:gridCol w:w="5595"/>
      </w:tblGrid>
      <w:tr w:rsidR="00D34282" w:rsidRPr="00AB6D88" w:rsidTr="000E7F3F">
        <w:tc>
          <w:tcPr>
            <w:tcW w:w="3929" w:type="dxa"/>
            <w:shd w:val="clear" w:color="auto" w:fill="auto"/>
          </w:tcPr>
          <w:p w:rsidR="00D34282" w:rsidRPr="00AB6D88" w:rsidRDefault="00D34282" w:rsidP="000E7F3F">
            <w:pPr>
              <w:rPr>
                <w:rFonts w:cs="Arial"/>
              </w:rPr>
            </w:pPr>
            <w:permStart w:id="0" w:edGrp="everyone" w:colFirst="1" w:colLast="1"/>
            <w:r w:rsidRPr="00AB6D88">
              <w:rPr>
                <w:rFonts w:cs="Arial"/>
              </w:rPr>
              <w:t>Name of the company / organisation</w:t>
            </w:r>
          </w:p>
        </w:tc>
        <w:sdt>
          <w:sdtPr>
            <w:rPr>
              <w:rStyle w:val="Textodelmarcadordeposicin"/>
              <w:rFonts w:cs="Arial"/>
            </w:rPr>
            <w:id w:val="-1905066999"/>
            <w:showingPlcHdr/>
            <w:text/>
          </w:sdtPr>
          <w:sdtContent>
            <w:permStart w:id="1" w:edGrp="everyone" w:displacedByCustomXml="prev"/>
            <w:tc>
              <w:tcPr>
                <w:tcW w:w="5595" w:type="dxa"/>
                <w:shd w:val="clear" w:color="auto" w:fill="auto"/>
              </w:tcPr>
              <w:p w:rsidR="00D34282" w:rsidRPr="00AB6D88" w:rsidRDefault="00D34282" w:rsidP="000E7F3F">
                <w:pPr>
                  <w:rPr>
                    <w:rStyle w:val="Textodelmarcadordeposicin"/>
                    <w:rFonts w:cs="Arial"/>
                  </w:rPr>
                </w:pPr>
                <w:r w:rsidRPr="00AB6D88">
                  <w:rPr>
                    <w:rStyle w:val="Textodelmarcadordeposicin"/>
                    <w:rFonts w:cs="Arial"/>
                  </w:rPr>
                  <w:t>Click here to enter text.</w:t>
                </w:r>
              </w:p>
            </w:tc>
            <w:permEnd w:id="1" w:displacedByCustomXml="next"/>
          </w:sdtContent>
        </w:sdt>
      </w:tr>
      <w:tr w:rsidR="00D34282" w:rsidRPr="00AB6D88" w:rsidTr="000E7F3F">
        <w:tc>
          <w:tcPr>
            <w:tcW w:w="3929" w:type="dxa"/>
            <w:shd w:val="clear" w:color="auto" w:fill="auto"/>
          </w:tcPr>
          <w:p w:rsidR="00D34282" w:rsidRPr="00AB6D88" w:rsidRDefault="00D34282" w:rsidP="000E7F3F">
            <w:pPr>
              <w:rPr>
                <w:rFonts w:cs="Arial"/>
              </w:rPr>
            </w:pPr>
            <w:permStart w:id="2" w:edGrp="everyone" w:colFirst="1" w:colLast="1"/>
            <w:permEnd w:id="0"/>
            <w:r w:rsidRPr="00AB6D88">
              <w:rPr>
                <w:rFonts w:cs="Arial"/>
              </w:rPr>
              <w:t>Activity</w:t>
            </w:r>
          </w:p>
        </w:tc>
        <w:tc>
          <w:tcPr>
            <w:tcW w:w="5595" w:type="dxa"/>
            <w:shd w:val="clear" w:color="auto" w:fill="auto"/>
          </w:tcPr>
          <w:p w:rsidR="00D34282" w:rsidRPr="00AB6D88" w:rsidRDefault="00741ADA" w:rsidP="000E7F3F">
            <w:pPr>
              <w:rPr>
                <w:rFonts w:cs="Arial"/>
              </w:rPr>
            </w:pPr>
            <w:sdt>
              <w:sdtPr>
                <w:rPr>
                  <w:rFonts w:cs="Arial"/>
                </w:rPr>
                <w:alias w:val="Activity"/>
                <w:tag w:val="Activity"/>
                <w:id w:val="-476845391"/>
                <w:showingPlcHdr/>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permStart w:id="3" w:edGrp="everyone"/>
                <w:r w:rsidR="00D34282" w:rsidRPr="00AB6D88">
                  <w:rPr>
                    <w:rStyle w:val="Textodelmarcadordeposicin"/>
                    <w:rFonts w:cs="Arial"/>
                  </w:rPr>
                  <w:t>Choose an item.</w:t>
                </w:r>
                <w:permEnd w:id="3"/>
              </w:sdtContent>
            </w:sdt>
          </w:p>
        </w:tc>
      </w:tr>
      <w:tr w:rsidR="00D34282" w:rsidRPr="00AB6D88" w:rsidTr="000E7F3F">
        <w:tc>
          <w:tcPr>
            <w:tcW w:w="3929" w:type="dxa"/>
            <w:shd w:val="clear" w:color="auto" w:fill="auto"/>
          </w:tcPr>
          <w:p w:rsidR="00D34282" w:rsidRPr="00AB6D88" w:rsidRDefault="00D34282" w:rsidP="000E7F3F">
            <w:pPr>
              <w:rPr>
                <w:rFonts w:cs="Arial"/>
              </w:rPr>
            </w:pPr>
            <w:permStart w:id="4" w:edGrp="everyone" w:colFirst="1" w:colLast="1"/>
            <w:permEnd w:id="2"/>
            <w:r w:rsidRPr="00AB6D88">
              <w:rPr>
                <w:rFonts w:cs="Arial"/>
              </w:rPr>
              <w:t>Are you representing an association?</w:t>
            </w:r>
          </w:p>
        </w:tc>
        <w:sdt>
          <w:sdtPr>
            <w:rPr>
              <w:rFonts w:cs="Arial"/>
            </w:rPr>
            <w:id w:val="-242871467"/>
          </w:sdtPr>
          <w:sdtContent>
            <w:tc>
              <w:tcPr>
                <w:tcW w:w="5595" w:type="dxa"/>
                <w:shd w:val="clear" w:color="auto" w:fill="auto"/>
              </w:tcPr>
              <w:p w:rsidR="00D34282" w:rsidRPr="00AB6D88" w:rsidRDefault="00D34282" w:rsidP="000E7F3F">
                <w:pPr>
                  <w:rPr>
                    <w:rFonts w:cs="Arial"/>
                  </w:rPr>
                </w:pPr>
                <w:r w:rsidRPr="00AB6D88">
                  <w:rPr>
                    <w:rFonts w:ascii="MS Gothic" w:eastAsia="MS Gothic" w:hAnsi="MS Gothic" w:cs="MS Gothic" w:hint="eastAsia"/>
                  </w:rPr>
                  <w:t>☐</w:t>
                </w:r>
              </w:p>
            </w:tc>
          </w:sdtContent>
        </w:sdt>
      </w:tr>
      <w:tr w:rsidR="00D34282" w:rsidRPr="00AB6D88" w:rsidTr="000E7F3F">
        <w:tc>
          <w:tcPr>
            <w:tcW w:w="3929" w:type="dxa"/>
            <w:shd w:val="clear" w:color="auto" w:fill="auto"/>
          </w:tcPr>
          <w:p w:rsidR="00D34282" w:rsidRPr="00AB6D88" w:rsidRDefault="00D34282" w:rsidP="000E7F3F">
            <w:pPr>
              <w:rPr>
                <w:rFonts w:cs="Arial"/>
              </w:rPr>
            </w:pPr>
            <w:permStart w:id="5" w:edGrp="everyone" w:colFirst="1" w:colLast="1"/>
            <w:permEnd w:id="4"/>
            <w:r w:rsidRPr="00AB6D88">
              <w:rPr>
                <w:rFonts w:cs="Arial"/>
              </w:rPr>
              <w:t>Country/Region</w:t>
            </w:r>
          </w:p>
        </w:tc>
        <w:permStart w:id="6" w:edGrp="everyone" w:displacedByCustomXml="next"/>
        <w:sdt>
          <w:sdtPr>
            <w:rPr>
              <w:rFonts w:cs="Arial"/>
            </w:rPr>
            <w:alias w:val="Country"/>
            <w:tag w:val="Country"/>
            <w:id w:val="-403371040"/>
            <w:showingPlcHd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7" w:edGrp="everyone" w:displacedByCustomXml="prev"/>
            <w:tc>
              <w:tcPr>
                <w:tcW w:w="5595" w:type="dxa"/>
                <w:shd w:val="clear" w:color="auto" w:fill="auto"/>
              </w:tcPr>
              <w:p w:rsidR="00D34282" w:rsidRPr="00AB6D88" w:rsidRDefault="00D34282" w:rsidP="000E7F3F">
                <w:pPr>
                  <w:rPr>
                    <w:rFonts w:cs="Arial"/>
                  </w:rPr>
                </w:pPr>
                <w:r w:rsidRPr="00AB6D88">
                  <w:rPr>
                    <w:rStyle w:val="Textodelmarcadordeposicin"/>
                    <w:rFonts w:cs="Arial"/>
                  </w:rPr>
                  <w:t>Choose an item.</w:t>
                </w:r>
              </w:p>
            </w:tc>
            <w:permEnd w:id="7" w:displacedByCustomXml="next"/>
          </w:sdtContent>
        </w:sdt>
        <w:permEnd w:id="6" w:displacedByCustomXml="prev"/>
      </w:tr>
      <w:permEnd w:id="5"/>
    </w:tbl>
    <w:p w:rsidR="00D34282" w:rsidRDefault="00D34282" w:rsidP="00D34282">
      <w:pPr>
        <w:spacing w:after="120" w:line="264" w:lineRule="auto"/>
      </w:pPr>
    </w:p>
    <w:p w:rsidR="00D34282" w:rsidRDefault="00D34282" w:rsidP="00D34282">
      <w:pPr>
        <w:spacing w:after="120" w:line="264" w:lineRule="auto"/>
      </w:pPr>
    </w:p>
    <w:p w:rsidR="00D34282" w:rsidRDefault="00D34282" w:rsidP="00D34282">
      <w:pPr>
        <w:pStyle w:val="Ttulo1"/>
        <w:numPr>
          <w:ilvl w:val="0"/>
          <w:numId w:val="0"/>
        </w:numPr>
        <w:ind w:left="431" w:hanging="431"/>
      </w:pPr>
      <w:r>
        <w:t>Introduction</w:t>
      </w:r>
    </w:p>
    <w:p w:rsidR="00D34282" w:rsidRPr="001D47A5" w:rsidRDefault="00D34282" w:rsidP="00D34282">
      <w:pPr>
        <w:rPr>
          <w:rStyle w:val="nfasisintenso"/>
        </w:rPr>
      </w:pPr>
      <w:r w:rsidRPr="001D47A5">
        <w:rPr>
          <w:rStyle w:val="nfasisintenso"/>
        </w:rPr>
        <w:t>Please make your introductory comments below, if any:</w:t>
      </w:r>
    </w:p>
    <w:p w:rsidR="00D34282" w:rsidRPr="00C25863" w:rsidRDefault="00D34282" w:rsidP="00D34282">
      <w:r w:rsidRPr="00C25863">
        <w:t>&lt;</w:t>
      </w:r>
      <w:r w:rsidRPr="00D74C9D">
        <w:t xml:space="preserve"> </w:t>
      </w:r>
      <w:r>
        <w:t>ESMA_</w:t>
      </w:r>
      <w:r w:rsidR="00F31E57" w:rsidRPr="00F31E57">
        <w:t>COMMENT_PRIIPs</w:t>
      </w:r>
      <w:r w:rsidRPr="00C25863">
        <w:t>_1&gt;</w:t>
      </w:r>
    </w:p>
    <w:p w:rsidR="006340A9" w:rsidRPr="003851E3" w:rsidRDefault="00837443" w:rsidP="006340A9">
      <w:pPr>
        <w:spacing w:after="160" w:line="259" w:lineRule="auto"/>
        <w:rPr>
          <w:rFonts w:ascii="BBVA Office Light" w:hAnsi="BBVA Office Light"/>
        </w:rPr>
      </w:pPr>
      <w:permStart w:id="8" w:edGrp="everyone"/>
      <w:r>
        <w:rPr>
          <w:rFonts w:ascii="BBVA Office Light" w:hAnsi="BBVA Office Light"/>
        </w:rPr>
        <w:t xml:space="preserve">AEB members </w:t>
      </w:r>
      <w:r w:rsidR="006340A9" w:rsidRPr="003851E3">
        <w:rPr>
          <w:rFonts w:ascii="BBVA Office Light" w:hAnsi="BBVA Office Light"/>
        </w:rPr>
        <w:t>welcomes the Joint European Supervisory Authorities’ Technical Discussion Paper on Key Information Documents for Packaged Retail and Insurance-based Investment Products (PRIIPs) that addresses several concerns that can arise in the establishment of uniform rules on the risk &amp; reward and costs sections of the KID.</w:t>
      </w:r>
    </w:p>
    <w:p w:rsidR="006340A9" w:rsidRPr="00072F91" w:rsidRDefault="00837443" w:rsidP="006340A9">
      <w:pPr>
        <w:spacing w:after="160" w:line="259" w:lineRule="auto"/>
        <w:rPr>
          <w:rFonts w:ascii="BBVA Office Light" w:hAnsi="BBVA Office Light"/>
        </w:rPr>
      </w:pPr>
      <w:r>
        <w:rPr>
          <w:rFonts w:ascii="BBVA Office Light" w:hAnsi="BBVA Office Light"/>
        </w:rPr>
        <w:t>I</w:t>
      </w:r>
      <w:r w:rsidR="006340A9" w:rsidRPr="00072F91">
        <w:rPr>
          <w:rFonts w:ascii="BBVA Office Light" w:hAnsi="BBVA Office Light"/>
        </w:rPr>
        <w:t xml:space="preserve">t is important to highlight that the Regulation is not giving a list of products that are in its scope. It only includes a broad definition that has provoked lots of comments in the answers to the first Discussion Paper. Entities that are answering the questions in this Technical Discussion Paper in relation to valuation and costs are constrained by this fact. Therefore, entities have made its best efforts to considerate the models, parameters and indicators according to what they have in mind and maybe that is not what the regulators have in theirs. This is not a convenient situation and the scope of the regulation must be clearly defined prior any further consultation. </w:t>
      </w:r>
    </w:p>
    <w:p w:rsidR="006340A9" w:rsidRPr="00072F91" w:rsidRDefault="006340A9" w:rsidP="006340A9">
      <w:pPr>
        <w:spacing w:after="160" w:line="259" w:lineRule="auto"/>
        <w:rPr>
          <w:rFonts w:ascii="BBVA Office Light" w:hAnsi="BBVA Office Light"/>
        </w:rPr>
      </w:pPr>
      <w:r w:rsidRPr="00072F91">
        <w:rPr>
          <w:rFonts w:ascii="BBVA Office Light" w:hAnsi="BBVA Office Light"/>
        </w:rPr>
        <w:t>Hedging derivatives are a good example of this situation. As per Level 1, PRIIPS is only focused in i</w:t>
      </w:r>
      <w:r w:rsidRPr="00072F91">
        <w:rPr>
          <w:rFonts w:ascii="BBVA Office Light" w:hAnsi="BBVA Office Light"/>
        </w:rPr>
        <w:t>n</w:t>
      </w:r>
      <w:r w:rsidRPr="00072F91">
        <w:rPr>
          <w:rFonts w:ascii="BBVA Office Light" w:hAnsi="BBVA Office Light"/>
        </w:rPr>
        <w:t xml:space="preserve">vestment products and consequently hedging purpose derivatives are excluded from its scope. However, we have not found a clear exemption for them and that creates several doubts. We understand that the derivatives products included into the scope of the Regulation are only referred to investment derivatives, but an explicit reference shall be included to avoid any misunderstanding and lack of uniform application across the different Member States.  </w:t>
      </w:r>
    </w:p>
    <w:p w:rsidR="006340A9" w:rsidRPr="00072F91" w:rsidRDefault="006340A9" w:rsidP="006340A9">
      <w:pPr>
        <w:spacing w:after="160" w:line="259" w:lineRule="auto"/>
        <w:rPr>
          <w:rFonts w:ascii="BBVA Office Light" w:hAnsi="BBVA Office Light"/>
        </w:rPr>
      </w:pPr>
      <w:r w:rsidRPr="00072F91">
        <w:rPr>
          <w:rFonts w:ascii="BBVA Office Light" w:hAnsi="BBVA Office Light"/>
        </w:rPr>
        <w:t>Risk and cost analysis and scenarios will be impossible to be made following the terms of the Regulation and the Discussion Paper proposals, as the hedging derivative only makes sense (in terms of risks and costs) linked to the principal product. Even if the KID may finally be adapted to a derivative entered into for hedging purposes, the information contained therein will be misleading for the client.</w:t>
      </w:r>
    </w:p>
    <w:p w:rsidR="006340A9" w:rsidRPr="00072F91" w:rsidRDefault="006340A9" w:rsidP="006340A9">
      <w:pPr>
        <w:spacing w:after="160" w:line="259" w:lineRule="auto"/>
        <w:rPr>
          <w:rFonts w:ascii="BBVA Office Light" w:hAnsi="BBVA Office Light"/>
        </w:rPr>
      </w:pPr>
      <w:r w:rsidRPr="00072F91">
        <w:rPr>
          <w:rFonts w:ascii="BBVA Office Light" w:hAnsi="BBVA Office Light"/>
        </w:rPr>
        <w:t>Additionally, if the ESAs consider that they are covered, it should be confirmed if pure protection life insurances or any other pure insurance are also into the scope of the KID as the purpose of both kind of contracts (insurance and financial instruments) is the same: the hedge of underlying risks.</w:t>
      </w:r>
    </w:p>
    <w:p w:rsidR="00D34282" w:rsidRPr="006340A9" w:rsidRDefault="006340A9" w:rsidP="006340A9">
      <w:pPr>
        <w:spacing w:after="160" w:line="259" w:lineRule="auto"/>
        <w:rPr>
          <w:rFonts w:ascii="BBVA Office Light" w:hAnsi="BBVA Office Light"/>
        </w:rPr>
      </w:pPr>
      <w:r w:rsidRPr="00072F91">
        <w:rPr>
          <w:rFonts w:ascii="BBVA Office Light" w:hAnsi="BBVA Office Light"/>
        </w:rPr>
        <w:t>In summary, stakeholders are finding difficulties providing their comments to this (and previous) consult</w:t>
      </w:r>
      <w:r w:rsidRPr="00072F91">
        <w:rPr>
          <w:rFonts w:ascii="BBVA Office Light" w:hAnsi="BBVA Office Light"/>
        </w:rPr>
        <w:t>a</w:t>
      </w:r>
      <w:r w:rsidRPr="00072F91">
        <w:rPr>
          <w:rFonts w:ascii="BBVA Office Light" w:hAnsi="BBVA Office Light"/>
        </w:rPr>
        <w:t>tion/discussion papers as they have doubts regarding the scope of the Regulation and, consequently, they do not know which products will be affected by their considerations.</w:t>
      </w:r>
    </w:p>
    <w:permEnd w:id="8"/>
    <w:p w:rsidR="00D34282" w:rsidRDefault="00D34282" w:rsidP="00D34282">
      <w:r w:rsidRPr="00C25863">
        <w:t>&lt;</w:t>
      </w:r>
      <w:r w:rsidRPr="00D74C9D">
        <w:t xml:space="preserve"> </w:t>
      </w:r>
      <w:r>
        <w:t>ESMA_</w:t>
      </w:r>
      <w:r w:rsidR="00F31E57" w:rsidRPr="00F31E57">
        <w:t>COMMENT_PRIIPs</w:t>
      </w:r>
      <w:r w:rsidRPr="00C25863">
        <w:t>_1&gt;</w:t>
      </w:r>
    </w:p>
    <w:p w:rsidR="00F31E57" w:rsidRDefault="00F31E57" w:rsidP="00D34282"/>
    <w:p w:rsidR="00F31E57" w:rsidRDefault="00F31E57">
      <w:r>
        <w:br w:type="page"/>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lastRenderedPageBreak/>
        <w:t>Please state your preference on the general approach how a distribution of returns should be established for the risk indic</w:t>
      </w:r>
      <w:r w:rsidR="001A5E5C">
        <w:t xml:space="preserve">ator and performance scenarios’ </w:t>
      </w:r>
      <w:r>
        <w:t>purposes. I</w:t>
      </w:r>
      <w:r>
        <w:t>n</w:t>
      </w:r>
      <w:r>
        <w:t xml:space="preserve">clude your considerations and caveats. </w:t>
      </w:r>
    </w:p>
    <w:p w:rsidR="00F31E57" w:rsidRDefault="00F31E57" w:rsidP="00F31E57"/>
    <w:p w:rsidR="00F31E57" w:rsidRDefault="00F31E57" w:rsidP="00F31E57">
      <w:r>
        <w:t>&lt;ESMA_QUESTION_PRIIPs_1&gt;</w:t>
      </w:r>
    </w:p>
    <w:p w:rsidR="000E7F3F" w:rsidRDefault="000E7F3F" w:rsidP="000E7F3F">
      <w:pPr>
        <w:rPr>
          <w:color w:val="FF0000"/>
        </w:rPr>
      </w:pPr>
      <w:permStart w:id="9" w:edGrp="everyone"/>
      <w:r w:rsidRPr="003A788D">
        <w:rPr>
          <w:color w:val="FF0000"/>
        </w:rPr>
        <w:t xml:space="preserve">. </w:t>
      </w:r>
    </w:p>
    <w:p w:rsidR="003640D0" w:rsidRPr="00085346" w:rsidRDefault="00B81C2D" w:rsidP="00085346">
      <w:pPr>
        <w:jc w:val="both"/>
        <w:rPr>
          <w:rFonts w:cs="Arial"/>
        </w:rPr>
      </w:pPr>
      <w:r>
        <w:rPr>
          <w:rFonts w:cs="Arial"/>
        </w:rPr>
        <w:t>AEB members</w:t>
      </w:r>
      <w:r w:rsidR="000F61EB">
        <w:rPr>
          <w:rFonts w:cs="Arial"/>
        </w:rPr>
        <w:t xml:space="preserve"> are</w:t>
      </w:r>
      <w:r w:rsidR="003640D0" w:rsidRPr="00085346">
        <w:rPr>
          <w:rFonts w:cs="Arial"/>
        </w:rPr>
        <w:t xml:space="preserve"> against any stochastic modeling as it could imply misleading and confusing investors. Also we find it most cumbersome to define, in detail and precisely, any modeling that would be consistent across the industry and across all the different products and possible configurations. </w:t>
      </w:r>
    </w:p>
    <w:p w:rsidR="003640D0" w:rsidRPr="00085346" w:rsidRDefault="003640D0" w:rsidP="00085346">
      <w:pPr>
        <w:jc w:val="both"/>
        <w:rPr>
          <w:rFonts w:cs="Arial"/>
        </w:rPr>
      </w:pPr>
      <w:r w:rsidRPr="00085346">
        <w:rPr>
          <w:rFonts w:cs="Arial"/>
        </w:rPr>
        <w:t>A model estimating the distribution of potential returns could not be accurate in the sense of being true, exact and precise. Such models only try to estimate future likelihoods, of which we do have very limited knowledge ex-ante, and are used mostly as tools (i) for hedging away market risks (not to take them, i.e. invest) and/or (ii) for controlling risks mainly with very short time spans (e.g. VAR, etc.). The longer you try to estimate a future likelihood, the less accurate you are going to be and actual results, very likely, will greatly differ from your estimations.</w:t>
      </w:r>
    </w:p>
    <w:p w:rsidR="00085346" w:rsidRPr="00085346" w:rsidRDefault="00085346" w:rsidP="00085346">
      <w:pPr>
        <w:jc w:val="both"/>
        <w:rPr>
          <w:rFonts w:cs="Arial"/>
        </w:rPr>
      </w:pPr>
    </w:p>
    <w:p w:rsidR="00085346" w:rsidRPr="00085346" w:rsidRDefault="00085346" w:rsidP="00085346">
      <w:pPr>
        <w:jc w:val="both"/>
        <w:rPr>
          <w:rFonts w:cs="Arial"/>
        </w:rPr>
      </w:pPr>
      <w:r w:rsidRPr="00085346">
        <w:rPr>
          <w:rFonts w:cs="Arial"/>
        </w:rPr>
        <w:t>Added to this, we have the  difficulty to assess which is the best alternative in order to construct the distr</w:t>
      </w:r>
      <w:r w:rsidRPr="00085346">
        <w:rPr>
          <w:rFonts w:cs="Arial"/>
        </w:rPr>
        <w:t>i</w:t>
      </w:r>
      <w:r w:rsidRPr="00085346">
        <w:rPr>
          <w:rFonts w:cs="Arial"/>
        </w:rPr>
        <w:t xml:space="preserve">bution of returns. </w:t>
      </w:r>
    </w:p>
    <w:p w:rsidR="00085346" w:rsidRPr="00085346" w:rsidRDefault="00085346" w:rsidP="00085346">
      <w:pPr>
        <w:pStyle w:val="Prrafodelista"/>
        <w:numPr>
          <w:ilvl w:val="0"/>
          <w:numId w:val="51"/>
        </w:numPr>
        <w:contextualSpacing w:val="0"/>
        <w:jc w:val="both"/>
        <w:rPr>
          <w:rFonts w:cs="Arial"/>
        </w:rPr>
      </w:pPr>
      <w:r w:rsidRPr="00085346">
        <w:rPr>
          <w:rFonts w:cs="Arial"/>
        </w:rPr>
        <w:t xml:space="preserve">The </w:t>
      </w:r>
      <w:r w:rsidRPr="00085346">
        <w:rPr>
          <w:rFonts w:cs="Arial"/>
          <w:u w:val="single"/>
        </w:rPr>
        <w:t xml:space="preserve">historical </w:t>
      </w:r>
      <w:r w:rsidRPr="00085346">
        <w:rPr>
          <w:rFonts w:cs="Arial"/>
        </w:rPr>
        <w:t>data is the best option. It is simpler and facilitates the supervision. Any other alte</w:t>
      </w:r>
      <w:r w:rsidRPr="00085346">
        <w:rPr>
          <w:rFonts w:cs="Arial"/>
        </w:rPr>
        <w:t>r</w:t>
      </w:r>
      <w:r w:rsidRPr="00085346">
        <w:rPr>
          <w:rFonts w:cs="Arial"/>
        </w:rPr>
        <w:t>native will reduce agility and it will complicate the comparability and require complex controls of data by supervisors.</w:t>
      </w:r>
    </w:p>
    <w:p w:rsidR="00085346" w:rsidRPr="00085346" w:rsidRDefault="00085346" w:rsidP="00085346">
      <w:pPr>
        <w:pStyle w:val="Prrafodelista"/>
        <w:numPr>
          <w:ilvl w:val="0"/>
          <w:numId w:val="51"/>
        </w:numPr>
        <w:contextualSpacing w:val="0"/>
        <w:jc w:val="both"/>
        <w:rPr>
          <w:rFonts w:cs="Arial"/>
        </w:rPr>
      </w:pPr>
      <w:r w:rsidRPr="00085346">
        <w:rPr>
          <w:rFonts w:cs="Arial"/>
        </w:rPr>
        <w:t xml:space="preserve">The </w:t>
      </w:r>
      <w:r w:rsidRPr="00085346">
        <w:rPr>
          <w:rFonts w:cs="Arial"/>
          <w:u w:val="single"/>
        </w:rPr>
        <w:t>forward simulation</w:t>
      </w:r>
      <w:r w:rsidRPr="00085346">
        <w:rPr>
          <w:rFonts w:cs="Arial"/>
        </w:rPr>
        <w:t xml:space="preserve"> can be more accurate although this option includes some considerable downsides such as the diversity on the models or the parameters to be input in the model. In case this option is chosen, these drawbacks should be addressed. The best solution in this case would be that the regulator provides these data.</w:t>
      </w:r>
    </w:p>
    <w:p w:rsidR="00085346" w:rsidRPr="00085346" w:rsidRDefault="00085346" w:rsidP="00085346">
      <w:pPr>
        <w:jc w:val="both"/>
        <w:rPr>
          <w:rFonts w:cs="Arial"/>
        </w:rPr>
      </w:pPr>
    </w:p>
    <w:p w:rsidR="006B465E" w:rsidRDefault="00085346" w:rsidP="00085346">
      <w:pPr>
        <w:jc w:val="both"/>
        <w:rPr>
          <w:rFonts w:cs="Arial"/>
        </w:rPr>
      </w:pPr>
      <w:r w:rsidRPr="00085346">
        <w:rPr>
          <w:rFonts w:cs="Arial"/>
        </w:rPr>
        <w:t>Taking into account these arguments our view is that the historical data would be the best option to offer comparability and certainty</w:t>
      </w:r>
      <w:r w:rsidR="006B465E">
        <w:rPr>
          <w:rFonts w:cs="Arial"/>
        </w:rPr>
        <w:t>. In the case there are insufficient data, benchmark historical data could be used to fulfill the serie.</w:t>
      </w:r>
    </w:p>
    <w:p w:rsidR="003640D0" w:rsidRPr="003A788D" w:rsidRDefault="003640D0" w:rsidP="000E7F3F">
      <w:pPr>
        <w:rPr>
          <w:color w:val="FF0000"/>
        </w:rPr>
      </w:pPr>
    </w:p>
    <w:permEnd w:id="9"/>
    <w:p w:rsidR="00F31E57" w:rsidRDefault="00F31E57" w:rsidP="00F31E57">
      <w:r>
        <w:t>&lt;ESMA_QUESTION_PRIIPs_1&gt;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How should the regulatory technical standards define a model and the method of choosing the model parameters for the purposes of calculating a risk measure and d</w:t>
      </w:r>
      <w:r>
        <w:t>e</w:t>
      </w:r>
      <w:r>
        <w:t>termining performance under a variety of scenarios?</w:t>
      </w:r>
    </w:p>
    <w:p w:rsidR="00F31E57" w:rsidRDefault="00F31E57" w:rsidP="00F31E57"/>
    <w:p w:rsidR="00F31E57" w:rsidRDefault="00F31E57" w:rsidP="00F31E57">
      <w:r>
        <w:t>&lt;ESMA_QUESTION_PRIIPs_2&gt;</w:t>
      </w:r>
    </w:p>
    <w:p w:rsidR="00085346" w:rsidRPr="00085346" w:rsidRDefault="00085346" w:rsidP="000E7F3F">
      <w:pPr>
        <w:rPr>
          <w:rFonts w:cs="Arial"/>
        </w:rPr>
      </w:pPr>
      <w:permStart w:id="10" w:edGrp="everyone"/>
      <w:r w:rsidRPr="00085346">
        <w:rPr>
          <w:rFonts w:cs="Arial"/>
        </w:rPr>
        <w:t>Any definition of quantitative measure for the Risk indicator should be objective, i.e. non interpretable and not potentially misleading with its assumptions being simple and clearly understood by investors</w:t>
      </w:r>
    </w:p>
    <w:p w:rsidR="00085346" w:rsidRPr="00085346" w:rsidRDefault="00085346" w:rsidP="000E7F3F">
      <w:pPr>
        <w:rPr>
          <w:rFonts w:cs="Arial"/>
        </w:rPr>
      </w:pPr>
    </w:p>
    <w:p w:rsidR="000E7F3F" w:rsidRPr="00085346" w:rsidRDefault="000E7F3F" w:rsidP="000E7F3F">
      <w:pPr>
        <w:rPr>
          <w:rFonts w:cs="Arial"/>
        </w:rPr>
      </w:pPr>
      <w:r w:rsidRPr="00085346">
        <w:rPr>
          <w:rFonts w:cs="Arial"/>
        </w:rPr>
        <w:t xml:space="preserve">Technical standards should define the model to be used by type of product for classification and scenarios purposes. These should be applicable to most cases to provide swiftness. However, in order to allow innovation, there should be exceptions accepted for special products with non-standard characteristics that are not covered by the available models.  </w:t>
      </w:r>
    </w:p>
    <w:p w:rsidR="000E7F3F" w:rsidRPr="00085346" w:rsidRDefault="000E7F3F" w:rsidP="000E7F3F">
      <w:pPr>
        <w:rPr>
          <w:rFonts w:cs="Arial"/>
        </w:rPr>
      </w:pPr>
      <w:r w:rsidRPr="00085346">
        <w:rPr>
          <w:rFonts w:cs="Arial"/>
        </w:rPr>
        <w:t>Regarding the selection of parameters, in order to ensure comparability, data have to be either:</w:t>
      </w:r>
    </w:p>
    <w:p w:rsidR="000E7F3F" w:rsidRPr="00085346" w:rsidRDefault="000E7F3F" w:rsidP="000E7F3F">
      <w:pPr>
        <w:pStyle w:val="Prrafodelista"/>
        <w:numPr>
          <w:ilvl w:val="0"/>
          <w:numId w:val="51"/>
        </w:numPr>
        <w:contextualSpacing w:val="0"/>
        <w:rPr>
          <w:rFonts w:cs="Arial"/>
        </w:rPr>
      </w:pPr>
      <w:r w:rsidRPr="00085346">
        <w:rPr>
          <w:rFonts w:cs="Arial"/>
        </w:rPr>
        <w:t xml:space="preserve">Historical data </w:t>
      </w:r>
    </w:p>
    <w:p w:rsidR="000E7F3F" w:rsidRPr="00085346" w:rsidRDefault="000E7F3F" w:rsidP="000E7F3F">
      <w:pPr>
        <w:pStyle w:val="Prrafodelista"/>
        <w:numPr>
          <w:ilvl w:val="0"/>
          <w:numId w:val="51"/>
        </w:numPr>
        <w:contextualSpacing w:val="0"/>
        <w:rPr>
          <w:rFonts w:cs="Arial"/>
        </w:rPr>
      </w:pPr>
      <w:r w:rsidRPr="00085346">
        <w:rPr>
          <w:rFonts w:cs="Arial"/>
        </w:rPr>
        <w:t>Published by the ESA’s (at least for the most ordinary underlyings)</w:t>
      </w:r>
    </w:p>
    <w:p w:rsidR="006B465E" w:rsidRPr="006B465E" w:rsidRDefault="000E7F3F" w:rsidP="006B465E">
      <w:pPr>
        <w:pStyle w:val="Prrafodelista"/>
        <w:numPr>
          <w:ilvl w:val="0"/>
          <w:numId w:val="51"/>
        </w:numPr>
        <w:contextualSpacing w:val="0"/>
        <w:rPr>
          <w:rFonts w:cs="Arial"/>
        </w:rPr>
      </w:pPr>
      <w:r w:rsidRPr="00085346">
        <w:rPr>
          <w:rFonts w:cs="Arial"/>
        </w:rPr>
        <w:t>Chosen by the manufacturer, justifying the election to the supervisor.</w:t>
      </w:r>
    </w:p>
    <w:permEnd w:id="10"/>
    <w:p w:rsidR="00F31E57" w:rsidRDefault="00F31E57" w:rsidP="00F31E57">
      <w:r>
        <w:t>&lt;ESMA_QUESTION_PRIIPs_2&gt;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Please state your view on what benchmark should be used and why. Are there sp</w:t>
      </w:r>
      <w:r>
        <w:t>e</w:t>
      </w:r>
      <w:r>
        <w:t>cific products or underlying investments for which a specific growth rate would be more or less applicable?</w:t>
      </w:r>
    </w:p>
    <w:p w:rsidR="00F31E57" w:rsidRDefault="00F31E57" w:rsidP="00F31E57"/>
    <w:p w:rsidR="00F31E57" w:rsidRDefault="00F31E57" w:rsidP="00F31E57">
      <w:r>
        <w:lastRenderedPageBreak/>
        <w:t>&lt;ESMA_QUESTION_PRIIPs_3&gt;</w:t>
      </w:r>
    </w:p>
    <w:p w:rsidR="003640D0" w:rsidRPr="00714A96" w:rsidRDefault="003640D0" w:rsidP="003640D0">
      <w:pPr>
        <w:rPr>
          <w:color w:val="FF0000"/>
        </w:rPr>
      </w:pPr>
      <w:permStart w:id="11" w:edGrp="everyone"/>
      <w:r w:rsidRPr="00714A96">
        <w:t>Our preference would be to measure the performance against the amount invested without any adjus</w:t>
      </w:r>
      <w:r w:rsidRPr="00714A96">
        <w:t>t</w:t>
      </w:r>
      <w:r w:rsidRPr="00714A96">
        <w:t xml:space="preserve">ment for a risk-free or inflation rate growth factor. It acts as the “zero” benchmark to the question “How much do I put in and how much do I get out?” </w:t>
      </w:r>
    </w:p>
    <w:p w:rsidR="003640D0" w:rsidRPr="00714A96" w:rsidRDefault="003640D0" w:rsidP="003640D0"/>
    <w:p w:rsidR="003640D0" w:rsidRPr="00714A96" w:rsidRDefault="003640D0" w:rsidP="003640D0">
      <w:r w:rsidRPr="00714A96">
        <w:t xml:space="preserve">This approach allows comparison to simpler products like term deposits or fixed rate notes. Using a growth factor could potentially dilute comparability unless the factors were prescribed. </w:t>
      </w:r>
    </w:p>
    <w:p w:rsidR="003640D0" w:rsidRPr="00714A96" w:rsidRDefault="003640D0" w:rsidP="003640D0"/>
    <w:p w:rsidR="003640D0" w:rsidRPr="00714A96" w:rsidRDefault="003640D0" w:rsidP="003640D0">
      <w:r w:rsidRPr="00714A96">
        <w:t xml:space="preserve">We aren’t in favour of any probabilistic performance scenarios which depend on assumptions regarding how the average performance of an asset/assets underlying a product changes with time. This creates a big risk, especially when it turns out in the future that the given probability is totally not in line with the prediction that was made in the past. This can lead to a situation, where potential investors will held liable the PRIIPS manufacturers for the given benchmarks, because the investors have assumed that this is an indicator on how the product will evolve, instead of seeing it as only a ‘probability’. Last but not least if we want the probabilistic scenarios to be the benchmark, if will be of utmost important to regularly update them, which will lead to higher complexity and higher costs on the financial sector side, with a rather low added value and operational risks too.  </w:t>
      </w:r>
    </w:p>
    <w:p w:rsidR="003640D0" w:rsidRPr="00714A96" w:rsidRDefault="003640D0" w:rsidP="003640D0"/>
    <w:p w:rsidR="00714A96" w:rsidRPr="00714A96" w:rsidRDefault="00714A96" w:rsidP="00714A96">
      <w:r w:rsidRPr="00714A96">
        <w:t>If the objective is that products can be compared across geographies, EONIA swap should be taken as the benchmark, as it is consistent in all the countries.</w:t>
      </w:r>
    </w:p>
    <w:p w:rsidR="006B465E" w:rsidRPr="005520B7" w:rsidRDefault="00714A96" w:rsidP="005520B7">
      <w:r w:rsidRPr="00714A96">
        <w:t>This reference has also the advantages of being more similar to the rate that a client would receive through traditional deposi</w:t>
      </w:r>
      <w:r w:rsidR="005520B7">
        <w:t>ts and being more stable in time</w:t>
      </w:r>
      <w:r w:rsidR="006B465E" w:rsidRPr="005520B7">
        <w:rPr>
          <w:rFonts w:ascii="Calibri" w:hAnsi="Calibri" w:cs="Arial"/>
          <w:color w:val="006600"/>
        </w:rPr>
        <w:t>.</w:t>
      </w:r>
    </w:p>
    <w:p w:rsidR="000E7F3F" w:rsidRPr="005520B7" w:rsidRDefault="000E7F3F" w:rsidP="000E7F3F">
      <w:pPr>
        <w:rPr>
          <w:b/>
          <w:color w:val="FF0000"/>
        </w:rPr>
      </w:pPr>
    </w:p>
    <w:permEnd w:id="11"/>
    <w:p w:rsidR="00F31E57" w:rsidRDefault="00F31E57" w:rsidP="00F31E57">
      <w:r>
        <w:t>&lt;ESMA_QUESTION_PRIIPs_3&gt;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 xml:space="preserve">What would be the most reasonable approach to specify the growth rates? Would any of these approaches not work for a specific type of product or underlying investment? </w:t>
      </w:r>
    </w:p>
    <w:p w:rsidR="00F31E57" w:rsidRDefault="00F31E57" w:rsidP="00F31E57"/>
    <w:p w:rsidR="00F31E57" w:rsidRDefault="00F31E57" w:rsidP="00F31E57">
      <w:r>
        <w:t>&lt;ESMA_QUESTION_PRIIPs_4&gt;</w:t>
      </w:r>
    </w:p>
    <w:p w:rsidR="005520B7" w:rsidRDefault="005520B7" w:rsidP="000E7F3F">
      <w:permStart w:id="12" w:edGrp="everyone"/>
      <w:r>
        <w:t>See answer t</w:t>
      </w:r>
      <w:r w:rsidR="001427E3">
        <w:t>o</w:t>
      </w:r>
      <w:r>
        <w:t xml:space="preserve"> Q3.</w:t>
      </w:r>
    </w:p>
    <w:p w:rsidR="000E7F3F" w:rsidRPr="00F30209" w:rsidRDefault="000E7F3F" w:rsidP="000E7F3F">
      <w:r w:rsidRPr="00F30209">
        <w:t>Our preferred option is to take the historical risk premium of the underlying net of dividends.</w:t>
      </w:r>
    </w:p>
    <w:p w:rsidR="000E7F3F" w:rsidRPr="00F30209" w:rsidRDefault="00B81C2D" w:rsidP="000E7F3F">
      <w:r>
        <w:t>AEB members</w:t>
      </w:r>
      <w:r w:rsidR="000E7F3F" w:rsidRPr="00F30209">
        <w:t xml:space="preserve"> do not agree on the analysis that most of the premium is the dividend, as it is not the case for many underlyings.</w:t>
      </w:r>
    </w:p>
    <w:p w:rsidR="000E7F3F" w:rsidRDefault="000E7F3F" w:rsidP="000E7F3F">
      <w:pPr>
        <w:rPr>
          <w:color w:val="002060"/>
        </w:rPr>
      </w:pPr>
      <w:r w:rsidRPr="00F30209">
        <w:t>In any case, that would mean that the drift would be the risk-free rate, so even being the case, it would be a drastic change from the neutral risk (which is the risk rate less dividends</w:t>
      </w:r>
      <w:r w:rsidRPr="000C291A">
        <w:rPr>
          <w:color w:val="002060"/>
        </w:rPr>
        <w:t>).</w:t>
      </w:r>
    </w:p>
    <w:p w:rsidR="006B465E" w:rsidRPr="002919FD" w:rsidRDefault="006B465E" w:rsidP="000E7F3F">
      <w:pPr>
        <w:rPr>
          <w:color w:val="002060"/>
        </w:rPr>
      </w:pPr>
    </w:p>
    <w:permEnd w:id="12"/>
    <w:p w:rsidR="00F31E57" w:rsidRDefault="00F31E57" w:rsidP="00F31E57">
      <w:r>
        <w:t>&lt;ESMA_QUESTION_PRIIPs_4&gt;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Please state your view on what time frame or frames should the Risk Indicator and Performance Scenarios be based</w:t>
      </w:r>
    </w:p>
    <w:p w:rsidR="00F31E57" w:rsidRDefault="00F31E57" w:rsidP="00F31E57"/>
    <w:p w:rsidR="00F31E57" w:rsidRDefault="00F31E57" w:rsidP="00F31E57">
      <w:r>
        <w:t>&lt;ESMA_QUESTION_PRIIPs_5&gt;</w:t>
      </w:r>
    </w:p>
    <w:p w:rsidR="000E7F3F" w:rsidRDefault="00B81C2D" w:rsidP="000E7F3F">
      <w:permStart w:id="13" w:edGrp="everyone"/>
      <w:r>
        <w:t>AEB members</w:t>
      </w:r>
      <w:r w:rsidRPr="00F30209">
        <w:t xml:space="preserve"> </w:t>
      </w:r>
      <w:r w:rsidR="000E7F3F" w:rsidRPr="00212BBF">
        <w:t>agree on using the term of the investment for structured products and the recommended holding period for open-end products</w:t>
      </w:r>
      <w:r w:rsidR="005520B7">
        <w:t xml:space="preserve"> for the Risk Indicator and for Performance Scenarios.</w:t>
      </w:r>
    </w:p>
    <w:p w:rsidR="005520B7" w:rsidRPr="005520B7" w:rsidRDefault="005520B7" w:rsidP="006B465E">
      <w:pPr>
        <w:jc w:val="both"/>
        <w:rPr>
          <w:rFonts w:ascii="Calibri" w:hAnsi="Calibri" w:cs="Arial"/>
          <w:color w:val="006600"/>
        </w:rPr>
      </w:pPr>
    </w:p>
    <w:p w:rsidR="005520B7" w:rsidRPr="005520B7" w:rsidRDefault="005520B7" w:rsidP="006B465E">
      <w:pPr>
        <w:jc w:val="both"/>
        <w:rPr>
          <w:rFonts w:cs="Arial"/>
        </w:rPr>
      </w:pPr>
      <w:r w:rsidRPr="005520B7">
        <w:rPr>
          <w:rFonts w:cs="Arial"/>
        </w:rPr>
        <w:t>A qualitative description could be included</w:t>
      </w:r>
      <w:r w:rsidR="006B465E" w:rsidRPr="005520B7">
        <w:rPr>
          <w:rFonts w:cs="Arial"/>
        </w:rPr>
        <w:t xml:space="preserve">, </w:t>
      </w:r>
      <w:r w:rsidRPr="005520B7">
        <w:rPr>
          <w:rFonts w:cs="Arial"/>
        </w:rPr>
        <w:t>stating that the risk indicator could vary during that time frame.</w:t>
      </w:r>
    </w:p>
    <w:p w:rsidR="006B465E" w:rsidRPr="002919FD" w:rsidRDefault="006B465E" w:rsidP="000E7F3F"/>
    <w:permEnd w:id="13"/>
    <w:p w:rsidR="00F31E57" w:rsidRDefault="00F31E57" w:rsidP="00F31E57">
      <w:r>
        <w:t>&lt;ESMA_QUESTION_PRIIPs_5&gt;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lang w:eastAsia="zh-CN"/>
        </w:rPr>
      </w:pPr>
      <w:r>
        <w:rPr>
          <w:rFonts w:eastAsia="Times New Roman"/>
          <w:lang w:eastAsia="zh-CN"/>
        </w:rPr>
        <w:t>Do you have any views on these considerations on the assessment of credit risk, and in particular regarding the use of credit ratings?</w:t>
      </w:r>
    </w:p>
    <w:p w:rsidR="00F31E57" w:rsidRDefault="00F31E57" w:rsidP="00F31E57">
      <w:pPr>
        <w:rPr>
          <w:rFonts w:eastAsiaTheme="minorHAnsi"/>
          <w:lang w:eastAsia="en-US"/>
        </w:rPr>
      </w:pPr>
    </w:p>
    <w:p w:rsidR="00F31E57" w:rsidRDefault="00F31E57" w:rsidP="00F31E57">
      <w:r>
        <w:t>&lt;ESMA_QUESTION_PRIIPs_6&gt;</w:t>
      </w:r>
    </w:p>
    <w:p w:rsidR="00494736" w:rsidRPr="00F30209" w:rsidRDefault="000E7F3F" w:rsidP="000E7F3F">
      <w:pPr>
        <w:rPr>
          <w:rFonts w:cs="Arial"/>
        </w:rPr>
      </w:pPr>
      <w:permStart w:id="14" w:edGrp="everyone"/>
      <w:r w:rsidRPr="00F30209">
        <w:rPr>
          <w:rFonts w:cs="Arial"/>
        </w:rPr>
        <w:t xml:space="preserve">Concerning credit risk, </w:t>
      </w:r>
      <w:r w:rsidR="00494736" w:rsidRPr="00F30209">
        <w:rPr>
          <w:rFonts w:cs="Arial"/>
        </w:rPr>
        <w:t>we think most appropriate qualitative measures.</w:t>
      </w:r>
    </w:p>
    <w:p w:rsidR="000E7F3F" w:rsidRPr="00F30209" w:rsidRDefault="001427E3" w:rsidP="000E7F3F">
      <w:pPr>
        <w:rPr>
          <w:rFonts w:cs="Arial"/>
        </w:rPr>
      </w:pPr>
      <w:r>
        <w:rPr>
          <w:rFonts w:cs="Arial"/>
        </w:rPr>
        <w:lastRenderedPageBreak/>
        <w:t>AEB members c</w:t>
      </w:r>
      <w:r w:rsidR="000E7F3F" w:rsidRPr="00F30209">
        <w:rPr>
          <w:rFonts w:cs="Arial"/>
        </w:rPr>
        <w:t>onsider that the use of credit ratings should be residual. It is much better an approach based on the default probabilities implied in the debt spreads. In cases where there is no market data available it can make sense to use the ratings on a subsidiary basis.</w:t>
      </w:r>
    </w:p>
    <w:p w:rsidR="00494736" w:rsidRPr="00F30209" w:rsidRDefault="00494736" w:rsidP="000E7F3F">
      <w:pPr>
        <w:rPr>
          <w:rFonts w:cs="Arial"/>
        </w:rPr>
      </w:pPr>
      <w:r w:rsidRPr="00F30209">
        <w:rPr>
          <w:rFonts w:cs="Arial"/>
        </w:rPr>
        <w:t>Credit Risk should be fully explained and detailed stressing its extremely worst outcomes in the risk se</w:t>
      </w:r>
      <w:r w:rsidRPr="00F30209">
        <w:rPr>
          <w:rFonts w:cs="Arial"/>
        </w:rPr>
        <w:t>c</w:t>
      </w:r>
      <w:r w:rsidRPr="00F30209">
        <w:rPr>
          <w:rFonts w:cs="Arial"/>
        </w:rPr>
        <w:t>tion</w:t>
      </w:r>
    </w:p>
    <w:p w:rsidR="000E7F3F" w:rsidRPr="00494736" w:rsidRDefault="000E7F3F" w:rsidP="000E7F3F">
      <w:pPr>
        <w:rPr>
          <w:rFonts w:cs="Arial"/>
          <w:color w:val="002060"/>
        </w:rPr>
      </w:pPr>
      <w:r w:rsidRPr="00F30209">
        <w:rPr>
          <w:rFonts w:cs="Arial"/>
        </w:rPr>
        <w:t>We agree that the existence of deposit guarantee schemes is valuable information for the client so it should be included</w:t>
      </w:r>
      <w:r w:rsidRPr="00494736">
        <w:rPr>
          <w:rFonts w:cs="Arial"/>
          <w:color w:val="002060"/>
        </w:rPr>
        <w:t>.</w:t>
      </w:r>
    </w:p>
    <w:p w:rsidR="003640D0" w:rsidRPr="00686EBE" w:rsidRDefault="003640D0" w:rsidP="003640D0">
      <w:pPr>
        <w:rPr>
          <w:rFonts w:ascii="BBVA Office Light" w:hAnsi="BBVA Office Light"/>
          <w:color w:val="0070C0"/>
        </w:rPr>
      </w:pPr>
      <w:r w:rsidRPr="00686EBE">
        <w:rPr>
          <w:rFonts w:ascii="BBVA Office Light" w:hAnsi="BBVA Office Light"/>
          <w:color w:val="0070C0"/>
        </w:rPr>
        <w:t>.</w:t>
      </w:r>
    </w:p>
    <w:permEnd w:id="14"/>
    <w:p w:rsidR="00F31E57" w:rsidRDefault="00F31E57" w:rsidP="00F31E57">
      <w:r>
        <w:t>&lt;ESMA_QUESTION_PRIIPs_6&gt;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 xml:space="preserve">Do you agree that liquidity issues should be reflected in the risk section, in addition to clarifications provided in other section of the KID? </w:t>
      </w:r>
    </w:p>
    <w:p w:rsidR="00F31E57" w:rsidRDefault="00F31E57" w:rsidP="00F31E57"/>
    <w:p w:rsidR="00F31E57" w:rsidRDefault="00F31E57" w:rsidP="00F31E57">
      <w:r>
        <w:t>&lt;ESMA_QUESTION_PRIIPs_7&gt;</w:t>
      </w:r>
    </w:p>
    <w:p w:rsidR="002919FD" w:rsidRDefault="002919FD" w:rsidP="00494736">
      <w:pPr>
        <w:jc w:val="both"/>
        <w:rPr>
          <w:rFonts w:cs="Arial"/>
        </w:rPr>
      </w:pPr>
      <w:permStart w:id="15" w:edGrp="everyone"/>
    </w:p>
    <w:permEnd w:id="15"/>
    <w:p w:rsidR="00F31E57" w:rsidRDefault="00F31E57" w:rsidP="00F31E57">
      <w:r>
        <w:t>&lt;ESMA_QUESTION_PRIIPs_7&gt;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consider that qualitative measures such as the ones proposed are appropriate or that they need to be supplemented with some quantitative measure to some e</w:t>
      </w:r>
      <w:r>
        <w:t>x</w:t>
      </w:r>
      <w:r>
        <w:t>tent?</w:t>
      </w:r>
    </w:p>
    <w:p w:rsidR="00F31E57" w:rsidRDefault="00F31E57" w:rsidP="00F31E57"/>
    <w:p w:rsidR="00F31E57" w:rsidRDefault="00F31E57" w:rsidP="00F31E57">
      <w:r>
        <w:t>&lt;ESMA_QUESTION_PRIIPs_8&gt;</w:t>
      </w:r>
    </w:p>
    <w:p w:rsidR="000E7F3F" w:rsidRDefault="000E7F3F" w:rsidP="00494736">
      <w:pPr>
        <w:jc w:val="both"/>
        <w:rPr>
          <w:rFonts w:cs="Arial"/>
        </w:rPr>
      </w:pPr>
      <w:permStart w:id="16" w:edGrp="everyone"/>
      <w:r w:rsidRPr="00F30209">
        <w:rPr>
          <w:rFonts w:cs="Arial"/>
        </w:rPr>
        <w:t>In general terms, PRIIPS tend to offer the same liquidity as their underlyings. A product that allows the exit before its term is liquid, as long as there is a commitment for this liquidity, independently on the secondary market activity. Therefore, it makes more sense to use a qualitative ranking than try to include quantitative indicators. Additionally it would be impossible to include quantitative secondary market indicators in new products, which goes against the pre-contractual information sought in KID.</w:t>
      </w:r>
    </w:p>
    <w:p w:rsidR="005520B7" w:rsidRPr="00F30209" w:rsidRDefault="005520B7" w:rsidP="00494736">
      <w:pPr>
        <w:jc w:val="both"/>
        <w:rPr>
          <w:rFonts w:cs="Arial"/>
        </w:rPr>
      </w:pPr>
    </w:p>
    <w:p w:rsidR="000E7F3F" w:rsidRDefault="00106283" w:rsidP="00494736">
      <w:pPr>
        <w:jc w:val="both"/>
        <w:rPr>
          <w:rFonts w:cs="Arial"/>
        </w:rPr>
      </w:pPr>
      <w:r>
        <w:rPr>
          <w:rFonts w:cs="Arial"/>
        </w:rPr>
        <w:t xml:space="preserve">AEB members </w:t>
      </w:r>
      <w:r w:rsidR="00494736" w:rsidRPr="00F30209">
        <w:rPr>
          <w:rFonts w:cs="Arial"/>
        </w:rPr>
        <w:t>agree that cost and exit penalties for early redemptions be considered a component of the liquidity so t</w:t>
      </w:r>
      <w:r w:rsidR="000E7F3F" w:rsidRPr="00F30209">
        <w:rPr>
          <w:rFonts w:cs="Arial"/>
        </w:rPr>
        <w:t>he</w:t>
      </w:r>
      <w:r w:rsidR="00494736" w:rsidRPr="00F30209">
        <w:rPr>
          <w:rFonts w:cs="Arial"/>
        </w:rPr>
        <w:t>ir</w:t>
      </w:r>
      <w:r w:rsidR="000E7F3F" w:rsidRPr="00F30209">
        <w:rPr>
          <w:rFonts w:cs="Arial"/>
        </w:rPr>
        <w:t xml:space="preserve"> existence </w:t>
      </w:r>
      <w:r w:rsidR="00494736" w:rsidRPr="00F30209">
        <w:rPr>
          <w:rFonts w:cs="Arial"/>
        </w:rPr>
        <w:t>s</w:t>
      </w:r>
      <w:r w:rsidR="000E7F3F" w:rsidRPr="00F30209">
        <w:rPr>
          <w:rFonts w:cs="Arial"/>
        </w:rPr>
        <w:t>hould be indicated so that the customer is informed before the acquisition, but unless the costs are excessive it does not remove the fact that the product has liquidity.</w:t>
      </w:r>
    </w:p>
    <w:p w:rsidR="005520B7" w:rsidRPr="00F30209" w:rsidRDefault="005520B7" w:rsidP="00494736">
      <w:pPr>
        <w:jc w:val="both"/>
        <w:rPr>
          <w:rFonts w:cs="Arial"/>
        </w:rPr>
      </w:pPr>
    </w:p>
    <w:p w:rsidR="003640D0" w:rsidRDefault="003640D0" w:rsidP="00494736">
      <w:pPr>
        <w:jc w:val="both"/>
        <w:rPr>
          <w:rFonts w:cs="Arial"/>
        </w:rPr>
      </w:pPr>
      <w:r w:rsidRPr="00F30209">
        <w:rPr>
          <w:rFonts w:cs="Arial"/>
        </w:rPr>
        <w:t>The best approach is, perhaps, to insert a disclaimer about the (possible) low liquidity and warning the investor that he/she may be unable to exit the investment before the termination date or that he/she may have to support exit penalties/fees and/or be subject to market conditions at the time of divestment.</w:t>
      </w:r>
    </w:p>
    <w:p w:rsidR="003640D0" w:rsidRPr="002919FD" w:rsidRDefault="003640D0" w:rsidP="000E7F3F">
      <w:pPr>
        <w:rPr>
          <w:color w:val="FF0000"/>
        </w:rPr>
      </w:pPr>
    </w:p>
    <w:permEnd w:id="16"/>
    <w:p w:rsidR="00F31E57" w:rsidRDefault="00F31E57" w:rsidP="00F31E57">
      <w:r>
        <w:t>&lt;ESMA_QUESTION_PRIIPs_8&gt;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 xml:space="preserve">Please state your views on the most appropriate criteria and risk levels´ definition in case this approach was selected. </w:t>
      </w:r>
    </w:p>
    <w:p w:rsidR="00F31E57" w:rsidRDefault="00F31E57" w:rsidP="00F31E57"/>
    <w:p w:rsidR="00F31E57" w:rsidRDefault="00F31E57" w:rsidP="00F31E57">
      <w:r>
        <w:t>&lt;ESMA_QUESTION_PRIIPs_9&gt;</w:t>
      </w:r>
    </w:p>
    <w:p w:rsidR="000E7F3F" w:rsidRPr="00F30209" w:rsidRDefault="000E7F3F" w:rsidP="00E50317">
      <w:pPr>
        <w:jc w:val="both"/>
      </w:pPr>
      <w:permStart w:id="17" w:edGrp="everyone"/>
      <w:r w:rsidRPr="00F30209">
        <w:t xml:space="preserve"> </w:t>
      </w:r>
      <w:r w:rsidR="00317D56">
        <w:t>AEB members</w:t>
      </w:r>
      <w:r w:rsidR="00317D56" w:rsidRPr="00F30209">
        <w:t xml:space="preserve"> </w:t>
      </w:r>
      <w:r w:rsidRPr="00F30209">
        <w:t>agree with the assessment that this is a very simple approach and easy to implement for both institutions and supervisors. However, being based only on a qualitative methodology, it would be necessary to set a criteria of measurable limits between classes of products, to adapt properly to different market conditions.</w:t>
      </w:r>
    </w:p>
    <w:p w:rsidR="000E7F3F" w:rsidRPr="00F30209" w:rsidRDefault="000E7F3F" w:rsidP="00E50317">
      <w:pPr>
        <w:jc w:val="both"/>
      </w:pPr>
      <w:r w:rsidRPr="00F30209">
        <w:t>The disadvantages of this option are:</w:t>
      </w:r>
    </w:p>
    <w:p w:rsidR="000E7F3F" w:rsidRPr="00F30209" w:rsidRDefault="000E7F3F" w:rsidP="00E50317">
      <w:pPr>
        <w:jc w:val="both"/>
      </w:pPr>
      <w:r w:rsidRPr="00F30209">
        <w:t>- Possible differences in treatment between Funds and Structured Products with similar levels of risk.</w:t>
      </w:r>
    </w:p>
    <w:p w:rsidR="000E7F3F" w:rsidRPr="00F30209" w:rsidRDefault="000E7F3F" w:rsidP="00E50317">
      <w:pPr>
        <w:jc w:val="both"/>
      </w:pPr>
      <w:r w:rsidRPr="00F30209">
        <w:t>- Difficulty on discriminating structures according to the "severity" losses, i.e. the speed with which such losses may occur.</w:t>
      </w:r>
    </w:p>
    <w:p w:rsidR="000E7F3F" w:rsidRPr="00F30209" w:rsidRDefault="000E7F3F" w:rsidP="00E50317">
      <w:pPr>
        <w:jc w:val="both"/>
      </w:pPr>
      <w:r w:rsidRPr="00F30209">
        <w:t>- Penalization of investments in currency other than the local one.</w:t>
      </w:r>
    </w:p>
    <w:p w:rsidR="000E7F3F" w:rsidRPr="00F30209" w:rsidRDefault="000E7F3F" w:rsidP="00E50317">
      <w:pPr>
        <w:jc w:val="both"/>
      </w:pPr>
      <w:r w:rsidRPr="00F30209">
        <w:t> </w:t>
      </w:r>
    </w:p>
    <w:p w:rsidR="000E7F3F" w:rsidRPr="00F30209" w:rsidRDefault="000E7F3F" w:rsidP="00E50317">
      <w:pPr>
        <w:jc w:val="both"/>
      </w:pPr>
      <w:r w:rsidRPr="00F30209">
        <w:t>In case this option was taken, there are some improvements to be made:</w:t>
      </w:r>
    </w:p>
    <w:p w:rsidR="00E50317" w:rsidRPr="00F30209" w:rsidRDefault="000E7F3F" w:rsidP="00E50317">
      <w:pPr>
        <w:pStyle w:val="Prrafodelista"/>
        <w:numPr>
          <w:ilvl w:val="0"/>
          <w:numId w:val="51"/>
        </w:numPr>
        <w:jc w:val="both"/>
        <w:rPr>
          <w:rFonts w:ascii="BBVA Office Light" w:hAnsi="BBVA Office Light"/>
        </w:rPr>
      </w:pPr>
      <w:r w:rsidRPr="00F30209">
        <w:t xml:space="preserve">Number of classes: </w:t>
      </w:r>
      <w:r w:rsidR="00E50317" w:rsidRPr="00F30209">
        <w:t xml:space="preserve"> </w:t>
      </w:r>
    </w:p>
    <w:p w:rsidR="000E7F3F" w:rsidRPr="00F30209" w:rsidRDefault="00E50317" w:rsidP="00E50317">
      <w:pPr>
        <w:pStyle w:val="Prrafodelista"/>
        <w:numPr>
          <w:ilvl w:val="0"/>
          <w:numId w:val="51"/>
        </w:numPr>
        <w:contextualSpacing w:val="0"/>
        <w:jc w:val="both"/>
      </w:pPr>
      <w:r w:rsidRPr="00F30209">
        <w:rPr>
          <w:rFonts w:cs="Arial"/>
        </w:rPr>
        <w:lastRenderedPageBreak/>
        <w:t>We find more practical  5, or 6, categories than a numeric scale (0 to 100%) which could be have more inconsistencies or divergences across participants and/or products</w:t>
      </w:r>
      <w:r w:rsidRPr="00F30209">
        <w:rPr>
          <w:rFonts w:ascii="BBVA Office Light" w:hAnsi="BBVA Office Light"/>
        </w:rPr>
        <w:t>. I</w:t>
      </w:r>
      <w:r w:rsidR="000E7F3F" w:rsidRPr="00F30209">
        <w:t xml:space="preserve">t is preferable to have only 5 or 6. That would be enough to differentiate among products. It is advisable to avoid 7 kinds not to be confused with the non-rated UCITS. </w:t>
      </w:r>
    </w:p>
    <w:p w:rsidR="000E7F3F" w:rsidRPr="00F30209" w:rsidRDefault="000E7F3F" w:rsidP="00E50317">
      <w:pPr>
        <w:pStyle w:val="Prrafodelista"/>
        <w:numPr>
          <w:ilvl w:val="0"/>
          <w:numId w:val="51"/>
        </w:numPr>
        <w:contextualSpacing w:val="0"/>
        <w:jc w:val="both"/>
      </w:pPr>
      <w:r w:rsidRPr="00F30209">
        <w:t xml:space="preserve">The separation between classes must be flexible to adapt to market conditions. </w:t>
      </w:r>
    </w:p>
    <w:p w:rsidR="000E7F3F" w:rsidRPr="00F30209" w:rsidRDefault="000E7F3F" w:rsidP="00E50317">
      <w:pPr>
        <w:pStyle w:val="Prrafodelista"/>
        <w:numPr>
          <w:ilvl w:val="0"/>
          <w:numId w:val="51"/>
        </w:numPr>
        <w:contextualSpacing w:val="0"/>
        <w:jc w:val="both"/>
      </w:pPr>
      <w:r w:rsidRPr="00F30209">
        <w:t>It should be based on clear and auditable criteria.</w:t>
      </w:r>
    </w:p>
    <w:p w:rsidR="002864A3" w:rsidRDefault="00E50317" w:rsidP="00E50317">
      <w:pPr>
        <w:pStyle w:val="Prrafodelista"/>
        <w:numPr>
          <w:ilvl w:val="0"/>
          <w:numId w:val="51"/>
        </w:numPr>
        <w:contextualSpacing w:val="0"/>
        <w:jc w:val="both"/>
        <w:rPr>
          <w:rFonts w:cs="Arial"/>
        </w:rPr>
      </w:pPr>
      <w:r w:rsidRPr="00F30209">
        <w:rPr>
          <w:rFonts w:cs="Arial"/>
        </w:rPr>
        <w:t>Regarding credit ratings, they are penalizing some banks due to the sovereign cap (i.e. impossibi</w:t>
      </w:r>
      <w:r w:rsidRPr="00F30209">
        <w:rPr>
          <w:rFonts w:cs="Arial"/>
        </w:rPr>
        <w:t>l</w:t>
      </w:r>
      <w:r w:rsidRPr="00F30209">
        <w:rPr>
          <w:rFonts w:cs="Arial"/>
        </w:rPr>
        <w:t>ity of having a rating higher that bank’s national sovereign one). For national investors we would argue for assigning minimum credit risk to sovereign rating</w:t>
      </w:r>
    </w:p>
    <w:p w:rsidR="00E50317" w:rsidRPr="00F30209" w:rsidRDefault="002864A3" w:rsidP="00E50317">
      <w:pPr>
        <w:pStyle w:val="Prrafodelista"/>
        <w:numPr>
          <w:ilvl w:val="0"/>
          <w:numId w:val="51"/>
        </w:numPr>
        <w:contextualSpacing w:val="0"/>
        <w:jc w:val="both"/>
        <w:rPr>
          <w:rFonts w:cs="Arial"/>
        </w:rPr>
      </w:pPr>
      <w:r>
        <w:rPr>
          <w:rFonts w:cs="Arial"/>
        </w:rPr>
        <w:t>Regarding Alternative ways to define and measure levels of loss, the third option would be pre</w:t>
      </w:r>
      <w:r>
        <w:rPr>
          <w:rFonts w:cs="Arial"/>
        </w:rPr>
        <w:t>f</w:t>
      </w:r>
      <w:r>
        <w:rPr>
          <w:rFonts w:cs="Arial"/>
        </w:rPr>
        <w:t>ered</w:t>
      </w:r>
      <w:r w:rsidR="00E50317" w:rsidRPr="00F30209">
        <w:rPr>
          <w:rFonts w:cs="Arial"/>
        </w:rPr>
        <w:t>.</w:t>
      </w:r>
    </w:p>
    <w:p w:rsidR="000E7F3F" w:rsidRPr="00F30209" w:rsidRDefault="000E7F3F" w:rsidP="00E50317">
      <w:pPr>
        <w:jc w:val="both"/>
      </w:pPr>
      <w:r w:rsidRPr="00F30209">
        <w:t> </w:t>
      </w:r>
    </w:p>
    <w:p w:rsidR="000E7F3F" w:rsidRPr="00F30209" w:rsidRDefault="000E7F3F" w:rsidP="00E50317">
      <w:pPr>
        <w:jc w:val="both"/>
      </w:pPr>
      <w:r w:rsidRPr="00F30209">
        <w:t>Including term limits would need further discussion, since there is no sense on assessing the term of a product without taking into account its liquidity. Liquidity is a reliever for longer term products. The exi</w:t>
      </w:r>
      <w:r w:rsidRPr="00F30209">
        <w:t>s</w:t>
      </w:r>
      <w:r w:rsidRPr="00F30209">
        <w:t>tence of prepayments may also mitigate the term as a risk factor. In any case liquidity should differ from &lt;5 years and 5 to 10 years and&gt; 10 years. </w:t>
      </w:r>
    </w:p>
    <w:p w:rsidR="000E7F3F" w:rsidRPr="00F30209" w:rsidRDefault="000E7F3F" w:rsidP="00E50317">
      <w:pPr>
        <w:jc w:val="both"/>
      </w:pPr>
      <w:r w:rsidRPr="00F30209">
        <w:t>We believe that a scoring model that will value different characteristics of products, including credit and liquidity guarantees, term, level of capital at risk, etc. could be helpful. However, the combination of the different types of risk into a single measure containing all shows some methodological difficulties as assumptions about the relationship between risks are introduced.</w:t>
      </w:r>
    </w:p>
    <w:p w:rsidR="000E7F3F" w:rsidRPr="00F30209" w:rsidRDefault="000E7F3F" w:rsidP="00E50317">
      <w:pPr>
        <w:jc w:val="both"/>
      </w:pPr>
    </w:p>
    <w:p w:rsidR="000E7F3F" w:rsidRPr="00F30209" w:rsidRDefault="000E7F3F" w:rsidP="00E50317">
      <w:pPr>
        <w:jc w:val="both"/>
      </w:pPr>
      <w:r w:rsidRPr="00F30209">
        <w:t>Undertaking the analysis on separate types of risk seems more reasonable. Indeed, the credit risk can be as or more important than the market risk and therefore deserves a sufficiently rigorous analysis. But this does not mean to integrate under the same analysis credit and market risks (in which both interact). It is better to create two independent sections.</w:t>
      </w:r>
    </w:p>
    <w:p w:rsidR="000E7F3F" w:rsidRPr="00F30209" w:rsidRDefault="000E7F3F" w:rsidP="00E50317">
      <w:pPr>
        <w:jc w:val="both"/>
      </w:pPr>
    </w:p>
    <w:p w:rsidR="000E7F3F" w:rsidRDefault="000E7F3F" w:rsidP="00E50317">
      <w:pPr>
        <w:jc w:val="both"/>
      </w:pPr>
      <w:r w:rsidRPr="00F30209">
        <w:t>Concerning liquidity risk, it is preferable to show a qualitative explanation or a simple indicator.</w:t>
      </w:r>
    </w:p>
    <w:p w:rsidR="00D6548A" w:rsidRDefault="00D6548A" w:rsidP="00E50317">
      <w:pPr>
        <w:jc w:val="both"/>
      </w:pPr>
    </w:p>
    <w:p w:rsidR="00D6548A" w:rsidRPr="00D6548A" w:rsidRDefault="00D6548A" w:rsidP="00D6548A">
      <w:r w:rsidRPr="00D6548A">
        <w:rPr>
          <w:lang w:val="en-US"/>
        </w:rPr>
        <w:t>After analyzing all the options suggested we are in favor of Option 1.</w:t>
      </w:r>
    </w:p>
    <w:p w:rsidR="00D6548A" w:rsidRPr="00D6548A" w:rsidRDefault="00D6548A" w:rsidP="00D6548A">
      <w:r w:rsidRPr="00D6548A">
        <w:rPr>
          <w:lang w:val="en-US"/>
        </w:rPr>
        <w:t> </w:t>
      </w:r>
    </w:p>
    <w:p w:rsidR="00D6548A" w:rsidRPr="00D6548A" w:rsidRDefault="00D6548A" w:rsidP="00D6548A">
      <w:r w:rsidRPr="00D6548A">
        <w:rPr>
          <w:lang w:val="en-US"/>
        </w:rPr>
        <w:t>The main benefit of this option is that it provides a quantitative market risk measure complemented by a qualitative description of credit risk. Market risk is the most relevant for a majority of the investment pro</w:t>
      </w:r>
      <w:r w:rsidRPr="00D6548A">
        <w:rPr>
          <w:lang w:val="en-US"/>
        </w:rPr>
        <w:t>d</w:t>
      </w:r>
      <w:r w:rsidRPr="00D6548A">
        <w:rPr>
          <w:lang w:val="en-US"/>
        </w:rPr>
        <w:t xml:space="preserve">ucts, whereas credit risk can only be relevant for unit-linked products. Therefore, adding credit risk in the quantitative risk indicator would add unnecessary complexity to the model. </w:t>
      </w:r>
    </w:p>
    <w:p w:rsidR="00D6548A" w:rsidRPr="00D6548A" w:rsidRDefault="00D6548A" w:rsidP="00D6548A">
      <w:r w:rsidRPr="00D6548A">
        <w:rPr>
          <w:lang w:val="en-US"/>
        </w:rPr>
        <w:t> </w:t>
      </w:r>
    </w:p>
    <w:p w:rsidR="00D6548A" w:rsidRPr="00D6548A" w:rsidRDefault="00D6548A" w:rsidP="00D6548A">
      <w:r w:rsidRPr="00D6548A">
        <w:rPr>
          <w:lang w:val="en-US"/>
        </w:rPr>
        <w:t>In addition, it is the most feasible option when it comes to implementation by the industry. And the most important points are that it will be also easier to understand by the retail investor and to supervise. This type of indicator would ensure appropriate comparability between all types of PRIIPs and a level playing field with UCITS as well.</w:t>
      </w:r>
    </w:p>
    <w:p w:rsidR="00D6548A" w:rsidRDefault="00D6548A" w:rsidP="00D6548A">
      <w:pPr>
        <w:jc w:val="both"/>
      </w:pPr>
    </w:p>
    <w:p w:rsidR="00D6548A" w:rsidRPr="00F30209" w:rsidRDefault="00D6548A" w:rsidP="00E50317">
      <w:pPr>
        <w:jc w:val="both"/>
      </w:pPr>
    </w:p>
    <w:p w:rsidR="003640D0" w:rsidRPr="003A788D" w:rsidRDefault="003640D0" w:rsidP="000E7F3F">
      <w:pPr>
        <w:rPr>
          <w:color w:val="FF0000"/>
          <w:u w:val="single"/>
        </w:rPr>
      </w:pPr>
    </w:p>
    <w:permEnd w:id="17"/>
    <w:p w:rsidR="00F31E57" w:rsidRDefault="00F31E57" w:rsidP="00F31E57">
      <w:r>
        <w:t>&lt;ESMA_QUESTION_PRIIPs_9&gt;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Please state your views on the required parameters and possible amendments to this indicator.</w:t>
      </w:r>
    </w:p>
    <w:p w:rsidR="00F31E57" w:rsidRDefault="00F31E57" w:rsidP="00F31E57"/>
    <w:p w:rsidR="00F31E57" w:rsidRDefault="00F31E57" w:rsidP="00F31E57">
      <w:r>
        <w:t>&lt;ESMA_QUESTION_PRIIPs_10&gt;</w:t>
      </w:r>
    </w:p>
    <w:p w:rsidR="00042D33" w:rsidRDefault="00042D33" w:rsidP="00E50317">
      <w:pPr>
        <w:jc w:val="both"/>
      </w:pPr>
      <w:permStart w:id="18" w:edGrp="everyone"/>
    </w:p>
    <w:p w:rsidR="000E7F3F" w:rsidRPr="00F30209" w:rsidRDefault="00E50317" w:rsidP="00E50317">
      <w:pPr>
        <w:jc w:val="both"/>
      </w:pPr>
      <w:r w:rsidRPr="00042D33">
        <w:rPr>
          <w:rFonts w:cs="Arial"/>
        </w:rPr>
        <w:t>T</w:t>
      </w:r>
      <w:r w:rsidR="000E7F3F" w:rsidRPr="00042D33">
        <w:rPr>
          <w:rFonts w:cs="Arial"/>
        </w:rPr>
        <w:t>he option does not clarify</w:t>
      </w:r>
      <w:r w:rsidR="000E7F3F" w:rsidRPr="00F30209">
        <w:t xml:space="preserve"> how to combine indicators of market risk and credit risk. In our opinion, there should be a linear relationship between term and credit risk in the combined ratio. </w:t>
      </w:r>
    </w:p>
    <w:p w:rsidR="000E7F3F" w:rsidRPr="00F30209" w:rsidRDefault="000E7F3F" w:rsidP="00E50317">
      <w:pPr>
        <w:jc w:val="both"/>
      </w:pPr>
      <w:r w:rsidRPr="00F30209">
        <w:t>Not being qualitative, it would be easier to adapt this method to the actual market conditions at each time, not restricting the categories to predefined limits.</w:t>
      </w:r>
    </w:p>
    <w:p w:rsidR="000E7F3F" w:rsidRPr="00F30209" w:rsidRDefault="000E7F3F" w:rsidP="00E50317">
      <w:pPr>
        <w:jc w:val="both"/>
      </w:pPr>
      <w:r w:rsidRPr="00F30209">
        <w:t>However, this method will require enough supervision or independent assessment of the classification granted.</w:t>
      </w:r>
    </w:p>
    <w:p w:rsidR="000E7F3F" w:rsidRPr="00F30209" w:rsidRDefault="000E7F3F" w:rsidP="00E50317">
      <w:pPr>
        <w:jc w:val="both"/>
      </w:pPr>
    </w:p>
    <w:p w:rsidR="000E7F3F" w:rsidRPr="00F30209" w:rsidRDefault="000E7F3F" w:rsidP="00E50317">
      <w:pPr>
        <w:jc w:val="both"/>
      </w:pPr>
      <w:r w:rsidRPr="00F30209">
        <w:lastRenderedPageBreak/>
        <w:t>If this method was selected, some consideration shall be taken into account:</w:t>
      </w:r>
    </w:p>
    <w:p w:rsidR="000E7F3F" w:rsidRPr="00F30209" w:rsidRDefault="000E7F3F" w:rsidP="00E50317">
      <w:pPr>
        <w:pStyle w:val="Prrafodelista"/>
        <w:numPr>
          <w:ilvl w:val="0"/>
          <w:numId w:val="51"/>
        </w:numPr>
        <w:contextualSpacing w:val="0"/>
        <w:jc w:val="both"/>
      </w:pPr>
      <w:r w:rsidRPr="00F30209">
        <w:t>Concerning credit risk, we do not agree with the use of credit ratings as the primary indicator. We believe it is much better to use an approach based on default probabilities implied in the debt spreads. In cases where there is no market data to take this approach, then it can make sense to use the ratings on a subsidiary basis.</w:t>
      </w:r>
    </w:p>
    <w:p w:rsidR="000E7F3F" w:rsidRDefault="000E7F3F" w:rsidP="00E50317">
      <w:pPr>
        <w:pStyle w:val="Prrafodelista"/>
        <w:numPr>
          <w:ilvl w:val="0"/>
          <w:numId w:val="51"/>
        </w:numPr>
        <w:contextualSpacing w:val="0"/>
        <w:jc w:val="both"/>
      </w:pPr>
      <w:r w:rsidRPr="00F30209">
        <w:t>Calculations based purely in deltas are a too simplistic approach. It needs to be adapted accor</w:t>
      </w:r>
      <w:r w:rsidRPr="00F30209">
        <w:t>d</w:t>
      </w:r>
      <w:r w:rsidRPr="00F30209">
        <w:t>ing to correlations, volatilities, probabilities of cancellation, providing differential treatment to “worst of” baskets in relation to “equally- weighted” baskets.</w:t>
      </w:r>
    </w:p>
    <w:p w:rsidR="00B419EC" w:rsidRDefault="00B419EC" w:rsidP="00E50317">
      <w:pPr>
        <w:pStyle w:val="Prrafodelista"/>
        <w:numPr>
          <w:ilvl w:val="0"/>
          <w:numId w:val="51"/>
        </w:numPr>
        <w:contextualSpacing w:val="0"/>
        <w:jc w:val="both"/>
      </w:pPr>
    </w:p>
    <w:p w:rsidR="006B465E" w:rsidRPr="00B419EC" w:rsidRDefault="006B465E" w:rsidP="006B465E">
      <w:pPr>
        <w:jc w:val="both"/>
        <w:rPr>
          <w:lang w:val="es-ES"/>
        </w:rPr>
      </w:pPr>
    </w:p>
    <w:permEnd w:id="18"/>
    <w:p w:rsidR="00F31E57" w:rsidRDefault="00F31E57" w:rsidP="00F31E57">
      <w:r>
        <w:t>&lt;ESMA_QUESTION_PRIIPs_10&gt;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 xml:space="preserve">Please state your views on the appropriate details to regulate this approach, should it be selected. </w:t>
      </w:r>
    </w:p>
    <w:p w:rsidR="00F31E57" w:rsidRDefault="00F31E57" w:rsidP="00F31E57"/>
    <w:p w:rsidR="00F31E57" w:rsidRDefault="00F31E57" w:rsidP="00F31E57">
      <w:r>
        <w:t>&lt;ESMA_QUESTION_PRIIPs_11&gt;</w:t>
      </w:r>
    </w:p>
    <w:p w:rsidR="00CD3D1B" w:rsidRDefault="00CD3D1B" w:rsidP="00E50317">
      <w:pPr>
        <w:jc w:val="both"/>
        <w:rPr>
          <w:rFonts w:cs="Arial"/>
        </w:rPr>
      </w:pPr>
      <w:permStart w:id="19" w:edGrp="everyone"/>
    </w:p>
    <w:p w:rsidR="00042D33" w:rsidRPr="004233F0" w:rsidRDefault="00CD3D1B" w:rsidP="004233F0">
      <w:pPr>
        <w:jc w:val="both"/>
        <w:rPr>
          <w:rFonts w:cs="Arial"/>
        </w:rPr>
      </w:pPr>
      <w:r w:rsidRPr="00042D33">
        <w:rPr>
          <w:rFonts w:cs="Arial"/>
        </w:rPr>
        <w:t>As s</w:t>
      </w:r>
      <w:r w:rsidR="00157914">
        <w:rPr>
          <w:rFonts w:cs="Arial"/>
        </w:rPr>
        <w:t xml:space="preserve">tated in Q2, we are not in </w:t>
      </w:r>
      <w:proofErr w:type="spellStart"/>
      <w:r w:rsidR="00157914">
        <w:rPr>
          <w:rFonts w:cs="Arial"/>
        </w:rPr>
        <w:t>favo</w:t>
      </w:r>
      <w:r w:rsidRPr="00042D33">
        <w:rPr>
          <w:rFonts w:cs="Arial"/>
        </w:rPr>
        <w:t>r</w:t>
      </w:r>
      <w:proofErr w:type="spellEnd"/>
      <w:r w:rsidRPr="00042D33">
        <w:rPr>
          <w:rFonts w:cs="Arial"/>
        </w:rPr>
        <w:t xml:space="preserve"> of any option with simulation models.</w:t>
      </w:r>
      <w:r w:rsidR="004233F0">
        <w:rPr>
          <w:rFonts w:cs="Arial"/>
        </w:rPr>
        <w:t xml:space="preserve"> Having said that, t</w:t>
      </w:r>
      <w:r w:rsidR="00042D33" w:rsidRPr="00042D33">
        <w:t>he method used in Germany is the most robust, reliable, and adaptable to different types of products and their fe</w:t>
      </w:r>
      <w:r w:rsidR="00042D33" w:rsidRPr="00042D33">
        <w:t>a</w:t>
      </w:r>
      <w:r w:rsidR="00042D33" w:rsidRPr="00042D33">
        <w:t>tures.</w:t>
      </w:r>
    </w:p>
    <w:p w:rsidR="00E50317" w:rsidRPr="00042D33" w:rsidRDefault="00E50317" w:rsidP="00E50317">
      <w:pPr>
        <w:jc w:val="both"/>
        <w:rPr>
          <w:rFonts w:cs="Arial"/>
        </w:rPr>
      </w:pPr>
    </w:p>
    <w:p w:rsidR="000E7F3F" w:rsidRDefault="000E7F3F" w:rsidP="00E50317">
      <w:pPr>
        <w:jc w:val="both"/>
        <w:rPr>
          <w:rFonts w:cs="Arial"/>
        </w:rPr>
      </w:pPr>
      <w:r w:rsidRPr="00F30209">
        <w:rPr>
          <w:rFonts w:cs="Arial"/>
        </w:rPr>
        <w:t>However it is the most difficult to implement, and requires work on the part of methodology and can pote</w:t>
      </w:r>
      <w:r w:rsidRPr="00F30209">
        <w:rPr>
          <w:rFonts w:cs="Arial"/>
        </w:rPr>
        <w:t>n</w:t>
      </w:r>
      <w:r w:rsidRPr="00F30209">
        <w:rPr>
          <w:rFonts w:cs="Arial"/>
        </w:rPr>
        <w:t>tially lead to problems of supervision and discussion with regulators, unless it is clearly defined. So if it is finally selected, some of its drawbacks should be addressed. Specially, regulators will have to define the clearest way as possible:</w:t>
      </w:r>
    </w:p>
    <w:p w:rsidR="00BC7D0E" w:rsidRPr="00F30209" w:rsidRDefault="00BC7D0E" w:rsidP="00E50317">
      <w:pPr>
        <w:jc w:val="both"/>
        <w:rPr>
          <w:rFonts w:cs="Arial"/>
        </w:rPr>
      </w:pPr>
    </w:p>
    <w:p w:rsidR="000E7F3F" w:rsidRPr="00F30209" w:rsidRDefault="000E7F3F" w:rsidP="00E50317">
      <w:pPr>
        <w:pStyle w:val="Prrafodelista"/>
        <w:numPr>
          <w:ilvl w:val="0"/>
          <w:numId w:val="51"/>
        </w:numPr>
        <w:contextualSpacing w:val="0"/>
        <w:jc w:val="both"/>
        <w:rPr>
          <w:rFonts w:cs="Arial"/>
        </w:rPr>
      </w:pPr>
      <w:r w:rsidRPr="00F30209">
        <w:rPr>
          <w:rFonts w:cs="Arial"/>
        </w:rPr>
        <w:t>Clear criteria on the parameters to be used.</w:t>
      </w:r>
    </w:p>
    <w:p w:rsidR="000E7F3F" w:rsidRPr="00F30209" w:rsidRDefault="000E7F3F" w:rsidP="00E50317">
      <w:pPr>
        <w:pStyle w:val="Prrafodelista"/>
        <w:numPr>
          <w:ilvl w:val="0"/>
          <w:numId w:val="51"/>
        </w:numPr>
        <w:contextualSpacing w:val="0"/>
        <w:jc w:val="both"/>
        <w:rPr>
          <w:rFonts w:cs="Arial"/>
        </w:rPr>
      </w:pPr>
      <w:r w:rsidRPr="00F30209">
        <w:rPr>
          <w:rFonts w:cs="Arial"/>
        </w:rPr>
        <w:t>Possibility to replace the internal models, if they give comparable results.</w:t>
      </w:r>
    </w:p>
    <w:p w:rsidR="000E7F3F" w:rsidRPr="00F30209" w:rsidRDefault="000E7F3F" w:rsidP="00E50317">
      <w:pPr>
        <w:pStyle w:val="Prrafodelista"/>
        <w:numPr>
          <w:ilvl w:val="0"/>
          <w:numId w:val="51"/>
        </w:numPr>
        <w:contextualSpacing w:val="0"/>
        <w:jc w:val="both"/>
        <w:rPr>
          <w:rFonts w:cs="Arial"/>
        </w:rPr>
      </w:pPr>
      <w:r w:rsidRPr="00F30209">
        <w:rPr>
          <w:rFonts w:cs="Arial"/>
        </w:rPr>
        <w:t>To clarify how the credit parameters should be applied to the distributions.</w:t>
      </w:r>
    </w:p>
    <w:p w:rsidR="000E7F3F" w:rsidRPr="00F30209" w:rsidRDefault="000E7F3F" w:rsidP="00E50317">
      <w:pPr>
        <w:pStyle w:val="Prrafodelista"/>
        <w:numPr>
          <w:ilvl w:val="0"/>
          <w:numId w:val="51"/>
        </w:numPr>
        <w:contextualSpacing w:val="0"/>
        <w:jc w:val="both"/>
        <w:rPr>
          <w:rFonts w:cs="Arial"/>
        </w:rPr>
      </w:pPr>
      <w:r w:rsidRPr="00F30209">
        <w:rPr>
          <w:rFonts w:cs="Arial"/>
        </w:rPr>
        <w:t>For simplicity, avoid the requirement of stochastic models for correlations and credit spreads since the modelling is extremely complex and expensive to develop.</w:t>
      </w:r>
    </w:p>
    <w:p w:rsidR="000E7F3F" w:rsidRPr="00F30209" w:rsidRDefault="000E7F3F" w:rsidP="00E50317">
      <w:pPr>
        <w:pStyle w:val="Prrafodelista"/>
        <w:numPr>
          <w:ilvl w:val="0"/>
          <w:numId w:val="51"/>
        </w:numPr>
        <w:contextualSpacing w:val="0"/>
        <w:jc w:val="both"/>
        <w:rPr>
          <w:rFonts w:cs="Arial"/>
        </w:rPr>
      </w:pPr>
      <w:r w:rsidRPr="00F30209">
        <w:rPr>
          <w:rFonts w:cs="Arial"/>
        </w:rPr>
        <w:t>Models shouldn’t use VaR. In any case, the Expected Shortfall.</w:t>
      </w:r>
    </w:p>
    <w:p w:rsidR="000E7F3F" w:rsidRPr="00F30209" w:rsidRDefault="000E7F3F" w:rsidP="00E50317">
      <w:pPr>
        <w:pStyle w:val="Prrafodelista"/>
        <w:numPr>
          <w:ilvl w:val="0"/>
          <w:numId w:val="51"/>
        </w:numPr>
        <w:contextualSpacing w:val="0"/>
        <w:jc w:val="both"/>
        <w:rPr>
          <w:rFonts w:cs="Arial"/>
        </w:rPr>
      </w:pPr>
      <w:r w:rsidRPr="00F30209">
        <w:rPr>
          <w:rFonts w:cs="Arial"/>
        </w:rPr>
        <w:t>Instead of volatility, use some other method (for example, bootstrapping). If volatility was to be used, then historical would be more appropriate. Never use implied volatility.</w:t>
      </w:r>
    </w:p>
    <w:p w:rsidR="000E7F3F" w:rsidRPr="00F30209" w:rsidRDefault="000E7F3F" w:rsidP="00E50317">
      <w:pPr>
        <w:pStyle w:val="Prrafodelista"/>
        <w:numPr>
          <w:ilvl w:val="0"/>
          <w:numId w:val="51"/>
        </w:numPr>
        <w:contextualSpacing w:val="0"/>
        <w:jc w:val="both"/>
        <w:rPr>
          <w:rFonts w:cs="Arial"/>
        </w:rPr>
      </w:pPr>
      <w:r w:rsidRPr="00F30209">
        <w:rPr>
          <w:rFonts w:cs="Arial"/>
        </w:rPr>
        <w:t>Analyse credit risk separately. Preferably using implicit market data (bond spreads) rather than ratings. If it is not analysed separately, then employ a normal multivariate model with parameters of historical volatility and correlation.</w:t>
      </w:r>
    </w:p>
    <w:p w:rsidR="000E7F3F" w:rsidRPr="00F30209" w:rsidRDefault="000E7F3F" w:rsidP="00E50317">
      <w:pPr>
        <w:jc w:val="both"/>
        <w:rPr>
          <w:rFonts w:cs="Arial"/>
        </w:rPr>
      </w:pPr>
    </w:p>
    <w:p w:rsidR="000E7F3F" w:rsidRPr="00F30209" w:rsidRDefault="000E7F3F" w:rsidP="00E50317">
      <w:pPr>
        <w:jc w:val="both"/>
        <w:rPr>
          <w:rFonts w:cs="Arial"/>
        </w:rPr>
      </w:pPr>
      <w:r w:rsidRPr="00F30209">
        <w:rPr>
          <w:rFonts w:cs="Arial"/>
        </w:rPr>
        <w:t>The results to be used should be calculated by combining the average of 20% of the worst results with the expected return of the distribution, since it would be a balanced measure.</w:t>
      </w:r>
    </w:p>
    <w:p w:rsidR="000E7F3F" w:rsidRDefault="000E7F3F" w:rsidP="00E50317">
      <w:pPr>
        <w:jc w:val="both"/>
      </w:pPr>
      <w:r w:rsidRPr="00F30209">
        <w:rPr>
          <w:rFonts w:cs="Arial"/>
        </w:rPr>
        <w:t>Additionally, it is important that the regulators understand properly the methodology, because it may lead to justified cases where products with partial capital at risk with short terms can have worse treatment than than others with 100% capital at risk at the same time or longer terms</w:t>
      </w:r>
      <w:r w:rsidRPr="00F30209">
        <w:t>.</w:t>
      </w:r>
    </w:p>
    <w:p w:rsidR="00BC7D0E" w:rsidRPr="002919FD" w:rsidRDefault="00BC7D0E" w:rsidP="006B465E">
      <w:pPr>
        <w:jc w:val="both"/>
        <w:rPr>
          <w:rFonts w:ascii="Calibri" w:hAnsi="Calibri" w:cs="Arial"/>
          <w:color w:val="006600"/>
        </w:rPr>
      </w:pPr>
    </w:p>
    <w:permEnd w:id="19"/>
    <w:p w:rsidR="00F31E57" w:rsidRDefault="00F31E57" w:rsidP="00F31E57">
      <w:r>
        <w:t>&lt;ESMA_QUESTION_PRIIPs_11&gt;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Please state your views on the general principles of this approach, should it be s</w:t>
      </w:r>
      <w:r>
        <w:t>e</w:t>
      </w:r>
      <w:r>
        <w:t xml:space="preserve">lected. How would you like to see the risk measure and parameters, why? </w:t>
      </w:r>
    </w:p>
    <w:p w:rsidR="00F31E57" w:rsidRDefault="00F31E57" w:rsidP="00F31E57"/>
    <w:p w:rsidR="00F31E57" w:rsidRDefault="00F31E57" w:rsidP="00F31E57">
      <w:r>
        <w:t>&lt;ESMA_QUESTION_PRIIPs_12&gt;</w:t>
      </w:r>
    </w:p>
    <w:p w:rsidR="00CD3D1B" w:rsidRDefault="001E4CE9" w:rsidP="000E7F3F">
      <w:permStart w:id="20" w:edGrp="everyone"/>
      <w:r>
        <w:t>See answer to</w:t>
      </w:r>
      <w:r w:rsidR="00CD3D1B">
        <w:t xml:space="preserve"> Q11.</w:t>
      </w:r>
    </w:p>
    <w:p w:rsidR="00CD3D1B" w:rsidRDefault="00CD3D1B" w:rsidP="000E7F3F"/>
    <w:p w:rsidR="000E7F3F" w:rsidRDefault="000E7F3F" w:rsidP="000E7F3F">
      <w:r w:rsidRPr="00F30209">
        <w:t>It is a simplification of the previous method, in which regulators set the parameters to use and facilitates supervision.</w:t>
      </w:r>
    </w:p>
    <w:p w:rsidR="00CD3D1B" w:rsidRPr="00F30209" w:rsidRDefault="00CD3D1B" w:rsidP="000E7F3F"/>
    <w:p w:rsidR="000E7F3F" w:rsidRPr="00F30209" w:rsidRDefault="000E7F3F" w:rsidP="000E7F3F">
      <w:r w:rsidRPr="00F30209">
        <w:lastRenderedPageBreak/>
        <w:t>The result should also be calculated, as in the above method, as a combination of the average 20% of the worst results with the expected return distribution.</w:t>
      </w:r>
    </w:p>
    <w:p w:rsidR="000E7F3F" w:rsidRPr="00F30209" w:rsidRDefault="000E7F3F" w:rsidP="000E7F3F">
      <w:r w:rsidRPr="00F30209">
        <w:t>It is necessary to establish a procedure for obtaining from a public site data needed for the calculations. ESMA website would be adequate.</w:t>
      </w:r>
    </w:p>
    <w:permEnd w:id="20"/>
    <w:p w:rsidR="00F31E57" w:rsidRDefault="00F31E57" w:rsidP="00F31E57">
      <w:r>
        <w:t>&lt;ESMA_QUESTION_PRIIPs_12&gt;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Please state your views on the potential use of a two-level indicator. What kind of differentiators should be set both for the first level and the second level of such an i</w:t>
      </w:r>
      <w:r>
        <w:t>n</w:t>
      </w:r>
      <w:r>
        <w:t xml:space="preserve">dicator? </w:t>
      </w:r>
    </w:p>
    <w:p w:rsidR="00F31E57" w:rsidRDefault="00F31E57" w:rsidP="00F31E57"/>
    <w:p w:rsidR="00F31E57" w:rsidRDefault="00F31E57" w:rsidP="00F31E57">
      <w:r>
        <w:t>&lt;ESMA_QUESTION_PRIIPs_13&gt;</w:t>
      </w:r>
    </w:p>
    <w:p w:rsidR="000E7F3F" w:rsidRDefault="000E7F3F" w:rsidP="000E7F3F">
      <w:permStart w:id="21" w:edGrp="everyone"/>
      <w:r w:rsidRPr="00212BBF">
        <w:t xml:space="preserve"> </w:t>
      </w:r>
      <w:r w:rsidR="00317D56">
        <w:t>AEB members</w:t>
      </w:r>
      <w:r w:rsidR="00317D56" w:rsidRPr="00F30209">
        <w:t xml:space="preserve"> </w:t>
      </w:r>
      <w:r w:rsidRPr="00212BBF">
        <w:t>do not find any advantage to a two-level indicator. If the methodology for classification is robust enough it is not necessary. At the same time, it leads to increased complexity both for the doc</w:t>
      </w:r>
      <w:r w:rsidRPr="00212BBF">
        <w:t>u</w:t>
      </w:r>
      <w:r w:rsidRPr="00212BBF">
        <w:t>mentation itself as well as for the client understanding.</w:t>
      </w:r>
    </w:p>
    <w:permEnd w:id="21"/>
    <w:p w:rsidR="00F31E57" w:rsidRDefault="00F31E57" w:rsidP="00F31E57">
      <w:r>
        <w:t>&lt;ESMA_QUESTION_PRIIPs_13&gt;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have suggestions or concrete proposals on which risk scale to use and where or how the cut-off points should be determined?</w:t>
      </w:r>
    </w:p>
    <w:p w:rsidR="00F31E57" w:rsidRDefault="00F31E57" w:rsidP="00F31E57"/>
    <w:p w:rsidR="00F31E57" w:rsidRDefault="00F31E57" w:rsidP="00F31E57">
      <w:r>
        <w:t>&lt;ESMA_QUESTION_PRIIPs_14&gt;</w:t>
      </w:r>
    </w:p>
    <w:p w:rsidR="00184CC3" w:rsidRDefault="00184CC3" w:rsidP="003640D0">
      <w:pPr>
        <w:rPr>
          <w:rFonts w:cs="Arial"/>
        </w:rPr>
      </w:pPr>
      <w:permStart w:id="22" w:edGrp="everyone"/>
    </w:p>
    <w:p w:rsidR="00042D33" w:rsidRDefault="00042D33" w:rsidP="003640D0">
      <w:pPr>
        <w:rPr>
          <w:rFonts w:cs="Arial"/>
        </w:rPr>
      </w:pPr>
    </w:p>
    <w:p w:rsidR="003640D0" w:rsidRDefault="00317D56" w:rsidP="003640D0">
      <w:pPr>
        <w:rPr>
          <w:rFonts w:cs="Arial"/>
        </w:rPr>
      </w:pPr>
      <w:r>
        <w:t>AEB members</w:t>
      </w:r>
      <w:r w:rsidR="00802B95">
        <w:rPr>
          <w:rFonts w:cs="Arial"/>
        </w:rPr>
        <w:t xml:space="preserve"> would like to suggest a</w:t>
      </w:r>
      <w:r w:rsidR="003640D0" w:rsidRPr="00F30209">
        <w:rPr>
          <w:rFonts w:cs="Arial"/>
        </w:rPr>
        <w:t xml:space="preserve"> continuous numeric scale (say, 0% to 100%) resulting from co</w:t>
      </w:r>
      <w:r w:rsidR="003640D0" w:rsidRPr="00F30209">
        <w:rPr>
          <w:rFonts w:cs="Arial"/>
        </w:rPr>
        <w:t>n</w:t>
      </w:r>
      <w:r w:rsidR="003640D0" w:rsidRPr="00F30209">
        <w:rPr>
          <w:rFonts w:cs="Arial"/>
        </w:rPr>
        <w:t xml:space="preserve">verting each feature into points and then summing those points could be very complicated to define and could imply inconsistencies. </w:t>
      </w:r>
    </w:p>
    <w:p w:rsidR="006B465E" w:rsidRPr="00694FF0" w:rsidRDefault="00972AEC" w:rsidP="006B465E">
      <w:pPr>
        <w:jc w:val="both"/>
        <w:rPr>
          <w:rFonts w:ascii="Calibri" w:hAnsi="Calibri" w:cs="Arial"/>
        </w:rPr>
      </w:pPr>
      <w:r w:rsidRPr="00694FF0">
        <w:rPr>
          <w:rFonts w:ascii="Calibri" w:hAnsi="Calibri" w:cs="Arial"/>
        </w:rPr>
        <w:t xml:space="preserve"> </w:t>
      </w:r>
    </w:p>
    <w:p w:rsidR="000E7F3F" w:rsidRDefault="000E7F3F" w:rsidP="000E7F3F">
      <w:pPr>
        <w:rPr>
          <w:rFonts w:cs="Arial"/>
        </w:rPr>
      </w:pPr>
      <w:r w:rsidRPr="00694FF0">
        <w:rPr>
          <w:rFonts w:cs="Arial"/>
        </w:rPr>
        <w:t>We propose a classification method</w:t>
      </w:r>
      <w:r w:rsidR="00E50317" w:rsidRPr="00694FF0">
        <w:rPr>
          <w:rFonts w:cs="Arial"/>
        </w:rPr>
        <w:t>:</w:t>
      </w:r>
    </w:p>
    <w:p w:rsidR="00694FF0" w:rsidRPr="00694FF0" w:rsidRDefault="00694FF0" w:rsidP="000E7F3F">
      <w:pPr>
        <w:rPr>
          <w:rFonts w:cs="Arial"/>
        </w:rPr>
      </w:pPr>
    </w:p>
    <w:p w:rsidR="00694FF0" w:rsidRPr="00F30209" w:rsidRDefault="00694FF0" w:rsidP="000E7F3F">
      <w:pPr>
        <w:rPr>
          <w:rFonts w:cs="Arial"/>
          <w:b/>
          <w:color w:val="FF0000"/>
        </w:rPr>
      </w:pPr>
      <w:r w:rsidRPr="00694FF0">
        <w:rPr>
          <w:rFonts w:cs="Arial"/>
          <w:b/>
          <w:noProof/>
          <w:color w:val="FF0000"/>
          <w:lang w:val="es-ES" w:eastAsia="es-ES"/>
        </w:rPr>
        <w:lastRenderedPageBreak/>
        <w:drawing>
          <wp:inline distT="0" distB="0" distL="0" distR="0">
            <wp:extent cx="5976620" cy="4986444"/>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297" t="18371" r="34058" b="16811"/>
                    <a:stretch>
                      <a:fillRect/>
                    </a:stretch>
                  </pic:blipFill>
                  <pic:spPr bwMode="auto">
                    <a:xfrm>
                      <a:off x="0" y="0"/>
                      <a:ext cx="5976620" cy="4986444"/>
                    </a:xfrm>
                    <a:prstGeom prst="rect">
                      <a:avLst/>
                    </a:prstGeom>
                    <a:noFill/>
                    <a:ln w="9525">
                      <a:noFill/>
                      <a:miter lim="800000"/>
                      <a:headEnd/>
                      <a:tailEnd/>
                    </a:ln>
                  </pic:spPr>
                </pic:pic>
              </a:graphicData>
            </a:graphic>
          </wp:inline>
        </w:drawing>
      </w:r>
    </w:p>
    <w:p w:rsidR="00E50317" w:rsidRDefault="00E50317" w:rsidP="000E7F3F">
      <w:pPr>
        <w:rPr>
          <w:rFonts w:cs="Arial"/>
          <w:color w:val="002060"/>
        </w:rPr>
      </w:pPr>
    </w:p>
    <w:p w:rsidR="00E50317" w:rsidRPr="00E50317" w:rsidRDefault="00E50317" w:rsidP="000E7F3F">
      <w:pPr>
        <w:rPr>
          <w:rFonts w:cs="Arial"/>
          <w:color w:val="002060"/>
        </w:rPr>
      </w:pPr>
    </w:p>
    <w:permEnd w:id="22"/>
    <w:p w:rsidR="00F31E57" w:rsidRDefault="00F31E57" w:rsidP="00F31E57">
      <w:r>
        <w:t>&lt;ESMA_QUESTION_PRIIPs_14&gt;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Please express your views on the assessment described above and the relative rel</w:t>
      </w:r>
      <w:r>
        <w:t>e</w:t>
      </w:r>
      <w:r>
        <w:t>vance of the different criteria that may be considered.</w:t>
      </w:r>
    </w:p>
    <w:p w:rsidR="00F31E57" w:rsidRDefault="00F31E57" w:rsidP="00F31E57"/>
    <w:p w:rsidR="00F31E57" w:rsidRDefault="00F31E57" w:rsidP="00F31E57">
      <w:r>
        <w:t>&lt;ESMA_QUESTION_PRIIPs_15&gt;</w:t>
      </w:r>
    </w:p>
    <w:p w:rsidR="003D5E4A" w:rsidRDefault="003D5E4A" w:rsidP="00F30209">
      <w:pPr>
        <w:jc w:val="both"/>
        <w:rPr>
          <w:rFonts w:cs="Arial"/>
        </w:rPr>
      </w:pPr>
      <w:permStart w:id="23" w:edGrp="everyone"/>
      <w:r w:rsidRPr="00F30209">
        <w:rPr>
          <w:rFonts w:cs="Arial"/>
        </w:rPr>
        <w:t xml:space="preserve"> </w:t>
      </w:r>
      <w:r w:rsidR="00317D56">
        <w:t>AEB members</w:t>
      </w:r>
      <w:r w:rsidR="00317D56" w:rsidRPr="00F30209">
        <w:t xml:space="preserve"> </w:t>
      </w:r>
      <w:r w:rsidRPr="00F30209">
        <w:rPr>
          <w:rFonts w:cs="Arial"/>
        </w:rPr>
        <w:t>are in favo</w:t>
      </w:r>
      <w:r w:rsidR="00317D56">
        <w:rPr>
          <w:rFonts w:cs="Arial"/>
        </w:rPr>
        <w:t>u</w:t>
      </w:r>
      <w:r w:rsidRPr="00F30209">
        <w:rPr>
          <w:rFonts w:cs="Arial"/>
        </w:rPr>
        <w:t>r of a what-if scenario’s not using the probabilistic approach</w:t>
      </w:r>
      <w:r w:rsidR="00157914">
        <w:rPr>
          <w:rFonts w:cs="Arial"/>
        </w:rPr>
        <w:t>.</w:t>
      </w:r>
    </w:p>
    <w:p w:rsidR="00157914" w:rsidRPr="00F30209" w:rsidRDefault="00157914" w:rsidP="00F30209">
      <w:pPr>
        <w:jc w:val="both"/>
        <w:rPr>
          <w:rFonts w:cs="Arial"/>
        </w:rPr>
      </w:pPr>
    </w:p>
    <w:p w:rsidR="000E7F3F" w:rsidRDefault="000E7F3F" w:rsidP="00F30209">
      <w:pPr>
        <w:jc w:val="both"/>
        <w:rPr>
          <w:rFonts w:cs="Arial"/>
        </w:rPr>
      </w:pPr>
      <w:r w:rsidRPr="00F30209">
        <w:rPr>
          <w:rFonts w:cs="Arial"/>
        </w:rPr>
        <w:t xml:space="preserve"> We would prefer the alternative that includes the combination of these three elements:</w:t>
      </w:r>
    </w:p>
    <w:p w:rsidR="00157914" w:rsidRPr="00F30209" w:rsidRDefault="00157914" w:rsidP="00F30209">
      <w:pPr>
        <w:jc w:val="both"/>
        <w:rPr>
          <w:rFonts w:cs="Arial"/>
        </w:rPr>
      </w:pPr>
    </w:p>
    <w:p w:rsidR="000E7F3F" w:rsidRPr="00F30209" w:rsidRDefault="000E7F3F" w:rsidP="00F30209">
      <w:pPr>
        <w:pStyle w:val="Prrafodelista"/>
        <w:numPr>
          <w:ilvl w:val="0"/>
          <w:numId w:val="51"/>
        </w:numPr>
        <w:contextualSpacing w:val="0"/>
        <w:jc w:val="both"/>
        <w:rPr>
          <w:rFonts w:cs="Arial"/>
        </w:rPr>
      </w:pPr>
      <w:proofErr w:type="gramStart"/>
      <w:r w:rsidRPr="00F30209">
        <w:rPr>
          <w:rFonts w:cs="Arial"/>
        </w:rPr>
        <w:t>predefined</w:t>
      </w:r>
      <w:proofErr w:type="gramEnd"/>
      <w:r w:rsidRPr="00F30209">
        <w:rPr>
          <w:rFonts w:cs="Arial"/>
        </w:rPr>
        <w:t xml:space="preserve"> scenarios.</w:t>
      </w:r>
    </w:p>
    <w:p w:rsidR="000E7F3F" w:rsidRPr="00F30209" w:rsidRDefault="000E7F3F" w:rsidP="00F30209">
      <w:pPr>
        <w:pStyle w:val="Prrafodelista"/>
        <w:numPr>
          <w:ilvl w:val="0"/>
          <w:numId w:val="51"/>
        </w:numPr>
        <w:contextualSpacing w:val="0"/>
        <w:jc w:val="both"/>
        <w:rPr>
          <w:rFonts w:cs="Arial"/>
        </w:rPr>
      </w:pPr>
      <w:r w:rsidRPr="00F30209">
        <w:rPr>
          <w:rFonts w:cs="Arial"/>
        </w:rPr>
        <w:t xml:space="preserve">possible additional scenarios to describe special product features. </w:t>
      </w:r>
    </w:p>
    <w:p w:rsidR="000E7F3F" w:rsidRPr="00F30209" w:rsidRDefault="000E7F3F" w:rsidP="00F30209">
      <w:pPr>
        <w:pStyle w:val="Prrafodelista"/>
        <w:numPr>
          <w:ilvl w:val="0"/>
          <w:numId w:val="51"/>
        </w:numPr>
        <w:contextualSpacing w:val="0"/>
        <w:jc w:val="both"/>
        <w:rPr>
          <w:rFonts w:cs="Arial"/>
        </w:rPr>
      </w:pPr>
      <w:r w:rsidRPr="00F30209">
        <w:rPr>
          <w:rFonts w:cs="Arial"/>
        </w:rPr>
        <w:t>scenarios shall include the adjustment for the risk neutral to the calculation of the probabilities of the scenarios presented (this approach is already being followed by most of the industry in the UK). Risk premium should be net for dividends and recalibrated for volatility. The regulator should provide the risk premia.</w:t>
      </w:r>
    </w:p>
    <w:p w:rsidR="000E7F3F" w:rsidRPr="00F30209" w:rsidRDefault="000E7F3F" w:rsidP="00F30209">
      <w:pPr>
        <w:pStyle w:val="Prrafodelista"/>
        <w:jc w:val="both"/>
        <w:rPr>
          <w:rFonts w:cs="Arial"/>
        </w:rPr>
      </w:pPr>
    </w:p>
    <w:p w:rsidR="000E7F3F" w:rsidRDefault="000E7F3F" w:rsidP="00F30209">
      <w:pPr>
        <w:jc w:val="both"/>
        <w:rPr>
          <w:rFonts w:cs="Arial"/>
        </w:rPr>
      </w:pPr>
      <w:r w:rsidRPr="00F30209">
        <w:rPr>
          <w:rFonts w:cs="Arial"/>
        </w:rPr>
        <w:t xml:space="preserve">The scenarios can be defined in the </w:t>
      </w:r>
      <w:proofErr w:type="gramStart"/>
      <w:r w:rsidRPr="00F30209">
        <w:rPr>
          <w:rFonts w:cs="Arial"/>
        </w:rPr>
        <w:t>following  way</w:t>
      </w:r>
      <w:proofErr w:type="gramEnd"/>
      <w:r w:rsidRPr="00F30209">
        <w:rPr>
          <w:rFonts w:cs="Arial"/>
        </w:rPr>
        <w:t>:</w:t>
      </w:r>
    </w:p>
    <w:p w:rsidR="00157914" w:rsidRPr="00F30209" w:rsidRDefault="00157914" w:rsidP="00F30209">
      <w:pPr>
        <w:jc w:val="both"/>
        <w:rPr>
          <w:rFonts w:cs="Arial"/>
        </w:rPr>
      </w:pPr>
    </w:p>
    <w:p w:rsidR="000E7F3F" w:rsidRPr="00F30209" w:rsidRDefault="000E7F3F" w:rsidP="00F30209">
      <w:pPr>
        <w:jc w:val="both"/>
        <w:rPr>
          <w:rFonts w:cs="Arial"/>
        </w:rPr>
      </w:pPr>
      <w:r w:rsidRPr="00F30209">
        <w:rPr>
          <w:rFonts w:cs="Arial"/>
        </w:rPr>
        <w:t>- Positive scenario (if required 90th percentile of the distribution, but adjusting risk neutral scenario)</w:t>
      </w:r>
    </w:p>
    <w:p w:rsidR="000E7F3F" w:rsidRPr="00F30209" w:rsidRDefault="000E7F3F" w:rsidP="00F30209">
      <w:pPr>
        <w:jc w:val="both"/>
        <w:rPr>
          <w:rFonts w:cs="Arial"/>
        </w:rPr>
      </w:pPr>
      <w:r w:rsidRPr="00F30209">
        <w:rPr>
          <w:rFonts w:cs="Arial"/>
        </w:rPr>
        <w:lastRenderedPageBreak/>
        <w:t>- Neutral scenario (if required 50th percentile of the distribution, but adjusting risk neutral scenario)</w:t>
      </w:r>
    </w:p>
    <w:p w:rsidR="000E7F3F" w:rsidRPr="00F30209" w:rsidRDefault="000E7F3F" w:rsidP="00F30209">
      <w:pPr>
        <w:jc w:val="both"/>
        <w:rPr>
          <w:rFonts w:cs="Arial"/>
        </w:rPr>
      </w:pPr>
      <w:r w:rsidRPr="00F30209">
        <w:rPr>
          <w:rFonts w:cs="Arial"/>
        </w:rPr>
        <w:t>- Negative scenario (if required 10th percentile of the distribution, but adjusting risk neutral scenario)</w:t>
      </w:r>
    </w:p>
    <w:p w:rsidR="000E7F3F" w:rsidRDefault="000E7F3F" w:rsidP="00F30209">
      <w:pPr>
        <w:jc w:val="both"/>
        <w:rPr>
          <w:rFonts w:cs="Arial"/>
          <w:color w:val="002060"/>
        </w:rPr>
      </w:pPr>
      <w:r w:rsidRPr="00F30209">
        <w:rPr>
          <w:rFonts w:cs="Arial"/>
        </w:rPr>
        <w:t>- Additional 1 or 2 scenarios selected by the issuer, explaining some specific features of the product performance. This is likely not to be included in most cases</w:t>
      </w:r>
      <w:r w:rsidRPr="00F30209">
        <w:rPr>
          <w:rFonts w:cs="Arial"/>
          <w:color w:val="002060"/>
        </w:rPr>
        <w:t>.</w:t>
      </w:r>
    </w:p>
    <w:p w:rsidR="006B465E" w:rsidRPr="002919FD" w:rsidRDefault="006B465E" w:rsidP="00F30209">
      <w:pPr>
        <w:jc w:val="both"/>
        <w:rPr>
          <w:rFonts w:cs="Arial"/>
          <w:color w:val="002060"/>
        </w:rPr>
      </w:pPr>
    </w:p>
    <w:permEnd w:id="23"/>
    <w:p w:rsidR="00F31E57" w:rsidRDefault="00F31E57" w:rsidP="00F31E57">
      <w:r>
        <w:t>&lt;ESMA_QUESTION_PRIIPs_15&gt;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think that these principles are sufficient to avoid the risks of manufacturers presenting a non-realistic performance picture of the product? Do you think that they should be reinforced?</w:t>
      </w:r>
    </w:p>
    <w:p w:rsidR="00F31E57" w:rsidRDefault="00F31E57" w:rsidP="00F31E57"/>
    <w:p w:rsidR="00F31E57" w:rsidRDefault="00F31E57" w:rsidP="00F31E57">
      <w:r>
        <w:t>&lt;ESMA_QUESTION_PRIIPs_16&gt;</w:t>
      </w:r>
    </w:p>
    <w:p w:rsidR="003640D0" w:rsidRDefault="003640D0" w:rsidP="003640D0">
      <w:pPr>
        <w:rPr>
          <w:rFonts w:cs="Arial"/>
        </w:rPr>
      </w:pPr>
      <w:permStart w:id="24" w:edGrp="everyone"/>
      <w:r w:rsidRPr="00C41524">
        <w:rPr>
          <w:rFonts w:cs="Arial"/>
        </w:rPr>
        <w:t>There should always be quite a degree of manufacturer discretion for presenting the most illustrative scenarios for the wide variety of products and configurations. We think more practical and effective to supervise this than to try to define it precisely and extensively ex-ante.</w:t>
      </w:r>
    </w:p>
    <w:p w:rsidR="00042D33" w:rsidRDefault="00042D33" w:rsidP="003640D0">
      <w:pPr>
        <w:rPr>
          <w:rFonts w:cs="Arial"/>
        </w:rPr>
      </w:pPr>
    </w:p>
    <w:p w:rsidR="006B465E" w:rsidRPr="002919FD" w:rsidRDefault="006B465E" w:rsidP="003640D0">
      <w:pPr>
        <w:rPr>
          <w:rFonts w:cs="Arial"/>
        </w:rPr>
      </w:pPr>
    </w:p>
    <w:permEnd w:id="24"/>
    <w:p w:rsidR="00F31E57" w:rsidRDefault="00F31E57" w:rsidP="00F31E57">
      <w:r>
        <w:t>&lt;ESMA_QUESTION_PRIIPs_16&gt;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think the options presented would represent appropriate performance scena</w:t>
      </w:r>
      <w:r>
        <w:t>r</w:t>
      </w:r>
      <w:r>
        <w:t>ios? What other standardized scenarios may be fixed?</w:t>
      </w:r>
    </w:p>
    <w:p w:rsidR="00F31E57" w:rsidRDefault="00F31E57" w:rsidP="00F31E57"/>
    <w:p w:rsidR="00F31E57" w:rsidRDefault="00F31E57" w:rsidP="00F31E57">
      <w:r>
        <w:t>&lt;ESMA_QUESTION_PRIIPs_17&gt;</w:t>
      </w:r>
    </w:p>
    <w:p w:rsidR="00F30209" w:rsidRPr="00F30209" w:rsidRDefault="00F30209" w:rsidP="000E7F3F">
      <w:pPr>
        <w:rPr>
          <w:rFonts w:cs="Arial"/>
        </w:rPr>
      </w:pPr>
      <w:permStart w:id="25" w:edGrp="everyone"/>
      <w:r w:rsidRPr="00F30209">
        <w:rPr>
          <w:rFonts w:cs="Arial"/>
        </w:rPr>
        <w:t xml:space="preserve"> </w:t>
      </w:r>
      <w:r w:rsidR="00157914">
        <w:t>AEB members</w:t>
      </w:r>
      <w:r w:rsidR="00157914" w:rsidRPr="00F30209">
        <w:t xml:space="preserve"> </w:t>
      </w:r>
      <w:r w:rsidRPr="00F30209">
        <w:rPr>
          <w:rFonts w:cs="Arial"/>
        </w:rPr>
        <w:t xml:space="preserve">are in favor of a what-if scenario’s not using the probabilistic approach. We are in favour of hypothetical scenarios that should make dynamics of the product as clear as possible (including payoffs for different market levels). . </w:t>
      </w:r>
    </w:p>
    <w:p w:rsidR="00F30209" w:rsidRPr="00F30209" w:rsidRDefault="00F30209" w:rsidP="000E7F3F">
      <w:pPr>
        <w:rPr>
          <w:rFonts w:cs="Arial"/>
        </w:rPr>
      </w:pPr>
    </w:p>
    <w:p w:rsidR="000E7F3F" w:rsidRPr="00F30209" w:rsidRDefault="00F30209" w:rsidP="000E7F3F">
      <w:pPr>
        <w:rPr>
          <w:rFonts w:cs="Arial"/>
        </w:rPr>
      </w:pPr>
      <w:r w:rsidRPr="00F30209">
        <w:rPr>
          <w:rFonts w:cs="Arial"/>
        </w:rPr>
        <w:t>So, w</w:t>
      </w:r>
      <w:r w:rsidR="000E7F3F" w:rsidRPr="00F30209">
        <w:rPr>
          <w:rFonts w:cs="Arial"/>
        </w:rPr>
        <w:t>e agree, provided that the rates are set with reference to a parameter of the market in which the product is released. (i.e. 4 times to run the product swap rate). Regarding the backtesting, the term should be defined according to the term of the product. The regulator should stablish what to do if there is no history.</w:t>
      </w:r>
    </w:p>
    <w:p w:rsidR="000E7F3F" w:rsidRPr="00F30209" w:rsidRDefault="000E7F3F" w:rsidP="000E7F3F">
      <w:pPr>
        <w:rPr>
          <w:rFonts w:cs="Arial"/>
        </w:rPr>
      </w:pPr>
    </w:p>
    <w:p w:rsidR="003640D0" w:rsidRPr="002B08F3" w:rsidRDefault="003640D0" w:rsidP="003640D0">
      <w:pPr>
        <w:rPr>
          <w:rFonts w:cs="Arial"/>
        </w:rPr>
      </w:pPr>
      <w:r w:rsidRPr="002B08F3">
        <w:rPr>
          <w:rFonts w:cs="Arial"/>
        </w:rPr>
        <w:t>We are not in favour of attaching probabilities, nor percentiles, which would lead to discrepancies across participants and across products, providing clients of a false impression that future events are, somehow, predictable in their likelihood, causing potential lawsuits …</w:t>
      </w:r>
    </w:p>
    <w:p w:rsidR="003640D0" w:rsidRPr="002919FD" w:rsidRDefault="003640D0" w:rsidP="000E7F3F">
      <w:pPr>
        <w:rPr>
          <w:color w:val="FF0000"/>
        </w:rPr>
      </w:pPr>
    </w:p>
    <w:permEnd w:id="25"/>
    <w:p w:rsidR="00F31E57" w:rsidRDefault="00F31E57" w:rsidP="00F31E57">
      <w:r>
        <w:t>&lt;ESMA_QUESTION_PRIIPs_17&gt;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 xml:space="preserve">Which percentiles do you think should be set? </w:t>
      </w:r>
    </w:p>
    <w:p w:rsidR="00F31E57" w:rsidRDefault="00F31E57" w:rsidP="00F31E57"/>
    <w:p w:rsidR="00F31E57" w:rsidRDefault="00F31E57" w:rsidP="00F31E57">
      <w:r>
        <w:t>&lt;ESMA_QUESTION_PRIIPs_18&gt;</w:t>
      </w:r>
    </w:p>
    <w:p w:rsidR="00042D33" w:rsidRDefault="00042D33" w:rsidP="003640D0">
      <w:pPr>
        <w:rPr>
          <w:rFonts w:cs="Arial"/>
        </w:rPr>
      </w:pPr>
      <w:permStart w:id="26" w:edGrp="everyone"/>
    </w:p>
    <w:p w:rsidR="002B08F3" w:rsidRDefault="00A83AA9" w:rsidP="003640D0">
      <w:pPr>
        <w:rPr>
          <w:rFonts w:cs="Arial"/>
        </w:rPr>
      </w:pPr>
      <w:r>
        <w:rPr>
          <w:rFonts w:cs="Arial"/>
        </w:rPr>
        <w:t xml:space="preserve"> </w:t>
      </w:r>
      <w:r>
        <w:t>AEB members</w:t>
      </w:r>
      <w:r w:rsidRPr="00F30209">
        <w:t xml:space="preserve"> </w:t>
      </w:r>
      <w:r>
        <w:t>d</w:t>
      </w:r>
      <w:r w:rsidR="002B08F3" w:rsidRPr="002B08F3">
        <w:rPr>
          <w:rFonts w:cs="Arial"/>
        </w:rPr>
        <w:t>o not like the use of probabilities.</w:t>
      </w:r>
    </w:p>
    <w:p w:rsidR="00042D33" w:rsidRDefault="00042D33" w:rsidP="003640D0">
      <w:pPr>
        <w:rPr>
          <w:rFonts w:cs="Arial"/>
        </w:rPr>
      </w:pPr>
    </w:p>
    <w:p w:rsidR="00042D33" w:rsidRPr="002B08F3" w:rsidRDefault="00042D33" w:rsidP="003640D0">
      <w:pPr>
        <w:rPr>
          <w:rFonts w:cs="Arial"/>
        </w:rPr>
      </w:pPr>
    </w:p>
    <w:permEnd w:id="26"/>
    <w:p w:rsidR="00F31E57" w:rsidRDefault="00F31E57" w:rsidP="00F31E57">
      <w:r>
        <w:t>&lt;ESMA_QUESTION_PRIIPs_18&gt;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have any views on possible combinations?</w:t>
      </w:r>
    </w:p>
    <w:p w:rsidR="00F31E57" w:rsidRDefault="00F31E57" w:rsidP="00F31E57"/>
    <w:p w:rsidR="00F31E57" w:rsidRDefault="00F31E57" w:rsidP="00F31E57">
      <w:r>
        <w:t>&lt;ESMA_QUESTION_PRIIPs_19&gt;</w:t>
      </w:r>
    </w:p>
    <w:p w:rsidR="00042D33" w:rsidRPr="00042D33" w:rsidRDefault="00042D33" w:rsidP="00042D33">
      <w:permStart w:id="27" w:edGrp="everyone"/>
    </w:p>
    <w:p w:rsidR="002B08F3" w:rsidRPr="00042D33" w:rsidRDefault="00A83AA9" w:rsidP="00F31E57">
      <w:pPr>
        <w:rPr>
          <w:rFonts w:cs="Arial"/>
        </w:rPr>
      </w:pPr>
      <w:r>
        <w:t>AEB members</w:t>
      </w:r>
      <w:r w:rsidRPr="00F30209">
        <w:t xml:space="preserve"> </w:t>
      </w:r>
      <w:r w:rsidR="000008A3">
        <w:rPr>
          <w:rFonts w:cs="Arial"/>
        </w:rPr>
        <w:t>believe</w:t>
      </w:r>
      <w:r w:rsidR="003640D0" w:rsidRPr="00042D33">
        <w:rPr>
          <w:rFonts w:cs="Arial"/>
        </w:rPr>
        <w:t xml:space="preserve"> this combination</w:t>
      </w:r>
      <w:r w:rsidR="00A44C54">
        <w:rPr>
          <w:rFonts w:cs="Arial"/>
        </w:rPr>
        <w:t xml:space="preserve"> could be</w:t>
      </w:r>
      <w:r w:rsidR="003640D0" w:rsidRPr="00042D33">
        <w:rPr>
          <w:rFonts w:cs="Arial"/>
        </w:rPr>
        <w:t xml:space="preserve"> meaningless and misleading. See question </w:t>
      </w:r>
      <w:r w:rsidR="002B08F3" w:rsidRPr="00042D33">
        <w:rPr>
          <w:rFonts w:cs="Arial"/>
        </w:rPr>
        <w:t>15-</w:t>
      </w:r>
      <w:r w:rsidR="003640D0" w:rsidRPr="00042D33">
        <w:rPr>
          <w:rFonts w:cs="Arial"/>
        </w:rPr>
        <w:t>17.</w:t>
      </w:r>
    </w:p>
    <w:permEnd w:id="27"/>
    <w:p w:rsidR="00F31E57" w:rsidRDefault="00F31E57" w:rsidP="00F31E57">
      <w:r>
        <w:t>&lt;ESMA_QUESTION_PRIIPs_19&gt;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lastRenderedPageBreak/>
        <w:t>Do you think that credit events should be considered in the performance scenarios?</w:t>
      </w:r>
    </w:p>
    <w:p w:rsidR="00F31E57" w:rsidRDefault="00F31E57" w:rsidP="00F31E57"/>
    <w:p w:rsidR="00F31E57" w:rsidRDefault="00F31E57" w:rsidP="00F31E57">
      <w:r>
        <w:t>&lt;ESMA_QUESTION_PRIIPs_20&gt;</w:t>
      </w:r>
    </w:p>
    <w:p w:rsidR="006216E2" w:rsidRPr="002B08F3" w:rsidRDefault="00A83AA9" w:rsidP="006216E2">
      <w:pPr>
        <w:rPr>
          <w:rFonts w:cs="Arial"/>
        </w:rPr>
      </w:pPr>
      <w:permStart w:id="28" w:edGrp="everyone"/>
      <w:r>
        <w:t>AEB members</w:t>
      </w:r>
      <w:r w:rsidR="006216E2" w:rsidRPr="002B08F3">
        <w:rPr>
          <w:rFonts w:cs="Arial"/>
        </w:rPr>
        <w:t xml:space="preserve"> believe that unless the credit events are part of the market risk, they should not be consi</w:t>
      </w:r>
      <w:r w:rsidR="006216E2" w:rsidRPr="002B08F3">
        <w:rPr>
          <w:rFonts w:cs="Arial"/>
        </w:rPr>
        <w:t>d</w:t>
      </w:r>
      <w:r w:rsidR="006216E2" w:rsidRPr="002B08F3">
        <w:rPr>
          <w:rFonts w:cs="Arial"/>
        </w:rPr>
        <w:t>ered in the performance scenarios. Issuer-related credit events should be handled in the credit-related sections.</w:t>
      </w:r>
    </w:p>
    <w:p w:rsidR="002B08F3" w:rsidRPr="002B08F3" w:rsidRDefault="002B08F3" w:rsidP="006216E2">
      <w:pPr>
        <w:rPr>
          <w:rFonts w:cs="Arial"/>
        </w:rPr>
      </w:pPr>
    </w:p>
    <w:p w:rsidR="000E7F3F" w:rsidRPr="002B08F3" w:rsidRDefault="000E7F3F" w:rsidP="000E7F3F">
      <w:pPr>
        <w:rPr>
          <w:rFonts w:cs="Arial"/>
        </w:rPr>
      </w:pPr>
      <w:r w:rsidRPr="002B08F3">
        <w:rPr>
          <w:rFonts w:cs="Arial"/>
        </w:rPr>
        <w:t>The best option would be a separate treatment to avoid mixing different types of risk that may impair understanding of the product and in order to avoid introducing innecesary methodological complexity (correlation-credit market, for example).</w:t>
      </w:r>
    </w:p>
    <w:permEnd w:id="28"/>
    <w:p w:rsidR="00F31E57" w:rsidRDefault="00F31E57" w:rsidP="00F31E57">
      <w:r>
        <w:t>&lt;ESMA_QUESTION_PRIIPs_20&gt;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think that such redemption events should be considered in the performance scenarios?</w:t>
      </w:r>
    </w:p>
    <w:p w:rsidR="00F31E57" w:rsidRDefault="00F31E57" w:rsidP="00F31E57"/>
    <w:p w:rsidR="00F31E57" w:rsidRDefault="00F31E57" w:rsidP="00F31E57">
      <w:r>
        <w:t>&lt;ESMA_QUESTION_PRIIPs_21&gt;</w:t>
      </w:r>
    </w:p>
    <w:p w:rsidR="006216E2" w:rsidRPr="00494AE8" w:rsidRDefault="006216E2" w:rsidP="006216E2">
      <w:pPr>
        <w:rPr>
          <w:rFonts w:cs="Arial"/>
        </w:rPr>
      </w:pPr>
      <w:permStart w:id="29" w:edGrp="everyone"/>
      <w:r w:rsidRPr="00494AE8">
        <w:rPr>
          <w:rFonts w:cs="Arial"/>
        </w:rPr>
        <w:t>Investor specific events should not be considered in the performance scenarios because they don’t apply to all investors.</w:t>
      </w:r>
      <w:r w:rsidR="002B08F3" w:rsidRPr="00494AE8">
        <w:rPr>
          <w:rFonts w:cs="Arial"/>
        </w:rPr>
        <w:t xml:space="preserve"> </w:t>
      </w:r>
      <w:r w:rsidR="002B08F3" w:rsidRPr="002919FD">
        <w:rPr>
          <w:rFonts w:cs="Arial"/>
        </w:rPr>
        <w:t>And they complicate the product comprehension</w:t>
      </w:r>
      <w:r w:rsidR="00494AE8" w:rsidRPr="002919FD">
        <w:rPr>
          <w:rFonts w:cs="Arial"/>
        </w:rPr>
        <w:t>.</w:t>
      </w:r>
      <w:r w:rsidR="002B08F3" w:rsidRPr="002919FD">
        <w:rPr>
          <w:rFonts w:cs="Arial"/>
        </w:rPr>
        <w:t xml:space="preserve"> </w:t>
      </w:r>
      <w:r w:rsidRPr="002919FD">
        <w:rPr>
          <w:rFonts w:cs="Arial"/>
        </w:rPr>
        <w:t xml:space="preserve"> </w:t>
      </w:r>
      <w:r w:rsidRPr="00494AE8">
        <w:rPr>
          <w:rFonts w:cs="Arial"/>
        </w:rPr>
        <w:t>They should be relegated to a “fr</w:t>
      </w:r>
      <w:r w:rsidRPr="00494AE8">
        <w:rPr>
          <w:rFonts w:cs="Arial"/>
        </w:rPr>
        <w:t>e</w:t>
      </w:r>
      <w:r w:rsidRPr="00494AE8">
        <w:rPr>
          <w:rFonts w:cs="Arial"/>
        </w:rPr>
        <w:t>quently asked questions” section</w:t>
      </w:r>
      <w:r w:rsidR="00494AE8" w:rsidRPr="00494AE8">
        <w:rPr>
          <w:rFonts w:cs="Arial"/>
        </w:rPr>
        <w:t>. Only “</w:t>
      </w:r>
      <w:r w:rsidR="00494AE8" w:rsidRPr="00494AE8">
        <w:rPr>
          <w:rFonts w:cs="Arial"/>
          <w:i/>
        </w:rPr>
        <w:t>trigger redemption</w:t>
      </w:r>
      <w:r w:rsidR="00494AE8" w:rsidRPr="00494AE8">
        <w:rPr>
          <w:rFonts w:cs="Arial"/>
        </w:rPr>
        <w:t>”should be considered..</w:t>
      </w:r>
      <w:r w:rsidRPr="00494AE8">
        <w:rPr>
          <w:rFonts w:cs="Arial"/>
        </w:rPr>
        <w:t>.</w:t>
      </w:r>
    </w:p>
    <w:p w:rsidR="00F31E57" w:rsidRPr="006B465E" w:rsidRDefault="00F31E57" w:rsidP="00F31E57">
      <w:pPr>
        <w:rPr>
          <w:lang w:val="es-ES"/>
        </w:rPr>
      </w:pPr>
    </w:p>
    <w:permEnd w:id="29"/>
    <w:p w:rsidR="00F31E57" w:rsidRDefault="00F31E57" w:rsidP="00F31E57">
      <w:r>
        <w:t>&lt;ESMA_QUESTION_PRIIPs_21&gt;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t>Do you think that performance in the case of exit before the recommended holding period should be shown? Do you think that fair value should be the figure shown in the case of structured products, other bonds or AIFs? Do you see any other method</w:t>
      </w:r>
      <w:r>
        <w:t>o</w:t>
      </w:r>
      <w:r>
        <w:t>logical issues in computing performance in several holding periods?</w:t>
      </w:r>
    </w:p>
    <w:p w:rsidR="00F31E57" w:rsidRDefault="00F31E57" w:rsidP="00F31E57"/>
    <w:p w:rsidR="00F31E57" w:rsidRDefault="00F31E57" w:rsidP="00F31E57">
      <w:r>
        <w:t>&lt;ESMA_QUESTION_PRIIPs_22&gt;</w:t>
      </w:r>
    </w:p>
    <w:p w:rsidR="006216E2" w:rsidRPr="00494AE8" w:rsidRDefault="00A83AA9" w:rsidP="006216E2">
      <w:pPr>
        <w:rPr>
          <w:rFonts w:cs="Arial"/>
        </w:rPr>
      </w:pPr>
      <w:permStart w:id="30" w:edGrp="everyone"/>
      <w:r>
        <w:t>AEB members</w:t>
      </w:r>
      <w:r w:rsidRPr="00F30209">
        <w:t xml:space="preserve"> </w:t>
      </w:r>
      <w:r w:rsidR="006216E2" w:rsidRPr="00494AE8">
        <w:rPr>
          <w:rFonts w:cs="Arial"/>
        </w:rPr>
        <w:t>do not agree with taking account early redemption within performance scenarios as this is not product related. The product is designed with a recommended holding period in mind. Early exit d</w:t>
      </w:r>
      <w:r w:rsidR="006216E2" w:rsidRPr="00494AE8">
        <w:rPr>
          <w:rFonts w:cs="Arial"/>
        </w:rPr>
        <w:t>e</w:t>
      </w:r>
      <w:r w:rsidR="006216E2" w:rsidRPr="00494AE8">
        <w:rPr>
          <w:rFonts w:cs="Arial"/>
        </w:rPr>
        <w:t>pends solely on the investor decisions, deeming it even more unpredictable than market parameters. A better approach is to warn investors about possible early exit fees/costs, that the exit price will be subject to the then market conditions, that he may not be able to get his/her money back due to possible liquidity issues and so on.</w:t>
      </w:r>
    </w:p>
    <w:p w:rsidR="006216E2" w:rsidRPr="00494AE8" w:rsidRDefault="006216E2" w:rsidP="006216E2">
      <w:pPr>
        <w:rPr>
          <w:rFonts w:cs="Arial"/>
        </w:rPr>
      </w:pPr>
      <w:r w:rsidRPr="00494AE8">
        <w:rPr>
          <w:rFonts w:cs="Arial"/>
        </w:rPr>
        <w:t>Such estimative is highly unreliable. It is already problematic to compute the fair value as of today.</w:t>
      </w:r>
    </w:p>
    <w:p w:rsidR="006B465E" w:rsidRPr="002919FD" w:rsidRDefault="006216E2" w:rsidP="000E7F3F">
      <w:pPr>
        <w:rPr>
          <w:rFonts w:cs="Arial"/>
        </w:rPr>
      </w:pPr>
      <w:r w:rsidRPr="00494AE8">
        <w:rPr>
          <w:rFonts w:cs="Arial"/>
        </w:rPr>
        <w:t>We think that this could jeopardize the simplicity and clarity of the KID. We should devote wording and space for explaining possible performance scenarios for several periods only when the product has in its definition possible multiple holding periods.</w:t>
      </w:r>
    </w:p>
    <w:permEnd w:id="30"/>
    <w:p w:rsidR="00F31E57" w:rsidRDefault="00F31E57" w:rsidP="00F31E57">
      <w:r>
        <w:t>&lt;ESMA_QUESTION_PRIIPs_22&gt;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Are the two types of entry costs listed here clear enough? Should the list be further detailed or completed (notably in the case of acquisition costs)? </w:t>
      </w:r>
      <w:r>
        <w:rPr>
          <w:rFonts w:eastAsia="Times New Roman" w:cs="Arial"/>
          <w:lang w:eastAsia="zh-TW"/>
        </w:rPr>
        <w:t xml:space="preserve">Should some of these costs included in the on-going charges? </w:t>
      </w:r>
    </w:p>
    <w:p w:rsidR="00F31E57" w:rsidRDefault="00F31E57" w:rsidP="00F31E57">
      <w:pPr>
        <w:rPr>
          <w:rFonts w:cstheme="minorBidi"/>
        </w:rPr>
      </w:pPr>
    </w:p>
    <w:p w:rsidR="00F31E57" w:rsidRDefault="00F31E57" w:rsidP="00F31E57">
      <w:r>
        <w:t>&lt;ESMA_QUESTION_PRIIPs_23&gt;</w:t>
      </w:r>
    </w:p>
    <w:p w:rsidR="006216E2" w:rsidRPr="00C41524" w:rsidRDefault="006216E2" w:rsidP="006216E2">
      <w:pPr>
        <w:rPr>
          <w:rFonts w:cs="Arial"/>
        </w:rPr>
      </w:pPr>
      <w:permStart w:id="31" w:edGrp="everyone"/>
      <w:r w:rsidRPr="00C41524">
        <w:rPr>
          <w:rFonts w:cs="Arial"/>
        </w:rPr>
        <w:t>Entry-exit costs are defined as any amount paid directly by the investor deducted from a payment due to the investor as a consequence of its acquisition or sale of the relevant PRIIPS. The definition seems clear enough.</w:t>
      </w:r>
    </w:p>
    <w:p w:rsidR="006216E2" w:rsidRPr="00C41524" w:rsidRDefault="006216E2" w:rsidP="006216E2">
      <w:pPr>
        <w:rPr>
          <w:rFonts w:cs="Arial"/>
        </w:rPr>
      </w:pPr>
      <w:r w:rsidRPr="00C41524">
        <w:rPr>
          <w:rFonts w:cs="Arial"/>
        </w:rPr>
        <w:t xml:space="preserve">Notwithstanding the foregoing, the indicative list makes a reference to “acquisition costs” which does not seem very clear. It provides some examples of costs which are normally not born by the investor on an ordinary basis, such as fees to be paid to the commercial register. This part should be further revised and clarified. </w:t>
      </w:r>
    </w:p>
    <w:p w:rsidR="006216E2" w:rsidRPr="00212BBF" w:rsidRDefault="006216E2" w:rsidP="006216E2">
      <w:pPr>
        <w:rPr>
          <w:rFonts w:ascii="BBVA Office Light" w:hAnsi="BBVA Office Light"/>
        </w:rPr>
      </w:pPr>
      <w:r w:rsidRPr="00C41524">
        <w:rPr>
          <w:rFonts w:cs="Arial"/>
        </w:rPr>
        <w:t>Besides, this list goes much further than the one currently applicable to UCITS KIDs (CESR´s guidelines on the methodology for calculation of the ongoing charges figure in the Key Investor Information Doc</w:t>
      </w:r>
      <w:r w:rsidRPr="00C41524">
        <w:rPr>
          <w:rFonts w:cs="Arial"/>
        </w:rPr>
        <w:t>u</w:t>
      </w:r>
      <w:r w:rsidRPr="00C41524">
        <w:rPr>
          <w:rFonts w:cs="Arial"/>
        </w:rPr>
        <w:lastRenderedPageBreak/>
        <w:t>ment - CESR/ 10-674). Such methodology has proved to be successful and, therefore, should be taken as a reference. The proposed list goes much further than the one included in such document, even including costs expressly excluded of the amount to be disclosed as ongoing charges in the UCITS KIID</w:t>
      </w:r>
      <w:r w:rsidRPr="00212BBF">
        <w:rPr>
          <w:rFonts w:ascii="BBVA Office Light" w:hAnsi="BBVA Office Light"/>
        </w:rPr>
        <w:t>.</w:t>
      </w:r>
    </w:p>
    <w:permEnd w:id="31"/>
    <w:p w:rsidR="00F31E57" w:rsidRDefault="00F31E57" w:rsidP="00F31E57">
      <w:r>
        <w:t>&lt;ESMA_QUESTION_PRIIPs_23&gt;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How should the list be completed? Do you think this list should explicitly mention carried interest in the case of private equity funds?</w:t>
      </w:r>
    </w:p>
    <w:p w:rsidR="00F31E57" w:rsidRDefault="00F31E57" w:rsidP="00F31E57">
      <w:pPr>
        <w:rPr>
          <w:rFonts w:cstheme="minorBidi"/>
        </w:rPr>
      </w:pPr>
    </w:p>
    <w:p w:rsidR="00F31E57" w:rsidRDefault="00F31E57" w:rsidP="00F31E57">
      <w:r>
        <w:t>&lt;ESMA_QUESTION_PRIIPs_24&gt;</w:t>
      </w:r>
    </w:p>
    <w:p w:rsidR="006216E2" w:rsidRPr="00C41524" w:rsidRDefault="006216E2" w:rsidP="006216E2">
      <w:pPr>
        <w:rPr>
          <w:rFonts w:cs="Arial"/>
        </w:rPr>
      </w:pPr>
      <w:permStart w:id="32" w:edGrp="everyone"/>
      <w:r w:rsidRPr="00C41524">
        <w:rPr>
          <w:rFonts w:cs="Arial"/>
        </w:rPr>
        <w:t>It should be clarified that these costs are to be included in the ongoing charges figures as long as they are born by the investors. Fees paid to the custodians or the investment advisers, for example, are sometimes paid by the depositary bank and the management company, respectively, out of their fees. This should not affect the ongoing charges figure.</w:t>
      </w:r>
    </w:p>
    <w:p w:rsidR="006216E2" w:rsidRPr="00686EBE" w:rsidRDefault="006216E2" w:rsidP="006216E2">
      <w:pPr>
        <w:rPr>
          <w:rFonts w:ascii="BBVA Office Light" w:hAnsi="BBVA Office Light"/>
          <w:color w:val="0070C0"/>
        </w:rPr>
      </w:pPr>
      <w:r w:rsidRPr="00C41524">
        <w:rPr>
          <w:rFonts w:cs="Arial"/>
        </w:rPr>
        <w:t>Carried interest is not an ongoing charge as defined in the regulations; it is actually more similar to a performance fee – which is actually paid in a much longer period of time- so its treatment should be similar to such fee. This is not a cost that the investor is going to bear on an ongoing basis through the time of its investments, it depends on actual performance and its inclusion on the ongoing charges figure can be misleading. If necessary, there should be a different mention. There is no doubt that it is relevant inform</w:t>
      </w:r>
      <w:r w:rsidRPr="00C41524">
        <w:rPr>
          <w:rFonts w:cs="Arial"/>
        </w:rPr>
        <w:t>a</w:t>
      </w:r>
      <w:r w:rsidRPr="00C41524">
        <w:rPr>
          <w:rFonts w:cs="Arial"/>
        </w:rPr>
        <w:t>tion</w:t>
      </w:r>
      <w:r w:rsidRPr="00686EBE">
        <w:rPr>
          <w:rFonts w:ascii="BBVA Office Light" w:hAnsi="BBVA Office Light"/>
          <w:color w:val="0070C0"/>
        </w:rPr>
        <w:t>.</w:t>
      </w:r>
    </w:p>
    <w:permEnd w:id="32"/>
    <w:p w:rsidR="00F31E57" w:rsidRDefault="00F31E57" w:rsidP="00F31E57">
      <w:r>
        <w:t>&lt;ESMA_QUESTION_PRIIPs_24&gt;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Should these fees be further specified? </w:t>
      </w:r>
    </w:p>
    <w:p w:rsidR="00F31E57" w:rsidRDefault="00F31E57" w:rsidP="00F31E57">
      <w:pPr>
        <w:rPr>
          <w:rFonts w:cstheme="minorBidi"/>
        </w:rPr>
      </w:pPr>
    </w:p>
    <w:p w:rsidR="00F31E57" w:rsidRDefault="00F31E57" w:rsidP="00F31E57">
      <w:r>
        <w:t>&lt;ESMA_QUESTION_PRIIPs_25&gt;</w:t>
      </w:r>
    </w:p>
    <w:p w:rsidR="006216E2" w:rsidRPr="00C41524" w:rsidRDefault="006216E2" w:rsidP="006216E2">
      <w:pPr>
        <w:rPr>
          <w:rFonts w:cs="Arial"/>
        </w:rPr>
      </w:pPr>
      <w:permStart w:id="33" w:edGrp="everyone"/>
      <w:r w:rsidRPr="00C41524">
        <w:rPr>
          <w:rFonts w:cs="Arial"/>
        </w:rPr>
        <w:t xml:space="preserve">As mentioned above, this should be taken into account only as far as their costs are assumed by the investor. </w:t>
      </w:r>
    </w:p>
    <w:p w:rsidR="006216E2" w:rsidRPr="00686EBE" w:rsidRDefault="006216E2" w:rsidP="006216E2">
      <w:pPr>
        <w:rPr>
          <w:rFonts w:ascii="BBVA Office Light" w:hAnsi="BBVA Office Light"/>
          <w:color w:val="0070C0"/>
        </w:rPr>
      </w:pPr>
      <w:r w:rsidRPr="00C41524">
        <w:rPr>
          <w:rFonts w:cs="Arial"/>
        </w:rPr>
        <w:t>Considering that an exhaustive list is difficult to achieve, the indicative list seems fine</w:t>
      </w:r>
      <w:r w:rsidRPr="00686EBE">
        <w:rPr>
          <w:rFonts w:ascii="BBVA Office Light" w:hAnsi="BBVA Office Light"/>
          <w:color w:val="0070C0"/>
        </w:rPr>
        <w:t>.</w:t>
      </w:r>
    </w:p>
    <w:permEnd w:id="33"/>
    <w:p w:rsidR="00F31E57" w:rsidRDefault="00F31E57" w:rsidP="00F31E57">
      <w:r>
        <w:t>&lt;ESMA_QUESTION_PRIIPs_25&gt;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Should these fees be further specified? The “recovering fees” cover the following situation: when an investor receives income from foreign investments, the third-country government may heavily tax it. Investors may be entitled to reclaim the diffe</w:t>
      </w:r>
      <w:r>
        <w:rPr>
          <w:rFonts w:cs="Arial"/>
        </w:rPr>
        <w:t>r</w:t>
      </w:r>
      <w:r>
        <w:rPr>
          <w:rFonts w:cs="Arial"/>
        </w:rPr>
        <w:t>ence but they will still lose money in the recovering process (fee to be paid).</w:t>
      </w:r>
    </w:p>
    <w:p w:rsidR="00F31E57" w:rsidRDefault="00F31E57" w:rsidP="00F31E57">
      <w:pPr>
        <w:rPr>
          <w:rFonts w:cstheme="minorBidi"/>
        </w:rPr>
      </w:pPr>
    </w:p>
    <w:p w:rsidR="00F31E57" w:rsidRDefault="00F31E57" w:rsidP="00F31E57">
      <w:r>
        <w:t>&lt;ESMA_QUESTION_PRIIPs_26&gt;</w:t>
      </w:r>
    </w:p>
    <w:p w:rsidR="006216E2" w:rsidRPr="00BE397C" w:rsidRDefault="006216E2" w:rsidP="006216E2">
      <w:pPr>
        <w:rPr>
          <w:rFonts w:cs="Arial"/>
        </w:rPr>
      </w:pPr>
      <w:permStart w:id="34" w:edGrp="everyone"/>
      <w:r w:rsidRPr="00BE397C">
        <w:rPr>
          <w:rFonts w:cs="Arial"/>
        </w:rPr>
        <w:t xml:space="preserve">The list should be completed with translation costs related to pass porting or registration third countries or any other legally imposed or indicated by the authorities in relation with registration, as far as they are ongoing. </w:t>
      </w:r>
    </w:p>
    <w:permEnd w:id="34"/>
    <w:p w:rsidR="00F31E57" w:rsidRDefault="00F31E57" w:rsidP="00F31E57">
      <w:r>
        <w:t>&lt;ESMA_QUESTION_PRIIPs_26&gt;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Should these fees be further specified? The “recovering fees” cover the following situation: when an investor receives income from foreign investments, the third-country government may heavily tax it. Investors may be entitled to reclaim the diffe</w:t>
      </w:r>
      <w:r>
        <w:rPr>
          <w:rFonts w:cs="Arial"/>
        </w:rPr>
        <w:t>r</w:t>
      </w:r>
      <w:r>
        <w:rPr>
          <w:rFonts w:cs="Arial"/>
        </w:rPr>
        <w:t>ence but they will still lose money in the recovering process (fee to be paid).</w:t>
      </w:r>
    </w:p>
    <w:p w:rsidR="00F31E57" w:rsidRDefault="00F31E57" w:rsidP="00F31E57">
      <w:pPr>
        <w:rPr>
          <w:rFonts w:cstheme="minorBidi"/>
        </w:rPr>
      </w:pPr>
    </w:p>
    <w:p w:rsidR="00F31E57" w:rsidRDefault="00F31E57" w:rsidP="00F31E57">
      <w:r>
        <w:t>&lt;ESMA_QUESTION_PRIIPs_27&gt;</w:t>
      </w:r>
    </w:p>
    <w:p w:rsidR="006216E2" w:rsidRPr="00BE397C" w:rsidRDefault="006216E2" w:rsidP="006216E2">
      <w:pPr>
        <w:rPr>
          <w:rFonts w:cs="Arial"/>
        </w:rPr>
      </w:pPr>
      <w:permStart w:id="35" w:edGrp="everyone"/>
      <w:r w:rsidRPr="00BE397C">
        <w:rPr>
          <w:rFonts w:cs="Arial"/>
        </w:rPr>
        <w:t xml:space="preserve">The list seems fine. These expenses and fees should be specified as long as they are really “ongoing”. </w:t>
      </w:r>
    </w:p>
    <w:permEnd w:id="35"/>
    <w:p w:rsidR="00F31E57" w:rsidRDefault="00F31E57" w:rsidP="00F31E57">
      <w:r>
        <w:t>&lt;ESMA_QUESTION_PRIIPs_27&gt;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This list is taken from the CESR guidelines on cost disclosure for UCITS. What is missing in the case of retail AIFs (real estate funds, private equity funds)? </w:t>
      </w:r>
    </w:p>
    <w:p w:rsidR="00F31E57" w:rsidRDefault="00F31E57" w:rsidP="00F31E57">
      <w:pPr>
        <w:rPr>
          <w:rFonts w:cstheme="minorBidi"/>
        </w:rPr>
      </w:pPr>
    </w:p>
    <w:p w:rsidR="00F31E57" w:rsidRDefault="00F31E57" w:rsidP="00F31E57">
      <w:r>
        <w:t>&lt;ESMA_QUESTION_PRIIPs_28&gt;</w:t>
      </w:r>
    </w:p>
    <w:p w:rsidR="006216E2" w:rsidRPr="000C291A" w:rsidRDefault="00714A96" w:rsidP="006216E2">
      <w:pPr>
        <w:rPr>
          <w:rFonts w:cs="Arial"/>
        </w:rPr>
      </w:pPr>
      <w:permStart w:id="36" w:edGrp="everyone"/>
      <w:r w:rsidRPr="000C291A">
        <w:rPr>
          <w:rFonts w:cs="Arial"/>
        </w:rPr>
        <w:lastRenderedPageBreak/>
        <w:t>The general list could be also completed with any costs related to the exercise of voting rights by the relevant PRIIPS: proxy voting advisers, special costs to be paid to the central securities depositories to receive all relevant information in order to be able to exercise such rights</w:t>
      </w:r>
      <w:r w:rsidR="006216E2" w:rsidRPr="000C291A">
        <w:rPr>
          <w:rFonts w:cs="Arial"/>
        </w:rPr>
        <w:t>.</w:t>
      </w:r>
    </w:p>
    <w:p w:rsidR="000C291A" w:rsidRPr="000C291A" w:rsidRDefault="000C291A" w:rsidP="000C291A">
      <w:pPr>
        <w:rPr>
          <w:rFonts w:cs="Arial"/>
        </w:rPr>
      </w:pPr>
      <w:r w:rsidRPr="000C291A">
        <w:rPr>
          <w:rFonts w:cs="Arial"/>
        </w:rPr>
        <w:t>In the case of private equity funds, it may be relevant to make specific references to the amount which determines the ongoing charges. Net assets of the private equity fund are different from the total commi</w:t>
      </w:r>
      <w:r w:rsidRPr="000C291A">
        <w:rPr>
          <w:rFonts w:cs="Arial"/>
        </w:rPr>
        <w:t>t</w:t>
      </w:r>
      <w:r w:rsidRPr="000C291A">
        <w:rPr>
          <w:rFonts w:cs="Arial"/>
        </w:rPr>
        <w:t>ment of the investor and sometimes fees are calculated on that amount. This should be further reviewed to provide clear information.</w:t>
      </w:r>
    </w:p>
    <w:p w:rsidR="000C291A" w:rsidRPr="000C291A" w:rsidRDefault="000C291A" w:rsidP="000C291A">
      <w:pPr>
        <w:rPr>
          <w:rFonts w:cs="Arial"/>
        </w:rPr>
      </w:pPr>
      <w:r w:rsidRPr="000C291A">
        <w:rPr>
          <w:rFonts w:cs="Arial"/>
        </w:rPr>
        <w:t>In relation with real estate funds, important charges may be born by the funds and, hence, their unit hol</w:t>
      </w:r>
      <w:r w:rsidRPr="000C291A">
        <w:rPr>
          <w:rFonts w:cs="Arial"/>
        </w:rPr>
        <w:t>d</w:t>
      </w:r>
      <w:r w:rsidRPr="000C291A">
        <w:rPr>
          <w:rFonts w:cs="Arial"/>
        </w:rPr>
        <w:t>ers, linked to the renting of the properties, their maintenance, recovery of rentals and other legal pro</w:t>
      </w:r>
      <w:r w:rsidRPr="000C291A">
        <w:rPr>
          <w:rFonts w:cs="Arial"/>
        </w:rPr>
        <w:t>c</w:t>
      </w:r>
      <w:r w:rsidRPr="000C291A">
        <w:rPr>
          <w:rFonts w:cs="Arial"/>
        </w:rPr>
        <w:t>esses related with such activity. Please, check if all of them are included in the concept of “property ma</w:t>
      </w:r>
      <w:r w:rsidRPr="000C291A">
        <w:rPr>
          <w:rFonts w:cs="Arial"/>
        </w:rPr>
        <w:t>n</w:t>
      </w:r>
      <w:r w:rsidRPr="000C291A">
        <w:rPr>
          <w:rFonts w:cs="Arial"/>
        </w:rPr>
        <w:t>agement services”.</w:t>
      </w:r>
    </w:p>
    <w:p w:rsidR="00714A96" w:rsidRPr="00212BBF" w:rsidRDefault="00714A96" w:rsidP="006216E2">
      <w:pPr>
        <w:rPr>
          <w:rFonts w:cs="Arial"/>
        </w:rPr>
      </w:pPr>
    </w:p>
    <w:permEnd w:id="36"/>
    <w:p w:rsidR="00F31E57" w:rsidRDefault="00F31E57" w:rsidP="00F31E57">
      <w:r>
        <w:t>&lt;ESMA_QUESTION_PRIIPs_28&gt;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Which are the specific issues in relation to this type of costs? </w:t>
      </w:r>
    </w:p>
    <w:p w:rsidR="00F31E57" w:rsidRDefault="00F31E57" w:rsidP="00F31E57">
      <w:pPr>
        <w:rPr>
          <w:rFonts w:cstheme="minorBidi"/>
        </w:rPr>
      </w:pPr>
    </w:p>
    <w:p w:rsidR="00F31E57" w:rsidRDefault="00F31E57" w:rsidP="00F31E57">
      <w:r>
        <w:t>&lt;ESMA_QUESTION_PRIIPs_29&gt;</w:t>
      </w:r>
    </w:p>
    <w:p w:rsidR="006216E2" w:rsidRPr="00212BBF" w:rsidRDefault="006216E2" w:rsidP="006216E2">
      <w:pPr>
        <w:rPr>
          <w:rFonts w:cs="Arial"/>
        </w:rPr>
      </w:pPr>
      <w:permStart w:id="37" w:edGrp="everyone"/>
      <w:r w:rsidRPr="00212BBF">
        <w:rPr>
          <w:rFonts w:cs="Arial"/>
        </w:rPr>
        <w:t>Please, see our comments below in relation to the performance fees.</w:t>
      </w:r>
    </w:p>
    <w:p w:rsidR="006216E2" w:rsidRPr="00212BBF" w:rsidRDefault="006216E2" w:rsidP="006216E2">
      <w:pPr>
        <w:rPr>
          <w:rFonts w:cs="Arial"/>
          <w:color w:val="0070C0"/>
        </w:rPr>
      </w:pPr>
      <w:r w:rsidRPr="00212BBF">
        <w:rPr>
          <w:rFonts w:cs="Arial"/>
        </w:rPr>
        <w:t>Regarding financing costs, we don’t see any specific issues in relation to them as long as they are ong</w:t>
      </w:r>
      <w:r w:rsidRPr="00212BBF">
        <w:rPr>
          <w:rFonts w:cs="Arial"/>
        </w:rPr>
        <w:t>o</w:t>
      </w:r>
      <w:r w:rsidRPr="00212BBF">
        <w:rPr>
          <w:rFonts w:cs="Arial"/>
        </w:rPr>
        <w:t>ing</w:t>
      </w:r>
      <w:r w:rsidRPr="00212BBF">
        <w:rPr>
          <w:rFonts w:cs="Arial"/>
          <w:color w:val="0070C0"/>
        </w:rPr>
        <w:t>.</w:t>
      </w:r>
    </w:p>
    <w:permEnd w:id="37"/>
    <w:p w:rsidR="00F31E57" w:rsidRDefault="00F31E57" w:rsidP="00F31E57">
      <w:r>
        <w:t>&lt;ESMA_QUESTION_PRIIPs_29&gt;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Is it relevant to include this type of costs in the costs to be disclosed in the on-going charges? Which are the specific issues in relation to this type of costs? Which defin</w:t>
      </w:r>
      <w:r>
        <w:rPr>
          <w:rFonts w:cs="Arial"/>
        </w:rPr>
        <w:t>i</w:t>
      </w:r>
      <w:r>
        <w:rPr>
          <w:rFonts w:cs="Arial"/>
        </w:rPr>
        <w:t>tion of Costs for capital guarantee or capital protection would you suggest? (Contr</w:t>
      </w:r>
      <w:r>
        <w:rPr>
          <w:rFonts w:cs="Arial"/>
        </w:rPr>
        <w:t>i</w:t>
      </w:r>
      <w:r>
        <w:rPr>
          <w:rFonts w:cs="Arial"/>
        </w:rPr>
        <w:t>bution for deposit insurance or cost of external guarantor?)</w:t>
      </w:r>
    </w:p>
    <w:p w:rsidR="00F31E57" w:rsidRDefault="00F31E57" w:rsidP="00F31E57">
      <w:pPr>
        <w:rPr>
          <w:rFonts w:cstheme="minorBidi"/>
        </w:rPr>
      </w:pPr>
    </w:p>
    <w:p w:rsidR="00F31E57" w:rsidRDefault="00F31E57" w:rsidP="00F31E57">
      <w:r>
        <w:t>&lt;ESMA_QUESTION_PRIIPs_30&gt;</w:t>
      </w:r>
    </w:p>
    <w:p w:rsidR="006216E2" w:rsidRPr="00212BBF" w:rsidRDefault="006216E2" w:rsidP="006216E2">
      <w:pPr>
        <w:rPr>
          <w:rFonts w:cs="Arial"/>
        </w:rPr>
      </w:pPr>
      <w:permStart w:id="38" w:edGrp="everyone"/>
      <w:r w:rsidRPr="00212BBF">
        <w:rPr>
          <w:rFonts w:cs="Arial"/>
        </w:rPr>
        <w:t>All costs are relevant as long as they are born by the investor on an ongoing basis and, therefore, affects its revenue. However, this should only be included if really born by the investor since sometimes there is no specific charge for such purpose. The list should include both proposals, as long as they are really ongoing, and again, not be exhaustive.</w:t>
      </w:r>
    </w:p>
    <w:permEnd w:id="38"/>
    <w:p w:rsidR="00F31E57" w:rsidRDefault="00F31E57" w:rsidP="00F31E57">
      <w:r>
        <w:t>&lt;ESMA_QUESTION_PRIIPs_30&gt;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Which are the specific issues in relation to this type of costs? Should the scope of these costs be narrowed to administrative costs in connection with investments in d</w:t>
      </w:r>
      <w:r>
        <w:rPr>
          <w:rFonts w:cs="Arial"/>
        </w:rPr>
        <w:t>e</w:t>
      </w:r>
      <w:r>
        <w:rPr>
          <w:rFonts w:cs="Arial"/>
        </w:rPr>
        <w:t xml:space="preserve">rivative instruments? In that respect, it could be argued that margin calls itself should not be considered as costs. The possible rationale behind this reasoning would be that margin calls may result in missed revenues, since no return is realized on the cash amount that is deposited, and that: </w:t>
      </w:r>
    </w:p>
    <w:p w:rsidR="00F31E57" w:rsidRDefault="00F31E57" w:rsidP="00F31E57">
      <w:pPr>
        <w:rPr>
          <w:rFonts w:cstheme="minorBidi"/>
        </w:rPr>
      </w:pPr>
    </w:p>
    <w:p w:rsidR="00F31E57" w:rsidRDefault="00F31E57" w:rsidP="00F31E57">
      <w:r>
        <w:t>&lt;ESMA_QUESTION_PRIIPs_31&gt;</w:t>
      </w:r>
    </w:p>
    <w:p w:rsidR="006216E2" w:rsidRPr="00212BBF" w:rsidRDefault="006216E2" w:rsidP="006216E2">
      <w:pPr>
        <w:rPr>
          <w:rFonts w:cs="Arial"/>
        </w:rPr>
      </w:pPr>
      <w:permStart w:id="39" w:edGrp="everyone"/>
      <w:r w:rsidRPr="00212BBF">
        <w:rPr>
          <w:rFonts w:cs="Arial"/>
        </w:rPr>
        <w:t xml:space="preserve">Costs related to the acquisition or disposal of assets for the portfolio are explicitly excluded from the ongoing charges figures for UCITS; it should be the same for other PRIIPS. The reason for the exclusion therefrom is valid for all kind of PRIIPS. Otherwise, information will not be balanced and for an investor of different PRIIPs could be misleading. Additionally, when PRIIPS Regulation came into effect for UCITS, it would imply a huge impact with a more than likely increase of the figures without a real increase of the costs. </w:t>
      </w:r>
    </w:p>
    <w:p w:rsidR="006216E2" w:rsidRPr="00212BBF" w:rsidRDefault="006216E2" w:rsidP="006216E2">
      <w:pPr>
        <w:rPr>
          <w:rFonts w:cs="Arial"/>
        </w:rPr>
      </w:pPr>
      <w:r w:rsidRPr="00212BBF">
        <w:rPr>
          <w:rFonts w:cs="Arial"/>
        </w:rPr>
        <w:t xml:space="preserve">Even if a part of these costs is finally included in the ongoing charges figure, margin calls should never be included since they cannot be considered a cost at all, but rather a guarantee for the transactions in financial derivative instruments. </w:t>
      </w:r>
    </w:p>
    <w:permEnd w:id="39"/>
    <w:p w:rsidR="00F31E57" w:rsidRDefault="00F31E57" w:rsidP="00F31E57">
      <w:r>
        <w:t>&lt;ESMA_QUESTION_PRIIPs_31&gt;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pPr>
      <w:r>
        <w:rPr>
          <w:rFonts w:cs="Arial"/>
        </w:rPr>
        <w:lastRenderedPageBreak/>
        <w:t xml:space="preserve">Which are the specific issues in relation to this type of costs? Should this type of costs be further detailed/ defined? </w:t>
      </w:r>
    </w:p>
    <w:p w:rsidR="00F31E57" w:rsidRDefault="00F31E57" w:rsidP="00F31E57"/>
    <w:p w:rsidR="00F31E57" w:rsidRDefault="00F31E57" w:rsidP="00F31E57">
      <w:r>
        <w:t>&lt;ESMA_QUESTION_PRIIPs_32&gt;</w:t>
      </w:r>
    </w:p>
    <w:p w:rsidR="000C291A" w:rsidRDefault="000C291A" w:rsidP="00F31E57">
      <w:permStart w:id="40" w:edGrp="everyone"/>
      <w:r w:rsidRPr="00212BBF">
        <w:rPr>
          <w:rFonts w:cs="Arial"/>
        </w:rPr>
        <w:t>Goods or services received by the management company are not a cost to be included in the ongoing charges and that is how they are treated under the current UCITS’ regulation. They are, however, i</w:t>
      </w:r>
      <w:r w:rsidRPr="00212BBF">
        <w:rPr>
          <w:rFonts w:cs="Arial"/>
        </w:rPr>
        <w:t>n</w:t>
      </w:r>
      <w:r w:rsidRPr="00212BBF">
        <w:rPr>
          <w:rFonts w:cs="Arial"/>
        </w:rPr>
        <w:t>ducements that should be treated and, if applicable, informed under the relevant legislation. Considering them as costs and including them as ongoing charges would definitely confuse the investor and provide a wrong vision of the possible performance</w:t>
      </w:r>
    </w:p>
    <w:permEnd w:id="40"/>
    <w:p w:rsidR="00F31E57" w:rsidRDefault="00F31E57" w:rsidP="00F31E57">
      <w:r>
        <w:t>&lt;ESMA_QUESTION_PRIIPs_32&gt;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How to deal with the uncertainty if, how and when the dividend will be paid out to the investors? Do you agree that dividends can be measured ex-post and estimated ex-ante and that estimation of future dividends for main indices are normally available?</w:t>
      </w:r>
    </w:p>
    <w:p w:rsidR="00F31E57" w:rsidRDefault="00F31E57" w:rsidP="00F31E57">
      <w:pPr>
        <w:rPr>
          <w:rFonts w:cstheme="minorBidi"/>
        </w:rPr>
      </w:pPr>
    </w:p>
    <w:p w:rsidR="00F31E57" w:rsidRDefault="00F31E57" w:rsidP="00F31E57">
      <w:r>
        <w:t>&lt;ESMA_QUESTION_PRIIPs_33&gt;</w:t>
      </w:r>
    </w:p>
    <w:p w:rsidR="006216E2" w:rsidRPr="00212BBF" w:rsidRDefault="006216E2" w:rsidP="006216E2">
      <w:pPr>
        <w:rPr>
          <w:rFonts w:cs="Arial"/>
        </w:rPr>
      </w:pPr>
      <w:permStart w:id="41" w:edGrp="everyone"/>
      <w:r w:rsidRPr="00212BBF">
        <w:rPr>
          <w:rFonts w:cs="Arial"/>
        </w:rPr>
        <w:t>It is reasonable to consider indirect costs from the investments in other PRIIPS within the ongoing charges figure.</w:t>
      </w:r>
    </w:p>
    <w:p w:rsidR="006216E2" w:rsidRPr="00212BBF" w:rsidRDefault="006216E2" w:rsidP="006216E2">
      <w:pPr>
        <w:rPr>
          <w:rFonts w:cs="Arial"/>
        </w:rPr>
      </w:pPr>
      <w:r w:rsidRPr="00212BBF">
        <w:rPr>
          <w:rFonts w:cs="Arial"/>
        </w:rPr>
        <w:t>In relation to other costs, the following should be taken into account:</w:t>
      </w:r>
    </w:p>
    <w:p w:rsidR="006216E2" w:rsidRPr="00212BBF" w:rsidRDefault="006216E2" w:rsidP="006216E2">
      <w:pPr>
        <w:rPr>
          <w:rFonts w:cs="Arial"/>
        </w:rPr>
      </w:pPr>
      <w:proofErr w:type="gramStart"/>
      <w:r w:rsidRPr="00212BBF">
        <w:rPr>
          <w:rFonts w:cs="Arial"/>
        </w:rPr>
        <w:t>“Costs” arising from fee-sharing agreements.</w:t>
      </w:r>
      <w:proofErr w:type="gramEnd"/>
      <w:r w:rsidR="00F877F3" w:rsidRPr="00F877F3">
        <w:t xml:space="preserve"> </w:t>
      </w:r>
      <w:r w:rsidR="00F877F3">
        <w:t>AEB members</w:t>
      </w:r>
      <w:r w:rsidRPr="00212BBF">
        <w:rPr>
          <w:rFonts w:cs="Arial"/>
        </w:rPr>
        <w:t xml:space="preserve"> don’t see which kind of costs they might imply to the investor and, therefore, we consider they should not be included within the ongoing charges. If what is being thought of is revenue which should be earned by the PRIIPS but it is paid to another entity, it should be treated, if applicable, as an inducement and not as a cost with the relevant impact on the ong</w:t>
      </w:r>
      <w:r w:rsidRPr="00212BBF">
        <w:rPr>
          <w:rFonts w:cs="Arial"/>
        </w:rPr>
        <w:t>o</w:t>
      </w:r>
      <w:r w:rsidRPr="00212BBF">
        <w:rPr>
          <w:rFonts w:cs="Arial"/>
        </w:rPr>
        <w:t>ing charges. Otherwise, the datum itself would be altered.</w:t>
      </w:r>
    </w:p>
    <w:p w:rsidR="006216E2" w:rsidRPr="00212BBF" w:rsidRDefault="006216E2" w:rsidP="006216E2">
      <w:pPr>
        <w:rPr>
          <w:rFonts w:cs="Arial"/>
        </w:rPr>
      </w:pPr>
      <w:r w:rsidRPr="00212BBF">
        <w:rPr>
          <w:rFonts w:cs="Arial"/>
        </w:rPr>
        <w:t>Same reasoning and conclusions for earnings from efficient portfolio management techniques, implicit costs and dividends.</w:t>
      </w:r>
    </w:p>
    <w:p w:rsidR="006216E2" w:rsidRPr="00212BBF" w:rsidRDefault="006216E2" w:rsidP="006216E2">
      <w:pPr>
        <w:rPr>
          <w:rFonts w:cs="Arial"/>
        </w:rPr>
      </w:pPr>
    </w:p>
    <w:p w:rsidR="006216E2" w:rsidRPr="00212BBF" w:rsidRDefault="006216E2" w:rsidP="006216E2">
      <w:pPr>
        <w:rPr>
          <w:rFonts w:cs="Arial"/>
        </w:rPr>
      </w:pPr>
      <w:r w:rsidRPr="00212BBF">
        <w:rPr>
          <w:rFonts w:cs="Arial"/>
        </w:rPr>
        <w:t>The ongoing charges figure intents to reflect the real costs and not any possible lack of income which should be furthered analysed. We cannot conclude that any such situations imply an implicit cost and, in any case, they should probably be treated otherwise (as an inducement as above mentioned). As antic</w:t>
      </w:r>
      <w:r w:rsidRPr="00212BBF">
        <w:rPr>
          <w:rFonts w:cs="Arial"/>
        </w:rPr>
        <w:t>i</w:t>
      </w:r>
      <w:r w:rsidRPr="00212BBF">
        <w:rPr>
          <w:rFonts w:cs="Arial"/>
        </w:rPr>
        <w:t>pated in the ESMA question, there is also a huge uncertainty about how and when some of these “costs” may happen.</w:t>
      </w:r>
    </w:p>
    <w:p w:rsidR="006216E2" w:rsidRPr="00212BBF" w:rsidRDefault="006216E2" w:rsidP="006216E2">
      <w:pPr>
        <w:rPr>
          <w:rFonts w:cs="Arial"/>
        </w:rPr>
      </w:pPr>
      <w:r w:rsidRPr="00212BBF">
        <w:rPr>
          <w:rFonts w:cs="Arial"/>
        </w:rPr>
        <w:t>These said “costs” have not been considered for their inclusion in the ongoing charges figure in UCITS regulation (except from the ones arising from fee sharing agreements, but only, as we understand it, when they affect the real costs).</w:t>
      </w:r>
    </w:p>
    <w:p w:rsidR="006216E2" w:rsidRPr="00686EBE" w:rsidRDefault="006216E2" w:rsidP="006216E2">
      <w:pPr>
        <w:rPr>
          <w:rFonts w:ascii="BBVA Office Light" w:hAnsi="BBVA Office Light"/>
          <w:color w:val="0070C0"/>
        </w:rPr>
      </w:pPr>
      <w:r w:rsidRPr="00212BBF">
        <w:rPr>
          <w:rFonts w:cs="Arial"/>
        </w:rPr>
        <w:t>In relation to performance fee costs, we agree that including that in the ongoing charge figure would definitely alter its definition and the figure itself, which would no longer be accurate. However, we also agree that it is an important factor to be considered for the investment decision and, therefore, should be disclosed, but not within the ongoing charges figure in order to avoid any possible confusion</w:t>
      </w:r>
      <w:r w:rsidRPr="00686EBE">
        <w:rPr>
          <w:rFonts w:ascii="BBVA Office Light" w:hAnsi="BBVA Office Light"/>
          <w:color w:val="0070C0"/>
        </w:rPr>
        <w:t xml:space="preserve">. </w:t>
      </w:r>
    </w:p>
    <w:permEnd w:id="41"/>
    <w:p w:rsidR="00F31E57" w:rsidRDefault="00F31E57" w:rsidP="00F31E57">
      <w:r>
        <w:t>&lt;ESMA_QUESTION_PRIIPs_33&gt;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lang w:eastAsia="en-GB"/>
        </w:rPr>
      </w:pPr>
      <w:r>
        <w:rPr>
          <w:rFonts w:eastAsia="Times New Roman" w:cs="Arial"/>
          <w:lang w:eastAsia="en-GB"/>
        </w:rPr>
        <w:t xml:space="preserve">Is this description comprehensive? </w:t>
      </w:r>
    </w:p>
    <w:p w:rsidR="00F31E57" w:rsidRDefault="00F31E57" w:rsidP="00F31E57">
      <w:pPr>
        <w:rPr>
          <w:rFonts w:eastAsiaTheme="minorHAnsi" w:cstheme="minorBidi"/>
          <w:lang w:eastAsia="en-US"/>
        </w:rPr>
      </w:pPr>
    </w:p>
    <w:p w:rsidR="00F31E57" w:rsidRDefault="00F31E57" w:rsidP="00F31E57">
      <w:r>
        <w:t>&lt;ESMA_QUESTION_PRIIPs_34&gt;</w:t>
      </w:r>
    </w:p>
    <w:p w:rsidR="00F31E57" w:rsidRDefault="00F31E57" w:rsidP="00F31E57">
      <w:permStart w:id="42" w:edGrp="everyone"/>
      <w:r>
        <w:t>TYPE YOUR TEXT HERE</w:t>
      </w:r>
    </w:p>
    <w:permEnd w:id="42"/>
    <w:p w:rsidR="00F31E57" w:rsidRDefault="00F31E57" w:rsidP="00F31E57">
      <w:r>
        <w:t>&lt;ESMA_QUESTION_PRIIPs_34&gt;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Can you identify any difficulties with calculating and presenting explicit broker co</w:t>
      </w:r>
      <w:r>
        <w:rPr>
          <w:rFonts w:cs="Arial"/>
        </w:rPr>
        <w:t>m</w:t>
      </w:r>
      <w:r>
        <w:rPr>
          <w:rFonts w:cs="Arial"/>
        </w:rPr>
        <w:t>missions? How can explicit broker commissions best be calculated ex-ante?</w:t>
      </w:r>
    </w:p>
    <w:p w:rsidR="00F31E57" w:rsidRDefault="00F31E57" w:rsidP="00F31E57">
      <w:pPr>
        <w:rPr>
          <w:rFonts w:cstheme="minorBidi"/>
        </w:rPr>
      </w:pPr>
    </w:p>
    <w:p w:rsidR="00F31E57" w:rsidRDefault="00F31E57" w:rsidP="00F31E57">
      <w:r>
        <w:t>&lt;ESMA_QUESTION_PRIIPs_35&gt;</w:t>
      </w:r>
    </w:p>
    <w:p w:rsidR="00F31E57" w:rsidRDefault="00F31E57" w:rsidP="00F31E57">
      <w:permStart w:id="43" w:edGrp="everyone"/>
      <w:r>
        <w:t>TYPE YOUR TEXT HERE</w:t>
      </w:r>
    </w:p>
    <w:permEnd w:id="43"/>
    <w:p w:rsidR="00F31E57" w:rsidRDefault="00F31E57" w:rsidP="00F31E57">
      <w:r>
        <w:t>&lt;ESMA_QUESTION_PRIIPs_35&gt;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lastRenderedPageBreak/>
        <w:t>How can the total of costs related to transaction taxes best be calculated? How should this be done to give the best estimate ex-ante? Are there other explicit costs relating to transactions that should be identified?</w:t>
      </w:r>
      <w:r>
        <w:rPr>
          <w:rFonts w:eastAsia="Times New Roman" w:cs="Arial"/>
          <w:lang w:eastAsia="en-GB"/>
        </w:rPr>
        <w:t xml:space="preserve"> Do you think that ticket fees (boo</w:t>
      </w:r>
      <w:r>
        <w:rPr>
          <w:rFonts w:eastAsia="Times New Roman" w:cs="Arial"/>
          <w:lang w:eastAsia="en-GB"/>
        </w:rPr>
        <w:t>k</w:t>
      </w:r>
      <w:r>
        <w:rPr>
          <w:rFonts w:eastAsia="Times New Roman" w:cs="Arial"/>
          <w:lang w:eastAsia="en-GB"/>
        </w:rPr>
        <w:t>ing fees paid to custody banks that are billed separately from the annual custodian fee paid for depositing the securities) should be added to this list?</w:t>
      </w:r>
    </w:p>
    <w:p w:rsidR="00F31E57" w:rsidRDefault="00F31E57" w:rsidP="00F31E57">
      <w:pPr>
        <w:rPr>
          <w:rFonts w:cstheme="minorBidi"/>
        </w:rPr>
      </w:pPr>
    </w:p>
    <w:p w:rsidR="00F31E57" w:rsidRDefault="00F31E57" w:rsidP="00F31E57">
      <w:r>
        <w:t>&lt;ESMA_QUESTION_PRIIPs_36&gt;</w:t>
      </w:r>
    </w:p>
    <w:p w:rsidR="00F31E57" w:rsidRDefault="00F31E57" w:rsidP="00F31E57">
      <w:permStart w:id="44" w:edGrp="everyone"/>
      <w:r>
        <w:t>TYPE YOUR TEXT HERE</w:t>
      </w:r>
    </w:p>
    <w:permEnd w:id="44"/>
    <w:p w:rsidR="00F31E57" w:rsidRDefault="00F31E57" w:rsidP="00F31E57">
      <w:r>
        <w:t>&lt;ESMA_QUESTION_PRIIPs_36&gt;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lang w:eastAsia="zh-TW"/>
        </w:rPr>
      </w:pPr>
      <w:r>
        <w:rPr>
          <w:rFonts w:eastAsia="Times New Roman" w:cs="Arial"/>
          <w:lang w:eastAsia="zh-TW"/>
        </w:rPr>
        <w:t xml:space="preserve">As regards the abovementioned estimate, </w:t>
      </w:r>
      <w:r>
        <w:rPr>
          <w:rFonts w:cs="Arial"/>
        </w:rPr>
        <w:t>can the fair value approach be used?</w:t>
      </w:r>
      <w:r>
        <w:rPr>
          <w:rStyle w:val="Refdenotaalpie"/>
          <w:rFonts w:cs="Arial"/>
        </w:rPr>
        <w:footnoteReference w:id="3"/>
      </w:r>
      <w:r>
        <w:rPr>
          <w:rFonts w:cs="Arial"/>
        </w:rPr>
        <w:t xml:space="preserve"> </w:t>
      </w:r>
    </w:p>
    <w:p w:rsidR="00F31E57" w:rsidRDefault="00F31E57" w:rsidP="00F31E57">
      <w:pPr>
        <w:rPr>
          <w:rFonts w:eastAsiaTheme="minorHAnsi" w:cstheme="minorBidi"/>
          <w:lang w:eastAsia="en-US"/>
        </w:rPr>
      </w:pPr>
    </w:p>
    <w:p w:rsidR="00F31E57" w:rsidRDefault="00F31E57" w:rsidP="00F31E57">
      <w:r>
        <w:t>&lt;ESMA_QUESTION_PRIIPs_37&gt;</w:t>
      </w:r>
    </w:p>
    <w:p w:rsidR="00F31E57" w:rsidRDefault="00F31E57" w:rsidP="00F31E57">
      <w:permStart w:id="45" w:edGrp="everyone"/>
      <w:r>
        <w:t>TYPE YOUR TEXT HERE</w:t>
      </w:r>
    </w:p>
    <w:permEnd w:id="45"/>
    <w:p w:rsidR="00F31E57" w:rsidRDefault="00F31E57" w:rsidP="00F31E57">
      <w:r>
        <w:t>&lt;ESMA_QUESTION_PRIIPs_37&gt;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Can you identify any other difficulties with calculating and presenting the bid-ask spread? Do you believe broker commissions included in the spread should be di</w:t>
      </w:r>
      <w:r>
        <w:rPr>
          <w:rFonts w:cs="Arial"/>
        </w:rPr>
        <w:t>s</w:t>
      </w:r>
      <w:r>
        <w:rPr>
          <w:rFonts w:cs="Arial"/>
        </w:rPr>
        <w:t xml:space="preserve">closed? If so, which of the above mentioned approaches do you think would be more suitable for ex-ante calculations or are there alternative methods not explored above? </w:t>
      </w:r>
    </w:p>
    <w:p w:rsidR="00F31E57" w:rsidRDefault="00F31E57" w:rsidP="00F31E57">
      <w:pPr>
        <w:rPr>
          <w:rFonts w:cstheme="minorBidi"/>
        </w:rPr>
      </w:pPr>
    </w:p>
    <w:p w:rsidR="00F31E57" w:rsidRDefault="00F31E57" w:rsidP="00F31E57">
      <w:r>
        <w:t>&lt;ESMA_QUESTION_PRIIPs_38&gt;</w:t>
      </w:r>
    </w:p>
    <w:p w:rsidR="00F31E57" w:rsidRDefault="00F31E57" w:rsidP="00F31E57">
      <w:permStart w:id="46" w:edGrp="everyone"/>
      <w:r>
        <w:t>TYPE YOUR TEXT HERE</w:t>
      </w:r>
    </w:p>
    <w:permEnd w:id="46"/>
    <w:p w:rsidR="00F31E57" w:rsidRDefault="00F31E57" w:rsidP="00F31E57">
      <w:r>
        <w:t>&lt;ESMA_QUESTION_PRIIPs_38&gt;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noProof/>
        </w:rPr>
        <w:t xml:space="preserve">Do you believe that </w:t>
      </w:r>
      <w:r>
        <w:rPr>
          <w:rFonts w:cs="Arial"/>
        </w:rPr>
        <w:t>market impact costs should be part of the costs presented under the PRIIPs regulation? If so, how can the market impact costs best be calculated? How should this be done to give the best estimate ex-ante?</w:t>
      </w:r>
    </w:p>
    <w:p w:rsidR="00F31E57" w:rsidRDefault="00F31E57" w:rsidP="00F31E57">
      <w:pPr>
        <w:rPr>
          <w:rFonts w:cstheme="minorBidi"/>
        </w:rPr>
      </w:pPr>
    </w:p>
    <w:p w:rsidR="00F31E57" w:rsidRDefault="00F31E57" w:rsidP="00F31E57">
      <w:r>
        <w:t>&lt;ESMA_QUESTION_PRIIPs_39&gt;</w:t>
      </w:r>
    </w:p>
    <w:p w:rsidR="00F31E57" w:rsidRDefault="00F31E57" w:rsidP="00F31E57">
      <w:permStart w:id="47" w:edGrp="everyone"/>
      <w:r>
        <w:t>TYPE YOUR TEXT HERE</w:t>
      </w:r>
    </w:p>
    <w:permEnd w:id="47"/>
    <w:p w:rsidR="00F31E57" w:rsidRDefault="00F31E57" w:rsidP="00F31E57">
      <w:r>
        <w:t>&lt;ESMA_QUESTION_PRIIPs_39&gt;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How should entry- and exit charges be calculated considering the different ways of charging these charges? How should this be done to give the best estimate ex-ante? Can you identify any other problems related to calculating and presenting entry- and exit fees?</w:t>
      </w:r>
    </w:p>
    <w:p w:rsidR="00F31E57" w:rsidRDefault="00F31E57" w:rsidP="00F31E57">
      <w:pPr>
        <w:rPr>
          <w:rFonts w:cstheme="minorBidi"/>
        </w:rPr>
      </w:pPr>
    </w:p>
    <w:p w:rsidR="00F31E57" w:rsidRDefault="00F31E57" w:rsidP="00F31E57">
      <w:r>
        <w:t>&lt;ESMA_QUESTION_PRIIPs_40&gt;</w:t>
      </w:r>
    </w:p>
    <w:p w:rsidR="00F31E57" w:rsidRDefault="00F31E57" w:rsidP="00F31E57">
      <w:permStart w:id="48" w:edGrp="everyone"/>
      <w:r>
        <w:t>TYPE YOUR TEXT HERE</w:t>
      </w:r>
    </w:p>
    <w:permEnd w:id="48"/>
    <w:p w:rsidR="00F31E57" w:rsidRDefault="00F31E57" w:rsidP="00F31E57">
      <w:r>
        <w:t>&lt;ESMA_QUESTION_PRIIPs_40&gt;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noProof/>
        </w:rPr>
        <w:t>Which other technical specifications would you suggest adding to the abovementioned methodology</w:t>
      </w:r>
      <w:r>
        <w:rPr>
          <w:rFonts w:cs="Arial"/>
        </w:rPr>
        <w:t>? Which other technical issues do you identify as r</w:t>
      </w:r>
      <w:r>
        <w:rPr>
          <w:rFonts w:cs="Arial"/>
        </w:rPr>
        <w:t>e</w:t>
      </w:r>
      <w:r>
        <w:rPr>
          <w:rFonts w:cs="Arial"/>
        </w:rPr>
        <w:t>gards the implementation of the methodology?</w:t>
      </w:r>
    </w:p>
    <w:p w:rsidR="00F31E57" w:rsidRDefault="00F31E57" w:rsidP="00F31E57">
      <w:pPr>
        <w:rPr>
          <w:rFonts w:cstheme="minorBidi"/>
        </w:rPr>
      </w:pPr>
    </w:p>
    <w:p w:rsidR="00F31E57" w:rsidRDefault="00F31E57" w:rsidP="00F31E57">
      <w:r>
        <w:lastRenderedPageBreak/>
        <w:t>&lt;ESMA_QUESTION_PRIIPs_41&gt;</w:t>
      </w:r>
    </w:p>
    <w:p w:rsidR="00F31E57" w:rsidRDefault="00F31E57" w:rsidP="00F31E57">
      <w:permStart w:id="49" w:edGrp="everyone"/>
      <w:r>
        <w:t>TYPE YOUR TEXT HERE</w:t>
      </w:r>
    </w:p>
    <w:permEnd w:id="49"/>
    <w:p w:rsidR="00F31E57" w:rsidRDefault="00F31E57" w:rsidP="00F31E57">
      <w:r>
        <w:t>&lt;ESMA_QUESTION_PRIIPs_41&gt;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noProof/>
        </w:rPr>
        <w:t>Do you think that an explicit definition of performance fees should be included</w:t>
      </w:r>
      <w:r>
        <w:rPr>
          <w:rFonts w:cs="Arial"/>
        </w:rPr>
        <w:t>? Do you think the definition by IOSCO is relevant in the specific context of the cost discl</w:t>
      </w:r>
      <w:r>
        <w:rPr>
          <w:rFonts w:cs="Arial"/>
        </w:rPr>
        <w:t>o</w:t>
      </w:r>
      <w:r>
        <w:rPr>
          <w:rFonts w:cs="Arial"/>
        </w:rPr>
        <w:t>sure of the PRIIPs Regulation?</w:t>
      </w:r>
    </w:p>
    <w:p w:rsidR="00F31E57" w:rsidRDefault="00F31E57" w:rsidP="00F31E57">
      <w:pPr>
        <w:rPr>
          <w:rFonts w:cstheme="minorBidi"/>
        </w:rPr>
      </w:pPr>
    </w:p>
    <w:p w:rsidR="00F31E57" w:rsidRDefault="00F31E57" w:rsidP="00F31E57">
      <w:r>
        <w:t>&lt;ESMA_QUESTION_PRIIPs_42&gt;</w:t>
      </w:r>
    </w:p>
    <w:p w:rsidR="006216E2" w:rsidRPr="00212BBF" w:rsidRDefault="006216E2" w:rsidP="006216E2">
      <w:pPr>
        <w:rPr>
          <w:rFonts w:cs="Arial"/>
        </w:rPr>
      </w:pPr>
      <w:permStart w:id="50" w:edGrp="everyone"/>
      <w:r w:rsidRPr="00212BBF">
        <w:rPr>
          <w:rFonts w:cs="Arial"/>
        </w:rPr>
        <w:t>The own term “performance fee” is self-descriptive and there is probably no need to provide any further definition. If we do, IOSCO’s definition, although accurate, seems to be too long to meet the KIID’s r</w:t>
      </w:r>
      <w:r w:rsidRPr="00212BBF">
        <w:rPr>
          <w:rFonts w:cs="Arial"/>
        </w:rPr>
        <w:t>e</w:t>
      </w:r>
      <w:r w:rsidRPr="00212BBF">
        <w:rPr>
          <w:rFonts w:cs="Arial"/>
        </w:rPr>
        <w:t xml:space="preserve">quirements of simplicity. </w:t>
      </w:r>
    </w:p>
    <w:permEnd w:id="50"/>
    <w:p w:rsidR="00F31E57" w:rsidRDefault="00F31E57" w:rsidP="00F31E57">
      <w:r>
        <w:t>&lt;ESMA_QUESTION_PRIIPs_42&gt;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What would be the appropriate assumption for the rate of returns, in general and in the specific case of the calculation of performance fees?</w:t>
      </w:r>
    </w:p>
    <w:p w:rsidR="00F31E57" w:rsidRDefault="00F31E57" w:rsidP="00F31E57">
      <w:pPr>
        <w:rPr>
          <w:rFonts w:cstheme="minorBidi"/>
        </w:rPr>
      </w:pPr>
    </w:p>
    <w:p w:rsidR="00F31E57" w:rsidRDefault="00F31E57" w:rsidP="00F31E57">
      <w:r>
        <w:t>&lt;ESMA_QUESTION_PRIIPs_43&gt;</w:t>
      </w:r>
    </w:p>
    <w:p w:rsidR="000E7F3F" w:rsidRPr="00494AE8" w:rsidRDefault="000E7F3F" w:rsidP="000E7F3F">
      <w:permStart w:id="51" w:edGrp="everyone"/>
      <w:r w:rsidRPr="00A51A09">
        <w:t>Premiums for mortality/disability risks</w:t>
      </w:r>
      <w:r w:rsidRPr="00494AE8">
        <w:t xml:space="preserve"> should not be included for the sake of comparability with other types of PRIIP, mainly in the case of unit-linked and hybrid life insurance products.</w:t>
      </w:r>
    </w:p>
    <w:permEnd w:id="51"/>
    <w:p w:rsidR="00F31E57" w:rsidRDefault="00F31E57" w:rsidP="00F31E57">
      <w:r>
        <w:t>&lt;ESMA_QUESTION_PRIIPs_43&gt;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noProof/>
        </w:rPr>
        <w:t>Which option do you favor</w:t>
      </w:r>
      <w:r>
        <w:rPr>
          <w:rFonts w:cs="Arial"/>
        </w:rPr>
        <w:t>? Do you identify another possible approach to the discl</w:t>
      </w:r>
      <w:r>
        <w:rPr>
          <w:rFonts w:cs="Arial"/>
        </w:rPr>
        <w:t>o</w:t>
      </w:r>
      <w:r>
        <w:rPr>
          <w:rFonts w:cs="Arial"/>
        </w:rPr>
        <w:t>sure and calculation of performance fees in the context of the KID?</w:t>
      </w:r>
    </w:p>
    <w:p w:rsidR="00F31E57" w:rsidRDefault="00F31E57" w:rsidP="00F31E57">
      <w:pPr>
        <w:rPr>
          <w:rFonts w:cstheme="minorBidi"/>
        </w:rPr>
      </w:pPr>
    </w:p>
    <w:p w:rsidR="00F31E57" w:rsidRDefault="00F31E57" w:rsidP="00F31E57">
      <w:r>
        <w:t>&lt;ESMA_QUESTION_PRIIPs_44&gt;</w:t>
      </w:r>
    </w:p>
    <w:p w:rsidR="00F31E57" w:rsidRDefault="00F31E57" w:rsidP="00F31E57">
      <w:permStart w:id="52" w:edGrp="everyone"/>
      <w:r>
        <w:t>TYPE YOUR TEXT HERE</w:t>
      </w:r>
    </w:p>
    <w:permEnd w:id="52"/>
    <w:p w:rsidR="00F31E57" w:rsidRDefault="00F31E57" w:rsidP="00F31E57">
      <w:r>
        <w:t>&lt;ESMA_QUESTION_PRIIPs_44&gt;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lang w:eastAsia="hu-HU"/>
        </w:rPr>
      </w:pPr>
      <w:r>
        <w:rPr>
          <w:rFonts w:eastAsia="Times New Roman" w:cs="Arial"/>
          <w:lang w:eastAsia="hu-HU"/>
        </w:rPr>
        <w:t>Which of the above mentioned options 1 and 2 for the calculation of aggregate costs would you prefer? Do you agree with above mentioned assumptions on the specific</w:t>
      </w:r>
      <w:r>
        <w:rPr>
          <w:rFonts w:eastAsia="Times New Roman" w:cs="Arial"/>
          <w:lang w:eastAsia="hu-HU"/>
        </w:rPr>
        <w:t>i</w:t>
      </w:r>
      <w:r>
        <w:rPr>
          <w:rFonts w:eastAsia="Times New Roman" w:cs="Arial"/>
          <w:lang w:eastAsia="hu-HU"/>
        </w:rPr>
        <w:t>ties of the costs of life-insurance products? How should the breakdown of costs showing costs specific to the insurance cover be specified? Do you think that risk-type riders (e.g. term or disability or accident insurances) have to be disregarded in the calculation of the aggregated cost indicator? How shall risk-type rider be defined in this context? (one possible approach might be: A risk-type rider in this context is an additional insurance cover without a savings element, which has separate contra</w:t>
      </w:r>
      <w:r>
        <w:rPr>
          <w:rFonts w:eastAsia="Times New Roman" w:cs="Arial"/>
          <w:lang w:eastAsia="hu-HU"/>
        </w:rPr>
        <w:t>c</w:t>
      </w:r>
      <w:r>
        <w:rPr>
          <w:rFonts w:eastAsia="Times New Roman" w:cs="Arial"/>
          <w:lang w:eastAsia="hu-HU"/>
        </w:rPr>
        <w:t xml:space="preserve">tual terms and separate premiums and that the customer is not obliged to buy as a compulsory part of the product). </w:t>
      </w:r>
    </w:p>
    <w:p w:rsidR="00F31E57" w:rsidRDefault="00F31E57" w:rsidP="00F31E57">
      <w:pPr>
        <w:rPr>
          <w:rFonts w:eastAsiaTheme="minorHAnsi" w:cstheme="minorBidi"/>
          <w:lang w:eastAsia="en-US"/>
        </w:rPr>
      </w:pPr>
    </w:p>
    <w:p w:rsidR="00F31E57" w:rsidRDefault="00F31E57" w:rsidP="00F31E57">
      <w:r>
        <w:t>&lt;ESMA_QUESTION_PRIIPs_45&gt;</w:t>
      </w:r>
    </w:p>
    <w:p w:rsidR="0037718E" w:rsidRPr="0037718E" w:rsidRDefault="00F877F3" w:rsidP="0037718E">
      <w:pPr>
        <w:pStyle w:val="Default"/>
        <w:rPr>
          <w:rFonts w:ascii="Arial" w:hAnsi="Arial" w:cs="Arial"/>
          <w:sz w:val="20"/>
          <w:szCs w:val="20"/>
          <w:lang w:val="en-GB"/>
        </w:rPr>
      </w:pPr>
      <w:permStart w:id="53" w:edGrp="everyone"/>
      <w:r w:rsidRPr="00F877F3">
        <w:rPr>
          <w:rFonts w:ascii="Arial" w:hAnsi="Arial" w:cs="Arial"/>
          <w:sz w:val="20"/>
          <w:szCs w:val="20"/>
        </w:rPr>
        <w:t xml:space="preserve">AEB </w:t>
      </w:r>
      <w:proofErr w:type="spellStart"/>
      <w:r w:rsidRPr="00F877F3">
        <w:rPr>
          <w:rFonts w:ascii="Arial" w:hAnsi="Arial" w:cs="Arial"/>
          <w:sz w:val="20"/>
          <w:szCs w:val="20"/>
        </w:rPr>
        <w:t>members</w:t>
      </w:r>
      <w:proofErr w:type="spellEnd"/>
      <w:r w:rsidRPr="00F30209">
        <w:t xml:space="preserve"> </w:t>
      </w:r>
      <w:r w:rsidR="00F73310" w:rsidRPr="0037718E">
        <w:rPr>
          <w:rFonts w:ascii="Arial" w:hAnsi="Arial" w:cs="Arial"/>
          <w:color w:val="auto"/>
          <w:sz w:val="20"/>
          <w:szCs w:val="20"/>
          <w:lang w:val="en-GB"/>
        </w:rPr>
        <w:t xml:space="preserve">prefer option 1, the biometric risk </w:t>
      </w:r>
      <w:proofErr w:type="spellStart"/>
      <w:r w:rsidR="00F73310" w:rsidRPr="0037718E">
        <w:rPr>
          <w:rFonts w:ascii="Arial" w:hAnsi="Arial" w:cs="Arial"/>
          <w:color w:val="auto"/>
          <w:sz w:val="20"/>
          <w:szCs w:val="20"/>
          <w:lang w:val="en-GB"/>
        </w:rPr>
        <w:t>prem</w:t>
      </w:r>
      <w:r w:rsidR="00F73310" w:rsidRPr="0037718E">
        <w:rPr>
          <w:rFonts w:ascii="Arial" w:hAnsi="Arial" w:cs="Arial"/>
          <w:color w:val="auto"/>
          <w:sz w:val="20"/>
          <w:szCs w:val="20"/>
        </w:rPr>
        <w:t>iu</w:t>
      </w:r>
      <w:proofErr w:type="spellEnd"/>
      <w:r w:rsidR="00F73310" w:rsidRPr="0037718E">
        <w:rPr>
          <w:rFonts w:ascii="Arial" w:hAnsi="Arial" w:cs="Arial"/>
          <w:color w:val="auto"/>
          <w:sz w:val="20"/>
          <w:szCs w:val="20"/>
          <w:lang w:val="en-GB"/>
        </w:rPr>
        <w:t>ms and/or the cost part of theses be shown sep</w:t>
      </w:r>
      <w:r w:rsidR="00F73310" w:rsidRPr="0037718E">
        <w:rPr>
          <w:rFonts w:ascii="Arial" w:hAnsi="Arial" w:cs="Arial"/>
          <w:color w:val="auto"/>
          <w:sz w:val="20"/>
          <w:szCs w:val="20"/>
          <w:lang w:val="en-GB"/>
        </w:rPr>
        <w:t>a</w:t>
      </w:r>
      <w:r w:rsidR="00F73310" w:rsidRPr="0037718E">
        <w:rPr>
          <w:rFonts w:ascii="Arial" w:hAnsi="Arial" w:cs="Arial"/>
          <w:color w:val="auto"/>
          <w:sz w:val="20"/>
          <w:szCs w:val="20"/>
          <w:lang w:val="en-GB"/>
        </w:rPr>
        <w:t>rately</w:t>
      </w:r>
      <w:r w:rsidR="00F73310" w:rsidRPr="0037718E">
        <w:rPr>
          <w:rFonts w:ascii="Arial" w:hAnsi="Arial" w:cs="Arial"/>
          <w:color w:val="auto"/>
          <w:sz w:val="20"/>
          <w:szCs w:val="20"/>
        </w:rPr>
        <w:t xml:space="preserve">. </w:t>
      </w:r>
      <w:r w:rsidR="0037718E" w:rsidRPr="0037718E">
        <w:rPr>
          <w:rFonts w:ascii="Arial" w:hAnsi="Arial" w:cs="Arial"/>
          <w:sz w:val="20"/>
          <w:szCs w:val="20"/>
          <w:lang w:val="en-GB"/>
        </w:rPr>
        <w:t>A correct definition of the cost term of an insurance-based PRIIP is essential for a useful KID. A sharp and clear distinction must be made between costs and premiums. Premiums – which are, payments that directly finance the benefits of a PRIIP – should never be considered as costs. Pre-miums for prote</w:t>
      </w:r>
      <w:r w:rsidR="0037718E" w:rsidRPr="0037718E">
        <w:rPr>
          <w:rFonts w:ascii="Arial" w:hAnsi="Arial" w:cs="Arial"/>
          <w:sz w:val="20"/>
          <w:szCs w:val="20"/>
          <w:lang w:val="en-GB"/>
        </w:rPr>
        <w:t>c</w:t>
      </w:r>
      <w:r w:rsidR="0037718E" w:rsidRPr="0037718E">
        <w:rPr>
          <w:rFonts w:ascii="Arial" w:hAnsi="Arial" w:cs="Arial"/>
          <w:sz w:val="20"/>
          <w:szCs w:val="20"/>
          <w:lang w:val="en-GB"/>
        </w:rPr>
        <w:t xml:space="preserve">tion against biometric risks are not costs, since the retail investor receives insur-ance benefits for these payments. </w:t>
      </w:r>
    </w:p>
    <w:p w:rsidR="006B465E" w:rsidRPr="0037718E" w:rsidRDefault="006B465E" w:rsidP="006B465E">
      <w:pPr>
        <w:jc w:val="both"/>
        <w:rPr>
          <w:rFonts w:cs="Arial"/>
          <w:szCs w:val="20"/>
        </w:rPr>
      </w:pPr>
    </w:p>
    <w:permEnd w:id="53"/>
    <w:p w:rsidR="00F31E57" w:rsidRDefault="00F31E57" w:rsidP="00F31E57">
      <w:r>
        <w:t>&lt;ESMA_QUESTION_PRIIPs_45&gt;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lang w:eastAsia="hu-HU"/>
        </w:rPr>
      </w:pPr>
      <w:r>
        <w:rPr>
          <w:rFonts w:eastAsia="Times New Roman" w:cs="Arial"/>
          <w:lang w:eastAsia="hu-HU"/>
        </w:rPr>
        <w:lastRenderedPageBreak/>
        <w:t xml:space="preserve">Do you think this list is comprehensive? Should these different types of costs be further defined? </w:t>
      </w:r>
    </w:p>
    <w:p w:rsidR="00F31E57" w:rsidRDefault="00F31E57" w:rsidP="00F31E57">
      <w:pPr>
        <w:rPr>
          <w:rFonts w:eastAsiaTheme="minorHAnsi" w:cstheme="minorBidi"/>
          <w:lang w:eastAsia="en-US"/>
        </w:rPr>
      </w:pPr>
    </w:p>
    <w:p w:rsidR="00F31E57" w:rsidRDefault="00F31E57" w:rsidP="00F31E57">
      <w:r>
        <w:t>&lt;ESMA_QUESTION_PRIIPs_46&gt;</w:t>
      </w:r>
    </w:p>
    <w:p w:rsidR="008D2BF1" w:rsidRPr="008D2BF1" w:rsidRDefault="00F877F3" w:rsidP="006B465E">
      <w:pPr>
        <w:jc w:val="both"/>
        <w:rPr>
          <w:rFonts w:cs="Arial"/>
        </w:rPr>
      </w:pPr>
      <w:permStart w:id="54" w:edGrp="everyone"/>
      <w:r>
        <w:t>AEB members</w:t>
      </w:r>
      <w:r w:rsidRPr="00F30209">
        <w:t xml:space="preserve"> </w:t>
      </w:r>
      <w:r w:rsidR="007256E4" w:rsidRPr="008D2BF1">
        <w:rPr>
          <w:rFonts w:cs="Arial"/>
        </w:rPr>
        <w:t xml:space="preserve">agree with the disclosure of all the cost </w:t>
      </w:r>
      <w:r w:rsidR="008D2BF1" w:rsidRPr="008D2BF1">
        <w:rPr>
          <w:rFonts w:cs="Arial"/>
        </w:rPr>
        <w:t xml:space="preserve">in a simple manner so it is easy to understand. </w:t>
      </w:r>
    </w:p>
    <w:p w:rsidR="006B465E" w:rsidRPr="008D2BF1" w:rsidRDefault="008D2BF1" w:rsidP="006B465E">
      <w:pPr>
        <w:jc w:val="both"/>
        <w:rPr>
          <w:rFonts w:cs="Arial"/>
        </w:rPr>
      </w:pPr>
      <w:r w:rsidRPr="008D2BF1">
        <w:rPr>
          <w:rFonts w:cs="Arial"/>
        </w:rPr>
        <w:t xml:space="preserve">Initial costs, </w:t>
      </w:r>
      <w:r w:rsidR="00710CE7">
        <w:rPr>
          <w:rFonts w:cs="Arial"/>
        </w:rPr>
        <w:t xml:space="preserve">on going </w:t>
      </w:r>
      <w:r w:rsidRPr="008D2BF1">
        <w:rPr>
          <w:rFonts w:cs="Arial"/>
        </w:rPr>
        <w:t>costs, risk premium and other costs and variable penalties ... should be considered.</w:t>
      </w:r>
    </w:p>
    <w:permEnd w:id="54"/>
    <w:p w:rsidR="00F31E57" w:rsidRDefault="00F31E57" w:rsidP="00F31E57">
      <w:r>
        <w:t>&lt;ESMA_QUESTION_PRIIPs_46&gt;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Times New Roman"/>
        </w:rPr>
      </w:pPr>
      <w:r>
        <w:rPr>
          <w:rFonts w:cs="Arial"/>
        </w:rPr>
        <w:t>Do you agree that guaranteed interest rate and surrender options should be handled in the above mentioned way? Do you know other contractual options, which have to be considered? If yes how?</w:t>
      </w:r>
    </w:p>
    <w:p w:rsidR="00F31E57" w:rsidRDefault="00F31E57" w:rsidP="00F31E57">
      <w:pPr>
        <w:rPr>
          <w:rFonts w:cstheme="minorBidi"/>
        </w:rPr>
      </w:pPr>
    </w:p>
    <w:p w:rsidR="00F31E57" w:rsidRDefault="00F31E57" w:rsidP="00F31E57">
      <w:r>
        <w:t>&lt;ESMA_QUESTION_PRIIPs_47&gt;</w:t>
      </w:r>
    </w:p>
    <w:p w:rsidR="006B465E" w:rsidRDefault="00A04A8D" w:rsidP="00F31E57">
      <w:permStart w:id="55" w:edGrp="everyone"/>
      <w:r w:rsidRPr="00A51A09">
        <w:t>Pr</w:t>
      </w:r>
      <w:r w:rsidR="00A51A09" w:rsidRPr="00A51A09">
        <w:t xml:space="preserve">emiums for mortality/disability </w:t>
      </w:r>
      <w:r w:rsidRPr="00A51A09">
        <w:t>risks</w:t>
      </w:r>
      <w:r w:rsidRPr="007819B6">
        <w:t xml:space="preserve"> should not be included for the sake of comparability with other types of PRIIP, mainly in the case of unit-linked and hybrid life insurance products</w:t>
      </w:r>
      <w:r w:rsidR="0037718E">
        <w:t>.</w:t>
      </w:r>
    </w:p>
    <w:p w:rsidR="00F31E57" w:rsidRDefault="0037718E" w:rsidP="00F31E57">
      <w:r>
        <w:rPr>
          <w:szCs w:val="20"/>
        </w:rPr>
        <w:t>Guaranteed interest rate and surrender options should only be taken into account if the price of these options is explicitly charged by the insurer.</w:t>
      </w:r>
      <w:r w:rsidR="00A04A8D" w:rsidRPr="0037718E">
        <w:t xml:space="preserve"> </w:t>
      </w:r>
      <w:permEnd w:id="55"/>
      <w:r w:rsidR="00F31E57">
        <w:t>&lt;ESMA_QUESTION_PRIIPs_47&gt;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color w:val="000000"/>
        </w:rPr>
      </w:pPr>
      <w:r>
        <w:rPr>
          <w:rFonts w:cs="Arial"/>
        </w:rPr>
        <w:t xml:space="preserve">Should the methodology for the calculation of these costs be further specified? </w:t>
      </w:r>
    </w:p>
    <w:p w:rsidR="00F31E57" w:rsidRDefault="00F31E57" w:rsidP="00F31E57">
      <w:pPr>
        <w:rPr>
          <w:rFonts w:eastAsiaTheme="minorHAnsi" w:cstheme="minorBidi"/>
        </w:rPr>
      </w:pPr>
    </w:p>
    <w:p w:rsidR="00F31E57" w:rsidRDefault="00F31E57" w:rsidP="00F31E57">
      <w:r>
        <w:t>&lt;ESMA_QUESTION_PRIIPs_48&gt;</w:t>
      </w:r>
    </w:p>
    <w:p w:rsidR="008D2BF1" w:rsidRPr="008D2BF1" w:rsidRDefault="008D2BF1" w:rsidP="006B465E">
      <w:pPr>
        <w:jc w:val="both"/>
        <w:rPr>
          <w:rFonts w:cs="Arial"/>
        </w:rPr>
      </w:pPr>
      <w:permStart w:id="56" w:edGrp="everyone"/>
      <w:r w:rsidRPr="008D2BF1">
        <w:rPr>
          <w:rFonts w:cs="Arial"/>
        </w:rPr>
        <w:t>Yes regarding risk guarantee costs, capital protection, acquisition of options, and specially, clarify the methodology.</w:t>
      </w:r>
    </w:p>
    <w:p w:rsidR="008D2BF1" w:rsidRPr="008D2BF1" w:rsidRDefault="008D2BF1" w:rsidP="006B465E">
      <w:pPr>
        <w:jc w:val="both"/>
        <w:rPr>
          <w:rFonts w:cs="Arial"/>
        </w:rPr>
      </w:pPr>
    </w:p>
    <w:p w:rsidR="006B465E" w:rsidRPr="008D2BF1" w:rsidRDefault="008D2BF1" w:rsidP="006B465E">
      <w:pPr>
        <w:jc w:val="both"/>
        <w:rPr>
          <w:rFonts w:ascii="Calibri" w:hAnsi="Calibri" w:cs="Arial"/>
          <w:color w:val="006600"/>
        </w:rPr>
      </w:pPr>
      <w:r w:rsidRPr="008D2BF1">
        <w:rPr>
          <w:rFonts w:cs="Arial"/>
        </w:rPr>
        <w:t>All the costs passed on the premium and with effect in the client’s policy</w:t>
      </w:r>
      <w:r w:rsidRPr="008D2BF1">
        <w:rPr>
          <w:rFonts w:ascii="Calibri" w:hAnsi="Calibri" w:cs="Arial"/>
          <w:color w:val="006600"/>
        </w:rPr>
        <w:t>.</w:t>
      </w:r>
    </w:p>
    <w:permEnd w:id="56"/>
    <w:p w:rsidR="00F31E57" w:rsidRDefault="00F31E57" w:rsidP="00F31E57">
      <w:r>
        <w:t>&lt;ESMA_QUESTION_PRIIPs_48&gt;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Do you think this list and breakdown is comprehensive? </w:t>
      </w:r>
    </w:p>
    <w:p w:rsidR="00F31E57" w:rsidRDefault="00F31E57" w:rsidP="00F31E57">
      <w:pPr>
        <w:rPr>
          <w:rFonts w:cstheme="minorBidi"/>
        </w:rPr>
      </w:pPr>
    </w:p>
    <w:p w:rsidR="00F31E57" w:rsidRDefault="00F31E57" w:rsidP="00F31E57">
      <w:r>
        <w:t>&lt;ESMA_QUESTION_PRIIPs_49&gt;</w:t>
      </w:r>
    </w:p>
    <w:p w:rsidR="006B465E" w:rsidRPr="00F877F3" w:rsidRDefault="00710CE7" w:rsidP="00F877F3">
      <w:permStart w:id="57" w:edGrp="everyone"/>
      <w:r w:rsidRPr="00710CE7">
        <w:rPr>
          <w:rFonts w:cs="Arial"/>
        </w:rPr>
        <w:t xml:space="preserve">Probably is not exhaustive as costs could be allied in </w:t>
      </w:r>
      <w:r w:rsidRPr="00190A2D">
        <w:rPr>
          <w:rFonts w:cs="Arial"/>
        </w:rPr>
        <w:t>different</w:t>
      </w:r>
      <w:r w:rsidRPr="00710CE7">
        <w:rPr>
          <w:rFonts w:cs="Arial"/>
        </w:rPr>
        <w:t xml:space="preserve"> ways. </w:t>
      </w:r>
      <w:r w:rsidRPr="00190A2D">
        <w:rPr>
          <w:rFonts w:cs="Arial"/>
        </w:rPr>
        <w:t xml:space="preserve">However we agree they should be aggregated for the client easy understating in fix costs, divided in initial and ongoing, and variable. </w:t>
      </w:r>
      <w:r w:rsidRPr="00710CE7">
        <w:rPr>
          <w:rFonts w:cs="Arial"/>
        </w:rPr>
        <w:t>All of them indicating if they applied to the premium, balance, monthly</w:t>
      </w:r>
      <w:r w:rsidR="00F877F3">
        <w:t>.</w:t>
      </w:r>
    </w:p>
    <w:permEnd w:id="57"/>
    <w:p w:rsidR="00F31E57" w:rsidRDefault="00F31E57" w:rsidP="00F31E57">
      <w:r>
        <w:t>&lt;ESMA_QUESTION_PRIIPs_49&gt;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Should the methodology for the calculation of these costs be further specified? How?</w:t>
      </w:r>
    </w:p>
    <w:p w:rsidR="00F31E57" w:rsidRDefault="00F31E57" w:rsidP="00F31E57">
      <w:pPr>
        <w:rPr>
          <w:rFonts w:cstheme="minorBidi"/>
        </w:rPr>
      </w:pPr>
    </w:p>
    <w:p w:rsidR="00F31E57" w:rsidRDefault="00F31E57" w:rsidP="00F31E57">
      <w:r>
        <w:t>&lt;ESMA_QUESTION_PRIIPs_50&gt;</w:t>
      </w:r>
    </w:p>
    <w:p w:rsidR="00710CE7" w:rsidRPr="00190A2D" w:rsidRDefault="00710CE7" w:rsidP="00710CE7">
      <w:pPr>
        <w:jc w:val="both"/>
        <w:rPr>
          <w:rFonts w:ascii="Calibri" w:hAnsi="Calibri" w:cs="Arial"/>
          <w:color w:val="006600"/>
        </w:rPr>
      </w:pPr>
      <w:permStart w:id="58" w:edGrp="everyone"/>
      <w:r w:rsidRPr="00190A2D">
        <w:rPr>
          <w:rFonts w:cs="Arial"/>
        </w:rPr>
        <w:t>Our recommendation is to choose</w:t>
      </w:r>
      <w:r>
        <w:rPr>
          <w:rFonts w:cs="Arial"/>
        </w:rPr>
        <w:t xml:space="preserve"> the easiest for the client</w:t>
      </w:r>
      <w:r w:rsidRPr="00190A2D">
        <w:rPr>
          <w:rFonts w:cs="Arial"/>
        </w:rPr>
        <w:t xml:space="preserve"> to understand. All the costs should be e</w:t>
      </w:r>
      <w:r w:rsidRPr="00190A2D">
        <w:rPr>
          <w:rFonts w:cs="Arial"/>
        </w:rPr>
        <w:t>x</w:t>
      </w:r>
      <w:r w:rsidRPr="00190A2D">
        <w:rPr>
          <w:rFonts w:cs="Arial"/>
        </w:rPr>
        <w:t>plained but never predefined the total amount as it is variable through the policy life and depends on premiums, balance evolution….</w:t>
      </w:r>
    </w:p>
    <w:permEnd w:id="58"/>
    <w:p w:rsidR="00F31E57" w:rsidRDefault="00F31E57" w:rsidP="00F31E57">
      <w:r>
        <w:t>&lt;ESMA_QUESTION_PRIIPs_50&gt;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Should the methodology for the calculation of these costs be further specified? How?</w:t>
      </w:r>
    </w:p>
    <w:p w:rsidR="00F31E57" w:rsidRDefault="00F31E57" w:rsidP="00F31E57">
      <w:pPr>
        <w:rPr>
          <w:rFonts w:cstheme="minorBidi"/>
        </w:rPr>
      </w:pPr>
    </w:p>
    <w:p w:rsidR="00F31E57" w:rsidRDefault="00F31E57" w:rsidP="00F31E57">
      <w:r>
        <w:t>&lt;ESMA_QUESTION_PRIIPs_51&gt;</w:t>
      </w:r>
    </w:p>
    <w:p w:rsidR="00042D33" w:rsidRDefault="00042D33" w:rsidP="0037718E">
      <w:pPr>
        <w:jc w:val="both"/>
        <w:rPr>
          <w:szCs w:val="20"/>
          <w:lang w:val="es-ES"/>
        </w:rPr>
      </w:pPr>
      <w:permStart w:id="59" w:edGrp="everyone"/>
    </w:p>
    <w:p w:rsidR="006B465E" w:rsidRPr="006B465E" w:rsidRDefault="00042D33" w:rsidP="0037718E">
      <w:pPr>
        <w:jc w:val="both"/>
        <w:rPr>
          <w:lang w:val="es-ES"/>
        </w:rPr>
      </w:pPr>
      <w:r>
        <w:rPr>
          <w:szCs w:val="20"/>
          <w:lang w:val="es-ES"/>
        </w:rPr>
        <w:t>S</w:t>
      </w:r>
      <w:r w:rsidR="0037718E" w:rsidRPr="0037718E">
        <w:rPr>
          <w:szCs w:val="20"/>
          <w:lang w:val="es-ES"/>
        </w:rPr>
        <w:t>ee response to question 45.</w:t>
      </w:r>
    </w:p>
    <w:permEnd w:id="59"/>
    <w:p w:rsidR="00F31E57" w:rsidRDefault="00F31E57" w:rsidP="00F31E57">
      <w:r>
        <w:t>&lt;ESMA_QUESTION_PRIIPs_51&gt;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color w:val="000000"/>
        </w:rPr>
      </w:pPr>
      <w:r>
        <w:rPr>
          <w:rFonts w:cs="Arial"/>
        </w:rPr>
        <w:t xml:space="preserve">Should the methodology for the calculation of these costs be further specified? </w:t>
      </w:r>
    </w:p>
    <w:p w:rsidR="00F31E57" w:rsidRDefault="00F31E57" w:rsidP="00F31E57">
      <w:pPr>
        <w:rPr>
          <w:rFonts w:eastAsiaTheme="minorHAnsi" w:cstheme="minorBidi"/>
        </w:rPr>
      </w:pPr>
    </w:p>
    <w:p w:rsidR="00F31E57" w:rsidRDefault="00F31E57" w:rsidP="00F31E57">
      <w:r>
        <w:t>&lt;ESMA_QUESTION_PRIIPs_52&gt;</w:t>
      </w:r>
    </w:p>
    <w:p w:rsidR="006B465E" w:rsidRPr="00C131E2" w:rsidRDefault="00C131E2" w:rsidP="006B465E">
      <w:pPr>
        <w:jc w:val="both"/>
        <w:rPr>
          <w:rFonts w:cs="Arial"/>
        </w:rPr>
      </w:pPr>
      <w:permStart w:id="60" w:edGrp="everyone"/>
      <w:r w:rsidRPr="00C131E2">
        <w:rPr>
          <w:rFonts w:cs="Arial"/>
        </w:rPr>
        <w:lastRenderedPageBreak/>
        <w:t>Easy to understand costs so no more detailed methodology is necessary.</w:t>
      </w:r>
    </w:p>
    <w:permEnd w:id="60"/>
    <w:p w:rsidR="00F31E57" w:rsidRDefault="00F31E57" w:rsidP="00F31E57">
      <w:r>
        <w:t>&lt;ESMA_QUESTION_PRIIPs_52&gt;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color w:val="000000"/>
        </w:rPr>
      </w:pPr>
      <w:r>
        <w:rPr>
          <w:rFonts w:cs="Arial"/>
        </w:rPr>
        <w:t>Should the methodology for the calculation of these costs be further specified? How? Do fund related costs also exist for with profit life insurance products?</w:t>
      </w:r>
    </w:p>
    <w:p w:rsidR="00F31E57" w:rsidRDefault="00F31E57" w:rsidP="00F31E57">
      <w:pPr>
        <w:rPr>
          <w:rFonts w:eastAsiaTheme="minorHAnsi" w:cstheme="minorBidi"/>
        </w:rPr>
      </w:pPr>
    </w:p>
    <w:p w:rsidR="00F31E57" w:rsidRDefault="00F31E57" w:rsidP="00F31E57">
      <w:r>
        <w:t>&lt;ESMA_QUESTION_PRIIPs_53&gt;</w:t>
      </w:r>
    </w:p>
    <w:p w:rsidR="006B465E" w:rsidRPr="00C131E2" w:rsidRDefault="00A04A8D" w:rsidP="00A04A8D">
      <w:pPr>
        <w:rPr>
          <w:rFonts w:cs="Arial"/>
        </w:rPr>
      </w:pPr>
      <w:permStart w:id="61" w:edGrp="everyone"/>
      <w:r w:rsidRPr="00C131E2">
        <w:rPr>
          <w:rFonts w:cs="Arial"/>
        </w:rPr>
        <w:t>Early redemption costs should be covered under the section "How long should I hold it and can I take money out early?" . There may be a substantial difference in terms of investment policy between a 15 years product and a 30 years-surrendered at 15.</w:t>
      </w:r>
    </w:p>
    <w:p w:rsidR="00C131E2" w:rsidRPr="00C131E2" w:rsidRDefault="00C131E2" w:rsidP="00A04A8D">
      <w:pPr>
        <w:rPr>
          <w:rFonts w:cs="Arial"/>
        </w:rPr>
      </w:pPr>
    </w:p>
    <w:p w:rsidR="006B465E" w:rsidRPr="00C131E2" w:rsidRDefault="00C131E2" w:rsidP="006B465E">
      <w:pPr>
        <w:jc w:val="both"/>
        <w:rPr>
          <w:rFonts w:cs="Arial"/>
        </w:rPr>
      </w:pPr>
      <w:r w:rsidRPr="00C131E2">
        <w:rPr>
          <w:rFonts w:cs="Arial"/>
        </w:rPr>
        <w:t>Early redemption costs will probably be the policy market value and not the guaranteed value. This case should be described in the section mentioned above. This market value should be available for the cliente, for example in the company web page.</w:t>
      </w:r>
    </w:p>
    <w:p w:rsidR="00A04A8D" w:rsidRPr="00C131E2" w:rsidRDefault="00A04A8D" w:rsidP="00A04A8D">
      <w:r w:rsidRPr="00C131E2">
        <w:t xml:space="preserve"> </w:t>
      </w:r>
    </w:p>
    <w:permEnd w:id="61"/>
    <w:p w:rsidR="00F31E57" w:rsidRDefault="00F31E57" w:rsidP="00F31E57">
      <w:r>
        <w:t>&lt;ESMA_QUESTION_PRIIPs_53&gt;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bCs/>
        </w:rPr>
      </w:pPr>
      <w:r>
        <w:rPr>
          <w:rFonts w:cs="Arial"/>
        </w:rPr>
        <w:t>How to ensure that the look-through approach is consistent with what is applied in the case of funds of funds?</w:t>
      </w:r>
    </w:p>
    <w:p w:rsidR="00F31E57" w:rsidRDefault="00F31E57" w:rsidP="00F31E57">
      <w:pPr>
        <w:rPr>
          <w:rFonts w:cstheme="minorBidi"/>
        </w:rPr>
      </w:pPr>
    </w:p>
    <w:p w:rsidR="00F31E57" w:rsidRDefault="00F31E57" w:rsidP="00F31E57">
      <w:r>
        <w:t>&lt;ESMA_QUESTION_PRIIPs_54&gt;</w:t>
      </w:r>
    </w:p>
    <w:p w:rsidR="006B465E" w:rsidRPr="002919FD" w:rsidRDefault="00F877F3" w:rsidP="006B465E">
      <w:pPr>
        <w:jc w:val="both"/>
        <w:rPr>
          <w:rFonts w:cs="Arial"/>
        </w:rPr>
      </w:pPr>
      <w:permStart w:id="62" w:edGrp="everyone"/>
      <w:r>
        <w:rPr>
          <w:rFonts w:cs="Arial"/>
        </w:rPr>
        <w:t>I</w:t>
      </w:r>
      <w:r w:rsidR="00135EF0" w:rsidRPr="00135EF0">
        <w:rPr>
          <w:rFonts w:cs="Arial"/>
        </w:rPr>
        <w:t xml:space="preserve">nsurance </w:t>
      </w:r>
      <w:r>
        <w:rPr>
          <w:rFonts w:cs="Arial"/>
        </w:rPr>
        <w:t xml:space="preserve">cost </w:t>
      </w:r>
      <w:r w:rsidR="00135EF0" w:rsidRPr="00135EF0">
        <w:rPr>
          <w:rFonts w:cs="Arial"/>
        </w:rPr>
        <w:t xml:space="preserve">and underlying fund costs should be sown separately. The client should find in the KID all the insurance costs and in the different document for funds possible additional costs. </w:t>
      </w:r>
    </w:p>
    <w:permEnd w:id="62"/>
    <w:p w:rsidR="00F31E57" w:rsidRDefault="00F31E57" w:rsidP="00F31E57">
      <w:r>
        <w:t>&lt;ESMA_QUESTION_PRIIPs_54&gt;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Times New Roman" w:cs="Arial"/>
          <w:color w:val="000000"/>
        </w:rPr>
      </w:pPr>
      <w:r>
        <w:rPr>
          <w:rFonts w:cs="Arial"/>
        </w:rPr>
        <w:t xml:space="preserve">Should the methodology for the calculation of these costs be further specified? </w:t>
      </w:r>
    </w:p>
    <w:p w:rsidR="00F31E57" w:rsidRDefault="00F31E57" w:rsidP="00F31E57">
      <w:pPr>
        <w:rPr>
          <w:rFonts w:eastAsiaTheme="minorHAnsi" w:cstheme="minorBidi"/>
        </w:rPr>
      </w:pPr>
    </w:p>
    <w:p w:rsidR="00F31E57" w:rsidRDefault="00F31E57" w:rsidP="00F31E57">
      <w:r>
        <w:t>&lt;ESMA_QUESTION_PRIIPs_55&gt;</w:t>
      </w:r>
    </w:p>
    <w:p w:rsidR="00F31E57" w:rsidRDefault="00F31E57" w:rsidP="00F31E57">
      <w:permStart w:id="63" w:edGrp="everyone"/>
      <w:r>
        <w:t>TYPE YOUR TEXT HERE</w:t>
      </w:r>
    </w:p>
    <w:permEnd w:id="63"/>
    <w:p w:rsidR="00F31E57" w:rsidRDefault="00F31E57" w:rsidP="00F31E57">
      <w:r>
        <w:t>&lt;ESMA_QUESTION_PRIIPs_55&gt;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Which above mentioned or further options do you support, and why? More generally, how to measure costs that are passed to policy holders via profit participation mechanisms? Would you say that they are known to the insurance company? Do you think an estimate based on the previous historical data is the most appropriate met</w:t>
      </w:r>
      <w:r>
        <w:rPr>
          <w:rFonts w:cs="Arial"/>
        </w:rPr>
        <w:t>h</w:t>
      </w:r>
      <w:r>
        <w:rPr>
          <w:rFonts w:cs="Arial"/>
        </w:rPr>
        <w:t>odology for the calculation of these costs?</w:t>
      </w:r>
    </w:p>
    <w:p w:rsidR="00F31E57" w:rsidRDefault="00F31E57" w:rsidP="00F31E57">
      <w:pPr>
        <w:rPr>
          <w:rFonts w:cstheme="minorBidi"/>
        </w:rPr>
      </w:pPr>
    </w:p>
    <w:p w:rsidR="00F31E57" w:rsidRDefault="00F31E57" w:rsidP="00F31E57">
      <w:r>
        <w:t>&lt;ESMA_QUESTION_PRIIPs_56&gt;</w:t>
      </w:r>
    </w:p>
    <w:p w:rsidR="006B465E" w:rsidRPr="007F02B8" w:rsidRDefault="007F02B8" w:rsidP="006B465E">
      <w:pPr>
        <w:jc w:val="both"/>
        <w:rPr>
          <w:rFonts w:ascii="Calibri" w:hAnsi="Calibri" w:cs="Arial"/>
          <w:color w:val="006600"/>
        </w:rPr>
      </w:pPr>
      <w:permStart w:id="64" w:edGrp="everyone"/>
      <w:r w:rsidRPr="007F02B8">
        <w:rPr>
          <w:rFonts w:cs="Arial"/>
        </w:rPr>
        <w:t>These costs are considered in the category of variable costs for which the total amount should not be disclosed as it would be misleading for the cliente. They all should be included in a descriptive way, how they are calculated, how and under what circumstances they apply… Example: Profit Participation of 90% over additional profitability than guaranteed. This should be explained, annually when it is given, if is given, the client will be informed the amount of the profit participation with the disclose of benefits and costs anticipated in the KID</w:t>
      </w:r>
      <w:r>
        <w:rPr>
          <w:rFonts w:ascii="Calibri" w:hAnsi="Calibri" w:cs="Arial"/>
          <w:color w:val="006600"/>
        </w:rPr>
        <w:t>.</w:t>
      </w:r>
    </w:p>
    <w:permEnd w:id="64"/>
    <w:p w:rsidR="00F31E57" w:rsidRDefault="00F31E57" w:rsidP="00F31E57">
      <w:r>
        <w:t>&lt;ESMA_QUESTION_PRIIPs_56&gt;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Is this type of costs really specific to with-profit life-insurance products? Do you agree that these costs should be accounted for as on-going costs?</w:t>
      </w:r>
    </w:p>
    <w:p w:rsidR="00F31E57" w:rsidRDefault="00F31E57" w:rsidP="00F31E57">
      <w:pPr>
        <w:rPr>
          <w:rFonts w:cstheme="minorBidi"/>
        </w:rPr>
      </w:pPr>
    </w:p>
    <w:p w:rsidR="00F31E57" w:rsidRDefault="00F31E57" w:rsidP="00F31E57">
      <w:r>
        <w:t>&lt;ESMA_QUESTION_PRIIPs_57&gt;</w:t>
      </w:r>
    </w:p>
    <w:p w:rsidR="006B465E" w:rsidRPr="002E18F6" w:rsidRDefault="002E18F6" w:rsidP="006B465E">
      <w:pPr>
        <w:jc w:val="both"/>
        <w:rPr>
          <w:rFonts w:cs="Arial"/>
        </w:rPr>
      </w:pPr>
      <w:permStart w:id="65" w:edGrp="everyone"/>
      <w:r w:rsidRPr="002E18F6">
        <w:rPr>
          <w:rFonts w:cs="Arial"/>
        </w:rPr>
        <w:t xml:space="preserve">In Spain this type of costs are specific for other business, nor for guaranteed savings </w:t>
      </w:r>
      <w:r w:rsidR="006B465E" w:rsidRPr="002E18F6">
        <w:rPr>
          <w:rFonts w:cs="Arial"/>
        </w:rPr>
        <w:t xml:space="preserve">o </w:t>
      </w:r>
      <w:r w:rsidR="006B465E" w:rsidRPr="002E18F6">
        <w:rPr>
          <w:rFonts w:cs="Arial"/>
          <w:i/>
        </w:rPr>
        <w:t>withprofits</w:t>
      </w:r>
      <w:r w:rsidR="006B465E" w:rsidRPr="002E18F6">
        <w:rPr>
          <w:rFonts w:cs="Arial"/>
        </w:rPr>
        <w:t>.</w:t>
      </w:r>
    </w:p>
    <w:permEnd w:id="65"/>
    <w:p w:rsidR="00F31E57" w:rsidRDefault="00F31E57" w:rsidP="00F31E57">
      <w:r>
        <w:t>&lt;ESMA_QUESTION_PRIIPs_57&gt;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lastRenderedPageBreak/>
        <w:t>Do you think the list of costs of life-insurance products presented above is compr</w:t>
      </w:r>
      <w:r>
        <w:rPr>
          <w:rFonts w:cs="Arial"/>
        </w:rPr>
        <w:t>e</w:t>
      </w:r>
      <w:r>
        <w:rPr>
          <w:rFonts w:cs="Arial"/>
        </w:rPr>
        <w:t xml:space="preserve">hensive? Which types of costs should be added? </w:t>
      </w:r>
    </w:p>
    <w:p w:rsidR="00F31E57" w:rsidRDefault="00F31E57" w:rsidP="00F31E57">
      <w:pPr>
        <w:rPr>
          <w:rFonts w:cstheme="minorBidi"/>
        </w:rPr>
      </w:pPr>
    </w:p>
    <w:p w:rsidR="00F31E57" w:rsidRDefault="00F31E57" w:rsidP="00F31E57">
      <w:r>
        <w:t>&lt;ESMA_QUESTION_PRIIPs_58&gt;</w:t>
      </w:r>
    </w:p>
    <w:p w:rsidR="008A2343" w:rsidRPr="008A2343" w:rsidRDefault="008A2343" w:rsidP="008A2343">
      <w:pPr>
        <w:jc w:val="both"/>
        <w:rPr>
          <w:rFonts w:cs="Arial"/>
        </w:rPr>
      </w:pPr>
      <w:permStart w:id="66" w:edGrp="everyone"/>
      <w:r w:rsidRPr="008A2343">
        <w:rPr>
          <w:rFonts w:cs="Arial"/>
          <w:szCs w:val="20"/>
        </w:rPr>
        <w:t>Yes, the list of costs of life-insurance products is comprehensive</w:t>
      </w:r>
      <w:r w:rsidR="00F4021C">
        <w:rPr>
          <w:rFonts w:cs="Arial"/>
          <w:szCs w:val="20"/>
        </w:rPr>
        <w:t>.</w:t>
      </w:r>
    </w:p>
    <w:p w:rsidR="006B465E" w:rsidRPr="008A2343" w:rsidRDefault="008A2343" w:rsidP="008A2343">
      <w:pPr>
        <w:jc w:val="both"/>
        <w:rPr>
          <w:rFonts w:cs="Arial"/>
        </w:rPr>
      </w:pPr>
      <w:r w:rsidRPr="008A2343">
        <w:rPr>
          <w:rFonts w:cs="Arial"/>
        </w:rPr>
        <w:t xml:space="preserve"> More importantly we would like to stress the importance of simplify, insist on ongoing costs and percen</w:t>
      </w:r>
      <w:r w:rsidRPr="008A2343">
        <w:rPr>
          <w:rFonts w:cs="Arial"/>
        </w:rPr>
        <w:t>t</w:t>
      </w:r>
      <w:r w:rsidRPr="008A2343">
        <w:rPr>
          <w:rFonts w:cs="Arial"/>
        </w:rPr>
        <w:t>age and the nature in the sense that it could be irrelevant for the cliente (for example administration costs disaggregation is not important and it is easy to understand in a global perspective.</w:t>
      </w:r>
    </w:p>
    <w:permEnd w:id="66"/>
    <w:p w:rsidR="00F31E57" w:rsidRDefault="00F31E57" w:rsidP="00F31E57">
      <w:r>
        <w:t>&lt;ESMA_QUESTION_PRIIPs_58&gt;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To what extent are those two approaches similar and should lead to the same results?</w:t>
      </w:r>
    </w:p>
    <w:p w:rsidR="00F31E57" w:rsidRDefault="00F31E57" w:rsidP="00F31E57">
      <w:pPr>
        <w:rPr>
          <w:rFonts w:cstheme="minorBidi"/>
        </w:rPr>
      </w:pPr>
    </w:p>
    <w:p w:rsidR="00F31E57" w:rsidRDefault="00F31E57" w:rsidP="00F31E57">
      <w:r>
        <w:t>&lt;ESMA_QUESTION_PRIIPs_59&gt;</w:t>
      </w:r>
    </w:p>
    <w:p w:rsidR="00042D33" w:rsidRDefault="00042D33" w:rsidP="000E7F3F">
      <w:permStart w:id="67" w:edGrp="everyone"/>
    </w:p>
    <w:p w:rsidR="000E7F3F" w:rsidRDefault="000E7F3F" w:rsidP="000E7F3F">
      <w:r w:rsidRPr="008D775B">
        <w:t xml:space="preserve">As answered in the previous working document there are differences between both approaches and could be relevant depending on the notional of the structure. When a fixed cost is included, it is relevant to show it separately in order to allow for the correct comparison of structures with different </w:t>
      </w:r>
      <w:proofErr w:type="spellStart"/>
      <w:r w:rsidRPr="008D775B">
        <w:t>notionals</w:t>
      </w:r>
      <w:proofErr w:type="spellEnd"/>
      <w:r w:rsidRPr="008D775B">
        <w:t>.</w:t>
      </w:r>
    </w:p>
    <w:p w:rsidR="000A1639" w:rsidRDefault="000A1639" w:rsidP="000E7F3F"/>
    <w:p w:rsidR="00042D33" w:rsidRDefault="00F4021C" w:rsidP="000E7F3F">
      <w:pPr>
        <w:rPr>
          <w:lang w:val="es-ES"/>
        </w:rPr>
      </w:pPr>
      <w:r>
        <w:t xml:space="preserve">AEB members are </w:t>
      </w:r>
      <w:r w:rsidR="000A1639">
        <w:t xml:space="preserve">in the opinion that both methods pose </w:t>
      </w:r>
      <w:proofErr w:type="gramStart"/>
      <w:r w:rsidR="000A1639">
        <w:t>serious  limitations</w:t>
      </w:r>
      <w:proofErr w:type="gramEnd"/>
      <w:r w:rsidR="000A1639">
        <w:t xml:space="preserve"> on the  desired  rigour and transparency, and  consequently both approaches will not lead to the same results.</w:t>
      </w:r>
      <w:r w:rsidR="000A1639">
        <w:br/>
      </w:r>
      <w:r w:rsidR="000A1639">
        <w:br/>
        <w:t>We do not agree that market operators will tend to converge, quite the opposite, in fact. There could be incentives to use valuation methods, mechanisms and different hypotheses that will lead to a not tran</w:t>
      </w:r>
      <w:r w:rsidR="000A1639">
        <w:t>s</w:t>
      </w:r>
      <w:r w:rsidR="000A1639">
        <w:t>parent fair value.</w:t>
      </w:r>
      <w:r w:rsidR="000A1639">
        <w:br/>
      </w:r>
      <w:r w:rsidR="000A1639">
        <w:br/>
        <w:t xml:space="preserve">In both approaches there is a lack of definition with regard to the costs that should be included and how identified costs </w:t>
      </w:r>
      <w:proofErr w:type="gramStart"/>
      <w:r w:rsidR="000A1639">
        <w:t>( indirect</w:t>
      </w:r>
      <w:proofErr w:type="gramEnd"/>
      <w:r w:rsidR="000A1639">
        <w:t xml:space="preserve"> and variable specially) should be treated.</w:t>
      </w:r>
      <w:r w:rsidR="000A1639">
        <w:br/>
      </w:r>
      <w:r w:rsidR="000A1639">
        <w:br/>
        <w:t xml:space="preserve">Although </w:t>
      </w:r>
      <w:proofErr w:type="gramStart"/>
      <w:r w:rsidR="000A1639">
        <w:t>it  may</w:t>
      </w:r>
      <w:proofErr w:type="gramEnd"/>
      <w:r w:rsidR="000A1639">
        <w:t xml:space="preserve"> imply a loss of accuracy, and therefore transparency, we are in the opinion that a model establishing a range in respect of Fair Value Disclosure is more appropriate, with more detail on the costs to be considered and their treatment.</w:t>
      </w:r>
      <w:r w:rsidR="000A1639">
        <w:br/>
      </w:r>
      <w:r w:rsidR="000A1639">
        <w:br/>
      </w:r>
    </w:p>
    <w:permEnd w:id="67"/>
    <w:p w:rsidR="00F31E57" w:rsidRDefault="00F31E57" w:rsidP="00F31E57">
      <w:r>
        <w:t>&lt;ESMA_QUESTION_PRIIPs_59&gt;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rPr>
        <w:t xml:space="preserve">In comparison to structured products, </w:t>
      </w:r>
      <w:r>
        <w:rPr>
          <w:rFonts w:cs="Arial"/>
          <w:color w:val="000000"/>
          <w:lang w:eastAsia="it-IT"/>
        </w:rPr>
        <w:t>do you see any specificity of costs of stru</w:t>
      </w:r>
      <w:r>
        <w:rPr>
          <w:rFonts w:cs="Arial"/>
          <w:color w:val="000000"/>
          <w:lang w:eastAsia="it-IT"/>
        </w:rPr>
        <w:t>c</w:t>
      </w:r>
      <w:r>
        <w:rPr>
          <w:rFonts w:cs="Arial"/>
          <w:color w:val="000000"/>
          <w:lang w:eastAsia="it-IT"/>
        </w:rPr>
        <w:t>tured deposits? Do you think that the potential external guarantees of structured d</w:t>
      </w:r>
      <w:r>
        <w:rPr>
          <w:rFonts w:cs="Arial"/>
          <w:color w:val="000000"/>
          <w:lang w:eastAsia="it-IT"/>
        </w:rPr>
        <w:t>e</w:t>
      </w:r>
      <w:r>
        <w:rPr>
          <w:rFonts w:cs="Arial"/>
          <w:color w:val="000000"/>
          <w:lang w:eastAsia="it-IT"/>
        </w:rPr>
        <w:t>posits might just have to be taken into account in the estimation of the fair value of these products?</w:t>
      </w:r>
    </w:p>
    <w:p w:rsidR="00F31E57" w:rsidRDefault="00F31E57" w:rsidP="00F31E57">
      <w:pPr>
        <w:rPr>
          <w:rFonts w:cstheme="minorBidi"/>
          <w:lang w:eastAsia="en-US"/>
        </w:rPr>
      </w:pPr>
    </w:p>
    <w:p w:rsidR="00F31E57" w:rsidRDefault="00F31E57" w:rsidP="00F31E57">
      <w:r>
        <w:t>&lt;ESMA_QUESTION_PRIIPs_60&gt;</w:t>
      </w:r>
    </w:p>
    <w:p w:rsidR="000E7F3F" w:rsidRPr="008D775B" w:rsidRDefault="000E7F3F" w:rsidP="008D775B">
      <w:pPr>
        <w:pStyle w:val="Prrafodelista"/>
        <w:numPr>
          <w:ilvl w:val="1"/>
          <w:numId w:val="52"/>
        </w:numPr>
        <w:spacing w:after="160" w:line="252" w:lineRule="auto"/>
        <w:ind w:left="426" w:firstLine="0"/>
      </w:pPr>
      <w:permStart w:id="68" w:edGrp="everyone"/>
      <w:r w:rsidRPr="008D775B">
        <w:t>Structured Deposits have slight differ</w:t>
      </w:r>
      <w:r w:rsidR="00721FD4">
        <w:t>ences in the cost structure. S</w:t>
      </w:r>
      <w:r w:rsidRPr="008D775B">
        <w:t>tructured deposits are guara</w:t>
      </w:r>
      <w:r w:rsidRPr="008D775B">
        <w:t>n</w:t>
      </w:r>
      <w:r w:rsidR="00721FD4">
        <w:t>teed by the</w:t>
      </w:r>
      <w:r w:rsidRPr="008D775B">
        <w:t xml:space="preserve"> National Guarantee Scheme</w:t>
      </w:r>
      <w:r w:rsidR="00721FD4">
        <w:t xml:space="preserve"> (i.e. National Structured Deposit Guarantee Fund). T</w:t>
      </w:r>
      <w:r w:rsidR="000F61EB">
        <w:t>his cost is difficult to</w:t>
      </w:r>
      <w:r w:rsidR="00721FD4">
        <w:t xml:space="preserve"> obtain and in any case, negligible for Fair Value estimations. </w:t>
      </w:r>
      <w:r w:rsidR="00721FD4">
        <w:br/>
      </w:r>
    </w:p>
    <w:p w:rsidR="00227E15" w:rsidRDefault="000E7F3F" w:rsidP="008D775B">
      <w:pPr>
        <w:pStyle w:val="Prrafodelista"/>
        <w:numPr>
          <w:ilvl w:val="1"/>
          <w:numId w:val="52"/>
        </w:numPr>
        <w:spacing w:after="160" w:line="252" w:lineRule="auto"/>
        <w:ind w:left="426" w:firstLine="0"/>
      </w:pPr>
      <w:r w:rsidRPr="008D775B">
        <w:t xml:space="preserve">Fair value calculation should be slightly different as it is more difficult to stablish a fair credit value on structured deposits as in structured notes, as internal transfer rates depend on funding costs and cannot be necessarily related to the CDS level of the entity in the market. </w:t>
      </w:r>
    </w:p>
    <w:p w:rsidR="00E47ADF" w:rsidRPr="00E47ADF" w:rsidRDefault="00E47ADF" w:rsidP="00E47ADF">
      <w:pPr>
        <w:pStyle w:val="Prrafodelista"/>
        <w:rPr>
          <w:rFonts w:ascii="BBVA Office Light" w:hAnsi="BBVA Office Light"/>
        </w:rPr>
      </w:pPr>
    </w:p>
    <w:p w:rsidR="00E47ADF" w:rsidRPr="008D775B" w:rsidRDefault="00E47ADF" w:rsidP="00E47ADF">
      <w:pPr>
        <w:pStyle w:val="Prrafodelista"/>
        <w:spacing w:after="160" w:line="252" w:lineRule="auto"/>
        <w:ind w:left="426"/>
      </w:pPr>
    </w:p>
    <w:permEnd w:id="68"/>
    <w:p w:rsidR="00F31E57" w:rsidRDefault="00F31E57" w:rsidP="00F31E57">
      <w:r>
        <w:t>&lt;ESMA_QUESTION_PRIIPs_60&gt;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lastRenderedPageBreak/>
        <w:t>Do you agree with the above mentioned list of entry costs? Which of these costs are embedded in the price? Should we differentiate between “delta 1” and “option based” structured products? In which cases do you think that some of these costs might not be known to the manufacturer? Which of these types of costs should be further d</w:t>
      </w:r>
      <w:r>
        <w:rPr>
          <w:rFonts w:cs="Arial"/>
        </w:rPr>
        <w:t>e</w:t>
      </w:r>
      <w:r>
        <w:rPr>
          <w:rFonts w:cs="Arial"/>
        </w:rPr>
        <w:t>fined?</w:t>
      </w:r>
    </w:p>
    <w:p w:rsidR="00F31E57" w:rsidRDefault="00F31E57" w:rsidP="00F31E57">
      <w:pPr>
        <w:rPr>
          <w:rFonts w:cstheme="minorBidi"/>
        </w:rPr>
      </w:pPr>
    </w:p>
    <w:p w:rsidR="00F31E57" w:rsidRDefault="00F31E57" w:rsidP="00F31E57">
      <w:r>
        <w:t>&lt;ESMA_QUESTION_PRIIPs_61&gt;</w:t>
      </w:r>
    </w:p>
    <w:p w:rsidR="00B419EC" w:rsidRDefault="00B419EC" w:rsidP="000E7F3F">
      <w:pPr>
        <w:rPr>
          <w:rFonts w:cs="Arial"/>
          <w:szCs w:val="20"/>
        </w:rPr>
      </w:pPr>
      <w:permStart w:id="69" w:edGrp="everyone"/>
    </w:p>
    <w:p w:rsidR="00B419EC" w:rsidRDefault="00B419EC" w:rsidP="000E7F3F">
      <w:pPr>
        <w:rPr>
          <w:rFonts w:cs="Arial"/>
          <w:szCs w:val="20"/>
        </w:rPr>
      </w:pPr>
    </w:p>
    <w:p w:rsidR="00DB27D8" w:rsidRPr="00903552" w:rsidRDefault="00DB27D8" w:rsidP="00DB27D8">
      <w:pPr>
        <w:rPr>
          <w:rFonts w:ascii="BBVA Office Light" w:hAnsi="BBVA Office Light"/>
          <w:lang w:val="es-ES"/>
        </w:rPr>
      </w:pPr>
      <w:r>
        <w:rPr>
          <w:rFonts w:cs="Arial"/>
          <w:szCs w:val="20"/>
        </w:rPr>
        <w:t>All of them</w:t>
      </w:r>
      <w:r w:rsidR="000E7F3F" w:rsidRPr="008D775B">
        <w:rPr>
          <w:rFonts w:cs="Arial"/>
          <w:szCs w:val="20"/>
        </w:rPr>
        <w:t xml:space="preserve">, </w:t>
      </w:r>
      <w:r w:rsidR="00A766D4">
        <w:rPr>
          <w:rFonts w:cs="Arial"/>
          <w:szCs w:val="20"/>
        </w:rPr>
        <w:t xml:space="preserve">if </w:t>
      </w:r>
      <w:r w:rsidR="00EB64B0">
        <w:rPr>
          <w:rFonts w:cs="Arial"/>
          <w:szCs w:val="20"/>
        </w:rPr>
        <w:t>possible, are to be included, depending on the products</w:t>
      </w:r>
      <w:r w:rsidR="000E7F3F" w:rsidRPr="008D775B">
        <w:rPr>
          <w:rFonts w:cs="Arial"/>
          <w:szCs w:val="20"/>
        </w:rPr>
        <w:t xml:space="preserve"> (</w:t>
      </w:r>
      <w:proofErr w:type="spellStart"/>
      <w:proofErr w:type="gramStart"/>
      <w:r w:rsidR="000E7F3F" w:rsidRPr="008D775B">
        <w:rPr>
          <w:rFonts w:cs="Arial"/>
          <w:szCs w:val="20"/>
        </w:rPr>
        <w:t>i.e</w:t>
      </w:r>
      <w:proofErr w:type="spellEnd"/>
      <w:r w:rsidR="000E7F3F" w:rsidRPr="008D775B">
        <w:rPr>
          <w:rFonts w:cs="Arial"/>
          <w:szCs w:val="20"/>
        </w:rPr>
        <w:t xml:space="preserve">  not</w:t>
      </w:r>
      <w:proofErr w:type="gramEnd"/>
      <w:r w:rsidR="000E7F3F" w:rsidRPr="008D775B">
        <w:rPr>
          <w:rFonts w:cs="Arial"/>
          <w:szCs w:val="20"/>
        </w:rPr>
        <w:t xml:space="preserve"> too clear on sales fees for CFD’s)</w:t>
      </w:r>
      <w:r w:rsidR="00A766D4">
        <w:rPr>
          <w:rFonts w:cs="Arial"/>
          <w:szCs w:val="20"/>
        </w:rPr>
        <w:t xml:space="preserve">. </w:t>
      </w:r>
      <w:r w:rsidR="00A766D4">
        <w:t>Legal costs are usually known after transactions are completed, and may be indirect (i.e. Legal opinions) or difficult to allocate to each transaction.</w:t>
      </w:r>
    </w:p>
    <w:p w:rsidR="00477D77" w:rsidRDefault="00477D77" w:rsidP="000E7F3F">
      <w:pPr>
        <w:rPr>
          <w:rFonts w:cs="Arial"/>
          <w:szCs w:val="20"/>
        </w:rPr>
      </w:pPr>
    </w:p>
    <w:p w:rsidR="00227E15" w:rsidRPr="002919FD" w:rsidRDefault="00227E15" w:rsidP="00227E15">
      <w:pPr>
        <w:spacing w:line="23" w:lineRule="atLeast"/>
        <w:jc w:val="both"/>
        <w:rPr>
          <w:rFonts w:cs="Arial"/>
          <w:szCs w:val="20"/>
        </w:rPr>
      </w:pPr>
    </w:p>
    <w:p w:rsidR="00B419EC" w:rsidRPr="00B419EC" w:rsidRDefault="00B419EC" w:rsidP="00B419EC">
      <w:pPr>
        <w:spacing w:line="23" w:lineRule="atLeast"/>
        <w:jc w:val="both"/>
        <w:rPr>
          <w:rFonts w:cs="Arial"/>
          <w:lang w:val="es-ES"/>
        </w:rPr>
      </w:pPr>
    </w:p>
    <w:permEnd w:id="69"/>
    <w:p w:rsidR="00F31E57" w:rsidRDefault="00F31E57" w:rsidP="00F31E57">
      <w:r>
        <w:t>&lt;ESMA_QUESTION_PRIIPs_61&gt;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To what extent do you think these types of costs should be further defined and d</w:t>
      </w:r>
      <w:r>
        <w:rPr>
          <w:rFonts w:cs="Arial"/>
        </w:rPr>
        <w:t>e</w:t>
      </w:r>
      <w:r>
        <w:rPr>
          <w:rFonts w:cs="Arial"/>
        </w:rPr>
        <w:t xml:space="preserve">tailed? </w:t>
      </w:r>
    </w:p>
    <w:p w:rsidR="00F31E57" w:rsidRDefault="00F31E57" w:rsidP="00F31E57">
      <w:pPr>
        <w:rPr>
          <w:rFonts w:cstheme="minorBidi"/>
        </w:rPr>
      </w:pPr>
    </w:p>
    <w:p w:rsidR="00F31E57" w:rsidRDefault="00F31E57" w:rsidP="00F31E57">
      <w:r>
        <w:t>&lt;ESMA_QUESTION_PRIIPs_62&gt;</w:t>
      </w:r>
    </w:p>
    <w:p w:rsidR="00B419EC" w:rsidRPr="00B419EC" w:rsidRDefault="0037718E" w:rsidP="0061767C">
      <w:pPr>
        <w:pStyle w:val="Prrafodelista"/>
        <w:ind w:left="0" w:right="288"/>
        <w:jc w:val="both"/>
        <w:rPr>
          <w:rFonts w:cs="Arial"/>
          <w:szCs w:val="20"/>
        </w:rPr>
      </w:pPr>
      <w:permStart w:id="70" w:edGrp="everyone"/>
      <w:r w:rsidRPr="00B419EC">
        <w:rPr>
          <w:rFonts w:cs="Arial"/>
          <w:szCs w:val="20"/>
        </w:rPr>
        <w:t xml:space="preserve"> </w:t>
      </w:r>
    </w:p>
    <w:p w:rsidR="00227E15" w:rsidRDefault="000E7F3F" w:rsidP="0061767C">
      <w:pPr>
        <w:pStyle w:val="Prrafodelista"/>
        <w:ind w:left="0" w:right="288"/>
        <w:jc w:val="both"/>
        <w:rPr>
          <w:rFonts w:cs="Arial"/>
          <w:szCs w:val="20"/>
        </w:rPr>
      </w:pPr>
      <w:r w:rsidRPr="00B419EC">
        <w:rPr>
          <w:rFonts w:cs="Arial"/>
          <w:szCs w:val="20"/>
        </w:rPr>
        <w:t>Costs of the underlying must be further defined to ensure transparency and equality, as some costs could be included as hedging or structuring costs if not further specified.</w:t>
      </w:r>
      <w:r w:rsidR="0037718E" w:rsidRPr="00B419EC">
        <w:rPr>
          <w:rFonts w:cs="Arial"/>
          <w:szCs w:val="20"/>
        </w:rPr>
        <w:t xml:space="preserve"> </w:t>
      </w:r>
    </w:p>
    <w:p w:rsidR="00944197" w:rsidRDefault="00944197" w:rsidP="00944197">
      <w:pPr>
        <w:rPr>
          <w:rFonts w:ascii="BBVA Office Light" w:hAnsi="BBVA Office Light"/>
          <w:lang w:val="es-ES"/>
        </w:rPr>
      </w:pPr>
    </w:p>
    <w:p w:rsidR="00350368" w:rsidRDefault="00350368" w:rsidP="00350368">
      <w:pPr>
        <w:jc w:val="both"/>
      </w:pPr>
      <w:r>
        <w:t>Any definition and detail on the costs to be included and how they should be considered will be a step in the right direction. To the extent that costs to be included are not clearly defined and standardised, there will be uncertainty and distortions of competition. Only by means of common and shared rules will be possible to go deeper into the customer protection policy and improve transparency.</w:t>
      </w:r>
    </w:p>
    <w:p w:rsidR="00350368" w:rsidRPr="00903552" w:rsidRDefault="00350368" w:rsidP="00350368">
      <w:pPr>
        <w:jc w:val="both"/>
        <w:rPr>
          <w:rFonts w:ascii="BBVA Office Light" w:hAnsi="BBVA Office Light"/>
          <w:lang w:val="es-ES"/>
        </w:rPr>
      </w:pPr>
      <w:r>
        <w:br/>
      </w:r>
    </w:p>
    <w:p w:rsidR="00944197" w:rsidRPr="00B419EC" w:rsidRDefault="00944197" w:rsidP="0061767C">
      <w:pPr>
        <w:pStyle w:val="Prrafodelista"/>
        <w:ind w:left="0" w:right="288"/>
        <w:jc w:val="both"/>
        <w:rPr>
          <w:rFonts w:cs="Arial"/>
          <w:szCs w:val="20"/>
        </w:rPr>
      </w:pPr>
    </w:p>
    <w:p w:rsidR="00B419EC" w:rsidRPr="00B419EC" w:rsidRDefault="00B419EC" w:rsidP="0061767C">
      <w:pPr>
        <w:pStyle w:val="Prrafodelista"/>
        <w:ind w:left="0" w:right="288"/>
        <w:jc w:val="both"/>
        <w:rPr>
          <w:rFonts w:cs="Arial"/>
          <w:szCs w:val="20"/>
          <w:lang w:val="es-ES"/>
        </w:rPr>
      </w:pPr>
    </w:p>
    <w:permEnd w:id="70"/>
    <w:p w:rsidR="00F31E57" w:rsidRDefault="00F31E57" w:rsidP="00F31E57">
      <w:r>
        <w:t>&lt;ESMA_QUESTION_PRIIPs_62&gt;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How would you estimate ex ante the spread referred to above in (b), in the case the product is listed as in the case it is not? Should maximum spreads, when available, be considered? Should the term “proportional fees” be further defined? Which definition would you suggest?</w:t>
      </w:r>
    </w:p>
    <w:p w:rsidR="00F31E57" w:rsidRDefault="00F31E57" w:rsidP="00F31E57">
      <w:pPr>
        <w:rPr>
          <w:rFonts w:cstheme="minorBidi"/>
        </w:rPr>
      </w:pPr>
    </w:p>
    <w:p w:rsidR="00F31E57" w:rsidRDefault="00F31E57" w:rsidP="00F31E57">
      <w:r>
        <w:t>&lt;ESMA_QUESTION_PRIIPs_63&gt;</w:t>
      </w:r>
    </w:p>
    <w:p w:rsidR="0037718E" w:rsidRPr="00694FF0" w:rsidRDefault="006F67F7" w:rsidP="00227E15">
      <w:pPr>
        <w:spacing w:line="23" w:lineRule="atLeast"/>
        <w:jc w:val="both"/>
        <w:rPr>
          <w:rFonts w:cs="Arial"/>
          <w:szCs w:val="20"/>
        </w:rPr>
      </w:pPr>
      <w:permStart w:id="71" w:edGrp="everyone"/>
      <w:r>
        <w:t xml:space="preserve">The spread is the result </w:t>
      </w:r>
      <w:proofErr w:type="gramStart"/>
      <w:r>
        <w:t>of  market</w:t>
      </w:r>
      <w:proofErr w:type="gramEnd"/>
      <w:r>
        <w:t xml:space="preserve"> conditions, and by definition, cannot be estimated ex ante without risk. We believe that considering a maximum spread is not possible, nor advisable.</w:t>
      </w:r>
      <w:r>
        <w:br/>
      </w:r>
    </w:p>
    <w:p w:rsidR="00694FF0" w:rsidRPr="00694FF0" w:rsidRDefault="00694FF0" w:rsidP="00227E15">
      <w:pPr>
        <w:spacing w:line="23" w:lineRule="atLeast"/>
        <w:jc w:val="both"/>
        <w:rPr>
          <w:rFonts w:cs="Arial"/>
          <w:szCs w:val="20"/>
        </w:rPr>
      </w:pPr>
      <w:r w:rsidRPr="00694FF0">
        <w:rPr>
          <w:rFonts w:cs="Arial"/>
          <w:szCs w:val="20"/>
        </w:rPr>
        <w:t>For listed products subjects to public offers bid-mid spread paid by the buyer for selling the product is included in the liquidity contract signed by the manufacturer with a liquidity entity, as requested by the regulator. These contracts are included in the final Terms of the bond, so are public for any investor. However those prices do not imply a repayment guarantee if maximum volume compromised by the liquidity supplier has been exceeded.</w:t>
      </w:r>
    </w:p>
    <w:p w:rsidR="00694FF0" w:rsidRPr="00694FF0" w:rsidRDefault="00694FF0" w:rsidP="00227E15">
      <w:pPr>
        <w:spacing w:line="23" w:lineRule="atLeast"/>
        <w:jc w:val="both"/>
        <w:rPr>
          <w:rFonts w:cs="Arial"/>
          <w:szCs w:val="20"/>
        </w:rPr>
      </w:pPr>
    </w:p>
    <w:p w:rsidR="00694FF0" w:rsidRPr="00694FF0" w:rsidRDefault="00694FF0" w:rsidP="00227E15">
      <w:pPr>
        <w:spacing w:line="23" w:lineRule="atLeast"/>
        <w:jc w:val="both"/>
        <w:rPr>
          <w:rFonts w:cs="Arial"/>
          <w:szCs w:val="20"/>
        </w:rPr>
      </w:pPr>
      <w:r w:rsidRPr="00694FF0">
        <w:rPr>
          <w:rFonts w:cs="Arial"/>
          <w:szCs w:val="20"/>
        </w:rPr>
        <w:t>For the rest of products, it must be taken into account most of them the early exit is not possible. If client and issuer decided this early exit, cost should be obtained as a difference between intrinsic value and final price.</w:t>
      </w:r>
    </w:p>
    <w:p w:rsidR="00227E15" w:rsidRPr="002919FD" w:rsidRDefault="00227E15" w:rsidP="00227E15">
      <w:pPr>
        <w:spacing w:line="23" w:lineRule="atLeast"/>
        <w:jc w:val="both"/>
        <w:rPr>
          <w:rFonts w:cs="Arial"/>
          <w:szCs w:val="20"/>
        </w:rPr>
      </w:pPr>
    </w:p>
    <w:p w:rsidR="00694FF0" w:rsidRPr="00694FF0" w:rsidRDefault="00694FF0" w:rsidP="00227E15">
      <w:pPr>
        <w:spacing w:line="23" w:lineRule="atLeast"/>
        <w:jc w:val="both"/>
        <w:rPr>
          <w:rFonts w:cs="Arial"/>
          <w:szCs w:val="20"/>
        </w:rPr>
      </w:pPr>
      <w:r w:rsidRPr="0006445F">
        <w:rPr>
          <w:rFonts w:cs="Arial"/>
          <w:szCs w:val="20"/>
        </w:rPr>
        <w:lastRenderedPageBreak/>
        <w:t>For</w:t>
      </w:r>
      <w:r w:rsidR="00227E15" w:rsidRPr="0006445F">
        <w:rPr>
          <w:rFonts w:cs="Arial"/>
          <w:szCs w:val="20"/>
        </w:rPr>
        <w:t xml:space="preserve"> </w:t>
      </w:r>
      <w:r w:rsidRPr="0006445F">
        <w:rPr>
          <w:rFonts w:cs="Arial"/>
          <w:szCs w:val="20"/>
        </w:rPr>
        <w:t>proporcional</w:t>
      </w:r>
      <w:r w:rsidR="00227E15" w:rsidRPr="0006445F">
        <w:rPr>
          <w:rFonts w:cs="Arial"/>
          <w:szCs w:val="20"/>
        </w:rPr>
        <w:t xml:space="preserve"> fees </w:t>
      </w:r>
      <w:r w:rsidRPr="0006445F">
        <w:rPr>
          <w:rFonts w:cs="Arial"/>
          <w:szCs w:val="20"/>
        </w:rPr>
        <w:t>we understand a commision defined as a % nominal value, purchased or sold in a sec</w:t>
      </w:r>
      <w:r w:rsidR="0006445F" w:rsidRPr="0006445F">
        <w:rPr>
          <w:rFonts w:cs="Arial"/>
          <w:szCs w:val="20"/>
        </w:rPr>
        <w:t>o</w:t>
      </w:r>
      <w:r w:rsidRPr="0006445F">
        <w:rPr>
          <w:rFonts w:cs="Arial"/>
          <w:szCs w:val="20"/>
        </w:rPr>
        <w:t xml:space="preserve">ndary market. </w:t>
      </w:r>
      <w:r w:rsidRPr="00694FF0">
        <w:rPr>
          <w:rFonts w:cs="Arial"/>
          <w:szCs w:val="20"/>
        </w:rPr>
        <w:t>It should be the minimum to charge in case of early redemption to compensate the structuring and legal costs.</w:t>
      </w:r>
    </w:p>
    <w:p w:rsidR="00694FF0" w:rsidRDefault="00694FF0" w:rsidP="00227E15">
      <w:pPr>
        <w:spacing w:line="23" w:lineRule="atLeast"/>
        <w:jc w:val="both"/>
        <w:rPr>
          <w:rFonts w:asciiTheme="minorHAnsi" w:hAnsiTheme="minorHAnsi"/>
          <w:color w:val="006600"/>
          <w:sz w:val="24"/>
        </w:rPr>
      </w:pPr>
    </w:p>
    <w:p w:rsidR="00227E15" w:rsidRPr="002919FD" w:rsidRDefault="00227E15" w:rsidP="00227E15">
      <w:pPr>
        <w:rPr>
          <w:rFonts w:asciiTheme="minorHAnsi" w:hAnsiTheme="minorHAnsi"/>
          <w:b/>
          <w:color w:val="006600"/>
          <w:sz w:val="24"/>
        </w:rPr>
      </w:pPr>
      <w:r w:rsidRPr="002919FD">
        <w:rPr>
          <w:rFonts w:asciiTheme="minorHAnsi" w:hAnsiTheme="minorHAnsi"/>
          <w:b/>
          <w:color w:val="006600"/>
          <w:sz w:val="24"/>
        </w:rPr>
        <w:br w:type="page"/>
      </w:r>
    </w:p>
    <w:p w:rsidR="00227E15" w:rsidRPr="002919FD" w:rsidRDefault="00227E15" w:rsidP="000E7F3F">
      <w:pPr>
        <w:pStyle w:val="Prrafodelista"/>
        <w:ind w:left="0" w:right="288"/>
        <w:jc w:val="both"/>
        <w:rPr>
          <w:color w:val="FF0000"/>
        </w:rPr>
      </w:pPr>
    </w:p>
    <w:permEnd w:id="71"/>
    <w:p w:rsidR="00F31E57" w:rsidRDefault="00F31E57" w:rsidP="00F31E57">
      <w:r>
        <w:t>&lt;ESMA_QUESTION_PRIIPs_63&gt;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color w:val="000000"/>
          <w:lang w:eastAsia="it-IT"/>
        </w:rPr>
        <w:t xml:space="preserve">Do you agree with the list of costs outlined above? </w:t>
      </w:r>
      <w:r>
        <w:rPr>
          <w:rFonts w:cs="Arial"/>
        </w:rPr>
        <w:t>Which types of costs would r</w:t>
      </w:r>
      <w:r>
        <w:rPr>
          <w:rFonts w:cs="Arial"/>
        </w:rPr>
        <w:t>e</w:t>
      </w:r>
      <w:r>
        <w:rPr>
          <w:rFonts w:cs="Arial"/>
        </w:rPr>
        <w:t>quire more precise definitions? To what extent should the methodology be prescri</w:t>
      </w:r>
      <w:r>
        <w:rPr>
          <w:rFonts w:cs="Arial"/>
        </w:rPr>
        <w:t>p</w:t>
      </w:r>
      <w:r>
        <w:rPr>
          <w:rFonts w:cs="Arial"/>
        </w:rPr>
        <w:t>tive in the definition and calculation methodologies of the different types of costs?</w:t>
      </w:r>
    </w:p>
    <w:p w:rsidR="00F31E57" w:rsidRDefault="00F31E57" w:rsidP="00F31E57">
      <w:pPr>
        <w:rPr>
          <w:rFonts w:cstheme="minorBidi"/>
        </w:rPr>
      </w:pPr>
    </w:p>
    <w:p w:rsidR="00F31E57" w:rsidRDefault="00F31E57" w:rsidP="00F31E57">
      <w:r>
        <w:t>&lt;ESMA_QUESTION_PRIIPs_64&gt;</w:t>
      </w:r>
    </w:p>
    <w:p w:rsidR="00227E15" w:rsidRPr="005F50F7" w:rsidRDefault="0061767C" w:rsidP="006B465E">
      <w:pPr>
        <w:pStyle w:val="Default"/>
        <w:rPr>
          <w:rFonts w:ascii="Arial" w:hAnsi="Arial" w:cs="Arial"/>
          <w:color w:val="auto"/>
          <w:sz w:val="20"/>
          <w:szCs w:val="20"/>
          <w:lang w:val="en-GB"/>
        </w:rPr>
      </w:pPr>
      <w:permStart w:id="72" w:edGrp="everyone"/>
      <w:r w:rsidRPr="005F50F7">
        <w:rPr>
          <w:rFonts w:ascii="Arial" w:hAnsi="Arial" w:cs="Arial"/>
          <w:color w:val="auto"/>
          <w:sz w:val="20"/>
          <w:szCs w:val="20"/>
          <w:lang w:val="en-GB"/>
        </w:rPr>
        <w:t xml:space="preserve">Yes. More precise definition is </w:t>
      </w:r>
      <w:r w:rsidR="005F50F7" w:rsidRPr="005F50F7">
        <w:rPr>
          <w:rFonts w:ascii="Arial" w:hAnsi="Arial" w:cs="Arial"/>
          <w:color w:val="auto"/>
          <w:sz w:val="20"/>
          <w:szCs w:val="20"/>
          <w:lang w:val="en-GB"/>
        </w:rPr>
        <w:t>needed</w:t>
      </w:r>
      <w:r w:rsidRPr="005F50F7">
        <w:rPr>
          <w:rFonts w:ascii="Arial" w:hAnsi="Arial" w:cs="Arial"/>
          <w:color w:val="auto"/>
          <w:sz w:val="20"/>
          <w:szCs w:val="20"/>
          <w:lang w:val="en-GB"/>
        </w:rPr>
        <w:t xml:space="preserve"> </w:t>
      </w:r>
      <w:r w:rsidR="005F50F7" w:rsidRPr="005F50F7">
        <w:rPr>
          <w:rFonts w:ascii="Arial" w:hAnsi="Arial" w:cs="Arial"/>
          <w:color w:val="auto"/>
          <w:sz w:val="20"/>
          <w:szCs w:val="20"/>
          <w:lang w:val="en-GB"/>
        </w:rPr>
        <w:t>for ‘proportional</w:t>
      </w:r>
      <w:r w:rsidR="00227E15" w:rsidRPr="005F50F7">
        <w:rPr>
          <w:rFonts w:ascii="Arial" w:hAnsi="Arial" w:cs="Arial"/>
          <w:color w:val="auto"/>
          <w:sz w:val="20"/>
          <w:szCs w:val="20"/>
          <w:lang w:val="en-GB"/>
        </w:rPr>
        <w:t xml:space="preserve"> fees’</w:t>
      </w:r>
      <w:r w:rsidRPr="005F50F7">
        <w:rPr>
          <w:rFonts w:ascii="Arial" w:hAnsi="Arial" w:cs="Arial"/>
          <w:color w:val="auto"/>
          <w:sz w:val="20"/>
          <w:szCs w:val="20"/>
          <w:lang w:val="en-GB"/>
        </w:rPr>
        <w:t>.</w:t>
      </w:r>
    </w:p>
    <w:p w:rsidR="0061767C" w:rsidRPr="0061767C" w:rsidRDefault="0081541E" w:rsidP="006B465E">
      <w:pPr>
        <w:pStyle w:val="Default"/>
        <w:rPr>
          <w:rFonts w:asciiTheme="minorHAnsi" w:hAnsiTheme="minorHAnsi"/>
          <w:color w:val="006600"/>
          <w:szCs w:val="22"/>
          <w:lang w:val="en-GB"/>
        </w:rPr>
      </w:pPr>
      <w:r>
        <w:rPr>
          <w:rFonts w:ascii="Arial" w:hAnsi="Arial" w:cs="Arial"/>
          <w:color w:val="auto"/>
          <w:sz w:val="20"/>
          <w:szCs w:val="20"/>
          <w:lang w:val="en-GB"/>
        </w:rPr>
        <w:t>AEB members</w:t>
      </w:r>
      <w:r w:rsidR="0061767C" w:rsidRPr="005F50F7">
        <w:rPr>
          <w:rFonts w:ascii="Arial" w:hAnsi="Arial" w:cs="Arial"/>
          <w:color w:val="auto"/>
          <w:sz w:val="20"/>
          <w:szCs w:val="20"/>
          <w:lang w:val="en-GB"/>
        </w:rPr>
        <w:t xml:space="preserve"> do not think is </w:t>
      </w:r>
      <w:r w:rsidR="005F50F7" w:rsidRPr="005F50F7">
        <w:rPr>
          <w:rFonts w:ascii="Arial" w:hAnsi="Arial" w:cs="Arial"/>
          <w:color w:val="auto"/>
          <w:sz w:val="20"/>
          <w:szCs w:val="20"/>
          <w:lang w:val="en-GB"/>
        </w:rPr>
        <w:t>necessary</w:t>
      </w:r>
      <w:r w:rsidR="0061767C" w:rsidRPr="005F50F7">
        <w:rPr>
          <w:rFonts w:ascii="Arial" w:hAnsi="Arial" w:cs="Arial"/>
          <w:color w:val="auto"/>
          <w:sz w:val="20"/>
          <w:szCs w:val="20"/>
          <w:lang w:val="en-GB"/>
        </w:rPr>
        <w:t xml:space="preserve"> the </w:t>
      </w:r>
      <w:r w:rsidR="005F50F7" w:rsidRPr="005F50F7">
        <w:rPr>
          <w:rFonts w:ascii="Arial" w:hAnsi="Arial" w:cs="Arial"/>
          <w:color w:val="auto"/>
          <w:sz w:val="20"/>
          <w:szCs w:val="20"/>
          <w:lang w:val="en-GB"/>
        </w:rPr>
        <w:t>methodology</w:t>
      </w:r>
      <w:r w:rsidR="0061767C" w:rsidRPr="005F50F7">
        <w:rPr>
          <w:rFonts w:ascii="Arial" w:hAnsi="Arial" w:cs="Arial"/>
          <w:color w:val="auto"/>
          <w:sz w:val="20"/>
          <w:szCs w:val="20"/>
          <w:lang w:val="en-GB"/>
        </w:rPr>
        <w:t xml:space="preserve"> to be </w:t>
      </w:r>
      <w:r w:rsidR="005F50F7" w:rsidRPr="005F50F7">
        <w:rPr>
          <w:rFonts w:ascii="Arial" w:hAnsi="Arial" w:cs="Arial"/>
          <w:color w:val="auto"/>
          <w:sz w:val="20"/>
          <w:szCs w:val="20"/>
          <w:lang w:val="en-GB"/>
        </w:rPr>
        <w:t>prescriptive</w:t>
      </w:r>
      <w:r w:rsidR="0061767C" w:rsidRPr="005F50F7">
        <w:rPr>
          <w:rFonts w:ascii="Arial" w:hAnsi="Arial" w:cs="Arial"/>
          <w:color w:val="auto"/>
          <w:sz w:val="20"/>
          <w:szCs w:val="20"/>
          <w:lang w:val="en-GB"/>
        </w:rPr>
        <w:t xml:space="preserve"> as </w:t>
      </w:r>
      <w:r w:rsidR="005F50F7" w:rsidRPr="005F50F7">
        <w:rPr>
          <w:rFonts w:ascii="Arial" w:hAnsi="Arial" w:cs="Arial"/>
          <w:color w:val="auto"/>
          <w:sz w:val="20"/>
          <w:szCs w:val="20"/>
          <w:lang w:val="en-GB"/>
        </w:rPr>
        <w:t>different</w:t>
      </w:r>
      <w:r w:rsidR="0061767C" w:rsidRPr="005F50F7">
        <w:rPr>
          <w:rFonts w:ascii="Arial" w:hAnsi="Arial" w:cs="Arial"/>
          <w:color w:val="auto"/>
          <w:sz w:val="20"/>
          <w:szCs w:val="20"/>
          <w:lang w:val="en-GB"/>
        </w:rPr>
        <w:t xml:space="preserve"> costs should be calculated as </w:t>
      </w:r>
      <w:r w:rsidR="005F50F7" w:rsidRPr="005F50F7">
        <w:rPr>
          <w:rFonts w:ascii="Arial" w:hAnsi="Arial" w:cs="Arial"/>
          <w:color w:val="auto"/>
          <w:sz w:val="20"/>
          <w:szCs w:val="20"/>
          <w:lang w:val="en-GB"/>
        </w:rPr>
        <w:t>difference</w:t>
      </w:r>
      <w:r w:rsidR="0061767C" w:rsidRPr="005F50F7">
        <w:rPr>
          <w:rFonts w:ascii="Arial" w:hAnsi="Arial" w:cs="Arial"/>
          <w:color w:val="auto"/>
          <w:sz w:val="20"/>
          <w:szCs w:val="20"/>
          <w:lang w:val="en-GB"/>
        </w:rPr>
        <w:t xml:space="preserve"> between final price of the product </w:t>
      </w:r>
      <w:proofErr w:type="gramStart"/>
      <w:r w:rsidR="0061767C" w:rsidRPr="005F50F7">
        <w:rPr>
          <w:rFonts w:ascii="Arial" w:hAnsi="Arial" w:cs="Arial"/>
          <w:color w:val="auto"/>
          <w:sz w:val="20"/>
          <w:szCs w:val="20"/>
          <w:lang w:val="en-GB"/>
        </w:rPr>
        <w:t>and  intrinsic</w:t>
      </w:r>
      <w:proofErr w:type="gramEnd"/>
      <w:r w:rsidR="0061767C" w:rsidRPr="005F50F7">
        <w:rPr>
          <w:rFonts w:ascii="Arial" w:hAnsi="Arial" w:cs="Arial"/>
          <w:color w:val="auto"/>
          <w:sz w:val="20"/>
          <w:szCs w:val="20"/>
          <w:lang w:val="en-GB"/>
        </w:rPr>
        <w:t xml:space="preserve"> value</w:t>
      </w:r>
      <w:r w:rsidR="005F50F7" w:rsidRPr="005F50F7">
        <w:rPr>
          <w:rFonts w:ascii="Arial" w:hAnsi="Arial" w:cs="Arial"/>
          <w:color w:val="auto"/>
          <w:sz w:val="20"/>
          <w:szCs w:val="20"/>
          <w:lang w:val="en-GB"/>
        </w:rPr>
        <w:t xml:space="preserve"> as issued by a SPV. Met</w:t>
      </w:r>
      <w:r w:rsidR="005F50F7" w:rsidRPr="005F50F7">
        <w:rPr>
          <w:rFonts w:ascii="Arial" w:hAnsi="Arial" w:cs="Arial"/>
          <w:color w:val="auto"/>
          <w:sz w:val="20"/>
          <w:szCs w:val="20"/>
          <w:lang w:val="en-GB"/>
        </w:rPr>
        <w:t>h</w:t>
      </w:r>
      <w:r w:rsidR="005F50F7" w:rsidRPr="005F50F7">
        <w:rPr>
          <w:rFonts w:ascii="Arial" w:hAnsi="Arial" w:cs="Arial"/>
          <w:color w:val="auto"/>
          <w:sz w:val="20"/>
          <w:szCs w:val="20"/>
          <w:lang w:val="en-GB"/>
        </w:rPr>
        <w:t>odology should focus on calculating intrinsic value and no costs</w:t>
      </w:r>
      <w:r w:rsidR="005F50F7">
        <w:rPr>
          <w:rFonts w:asciiTheme="minorHAnsi" w:hAnsiTheme="minorHAnsi"/>
          <w:color w:val="006600"/>
          <w:szCs w:val="22"/>
          <w:lang w:val="en-GB"/>
        </w:rPr>
        <w:t>.</w:t>
      </w:r>
    </w:p>
    <w:p w:rsidR="00F31E57" w:rsidRDefault="00227E15" w:rsidP="00F31E57">
      <w:r w:rsidRPr="00C854CA">
        <w:rPr>
          <w:rFonts w:asciiTheme="minorHAnsi" w:hAnsiTheme="minorHAnsi"/>
          <w:color w:val="006600"/>
          <w:szCs w:val="22"/>
          <w:lang w:val="es-ES_tradnl"/>
        </w:rPr>
        <w:t>.</w:t>
      </w:r>
      <w:permEnd w:id="72"/>
      <w:r w:rsidR="00F31E57">
        <w:t>&lt;ESMA_QUESTION_PRIIPs_64&gt;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t xml:space="preserve">Would you include other cost components? </w:t>
      </w:r>
    </w:p>
    <w:p w:rsidR="00F31E57" w:rsidRDefault="00F31E57" w:rsidP="00F31E57">
      <w:pPr>
        <w:rPr>
          <w:rFonts w:cstheme="minorBidi"/>
          <w:lang w:eastAsia="en-US"/>
        </w:rPr>
      </w:pPr>
    </w:p>
    <w:p w:rsidR="00F31E57" w:rsidRDefault="00F31E57" w:rsidP="00F31E57">
      <w:r>
        <w:t>&lt;ESMA_QUESTION_PRIIPs_65&gt;</w:t>
      </w:r>
    </w:p>
    <w:p w:rsidR="00227E15" w:rsidRPr="0037718E" w:rsidRDefault="0081541E" w:rsidP="00227E15">
      <w:pPr>
        <w:pStyle w:val="Default"/>
        <w:rPr>
          <w:rFonts w:asciiTheme="minorHAnsi" w:hAnsiTheme="minorHAnsi"/>
          <w:color w:val="auto"/>
          <w:szCs w:val="22"/>
          <w:lang w:val="en-GB"/>
        </w:rPr>
      </w:pPr>
      <w:permStart w:id="73" w:edGrp="everyone"/>
      <w:r>
        <w:rPr>
          <w:rFonts w:asciiTheme="minorHAnsi" w:hAnsiTheme="minorHAnsi"/>
          <w:color w:val="auto"/>
          <w:szCs w:val="22"/>
          <w:lang w:val="en-GB"/>
        </w:rPr>
        <w:t>See answer 62</w:t>
      </w:r>
      <w:r w:rsidR="0037718E" w:rsidRPr="0037718E">
        <w:rPr>
          <w:rFonts w:asciiTheme="minorHAnsi" w:hAnsiTheme="minorHAnsi"/>
          <w:color w:val="auto"/>
          <w:szCs w:val="22"/>
          <w:lang w:val="en-GB"/>
        </w:rPr>
        <w:t>.</w:t>
      </w:r>
    </w:p>
    <w:permEnd w:id="73"/>
    <w:p w:rsidR="00F31E57" w:rsidRDefault="00F31E57" w:rsidP="00F31E57">
      <w:r>
        <w:t>&lt;ESMA_QUESTION_PRIIPs_65&gt;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t>Under which hypothesis should the costs of the underlying be included?</w:t>
      </w:r>
    </w:p>
    <w:p w:rsidR="00F31E57" w:rsidRDefault="00F31E57" w:rsidP="00F31E57">
      <w:pPr>
        <w:rPr>
          <w:rFonts w:cstheme="minorBidi"/>
          <w:lang w:eastAsia="en-US"/>
        </w:rPr>
      </w:pPr>
    </w:p>
    <w:p w:rsidR="00F31E57" w:rsidRDefault="00F31E57" w:rsidP="00F31E57">
      <w:r>
        <w:t>&lt;ESMA_QUESTION_PRIIPs_66&gt;</w:t>
      </w:r>
    </w:p>
    <w:p w:rsidR="00F31E57" w:rsidRDefault="00F31E57" w:rsidP="00F31E57">
      <w:permStart w:id="74" w:edGrp="everyone"/>
      <w:permEnd w:id="74"/>
      <w:r>
        <w:t>&lt;ESMA_QUESTION_PRIIPs_66&gt;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t xml:space="preserve">How would you deal with the issue of the amortization of the entry costs during the life of the product? </w:t>
      </w:r>
      <w:r>
        <w:rPr>
          <w:rFonts w:cs="Arial"/>
        </w:rPr>
        <w:t>For derivatives it will be notably important to define what the i</w:t>
      </w:r>
      <w:r>
        <w:rPr>
          <w:rFonts w:cs="Arial"/>
        </w:rPr>
        <w:t>n</w:t>
      </w:r>
      <w:r>
        <w:rPr>
          <w:rFonts w:cs="Arial"/>
        </w:rPr>
        <w:t>vested capital is, in order to calculate percentages. The possibilities include: the amount paid (i.e. option premium price or initial margin/collateral) or the exposure (to be defined for optional derivatives). Do you see other possible approaches on this specific point?</w:t>
      </w:r>
    </w:p>
    <w:p w:rsidR="00F31E57" w:rsidRDefault="00F31E57" w:rsidP="00F31E57">
      <w:pPr>
        <w:rPr>
          <w:rFonts w:cstheme="minorBidi"/>
          <w:lang w:eastAsia="en-US"/>
        </w:rPr>
      </w:pPr>
    </w:p>
    <w:p w:rsidR="00F31E57" w:rsidRDefault="00F31E57" w:rsidP="00F31E57">
      <w:r>
        <w:t>&lt;ESMA_QUESTION_PRIIPs_67&gt;</w:t>
      </w:r>
    </w:p>
    <w:p w:rsidR="00227E15" w:rsidRPr="00E51700" w:rsidRDefault="0006445F" w:rsidP="00227E15">
      <w:pPr>
        <w:spacing w:line="23" w:lineRule="atLeast"/>
        <w:jc w:val="both"/>
        <w:rPr>
          <w:rFonts w:cs="Arial"/>
          <w:szCs w:val="20"/>
        </w:rPr>
      </w:pPr>
      <w:permStart w:id="75" w:edGrp="everyone"/>
      <w:r w:rsidRPr="00E51700">
        <w:rPr>
          <w:rFonts w:cs="Arial"/>
          <w:szCs w:val="20"/>
        </w:rPr>
        <w:t>For derivatives we have two different options for invested capital calculation</w:t>
      </w:r>
      <w:r w:rsidR="00227E15" w:rsidRPr="00E51700">
        <w:rPr>
          <w:rFonts w:cs="Arial"/>
          <w:szCs w:val="20"/>
        </w:rPr>
        <w:t>:</w:t>
      </w:r>
    </w:p>
    <w:p w:rsidR="00227E15" w:rsidRPr="00E51700" w:rsidRDefault="00227E15" w:rsidP="00227E15">
      <w:pPr>
        <w:spacing w:line="23" w:lineRule="atLeast"/>
        <w:jc w:val="both"/>
        <w:rPr>
          <w:rFonts w:cs="Arial"/>
          <w:szCs w:val="20"/>
        </w:rPr>
      </w:pPr>
    </w:p>
    <w:p w:rsidR="00227E15" w:rsidRPr="00E51700" w:rsidRDefault="00477C93" w:rsidP="00227E15">
      <w:pPr>
        <w:pStyle w:val="Prrafodelista"/>
        <w:numPr>
          <w:ilvl w:val="0"/>
          <w:numId w:val="53"/>
        </w:numPr>
        <w:spacing w:line="23" w:lineRule="atLeast"/>
        <w:jc w:val="both"/>
        <w:rPr>
          <w:rFonts w:cs="Arial"/>
          <w:szCs w:val="20"/>
          <w:lang w:val="es-ES_tradnl"/>
        </w:rPr>
      </w:pPr>
      <w:r>
        <w:rPr>
          <w:rFonts w:cs="Arial"/>
          <w:szCs w:val="20"/>
          <w:lang w:val="es-ES_tradnl"/>
        </w:rPr>
        <w:t xml:space="preserve">Use of </w:t>
      </w:r>
      <w:proofErr w:type="spellStart"/>
      <w:r>
        <w:rPr>
          <w:rFonts w:cs="Arial"/>
          <w:szCs w:val="20"/>
          <w:lang w:val="es-ES_tradnl"/>
        </w:rPr>
        <w:t>the</w:t>
      </w:r>
      <w:proofErr w:type="spellEnd"/>
      <w:r>
        <w:rPr>
          <w:rFonts w:cs="Arial"/>
          <w:szCs w:val="20"/>
          <w:lang w:val="es-ES_tradnl"/>
        </w:rPr>
        <w:t xml:space="preserve"> </w:t>
      </w:r>
      <w:proofErr w:type="spellStart"/>
      <w:r>
        <w:rPr>
          <w:rFonts w:cs="Arial"/>
          <w:szCs w:val="20"/>
          <w:lang w:val="es-ES_tradnl"/>
        </w:rPr>
        <w:t>derivatives</w:t>
      </w:r>
      <w:proofErr w:type="spellEnd"/>
      <w:r>
        <w:rPr>
          <w:rFonts w:cs="Arial"/>
          <w:szCs w:val="20"/>
          <w:lang w:val="es-ES_tradnl"/>
        </w:rPr>
        <w:t xml:space="preserve"> </w:t>
      </w:r>
      <w:proofErr w:type="spellStart"/>
      <w:r>
        <w:rPr>
          <w:rFonts w:cs="Arial"/>
          <w:szCs w:val="20"/>
          <w:lang w:val="es-ES_tradnl"/>
        </w:rPr>
        <w:t>notionals</w:t>
      </w:r>
      <w:proofErr w:type="spellEnd"/>
      <w:r>
        <w:rPr>
          <w:rFonts w:cs="Arial"/>
          <w:szCs w:val="20"/>
          <w:lang w:val="es-ES_tradnl"/>
        </w:rPr>
        <w:t xml:space="preserve"> </w:t>
      </w:r>
      <w:proofErr w:type="spellStart"/>
      <w:r>
        <w:rPr>
          <w:rFonts w:cs="Arial"/>
          <w:szCs w:val="20"/>
          <w:lang w:val="es-ES_tradnl"/>
        </w:rPr>
        <w:t>for</w:t>
      </w:r>
      <w:proofErr w:type="spellEnd"/>
      <w:r>
        <w:rPr>
          <w:rFonts w:cs="Arial"/>
          <w:szCs w:val="20"/>
          <w:lang w:val="es-ES_tradnl"/>
        </w:rPr>
        <w:t xml:space="preserve"> </w:t>
      </w:r>
      <w:r w:rsidR="0006445F" w:rsidRPr="00E51700">
        <w:rPr>
          <w:rFonts w:cs="Arial"/>
          <w:szCs w:val="20"/>
          <w:lang w:val="es-ES_tradnl"/>
        </w:rPr>
        <w:t xml:space="preserve">delta 1 </w:t>
      </w:r>
      <w:proofErr w:type="spellStart"/>
      <w:r w:rsidR="0006445F" w:rsidRPr="00E51700">
        <w:rPr>
          <w:rFonts w:cs="Arial"/>
          <w:szCs w:val="20"/>
          <w:lang w:val="es-ES_tradnl"/>
        </w:rPr>
        <w:t>products</w:t>
      </w:r>
      <w:proofErr w:type="spellEnd"/>
      <w:r w:rsidR="0006445F" w:rsidRPr="00E51700">
        <w:rPr>
          <w:rFonts w:cs="Arial"/>
          <w:szCs w:val="20"/>
          <w:lang w:val="es-ES_tradnl"/>
        </w:rPr>
        <w:t>.</w:t>
      </w:r>
    </w:p>
    <w:p w:rsidR="00227E15" w:rsidRPr="00E51700" w:rsidRDefault="0006445F" w:rsidP="00227E15">
      <w:pPr>
        <w:pStyle w:val="Prrafodelista"/>
        <w:numPr>
          <w:ilvl w:val="0"/>
          <w:numId w:val="53"/>
        </w:numPr>
        <w:spacing w:line="23" w:lineRule="atLeast"/>
        <w:jc w:val="both"/>
        <w:rPr>
          <w:rFonts w:cs="Arial"/>
          <w:szCs w:val="20"/>
        </w:rPr>
      </w:pPr>
      <w:r w:rsidRPr="00E51700">
        <w:rPr>
          <w:rFonts w:cs="Arial"/>
          <w:szCs w:val="20"/>
        </w:rPr>
        <w:t>For options, notional value for the option or notional delta equivalent could be used, so if the o</w:t>
      </w:r>
      <w:r w:rsidRPr="00E51700">
        <w:rPr>
          <w:rFonts w:cs="Arial"/>
          <w:szCs w:val="20"/>
        </w:rPr>
        <w:t>p</w:t>
      </w:r>
      <w:r w:rsidRPr="00E51700">
        <w:rPr>
          <w:rFonts w:cs="Arial"/>
          <w:szCs w:val="20"/>
        </w:rPr>
        <w:t xml:space="preserve">tion is </w:t>
      </w:r>
      <w:r w:rsidR="00227E15" w:rsidRPr="00E51700">
        <w:rPr>
          <w:rFonts w:cs="Arial"/>
          <w:szCs w:val="20"/>
        </w:rPr>
        <w:t>out of the money or in the money</w:t>
      </w:r>
      <w:r w:rsidRPr="00E51700">
        <w:rPr>
          <w:rFonts w:cs="Arial"/>
          <w:szCs w:val="20"/>
        </w:rPr>
        <w:t xml:space="preserve"> is taken into account.</w:t>
      </w:r>
    </w:p>
    <w:p w:rsidR="00227E15" w:rsidRPr="00E51700" w:rsidRDefault="00227E15" w:rsidP="00227E15">
      <w:pPr>
        <w:spacing w:line="23" w:lineRule="atLeast"/>
        <w:jc w:val="both"/>
        <w:rPr>
          <w:rFonts w:cs="Arial"/>
          <w:szCs w:val="20"/>
        </w:rPr>
      </w:pPr>
    </w:p>
    <w:p w:rsidR="00227E15" w:rsidRPr="00E51700" w:rsidRDefault="0006445F" w:rsidP="00227E15">
      <w:pPr>
        <w:spacing w:line="23" w:lineRule="atLeast"/>
        <w:jc w:val="both"/>
        <w:rPr>
          <w:rFonts w:cs="Arial"/>
          <w:szCs w:val="20"/>
        </w:rPr>
      </w:pPr>
      <w:r w:rsidRPr="00E51700">
        <w:rPr>
          <w:rFonts w:cs="Arial"/>
          <w:szCs w:val="20"/>
        </w:rPr>
        <w:t xml:space="preserve">Percentages based on premiums paid or market values are not considered as a good measure. As an example, for a market </w:t>
      </w:r>
      <w:r w:rsidR="00227E15" w:rsidRPr="00E51700">
        <w:rPr>
          <w:rFonts w:cs="Arial"/>
          <w:szCs w:val="20"/>
        </w:rPr>
        <w:t xml:space="preserve">Interest Rate Swap, </w:t>
      </w:r>
      <w:r w:rsidR="00E51700" w:rsidRPr="00E51700">
        <w:rPr>
          <w:rFonts w:cs="Arial"/>
          <w:szCs w:val="20"/>
        </w:rPr>
        <w:t>percentage</w:t>
      </w:r>
      <w:r w:rsidRPr="00E51700">
        <w:rPr>
          <w:rFonts w:cs="Arial"/>
          <w:szCs w:val="20"/>
        </w:rPr>
        <w:t xml:space="preserve"> should tend to infinite as market value be </w:t>
      </w:r>
      <w:r w:rsidR="00E51700" w:rsidRPr="00E51700">
        <w:rPr>
          <w:rFonts w:cs="Arial"/>
          <w:szCs w:val="20"/>
        </w:rPr>
        <w:t xml:space="preserve">close or near zero </w:t>
      </w:r>
    </w:p>
    <w:permEnd w:id="75"/>
    <w:p w:rsidR="00F31E57" w:rsidRDefault="00F31E57" w:rsidP="00F31E57">
      <w:r>
        <w:t>&lt;ESMA_QUESTION_PRIIPs_67&gt;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Do you think that there are products with ongoing hedging costs (to ensure that the manufacturer is able to replicate the performance of the derivative component of the structured product)? </w:t>
      </w:r>
    </w:p>
    <w:p w:rsidR="00F31E57" w:rsidRDefault="00F31E57" w:rsidP="00F31E57">
      <w:pPr>
        <w:rPr>
          <w:rFonts w:cstheme="minorBidi"/>
        </w:rPr>
      </w:pPr>
    </w:p>
    <w:p w:rsidR="00F31E57" w:rsidRDefault="00F31E57" w:rsidP="00F31E57">
      <w:r>
        <w:t>&lt;ESMA_QUESTION_PRIIPs_68&gt;</w:t>
      </w:r>
    </w:p>
    <w:p w:rsidR="00227E15" w:rsidRPr="005F50F7" w:rsidRDefault="004532D7" w:rsidP="00227E15">
      <w:pPr>
        <w:pStyle w:val="Prrafodelista"/>
        <w:ind w:left="0" w:right="288"/>
        <w:jc w:val="both"/>
      </w:pPr>
      <w:permStart w:id="76" w:edGrp="everyone"/>
      <w:r>
        <w:t>AEB members</w:t>
      </w:r>
      <w:r w:rsidR="00227E15" w:rsidRPr="005F50F7">
        <w:t xml:space="preserve"> agree. Any time an index is rebalanced there is an ongoing hedging cost, that could be estimated upfront.</w:t>
      </w:r>
    </w:p>
    <w:permEnd w:id="76"/>
    <w:p w:rsidR="00F31E57" w:rsidRDefault="00F31E57" w:rsidP="00F31E57">
      <w:r>
        <w:t>&lt;ESMA_QUESTION_PRIIPs_68&gt;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lastRenderedPageBreak/>
        <w:t xml:space="preserve">Do you agree with the general framework outlined above? </w:t>
      </w:r>
    </w:p>
    <w:p w:rsidR="00F31E57" w:rsidRDefault="00F31E57" w:rsidP="00F31E57">
      <w:pPr>
        <w:rPr>
          <w:rFonts w:cstheme="minorBidi"/>
          <w:lang w:eastAsia="en-US"/>
        </w:rPr>
      </w:pPr>
    </w:p>
    <w:p w:rsidR="00F31E57" w:rsidRDefault="00F31E57" w:rsidP="00F31E57">
      <w:r>
        <w:t>&lt;ESMA_QUESTION_PRIIPs_69&gt;</w:t>
      </w:r>
    </w:p>
    <w:p w:rsidR="00CB2067" w:rsidRPr="00CB2067" w:rsidRDefault="0017573F" w:rsidP="00227E15">
      <w:pPr>
        <w:rPr>
          <w:rFonts w:cs="Arial"/>
          <w:szCs w:val="20"/>
        </w:rPr>
      </w:pPr>
      <w:permStart w:id="77" w:edGrp="everyone"/>
      <w:r>
        <w:rPr>
          <w:rFonts w:cs="Arial"/>
          <w:szCs w:val="20"/>
        </w:rPr>
        <w:t>As a general framework AEB members</w:t>
      </w:r>
      <w:r w:rsidR="00E51700" w:rsidRPr="00CB2067">
        <w:rPr>
          <w:rFonts w:cs="Arial"/>
          <w:szCs w:val="20"/>
        </w:rPr>
        <w:t xml:space="preserve"> agree except for </w:t>
      </w:r>
      <w:r w:rsidR="00CB2067" w:rsidRPr="00CB2067">
        <w:rPr>
          <w:rFonts w:cs="Arial"/>
          <w:szCs w:val="20"/>
        </w:rPr>
        <w:t xml:space="preserve">the analysis done for </w:t>
      </w:r>
      <w:r w:rsidR="003640D0" w:rsidRPr="00CB2067">
        <w:rPr>
          <w:rFonts w:cs="Arial"/>
          <w:szCs w:val="20"/>
        </w:rPr>
        <w:t xml:space="preserve">‘subscription products’ </w:t>
      </w:r>
      <w:r w:rsidR="00CB2067" w:rsidRPr="00CB2067">
        <w:rPr>
          <w:rFonts w:cs="Arial"/>
          <w:szCs w:val="20"/>
        </w:rPr>
        <w:t xml:space="preserve"> as it is not been considered the possibility of signing in the market implicit derivatives with initial forward that do not depend on the linked through the subscription period. </w:t>
      </w:r>
    </w:p>
    <w:permEnd w:id="77"/>
    <w:p w:rsidR="00F31E57" w:rsidRDefault="00F31E57" w:rsidP="00F31E57">
      <w:r>
        <w:t>&lt;ESMA_QUESTION_PRIIPs_69&gt;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Which criteria should be chosen to update the values in the KID when input data change significantly?</w:t>
      </w:r>
    </w:p>
    <w:p w:rsidR="00F31E57" w:rsidRDefault="00F31E57" w:rsidP="00F31E57">
      <w:pPr>
        <w:rPr>
          <w:rFonts w:cstheme="minorBidi"/>
        </w:rPr>
      </w:pPr>
    </w:p>
    <w:p w:rsidR="00F31E57" w:rsidRDefault="00F31E57" w:rsidP="00F31E57">
      <w:r>
        <w:t>&lt;ESMA_QUESTION_PRIIPs_70&gt;</w:t>
      </w:r>
    </w:p>
    <w:p w:rsidR="003640D0" w:rsidRPr="002919FD" w:rsidRDefault="00227E15" w:rsidP="00227E15">
      <w:permStart w:id="78" w:edGrp="everyone"/>
      <w:r w:rsidRPr="00CB2067">
        <w:t>Those criteria affecting significantly the credit worthiness of the issuer, the liquidity of the underlying asset /s and thus the ability for the investor to redeem early the PRIIP should be chosen.</w:t>
      </w:r>
      <w:r w:rsidR="00CB2067" w:rsidRPr="00CB2067">
        <w:t xml:space="preserve"> A percentage could be established as significant change. This should be fixed internally. </w:t>
      </w:r>
    </w:p>
    <w:permEnd w:id="78"/>
    <w:p w:rsidR="00F31E57" w:rsidRDefault="00F31E57" w:rsidP="00F31E57">
      <w:r>
        <w:t>&lt;ESMA_QUESTION_PRIIPs_70&gt;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t>As the evolution of underlying asset/s should be taken into account, are there specific issues to be tackled with in relation to specific types of underlying? To what extent should the RTS be prescriptive on the risk premium?</w:t>
      </w:r>
    </w:p>
    <w:p w:rsidR="00F31E57" w:rsidRDefault="00F31E57" w:rsidP="00F31E57">
      <w:pPr>
        <w:rPr>
          <w:rFonts w:cstheme="minorBidi"/>
          <w:lang w:eastAsia="en-US"/>
        </w:rPr>
      </w:pPr>
    </w:p>
    <w:p w:rsidR="00F31E57" w:rsidRDefault="00F31E57" w:rsidP="00F31E57">
      <w:r>
        <w:t>&lt;ESMA_QUESTION_PRIIPs_71&gt;</w:t>
      </w:r>
    </w:p>
    <w:p w:rsidR="00227E15" w:rsidRPr="00A04A8D" w:rsidRDefault="00227E15" w:rsidP="00227E15">
      <w:pPr>
        <w:rPr>
          <w:b/>
        </w:rPr>
      </w:pPr>
      <w:permStart w:id="79" w:edGrp="everyone"/>
      <w:r w:rsidRPr="00A04A8D">
        <w:t xml:space="preserve">Risk premium should be net for dividends and recalibrated for volatility. The regulator should provide the risk </w:t>
      </w:r>
      <w:r w:rsidR="00CB2067" w:rsidRPr="00A04A8D">
        <w:t>premium</w:t>
      </w:r>
      <w:r w:rsidRPr="00A04A8D">
        <w:rPr>
          <w:b/>
        </w:rPr>
        <w:t>.</w:t>
      </w:r>
    </w:p>
    <w:permEnd w:id="79"/>
    <w:p w:rsidR="00F31E57" w:rsidRDefault="00F31E57" w:rsidP="00F31E57">
      <w:r>
        <w:t>&lt;ESMA_QUESTION_PRIIPs_71&gt;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t>Are you aware of any other assumptions to be set?</w:t>
      </w:r>
    </w:p>
    <w:p w:rsidR="00F31E57" w:rsidRDefault="00F31E57" w:rsidP="00F31E57">
      <w:pPr>
        <w:rPr>
          <w:rFonts w:cstheme="minorBidi"/>
          <w:lang w:eastAsia="en-US"/>
        </w:rPr>
      </w:pPr>
    </w:p>
    <w:p w:rsidR="00F31E57" w:rsidRDefault="00F31E57" w:rsidP="00F31E57">
      <w:r>
        <w:t>&lt;ESMA_QUESTION_PRIIPs_72&gt;</w:t>
      </w:r>
    </w:p>
    <w:p w:rsidR="00227E15" w:rsidRPr="00A04A8D" w:rsidRDefault="00227E15" w:rsidP="00227E15">
      <w:permStart w:id="80" w:edGrp="everyone"/>
      <w:r w:rsidRPr="00A04A8D">
        <w:t>Asset correlation data and model must also be taken into account</w:t>
      </w:r>
    </w:p>
    <w:permEnd w:id="80"/>
    <w:p w:rsidR="00F31E57" w:rsidRDefault="00F31E57" w:rsidP="00F31E57">
      <w:r>
        <w:t>&lt;ESMA_QUESTION_PRIIPs_72&gt;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Arial Unicode MS" w:cs="Arial"/>
          <w:lang w:eastAsia="it-IT"/>
        </w:rPr>
      </w:pPr>
      <w:r>
        <w:rPr>
          <w:rFonts w:eastAsia="Arial Unicode MS" w:cs="Arial"/>
          <w:lang w:eastAsia="it-IT"/>
        </w:rPr>
        <w:t xml:space="preserve">Having in mind that </w:t>
      </w:r>
      <w:r>
        <w:rPr>
          <w:rFonts w:cs="Arial"/>
        </w:rPr>
        <w:t>most of the applied models in banking are forward looking (e.g. using implied volatility instead of historical volatility)</w:t>
      </w:r>
      <w:r>
        <w:rPr>
          <w:rFonts w:eastAsia="Arial Unicode MS" w:cs="Arial"/>
          <w:lang w:eastAsia="it-IT"/>
        </w:rPr>
        <w:t xml:space="preserve"> which are the pros and cons of backward looking approach and forward looking approach? </w:t>
      </w:r>
    </w:p>
    <w:p w:rsidR="00F31E57" w:rsidRDefault="00F31E57" w:rsidP="00F31E57">
      <w:pPr>
        <w:rPr>
          <w:rFonts w:eastAsiaTheme="minorHAnsi" w:cstheme="minorBidi"/>
          <w:lang w:eastAsia="en-US"/>
        </w:rPr>
      </w:pPr>
    </w:p>
    <w:p w:rsidR="00F31E57" w:rsidRDefault="00F31E57" w:rsidP="00F31E57">
      <w:r>
        <w:t>&lt;ESMA_QUESTION_PRIIPs_73&gt;</w:t>
      </w:r>
    </w:p>
    <w:p w:rsidR="00227E15" w:rsidRPr="002919FD" w:rsidRDefault="00227E15" w:rsidP="00227E15">
      <w:pPr>
        <w:rPr>
          <w:color w:val="FF0000"/>
        </w:rPr>
      </w:pPr>
      <w:permStart w:id="81" w:edGrp="everyone"/>
      <w:r w:rsidRPr="002919FD">
        <w:rPr>
          <w:color w:val="FF0000"/>
        </w:rPr>
        <w:t>.</w:t>
      </w:r>
    </w:p>
    <w:p w:rsidR="003640D0" w:rsidRPr="007256E4" w:rsidRDefault="00CB2067" w:rsidP="003640D0">
      <w:pPr>
        <w:pStyle w:val="Default"/>
        <w:rPr>
          <w:rFonts w:asciiTheme="minorHAnsi" w:hAnsiTheme="minorHAnsi"/>
          <w:color w:val="auto"/>
          <w:szCs w:val="22"/>
          <w:lang w:val="en-GB"/>
        </w:rPr>
      </w:pPr>
      <w:r w:rsidRPr="007256E4">
        <w:rPr>
          <w:rFonts w:asciiTheme="minorHAnsi" w:hAnsiTheme="minorHAnsi"/>
          <w:color w:val="auto"/>
          <w:szCs w:val="22"/>
          <w:lang w:val="en-GB"/>
        </w:rPr>
        <w:t>Pros and cons for both models are showm below:</w:t>
      </w:r>
    </w:p>
    <w:p w:rsidR="003640D0" w:rsidRPr="007256E4" w:rsidRDefault="003640D0" w:rsidP="003640D0">
      <w:pPr>
        <w:pStyle w:val="Default"/>
        <w:rPr>
          <w:rFonts w:asciiTheme="minorHAnsi" w:hAnsiTheme="minorHAnsi"/>
          <w:color w:val="auto"/>
          <w:szCs w:val="22"/>
          <w:lang w:val="en-GB"/>
        </w:rPr>
      </w:pPr>
    </w:p>
    <w:tbl>
      <w:tblPr>
        <w:tblStyle w:val="Listaclara-nfasis11"/>
        <w:tblW w:w="0" w:type="auto"/>
        <w:tblLook w:val="04A0"/>
      </w:tblPr>
      <w:tblGrid>
        <w:gridCol w:w="1384"/>
        <w:gridCol w:w="3544"/>
        <w:gridCol w:w="3716"/>
      </w:tblGrid>
      <w:tr w:rsidR="003640D0" w:rsidRPr="007256E4" w:rsidTr="006B465E">
        <w:trPr>
          <w:cnfStyle w:val="100000000000"/>
        </w:trPr>
        <w:tc>
          <w:tcPr>
            <w:cnfStyle w:val="001000000000"/>
            <w:tcW w:w="1384" w:type="dxa"/>
          </w:tcPr>
          <w:p w:rsidR="003640D0" w:rsidRPr="007256E4" w:rsidRDefault="003640D0" w:rsidP="006B465E">
            <w:pPr>
              <w:pStyle w:val="Default"/>
              <w:rPr>
                <w:rFonts w:asciiTheme="minorHAnsi" w:hAnsiTheme="minorHAnsi"/>
                <w:color w:val="auto"/>
                <w:szCs w:val="22"/>
                <w:lang w:val="en-GB"/>
              </w:rPr>
            </w:pPr>
          </w:p>
        </w:tc>
        <w:tc>
          <w:tcPr>
            <w:tcW w:w="3544" w:type="dxa"/>
          </w:tcPr>
          <w:p w:rsidR="003640D0" w:rsidRPr="007256E4" w:rsidRDefault="003640D0" w:rsidP="006B465E">
            <w:pPr>
              <w:pStyle w:val="Default"/>
              <w:jc w:val="center"/>
              <w:cnfStyle w:val="100000000000"/>
              <w:rPr>
                <w:rFonts w:asciiTheme="minorHAnsi" w:hAnsiTheme="minorHAnsi"/>
                <w:color w:val="auto"/>
                <w:szCs w:val="22"/>
                <w:lang w:val="es-ES_tradnl"/>
              </w:rPr>
            </w:pPr>
            <w:r w:rsidRPr="007256E4">
              <w:rPr>
                <w:rFonts w:asciiTheme="minorHAnsi" w:hAnsiTheme="minorHAnsi"/>
                <w:color w:val="auto"/>
                <w:szCs w:val="22"/>
                <w:lang w:val="en-US"/>
              </w:rPr>
              <w:t>backward looking</w:t>
            </w:r>
          </w:p>
        </w:tc>
        <w:tc>
          <w:tcPr>
            <w:tcW w:w="3716" w:type="dxa"/>
          </w:tcPr>
          <w:p w:rsidR="003640D0" w:rsidRPr="007256E4" w:rsidRDefault="003640D0" w:rsidP="006B465E">
            <w:pPr>
              <w:pStyle w:val="Default"/>
              <w:jc w:val="center"/>
              <w:cnfStyle w:val="100000000000"/>
              <w:rPr>
                <w:rFonts w:asciiTheme="minorHAnsi" w:hAnsiTheme="minorHAnsi"/>
                <w:color w:val="auto"/>
                <w:szCs w:val="22"/>
                <w:lang w:val="es-ES_tradnl"/>
              </w:rPr>
            </w:pPr>
            <w:r w:rsidRPr="007256E4">
              <w:rPr>
                <w:rFonts w:asciiTheme="minorHAnsi" w:hAnsiTheme="minorHAnsi"/>
                <w:color w:val="auto"/>
                <w:szCs w:val="22"/>
                <w:lang w:val="en-US"/>
              </w:rPr>
              <w:t>forward looking</w:t>
            </w:r>
          </w:p>
        </w:tc>
      </w:tr>
      <w:tr w:rsidR="003640D0" w:rsidRPr="007256E4" w:rsidTr="006B465E">
        <w:trPr>
          <w:cnfStyle w:val="000000100000"/>
        </w:trPr>
        <w:tc>
          <w:tcPr>
            <w:cnfStyle w:val="001000000000"/>
            <w:tcW w:w="1384" w:type="dxa"/>
          </w:tcPr>
          <w:p w:rsidR="003640D0" w:rsidRPr="007256E4" w:rsidRDefault="003640D0" w:rsidP="006B465E">
            <w:pPr>
              <w:pStyle w:val="Default"/>
              <w:jc w:val="center"/>
              <w:rPr>
                <w:rFonts w:asciiTheme="minorHAnsi" w:hAnsiTheme="minorHAnsi"/>
                <w:b w:val="0"/>
                <w:color w:val="auto"/>
                <w:szCs w:val="22"/>
                <w:lang w:val="es-ES_tradnl"/>
              </w:rPr>
            </w:pPr>
            <w:r w:rsidRPr="007256E4">
              <w:rPr>
                <w:rFonts w:asciiTheme="minorHAnsi" w:hAnsiTheme="minorHAnsi"/>
                <w:b w:val="0"/>
                <w:color w:val="auto"/>
                <w:szCs w:val="22"/>
                <w:lang w:val="es-ES_tradnl"/>
              </w:rPr>
              <w:t>Pros</w:t>
            </w:r>
          </w:p>
        </w:tc>
        <w:tc>
          <w:tcPr>
            <w:tcW w:w="3544" w:type="dxa"/>
          </w:tcPr>
          <w:p w:rsidR="003640D0" w:rsidRPr="007256E4" w:rsidRDefault="00215DBC" w:rsidP="00215DBC">
            <w:pPr>
              <w:pStyle w:val="Default"/>
              <w:cnfStyle w:val="000000100000"/>
              <w:rPr>
                <w:rFonts w:asciiTheme="minorHAnsi" w:hAnsiTheme="minorHAnsi"/>
                <w:color w:val="auto"/>
                <w:sz w:val="22"/>
                <w:szCs w:val="22"/>
                <w:lang w:val="en-GB"/>
              </w:rPr>
            </w:pPr>
            <w:r w:rsidRPr="002919FD">
              <w:rPr>
                <w:rFonts w:asciiTheme="minorHAnsi" w:hAnsiTheme="minorHAnsi"/>
                <w:color w:val="auto"/>
                <w:sz w:val="22"/>
                <w:szCs w:val="22"/>
                <w:lang w:val="en-GB"/>
              </w:rPr>
              <w:t xml:space="preserve">Most simple to implement. </w:t>
            </w:r>
            <w:r w:rsidRPr="007256E4">
              <w:rPr>
                <w:rFonts w:asciiTheme="minorHAnsi" w:hAnsiTheme="minorHAnsi"/>
                <w:color w:val="auto"/>
                <w:sz w:val="22"/>
                <w:szCs w:val="22"/>
                <w:lang w:val="en-GB"/>
              </w:rPr>
              <w:t>Same data for all market participants, so comparison is facilitated.</w:t>
            </w:r>
          </w:p>
        </w:tc>
        <w:tc>
          <w:tcPr>
            <w:tcW w:w="3716" w:type="dxa"/>
          </w:tcPr>
          <w:p w:rsidR="003640D0" w:rsidRPr="007256E4" w:rsidRDefault="00215DBC" w:rsidP="00215DBC">
            <w:pPr>
              <w:pStyle w:val="Default"/>
              <w:cnfStyle w:val="000000100000"/>
              <w:rPr>
                <w:rFonts w:asciiTheme="minorHAnsi" w:hAnsiTheme="minorHAnsi"/>
                <w:color w:val="auto"/>
                <w:sz w:val="22"/>
                <w:szCs w:val="22"/>
                <w:lang w:val="en-GB"/>
              </w:rPr>
            </w:pPr>
            <w:r w:rsidRPr="007256E4">
              <w:rPr>
                <w:rFonts w:asciiTheme="minorHAnsi" w:hAnsiTheme="minorHAnsi"/>
                <w:color w:val="auto"/>
                <w:sz w:val="22"/>
                <w:szCs w:val="22"/>
                <w:lang w:val="en-GB"/>
              </w:rPr>
              <w:t xml:space="preserve">Reflects each moment reality  as it takes present  market data, but this does not mean is a better “predictive” </w:t>
            </w:r>
          </w:p>
        </w:tc>
      </w:tr>
      <w:tr w:rsidR="003640D0" w:rsidRPr="007256E4" w:rsidTr="006B465E">
        <w:tc>
          <w:tcPr>
            <w:cnfStyle w:val="001000000000"/>
            <w:tcW w:w="1384" w:type="dxa"/>
          </w:tcPr>
          <w:p w:rsidR="003640D0" w:rsidRPr="007256E4" w:rsidRDefault="003640D0" w:rsidP="00215DBC">
            <w:pPr>
              <w:pStyle w:val="Default"/>
              <w:jc w:val="center"/>
              <w:rPr>
                <w:rFonts w:asciiTheme="minorHAnsi" w:hAnsiTheme="minorHAnsi"/>
                <w:b w:val="0"/>
                <w:color w:val="auto"/>
                <w:szCs w:val="22"/>
                <w:lang w:val="es-ES_tradnl"/>
              </w:rPr>
            </w:pPr>
            <w:r w:rsidRPr="007256E4">
              <w:rPr>
                <w:rFonts w:asciiTheme="minorHAnsi" w:hAnsiTheme="minorHAnsi"/>
                <w:b w:val="0"/>
                <w:color w:val="auto"/>
                <w:szCs w:val="22"/>
                <w:lang w:val="es-ES_tradnl"/>
              </w:rPr>
              <w:t>Con</w:t>
            </w:r>
            <w:r w:rsidR="00215DBC" w:rsidRPr="007256E4">
              <w:rPr>
                <w:rFonts w:asciiTheme="minorHAnsi" w:hAnsiTheme="minorHAnsi"/>
                <w:b w:val="0"/>
                <w:color w:val="auto"/>
                <w:szCs w:val="22"/>
                <w:lang w:val="es-ES_tradnl"/>
              </w:rPr>
              <w:t>s</w:t>
            </w:r>
          </w:p>
        </w:tc>
        <w:tc>
          <w:tcPr>
            <w:tcW w:w="3544" w:type="dxa"/>
          </w:tcPr>
          <w:p w:rsidR="00215DBC" w:rsidRPr="007256E4" w:rsidRDefault="00215DBC" w:rsidP="00215DBC">
            <w:pPr>
              <w:pStyle w:val="Default"/>
              <w:cnfStyle w:val="000000000000"/>
              <w:rPr>
                <w:rFonts w:asciiTheme="minorHAnsi" w:hAnsiTheme="minorHAnsi"/>
                <w:color w:val="auto"/>
                <w:sz w:val="22"/>
                <w:szCs w:val="22"/>
                <w:lang w:val="en-GB"/>
              </w:rPr>
            </w:pPr>
            <w:r w:rsidRPr="007256E4">
              <w:rPr>
                <w:rFonts w:asciiTheme="minorHAnsi" w:hAnsiTheme="minorHAnsi"/>
                <w:color w:val="auto"/>
                <w:sz w:val="22"/>
                <w:szCs w:val="22"/>
                <w:lang w:val="en-GB"/>
              </w:rPr>
              <w:t>Information could not be the most reliable as history may not necessary be repeated.</w:t>
            </w:r>
          </w:p>
          <w:p w:rsidR="003640D0" w:rsidRPr="002919FD" w:rsidRDefault="003640D0" w:rsidP="00215DBC">
            <w:pPr>
              <w:pStyle w:val="Default"/>
              <w:cnfStyle w:val="000000000000"/>
              <w:rPr>
                <w:rFonts w:asciiTheme="minorHAnsi" w:hAnsiTheme="minorHAnsi"/>
                <w:color w:val="auto"/>
                <w:sz w:val="22"/>
                <w:szCs w:val="22"/>
                <w:lang w:val="en-GB"/>
              </w:rPr>
            </w:pPr>
          </w:p>
        </w:tc>
        <w:tc>
          <w:tcPr>
            <w:tcW w:w="3716" w:type="dxa"/>
          </w:tcPr>
          <w:p w:rsidR="003640D0" w:rsidRPr="007256E4" w:rsidRDefault="003640D0" w:rsidP="00215DBC">
            <w:pPr>
              <w:pStyle w:val="Default"/>
              <w:cnfStyle w:val="000000000000"/>
              <w:rPr>
                <w:rFonts w:asciiTheme="minorHAnsi" w:hAnsiTheme="minorHAnsi"/>
                <w:color w:val="auto"/>
                <w:sz w:val="22"/>
                <w:szCs w:val="22"/>
                <w:lang w:val="en-GB"/>
              </w:rPr>
            </w:pPr>
            <w:r w:rsidRPr="007256E4">
              <w:rPr>
                <w:rFonts w:asciiTheme="minorHAnsi" w:hAnsiTheme="minorHAnsi"/>
                <w:color w:val="auto"/>
                <w:sz w:val="22"/>
                <w:szCs w:val="22"/>
                <w:lang w:val="en-GB"/>
              </w:rPr>
              <w:t>Mo</w:t>
            </w:r>
            <w:r w:rsidR="00215DBC" w:rsidRPr="007256E4">
              <w:rPr>
                <w:rFonts w:asciiTheme="minorHAnsi" w:hAnsiTheme="minorHAnsi"/>
                <w:color w:val="auto"/>
                <w:sz w:val="22"/>
                <w:szCs w:val="22"/>
                <w:lang w:val="en-GB"/>
              </w:rPr>
              <w:t>re sophisticated model so more difficult to implement</w:t>
            </w:r>
            <w:r w:rsidRPr="007256E4">
              <w:rPr>
                <w:rFonts w:asciiTheme="minorHAnsi" w:hAnsiTheme="minorHAnsi"/>
                <w:color w:val="auto"/>
                <w:sz w:val="22"/>
                <w:szCs w:val="22"/>
                <w:lang w:val="en-GB"/>
              </w:rPr>
              <w:t xml:space="preserve">. </w:t>
            </w:r>
            <w:r w:rsidR="00215DBC" w:rsidRPr="007256E4">
              <w:rPr>
                <w:rFonts w:asciiTheme="minorHAnsi" w:hAnsiTheme="minorHAnsi"/>
                <w:color w:val="auto"/>
                <w:sz w:val="22"/>
                <w:szCs w:val="22"/>
                <w:lang w:val="en-GB"/>
              </w:rPr>
              <w:t>I</w:t>
            </w:r>
            <w:r w:rsidRPr="007256E4">
              <w:rPr>
                <w:rFonts w:asciiTheme="minorHAnsi" w:hAnsiTheme="minorHAnsi"/>
                <w:color w:val="auto"/>
                <w:sz w:val="22"/>
                <w:szCs w:val="22"/>
                <w:lang w:val="en-GB"/>
              </w:rPr>
              <w:t xml:space="preserve">nputs </w:t>
            </w:r>
            <w:r w:rsidR="00215DBC" w:rsidRPr="007256E4">
              <w:rPr>
                <w:rFonts w:asciiTheme="minorHAnsi" w:hAnsiTheme="minorHAnsi"/>
                <w:color w:val="auto"/>
                <w:sz w:val="22"/>
                <w:szCs w:val="22"/>
                <w:lang w:val="en-GB"/>
              </w:rPr>
              <w:t>could change from one entity to another</w:t>
            </w:r>
            <w:r w:rsidRPr="007256E4">
              <w:rPr>
                <w:rFonts w:asciiTheme="minorHAnsi" w:hAnsiTheme="minorHAnsi"/>
                <w:color w:val="auto"/>
                <w:sz w:val="22"/>
                <w:szCs w:val="22"/>
                <w:lang w:val="en-GB"/>
              </w:rPr>
              <w:t>,</w:t>
            </w:r>
            <w:r w:rsidR="00215DBC" w:rsidRPr="007256E4">
              <w:rPr>
                <w:rFonts w:asciiTheme="minorHAnsi" w:hAnsiTheme="minorHAnsi"/>
                <w:color w:val="auto"/>
                <w:sz w:val="22"/>
                <w:szCs w:val="22"/>
                <w:lang w:val="en-GB"/>
              </w:rPr>
              <w:t xml:space="preserve"> with different results for the same product.</w:t>
            </w:r>
          </w:p>
        </w:tc>
      </w:tr>
    </w:tbl>
    <w:p w:rsidR="003640D0" w:rsidRPr="00215DBC" w:rsidRDefault="00020C44" w:rsidP="003640D0">
      <w:pPr>
        <w:pStyle w:val="Default"/>
        <w:rPr>
          <w:rFonts w:ascii="Arial" w:hAnsi="Arial" w:cs="Arial"/>
          <w:color w:val="auto"/>
          <w:sz w:val="20"/>
          <w:szCs w:val="20"/>
          <w:lang w:val="en-GB"/>
        </w:rPr>
      </w:pPr>
      <w:r>
        <w:rPr>
          <w:rFonts w:ascii="Arial" w:hAnsi="Arial" w:cs="Arial"/>
          <w:color w:val="auto"/>
          <w:sz w:val="20"/>
          <w:szCs w:val="20"/>
        </w:rPr>
        <w:lastRenderedPageBreak/>
        <w:t>As a result of this, we can conclude b</w:t>
      </w:r>
      <w:r w:rsidR="00CB2067" w:rsidRPr="00215DBC">
        <w:rPr>
          <w:rFonts w:ascii="Arial" w:hAnsi="Arial" w:cs="Arial"/>
          <w:color w:val="auto"/>
          <w:sz w:val="20"/>
          <w:szCs w:val="20"/>
        </w:rPr>
        <w:t xml:space="preserve">ackward looking is positive when future estimation needs a big number of assumptions and creates a big calculation cost and thus a big entry cost. </w:t>
      </w:r>
      <w:r w:rsidR="00CB2067" w:rsidRPr="00215DBC">
        <w:rPr>
          <w:rFonts w:ascii="Arial" w:hAnsi="Arial" w:cs="Arial"/>
          <w:color w:val="auto"/>
          <w:sz w:val="20"/>
          <w:szCs w:val="20"/>
          <w:lang w:val="en-GB"/>
        </w:rPr>
        <w:t>So it is more applic</w:t>
      </w:r>
      <w:r w:rsidR="00CB2067" w:rsidRPr="00215DBC">
        <w:rPr>
          <w:rFonts w:ascii="Arial" w:hAnsi="Arial" w:cs="Arial"/>
          <w:color w:val="auto"/>
          <w:sz w:val="20"/>
          <w:szCs w:val="20"/>
          <w:lang w:val="en-GB"/>
        </w:rPr>
        <w:t>a</w:t>
      </w:r>
      <w:r w:rsidR="00CB2067" w:rsidRPr="00215DBC">
        <w:rPr>
          <w:rFonts w:ascii="Arial" w:hAnsi="Arial" w:cs="Arial"/>
          <w:color w:val="auto"/>
          <w:sz w:val="20"/>
          <w:szCs w:val="20"/>
          <w:lang w:val="en-GB"/>
        </w:rPr>
        <w:t>ble to the PRIIPs objective</w:t>
      </w:r>
    </w:p>
    <w:p w:rsidR="003640D0" w:rsidRPr="00CB2067" w:rsidRDefault="003640D0" w:rsidP="003640D0">
      <w:pPr>
        <w:pStyle w:val="Default"/>
        <w:rPr>
          <w:rFonts w:asciiTheme="minorHAnsi" w:hAnsiTheme="minorHAnsi"/>
          <w:color w:val="006600"/>
          <w:szCs w:val="22"/>
          <w:lang w:val="en-GB"/>
        </w:rPr>
      </w:pPr>
    </w:p>
    <w:p w:rsidR="003640D0" w:rsidRPr="00CB2067" w:rsidRDefault="003640D0" w:rsidP="00227E15">
      <w:pPr>
        <w:rPr>
          <w:color w:val="FF0000"/>
        </w:rPr>
      </w:pPr>
    </w:p>
    <w:permEnd w:id="81"/>
    <w:p w:rsidR="00F31E57" w:rsidRDefault="00F31E57" w:rsidP="00F31E57">
      <w:r>
        <w:t>&lt;ESMA_QUESTION_PRIIPs_73&gt;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Arial Unicode MS" w:cs="Arial"/>
          <w:lang w:eastAsia="it-IT"/>
        </w:rPr>
      </w:pPr>
      <w:r>
        <w:rPr>
          <w:rFonts w:eastAsia="Arial Unicode MS" w:cs="Arial"/>
          <w:lang w:eastAsia="it-IT"/>
        </w:rPr>
        <w:t>Do you think that there are other risk free curves that could be considered?</w:t>
      </w:r>
    </w:p>
    <w:p w:rsidR="00F31E57" w:rsidRDefault="00F31E57" w:rsidP="00F31E57">
      <w:pPr>
        <w:rPr>
          <w:rFonts w:eastAsiaTheme="minorHAnsi" w:cstheme="minorBidi"/>
          <w:lang w:eastAsia="en-US"/>
        </w:rPr>
      </w:pPr>
    </w:p>
    <w:p w:rsidR="00F31E57" w:rsidRDefault="00F31E57" w:rsidP="00F31E57">
      <w:r>
        <w:t>&lt;ESMA_QUESTION_PRIIPs_74&gt;</w:t>
      </w:r>
    </w:p>
    <w:p w:rsidR="00227E15" w:rsidRPr="00020C44" w:rsidRDefault="00227E15" w:rsidP="00227E15">
      <w:permStart w:id="82" w:edGrp="everyone"/>
      <w:r w:rsidRPr="00020C44">
        <w:t>EONIA swap should be considered, as it is consistent in all the countries.</w:t>
      </w:r>
    </w:p>
    <w:p w:rsidR="003640D0" w:rsidRPr="00020C44" w:rsidRDefault="00227E15" w:rsidP="00227E15">
      <w:r w:rsidRPr="00020C44">
        <w:t xml:space="preserve">This reference has also the advantages of being more similar to the rate that a client would receive through traditional deposits and being more stable in time. </w:t>
      </w:r>
    </w:p>
    <w:permEnd w:id="82"/>
    <w:p w:rsidR="00F31E57" w:rsidRDefault="00F31E57" w:rsidP="00F31E57">
      <w:r>
        <w:t>&lt;ESMA_QUESTION_PRIIPs_74&gt;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color w:val="000000"/>
          <w:lang w:eastAsia="it-IT"/>
        </w:rPr>
        <w:t xml:space="preserve">Do you think that there are other market data that could be used to determine the credit risk? Do you think that </w:t>
      </w:r>
      <w:r>
        <w:rPr>
          <w:rFonts w:cs="Arial"/>
        </w:rPr>
        <w:t>implied credit spreads from other issuer bonds (other than structured products) could be used?</w:t>
      </w:r>
    </w:p>
    <w:p w:rsidR="00F31E57" w:rsidRDefault="00F31E57" w:rsidP="00F31E57">
      <w:pPr>
        <w:rPr>
          <w:rFonts w:cstheme="minorBidi"/>
        </w:rPr>
      </w:pPr>
    </w:p>
    <w:p w:rsidR="00F31E57" w:rsidRDefault="00F31E57" w:rsidP="00F31E57">
      <w:r>
        <w:t>&lt;ESMA_QUESTION_PRIIPs_75&gt;</w:t>
      </w:r>
    </w:p>
    <w:p w:rsidR="00227E15" w:rsidRPr="00020C44" w:rsidRDefault="003640D0" w:rsidP="00020C44">
      <w:pPr>
        <w:pStyle w:val="Default"/>
        <w:rPr>
          <w:b/>
          <w:color w:val="FF0000"/>
          <w:lang w:val="en-GB"/>
        </w:rPr>
      </w:pPr>
      <w:permStart w:id="83" w:edGrp="everyone"/>
      <w:r w:rsidRPr="00020C44">
        <w:rPr>
          <w:rFonts w:ascii="Arial" w:hAnsi="Arial" w:cs="Arial"/>
          <w:color w:val="auto"/>
          <w:sz w:val="20"/>
          <w:szCs w:val="20"/>
          <w:lang w:val="en-GB"/>
        </w:rPr>
        <w:t xml:space="preserve">No, </w:t>
      </w:r>
      <w:r w:rsidR="00020C44" w:rsidRPr="00020C44">
        <w:rPr>
          <w:rFonts w:ascii="Arial" w:hAnsi="Arial" w:cs="Arial"/>
          <w:color w:val="auto"/>
          <w:sz w:val="20"/>
          <w:szCs w:val="20"/>
          <w:lang w:val="en-GB"/>
        </w:rPr>
        <w:t>market data described in the document seem the right ones. C</w:t>
      </w:r>
      <w:r w:rsidR="00020C44" w:rsidRPr="00020C44">
        <w:rPr>
          <w:rFonts w:ascii="Arial" w:hAnsi="Arial" w:cs="Arial"/>
          <w:color w:val="auto"/>
          <w:sz w:val="20"/>
          <w:szCs w:val="20"/>
        </w:rPr>
        <w:t xml:space="preserve">redit spreads from other issuer bonds can be used, when possible, as far as they have the same </w:t>
      </w:r>
      <w:r w:rsidR="00020C44" w:rsidRPr="00020C44">
        <w:rPr>
          <w:rFonts w:ascii="Arial" w:hAnsi="Arial" w:cs="Arial"/>
          <w:color w:val="auto"/>
          <w:sz w:val="20"/>
          <w:szCs w:val="20"/>
          <w:lang w:val="en-GB"/>
        </w:rPr>
        <w:t>seniority, maturity and bonds used as a r</w:t>
      </w:r>
      <w:r w:rsidR="00020C44" w:rsidRPr="00020C44">
        <w:rPr>
          <w:rFonts w:ascii="Arial" w:hAnsi="Arial" w:cs="Arial"/>
          <w:color w:val="auto"/>
          <w:sz w:val="20"/>
          <w:szCs w:val="20"/>
          <w:lang w:val="en-GB"/>
        </w:rPr>
        <w:t>e</w:t>
      </w:r>
      <w:r w:rsidR="00020C44" w:rsidRPr="00020C44">
        <w:rPr>
          <w:rFonts w:ascii="Arial" w:hAnsi="Arial" w:cs="Arial"/>
          <w:color w:val="auto"/>
          <w:sz w:val="20"/>
          <w:szCs w:val="20"/>
          <w:lang w:val="en-GB"/>
        </w:rPr>
        <w:t>frence have enough liquidity.</w:t>
      </w:r>
    </w:p>
    <w:permEnd w:id="83"/>
    <w:p w:rsidR="00F31E57" w:rsidRDefault="00F31E57" w:rsidP="00F31E57">
      <w:r>
        <w:t>&lt;ESMA_QUESTION_PRIIPs_75&gt;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color w:val="000000"/>
          <w:lang w:eastAsia="it-IT"/>
        </w:rPr>
        <w:t>How would you determine the credit risk in the absence of market data and which are the criteria to identify the comparable?</w:t>
      </w:r>
    </w:p>
    <w:p w:rsidR="00F31E57" w:rsidRDefault="00F31E57" w:rsidP="00F31E57">
      <w:pPr>
        <w:rPr>
          <w:rFonts w:cstheme="minorBidi"/>
          <w:lang w:eastAsia="en-US"/>
        </w:rPr>
      </w:pPr>
    </w:p>
    <w:p w:rsidR="00F31E57" w:rsidRDefault="00F31E57" w:rsidP="00F31E57">
      <w:r>
        <w:t>&lt;ESMA_QUESTION_PRIIPs_76&gt;</w:t>
      </w:r>
    </w:p>
    <w:p w:rsidR="00227E15" w:rsidRPr="00A04A8D" w:rsidRDefault="001162E0" w:rsidP="00227E15">
      <w:permStart w:id="84" w:edGrp="everyone"/>
      <w:r>
        <w:t xml:space="preserve">AEB members </w:t>
      </w:r>
      <w:r w:rsidR="00227E15" w:rsidRPr="00A04A8D">
        <w:t xml:space="preserve">suggest </w:t>
      </w:r>
      <w:proofErr w:type="gramStart"/>
      <w:r w:rsidR="00227E15" w:rsidRPr="00A04A8D">
        <w:t>to use</w:t>
      </w:r>
      <w:proofErr w:type="gramEnd"/>
      <w:r w:rsidR="00227E15" w:rsidRPr="00A04A8D">
        <w:t xml:space="preserve"> an approach based on the default probabilities implied in the debt spreads. In cases where there is no market data to take this approach it can make sense to use the ratings on a subsidiary basis.</w:t>
      </w:r>
    </w:p>
    <w:permEnd w:id="84"/>
    <w:p w:rsidR="00F31E57" w:rsidRDefault="00F31E57" w:rsidP="00F31E57">
      <w:r>
        <w:t>&lt;ESMA_QUESTION_PRIIPs_76&gt;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eastAsia="Arial Unicode MS" w:cs="Arial"/>
          <w:lang w:eastAsia="it-IT"/>
        </w:rPr>
      </w:pPr>
      <w:r>
        <w:rPr>
          <w:rFonts w:cs="Arial"/>
          <w:color w:val="000000"/>
          <w:lang w:eastAsia="it-IT"/>
        </w:rPr>
        <w:t>How would</w:t>
      </w:r>
      <w:r>
        <w:rPr>
          <w:rFonts w:eastAsia="Arial Unicode MS" w:cs="Arial"/>
          <w:lang w:eastAsia="it-IT"/>
        </w:rPr>
        <w:t xml:space="preserve"> you include the counterparty risk in the valuation? Would you include specific models to include counterparty risk in valuation (CVA models)? How would you consider the counterparty risk for pure derivatives?</w:t>
      </w:r>
    </w:p>
    <w:p w:rsidR="00F31E57" w:rsidRDefault="00F31E57" w:rsidP="00F31E57">
      <w:pPr>
        <w:rPr>
          <w:rFonts w:eastAsiaTheme="minorHAnsi" w:cstheme="minorBidi"/>
          <w:lang w:eastAsia="en-US"/>
        </w:rPr>
      </w:pPr>
    </w:p>
    <w:p w:rsidR="00F31E57" w:rsidRDefault="00F31E57" w:rsidP="00F31E57">
      <w:r>
        <w:t>&lt;ESMA_QUESTION_PRIIPs_77&gt;</w:t>
      </w:r>
    </w:p>
    <w:p w:rsidR="00227E15" w:rsidRPr="00A04A8D" w:rsidRDefault="00227E15" w:rsidP="00227E15">
      <w:pPr>
        <w:rPr>
          <w:rFonts w:cs="Arial"/>
          <w:i/>
          <w:lang w:eastAsia="it-IT"/>
        </w:rPr>
      </w:pPr>
      <w:permStart w:id="85" w:edGrp="everyone"/>
      <w:r w:rsidRPr="00A04A8D">
        <w:t>Counterparty risk is not a relevant factor for structured deposits</w:t>
      </w:r>
      <w:r w:rsidRPr="00A04A8D">
        <w:rPr>
          <w:rFonts w:cs="Arial"/>
          <w:i/>
          <w:lang w:eastAsia="it-IT"/>
        </w:rPr>
        <w:t>.</w:t>
      </w:r>
    </w:p>
    <w:permEnd w:id="85"/>
    <w:p w:rsidR="00F31E57" w:rsidRDefault="00F31E57" w:rsidP="00F31E57">
      <w:r>
        <w:t>&lt;ESMA_QUESTION_PRIIPs_77&gt;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color w:val="000000"/>
          <w:lang w:eastAsia="it-IT"/>
        </w:rPr>
      </w:pPr>
      <w:r>
        <w:rPr>
          <w:rFonts w:cs="Arial"/>
        </w:rPr>
        <w:t xml:space="preserve">In which circumstances do you think parameters cannot be computed/estimated using market data? What would you suggest to deal with this issue? </w:t>
      </w:r>
    </w:p>
    <w:p w:rsidR="00F31E57" w:rsidRDefault="00F31E57" w:rsidP="00F31E57">
      <w:pPr>
        <w:rPr>
          <w:rFonts w:cstheme="minorBidi"/>
          <w:lang w:eastAsia="en-US"/>
        </w:rPr>
      </w:pPr>
    </w:p>
    <w:p w:rsidR="00F31E57" w:rsidRDefault="00F31E57" w:rsidP="00F31E57">
      <w:r>
        <w:t>&lt;ESMA_QUESTION_PRIIPs_78&gt;</w:t>
      </w:r>
    </w:p>
    <w:p w:rsidR="003640D0" w:rsidRPr="00746928" w:rsidRDefault="00227E15" w:rsidP="00020C44">
      <w:permStart w:id="86" w:edGrp="everyone"/>
      <w:r w:rsidRPr="00746928">
        <w:t>A circumstance could be the lack of history on recently issued assets</w:t>
      </w:r>
      <w:r w:rsidR="00020C44" w:rsidRPr="00746928">
        <w:t xml:space="preserve">, lack of </w:t>
      </w:r>
      <w:r w:rsidR="00746928" w:rsidRPr="00746928">
        <w:t>liquidity or</w:t>
      </w:r>
      <w:r w:rsidR="00020C44" w:rsidRPr="00746928">
        <w:t xml:space="preserve"> in stressed situ</w:t>
      </w:r>
      <w:r w:rsidR="00020C44" w:rsidRPr="00746928">
        <w:t>a</w:t>
      </w:r>
      <w:r w:rsidR="00020C44" w:rsidRPr="00746928">
        <w:t>tions of the market</w:t>
      </w:r>
      <w:r w:rsidRPr="00746928">
        <w:t>. We recommend to have similar procedures as for market disruptions as defined by industry practise (i.e., ISDA). Our suggestion is to use peers and adjust for a spread, with full disclosure.</w:t>
      </w:r>
    </w:p>
    <w:permEnd w:id="86"/>
    <w:p w:rsidR="00F31E57" w:rsidRDefault="00F31E57" w:rsidP="00F31E57">
      <w:r>
        <w:t>&lt;ESMA_QUESTION_PRIIPs_78&gt;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color w:val="000000"/>
          <w:lang w:eastAsia="it-IT"/>
        </w:rPr>
        <w:lastRenderedPageBreak/>
        <w:t>Would it be meaningful to prescribe specific pricing models for structured products, derivatives and CFDs? If yes which are the pros and cons of parametric and non-parametric models?</w:t>
      </w:r>
    </w:p>
    <w:p w:rsidR="00F31E57" w:rsidRDefault="00F31E57" w:rsidP="00F31E57">
      <w:pPr>
        <w:rPr>
          <w:rFonts w:cstheme="minorBidi"/>
        </w:rPr>
      </w:pPr>
    </w:p>
    <w:p w:rsidR="00F31E57" w:rsidRDefault="00F31E57" w:rsidP="00F31E57">
      <w:r>
        <w:t>&lt;ESMA_QUESTION_PRIIPs_79&gt;</w:t>
      </w:r>
    </w:p>
    <w:p w:rsidR="00227E15" w:rsidRPr="00746928" w:rsidRDefault="00572DB9" w:rsidP="00227E15">
      <w:permStart w:id="87" w:edGrp="everyone"/>
      <w:r>
        <w:t xml:space="preserve">AEB members </w:t>
      </w:r>
      <w:r w:rsidR="00227E15" w:rsidRPr="00746928">
        <w:t>do not consider this a good option because the prescribed models will coexist with the models that each entity develops internally to manage their risks. Moreover, this does not ensure comp</w:t>
      </w:r>
      <w:r w:rsidR="00227E15" w:rsidRPr="00746928">
        <w:t>a</w:t>
      </w:r>
      <w:r w:rsidR="00227E15" w:rsidRPr="00746928">
        <w:t>rability, as the inputs for the model can also differ. We believe each entity should be able to use its own pricing models. That will lead to different valuations but will let the client have a clearer idea of which price can expect if trading the product.</w:t>
      </w:r>
    </w:p>
    <w:p w:rsidR="003640D0" w:rsidRPr="00746928" w:rsidRDefault="00746928" w:rsidP="00227E15">
      <w:pPr>
        <w:rPr>
          <w:color w:val="FF0000"/>
        </w:rPr>
      </w:pPr>
      <w:r w:rsidRPr="00746928">
        <w:t>Market solutions, as ISDA contracts for disputes resolutions could be considered</w:t>
      </w:r>
      <w:r>
        <w:rPr>
          <w:color w:val="FF0000"/>
        </w:rPr>
        <w:t>.</w:t>
      </w:r>
    </w:p>
    <w:permEnd w:id="87"/>
    <w:p w:rsidR="00F31E57" w:rsidRDefault="00F31E57" w:rsidP="00F31E57">
      <w:r>
        <w:t>&lt;ESMA_QUESTION_PRIIPs_79&gt;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What should be the value of x? (in the case of UCITS, x=5, but the extent to which this is appropriate for other types of PRIIPs, notably life-insurance products, is unclear). </w:t>
      </w:r>
    </w:p>
    <w:p w:rsidR="00F31E57" w:rsidRDefault="00F31E57" w:rsidP="00F31E57">
      <w:pPr>
        <w:rPr>
          <w:rFonts w:cstheme="minorBidi"/>
        </w:rPr>
      </w:pPr>
    </w:p>
    <w:p w:rsidR="00F31E57" w:rsidRDefault="00F31E57" w:rsidP="00F31E57">
      <w:r>
        <w:t>&lt;ESMA_QUESTION_PRIIPs_80&gt;</w:t>
      </w:r>
    </w:p>
    <w:p w:rsidR="006B465E" w:rsidRPr="0037718E" w:rsidRDefault="00227E15" w:rsidP="006B465E">
      <w:pPr>
        <w:jc w:val="both"/>
        <w:rPr>
          <w:rFonts w:ascii="Calibri" w:hAnsi="Calibri" w:cs="Arial"/>
          <w:color w:val="006600"/>
        </w:rPr>
      </w:pPr>
      <w:permStart w:id="88" w:edGrp="everyone"/>
      <w:r w:rsidRPr="00A04A8D">
        <w:t>Five years seems appropriate to be aligned with other related regulations.</w:t>
      </w:r>
    </w:p>
    <w:p w:rsidR="00227E15" w:rsidRPr="0037718E" w:rsidRDefault="00227E15" w:rsidP="00227E15">
      <w:pPr>
        <w:rPr>
          <w:b/>
        </w:rPr>
      </w:pPr>
    </w:p>
    <w:permEnd w:id="88"/>
    <w:p w:rsidR="00F31E57" w:rsidRDefault="00F31E57" w:rsidP="00F31E57">
      <w:r>
        <w:t>&lt;ESMA_QUESTION_PRIIPs_80&gt;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 xml:space="preserve">Should this principle be further explained / detailed? Should the terms “rank pari passu” be adapted to fit the different types of PRIIPs? </w:t>
      </w:r>
    </w:p>
    <w:p w:rsidR="00F31E57" w:rsidRDefault="00F31E57" w:rsidP="00F31E57">
      <w:pPr>
        <w:rPr>
          <w:rFonts w:cstheme="minorBidi"/>
        </w:rPr>
      </w:pPr>
    </w:p>
    <w:p w:rsidR="00F31E57" w:rsidRDefault="00F31E57" w:rsidP="00F31E57">
      <w:r>
        <w:t>&lt;ESMA_QUESTION_PRIIPs_81&gt;</w:t>
      </w:r>
    </w:p>
    <w:p w:rsidR="00F31E57" w:rsidRPr="0037718E" w:rsidRDefault="0037718E" w:rsidP="0037718E">
      <w:pPr>
        <w:jc w:val="both"/>
        <w:rPr>
          <w:rFonts w:cs="Arial"/>
        </w:rPr>
      </w:pPr>
      <w:permStart w:id="89" w:edGrp="everyone"/>
      <w:r w:rsidRPr="002919FD">
        <w:rPr>
          <w:rFonts w:cs="Arial"/>
        </w:rPr>
        <w:t xml:space="preserve">Yes, more clarification is needed </w:t>
      </w:r>
    </w:p>
    <w:permEnd w:id="89"/>
    <w:p w:rsidR="00F31E57" w:rsidRDefault="00F31E57" w:rsidP="00F31E57">
      <w:r>
        <w:t>&lt;ESMA_QUESTION_PRIIPs_81&gt;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bCs/>
          <w:iCs/>
          <w:noProof/>
        </w:rPr>
        <w:t xml:space="preserve">What should be the relevant figure for the initial invested amount to be taken into account for the calculation of cost figures? Should a higher initial investment amount be taken into account not to overestimate the impact of fixed costs? How should the situation of products with regular payments be taken into account for that specific purpose? (Would an invested amount of 1 000 euros per period of time be a relevant figure?) </w:t>
      </w:r>
    </w:p>
    <w:p w:rsidR="00F31E57" w:rsidRDefault="00F31E57" w:rsidP="00F31E57">
      <w:pPr>
        <w:rPr>
          <w:rFonts w:cstheme="minorBidi"/>
        </w:rPr>
      </w:pPr>
    </w:p>
    <w:p w:rsidR="00F31E57" w:rsidRDefault="00F31E57" w:rsidP="00F31E57">
      <w:r>
        <w:t>&lt;ESMA_QUESTION_PRIIPs_82&gt;</w:t>
      </w:r>
    </w:p>
    <w:p w:rsidR="008A2343" w:rsidRPr="00E826AE" w:rsidRDefault="000E7F3F" w:rsidP="006B465E">
      <w:pPr>
        <w:jc w:val="both"/>
        <w:rPr>
          <w:rFonts w:cs="Arial"/>
        </w:rPr>
      </w:pPr>
      <w:permStart w:id="90" w:edGrp="everyone"/>
      <w:r w:rsidRPr="00E826AE">
        <w:rPr>
          <w:rFonts w:cs="Arial"/>
        </w:rPr>
        <w:t>The initial invested amount taken into account for the calculation of cost figures should be consistent with the type of product (f.e  SPVs have a completely different price structure compared to a traditional saving product).</w:t>
      </w:r>
      <w:r w:rsidR="006B465E" w:rsidRPr="00E826AE">
        <w:rPr>
          <w:rFonts w:cs="Arial"/>
        </w:rPr>
        <w:t xml:space="preserve"> </w:t>
      </w:r>
    </w:p>
    <w:p w:rsidR="008A2343" w:rsidRPr="00E826AE" w:rsidRDefault="008A2343" w:rsidP="006B465E">
      <w:pPr>
        <w:jc w:val="both"/>
        <w:rPr>
          <w:rFonts w:cs="Arial"/>
        </w:rPr>
      </w:pPr>
    </w:p>
    <w:p w:rsidR="000E7F3F" w:rsidRPr="00E826AE" w:rsidRDefault="008A2343" w:rsidP="00E826AE">
      <w:pPr>
        <w:jc w:val="both"/>
      </w:pPr>
      <w:r w:rsidRPr="00E826AE">
        <w:rPr>
          <w:rFonts w:cs="Arial"/>
        </w:rPr>
        <w:t xml:space="preserve">Not only initial invested amount should be considered </w:t>
      </w:r>
      <w:r w:rsidR="00E826AE" w:rsidRPr="00E826AE">
        <w:rPr>
          <w:rFonts w:cs="Arial"/>
        </w:rPr>
        <w:t>but</w:t>
      </w:r>
      <w:r w:rsidRPr="00E826AE">
        <w:rPr>
          <w:rFonts w:cs="Arial"/>
        </w:rPr>
        <w:t xml:space="preserve"> </w:t>
      </w:r>
      <w:r w:rsidR="00E826AE" w:rsidRPr="00E826AE">
        <w:rPr>
          <w:rFonts w:cs="Arial"/>
        </w:rPr>
        <w:t>also</w:t>
      </w:r>
      <w:r w:rsidRPr="00E826AE">
        <w:rPr>
          <w:rFonts w:cs="Arial"/>
        </w:rPr>
        <w:t xml:space="preserve"> on going payments. </w:t>
      </w:r>
      <w:r w:rsidR="00E826AE" w:rsidRPr="00E826AE">
        <w:rPr>
          <w:rFonts w:cs="Arial"/>
        </w:rPr>
        <w:t>National</w:t>
      </w:r>
      <w:r w:rsidRPr="00E826AE">
        <w:rPr>
          <w:rFonts w:cs="Arial"/>
        </w:rPr>
        <w:t xml:space="preserve"> </w:t>
      </w:r>
      <w:r w:rsidR="00E826AE" w:rsidRPr="00E826AE">
        <w:rPr>
          <w:rFonts w:cs="Arial"/>
        </w:rPr>
        <w:t>defences</w:t>
      </w:r>
      <w:r w:rsidRPr="00E826AE">
        <w:rPr>
          <w:rFonts w:cs="Arial"/>
        </w:rPr>
        <w:t xml:space="preserve"> /</w:t>
      </w:r>
      <w:r w:rsidR="00E826AE" w:rsidRPr="00E826AE">
        <w:rPr>
          <w:rFonts w:cs="Arial"/>
        </w:rPr>
        <w:t>differences</w:t>
      </w:r>
      <w:r w:rsidRPr="00E826AE">
        <w:rPr>
          <w:rFonts w:cs="Arial"/>
        </w:rPr>
        <w:t xml:space="preserve"> among </w:t>
      </w:r>
      <w:r w:rsidR="00E826AE" w:rsidRPr="00E826AE">
        <w:rPr>
          <w:rFonts w:cs="Arial"/>
        </w:rPr>
        <w:t>products should be considered. As several assumptions are to be made, the best option will be to present as an example, so clients can be informed in a generic way for consultation</w:t>
      </w:r>
      <w:r w:rsidR="00E826AE" w:rsidRPr="00E826AE">
        <w:rPr>
          <w:rFonts w:ascii="Calibri" w:hAnsi="Calibri" w:cs="Arial"/>
          <w:color w:val="006600"/>
        </w:rPr>
        <w:t>.</w:t>
      </w:r>
    </w:p>
    <w:permEnd w:id="90"/>
    <w:p w:rsidR="00F31E57" w:rsidRDefault="00F31E57" w:rsidP="00F31E57">
      <w:r>
        <w:t>&lt;ESMA_QUESTION_PRIIPs_82&gt;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bCs/>
          <w:iCs/>
          <w:noProof/>
        </w:rPr>
      </w:pPr>
      <w:r>
        <w:rPr>
          <w:rFonts w:cs="Arial"/>
          <w:bCs/>
          <w:iCs/>
          <w:noProof/>
        </w:rPr>
        <w:t>For some life-insurance products, the costs will differ on the age of the customer and other parameters. How to take into account this specific type of PRIIPs for the purpose of aggregating the costs? Should several KIDs for several ages be considered?</w:t>
      </w:r>
    </w:p>
    <w:p w:rsidR="00F31E57" w:rsidRDefault="00F31E57" w:rsidP="00F31E57">
      <w:pPr>
        <w:rPr>
          <w:rFonts w:cstheme="minorBidi"/>
        </w:rPr>
      </w:pPr>
    </w:p>
    <w:p w:rsidR="00F31E57" w:rsidRDefault="00F31E57" w:rsidP="00F31E57">
      <w:r>
        <w:t>&lt;ESMA_QUESTION_PRIIPs_83&gt;</w:t>
      </w:r>
    </w:p>
    <w:p w:rsidR="00F31E57" w:rsidRDefault="00F31E57" w:rsidP="00F31E57">
      <w:permStart w:id="91" w:edGrp="everyone"/>
      <w:r>
        <w:t>TYPE YOUR TEXT HERE</w:t>
      </w:r>
    </w:p>
    <w:permEnd w:id="91"/>
    <w:p w:rsidR="00F31E57" w:rsidRDefault="00F31E57" w:rsidP="00F31E57">
      <w:r>
        <w:lastRenderedPageBreak/>
        <w:t>&lt;ESMA_QUESTION_PRIIPs_83&gt;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Do you agree with the abovementioned considerations? Which difficulties do you identify in the annualisation of costs?</w:t>
      </w:r>
    </w:p>
    <w:p w:rsidR="00F31E57" w:rsidRDefault="00F31E57" w:rsidP="00F31E57">
      <w:pPr>
        <w:rPr>
          <w:rFonts w:cstheme="minorBidi"/>
        </w:rPr>
      </w:pPr>
    </w:p>
    <w:p w:rsidR="00F31E57" w:rsidRDefault="00F31E57" w:rsidP="00F31E57">
      <w:r>
        <w:t>&lt;ESMA_QUESTION_PRIIPs_84&gt;</w:t>
      </w:r>
    </w:p>
    <w:p w:rsidR="00227E15" w:rsidRPr="00A04A8D" w:rsidRDefault="003A03A7" w:rsidP="00227E15">
      <w:permStart w:id="92" w:edGrp="everyone"/>
      <w:r>
        <w:t>AEB members</w:t>
      </w:r>
      <w:r w:rsidR="00227E15" w:rsidRPr="00A04A8D">
        <w:t xml:space="preserve"> believe this could be a valuable tool because it helps comparability among different pro</w:t>
      </w:r>
      <w:r w:rsidR="00227E15" w:rsidRPr="00A04A8D">
        <w:t>d</w:t>
      </w:r>
      <w:r w:rsidR="00227E15" w:rsidRPr="00A04A8D">
        <w:t>ucts. The autocallable stuctures with changing fees could be difficult to annualise.</w:t>
      </w:r>
    </w:p>
    <w:permEnd w:id="92"/>
    <w:p w:rsidR="00F31E57" w:rsidRDefault="00F31E57" w:rsidP="00F31E57">
      <w:r>
        <w:t>&lt;ESMA_QUESTION_PRIIPs_84&gt;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Which other assumptions would be needed there? In the case of life-insurance pro</w:t>
      </w:r>
      <w:r>
        <w:rPr>
          <w:rFonts w:cs="Arial"/>
        </w:rPr>
        <w:t>d</w:t>
      </w:r>
      <w:r>
        <w:rPr>
          <w:rFonts w:cs="Arial"/>
        </w:rPr>
        <w:t>ucts, to what extent should the amortization methodology related to the amortization methodology of the premium calculation? To what extent should the chosen holding period be related to the recommended holding period?</w:t>
      </w:r>
    </w:p>
    <w:p w:rsidR="00F31E57" w:rsidRDefault="00F31E57" w:rsidP="00F31E57">
      <w:pPr>
        <w:rPr>
          <w:rFonts w:cstheme="minorBidi"/>
        </w:rPr>
      </w:pPr>
    </w:p>
    <w:p w:rsidR="00F31E57" w:rsidRDefault="00F31E57" w:rsidP="00F31E57">
      <w:r>
        <w:t>&lt;ESMA_QUESTION_PRIIPs_85&gt;</w:t>
      </w:r>
    </w:p>
    <w:p w:rsidR="00062EE7" w:rsidRPr="00062EE7" w:rsidRDefault="00E826AE" w:rsidP="006B465E">
      <w:pPr>
        <w:jc w:val="both"/>
        <w:rPr>
          <w:rFonts w:cs="Arial"/>
        </w:rPr>
      </w:pPr>
      <w:permStart w:id="93" w:edGrp="everyone"/>
      <w:r w:rsidRPr="00062EE7">
        <w:rPr>
          <w:rFonts w:cs="Arial"/>
        </w:rPr>
        <w:t xml:space="preserve">No other assumptions should be made but the basic cases, </w:t>
      </w:r>
      <w:r w:rsidR="00062EE7" w:rsidRPr="00062EE7">
        <w:rPr>
          <w:rFonts w:cs="Arial"/>
        </w:rPr>
        <w:t>decease</w:t>
      </w:r>
      <w:r w:rsidRPr="00062EE7">
        <w:rPr>
          <w:rFonts w:cs="Arial"/>
        </w:rPr>
        <w:t>, should</w:t>
      </w:r>
      <w:r w:rsidR="00062EE7">
        <w:rPr>
          <w:rFonts w:cs="Arial"/>
        </w:rPr>
        <w:t xml:space="preserve"> be</w:t>
      </w:r>
      <w:r w:rsidRPr="00062EE7">
        <w:rPr>
          <w:rFonts w:cs="Arial"/>
        </w:rPr>
        <w:t xml:space="preserve"> </w:t>
      </w:r>
      <w:r w:rsidR="00062EE7" w:rsidRPr="00062EE7">
        <w:rPr>
          <w:rFonts w:cs="Arial"/>
        </w:rPr>
        <w:t xml:space="preserve">included. </w:t>
      </w:r>
    </w:p>
    <w:p w:rsidR="00062EE7" w:rsidRPr="00062EE7" w:rsidRDefault="00062EE7" w:rsidP="006B465E">
      <w:pPr>
        <w:jc w:val="both"/>
        <w:rPr>
          <w:rFonts w:cs="Arial"/>
        </w:rPr>
      </w:pPr>
    </w:p>
    <w:p w:rsidR="00E826AE" w:rsidRPr="00062EE7" w:rsidRDefault="00062EE7" w:rsidP="006B465E">
      <w:pPr>
        <w:jc w:val="both"/>
        <w:rPr>
          <w:rFonts w:cs="Arial"/>
        </w:rPr>
      </w:pPr>
      <w:r w:rsidRPr="00062EE7">
        <w:rPr>
          <w:rFonts w:cs="Arial"/>
        </w:rPr>
        <w:t>Other relevant question to be made is if worthy to mention in a percentage, due the n</w:t>
      </w:r>
      <w:r w:rsidR="003A03A7">
        <w:rPr>
          <w:rFonts w:cs="Arial"/>
        </w:rPr>
        <w:t xml:space="preserve">ew hypothesis of amortization </w:t>
      </w:r>
      <w:r w:rsidRPr="00062EE7">
        <w:rPr>
          <w:rFonts w:cs="Arial"/>
        </w:rPr>
        <w:t>to consider.</w:t>
      </w:r>
      <w:r w:rsidR="00E826AE" w:rsidRPr="00062EE7">
        <w:rPr>
          <w:rFonts w:cs="Arial"/>
        </w:rPr>
        <w:t xml:space="preserve">  </w:t>
      </w:r>
    </w:p>
    <w:p w:rsidR="00E826AE" w:rsidRPr="00062EE7" w:rsidRDefault="00E826AE" w:rsidP="006B465E">
      <w:pPr>
        <w:jc w:val="both"/>
        <w:rPr>
          <w:rFonts w:cs="Arial"/>
        </w:rPr>
      </w:pPr>
    </w:p>
    <w:p w:rsidR="006B465E" w:rsidRPr="00062EE7" w:rsidRDefault="003A03A7" w:rsidP="006B465E">
      <w:pPr>
        <w:jc w:val="both"/>
        <w:rPr>
          <w:rFonts w:cs="Arial"/>
        </w:rPr>
      </w:pPr>
      <w:r>
        <w:rPr>
          <w:rFonts w:cs="Arial"/>
        </w:rPr>
        <w:t>If AEB members</w:t>
      </w:r>
      <w:r w:rsidR="00062EE7" w:rsidRPr="00062EE7">
        <w:rPr>
          <w:rFonts w:cs="Arial"/>
        </w:rPr>
        <w:t xml:space="preserve"> have to restrict to this TCR it would be more appropriate to refer the holding period recommended for which the product is designed, the most common contributions and </w:t>
      </w:r>
      <w:r w:rsidR="00062EE7">
        <w:rPr>
          <w:rFonts w:cs="Arial"/>
        </w:rPr>
        <w:t>partial withdrawlas</w:t>
      </w:r>
      <w:r w:rsidR="00062EE7" w:rsidRPr="00062EE7">
        <w:rPr>
          <w:rFonts w:cs="Arial"/>
        </w:rPr>
        <w:t xml:space="preserve"> model.</w:t>
      </w:r>
    </w:p>
    <w:permEnd w:id="93"/>
    <w:p w:rsidR="00F31E57" w:rsidRDefault="00F31E57" w:rsidP="00F31E57">
      <w:r>
        <w:t>&lt;ESMA_QUESTION_PRIIPs_85&gt;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This definition of the ratio is taken from the CESR guidelines on cost disclosure for UCITS. Is it appropriate also in the case of retail AIFs? Should it be amended? Another approach to calculate these costs is to calculate the ratio of the total of these amo</w:t>
      </w:r>
      <w:r>
        <w:rPr>
          <w:rFonts w:cs="Arial"/>
        </w:rPr>
        <w:t>r</w:t>
      </w:r>
      <w:r>
        <w:rPr>
          <w:rFonts w:cs="Arial"/>
        </w:rPr>
        <w:t>tized costs to the invested amount in the fund. However in that case the question r</w:t>
      </w:r>
      <w:r>
        <w:rPr>
          <w:rFonts w:cs="Arial"/>
        </w:rPr>
        <w:t>e</w:t>
      </w:r>
      <w:r>
        <w:rPr>
          <w:rFonts w:cs="Arial"/>
        </w:rPr>
        <w:t>mains as to how to aggregate this ratio with the on-going charges ratio. Another po</w:t>
      </w:r>
      <w:r>
        <w:rPr>
          <w:rFonts w:cs="Arial"/>
        </w:rPr>
        <w:t>s</w:t>
      </w:r>
      <w:r>
        <w:rPr>
          <w:rFonts w:cs="Arial"/>
        </w:rPr>
        <w:t>sible approach could be to use the ratio between the total amount of costs over the holding period and the average net investment (assumed during the whole period, in order to take into account future additional investments, partial withdrawals, pa</w:t>
      </w:r>
      <w:r>
        <w:rPr>
          <w:rFonts w:cs="Arial"/>
        </w:rPr>
        <w:t>y</w:t>
      </w:r>
      <w:r>
        <w:rPr>
          <w:rFonts w:cs="Arial"/>
        </w:rPr>
        <w:t>ments (i.e. programmed investments or disinvestments)). Do you think this approach would be appropriate?</w:t>
      </w:r>
    </w:p>
    <w:p w:rsidR="00F31E57" w:rsidRDefault="00F31E57" w:rsidP="00F31E57">
      <w:pPr>
        <w:rPr>
          <w:rFonts w:cstheme="minorBidi"/>
        </w:rPr>
      </w:pPr>
    </w:p>
    <w:p w:rsidR="00F31E57" w:rsidRDefault="00F31E57" w:rsidP="00F31E57">
      <w:r>
        <w:t>&lt;ESMA_QUESTION_PRIIPs_86&gt;</w:t>
      </w:r>
    </w:p>
    <w:p w:rsidR="00F31E57" w:rsidRDefault="00F31E57" w:rsidP="00F31E57">
      <w:permStart w:id="94" w:edGrp="everyone"/>
      <w:r>
        <w:t>TYPE YOUR TEXT HERE</w:t>
      </w:r>
    </w:p>
    <w:permEnd w:id="94"/>
    <w:p w:rsidR="00F31E57" w:rsidRDefault="00F31E57" w:rsidP="00F31E57">
      <w:r>
        <w:t>&lt;ESMA_QUESTION_PRIIPs_86&gt;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What would be other options to define the TCR ratio in the case of life-insurance products? What about the case of regular payments or regular increasing? Which definition would you favour? How to ensure a level playing field and a common defin</w:t>
      </w:r>
      <w:r>
        <w:rPr>
          <w:rFonts w:cs="Arial"/>
        </w:rPr>
        <w:t>i</w:t>
      </w:r>
      <w:r>
        <w:rPr>
          <w:rFonts w:cs="Arial"/>
        </w:rPr>
        <w:t>tion with the other types of PRIIPs in this regard? Another possible approach could be to use the ratio between the total amount of costs over the holding period and the a</w:t>
      </w:r>
      <w:r>
        <w:rPr>
          <w:rFonts w:cs="Arial"/>
        </w:rPr>
        <w:t>v</w:t>
      </w:r>
      <w:r>
        <w:rPr>
          <w:rFonts w:cs="Arial"/>
        </w:rPr>
        <w:t>erage net investment (assumed during the whole period, in order to take into account future additional investments, partial withdrawals, payments (i.e. programmed i</w:t>
      </w:r>
      <w:r>
        <w:rPr>
          <w:rFonts w:cs="Arial"/>
        </w:rPr>
        <w:t>n</w:t>
      </w:r>
      <w:r>
        <w:rPr>
          <w:rFonts w:cs="Arial"/>
        </w:rPr>
        <w:t xml:space="preserve">vestments or disinvestments)). Do you think this approach would be appropriate? To </w:t>
      </w:r>
      <w:r>
        <w:rPr>
          <w:rFonts w:cs="Arial"/>
        </w:rPr>
        <w:lastRenderedPageBreak/>
        <w:t xml:space="preserve">what extent do these possible calculation methodologies fit the case of insurance products with regular payments? </w:t>
      </w:r>
    </w:p>
    <w:p w:rsidR="00F31E57" w:rsidRDefault="00F31E57" w:rsidP="00F31E57">
      <w:pPr>
        <w:rPr>
          <w:rFonts w:cstheme="minorBidi"/>
        </w:rPr>
      </w:pPr>
    </w:p>
    <w:p w:rsidR="00F31E57" w:rsidRDefault="00F31E57" w:rsidP="00F31E57">
      <w:r>
        <w:t>&lt;ESMA_QUESTION_PRIIPs_87&gt;</w:t>
      </w:r>
    </w:p>
    <w:p w:rsidR="00062EE7" w:rsidRPr="0048316E" w:rsidRDefault="00062EE7" w:rsidP="006B465E">
      <w:pPr>
        <w:jc w:val="both"/>
        <w:rPr>
          <w:rFonts w:cs="Arial"/>
        </w:rPr>
      </w:pPr>
      <w:permStart w:id="95" w:edGrp="everyone"/>
      <w:r w:rsidRPr="0048316E">
        <w:rPr>
          <w:rFonts w:cs="Arial"/>
        </w:rPr>
        <w:t>As mentioned in Q85 not only survival guaranteed capital should be considered but also decease ones, and their respective costs.</w:t>
      </w:r>
    </w:p>
    <w:p w:rsidR="006B465E" w:rsidRPr="0048316E" w:rsidRDefault="0048316E" w:rsidP="006B465E">
      <w:pPr>
        <w:jc w:val="both"/>
        <w:rPr>
          <w:rFonts w:ascii="Calibri" w:hAnsi="Calibri" w:cs="Arial"/>
          <w:color w:val="006600"/>
        </w:rPr>
      </w:pPr>
      <w:r w:rsidRPr="0048316E">
        <w:rPr>
          <w:rFonts w:cs="Arial"/>
        </w:rPr>
        <w:t>Any cost ratio should be using actuarial techniques, in other case we will only get a mere approximation with several hypothesis included</w:t>
      </w:r>
      <w:r>
        <w:rPr>
          <w:rFonts w:ascii="Calibri" w:hAnsi="Calibri" w:cs="Arial"/>
          <w:color w:val="006600"/>
        </w:rPr>
        <w:t>.</w:t>
      </w:r>
      <w:r w:rsidR="006B465E" w:rsidRPr="0048316E">
        <w:rPr>
          <w:rFonts w:ascii="Calibri" w:hAnsi="Calibri" w:cs="Arial"/>
          <w:color w:val="006600"/>
        </w:rPr>
        <w:t>.</w:t>
      </w:r>
    </w:p>
    <w:permEnd w:id="95"/>
    <w:p w:rsidR="00F31E57" w:rsidRDefault="00F31E57" w:rsidP="00F31E57">
      <w:r>
        <w:t>&lt;ESMA_QUESTION_PRIIPs_87&gt;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What would be other options to define the TCR ratio in the case of structured pro</w:t>
      </w:r>
      <w:r>
        <w:rPr>
          <w:rFonts w:cs="Arial"/>
        </w:rPr>
        <w:t>d</w:t>
      </w:r>
      <w:r>
        <w:rPr>
          <w:rFonts w:cs="Arial"/>
        </w:rPr>
        <w:t>ucts? Do you identify other specific issues in relation to the TCR if applied to stru</w:t>
      </w:r>
      <w:r>
        <w:rPr>
          <w:rFonts w:cs="Arial"/>
        </w:rPr>
        <w:t>c</w:t>
      </w:r>
      <w:r>
        <w:rPr>
          <w:rFonts w:cs="Arial"/>
        </w:rPr>
        <w:t>tured products? Another possible approach could be to use the ratio between the t</w:t>
      </w:r>
      <w:r>
        <w:rPr>
          <w:rFonts w:cs="Arial"/>
        </w:rPr>
        <w:t>o</w:t>
      </w:r>
      <w:r>
        <w:rPr>
          <w:rFonts w:cs="Arial"/>
        </w:rPr>
        <w:t>tal amount of costs over the holding period and the average net investment (assumed during the whole period, in order to take into account future additional investments, partial withdrawals, payments (i.e. programmed investments or disinvestments)). Do you think this approach would be appropriate? For derivatives, it might be the case that it is necessary to further define the concept of investment to be used as denom</w:t>
      </w:r>
      <w:r>
        <w:rPr>
          <w:rFonts w:cs="Arial"/>
        </w:rPr>
        <w:t>i</w:t>
      </w:r>
      <w:r>
        <w:rPr>
          <w:rFonts w:cs="Arial"/>
        </w:rPr>
        <w:t>nator of the ratio. Possibilities include the use of the actual sums paid and received (i.e. initial margins, variation margins, collateral postings, various payoffs, etc.) or the use of the exposure (i.e. market value of the derivative underlying). Do you think these approaches would be appropriate?</w:t>
      </w:r>
    </w:p>
    <w:p w:rsidR="00F31E57" w:rsidRDefault="00F31E57" w:rsidP="00F31E57">
      <w:pPr>
        <w:rPr>
          <w:rFonts w:cstheme="minorBidi"/>
        </w:rPr>
      </w:pPr>
    </w:p>
    <w:p w:rsidR="00F31E57" w:rsidRDefault="00F31E57" w:rsidP="00F31E57">
      <w:r>
        <w:t>&lt;ESMA_QUESTION_PRIIPs_88&gt;</w:t>
      </w:r>
    </w:p>
    <w:p w:rsidR="00227E15" w:rsidRPr="001C24DA" w:rsidRDefault="00227E15" w:rsidP="00227E15">
      <w:permStart w:id="96" w:edGrp="everyone"/>
      <w:r w:rsidRPr="001C24DA">
        <w:t>In the case of structured products, most of the cases include only upfront fees, so this is not applicable to them. It could be possible in other kind of products.</w:t>
      </w:r>
    </w:p>
    <w:p w:rsidR="00227E15" w:rsidRPr="001C24DA" w:rsidRDefault="00227E15" w:rsidP="00227E15"/>
    <w:p w:rsidR="00CF7C86" w:rsidRPr="001C24DA" w:rsidRDefault="00CF7C86" w:rsidP="00CF7C86">
      <w:pPr>
        <w:tabs>
          <w:tab w:val="left" w:pos="2943"/>
        </w:tabs>
      </w:pPr>
      <w:r w:rsidRPr="001C24DA">
        <w:t>For structured products with partial amortization of principal” weighed medium nominal should be consi</w:t>
      </w:r>
      <w:r w:rsidRPr="001C24DA">
        <w:t>d</w:t>
      </w:r>
      <w:r w:rsidRPr="001C24DA">
        <w:t>ered in order to avoid TCR misrepresentation.</w:t>
      </w:r>
    </w:p>
    <w:p w:rsidR="003640D0" w:rsidRPr="001C24DA" w:rsidRDefault="00CF7C86" w:rsidP="001C24DA">
      <w:pPr>
        <w:tabs>
          <w:tab w:val="left" w:pos="2943"/>
        </w:tabs>
        <w:rPr>
          <w:rFonts w:asciiTheme="minorHAnsi" w:hAnsiTheme="minorHAnsi"/>
          <w:b/>
          <w:sz w:val="24"/>
        </w:rPr>
      </w:pPr>
      <w:r w:rsidRPr="001C24DA">
        <w:t xml:space="preserve">For “self </w:t>
      </w:r>
      <w:r w:rsidR="001C24DA" w:rsidRPr="001C24DA">
        <w:t>cancelling</w:t>
      </w:r>
      <w:r w:rsidRPr="001C24DA">
        <w:t xml:space="preserve"> products”</w:t>
      </w:r>
      <w:r w:rsidR="001C24DA" w:rsidRPr="001C24DA">
        <w:t xml:space="preserve"> two different TCR should be considered, one with the self cancelling date and another oe with the expiration date. </w:t>
      </w:r>
    </w:p>
    <w:p w:rsidR="003640D0" w:rsidRPr="001C24DA" w:rsidRDefault="003640D0" w:rsidP="00227E15">
      <w:pPr>
        <w:rPr>
          <w:color w:val="FF0000"/>
        </w:rPr>
      </w:pPr>
    </w:p>
    <w:permEnd w:id="96"/>
    <w:p w:rsidR="00F31E57" w:rsidRDefault="00F31E57" w:rsidP="00F31E57">
      <w:r>
        <w:t>&lt;ESMA_QUESTION_PRIIPs_88&gt;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This definition of the ratio is taken from the CESR guidelines on cost disclosure for UCITS. Is it appropriate also in the case of retail AIFs? Should it be amended? Another possible approach could be to use the ratio between the total amount of costs over the holding period and the average net investment (assumed during the whole period, in order to take into account future additional investments, partial withdrawals, pa</w:t>
      </w:r>
      <w:r>
        <w:rPr>
          <w:rFonts w:cs="Arial"/>
        </w:rPr>
        <w:t>y</w:t>
      </w:r>
      <w:r>
        <w:rPr>
          <w:rFonts w:cs="Arial"/>
        </w:rPr>
        <w:t>ments (i.e. programmed investments or disinvestments)). Do you think this approach would be appropriate?</w:t>
      </w:r>
    </w:p>
    <w:p w:rsidR="00F31E57" w:rsidRDefault="00F31E57" w:rsidP="00F31E57">
      <w:pPr>
        <w:rPr>
          <w:rFonts w:cstheme="minorBidi"/>
        </w:rPr>
      </w:pPr>
    </w:p>
    <w:p w:rsidR="00F31E57" w:rsidRDefault="00F31E57" w:rsidP="00F31E57">
      <w:r>
        <w:t>&lt;ESMA_QUESTION_PRIIPs_89&gt;</w:t>
      </w:r>
    </w:p>
    <w:p w:rsidR="00F31E57" w:rsidRDefault="00F31E57" w:rsidP="00F31E57">
      <w:permStart w:id="97" w:edGrp="everyone"/>
      <w:r>
        <w:t>TYPE YOUR TEXT HERE</w:t>
      </w:r>
    </w:p>
    <w:permEnd w:id="97"/>
    <w:p w:rsidR="00F31E57" w:rsidRDefault="00F31E57" w:rsidP="00F31E57">
      <w:r>
        <w:t>&lt;ESMA_QUESTION_PRIIPs_89&gt;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These different aforementioned principles are taken from the CESR guidelines on cost disclosure for UCITS. Is it also appropriate in the PRIIPs context?</w:t>
      </w:r>
    </w:p>
    <w:p w:rsidR="00F31E57" w:rsidRDefault="00F31E57" w:rsidP="00F31E57">
      <w:pPr>
        <w:rPr>
          <w:rFonts w:cstheme="minorBidi"/>
        </w:rPr>
      </w:pPr>
    </w:p>
    <w:p w:rsidR="00F31E57" w:rsidRDefault="00F31E57" w:rsidP="00F31E57">
      <w:r>
        <w:t>&lt;ESMA_QUESTION_PRIIPs_90&gt;</w:t>
      </w:r>
    </w:p>
    <w:p w:rsidR="00F31E57" w:rsidRDefault="00F31E57" w:rsidP="00F31E57">
      <w:permStart w:id="98" w:edGrp="everyone"/>
      <w:r>
        <w:lastRenderedPageBreak/>
        <w:t>TYPE YOUR TEXT HERE</w:t>
      </w:r>
    </w:p>
    <w:permEnd w:id="98"/>
    <w:p w:rsidR="00F31E57" w:rsidRDefault="00F31E57" w:rsidP="00F31E57">
      <w:r>
        <w:t>&lt;ESMA_QUESTION_PRIIPs_90&gt;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To what extent do the principles and methodologies presented for funds in the case of on-going charges apply to life-insurance products?</w:t>
      </w:r>
    </w:p>
    <w:p w:rsidR="00F31E57" w:rsidRDefault="00F31E57" w:rsidP="00F31E57">
      <w:pPr>
        <w:rPr>
          <w:rFonts w:cstheme="minorBidi"/>
        </w:rPr>
      </w:pPr>
    </w:p>
    <w:p w:rsidR="00F31E57" w:rsidRDefault="00F31E57" w:rsidP="00F31E57">
      <w:r>
        <w:t>&lt;ESMA_QUESTION_PRIIPs_91&gt;</w:t>
      </w:r>
    </w:p>
    <w:p w:rsidR="006B465E" w:rsidRPr="002919FD" w:rsidRDefault="0048316E" w:rsidP="006B465E">
      <w:pPr>
        <w:jc w:val="both"/>
        <w:rPr>
          <w:rFonts w:cs="Arial"/>
        </w:rPr>
      </w:pPr>
      <w:permStart w:id="99" w:edGrp="everyone"/>
      <w:r w:rsidRPr="00A53DFD">
        <w:rPr>
          <w:rFonts w:cs="Arial"/>
        </w:rPr>
        <w:t xml:space="preserve">More similar to </w:t>
      </w:r>
      <w:r w:rsidR="006B465E" w:rsidRPr="00A53DFD">
        <w:rPr>
          <w:rFonts w:cs="Arial"/>
        </w:rPr>
        <w:t xml:space="preserve"> </w:t>
      </w:r>
      <w:r w:rsidR="00A53DFD" w:rsidRPr="00A53DFD">
        <w:rPr>
          <w:rFonts w:cs="Arial"/>
        </w:rPr>
        <w:t>Unit Linked</w:t>
      </w:r>
      <w:r w:rsidR="006B465E" w:rsidRPr="00A53DFD">
        <w:rPr>
          <w:rFonts w:cs="Arial"/>
        </w:rPr>
        <w:t xml:space="preserve"> </w:t>
      </w:r>
      <w:r w:rsidR="00A53DFD" w:rsidRPr="00A53DFD">
        <w:rPr>
          <w:rFonts w:cs="Arial"/>
        </w:rPr>
        <w:t>products than traditional saving products, but depending on how insurance costs are structured, some similarity could appear.</w:t>
      </w:r>
    </w:p>
    <w:permEnd w:id="99"/>
    <w:p w:rsidR="00F31E57" w:rsidRDefault="00F31E57" w:rsidP="00F31E57">
      <w:r>
        <w:t>&lt;ESMA_QUESTION_PRIIPs_91&gt;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i/>
        </w:rPr>
      </w:pPr>
      <w:r>
        <w:rPr>
          <w:rFonts w:cs="Arial"/>
        </w:rPr>
        <w:t>Do you think this methodology should be further detailed? To what extent do you think this methodology is appropriate and feasible (notably in terms of calibration of the model)? It might indeed be considered that valuation models for Solvency II us</w:t>
      </w:r>
      <w:r>
        <w:rPr>
          <w:rFonts w:cs="Arial"/>
        </w:rPr>
        <w:t>u</w:t>
      </w:r>
      <w:r>
        <w:rPr>
          <w:rFonts w:cs="Arial"/>
        </w:rPr>
        <w:t>ally are not likely to be designed for per contract calculations. Life insurers may r</w:t>
      </w:r>
      <w:r>
        <w:rPr>
          <w:rFonts w:cs="Arial"/>
        </w:rPr>
        <w:t>e</w:t>
      </w:r>
      <w:r>
        <w:rPr>
          <w:rFonts w:cs="Arial"/>
        </w:rPr>
        <w:t>strict the calculation of technical provisions in the Solvency II-Balance-Sheet to h</w:t>
      </w:r>
      <w:r>
        <w:rPr>
          <w:rFonts w:cs="Arial"/>
        </w:rPr>
        <w:t>o</w:t>
      </w:r>
      <w:r>
        <w:rPr>
          <w:rFonts w:cs="Arial"/>
        </w:rPr>
        <w:t xml:space="preserve">mogenous risk groups. Furthermore they are allowed to use simplified calculation methods if the error is immaterial at the portfolio level. As profit sharing mechanisms in many countries are applied on the company level and not on a per contract level, projected cash flows from future discretionary benefits will not easily be broken down on a per product or even a per contract basis with the existing Solvency II-Valuation-Models. </w:t>
      </w:r>
    </w:p>
    <w:p w:rsidR="00F31E57" w:rsidRDefault="00F31E57" w:rsidP="00F31E57">
      <w:pPr>
        <w:rPr>
          <w:rFonts w:cstheme="minorBidi"/>
        </w:rPr>
      </w:pPr>
    </w:p>
    <w:p w:rsidR="00F31E57" w:rsidRDefault="00F31E57" w:rsidP="00F31E57">
      <w:r>
        <w:t>&lt;ESMA_QUESTION_PRIIPs_92&gt;</w:t>
      </w:r>
    </w:p>
    <w:p w:rsidR="00A53DFD" w:rsidRPr="003E2E51" w:rsidRDefault="00A53DFD" w:rsidP="006B465E">
      <w:pPr>
        <w:jc w:val="both"/>
        <w:rPr>
          <w:rFonts w:cs="Arial"/>
        </w:rPr>
      </w:pPr>
      <w:permStart w:id="100" w:edGrp="everyone"/>
      <w:r w:rsidRPr="003E2E51">
        <w:rPr>
          <w:rFonts w:cs="Arial"/>
        </w:rPr>
        <w:t>Only costs with direct impact on premium or</w:t>
      </w:r>
      <w:r w:rsidR="003E2E51" w:rsidRPr="003E2E51">
        <w:rPr>
          <w:rFonts w:cs="Arial"/>
        </w:rPr>
        <w:t xml:space="preserve"> </w:t>
      </w:r>
      <w:r w:rsidRPr="003E2E51">
        <w:rPr>
          <w:rFonts w:cs="Arial"/>
        </w:rPr>
        <w:t>client</w:t>
      </w:r>
      <w:r w:rsidR="003E2E51" w:rsidRPr="003E2E51">
        <w:rPr>
          <w:rFonts w:cs="Arial"/>
        </w:rPr>
        <w:t>´s</w:t>
      </w:r>
      <w:r w:rsidRPr="003E2E51">
        <w:rPr>
          <w:rFonts w:cs="Arial"/>
        </w:rPr>
        <w:t xml:space="preserve"> </w:t>
      </w:r>
      <w:r w:rsidR="003E2E51" w:rsidRPr="003E2E51">
        <w:rPr>
          <w:rFonts w:cs="Arial"/>
        </w:rPr>
        <w:t>funds</w:t>
      </w:r>
      <w:r w:rsidRPr="003E2E51">
        <w:rPr>
          <w:rFonts w:cs="Arial"/>
        </w:rPr>
        <w:t xml:space="preserve"> should be disclosed.</w:t>
      </w:r>
    </w:p>
    <w:p w:rsidR="003E2E51" w:rsidRPr="003E2E51" w:rsidRDefault="003E2E51" w:rsidP="006B465E">
      <w:pPr>
        <w:jc w:val="both"/>
        <w:rPr>
          <w:rFonts w:cs="Arial"/>
        </w:rPr>
      </w:pPr>
      <w:r w:rsidRPr="003E2E51">
        <w:rPr>
          <w:rFonts w:cs="Arial"/>
        </w:rPr>
        <w:t>These costs already include required entity´s margins for capital, options...</w:t>
      </w:r>
    </w:p>
    <w:p w:rsidR="003E2E51" w:rsidRDefault="003E2E51" w:rsidP="00F31E57">
      <w:pPr>
        <w:rPr>
          <w:rFonts w:ascii="Calibri" w:hAnsi="Calibri" w:cs="Arial"/>
          <w:color w:val="006600"/>
        </w:rPr>
      </w:pPr>
      <w:r w:rsidRPr="003E2E51">
        <w:rPr>
          <w:rFonts w:cs="Arial"/>
        </w:rPr>
        <w:t>Is should be necessary to ensure an illustrative example is available to understand how they should be calculated and disclosed in a way consistency between entities is granted</w:t>
      </w:r>
      <w:r>
        <w:rPr>
          <w:rFonts w:ascii="Calibri" w:hAnsi="Calibri" w:cs="Arial"/>
          <w:color w:val="006600"/>
        </w:rPr>
        <w:t>.</w:t>
      </w:r>
    </w:p>
    <w:permEnd w:id="100"/>
    <w:p w:rsidR="00F31E57" w:rsidRDefault="00F31E57" w:rsidP="00F31E57">
      <w:r>
        <w:t>&lt;ESMA_QUESTION_PRIIPs_92&gt;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Do you identify any specific issue in relation to the implementation of the RIY a</w:t>
      </w:r>
      <w:r>
        <w:rPr>
          <w:rFonts w:cs="Arial"/>
        </w:rPr>
        <w:t>p</w:t>
      </w:r>
      <w:r>
        <w:rPr>
          <w:rFonts w:cs="Arial"/>
        </w:rPr>
        <w:t>proach to funds?</w:t>
      </w:r>
    </w:p>
    <w:p w:rsidR="00F31E57" w:rsidRDefault="00F31E57" w:rsidP="00F31E57">
      <w:pPr>
        <w:rPr>
          <w:rFonts w:cstheme="minorBidi"/>
        </w:rPr>
      </w:pPr>
    </w:p>
    <w:p w:rsidR="00F31E57" w:rsidRDefault="00F31E57" w:rsidP="00F31E57">
      <w:r>
        <w:t>&lt;ESMA_QUESTION_PRIIPs_93&gt;</w:t>
      </w:r>
    </w:p>
    <w:p w:rsidR="00F31E57" w:rsidRDefault="00F31E57" w:rsidP="00F31E57">
      <w:permStart w:id="101" w:edGrp="everyone"/>
      <w:r>
        <w:t>TYPE YOUR TEXT HERE</w:t>
      </w:r>
    </w:p>
    <w:permEnd w:id="101"/>
    <w:p w:rsidR="00F31E57" w:rsidRDefault="00F31E57" w:rsidP="00F31E57">
      <w:r>
        <w:t>&lt;ESMA_QUESTION_PRIIPs_93&gt;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t>In addition to the abovementioned issues and the issues raised in relation to TCR when applied to structured products, do you identify any other specific issue in rel</w:t>
      </w:r>
      <w:r>
        <w:rPr>
          <w:rFonts w:cs="Arial"/>
        </w:rPr>
        <w:t>a</w:t>
      </w:r>
      <w:r>
        <w:rPr>
          <w:rFonts w:cs="Arial"/>
        </w:rPr>
        <w:t>tion to the implementation of the RIY approach to structured products?</w:t>
      </w:r>
    </w:p>
    <w:p w:rsidR="00F31E57" w:rsidRDefault="00F31E57" w:rsidP="00F31E57">
      <w:pPr>
        <w:rPr>
          <w:rFonts w:cstheme="minorBidi"/>
        </w:rPr>
      </w:pPr>
    </w:p>
    <w:p w:rsidR="00F31E57" w:rsidRDefault="00F31E57" w:rsidP="00F31E57">
      <w:r>
        <w:t>&lt;ESMA_QUESTION_PRIIPs_94&gt;</w:t>
      </w:r>
    </w:p>
    <w:p w:rsidR="00746928" w:rsidRPr="00CF7C86" w:rsidRDefault="00746928" w:rsidP="00746928">
      <w:permStart w:id="102" w:edGrp="everyone"/>
      <w:r w:rsidRPr="00CF7C86">
        <w:t>In relation to the calculation of RIY in the case of structured products, there might be an issue regarding embedded costs and costs that are in fact a loss of opportunity for the investors (for instance dividends or lending fees that should accrue to the investment product but are taken by the manufacturer, or the value of goods or services that are given or rendered to the manufacturer).</w:t>
      </w:r>
    </w:p>
    <w:p w:rsidR="00746928" w:rsidRPr="00CF7C86" w:rsidRDefault="00746928" w:rsidP="00746928"/>
    <w:p w:rsidR="003640D0" w:rsidRPr="00CF7C86" w:rsidRDefault="00746928" w:rsidP="00CF7C86">
      <w:r w:rsidRPr="00CF7C86">
        <w:t xml:space="preserve">TCR should be considered, as RYI will be difficult to implement due the different scenarios that could appear in a structured product.  It must be taken into account derivatives prices could be considered as expected value for future scenarios, so a </w:t>
      </w:r>
      <w:r w:rsidR="00CF7C86" w:rsidRPr="00CF7C86">
        <w:t xml:space="preserve">RIY </w:t>
      </w:r>
      <w:r w:rsidR="007256E4" w:rsidRPr="00CF7C86">
        <w:t>should</w:t>
      </w:r>
      <w:r w:rsidR="00CF7C86" w:rsidRPr="00CF7C86">
        <w:t xml:space="preserve"> be calculated for each scenario</w:t>
      </w:r>
      <w:r w:rsidRPr="00CF7C86">
        <w:t xml:space="preserve"> </w:t>
      </w:r>
    </w:p>
    <w:permEnd w:id="102"/>
    <w:p w:rsidR="00F31E57" w:rsidRDefault="00F31E57" w:rsidP="00F31E57">
      <w:r>
        <w:t>&lt;ESMA_QUESTION_PRIIPs_94&gt;</w:t>
      </w:r>
    </w:p>
    <w:p w:rsid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Pr>
          <w:rFonts w:cs="Arial"/>
        </w:rPr>
        <w:lastRenderedPageBreak/>
        <w:t>Do you agree with the above-mentioned assessment? Should the calculation basis for returns be the net investment amount (i.e. costs deducted)? Do you identify specific issues in relation to the calculation per se of the cumulative effect of costs?</w:t>
      </w:r>
    </w:p>
    <w:p w:rsidR="00F31E57" w:rsidRDefault="00F31E57" w:rsidP="00F31E57">
      <w:pPr>
        <w:rPr>
          <w:rFonts w:cstheme="minorBidi"/>
        </w:rPr>
      </w:pPr>
    </w:p>
    <w:p w:rsidR="00F31E57" w:rsidRDefault="00F31E57" w:rsidP="00F31E57">
      <w:r>
        <w:t>&lt;ESMA_QUESTION_PRIIPs_95&gt;</w:t>
      </w:r>
    </w:p>
    <w:p w:rsidR="00042D33" w:rsidRDefault="00042D33" w:rsidP="00227E15">
      <w:permStart w:id="103" w:edGrp="everyone"/>
    </w:p>
    <w:p w:rsidR="006B465E" w:rsidRDefault="00227E15" w:rsidP="00227E15">
      <w:r w:rsidRPr="00A04A8D">
        <w:t>Early surrender behaviour should not be included in the cumulative effects of costs because it may have no impact at the individual level. All the performances should be calculating on the gross investment amount. Otherwise that would mislead clients when comparing among</w:t>
      </w:r>
      <w:r w:rsidR="00385219">
        <w:t xml:space="preserve"> products.</w:t>
      </w:r>
    </w:p>
    <w:p w:rsidR="00042D33" w:rsidRDefault="00042D33" w:rsidP="00227E15"/>
    <w:p w:rsidR="00042D33" w:rsidRPr="00042D33" w:rsidRDefault="00042D33" w:rsidP="00227E15">
      <w:pPr>
        <w:rPr>
          <w:lang w:val="es-ES"/>
        </w:rPr>
      </w:pPr>
    </w:p>
    <w:permEnd w:id="103"/>
    <w:p w:rsidR="00F31E57" w:rsidRDefault="00F31E57" w:rsidP="00F31E57">
      <w:r>
        <w:t>&lt;ESMA_QUESTION_PRIIPs_95&gt;</w:t>
      </w:r>
    </w:p>
    <w:p w:rsidR="00F31E57" w:rsidRP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sidRPr="00F31E57">
        <w:rPr>
          <w:rFonts w:cs="Arial"/>
        </w:rPr>
        <w:t>Is this the structure of a typical transaction? What costs impact the return available to purchasers of the product?</w:t>
      </w:r>
    </w:p>
    <w:p w:rsidR="00F31E57" w:rsidRDefault="00F31E57" w:rsidP="00F31E57">
      <w:pPr>
        <w:rPr>
          <w:rFonts w:cstheme="minorBidi"/>
        </w:rPr>
      </w:pPr>
    </w:p>
    <w:p w:rsidR="00F31E57" w:rsidRDefault="00F31E57" w:rsidP="00F31E57">
      <w:r>
        <w:t>&lt;ESMA_QUESTION_PRIIPs_96&gt;</w:t>
      </w:r>
    </w:p>
    <w:p w:rsidR="006216E2" w:rsidRPr="00342D35" w:rsidRDefault="006216E2" w:rsidP="00342D35">
      <w:pPr>
        <w:jc w:val="both"/>
        <w:rPr>
          <w:rFonts w:cs="Arial"/>
        </w:rPr>
      </w:pPr>
      <w:permStart w:id="104" w:edGrp="everyone"/>
      <w:r w:rsidRPr="00342D35">
        <w:rPr>
          <w:rFonts w:cs="Arial"/>
        </w:rPr>
        <w:t xml:space="preserve">Yes, this is the structure of a typical transaction. The costs with a possible impact on the return available to purchasers can be divided in general costs and costs per issuance. General costs include a.o. the costs necessary for the set-up of the SPV, its issuance programme and the annual update of the programme. These costs are payable to the SPV administrator, law firms, rating agencies, stock exchanges etc…. Costs per issuance depend highly on the type of structure issued, the amount issued, the term etc… and are payable to the SPV administrator, trustee, and in some issuances law firms, stock exchanges and rating agencies… Some of these costs are paid up front and others are running. </w:t>
      </w:r>
    </w:p>
    <w:p w:rsidR="006216E2" w:rsidRPr="006216E2" w:rsidRDefault="006216E2" w:rsidP="003640D0">
      <w:pPr>
        <w:rPr>
          <w:rFonts w:asciiTheme="minorHAnsi" w:hAnsiTheme="minorHAnsi"/>
          <w:iCs/>
          <w:color w:val="006600"/>
          <w:sz w:val="24"/>
        </w:rPr>
      </w:pPr>
    </w:p>
    <w:permEnd w:id="104"/>
    <w:p w:rsidR="00F31E57" w:rsidRDefault="00F31E57" w:rsidP="00F31E57">
      <w:r>
        <w:t>&lt;ESMA_QUESTION_PRIIPs_96&gt;</w:t>
      </w:r>
    </w:p>
    <w:p w:rsidR="00F31E57" w:rsidRP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sidRPr="00F31E57">
        <w:rPr>
          <w:rFonts w:cs="Arial"/>
        </w:rPr>
        <w:t>What costs impact the return paid on the products?</w:t>
      </w:r>
    </w:p>
    <w:p w:rsidR="00F31E57" w:rsidRDefault="00F31E57" w:rsidP="00F31E57">
      <w:pPr>
        <w:rPr>
          <w:rFonts w:cstheme="minorBidi"/>
        </w:rPr>
      </w:pPr>
    </w:p>
    <w:p w:rsidR="00F31E57" w:rsidRDefault="00F31E57" w:rsidP="00F31E57">
      <w:r>
        <w:t>&lt;ESMA_QUESTION_PRIIPs_97&gt;</w:t>
      </w:r>
    </w:p>
    <w:p w:rsidR="003640D0" w:rsidRPr="00342D35" w:rsidRDefault="006216E2" w:rsidP="003640D0">
      <w:pPr>
        <w:rPr>
          <w:rFonts w:cs="Arial"/>
          <w:szCs w:val="20"/>
        </w:rPr>
      </w:pPr>
      <w:permStart w:id="105" w:edGrp="everyone"/>
      <w:r w:rsidRPr="00342D35">
        <w:rPr>
          <w:rFonts w:cs="Arial"/>
          <w:szCs w:val="20"/>
        </w:rPr>
        <w:t>Please see our previous response. They impact the return paid on the products depending on the type of costs, structure of the issuance, return demanded by the investor and to the extent that they can be est</w:t>
      </w:r>
      <w:r w:rsidRPr="00342D35">
        <w:rPr>
          <w:rFonts w:cs="Arial"/>
          <w:szCs w:val="20"/>
        </w:rPr>
        <w:t>i</w:t>
      </w:r>
      <w:r w:rsidRPr="00342D35">
        <w:rPr>
          <w:rFonts w:cs="Arial"/>
          <w:szCs w:val="20"/>
        </w:rPr>
        <w:t>mated at forehand.</w:t>
      </w:r>
      <w:r w:rsidR="003640D0" w:rsidRPr="00342D35">
        <w:rPr>
          <w:rFonts w:cs="Arial"/>
          <w:iCs/>
          <w:szCs w:val="20"/>
        </w:rPr>
        <w:t>.</w:t>
      </w:r>
    </w:p>
    <w:permEnd w:id="105"/>
    <w:p w:rsidR="00F31E57" w:rsidRDefault="00F31E57" w:rsidP="00F31E57">
      <w:r>
        <w:t>&lt;ESMA_QUESTION_PRIIPs_97&gt;</w:t>
      </w:r>
    </w:p>
    <w:p w:rsidR="00F31E57" w:rsidRP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sidRPr="00F31E57">
        <w:rPr>
          <w:rFonts w:cs="Arial"/>
        </w:rPr>
        <w:t>What are the potential difficulties in calculating costs of an SPV investment using a TCR approach?</w:t>
      </w:r>
    </w:p>
    <w:p w:rsidR="00F31E57" w:rsidRDefault="00F31E57" w:rsidP="00F31E57">
      <w:pPr>
        <w:rPr>
          <w:rFonts w:cstheme="minorBidi"/>
        </w:rPr>
      </w:pPr>
    </w:p>
    <w:p w:rsidR="00F31E57" w:rsidRDefault="00F31E57" w:rsidP="00F31E57">
      <w:r>
        <w:t>&lt;ESMA_QUESTION_PRIIPs_98&gt;</w:t>
      </w:r>
    </w:p>
    <w:p w:rsidR="006216E2" w:rsidRPr="007256E4" w:rsidRDefault="006216E2" w:rsidP="007256E4">
      <w:pPr>
        <w:jc w:val="both"/>
        <w:rPr>
          <w:rFonts w:cs="Arial"/>
        </w:rPr>
      </w:pPr>
      <w:permStart w:id="106" w:edGrp="everyone"/>
      <w:r w:rsidRPr="007256E4">
        <w:rPr>
          <w:rFonts w:cs="Arial"/>
        </w:rPr>
        <w:t>As mentioned under question 96 and 97, costs and their predictability depend on amount and term of the issuance and type of issuance/structure. A TCR approach is generally difficult for structured issuances. For example certain structures redeem early if a predefined trigger condition is met (for example when index closes above certain threshold as defined in the issue terms). The final total costs of this issuance will then be different from the initially estimated costs, because the notes redeem prior to their scheduled maturity date. The costs per year will then be different as well.</w:t>
      </w:r>
    </w:p>
    <w:p w:rsidR="00342D35" w:rsidRPr="007256E4" w:rsidRDefault="00342D35" w:rsidP="007256E4">
      <w:pPr>
        <w:jc w:val="both"/>
        <w:rPr>
          <w:rFonts w:cs="Arial"/>
        </w:rPr>
      </w:pPr>
    </w:p>
    <w:p w:rsidR="003640D0" w:rsidRPr="002919FD" w:rsidRDefault="006216E2" w:rsidP="007256E4">
      <w:pPr>
        <w:pStyle w:val="HTMLconformatoprevio"/>
        <w:shd w:val="clear" w:color="auto" w:fill="FFFFFF"/>
        <w:jc w:val="both"/>
        <w:rPr>
          <w:rFonts w:ascii="Arial" w:hAnsi="Arial" w:cs="Arial"/>
          <w:iCs/>
          <w:sz w:val="24"/>
          <w:lang w:val="en-GB"/>
        </w:rPr>
      </w:pPr>
      <w:r w:rsidRPr="007256E4">
        <w:rPr>
          <w:rFonts w:ascii="Arial" w:hAnsi="Arial" w:cs="Arial"/>
          <w:lang w:val="en-GB"/>
        </w:rPr>
        <w:t xml:space="preserve">In case of amortizing issuances it will be difficult to calculate the cost in relation to the nominal amount. Another point is related to the general costs mentioned under question 96. Their impact on individual issuances from multi-issuance SPV´s depends on the final number of issuances of this SPV and the number of times a programme will be updated, all of this difficult to estimate at forehand.   </w:t>
      </w:r>
    </w:p>
    <w:permEnd w:id="106"/>
    <w:p w:rsidR="00F31E57" w:rsidRDefault="00F31E57" w:rsidP="00F31E57">
      <w:r>
        <w:t>&lt;ESMA_QUESTION_PRIIPs_98&gt;</w:t>
      </w:r>
    </w:p>
    <w:p w:rsidR="00F31E57" w:rsidRPr="00F31E57" w:rsidRDefault="00F31E57" w:rsidP="00F31E57">
      <w:pPr>
        <w:pStyle w:val="CPQuestions"/>
        <w:numPr>
          <w:ilvl w:val="0"/>
          <w:numId w:val="50"/>
        </w:numPr>
        <w:pBdr>
          <w:top w:val="single" w:sz="4" w:space="1" w:color="auto"/>
          <w:left w:val="single" w:sz="4" w:space="4" w:color="auto"/>
          <w:bottom w:val="single" w:sz="4" w:space="0" w:color="auto"/>
          <w:right w:val="single" w:sz="4" w:space="4" w:color="auto"/>
        </w:pBdr>
        <w:shd w:val="clear" w:color="auto" w:fill="D9D9D9"/>
        <w:tabs>
          <w:tab w:val="left" w:pos="1739"/>
        </w:tabs>
        <w:spacing w:before="240" w:after="0"/>
        <w:contextualSpacing/>
        <w:jc w:val="left"/>
        <w:rPr>
          <w:rFonts w:cs="Arial"/>
        </w:rPr>
      </w:pPr>
      <w:r w:rsidRPr="00F31E57">
        <w:rPr>
          <w:rFonts w:cs="Arial"/>
        </w:rPr>
        <w:lastRenderedPageBreak/>
        <w:t>What are the potential difficulties in calculating costs of an SPV investment using a RIY approach?</w:t>
      </w:r>
    </w:p>
    <w:p w:rsidR="00F31E57" w:rsidRDefault="00F31E57" w:rsidP="00F31E57">
      <w:pPr>
        <w:rPr>
          <w:rFonts w:cstheme="minorBidi"/>
        </w:rPr>
      </w:pPr>
    </w:p>
    <w:p w:rsidR="00F31E57" w:rsidRDefault="00F31E57" w:rsidP="00F31E57">
      <w:r>
        <w:t>&lt;ESMA_QUESTION_PRIIPs_99&gt;</w:t>
      </w:r>
    </w:p>
    <w:p w:rsidR="006216E2" w:rsidRPr="00342D35" w:rsidRDefault="006216E2" w:rsidP="006216E2">
      <w:pPr>
        <w:rPr>
          <w:rFonts w:cs="Arial"/>
        </w:rPr>
      </w:pPr>
      <w:permStart w:id="107" w:edGrp="everyone"/>
      <w:r w:rsidRPr="00342D35">
        <w:rPr>
          <w:rFonts w:cs="Arial"/>
        </w:rPr>
        <w:t>Please see our answers to question</w:t>
      </w:r>
      <w:r w:rsidR="003A03A7">
        <w:rPr>
          <w:rFonts w:cs="Arial"/>
        </w:rPr>
        <w:t>s</w:t>
      </w:r>
      <w:r w:rsidR="00342D35" w:rsidRPr="00342D35">
        <w:rPr>
          <w:rFonts w:cs="Arial"/>
        </w:rPr>
        <w:t xml:space="preserve"> 94</w:t>
      </w:r>
      <w:r w:rsidR="00042D33">
        <w:rPr>
          <w:rFonts w:cs="Arial"/>
        </w:rPr>
        <w:t xml:space="preserve"> and </w:t>
      </w:r>
      <w:r w:rsidRPr="00342D35">
        <w:rPr>
          <w:rFonts w:cs="Arial"/>
        </w:rPr>
        <w:t xml:space="preserve"> 98. Additionally, the difficulty to calculate the impact of these costs on the yield depends very much on the type of structure. For instance for a structure that pays a fixed or a floating rate it is easier to calculate this than for a structure that has a pay-off linked to an unde</w:t>
      </w:r>
      <w:r w:rsidRPr="00342D35">
        <w:rPr>
          <w:rFonts w:cs="Arial"/>
        </w:rPr>
        <w:t>r</w:t>
      </w:r>
      <w:r w:rsidRPr="00342D35">
        <w:rPr>
          <w:rFonts w:cs="Arial"/>
        </w:rPr>
        <w:t>lying index and is callable. In general, it is already difficult to calculate the right amount of costs of a sp</w:t>
      </w:r>
      <w:r w:rsidRPr="00342D35">
        <w:rPr>
          <w:rFonts w:cs="Arial"/>
        </w:rPr>
        <w:t>e</w:t>
      </w:r>
      <w:r w:rsidRPr="00342D35">
        <w:rPr>
          <w:rFonts w:cs="Arial"/>
        </w:rPr>
        <w:t xml:space="preserve">cific issuance. Applying this amount to a percentage of the nominal amount per year or the yield of a security will be more difficult for issuances with structured pay-offs. </w:t>
      </w:r>
    </w:p>
    <w:p w:rsidR="006216E2" w:rsidRPr="00342D35" w:rsidRDefault="006216E2" w:rsidP="003640D0">
      <w:pPr>
        <w:pStyle w:val="HTMLconformatoprevio"/>
        <w:shd w:val="clear" w:color="auto" w:fill="FFFFFF"/>
        <w:rPr>
          <w:rFonts w:ascii="Arial" w:hAnsi="Arial" w:cs="Arial"/>
          <w:sz w:val="24"/>
          <w:szCs w:val="24"/>
          <w:lang w:val="en-GB"/>
        </w:rPr>
      </w:pPr>
    </w:p>
    <w:permEnd w:id="107"/>
    <w:p w:rsidR="00F31E57" w:rsidRDefault="00F31E57" w:rsidP="00F31E57">
      <w:r>
        <w:t>&lt;ESMA_QUESTION_PRIIPs_99&gt;</w:t>
      </w:r>
    </w:p>
    <w:p w:rsidR="00F31E57" w:rsidRDefault="00F31E57" w:rsidP="00F31E57"/>
    <w:p w:rsidR="00F32462" w:rsidRDefault="00F32462" w:rsidP="00F31E57">
      <w:pPr>
        <w:pStyle w:val="CPQuestions"/>
        <w:numPr>
          <w:ilvl w:val="0"/>
          <w:numId w:val="0"/>
        </w:numPr>
        <w:rPr>
          <w:rFonts w:cs="Arial"/>
          <w:b w:val="0"/>
          <w:szCs w:val="22"/>
        </w:rPr>
      </w:pPr>
    </w:p>
    <w:sectPr w:rsidR="00F32462" w:rsidSect="00A8728B">
      <w:headerReference w:type="even" r:id="rId14"/>
      <w:headerReference w:type="first" r:id="rId15"/>
      <w:footerReference w:type="first" r:id="rId16"/>
      <w:pgSz w:w="11906" w:h="16838" w:code="9"/>
      <w:pgMar w:top="2410" w:right="1247" w:bottom="1135" w:left="124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C2D" w:rsidRDefault="00B81C2D">
      <w:r>
        <w:separator/>
      </w:r>
    </w:p>
    <w:p w:rsidR="00B81C2D" w:rsidRDefault="00B81C2D"/>
  </w:endnote>
  <w:endnote w:type="continuationSeparator" w:id="0">
    <w:p w:rsidR="00B81C2D" w:rsidRDefault="00B81C2D">
      <w:r>
        <w:continuationSeparator/>
      </w:r>
    </w:p>
    <w:p w:rsidR="00B81C2D" w:rsidRDefault="00B81C2D"/>
  </w:endnote>
  <w:endnote w:type="continuationNotice" w:id="1">
    <w:p w:rsidR="00B81C2D" w:rsidRDefault="00B81C2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sig w:usb0="00000000" w:usb1="00000000" w:usb2="00000000" w:usb3="00000000" w:csb0="0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BVA Office Light">
    <w:altName w:val="TypoSlabserif-Ligh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1248" w:tblpY="15820"/>
      <w:tblOverlap w:val="never"/>
      <w:tblW w:w="9412" w:type="dxa"/>
      <w:tblCellMar>
        <w:left w:w="0" w:type="dxa"/>
        <w:right w:w="0" w:type="dxa"/>
      </w:tblCellMar>
      <w:tblLook w:val="01E0"/>
    </w:tblPr>
    <w:tblGrid>
      <w:gridCol w:w="8460"/>
      <w:gridCol w:w="952"/>
    </w:tblGrid>
    <w:tr w:rsidR="00B81C2D" w:rsidRPr="00616B9B" w:rsidTr="00315E96">
      <w:trPr>
        <w:trHeight w:val="284"/>
      </w:trPr>
      <w:tc>
        <w:tcPr>
          <w:tcW w:w="8460" w:type="dxa"/>
        </w:tcPr>
        <w:p w:rsidR="00B81C2D" w:rsidRPr="00315E96" w:rsidRDefault="00B81C2D" w:rsidP="00315E96">
          <w:pPr>
            <w:pStyle w:val="00Footer"/>
            <w:rPr>
              <w:lang w:val="fr-FR"/>
            </w:rPr>
          </w:pPr>
        </w:p>
      </w:tc>
      <w:tc>
        <w:tcPr>
          <w:tcW w:w="952" w:type="dxa"/>
        </w:tcPr>
        <w:p w:rsidR="00B81C2D" w:rsidRPr="00616B9B" w:rsidRDefault="00741ADA" w:rsidP="002C5B2D">
          <w:pPr>
            <w:pStyle w:val="00aPagenumber"/>
            <w:rPr>
              <w:rFonts w:cs="Arial"/>
              <w:sz w:val="22"/>
              <w:szCs w:val="22"/>
            </w:rPr>
          </w:pPr>
          <w:r w:rsidRPr="00616B9B">
            <w:rPr>
              <w:rFonts w:cs="Arial"/>
              <w:sz w:val="22"/>
              <w:szCs w:val="22"/>
            </w:rPr>
            <w:fldChar w:fldCharType="begin"/>
          </w:r>
          <w:r w:rsidR="00B81C2D" w:rsidRPr="00616B9B">
            <w:rPr>
              <w:rFonts w:cs="Arial"/>
              <w:sz w:val="22"/>
              <w:szCs w:val="22"/>
            </w:rPr>
            <w:instrText xml:space="preserve"> PAGE </w:instrText>
          </w:r>
          <w:r w:rsidRPr="00616B9B">
            <w:rPr>
              <w:rFonts w:cs="Arial"/>
              <w:sz w:val="22"/>
              <w:szCs w:val="22"/>
            </w:rPr>
            <w:fldChar w:fldCharType="separate"/>
          </w:r>
          <w:r w:rsidR="00C23D5C">
            <w:rPr>
              <w:rFonts w:cs="Arial"/>
              <w:noProof/>
              <w:sz w:val="22"/>
              <w:szCs w:val="22"/>
            </w:rPr>
            <w:t>30</w:t>
          </w:r>
          <w:r w:rsidRPr="00616B9B">
            <w:rPr>
              <w:rFonts w:cs="Arial"/>
              <w:noProof/>
              <w:sz w:val="22"/>
              <w:szCs w:val="22"/>
            </w:rPr>
            <w:fldChar w:fldCharType="end"/>
          </w:r>
        </w:p>
      </w:tc>
    </w:tr>
  </w:tbl>
  <w:p w:rsidR="00B81C2D" w:rsidRDefault="00B81C2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2D" w:rsidRDefault="00B81C2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C2D" w:rsidRDefault="00B81C2D">
      <w:r>
        <w:separator/>
      </w:r>
    </w:p>
    <w:p w:rsidR="00B81C2D" w:rsidRDefault="00B81C2D"/>
  </w:footnote>
  <w:footnote w:type="continuationSeparator" w:id="0">
    <w:p w:rsidR="00B81C2D" w:rsidRDefault="00B81C2D">
      <w:r>
        <w:continuationSeparator/>
      </w:r>
    </w:p>
    <w:p w:rsidR="00B81C2D" w:rsidRDefault="00B81C2D"/>
  </w:footnote>
  <w:footnote w:type="continuationNotice" w:id="1">
    <w:p w:rsidR="00B81C2D" w:rsidRDefault="00B81C2D"/>
  </w:footnote>
  <w:footnote w:id="2">
    <w:p w:rsidR="00B81C2D" w:rsidRPr="00554E48" w:rsidRDefault="00B81C2D" w:rsidP="007E2302">
      <w:pPr>
        <w:pStyle w:val="Textonotapie"/>
        <w:rPr>
          <w:szCs w:val="16"/>
        </w:rPr>
      </w:pPr>
      <w:r w:rsidRPr="00554E48">
        <w:rPr>
          <w:rStyle w:val="Refdenotaalpie"/>
          <w:szCs w:val="16"/>
        </w:rPr>
        <w:footnoteRef/>
      </w:r>
      <w:r w:rsidRPr="00554E48">
        <w:rPr>
          <w:szCs w:val="16"/>
        </w:rPr>
        <w:t xml:space="preserve"> See </w:t>
      </w:r>
      <w:hyperlink r:id="rId1" w:history="1">
        <w:r w:rsidRPr="00554E48">
          <w:rPr>
            <w:rStyle w:val="Hipervnculo"/>
            <w:szCs w:val="16"/>
          </w:rPr>
          <w:t>https://eiopa.europa.eu/about-eiopa/legal-framework/public-access-to-documents/index.html</w:t>
        </w:r>
      </w:hyperlink>
      <w:r w:rsidRPr="00554E48">
        <w:rPr>
          <w:szCs w:val="16"/>
        </w:rPr>
        <w:t xml:space="preserve">. </w:t>
      </w:r>
    </w:p>
  </w:footnote>
  <w:footnote w:id="3">
    <w:p w:rsidR="00B81C2D" w:rsidRDefault="00B81C2D" w:rsidP="00F31E57">
      <w:pPr>
        <w:pStyle w:val="Textonotapie"/>
        <w:rPr>
          <w:szCs w:val="16"/>
        </w:rPr>
      </w:pPr>
      <w:r>
        <w:rPr>
          <w:rStyle w:val="Refdenotaalpie"/>
          <w:szCs w:val="16"/>
        </w:rPr>
        <w:footnoteRef/>
      </w:r>
      <w:r>
        <w:rPr>
          <w:szCs w:val="16"/>
        </w:rPr>
        <w:t xml:space="preserve"> </w:t>
      </w:r>
      <w:r>
        <w:rPr>
          <w:rFonts w:cs="Arial"/>
          <w:szCs w:val="16"/>
          <w:lang w:eastAsia="zh-TW"/>
        </w:rPr>
        <w:t xml:space="preserve">One could also argue that </w:t>
      </w:r>
      <w:r>
        <w:rPr>
          <w:rFonts w:cs="Arial"/>
          <w:szCs w:val="16"/>
        </w:rPr>
        <w:t>all fund managers either have their own dealing desk or sub-contract this to other dealing desks. Since the principle of Best Execution is paramount, the dealers should know the typical spread in the securities with which they deal.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2D" w:rsidRDefault="00B81C2D">
    <w:pPr>
      <w:pStyle w:val="Encabezado"/>
    </w:pPr>
    <w:r>
      <w:rPr>
        <w:noProof/>
        <w:lang w:val="es-ES" w:eastAsia="es-ES"/>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anchor>
      </w:drawing>
    </w:r>
    <w:r w:rsidR="00741ADA" w:rsidRPr="00741ADA">
      <w:rPr>
        <w:noProof/>
        <w:lang w:val="fr-FR" w:eastAsia="fr-FR"/>
      </w:rPr>
      <w:pict>
        <v:line id="Line 16" o:spid="_x0000_s12290" style="position:absolute;z-index:251656192;visibility:visible;mso-wrap-distance-left:3.17486mm;mso-wrap-distance-right:3.17486mm;mso-position-horizontal-relative:page;mso-position-vertical-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2D" w:rsidRDefault="00B81C2D" w:rsidP="00013CCE">
    <w:pPr>
      <w:pStyle w:val="Encabezado"/>
      <w:jc w:val="right"/>
    </w:pPr>
    <w:r>
      <w:rPr>
        <w:noProof/>
        <w:lang w:val="es-ES" w:eastAsia="es-ES"/>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04875"/>
                  </a:xfrm>
                  <a:prstGeom prst="rect">
                    <a:avLst/>
                  </a:prstGeom>
                  <a:noFill/>
                  <a:ln>
                    <a:noFill/>
                  </a:ln>
                </pic:spPr>
              </pic:pic>
            </a:graphicData>
          </a:graphic>
        </wp:anchor>
      </w:drawing>
    </w:r>
    <w:r>
      <w:rPr>
        <w:noProof/>
        <w:lang w:val="es-ES" w:eastAsia="es-ES"/>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6800850"/>
                  </a:xfrm>
                  <a:prstGeom prst="rect">
                    <a:avLst/>
                  </a:prstGeom>
                  <a:noFill/>
                  <a:ln>
                    <a:noFill/>
                  </a:ln>
                </pic:spPr>
              </pic:pic>
            </a:graphicData>
          </a:graphic>
        </wp:anchor>
      </w:drawing>
    </w: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2D" w:rsidRDefault="00B81C2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1248" w:tblpY="15820"/>
      <w:tblOverlap w:val="never"/>
      <w:tblW w:w="9412" w:type="dxa"/>
      <w:tblCellMar>
        <w:left w:w="0" w:type="dxa"/>
        <w:right w:w="0" w:type="dxa"/>
      </w:tblCellMar>
      <w:tblLook w:val="01E0"/>
    </w:tblPr>
    <w:tblGrid>
      <w:gridCol w:w="8460"/>
      <w:gridCol w:w="952"/>
    </w:tblGrid>
    <w:tr w:rsidR="00B81C2D" w:rsidRPr="002F4496" w:rsidTr="000C06C9">
      <w:trPr>
        <w:trHeight w:val="284"/>
      </w:trPr>
      <w:tc>
        <w:tcPr>
          <w:tcW w:w="8460" w:type="dxa"/>
        </w:tcPr>
        <w:p w:rsidR="00B81C2D" w:rsidRPr="000C3B6D" w:rsidRDefault="00B81C2D" w:rsidP="000C06C9">
          <w:pPr>
            <w:pStyle w:val="00Footer"/>
            <w:rPr>
              <w:lang w:val="fr-FR"/>
            </w:rPr>
          </w:pPr>
        </w:p>
      </w:tc>
      <w:tc>
        <w:tcPr>
          <w:tcW w:w="952" w:type="dxa"/>
        </w:tcPr>
        <w:p w:rsidR="00B81C2D" w:rsidRPr="00146B34" w:rsidRDefault="00B81C2D" w:rsidP="000C06C9">
          <w:pPr>
            <w:pStyle w:val="00aPagenumber"/>
            <w:rPr>
              <w:lang w:val="fr-FR"/>
            </w:rPr>
          </w:pPr>
        </w:p>
      </w:tc>
    </w:tr>
  </w:tbl>
  <w:p w:rsidR="00B81C2D" w:rsidRPr="00DB46C3" w:rsidRDefault="00B81C2D">
    <w:pPr>
      <w:rPr>
        <w:lang w:val="fr-FR"/>
      </w:rPr>
    </w:pPr>
  </w:p>
  <w:p w:rsidR="00B81C2D" w:rsidRPr="002F4496" w:rsidRDefault="00B81C2D">
    <w:pPr>
      <w:pStyle w:val="Encabezado"/>
      <w:rPr>
        <w:lang w:val="fr-FR"/>
      </w:rPr>
    </w:pPr>
  </w:p>
  <w:p w:rsidR="00B81C2D" w:rsidRPr="002F4496" w:rsidRDefault="00B81C2D" w:rsidP="000C06C9">
    <w:pPr>
      <w:pStyle w:val="Encabezado"/>
      <w:tabs>
        <w:tab w:val="clear" w:pos="4536"/>
        <w:tab w:val="clear" w:pos="9072"/>
        <w:tab w:val="left" w:pos="8227"/>
      </w:tabs>
      <w:rPr>
        <w:lang w:val="fr-FR"/>
      </w:rPr>
    </w:pPr>
  </w:p>
  <w:p w:rsidR="00B81C2D" w:rsidRPr="002F4496" w:rsidRDefault="00B81C2D" w:rsidP="000C06C9">
    <w:pPr>
      <w:pStyle w:val="Encabezado"/>
      <w:tabs>
        <w:tab w:val="clear" w:pos="4536"/>
        <w:tab w:val="clear" w:pos="9072"/>
        <w:tab w:val="left" w:pos="8227"/>
      </w:tabs>
      <w:rPr>
        <w:lang w:val="fr-FR"/>
      </w:rPr>
    </w:pPr>
  </w:p>
  <w:p w:rsidR="00B81C2D" w:rsidRPr="002F4496" w:rsidRDefault="00B81C2D">
    <w:pPr>
      <w:pStyle w:val="Encabezado"/>
      <w:rPr>
        <w:lang w:val="fr-FR"/>
      </w:rPr>
    </w:pPr>
  </w:p>
  <w:p w:rsidR="00B81C2D" w:rsidRPr="002F4496" w:rsidRDefault="00B81C2D">
    <w:pPr>
      <w:pStyle w:val="Encabezado"/>
      <w:rPr>
        <w:lang w:val="fr-FR"/>
      </w:rPr>
    </w:pPr>
  </w:p>
  <w:p w:rsidR="00B81C2D" w:rsidRPr="002F4496" w:rsidRDefault="00B81C2D">
    <w:pPr>
      <w:pStyle w:val="Encabezado"/>
      <w:rPr>
        <w:lang w:val="fr-FR"/>
      </w:rPr>
    </w:pPr>
  </w:p>
  <w:p w:rsidR="00B81C2D" w:rsidRPr="002F4496" w:rsidRDefault="00B81C2D">
    <w:pPr>
      <w:pStyle w:val="Encabezado"/>
      <w:rPr>
        <w:lang w:val="fr-FR"/>
      </w:rPr>
    </w:pPr>
  </w:p>
  <w:p w:rsidR="00B81C2D" w:rsidRPr="002F4496" w:rsidRDefault="00B81C2D">
    <w:pPr>
      <w:pStyle w:val="Encabezado"/>
      <w:rPr>
        <w:highlight w:val="yellow"/>
        <w:lang w:val="fr-FR"/>
      </w:rPr>
    </w:pPr>
  </w:p>
  <w:p w:rsidR="00B81C2D" w:rsidRDefault="00741ADA">
    <w:pPr>
      <w:pStyle w:val="Encabezado"/>
    </w:pPr>
    <w:r w:rsidRPr="00741ADA">
      <w:rPr>
        <w:noProof/>
        <w:lang w:val="fr-FR" w:eastAsia="fr-FR"/>
      </w:rPr>
      <w:pict>
        <v:line id="Straight Connector 138" o:spid="_x0000_s12289" style="position:absolute;z-index:251660288;visibility:visible;mso-wrap-distance-left:3.17497mm;mso-wrap-distance-right:3.17497mm;mso-position-horizontal-relative:page;mso-position-vertical-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w:r>
    <w:r w:rsidR="00B81C2D">
      <w:rPr>
        <w:noProof/>
        <w:lang w:val="es-ES" w:eastAsia="es-ES"/>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048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aconvietas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695FCA"/>
    <w:multiLevelType w:val="hybridMultilevel"/>
    <w:tmpl w:val="F61E68CA"/>
    <w:lvl w:ilvl="0" w:tplc="EA008C18">
      <w:start w:val="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nsid w:val="1DAE53C8"/>
    <w:multiLevelType w:val="multilevel"/>
    <w:tmpl w:val="ACFA87A8"/>
    <w:lvl w:ilvl="0">
      <w:start w:val="1"/>
      <w:numFmt w:val="decimal"/>
      <w:pStyle w:val="Textoindependiente"/>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4">
    <w:nsid w:val="3A841364"/>
    <w:multiLevelType w:val="hybridMultilevel"/>
    <w:tmpl w:val="21CCF614"/>
    <w:lvl w:ilvl="0" w:tplc="08090017">
      <w:start w:val="1"/>
      <w:numFmt w:val="lowerLetter"/>
      <w:pStyle w:val="Listaconvietas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6">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8">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9">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nsid w:val="4C7151D2"/>
    <w:multiLevelType w:val="hybridMultilevel"/>
    <w:tmpl w:val="DE90C632"/>
    <w:lvl w:ilvl="0" w:tplc="08090001">
      <w:start w:val="1"/>
      <w:numFmt w:val="bullet"/>
      <w:pStyle w:val="Listaconvietas"/>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nsid w:val="55DE60E9"/>
    <w:multiLevelType w:val="hybridMultilevel"/>
    <w:tmpl w:val="1084069A"/>
    <w:lvl w:ilvl="0" w:tplc="B532C018">
      <w:start w:val="2"/>
      <w:numFmt w:val="upperRoman"/>
      <w:pStyle w:val="Ttulo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7">
    <w:nsid w:val="58E8083C"/>
    <w:multiLevelType w:val="multilevel"/>
    <w:tmpl w:val="8E5A7C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5D7D5F27"/>
    <w:multiLevelType w:val="hybridMultilevel"/>
    <w:tmpl w:val="8D74388C"/>
    <w:lvl w:ilvl="0" w:tplc="285C982E">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1">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2">
    <w:nsid w:val="605735B9"/>
    <w:multiLevelType w:val="hybridMultilevel"/>
    <w:tmpl w:val="AD1C76E8"/>
    <w:lvl w:ilvl="0" w:tplc="6658B948">
      <w:start w:val="1"/>
      <w:numFmt w:val="decimal"/>
      <w:pStyle w:val="Ttulo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970F71"/>
    <w:multiLevelType w:val="singleLevel"/>
    <w:tmpl w:val="A8CADBFA"/>
    <w:name w:val="Bullet 0"/>
    <w:lvl w:ilvl="0">
      <w:start w:val="1"/>
      <w:numFmt w:val="bullet"/>
      <w:pStyle w:val="Listaconnmeros"/>
      <w:lvlText w:val="–"/>
      <w:lvlJc w:val="left"/>
      <w:pPr>
        <w:tabs>
          <w:tab w:val="num" w:pos="1417"/>
        </w:tabs>
        <w:ind w:left="1417" w:hanging="567"/>
      </w:pPr>
    </w:lvl>
  </w:abstractNum>
  <w:abstractNum w:abstractNumId="34">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6">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9144C"/>
    <w:multiLevelType w:val="hybridMultilevel"/>
    <w:tmpl w:val="ACF4907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1">
    <w:nsid w:val="7E3E5840"/>
    <w:multiLevelType w:val="hybridMultilevel"/>
    <w:tmpl w:val="1D663F1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6"/>
  </w:num>
  <w:num w:numId="2">
    <w:abstractNumId w:val="18"/>
  </w:num>
  <w:num w:numId="3">
    <w:abstractNumId w:val="12"/>
  </w:num>
  <w:num w:numId="4">
    <w:abstractNumId w:val="23"/>
  </w:num>
  <w:num w:numId="5">
    <w:abstractNumId w:val="25"/>
  </w:num>
  <w:num w:numId="6">
    <w:abstractNumId w:val="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2"/>
  </w:num>
  <w:num w:numId="14">
    <w:abstractNumId w:val="22"/>
  </w:num>
  <w:num w:numId="15">
    <w:abstractNumId w:val="11"/>
  </w:num>
  <w:num w:numId="16">
    <w:abstractNumId w:val="1"/>
  </w:num>
  <w:num w:numId="17">
    <w:abstractNumId w:val="14"/>
  </w:num>
  <w:num w:numId="18">
    <w:abstractNumId w:val="15"/>
  </w:num>
  <w:num w:numId="19">
    <w:abstractNumId w:val="17"/>
  </w:num>
  <w:num w:numId="20">
    <w:abstractNumId w:val="26"/>
  </w:num>
  <w:num w:numId="21">
    <w:abstractNumId w:val="38"/>
  </w:num>
  <w:num w:numId="22">
    <w:abstractNumId w:val="24"/>
  </w:num>
  <w:num w:numId="23">
    <w:abstractNumId w:val="10"/>
  </w:num>
  <w:num w:numId="24">
    <w:abstractNumId w:val="31"/>
  </w:num>
  <w:num w:numId="25">
    <w:abstractNumId w:val="30"/>
  </w:num>
  <w:num w:numId="26">
    <w:abstractNumId w:val="19"/>
  </w:num>
  <w:num w:numId="27">
    <w:abstractNumId w:val="34"/>
  </w:num>
  <w:num w:numId="28">
    <w:abstractNumId w:val="40"/>
  </w:num>
  <w:num w:numId="29">
    <w:abstractNumId w:val="8"/>
  </w:num>
  <w:num w:numId="30">
    <w:abstractNumId w:val="4"/>
  </w:num>
  <w:num w:numId="31">
    <w:abstractNumId w:val="21"/>
  </w:num>
  <w:num w:numId="32">
    <w:abstractNumId w:val="2"/>
  </w:num>
  <w:num w:numId="33">
    <w:abstractNumId w:val="7"/>
  </w:num>
  <w:num w:numId="34">
    <w:abstractNumId w:val="20"/>
  </w:num>
  <w:num w:numId="35">
    <w:abstractNumId w:val="36"/>
  </w:num>
  <w:num w:numId="36">
    <w:abstractNumId w:val="36"/>
    <w:lvlOverride w:ilvl="0">
      <w:startOverride w:val="1"/>
    </w:lvlOverride>
  </w:num>
  <w:num w:numId="37">
    <w:abstractNumId w:val="36"/>
    <w:lvlOverride w:ilvl="0">
      <w:startOverride w:val="1"/>
    </w:lvlOverride>
  </w:num>
  <w:num w:numId="38">
    <w:abstractNumId w:val="36"/>
    <w:lvlOverride w:ilvl="0">
      <w:startOverride w:val="1"/>
    </w:lvlOverride>
  </w:num>
  <w:num w:numId="39">
    <w:abstractNumId w:val="36"/>
    <w:lvlOverride w:ilvl="0">
      <w:startOverride w:val="1"/>
    </w:lvlOverride>
  </w:num>
  <w:num w:numId="40">
    <w:abstractNumId w:val="36"/>
    <w:lvlOverride w:ilvl="0">
      <w:startOverride w:val="1"/>
    </w:lvlOverride>
  </w:num>
  <w:num w:numId="41">
    <w:abstractNumId w:val="36"/>
  </w:num>
  <w:num w:numId="42">
    <w:abstractNumId w:val="36"/>
    <w:lvlOverride w:ilvl="0">
      <w:startOverride w:val="1"/>
    </w:lvlOverride>
  </w:num>
  <w:num w:numId="43">
    <w:abstractNumId w:val="36"/>
    <w:lvlOverride w:ilvl="0">
      <w:startOverride w:val="1"/>
    </w:lvlOverride>
  </w:num>
  <w:num w:numId="44">
    <w:abstractNumId w:val="36"/>
    <w:lvlOverride w:ilvl="0">
      <w:startOverride w:val="1"/>
    </w:lvlOverride>
  </w:num>
  <w:num w:numId="45">
    <w:abstractNumId w:val="36"/>
    <w:lvlOverride w:ilvl="0">
      <w:startOverride w:val="1"/>
    </w:lvlOverride>
  </w:num>
  <w:num w:numId="46">
    <w:abstractNumId w:val="36"/>
    <w:lvlOverride w:ilvl="0">
      <w:startOverride w:val="1"/>
    </w:lvlOverride>
  </w:num>
  <w:num w:numId="47">
    <w:abstractNumId w:val="35"/>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3"/>
  </w:num>
  <w:num w:numId="53">
    <w:abstractNumId w:val="41"/>
  </w:num>
  <w:num w:numId="54">
    <w:abstractNumId w:val="3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F01"/>
  <w:documentProtection w:edit="readOnly" w:enforcement="1" w:cryptProviderType="rsaFull" w:cryptAlgorithmClass="hash" w:cryptAlgorithmType="typeAny" w:cryptAlgorithmSid="4" w:cryptSpinCount="100000" w:hash="AKlUNSdqt1qdSJ/bXvACRVUEOFU=" w:salt="Sb/ILq8wkCk/surSLIht4A=="/>
  <w:defaultTabStop w:val="709"/>
  <w:autoHyphenation/>
  <w:hyphenationZone w:val="567"/>
  <w:characterSpacingControl w:val="doNotCompress"/>
  <w:hdrShapeDefaults>
    <o:shapedefaults v:ext="edit" spidmax="12291">
      <o:colormru v:ext="edit" colors="#2d4491,#283583"/>
    </o:shapedefaults>
    <o:shapelayout v:ext="edit">
      <o:idmap v:ext="edit" data="12"/>
    </o:shapelayout>
  </w:hdrShapeDefaults>
  <w:footnotePr>
    <w:footnote w:id="-1"/>
    <w:footnote w:id="0"/>
    <w:footnote w:id="1"/>
  </w:footnotePr>
  <w:endnotePr>
    <w:endnote w:id="-1"/>
    <w:endnote w:id="0"/>
    <w:endnote w:id="1"/>
  </w:endnotePr>
  <w:compat/>
  <w:rsids>
    <w:rsidRoot w:val="00A02370"/>
    <w:rsid w:val="000006AD"/>
    <w:rsid w:val="000008A3"/>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17F40"/>
    <w:rsid w:val="00020C44"/>
    <w:rsid w:val="00020D0F"/>
    <w:rsid w:val="000215EB"/>
    <w:rsid w:val="00021E83"/>
    <w:rsid w:val="00023713"/>
    <w:rsid w:val="00023C4D"/>
    <w:rsid w:val="00025E71"/>
    <w:rsid w:val="00026269"/>
    <w:rsid w:val="00027154"/>
    <w:rsid w:val="00027ECF"/>
    <w:rsid w:val="000303BE"/>
    <w:rsid w:val="00030D6D"/>
    <w:rsid w:val="0003209A"/>
    <w:rsid w:val="000344D6"/>
    <w:rsid w:val="00034960"/>
    <w:rsid w:val="00036FAE"/>
    <w:rsid w:val="00041858"/>
    <w:rsid w:val="00042D33"/>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2EE7"/>
    <w:rsid w:val="000636A1"/>
    <w:rsid w:val="0006445F"/>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346"/>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639"/>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91A"/>
    <w:rsid w:val="000C2B6A"/>
    <w:rsid w:val="000C2F88"/>
    <w:rsid w:val="000C55C8"/>
    <w:rsid w:val="000C57C4"/>
    <w:rsid w:val="000C5FD3"/>
    <w:rsid w:val="000C701D"/>
    <w:rsid w:val="000C7C4A"/>
    <w:rsid w:val="000D17AA"/>
    <w:rsid w:val="000D2D0B"/>
    <w:rsid w:val="000D340A"/>
    <w:rsid w:val="000D4660"/>
    <w:rsid w:val="000D705D"/>
    <w:rsid w:val="000D7EB9"/>
    <w:rsid w:val="000E0223"/>
    <w:rsid w:val="000E0CF3"/>
    <w:rsid w:val="000E18A8"/>
    <w:rsid w:val="000E1AEC"/>
    <w:rsid w:val="000E3937"/>
    <w:rsid w:val="000E4926"/>
    <w:rsid w:val="000E4A75"/>
    <w:rsid w:val="000E5F7F"/>
    <w:rsid w:val="000E7086"/>
    <w:rsid w:val="000E7C65"/>
    <w:rsid w:val="000E7F3F"/>
    <w:rsid w:val="000F04D2"/>
    <w:rsid w:val="000F55B7"/>
    <w:rsid w:val="000F604F"/>
    <w:rsid w:val="000F61EB"/>
    <w:rsid w:val="000F7399"/>
    <w:rsid w:val="001027F1"/>
    <w:rsid w:val="00104F2E"/>
    <w:rsid w:val="00106283"/>
    <w:rsid w:val="001072DD"/>
    <w:rsid w:val="00110D7A"/>
    <w:rsid w:val="00111464"/>
    <w:rsid w:val="0011167D"/>
    <w:rsid w:val="00112892"/>
    <w:rsid w:val="00112E48"/>
    <w:rsid w:val="001130EA"/>
    <w:rsid w:val="00114259"/>
    <w:rsid w:val="001162E0"/>
    <w:rsid w:val="001168B2"/>
    <w:rsid w:val="00117C20"/>
    <w:rsid w:val="00120F0E"/>
    <w:rsid w:val="00121BED"/>
    <w:rsid w:val="00123D39"/>
    <w:rsid w:val="001244CD"/>
    <w:rsid w:val="0012566F"/>
    <w:rsid w:val="001262B1"/>
    <w:rsid w:val="00130F41"/>
    <w:rsid w:val="00130FAF"/>
    <w:rsid w:val="00135EF0"/>
    <w:rsid w:val="00135F2B"/>
    <w:rsid w:val="001372DD"/>
    <w:rsid w:val="001405BA"/>
    <w:rsid w:val="00141497"/>
    <w:rsid w:val="0014253A"/>
    <w:rsid w:val="001425C8"/>
    <w:rsid w:val="001427E3"/>
    <w:rsid w:val="001431AE"/>
    <w:rsid w:val="00143B87"/>
    <w:rsid w:val="001459E3"/>
    <w:rsid w:val="00146A0B"/>
    <w:rsid w:val="0014761E"/>
    <w:rsid w:val="00151907"/>
    <w:rsid w:val="001544C8"/>
    <w:rsid w:val="00155FAB"/>
    <w:rsid w:val="001567A1"/>
    <w:rsid w:val="00156857"/>
    <w:rsid w:val="00157914"/>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3F"/>
    <w:rsid w:val="00175754"/>
    <w:rsid w:val="00176982"/>
    <w:rsid w:val="0017701C"/>
    <w:rsid w:val="00181264"/>
    <w:rsid w:val="00181BD1"/>
    <w:rsid w:val="0018204A"/>
    <w:rsid w:val="00182F7C"/>
    <w:rsid w:val="001843B5"/>
    <w:rsid w:val="00184CC3"/>
    <w:rsid w:val="00186829"/>
    <w:rsid w:val="001868CA"/>
    <w:rsid w:val="00187304"/>
    <w:rsid w:val="001875BE"/>
    <w:rsid w:val="0019017A"/>
    <w:rsid w:val="00190B8C"/>
    <w:rsid w:val="00190FF8"/>
    <w:rsid w:val="0019311A"/>
    <w:rsid w:val="0019508A"/>
    <w:rsid w:val="001960D8"/>
    <w:rsid w:val="001A1642"/>
    <w:rsid w:val="001A371B"/>
    <w:rsid w:val="001A4766"/>
    <w:rsid w:val="001A5E5C"/>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4DA"/>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4CE9"/>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2BBF"/>
    <w:rsid w:val="00214FB4"/>
    <w:rsid w:val="00215940"/>
    <w:rsid w:val="00215DBC"/>
    <w:rsid w:val="0021791F"/>
    <w:rsid w:val="00217C23"/>
    <w:rsid w:val="00220561"/>
    <w:rsid w:val="00220CE4"/>
    <w:rsid w:val="00222D9B"/>
    <w:rsid w:val="00223788"/>
    <w:rsid w:val="00223D11"/>
    <w:rsid w:val="002242D3"/>
    <w:rsid w:val="00227E15"/>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48E"/>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6064"/>
    <w:rsid w:val="002864A3"/>
    <w:rsid w:val="002867B1"/>
    <w:rsid w:val="00287BBB"/>
    <w:rsid w:val="00287E3B"/>
    <w:rsid w:val="00290638"/>
    <w:rsid w:val="00291763"/>
    <w:rsid w:val="002919FD"/>
    <w:rsid w:val="00291D80"/>
    <w:rsid w:val="00293156"/>
    <w:rsid w:val="00293BE7"/>
    <w:rsid w:val="002946DC"/>
    <w:rsid w:val="002A0C82"/>
    <w:rsid w:val="002A0CD8"/>
    <w:rsid w:val="002A13EB"/>
    <w:rsid w:val="002A35EF"/>
    <w:rsid w:val="002A3DE0"/>
    <w:rsid w:val="002A40EA"/>
    <w:rsid w:val="002A46E8"/>
    <w:rsid w:val="002A491C"/>
    <w:rsid w:val="002B08F3"/>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8F6"/>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D56"/>
    <w:rsid w:val="00317FC8"/>
    <w:rsid w:val="003223D7"/>
    <w:rsid w:val="00323D9F"/>
    <w:rsid w:val="00324FDB"/>
    <w:rsid w:val="00325F48"/>
    <w:rsid w:val="0033194F"/>
    <w:rsid w:val="00332304"/>
    <w:rsid w:val="00332406"/>
    <w:rsid w:val="00332D8D"/>
    <w:rsid w:val="00336B56"/>
    <w:rsid w:val="00341B25"/>
    <w:rsid w:val="00341EC0"/>
    <w:rsid w:val="0034240C"/>
    <w:rsid w:val="00342D35"/>
    <w:rsid w:val="00344496"/>
    <w:rsid w:val="00345968"/>
    <w:rsid w:val="00347667"/>
    <w:rsid w:val="00350368"/>
    <w:rsid w:val="003507E2"/>
    <w:rsid w:val="003522B2"/>
    <w:rsid w:val="0035455E"/>
    <w:rsid w:val="00354A6F"/>
    <w:rsid w:val="00354B48"/>
    <w:rsid w:val="00355789"/>
    <w:rsid w:val="003609B6"/>
    <w:rsid w:val="00361119"/>
    <w:rsid w:val="003640D0"/>
    <w:rsid w:val="0036538D"/>
    <w:rsid w:val="00365D12"/>
    <w:rsid w:val="0037018D"/>
    <w:rsid w:val="00372299"/>
    <w:rsid w:val="00372F02"/>
    <w:rsid w:val="00373729"/>
    <w:rsid w:val="003738B1"/>
    <w:rsid w:val="00373C91"/>
    <w:rsid w:val="003748F0"/>
    <w:rsid w:val="003755C6"/>
    <w:rsid w:val="00375AEF"/>
    <w:rsid w:val="00376367"/>
    <w:rsid w:val="00376B02"/>
    <w:rsid w:val="0037718E"/>
    <w:rsid w:val="0037733A"/>
    <w:rsid w:val="003776DC"/>
    <w:rsid w:val="003779C1"/>
    <w:rsid w:val="00380FEC"/>
    <w:rsid w:val="00381226"/>
    <w:rsid w:val="00381B1B"/>
    <w:rsid w:val="00381FF6"/>
    <w:rsid w:val="00383D7D"/>
    <w:rsid w:val="00384CCE"/>
    <w:rsid w:val="00385219"/>
    <w:rsid w:val="003865E5"/>
    <w:rsid w:val="003926C1"/>
    <w:rsid w:val="00392900"/>
    <w:rsid w:val="00393357"/>
    <w:rsid w:val="00395E7B"/>
    <w:rsid w:val="00395F4C"/>
    <w:rsid w:val="003A03A7"/>
    <w:rsid w:val="003A5DAC"/>
    <w:rsid w:val="003A6591"/>
    <w:rsid w:val="003A6E9A"/>
    <w:rsid w:val="003B08C8"/>
    <w:rsid w:val="003B2567"/>
    <w:rsid w:val="003B381A"/>
    <w:rsid w:val="003B4976"/>
    <w:rsid w:val="003B4B3F"/>
    <w:rsid w:val="003B5FAD"/>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5E4A"/>
    <w:rsid w:val="003D605E"/>
    <w:rsid w:val="003D61D1"/>
    <w:rsid w:val="003D6780"/>
    <w:rsid w:val="003D6FCB"/>
    <w:rsid w:val="003E0F84"/>
    <w:rsid w:val="003E1FF3"/>
    <w:rsid w:val="003E2E51"/>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33F0"/>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6A9E"/>
    <w:rsid w:val="00437929"/>
    <w:rsid w:val="00437A4A"/>
    <w:rsid w:val="00440541"/>
    <w:rsid w:val="0044162D"/>
    <w:rsid w:val="0044277A"/>
    <w:rsid w:val="004456DC"/>
    <w:rsid w:val="00447FBE"/>
    <w:rsid w:val="0045035E"/>
    <w:rsid w:val="0045175A"/>
    <w:rsid w:val="00451ED9"/>
    <w:rsid w:val="00452180"/>
    <w:rsid w:val="00453072"/>
    <w:rsid w:val="004532D7"/>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77C93"/>
    <w:rsid w:val="00477D77"/>
    <w:rsid w:val="0048104E"/>
    <w:rsid w:val="004814BB"/>
    <w:rsid w:val="004815DA"/>
    <w:rsid w:val="00482458"/>
    <w:rsid w:val="0048316E"/>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6"/>
    <w:rsid w:val="00494737"/>
    <w:rsid w:val="00494AE8"/>
    <w:rsid w:val="00494D5C"/>
    <w:rsid w:val="00495A6A"/>
    <w:rsid w:val="004964F6"/>
    <w:rsid w:val="00496821"/>
    <w:rsid w:val="00497750"/>
    <w:rsid w:val="00497B44"/>
    <w:rsid w:val="004A00E5"/>
    <w:rsid w:val="004A01A7"/>
    <w:rsid w:val="004A0D09"/>
    <w:rsid w:val="004A116E"/>
    <w:rsid w:val="004A357F"/>
    <w:rsid w:val="004A3DAD"/>
    <w:rsid w:val="004A558C"/>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A0D"/>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20B7"/>
    <w:rsid w:val="005532B5"/>
    <w:rsid w:val="00554A05"/>
    <w:rsid w:val="00555849"/>
    <w:rsid w:val="005559A8"/>
    <w:rsid w:val="00557048"/>
    <w:rsid w:val="00557FB5"/>
    <w:rsid w:val="00561AED"/>
    <w:rsid w:val="005648A8"/>
    <w:rsid w:val="00564DE3"/>
    <w:rsid w:val="00564E44"/>
    <w:rsid w:val="00566C6A"/>
    <w:rsid w:val="00566CE5"/>
    <w:rsid w:val="00566D36"/>
    <w:rsid w:val="00572DB9"/>
    <w:rsid w:val="00573569"/>
    <w:rsid w:val="00573871"/>
    <w:rsid w:val="0057389E"/>
    <w:rsid w:val="005765C0"/>
    <w:rsid w:val="005778DE"/>
    <w:rsid w:val="00580B3F"/>
    <w:rsid w:val="005825F2"/>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0F7"/>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1767C"/>
    <w:rsid w:val="00620D7C"/>
    <w:rsid w:val="00621089"/>
    <w:rsid w:val="006216E2"/>
    <w:rsid w:val="00621E1F"/>
    <w:rsid w:val="006228B2"/>
    <w:rsid w:val="006228E1"/>
    <w:rsid w:val="00622E32"/>
    <w:rsid w:val="00623688"/>
    <w:rsid w:val="006247E0"/>
    <w:rsid w:val="00625F82"/>
    <w:rsid w:val="00627999"/>
    <w:rsid w:val="00630FF7"/>
    <w:rsid w:val="00633433"/>
    <w:rsid w:val="006340A9"/>
    <w:rsid w:val="006341B5"/>
    <w:rsid w:val="006346C9"/>
    <w:rsid w:val="00634727"/>
    <w:rsid w:val="00634B64"/>
    <w:rsid w:val="0063578C"/>
    <w:rsid w:val="0063642C"/>
    <w:rsid w:val="0063681E"/>
    <w:rsid w:val="00636FF9"/>
    <w:rsid w:val="00640DCD"/>
    <w:rsid w:val="00641DC3"/>
    <w:rsid w:val="006425E4"/>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4FF0"/>
    <w:rsid w:val="00695F80"/>
    <w:rsid w:val="006966CD"/>
    <w:rsid w:val="00696735"/>
    <w:rsid w:val="0069780E"/>
    <w:rsid w:val="00697D13"/>
    <w:rsid w:val="006A2CA2"/>
    <w:rsid w:val="006B2D40"/>
    <w:rsid w:val="006B34DF"/>
    <w:rsid w:val="006B39B2"/>
    <w:rsid w:val="006B3AF9"/>
    <w:rsid w:val="006B45A0"/>
    <w:rsid w:val="006B465E"/>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67F7"/>
    <w:rsid w:val="00700247"/>
    <w:rsid w:val="00701051"/>
    <w:rsid w:val="007021C2"/>
    <w:rsid w:val="00702502"/>
    <w:rsid w:val="007033A8"/>
    <w:rsid w:val="0070421B"/>
    <w:rsid w:val="007043F0"/>
    <w:rsid w:val="0070482E"/>
    <w:rsid w:val="00704D25"/>
    <w:rsid w:val="00710519"/>
    <w:rsid w:val="00710CE7"/>
    <w:rsid w:val="00710F6E"/>
    <w:rsid w:val="00711663"/>
    <w:rsid w:val="007116B4"/>
    <w:rsid w:val="00712580"/>
    <w:rsid w:val="007133E4"/>
    <w:rsid w:val="00713788"/>
    <w:rsid w:val="00713940"/>
    <w:rsid w:val="00714A96"/>
    <w:rsid w:val="007151A2"/>
    <w:rsid w:val="00716774"/>
    <w:rsid w:val="007209DD"/>
    <w:rsid w:val="00721FD4"/>
    <w:rsid w:val="00722E49"/>
    <w:rsid w:val="00723A08"/>
    <w:rsid w:val="00723B5C"/>
    <w:rsid w:val="00724391"/>
    <w:rsid w:val="00724C18"/>
    <w:rsid w:val="007256E4"/>
    <w:rsid w:val="00726630"/>
    <w:rsid w:val="00727F73"/>
    <w:rsid w:val="00730705"/>
    <w:rsid w:val="00730944"/>
    <w:rsid w:val="0073248E"/>
    <w:rsid w:val="00733B38"/>
    <w:rsid w:val="00733EE9"/>
    <w:rsid w:val="00735B8E"/>
    <w:rsid w:val="0073673C"/>
    <w:rsid w:val="00736935"/>
    <w:rsid w:val="00741ADA"/>
    <w:rsid w:val="00743DE7"/>
    <w:rsid w:val="0074509E"/>
    <w:rsid w:val="00745B9F"/>
    <w:rsid w:val="00746928"/>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5918"/>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B7CE2"/>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302"/>
    <w:rsid w:val="007E3514"/>
    <w:rsid w:val="007E4AAA"/>
    <w:rsid w:val="007E4BD2"/>
    <w:rsid w:val="007E4C29"/>
    <w:rsid w:val="007E5E44"/>
    <w:rsid w:val="007F02B8"/>
    <w:rsid w:val="007F0DDA"/>
    <w:rsid w:val="007F1939"/>
    <w:rsid w:val="007F365C"/>
    <w:rsid w:val="007F5066"/>
    <w:rsid w:val="007F5D2A"/>
    <w:rsid w:val="007F621C"/>
    <w:rsid w:val="007F7155"/>
    <w:rsid w:val="00800C28"/>
    <w:rsid w:val="0080245E"/>
    <w:rsid w:val="00802B95"/>
    <w:rsid w:val="00802CD6"/>
    <w:rsid w:val="00803480"/>
    <w:rsid w:val="00803516"/>
    <w:rsid w:val="0080359C"/>
    <w:rsid w:val="008037AE"/>
    <w:rsid w:val="008043F4"/>
    <w:rsid w:val="00804BB4"/>
    <w:rsid w:val="00805D9F"/>
    <w:rsid w:val="00807A4D"/>
    <w:rsid w:val="00807F30"/>
    <w:rsid w:val="008103DC"/>
    <w:rsid w:val="0081119F"/>
    <w:rsid w:val="0081134D"/>
    <w:rsid w:val="00811EDA"/>
    <w:rsid w:val="00812403"/>
    <w:rsid w:val="00812FD7"/>
    <w:rsid w:val="0081541E"/>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37443"/>
    <w:rsid w:val="00840477"/>
    <w:rsid w:val="0084121D"/>
    <w:rsid w:val="008419C1"/>
    <w:rsid w:val="00844515"/>
    <w:rsid w:val="0084465A"/>
    <w:rsid w:val="00844DFF"/>
    <w:rsid w:val="00845D87"/>
    <w:rsid w:val="00846C3A"/>
    <w:rsid w:val="00847775"/>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3D1E"/>
    <w:rsid w:val="0089442C"/>
    <w:rsid w:val="00895818"/>
    <w:rsid w:val="008A2343"/>
    <w:rsid w:val="008A2585"/>
    <w:rsid w:val="008A2718"/>
    <w:rsid w:val="008A4CF6"/>
    <w:rsid w:val="008A4E42"/>
    <w:rsid w:val="008A51AA"/>
    <w:rsid w:val="008A6A12"/>
    <w:rsid w:val="008B0DC6"/>
    <w:rsid w:val="008B2B9E"/>
    <w:rsid w:val="008B31F5"/>
    <w:rsid w:val="008B4C79"/>
    <w:rsid w:val="008B5D2D"/>
    <w:rsid w:val="008B6361"/>
    <w:rsid w:val="008B6FEB"/>
    <w:rsid w:val="008C0320"/>
    <w:rsid w:val="008C2A81"/>
    <w:rsid w:val="008C3863"/>
    <w:rsid w:val="008C4BDC"/>
    <w:rsid w:val="008C50FF"/>
    <w:rsid w:val="008C5435"/>
    <w:rsid w:val="008C6BD1"/>
    <w:rsid w:val="008D2BF1"/>
    <w:rsid w:val="008D2DB5"/>
    <w:rsid w:val="008D3F10"/>
    <w:rsid w:val="008D611D"/>
    <w:rsid w:val="008D775B"/>
    <w:rsid w:val="008E1B6A"/>
    <w:rsid w:val="008E1E20"/>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197"/>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2AEC"/>
    <w:rsid w:val="00974881"/>
    <w:rsid w:val="0097606C"/>
    <w:rsid w:val="009771D1"/>
    <w:rsid w:val="0098012D"/>
    <w:rsid w:val="00980845"/>
    <w:rsid w:val="00981BD9"/>
    <w:rsid w:val="0098225F"/>
    <w:rsid w:val="00983A3C"/>
    <w:rsid w:val="00983EFA"/>
    <w:rsid w:val="00984C15"/>
    <w:rsid w:val="009871CE"/>
    <w:rsid w:val="00987829"/>
    <w:rsid w:val="00991276"/>
    <w:rsid w:val="009923E7"/>
    <w:rsid w:val="00992697"/>
    <w:rsid w:val="00992D4E"/>
    <w:rsid w:val="00994621"/>
    <w:rsid w:val="009947F0"/>
    <w:rsid w:val="009947FF"/>
    <w:rsid w:val="0099544B"/>
    <w:rsid w:val="009A07A6"/>
    <w:rsid w:val="009A0D56"/>
    <w:rsid w:val="009A31B9"/>
    <w:rsid w:val="009A4D4F"/>
    <w:rsid w:val="009A53D8"/>
    <w:rsid w:val="009A597F"/>
    <w:rsid w:val="009A66CD"/>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A8D"/>
    <w:rsid w:val="00A04C57"/>
    <w:rsid w:val="00A06340"/>
    <w:rsid w:val="00A0677D"/>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4C54"/>
    <w:rsid w:val="00A4572B"/>
    <w:rsid w:val="00A46246"/>
    <w:rsid w:val="00A46349"/>
    <w:rsid w:val="00A46D5E"/>
    <w:rsid w:val="00A50847"/>
    <w:rsid w:val="00A512C7"/>
    <w:rsid w:val="00A51A09"/>
    <w:rsid w:val="00A53DFD"/>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75C"/>
    <w:rsid w:val="00A74F9F"/>
    <w:rsid w:val="00A750B3"/>
    <w:rsid w:val="00A75559"/>
    <w:rsid w:val="00A7623D"/>
    <w:rsid w:val="00A766D4"/>
    <w:rsid w:val="00A824A7"/>
    <w:rsid w:val="00A83644"/>
    <w:rsid w:val="00A83AA9"/>
    <w:rsid w:val="00A83C07"/>
    <w:rsid w:val="00A83F40"/>
    <w:rsid w:val="00A84945"/>
    <w:rsid w:val="00A85543"/>
    <w:rsid w:val="00A8728B"/>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6C51"/>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BD4"/>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19EC"/>
    <w:rsid w:val="00B420CB"/>
    <w:rsid w:val="00B4401C"/>
    <w:rsid w:val="00B44802"/>
    <w:rsid w:val="00B455D1"/>
    <w:rsid w:val="00B46135"/>
    <w:rsid w:val="00B472AB"/>
    <w:rsid w:val="00B47CE4"/>
    <w:rsid w:val="00B503A8"/>
    <w:rsid w:val="00B5121D"/>
    <w:rsid w:val="00B524BB"/>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1C2D"/>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316"/>
    <w:rsid w:val="00BA24F8"/>
    <w:rsid w:val="00BA31AA"/>
    <w:rsid w:val="00BA3476"/>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C7D0E"/>
    <w:rsid w:val="00BD0F35"/>
    <w:rsid w:val="00BD45A4"/>
    <w:rsid w:val="00BD4A5F"/>
    <w:rsid w:val="00BD59AA"/>
    <w:rsid w:val="00BD65E6"/>
    <w:rsid w:val="00BD6AF7"/>
    <w:rsid w:val="00BE19EF"/>
    <w:rsid w:val="00BE397C"/>
    <w:rsid w:val="00BE425B"/>
    <w:rsid w:val="00BE51BB"/>
    <w:rsid w:val="00BE7595"/>
    <w:rsid w:val="00BE77D3"/>
    <w:rsid w:val="00BF0138"/>
    <w:rsid w:val="00BF114B"/>
    <w:rsid w:val="00BF1620"/>
    <w:rsid w:val="00BF1AC3"/>
    <w:rsid w:val="00BF373A"/>
    <w:rsid w:val="00BF557C"/>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1E2"/>
    <w:rsid w:val="00C1330F"/>
    <w:rsid w:val="00C13ED7"/>
    <w:rsid w:val="00C14615"/>
    <w:rsid w:val="00C14F48"/>
    <w:rsid w:val="00C15296"/>
    <w:rsid w:val="00C16CA9"/>
    <w:rsid w:val="00C17750"/>
    <w:rsid w:val="00C2094B"/>
    <w:rsid w:val="00C20DC5"/>
    <w:rsid w:val="00C2294E"/>
    <w:rsid w:val="00C22A5B"/>
    <w:rsid w:val="00C23412"/>
    <w:rsid w:val="00C23D5C"/>
    <w:rsid w:val="00C264C7"/>
    <w:rsid w:val="00C271C4"/>
    <w:rsid w:val="00C274F3"/>
    <w:rsid w:val="00C30A54"/>
    <w:rsid w:val="00C316F7"/>
    <w:rsid w:val="00C31DF0"/>
    <w:rsid w:val="00C32BB0"/>
    <w:rsid w:val="00C33916"/>
    <w:rsid w:val="00C33BCF"/>
    <w:rsid w:val="00C353A0"/>
    <w:rsid w:val="00C368D7"/>
    <w:rsid w:val="00C36FD1"/>
    <w:rsid w:val="00C371A5"/>
    <w:rsid w:val="00C400B0"/>
    <w:rsid w:val="00C413FC"/>
    <w:rsid w:val="00C41524"/>
    <w:rsid w:val="00C4291D"/>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94F8E"/>
    <w:rsid w:val="00CA012C"/>
    <w:rsid w:val="00CA0AA6"/>
    <w:rsid w:val="00CA2897"/>
    <w:rsid w:val="00CA44F3"/>
    <w:rsid w:val="00CA582C"/>
    <w:rsid w:val="00CA6077"/>
    <w:rsid w:val="00CA715B"/>
    <w:rsid w:val="00CA7988"/>
    <w:rsid w:val="00CA7BA2"/>
    <w:rsid w:val="00CB0B78"/>
    <w:rsid w:val="00CB12A5"/>
    <w:rsid w:val="00CB17FA"/>
    <w:rsid w:val="00CB2067"/>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3D1B"/>
    <w:rsid w:val="00CD4EB0"/>
    <w:rsid w:val="00CD512D"/>
    <w:rsid w:val="00CD5831"/>
    <w:rsid w:val="00CD6F6E"/>
    <w:rsid w:val="00CE1563"/>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86"/>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548A"/>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7D8"/>
    <w:rsid w:val="00DB2BDD"/>
    <w:rsid w:val="00DB4121"/>
    <w:rsid w:val="00DB46C3"/>
    <w:rsid w:val="00DB5742"/>
    <w:rsid w:val="00DB5EDF"/>
    <w:rsid w:val="00DB6C46"/>
    <w:rsid w:val="00DB72B8"/>
    <w:rsid w:val="00DB770F"/>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160E"/>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47ADF"/>
    <w:rsid w:val="00E50317"/>
    <w:rsid w:val="00E50797"/>
    <w:rsid w:val="00E50FB7"/>
    <w:rsid w:val="00E51700"/>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6AE"/>
    <w:rsid w:val="00E82ECE"/>
    <w:rsid w:val="00E8713B"/>
    <w:rsid w:val="00E90C61"/>
    <w:rsid w:val="00E92A82"/>
    <w:rsid w:val="00E92AA8"/>
    <w:rsid w:val="00E9344E"/>
    <w:rsid w:val="00E93E39"/>
    <w:rsid w:val="00E94391"/>
    <w:rsid w:val="00E951DB"/>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4B0"/>
    <w:rsid w:val="00EB6CB7"/>
    <w:rsid w:val="00EC078B"/>
    <w:rsid w:val="00EC07A0"/>
    <w:rsid w:val="00EC08E4"/>
    <w:rsid w:val="00EC3CB4"/>
    <w:rsid w:val="00EC443E"/>
    <w:rsid w:val="00EC4D83"/>
    <w:rsid w:val="00EC4EEE"/>
    <w:rsid w:val="00EC634F"/>
    <w:rsid w:val="00EC7A71"/>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0D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209"/>
    <w:rsid w:val="00F30BC9"/>
    <w:rsid w:val="00F31E57"/>
    <w:rsid w:val="00F32462"/>
    <w:rsid w:val="00F32FF7"/>
    <w:rsid w:val="00F33EDE"/>
    <w:rsid w:val="00F3568B"/>
    <w:rsid w:val="00F377CD"/>
    <w:rsid w:val="00F4021C"/>
    <w:rsid w:val="00F40C3B"/>
    <w:rsid w:val="00F40CE0"/>
    <w:rsid w:val="00F42DBC"/>
    <w:rsid w:val="00F4308D"/>
    <w:rsid w:val="00F44012"/>
    <w:rsid w:val="00F44947"/>
    <w:rsid w:val="00F458EF"/>
    <w:rsid w:val="00F45BCD"/>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310"/>
    <w:rsid w:val="00F739D4"/>
    <w:rsid w:val="00F77D43"/>
    <w:rsid w:val="00F80953"/>
    <w:rsid w:val="00F81312"/>
    <w:rsid w:val="00F81B90"/>
    <w:rsid w:val="00F81E6F"/>
    <w:rsid w:val="00F82FF3"/>
    <w:rsid w:val="00F831A2"/>
    <w:rsid w:val="00F8453C"/>
    <w:rsid w:val="00F84D4C"/>
    <w:rsid w:val="00F8657D"/>
    <w:rsid w:val="00F8730F"/>
    <w:rsid w:val="00F877F3"/>
    <w:rsid w:val="00F87DA3"/>
    <w:rsid w:val="00F90004"/>
    <w:rsid w:val="00F90EF4"/>
    <w:rsid w:val="00F917BF"/>
    <w:rsid w:val="00F920B4"/>
    <w:rsid w:val="00F9260D"/>
    <w:rsid w:val="00F92727"/>
    <w:rsid w:val="00F93CCF"/>
    <w:rsid w:val="00F94307"/>
    <w:rsid w:val="00F94CC8"/>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C7841"/>
    <w:rsid w:val="00FD13EA"/>
    <w:rsid w:val="00FD5EC4"/>
    <w:rsid w:val="00FD7858"/>
    <w:rsid w:val="00FD7A8D"/>
    <w:rsid w:val="00FE1330"/>
    <w:rsid w:val="00FE1CE5"/>
    <w:rsid w:val="00FE2832"/>
    <w:rsid w:val="00FE2D38"/>
    <w:rsid w:val="00FE3929"/>
    <w:rsid w:val="00FF097B"/>
    <w:rsid w:val="00FF0B6E"/>
    <w:rsid w:val="00FF1C1B"/>
    <w:rsid w:val="00FF204C"/>
    <w:rsid w:val="00FF2067"/>
    <w:rsid w:val="00FF3BC4"/>
    <w:rsid w:val="00FF4B66"/>
    <w:rsid w:val="00FF688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1">
      <o:colormru v:ext="edit" colors="#2d4491,#28358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Ttulo1">
    <w:name w:val="heading 1"/>
    <w:basedOn w:val="Normal"/>
    <w:next w:val="Normal"/>
    <w:link w:val="Ttulo1Car"/>
    <w:qFormat/>
    <w:rsid w:val="009E7724"/>
    <w:pPr>
      <w:keepNext/>
      <w:numPr>
        <w:numId w:val="5"/>
      </w:numPr>
      <w:spacing w:before="240" w:after="60"/>
      <w:outlineLvl w:val="0"/>
    </w:pPr>
    <w:rPr>
      <w:rFonts w:cs="Arial"/>
      <w:b/>
      <w:bCs/>
      <w:kern w:val="32"/>
      <w:sz w:val="24"/>
      <w:szCs w:val="32"/>
    </w:rPr>
  </w:style>
  <w:style w:type="paragraph" w:styleId="Ttulo2">
    <w:name w:val="heading 2"/>
    <w:basedOn w:val="Normal"/>
    <w:next w:val="Normal"/>
    <w:link w:val="Ttulo2Car"/>
    <w:qFormat/>
    <w:rsid w:val="00886A60"/>
    <w:pPr>
      <w:keepNext/>
      <w:keepLines/>
      <w:spacing w:before="200" w:after="120"/>
      <w:outlineLvl w:val="1"/>
    </w:pPr>
    <w:rPr>
      <w:b/>
      <w:bCs/>
      <w:szCs w:val="26"/>
    </w:rPr>
  </w:style>
  <w:style w:type="paragraph" w:styleId="Ttulo3">
    <w:name w:val="heading 3"/>
    <w:basedOn w:val="Normal"/>
    <w:next w:val="Normal"/>
    <w:link w:val="Ttulo3Car"/>
    <w:qFormat/>
    <w:rsid w:val="003865E5"/>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Ttulo5">
    <w:name w:val="heading 5"/>
    <w:aliases w:val="Questions"/>
    <w:basedOn w:val="Normal"/>
    <w:next w:val="Normal"/>
    <w:link w:val="Ttulo5Car"/>
    <w:qFormat/>
    <w:rsid w:val="00E9344E"/>
    <w:pPr>
      <w:keepNext/>
      <w:keepLines/>
      <w:numPr>
        <w:numId w:val="13"/>
      </w:numPr>
      <w:spacing w:before="200"/>
      <w:jc w:val="both"/>
      <w:outlineLvl w:val="4"/>
    </w:pPr>
    <w:rPr>
      <w:b/>
    </w:rPr>
  </w:style>
  <w:style w:type="paragraph" w:styleId="Ttulo6">
    <w:name w:val="heading 6"/>
    <w:basedOn w:val="Normal"/>
    <w:next w:val="Normal"/>
    <w:link w:val="Ttulo6Car"/>
    <w:qFormat/>
    <w:rsid w:val="003609B6"/>
    <w:pPr>
      <w:numPr>
        <w:ilvl w:val="5"/>
        <w:numId w:val="4"/>
      </w:numPr>
      <w:spacing w:before="240" w:after="60"/>
      <w:outlineLvl w:val="5"/>
    </w:pPr>
    <w:rPr>
      <w:rFonts w:ascii="Times New Roman" w:hAnsi="Times New Roman"/>
      <w:b/>
      <w:bCs/>
      <w:szCs w:val="22"/>
    </w:rPr>
  </w:style>
  <w:style w:type="paragraph" w:styleId="Ttulo7">
    <w:name w:val="heading 7"/>
    <w:basedOn w:val="Normal"/>
    <w:next w:val="Normal"/>
    <w:link w:val="Ttulo7Car"/>
    <w:unhideWhenUsed/>
    <w:qFormat/>
    <w:rsid w:val="002D6E1A"/>
    <w:pPr>
      <w:spacing w:before="240" w:after="60"/>
      <w:ind w:left="1296" w:hanging="1296"/>
      <w:outlineLvl w:val="6"/>
    </w:pPr>
    <w:rPr>
      <w:rFonts w:ascii="Times New Roman" w:hAnsi="Times New Roman"/>
    </w:rPr>
  </w:style>
  <w:style w:type="paragraph" w:styleId="Ttulo8">
    <w:name w:val="heading 8"/>
    <w:basedOn w:val="Normal"/>
    <w:next w:val="Normal"/>
    <w:link w:val="Ttulo8Car"/>
    <w:qFormat/>
    <w:rsid w:val="003609B6"/>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qFormat/>
    <w:rsid w:val="00A06867"/>
    <w:pPr>
      <w:tabs>
        <w:tab w:val="num" w:pos="1584"/>
      </w:tabs>
      <w:spacing w:before="240" w:after="60"/>
      <w:ind w:left="1584" w:hanging="1584"/>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B64CB"/>
    <w:pPr>
      <w:tabs>
        <w:tab w:val="center" w:pos="4536"/>
        <w:tab w:val="right" w:pos="9072"/>
      </w:tabs>
    </w:pPr>
  </w:style>
  <w:style w:type="paragraph" w:styleId="Piedepgina">
    <w:name w:val="footer"/>
    <w:basedOn w:val="Normal"/>
    <w:link w:val="PiedepginaCar"/>
    <w:rsid w:val="005B64CB"/>
    <w:pPr>
      <w:tabs>
        <w:tab w:val="center" w:pos="4536"/>
        <w:tab w:val="right" w:pos="9072"/>
      </w:tabs>
    </w:pPr>
  </w:style>
  <w:style w:type="table" w:styleId="Tablaconcuadrcula">
    <w:name w:val="Table Grid"/>
    <w:basedOn w:val="Tablanormal"/>
    <w:rsid w:val="00652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Nmerodepgina">
    <w:name w:val="page number"/>
    <w:basedOn w:val="Fuentedeprrafopredeter"/>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D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ipervnculo">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Textonotapie">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TextonotapieCar"/>
    <w:uiPriority w:val="99"/>
    <w:qFormat/>
    <w:rsid w:val="001725A5"/>
    <w:pPr>
      <w:spacing w:line="200" w:lineRule="exact"/>
    </w:pPr>
    <w:rPr>
      <w:sz w:val="16"/>
      <w:szCs w:val="20"/>
    </w:rPr>
  </w:style>
  <w:style w:type="character" w:styleId="Refdenotaalpi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D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Refdecomentario">
    <w:name w:val="annotation reference"/>
    <w:rsid w:val="004B1E61"/>
    <w:rPr>
      <w:sz w:val="16"/>
      <w:szCs w:val="16"/>
    </w:rPr>
  </w:style>
  <w:style w:type="paragraph" w:styleId="Textocomentario">
    <w:name w:val="annotation text"/>
    <w:basedOn w:val="Normal"/>
    <w:link w:val="TextocomentarioCar"/>
    <w:rsid w:val="004B1E61"/>
    <w:rPr>
      <w:szCs w:val="20"/>
    </w:rPr>
  </w:style>
  <w:style w:type="character" w:customStyle="1" w:styleId="TextocomentarioCar">
    <w:name w:val="Texto comentario Car"/>
    <w:link w:val="Textocomentario"/>
    <w:uiPriority w:val="99"/>
    <w:rsid w:val="004B1E61"/>
    <w:rPr>
      <w:rFonts w:ascii="Georgia" w:hAnsi="Georgia"/>
      <w:lang w:eastAsia="de-DE"/>
    </w:rPr>
  </w:style>
  <w:style w:type="paragraph" w:styleId="Asuntodelcomentario">
    <w:name w:val="annotation subject"/>
    <w:basedOn w:val="Textocomentario"/>
    <w:next w:val="Textocomentario"/>
    <w:link w:val="AsuntodelcomentarioCar"/>
    <w:rsid w:val="004B1E61"/>
    <w:rPr>
      <w:b/>
      <w:bCs/>
    </w:rPr>
  </w:style>
  <w:style w:type="character" w:customStyle="1" w:styleId="AsuntodelcomentarioCar">
    <w:name w:val="Asunto del comentario Car"/>
    <w:link w:val="Asuntodelcomentario"/>
    <w:rsid w:val="004B1E61"/>
    <w:rPr>
      <w:rFonts w:ascii="Georgia" w:hAnsi="Georgia"/>
      <w:b/>
      <w:bCs/>
      <w:lang w:eastAsia="de-DE"/>
    </w:rPr>
  </w:style>
  <w:style w:type="paragraph" w:styleId="Textodeglobo">
    <w:name w:val="Balloon Text"/>
    <w:basedOn w:val="Normal"/>
    <w:link w:val="TextodegloboCar"/>
    <w:rsid w:val="004B1E61"/>
    <w:rPr>
      <w:rFonts w:ascii="Tahoma" w:hAnsi="Tahoma" w:cs="Tahoma"/>
      <w:sz w:val="16"/>
      <w:szCs w:val="16"/>
    </w:rPr>
  </w:style>
  <w:style w:type="character" w:customStyle="1" w:styleId="TextodegloboCar">
    <w:name w:val="Texto de globo Car"/>
    <w:link w:val="Textodeglobo"/>
    <w:rsid w:val="004B1E61"/>
    <w:rPr>
      <w:rFonts w:ascii="Tahoma" w:hAnsi="Tahoma" w:cs="Tahoma"/>
      <w:sz w:val="16"/>
      <w:szCs w:val="16"/>
      <w:lang w:eastAsia="de-DE"/>
    </w:rPr>
  </w:style>
  <w:style w:type="paragraph" w:styleId="Prrafodelista">
    <w:name w:val="List Paragraph"/>
    <w:aliases w:val="Paragraphe EI,Paragraphe de liste1,EC"/>
    <w:basedOn w:val="Normal"/>
    <w:link w:val="PrrafodelistaCar"/>
    <w:uiPriority w:val="34"/>
    <w:qFormat/>
    <w:rsid w:val="002A0C82"/>
    <w:pPr>
      <w:ind w:left="720"/>
      <w:contextualSpacing/>
    </w:pPr>
  </w:style>
  <w:style w:type="paragraph" w:styleId="TtulodeTDC">
    <w:name w:val="TOC Heading"/>
    <w:basedOn w:val="Ttulo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TextonotapieCar">
    <w:name w:val="Texto nota pie Car"/>
    <w:aliases w:val="Char3 Car, Char3 Car,Fußnotentextf Car,Fußnotentextr Car,stile 1 Car,Footnote1 Car,Footnote2 Car,Footnote3 Car,Footnote4 Car,Footnote5 Car,Footnote6 Car,Footnote7 Car,Footnote8 Car,Footnote9 Car,Footnote10 Car,Footnote11 Car"/>
    <w:link w:val="Textonotapie"/>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Fuentedeprrafopredeter"/>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Ttulo1Car">
    <w:name w:val="Título 1 Car"/>
    <w:link w:val="Ttulo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nfasis">
    <w:name w:val="Emphasis"/>
    <w:uiPriority w:val="20"/>
    <w:qFormat/>
    <w:rsid w:val="005F028E"/>
    <w:rPr>
      <w:i/>
      <w:iCs/>
    </w:rPr>
  </w:style>
  <w:style w:type="paragraph" w:styleId="Revisin">
    <w:name w:val="Revision"/>
    <w:link w:val="RevisinCar"/>
    <w:hidden/>
    <w:uiPriority w:val="99"/>
    <w:semiHidden/>
    <w:rsid w:val="008E6A37"/>
    <w:rPr>
      <w:rFonts w:ascii="Georgia" w:hAnsi="Georgia"/>
      <w:sz w:val="22"/>
      <w:szCs w:val="24"/>
      <w:lang w:eastAsia="de-DE"/>
    </w:rPr>
  </w:style>
  <w:style w:type="paragraph" w:styleId="TD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D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D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D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D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D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D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Epgrafe">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Mapadeldocumento">
    <w:name w:val="Document Map"/>
    <w:basedOn w:val="Normal"/>
    <w:link w:val="MapadeldocumentoCar"/>
    <w:rsid w:val="00AA016B"/>
    <w:rPr>
      <w:rFonts w:ascii="Tahoma" w:hAnsi="Tahoma" w:cs="Tahoma"/>
      <w:sz w:val="16"/>
      <w:szCs w:val="16"/>
    </w:rPr>
  </w:style>
  <w:style w:type="character" w:customStyle="1" w:styleId="MapadeldocumentoCar">
    <w:name w:val="Mapa del documento Car"/>
    <w:link w:val="Mapadeldocumento"/>
    <w:rsid w:val="00AA016B"/>
    <w:rPr>
      <w:rFonts w:ascii="Tahoma" w:hAnsi="Tahoma" w:cs="Tahoma"/>
      <w:sz w:val="16"/>
      <w:szCs w:val="16"/>
      <w:lang w:eastAsia="de-DE"/>
    </w:rPr>
  </w:style>
  <w:style w:type="paragraph" w:styleId="Textosinformato">
    <w:name w:val="Plain Text"/>
    <w:basedOn w:val="Normal"/>
    <w:link w:val="TextosinformatoCar"/>
    <w:unhideWhenUsed/>
    <w:rsid w:val="00AA016B"/>
    <w:rPr>
      <w:rFonts w:ascii="Consolas" w:hAnsi="Consolas"/>
      <w:sz w:val="21"/>
      <w:szCs w:val="21"/>
      <w:lang w:val="de-DE"/>
    </w:rPr>
  </w:style>
  <w:style w:type="character" w:customStyle="1" w:styleId="TextosinformatoCar">
    <w:name w:val="Texto sin formato Car"/>
    <w:link w:val="Textosinformato"/>
    <w:rsid w:val="00AA016B"/>
    <w:rPr>
      <w:rFonts w:ascii="Consolas" w:hAnsi="Consolas"/>
      <w:sz w:val="21"/>
      <w:szCs w:val="21"/>
      <w:lang w:val="de-DE" w:eastAsia="de-DE"/>
    </w:rPr>
  </w:style>
  <w:style w:type="paragraph" w:styleId="Textoindependiente">
    <w:name w:val="Body Text"/>
    <w:basedOn w:val="Normal"/>
    <w:link w:val="TextoindependienteCar"/>
    <w:unhideWhenUsed/>
    <w:rsid w:val="00AA016B"/>
    <w:pPr>
      <w:numPr>
        <w:numId w:val="8"/>
      </w:numPr>
      <w:spacing w:after="240"/>
      <w:jc w:val="both"/>
    </w:pPr>
    <w:rPr>
      <w:rFonts w:ascii="Times New Roman" w:hAnsi="Times New Roman"/>
      <w:sz w:val="24"/>
      <w:szCs w:val="20"/>
      <w:lang w:eastAsia="en-GB"/>
    </w:rPr>
  </w:style>
  <w:style w:type="character" w:customStyle="1" w:styleId="TextoindependienteCar">
    <w:name w:val="Texto independiente Car"/>
    <w:link w:val="Textoindependiente"/>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Textoennegrita">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Ttulo2Car">
    <w:name w:val="Título 2 Car"/>
    <w:link w:val="Ttulo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Ttulo9Car">
    <w:name w:val="Título 9 Car"/>
    <w:link w:val="Ttulo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Ttulo7Car">
    <w:name w:val="Título 7 Car"/>
    <w:link w:val="Ttulo7"/>
    <w:rsid w:val="002D6E1A"/>
    <w:rPr>
      <w:sz w:val="22"/>
      <w:szCs w:val="24"/>
      <w:lang w:eastAsia="de-DE"/>
    </w:rPr>
  </w:style>
  <w:style w:type="character" w:customStyle="1" w:styleId="Ttulo6Car">
    <w:name w:val="Título 6 Car"/>
    <w:link w:val="Ttulo6"/>
    <w:rsid w:val="002D6E1A"/>
    <w:rPr>
      <w:b/>
      <w:bCs/>
      <w:szCs w:val="22"/>
      <w:lang w:eastAsia="de-DE"/>
    </w:rPr>
  </w:style>
  <w:style w:type="character" w:customStyle="1" w:styleId="Ttulo8Car">
    <w:name w:val="Título 8 Car"/>
    <w:link w:val="Ttulo8"/>
    <w:rsid w:val="002D6E1A"/>
    <w:rPr>
      <w:i/>
      <w:iCs/>
      <w:szCs w:val="24"/>
      <w:lang w:eastAsia="de-DE"/>
    </w:rPr>
  </w:style>
  <w:style w:type="numbering" w:customStyle="1" w:styleId="NoList1">
    <w:name w:val="No List1"/>
    <w:next w:val="Sinlista"/>
    <w:uiPriority w:val="99"/>
    <w:semiHidden/>
    <w:unhideWhenUsed/>
    <w:rsid w:val="002D6E1A"/>
  </w:style>
  <w:style w:type="character" w:styleId="Hipervnculovisitado">
    <w:name w:val="FollowedHyperlink"/>
    <w:unhideWhenUsed/>
    <w:rsid w:val="002D6E1A"/>
    <w:rPr>
      <w:color w:val="800080"/>
      <w:u w:val="single"/>
    </w:rPr>
  </w:style>
  <w:style w:type="character" w:customStyle="1" w:styleId="EncabezadoCar">
    <w:name w:val="Encabezado Car"/>
    <w:link w:val="Encabezado"/>
    <w:rsid w:val="002D6E1A"/>
    <w:rPr>
      <w:rFonts w:ascii="Georgia" w:hAnsi="Georgia"/>
      <w:sz w:val="22"/>
      <w:szCs w:val="24"/>
      <w:lang w:eastAsia="de-DE"/>
    </w:rPr>
  </w:style>
  <w:style w:type="character" w:customStyle="1" w:styleId="PiedepginaCar">
    <w:name w:val="Pie de página Car"/>
    <w:link w:val="Piedepgina"/>
    <w:rsid w:val="002D6E1A"/>
    <w:rPr>
      <w:rFonts w:ascii="Georgia" w:hAnsi="Georgia"/>
      <w:sz w:val="22"/>
      <w:szCs w:val="24"/>
      <w:lang w:eastAsia="de-DE"/>
    </w:rPr>
  </w:style>
  <w:style w:type="paragraph" w:styleId="Textonotaalfinal">
    <w:name w:val="endnote text"/>
    <w:basedOn w:val="Normal"/>
    <w:link w:val="TextonotaalfinalCar"/>
    <w:unhideWhenUsed/>
    <w:rsid w:val="002D6E1A"/>
    <w:rPr>
      <w:szCs w:val="20"/>
    </w:rPr>
  </w:style>
  <w:style w:type="character" w:customStyle="1" w:styleId="TextonotaalfinalCar">
    <w:name w:val="Texto nota al final Car"/>
    <w:link w:val="Textonotaalfinal"/>
    <w:rsid w:val="002D6E1A"/>
    <w:rPr>
      <w:rFonts w:ascii="Georgia" w:hAnsi="Georgia"/>
      <w:lang w:eastAsia="de-DE"/>
    </w:rPr>
  </w:style>
  <w:style w:type="paragraph" w:styleId="Listaconnmeros">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PrrafodelistaCar">
    <w:name w:val="Párrafo de lista Car"/>
    <w:aliases w:val="Paragraphe EI Car,Paragraphe de liste1 Car,EC Car"/>
    <w:link w:val="Prrafodelista"/>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Prrafodelista"/>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Refdenotaalfinal">
    <w:name w:val="endnote reference"/>
    <w:unhideWhenUsed/>
    <w:rsid w:val="002D6E1A"/>
    <w:rPr>
      <w:vertAlign w:val="superscript"/>
    </w:rPr>
  </w:style>
  <w:style w:type="character" w:styleId="Textodelmarcadordeposicin">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anormal"/>
    <w:uiPriority w:val="59"/>
    <w:rsid w:val="002D6E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Sinlista"/>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Nmerodelnea">
    <w:name w:val="line number"/>
    <w:basedOn w:val="Fuentedeprrafopredeter"/>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Epgrafe"/>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Ttulo5Car">
    <w:name w:val="Título 5 Car"/>
    <w:aliases w:val="Questions Car"/>
    <w:link w:val="Ttulo5"/>
    <w:rsid w:val="00E9344E"/>
    <w:rPr>
      <w:rFonts w:ascii="Georgia" w:hAnsi="Georgia"/>
      <w:b/>
      <w:szCs w:val="24"/>
      <w:lang w:eastAsia="de-DE"/>
    </w:rPr>
  </w:style>
  <w:style w:type="character" w:customStyle="1" w:styleId="Ttulo3Car">
    <w:name w:val="Título 3 Car"/>
    <w:link w:val="Ttulo3"/>
    <w:rsid w:val="003865E5"/>
    <w:rPr>
      <w:rFonts w:ascii="Cambria" w:eastAsia="Times New Roman" w:hAnsi="Cambria" w:cs="Times New Roman"/>
      <w:b/>
      <w:bCs/>
      <w:color w:val="4F81BD"/>
      <w:sz w:val="22"/>
      <w:szCs w:val="24"/>
      <w:lang w:eastAsia="de-DE"/>
    </w:rPr>
  </w:style>
  <w:style w:type="character" w:customStyle="1" w:styleId="Ttulo4Car">
    <w:name w:val="Título 4 Car"/>
    <w:link w:val="Ttulo4"/>
    <w:rsid w:val="00CB7286"/>
    <w:rPr>
      <w:b/>
      <w:bCs/>
      <w:sz w:val="28"/>
      <w:szCs w:val="28"/>
      <w:lang w:eastAsia="de-DE"/>
    </w:rPr>
  </w:style>
  <w:style w:type="table" w:styleId="Listaclara-nfasis3">
    <w:name w:val="Light List Accent 3"/>
    <w:basedOn w:val="Tablanormal"/>
    <w:uiPriority w:val="61"/>
    <w:rsid w:val="00CB7286"/>
    <w:rPr>
      <w:rFonts w:ascii="Calibri" w:hAnsi="Calibri"/>
      <w:sz w:val="22"/>
      <w:szCs w:val="22"/>
      <w:lang w:val="de-DE"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anormal"/>
    <w:uiPriority w:val="63"/>
    <w:rsid w:val="00CB72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Ttulo2"/>
    <w:rsid w:val="000D2D0B"/>
    <w:pPr>
      <w:keepNext w:val="0"/>
      <w:keepLines w:val="0"/>
      <w:tabs>
        <w:tab w:val="num" w:pos="567"/>
        <w:tab w:val="left" w:pos="851"/>
      </w:tabs>
      <w:suppressAutoHyphens/>
      <w:spacing w:before="0" w:after="250" w:line="250" w:lineRule="exact"/>
      <w:ind w:left="568" w:hanging="284"/>
      <w:jc w:val="both"/>
    </w:pPr>
    <w:rPr>
      <w:b w:val="0"/>
      <w:iCs/>
      <w:szCs w:val="20"/>
      <w:lang w:val="fr-FR"/>
    </w:rPr>
  </w:style>
  <w:style w:type="character" w:customStyle="1" w:styleId="WW8Num4z1">
    <w:name w:val="WW8Num4z1"/>
    <w:rsid w:val="000D2D0B"/>
    <w:rPr>
      <w:rFonts w:ascii="Courier New" w:hAnsi="Courier New" w:cs="Courier New"/>
    </w:rPr>
  </w:style>
  <w:style w:type="paragraph" w:customStyle="1" w:styleId="TOCHeading1">
    <w:name w:val="TOC Heading1"/>
    <w:basedOn w:val="Ttulo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Ttulo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aconnmeros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aconnmeros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aconnmeros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aconvietas">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aconvietas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aconvietas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aconvietas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adeilustracion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Ttulo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rPr>
  </w:style>
  <w:style w:type="paragraph" w:customStyle="1" w:styleId="04fBodytextline">
    <w:name w:val="04f_Body text line"/>
    <w:basedOn w:val="04BodyText"/>
    <w:rsid w:val="000D2D0B"/>
    <w:pPr>
      <w:pBdr>
        <w:bottom w:val="single" w:sz="4" w:space="12" w:color="000000"/>
      </w:pBdr>
      <w:tabs>
        <w:tab w:val="left" w:pos="454"/>
      </w:tabs>
    </w:pPr>
    <w:rPr>
      <w:color w:val="000000"/>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rPr>
  </w:style>
  <w:style w:type="character" w:customStyle="1" w:styleId="04RunningTextChar">
    <w:name w:val="04_Running Text Char"/>
    <w:link w:val="04RunningText"/>
    <w:rsid w:val="000D2D0B"/>
    <w:rPr>
      <w:rFonts w:ascii="Georgia" w:hAnsi="Georgia"/>
      <w:szCs w:val="24"/>
      <w:lang w:eastAsia="de-DE"/>
    </w:rPr>
  </w:style>
  <w:style w:type="character" w:customStyle="1" w:styleId="AnnexChar">
    <w:name w:val="Annex Char"/>
    <w:link w:val="Annex"/>
    <w:rsid w:val="000D2D0B"/>
    <w:rPr>
      <w:rFonts w:ascii="Georgia" w:hAnsi="Georgia"/>
      <w:b/>
      <w:color w:val="000000"/>
      <w:szCs w:val="24"/>
      <w:lang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rPr>
  </w:style>
  <w:style w:type="character" w:customStyle="1" w:styleId="aStyle1Char">
    <w:name w:val="a. Style1 Char"/>
    <w:link w:val="aStyle1"/>
    <w:rsid w:val="000D2D0B"/>
    <w:rPr>
      <w:rFonts w:ascii="Georgia" w:hAnsi="Georgia"/>
    </w:rPr>
  </w:style>
  <w:style w:type="paragraph" w:styleId="Ttulo">
    <w:name w:val="Title"/>
    <w:basedOn w:val="Normal"/>
    <w:next w:val="Normal"/>
    <w:link w:val="TtuloC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tuloCar">
    <w:name w:val="Título Car"/>
    <w:link w:val="Ttulo"/>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nCar">
    <w:name w:val="Revisión Car"/>
    <w:link w:val="Revisin"/>
    <w:uiPriority w:val="99"/>
    <w:semiHidden/>
    <w:locked/>
    <w:rsid w:val="000D2D0B"/>
    <w:rPr>
      <w:rFonts w:ascii="Georgia" w:hAnsi="Georgia"/>
      <w:sz w:val="22"/>
      <w:szCs w:val="24"/>
      <w:lang w:eastAsia="de-DE"/>
    </w:rPr>
  </w:style>
  <w:style w:type="table" w:customStyle="1" w:styleId="TableGrid2">
    <w:name w:val="Table Grid2"/>
    <w:basedOn w:val="Tablanormal"/>
    <w:next w:val="Tablaconcuadrcula"/>
    <w:uiPriority w:val="59"/>
    <w:rsid w:val="000D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Fuentedeprrafopredeter"/>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nfasisintenso">
    <w:name w:val="Intense Emphasis"/>
    <w:basedOn w:val="Fuentedeprrafopredeter"/>
    <w:uiPriority w:val="21"/>
    <w:qFormat/>
    <w:rsid w:val="00D34282"/>
    <w:rPr>
      <w:b/>
      <w:bCs/>
      <w:i/>
      <w:iCs/>
    </w:rPr>
  </w:style>
  <w:style w:type="character" w:customStyle="1" w:styleId="CPTitle1Char">
    <w:name w:val="CP_Title1 Char"/>
    <w:basedOn w:val="Fuentedeprrafopredeter"/>
    <w:link w:val="CPTitle1"/>
    <w:locked/>
    <w:rsid w:val="00D34282"/>
    <w:rPr>
      <w:rFonts w:asciiTheme="majorHAnsi" w:eastAsiaTheme="majorEastAsia" w:hAnsiTheme="majorHAnsi" w:cstheme="majorHAnsi"/>
      <w:b/>
      <w:sz w:val="32"/>
      <w:szCs w:val="32"/>
    </w:rPr>
  </w:style>
  <w:style w:type="paragraph" w:customStyle="1" w:styleId="CPTitle1">
    <w:name w:val="CP_Title1"/>
    <w:basedOn w:val="Ttulo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Ttulo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 w:type="table" w:customStyle="1" w:styleId="Listaclara-nfasis11">
    <w:name w:val="Lista clara - Énfasis 11"/>
    <w:basedOn w:val="Tablanormal"/>
    <w:uiPriority w:val="61"/>
    <w:rsid w:val="003640D0"/>
    <w:rPr>
      <w:rFonts w:ascii="Cambria" w:eastAsiaTheme="minorHAnsi" w:hAnsi="Cambria" w:cstheme="minorBidi"/>
      <w:sz w:val="22"/>
      <w:szCs w:val="22"/>
      <w:lang w:val="es-E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36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ES_tradnl" w:eastAsia="es-ES_tradnl"/>
    </w:rPr>
  </w:style>
  <w:style w:type="character" w:customStyle="1" w:styleId="HTMLconformatoprevioCar">
    <w:name w:val="HTML con formato previo Car"/>
    <w:basedOn w:val="Fuentedeprrafopredeter"/>
    <w:link w:val="HTMLconformatoprevio"/>
    <w:uiPriority w:val="99"/>
    <w:rsid w:val="003640D0"/>
    <w:rPr>
      <w:rFonts w:ascii="Courier New" w:hAnsi="Courier New" w:cs="Courier New"/>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r="http://schemas.openxmlformats.org/officeDocument/2006/relationships" xmlns:w="http://schemas.openxmlformats.org/wordprocessingml/2006/main">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esma.europa.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eiopa.europa.eu/about-eiopa/legal-framework/public-access-to-documents/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E01A1-864D-4103-A247-FAF89ABB610C}">
  <ds:schemaRefs>
    <ds:schemaRef ds:uri="http://schemas.openxmlformats.org/officeDocument/2006/bibliography"/>
  </ds:schemaRefs>
</ds:datastoreItem>
</file>

<file path=customXml/itemProps2.xml><?xml version="1.0" encoding="utf-8"?>
<ds:datastoreItem xmlns:ds="http://schemas.openxmlformats.org/officeDocument/2006/customXml" ds:itemID="{DF21C789-3F7B-4CD8-A73E-B52C464D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11557</Words>
  <Characters>63372</Characters>
  <Application>Microsoft Office Word</Application>
  <DocSecurity>8</DocSecurity>
  <Lines>528</Lines>
  <Paragraphs>149</Paragraphs>
  <ScaleCrop>false</ScaleCrop>
  <HeadingPairs>
    <vt:vector size="10" baseType="variant">
      <vt:variant>
        <vt:lpstr>Título</vt:lpstr>
      </vt:variant>
      <vt:variant>
        <vt:i4>1</vt:i4>
      </vt:variant>
      <vt:variant>
        <vt:lpstr>Title</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Reply form for the MiFID II/MiFIR Consultation Paper</vt:lpstr>
      <vt:lpstr>20110000</vt:lpstr>
      <vt:lpstr>20110000</vt:lpstr>
      <vt:lpstr>20110000</vt:lpstr>
    </vt:vector>
  </TitlesOfParts>
  <Company>ESMA</Company>
  <LinksUpToDate>false</LinksUpToDate>
  <CharactersWithSpaces>74780</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María Peco González</cp:lastModifiedBy>
  <cp:revision>2</cp:revision>
  <cp:lastPrinted>2015-07-28T11:20:00Z</cp:lastPrinted>
  <dcterms:created xsi:type="dcterms:W3CDTF">2015-08-14T07:44:00Z</dcterms:created>
  <dcterms:modified xsi:type="dcterms:W3CDTF">2015-08-14T07:44:00Z</dcterms:modified>
</cp:coreProperties>
</file>