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w:t>
            </w:r>
            <w:bookmarkStart w:id="0" w:name="_GoBack"/>
            <w:bookmarkEnd w:id="0"/>
            <w:r w:rsidR="00FC7841">
              <w:rPr>
                <w:rFonts w:cs="Arial"/>
              </w:rPr>
              <w:t>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Appelnotedebasdep"/>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5B37B8">
        <w:tc>
          <w:tcPr>
            <w:tcW w:w="3929" w:type="dxa"/>
            <w:shd w:val="clear" w:color="auto" w:fill="auto"/>
          </w:tcPr>
          <w:p w:rsidR="00D34282" w:rsidRPr="00AB6D88" w:rsidRDefault="00D34282" w:rsidP="005B37B8">
            <w:pPr>
              <w:rPr>
                <w:rFonts w:cs="Arial"/>
              </w:rPr>
            </w:pPr>
            <w:permStart w:id="0" w:edGrp="everyone" w:colFirst="1" w:colLast="1"/>
            <w:r w:rsidRPr="00AB6D88">
              <w:rPr>
                <w:rFonts w:cs="Arial"/>
              </w:rPr>
              <w:t>Name of the company / organisation</w:t>
            </w:r>
          </w:p>
        </w:tc>
        <w:sdt>
          <w:sdtPr>
            <w:rPr>
              <w:rStyle w:val="Textedelespacerserv"/>
              <w:rFonts w:cs="Arial"/>
            </w:rPr>
            <w:id w:val="-1905066999"/>
            <w:text/>
          </w:sdtPr>
          <w:sdtContent>
            <w:permStart w:id="1" w:edGrp="everyone" w:displacedByCustomXml="prev"/>
            <w:tc>
              <w:tcPr>
                <w:tcW w:w="5595" w:type="dxa"/>
                <w:shd w:val="clear" w:color="auto" w:fill="auto"/>
              </w:tcPr>
              <w:p w:rsidR="00D34282" w:rsidRPr="00AB6D88" w:rsidRDefault="005B37B8" w:rsidP="005B37B8">
                <w:pPr>
                  <w:rPr>
                    <w:rStyle w:val="Textedelespacerserv"/>
                    <w:rFonts w:cs="Arial"/>
                  </w:rPr>
                </w:pPr>
                <w:r>
                  <w:rPr>
                    <w:rStyle w:val="Textedelespacerserv"/>
                    <w:rFonts w:cs="Arial"/>
                  </w:rPr>
                  <w:t xml:space="preserve">GEMA – </w:t>
                </w:r>
                <w:proofErr w:type="spellStart"/>
                <w:r>
                  <w:rPr>
                    <w:rStyle w:val="Textedelespacerserv"/>
                    <w:rFonts w:cs="Arial"/>
                  </w:rPr>
                  <w:t>Groupement</w:t>
                </w:r>
                <w:proofErr w:type="spellEnd"/>
                <w:r>
                  <w:rPr>
                    <w:rStyle w:val="Textedelespacerserv"/>
                    <w:rFonts w:cs="Arial"/>
                  </w:rPr>
                  <w:t xml:space="preserve"> des </w:t>
                </w:r>
                <w:proofErr w:type="spellStart"/>
                <w:r>
                  <w:rPr>
                    <w:rStyle w:val="Textedelespacerserv"/>
                    <w:rFonts w:cs="Arial"/>
                  </w:rPr>
                  <w:t>entreprises</w:t>
                </w:r>
                <w:proofErr w:type="spellEnd"/>
                <w:r>
                  <w:rPr>
                    <w:rStyle w:val="Textedelespacerserv"/>
                    <w:rFonts w:cs="Arial"/>
                  </w:rPr>
                  <w:t xml:space="preserve"> </w:t>
                </w:r>
                <w:proofErr w:type="spellStart"/>
                <w:r>
                  <w:rPr>
                    <w:rStyle w:val="Textedelespacerserv"/>
                    <w:rFonts w:cs="Arial"/>
                  </w:rPr>
                  <w:t>mutuelles</w:t>
                </w:r>
                <w:proofErr w:type="spellEnd"/>
                <w:r>
                  <w:rPr>
                    <w:rStyle w:val="Textedelespacerserv"/>
                    <w:rFonts w:cs="Arial"/>
                  </w:rPr>
                  <w:t xml:space="preserve"> </w:t>
                </w:r>
                <w:proofErr w:type="spellStart"/>
                <w:r>
                  <w:rPr>
                    <w:rStyle w:val="Textedelespacerserv"/>
                    <w:rFonts w:cs="Arial"/>
                  </w:rPr>
                  <w:t>d’assurance</w:t>
                </w:r>
                <w:proofErr w:type="spellEnd"/>
                <w:r>
                  <w:rPr>
                    <w:rStyle w:val="Textedelespacerserv"/>
                    <w:rFonts w:cs="Arial"/>
                  </w:rPr>
                  <w:t xml:space="preserve"> </w:t>
                </w:r>
              </w:p>
            </w:tc>
            <w:permEnd w:id="1" w:displacedByCustomXml="next"/>
          </w:sdtContent>
        </w:sdt>
      </w:tr>
      <w:tr w:rsidR="00D34282" w:rsidRPr="00AB6D88" w:rsidTr="005B37B8">
        <w:tc>
          <w:tcPr>
            <w:tcW w:w="3929" w:type="dxa"/>
            <w:shd w:val="clear" w:color="auto" w:fill="auto"/>
          </w:tcPr>
          <w:p w:rsidR="00D34282" w:rsidRPr="00AB6D88" w:rsidRDefault="00D34282" w:rsidP="005B37B8">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F924F9" w:rsidP="005B37B8">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 w:edGrp="everyone"/>
                <w:r w:rsidR="005B37B8">
                  <w:rPr>
                    <w:rFonts w:cs="Arial"/>
                  </w:rPr>
                  <w:t>Insurance and Pension</w:t>
                </w:r>
                <w:permEnd w:id="3"/>
              </w:sdtContent>
            </w:sdt>
          </w:p>
        </w:tc>
      </w:tr>
      <w:tr w:rsidR="00D34282" w:rsidRPr="00AB6D88" w:rsidTr="005B37B8">
        <w:tc>
          <w:tcPr>
            <w:tcW w:w="3929" w:type="dxa"/>
            <w:shd w:val="clear" w:color="auto" w:fill="auto"/>
          </w:tcPr>
          <w:p w:rsidR="00D34282" w:rsidRPr="00AB6D88" w:rsidRDefault="00D34282" w:rsidP="005B37B8">
            <w:pPr>
              <w:rPr>
                <w:rFonts w:cs="Arial"/>
              </w:rPr>
            </w:pPr>
            <w:permStart w:id="4"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D34282" w:rsidP="005B37B8">
                <w:pPr>
                  <w:rPr>
                    <w:rFonts w:cs="Arial"/>
                  </w:rPr>
                </w:pPr>
                <w:r w:rsidRPr="00AB6D88">
                  <w:rPr>
                    <w:rFonts w:ascii="MS Gothic" w:eastAsia="MS Gothic" w:hAnsi="MS Gothic" w:cs="MS Gothic" w:hint="eastAsia"/>
                  </w:rPr>
                  <w:t>☐</w:t>
                </w:r>
                <w:r w:rsidR="005B37B8">
                  <w:rPr>
                    <w:rFonts w:ascii="MS Gothic" w:eastAsia="MS Gothic" w:hAnsi="MS Gothic" w:cs="MS Gothic"/>
                  </w:rPr>
                  <w:t>yes</w:t>
                </w:r>
              </w:p>
            </w:tc>
          </w:sdtContent>
        </w:sdt>
      </w:tr>
      <w:tr w:rsidR="00D34282" w:rsidRPr="00AB6D88" w:rsidTr="005B37B8">
        <w:tc>
          <w:tcPr>
            <w:tcW w:w="3929" w:type="dxa"/>
            <w:shd w:val="clear" w:color="auto" w:fill="auto"/>
          </w:tcPr>
          <w:p w:rsidR="00D34282" w:rsidRPr="00AB6D88" w:rsidRDefault="00D34282" w:rsidP="005B37B8">
            <w:pPr>
              <w:rPr>
                <w:rFonts w:cs="Arial"/>
              </w:rPr>
            </w:pPr>
            <w:permStart w:id="5" w:edGrp="everyone" w:colFirst="1" w:colLast="1"/>
            <w:permEnd w:id="4"/>
            <w:r w:rsidRPr="00AB6D88">
              <w:rPr>
                <w:rFonts w:cs="Arial"/>
              </w:rPr>
              <w:t>Country/Region</w:t>
            </w:r>
          </w:p>
        </w:tc>
        <w:permStart w:id="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D34282" w:rsidRPr="00AB6D88" w:rsidRDefault="005B37B8" w:rsidP="005B37B8">
                <w:pPr>
                  <w:rPr>
                    <w:rFonts w:cs="Arial"/>
                  </w:rPr>
                </w:pPr>
                <w:r>
                  <w:rPr>
                    <w:rFonts w:cs="Arial"/>
                  </w:rPr>
                  <w:t>France</w:t>
                </w:r>
              </w:p>
            </w:tc>
          </w:sdtContent>
        </w:sdt>
        <w:permEnd w:id="6" w:displacedByCustomXml="prev"/>
      </w:tr>
      <w:permEnd w:id="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370091" w:rsidP="00D34282">
      <w:permStart w:id="7" w:edGrp="everyone"/>
      <w:r>
        <w:t xml:space="preserve">GEMA is an association of 53 mutual insurance societies in France and Belgium. It works to put forward a </w:t>
      </w:r>
      <w:proofErr w:type="spellStart"/>
      <w:r>
        <w:t>mutualist</w:t>
      </w:r>
      <w:proofErr w:type="spellEnd"/>
      <w:r>
        <w:t xml:space="preserve"> view of the economic, legal and social problems that arise in the insurance market. Its stance reflects its founding values, namely solidarity, democracy and transparency. </w:t>
      </w:r>
    </w:p>
    <w:permEnd w:id="7"/>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F31E57" w:rsidRDefault="00F31E57" w:rsidP="00F31E57">
      <w:permStart w:id="8" w:edGrp="everyone"/>
      <w:r>
        <w:t>TYPE YOUR TEXT HERE</w:t>
      </w:r>
    </w:p>
    <w:permEnd w:id="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Default="005B37B8" w:rsidP="00F31E57">
      <w:permStart w:id="9" w:edGrp="everyone"/>
      <w:r w:rsidRPr="005B37B8">
        <w:t>To ensure comparability between different KIDs, we believe that the general principles of the models should be set at UE level. RTS should then prescribe the models to be used (without allowing the man</w:t>
      </w:r>
      <w:r w:rsidRPr="005B37B8">
        <w:t>u</w:t>
      </w:r>
      <w:r w:rsidRPr="005B37B8">
        <w:t>facturers to use whichever model they consider most appropriate)</w:t>
      </w:r>
      <w:proofErr w:type="gramStart"/>
      <w:r w:rsidRPr="005B37B8">
        <w:t>.</w:t>
      </w:r>
      <w:permEnd w:id="9"/>
      <w:r w:rsidR="00F31E57">
        <w:t>&lt;</w:t>
      </w:r>
      <w:proofErr w:type="gramEnd"/>
      <w:r w:rsidR="00F31E57">
        <w: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w:t>
      </w:r>
      <w:r>
        <w:t>e</w:t>
      </w:r>
      <w:r>
        <w:t>cific products or underlying investments for which a specific growth rate would be more or less applicable?</w:t>
      </w:r>
    </w:p>
    <w:p w:rsidR="00F31E57" w:rsidRDefault="00F31E57" w:rsidP="00F31E57"/>
    <w:p w:rsidR="00F31E57" w:rsidRDefault="00F31E57" w:rsidP="00F31E57">
      <w:r>
        <w:t>&lt;ESMA_QUESTION_PRIIPs_3&gt;</w:t>
      </w:r>
    </w:p>
    <w:p w:rsidR="005B37B8" w:rsidRPr="005B37B8" w:rsidRDefault="005B37B8" w:rsidP="005B37B8">
      <w:permStart w:id="10" w:edGrp="everyone"/>
      <w:r w:rsidRPr="005B37B8">
        <w:t xml:space="preserve">We recall that we want something easy and simple. In our view, the easiest solution would be to base the performance scenarios on past performance without trying to describe future performances. </w:t>
      </w:r>
    </w:p>
    <w:p w:rsidR="005B37B8" w:rsidRPr="005B37B8" w:rsidRDefault="005B37B8" w:rsidP="005B37B8"/>
    <w:p w:rsidR="005B37B8" w:rsidRPr="005B37B8" w:rsidRDefault="005B37B8" w:rsidP="005B37B8">
      <w:r w:rsidRPr="005B37B8">
        <w:t>We are against the fact that the performance scenarios should be based on probabilistic modelling. We consider that deterministic modelling is more suitable to facilitate retail investors’ understanding.</w:t>
      </w:r>
    </w:p>
    <w:p w:rsidR="005B37B8" w:rsidRPr="005B37B8" w:rsidRDefault="005B37B8" w:rsidP="005B37B8"/>
    <w:p w:rsidR="005B37B8" w:rsidRPr="005B37B8" w:rsidRDefault="005B37B8" w:rsidP="005B37B8">
      <w:r w:rsidRPr="005B37B8">
        <w:t>We would rather use the first option (</w:t>
      </w:r>
      <w:proofErr w:type="spellStart"/>
      <w:r w:rsidRPr="005B37B8">
        <w:t>ie</w:t>
      </w:r>
      <w:proofErr w:type="spellEnd"/>
      <w:r w:rsidRPr="005B37B8">
        <w:t>. the amount invested without any adjustment) because it is the simplest and easiest to understand for retail investors. The amount invested without any adjustment could then be the level against which performance is measured.</w:t>
      </w:r>
    </w:p>
    <w:permEnd w:id="10"/>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1" w:edGrp="everyone"/>
      <w:r>
        <w:t>TYPE YOUR TEXT HERE</w:t>
      </w:r>
    </w:p>
    <w:permEnd w:id="11"/>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5B37B8" w:rsidRPr="005B37B8" w:rsidRDefault="005B37B8" w:rsidP="005B37B8">
      <w:permStart w:id="12" w:edGrp="everyone"/>
      <w:r w:rsidRPr="005B37B8">
        <w:t xml:space="preserve">We support option C and believe that the risk indicator and the performance scenarios should be based on the recommended holding period. French insurance PRIIPs manufacturers consider that the most appropriate time frame is 8 years mainly because taxations on the insurance contracts are reduced after this period. </w:t>
      </w:r>
    </w:p>
    <w:permEnd w:id="12"/>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5B37B8" w:rsidRPr="005B37B8" w:rsidRDefault="005B37B8" w:rsidP="005B37B8">
      <w:permStart w:id="13" w:edGrp="everyone"/>
      <w:r w:rsidRPr="005B37B8">
        <w:t xml:space="preserve">We think that for insurance-based investment products only market risk should show in the risk indicator. Credit and liquidity risks are more relevant for non-insurance PRIIPs. </w:t>
      </w:r>
    </w:p>
    <w:p w:rsidR="005B37B8" w:rsidRPr="005B37B8" w:rsidRDefault="005B37B8" w:rsidP="005B37B8"/>
    <w:p w:rsidR="005B37B8" w:rsidRPr="005B37B8" w:rsidRDefault="005B37B8" w:rsidP="005B37B8">
      <w:r w:rsidRPr="005B37B8">
        <w:t xml:space="preserve">As far as credit risk is concerned for insurance-based investment products, the Solvency II regime already incentivises the diversification of insurers’ risks and ensures the financial capability of insurers to fulfil their contractual obligations, even under stressed conditions. Showing credit risk in the risk indicator would only add unnecessary complexity. </w:t>
      </w:r>
    </w:p>
    <w:permEnd w:id="13"/>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F31E57" w:rsidP="00F31E57">
      <w:permStart w:id="14" w:edGrp="everyone"/>
      <w:r>
        <w:t>TYPE YOUR TEXT HERE</w:t>
      </w:r>
    </w:p>
    <w:permEnd w:id="14"/>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F31E57" w:rsidP="00F31E57">
      <w:permStart w:id="15" w:edGrp="everyone"/>
      <w:r>
        <w:t>TYPE YOUR TEXT HERE</w:t>
      </w:r>
    </w:p>
    <w:permEnd w:id="15"/>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16" w:edGrp="everyone"/>
      <w:r>
        <w:t>TYPE YOUR TEXT HERE</w:t>
      </w:r>
    </w:p>
    <w:permEnd w:id="16"/>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5B37B8" w:rsidP="00F31E57">
      <w:permStart w:id="17" w:edGrp="everyone"/>
      <w:r w:rsidRPr="005B37B8">
        <w:t>We do not support Option 2 which is not appropriate for insurance pro</w:t>
      </w:r>
      <w:r w:rsidR="00652ED1">
        <w:t>d</w:t>
      </w:r>
      <w:r>
        <w:t>ucts</w:t>
      </w:r>
      <w:proofErr w:type="gramStart"/>
      <w:r w:rsidRPr="005B37B8">
        <w:t>.</w:t>
      </w:r>
      <w:permEnd w:id="17"/>
      <w:r w:rsidR="00F31E57">
        <w:t>&lt;</w:t>
      </w:r>
      <w:proofErr w:type="gramEnd"/>
      <w:r w:rsidR="00F31E57">
        <w: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652ED1" w:rsidRPr="00652ED1" w:rsidRDefault="00652ED1" w:rsidP="00652ED1">
      <w:permStart w:id="18" w:edGrp="everyone"/>
      <w:r w:rsidRPr="00652ED1">
        <w:t xml:space="preserve">Option 3 seems too costly and too complex. </w:t>
      </w:r>
    </w:p>
    <w:p w:rsidR="00652ED1" w:rsidRPr="00652ED1" w:rsidRDefault="00652ED1" w:rsidP="00652ED1"/>
    <w:p w:rsidR="00F31E57" w:rsidRDefault="00652ED1" w:rsidP="00F31E57">
      <w:r w:rsidRPr="00652ED1">
        <w:t>Option 2 and 3 could be relevant only for UCITS</w:t>
      </w:r>
      <w:proofErr w:type="gramStart"/>
      <w:r w:rsidRPr="00652ED1">
        <w:t>.</w:t>
      </w:r>
      <w:permEnd w:id="18"/>
      <w:r w:rsidR="00F31E57">
        <w:t>&lt;</w:t>
      </w:r>
      <w:proofErr w:type="gramEnd"/>
      <w:r w:rsidR="00F31E57">
        <w: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9" w:edGrp="everyone"/>
      <w:r>
        <w:t>TYPE YOUR TEXT HERE</w:t>
      </w:r>
    </w:p>
    <w:permEnd w:id="19"/>
    <w:p w:rsidR="00F31E57" w:rsidRDefault="00F31E57" w:rsidP="00F31E57">
      <w:r>
        <w:lastRenderedPageBreak/>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652ED1" w:rsidRPr="00652ED1" w:rsidRDefault="00652ED1" w:rsidP="00652ED1">
      <w:permStart w:id="20" w:edGrp="everyone"/>
      <w:r w:rsidRPr="00652ED1">
        <w:t xml:space="preserve">We are in favour of a model based on options 1 (= qualitatively based indicator combining credit and market risk, complemented by a quantitative market risk measure) and 4 (= “two-level” indicator). </w:t>
      </w:r>
    </w:p>
    <w:p w:rsidR="00652ED1" w:rsidRPr="00652ED1" w:rsidRDefault="00652ED1" w:rsidP="00652ED1"/>
    <w:p w:rsidR="00652ED1" w:rsidRPr="00652ED1" w:rsidRDefault="00652ED1" w:rsidP="00652ED1">
      <w:r w:rsidRPr="00652ED1">
        <w:t>The second-level indicator would allow for further discrimination between various types of full guarantee insurance-based PRIIPs (100% of capital). Indeed, insurance PRIIPs which provide explicit full guarantee at any time would fall under class 1 (of option 1) which also covers products providing a full guarantee only after a minimum holding period. We fear that the lack of discrimination between these insurance products discredits one over the other.</w:t>
      </w:r>
    </w:p>
    <w:p w:rsidR="00652ED1" w:rsidRPr="00652ED1" w:rsidRDefault="00652ED1" w:rsidP="00652ED1"/>
    <w:p w:rsidR="00652ED1" w:rsidRPr="00652ED1" w:rsidRDefault="00652ED1" w:rsidP="00652ED1">
      <w:r w:rsidRPr="00652ED1">
        <w:t>Setting at the EU level high-level general principles while leaving the details of the model a</w:t>
      </w:r>
      <w:r>
        <w:t>t</w:t>
      </w:r>
      <w:r w:rsidRPr="00652ED1">
        <w:t xml:space="preserve"> </w:t>
      </w:r>
      <w:r w:rsidR="00EA22B5">
        <w:t xml:space="preserve">a </w:t>
      </w:r>
      <w:r w:rsidRPr="00652ED1">
        <w:t xml:space="preserve">national level seems to be a reasonable solution: </w:t>
      </w:r>
    </w:p>
    <w:p w:rsidR="00652ED1" w:rsidRPr="00652ED1" w:rsidRDefault="00652ED1" w:rsidP="00652ED1">
      <w:r w:rsidRPr="00652ED1">
        <w:tab/>
        <w:t xml:space="preserve">- </w:t>
      </w:r>
      <w:proofErr w:type="gramStart"/>
      <w:r w:rsidRPr="00652ED1">
        <w:t>it</w:t>
      </w:r>
      <w:proofErr w:type="gramEnd"/>
      <w:r w:rsidRPr="00652ED1">
        <w:t xml:space="preserve"> allows to some extent comparability between different PRIIPs, </w:t>
      </w:r>
    </w:p>
    <w:p w:rsidR="00652ED1" w:rsidRPr="00652ED1" w:rsidRDefault="00652ED1" w:rsidP="00652ED1">
      <w:r w:rsidRPr="00652ED1">
        <w:tab/>
        <w:t xml:space="preserve">- </w:t>
      </w:r>
      <w:proofErr w:type="gramStart"/>
      <w:r w:rsidRPr="00652ED1">
        <w:t>it</w:t>
      </w:r>
      <w:proofErr w:type="gramEnd"/>
      <w:r w:rsidRPr="00652ED1">
        <w:t xml:space="preserve"> ensures that the models will not hamper the products development. Investors could be di</w:t>
      </w:r>
      <w:r w:rsidRPr="00652ED1">
        <w:t>s</w:t>
      </w:r>
      <w:r w:rsidRPr="00652ED1">
        <w:t>suaded to invest in a PRIIP on the basis of the KID (although it matches their needs and demands) only because this document does not truly reflect the features of the product.</w:t>
      </w:r>
    </w:p>
    <w:permEnd w:id="20"/>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21" w:edGrp="everyone"/>
      <w:r>
        <w:t>TYPE YOUR TEXT HERE</w:t>
      </w:r>
    </w:p>
    <w:permEnd w:id="21"/>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652ED1" w:rsidRPr="00652ED1" w:rsidRDefault="00652ED1" w:rsidP="00652ED1">
      <w:permStart w:id="22" w:edGrp="everyone"/>
      <w:r w:rsidRPr="00652ED1">
        <w:t>We are in favour of a “hypothetical scenario” rather than a “probabilistic scenario”. We consider that d</w:t>
      </w:r>
      <w:r w:rsidRPr="00652ED1">
        <w:t>e</w:t>
      </w:r>
      <w:r w:rsidRPr="00652ED1">
        <w:t xml:space="preserve">terministic modelling is more suitable to facilitate retail investors’ understanding. </w:t>
      </w:r>
    </w:p>
    <w:p w:rsidR="00652ED1" w:rsidRPr="00652ED1" w:rsidRDefault="00652ED1" w:rsidP="00652ED1"/>
    <w:p w:rsidR="00652ED1" w:rsidRPr="00652ED1" w:rsidRDefault="00652ED1" w:rsidP="00652ED1">
      <w:r w:rsidRPr="00652ED1">
        <w:t>Within this “hypothetical scenario”, we would rather use a prescribed approach so as to ensure full comp</w:t>
      </w:r>
      <w:r w:rsidRPr="00652ED1">
        <w:t>a</w:t>
      </w:r>
      <w:r w:rsidRPr="00652ED1">
        <w:t xml:space="preserve">rability between different PRIIPs for the customers. </w:t>
      </w:r>
    </w:p>
    <w:p w:rsidR="00652ED1" w:rsidRPr="00652ED1" w:rsidRDefault="00652ED1" w:rsidP="00652ED1">
      <w:r w:rsidRPr="00652ED1">
        <w:t>Otherwise, when selecting the “manufacturer choice approach”, there would be a risk that manufacturers use the KIDs as a selling argument: indeed manufacturers could turn the performance scenarios to their advantages. We think that it would distort the KID of its initial goal which is to enable comparison between different PRIIPs on an objective basis.</w:t>
      </w:r>
    </w:p>
    <w:permEnd w:id="22"/>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652ED1" w:rsidP="00F31E57">
      <w:permStart w:id="23" w:edGrp="everyone"/>
      <w:r w:rsidRPr="00652ED1">
        <w:t>We are in favour of hypothetical scenarios even if they have no economical rea</w:t>
      </w:r>
      <w:r w:rsidRPr="00652ED1">
        <w:t>l</w:t>
      </w:r>
      <w:r w:rsidRPr="00652ED1">
        <w:t>ity</w:t>
      </w:r>
      <w:proofErr w:type="gramStart"/>
      <w:r w:rsidRPr="00652ED1">
        <w:t>.</w:t>
      </w:r>
      <w:permEnd w:id="23"/>
      <w:r w:rsidR="00F31E57">
        <w:t>&lt;</w:t>
      </w:r>
      <w:proofErr w:type="gramEnd"/>
      <w:r w:rsidR="00F31E57">
        <w: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F31E57" w:rsidP="00F31E57">
      <w:permStart w:id="24" w:edGrp="everyone"/>
      <w:r>
        <w:t>TYPE YOUR TEXT HERE</w:t>
      </w:r>
    </w:p>
    <w:permEnd w:id="24"/>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25" w:edGrp="everyone"/>
      <w:r>
        <w:t>TYPE YOUR TEXT HERE</w:t>
      </w:r>
    </w:p>
    <w:permEnd w:id="25"/>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26" w:edGrp="everyone"/>
      <w:r>
        <w:t>TYPE YOUR TEXT HERE</w:t>
      </w:r>
    </w:p>
    <w:permEnd w:id="26"/>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27" w:edGrp="everyone"/>
      <w:r>
        <w:t>TYPE YOUR TEXT HERE</w:t>
      </w:r>
    </w:p>
    <w:permEnd w:id="27"/>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28" w:edGrp="everyone"/>
      <w:r>
        <w:t>TYPE YOUR TEXT HERE</w:t>
      </w:r>
    </w:p>
    <w:permEnd w:id="28"/>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29" w:edGrp="everyone"/>
      <w:r>
        <w:t>TYPE YOUR TEXT HERE</w:t>
      </w:r>
    </w:p>
    <w:permEnd w:id="29"/>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30" w:edGrp="everyone"/>
      <w:r>
        <w:t>TYPE YOUR TEXT HERE</w:t>
      </w:r>
    </w:p>
    <w:permEnd w:id="30"/>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31" w:edGrp="everyone"/>
      <w:r>
        <w:t>TYPE YOUR TEXT HERE</w:t>
      </w:r>
    </w:p>
    <w:permEnd w:id="31"/>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32" w:edGrp="everyone"/>
      <w:r>
        <w:t>TYPE YOUR TEXT HERE</w:t>
      </w:r>
    </w:p>
    <w:permEnd w:id="32"/>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33" w:edGrp="everyone"/>
      <w:r>
        <w:t>TYPE YOUR TEXT HERE</w:t>
      </w:r>
    </w:p>
    <w:permEnd w:id="33"/>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34" w:edGrp="everyone"/>
      <w:r>
        <w:t>TYPE YOUR TEXT HERE</w:t>
      </w:r>
    </w:p>
    <w:permEnd w:id="3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35" w:edGrp="everyone"/>
      <w:r>
        <w:t>TYPE YOUR TEXT HERE</w:t>
      </w:r>
    </w:p>
    <w:permEnd w:id="35"/>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36" w:edGrp="everyone"/>
      <w:r>
        <w:t>TYPE YOUR TEXT HERE</w:t>
      </w:r>
    </w:p>
    <w:permEnd w:id="36"/>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37" w:edGrp="everyone"/>
      <w:r>
        <w:t>TYPE YOUR TEXT HERE</w:t>
      </w:r>
    </w:p>
    <w:permEnd w:id="37"/>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38" w:edGrp="everyone"/>
      <w:r>
        <w:t>TYPE YOUR TEXT HERE</w:t>
      </w:r>
    </w:p>
    <w:permEnd w:id="38"/>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39" w:edGrp="everyone"/>
      <w:r>
        <w:t>TYPE YOUR TEXT HERE</w:t>
      </w:r>
    </w:p>
    <w:permEnd w:id="39"/>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40" w:edGrp="everyone"/>
      <w:r>
        <w:t>TYPE YOUR TEXT HERE</w:t>
      </w:r>
    </w:p>
    <w:permEnd w:id="40"/>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41" w:edGrp="everyone"/>
      <w:r>
        <w:t>TYPE YOUR TEXT HERE</w:t>
      </w:r>
    </w:p>
    <w:permEnd w:id="41"/>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42" w:edGrp="everyone"/>
      <w:r>
        <w:t>TYPE YOUR TEXT HERE</w:t>
      </w:r>
    </w:p>
    <w:permEnd w:id="4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43" w:edGrp="everyone"/>
      <w:r>
        <w:t>TYPE YOUR TEXT HERE</w:t>
      </w:r>
    </w:p>
    <w:permEnd w:id="43"/>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lastRenderedPageBreak/>
        <w:t xml:space="preserve">As regards the abovementioned estimate, </w:t>
      </w:r>
      <w:r>
        <w:rPr>
          <w:rFonts w:cs="Arial"/>
        </w:rPr>
        <w:t>can the fair value approach be used?</w:t>
      </w:r>
      <w:r>
        <w:rPr>
          <w:rStyle w:val="Appelnotedebasdep"/>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44" w:edGrp="everyone"/>
      <w:r>
        <w:t>TYPE YOUR TEXT HERE</w:t>
      </w:r>
    </w:p>
    <w:permEnd w:id="44"/>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5" w:edGrp="everyone"/>
      <w:r>
        <w:t>TYPE YOUR TEXT HERE</w:t>
      </w:r>
    </w:p>
    <w:permEnd w:id="45"/>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6" w:edGrp="everyone"/>
      <w:r>
        <w:t>TYPE YOUR TEXT HERE</w:t>
      </w:r>
    </w:p>
    <w:permEnd w:id="46"/>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47" w:edGrp="everyone"/>
      <w:r>
        <w:t>TYPE YOUR TEXT HERE</w:t>
      </w:r>
    </w:p>
    <w:permEnd w:id="47"/>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48" w:edGrp="everyone"/>
      <w:r>
        <w:t>TYPE YOUR TEXT HERE</w:t>
      </w:r>
    </w:p>
    <w:permEnd w:id="48"/>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49" w:edGrp="everyone"/>
      <w:r>
        <w:t>TYPE YOUR TEXT HERE</w:t>
      </w:r>
    </w:p>
    <w:permEnd w:id="49"/>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50" w:edGrp="everyone"/>
      <w:r>
        <w:t>TYPE YOUR TEXT HERE</w:t>
      </w:r>
    </w:p>
    <w:permEnd w:id="50"/>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1" w:edGrp="everyone"/>
      <w:r>
        <w:t>TYPE YOUR TEXT HERE</w:t>
      </w:r>
    </w:p>
    <w:permEnd w:id="51"/>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652ED1" w:rsidRPr="00652ED1" w:rsidRDefault="00652ED1" w:rsidP="00652ED1">
      <w:permStart w:id="52" w:edGrp="everyone"/>
      <w:r w:rsidRPr="00652ED1">
        <w:t xml:space="preserve">We believe that the biometric risk premium should not be considered as a cost. Such premium is the price to pay to be covered at anytime by the insurer and to receive a benefit when the risk occurs. </w:t>
      </w:r>
    </w:p>
    <w:p w:rsidR="00652ED1" w:rsidRPr="00652ED1" w:rsidRDefault="00652ED1" w:rsidP="00652ED1"/>
    <w:p w:rsidR="00652ED1" w:rsidRPr="00652ED1" w:rsidRDefault="00652ED1" w:rsidP="00652ED1">
      <w:r w:rsidRPr="00652ED1">
        <w:t>It should be distinguished between:</w:t>
      </w:r>
    </w:p>
    <w:p w:rsidR="00652ED1" w:rsidRPr="00652ED1" w:rsidRDefault="00652ED1" w:rsidP="00652ED1">
      <w:pPr>
        <w:numPr>
          <w:ilvl w:val="0"/>
          <w:numId w:val="51"/>
        </w:numPr>
      </w:pPr>
      <w:r w:rsidRPr="00652ED1">
        <w:t xml:space="preserve">Costs: these are the charges that do not directly finance the benefit. They cover the expenses and the profit margin of the product designer or the distributors. </w:t>
      </w:r>
    </w:p>
    <w:p w:rsidR="00652ED1" w:rsidRPr="00652ED1" w:rsidRDefault="00652ED1" w:rsidP="00652ED1">
      <w:pPr>
        <w:numPr>
          <w:ilvl w:val="0"/>
          <w:numId w:val="51"/>
        </w:numPr>
      </w:pPr>
      <w:r w:rsidRPr="00652ED1">
        <w:t>The risk premium: it provides retail investors with additional benefits, namely the insurance cover. Risk premiums are calculated according to the actuarial equivalence principle. This ensures that the retail investor receives the equivalent value in insurance benefits in exchange for the risk pr</w:t>
      </w:r>
      <w:r w:rsidRPr="00652ED1">
        <w:t>e</w:t>
      </w:r>
      <w:r w:rsidRPr="00652ED1">
        <w:t>mium.</w:t>
      </w:r>
    </w:p>
    <w:p w:rsidR="00652ED1" w:rsidRPr="00652ED1" w:rsidRDefault="00652ED1" w:rsidP="00652ED1"/>
    <w:p w:rsidR="00652ED1" w:rsidRPr="00652ED1" w:rsidRDefault="00652ED1" w:rsidP="00652ED1">
      <w:r w:rsidRPr="00652ED1">
        <w:t>In our view, the cost indicator of the KID cannot aggregate costs and risk premium. It would be misleading (because the products would appear more expensive than they really are) and confusing for retail inve</w:t>
      </w:r>
      <w:r w:rsidRPr="00652ED1">
        <w:t>s</w:t>
      </w:r>
      <w:r w:rsidRPr="00652ED1">
        <w:t>tors (since the comparison with other non-insurance investment products would be false). The cost indic</w:t>
      </w:r>
      <w:r w:rsidRPr="00652ED1">
        <w:t>a</w:t>
      </w:r>
      <w:r w:rsidRPr="00652ED1">
        <w:t xml:space="preserve">tor should focus on the costs without taking into account the biometric risk premium. </w:t>
      </w:r>
    </w:p>
    <w:permEnd w:id="52"/>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652ED1" w:rsidRPr="00652ED1" w:rsidRDefault="00652ED1" w:rsidP="00652ED1">
      <w:permStart w:id="53" w:edGrp="everyone"/>
      <w:r w:rsidRPr="00652ED1">
        <w:t xml:space="preserve">We think that before listing the costs it is important to define what </w:t>
      </w:r>
      <w:proofErr w:type="gramStart"/>
      <w:r w:rsidRPr="00652ED1">
        <w:t>is a cost</w:t>
      </w:r>
      <w:proofErr w:type="gramEnd"/>
      <w:r w:rsidRPr="00652ED1">
        <w:t>:</w:t>
      </w:r>
    </w:p>
    <w:p w:rsidR="00652ED1" w:rsidRPr="00652ED1" w:rsidRDefault="00652ED1" w:rsidP="00652ED1"/>
    <w:p w:rsidR="00652ED1" w:rsidRPr="00652ED1" w:rsidRDefault="00652ED1" w:rsidP="00652ED1">
      <w:r w:rsidRPr="00652ED1">
        <w:t xml:space="preserve">It would help to avoid confusion between a cost which allows the insurer to cover his spending and a premium paid to buy an insurance benefit. A clear distinction must be made between costs and premiums. </w:t>
      </w:r>
    </w:p>
    <w:p w:rsidR="00652ED1" w:rsidRPr="00652ED1" w:rsidRDefault="00652ED1" w:rsidP="00652ED1">
      <w:r w:rsidRPr="00652ED1">
        <w:t xml:space="preserve">As a consequence, we campaign for the deletion of « e) costs for biometrical risks ». </w:t>
      </w:r>
    </w:p>
    <w:p w:rsidR="00652ED1" w:rsidRPr="00652ED1" w:rsidRDefault="00652ED1" w:rsidP="00652ED1"/>
    <w:p w:rsidR="00652ED1" w:rsidRPr="00652ED1" w:rsidRDefault="00652ED1" w:rsidP="00652ED1">
      <w:r w:rsidRPr="00652ED1">
        <w:t>In the same vein, we believe that the part of future profits from investments that are not distributed to policyholders cannot be seen as a cost. Both the decision of sharing and the amount to be shared fall under the insurer. Profit sharing is not determined on a contractual basis. Even more, the policyholder has no individual right on a possible profit sharing. Therefore we strongly affirm that the unshared part of the investment profit cannot be considered as a cost.</w:t>
      </w:r>
    </w:p>
    <w:permEnd w:id="53"/>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4" w:edGrp="everyone"/>
      <w:r>
        <w:t>TYPE YOUR TEXT HERE</w:t>
      </w:r>
    </w:p>
    <w:permEnd w:id="54"/>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5" w:edGrp="everyone"/>
      <w:r>
        <w:t>TYPE YOUR TEXT HERE</w:t>
      </w:r>
    </w:p>
    <w:permEnd w:id="55"/>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652ED1" w:rsidRPr="00652ED1" w:rsidRDefault="00652ED1" w:rsidP="00652ED1">
      <w:permStart w:id="56" w:edGrp="everyone"/>
      <w:r w:rsidRPr="00652ED1">
        <w:t>We do not want to project the part of the profits not distributed to policyholders on the costs indicator (see answers of Q46 and Q56).</w:t>
      </w:r>
    </w:p>
    <w:p w:rsidR="00652ED1" w:rsidRPr="00652ED1" w:rsidRDefault="00652ED1" w:rsidP="00652ED1"/>
    <w:p w:rsidR="00652ED1" w:rsidRPr="00652ED1" w:rsidRDefault="00652ED1" w:rsidP="00652ED1">
      <w:r w:rsidRPr="00652ED1">
        <w:t>Considering the underlying fund reallocation, we point out that fees are charged on each operation. If no reallocation is asked to the insurer, no fees are charged and it does not cost to the policyholder. Therefore including this type of cost in the indicator could be misleading. In such a case the indicator would present a high cost for this investment product whereas the product itself is not so costly.</w:t>
      </w:r>
    </w:p>
    <w:p w:rsidR="00652ED1" w:rsidRPr="00652ED1" w:rsidRDefault="00652ED1" w:rsidP="00652ED1"/>
    <w:p w:rsidR="00652ED1" w:rsidRPr="00652ED1" w:rsidRDefault="00652ED1" w:rsidP="00652ED1">
      <w:r w:rsidRPr="00652ED1">
        <w:t>This leads us to the conclusion that only unavoidable fees should be taken into account for the purpose of the costs indicator. Optional elements should be disregarded.</w:t>
      </w:r>
    </w:p>
    <w:p w:rsidR="00652ED1" w:rsidRPr="00652ED1" w:rsidRDefault="00652ED1" w:rsidP="00652ED1"/>
    <w:p w:rsidR="00652ED1" w:rsidRPr="00652ED1" w:rsidRDefault="00652ED1" w:rsidP="00652ED1">
      <w:r w:rsidRPr="00652ED1">
        <w:t>We recommend the use of the limitative list of costs provided in article A132-8 of the French insurance code. This article concerns four heading of costs: ““Entry costs and charges on payments”, “Ongoing costs during the life of the contract”; “Exit costs”; “Other costs”. These four headings cover all costs debited by the insurance undertaking. These are what we understand as costs and what should be disclosed to the customers. Only these costs should be taken into account for the purpose of the cost indicator.</w:t>
      </w:r>
    </w:p>
    <w:permEnd w:id="56"/>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57" w:edGrp="everyone"/>
      <w:r>
        <w:t>TYPE YOUR TEXT HERE</w:t>
      </w:r>
    </w:p>
    <w:permEnd w:id="57"/>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8" w:edGrp="everyone"/>
      <w:r>
        <w:t>TYPE YOUR TEXT HERE</w:t>
      </w:r>
    </w:p>
    <w:permEnd w:id="58"/>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59" w:edGrp="everyone"/>
      <w:r>
        <w:t>TYPE YOUR TEXT HERE</w:t>
      </w:r>
    </w:p>
    <w:permEnd w:id="59"/>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60" w:edGrp="everyone"/>
      <w:r>
        <w:t>TYPE YOUR TEXT HERE</w:t>
      </w:r>
    </w:p>
    <w:permEnd w:id="60"/>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61" w:edGrp="everyone"/>
      <w:r>
        <w:t>TYPE YOUR TEXT HERE</w:t>
      </w:r>
    </w:p>
    <w:permEnd w:id="61"/>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2" w:edGrp="everyone"/>
      <w:r>
        <w:t>TYPE YOUR TEXT HERE</w:t>
      </w:r>
    </w:p>
    <w:permEnd w:id="62"/>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w:t>
      </w:r>
      <w:r>
        <w:rPr>
          <w:rFonts w:cs="Arial"/>
        </w:rPr>
        <w:t>h</w:t>
      </w:r>
      <w:r>
        <w:rPr>
          <w:rFonts w:cs="Arial"/>
        </w:rPr>
        <w:t>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652ED1" w:rsidP="00F31E57">
      <w:permStart w:id="63" w:edGrp="everyone"/>
      <w:r w:rsidRPr="00652ED1">
        <w:t>We believe that the part of future profits from investments that are not distributed to policyholders cannot be seen as a cost. The policyholder has no individual right on the profit sharing which is done at the level of the undertaking. Given the multiple types of contracts in the UE, we think it is better not to consider the unshared part of the investment profit as a cost</w:t>
      </w:r>
      <w:proofErr w:type="gramStart"/>
      <w:r w:rsidRPr="00652ED1">
        <w:t>.</w:t>
      </w:r>
      <w:permEnd w:id="63"/>
      <w:r w:rsidR="00F31E57">
        <w:t>&lt;</w:t>
      </w:r>
      <w:proofErr w:type="gramEnd"/>
      <w:r w:rsidR="00F31E57">
        <w: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64" w:edGrp="everyone"/>
      <w:r>
        <w:t>TYPE YOUR TEXT HERE</w:t>
      </w:r>
    </w:p>
    <w:permEnd w:id="64"/>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652ED1" w:rsidRPr="00652ED1" w:rsidRDefault="00652ED1" w:rsidP="00652ED1">
      <w:permStart w:id="65" w:edGrp="everyone"/>
      <w:r w:rsidRPr="00652ED1">
        <w:t>It is of the utmost importance that no costs are accounted for twice in the PRIIPs’ KID. The criteria that define costs should be clearly detailed to avoid any confusion.</w:t>
      </w:r>
    </w:p>
    <w:p w:rsidR="00652ED1" w:rsidRPr="00652ED1" w:rsidRDefault="00652ED1" w:rsidP="00652ED1"/>
    <w:p w:rsidR="00652ED1" w:rsidRPr="00652ED1" w:rsidRDefault="00652ED1" w:rsidP="00652ED1">
      <w:r w:rsidRPr="00652ED1">
        <w:lastRenderedPageBreak/>
        <w:t xml:space="preserve">We think that the main features of each cost (when and how often it is charged, the basis of the charge; if it is conditional or unconditional) must be taken into account to decide whether the identified cost should be included in the indicator or not. </w:t>
      </w:r>
    </w:p>
    <w:p w:rsidR="00652ED1" w:rsidRPr="00652ED1" w:rsidRDefault="00652ED1" w:rsidP="00652ED1">
      <w:r w:rsidRPr="00652ED1">
        <w:t>Once again we would like to point out that, in our view:</w:t>
      </w:r>
    </w:p>
    <w:p w:rsidR="00652ED1" w:rsidRPr="00652ED1" w:rsidRDefault="00652ED1" w:rsidP="00652ED1">
      <w:r w:rsidRPr="00652ED1">
        <w:t xml:space="preserve">- </w:t>
      </w:r>
      <w:proofErr w:type="gramStart"/>
      <w:r w:rsidRPr="00652ED1">
        <w:t>biometric</w:t>
      </w:r>
      <w:proofErr w:type="gramEnd"/>
      <w:r w:rsidRPr="00652ED1">
        <w:t xml:space="preserve"> risk premiums are not costs,</w:t>
      </w:r>
    </w:p>
    <w:p w:rsidR="00652ED1" w:rsidRPr="00652ED1" w:rsidRDefault="00652ED1" w:rsidP="00652ED1">
      <w:r w:rsidRPr="00652ED1">
        <w:t xml:space="preserve">- </w:t>
      </w:r>
      <w:proofErr w:type="gramStart"/>
      <w:r w:rsidRPr="00652ED1">
        <w:t>unshared</w:t>
      </w:r>
      <w:proofErr w:type="gramEnd"/>
      <w:r w:rsidRPr="00652ED1">
        <w:t xml:space="preserve"> parts of investment profits are not costs, </w:t>
      </w:r>
    </w:p>
    <w:p w:rsidR="00652ED1" w:rsidRPr="00652ED1" w:rsidRDefault="00652ED1" w:rsidP="00652ED1">
      <w:r w:rsidRPr="00652ED1">
        <w:t xml:space="preserve">- </w:t>
      </w:r>
      <w:proofErr w:type="gramStart"/>
      <w:r w:rsidRPr="00652ED1">
        <w:t>only</w:t>
      </w:r>
      <w:proofErr w:type="gramEnd"/>
      <w:r w:rsidRPr="00652ED1">
        <w:t xml:space="preserve"> unavoidable fees should enter in the composition of the costs indicator. </w:t>
      </w:r>
    </w:p>
    <w:p w:rsidR="00652ED1" w:rsidRPr="00652ED1" w:rsidRDefault="00652ED1" w:rsidP="00652ED1"/>
    <w:p w:rsidR="00652ED1" w:rsidRPr="00652ED1" w:rsidRDefault="00652ED1" w:rsidP="00652ED1">
      <w:r w:rsidRPr="00652ED1">
        <w:t xml:space="preserve">Last but not least, information given in the KID has to be consistent with the pre contractual information given on the basis of Solvency 2 (article 185). If not, a policyholder could claim for damage on the basis of a lack of information and a loss of opportunity. This would be very detrimental for the insurer. </w:t>
      </w:r>
    </w:p>
    <w:permEnd w:id="65"/>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66" w:edGrp="everyone"/>
      <w:r>
        <w:t>TYPE YOUR TEXT HERE</w:t>
      </w:r>
    </w:p>
    <w:permEnd w:id="66"/>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67" w:edGrp="everyone"/>
      <w:r>
        <w:t>TYPE YOUR TEXT HERE</w:t>
      </w:r>
    </w:p>
    <w:permEnd w:id="67"/>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68" w:edGrp="everyone"/>
      <w:r>
        <w:t>TYPE YOUR TEXT HERE</w:t>
      </w:r>
    </w:p>
    <w:permEnd w:id="68"/>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69" w:edGrp="everyone"/>
      <w:r>
        <w:t>TYPE YOUR TEXT HERE</w:t>
      </w:r>
    </w:p>
    <w:permEnd w:id="69"/>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70" w:edGrp="everyone"/>
      <w:r>
        <w:t>TYPE YOUR TEXT HERE</w:t>
      </w:r>
    </w:p>
    <w:permEnd w:id="70"/>
    <w:p w:rsidR="00F31E57" w:rsidRDefault="00F31E57" w:rsidP="00F31E57">
      <w:r>
        <w:lastRenderedPageBreak/>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71" w:edGrp="everyone"/>
      <w:r>
        <w:t>TYPE YOUR TEXT HERE</w:t>
      </w:r>
    </w:p>
    <w:permEnd w:id="71"/>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72" w:edGrp="everyone"/>
      <w:r>
        <w:t>TYPE YOUR TEXT HERE</w:t>
      </w:r>
    </w:p>
    <w:permEnd w:id="72"/>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73" w:edGrp="everyone"/>
      <w:r>
        <w:t>TYPE YOUR TEXT HERE</w:t>
      </w:r>
    </w:p>
    <w:permEnd w:id="73"/>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74" w:edGrp="everyone"/>
      <w:r>
        <w:t>TYPE YOUR TEXT HERE</w:t>
      </w:r>
    </w:p>
    <w:permEnd w:id="74"/>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75" w:edGrp="everyone"/>
      <w:r>
        <w:t>TYPE YOUR TEXT HERE</w:t>
      </w:r>
    </w:p>
    <w:permEnd w:id="75"/>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76" w:edGrp="everyone"/>
      <w:r>
        <w:t>TYPE YOUR TEXT HERE</w:t>
      </w:r>
    </w:p>
    <w:permEnd w:id="76"/>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77" w:edGrp="everyone"/>
      <w:r>
        <w:lastRenderedPageBreak/>
        <w:t>TYPE YOUR TEXT HERE</w:t>
      </w:r>
    </w:p>
    <w:permEnd w:id="77"/>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78" w:edGrp="everyone"/>
      <w:r>
        <w:t>TYPE YOUR TEXT HERE</w:t>
      </w:r>
    </w:p>
    <w:permEnd w:id="78"/>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79" w:edGrp="everyone"/>
      <w:r>
        <w:t>TYPE YOUR TEXT HERE</w:t>
      </w:r>
    </w:p>
    <w:permEnd w:id="79"/>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80" w:edGrp="everyone"/>
      <w:r>
        <w:t>TYPE YOUR TEXT HERE</w:t>
      </w:r>
    </w:p>
    <w:permEnd w:id="80"/>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81" w:edGrp="everyone"/>
      <w:r>
        <w:t>TYPE YOUR TEXT HERE</w:t>
      </w:r>
    </w:p>
    <w:permEnd w:id="81"/>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82" w:edGrp="everyone"/>
      <w:r>
        <w:t>TYPE YOUR TEXT HERE</w:t>
      </w:r>
    </w:p>
    <w:permEnd w:id="82"/>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83" w:edGrp="everyone"/>
      <w:r>
        <w:t>TYPE YOUR TEXT HERE</w:t>
      </w:r>
    </w:p>
    <w:permEnd w:id="83"/>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84" w:edGrp="everyone"/>
      <w:r>
        <w:t>TYPE YOUR TEXT HERE</w:t>
      </w:r>
    </w:p>
    <w:permEnd w:id="84"/>
    <w:p w:rsidR="00F31E57" w:rsidRDefault="00F31E57" w:rsidP="00F31E57">
      <w:r>
        <w:lastRenderedPageBreak/>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85" w:edGrp="everyone"/>
      <w:r>
        <w:t>TYPE YOUR TEXT HERE</w:t>
      </w:r>
    </w:p>
    <w:permEnd w:id="85"/>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86" w:edGrp="everyone"/>
      <w:r>
        <w:t>TYPE YOUR TEXT HERE</w:t>
      </w:r>
    </w:p>
    <w:permEnd w:id="86"/>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87" w:edGrp="everyone"/>
      <w:r>
        <w:t>TYPE YOUR TEXT HERE</w:t>
      </w:r>
    </w:p>
    <w:permEnd w:id="87"/>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88" w:edGrp="everyone"/>
      <w:r>
        <w:t>TYPE YOUR TEXT HERE</w:t>
      </w:r>
    </w:p>
    <w:permEnd w:id="88"/>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89" w:edGrp="everyone"/>
      <w:r>
        <w:t>TYPE YOUR TEXT HERE</w:t>
      </w:r>
    </w:p>
    <w:permEnd w:id="89"/>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652ED1" w:rsidRPr="00652ED1" w:rsidRDefault="00652ED1" w:rsidP="00652ED1">
      <w:permStart w:id="90" w:edGrp="everyone"/>
      <w:r w:rsidRPr="00652ED1">
        <w:t>We do not agree with the assertion that costs may differ depending on the age of the customer. As a</w:t>
      </w:r>
      <w:r w:rsidRPr="00652ED1">
        <w:t>l</w:t>
      </w:r>
      <w:r w:rsidRPr="00652ED1">
        <w:t xml:space="preserve">ready noted in Q45 and Q58, we campaign for a clear distinction between risk premiums and costs. Only premiums for protection against biometric risks - which are payments that directly finance the benefits of a </w:t>
      </w:r>
      <w:r w:rsidRPr="00652ED1">
        <w:lastRenderedPageBreak/>
        <w:t xml:space="preserve">PRIIP – vary with the age of the insured. Costs will never differ on the age of the customer and other parameters. </w:t>
      </w:r>
    </w:p>
    <w:p w:rsidR="00652ED1" w:rsidRPr="00652ED1" w:rsidRDefault="00652ED1" w:rsidP="00652ED1"/>
    <w:p w:rsidR="00652ED1" w:rsidRPr="00652ED1" w:rsidRDefault="00652ED1" w:rsidP="00652ED1">
      <w:r w:rsidRPr="00652ED1">
        <w:t>We also want to point out that the KID is a pre-contractual document which cannot be personalised. It is therefore inappropriate to consider several KIDs dependent on the “age of the customer and other p</w:t>
      </w:r>
      <w:r w:rsidRPr="00652ED1">
        <w:t>a</w:t>
      </w:r>
      <w:r w:rsidRPr="00652ED1">
        <w:t xml:space="preserve">rameters”. Requesting the manufacturer to create several KIDs would be a non sense: it would weigh on the manufacturing costs of the insurers in comparison with other PRIIPs manufacturers. </w:t>
      </w:r>
    </w:p>
    <w:p w:rsidR="00652ED1" w:rsidRPr="00652ED1" w:rsidRDefault="00652ED1" w:rsidP="00652ED1">
      <w:r w:rsidRPr="00652ED1">
        <w:t xml:space="preserve">We then believe that ESAs should not consider several KIDs for several ages: it would be too complex and too costly. </w:t>
      </w:r>
    </w:p>
    <w:permEnd w:id="90"/>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91" w:edGrp="everyone"/>
      <w:r>
        <w:t>TYPE YOUR TEXT HERE</w:t>
      </w:r>
    </w:p>
    <w:permEnd w:id="91"/>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92" w:edGrp="everyone"/>
      <w:r>
        <w:t>TYPE YOUR TEXT HERE</w:t>
      </w:r>
    </w:p>
    <w:permEnd w:id="92"/>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93" w:edGrp="everyone"/>
      <w:r>
        <w:t>TYPE YOUR TEXT HERE</w:t>
      </w:r>
    </w:p>
    <w:permEnd w:id="93"/>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w:t>
      </w:r>
      <w:r>
        <w:rPr>
          <w:rFonts w:cs="Arial"/>
        </w:rPr>
        <w:t>i</w:t>
      </w:r>
      <w:r>
        <w:rPr>
          <w:rFonts w:cs="Arial"/>
        </w:rPr>
        <w:t>tion with the other types of PRIIPs in this regard? Another possible approach could be to use the ratio between the total amount of costs over the holding period and the a</w:t>
      </w:r>
      <w:r>
        <w:rPr>
          <w:rFonts w:cs="Arial"/>
        </w:rPr>
        <w:t>v</w:t>
      </w:r>
      <w:r>
        <w:rPr>
          <w:rFonts w:cs="Arial"/>
        </w:rPr>
        <w:t>erage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t>
      </w:r>
      <w:r>
        <w:rPr>
          <w:rFonts w:cs="Arial"/>
        </w:rPr>
        <w:lastRenderedPageBreak/>
        <w:t xml:space="preserve">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4" w:edGrp="everyone"/>
      <w:r>
        <w:t>TYPE YOUR TEXT HERE</w:t>
      </w:r>
    </w:p>
    <w:permEnd w:id="94"/>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95" w:edGrp="everyone"/>
      <w:r>
        <w:t>TYPE YOUR TEXT HERE</w:t>
      </w:r>
    </w:p>
    <w:permEnd w:id="95"/>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96" w:edGrp="everyone"/>
      <w:r>
        <w:t>TYPE YOUR TEXT HERE</w:t>
      </w:r>
    </w:p>
    <w:permEnd w:id="96"/>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97" w:edGrp="everyone"/>
      <w:r>
        <w:t>TYPE YOUR TEXT HERE</w:t>
      </w:r>
    </w:p>
    <w:permEnd w:id="97"/>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98" w:edGrp="everyone"/>
      <w:r>
        <w:t>TYPE YOUR TEXT HERE</w:t>
      </w:r>
    </w:p>
    <w:permEnd w:id="98"/>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lastRenderedPageBreak/>
        <w:t>Do you think this methodology should be further detailed? To what extent do you think this methodology is appropriate and feasible (notably in terms of calibration of the model)? It might indeed be considered that valuation models for Solvency II us</w:t>
      </w:r>
      <w:r>
        <w:rPr>
          <w:rFonts w:cs="Arial"/>
        </w:rPr>
        <w:t>u</w:t>
      </w:r>
      <w:r>
        <w:rPr>
          <w:rFonts w:cs="Arial"/>
        </w:rPr>
        <w:t>ally are not likely to be designed for per contract calculations. Life insurers may r</w:t>
      </w:r>
      <w:r>
        <w:rPr>
          <w:rFonts w:cs="Arial"/>
        </w:rPr>
        <w:t>e</w:t>
      </w:r>
      <w:r>
        <w:rPr>
          <w:rFonts w:cs="Arial"/>
        </w:rPr>
        <w:t>strict the calculation of technical provisions in the Solvency II-Balance-Sheet to h</w:t>
      </w:r>
      <w:r>
        <w:rPr>
          <w:rFonts w:cs="Arial"/>
        </w:rPr>
        <w:t>o</w:t>
      </w:r>
      <w:r>
        <w:rPr>
          <w:rFonts w:cs="Arial"/>
        </w:rPr>
        <w:t xml:space="preserve">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99" w:edGrp="everyone"/>
      <w:r>
        <w:t>TYPE YOUR TEXT HERE</w:t>
      </w:r>
    </w:p>
    <w:permEnd w:id="99"/>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00" w:edGrp="everyone"/>
      <w:r>
        <w:t>TYPE YOUR TEXT HERE</w:t>
      </w:r>
    </w:p>
    <w:permEnd w:id="100"/>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01" w:edGrp="everyone"/>
      <w:r>
        <w:t>TYPE YOUR TEXT HERE</w:t>
      </w:r>
    </w:p>
    <w:permEnd w:id="101"/>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102" w:edGrp="everyone"/>
      <w:r>
        <w:t>TYPE YOUR TEXT HERE</w:t>
      </w:r>
    </w:p>
    <w:permEnd w:id="102"/>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03" w:edGrp="everyone"/>
      <w:r>
        <w:t>TYPE YOUR TEXT HERE</w:t>
      </w:r>
    </w:p>
    <w:permEnd w:id="103"/>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04" w:edGrp="everyone"/>
      <w:r>
        <w:t>TYPE YOUR TEXT HERE</w:t>
      </w:r>
    </w:p>
    <w:permEnd w:id="104"/>
    <w:p w:rsidR="00F31E57" w:rsidRDefault="00F31E57" w:rsidP="00F31E57">
      <w:r>
        <w:lastRenderedPageBreak/>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05" w:edGrp="everyone"/>
      <w:r>
        <w:t>TYPE YOUR TEXT HERE</w:t>
      </w:r>
    </w:p>
    <w:permEnd w:id="105"/>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06" w:edGrp="everyone"/>
      <w:r>
        <w:t>TYPE YOUR TEXT HERE</w:t>
      </w:r>
    </w:p>
    <w:permEnd w:id="10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E5" w:rsidRDefault="006409E5">
      <w:r>
        <w:separator/>
      </w:r>
    </w:p>
    <w:p w:rsidR="006409E5" w:rsidRDefault="006409E5"/>
  </w:endnote>
  <w:endnote w:type="continuationSeparator" w:id="0">
    <w:p w:rsidR="006409E5" w:rsidRDefault="006409E5">
      <w:r>
        <w:continuationSeparator/>
      </w:r>
    </w:p>
    <w:p w:rsidR="006409E5" w:rsidRDefault="006409E5"/>
  </w:endnote>
  <w:endnote w:type="continuationNotice" w:id="1">
    <w:p w:rsidR="006409E5" w:rsidRDefault="006409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652ED1" w:rsidRPr="00616B9B" w:rsidTr="00315E96">
      <w:trPr>
        <w:trHeight w:val="284"/>
      </w:trPr>
      <w:tc>
        <w:tcPr>
          <w:tcW w:w="8460" w:type="dxa"/>
        </w:tcPr>
        <w:p w:rsidR="00652ED1" w:rsidRPr="00315E96" w:rsidRDefault="00652ED1" w:rsidP="00315E96">
          <w:pPr>
            <w:pStyle w:val="00Footer"/>
            <w:rPr>
              <w:lang w:val="fr-FR"/>
            </w:rPr>
          </w:pPr>
        </w:p>
      </w:tc>
      <w:tc>
        <w:tcPr>
          <w:tcW w:w="952" w:type="dxa"/>
        </w:tcPr>
        <w:p w:rsidR="00652ED1" w:rsidRPr="00616B9B" w:rsidRDefault="00F924F9" w:rsidP="002C5B2D">
          <w:pPr>
            <w:pStyle w:val="00aPagenumber"/>
            <w:rPr>
              <w:rFonts w:cs="Arial"/>
              <w:sz w:val="22"/>
              <w:szCs w:val="22"/>
            </w:rPr>
          </w:pPr>
          <w:r w:rsidRPr="00616B9B">
            <w:rPr>
              <w:rFonts w:cs="Arial"/>
              <w:sz w:val="22"/>
              <w:szCs w:val="22"/>
            </w:rPr>
            <w:fldChar w:fldCharType="begin"/>
          </w:r>
          <w:r w:rsidR="00652ED1" w:rsidRPr="00616B9B">
            <w:rPr>
              <w:rFonts w:cs="Arial"/>
              <w:sz w:val="22"/>
              <w:szCs w:val="22"/>
            </w:rPr>
            <w:instrText xml:space="preserve"> PAGE </w:instrText>
          </w:r>
          <w:r w:rsidRPr="00616B9B">
            <w:rPr>
              <w:rFonts w:cs="Arial"/>
              <w:sz w:val="22"/>
              <w:szCs w:val="22"/>
            </w:rPr>
            <w:fldChar w:fldCharType="separate"/>
          </w:r>
          <w:r w:rsidR="00370091">
            <w:rPr>
              <w:rFonts w:cs="Arial"/>
              <w:noProof/>
              <w:sz w:val="22"/>
              <w:szCs w:val="22"/>
            </w:rPr>
            <w:t>4</w:t>
          </w:r>
          <w:r w:rsidRPr="00616B9B">
            <w:rPr>
              <w:rFonts w:cs="Arial"/>
              <w:noProof/>
              <w:sz w:val="22"/>
              <w:szCs w:val="22"/>
            </w:rPr>
            <w:fldChar w:fldCharType="end"/>
          </w:r>
        </w:p>
      </w:tc>
    </w:tr>
  </w:tbl>
  <w:p w:rsidR="00652ED1" w:rsidRDefault="00652ED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D1" w:rsidRDefault="00652E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E5" w:rsidRDefault="006409E5">
      <w:r>
        <w:separator/>
      </w:r>
    </w:p>
    <w:p w:rsidR="006409E5" w:rsidRDefault="006409E5"/>
  </w:footnote>
  <w:footnote w:type="continuationSeparator" w:id="0">
    <w:p w:rsidR="006409E5" w:rsidRDefault="006409E5">
      <w:r>
        <w:continuationSeparator/>
      </w:r>
    </w:p>
    <w:p w:rsidR="006409E5" w:rsidRDefault="006409E5"/>
  </w:footnote>
  <w:footnote w:type="continuationNotice" w:id="1">
    <w:p w:rsidR="006409E5" w:rsidRDefault="006409E5"/>
  </w:footnote>
  <w:footnote w:id="2">
    <w:p w:rsidR="00652ED1" w:rsidRPr="00554E48" w:rsidRDefault="00652ED1" w:rsidP="007E2302">
      <w:pPr>
        <w:pStyle w:val="Notedebasdepage"/>
        <w:rPr>
          <w:szCs w:val="16"/>
        </w:rPr>
      </w:pPr>
      <w:r w:rsidRPr="00554E48">
        <w:rPr>
          <w:rStyle w:val="Appelnotedebasdep"/>
          <w:szCs w:val="16"/>
        </w:rPr>
        <w:footnoteRef/>
      </w:r>
      <w:r w:rsidRPr="00554E48">
        <w:rPr>
          <w:szCs w:val="16"/>
        </w:rPr>
        <w:t xml:space="preserve"> See </w:t>
      </w:r>
      <w:hyperlink r:id="rId1" w:history="1">
        <w:r w:rsidRPr="00554E48">
          <w:rPr>
            <w:rStyle w:val="Lienhypertexte"/>
            <w:szCs w:val="16"/>
          </w:rPr>
          <w:t>https://eiopa.europa.eu/about-eiopa/legal-framework/public-access-to-documents/index.html</w:t>
        </w:r>
      </w:hyperlink>
      <w:r w:rsidRPr="00554E48">
        <w:rPr>
          <w:szCs w:val="16"/>
        </w:rPr>
        <w:t xml:space="preserve">. </w:t>
      </w:r>
    </w:p>
  </w:footnote>
  <w:footnote w:id="3">
    <w:p w:rsidR="00652ED1" w:rsidRDefault="00652ED1" w:rsidP="00F31E57">
      <w:pPr>
        <w:pStyle w:val="Notedebasdepage"/>
        <w:rPr>
          <w:szCs w:val="16"/>
        </w:rPr>
      </w:pPr>
      <w:r>
        <w:rPr>
          <w:rStyle w:val="Appelnotedebasdep"/>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D1" w:rsidRDefault="00652ED1">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F924F9">
      <w:rPr>
        <w:noProof/>
        <w:lang w:val="fr-FR" w:eastAsia="fr-FR"/>
      </w:rPr>
      <w:pict>
        <v:line id="Line 16" o:spid="_x0000_s1229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D1" w:rsidRDefault="00652ED1"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D1" w:rsidRDefault="00652ED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652ED1" w:rsidRPr="002F4496" w:rsidTr="000C06C9">
      <w:trPr>
        <w:trHeight w:val="284"/>
      </w:trPr>
      <w:tc>
        <w:tcPr>
          <w:tcW w:w="8460" w:type="dxa"/>
        </w:tcPr>
        <w:p w:rsidR="00652ED1" w:rsidRPr="000C3B6D" w:rsidRDefault="00652ED1" w:rsidP="000C06C9">
          <w:pPr>
            <w:pStyle w:val="00Footer"/>
            <w:rPr>
              <w:lang w:val="fr-FR"/>
            </w:rPr>
          </w:pPr>
        </w:p>
      </w:tc>
      <w:tc>
        <w:tcPr>
          <w:tcW w:w="952" w:type="dxa"/>
        </w:tcPr>
        <w:p w:rsidR="00652ED1" w:rsidRPr="00146B34" w:rsidRDefault="00652ED1" w:rsidP="000C06C9">
          <w:pPr>
            <w:pStyle w:val="00aPagenumber"/>
            <w:rPr>
              <w:lang w:val="fr-FR"/>
            </w:rPr>
          </w:pPr>
        </w:p>
      </w:tc>
    </w:tr>
  </w:tbl>
  <w:p w:rsidR="00652ED1" w:rsidRPr="00DB46C3" w:rsidRDefault="00652ED1">
    <w:pPr>
      <w:rPr>
        <w:lang w:val="fr-FR"/>
      </w:rPr>
    </w:pPr>
  </w:p>
  <w:p w:rsidR="00652ED1" w:rsidRPr="002F4496" w:rsidRDefault="00652ED1">
    <w:pPr>
      <w:pStyle w:val="En-tte"/>
      <w:rPr>
        <w:lang w:val="fr-FR"/>
      </w:rPr>
    </w:pPr>
  </w:p>
  <w:p w:rsidR="00652ED1" w:rsidRPr="002F4496" w:rsidRDefault="00652ED1" w:rsidP="000C06C9">
    <w:pPr>
      <w:pStyle w:val="En-tte"/>
      <w:tabs>
        <w:tab w:val="clear" w:pos="4536"/>
        <w:tab w:val="clear" w:pos="9072"/>
        <w:tab w:val="left" w:pos="8227"/>
      </w:tabs>
      <w:rPr>
        <w:lang w:val="fr-FR"/>
      </w:rPr>
    </w:pPr>
  </w:p>
  <w:p w:rsidR="00652ED1" w:rsidRPr="002F4496" w:rsidRDefault="00652ED1" w:rsidP="000C06C9">
    <w:pPr>
      <w:pStyle w:val="En-tte"/>
      <w:tabs>
        <w:tab w:val="clear" w:pos="4536"/>
        <w:tab w:val="clear" w:pos="9072"/>
        <w:tab w:val="left" w:pos="8227"/>
      </w:tabs>
      <w:rPr>
        <w:lang w:val="fr-FR"/>
      </w:rPr>
    </w:pPr>
  </w:p>
  <w:p w:rsidR="00652ED1" w:rsidRPr="002F4496" w:rsidRDefault="00652ED1">
    <w:pPr>
      <w:pStyle w:val="En-tte"/>
      <w:rPr>
        <w:lang w:val="fr-FR"/>
      </w:rPr>
    </w:pPr>
  </w:p>
  <w:p w:rsidR="00652ED1" w:rsidRPr="002F4496" w:rsidRDefault="00652ED1">
    <w:pPr>
      <w:pStyle w:val="En-tte"/>
      <w:rPr>
        <w:lang w:val="fr-FR"/>
      </w:rPr>
    </w:pPr>
  </w:p>
  <w:p w:rsidR="00652ED1" w:rsidRPr="002F4496" w:rsidRDefault="00652ED1">
    <w:pPr>
      <w:pStyle w:val="En-tte"/>
      <w:rPr>
        <w:lang w:val="fr-FR"/>
      </w:rPr>
    </w:pPr>
  </w:p>
  <w:p w:rsidR="00652ED1" w:rsidRPr="002F4496" w:rsidRDefault="00652ED1">
    <w:pPr>
      <w:pStyle w:val="En-tte"/>
      <w:rPr>
        <w:lang w:val="fr-FR"/>
      </w:rPr>
    </w:pPr>
  </w:p>
  <w:p w:rsidR="00652ED1" w:rsidRPr="002F4496" w:rsidRDefault="00652ED1">
    <w:pPr>
      <w:pStyle w:val="En-tte"/>
      <w:rPr>
        <w:highlight w:val="yellow"/>
        <w:lang w:val="fr-FR"/>
      </w:rPr>
    </w:pPr>
  </w:p>
  <w:p w:rsidR="00652ED1" w:rsidRDefault="00F924F9">
    <w:pPr>
      <w:pStyle w:val="En-tte"/>
    </w:pPr>
    <w:r>
      <w:rPr>
        <w:noProof/>
        <w:lang w:val="fr-FR" w:eastAsia="fr-FR"/>
      </w:rPr>
      <w:pict>
        <v:line id="Straight Connector 138" o:spid="_x0000_s12289"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652ED1">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1A0B"/>
    <w:multiLevelType w:val="hybridMultilevel"/>
    <w:tmpl w:val="A3D6D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6"/>
  </w:num>
  <w:num w:numId="22">
    <w:abstractNumId w:val="23"/>
  </w:num>
  <w:num w:numId="23">
    <w:abstractNumId w:val="9"/>
  </w:num>
  <w:num w:numId="24">
    <w:abstractNumId w:val="30"/>
  </w:num>
  <w:num w:numId="25">
    <w:abstractNumId w:val="29"/>
  </w:num>
  <w:num w:numId="26">
    <w:abstractNumId w:val="18"/>
  </w:num>
  <w:num w:numId="27">
    <w:abstractNumId w:val="33"/>
  </w:num>
  <w:num w:numId="28">
    <w:abstractNumId w:val="38"/>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F01"/>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4338">
      <o:colormru v:ext="edit" colors="#2d4491,#283583"/>
    </o:shapedefaults>
    <o:shapelayout v:ext="edit">
      <o:idmap v:ext="edit" data="1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091"/>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7B8"/>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9E5"/>
    <w:rsid w:val="00640DCD"/>
    <w:rsid w:val="00641DC3"/>
    <w:rsid w:val="00642972"/>
    <w:rsid w:val="00644F4D"/>
    <w:rsid w:val="006469B1"/>
    <w:rsid w:val="00646C0D"/>
    <w:rsid w:val="006476F7"/>
    <w:rsid w:val="0064779E"/>
    <w:rsid w:val="006501FA"/>
    <w:rsid w:val="006509B0"/>
    <w:rsid w:val="006521F3"/>
    <w:rsid w:val="006524D5"/>
    <w:rsid w:val="00652BBD"/>
    <w:rsid w:val="00652ED1"/>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6036"/>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2B5"/>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E5A"/>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4F9"/>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34CC-45B5-4569-99D7-E2026C7EF074}">
  <ds:schemaRefs>
    <ds:schemaRef ds:uri="http://schemas.openxmlformats.org/officeDocument/2006/bibliography"/>
  </ds:schemaRefs>
</ds:datastoreItem>
</file>

<file path=customXml/itemProps2.xml><?xml version="1.0" encoding="utf-8"?>
<ds:datastoreItem xmlns:ds="http://schemas.openxmlformats.org/officeDocument/2006/customXml" ds:itemID="{3ABB0BCD-6E1C-4B69-8A9B-A64B3B58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6166</Words>
  <Characters>33919</Characters>
  <Application>Microsoft Office Word</Application>
  <DocSecurity>8</DocSecurity>
  <Lines>282</Lines>
  <Paragraphs>80</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40005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cremiere-bouxin</cp:lastModifiedBy>
  <cp:revision>4</cp:revision>
  <cp:lastPrinted>2015-02-18T11:01:00Z</cp:lastPrinted>
  <dcterms:created xsi:type="dcterms:W3CDTF">2015-08-13T07:30:00Z</dcterms:created>
  <dcterms:modified xsi:type="dcterms:W3CDTF">2015-08-13T12:27:00Z</dcterms:modified>
</cp:coreProperties>
</file>