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17BCE057" w14:textId="77777777" w:rsidTr="00315E96">
        <w:trPr>
          <w:trHeight w:val="284"/>
        </w:trPr>
        <w:tc>
          <w:tcPr>
            <w:tcW w:w="9412" w:type="dxa"/>
          </w:tcPr>
          <w:p w14:paraId="6BC8F71C" w14:textId="77777777"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14:paraId="43F72420"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630DA825" w14:textId="77777777" w:rsidTr="00B835D5">
        <w:trPr>
          <w:trHeight w:hRule="exact" w:val="1209"/>
        </w:trPr>
        <w:tc>
          <w:tcPr>
            <w:tcW w:w="9397" w:type="dxa"/>
            <w:vAlign w:val="bottom"/>
          </w:tcPr>
          <w:p w14:paraId="7B31B424"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3CD8C516" w14:textId="77777777"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14:paraId="5F96488A" w14:textId="77777777" w:rsidTr="00B835D5">
        <w:trPr>
          <w:trHeight w:hRule="exact" w:val="605"/>
        </w:trPr>
        <w:tc>
          <w:tcPr>
            <w:tcW w:w="9397" w:type="dxa"/>
            <w:tcMar>
              <w:top w:w="142" w:type="dxa"/>
            </w:tcMar>
          </w:tcPr>
          <w:p w14:paraId="1DF87467"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2369CE05" w14:textId="77777777"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0ECD6A89" w14:textId="77777777" w:rsidTr="00315E96">
        <w:trPr>
          <w:trHeight w:hRule="exact" w:val="964"/>
        </w:trPr>
        <w:tc>
          <w:tcPr>
            <w:tcW w:w="2325" w:type="dxa"/>
          </w:tcPr>
          <w:p w14:paraId="2D116145" w14:textId="77777777"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14:paraId="797CD4C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4FB82F3" w14:textId="77777777"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14:paraId="7FDB8801" w14:textId="77777777" w:rsidR="007E2302" w:rsidRPr="00F520E3" w:rsidRDefault="007E2302" w:rsidP="007E2302">
      <w:pPr>
        <w:jc w:val="both"/>
      </w:pPr>
    </w:p>
    <w:p w14:paraId="23FD8580"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4FF75225"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14:paraId="5E173CB1"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14:paraId="3C8037AE" w14:textId="77777777"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14:paraId="1DE4DED6"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70457C4D"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4BE7788"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09FC6311"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327141AB" w14:textId="77777777"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14:paraId="3DF10354" w14:textId="77777777" w:rsidR="001D000A" w:rsidRDefault="001D000A" w:rsidP="000D17AA">
      <w:pPr>
        <w:pStyle w:val="04BodyText"/>
        <w:spacing w:before="120" w:after="120"/>
        <w:jc w:val="left"/>
        <w:rPr>
          <w:rFonts w:cs="Arial"/>
          <w:b/>
        </w:rPr>
      </w:pPr>
    </w:p>
    <w:p w14:paraId="62198EEC" w14:textId="77777777" w:rsidR="000D17AA" w:rsidRPr="00EF0769" w:rsidRDefault="00606240" w:rsidP="000D17AA">
      <w:pPr>
        <w:pStyle w:val="04BodyText"/>
        <w:spacing w:before="120" w:after="120"/>
        <w:jc w:val="left"/>
        <w:rPr>
          <w:rFonts w:cs="Arial"/>
          <w:b/>
        </w:rPr>
      </w:pPr>
      <w:r>
        <w:rPr>
          <w:rFonts w:cs="Arial"/>
          <w:b/>
        </w:rPr>
        <w:t>Naming protocol</w:t>
      </w:r>
    </w:p>
    <w:p w14:paraId="098CD2AC"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14:paraId="7A7AC947" w14:textId="77777777"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14:paraId="53889CDB"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3AF66556" w14:textId="77777777"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14:paraId="199A5DAD" w14:textId="77777777"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14:paraId="5208699F"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27C8E64F"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61382D9A"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33A6308"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14:paraId="31F60DF0"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textovodkaz"/>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14:paraId="4781767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4CAAC1F8"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4DE021E8" w14:textId="77777777"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Znakapoznpodarou"/>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14:paraId="2A81A0D1"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14:paraId="4A033C1B"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7925AAE7" w14:textId="77777777"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14:paraId="351A4A9E"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4CAD5C0D" w14:textId="77777777" w:rsidR="00332304" w:rsidRDefault="00332304">
      <w:pPr>
        <w:rPr>
          <w:rFonts w:cs="Arial"/>
          <w:b/>
          <w:bCs/>
          <w:kern w:val="32"/>
          <w:sz w:val="24"/>
          <w:szCs w:val="32"/>
        </w:rPr>
      </w:pPr>
      <w:r>
        <w:br w:type="page"/>
      </w:r>
    </w:p>
    <w:p w14:paraId="31B13198" w14:textId="77777777" w:rsidR="00D34282" w:rsidRPr="00AB6D88" w:rsidRDefault="00D34282" w:rsidP="00D34282">
      <w:pPr>
        <w:pStyle w:val="Nadpis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14:paraId="6ECAB38E" w14:textId="77777777" w:rsidTr="009359C3">
        <w:tc>
          <w:tcPr>
            <w:tcW w:w="3929" w:type="dxa"/>
            <w:shd w:val="clear" w:color="auto" w:fill="auto"/>
          </w:tcPr>
          <w:p w14:paraId="75C86A02" w14:textId="77777777" w:rsidR="00D34282" w:rsidRPr="00AB6D88" w:rsidRDefault="00D34282" w:rsidP="009359C3">
            <w:pPr>
              <w:rPr>
                <w:rFonts w:cs="Arial"/>
              </w:rPr>
            </w:pPr>
            <w:permStart w:id="529745" w:edGrp="everyone" w:colFirst="1" w:colLast="1"/>
            <w:r w:rsidRPr="00AB6D88">
              <w:rPr>
                <w:rFonts w:cs="Arial"/>
              </w:rPr>
              <w:t>Name of the company / organisation</w:t>
            </w:r>
          </w:p>
        </w:tc>
        <w:sdt>
          <w:sdtPr>
            <w:rPr>
              <w:rStyle w:val="Zstupntext"/>
              <w:rFonts w:cs="Arial"/>
            </w:rPr>
            <w:id w:val="-1905066999"/>
            <w:text/>
          </w:sdtPr>
          <w:sdtEndPr>
            <w:rPr>
              <w:rStyle w:val="Zstupntext"/>
            </w:rPr>
          </w:sdtEndPr>
          <w:sdtContent>
            <w:permStart w:id="1113530184" w:edGrp="everyone" w:displacedByCustomXml="prev"/>
            <w:tc>
              <w:tcPr>
                <w:tcW w:w="5595" w:type="dxa"/>
                <w:shd w:val="clear" w:color="auto" w:fill="auto"/>
              </w:tcPr>
              <w:p w14:paraId="2497CE1B" w14:textId="77777777" w:rsidR="00D34282" w:rsidRPr="00AB6D88" w:rsidRDefault="00E857EA" w:rsidP="00E857EA">
                <w:pPr>
                  <w:rPr>
                    <w:rStyle w:val="Zstupntext"/>
                    <w:rFonts w:cs="Arial"/>
                  </w:rPr>
                </w:pPr>
                <w:r>
                  <w:rPr>
                    <w:rStyle w:val="Zstupntext"/>
                    <w:rFonts w:cs="Arial"/>
                  </w:rPr>
                  <w:t>Financial Services User Group</w:t>
                </w:r>
              </w:p>
            </w:tc>
            <w:permEnd w:id="1113530184" w:displacedByCustomXml="next"/>
          </w:sdtContent>
        </w:sdt>
      </w:tr>
      <w:tr w:rsidR="00D34282" w:rsidRPr="00AB6D88" w14:paraId="70627FC2" w14:textId="77777777" w:rsidTr="009359C3">
        <w:tc>
          <w:tcPr>
            <w:tcW w:w="3929" w:type="dxa"/>
            <w:shd w:val="clear" w:color="auto" w:fill="auto"/>
          </w:tcPr>
          <w:p w14:paraId="71572EF1" w14:textId="77777777" w:rsidR="00D34282" w:rsidRPr="00AB6D88" w:rsidRDefault="00D34282" w:rsidP="009359C3">
            <w:pPr>
              <w:rPr>
                <w:rFonts w:cs="Arial"/>
              </w:rPr>
            </w:pPr>
            <w:permStart w:id="1450205198" w:edGrp="everyone" w:colFirst="1" w:colLast="1"/>
            <w:permEnd w:id="529745"/>
            <w:r w:rsidRPr="00AB6D88">
              <w:rPr>
                <w:rFonts w:cs="Arial"/>
              </w:rPr>
              <w:t>Activity</w:t>
            </w:r>
          </w:p>
        </w:tc>
        <w:tc>
          <w:tcPr>
            <w:tcW w:w="5595" w:type="dxa"/>
            <w:shd w:val="clear" w:color="auto" w:fill="auto"/>
          </w:tcPr>
          <w:p w14:paraId="38B0C42B" w14:textId="77777777" w:rsidR="00D34282" w:rsidRPr="00AB6D88" w:rsidRDefault="002457A4" w:rsidP="00E857E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468332654" w:edGrp="everyone"/>
                <w:r w:rsidR="00E857EA">
                  <w:rPr>
                    <w:rFonts w:cs="Arial"/>
                  </w:rPr>
                  <w:t>Government, Regulatory and Enforcement</w:t>
                </w:r>
                <w:permEnd w:id="468332654"/>
              </w:sdtContent>
            </w:sdt>
          </w:p>
        </w:tc>
      </w:tr>
      <w:tr w:rsidR="00D34282" w:rsidRPr="00AB6D88" w14:paraId="1F26E976" w14:textId="77777777" w:rsidTr="009359C3">
        <w:tc>
          <w:tcPr>
            <w:tcW w:w="3929" w:type="dxa"/>
            <w:shd w:val="clear" w:color="auto" w:fill="auto"/>
          </w:tcPr>
          <w:p w14:paraId="0DCC2306" w14:textId="77777777" w:rsidR="00D34282" w:rsidRPr="00AB6D88" w:rsidRDefault="00D34282" w:rsidP="009359C3">
            <w:pPr>
              <w:rPr>
                <w:rFonts w:cs="Arial"/>
              </w:rPr>
            </w:pPr>
            <w:permStart w:id="2064408284" w:edGrp="everyone" w:colFirst="1" w:colLast="1"/>
            <w:permEnd w:id="1450205198"/>
            <w:r w:rsidRPr="00AB6D88">
              <w:rPr>
                <w:rFonts w:cs="Arial"/>
              </w:rPr>
              <w:t>Are you representing an association?</w:t>
            </w:r>
          </w:p>
        </w:tc>
        <w:sdt>
          <w:sdtPr>
            <w:rPr>
              <w:rFonts w:cs="Arial"/>
            </w:rPr>
            <w:id w:val="-242871467"/>
            <w14:checkbox>
              <w14:checked w14:val="0"/>
              <w14:checkedState w14:val="2612" w14:font="Arial Unicode MS"/>
              <w14:uncheckedState w14:val="2610" w14:font="Arial Unicode MS"/>
            </w14:checkbox>
          </w:sdtPr>
          <w:sdtEndPr/>
          <w:sdtContent>
            <w:tc>
              <w:tcPr>
                <w:tcW w:w="5595" w:type="dxa"/>
                <w:shd w:val="clear" w:color="auto" w:fill="auto"/>
              </w:tcPr>
              <w:p w14:paraId="6B68663C" w14:textId="77777777" w:rsidR="00D34282" w:rsidRPr="00AB6D88" w:rsidRDefault="00D34282" w:rsidP="009359C3">
                <w:pPr>
                  <w:rPr>
                    <w:rFonts w:cs="Arial"/>
                  </w:rPr>
                </w:pPr>
                <w:r w:rsidRPr="00AB6D88">
                  <w:rPr>
                    <w:rFonts w:ascii="MS Gothic" w:eastAsia="MS Gothic" w:hAnsi="MS Gothic" w:cs="MS Gothic" w:hint="eastAsia"/>
                  </w:rPr>
                  <w:t>☐</w:t>
                </w:r>
              </w:p>
            </w:tc>
          </w:sdtContent>
        </w:sdt>
      </w:tr>
      <w:tr w:rsidR="00D34282" w:rsidRPr="00AB6D88" w14:paraId="4370DDE8" w14:textId="77777777" w:rsidTr="009359C3">
        <w:tc>
          <w:tcPr>
            <w:tcW w:w="3929" w:type="dxa"/>
            <w:shd w:val="clear" w:color="auto" w:fill="auto"/>
          </w:tcPr>
          <w:p w14:paraId="32D70971" w14:textId="77777777" w:rsidR="00D34282" w:rsidRPr="00AB6D88" w:rsidRDefault="00D34282" w:rsidP="009359C3">
            <w:pPr>
              <w:rPr>
                <w:rFonts w:cs="Arial"/>
              </w:rPr>
            </w:pPr>
            <w:permStart w:id="2041008029" w:edGrp="everyone" w:colFirst="1" w:colLast="1"/>
            <w:permEnd w:id="2064408284"/>
            <w:r w:rsidRPr="00AB6D88">
              <w:rPr>
                <w:rFonts w:cs="Arial"/>
              </w:rPr>
              <w:t>Country/Region</w:t>
            </w:r>
          </w:p>
        </w:tc>
        <w:permStart w:id="1019235924"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089967992" w:edGrp="everyone" w:displacedByCustomXml="prev"/>
            <w:tc>
              <w:tcPr>
                <w:tcW w:w="5595" w:type="dxa"/>
                <w:shd w:val="clear" w:color="auto" w:fill="auto"/>
              </w:tcPr>
              <w:p w14:paraId="7E920904" w14:textId="77777777" w:rsidR="00D34282" w:rsidRPr="00AB6D88" w:rsidRDefault="00E857EA" w:rsidP="009359C3">
                <w:pPr>
                  <w:rPr>
                    <w:rFonts w:cs="Arial"/>
                  </w:rPr>
                </w:pPr>
                <w:r>
                  <w:rPr>
                    <w:rFonts w:cs="Arial"/>
                  </w:rPr>
                  <w:t>Europe</w:t>
                </w:r>
              </w:p>
            </w:tc>
            <w:permEnd w:id="2089967992" w:displacedByCustomXml="next"/>
          </w:sdtContent>
        </w:sdt>
        <w:permEnd w:id="1019235924" w:displacedByCustomXml="prev"/>
      </w:tr>
      <w:permEnd w:id="2041008029"/>
    </w:tbl>
    <w:p w14:paraId="5BFDE612" w14:textId="77777777" w:rsidR="00D34282" w:rsidRDefault="00D34282" w:rsidP="00D34282">
      <w:pPr>
        <w:spacing w:after="120" w:line="264" w:lineRule="auto"/>
      </w:pPr>
    </w:p>
    <w:p w14:paraId="367023BF" w14:textId="77777777" w:rsidR="00D34282" w:rsidRDefault="00D34282" w:rsidP="00D34282">
      <w:pPr>
        <w:spacing w:after="120" w:line="264" w:lineRule="auto"/>
      </w:pPr>
    </w:p>
    <w:p w14:paraId="07181CC0" w14:textId="77777777" w:rsidR="00D34282" w:rsidRDefault="00D34282" w:rsidP="00D34282">
      <w:pPr>
        <w:pStyle w:val="Nadpis1"/>
        <w:numPr>
          <w:ilvl w:val="0"/>
          <w:numId w:val="0"/>
        </w:numPr>
        <w:ind w:left="431" w:hanging="431"/>
      </w:pPr>
      <w:r>
        <w:t>Introduction</w:t>
      </w:r>
    </w:p>
    <w:p w14:paraId="4313945E" w14:textId="77777777" w:rsidR="00D34282" w:rsidRPr="001D47A5" w:rsidRDefault="00D34282" w:rsidP="00D34282">
      <w:pPr>
        <w:rPr>
          <w:rStyle w:val="Zdraznnintenzivn"/>
        </w:rPr>
      </w:pPr>
      <w:r w:rsidRPr="001D47A5">
        <w:rPr>
          <w:rStyle w:val="Zdraznnintenzivn"/>
        </w:rPr>
        <w:t>Please make your introductory comments below, if any:</w:t>
      </w:r>
    </w:p>
    <w:p w14:paraId="612FB0D7" w14:textId="77777777" w:rsidR="00D34282" w:rsidRPr="00C25863" w:rsidRDefault="00D34282" w:rsidP="00D34282">
      <w:r w:rsidRPr="00C25863">
        <w:t>&lt;</w:t>
      </w:r>
      <w:r w:rsidRPr="00D74C9D">
        <w:t xml:space="preserve"> </w:t>
      </w:r>
      <w:r>
        <w:t>ESMA_</w:t>
      </w:r>
      <w:r w:rsidR="00F31E57" w:rsidRPr="00F31E57">
        <w:t>COMMENT_PRIIPs</w:t>
      </w:r>
      <w:r w:rsidRPr="00C25863">
        <w:t>_1&gt;</w:t>
      </w:r>
    </w:p>
    <w:p w14:paraId="26F2526B" w14:textId="77777777" w:rsidR="004743A2" w:rsidRDefault="004743A2" w:rsidP="009359C3">
      <w:pPr>
        <w:rPr>
          <w:lang w:val="en-US"/>
        </w:rPr>
      </w:pPr>
      <w:permStart w:id="1778801038" w:edGrp="everyone"/>
    </w:p>
    <w:p w14:paraId="0708A098" w14:textId="77777777" w:rsidR="004743A2" w:rsidRPr="004E7E89" w:rsidRDefault="004743A2" w:rsidP="004743A2">
      <w:pPr>
        <w:rPr>
          <w:u w:val="single"/>
          <w:lang w:val="en-US"/>
        </w:rPr>
      </w:pPr>
      <w:r w:rsidRPr="004E7E89">
        <w:rPr>
          <w:u w:val="single"/>
          <w:lang w:val="en-US"/>
        </w:rPr>
        <w:t>Preliminary comment on the method of consulting EU citizens on this critical issue</w:t>
      </w:r>
    </w:p>
    <w:p w14:paraId="7105AD20" w14:textId="77777777" w:rsidR="004743A2" w:rsidRPr="004E7E89" w:rsidRDefault="004743A2" w:rsidP="004743A2">
      <w:pPr>
        <w:rPr>
          <w:lang w:val="en-US"/>
        </w:rPr>
      </w:pPr>
      <w:r w:rsidRPr="004E7E89">
        <w:rPr>
          <w:lang w:val="en-US"/>
        </w:rPr>
        <w:t>The FSUG is aware of the time constraints imposed on the ESAs, but it believes that the format of this very important consultation is very detrimental to the retail user side as:</w:t>
      </w:r>
    </w:p>
    <w:p w14:paraId="01CF9087" w14:textId="771BAAED" w:rsidR="004743A2" w:rsidRPr="004E7E89" w:rsidRDefault="004743A2" w:rsidP="004743A2">
      <w:pPr>
        <w:pStyle w:val="Odstavecseseznamem"/>
        <w:numPr>
          <w:ilvl w:val="0"/>
          <w:numId w:val="55"/>
        </w:numPr>
        <w:rPr>
          <w:lang w:val="en-US"/>
        </w:rPr>
      </w:pPr>
      <w:r w:rsidRPr="004E7E89">
        <w:rPr>
          <w:lang w:val="en-US"/>
        </w:rPr>
        <w:t>it occurs in a short time frame</w:t>
      </w:r>
      <w:r w:rsidR="00F66CAF" w:rsidRPr="004E7E89">
        <w:rPr>
          <w:lang w:val="en-US"/>
        </w:rPr>
        <w:t xml:space="preserve"> (less than 2 months) </w:t>
      </w:r>
      <w:r w:rsidRPr="004E7E89">
        <w:rPr>
          <w:lang w:val="en-US"/>
        </w:rPr>
        <w:t xml:space="preserve"> an in the middle of Summer when many of the few user experts are on holidays;</w:t>
      </w:r>
    </w:p>
    <w:p w14:paraId="12E82DBD" w14:textId="77777777" w:rsidR="004743A2" w:rsidRPr="004E7E89" w:rsidRDefault="004743A2" w:rsidP="004743A2">
      <w:pPr>
        <w:pStyle w:val="Odstavecseseznamem"/>
        <w:numPr>
          <w:ilvl w:val="0"/>
          <w:numId w:val="55"/>
        </w:numPr>
        <w:rPr>
          <w:lang w:val="en-US"/>
        </w:rPr>
      </w:pPr>
      <w:r w:rsidRPr="004E7E89">
        <w:rPr>
          <w:lang w:val="en-US"/>
        </w:rPr>
        <w:t>it is very technical and very long (127 pages) without identifying any specific explanations and/or questions specifically for the user side.</w:t>
      </w:r>
    </w:p>
    <w:p w14:paraId="702F62F5" w14:textId="77777777" w:rsidR="004743A2" w:rsidRPr="004E7E89" w:rsidRDefault="004743A2" w:rsidP="004743A2">
      <w:pPr>
        <w:pStyle w:val="Odstavecseseznamem"/>
        <w:numPr>
          <w:ilvl w:val="0"/>
          <w:numId w:val="55"/>
        </w:numPr>
        <w:rPr>
          <w:lang w:val="en-US"/>
        </w:rPr>
      </w:pPr>
      <w:r w:rsidRPr="004E7E89">
        <w:rPr>
          <w:lang w:val="en-US"/>
        </w:rPr>
        <w:t>It is available only in English.</w:t>
      </w:r>
    </w:p>
    <w:p w14:paraId="09D9A714" w14:textId="77777777" w:rsidR="004743A2" w:rsidRPr="004E7E89" w:rsidRDefault="004743A2" w:rsidP="004743A2">
      <w:pPr>
        <w:rPr>
          <w:lang w:val="en-US"/>
        </w:rPr>
      </w:pPr>
      <w:r w:rsidRPr="004E7E89">
        <w:rPr>
          <w:lang w:val="en-US"/>
        </w:rPr>
        <w:t>Therefore, the financial industry is once again being given a major advantage over the user side in infl</w:t>
      </w:r>
      <w:r w:rsidRPr="004E7E89">
        <w:rPr>
          <w:lang w:val="en-US"/>
        </w:rPr>
        <w:t>u</w:t>
      </w:r>
      <w:r w:rsidRPr="004E7E89">
        <w:rPr>
          <w:lang w:val="en-US"/>
        </w:rPr>
        <w:t>encing the design of the future KIID.</w:t>
      </w:r>
    </w:p>
    <w:p w14:paraId="7B07543D" w14:textId="5B3EC4C2" w:rsidR="00D673CB" w:rsidRPr="004E7E89" w:rsidRDefault="00D673CB" w:rsidP="004743A2">
      <w:pPr>
        <w:rPr>
          <w:lang w:val="en-US"/>
        </w:rPr>
      </w:pPr>
      <w:r w:rsidRPr="004E7E89">
        <w:rPr>
          <w:lang w:val="en-US"/>
        </w:rPr>
        <w:t>A good practice – as done by other Public Authorities – would be to estimate and disclose the level of expertise and the amount of time required to fill this questionnaire.</w:t>
      </w:r>
    </w:p>
    <w:p w14:paraId="64721125" w14:textId="77777777" w:rsidR="004743A2" w:rsidRPr="004E7E89" w:rsidRDefault="004743A2" w:rsidP="009359C3">
      <w:pPr>
        <w:rPr>
          <w:lang w:val="en-US"/>
        </w:rPr>
      </w:pPr>
    </w:p>
    <w:p w14:paraId="7DA00803" w14:textId="77777777" w:rsidR="009359C3" w:rsidRPr="0090600E" w:rsidRDefault="009359C3" w:rsidP="009359C3">
      <w:pPr>
        <w:rPr>
          <w:lang w:val="en-US"/>
        </w:rPr>
      </w:pPr>
      <w:r w:rsidRPr="0090600E">
        <w:rPr>
          <w:lang w:val="en-US"/>
        </w:rPr>
        <w:t>The Financial Services User Group (FSUG) is the expert group set up by the European Commission following the core objective “to secure high quality expert input to the Commission’s financial services initiatives from representatives of financial services users and from individual financial services experts”.</w:t>
      </w:r>
    </w:p>
    <w:p w14:paraId="7F60481B" w14:textId="3E1F2B94" w:rsidR="009359C3" w:rsidRDefault="009359C3" w:rsidP="009359C3">
      <w:pPr>
        <w:rPr>
          <w:lang w:val="en-US"/>
        </w:rPr>
      </w:pPr>
      <w:r w:rsidRPr="00F66720">
        <w:rPr>
          <w:lang w:val="en-US"/>
        </w:rPr>
        <w:t>PRIIPs are at the core of the retail investment market. They cover a range of investment products that are marketed to retail investors which, taken together, make up a market in Europe worth up to €10 trillion.</w:t>
      </w:r>
      <w:r>
        <w:rPr>
          <w:lang w:val="en-US"/>
        </w:rPr>
        <w:t xml:space="preserve"> As PRIIPs cover a wide range of – per definition – structured products which can take a variety of legal forms that might involve multiple charges and which include different risk profiles, FSUG stress</w:t>
      </w:r>
      <w:r w:rsidR="00FE4CE0">
        <w:rPr>
          <w:lang w:val="en-US"/>
        </w:rPr>
        <w:t xml:space="preserve">es the strong need for a simple </w:t>
      </w:r>
      <w:r w:rsidR="00FE4CE0" w:rsidRPr="004E7E89">
        <w:rPr>
          <w:lang w:val="en-US"/>
        </w:rPr>
        <w:t xml:space="preserve">and short </w:t>
      </w:r>
      <w:r w:rsidRPr="004E7E89">
        <w:rPr>
          <w:lang w:val="en-US"/>
        </w:rPr>
        <w:t>pre-</w:t>
      </w:r>
      <w:r>
        <w:rPr>
          <w:lang w:val="en-US"/>
        </w:rPr>
        <w:t>contractual information on objective costs and charges as well as histor</w:t>
      </w:r>
      <w:r>
        <w:rPr>
          <w:lang w:val="en-US"/>
        </w:rPr>
        <w:t>i</w:t>
      </w:r>
      <w:r>
        <w:rPr>
          <w:lang w:val="en-US"/>
        </w:rPr>
        <w:t>cal real returns that enables retail investors to reach well-informed investment decisions by enabling them</w:t>
      </w:r>
    </w:p>
    <w:p w14:paraId="2BBB3F1A" w14:textId="77777777" w:rsidR="009359C3" w:rsidRDefault="009359C3" w:rsidP="009359C3">
      <w:pPr>
        <w:pStyle w:val="Odstavecseseznamem"/>
        <w:numPr>
          <w:ilvl w:val="0"/>
          <w:numId w:val="51"/>
        </w:numPr>
        <w:spacing w:after="200" w:line="276" w:lineRule="auto"/>
        <w:rPr>
          <w:lang w:val="en-US"/>
        </w:rPr>
      </w:pPr>
      <w:r>
        <w:rPr>
          <w:lang w:val="en-US"/>
        </w:rPr>
        <w:t>to understand the product features, including its risks, rewards and the effects of costs/charges</w:t>
      </w:r>
    </w:p>
    <w:p w14:paraId="497095B2" w14:textId="77777777" w:rsidR="009359C3" w:rsidRDefault="009359C3" w:rsidP="009359C3">
      <w:pPr>
        <w:pStyle w:val="Odstavecseseznamem"/>
        <w:numPr>
          <w:ilvl w:val="0"/>
          <w:numId w:val="51"/>
        </w:numPr>
        <w:spacing w:after="200" w:line="276" w:lineRule="auto"/>
        <w:rPr>
          <w:lang w:val="en-US"/>
        </w:rPr>
      </w:pPr>
      <w:r>
        <w:rPr>
          <w:lang w:val="en-US"/>
        </w:rPr>
        <w:t>to easily compare it to other products and</w:t>
      </w:r>
    </w:p>
    <w:p w14:paraId="7F2BB1EA" w14:textId="77777777" w:rsidR="009359C3" w:rsidRPr="00F66720" w:rsidRDefault="009359C3" w:rsidP="009359C3">
      <w:pPr>
        <w:pStyle w:val="Odstavecseseznamem"/>
        <w:numPr>
          <w:ilvl w:val="0"/>
          <w:numId w:val="51"/>
        </w:numPr>
        <w:spacing w:after="200" w:line="276" w:lineRule="auto"/>
        <w:rPr>
          <w:lang w:val="en-US"/>
        </w:rPr>
      </w:pPr>
      <w:r>
        <w:rPr>
          <w:lang w:val="en-US"/>
        </w:rPr>
        <w:t>to assess whether a certain product has a real added value.</w:t>
      </w:r>
    </w:p>
    <w:p w14:paraId="4A555F8F" w14:textId="77777777" w:rsidR="009359C3" w:rsidRPr="005A6926" w:rsidRDefault="009359C3" w:rsidP="009359C3">
      <w:pPr>
        <w:rPr>
          <w:color w:val="000000"/>
          <w:lang w:val="en-US"/>
        </w:rPr>
      </w:pPr>
      <w:r>
        <w:rPr>
          <w:lang w:val="en-US"/>
        </w:rPr>
        <w:t xml:space="preserve">In that respect there is a need </w:t>
      </w:r>
      <w:r w:rsidRPr="005A6926">
        <w:rPr>
          <w:color w:val="000000"/>
          <w:lang w:val="en-US"/>
        </w:rPr>
        <w:t xml:space="preserve">to benefit from all the experience accumulated on the work done for the KID for investment funds (UCITS IV Directive), and for its </w:t>
      </w:r>
      <w:r>
        <w:rPr>
          <w:color w:val="000000"/>
          <w:lang w:val="en-US"/>
        </w:rPr>
        <w:t xml:space="preserve">subsequent </w:t>
      </w:r>
      <w:r w:rsidRPr="005A6926">
        <w:rPr>
          <w:color w:val="000000"/>
          <w:lang w:val="en-US"/>
        </w:rPr>
        <w:t>implementation by the industry.</w:t>
      </w:r>
    </w:p>
    <w:p w14:paraId="483FCD09" w14:textId="77777777" w:rsidR="009359C3" w:rsidRDefault="009359C3" w:rsidP="009359C3">
      <w:pPr>
        <w:rPr>
          <w:lang w:val="en-US"/>
        </w:rPr>
      </w:pPr>
      <w:r>
        <w:rPr>
          <w:lang w:val="en-US"/>
        </w:rPr>
        <w:t>FSUG therefore very much welcomes the approach taken by the Joint Committee starting the debate and</w:t>
      </w:r>
      <w:r w:rsidRPr="009359C3">
        <w:rPr>
          <w:lang w:val="en-US"/>
        </w:rPr>
        <w:t xml:space="preserve"> collect</w:t>
      </w:r>
      <w:r>
        <w:rPr>
          <w:lang w:val="en-US"/>
        </w:rPr>
        <w:t>ing</w:t>
      </w:r>
      <w:r w:rsidRPr="009359C3">
        <w:rPr>
          <w:lang w:val="en-US"/>
        </w:rPr>
        <w:t xml:space="preserve"> views on the possible methodologies to determine</w:t>
      </w:r>
      <w:r>
        <w:rPr>
          <w:lang w:val="en-US"/>
        </w:rPr>
        <w:t xml:space="preserve"> </w:t>
      </w:r>
      <w:r w:rsidRPr="009359C3">
        <w:rPr>
          <w:lang w:val="en-US"/>
        </w:rPr>
        <w:t>and display risks, performance and costs in the Key Information Document (KID) for PRIIPs</w:t>
      </w:r>
      <w:r>
        <w:rPr>
          <w:lang w:val="en-US"/>
        </w:rPr>
        <w:t xml:space="preserve">. </w:t>
      </w:r>
    </w:p>
    <w:p w14:paraId="52A9B52D" w14:textId="2303F0E5" w:rsidR="009359C3" w:rsidRDefault="009359C3" w:rsidP="009359C3">
      <w:pPr>
        <w:rPr>
          <w:lang w:val="en-US"/>
        </w:rPr>
      </w:pPr>
      <w:r>
        <w:rPr>
          <w:lang w:val="en-US"/>
        </w:rPr>
        <w:t xml:space="preserve">Standardization, if appropriately used, is not only a strong and efficient tool to ensure comparability but can also be a strong means for ensuring regulatory consistency. Furthermore, applying consistent and transparent approach towards displaying returns, risks and charges will enable consumers and retail investors not only </w:t>
      </w:r>
      <w:r w:rsidR="002E2EE4" w:rsidRPr="004E7E89">
        <w:rPr>
          <w:lang w:val="en-US"/>
        </w:rPr>
        <w:t xml:space="preserve">to </w:t>
      </w:r>
      <w:r>
        <w:rPr>
          <w:lang w:val="en-US"/>
        </w:rPr>
        <w:t>compare the products but</w:t>
      </w:r>
      <w:r w:rsidRPr="004E7E89">
        <w:rPr>
          <w:lang w:val="en-US"/>
        </w:rPr>
        <w:t xml:space="preserve"> </w:t>
      </w:r>
      <w:r w:rsidR="002E2EE4" w:rsidRPr="004E7E89">
        <w:rPr>
          <w:lang w:val="en-US"/>
        </w:rPr>
        <w:t xml:space="preserve">to </w:t>
      </w:r>
      <w:r w:rsidRPr="004E7E89">
        <w:rPr>
          <w:lang w:val="en-US"/>
        </w:rPr>
        <w:t>d</w:t>
      </w:r>
      <w:r>
        <w:rPr>
          <w:lang w:val="en-US"/>
        </w:rPr>
        <w:t>etermine the real added value of products.</w:t>
      </w:r>
    </w:p>
    <w:p w14:paraId="53985032" w14:textId="77777777" w:rsidR="009359C3" w:rsidRDefault="009359C3" w:rsidP="009359C3">
      <w:pPr>
        <w:rPr>
          <w:lang w:val="en-US"/>
        </w:rPr>
      </w:pPr>
      <w:r>
        <w:rPr>
          <w:lang w:val="en-US"/>
        </w:rPr>
        <w:t>FSUG therefore calls on the ESAs to ensure that the KID becomes an EU-wide harmonized document which contains meaningful and all necessary information on returns, risks and charges, which is unde</w:t>
      </w:r>
      <w:r>
        <w:rPr>
          <w:lang w:val="en-US"/>
        </w:rPr>
        <w:t>r</w:t>
      </w:r>
      <w:r>
        <w:rPr>
          <w:lang w:val="en-US"/>
        </w:rPr>
        <w:t xml:space="preserve">standable by all retail investors and which does not only cater for the lowest common denominator of investor understanding. </w:t>
      </w:r>
      <w:bookmarkStart w:id="3" w:name="_GoBack"/>
      <w:bookmarkEnd w:id="3"/>
    </w:p>
    <w:p w14:paraId="154967A2" w14:textId="70D35143" w:rsidR="009359C3" w:rsidRDefault="009359C3" w:rsidP="00D34282">
      <w:pPr>
        <w:rPr>
          <w:lang w:val="en-US"/>
        </w:rPr>
      </w:pPr>
      <w:r>
        <w:rPr>
          <w:lang w:val="en-US"/>
        </w:rPr>
        <w:t xml:space="preserve">To achieve this objective, FSUG supports using tools and techniques that </w:t>
      </w:r>
      <w:r w:rsidR="004E7E89">
        <w:rPr>
          <w:lang w:val="en-US"/>
        </w:rPr>
        <w:t>take</w:t>
      </w:r>
      <w:r>
        <w:rPr>
          <w:lang w:val="en-US"/>
        </w:rPr>
        <w:t xml:space="preserve"> into account as much historical data on performance and costs as possible.</w:t>
      </w:r>
    </w:p>
    <w:p w14:paraId="3C1960AF" w14:textId="77777777" w:rsidR="00054E2E" w:rsidRDefault="00054E2E" w:rsidP="00054E2E">
      <w:pPr>
        <w:rPr>
          <w:color w:val="000000"/>
          <w:lang w:val="en-US"/>
        </w:rPr>
      </w:pPr>
    </w:p>
    <w:p w14:paraId="349EE135" w14:textId="32C84A70" w:rsidR="00054E2E" w:rsidRPr="00E8193D" w:rsidRDefault="00054E2E" w:rsidP="00054E2E">
      <w:pPr>
        <w:rPr>
          <w:color w:val="000000"/>
          <w:lang w:val="en-US"/>
        </w:rPr>
      </w:pPr>
      <w:r>
        <w:rPr>
          <w:color w:val="000000"/>
          <w:lang w:val="en-US"/>
        </w:rPr>
        <w:lastRenderedPageBreak/>
        <w:t>FSUG is concerned that</w:t>
      </w:r>
      <w:r w:rsidRPr="004E7E89">
        <w:rPr>
          <w:lang w:val="en-US"/>
        </w:rPr>
        <w:t xml:space="preserve"> </w:t>
      </w:r>
      <w:r w:rsidR="00B87BC2" w:rsidRPr="004E7E89">
        <w:rPr>
          <w:lang w:val="en-US"/>
        </w:rPr>
        <w:t xml:space="preserve">standardized, easily comparable </w:t>
      </w:r>
      <w:r w:rsidR="002E2EE4" w:rsidRPr="004E7E89">
        <w:rPr>
          <w:lang w:val="en-US"/>
        </w:rPr>
        <w:t>data on historical performance</w:t>
      </w:r>
      <w:r w:rsidR="00B87BC2" w:rsidRPr="004E7E89">
        <w:rPr>
          <w:lang w:val="en-US"/>
        </w:rPr>
        <w:t xml:space="preserve"> (of both the product and of its benchmark)</w:t>
      </w:r>
      <w:r w:rsidR="002E2EE4" w:rsidRPr="004E7E89">
        <w:rPr>
          <w:lang w:val="en-US"/>
        </w:rPr>
        <w:t xml:space="preserve"> w</w:t>
      </w:r>
      <w:r w:rsidRPr="004E7E89">
        <w:rPr>
          <w:lang w:val="en-US"/>
        </w:rPr>
        <w:t xml:space="preserve">ould be eliminated under </w:t>
      </w:r>
      <w:r w:rsidR="002E2EE4" w:rsidRPr="004E7E89">
        <w:rPr>
          <w:lang w:val="en-US"/>
        </w:rPr>
        <w:t>the PRIIPs R</w:t>
      </w:r>
      <w:r w:rsidRPr="004E7E89">
        <w:rPr>
          <w:lang w:val="en-US"/>
        </w:rPr>
        <w:t>egulation.</w:t>
      </w:r>
      <w:r>
        <w:rPr>
          <w:color w:val="000000"/>
          <w:lang w:val="en-US"/>
        </w:rPr>
        <w:t xml:space="preserve"> </w:t>
      </w:r>
      <w:r w:rsidRPr="00E8193D">
        <w:rPr>
          <w:color w:val="000000"/>
          <w:lang w:val="en-US"/>
        </w:rPr>
        <w:t>There had been a lot of work</w:t>
      </w:r>
      <w:r>
        <w:rPr>
          <w:color w:val="000000"/>
          <w:lang w:val="en-US"/>
        </w:rPr>
        <w:t xml:space="preserve"> done</w:t>
      </w:r>
      <w:r w:rsidRPr="00E8193D">
        <w:rPr>
          <w:color w:val="000000"/>
          <w:lang w:val="en-US"/>
        </w:rPr>
        <w:t xml:space="preserve"> for many years to achieve this major improvement in the KID for investment funds (UCITS). With the PRIIPs Regulation as it stands, we are very concerned that even UCITs funds will have to elim</w:t>
      </w:r>
      <w:r w:rsidRPr="00E8193D">
        <w:rPr>
          <w:color w:val="000000"/>
          <w:lang w:val="en-US"/>
        </w:rPr>
        <w:t>i</w:t>
      </w:r>
      <w:r w:rsidRPr="00E8193D">
        <w:rPr>
          <w:color w:val="000000"/>
          <w:lang w:val="en-US"/>
        </w:rPr>
        <w:t>nate this key information from their KID within the next 5 years.</w:t>
      </w:r>
      <w:r>
        <w:rPr>
          <w:color w:val="000000"/>
          <w:lang w:val="en-US"/>
        </w:rPr>
        <w:t xml:space="preserve"> Certain investor organizations like</w:t>
      </w:r>
      <w:r w:rsidRPr="00E8193D">
        <w:rPr>
          <w:color w:val="000000"/>
          <w:lang w:val="en-US"/>
        </w:rPr>
        <w:t xml:space="preserve"> Better Finance and others (including the ESAs) are already struggling to get clear and comparable data on the past performance of retail investment products. This may be a huge step backward if </w:t>
      </w:r>
      <w:r>
        <w:rPr>
          <w:color w:val="000000"/>
          <w:lang w:val="en-US"/>
        </w:rPr>
        <w:t>no</w:t>
      </w:r>
      <w:r w:rsidRPr="00E8193D">
        <w:rPr>
          <w:color w:val="000000"/>
          <w:lang w:val="en-US"/>
        </w:rPr>
        <w:t xml:space="preserve"> solution </w:t>
      </w:r>
      <w:r>
        <w:rPr>
          <w:color w:val="000000"/>
          <w:lang w:val="en-US"/>
        </w:rPr>
        <w:t xml:space="preserve">would be found </w:t>
      </w:r>
      <w:r w:rsidRPr="00E8193D">
        <w:rPr>
          <w:color w:val="000000"/>
          <w:lang w:val="en-US"/>
        </w:rPr>
        <w:t>at level 2.</w:t>
      </w:r>
      <w:r>
        <w:rPr>
          <w:color w:val="000000"/>
          <w:lang w:val="en-US"/>
        </w:rPr>
        <w:t xml:space="preserve"> </w:t>
      </w:r>
      <w:r w:rsidRPr="00E8193D">
        <w:rPr>
          <w:color w:val="000000"/>
          <w:lang w:val="en-US"/>
        </w:rPr>
        <w:t xml:space="preserve">Of course, </w:t>
      </w:r>
      <w:r>
        <w:rPr>
          <w:color w:val="000000"/>
          <w:lang w:val="en-US"/>
        </w:rPr>
        <w:t xml:space="preserve">FSUG acknowledges that </w:t>
      </w:r>
      <w:r w:rsidRPr="00E8193D">
        <w:rPr>
          <w:color w:val="000000"/>
          <w:lang w:val="en-US"/>
        </w:rPr>
        <w:t>past performance is not a reliable predictor of future performance. However, without any info</w:t>
      </w:r>
      <w:r>
        <w:rPr>
          <w:color w:val="000000"/>
          <w:lang w:val="en-US"/>
        </w:rPr>
        <w:t>rmation</w:t>
      </w:r>
      <w:r w:rsidRPr="00E8193D">
        <w:rPr>
          <w:color w:val="000000"/>
          <w:lang w:val="en-US"/>
        </w:rPr>
        <w:t xml:space="preserve"> on past performance (including compared to benc</w:t>
      </w:r>
      <w:r w:rsidRPr="00E8193D">
        <w:rPr>
          <w:color w:val="000000"/>
          <w:lang w:val="en-US"/>
        </w:rPr>
        <w:t>h</w:t>
      </w:r>
      <w:r w:rsidRPr="00E8193D">
        <w:rPr>
          <w:color w:val="000000"/>
          <w:lang w:val="en-US"/>
        </w:rPr>
        <w:t>marks), EU citizens will not even know:</w:t>
      </w:r>
    </w:p>
    <w:p w14:paraId="4E327A9B" w14:textId="77777777" w:rsidR="00054E2E" w:rsidRDefault="00054E2E" w:rsidP="00054E2E">
      <w:pPr>
        <w:pStyle w:val="Odstavecseseznamem"/>
        <w:numPr>
          <w:ilvl w:val="0"/>
          <w:numId w:val="53"/>
        </w:numPr>
        <w:spacing w:after="200" w:line="276" w:lineRule="auto"/>
        <w:rPr>
          <w:color w:val="000000"/>
          <w:lang w:val="en-US"/>
        </w:rPr>
      </w:pPr>
      <w:r w:rsidRPr="00E8193D">
        <w:rPr>
          <w:color w:val="000000"/>
          <w:lang w:val="en-US"/>
        </w:rPr>
        <w:t>if the product has generated any positive performance in the past or - on the contrary - has d</w:t>
      </w:r>
      <w:r w:rsidRPr="00E8193D">
        <w:rPr>
          <w:color w:val="000000"/>
          <w:lang w:val="en-US"/>
        </w:rPr>
        <w:t>e</w:t>
      </w:r>
      <w:r w:rsidRPr="00E8193D">
        <w:rPr>
          <w:color w:val="000000"/>
          <w:lang w:val="en-US"/>
        </w:rPr>
        <w:t xml:space="preserve">stroyed the value of their savings </w:t>
      </w:r>
    </w:p>
    <w:p w14:paraId="019669AC" w14:textId="77777777" w:rsidR="00054E2E" w:rsidRDefault="00054E2E" w:rsidP="00054E2E">
      <w:pPr>
        <w:pStyle w:val="Odstavecseseznamem"/>
        <w:numPr>
          <w:ilvl w:val="0"/>
          <w:numId w:val="53"/>
        </w:numPr>
        <w:spacing w:after="200" w:line="276" w:lineRule="auto"/>
        <w:rPr>
          <w:color w:val="000000"/>
          <w:lang w:val="en-US"/>
        </w:rPr>
      </w:pPr>
      <w:r w:rsidRPr="00E8193D">
        <w:rPr>
          <w:color w:val="000000"/>
          <w:lang w:val="en-US"/>
        </w:rPr>
        <w:t xml:space="preserve">if the product has met or exceeded its stated investment objective </w:t>
      </w:r>
    </w:p>
    <w:p w14:paraId="0260AB67" w14:textId="77777777" w:rsidR="00054E2E" w:rsidRPr="00E8193D" w:rsidRDefault="00054E2E" w:rsidP="00054E2E">
      <w:pPr>
        <w:pStyle w:val="Odstavecseseznamem"/>
        <w:numPr>
          <w:ilvl w:val="0"/>
          <w:numId w:val="53"/>
        </w:numPr>
        <w:spacing w:after="200" w:line="276" w:lineRule="auto"/>
        <w:rPr>
          <w:color w:val="000000"/>
          <w:lang w:val="en-US"/>
        </w:rPr>
      </w:pPr>
      <w:r w:rsidRPr="00E8193D">
        <w:rPr>
          <w:color w:val="000000"/>
          <w:lang w:val="en-US"/>
        </w:rPr>
        <w:t>if the product has matched or not the performance of its benchmark</w:t>
      </w:r>
    </w:p>
    <w:p w14:paraId="519C3F92" w14:textId="77777777" w:rsidR="00054E2E" w:rsidRDefault="00054E2E" w:rsidP="00054E2E">
      <w:pPr>
        <w:rPr>
          <w:color w:val="000000"/>
          <w:lang w:val="en-US"/>
        </w:rPr>
      </w:pPr>
      <w:r>
        <w:rPr>
          <w:color w:val="000000"/>
          <w:lang w:val="en-US"/>
        </w:rPr>
        <w:t>Even w</w:t>
      </w:r>
      <w:r w:rsidRPr="00E8193D">
        <w:rPr>
          <w:color w:val="000000"/>
          <w:lang w:val="en-US"/>
        </w:rPr>
        <w:t>orse</w:t>
      </w:r>
      <w:r>
        <w:rPr>
          <w:color w:val="000000"/>
          <w:lang w:val="en-US"/>
        </w:rPr>
        <w:t xml:space="preserve"> would be the case that </w:t>
      </w:r>
      <w:r w:rsidRPr="00E8193D">
        <w:rPr>
          <w:color w:val="000000"/>
          <w:lang w:val="en-US"/>
        </w:rPr>
        <w:t xml:space="preserve">EU citizen </w:t>
      </w:r>
      <w:r>
        <w:rPr>
          <w:color w:val="000000"/>
          <w:lang w:val="en-US"/>
        </w:rPr>
        <w:t xml:space="preserve">would </w:t>
      </w:r>
      <w:r w:rsidRPr="00E8193D">
        <w:rPr>
          <w:color w:val="000000"/>
          <w:lang w:val="en-US"/>
        </w:rPr>
        <w:t>be left only with "scenarios" on future performance which we strongly believe are even more misleading than past performance. And we have the experience of the work on the KID of structured UCITS funds where</w:t>
      </w:r>
      <w:r>
        <w:rPr>
          <w:color w:val="000000"/>
          <w:lang w:val="en-US"/>
        </w:rPr>
        <w:t xml:space="preserve"> the use of </w:t>
      </w:r>
      <w:r w:rsidRPr="00E8193D">
        <w:rPr>
          <w:color w:val="000000"/>
          <w:lang w:val="en-US"/>
        </w:rPr>
        <w:t xml:space="preserve">scenarios (like (pessimistic, median and optimistic) </w:t>
      </w:r>
      <w:r>
        <w:rPr>
          <w:color w:val="000000"/>
          <w:lang w:val="en-US"/>
        </w:rPr>
        <w:t xml:space="preserve">that are not probability weighted is possible. </w:t>
      </w:r>
      <w:r w:rsidRPr="00E8193D">
        <w:rPr>
          <w:color w:val="000000"/>
          <w:lang w:val="en-US"/>
        </w:rPr>
        <w:t xml:space="preserve"> Therefore, the average </w:t>
      </w:r>
      <w:r>
        <w:rPr>
          <w:color w:val="000000"/>
          <w:lang w:val="en-US"/>
        </w:rPr>
        <w:t xml:space="preserve">investor </w:t>
      </w:r>
      <w:r w:rsidRPr="00E8193D">
        <w:rPr>
          <w:color w:val="000000"/>
          <w:lang w:val="en-US"/>
        </w:rPr>
        <w:t>is led to believe that the "median" scenario is the most probable which is not the case.</w:t>
      </w:r>
    </w:p>
    <w:p w14:paraId="51E7F152" w14:textId="77777777" w:rsidR="008C5CE8" w:rsidRPr="00594FDD" w:rsidRDefault="008C5CE8" w:rsidP="00054E2E">
      <w:pPr>
        <w:rPr>
          <w:color w:val="000000"/>
          <w:lang w:val="en-US"/>
        </w:rPr>
      </w:pPr>
    </w:p>
    <w:p w14:paraId="723FAF5E" w14:textId="77777777" w:rsidR="00054E2E" w:rsidRDefault="00054E2E" w:rsidP="00054E2E">
      <w:pPr>
        <w:rPr>
          <w:rStyle w:val="Siln"/>
          <w:b w:val="0"/>
          <w:color w:val="000000"/>
          <w:lang w:val="en-US"/>
        </w:rPr>
      </w:pPr>
      <w:r w:rsidRPr="00594FDD">
        <w:rPr>
          <w:color w:val="000000"/>
          <w:lang w:val="en-US"/>
        </w:rPr>
        <w:t xml:space="preserve">We therefore consider that an </w:t>
      </w:r>
      <w:r w:rsidRPr="00594FDD">
        <w:rPr>
          <w:rStyle w:val="Siln"/>
          <w:color w:val="000000"/>
          <w:lang w:val="en-US"/>
        </w:rPr>
        <w:t>elimination of any information on past performance and especially past performance compared to that of the benchmark(s) chosen by the investment product pr</w:t>
      </w:r>
      <w:r w:rsidRPr="00594FDD">
        <w:rPr>
          <w:rStyle w:val="Siln"/>
          <w:color w:val="000000"/>
          <w:lang w:val="en-US"/>
        </w:rPr>
        <w:t>o</w:t>
      </w:r>
      <w:r w:rsidRPr="00594FDD">
        <w:rPr>
          <w:rStyle w:val="Siln"/>
          <w:color w:val="000000"/>
          <w:lang w:val="en-US"/>
        </w:rPr>
        <w:t>vider would be a huge step back.</w:t>
      </w:r>
      <w:r>
        <w:rPr>
          <w:rStyle w:val="Siln"/>
          <w:color w:val="000000"/>
          <w:lang w:val="en-US"/>
        </w:rPr>
        <w:t xml:space="preserve"> Taking into account that the need for historic performance i</w:t>
      </w:r>
      <w:r>
        <w:rPr>
          <w:rStyle w:val="Siln"/>
          <w:color w:val="000000"/>
          <w:lang w:val="en-US"/>
        </w:rPr>
        <w:t>n</w:t>
      </w:r>
      <w:r>
        <w:rPr>
          <w:rStyle w:val="Siln"/>
          <w:color w:val="000000"/>
          <w:lang w:val="en-US"/>
        </w:rPr>
        <w:t>formation has not been explicitly included in the Regulation FSUG considers that historical pe</w:t>
      </w:r>
      <w:r>
        <w:rPr>
          <w:rStyle w:val="Siln"/>
          <w:color w:val="000000"/>
          <w:lang w:val="en-US"/>
        </w:rPr>
        <w:t>r</w:t>
      </w:r>
      <w:r>
        <w:rPr>
          <w:rStyle w:val="Siln"/>
          <w:color w:val="000000"/>
          <w:lang w:val="en-US"/>
        </w:rPr>
        <w:t>formance data should at least complement forward-looking indicators as this is important to put the latter in perspective.</w:t>
      </w:r>
    </w:p>
    <w:p w14:paraId="1037AD40" w14:textId="77777777" w:rsidR="00054E2E" w:rsidRDefault="00054E2E" w:rsidP="00054E2E">
      <w:pPr>
        <w:rPr>
          <w:lang w:val="en-US"/>
        </w:rPr>
      </w:pPr>
      <w:r>
        <w:rPr>
          <w:lang w:val="en-US"/>
        </w:rPr>
        <w:t>In our opinion this should be done by presenting past performance scenarios in a separate graph.</w:t>
      </w:r>
    </w:p>
    <w:p w14:paraId="42FE2CB8" w14:textId="40F9F194" w:rsidR="00054E2E" w:rsidRPr="004E7E89" w:rsidRDefault="00054E2E" w:rsidP="00054E2E">
      <w:pPr>
        <w:rPr>
          <w:lang w:val="en-US"/>
        </w:rPr>
      </w:pPr>
      <w:r>
        <w:rPr>
          <w:lang w:val="en-US"/>
        </w:rPr>
        <w:t xml:space="preserve">With regard to </w:t>
      </w:r>
      <w:r w:rsidR="00DB4C6A">
        <w:rPr>
          <w:lang w:val="en-US"/>
        </w:rPr>
        <w:t xml:space="preserve">the </w:t>
      </w:r>
      <w:r w:rsidR="00DB4C6A" w:rsidRPr="004E7E89">
        <w:rPr>
          <w:lang w:val="en-US"/>
        </w:rPr>
        <w:t xml:space="preserve">highly dangerous </w:t>
      </w:r>
      <w:r w:rsidRPr="004E7E89">
        <w:rPr>
          <w:lang w:val="en-US"/>
        </w:rPr>
        <w:t>forward-looking performance scenarios</w:t>
      </w:r>
      <w:r w:rsidR="00DB4C6A" w:rsidRPr="004E7E89">
        <w:rPr>
          <w:lang w:val="en-US"/>
        </w:rPr>
        <w:t xml:space="preserve"> required in Level I, </w:t>
      </w:r>
      <w:r w:rsidRPr="004E7E89">
        <w:rPr>
          <w:lang w:val="en-US"/>
        </w:rPr>
        <w:t xml:space="preserve"> FSUG considers that they should be probability weighted to the maximum extent possible whereby comparability between the methods used by different manufacturers should be ensured by the ESAs through establis</w:t>
      </w:r>
      <w:r w:rsidRPr="004E7E89">
        <w:rPr>
          <w:lang w:val="en-US"/>
        </w:rPr>
        <w:t>h</w:t>
      </w:r>
      <w:r w:rsidRPr="004E7E89">
        <w:rPr>
          <w:lang w:val="en-US"/>
        </w:rPr>
        <w:t>ing/prescribing a commonly used methodology. This to enable retail investors to trust in “high”, “median” and “low” performance scenarios having the same meaning across manufacturers.</w:t>
      </w:r>
    </w:p>
    <w:p w14:paraId="1CC7B80E" w14:textId="77777777" w:rsidR="008C5CE8" w:rsidRPr="004E7E89" w:rsidRDefault="008C5CE8" w:rsidP="00054E2E">
      <w:pPr>
        <w:rPr>
          <w:lang w:val="en-US"/>
        </w:rPr>
      </w:pPr>
    </w:p>
    <w:p w14:paraId="26DC5482" w14:textId="18CD9F80" w:rsidR="008C5CE8" w:rsidRPr="004E7E89" w:rsidRDefault="008C5CE8" w:rsidP="00054E2E">
      <w:pPr>
        <w:rPr>
          <w:lang w:val="en-US"/>
        </w:rPr>
      </w:pPr>
      <w:r w:rsidRPr="004E7E89">
        <w:rPr>
          <w:lang w:val="en-US"/>
        </w:rPr>
        <w:t>This however will be an extremely challenging task if achievable at all.</w:t>
      </w:r>
    </w:p>
    <w:p w14:paraId="1A3DC47C" w14:textId="77777777" w:rsidR="008C5CE8" w:rsidRPr="004E7E89" w:rsidRDefault="008C5CE8" w:rsidP="008C5CE8">
      <w:pPr>
        <w:rPr>
          <w:lang w:val="en-US"/>
        </w:rPr>
      </w:pPr>
    </w:p>
    <w:p w14:paraId="1A01DC7F" w14:textId="77EEE7A5" w:rsidR="008C5CE8" w:rsidRPr="004E7E89" w:rsidRDefault="008C5CE8" w:rsidP="008C5CE8">
      <w:pPr>
        <w:pBdr>
          <w:top w:val="single" w:sz="4" w:space="1" w:color="auto"/>
          <w:left w:val="single" w:sz="4" w:space="4" w:color="auto"/>
          <w:bottom w:val="single" w:sz="4" w:space="1" w:color="auto"/>
          <w:right w:val="single" w:sz="4" w:space="4" w:color="auto"/>
        </w:pBdr>
        <w:rPr>
          <w:b/>
          <w:lang w:val="en-US"/>
        </w:rPr>
      </w:pPr>
      <w:r w:rsidRPr="004E7E89">
        <w:rPr>
          <w:b/>
          <w:lang w:val="en-US"/>
        </w:rPr>
        <w:t>Therefore</w:t>
      </w:r>
      <w:r w:rsidR="004E7E89" w:rsidRPr="004E7E89">
        <w:rPr>
          <w:b/>
          <w:lang w:val="en-US"/>
        </w:rPr>
        <w:t>, FSUG</w:t>
      </w:r>
      <w:r w:rsidRPr="004E7E89">
        <w:rPr>
          <w:b/>
          <w:lang w:val="en-US"/>
        </w:rPr>
        <w:t xml:space="preserve"> wishes to formally warn the European regulators about the extreme danger of forcing EU individual investors to rely only on shaky, hardly comparable future performance sc</w:t>
      </w:r>
      <w:r w:rsidRPr="004E7E89">
        <w:rPr>
          <w:b/>
          <w:lang w:val="en-US"/>
        </w:rPr>
        <w:t>e</w:t>
      </w:r>
      <w:r w:rsidRPr="004E7E89">
        <w:rPr>
          <w:b/>
          <w:lang w:val="en-US"/>
        </w:rPr>
        <w:t xml:space="preserve">narios, while depriving them of the only performance information that does not lie and </w:t>
      </w:r>
      <w:r w:rsidR="005742E8" w:rsidRPr="004E7E89">
        <w:rPr>
          <w:b/>
          <w:lang w:val="en-US"/>
        </w:rPr>
        <w:t xml:space="preserve">that is </w:t>
      </w:r>
      <w:r w:rsidR="001664A5" w:rsidRPr="004E7E89">
        <w:rPr>
          <w:b/>
          <w:lang w:val="en-US"/>
        </w:rPr>
        <w:t>least subject to misleading:</w:t>
      </w:r>
      <w:r w:rsidRPr="004E7E89">
        <w:rPr>
          <w:b/>
          <w:lang w:val="en-US"/>
        </w:rPr>
        <w:t xml:space="preserve"> the </w:t>
      </w:r>
      <w:r w:rsidR="004E7E89" w:rsidRPr="004E7E89">
        <w:rPr>
          <w:b/>
          <w:lang w:val="en-US"/>
        </w:rPr>
        <w:t>standardized</w:t>
      </w:r>
      <w:r w:rsidRPr="004E7E89">
        <w:rPr>
          <w:b/>
          <w:lang w:val="en-US"/>
        </w:rPr>
        <w:t xml:space="preserve"> and comparable historical performance of the product and of its objective benchmark</w:t>
      </w:r>
      <w:r w:rsidR="001664A5" w:rsidRPr="004E7E89">
        <w:rPr>
          <w:b/>
          <w:lang w:val="en-US"/>
        </w:rPr>
        <w:t xml:space="preserve"> (currently required for all UCITS funds)</w:t>
      </w:r>
      <w:r w:rsidRPr="004E7E89">
        <w:rPr>
          <w:b/>
          <w:lang w:val="en-US"/>
        </w:rPr>
        <w:t>.</w:t>
      </w:r>
    </w:p>
    <w:p w14:paraId="2F3C4361" w14:textId="43DE2632" w:rsidR="008C5CE8" w:rsidRPr="004E7E89" w:rsidRDefault="008C5CE8" w:rsidP="008C5CE8">
      <w:pPr>
        <w:pBdr>
          <w:top w:val="single" w:sz="4" w:space="1" w:color="auto"/>
          <w:left w:val="single" w:sz="4" w:space="4" w:color="auto"/>
          <w:bottom w:val="single" w:sz="4" w:space="1" w:color="auto"/>
          <w:right w:val="single" w:sz="4" w:space="4" w:color="auto"/>
        </w:pBdr>
        <w:rPr>
          <w:b/>
          <w:lang w:val="en-US"/>
        </w:rPr>
      </w:pPr>
      <w:r w:rsidRPr="004E7E89">
        <w:rPr>
          <w:b/>
          <w:lang w:val="en-US"/>
        </w:rPr>
        <w:t xml:space="preserve">The </w:t>
      </w:r>
      <w:r w:rsidR="005742E8" w:rsidRPr="004E7E89">
        <w:rPr>
          <w:b/>
          <w:lang w:val="en-US"/>
        </w:rPr>
        <w:t xml:space="preserve">will maximize the </w:t>
      </w:r>
      <w:r w:rsidRPr="004E7E89">
        <w:rPr>
          <w:b/>
          <w:lang w:val="en-US"/>
        </w:rPr>
        <w:t xml:space="preserve">risk to mislead and confuse </w:t>
      </w:r>
      <w:r w:rsidR="005742E8" w:rsidRPr="004E7E89">
        <w:rPr>
          <w:b/>
          <w:lang w:val="en-US"/>
        </w:rPr>
        <w:t>individual investors and will certainly not i</w:t>
      </w:r>
      <w:r w:rsidR="005742E8" w:rsidRPr="004E7E89">
        <w:rPr>
          <w:b/>
          <w:lang w:val="en-US"/>
        </w:rPr>
        <w:t>m</w:t>
      </w:r>
      <w:r w:rsidR="005742E8" w:rsidRPr="004E7E89">
        <w:rPr>
          <w:b/>
          <w:lang w:val="en-US"/>
        </w:rPr>
        <w:t>prove their already</w:t>
      </w:r>
      <w:r w:rsidR="00E95A1F" w:rsidRPr="004E7E89">
        <w:rPr>
          <w:b/>
          <w:lang w:val="en-US"/>
        </w:rPr>
        <w:t xml:space="preserve"> rock-bottom (see the EU consum</w:t>
      </w:r>
      <w:r w:rsidR="005742E8" w:rsidRPr="004E7E89">
        <w:rPr>
          <w:b/>
          <w:lang w:val="en-US"/>
        </w:rPr>
        <w:t>er scorecard</w:t>
      </w:r>
      <w:r w:rsidR="00E95A1F" w:rsidRPr="004E7E89">
        <w:rPr>
          <w:b/>
          <w:lang w:val="en-US"/>
        </w:rPr>
        <w:t xml:space="preserve"> published every year by the EC</w:t>
      </w:r>
      <w:r w:rsidR="004D3B3F" w:rsidRPr="004E7E89">
        <w:rPr>
          <w:b/>
          <w:lang w:val="en-US"/>
        </w:rPr>
        <w:t>)  trust level in the investm</w:t>
      </w:r>
      <w:r w:rsidR="005742E8" w:rsidRPr="004E7E89">
        <w:rPr>
          <w:b/>
          <w:lang w:val="en-US"/>
        </w:rPr>
        <w:t>ents and savings industry.</w:t>
      </w:r>
    </w:p>
    <w:p w14:paraId="236CA4FA" w14:textId="77777777" w:rsidR="008C5CE8" w:rsidRDefault="008C5CE8" w:rsidP="00054E2E">
      <w:pPr>
        <w:rPr>
          <w:lang w:val="en-US"/>
        </w:rPr>
      </w:pPr>
    </w:p>
    <w:p w14:paraId="29142584" w14:textId="77777777" w:rsidR="00766736" w:rsidRPr="00766736" w:rsidRDefault="00766736" w:rsidP="00766736">
      <w:pPr>
        <w:rPr>
          <w:lang w:val="en-US"/>
        </w:rPr>
      </w:pPr>
    </w:p>
    <w:permEnd w:id="1778801038"/>
    <w:p w14:paraId="2C0658B9" w14:textId="77777777" w:rsidR="00D34282" w:rsidRDefault="00D34282" w:rsidP="00D34282">
      <w:r w:rsidRPr="00C25863">
        <w:t>&lt;</w:t>
      </w:r>
      <w:r w:rsidRPr="00D74C9D">
        <w:t xml:space="preserve"> </w:t>
      </w:r>
      <w:r>
        <w:t>ESMA_</w:t>
      </w:r>
      <w:r w:rsidR="00F31E57" w:rsidRPr="00F31E57">
        <w:t>COMMENT_PRIIPs</w:t>
      </w:r>
      <w:r w:rsidRPr="00C25863">
        <w:t>_1&gt;</w:t>
      </w:r>
    </w:p>
    <w:p w14:paraId="0A868ECC" w14:textId="77777777" w:rsidR="00F31E57" w:rsidRDefault="00F31E57" w:rsidP="00D34282"/>
    <w:p w14:paraId="6720D690" w14:textId="77777777" w:rsidR="00F31E57" w:rsidRDefault="00F31E57">
      <w:r>
        <w:br w:type="page"/>
      </w:r>
    </w:p>
    <w:p w14:paraId="71D443D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14:paraId="773AFCF8" w14:textId="77777777" w:rsidR="00F31E57" w:rsidRDefault="00F31E57" w:rsidP="00F31E57"/>
    <w:p w14:paraId="2D07B819" w14:textId="77777777" w:rsidR="00F31E57" w:rsidRDefault="00F31E57" w:rsidP="00F31E57">
      <w:r>
        <w:t>&lt;ESMA_QUESTION_PRIIPs_1&gt;</w:t>
      </w:r>
    </w:p>
    <w:p w14:paraId="1C2E5041" w14:textId="77777777" w:rsidR="009359C3" w:rsidRDefault="009359C3" w:rsidP="009359C3">
      <w:permStart w:id="1472669523" w:edGrp="everyone"/>
      <w:r>
        <w:t>Regarding the risk-return profile of PRIIPS, proposed methods for estimating future expected returns seems to be sufficient.</w:t>
      </w:r>
      <w:r w:rsidR="00054E2E">
        <w:t xml:space="preserve"> W</w:t>
      </w:r>
      <w:r>
        <w:t xml:space="preserve">hen considering </w:t>
      </w:r>
      <w:r w:rsidR="00054E2E">
        <w:t>proposed methods from the consumer perspective</w:t>
      </w:r>
      <w:r>
        <w:t xml:space="preserve">, </w:t>
      </w:r>
      <w:r w:rsidR="00054E2E">
        <w:t>it should be noted</w:t>
      </w:r>
      <w:r>
        <w:t xml:space="preserve">, that ability </w:t>
      </w:r>
      <w:r w:rsidR="00054E2E">
        <w:t xml:space="preserve">of consumers </w:t>
      </w:r>
      <w:r>
        <w:t xml:space="preserve">to "see </w:t>
      </w:r>
      <w:r w:rsidR="00054E2E">
        <w:t xml:space="preserve">the </w:t>
      </w:r>
      <w:r>
        <w:t>future" is limited. Typical retail investor has a selective memory not able to calculate proba</w:t>
      </w:r>
      <w:r w:rsidR="00054E2E">
        <w:t xml:space="preserve">bilities and tie them to any </w:t>
      </w:r>
      <w:r>
        <w:t>future events.</w:t>
      </w:r>
    </w:p>
    <w:p w14:paraId="37C997CB" w14:textId="77777777" w:rsidR="009359C3" w:rsidRDefault="009359C3" w:rsidP="009359C3">
      <w:r>
        <w:t xml:space="preserve">However, our brain is trained to associate numbers with </w:t>
      </w:r>
      <w:r w:rsidR="00054E2E">
        <w:t xml:space="preserve">the </w:t>
      </w:r>
      <w:r>
        <w:t xml:space="preserve">past events. When we ask a retail investor to associate market developments with the year 2008 or 2009, his/her brain will pop-up red numbers, losses, </w:t>
      </w:r>
      <w:r w:rsidR="00054E2E">
        <w:t>and crisis</w:t>
      </w:r>
      <w:r>
        <w:t xml:space="preserve">. Therefore past events can be associated with our imagination of our reactions to such future events. </w:t>
      </w:r>
    </w:p>
    <w:p w14:paraId="4BD119D7" w14:textId="77777777" w:rsidR="009359C3" w:rsidRDefault="009359C3" w:rsidP="009359C3"/>
    <w:p w14:paraId="2FD937CE" w14:textId="77777777" w:rsidR="009359C3" w:rsidRDefault="009359C3" w:rsidP="009359C3">
      <w:r>
        <w:t>Our suggestion would be to use combined approach, such as:</w:t>
      </w:r>
    </w:p>
    <w:p w14:paraId="3B3EA67D" w14:textId="77777777" w:rsidR="009359C3" w:rsidRDefault="009359C3" w:rsidP="009359C3"/>
    <w:p w14:paraId="6D85DC47" w14:textId="74BD4FFC" w:rsidR="009359C3" w:rsidRPr="004E7E89" w:rsidRDefault="009359C3" w:rsidP="009359C3">
      <w:r w:rsidRPr="004E7E89">
        <w:t>1. using historical data for backtesting of the product returns</w:t>
      </w:r>
      <w:r w:rsidR="00882C8F" w:rsidRPr="004E7E89">
        <w:t xml:space="preserve"> (taking the product’s charges into </w:t>
      </w:r>
      <w:r w:rsidR="00161391" w:rsidRPr="004E7E89">
        <w:t xml:space="preserve">full </w:t>
      </w:r>
      <w:r w:rsidR="00882C8F" w:rsidRPr="004E7E89">
        <w:t>account of course</w:t>
      </w:r>
      <w:r w:rsidR="00161391" w:rsidRPr="004E7E89">
        <w:t>, including entry and exit fees if any</w:t>
      </w:r>
      <w:r w:rsidR="00882C8F" w:rsidRPr="004E7E89">
        <w:t>)</w:t>
      </w:r>
      <w:r w:rsidR="00161391" w:rsidRPr="004E7E89">
        <w:t>. This would give to</w:t>
      </w:r>
      <w:r w:rsidRPr="004E7E89">
        <w:t xml:space="preserve"> retail investor</w:t>
      </w:r>
      <w:r w:rsidR="00161391" w:rsidRPr="004E7E89">
        <w:t>s</w:t>
      </w:r>
      <w:r w:rsidRPr="004E7E89">
        <w:t xml:space="preserve"> a guide</w:t>
      </w:r>
      <w:r w:rsidR="00161391" w:rsidRPr="004E7E89">
        <w:t>line</w:t>
      </w:r>
      <w:r w:rsidRPr="004E7E89">
        <w:t xml:space="preserve"> </w:t>
      </w:r>
      <w:r w:rsidR="00161391" w:rsidRPr="004E7E89">
        <w:t xml:space="preserve">on </w:t>
      </w:r>
      <w:r w:rsidRPr="004E7E89">
        <w:t>how the product would behave under the known past events using the same strategy that is applied for future events.</w:t>
      </w:r>
      <w:r w:rsidR="00161391" w:rsidRPr="004E7E89">
        <w:t xml:space="preserve"> It would also address </w:t>
      </w:r>
      <w:r w:rsidR="007C79FB" w:rsidRPr="004E7E89">
        <w:t xml:space="preserve">somehow </w:t>
      </w:r>
      <w:r w:rsidR="00161391" w:rsidRPr="004E7E89">
        <w:t xml:space="preserve">the extreme weakness of level I of </w:t>
      </w:r>
      <w:r w:rsidR="007C79FB" w:rsidRPr="004E7E89">
        <w:t>excluding past performance from the required disclosures (see general comment above).</w:t>
      </w:r>
    </w:p>
    <w:p w14:paraId="43608BF3" w14:textId="69199A26" w:rsidR="009359C3" w:rsidRPr="004E7E89" w:rsidRDefault="009359C3" w:rsidP="009359C3">
      <w:r w:rsidRPr="004E7E89">
        <w:t>2. stochastic modelling based on parameters estimated from these historical data, where at least two economic cycles for return distribution should be used. A manufacturer will be restricted from picking-up "</w:t>
      </w:r>
      <w:r w:rsidR="00054E2E" w:rsidRPr="004E7E89">
        <w:t>favourable</w:t>
      </w:r>
      <w:r w:rsidRPr="004E7E89">
        <w:t>" cond</w:t>
      </w:r>
      <w:r w:rsidR="007C79FB" w:rsidRPr="004E7E89">
        <w:t xml:space="preserve">itions for modelling of returns. But, even assuming these necessary requirements can be implemented industry wide, any modelling of performance scenarios will bear a huge risk of misleading individual investors and of not being </w:t>
      </w:r>
      <w:r w:rsidR="004D3B3F" w:rsidRPr="004E7E89">
        <w:t>comparable from one product KIID</w:t>
      </w:r>
      <w:r w:rsidR="007C79FB" w:rsidRPr="004E7E89">
        <w:t xml:space="preserve"> to another and even from one provider to another for the same product type.</w:t>
      </w:r>
      <w:r w:rsidRPr="004E7E89">
        <w:cr/>
      </w:r>
    </w:p>
    <w:p w14:paraId="69E5C25D" w14:textId="59A14E7C" w:rsidR="009359C3" w:rsidRPr="004E7E89" w:rsidRDefault="00054E2E" w:rsidP="009359C3">
      <w:r w:rsidRPr="004E7E89">
        <w:t>Complication of combined approach might be overcome by using the approach 1 for displaying past performance</w:t>
      </w:r>
      <w:r w:rsidR="007C79FB" w:rsidRPr="004E7E89">
        <w:t xml:space="preserve"> (as a first “scenario”)</w:t>
      </w:r>
      <w:r w:rsidRPr="004E7E89">
        <w:t xml:space="preserve"> and approach 2 for modelling future expected performance. Using graphical tools to see the past and expected future performance will increase the consumer understanding of the product from the performance perspective.</w:t>
      </w:r>
      <w:r w:rsidR="008C5CE8" w:rsidRPr="004E7E89">
        <w:t xml:space="preserve"> Another critical advantage of this approach is to provide EU citizens as savers with at least one “scenario” that does not lie or mislead and is  (must be like for UCITS funds) comparable from one product to another.</w:t>
      </w:r>
      <w:r w:rsidR="001664A5" w:rsidRPr="004E7E89">
        <w:t xml:space="preserve"> Oth</w:t>
      </w:r>
      <w:r w:rsidR="00C60453" w:rsidRPr="004E7E89">
        <w:t>erwise, the risk to confuse and</w:t>
      </w:r>
      <w:r w:rsidR="001664A5" w:rsidRPr="004E7E89">
        <w:t xml:space="preserve"> mislead people will be maximised, and so will be the level of disputes.</w:t>
      </w:r>
    </w:p>
    <w:permEnd w:id="1472669523"/>
    <w:p w14:paraId="2E5E68DD" w14:textId="77777777" w:rsidR="00F31E57" w:rsidRDefault="00F31E57" w:rsidP="00F31E57">
      <w:r>
        <w:t>&lt;ESMA_QUESTION_PRIIPs_1&gt;</w:t>
      </w:r>
    </w:p>
    <w:p w14:paraId="76E9C28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14:paraId="00D8592A" w14:textId="77777777" w:rsidR="00F31E57" w:rsidRDefault="00F31E57" w:rsidP="00F31E57"/>
    <w:p w14:paraId="06E142A7" w14:textId="77777777" w:rsidR="00F31E57" w:rsidRDefault="00F31E57" w:rsidP="00F31E57">
      <w:r>
        <w:t>&lt;ESMA_QUESTION_PRIIPs_2&gt;</w:t>
      </w:r>
    </w:p>
    <w:p w14:paraId="0AC6C276" w14:textId="77777777" w:rsidR="00F31E57" w:rsidRDefault="00F31E57" w:rsidP="00F31E57">
      <w:permStart w:id="1163538399" w:edGrp="everyone"/>
      <w:r>
        <w:t>TYPE YOUR TEXT HERE</w:t>
      </w:r>
    </w:p>
    <w:p w14:paraId="1A6B0A8C" w14:textId="77777777" w:rsidR="007F49CA" w:rsidRDefault="007F49CA" w:rsidP="00054E2E"/>
    <w:p w14:paraId="17806578" w14:textId="611771B8" w:rsidR="00054E2E" w:rsidRPr="004E7E89" w:rsidRDefault="00071762" w:rsidP="00054E2E">
      <w:r>
        <w:t xml:space="preserve">Before considering the model and method, we have to understand the industry practice. </w:t>
      </w:r>
      <w:r w:rsidR="00054E2E">
        <w:t xml:space="preserve">The wording "financial innovation" is often used to </w:t>
      </w:r>
      <w:r>
        <w:t>effectively</w:t>
      </w:r>
      <w:r w:rsidR="00054E2E">
        <w:t xml:space="preserve"> discharge poorly performing </w:t>
      </w:r>
      <w:r w:rsidR="00054E2E" w:rsidRPr="004E7E89">
        <w:t>product</w:t>
      </w:r>
      <w:r w:rsidR="00E73D46" w:rsidRPr="004E7E89">
        <w:t>s</w:t>
      </w:r>
      <w:r w:rsidR="00054E2E" w:rsidRPr="004E7E89">
        <w:t xml:space="preserve"> and replacing them with a "new" product where more </w:t>
      </w:r>
      <w:r w:rsidRPr="004E7E89">
        <w:t>favourable</w:t>
      </w:r>
      <w:r w:rsidR="00054E2E" w:rsidRPr="004E7E89">
        <w:t xml:space="preserve"> conditions for estimating future returns can be used.</w:t>
      </w:r>
    </w:p>
    <w:p w14:paraId="33C16072" w14:textId="4788A780" w:rsidR="00054E2E" w:rsidRDefault="00071762" w:rsidP="00054E2E">
      <w:r w:rsidRPr="004E7E89">
        <w:t xml:space="preserve">To make our argument stronger, think about the possibility of an investor to </w:t>
      </w:r>
      <w:r w:rsidR="00E73D46" w:rsidRPr="004E7E89">
        <w:t>find the</w:t>
      </w:r>
      <w:r w:rsidR="00054E2E" w:rsidRPr="004E7E89">
        <w:t xml:space="preserve"> h</w:t>
      </w:r>
      <w:r w:rsidR="00054E2E">
        <w:t xml:space="preserve">istorical performance of products that have been removed from the market by </w:t>
      </w:r>
      <w:r>
        <w:t xml:space="preserve">a </w:t>
      </w:r>
      <w:r w:rsidR="00054E2E">
        <w:t>manufacturer because of a poor performance against its peers or bench</w:t>
      </w:r>
      <w:r>
        <w:t xml:space="preserve">mark. Investors are </w:t>
      </w:r>
      <w:r w:rsidR="004E7E89">
        <w:t xml:space="preserve">often </w:t>
      </w:r>
      <w:r>
        <w:t xml:space="preserve">not able to </w:t>
      </w:r>
      <w:r w:rsidR="00054E2E">
        <w:t>see the performance (line graph with drawdowns over year) of the products before the year 2009 on the web sites of manufacturers or interm</w:t>
      </w:r>
      <w:r w:rsidR="00054E2E">
        <w:t>e</w:t>
      </w:r>
      <w:r w:rsidR="00054E2E">
        <w:t>diar</w:t>
      </w:r>
      <w:r>
        <w:t>ies.</w:t>
      </w:r>
    </w:p>
    <w:p w14:paraId="572DEA27" w14:textId="77777777" w:rsidR="000B14CE" w:rsidRDefault="000B14CE" w:rsidP="00054E2E"/>
    <w:p w14:paraId="2A6250BD" w14:textId="606B60C8" w:rsidR="000B14CE" w:rsidRPr="004E7E89" w:rsidRDefault="000B14CE" w:rsidP="00054E2E">
      <w:r w:rsidRPr="004E7E89">
        <w:t xml:space="preserve">There is another prerequisite for the disclosure of risk measures and of future performance scenarios: the </w:t>
      </w:r>
      <w:r w:rsidR="004D3B3F" w:rsidRPr="004E7E89">
        <w:t>c</w:t>
      </w:r>
      <w:r w:rsidRPr="004E7E89">
        <w:t xml:space="preserve">onsistency with </w:t>
      </w:r>
      <w:r w:rsidR="004E7E89" w:rsidRPr="004E7E89">
        <w:t>existing</w:t>
      </w:r>
      <w:r w:rsidRPr="004E7E89">
        <w:t xml:space="preserve"> investor protection rules, and, in particular those of MiFID I and II. MiFID requires </w:t>
      </w:r>
      <w:r w:rsidRPr="004E7E89">
        <w:lastRenderedPageBreak/>
        <w:t xml:space="preserve">that any information provided to investors must be “fair, clear and not misleading”. In particular, “clear” means by law among other things that it is intelligible by the target audience. We very much doubt that whatever the parameters used, future performance scenarios would ever meet this legal requirement, especially as the KIID must be kept short and comparable. </w:t>
      </w:r>
      <w:r w:rsidRPr="004E7E89">
        <w:rPr>
          <w:u w:val="single"/>
        </w:rPr>
        <w:t xml:space="preserve">Any standards for risk measure and any future performance scenarios that will not meet this intelligibility </w:t>
      </w:r>
      <w:r w:rsidR="00754317" w:rsidRPr="004E7E89">
        <w:rPr>
          <w:u w:val="single"/>
        </w:rPr>
        <w:t xml:space="preserve">requirement </w:t>
      </w:r>
      <w:r w:rsidRPr="004E7E89">
        <w:rPr>
          <w:u w:val="single"/>
        </w:rPr>
        <w:t>will therefore be unlawful.</w:t>
      </w:r>
      <w:r w:rsidR="00754317" w:rsidRPr="004E7E89">
        <w:t xml:space="preserve">  </w:t>
      </w:r>
    </w:p>
    <w:p w14:paraId="177CD0C8" w14:textId="77777777" w:rsidR="000B14CE" w:rsidRDefault="000B14CE" w:rsidP="00054E2E"/>
    <w:p w14:paraId="1C9DC391" w14:textId="75D77FEC" w:rsidR="00071762" w:rsidRDefault="00071762" w:rsidP="00054E2E">
      <w:r>
        <w:t>When considering the method of choosing model parameters, wider confidence intervals should be co</w:t>
      </w:r>
      <w:r>
        <w:t>n</w:t>
      </w:r>
      <w:r>
        <w:t>sidered. I</w:t>
      </w:r>
      <w:r w:rsidRPr="00071762">
        <w:t>n other words, if the product is really risky and can perform really poorly, than displaying a wider confidence interval (e.g. 5th percentile or even a 1st percentile) is really necessary for retail investor to see the riskiness of the product he/she intends to buy.</w:t>
      </w:r>
    </w:p>
    <w:p w14:paraId="6B645675" w14:textId="77777777" w:rsidR="001E10F3" w:rsidRDefault="00071762" w:rsidP="001E10F3">
      <w:r>
        <w:t xml:space="preserve">When considering parameters that determine the variability to be estimated based on current expectations derived from current market prices (derivatives), </w:t>
      </w:r>
      <w:r w:rsidR="001E10F3">
        <w:t>one has to think on the usage of a model that uses the derivative contracts (forward looking financial instruments) in this way:</w:t>
      </w:r>
    </w:p>
    <w:p w14:paraId="0355BCF8" w14:textId="77777777" w:rsidR="00071762" w:rsidRDefault="001E10F3" w:rsidP="001E10F3">
      <w:r>
        <w:t>"If a manufacturer or regulator uses the expected returns from forward looking contracts, than the forward looking contracts will be influenced by underlying assets bought under the assumption that the returns are influenced by forward looking contracts built on these underlying assets. This in turn can create a typical self-fulfilling paradigm and a way how to manipulate the market because derivative products are often bought by financial institutions and not by the retail investors via retail products. However, forward looking contracts are often used to "steal" the profit from the future (locking the profit) on expense of holders of underlying assets.</w:t>
      </w:r>
    </w:p>
    <w:p w14:paraId="67536F07" w14:textId="77777777" w:rsidR="000B14CE" w:rsidRDefault="000B14CE" w:rsidP="001E10F3"/>
    <w:p w14:paraId="3A5CC85C" w14:textId="52169E4B" w:rsidR="000B14CE" w:rsidRPr="004E7E89" w:rsidRDefault="000B14CE" w:rsidP="001E10F3">
      <w:r w:rsidRPr="004E7E89">
        <w:t>We believe is it crucial</w:t>
      </w:r>
      <w:r w:rsidR="00754317" w:rsidRPr="004E7E89">
        <w:t xml:space="preserve"> t</w:t>
      </w:r>
      <w:r w:rsidRPr="004E7E89">
        <w:t xml:space="preserve">o rely on an approach based on historical data instead of prospective models that will generate diverse questions and doubts in addition to the </w:t>
      </w:r>
      <w:r w:rsidR="004E7E89" w:rsidRPr="004E7E89">
        <w:t>difficulty</w:t>
      </w:r>
      <w:r w:rsidRPr="004E7E89">
        <w:t xml:space="preserve"> of understanding them</w:t>
      </w:r>
      <w:r w:rsidR="00754317" w:rsidRPr="004E7E89">
        <w:t>, not only at the level of the individual investor, but also at the level of the retail financial advisers and distributors.</w:t>
      </w:r>
    </w:p>
    <w:p w14:paraId="54021C8D" w14:textId="147F4A4A" w:rsidR="000B14CE" w:rsidRPr="004E7E89" w:rsidRDefault="000B14CE" w:rsidP="001E10F3">
      <w:r w:rsidRPr="004E7E89">
        <w:t xml:space="preserve"> </w:t>
      </w:r>
    </w:p>
    <w:permEnd w:id="1163538399"/>
    <w:p w14:paraId="0B3F3051" w14:textId="77777777" w:rsidR="00F31E57" w:rsidRDefault="00F31E57" w:rsidP="00F31E57">
      <w:r>
        <w:t>&lt;ESMA_QUESTION_PRIIPs_2&gt;</w:t>
      </w:r>
    </w:p>
    <w:p w14:paraId="122D4C1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14:paraId="6ECC34AA" w14:textId="77777777" w:rsidR="00F31E57" w:rsidRDefault="00F31E57" w:rsidP="00F31E57"/>
    <w:p w14:paraId="2B0D4DB4" w14:textId="77777777" w:rsidR="00F31E57" w:rsidRDefault="00F31E57" w:rsidP="00F31E57">
      <w:r>
        <w:t>&lt;ESMA_QUESTION_PRIIPs_3&gt;</w:t>
      </w:r>
    </w:p>
    <w:p w14:paraId="7CF1AA9C" w14:textId="37180721" w:rsidR="00FE4CE0" w:rsidRPr="004E7E89" w:rsidRDefault="001E10F3" w:rsidP="00F31E57">
      <w:permStart w:id="154883277" w:edGrp="everyone"/>
      <w:r w:rsidRPr="004E7E89">
        <w:t xml:space="preserve">There should be at least </w:t>
      </w:r>
      <w:r w:rsidR="00FE4CE0" w:rsidRPr="004E7E89">
        <w:t xml:space="preserve">by default </w:t>
      </w:r>
      <w:r w:rsidRPr="004E7E89">
        <w:t>a</w:t>
      </w:r>
      <w:r w:rsidR="00BB1C9D" w:rsidRPr="004E7E89">
        <w:t>n</w:t>
      </w:r>
      <w:r w:rsidRPr="004E7E89">
        <w:t xml:space="preserve"> inflation based benchmark used. Think of inflation as a key param</w:t>
      </w:r>
      <w:r w:rsidRPr="004E7E89">
        <w:t>e</w:t>
      </w:r>
      <w:r w:rsidRPr="004E7E89">
        <w:t>ter every retail investor face</w:t>
      </w:r>
      <w:r w:rsidR="004D3B3F" w:rsidRPr="004E7E89">
        <w:t>s</w:t>
      </w:r>
      <w:r w:rsidRPr="004E7E89">
        <w:t xml:space="preserve">. </w:t>
      </w:r>
      <w:r w:rsidR="00BB1C9D" w:rsidRPr="004E7E89">
        <w:t xml:space="preserve">Retail investor </w:t>
      </w:r>
      <w:r w:rsidRPr="004E7E89">
        <w:t xml:space="preserve">is not concerned by the </w:t>
      </w:r>
      <w:r w:rsidR="00FE4CE0" w:rsidRPr="004E7E89">
        <w:t>“</w:t>
      </w:r>
      <w:r w:rsidRPr="004E7E89">
        <w:t>risk-</w:t>
      </w:r>
      <w:r w:rsidR="00BB1C9D" w:rsidRPr="004E7E89">
        <w:t>free</w:t>
      </w:r>
      <w:r w:rsidR="00FE4CE0" w:rsidRPr="004E7E89">
        <w:t>”</w:t>
      </w:r>
      <w:r w:rsidR="00BB1C9D" w:rsidRPr="004E7E89">
        <w:t xml:space="preserve"> rate</w:t>
      </w:r>
      <w:r w:rsidR="00FE4CE0" w:rsidRPr="004E7E89">
        <w:t xml:space="preserve"> (if any such thing actually exists)</w:t>
      </w:r>
      <w:r w:rsidR="00BB1C9D" w:rsidRPr="004E7E89">
        <w:t>, rather inflation as he/she has</w:t>
      </w:r>
      <w:r w:rsidRPr="004E7E89">
        <w:t xml:space="preserve"> to protect the value of money and thus </w:t>
      </w:r>
      <w:r w:rsidR="00BB1C9D" w:rsidRPr="004E7E89">
        <w:t>the</w:t>
      </w:r>
      <w:r w:rsidRPr="004E7E89">
        <w:t xml:space="preserve"> wealth and living standard.</w:t>
      </w:r>
      <w:r w:rsidR="00FE4CE0" w:rsidRPr="004E7E89">
        <w:t xml:space="preserve"> History shows how much ordinary savers are subject to the “monetary illusion” and how much inflation can wipe out long term and pension savings over the mid and long term.</w:t>
      </w:r>
    </w:p>
    <w:p w14:paraId="38E8717C" w14:textId="77777777" w:rsidR="00FE4CE0" w:rsidRPr="004E7E89" w:rsidRDefault="00FE4CE0" w:rsidP="00F31E57"/>
    <w:p w14:paraId="7091EE7D" w14:textId="3E65A12B" w:rsidR="00BB1C9D" w:rsidRPr="004E7E89" w:rsidRDefault="00BB1C9D" w:rsidP="00F31E57">
      <w:r w:rsidRPr="004E7E89">
        <w:t>However, comparison with respective benchmark (not for adjustments) could be considered as well.</w:t>
      </w:r>
      <w:r w:rsidR="00FE4CE0" w:rsidRPr="004E7E89">
        <w:t xml:space="preserve"> For those, it is necessary and important to avoid any subjective or</w:t>
      </w:r>
      <w:r w:rsidR="004E7E89">
        <w:t xml:space="preserve"> </w:t>
      </w:r>
      <w:r w:rsidR="00BF5C4C">
        <w:t>“</w:t>
      </w:r>
      <w:r w:rsidR="00FE4CE0" w:rsidRPr="004E7E89">
        <w:t>peer” benchmarks. Only “objective” benchmarks should be allowed: either macro economic or m</w:t>
      </w:r>
      <w:r w:rsidR="004D3B3F" w:rsidRPr="004E7E89">
        <w:t xml:space="preserve">acro financial indicators that </w:t>
      </w:r>
      <w:r w:rsidR="00FE4CE0" w:rsidRPr="004E7E89">
        <w:t xml:space="preserve">are </w:t>
      </w:r>
      <w:r w:rsidR="004E7E89" w:rsidRPr="004E7E89">
        <w:t>manufa</w:t>
      </w:r>
      <w:r w:rsidR="004E7E89" w:rsidRPr="004E7E89">
        <w:t>c</w:t>
      </w:r>
      <w:r w:rsidR="004E7E89" w:rsidRPr="004E7E89">
        <w:t>tured</w:t>
      </w:r>
      <w:r w:rsidR="00FE4CE0" w:rsidRPr="004E7E89">
        <w:t xml:space="preserve"> by independent parties</w:t>
      </w:r>
      <w:r w:rsidR="00BF5C4C" w:rsidRPr="004E7E89">
        <w:t>; in</w:t>
      </w:r>
      <w:r w:rsidR="00FE4CE0" w:rsidRPr="004E7E89">
        <w:t xml:space="preserve"> particular capital markets indices for which individual investors can a</w:t>
      </w:r>
      <w:r w:rsidR="00FE4CE0" w:rsidRPr="004E7E89">
        <w:t>c</w:t>
      </w:r>
      <w:r w:rsidR="00FE4CE0" w:rsidRPr="004E7E89">
        <w:t>cess historical performance. “Peer performance” type of benchmarks must be prohibit</w:t>
      </w:r>
      <w:r w:rsidR="004D3B3F" w:rsidRPr="004E7E89">
        <w:t>ed, as it is not because a given</w:t>
      </w:r>
      <w:r w:rsidR="00FE4CE0" w:rsidRPr="004E7E89">
        <w:t xml:space="preserve"> product outperformed 75% of its “peers” that it is actually performing well: its whole “peer” category may well</w:t>
      </w:r>
      <w:r w:rsidR="00BF5C4C">
        <w:t xml:space="preserve"> be under water, and/ or under</w:t>
      </w:r>
      <w:r w:rsidR="00FE4CE0" w:rsidRPr="004E7E89">
        <w:t xml:space="preserve">performing the </w:t>
      </w:r>
      <w:r w:rsidR="004E7E89" w:rsidRPr="004E7E89">
        <w:t>relevant</w:t>
      </w:r>
      <w:r w:rsidR="00FE4CE0" w:rsidRPr="004E7E89">
        <w:t xml:space="preserve"> capital market perfo</w:t>
      </w:r>
      <w:r w:rsidR="00FE4CE0" w:rsidRPr="004E7E89">
        <w:t>r</w:t>
      </w:r>
      <w:r w:rsidR="00BF5C4C">
        <w:t>mance. FSUG</w:t>
      </w:r>
      <w:r w:rsidR="00FE4CE0" w:rsidRPr="004E7E89">
        <w:t xml:space="preserve"> made the same remark </w:t>
      </w:r>
      <w:r w:rsidR="004E7E89">
        <w:t>for the UCITS KIID</w:t>
      </w:r>
      <w:r w:rsidR="00E94633" w:rsidRPr="004E7E89">
        <w:t xml:space="preserve"> (UCITS IV Directive).</w:t>
      </w:r>
    </w:p>
    <w:p w14:paraId="5B8ECA8A" w14:textId="77777777" w:rsidR="00FE4CE0" w:rsidRDefault="00FE4CE0" w:rsidP="00F31E57"/>
    <w:permEnd w:id="154883277"/>
    <w:p w14:paraId="29771930" w14:textId="77777777" w:rsidR="00F31E57" w:rsidRDefault="00F31E57" w:rsidP="00F31E57">
      <w:r>
        <w:t>&lt;ESMA_QUESTION_PRIIPs_3&gt;</w:t>
      </w:r>
    </w:p>
    <w:p w14:paraId="590E0FF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14:paraId="0B8671A9" w14:textId="77777777" w:rsidR="00F31E57" w:rsidRDefault="00F31E57" w:rsidP="00F31E57"/>
    <w:p w14:paraId="3FC32375" w14:textId="77777777" w:rsidR="00F31E57" w:rsidRDefault="00F31E57" w:rsidP="00F31E57">
      <w:r>
        <w:t>&lt;ESMA_QUESTION_PRIIPs_4&gt;</w:t>
      </w:r>
    </w:p>
    <w:p w14:paraId="3C3408C9" w14:textId="6C9433F3" w:rsidR="00BB1C9D" w:rsidRPr="00BF5C4C" w:rsidRDefault="00BB1C9D" w:rsidP="00F31E57">
      <w:permStart w:id="1081557034" w:edGrp="everyone"/>
      <w:r w:rsidRPr="00BB1C9D">
        <w:t>Retail investors often m</w:t>
      </w:r>
      <w:r w:rsidRPr="00BF5C4C">
        <w:t>ake decision</w:t>
      </w:r>
      <w:r w:rsidR="006E0A97" w:rsidRPr="00BF5C4C">
        <w:t>s</w:t>
      </w:r>
      <w:r w:rsidRPr="00BF5C4C">
        <w:t xml:space="preserve"> influenced by time varying (time dependent) circumstances and events. Therefore, even the 3rd option is the most complicated one, FSUG thinks about this one as a preferred option. </w:t>
      </w:r>
    </w:p>
    <w:p w14:paraId="3341D339" w14:textId="77777777" w:rsidR="00BB1C9D" w:rsidRPr="00BF5C4C" w:rsidRDefault="00BB1C9D" w:rsidP="00F31E57">
      <w:r w:rsidRPr="00BB1C9D">
        <w:lastRenderedPageBreak/>
        <w:t>The 2nd option can be acceptable</w:t>
      </w:r>
      <w:r w:rsidRPr="00BF5C4C">
        <w:t xml:space="preserve"> only if it uses the inflation as a risk premium. </w:t>
      </w:r>
    </w:p>
    <w:p w14:paraId="7F510121" w14:textId="63150500" w:rsidR="00F31E57" w:rsidRPr="00BF5C4C" w:rsidRDefault="00BB1C9D" w:rsidP="00F31E57">
      <w:r w:rsidRPr="00BF5C4C">
        <w:t xml:space="preserve">The risk premiums should be estimated </w:t>
      </w:r>
      <w:r w:rsidR="00BF5C4C" w:rsidRPr="00BF5C4C">
        <w:t>from historical</w:t>
      </w:r>
      <w:r w:rsidRPr="00BF5C4C">
        <w:t xml:space="preserve"> data</w:t>
      </w:r>
      <w:r w:rsidR="006E0A97" w:rsidRPr="00BF5C4C">
        <w:t xml:space="preserve"> using the </w:t>
      </w:r>
      <w:r w:rsidR="00BF5C4C" w:rsidRPr="00BF5C4C">
        <w:t>appropriate</w:t>
      </w:r>
      <w:r w:rsidR="00A13EE7" w:rsidRPr="00BF5C4C">
        <w:t xml:space="preserve"> </w:t>
      </w:r>
      <w:r w:rsidR="006E0A97" w:rsidRPr="00BF5C4C">
        <w:t>holding time of the product not less (see our general comment</w:t>
      </w:r>
      <w:r w:rsidR="00A13EE7" w:rsidRPr="00BF5C4C">
        <w:t xml:space="preserve"> and reply to question 5</w:t>
      </w:r>
      <w:r w:rsidR="006E0A97" w:rsidRPr="00BF5C4C">
        <w:t xml:space="preserve"> on this issue).</w:t>
      </w:r>
    </w:p>
    <w:p w14:paraId="0C99E01A" w14:textId="77777777" w:rsidR="006E0A97" w:rsidRDefault="006E0A97" w:rsidP="00F31E57"/>
    <w:permEnd w:id="1081557034"/>
    <w:p w14:paraId="61A53D81" w14:textId="77777777" w:rsidR="00F31E57" w:rsidRDefault="00F31E57" w:rsidP="00F31E57">
      <w:r>
        <w:t>&lt;ESMA_QUESTION_PRIIPs_4&gt;</w:t>
      </w:r>
    </w:p>
    <w:p w14:paraId="1B357B1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14:paraId="6DBF2905" w14:textId="77777777" w:rsidR="00F31E57" w:rsidRDefault="00F31E57" w:rsidP="00F31E57"/>
    <w:p w14:paraId="59958998" w14:textId="77777777" w:rsidR="00F31E57" w:rsidRDefault="00F31E57" w:rsidP="00F31E57">
      <w:r>
        <w:t>&lt;ESMA_QUESTION_PRIIPs_5&gt;</w:t>
      </w:r>
    </w:p>
    <w:p w14:paraId="58CC71E5" w14:textId="386DC3F1" w:rsidR="00F31E57" w:rsidRDefault="00BB1C9D" w:rsidP="00BB1C9D">
      <w:permStart w:id="331434289" w:edGrp="everyone"/>
      <w:r>
        <w:t xml:space="preserve">Time frame for risk indicators as well as performance scenarios should be based on constructing a risk indicator based on different observations of the risk indicator at different time horizons (e.g. average of the indicator, maximum level of the indicator) – option b) in the discussion paper. </w:t>
      </w:r>
    </w:p>
    <w:p w14:paraId="363A4AB0" w14:textId="77777777" w:rsidR="00BB1C9D" w:rsidRDefault="00BB1C9D" w:rsidP="00BB1C9D">
      <w:r>
        <w:t>If the indicator of risk is VaR (Value-at-Risk) or even better CVaR (Conditional VaR or ES - expected shortfall), than</w:t>
      </w:r>
      <w:r w:rsidR="00C1295C">
        <w:t xml:space="preserve"> a retail investor wants </w:t>
      </w:r>
      <w:r>
        <w:t>to see the maximum drawdown that happened in a past accomp</w:t>
      </w:r>
      <w:r>
        <w:t>a</w:t>
      </w:r>
      <w:r>
        <w:t>nied with the average or mean value of the indicator).</w:t>
      </w:r>
    </w:p>
    <w:p w14:paraId="75501C5F" w14:textId="77777777" w:rsidR="00BB1C9D" w:rsidRDefault="00C1295C" w:rsidP="00BB1C9D">
      <w:r>
        <w:t>The rationale behind this is to know when a retail investor p</w:t>
      </w:r>
      <w:r w:rsidR="00BB1C9D">
        <w:t>ut</w:t>
      </w:r>
      <w:r>
        <w:t>s</w:t>
      </w:r>
      <w:r w:rsidR="00BB1C9D">
        <w:t xml:space="preserve"> </w:t>
      </w:r>
      <w:r>
        <w:t>his/hers</w:t>
      </w:r>
      <w:r w:rsidR="00BB1C9D">
        <w:t xml:space="preserve"> savings on stake </w:t>
      </w:r>
      <w:r>
        <w:t>he/she</w:t>
      </w:r>
      <w:r w:rsidR="00BB1C9D">
        <w:t xml:space="preserve"> want</w:t>
      </w:r>
      <w:r>
        <w:t>s</w:t>
      </w:r>
      <w:r w:rsidR="00BB1C9D">
        <w:t xml:space="preserve"> to see, what might happen if it gets really </w:t>
      </w:r>
      <w:r>
        <w:t>“</w:t>
      </w:r>
      <w:r w:rsidR="00BB1C9D">
        <w:t>bad</w:t>
      </w:r>
      <w:r>
        <w:t>”</w:t>
      </w:r>
      <w:r w:rsidR="00BB1C9D">
        <w:t>.</w:t>
      </w:r>
    </w:p>
    <w:p w14:paraId="1D5D71EF" w14:textId="77777777" w:rsidR="00C1295C" w:rsidRDefault="00C1295C" w:rsidP="00BB1C9D"/>
    <w:p w14:paraId="24E89666" w14:textId="44A15A59" w:rsidR="009B33EB" w:rsidRDefault="009B33EB" w:rsidP="00C1295C">
      <w:pPr>
        <w:rPr>
          <w:lang w:val="en-US"/>
        </w:rPr>
      </w:pPr>
      <w:r>
        <w:rPr>
          <w:lang w:val="en-US"/>
        </w:rPr>
        <w:t>FSUG considers that there should be coherence between time frames chosen for disclosure of (past) performance and the recommended holding period/maturity of the product. Next to that, standardize</w:t>
      </w:r>
      <w:r w:rsidR="00606B0A">
        <w:rPr>
          <w:lang w:val="en-US"/>
        </w:rPr>
        <w:t>d time frames (e.g. 1, 3, 5,</w:t>
      </w:r>
      <w:r>
        <w:rPr>
          <w:lang w:val="en-US"/>
        </w:rPr>
        <w:t>10 years</w:t>
      </w:r>
      <w:r w:rsidR="00606B0A" w:rsidRPr="00BF5C4C">
        <w:rPr>
          <w:lang w:val="en-US"/>
        </w:rPr>
        <w:t xml:space="preserve"> and more for long term and pension products</w:t>
      </w:r>
      <w:r w:rsidRPr="00BF5C4C">
        <w:rPr>
          <w:lang w:val="en-US"/>
        </w:rPr>
        <w:t>) should be used for perfo</w:t>
      </w:r>
      <w:r w:rsidRPr="00BF5C4C">
        <w:rPr>
          <w:lang w:val="en-US"/>
        </w:rPr>
        <w:t>r</w:t>
      </w:r>
      <w:r w:rsidRPr="00BF5C4C">
        <w:rPr>
          <w:lang w:val="en-US"/>
        </w:rPr>
        <w:t>mance scenarios given the fact, that the KID is not a personalized but a pre-</w:t>
      </w:r>
      <w:r>
        <w:rPr>
          <w:lang w:val="en-US"/>
        </w:rPr>
        <w:t>contractual document. FSUG considers that the inclusion of short time frames are necessary also in cases where the product has a longer recommended holding period as this may help investors understanding the impact of short term holding against long term holding.</w:t>
      </w:r>
    </w:p>
    <w:p w14:paraId="09DE7FDB" w14:textId="7118C13B" w:rsidR="00C1295C" w:rsidRPr="00BF5C4C" w:rsidRDefault="00C1295C" w:rsidP="00C1295C">
      <w:r>
        <w:t>Time frame for risk indicators as well as performance scenarios should be tied to the recommended holding period as well as half-time of decay, e.g. if the holding period is 5 years, than there should be at least 2,5 year time frame. Additionally, it should be noted that a typical retail investor is able to accomm</w:t>
      </w:r>
      <w:r>
        <w:t>o</w:t>
      </w:r>
      <w:r>
        <w:t>date in his brain a simple time frames (1 day, 1 month, 1 year), therefore 1 year should be also one of the time frames used for presenting Risk and Return Scena</w:t>
      </w:r>
      <w:r w:rsidRPr="00BF5C4C">
        <w:t>rios</w:t>
      </w:r>
      <w:r w:rsidR="003C3ADA" w:rsidRPr="00BF5C4C">
        <w:t xml:space="preserve"> (except if forbidden for the product)</w:t>
      </w:r>
      <w:r w:rsidRPr="00BF5C4C">
        <w:t xml:space="preserve">. </w:t>
      </w:r>
    </w:p>
    <w:p w14:paraId="37DB9BE6" w14:textId="77777777" w:rsidR="00C1295C" w:rsidRDefault="00C1295C" w:rsidP="00C1295C">
      <w:r w:rsidRPr="00BF5C4C">
        <w:t>Understanding the development of the risk in shorter time periods could increase the level of und</w:t>
      </w:r>
      <w:r>
        <w:t>erstan</w:t>
      </w:r>
      <w:r>
        <w:t>d</w:t>
      </w:r>
      <w:r>
        <w:t>ing the riskiness of the product.</w:t>
      </w:r>
    </w:p>
    <w:p w14:paraId="7EF887E3" w14:textId="77777777" w:rsidR="009B33EB" w:rsidRDefault="009B33EB" w:rsidP="00665172"/>
    <w:p w14:paraId="1F821EA8" w14:textId="77777777" w:rsidR="00665172" w:rsidRDefault="00665172" w:rsidP="00665172">
      <w:r>
        <w:t>Market risk is</w:t>
      </w:r>
      <w:r w:rsidRPr="00665172">
        <w:t xml:space="preserve"> the most important unit of risk factors.</w:t>
      </w:r>
      <w:r>
        <w:t xml:space="preserve"> Using volatility as a measure aiming at quantifying the variation of value of an asset for calculating VaR and Expected Shortfall is a good approach. However, simpler method for estimating maximum draw-down that could have emerged in a past can help investors to better understand the risk.</w:t>
      </w:r>
    </w:p>
    <w:p w14:paraId="5F22824C" w14:textId="77777777" w:rsidR="00014673" w:rsidRDefault="00014673" w:rsidP="00665172"/>
    <w:permEnd w:id="331434289"/>
    <w:p w14:paraId="5DDECB00" w14:textId="77777777" w:rsidR="00F31E57" w:rsidRDefault="00F31E57" w:rsidP="00F31E57">
      <w:r>
        <w:t>&lt;ESMA_QUESTION_PRIIPs_5&gt;</w:t>
      </w:r>
    </w:p>
    <w:p w14:paraId="471EB32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14:paraId="7FCB3461" w14:textId="77777777" w:rsidR="00F31E57" w:rsidRDefault="00F31E57" w:rsidP="00F31E57">
      <w:pPr>
        <w:rPr>
          <w:rFonts w:eastAsiaTheme="minorHAnsi"/>
          <w:lang w:eastAsia="en-US"/>
        </w:rPr>
      </w:pPr>
    </w:p>
    <w:p w14:paraId="31A5784E" w14:textId="77777777" w:rsidR="00F31E57" w:rsidRDefault="00F31E57" w:rsidP="00F31E57">
      <w:r>
        <w:t>&lt;ESMA_QUESTION_PRIIPs_6&gt;</w:t>
      </w:r>
    </w:p>
    <w:p w14:paraId="2B70D8E3" w14:textId="77777777" w:rsidR="00DB4C6A" w:rsidRDefault="00DB4C6A" w:rsidP="00161391">
      <w:permStart w:id="1594035519" w:edGrp="everyone"/>
    </w:p>
    <w:p w14:paraId="608D6FB7" w14:textId="55A86252" w:rsidR="00356471" w:rsidRPr="00BF5C4C" w:rsidRDefault="00356471" w:rsidP="00161391">
      <w:r w:rsidRPr="00BF5C4C">
        <w:t>Credit risk must be taken into account in the overall risk assessment of the product. Whenever a credit rating is available, it should be used, but that is seldom the case for retail packaged products.</w:t>
      </w:r>
    </w:p>
    <w:p w14:paraId="6948DDC6" w14:textId="77777777" w:rsidR="00DB4C6A" w:rsidRDefault="00DB4C6A" w:rsidP="00F31E57"/>
    <w:permEnd w:id="1594035519"/>
    <w:p w14:paraId="44B4E1BE" w14:textId="24DDBA82" w:rsidR="00F31E57" w:rsidRDefault="00F31E57" w:rsidP="00F31E57">
      <w:r>
        <w:t>&lt;ESMA_QUESTION_PRIIPs_6&gt;</w:t>
      </w:r>
    </w:p>
    <w:p w14:paraId="6A45143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14:paraId="77251B74" w14:textId="77777777" w:rsidR="00F31E57" w:rsidRDefault="00F31E57" w:rsidP="00F31E57"/>
    <w:p w14:paraId="659B280D" w14:textId="77777777" w:rsidR="00F31E57" w:rsidRDefault="00F31E57" w:rsidP="00F31E57">
      <w:r>
        <w:t>&lt;ESMA_QUESTION_PRIIPs_7&gt;</w:t>
      </w:r>
    </w:p>
    <w:p w14:paraId="0C5C5EC1" w14:textId="77777777" w:rsidR="00F31E57" w:rsidRDefault="00DB48BE" w:rsidP="00F31E57">
      <w:permStart w:id="2137541980" w:edGrp="everyone"/>
      <w:r>
        <w:lastRenderedPageBreak/>
        <w:t>Yes, we agree. The liquidity risk should be displayed separately and explained in a simple way to dete</w:t>
      </w:r>
      <w:r>
        <w:t>r</w:t>
      </w:r>
      <w:r>
        <w:t>mine the potential loss of selling/returning/terminating the product before the recommended holding per</w:t>
      </w:r>
      <w:r>
        <w:t>i</w:t>
      </w:r>
      <w:r>
        <w:t>od.</w:t>
      </w:r>
    </w:p>
    <w:p w14:paraId="66E8A395" w14:textId="77777777" w:rsidR="007C3810" w:rsidRDefault="007C3810" w:rsidP="00F31E57"/>
    <w:p w14:paraId="31D3F0EC" w14:textId="2B5B2809" w:rsidR="007C3810" w:rsidRPr="00BF5C4C" w:rsidRDefault="007C3810" w:rsidP="007C3810">
      <w:pPr>
        <w:pStyle w:val="Textkomente"/>
      </w:pPr>
      <w:r w:rsidRPr="00BF5C4C">
        <w:t>However, there can be a liquidity risk even if one holds the product for the recommended holding period. In that case liquidity risk should be taken into account in the overall risk assessment but  not in a separate section , as this could be complicating the KIID and likely to confuse the reader.</w:t>
      </w:r>
    </w:p>
    <w:p w14:paraId="3E508390" w14:textId="77777777" w:rsidR="007C3810" w:rsidRPr="00BF5C4C" w:rsidRDefault="007C3810" w:rsidP="00F31E57"/>
    <w:p w14:paraId="239DB3C5" w14:textId="3759EED2" w:rsidR="00A13EE7" w:rsidRPr="00BF5C4C" w:rsidRDefault="00A13EE7" w:rsidP="00F31E57">
      <w:r w:rsidRPr="00BF5C4C">
        <w:t xml:space="preserve">Of course </w:t>
      </w:r>
      <w:r w:rsidR="007C3810" w:rsidRPr="00BF5C4C">
        <w:t xml:space="preserve">liquidity risk </w:t>
      </w:r>
      <w:r w:rsidRPr="00BF5C4C">
        <w:t>is quite irrelevant for any packaged product that has a defined maturity (like stru</w:t>
      </w:r>
      <w:r w:rsidRPr="00BF5C4C">
        <w:t>c</w:t>
      </w:r>
      <w:r w:rsidRPr="00BF5C4C">
        <w:t>tured funds for example).</w:t>
      </w:r>
    </w:p>
    <w:p w14:paraId="40271ADB" w14:textId="77777777" w:rsidR="00A13EE7" w:rsidRDefault="00A13EE7" w:rsidP="00F31E57"/>
    <w:permEnd w:id="2137541980"/>
    <w:p w14:paraId="4EABD865" w14:textId="77777777" w:rsidR="00F31E57" w:rsidRDefault="00F31E57" w:rsidP="00F31E57">
      <w:r>
        <w:t>&lt;ESMA_QUESTION_PRIIPs_7&gt;</w:t>
      </w:r>
    </w:p>
    <w:p w14:paraId="3199831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14:paraId="6945FDFD" w14:textId="77777777" w:rsidR="00F31E57" w:rsidRDefault="00F31E57" w:rsidP="00F31E57"/>
    <w:p w14:paraId="3D2DB272" w14:textId="77777777" w:rsidR="00F31E57" w:rsidRDefault="00F31E57" w:rsidP="00F31E57">
      <w:r>
        <w:t>&lt;ESMA_QUESTION_PRIIPs_8&gt;</w:t>
      </w:r>
    </w:p>
    <w:p w14:paraId="1D238998" w14:textId="4459C317" w:rsidR="00F31E57" w:rsidRDefault="00DB48BE" w:rsidP="00DB48BE">
      <w:permStart w:id="1619072927" w:edGrp="everyone"/>
      <w:r>
        <w:t>FSUG thinks that cost and exit penalties for early redemptions should be considered as a component of the liquidity risk and hence, be used to define a product as liquid or not for the KID purpose</w:t>
      </w:r>
      <w:r w:rsidR="0019301A">
        <w:t>.</w:t>
      </w:r>
    </w:p>
    <w:p w14:paraId="301C2F92" w14:textId="5CF68772" w:rsidR="0019301A" w:rsidRPr="00BF5C4C" w:rsidRDefault="0019301A" w:rsidP="00DB48BE">
      <w:r w:rsidRPr="00BF5C4C">
        <w:t>FSUG does not agree that liquidity could be assumed if the product is traded on an MTF. MTFs are less protective and</w:t>
      </w:r>
      <w:r w:rsidR="00176C84" w:rsidRPr="00BF5C4C">
        <w:t xml:space="preserve"> </w:t>
      </w:r>
      <w:r w:rsidRPr="00BF5C4C">
        <w:t xml:space="preserve">usually less transparent </w:t>
      </w:r>
      <w:r w:rsidR="00176C84" w:rsidRPr="00BF5C4C">
        <w:t xml:space="preserve">and less accessible </w:t>
      </w:r>
      <w:r w:rsidRPr="00BF5C4C">
        <w:t>for individual investors than regulated markets. For</w:t>
      </w:r>
      <w:r w:rsidR="00176C84" w:rsidRPr="00BF5C4C">
        <w:t xml:space="preserve"> instance, it is usually impossible for an individual investor to </w:t>
      </w:r>
      <w:r w:rsidR="00BF5C4C" w:rsidRPr="00BF5C4C">
        <w:t>access MTFs’</w:t>
      </w:r>
      <w:r w:rsidR="00176C84" w:rsidRPr="00BF5C4C">
        <w:t xml:space="preserve"> post and pre trade data for free whereas it is the case for regulated markets’ trade data.</w:t>
      </w:r>
    </w:p>
    <w:p w14:paraId="1C0B71E6" w14:textId="77777777" w:rsidR="00176C84" w:rsidRDefault="00176C84" w:rsidP="00DB48BE"/>
    <w:permEnd w:id="1619072927"/>
    <w:p w14:paraId="77625F50" w14:textId="77777777" w:rsidR="00F31E57" w:rsidRDefault="00F31E57" w:rsidP="00F31E57">
      <w:r>
        <w:t>&lt;ESMA_QUESTION_PRIIPs_8&gt;</w:t>
      </w:r>
    </w:p>
    <w:p w14:paraId="13EF6AC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14:paraId="62DF877D" w14:textId="77777777" w:rsidR="00F31E57" w:rsidRDefault="00F31E57" w:rsidP="00F31E57"/>
    <w:p w14:paraId="345DBFA5" w14:textId="77777777" w:rsidR="00F31E57" w:rsidRDefault="00F31E57" w:rsidP="00F31E57">
      <w:r>
        <w:t>&lt;ESMA_QUESTION_PRIIPs_9&gt;</w:t>
      </w:r>
    </w:p>
    <w:p w14:paraId="0B8DF2BD" w14:textId="1FC7F47C" w:rsidR="00F31E57" w:rsidRDefault="00DB48BE" w:rsidP="00DB48BE">
      <w:permStart w:id="5011447" w:edGrp="everyone"/>
      <w:r>
        <w:t>If this approach is selected than in Option 1 the 1</w:t>
      </w:r>
      <w:r w:rsidRPr="00DB48BE">
        <w:rPr>
          <w:vertAlign w:val="superscript"/>
        </w:rPr>
        <w:t>st</w:t>
      </w:r>
      <w:r>
        <w:t xml:space="preserve"> alternative seems to be more realistic and</w:t>
      </w:r>
      <w:r w:rsidRPr="00DB48BE">
        <w:t xml:space="preserve"> in terms of using historical data and rolling (compound) volatility as a risk indicator. </w:t>
      </w:r>
      <w:r w:rsidR="00204CC1">
        <w:t>If the historical</w:t>
      </w:r>
      <w:r w:rsidR="00204CC1" w:rsidRPr="00BF5C4C">
        <w:t xml:space="preserve"> data</w:t>
      </w:r>
      <w:r w:rsidRPr="00BF5C4C">
        <w:t xml:space="preserve"> are missing</w:t>
      </w:r>
      <w:r w:rsidR="00BF5C4C" w:rsidRPr="00BF5C4C">
        <w:t>, history</w:t>
      </w:r>
      <w:r w:rsidRPr="00BF5C4C">
        <w:t xml:space="preserve"> is substituted by market indices</w:t>
      </w:r>
      <w:r w:rsidR="0019301A" w:rsidRPr="00BF5C4C">
        <w:t xml:space="preserve"> (minus product charges)</w:t>
      </w:r>
      <w:r w:rsidRPr="00BF5C4C">
        <w:t>,</w:t>
      </w:r>
      <w:r>
        <w:t xml:space="preserve"> peer indices and similar products.</w:t>
      </w:r>
      <w:r w:rsidRPr="00DB48BE">
        <w:t xml:space="preserve"> As such, it can show the real risk of the product using rolling monthly volatility using 20 years of historical monthly data. </w:t>
      </w:r>
    </w:p>
    <w:p w14:paraId="2C5ABA6B" w14:textId="52FF78F1" w:rsidR="00204CC1" w:rsidRDefault="00204CC1" w:rsidP="00204CC1"/>
    <w:p w14:paraId="7412B2C2" w14:textId="3B5BCAD1" w:rsidR="00204CC1" w:rsidRPr="00BF5C4C" w:rsidRDefault="00204CC1" w:rsidP="00DB48BE">
      <w:r w:rsidRPr="00BF5C4C">
        <w:t xml:space="preserve">If a synthetic indicator was selected (which is preferable for the average individual investor), it should include only the main </w:t>
      </w:r>
      <w:r w:rsidR="00BF5C4C" w:rsidRPr="00BF5C4C">
        <w:t>risks:</w:t>
      </w:r>
      <w:r w:rsidRPr="00BF5C4C">
        <w:t xml:space="preserve"> market risk and credit risk.</w:t>
      </w:r>
    </w:p>
    <w:p w14:paraId="52495367" w14:textId="77777777" w:rsidR="00CF1254" w:rsidRPr="00BF5C4C" w:rsidRDefault="00CF1254" w:rsidP="00DB48BE"/>
    <w:p w14:paraId="62116970" w14:textId="0E9F730E" w:rsidR="00CF1254" w:rsidRPr="00BF5C4C" w:rsidRDefault="00CF1254" w:rsidP="00DB48BE">
      <w:r w:rsidRPr="00BF5C4C">
        <w:t>FSU</w:t>
      </w:r>
      <w:r w:rsidR="00430317" w:rsidRPr="00BF5C4C">
        <w:t>G would rather stick to 7 levels</w:t>
      </w:r>
      <w:r w:rsidRPr="00BF5C4C">
        <w:t xml:space="preserve"> of risks instead of 6 as fund investors have already experimented the 7 risk grades scale for UCITS funds, and UCITS funds are in the scope of this PRIIPS KIID: why changing again just a few years after the implementation of the UC</w:t>
      </w:r>
      <w:r w:rsidR="00BF5C4C">
        <w:t>ITS KIID, and create confusion</w:t>
      </w:r>
      <w:r w:rsidRPr="00BF5C4C">
        <w:t xml:space="preserve">? As for all issues in the KIID, if one wants to </w:t>
      </w:r>
      <w:r w:rsidR="00BF5C4C">
        <w:t>succeed, one must apply the KIID</w:t>
      </w:r>
      <w:r w:rsidRPr="00BF5C4C">
        <w:t xml:space="preserve"> </w:t>
      </w:r>
      <w:r w:rsidR="00BF5C4C" w:rsidRPr="00BF5C4C">
        <w:t>principle</w:t>
      </w:r>
      <w:r w:rsidRPr="00BF5C4C">
        <w:t>. Any complexification or change from past disclosures should be highly justified.</w:t>
      </w:r>
    </w:p>
    <w:p w14:paraId="26F1FBEF" w14:textId="77777777" w:rsidR="00204CC1" w:rsidRDefault="00204CC1" w:rsidP="00DB48BE"/>
    <w:permEnd w:id="5011447"/>
    <w:p w14:paraId="5FA5EF4F" w14:textId="77777777" w:rsidR="00F31E57" w:rsidRDefault="00F31E57" w:rsidP="00F31E57">
      <w:r>
        <w:t>&lt;ESMA_QUESTION_PRIIPs_9&gt;</w:t>
      </w:r>
    </w:p>
    <w:p w14:paraId="7BDAA1C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14:paraId="0D7E628F" w14:textId="77777777" w:rsidR="00F31E57" w:rsidRDefault="00F31E57" w:rsidP="00F31E57"/>
    <w:p w14:paraId="4497D234" w14:textId="77777777" w:rsidR="00F31E57" w:rsidRDefault="00F31E57" w:rsidP="00F31E57">
      <w:r>
        <w:t>&lt;ESMA_QUESTION_PRIIPs_10&gt;</w:t>
      </w:r>
    </w:p>
    <w:p w14:paraId="0A8D3A6A" w14:textId="7289F426" w:rsidR="00610A10" w:rsidRPr="00BF5C4C" w:rsidRDefault="00610A10" w:rsidP="00F31E57">
      <w:pPr>
        <w:rPr>
          <w:szCs w:val="20"/>
        </w:rPr>
      </w:pPr>
      <w:permStart w:id="480709899" w:edGrp="everyone"/>
      <w:r w:rsidRPr="00BF5C4C">
        <w:t xml:space="preserve">This approach (one quantified market risk indicator similar to the UCITS KIID one plus one qualitative credit risk indicator) has the big advantage of being more understandable and in line with the existing one </w:t>
      </w:r>
      <w:r w:rsidRPr="00BF5C4C">
        <w:rPr>
          <w:szCs w:val="20"/>
        </w:rPr>
        <w:t>for UCITS funds</w:t>
      </w:r>
      <w:r w:rsidR="003732DE" w:rsidRPr="00BF5C4C">
        <w:rPr>
          <w:szCs w:val="20"/>
        </w:rPr>
        <w:t xml:space="preserve">, and it still discloses only one </w:t>
      </w:r>
      <w:r w:rsidR="00BF5C4C" w:rsidRPr="00BF5C4C">
        <w:rPr>
          <w:szCs w:val="20"/>
        </w:rPr>
        <w:t>quantified</w:t>
      </w:r>
      <w:r w:rsidR="003732DE" w:rsidRPr="00BF5C4C">
        <w:rPr>
          <w:szCs w:val="20"/>
        </w:rPr>
        <w:t xml:space="preserve"> risk indicator, which should be less confusing for </w:t>
      </w:r>
      <w:r w:rsidR="003732DE" w:rsidRPr="00BF5C4C">
        <w:rPr>
          <w:szCs w:val="20"/>
        </w:rPr>
        <w:lastRenderedPageBreak/>
        <w:t>the average investor (and retail distributor as well)</w:t>
      </w:r>
      <w:r w:rsidRPr="00BF5C4C">
        <w:rPr>
          <w:szCs w:val="20"/>
        </w:rPr>
        <w:t>. But it should then correct a major flaw of the UCITS risk indicator: using 5 year realised volatilities of the various assets underlying PRIIPs does not make sense if the recomme</w:t>
      </w:r>
      <w:r w:rsidR="00AA7E25" w:rsidRPr="00BF5C4C">
        <w:rPr>
          <w:szCs w:val="20"/>
        </w:rPr>
        <w:t xml:space="preserve">nded </w:t>
      </w:r>
      <w:r w:rsidR="00BF5C4C" w:rsidRPr="00BF5C4C">
        <w:rPr>
          <w:szCs w:val="20"/>
        </w:rPr>
        <w:t>holding</w:t>
      </w:r>
      <w:r w:rsidR="00AA7E25" w:rsidRPr="00BF5C4C">
        <w:rPr>
          <w:szCs w:val="20"/>
        </w:rPr>
        <w:t xml:space="preserve"> period is differen</w:t>
      </w:r>
      <w:r w:rsidRPr="00BF5C4C">
        <w:rPr>
          <w:szCs w:val="20"/>
        </w:rPr>
        <w:t xml:space="preserve">t from five years. </w:t>
      </w:r>
      <w:r w:rsidR="00BF5C4C" w:rsidRPr="00BF5C4C">
        <w:rPr>
          <w:szCs w:val="20"/>
        </w:rPr>
        <w:t>Typically,</w:t>
      </w:r>
      <w:r w:rsidRPr="00BF5C4C">
        <w:rPr>
          <w:szCs w:val="20"/>
        </w:rPr>
        <w:t xml:space="preserve"> for long term retail inves</w:t>
      </w:r>
      <w:r w:rsidRPr="00BF5C4C">
        <w:rPr>
          <w:szCs w:val="20"/>
        </w:rPr>
        <w:t>t</w:t>
      </w:r>
      <w:r w:rsidRPr="00BF5C4C">
        <w:rPr>
          <w:szCs w:val="20"/>
        </w:rPr>
        <w:t>ment products, risk assessment must be based on</w:t>
      </w:r>
      <w:r w:rsidR="002E35ED" w:rsidRPr="00BF5C4C">
        <w:rPr>
          <w:szCs w:val="20"/>
        </w:rPr>
        <w:t xml:space="preserve"> muc</w:t>
      </w:r>
      <w:r w:rsidRPr="00BF5C4C">
        <w:rPr>
          <w:szCs w:val="20"/>
        </w:rPr>
        <w:t>h longer term historical volatilities.</w:t>
      </w:r>
    </w:p>
    <w:p w14:paraId="07D1446B" w14:textId="77777777" w:rsidR="00610A10" w:rsidRDefault="00610A10" w:rsidP="00F31E57"/>
    <w:permEnd w:id="480709899"/>
    <w:p w14:paraId="2146ED38" w14:textId="6706B817" w:rsidR="00F31E57" w:rsidRDefault="00F31E57" w:rsidP="00F31E57">
      <w:r>
        <w:t>&lt;ESMA_QUESTION_PRIIPs_10&gt;</w:t>
      </w:r>
    </w:p>
    <w:p w14:paraId="39074A5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14:paraId="67BCEDDC" w14:textId="77777777" w:rsidR="00F31E57" w:rsidRDefault="00F31E57" w:rsidP="00F31E57"/>
    <w:p w14:paraId="55FDF879" w14:textId="77777777" w:rsidR="00F31E57" w:rsidRDefault="00F31E57" w:rsidP="00F31E57">
      <w:r>
        <w:t>&lt;ESMA_QUESTION_PRIIPs_11&gt;</w:t>
      </w:r>
    </w:p>
    <w:p w14:paraId="0C9BF8CE" w14:textId="27BB5DC6" w:rsidR="00423A98" w:rsidRPr="00BF5C4C" w:rsidRDefault="00423A98" w:rsidP="00F31E57">
      <w:permStart w:id="1147693114" w:edGrp="everyone"/>
      <w:r w:rsidRPr="00BF5C4C">
        <w:t>The approach using forward looking simulation models is interesting and ambitious but has several dra</w:t>
      </w:r>
      <w:r w:rsidRPr="00BF5C4C">
        <w:t>w</w:t>
      </w:r>
      <w:r w:rsidRPr="00BF5C4C">
        <w:t>backs:</w:t>
      </w:r>
    </w:p>
    <w:p w14:paraId="09CD3303" w14:textId="0B4AF5CE" w:rsidR="00423A98" w:rsidRPr="00BF5C4C" w:rsidRDefault="00423A98" w:rsidP="00423A98">
      <w:pPr>
        <w:pStyle w:val="Odstavecseseznamem"/>
        <w:numPr>
          <w:ilvl w:val="0"/>
          <w:numId w:val="54"/>
        </w:numPr>
      </w:pPr>
      <w:r w:rsidRPr="00BF5C4C">
        <w:t xml:space="preserve">“forward” looking approach may be a bit misleading as it is based on models using </w:t>
      </w:r>
      <w:r w:rsidR="00BF5C4C" w:rsidRPr="00BF5C4C">
        <w:t>historical</w:t>
      </w:r>
      <w:r w:rsidRPr="00BF5C4C">
        <w:t xml:space="preserve"> data.</w:t>
      </w:r>
    </w:p>
    <w:p w14:paraId="08CFD216" w14:textId="1A0E8EAB" w:rsidR="00423A98" w:rsidRPr="00BF5C4C" w:rsidRDefault="00423A98" w:rsidP="00423A98">
      <w:pPr>
        <w:pStyle w:val="Odstavecseseznamem"/>
        <w:numPr>
          <w:ilvl w:val="0"/>
          <w:numId w:val="54"/>
        </w:numPr>
      </w:pPr>
      <w:r w:rsidRPr="00BF5C4C">
        <w:t>The one used in Germany for structured products uses a very short holding period and only 2 years realized volatilities which are inappropriate for long term investment products.</w:t>
      </w:r>
    </w:p>
    <w:p w14:paraId="770EB1F0" w14:textId="1BCFA7FE" w:rsidR="00423A98" w:rsidRPr="00BF5C4C" w:rsidRDefault="00423A98" w:rsidP="00423A98">
      <w:pPr>
        <w:pStyle w:val="Odstavecseseznamem"/>
        <w:numPr>
          <w:ilvl w:val="0"/>
          <w:numId w:val="54"/>
        </w:numPr>
      </w:pPr>
      <w:r w:rsidRPr="00BF5C4C">
        <w:t>The standardisation and comparability issue is very challenging.</w:t>
      </w:r>
    </w:p>
    <w:p w14:paraId="56A4BC12" w14:textId="77777777" w:rsidR="00423A98" w:rsidRPr="00423A98" w:rsidRDefault="00423A98" w:rsidP="00F31E57">
      <w:pPr>
        <w:rPr>
          <w:color w:val="0000FF"/>
        </w:rPr>
      </w:pPr>
    </w:p>
    <w:permEnd w:id="1147693114"/>
    <w:p w14:paraId="1B5688F9" w14:textId="77777777" w:rsidR="00F31E57" w:rsidRDefault="00F31E57" w:rsidP="00F31E57">
      <w:r>
        <w:t>&lt;ESMA_QUESTION_PRIIPs_11&gt;</w:t>
      </w:r>
    </w:p>
    <w:p w14:paraId="61D17E8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14:paraId="3CEF616C" w14:textId="77777777" w:rsidR="00F31E57" w:rsidRDefault="00F31E57" w:rsidP="00F31E57"/>
    <w:p w14:paraId="46795369" w14:textId="77777777" w:rsidR="00F31E57" w:rsidRDefault="00F31E57" w:rsidP="00F31E57">
      <w:r>
        <w:t>&lt;ESMA_QUESTION_PRIIPs_12&gt;</w:t>
      </w:r>
    </w:p>
    <w:p w14:paraId="534D193C" w14:textId="485EF1CF" w:rsidR="00AC2C33" w:rsidRDefault="00956843" w:rsidP="00F31E57">
      <w:permStart w:id="1810369101" w:edGrp="everyone"/>
      <w:r>
        <w:t>If this approach is selected, FSUG considers t</w:t>
      </w:r>
      <w:r w:rsidRPr="00956843">
        <w:t xml:space="preserve">hese suggestions </w:t>
      </w:r>
      <w:r w:rsidR="00AC2C33">
        <w:t>generally usable as Monte Carlo simul</w:t>
      </w:r>
      <w:r w:rsidR="00AC2C33">
        <w:t>a</w:t>
      </w:r>
      <w:r w:rsidR="00AC2C33">
        <w:t>tions require estimation of key distribution parameters using historical data of underlying assets. This approach however requires</w:t>
      </w:r>
      <w:r w:rsidRPr="00956843">
        <w:t xml:space="preserve"> higher implementation costs.</w:t>
      </w:r>
      <w:r w:rsidR="00423A98">
        <w:t xml:space="preserve"> </w:t>
      </w:r>
    </w:p>
    <w:p w14:paraId="3781C18E" w14:textId="4FCDEFDB" w:rsidR="00F31E57" w:rsidRPr="002260D2" w:rsidRDefault="00080AD1" w:rsidP="00F31E57">
      <w:r w:rsidRPr="002260D2">
        <w:t xml:space="preserve">However </w:t>
      </w:r>
      <w:r w:rsidR="00423A98" w:rsidRPr="002260D2">
        <w:t>using the end of maturity as the default holding period assumes the investment product has indeed a defined maturity, which is not the case for many products: equity funds, life insurance contracts, etc.</w:t>
      </w:r>
    </w:p>
    <w:permEnd w:id="1810369101"/>
    <w:p w14:paraId="07EB3955" w14:textId="77777777" w:rsidR="00F31E57" w:rsidRDefault="00F31E57" w:rsidP="00F31E57">
      <w:r>
        <w:t>&lt;ESMA_QUESTION_PRIIPs_12&gt;</w:t>
      </w:r>
    </w:p>
    <w:p w14:paraId="6603361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14:paraId="243DE8E5" w14:textId="77777777" w:rsidR="00F31E57" w:rsidRDefault="00F31E57" w:rsidP="00F31E57"/>
    <w:p w14:paraId="761C4DF0" w14:textId="77777777" w:rsidR="00F31E57" w:rsidRDefault="00F31E57" w:rsidP="00F31E57">
      <w:r>
        <w:t>&lt;ESMA_QUESTION_PRIIPs_13&gt;</w:t>
      </w:r>
    </w:p>
    <w:p w14:paraId="36E6EB98" w14:textId="77777777" w:rsidR="00F31E57" w:rsidRDefault="00956843" w:rsidP="00956843">
      <w:permStart w:id="767256527" w:edGrp="everyone"/>
      <w:r>
        <w:t>Option 4 leaves to much space for undesirable "financial innovation" and very structured products (co</w:t>
      </w:r>
      <w:r>
        <w:t>m</w:t>
      </w:r>
      <w:r>
        <w:t>plex products with unclear portfolio structure, features and behaviour over time). Plus it is too complex for a retail short KID.</w:t>
      </w:r>
    </w:p>
    <w:permEnd w:id="767256527"/>
    <w:p w14:paraId="53E9065A" w14:textId="77777777" w:rsidR="00F31E57" w:rsidRDefault="00F31E57" w:rsidP="00F31E57">
      <w:r>
        <w:t>&lt;ESMA_QUESTION_PRIIPs_13&gt;</w:t>
      </w:r>
    </w:p>
    <w:p w14:paraId="2DA5864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14:paraId="421C6A78" w14:textId="77777777" w:rsidR="00F31E57" w:rsidRDefault="00F31E57" w:rsidP="00F31E57"/>
    <w:p w14:paraId="572D44ED" w14:textId="77777777" w:rsidR="00F31E57" w:rsidRDefault="00F31E57" w:rsidP="00F31E57">
      <w:r>
        <w:t>&lt;ESMA_QUESTION_PRIIPs_14&gt;</w:t>
      </w:r>
    </w:p>
    <w:p w14:paraId="1656FD76" w14:textId="7DBF80E5" w:rsidR="00080AD1" w:rsidRPr="002260D2" w:rsidRDefault="00080AD1" w:rsidP="00F31E57">
      <w:permStart w:id="890053371" w:edGrp="everyone"/>
      <w:r w:rsidRPr="002260D2">
        <w:t>We refer to our reply to Question 9.</w:t>
      </w:r>
    </w:p>
    <w:permEnd w:id="890053371"/>
    <w:p w14:paraId="42DBFB08" w14:textId="22464B32" w:rsidR="00F31E57" w:rsidRDefault="00F31E57" w:rsidP="00F31E57">
      <w:r>
        <w:t>&lt;ESMA_QUESTION_PRIIPs_14&gt;</w:t>
      </w:r>
    </w:p>
    <w:p w14:paraId="0C3A46D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14:paraId="32BC4CEB" w14:textId="77777777" w:rsidR="00F31E57" w:rsidRDefault="00F31E57" w:rsidP="00F31E57"/>
    <w:p w14:paraId="7CDFB0A7" w14:textId="77777777" w:rsidR="00F31E57" w:rsidRDefault="00F31E57" w:rsidP="00F31E57">
      <w:r>
        <w:t>&lt;ESMA_QUESTION_PRIIPs_15&gt;</w:t>
      </w:r>
    </w:p>
    <w:p w14:paraId="2C88FC57" w14:textId="77777777" w:rsidR="006D23EE" w:rsidRDefault="006D23EE" w:rsidP="006D23EE">
      <w:permStart w:id="1309831013" w:edGrp="everyone"/>
      <w:r>
        <w:lastRenderedPageBreak/>
        <w:t>The discussion paper on page 44 claims that:</w:t>
      </w:r>
    </w:p>
    <w:p w14:paraId="1E45713F" w14:textId="77777777" w:rsidR="006D23EE" w:rsidRPr="005F2594" w:rsidRDefault="006D23EE" w:rsidP="006D23EE">
      <w:r w:rsidRPr="005F2594">
        <w:t>“</w:t>
      </w:r>
      <w:r w:rsidRPr="005F2594">
        <w:rPr>
          <w:i/>
        </w:rPr>
        <w:t>…research shows that individuals have difficulties in perceiving the relationship between risk and return and apparently understand returns better than risks. Framing effects and emotional factors may affect both return and risk perception. Therefore, when representing the performances of financial products special attention needs to be paid to the way financial information is represented, to avoid misinterpret</w:t>
      </w:r>
      <w:r w:rsidRPr="005F2594">
        <w:rPr>
          <w:i/>
        </w:rPr>
        <w:t>a</w:t>
      </w:r>
      <w:r w:rsidRPr="005F2594">
        <w:rPr>
          <w:i/>
        </w:rPr>
        <w:t>tions.</w:t>
      </w:r>
      <w:r w:rsidRPr="005F2594">
        <w:t xml:space="preserve">”  </w:t>
      </w:r>
    </w:p>
    <w:p w14:paraId="691636FB" w14:textId="5244D7F4" w:rsidR="006D23EE" w:rsidRPr="005F2594" w:rsidRDefault="00080AD1" w:rsidP="006D23EE">
      <w:r w:rsidRPr="005F2594">
        <w:t xml:space="preserve">The regulators must realise that for retail investment products, high risk does not mean high return in too many cases. </w:t>
      </w:r>
      <w:r w:rsidR="006D23EE" w:rsidRPr="005F2594">
        <w:t xml:space="preserve">Many times for retail products there is </w:t>
      </w:r>
      <w:r w:rsidRPr="005F2594">
        <w:t xml:space="preserve">a </w:t>
      </w:r>
      <w:r w:rsidR="006D23EE" w:rsidRPr="005F2594">
        <w:t xml:space="preserve">reversed relationship and the widespread selling of « high risk low return » products such as </w:t>
      </w:r>
      <w:r w:rsidRPr="005F2594">
        <w:t xml:space="preserve">insurance </w:t>
      </w:r>
      <w:r w:rsidR="006D23EE" w:rsidRPr="005F2594">
        <w:t>unit linked contracts with equity units and very high consolidated fees</w:t>
      </w:r>
      <w:r w:rsidRPr="005F2594">
        <w:t>. For example in the € 250 billion French Insurance unit-linked market, uni</w:t>
      </w:r>
      <w:r w:rsidR="005F2594" w:rsidRPr="005F2594">
        <w:t>t</w:t>
      </w:r>
      <w:r w:rsidRPr="005F2594">
        <w:t>-linked co</w:t>
      </w:r>
      <w:r w:rsidRPr="005F2594">
        <w:t>n</w:t>
      </w:r>
      <w:r w:rsidRPr="005F2594">
        <w:t xml:space="preserve">tracts returned minus </w:t>
      </w:r>
      <w:r w:rsidR="00987C9A" w:rsidRPr="005F2594">
        <w:t xml:space="preserve">11 </w:t>
      </w:r>
      <w:r w:rsidRPr="005F2594">
        <w:t>% after inflation over the l</w:t>
      </w:r>
      <w:r w:rsidR="00987C9A" w:rsidRPr="005F2594">
        <w:t xml:space="preserve">ast 15 years, despite positive </w:t>
      </w:r>
      <w:r w:rsidRPr="005F2594">
        <w:t xml:space="preserve">capital markets </w:t>
      </w:r>
      <w:r w:rsidR="00987C9A" w:rsidRPr="005F2594">
        <w:t xml:space="preserve">real </w:t>
      </w:r>
      <w:r w:rsidRPr="005F2594">
        <w:t>returns over the same period. The main reason is average 2,75% annual asset-based fees (not  taking entry fees into account; source: Better Finance).</w:t>
      </w:r>
    </w:p>
    <w:p w14:paraId="144824C3" w14:textId="77777777" w:rsidR="006D23EE" w:rsidRPr="005F2594" w:rsidRDefault="006D23EE" w:rsidP="006D23EE"/>
    <w:p w14:paraId="698CDBA0" w14:textId="08AABEE8" w:rsidR="00987C9A" w:rsidRPr="005F2594" w:rsidRDefault="00987C9A" w:rsidP="006D23EE">
      <w:r w:rsidRPr="005F2594">
        <w:t xml:space="preserve">We refer to our general comment that performance scenarios will most likely be much more misleading than past performance of the product and of its objective benchmark. </w:t>
      </w:r>
    </w:p>
    <w:p w14:paraId="5BD28B0D" w14:textId="77777777" w:rsidR="00987C9A" w:rsidRPr="005F2594" w:rsidRDefault="00987C9A" w:rsidP="006D23EE"/>
    <w:p w14:paraId="2EB6FDB2" w14:textId="77777777" w:rsidR="00F31E57" w:rsidRPr="005F2594" w:rsidRDefault="006D23EE" w:rsidP="006D23EE">
      <w:r w:rsidRPr="005F2594">
        <w:t>Comment on 2.4.2.1 “What- if: manufacturers choice approach”:</w:t>
      </w:r>
    </w:p>
    <w:p w14:paraId="3D2F59A0" w14:textId="25D00EC5" w:rsidR="006D23EE" w:rsidRPr="005F2594" w:rsidRDefault="006D23EE" w:rsidP="006D23EE">
      <w:r w:rsidRPr="005F2594">
        <w:t>This approach leaves too much space for discretion which would create an uneven level-playing field. Similar products from two competing manufacturers might end up with significantly different "what-if" scenarios.</w:t>
      </w:r>
      <w:r w:rsidR="00987C9A" w:rsidRPr="005F2594">
        <w:t xml:space="preserve"> </w:t>
      </w:r>
      <w:r w:rsidR="005F2594" w:rsidRPr="005F2594">
        <w:t>Compa</w:t>
      </w:r>
      <w:r w:rsidR="00987C9A" w:rsidRPr="005F2594">
        <w:t>rability is a key requisite of the KIID and must not be jeopardised.</w:t>
      </w:r>
    </w:p>
    <w:p w14:paraId="5C8E1F4C" w14:textId="77777777" w:rsidR="006D23EE" w:rsidRDefault="006D23EE" w:rsidP="006D23EE"/>
    <w:p w14:paraId="53538E16" w14:textId="77777777" w:rsidR="006D23EE" w:rsidRDefault="006D23EE" w:rsidP="006D23EE">
      <w:r>
        <w:t xml:space="preserve">Comment on </w:t>
      </w:r>
      <w:r w:rsidRPr="006D23EE">
        <w:t>2.4.2.1</w:t>
      </w:r>
      <w:r>
        <w:t xml:space="preserve"> “</w:t>
      </w:r>
      <w:r w:rsidRPr="006D23EE">
        <w:t>What- if: prescribed approach</w:t>
      </w:r>
      <w:r>
        <w:t>”:</w:t>
      </w:r>
    </w:p>
    <w:p w14:paraId="477EB5E9" w14:textId="77777777" w:rsidR="006D23EE" w:rsidRDefault="006D23EE" w:rsidP="006D23EE">
      <w:r>
        <w:t>This approach could be a better one, however</w:t>
      </w:r>
      <w:r w:rsidRPr="006D23EE">
        <w:t xml:space="preserve"> it would increase the </w:t>
      </w:r>
      <w:r w:rsidR="00D62355" w:rsidRPr="006D23EE">
        <w:t>pressure</w:t>
      </w:r>
      <w:r w:rsidRPr="006D23EE">
        <w:t xml:space="preserve"> (and costs) on regulator.</w:t>
      </w:r>
    </w:p>
    <w:p w14:paraId="63159644" w14:textId="77777777" w:rsidR="00D62355" w:rsidRDefault="00D62355" w:rsidP="006D23EE"/>
    <w:p w14:paraId="4E329AC0" w14:textId="77777777" w:rsidR="00D62355" w:rsidRDefault="00D62355" w:rsidP="00D62355">
      <w:r>
        <w:t>Comment on 2.4.2.2 “Probabilistic</w:t>
      </w:r>
      <w:r w:rsidRPr="006D23EE">
        <w:t xml:space="preserve"> approach</w:t>
      </w:r>
      <w:r>
        <w:t>”:</w:t>
      </w:r>
    </w:p>
    <w:p w14:paraId="06678EBF" w14:textId="36FEE687" w:rsidR="00D62355" w:rsidRDefault="00D62355" w:rsidP="006D23EE">
      <w:r>
        <w:t>This approach c</w:t>
      </w:r>
      <w:r w:rsidRPr="00D62355">
        <w:t>ould be more realistic, but hard to understand to a typical retail investor.</w:t>
      </w:r>
      <w:r>
        <w:t xml:space="preserve"> Implementation would require very sensitive way of explaining the results and “numbers” to retail investors.</w:t>
      </w:r>
    </w:p>
    <w:permEnd w:id="1309831013"/>
    <w:p w14:paraId="4DDBE471" w14:textId="77777777" w:rsidR="00F31E57" w:rsidRDefault="00F31E57" w:rsidP="00F31E57">
      <w:r>
        <w:t>&lt;ESMA_QUESTION_PRIIPs_15&gt;</w:t>
      </w:r>
    </w:p>
    <w:p w14:paraId="07D79F9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14:paraId="761223D7" w14:textId="77777777" w:rsidR="00F31E57" w:rsidRDefault="00F31E57" w:rsidP="00F31E57"/>
    <w:p w14:paraId="30F5F3F4" w14:textId="77777777" w:rsidR="00F31E57" w:rsidRDefault="00F31E57" w:rsidP="00F31E57">
      <w:r>
        <w:t>&lt;ESMA_QUESTION_PRIIPs_16&gt;</w:t>
      </w:r>
    </w:p>
    <w:p w14:paraId="71C06CB7" w14:textId="3B85F9D5" w:rsidR="00CF79D4" w:rsidRPr="005F2594" w:rsidRDefault="00CF79D4" w:rsidP="00F31E57">
      <w:permStart w:id="1295402934" w:edGrp="everyone"/>
      <w:r w:rsidRPr="005F2594">
        <w:t>The UCITS guideline</w:t>
      </w:r>
      <w:r w:rsidR="00987C9A" w:rsidRPr="005F2594">
        <w:t>s on performance scenarios for structur</w:t>
      </w:r>
      <w:r w:rsidRPr="005F2594">
        <w:t xml:space="preserve">ed funds </w:t>
      </w:r>
      <w:r w:rsidR="005F2594" w:rsidRPr="005F2594">
        <w:t>are highly misleading as they</w:t>
      </w:r>
      <w:r w:rsidRPr="005F2594">
        <w:t xml:space="preserve"> do not require a probability weighting of the various scenarios. As a consequence, individual investors tend to believe the “medium”</w:t>
      </w:r>
      <w:r w:rsidR="00AA7E25" w:rsidRPr="005F2594">
        <w:t xml:space="preserve"> scenario is the most probable</w:t>
      </w:r>
      <w:r w:rsidRPr="005F2594">
        <w:t>, which is false.</w:t>
      </w:r>
    </w:p>
    <w:p w14:paraId="698197D8" w14:textId="77777777" w:rsidR="00CF79D4" w:rsidRDefault="00CF79D4" w:rsidP="00F31E57"/>
    <w:permEnd w:id="1295402934"/>
    <w:p w14:paraId="249C49FF" w14:textId="7E179379" w:rsidR="00F31E57" w:rsidRDefault="00F31E57" w:rsidP="00F31E57">
      <w:r>
        <w:t>&lt;ESMA_QUESTION_PRIIPs_16&gt;</w:t>
      </w:r>
    </w:p>
    <w:p w14:paraId="1ACF769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14:paraId="2405F047" w14:textId="77777777" w:rsidR="00F31E57" w:rsidRDefault="00F31E57" w:rsidP="00F31E57"/>
    <w:p w14:paraId="12DF90B6" w14:textId="77777777" w:rsidR="00F31E57" w:rsidRDefault="00F31E57" w:rsidP="00F31E57">
      <w:r>
        <w:t>&lt;ESMA_QUESTION_PRIIPs_17&gt;</w:t>
      </w:r>
    </w:p>
    <w:p w14:paraId="25BF6372" w14:textId="77777777" w:rsidR="00FE4933" w:rsidRPr="005F2594" w:rsidRDefault="00FE4933" w:rsidP="00F31E57">
      <w:permStart w:id="1232625498" w:edGrp="everyone"/>
      <w:r>
        <w:t>Co</w:t>
      </w:r>
      <w:r w:rsidRPr="005F2594">
        <w:t>mment on “historical scenario”:</w:t>
      </w:r>
    </w:p>
    <w:p w14:paraId="3A56D146" w14:textId="2AC489E5" w:rsidR="00FE4933" w:rsidRPr="005F2594" w:rsidRDefault="00FE4933" w:rsidP="00F31E57">
      <w:r w:rsidRPr="005F2594">
        <w:t>Even if this scenario is not perfect, it uses longer historical returns that can be attached to past events investors have experienced.</w:t>
      </w:r>
      <w:r w:rsidR="00CF79D4" w:rsidRPr="005F2594">
        <w:t xml:space="preserve"> It also has the unparalleled advantage of reintroducing a disclosure on past performance: FSUG therefore strongly supports this approach if level one cannot be amended (as it should to avoid a major investor protection failure) </w:t>
      </w:r>
      <w:r w:rsidR="00C108C9" w:rsidRPr="005F2594">
        <w:t>and if the historical performance of the ch</w:t>
      </w:r>
      <w:r w:rsidR="00CF79D4" w:rsidRPr="005F2594">
        <w:t>osen obje</w:t>
      </w:r>
      <w:r w:rsidR="00CF79D4" w:rsidRPr="005F2594">
        <w:t>c</w:t>
      </w:r>
      <w:r w:rsidR="00CF79D4" w:rsidRPr="005F2594">
        <w:t>tive benchmark is disclosed together as it is currently for UCITS funds.</w:t>
      </w:r>
    </w:p>
    <w:p w14:paraId="2FA7417F" w14:textId="77777777" w:rsidR="00FE4933" w:rsidRDefault="00FE4933" w:rsidP="00F31E57"/>
    <w:p w14:paraId="3E888186" w14:textId="77777777" w:rsidR="00FE4933" w:rsidRDefault="00FE4933" w:rsidP="00FE4933">
      <w:r>
        <w:t>Comment on “predefined growth rate/performance of underlying investment(s)”:</w:t>
      </w:r>
    </w:p>
    <w:p w14:paraId="15DDCA19" w14:textId="77777777" w:rsidR="00FE4933" w:rsidRDefault="00FE4933" w:rsidP="00F31E57">
      <w:r>
        <w:t>Using this approach is t</w:t>
      </w:r>
      <w:r w:rsidRPr="00FE4933">
        <w:t xml:space="preserve">oo unrealistic. </w:t>
      </w:r>
      <w:r>
        <w:t xml:space="preserve">It leaves many questions unanswered, for example: </w:t>
      </w:r>
      <w:r w:rsidRPr="00FE4933">
        <w:t>How the pred</w:t>
      </w:r>
      <w:r w:rsidRPr="00FE4933">
        <w:t>e</w:t>
      </w:r>
      <w:r w:rsidRPr="00FE4933">
        <w:t xml:space="preserve">fined variables will be set? By whom? Will they adapt to reality? </w:t>
      </w:r>
      <w:r>
        <w:t>The result might end up with t</w:t>
      </w:r>
      <w:r w:rsidRPr="00FE4933">
        <w:t xml:space="preserve">oo many questions </w:t>
      </w:r>
      <w:r>
        <w:t xml:space="preserve">creating </w:t>
      </w:r>
      <w:r w:rsidRPr="00FE4933">
        <w:t xml:space="preserve">different </w:t>
      </w:r>
      <w:r>
        <w:t>outcomes</w:t>
      </w:r>
      <w:r w:rsidRPr="00FE4933">
        <w:t xml:space="preserve"> in reality caused by different answers from national regulators.</w:t>
      </w:r>
    </w:p>
    <w:p w14:paraId="789EE171" w14:textId="77777777" w:rsidR="00FE4933" w:rsidRDefault="00FE4933" w:rsidP="00F31E57"/>
    <w:p w14:paraId="023BAD62" w14:textId="77777777" w:rsidR="00F31E57" w:rsidRDefault="00F31E57" w:rsidP="00F31E57">
      <w:r>
        <w:t>TYPE YOUR TEXT HERE</w:t>
      </w:r>
    </w:p>
    <w:permEnd w:id="1232625498"/>
    <w:p w14:paraId="4677297F" w14:textId="77777777" w:rsidR="00F31E57" w:rsidRDefault="00F31E57" w:rsidP="00F31E57">
      <w:r>
        <w:t>&lt;ESMA_QUESTION_PRIIPs_17&gt;</w:t>
      </w:r>
    </w:p>
    <w:p w14:paraId="647FBD0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14:paraId="1382FEB3" w14:textId="77777777" w:rsidR="00F31E57" w:rsidRDefault="00F31E57" w:rsidP="00F31E57"/>
    <w:p w14:paraId="2371CE01" w14:textId="77777777" w:rsidR="00F31E57" w:rsidRDefault="00F31E57" w:rsidP="00F31E57">
      <w:r>
        <w:t>&lt;ESMA_QUESTION_PRIIPs_18&gt;</w:t>
      </w:r>
    </w:p>
    <w:p w14:paraId="5FF8BFF2" w14:textId="77777777" w:rsidR="00F31E57" w:rsidRDefault="004D5714" w:rsidP="00F31E57">
      <w:permStart w:id="1964131962" w:edGrp="everyone"/>
      <w:r>
        <w:t xml:space="preserve">The </w:t>
      </w:r>
      <w:r w:rsidRPr="004D5714">
        <w:t xml:space="preserve">5th and 90th percentiles for outliers. </w:t>
      </w:r>
      <w:r>
        <w:t>Additional percentile should be the</w:t>
      </w:r>
      <w:r w:rsidRPr="004D5714">
        <w:t xml:space="preserve"> mean (50th percentile).</w:t>
      </w:r>
    </w:p>
    <w:p w14:paraId="64E8A0F8" w14:textId="77777777" w:rsidR="004D5714" w:rsidRDefault="004D5714" w:rsidP="00F31E57">
      <w:r>
        <w:t>Having lower left-side percentile will present pessimistic view and thus a higher risk (lower returns). Se</w:t>
      </w:r>
      <w:r>
        <w:t>t</w:t>
      </w:r>
      <w:r>
        <w:t>ting the right-side percentile to 90</w:t>
      </w:r>
      <w:r w:rsidRPr="004D5714">
        <w:rPr>
          <w:vertAlign w:val="superscript"/>
        </w:rPr>
        <w:t>th</w:t>
      </w:r>
      <w:r>
        <w:t xml:space="preserve"> would at the same time allow for more pessimistic view of the expected reality. </w:t>
      </w:r>
    </w:p>
    <w:permEnd w:id="1964131962"/>
    <w:p w14:paraId="4B74462D" w14:textId="77777777" w:rsidR="00F31E57" w:rsidRDefault="00F31E57" w:rsidP="00F31E57">
      <w:r>
        <w:t>&lt;ESMA_QUESTION_PRIIPs_18&gt;</w:t>
      </w:r>
    </w:p>
    <w:p w14:paraId="46B4FE6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14:paraId="28903E90" w14:textId="77777777" w:rsidR="00F31E57" w:rsidRDefault="00F31E57" w:rsidP="00F31E57"/>
    <w:p w14:paraId="40BCD3EF" w14:textId="77777777" w:rsidR="00F31E57" w:rsidRDefault="00F31E57" w:rsidP="00F31E57">
      <w:r>
        <w:t>&lt;ESMA_QUESTION_PRIIPs_19&gt;</w:t>
      </w:r>
    </w:p>
    <w:p w14:paraId="271B4574" w14:textId="77777777" w:rsidR="00F31E57" w:rsidRDefault="004D5714" w:rsidP="004D5714">
      <w:permStart w:id="1620051686" w:edGrp="everyone"/>
      <w:r>
        <w:t xml:space="preserve">Combined approach presented in point b) seems to be an </w:t>
      </w:r>
      <w:r w:rsidRPr="004D5714">
        <w:t xml:space="preserve">Interesting approach </w:t>
      </w:r>
      <w:r>
        <w:t>for further</w:t>
      </w:r>
      <w:r w:rsidRPr="004D5714">
        <w:t xml:space="preserve"> </w:t>
      </w:r>
      <w:r>
        <w:t>consideration, however it is a bit too complex for the average retail investor to understand. It would require a sensitive way of explaining to retail investors. At the same time, having 4 cases that are not probability weighted could be potentially very misleading.</w:t>
      </w:r>
    </w:p>
    <w:p w14:paraId="75F5D79A" w14:textId="168CC304" w:rsidR="00CF79D4" w:rsidRPr="005F2594" w:rsidRDefault="00CF79D4" w:rsidP="004D5714">
      <w:r w:rsidRPr="005F2594">
        <w:t>FSUG proposes an historical scenario plus 2 or 3 probabil</w:t>
      </w:r>
      <w:r w:rsidR="005F2594" w:rsidRPr="005F2594">
        <w:t>i</w:t>
      </w:r>
      <w:r w:rsidRPr="005F2594">
        <w:t>ty weighted ones.</w:t>
      </w:r>
    </w:p>
    <w:permEnd w:id="1620051686"/>
    <w:p w14:paraId="5C442D82" w14:textId="77777777" w:rsidR="00F31E57" w:rsidRDefault="00F31E57" w:rsidP="00F31E57">
      <w:r>
        <w:t>&lt;ESMA_QUESTION_PRIIPs_19&gt;</w:t>
      </w:r>
    </w:p>
    <w:p w14:paraId="3E92C12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14:paraId="1F0992DF" w14:textId="77777777" w:rsidR="00F31E57" w:rsidRDefault="00F31E57" w:rsidP="00F31E57"/>
    <w:p w14:paraId="4D543F57" w14:textId="77777777" w:rsidR="00F31E57" w:rsidRDefault="00F31E57" w:rsidP="00F31E57">
      <w:r>
        <w:t>&lt;ESMA_QUESTION_PRIIPs_20&gt;</w:t>
      </w:r>
    </w:p>
    <w:p w14:paraId="340ECDA3" w14:textId="3FFB66D7" w:rsidR="00F31E57" w:rsidRDefault="00CF79D4" w:rsidP="00F31E57">
      <w:permStart w:id="1402687661" w:edGrp="everyone"/>
      <w:r w:rsidRPr="005F2594">
        <w:t>This is again showing how unrealistic it is to build compara</w:t>
      </w:r>
      <w:r w:rsidR="00A52132" w:rsidRPr="005F2594">
        <w:t>ble future performance scenario</w:t>
      </w:r>
      <w:r w:rsidRPr="005F2594">
        <w:t>s for the</w:t>
      </w:r>
      <w:r w:rsidR="00A52132" w:rsidRPr="005F2594">
        <w:t xml:space="preserve"> KIID.</w:t>
      </w:r>
      <w:r w:rsidRPr="005F2594">
        <w:t xml:space="preserve"> This being said, if Public </w:t>
      </w:r>
      <w:r w:rsidR="005F2594" w:rsidRPr="005F2594">
        <w:t>Authorities</w:t>
      </w:r>
      <w:r w:rsidRPr="005F2594">
        <w:t xml:space="preserve"> and Regulators still want to pursue</w:t>
      </w:r>
      <w:r w:rsidR="005F2594">
        <w:t xml:space="preserve"> this ill-fated route, then yes</w:t>
      </w:r>
      <w:r w:rsidRPr="005F2594">
        <w:t>: for investme</w:t>
      </w:r>
      <w:r w:rsidR="00A52132" w:rsidRPr="005F2594">
        <w:t xml:space="preserve">nt products that are sensitive </w:t>
      </w:r>
      <w:r w:rsidRPr="005F2594">
        <w:t xml:space="preserve">to credit risk (high yield bond fund for example) then </w:t>
      </w:r>
      <w:r w:rsidR="00A52132" w:rsidRPr="005F2594">
        <w:t>it should be taken into account. But this one and simple example shows how unrealistic it would be to decide that “</w:t>
      </w:r>
      <w:r w:rsidR="00A52132" w:rsidRPr="005F2594">
        <w:rPr>
          <w:i/>
        </w:rPr>
        <w:t>the negative scenario would be the issuer default</w:t>
      </w:r>
      <w:r w:rsidR="00A52132" w:rsidRPr="005F2594">
        <w:t>”: the issuer of the packaged product itself (in the fund e</w:t>
      </w:r>
      <w:r w:rsidR="00A52132" w:rsidRPr="005F2594">
        <w:t>x</w:t>
      </w:r>
      <w:r w:rsidR="00A52132" w:rsidRPr="005F2594">
        <w:t>ample, it is irrelevant) or of the underlying assets’ issuer</w:t>
      </w:r>
      <w:r w:rsidR="005F2594">
        <w:t>s</w:t>
      </w:r>
      <w:r w:rsidR="00A52132" w:rsidRPr="005F2594">
        <w:t>? In t</w:t>
      </w:r>
      <w:r w:rsidR="00C108C9" w:rsidRPr="005F2594">
        <w:t>hat case should the negative scenario</w:t>
      </w:r>
      <w:r w:rsidR="00A52132" w:rsidRPr="005F2594">
        <w:t xml:space="preserve"> assumes 100 % default, which is quite</w:t>
      </w:r>
      <w:r w:rsidR="005F2594">
        <w:t xml:space="preserve"> unlikely for diversified funds? Again, any scenario</w:t>
      </w:r>
      <w:r w:rsidR="00A52132" w:rsidRPr="005F2594">
        <w:t>, “negative” or “positive” must be probability weighted, if not it will be misleading individual investors.</w:t>
      </w:r>
    </w:p>
    <w:permEnd w:id="1402687661"/>
    <w:p w14:paraId="36F3C8AC" w14:textId="77777777" w:rsidR="00F31E57" w:rsidRDefault="00F31E57" w:rsidP="00F31E57">
      <w:r>
        <w:t>&lt;ESMA_QUESTION_PRIIPs_20&gt;</w:t>
      </w:r>
    </w:p>
    <w:p w14:paraId="41663BE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14:paraId="0A143F4C" w14:textId="77777777" w:rsidR="00F31E57" w:rsidRDefault="00F31E57" w:rsidP="00F31E57"/>
    <w:p w14:paraId="45CCF331" w14:textId="77777777" w:rsidR="00F31E57" w:rsidRDefault="00F31E57" w:rsidP="00F31E57">
      <w:r>
        <w:t>&lt;ESMA_QUESTION_PRIIPs_21&gt;</w:t>
      </w:r>
    </w:p>
    <w:p w14:paraId="629A7B8F" w14:textId="77777777" w:rsidR="00F31E57" w:rsidRDefault="00F31E57" w:rsidP="00F31E57">
      <w:permStart w:id="1166485721" w:edGrp="everyone"/>
      <w:r>
        <w:t>TYPE YOUR TEXT HERE</w:t>
      </w:r>
    </w:p>
    <w:permEnd w:id="1166485721"/>
    <w:p w14:paraId="5B831834" w14:textId="77777777" w:rsidR="00F31E57" w:rsidRDefault="00F31E57" w:rsidP="00F31E57">
      <w:r>
        <w:t>&lt;ESMA_QUESTION_PRIIPs_21&gt;</w:t>
      </w:r>
    </w:p>
    <w:p w14:paraId="4F447B6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14:paraId="113DEEB7" w14:textId="77777777" w:rsidR="00F31E57" w:rsidRDefault="00F31E57" w:rsidP="00F31E57"/>
    <w:p w14:paraId="0FFB97FC" w14:textId="77777777" w:rsidR="00F31E57" w:rsidRDefault="00F31E57" w:rsidP="00F31E57">
      <w:r>
        <w:t>&lt;ESMA_QUESTION_PRIIPs_22&gt;</w:t>
      </w:r>
    </w:p>
    <w:p w14:paraId="4202462F" w14:textId="77777777" w:rsidR="00F31E57" w:rsidRDefault="0029256E" w:rsidP="00F31E57">
      <w:permStart w:id="1639283695" w:edGrp="everyone"/>
      <w:r>
        <w:t>FSUG thinks that a</w:t>
      </w:r>
      <w:r w:rsidRPr="0029256E">
        <w:t>dopting this approach would be a resignation on creating a realistic KID on PRIIPS.</w:t>
      </w:r>
    </w:p>
    <w:permEnd w:id="1639283695"/>
    <w:p w14:paraId="6C4B5648" w14:textId="77777777" w:rsidR="00F31E57" w:rsidRDefault="00F31E57" w:rsidP="00F31E57">
      <w:r>
        <w:t>&lt;ESMA_QUESTION_PRIIPs_22&gt;</w:t>
      </w:r>
    </w:p>
    <w:p w14:paraId="213A06D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Are the two types of entry costs listed here clear enough? Should the list be further detailed or completed (notably in the case of acquisition costs)? </w:t>
      </w:r>
      <w:r>
        <w:rPr>
          <w:rFonts w:eastAsia="Times New Roman" w:cs="Arial"/>
          <w:lang w:eastAsia="zh-TW"/>
        </w:rPr>
        <w:t>Should some of th</w:t>
      </w:r>
      <w:r>
        <w:rPr>
          <w:rFonts w:eastAsia="Times New Roman" w:cs="Arial"/>
          <w:lang w:eastAsia="zh-TW"/>
        </w:rPr>
        <w:t>e</w:t>
      </w:r>
      <w:r>
        <w:rPr>
          <w:rFonts w:eastAsia="Times New Roman" w:cs="Arial"/>
          <w:lang w:eastAsia="zh-TW"/>
        </w:rPr>
        <w:t xml:space="preserve">se costs included in the on-going charges? </w:t>
      </w:r>
    </w:p>
    <w:p w14:paraId="4A2605C1" w14:textId="77777777" w:rsidR="00F31E57" w:rsidRDefault="00F31E57" w:rsidP="00F31E57">
      <w:pPr>
        <w:rPr>
          <w:rFonts w:cstheme="minorBidi"/>
        </w:rPr>
      </w:pPr>
    </w:p>
    <w:p w14:paraId="2FB7A32B" w14:textId="77777777" w:rsidR="00F31E57" w:rsidRDefault="00F31E57" w:rsidP="00F31E57">
      <w:r>
        <w:t>&lt;ESMA_QUESTION_PRIIPs_23&gt;</w:t>
      </w:r>
    </w:p>
    <w:p w14:paraId="13446170" w14:textId="0AF13FB7" w:rsidR="00A52132" w:rsidRPr="005F2594" w:rsidRDefault="00A52132" w:rsidP="00F31E57">
      <w:permStart w:id="1108751818" w:edGrp="everyone"/>
      <w:r w:rsidRPr="005F2594">
        <w:t xml:space="preserve">“Acquisition costs” is not clear enough. For example, for an ETF fund acquired on the secondary market (which is the case for individual </w:t>
      </w:r>
      <w:r w:rsidR="005F2594" w:rsidRPr="005F2594">
        <w:t>investors</w:t>
      </w:r>
      <w:r w:rsidRPr="005F2594">
        <w:t>), do</w:t>
      </w:r>
      <w:r w:rsidR="005F2594">
        <w:t>es is include the brokerage fee, and also the bid/offer spread</w:t>
      </w:r>
      <w:r w:rsidRPr="005F2594">
        <w:t>?</w:t>
      </w:r>
    </w:p>
    <w:p w14:paraId="32FB6B3C" w14:textId="79E67175" w:rsidR="00F31E57" w:rsidRDefault="00A52132" w:rsidP="00F31E57">
      <w:r w:rsidRPr="005F2594">
        <w:t>One should be able</w:t>
      </w:r>
      <w:r w:rsidR="000C468B" w:rsidRPr="005F2594">
        <w:t xml:space="preserve"> to see to whom these costs are distributed, e.g. who benefits from the existence of these costs.</w:t>
      </w:r>
    </w:p>
    <w:permEnd w:id="1108751818"/>
    <w:p w14:paraId="724DA2A1" w14:textId="77777777" w:rsidR="00F31E57" w:rsidRDefault="00F31E57" w:rsidP="00F31E57">
      <w:r>
        <w:t>&lt;ESMA_QUESTION_PRIIPs_23&gt;</w:t>
      </w:r>
    </w:p>
    <w:p w14:paraId="2764DF6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14:paraId="63DBD91F" w14:textId="77777777" w:rsidR="00F31E57" w:rsidRDefault="00F31E57" w:rsidP="00F31E57">
      <w:pPr>
        <w:rPr>
          <w:rFonts w:cstheme="minorBidi"/>
        </w:rPr>
      </w:pPr>
    </w:p>
    <w:p w14:paraId="04255E85" w14:textId="77777777" w:rsidR="00F31E57" w:rsidRDefault="00F31E57" w:rsidP="00F31E57">
      <w:r>
        <w:t>&lt;ESMA_QUESTION_PRIIPs_24&gt;</w:t>
      </w:r>
    </w:p>
    <w:p w14:paraId="28A7C925" w14:textId="77777777" w:rsidR="00F31E57" w:rsidRDefault="00F31E57" w:rsidP="00F31E57">
      <w:permStart w:id="1236601170" w:edGrp="everyone"/>
      <w:r>
        <w:t>TYPE YOUR TEXT HERE</w:t>
      </w:r>
    </w:p>
    <w:permEnd w:id="1236601170"/>
    <w:p w14:paraId="47DC4617" w14:textId="77777777" w:rsidR="00F31E57" w:rsidRDefault="00F31E57" w:rsidP="00F31E57">
      <w:r>
        <w:t>&lt;ESMA_QUESTION_PRIIPs_24&gt;</w:t>
      </w:r>
    </w:p>
    <w:p w14:paraId="6879BC4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14:paraId="21395E38" w14:textId="77777777" w:rsidR="00F31E57" w:rsidRDefault="00F31E57" w:rsidP="00F31E57">
      <w:pPr>
        <w:rPr>
          <w:rFonts w:cstheme="minorBidi"/>
        </w:rPr>
      </w:pPr>
    </w:p>
    <w:p w14:paraId="30E03D12" w14:textId="77777777" w:rsidR="00F31E57" w:rsidRDefault="00F31E57" w:rsidP="00F31E57">
      <w:r>
        <w:t>&lt;ESMA_QUESTION_PRIIPs_25&gt;</w:t>
      </w:r>
    </w:p>
    <w:p w14:paraId="2593B442" w14:textId="77777777" w:rsidR="00F31E57" w:rsidRDefault="00F31E57" w:rsidP="00F31E57">
      <w:permStart w:id="318205312" w:edGrp="everyone"/>
      <w:r>
        <w:t>TYPE YOUR TEXT HERE</w:t>
      </w:r>
    </w:p>
    <w:permEnd w:id="318205312"/>
    <w:p w14:paraId="2E76FDDA" w14:textId="77777777" w:rsidR="00F31E57" w:rsidRDefault="00F31E57" w:rsidP="00F31E57">
      <w:r>
        <w:t>&lt;ESMA_QUESTION_PRIIPs_25&gt;</w:t>
      </w:r>
    </w:p>
    <w:p w14:paraId="25F55EA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14:paraId="513DDB74" w14:textId="77777777" w:rsidR="00F31E57" w:rsidRDefault="00F31E57" w:rsidP="00F31E57">
      <w:pPr>
        <w:rPr>
          <w:rFonts w:cstheme="minorBidi"/>
        </w:rPr>
      </w:pPr>
    </w:p>
    <w:p w14:paraId="4D18CB5B" w14:textId="77777777" w:rsidR="00F31E57" w:rsidRDefault="00F31E57" w:rsidP="00F31E57">
      <w:r>
        <w:t>&lt;ESMA_QUESTION_PRIIPs_26&gt;</w:t>
      </w:r>
    </w:p>
    <w:p w14:paraId="4B3E3035" w14:textId="77777777" w:rsidR="00F31E57" w:rsidRDefault="00F31E57" w:rsidP="00F31E57">
      <w:permStart w:id="2011968010" w:edGrp="everyone"/>
      <w:r>
        <w:t>TYPE YOUR TEXT HERE</w:t>
      </w:r>
    </w:p>
    <w:permEnd w:id="2011968010"/>
    <w:p w14:paraId="2BCC4C67" w14:textId="77777777" w:rsidR="00F31E57" w:rsidRDefault="00F31E57" w:rsidP="00F31E57">
      <w:r>
        <w:t>&lt;ESMA_QUESTION_PRIIPs_26&gt;</w:t>
      </w:r>
    </w:p>
    <w:p w14:paraId="579BDB8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14:paraId="11413777" w14:textId="77777777" w:rsidR="00F31E57" w:rsidRDefault="00F31E57" w:rsidP="00F31E57">
      <w:pPr>
        <w:rPr>
          <w:rFonts w:cstheme="minorBidi"/>
        </w:rPr>
      </w:pPr>
    </w:p>
    <w:p w14:paraId="0DF981E9" w14:textId="77777777" w:rsidR="00F31E57" w:rsidRDefault="00F31E57" w:rsidP="00F31E57">
      <w:r>
        <w:t>&lt;ESMA_QUESTION_PRIIPs_27&gt;</w:t>
      </w:r>
    </w:p>
    <w:p w14:paraId="37F98B88" w14:textId="77777777" w:rsidR="00F31E57" w:rsidRDefault="00F31E57" w:rsidP="00F31E57">
      <w:permStart w:id="1827632368" w:edGrp="everyone"/>
      <w:r>
        <w:t>TYPE YOUR TEXT HERE</w:t>
      </w:r>
    </w:p>
    <w:permEnd w:id="1827632368"/>
    <w:p w14:paraId="7B6AA99C" w14:textId="77777777" w:rsidR="00F31E57" w:rsidRDefault="00F31E57" w:rsidP="00F31E57">
      <w:r>
        <w:t>&lt;ESMA_QUESTION_PRIIPs_27&gt;</w:t>
      </w:r>
    </w:p>
    <w:p w14:paraId="45F9B14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14:paraId="1712779D" w14:textId="77777777" w:rsidR="00F31E57" w:rsidRDefault="00F31E57" w:rsidP="00F31E57">
      <w:pPr>
        <w:rPr>
          <w:rFonts w:cstheme="minorBidi"/>
        </w:rPr>
      </w:pPr>
    </w:p>
    <w:p w14:paraId="3A8389D1" w14:textId="77777777" w:rsidR="00F31E57" w:rsidRDefault="00F31E57" w:rsidP="00F31E57">
      <w:r>
        <w:t>&lt;ESMA_QUESTION_PRIIPs_28&gt;</w:t>
      </w:r>
    </w:p>
    <w:p w14:paraId="307B7672" w14:textId="205ACD8B" w:rsidR="00EF50BA" w:rsidRPr="005F2594" w:rsidRDefault="00EF50BA" w:rsidP="00F31E57">
      <w:permStart w:id="1509838655" w:edGrp="everyone"/>
      <w:r w:rsidRPr="005F2594">
        <w:t>It is worth mentioning here that a lot of retail AIFs are general purpose funds like UCITS. The only diffe</w:t>
      </w:r>
      <w:r w:rsidRPr="005F2594">
        <w:t>r</w:t>
      </w:r>
      <w:r w:rsidRPr="005F2594">
        <w:t>ence is that they are not passportable and designed only for the loca</w:t>
      </w:r>
      <w:r w:rsidR="005F2594" w:rsidRPr="005F2594">
        <w:t>l market. For example in France</w:t>
      </w:r>
      <w:r w:rsidRPr="005F2594">
        <w:t>, there are 3500 registered UCITs but 8000 registered AIFs mostly retail AIF funds. Except for special purpose AIFs (as mentioned in the question: real estate, private equity, venture capital, etc.), the CESR guidelines do fully apply to retail AIFs.</w:t>
      </w:r>
    </w:p>
    <w:permEnd w:id="1509838655"/>
    <w:p w14:paraId="4D14A019" w14:textId="0B7BCC22" w:rsidR="00F31E57" w:rsidRDefault="00F31E57" w:rsidP="00F31E57">
      <w:r>
        <w:lastRenderedPageBreak/>
        <w:t>&lt;ESMA_QUESTION_PRIIPs_28&gt;</w:t>
      </w:r>
    </w:p>
    <w:p w14:paraId="2B4EC61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14:paraId="0812F0A6" w14:textId="77777777" w:rsidR="00F31E57" w:rsidRDefault="00F31E57" w:rsidP="00F31E57">
      <w:pPr>
        <w:rPr>
          <w:rFonts w:cstheme="minorBidi"/>
        </w:rPr>
      </w:pPr>
    </w:p>
    <w:p w14:paraId="59A6C6ED" w14:textId="77777777" w:rsidR="00F31E57" w:rsidRDefault="00F31E57" w:rsidP="00F31E57">
      <w:r>
        <w:t>&lt;ESMA_QUESTION_PRIIPs_29&gt;</w:t>
      </w:r>
    </w:p>
    <w:p w14:paraId="6E2A5BE5" w14:textId="541F615A" w:rsidR="00F31E57" w:rsidRDefault="0092287D" w:rsidP="0092287D">
      <w:permStart w:id="1664360578" w:edGrp="everyone"/>
      <w:r>
        <w:t xml:space="preserve">It should be clear that performance-related fee has a high-water mark (HWM) or water mark (WM) related feature. Otherwise, this could be </w:t>
      </w:r>
      <w:r w:rsidR="005F2594">
        <w:t>misleading</w:t>
      </w:r>
      <w:r>
        <w:t xml:space="preserve"> information and have huge detrimental effect on any inves</w:t>
      </w:r>
      <w:r>
        <w:t>t</w:t>
      </w:r>
      <w:r>
        <w:t>ment if the fee is tied to a yearly performance without any HWM or to a performance of different “benc</w:t>
      </w:r>
      <w:r>
        <w:t>h</w:t>
      </w:r>
      <w:r>
        <w:t>mark”. Typically there are lot of products (absolute performance funds for example) that have a low WM, typically Libor or even zero performance.</w:t>
      </w:r>
    </w:p>
    <w:permEnd w:id="1664360578"/>
    <w:p w14:paraId="6A144C50" w14:textId="77777777" w:rsidR="00F31E57" w:rsidRDefault="00F31E57" w:rsidP="00F31E57">
      <w:r>
        <w:t>&lt;ESMA_QUESTION_PRIIPs_29&gt;</w:t>
      </w:r>
    </w:p>
    <w:p w14:paraId="27C0771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14:paraId="1DA5D25A" w14:textId="77777777" w:rsidR="00F31E57" w:rsidRDefault="00F31E57" w:rsidP="00F31E57">
      <w:pPr>
        <w:rPr>
          <w:rFonts w:cstheme="minorBidi"/>
        </w:rPr>
      </w:pPr>
    </w:p>
    <w:p w14:paraId="7D83791E" w14:textId="77777777" w:rsidR="00F31E57" w:rsidRDefault="00F31E57" w:rsidP="00F31E57">
      <w:r>
        <w:t>&lt;ESMA_QUESTION_PRIIPs_30&gt;</w:t>
      </w:r>
    </w:p>
    <w:p w14:paraId="1BBD87EF" w14:textId="52E6A0B9" w:rsidR="00E87288" w:rsidRDefault="00E87288" w:rsidP="00F31E57">
      <w:permStart w:id="993985270" w:edGrp="everyone"/>
      <w:r w:rsidRPr="005F2594">
        <w:t xml:space="preserve">It is relevant if this is not an option, i.e. </w:t>
      </w:r>
      <w:r w:rsidR="00744491" w:rsidRPr="005F2594">
        <w:t xml:space="preserve">if </w:t>
      </w:r>
      <w:r w:rsidRPr="005F2594">
        <w:t>it is embedded in the product and the investor has no choice but to take it.  Otherwise it should be priced separately.</w:t>
      </w:r>
    </w:p>
    <w:permEnd w:id="993985270"/>
    <w:p w14:paraId="6E3C2AF3" w14:textId="77777777" w:rsidR="00F31E57" w:rsidRDefault="00F31E57" w:rsidP="00F31E57">
      <w:r>
        <w:t>&lt;ESMA_QUESTION_PRIIPs_30&gt;</w:t>
      </w:r>
    </w:p>
    <w:p w14:paraId="15489BA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14:paraId="1D86F99B" w14:textId="77777777" w:rsidR="00F31E57" w:rsidRDefault="00F31E57" w:rsidP="00F31E57">
      <w:pPr>
        <w:rPr>
          <w:rFonts w:cstheme="minorBidi"/>
        </w:rPr>
      </w:pPr>
    </w:p>
    <w:p w14:paraId="5E2276CA" w14:textId="77777777" w:rsidR="00F31E57" w:rsidRDefault="00F31E57" w:rsidP="00F31E57">
      <w:r>
        <w:t>&lt;ESMA_QUESTION_PRIIPs_31&gt;</w:t>
      </w:r>
    </w:p>
    <w:p w14:paraId="34ED0577" w14:textId="77777777" w:rsidR="00E87288" w:rsidRDefault="00E87288" w:rsidP="00F31E57">
      <w:permStart w:id="297670367" w:edGrp="everyone"/>
    </w:p>
    <w:permEnd w:id="297670367"/>
    <w:p w14:paraId="4629F27F" w14:textId="77777777" w:rsidR="00F31E57" w:rsidRDefault="00F31E57" w:rsidP="00F31E57">
      <w:r>
        <w:t>&lt;ESMA_QUESTION_PRIIPs_31&gt;</w:t>
      </w:r>
    </w:p>
    <w:p w14:paraId="5248D7A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14:paraId="4F867351" w14:textId="77777777" w:rsidR="00F31E57" w:rsidRDefault="00F31E57" w:rsidP="00F31E57"/>
    <w:p w14:paraId="7402CD1A" w14:textId="77777777" w:rsidR="00F31E57" w:rsidRDefault="00F31E57" w:rsidP="00F31E57">
      <w:r>
        <w:t>&lt;ESMA_QUESTION_PRIIPs_32&gt;</w:t>
      </w:r>
    </w:p>
    <w:p w14:paraId="2A83671E" w14:textId="77777777" w:rsidR="00F31E57" w:rsidRDefault="00F31E57" w:rsidP="00F31E57">
      <w:permStart w:id="1981571695" w:edGrp="everyone"/>
      <w:r>
        <w:t>TYPE YOUR TEXT HERE</w:t>
      </w:r>
    </w:p>
    <w:permEnd w:id="1981571695"/>
    <w:p w14:paraId="0E17A95E" w14:textId="77777777" w:rsidR="00F31E57" w:rsidRDefault="00F31E57" w:rsidP="00F31E57">
      <w:r>
        <w:t>&lt;ESMA_QUESTION_PRIIPs_32&gt;</w:t>
      </w:r>
    </w:p>
    <w:p w14:paraId="3CC928D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14:paraId="0C312BC2" w14:textId="77777777" w:rsidR="00F31E57" w:rsidRDefault="00F31E57" w:rsidP="00F31E57">
      <w:pPr>
        <w:rPr>
          <w:rFonts w:cstheme="minorBidi"/>
        </w:rPr>
      </w:pPr>
    </w:p>
    <w:p w14:paraId="55686EEB" w14:textId="77777777" w:rsidR="00F31E57" w:rsidRDefault="00F31E57" w:rsidP="00F31E57">
      <w:r>
        <w:t>&lt;ESMA_QUESTION_PRIIPs_33&gt;</w:t>
      </w:r>
    </w:p>
    <w:p w14:paraId="1C37F2A1" w14:textId="4CF62F95" w:rsidR="00E87288" w:rsidRDefault="00E87288" w:rsidP="00F31E57">
      <w:permStart w:id="1092314110" w:edGrp="everyone"/>
      <w:r w:rsidRPr="00C1074E">
        <w:t>Analysts do publish estimates of future divid</w:t>
      </w:r>
      <w:r w:rsidR="005E0D36" w:rsidRPr="00C1074E">
        <w:t>ends for individual stocks. But</w:t>
      </w:r>
      <w:r w:rsidRPr="00C1074E">
        <w:t xml:space="preserve">, as FSUG already </w:t>
      </w:r>
      <w:r w:rsidR="005E0D36" w:rsidRPr="00C1074E">
        <w:t>pointed out in its replies to c</w:t>
      </w:r>
      <w:r w:rsidRPr="00C1074E">
        <w:t>onsulta</w:t>
      </w:r>
      <w:r w:rsidR="005E0D36" w:rsidRPr="00C1074E">
        <w:t>tions on benchmarks, experience</w:t>
      </w:r>
      <w:r w:rsidR="00C1074E" w:rsidRPr="00C1074E">
        <w:t xml:space="preserve"> d</w:t>
      </w:r>
      <w:r w:rsidRPr="00C1074E">
        <w:t>emonstrates that it is ex</w:t>
      </w:r>
      <w:r w:rsidR="005E0D36" w:rsidRPr="00C1074E">
        <w:t>tremely diffic</w:t>
      </w:r>
      <w:r w:rsidRPr="00C1074E">
        <w:t>ult for individual investors to find an estimation of future dividends for main indices. Even to find the annual past performance of such indices has proven to be a major challenge for many heavily used indices (try for example to find the past annual performance of bond indices without paying high fees to providers</w:t>
      </w:r>
      <w:r w:rsidR="0014562E" w:rsidRPr="00C1074E">
        <w:t>, which of course an individual cannot – and should not - pay</w:t>
      </w:r>
      <w:r w:rsidRPr="00C1074E">
        <w:t>).</w:t>
      </w:r>
    </w:p>
    <w:permEnd w:id="1092314110"/>
    <w:p w14:paraId="57F4F7E9" w14:textId="77777777" w:rsidR="00F31E57" w:rsidRDefault="00F31E57" w:rsidP="00F31E57">
      <w:r>
        <w:t>&lt;ESMA_QUESTION_PRIIPs_33&gt;</w:t>
      </w:r>
    </w:p>
    <w:p w14:paraId="6BD77F5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lastRenderedPageBreak/>
        <w:t xml:space="preserve">Is this description comprehensive? </w:t>
      </w:r>
    </w:p>
    <w:p w14:paraId="453CC9FA" w14:textId="77777777" w:rsidR="00F31E57" w:rsidRDefault="00F31E57" w:rsidP="00F31E57">
      <w:pPr>
        <w:rPr>
          <w:rFonts w:eastAsiaTheme="minorHAnsi" w:cstheme="minorBidi"/>
          <w:lang w:eastAsia="en-US"/>
        </w:rPr>
      </w:pPr>
    </w:p>
    <w:p w14:paraId="481D5D74" w14:textId="77777777" w:rsidR="00F31E57" w:rsidRDefault="00F31E57" w:rsidP="00F31E57">
      <w:r>
        <w:t>&lt;ESMA_QUESTION_PRIIPs_34&gt;</w:t>
      </w:r>
    </w:p>
    <w:p w14:paraId="50893C3C" w14:textId="1B8C53B4" w:rsidR="0014562E" w:rsidRDefault="0014562E" w:rsidP="00F31E57">
      <w:permStart w:id="1387231025" w:edGrp="everyone"/>
      <w:r w:rsidRPr="00C1074E">
        <w:t>There are also depositaries’ commissions on transactions (not only broker ones). They are widespread for example in France, where – in addition – they are then typically shared between the depositary and the asset manager.</w:t>
      </w:r>
    </w:p>
    <w:permEnd w:id="1387231025"/>
    <w:p w14:paraId="1FCC9832" w14:textId="77777777" w:rsidR="00F31E57" w:rsidRDefault="00F31E57" w:rsidP="00F31E57">
      <w:r>
        <w:t>&lt;ESMA_QUESTION_PRIIPs_34&gt;</w:t>
      </w:r>
    </w:p>
    <w:p w14:paraId="06F784F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14:paraId="60B5BB0B" w14:textId="77777777" w:rsidR="00F31E57" w:rsidRDefault="00F31E57" w:rsidP="00F31E57">
      <w:pPr>
        <w:rPr>
          <w:rFonts w:cstheme="minorBidi"/>
        </w:rPr>
      </w:pPr>
    </w:p>
    <w:p w14:paraId="36D58CBB" w14:textId="77777777" w:rsidR="00F31E57" w:rsidRDefault="00F31E57" w:rsidP="00F31E57">
      <w:r>
        <w:t>&lt;ESMA_QUESTION_PRIIPs_35&gt;</w:t>
      </w:r>
    </w:p>
    <w:p w14:paraId="3984C5D0" w14:textId="77777777" w:rsidR="00F31E57" w:rsidRDefault="00F31E57" w:rsidP="00F31E57">
      <w:permStart w:id="1523792998" w:edGrp="everyone"/>
      <w:r>
        <w:t>TYPE YOUR TEXT HERE</w:t>
      </w:r>
    </w:p>
    <w:permEnd w:id="1523792998"/>
    <w:p w14:paraId="35A59B46" w14:textId="77777777" w:rsidR="00F31E57" w:rsidRDefault="00F31E57" w:rsidP="00F31E57">
      <w:r>
        <w:t>&lt;ESMA_QUESTION_PRIIPs_35&gt;</w:t>
      </w:r>
    </w:p>
    <w:p w14:paraId="2D4296A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14:paraId="6E9B91A3" w14:textId="77777777" w:rsidR="00F31E57" w:rsidRDefault="00F31E57" w:rsidP="00F31E57">
      <w:pPr>
        <w:rPr>
          <w:rFonts w:cstheme="minorBidi"/>
        </w:rPr>
      </w:pPr>
    </w:p>
    <w:p w14:paraId="612F00CA" w14:textId="77777777" w:rsidR="00F31E57" w:rsidRDefault="00F31E57" w:rsidP="00F31E57">
      <w:r>
        <w:t>&lt;ESMA_QUESTION_PRIIPs_36&gt;</w:t>
      </w:r>
    </w:p>
    <w:p w14:paraId="633E38D8" w14:textId="77777777" w:rsidR="00F31E57" w:rsidRDefault="00F31E57" w:rsidP="00F31E57">
      <w:permStart w:id="507317862" w:edGrp="everyone"/>
      <w:r>
        <w:t>TYPE YOUR TEXT HERE</w:t>
      </w:r>
    </w:p>
    <w:permEnd w:id="507317862"/>
    <w:p w14:paraId="6517B326" w14:textId="77777777" w:rsidR="00F31E57" w:rsidRDefault="00F31E57" w:rsidP="00F31E57">
      <w:r>
        <w:t>&lt;ESMA_QUESTION_PRIIPs_36&gt;</w:t>
      </w:r>
    </w:p>
    <w:p w14:paraId="59409C3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Znakapoznpodarou"/>
          <w:rFonts w:cs="Arial"/>
        </w:rPr>
        <w:footnoteReference w:id="3"/>
      </w:r>
      <w:r>
        <w:rPr>
          <w:rFonts w:cs="Arial"/>
        </w:rPr>
        <w:t xml:space="preserve"> </w:t>
      </w:r>
    </w:p>
    <w:p w14:paraId="1EB68510" w14:textId="77777777" w:rsidR="00F31E57" w:rsidRDefault="00F31E57" w:rsidP="00F31E57">
      <w:pPr>
        <w:rPr>
          <w:rFonts w:eastAsiaTheme="minorHAnsi" w:cstheme="minorBidi"/>
          <w:lang w:eastAsia="en-US"/>
        </w:rPr>
      </w:pPr>
    </w:p>
    <w:p w14:paraId="5B1B736E" w14:textId="77777777" w:rsidR="00F31E57" w:rsidRDefault="00F31E57" w:rsidP="00F31E57">
      <w:r>
        <w:t>&lt;ESMA_QUESTION_PRIIPs_37&gt;</w:t>
      </w:r>
    </w:p>
    <w:p w14:paraId="5BE560A9" w14:textId="0C877BBB" w:rsidR="00146C88" w:rsidRPr="00C1074E" w:rsidRDefault="00146C88" w:rsidP="00F31E57">
      <w:pPr>
        <w:rPr>
          <w:szCs w:val="20"/>
        </w:rPr>
      </w:pPr>
      <w:permStart w:id="1228559133" w:edGrp="everyone"/>
      <w:r w:rsidRPr="00C1074E">
        <w:rPr>
          <w:szCs w:val="20"/>
        </w:rPr>
        <w:t>FSUG could not respond to</w:t>
      </w:r>
      <w:r w:rsidR="00C1074E" w:rsidRPr="00C1074E">
        <w:rPr>
          <w:szCs w:val="20"/>
        </w:rPr>
        <w:t xml:space="preserve"> the previous DP of last autumn</w:t>
      </w:r>
      <w:r w:rsidRPr="00C1074E">
        <w:rPr>
          <w:szCs w:val="20"/>
        </w:rPr>
        <w:t>. Although we would like the cos</w:t>
      </w:r>
      <w:r w:rsidR="00C1074E" w:rsidRPr="00C1074E">
        <w:rPr>
          <w:szCs w:val="20"/>
        </w:rPr>
        <w:t>t</w:t>
      </w:r>
      <w:r w:rsidRPr="00C1074E">
        <w:rPr>
          <w:szCs w:val="20"/>
        </w:rPr>
        <w:t>/charges indicator to encompass all costs including transaction costs and, in particular bid-offer spread cost impact, we believe that it is a very challengi</w:t>
      </w:r>
      <w:r w:rsidR="00C1074E">
        <w:rPr>
          <w:szCs w:val="20"/>
        </w:rPr>
        <w:t>ng goal to aim at capturing 100</w:t>
      </w:r>
      <w:r w:rsidRPr="00C1074E">
        <w:rPr>
          <w:szCs w:val="20"/>
        </w:rPr>
        <w:t>% of variable costs. As rightly me</w:t>
      </w:r>
      <w:r w:rsidRPr="00C1074E">
        <w:rPr>
          <w:szCs w:val="20"/>
        </w:rPr>
        <w:t>n</w:t>
      </w:r>
      <w:r w:rsidRPr="00C1074E">
        <w:rPr>
          <w:szCs w:val="20"/>
        </w:rPr>
        <w:t xml:space="preserve">tioned in the DP, bond markets are very opaque and do not disclose dealing cost per se. It is even worse for the totally unregulated </w:t>
      </w:r>
      <w:r w:rsidR="00C1074E" w:rsidRPr="00C1074E">
        <w:rPr>
          <w:szCs w:val="20"/>
        </w:rPr>
        <w:t>Forex</w:t>
      </w:r>
      <w:r w:rsidRPr="00C1074E">
        <w:rPr>
          <w:szCs w:val="20"/>
        </w:rPr>
        <w:t xml:space="preserve"> markets. One should try to estimate these transaction costs for the pu</w:t>
      </w:r>
      <w:r w:rsidRPr="00C1074E">
        <w:rPr>
          <w:szCs w:val="20"/>
        </w:rPr>
        <w:t>r</w:t>
      </w:r>
      <w:r w:rsidR="005E0D36" w:rsidRPr="00C1074E">
        <w:rPr>
          <w:szCs w:val="20"/>
        </w:rPr>
        <w:t>pose of the KIID</w:t>
      </w:r>
      <w:r w:rsidRPr="00C1074E">
        <w:rPr>
          <w:szCs w:val="20"/>
        </w:rPr>
        <w:t xml:space="preserve"> if the result is reliable - </w:t>
      </w:r>
      <w:r w:rsidR="00C1074E" w:rsidRPr="00C1074E">
        <w:rPr>
          <w:szCs w:val="20"/>
        </w:rPr>
        <w:t>i.e.</w:t>
      </w:r>
      <w:r w:rsidRPr="00C1074E">
        <w:rPr>
          <w:szCs w:val="20"/>
        </w:rPr>
        <w:t>; coming from or supervised by independent bodies - meanin</w:t>
      </w:r>
      <w:r w:rsidRPr="00C1074E">
        <w:rPr>
          <w:szCs w:val="20"/>
        </w:rPr>
        <w:t>g</w:t>
      </w:r>
      <w:r w:rsidRPr="00C1074E">
        <w:rPr>
          <w:szCs w:val="20"/>
        </w:rPr>
        <w:t>ful and intelligible by the average investor (a MiFIDII requirement).</w:t>
      </w:r>
    </w:p>
    <w:p w14:paraId="09BA2238" w14:textId="77777777" w:rsidR="00146C88" w:rsidRPr="00C1074E" w:rsidRDefault="00146C88" w:rsidP="00F31E57">
      <w:pPr>
        <w:rPr>
          <w:szCs w:val="20"/>
        </w:rPr>
      </w:pPr>
    </w:p>
    <w:p w14:paraId="47281AC7" w14:textId="7EE96C1C" w:rsidR="00F31E57" w:rsidRPr="00C1074E" w:rsidRDefault="0014562E" w:rsidP="00F31E57">
      <w:pPr>
        <w:rPr>
          <w:szCs w:val="20"/>
        </w:rPr>
      </w:pPr>
      <w:r w:rsidRPr="00C1074E">
        <w:rPr>
          <w:szCs w:val="20"/>
        </w:rPr>
        <w:t>We are quite concerned to read several times in the DP from the ESAs that “</w:t>
      </w:r>
      <w:r w:rsidRPr="00C1074E">
        <w:rPr>
          <w:i/>
          <w:szCs w:val="20"/>
        </w:rPr>
        <w:t xml:space="preserve">the dealers should know the typical spread in the securities with which they deal”. </w:t>
      </w:r>
      <w:r w:rsidRPr="00C1074E">
        <w:rPr>
          <w:szCs w:val="20"/>
        </w:rPr>
        <w:t xml:space="preserve">We believe it is dangerous to leave it to the dealers to decide and assess what </w:t>
      </w:r>
      <w:r w:rsidR="00146C88" w:rsidRPr="00C1074E">
        <w:rPr>
          <w:szCs w:val="20"/>
        </w:rPr>
        <w:t>a “typical” spread is.</w:t>
      </w:r>
      <w:r w:rsidRPr="00C1074E">
        <w:rPr>
          <w:szCs w:val="20"/>
        </w:rPr>
        <w:t xml:space="preserve"> </w:t>
      </w:r>
    </w:p>
    <w:p w14:paraId="5B6ED6BF" w14:textId="77777777" w:rsidR="00146C88" w:rsidRPr="00C1074E" w:rsidRDefault="00146C88" w:rsidP="00F31E57">
      <w:pPr>
        <w:rPr>
          <w:szCs w:val="20"/>
        </w:rPr>
      </w:pPr>
    </w:p>
    <w:p w14:paraId="44907CF3" w14:textId="720282B8" w:rsidR="00146C88" w:rsidRPr="00C1074E" w:rsidRDefault="00146C88" w:rsidP="00C1074E">
      <w:pPr>
        <w:pStyle w:val="Default"/>
        <w:rPr>
          <w:rFonts w:ascii="Arial" w:hAnsi="Arial" w:cs="Arial"/>
          <w:color w:val="auto"/>
          <w:sz w:val="20"/>
          <w:szCs w:val="20"/>
        </w:rPr>
      </w:pPr>
      <w:r w:rsidRPr="00C1074E">
        <w:rPr>
          <w:rFonts w:ascii="Arial" w:hAnsi="Arial" w:cs="Arial"/>
          <w:color w:val="auto"/>
          <w:sz w:val="20"/>
          <w:szCs w:val="20"/>
        </w:rPr>
        <w:t>The best is the (i) option by far: “</w:t>
      </w:r>
      <w:r w:rsidRPr="00C1074E">
        <w:rPr>
          <w:rFonts w:ascii="Arial" w:hAnsi="Arial" w:cs="Arial"/>
          <w:i/>
          <w:color w:val="auto"/>
          <w:sz w:val="20"/>
          <w:szCs w:val="20"/>
        </w:rPr>
        <w:t>The entire market switches to gross pricing, making the broker commissions explicit and possible to identify and report </w:t>
      </w:r>
      <w:r w:rsidR="00C1074E" w:rsidRPr="00C1074E">
        <w:rPr>
          <w:rFonts w:ascii="Arial" w:hAnsi="Arial" w:cs="Arial"/>
          <w:color w:val="auto"/>
          <w:sz w:val="20"/>
          <w:szCs w:val="20"/>
        </w:rPr>
        <w:t>» but is it realistic</w:t>
      </w:r>
      <w:r w:rsidRPr="00C1074E">
        <w:rPr>
          <w:rFonts w:ascii="Arial" w:hAnsi="Arial" w:cs="Arial"/>
          <w:color w:val="auto"/>
          <w:sz w:val="20"/>
          <w:szCs w:val="20"/>
        </w:rPr>
        <w:t>? Otherwise, the cost of supervision may be quite high.</w:t>
      </w:r>
    </w:p>
    <w:permEnd w:id="1228559133"/>
    <w:p w14:paraId="689819A2" w14:textId="77777777" w:rsidR="00F31E57" w:rsidRDefault="00F31E57" w:rsidP="00F31E57">
      <w:r>
        <w:t>&lt;ESMA_QUESTION_PRIIPs_37&gt;</w:t>
      </w:r>
    </w:p>
    <w:p w14:paraId="2E1C57C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lastRenderedPageBreak/>
        <w:t xml:space="preserve">closed? If so, which of the above mentioned approaches do you think would be more suitable for ex-ante calculations or are there alternative methods not explored above? </w:t>
      </w:r>
    </w:p>
    <w:p w14:paraId="10607E22" w14:textId="77777777" w:rsidR="00F31E57" w:rsidRDefault="00F31E57" w:rsidP="00F31E57">
      <w:pPr>
        <w:rPr>
          <w:rFonts w:cstheme="minorBidi"/>
        </w:rPr>
      </w:pPr>
    </w:p>
    <w:p w14:paraId="60D39619" w14:textId="77777777" w:rsidR="00F31E57" w:rsidRDefault="00F31E57" w:rsidP="00F31E57">
      <w:r>
        <w:t>&lt;ESMA_QUESTION_PRIIPs_38&gt;</w:t>
      </w:r>
    </w:p>
    <w:p w14:paraId="0F957AFB" w14:textId="6F6F41A4" w:rsidR="00146C88" w:rsidRPr="00C1074E" w:rsidRDefault="00146C88" w:rsidP="00F31E57">
      <w:permStart w:id="227633122" w:edGrp="everyone"/>
      <w:r w:rsidRPr="00C1074E">
        <w:t>The predefined average spread table used by Dutch pension funds (page 62) is interes</w:t>
      </w:r>
      <w:r w:rsidR="00C1074E" w:rsidRPr="00C1074E">
        <w:t>ting, but again is it realistic</w:t>
      </w:r>
      <w:r w:rsidRPr="00C1074E">
        <w:t>? For example, the high yield bond “</w:t>
      </w:r>
      <w:r w:rsidR="00C1074E" w:rsidRPr="00C1074E">
        <w:t>markets” are described by the p</w:t>
      </w:r>
      <w:r w:rsidRPr="00C1074E">
        <w:t>ractitioners themselves as : “</w:t>
      </w:r>
      <w:r w:rsidRPr="00C1074E">
        <w:rPr>
          <w:i/>
        </w:rPr>
        <w:t>There’s no real exchange trading</w:t>
      </w:r>
      <w:r w:rsidRPr="00C1074E">
        <w:t xml:space="preserve">, </w:t>
      </w:r>
      <w:r w:rsidRPr="00C1074E">
        <w:rPr>
          <w:i/>
        </w:rPr>
        <w:t>it’s all phone calls and Bloomber</w:t>
      </w:r>
      <w:r w:rsidR="00C1074E" w:rsidRPr="00C1074E">
        <w:rPr>
          <w:i/>
        </w:rPr>
        <w:t>g</w:t>
      </w:r>
      <w:r w:rsidRPr="00C1074E">
        <w:rPr>
          <w:i/>
        </w:rPr>
        <w:t xml:space="preserve"> messaging</w:t>
      </w:r>
      <w:r w:rsidRPr="00C1074E">
        <w:t>” (quoted by Funds E</w:t>
      </w:r>
      <w:r w:rsidRPr="00C1074E">
        <w:t>u</w:t>
      </w:r>
      <w:r w:rsidRPr="00C1074E">
        <w:t>rope, June 2015 edition , page 54). In addition, the table does not mention convertible bonds where spreads can be much higher than 1% on average (</w:t>
      </w:r>
      <w:r w:rsidR="00C1074E" w:rsidRPr="00C1074E">
        <w:t>i.e.</w:t>
      </w:r>
      <w:r w:rsidRPr="00C1074E">
        <w:t xml:space="preserve"> the cost</w:t>
      </w:r>
      <w:r w:rsidR="005E0D36" w:rsidRPr="00C1074E">
        <w:t xml:space="preserve"> impact</w:t>
      </w:r>
      <w:r w:rsidRPr="00C1074E">
        <w:t xml:space="preserve"> is much higher than 0,5%).</w:t>
      </w:r>
    </w:p>
    <w:permEnd w:id="227633122"/>
    <w:p w14:paraId="0D752419" w14:textId="6B4D4D25" w:rsidR="00F31E57" w:rsidRDefault="00F31E57" w:rsidP="00F31E57">
      <w:r>
        <w:t>&lt;ESMA_QUESTION_PRIIPs_38&gt;</w:t>
      </w:r>
    </w:p>
    <w:p w14:paraId="61F6904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14:paraId="4B0A9CCF" w14:textId="77777777" w:rsidR="00F31E57" w:rsidRDefault="00F31E57" w:rsidP="00F31E57">
      <w:pPr>
        <w:rPr>
          <w:rFonts w:cstheme="minorBidi"/>
        </w:rPr>
      </w:pPr>
    </w:p>
    <w:p w14:paraId="712E8BEF" w14:textId="77777777" w:rsidR="00F31E57" w:rsidRDefault="00F31E57" w:rsidP="00F31E57">
      <w:r>
        <w:t>&lt;ESMA_QUESTION_PRIIPs_39&gt;</w:t>
      </w:r>
    </w:p>
    <w:p w14:paraId="2CD931E1" w14:textId="2331CA76" w:rsidR="00146C88" w:rsidRPr="00C1074E" w:rsidRDefault="00146C88" w:rsidP="00F31E57">
      <w:permStart w:id="1181687067" w:edGrp="everyone"/>
      <w:r w:rsidRPr="00C1074E">
        <w:t xml:space="preserve">To start with, the vast majority of individual investors do not even know what market impact costs could be. Second, the DP does not mention the dark pools, OTC trading and </w:t>
      </w:r>
      <w:r w:rsidR="005E05A9" w:rsidRPr="00C1074E">
        <w:t>ex</w:t>
      </w:r>
      <w:r w:rsidR="005E0D36" w:rsidRPr="00C1074E">
        <w:t>e</w:t>
      </w:r>
      <w:r w:rsidR="005E05A9" w:rsidRPr="00C1074E">
        <w:t xml:space="preserve">mptions to transparency rules that were included in MiFID I at the request of large dealers precisely to avoid market impact. This dark pool and OTC trading issue must be taken into account. </w:t>
      </w:r>
    </w:p>
    <w:p w14:paraId="0A71374F" w14:textId="28B5BFF7" w:rsidR="005E05A9" w:rsidRPr="00C1074E" w:rsidRDefault="005E05A9" w:rsidP="00F31E57">
      <w:r w:rsidRPr="00C1074E">
        <w:t>We believe we are on too shaky ground in terms of robustness of estimates to include market impact in the cost indicator. However, the turnover rat</w:t>
      </w:r>
      <w:r w:rsidR="005E0D36" w:rsidRPr="00C1074E">
        <w:t xml:space="preserve">e should always be disclosed in </w:t>
      </w:r>
      <w:r w:rsidRPr="00C1074E">
        <w:t>the KIID and computed properly (all purchases plus all sales of all portfolio assets in the numerator).</w:t>
      </w:r>
    </w:p>
    <w:permEnd w:id="1181687067"/>
    <w:p w14:paraId="29C91091" w14:textId="77777777" w:rsidR="00F31E57" w:rsidRDefault="00F31E57" w:rsidP="00F31E57">
      <w:r>
        <w:t>&lt;ESMA_QUESTION_PRIIPs_39&gt;</w:t>
      </w:r>
    </w:p>
    <w:p w14:paraId="218D44F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14:paraId="439BC412" w14:textId="77777777" w:rsidR="00F31E57" w:rsidRDefault="00F31E57" w:rsidP="00F31E57">
      <w:pPr>
        <w:rPr>
          <w:rFonts w:cstheme="minorBidi"/>
        </w:rPr>
      </w:pPr>
    </w:p>
    <w:p w14:paraId="49BDC88C" w14:textId="77777777" w:rsidR="00F31E57" w:rsidRDefault="00F31E57" w:rsidP="00F31E57">
      <w:r>
        <w:t>&lt;ESMA_QUESTION_PRIIPs_40&gt;</w:t>
      </w:r>
    </w:p>
    <w:p w14:paraId="10C36CD1" w14:textId="77777777" w:rsidR="00F31E57" w:rsidRDefault="00F31E57" w:rsidP="00F31E57">
      <w:permStart w:id="146296867" w:edGrp="everyone"/>
      <w:r>
        <w:t>TYPE YOUR TEXT HERE</w:t>
      </w:r>
    </w:p>
    <w:permEnd w:id="146296867"/>
    <w:p w14:paraId="34324C1E" w14:textId="77777777" w:rsidR="00F31E57" w:rsidRDefault="00F31E57" w:rsidP="00F31E57">
      <w:r>
        <w:t>&lt;ESMA_QUESTION_PRIIPs_40&gt;</w:t>
      </w:r>
    </w:p>
    <w:p w14:paraId="089EEB9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14:paraId="53C1181C" w14:textId="77777777" w:rsidR="00F31E57" w:rsidRDefault="00F31E57" w:rsidP="00F31E57">
      <w:pPr>
        <w:rPr>
          <w:rFonts w:cstheme="minorBidi"/>
        </w:rPr>
      </w:pPr>
    </w:p>
    <w:p w14:paraId="31C6C79C" w14:textId="77777777" w:rsidR="00F31E57" w:rsidRDefault="00F31E57" w:rsidP="00F31E57">
      <w:r>
        <w:t>&lt;ESMA_QUESTION_PRIIPs_41&gt;</w:t>
      </w:r>
    </w:p>
    <w:p w14:paraId="31E4728E" w14:textId="77777777" w:rsidR="00A332A8" w:rsidRDefault="00A332A8" w:rsidP="00A332A8">
      <w:permStart w:id="1346577512" w:edGrp="everyone"/>
      <w:r>
        <w:t xml:space="preserve">Any KID should have a clear indication of average annual portfolio turnover ratio. Such indicator could show, how </w:t>
      </w:r>
      <w:r w:rsidR="00356F5B">
        <w:t>actively</w:t>
      </w:r>
      <w:r>
        <w:t xml:space="preserve"> the portfolio is managed and what can be expected from the portfolio manager when different market situations occur. Not only is this indicator valid for costs calculations but also for unde</w:t>
      </w:r>
      <w:r>
        <w:t>r</w:t>
      </w:r>
      <w:r>
        <w:t xml:space="preserve">standing a PRIIP as a structured product. </w:t>
      </w:r>
    </w:p>
    <w:p w14:paraId="240B84FC" w14:textId="77777777" w:rsidR="00F31E57" w:rsidRDefault="00356F5B" w:rsidP="00A332A8">
      <w:r>
        <w:t xml:space="preserve">Furthermore </w:t>
      </w:r>
      <w:r w:rsidR="00A332A8">
        <w:t>it should take both purchases AND sales into account.</w:t>
      </w:r>
    </w:p>
    <w:permEnd w:id="1346577512"/>
    <w:p w14:paraId="68F97164" w14:textId="77777777" w:rsidR="00F31E57" w:rsidRDefault="00F31E57" w:rsidP="00F31E57">
      <w:r>
        <w:t>&lt;ESMA_QUESTION_PRIIPs_41&gt;</w:t>
      </w:r>
    </w:p>
    <w:p w14:paraId="447FEBD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14:paraId="7A882B4A" w14:textId="77777777" w:rsidR="00F31E57" w:rsidRDefault="00F31E57" w:rsidP="00F31E57">
      <w:pPr>
        <w:rPr>
          <w:rFonts w:cstheme="minorBidi"/>
        </w:rPr>
      </w:pPr>
    </w:p>
    <w:p w14:paraId="54F1A3F4" w14:textId="77777777" w:rsidR="00F31E57" w:rsidRDefault="00F31E57" w:rsidP="00F31E57">
      <w:r>
        <w:t>&lt;ESMA_QUESTION_PRIIPs_42&gt;</w:t>
      </w:r>
    </w:p>
    <w:p w14:paraId="552B9B09" w14:textId="77777777" w:rsidR="00F31E57" w:rsidRDefault="005C34AC" w:rsidP="00F31E57">
      <w:permStart w:id="221341269" w:edGrp="everyone"/>
      <w:r>
        <w:t xml:space="preserve">We agree that </w:t>
      </w:r>
      <w:r w:rsidRPr="005C34AC">
        <w:t>that an explicit definition of performance fees should be included</w:t>
      </w:r>
      <w:r>
        <w:t>.</w:t>
      </w:r>
    </w:p>
    <w:permEnd w:id="221341269"/>
    <w:p w14:paraId="04E7887B" w14:textId="77777777" w:rsidR="00F31E57" w:rsidRDefault="00F31E57" w:rsidP="00F31E57">
      <w:r>
        <w:lastRenderedPageBreak/>
        <w:t>&lt;ESMA_QUESTION_PRIIPs_42&gt;</w:t>
      </w:r>
    </w:p>
    <w:p w14:paraId="416B92D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14:paraId="56ED8990" w14:textId="77777777" w:rsidR="00F31E57" w:rsidRDefault="00F31E57" w:rsidP="00F31E57">
      <w:pPr>
        <w:rPr>
          <w:rFonts w:cstheme="minorBidi"/>
        </w:rPr>
      </w:pPr>
    </w:p>
    <w:p w14:paraId="71C34761" w14:textId="77777777" w:rsidR="00F31E57" w:rsidRDefault="00F31E57" w:rsidP="00F31E57">
      <w:r>
        <w:t>&lt;ESMA_QUESTION_PRIIPs_43&gt;</w:t>
      </w:r>
    </w:p>
    <w:p w14:paraId="4F518CAA" w14:textId="3558FBB7" w:rsidR="005E05A9" w:rsidRPr="00C1074E" w:rsidRDefault="005E05A9" w:rsidP="00F31E57">
      <w:permStart w:id="1568623743" w:edGrp="everyone"/>
      <w:r w:rsidRPr="00C1074E">
        <w:t>We agree that any use of performance assumptions to estimate the ex ante performance fee must be consistent with the performance scenarios, especially with the historical returns one if it is long enough to be meaningful. So option 1 and 2 seems preferable.</w:t>
      </w:r>
    </w:p>
    <w:permEnd w:id="1568623743"/>
    <w:p w14:paraId="00382FFA" w14:textId="068E3F8F" w:rsidR="00F31E57" w:rsidRDefault="00F31E57" w:rsidP="00F31E57">
      <w:r>
        <w:t>&lt;ESMA_QUESTION_PRIIPs_43&gt;</w:t>
      </w:r>
    </w:p>
    <w:p w14:paraId="06954A3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14:paraId="284BC80A" w14:textId="77777777" w:rsidR="00F31E57" w:rsidRDefault="00F31E57" w:rsidP="00F31E57">
      <w:pPr>
        <w:rPr>
          <w:rFonts w:cstheme="minorBidi"/>
        </w:rPr>
      </w:pPr>
    </w:p>
    <w:p w14:paraId="7E45FD1C" w14:textId="77777777" w:rsidR="00F31E57" w:rsidRDefault="00F31E57" w:rsidP="00F31E57">
      <w:r>
        <w:t>&lt;ESMA_QUESTION_PRIIPs_44&gt;</w:t>
      </w:r>
    </w:p>
    <w:p w14:paraId="5E0C0E26" w14:textId="4A060CB9" w:rsidR="00F31E57" w:rsidRDefault="005C34AC" w:rsidP="00F31E57">
      <w:permStart w:id="1089998089" w:edGrp="everyone"/>
      <w:r>
        <w:t>Option</w:t>
      </w:r>
      <w:r w:rsidR="005E05A9">
        <w:t>s</w:t>
      </w:r>
      <w:r>
        <w:t xml:space="preserve"> 1 </w:t>
      </w:r>
      <w:r w:rsidR="005E05A9" w:rsidRPr="00C1074E">
        <w:t xml:space="preserve">and 2 </w:t>
      </w:r>
      <w:r w:rsidRPr="00C1074E">
        <w:t xml:space="preserve">- performance fees shown in performance scenarios </w:t>
      </w:r>
      <w:r w:rsidR="005E05A9" w:rsidRPr="00C1074E">
        <w:t xml:space="preserve">AND in the cost indicator </w:t>
      </w:r>
      <w:r w:rsidRPr="00C1074E">
        <w:t>should be considered as a preferred option</w:t>
      </w:r>
      <w:r>
        <w:t>.</w:t>
      </w:r>
    </w:p>
    <w:permEnd w:id="1089998089"/>
    <w:p w14:paraId="0F87AA7D" w14:textId="77777777" w:rsidR="00F31E57" w:rsidRDefault="00F31E57" w:rsidP="00F31E57">
      <w:r>
        <w:t>&lt;ESMA_QUESTION_PRIIPs_44&gt;</w:t>
      </w:r>
    </w:p>
    <w:p w14:paraId="62A4395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14:paraId="51391786" w14:textId="77777777" w:rsidR="00F31E57" w:rsidRDefault="00F31E57" w:rsidP="00F31E57">
      <w:pPr>
        <w:rPr>
          <w:rFonts w:eastAsiaTheme="minorHAnsi" w:cstheme="minorBidi"/>
          <w:lang w:eastAsia="en-US"/>
        </w:rPr>
      </w:pPr>
    </w:p>
    <w:p w14:paraId="164843C1" w14:textId="77777777" w:rsidR="00F31E57" w:rsidRDefault="00F31E57" w:rsidP="00F31E57">
      <w:r>
        <w:t>&lt;ESMA_QUESTION_PRIIPs_45&gt;</w:t>
      </w:r>
    </w:p>
    <w:p w14:paraId="05D52C95" w14:textId="1211DED5" w:rsidR="005E05A9" w:rsidRPr="00C1074E" w:rsidRDefault="00BD630F" w:rsidP="00F31E57">
      <w:pPr>
        <w:rPr>
          <w:szCs w:val="20"/>
        </w:rPr>
      </w:pPr>
      <w:permStart w:id="1457600594" w:edGrp="everyone"/>
      <w:r w:rsidRPr="00C1074E">
        <w:rPr>
          <w:szCs w:val="20"/>
        </w:rPr>
        <w:t>W</w:t>
      </w:r>
      <w:r w:rsidR="005E05A9" w:rsidRPr="00C1074E">
        <w:rPr>
          <w:szCs w:val="20"/>
        </w:rPr>
        <w:t>e do not agree that “</w:t>
      </w:r>
      <w:r w:rsidR="005E05A9" w:rsidRPr="00C1074E">
        <w:rPr>
          <w:i/>
          <w:szCs w:val="20"/>
        </w:rPr>
        <w:t>For insurance PRIIPs, one of the key features is that the computation of the amount of the insurance premium is based upon numerous factors such as biometric risks</w:t>
      </w:r>
      <w:r w:rsidR="005E05A9" w:rsidRPr="00C1074E">
        <w:rPr>
          <w:szCs w:val="20"/>
        </w:rPr>
        <w:t>”.</w:t>
      </w:r>
      <w:r w:rsidRPr="00C1074E">
        <w:rPr>
          <w:szCs w:val="20"/>
        </w:rPr>
        <w:t xml:space="preserve"> It is sometimes a feature, but not often a key one. For example the € 1500 billion life insurance market in </w:t>
      </w:r>
      <w:r w:rsidR="00C1074E" w:rsidRPr="00C1074E">
        <w:rPr>
          <w:szCs w:val="20"/>
        </w:rPr>
        <w:t>France</w:t>
      </w:r>
      <w:r w:rsidRPr="00C1074E">
        <w:rPr>
          <w:szCs w:val="20"/>
        </w:rPr>
        <w:t xml:space="preserve"> (number one retail investment product there) is not impacted – or very marginally – by the biometric risk, especially in terms of fees and charges. That is because, a typical French ins</w:t>
      </w:r>
      <w:r w:rsidR="006D46ED" w:rsidRPr="00C1074E">
        <w:rPr>
          <w:szCs w:val="20"/>
        </w:rPr>
        <w:t>urance contracts does not basic</w:t>
      </w:r>
      <w:r w:rsidRPr="00C1074E">
        <w:rPr>
          <w:szCs w:val="20"/>
        </w:rPr>
        <w:t>ally provide any protection against death or against long life (except for annuities, bu</w:t>
      </w:r>
      <w:r w:rsidR="006D46ED" w:rsidRPr="00C1074E">
        <w:rPr>
          <w:szCs w:val="20"/>
        </w:rPr>
        <w:t xml:space="preserve">t these are very little used in </w:t>
      </w:r>
      <w:r w:rsidR="00C1074E" w:rsidRPr="00C1074E">
        <w:rPr>
          <w:szCs w:val="20"/>
        </w:rPr>
        <w:t>favour</w:t>
      </w:r>
      <w:r w:rsidRPr="00C1074E">
        <w:rPr>
          <w:szCs w:val="20"/>
        </w:rPr>
        <w:t xml:space="preserve"> of capital redemptions).</w:t>
      </w:r>
    </w:p>
    <w:p w14:paraId="1EF14469" w14:textId="77777777" w:rsidR="00686324" w:rsidRPr="00C1074E" w:rsidRDefault="00686324" w:rsidP="00F31E57">
      <w:pPr>
        <w:rPr>
          <w:szCs w:val="20"/>
        </w:rPr>
      </w:pPr>
    </w:p>
    <w:p w14:paraId="466F83B7" w14:textId="6C8CF814" w:rsidR="00686324" w:rsidRPr="00C1074E" w:rsidRDefault="00C1074E" w:rsidP="00F31E57">
      <w:pPr>
        <w:rPr>
          <w:szCs w:val="20"/>
        </w:rPr>
      </w:pPr>
      <w:r w:rsidRPr="00C1074E">
        <w:rPr>
          <w:szCs w:val="20"/>
        </w:rPr>
        <w:t>Therefore</w:t>
      </w:r>
      <w:r w:rsidR="00686324" w:rsidRPr="00C1074E">
        <w:rPr>
          <w:szCs w:val="20"/>
        </w:rPr>
        <w:t>, as long as biometric risks</w:t>
      </w:r>
      <w:r w:rsidR="00837234" w:rsidRPr="00C1074E">
        <w:rPr>
          <w:szCs w:val="20"/>
        </w:rPr>
        <w:t xml:space="preserve"> are offered and </w:t>
      </w:r>
      <w:r w:rsidR="00686324" w:rsidRPr="00C1074E">
        <w:rPr>
          <w:szCs w:val="20"/>
        </w:rPr>
        <w:t>only as non mandatory options, th</w:t>
      </w:r>
      <w:r w:rsidRPr="00C1074E">
        <w:rPr>
          <w:szCs w:val="20"/>
        </w:rPr>
        <w:t>ey should be priced separately.</w:t>
      </w:r>
    </w:p>
    <w:permEnd w:id="1457600594"/>
    <w:p w14:paraId="7AEA9DB7" w14:textId="5E1BFE95" w:rsidR="00F31E57" w:rsidRDefault="00F31E57" w:rsidP="00F31E57">
      <w:r>
        <w:t>&lt;ESMA_QUESTION_PRIIPs_45&gt;</w:t>
      </w:r>
    </w:p>
    <w:p w14:paraId="15B17396"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14:paraId="53AC0FF1" w14:textId="77777777" w:rsidR="00F31E57" w:rsidRDefault="00F31E57" w:rsidP="00F31E57">
      <w:pPr>
        <w:rPr>
          <w:rFonts w:eastAsiaTheme="minorHAnsi" w:cstheme="minorBidi"/>
          <w:lang w:eastAsia="en-US"/>
        </w:rPr>
      </w:pPr>
    </w:p>
    <w:p w14:paraId="0AEC7136" w14:textId="77777777" w:rsidR="00F31E57" w:rsidRDefault="00F31E57" w:rsidP="00F31E57">
      <w:r>
        <w:t>&lt;ESMA_QUESTION_PRIIPs_46&gt;</w:t>
      </w:r>
    </w:p>
    <w:p w14:paraId="2BBFE43C" w14:textId="77777777" w:rsidR="00F31E57" w:rsidRDefault="00F31E57" w:rsidP="00F31E57">
      <w:permStart w:id="476333954" w:edGrp="everyone"/>
      <w:r>
        <w:t>TYPE YOUR TEXT HERE</w:t>
      </w:r>
    </w:p>
    <w:permEnd w:id="476333954"/>
    <w:p w14:paraId="7BA38D70" w14:textId="77777777" w:rsidR="00F31E57" w:rsidRDefault="00F31E57" w:rsidP="00F31E57">
      <w:r>
        <w:t>&lt;ESMA_QUESTION_PRIIPs_46&gt;</w:t>
      </w:r>
    </w:p>
    <w:p w14:paraId="4C75F20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lastRenderedPageBreak/>
        <w:t>Do you agree that guaranteed interest rate and surrender options should be handled in the above mentioned way? Do you know other contractual options, which have to be considered? If yes how?</w:t>
      </w:r>
    </w:p>
    <w:p w14:paraId="63D1F4FD" w14:textId="77777777" w:rsidR="00F31E57" w:rsidRDefault="00F31E57" w:rsidP="00F31E57">
      <w:pPr>
        <w:rPr>
          <w:rFonts w:cstheme="minorBidi"/>
        </w:rPr>
      </w:pPr>
    </w:p>
    <w:p w14:paraId="08B08BF1" w14:textId="77777777" w:rsidR="00F31E57" w:rsidRDefault="00F31E57" w:rsidP="00F31E57">
      <w:r>
        <w:t>&lt;ESMA_QUESTION_PRIIPs_47&gt;</w:t>
      </w:r>
    </w:p>
    <w:p w14:paraId="6838EF7E" w14:textId="6BFE9671" w:rsidR="00686324" w:rsidRPr="00C1074E" w:rsidRDefault="00686324" w:rsidP="00F31E57">
      <w:permStart w:id="1611624914" w:edGrp="everyone"/>
      <w:r w:rsidRPr="00C1074E">
        <w:t>We believe the guaranteed interest rate has nothing to do with the cost indicator: it is a key feature of the insurance product in that case. The essential question is what kind of a guarantee is it and by whom as we experienced many cases where providers renege on their interest rate “guarantee” after some time.</w:t>
      </w:r>
    </w:p>
    <w:p w14:paraId="5D3744CE" w14:textId="20DE665D" w:rsidR="00686324" w:rsidRPr="00C1074E" w:rsidRDefault="00686324" w:rsidP="00F31E57">
      <w:r w:rsidRPr="00C1074E">
        <w:t>We agree on the way to handle surrender life options.</w:t>
      </w:r>
    </w:p>
    <w:permEnd w:id="1611624914"/>
    <w:p w14:paraId="1C088BD1" w14:textId="6B48A6E3" w:rsidR="00F31E57" w:rsidRDefault="00F31E57" w:rsidP="00F31E57">
      <w:r>
        <w:t>&lt;ESMA_QUESTION_PRIIPs_47&gt;</w:t>
      </w:r>
    </w:p>
    <w:p w14:paraId="0EE8944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14:paraId="0B8D99AD" w14:textId="77777777" w:rsidR="00F31E57" w:rsidRDefault="00F31E57" w:rsidP="00F31E57">
      <w:pPr>
        <w:rPr>
          <w:rFonts w:eastAsiaTheme="minorHAnsi" w:cstheme="minorBidi"/>
        </w:rPr>
      </w:pPr>
    </w:p>
    <w:p w14:paraId="524D3D91" w14:textId="77777777" w:rsidR="00F31E57" w:rsidRDefault="00F31E57" w:rsidP="00F31E57">
      <w:r>
        <w:t>&lt;ESMA_QUESTION_PRIIPs_48&gt;</w:t>
      </w:r>
    </w:p>
    <w:p w14:paraId="64BB4037" w14:textId="77777777" w:rsidR="004743A2" w:rsidRDefault="004743A2" w:rsidP="00F31E57">
      <w:permStart w:id="615933475" w:edGrp="everyone"/>
    </w:p>
    <w:permEnd w:id="615933475"/>
    <w:p w14:paraId="3F003204" w14:textId="5A936CA1" w:rsidR="00F31E57" w:rsidRDefault="00F31E57" w:rsidP="00F31E57">
      <w:r>
        <w:t>&lt;ESMA_QUESTION_PRIIPs_48&gt;</w:t>
      </w:r>
    </w:p>
    <w:p w14:paraId="058B949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14:paraId="56D0A6EB" w14:textId="77777777" w:rsidR="00F31E57" w:rsidRDefault="00F31E57" w:rsidP="00F31E57">
      <w:pPr>
        <w:rPr>
          <w:rFonts w:cstheme="minorBidi"/>
        </w:rPr>
      </w:pPr>
    </w:p>
    <w:p w14:paraId="1DA07072" w14:textId="77777777" w:rsidR="00F31E57" w:rsidRDefault="00F31E57" w:rsidP="00F31E57">
      <w:r>
        <w:t>&lt;ESMA_QUESTION_PRIIPs_49&gt;</w:t>
      </w:r>
    </w:p>
    <w:p w14:paraId="5827A257" w14:textId="440765B6" w:rsidR="00A743FA" w:rsidRPr="00C1074E" w:rsidRDefault="00A743FA" w:rsidP="00A743FA">
      <w:permStart w:id="2094868008" w:edGrp="everyone"/>
      <w:r w:rsidRPr="00C1074E">
        <w:t>The FSUG congratulates the ESAs for having identified “profit sharing” as a key fee/charge item in life insurance products, and one that is largely undisclosed to investors to this day. For example in the French € 1250 billion with profit p</w:t>
      </w:r>
      <w:r w:rsidR="00C1074E">
        <w:t>olicy market (“fonds en euros”)</w:t>
      </w:r>
      <w:r w:rsidRPr="00C1074E">
        <w:t>, insurers will typically retain 15% of the perfo</w:t>
      </w:r>
      <w:r w:rsidRPr="00C1074E">
        <w:t>r</w:t>
      </w:r>
      <w:r w:rsidRPr="00C1074E">
        <w:t>mance of the underlying portfolio without quantifying and disclosing this in the fees / charges. This is quite inconsistent with the cost disclosure rules for funds.</w:t>
      </w:r>
    </w:p>
    <w:p w14:paraId="038BC817" w14:textId="77777777" w:rsidR="00A743FA" w:rsidRPr="00C1074E" w:rsidRDefault="00A743FA" w:rsidP="00A743FA"/>
    <w:p w14:paraId="2487BDB9" w14:textId="7845EB17" w:rsidR="00A743FA" w:rsidRPr="00C1074E" w:rsidRDefault="00A743FA" w:rsidP="00A743FA">
      <w:r w:rsidRPr="00C1074E">
        <w:t xml:space="preserve">Another big </w:t>
      </w:r>
      <w:r w:rsidR="00C1074E" w:rsidRPr="00C1074E">
        <w:t>on-going</w:t>
      </w:r>
      <w:r w:rsidRPr="00C1074E">
        <w:t xml:space="preserve"> cost that is not currently disclosed in the overall cost indicator is the </w:t>
      </w:r>
      <w:r w:rsidR="00C1074E" w:rsidRPr="00C1074E">
        <w:t>on-going</w:t>
      </w:r>
      <w:r w:rsidRPr="00C1074E">
        <w:t xml:space="preserve"> asset-based fees on the underlying portfolio of assets such as funds (in with profit policies) </w:t>
      </w:r>
      <w:r w:rsidR="00C1074E" w:rsidRPr="00C1074E">
        <w:t>and “</w:t>
      </w:r>
      <w:r w:rsidRPr="00C1074E">
        <w:t>units” in unit-linked contracts. Whereas funds of funds must currently disclose the sum of the commissions charged at the fund of funds (wrapper) level but also at the underlying funds level</w:t>
      </w:r>
      <w:r w:rsidR="00C1074E" w:rsidRPr="00C1074E">
        <w:t>, unit</w:t>
      </w:r>
      <w:r w:rsidRPr="00C1074E">
        <w:t xml:space="preserve">-linked insurance contracts typically only disclose the contract’s commission, not adding the </w:t>
      </w:r>
      <w:r w:rsidR="00C1074E" w:rsidRPr="00C1074E">
        <w:t>commissions</w:t>
      </w:r>
      <w:r w:rsidRPr="00C1074E">
        <w:t xml:space="preserve"> paid on the unde</w:t>
      </w:r>
      <w:r w:rsidR="00C1074E" w:rsidRPr="00C1074E">
        <w:t>r</w:t>
      </w:r>
      <w:r w:rsidRPr="00C1074E">
        <w:t xml:space="preserve">lying units. So, we recommend </w:t>
      </w:r>
      <w:r w:rsidR="00C1074E" w:rsidRPr="00C1074E">
        <w:t>making</w:t>
      </w:r>
      <w:r w:rsidRPr="00C1074E">
        <w:t xml:space="preserve"> crystal clear that the cost indicator MUST include the </w:t>
      </w:r>
      <w:r w:rsidR="00C1074E" w:rsidRPr="00C1074E">
        <w:t>commissions</w:t>
      </w:r>
      <w:r w:rsidRPr="00C1074E">
        <w:t xml:space="preserve"> charged at the underlying levels, especially the comm</w:t>
      </w:r>
      <w:r w:rsidR="007C0B9C" w:rsidRPr="00C1074E">
        <w:t>i</w:t>
      </w:r>
      <w:r w:rsidRPr="00C1074E">
        <w:t>ssions charged at the “units” level.</w:t>
      </w:r>
    </w:p>
    <w:permEnd w:id="2094868008"/>
    <w:p w14:paraId="29974F20" w14:textId="77777777" w:rsidR="00F31E57" w:rsidRDefault="00F31E57" w:rsidP="00F31E57">
      <w:r>
        <w:t>&lt;ESMA_QUESTION_PRIIPs_49&gt;</w:t>
      </w:r>
    </w:p>
    <w:p w14:paraId="2CC3564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14:paraId="5CD242A7" w14:textId="77777777" w:rsidR="00F31E57" w:rsidRDefault="00F31E57" w:rsidP="00F31E57">
      <w:pPr>
        <w:rPr>
          <w:rFonts w:cstheme="minorBidi"/>
        </w:rPr>
      </w:pPr>
    </w:p>
    <w:p w14:paraId="0953DE7B" w14:textId="77777777" w:rsidR="00F31E57" w:rsidRDefault="00F31E57" w:rsidP="00F31E57">
      <w:r>
        <w:t>&lt;ESMA_QUESTION_PRIIPs_50&gt;</w:t>
      </w:r>
    </w:p>
    <w:p w14:paraId="718AD80B" w14:textId="77777777" w:rsidR="00F31E57" w:rsidRDefault="00F31E57" w:rsidP="00F31E57">
      <w:permStart w:id="652309322" w:edGrp="everyone"/>
      <w:r>
        <w:t>TYPE YOUR TEXT HERE</w:t>
      </w:r>
    </w:p>
    <w:permEnd w:id="652309322"/>
    <w:p w14:paraId="768F0325" w14:textId="77777777" w:rsidR="00F31E57" w:rsidRDefault="00F31E57" w:rsidP="00F31E57">
      <w:r>
        <w:t>&lt;ESMA_QUESTION_PRIIPs_50&gt;</w:t>
      </w:r>
    </w:p>
    <w:p w14:paraId="6778AB0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14:paraId="1B465735" w14:textId="77777777" w:rsidR="00F31E57" w:rsidRDefault="00F31E57" w:rsidP="00F31E57">
      <w:pPr>
        <w:rPr>
          <w:rFonts w:cstheme="minorBidi"/>
        </w:rPr>
      </w:pPr>
    </w:p>
    <w:p w14:paraId="748C450C" w14:textId="77777777" w:rsidR="00F31E57" w:rsidRDefault="00F31E57" w:rsidP="00F31E57">
      <w:r>
        <w:t>&lt;ESMA_QUESTION_PRIIPs_51&gt;</w:t>
      </w:r>
    </w:p>
    <w:p w14:paraId="4441D16C" w14:textId="77777777" w:rsidR="00F31E57" w:rsidRDefault="00F31E57" w:rsidP="00F31E57">
      <w:permStart w:id="140133563" w:edGrp="everyone"/>
      <w:r>
        <w:t>TYPE YOUR TEXT HERE</w:t>
      </w:r>
    </w:p>
    <w:permEnd w:id="140133563"/>
    <w:p w14:paraId="2C0C0403" w14:textId="77777777" w:rsidR="00F31E57" w:rsidRDefault="00F31E57" w:rsidP="00F31E57">
      <w:r>
        <w:t>&lt;ESMA_QUESTION_PRIIPs_51&gt;</w:t>
      </w:r>
    </w:p>
    <w:p w14:paraId="6402B08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14:paraId="563AB874" w14:textId="77777777" w:rsidR="00F31E57" w:rsidRDefault="00F31E57" w:rsidP="00F31E57">
      <w:pPr>
        <w:rPr>
          <w:rFonts w:eastAsiaTheme="minorHAnsi" w:cstheme="minorBidi"/>
        </w:rPr>
      </w:pPr>
    </w:p>
    <w:p w14:paraId="25C327B0" w14:textId="77777777" w:rsidR="00F31E57" w:rsidRDefault="00F31E57" w:rsidP="00F31E57">
      <w:r>
        <w:t>&lt;ESMA_QUESTION_PRIIPs_52&gt;</w:t>
      </w:r>
    </w:p>
    <w:p w14:paraId="426108B5" w14:textId="3B5F0280" w:rsidR="001A230E" w:rsidRPr="00DC18E1" w:rsidRDefault="00EC3FAF" w:rsidP="00F31E57">
      <w:permStart w:id="1401950160" w:edGrp="everyone"/>
      <w:r w:rsidRPr="00DC18E1">
        <w:t>Like for all en</w:t>
      </w:r>
      <w:r w:rsidR="001A230E" w:rsidRPr="00DC18E1">
        <w:t>try</w:t>
      </w:r>
      <w:r w:rsidR="00404008" w:rsidRPr="00DC18E1">
        <w:t xml:space="preserve"> and exit fees, their impact</w:t>
      </w:r>
      <w:r w:rsidR="00FA56D9" w:rsidRPr="00DC18E1">
        <w:t xml:space="preserve"> </w:t>
      </w:r>
      <w:r w:rsidR="00DC18E1">
        <w:t>should</w:t>
      </w:r>
      <w:r w:rsidR="001A230E" w:rsidRPr="00DC18E1">
        <w:t xml:space="preserve"> be disclosed in numbered examples over specified holding periods, like</w:t>
      </w:r>
      <w:r w:rsidR="00404008" w:rsidRPr="00DC18E1">
        <w:t xml:space="preserve"> it is being done in the US for</w:t>
      </w:r>
      <w:r w:rsidR="001A230E" w:rsidRPr="00DC18E1">
        <w:t xml:space="preserve"> mutual funds: it has two advantages:</w:t>
      </w:r>
    </w:p>
    <w:p w14:paraId="501AE15B" w14:textId="7C8E2B5C" w:rsidR="001A230E" w:rsidRPr="00DC18E1" w:rsidRDefault="001A230E" w:rsidP="001A230E">
      <w:pPr>
        <w:pStyle w:val="Odstavecseseznamem"/>
        <w:numPr>
          <w:ilvl w:val="0"/>
          <w:numId w:val="54"/>
        </w:numPr>
      </w:pPr>
      <w:r w:rsidRPr="00DC18E1">
        <w:t>first, it is more intelligible for the average investor</w:t>
      </w:r>
      <w:r w:rsidR="00404008" w:rsidRPr="00DC18E1">
        <w:t>;</w:t>
      </w:r>
    </w:p>
    <w:p w14:paraId="37779179" w14:textId="06C3C0D7" w:rsidR="00DC18E1" w:rsidRDefault="007C0B9C" w:rsidP="00F31E57">
      <w:r w:rsidRPr="00DC18E1">
        <w:lastRenderedPageBreak/>
        <w:t>second, it is an effec</w:t>
      </w:r>
      <w:r w:rsidR="00404008" w:rsidRPr="00DC18E1">
        <w:t xml:space="preserve">tive way to combine </w:t>
      </w:r>
      <w:r w:rsidR="001A230E" w:rsidRPr="00DC18E1">
        <w:t xml:space="preserve">the impact of </w:t>
      </w:r>
      <w:r w:rsidR="00DC18E1" w:rsidRPr="00DC18E1">
        <w:t>on-going</w:t>
      </w:r>
      <w:r w:rsidR="001A230E" w:rsidRPr="00DC18E1">
        <w:t xml:space="preserve"> charges and of ent</w:t>
      </w:r>
      <w:r w:rsidR="00404008" w:rsidRPr="00DC18E1">
        <w:t>ry/exit fees  on the performance of the product for the investor.</w:t>
      </w:r>
      <w:r w:rsidR="001A230E">
        <w:t>-</w:t>
      </w:r>
    </w:p>
    <w:permEnd w:id="1401950160"/>
    <w:p w14:paraId="1B5B5532" w14:textId="0114A20F" w:rsidR="00F31E57" w:rsidRDefault="00F31E57" w:rsidP="00F31E57">
      <w:r>
        <w:t>&lt;ESMA_QUESTION_PRIIPs_52&gt;</w:t>
      </w:r>
    </w:p>
    <w:p w14:paraId="19E01CD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14:paraId="45BEDDA9" w14:textId="77777777" w:rsidR="00F31E57" w:rsidRDefault="00F31E57" w:rsidP="00F31E57">
      <w:pPr>
        <w:rPr>
          <w:rFonts w:eastAsiaTheme="minorHAnsi" w:cstheme="minorBidi"/>
        </w:rPr>
      </w:pPr>
    </w:p>
    <w:p w14:paraId="464A84C5" w14:textId="77777777" w:rsidR="00F31E57" w:rsidRDefault="00F31E57" w:rsidP="00F31E57">
      <w:r>
        <w:t>&lt;ESMA_QUESTION_PRIIPs_53&gt;</w:t>
      </w:r>
    </w:p>
    <w:p w14:paraId="7F9B7A21" w14:textId="444ADB2E" w:rsidR="00FA56D9" w:rsidRPr="00DC18E1" w:rsidRDefault="00FA56D9" w:rsidP="00F31E57">
      <w:permStart w:id="1085866879" w:edGrp="everyone"/>
      <w:r w:rsidRPr="00DC18E1">
        <w:t xml:space="preserve">As mentioned in our reply to question 49 it is necessary that fund related costs are added to the contract related costs in the overall cost indicator. Typically in a unit-linked contract, the </w:t>
      </w:r>
      <w:r w:rsidR="00DC18E1" w:rsidRPr="00DC18E1">
        <w:t>fund</w:t>
      </w:r>
      <w:r w:rsidRPr="00DC18E1">
        <w:t xml:space="preserve"> related costs const</w:t>
      </w:r>
      <w:r w:rsidRPr="00DC18E1">
        <w:t>i</w:t>
      </w:r>
      <w:r w:rsidRPr="00DC18E1">
        <w:t xml:space="preserve">tute the immerged part of the cost iceberg: </w:t>
      </w:r>
      <w:r w:rsidR="00DC18E1" w:rsidRPr="00DC18E1">
        <w:t>i.e.</w:t>
      </w:r>
      <w:r w:rsidRPr="00DC18E1">
        <w:t>; bigger than the contract costs per se but up to now undi</w:t>
      </w:r>
      <w:r w:rsidRPr="00DC18E1">
        <w:t>s</w:t>
      </w:r>
      <w:r w:rsidRPr="00DC18E1">
        <w:t>closed in the overall cost indicator.</w:t>
      </w:r>
    </w:p>
    <w:p w14:paraId="1AE07B2B" w14:textId="77777777" w:rsidR="00FA56D9" w:rsidRPr="00DC18E1" w:rsidRDefault="00FA56D9" w:rsidP="00F31E57"/>
    <w:p w14:paraId="1C69FA14" w14:textId="06C75126" w:rsidR="00FA56D9" w:rsidRPr="00DC18E1" w:rsidRDefault="00FA56D9" w:rsidP="00F31E57">
      <w:pPr>
        <w:rPr>
          <w:color w:val="0000FF"/>
        </w:rPr>
      </w:pPr>
      <w:r w:rsidRPr="00DC18E1">
        <w:t>And yes, fund related costs do exist in with profit life insurance policies as their insurer provider often invests into funds for these policies. Better Finance can provide examples if needed. THE ESAs should take time to precisely define “with profit policies” as this is a very UK centric term that is not used or even understood even</w:t>
      </w:r>
      <w:r w:rsidR="00DC18E1" w:rsidRPr="00DC18E1">
        <w:t xml:space="preserve"> by insurance practitioners in </w:t>
      </w:r>
      <w:r w:rsidRPr="00DC18E1">
        <w:t>other Member States, with the risk of misunderstandings on the nature of life insurance contracts in the EU.</w:t>
      </w:r>
    </w:p>
    <w:permEnd w:id="1085866879"/>
    <w:p w14:paraId="73B5ECC5" w14:textId="0AA9459E" w:rsidR="00F31E57" w:rsidRDefault="00F31E57" w:rsidP="00F31E57">
      <w:r>
        <w:t>&lt;ESMA_QUESTION_PRIIPs_53&gt;</w:t>
      </w:r>
    </w:p>
    <w:p w14:paraId="2549321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14:paraId="04142F6C" w14:textId="77777777" w:rsidR="00F31E57" w:rsidRDefault="00F31E57" w:rsidP="00F31E57">
      <w:pPr>
        <w:rPr>
          <w:rFonts w:cstheme="minorBidi"/>
        </w:rPr>
      </w:pPr>
    </w:p>
    <w:p w14:paraId="156BEE25" w14:textId="77777777" w:rsidR="00F31E57" w:rsidRDefault="00F31E57" w:rsidP="00F31E57">
      <w:r>
        <w:t>&lt;ESMA_QUESTION_PRIIPs_54&gt;</w:t>
      </w:r>
    </w:p>
    <w:p w14:paraId="7E35C515" w14:textId="334A9FEB" w:rsidR="00FA56D9" w:rsidRPr="00DC18E1" w:rsidRDefault="00FA56D9" w:rsidP="00F31E57">
      <w:permStart w:id="724119018" w:edGrp="everyone"/>
      <w:r w:rsidRPr="00DC18E1">
        <w:t>By applying the very same disclosure rules to unit-linked contracts as to funds of funds. For informatio</w:t>
      </w:r>
      <w:r w:rsidR="007C0B9C" w:rsidRPr="00DC18E1">
        <w:t>n FAIDER, a French member organi</w:t>
      </w:r>
      <w:r w:rsidRPr="00DC18E1">
        <w:t>sation of Better Finance obtained this disclosure rule in France in 2005, but the government abrogated it after one year. But it had been in force for one year and policy holders could access the real total cost of their unit-linked contracts at that time.</w:t>
      </w:r>
    </w:p>
    <w:p w14:paraId="24DB148A" w14:textId="08DC7B89" w:rsidR="00CF6A02" w:rsidRPr="00DC18E1" w:rsidRDefault="00CF6A02" w:rsidP="00F31E57">
      <w:r w:rsidRPr="00DC18E1">
        <w:t>If a unit-linked contract offers too many “units “(typically funds)</w:t>
      </w:r>
      <w:r w:rsidR="007C0B9C" w:rsidRPr="00DC18E1">
        <w:t>, then it should disclose</w:t>
      </w:r>
      <w:r w:rsidRPr="00DC18E1">
        <w:t xml:space="preserve"> the minimum and the maximum charge, with a link to the specific total cost according to the unit(s) chosen.</w:t>
      </w:r>
    </w:p>
    <w:permEnd w:id="724119018"/>
    <w:p w14:paraId="3B020FD1" w14:textId="6FD6A6F2" w:rsidR="00F31E57" w:rsidRDefault="00F31E57" w:rsidP="00F31E57">
      <w:r>
        <w:t>&lt;ESMA_QUESTION_PRIIPs_54&gt;</w:t>
      </w:r>
    </w:p>
    <w:p w14:paraId="592593A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14:paraId="119F2A05" w14:textId="77777777" w:rsidR="00F31E57" w:rsidRDefault="00F31E57" w:rsidP="00F31E57">
      <w:pPr>
        <w:rPr>
          <w:rFonts w:eastAsiaTheme="minorHAnsi" w:cstheme="minorBidi"/>
        </w:rPr>
      </w:pPr>
    </w:p>
    <w:p w14:paraId="221BB0F3" w14:textId="77777777" w:rsidR="00F31E57" w:rsidRDefault="00F31E57" w:rsidP="00F31E57">
      <w:r>
        <w:t>&lt;ESMA_QUESTION_PRIIPs_55&gt;</w:t>
      </w:r>
    </w:p>
    <w:p w14:paraId="1B60176C" w14:textId="77777777" w:rsidR="00F31E57" w:rsidRDefault="00F31E57" w:rsidP="00F31E57">
      <w:permStart w:id="154435088" w:edGrp="everyone"/>
      <w:r>
        <w:t>TYPE YOUR TEXT HERE</w:t>
      </w:r>
    </w:p>
    <w:permEnd w:id="154435088"/>
    <w:p w14:paraId="506F461A" w14:textId="77777777" w:rsidR="00F31E57" w:rsidRDefault="00F31E57" w:rsidP="00F31E57">
      <w:r>
        <w:t>&lt;ESMA_QUESTION_PRIIPs_55&gt;</w:t>
      </w:r>
    </w:p>
    <w:p w14:paraId="57E1324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14:paraId="7553B286" w14:textId="77777777" w:rsidR="00F31E57" w:rsidRDefault="00F31E57" w:rsidP="00F31E57">
      <w:pPr>
        <w:rPr>
          <w:rFonts w:cstheme="minorBidi"/>
        </w:rPr>
      </w:pPr>
    </w:p>
    <w:p w14:paraId="26F4B6DE" w14:textId="77777777" w:rsidR="00F31E57" w:rsidRDefault="00F31E57" w:rsidP="00F31E57">
      <w:r>
        <w:t>&lt;ESMA_QUESTION_PRIIPs_56&gt;</w:t>
      </w:r>
    </w:p>
    <w:p w14:paraId="1518239D" w14:textId="70804157" w:rsidR="00F31E57" w:rsidRDefault="00CF6A02" w:rsidP="00F31E57">
      <w:permStart w:id="1267677272" w:edGrp="everyone"/>
      <w:r w:rsidRPr="00DC18E1">
        <w:t>We fully agree that the part of the profit that is not di</w:t>
      </w:r>
      <w:r w:rsidR="007C0B9C" w:rsidRPr="00DC18E1">
        <w:t>stributed to policy holders is</w:t>
      </w:r>
      <w:r w:rsidRPr="00DC18E1">
        <w:t xml:space="preserve"> a cost for them. As me</w:t>
      </w:r>
      <w:r w:rsidRPr="00DC18E1">
        <w:t>n</w:t>
      </w:r>
      <w:r w:rsidR="00DC18E1" w:rsidRPr="00DC18E1">
        <w:t>tioned above</w:t>
      </w:r>
      <w:r w:rsidRPr="00DC18E1">
        <w:t>, typically French insurers keep 15% of the investment returns for them. We agree an est</w:t>
      </w:r>
      <w:r w:rsidRPr="00DC18E1">
        <w:t>i</w:t>
      </w:r>
      <w:r w:rsidR="00DC18E1" w:rsidRPr="00DC18E1">
        <w:t>mate based o</w:t>
      </w:r>
      <w:r w:rsidRPr="00DC18E1">
        <w:t>n</w:t>
      </w:r>
      <w:r w:rsidR="00DC18E1" w:rsidRPr="00DC18E1">
        <w:t xml:space="preserve"> </w:t>
      </w:r>
      <w:r w:rsidRPr="00DC18E1">
        <w:t>the previous historical data is appropriate for the ex ante cost, but insurance companies are of course fully knowledgeable about this cost and sho</w:t>
      </w:r>
      <w:r w:rsidR="007C0B9C" w:rsidRPr="00DC18E1">
        <w:t>uld disclose the real amount in the ex post cos</w:t>
      </w:r>
      <w:r w:rsidRPr="00DC18E1">
        <w:t>t indicator.</w:t>
      </w:r>
    </w:p>
    <w:permEnd w:id="1267677272"/>
    <w:p w14:paraId="5A1B0404" w14:textId="77777777" w:rsidR="00F31E57" w:rsidRDefault="00F31E57" w:rsidP="00F31E57">
      <w:r>
        <w:t>&lt;ESMA_QUESTION_PRIIPs_56&gt;</w:t>
      </w:r>
    </w:p>
    <w:p w14:paraId="5976005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Is this type of costs really specific to with-profit life-insurance products? Do you agree that these costs should be accounted for as on-going costs?</w:t>
      </w:r>
    </w:p>
    <w:p w14:paraId="1EF70EBA" w14:textId="77777777" w:rsidR="00F31E57" w:rsidRDefault="00F31E57" w:rsidP="00F31E57">
      <w:pPr>
        <w:rPr>
          <w:rFonts w:cstheme="minorBidi"/>
        </w:rPr>
      </w:pPr>
    </w:p>
    <w:p w14:paraId="06FCAD3F" w14:textId="77777777" w:rsidR="00F31E57" w:rsidRDefault="00F31E57" w:rsidP="00F31E57">
      <w:r>
        <w:t>&lt;ESMA_QUESTION_PRIIPs_57&gt;</w:t>
      </w:r>
    </w:p>
    <w:p w14:paraId="268EFBCA" w14:textId="77777777" w:rsidR="00F31E57" w:rsidRDefault="00F31E57" w:rsidP="00F31E57">
      <w:permStart w:id="2074705320" w:edGrp="everyone"/>
      <w:r>
        <w:t>TYPE YOUR TEXT HERE</w:t>
      </w:r>
    </w:p>
    <w:permEnd w:id="2074705320"/>
    <w:p w14:paraId="565E4D2C" w14:textId="77777777" w:rsidR="00F31E57" w:rsidRDefault="00F31E57" w:rsidP="00F31E57">
      <w:r>
        <w:t>&lt;ESMA_QUESTION_PRIIPs_57&gt;</w:t>
      </w:r>
    </w:p>
    <w:p w14:paraId="7AC3743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14:paraId="374D4229" w14:textId="77777777" w:rsidR="00F31E57" w:rsidRDefault="00F31E57" w:rsidP="00F31E57">
      <w:pPr>
        <w:rPr>
          <w:rFonts w:cstheme="minorBidi"/>
        </w:rPr>
      </w:pPr>
    </w:p>
    <w:p w14:paraId="29EFE7F4" w14:textId="77777777" w:rsidR="00F31E57" w:rsidRDefault="00F31E57" w:rsidP="00F31E57">
      <w:r>
        <w:t>&lt;ESMA_QUESTION_PRIIPs_58&gt;</w:t>
      </w:r>
    </w:p>
    <w:p w14:paraId="73A232EF" w14:textId="77777777" w:rsidR="00F31E57" w:rsidRDefault="00F31E57" w:rsidP="00F31E57">
      <w:permStart w:id="1424575705" w:edGrp="everyone"/>
      <w:r>
        <w:t>TYPE YOUR TEXT HERE</w:t>
      </w:r>
    </w:p>
    <w:permEnd w:id="1424575705"/>
    <w:p w14:paraId="3088FCFA" w14:textId="77777777" w:rsidR="00F31E57" w:rsidRDefault="00F31E57" w:rsidP="00F31E57">
      <w:r>
        <w:t>&lt;ESMA_QUESTION_PRIIPs_58&gt;</w:t>
      </w:r>
    </w:p>
    <w:p w14:paraId="125DC9E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14:paraId="33187166" w14:textId="77777777" w:rsidR="00F31E57" w:rsidRDefault="00F31E57" w:rsidP="00F31E57">
      <w:pPr>
        <w:rPr>
          <w:rFonts w:cstheme="minorBidi"/>
        </w:rPr>
      </w:pPr>
    </w:p>
    <w:p w14:paraId="4BC329E6" w14:textId="77777777" w:rsidR="00F31E57" w:rsidRDefault="00F31E57" w:rsidP="00F31E57">
      <w:r>
        <w:t>&lt;ESMA_QUESTION_PRIIPs_59&gt;</w:t>
      </w:r>
    </w:p>
    <w:p w14:paraId="192B4036" w14:textId="77777777" w:rsidR="00F31E57" w:rsidRDefault="00F31E57" w:rsidP="00F31E57">
      <w:permStart w:id="1465336968" w:edGrp="everyone"/>
      <w:r>
        <w:t>TYPE YOUR TEXT HERE</w:t>
      </w:r>
    </w:p>
    <w:permEnd w:id="1465336968"/>
    <w:p w14:paraId="2B4B216C" w14:textId="77777777" w:rsidR="00F31E57" w:rsidRDefault="00F31E57" w:rsidP="00F31E57">
      <w:r>
        <w:t>&lt;ESMA_QUESTION_PRIIPs_59&gt;</w:t>
      </w:r>
    </w:p>
    <w:p w14:paraId="7C4E02D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14:paraId="57D03E22" w14:textId="77777777" w:rsidR="00F31E57" w:rsidRDefault="00F31E57" w:rsidP="00F31E57">
      <w:pPr>
        <w:rPr>
          <w:rFonts w:cstheme="minorBidi"/>
          <w:lang w:eastAsia="en-US"/>
        </w:rPr>
      </w:pPr>
    </w:p>
    <w:p w14:paraId="6AEC8F91" w14:textId="77777777" w:rsidR="00F31E57" w:rsidRDefault="00F31E57" w:rsidP="00F31E57">
      <w:r>
        <w:t>&lt;ESMA_QUESTION_PRIIPs_60&gt;</w:t>
      </w:r>
    </w:p>
    <w:p w14:paraId="104C9920" w14:textId="77777777" w:rsidR="00F31E57" w:rsidRDefault="00F31E57" w:rsidP="00F31E57">
      <w:permStart w:id="1796827088" w:edGrp="everyone"/>
      <w:r>
        <w:t>TYPE YOUR TEXT HERE</w:t>
      </w:r>
    </w:p>
    <w:permEnd w:id="1796827088"/>
    <w:p w14:paraId="659B2662" w14:textId="77777777" w:rsidR="00F31E57" w:rsidRDefault="00F31E57" w:rsidP="00F31E57">
      <w:r>
        <w:t>&lt;ESMA_QUESTION_PRIIPs_60&gt;</w:t>
      </w:r>
    </w:p>
    <w:p w14:paraId="0C1C5B9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14:paraId="36F1749C" w14:textId="77777777" w:rsidR="00F31E57" w:rsidRDefault="00F31E57" w:rsidP="00F31E57">
      <w:pPr>
        <w:rPr>
          <w:rFonts w:cstheme="minorBidi"/>
        </w:rPr>
      </w:pPr>
    </w:p>
    <w:p w14:paraId="68136195" w14:textId="77777777" w:rsidR="00F31E57" w:rsidRDefault="00F31E57" w:rsidP="00F31E57">
      <w:r>
        <w:t>&lt;ESMA_QUESTION_PRIIPs_61&gt;</w:t>
      </w:r>
    </w:p>
    <w:p w14:paraId="4A9373F6" w14:textId="77777777" w:rsidR="00F31E57" w:rsidRDefault="00F31E57" w:rsidP="00F31E57">
      <w:permStart w:id="1948743981" w:edGrp="everyone"/>
      <w:r>
        <w:t>TYPE YOUR TEXT HERE</w:t>
      </w:r>
    </w:p>
    <w:permEnd w:id="1948743981"/>
    <w:p w14:paraId="15D46E40" w14:textId="77777777" w:rsidR="00F31E57" w:rsidRDefault="00F31E57" w:rsidP="00F31E57">
      <w:r>
        <w:t>&lt;ESMA_QUESTION_PRIIPs_61&gt;</w:t>
      </w:r>
    </w:p>
    <w:p w14:paraId="1196447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14:paraId="4CCDAAC7" w14:textId="77777777" w:rsidR="00F31E57" w:rsidRDefault="00F31E57" w:rsidP="00F31E57">
      <w:pPr>
        <w:rPr>
          <w:rFonts w:cstheme="minorBidi"/>
        </w:rPr>
      </w:pPr>
    </w:p>
    <w:p w14:paraId="091D5F73" w14:textId="77777777" w:rsidR="00F31E57" w:rsidRDefault="00F31E57" w:rsidP="00F31E57">
      <w:r>
        <w:t>&lt;ESMA_QUESTION_PRIIPs_62&gt;</w:t>
      </w:r>
    </w:p>
    <w:p w14:paraId="46E3795F" w14:textId="77777777" w:rsidR="00F31E57" w:rsidRDefault="00F31E57" w:rsidP="00F31E57">
      <w:permStart w:id="985488908" w:edGrp="everyone"/>
      <w:r>
        <w:t>TYPE YOUR TEXT HERE</w:t>
      </w:r>
    </w:p>
    <w:permEnd w:id="985488908"/>
    <w:p w14:paraId="1FB40D00" w14:textId="77777777" w:rsidR="00F31E57" w:rsidRDefault="00F31E57" w:rsidP="00F31E57">
      <w:r>
        <w:t>&lt;ESMA_QUESTION_PRIIPs_62&gt;</w:t>
      </w:r>
    </w:p>
    <w:p w14:paraId="59638A8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14:paraId="5AC60222" w14:textId="77777777" w:rsidR="00F31E57" w:rsidRDefault="00F31E57" w:rsidP="00F31E57">
      <w:pPr>
        <w:rPr>
          <w:rFonts w:cstheme="minorBidi"/>
        </w:rPr>
      </w:pPr>
    </w:p>
    <w:p w14:paraId="794CA8D1" w14:textId="77777777" w:rsidR="00F31E57" w:rsidRDefault="00F31E57" w:rsidP="00F31E57">
      <w:r>
        <w:lastRenderedPageBreak/>
        <w:t>&lt;ESMA_QUESTION_PRIIPs_63&gt;</w:t>
      </w:r>
    </w:p>
    <w:p w14:paraId="0CF54B4C" w14:textId="77777777" w:rsidR="00F31E57" w:rsidRDefault="00F31E57" w:rsidP="00F31E57">
      <w:permStart w:id="375070571" w:edGrp="everyone"/>
      <w:r>
        <w:t>TYPE YOUR TEXT HERE</w:t>
      </w:r>
    </w:p>
    <w:permEnd w:id="375070571"/>
    <w:p w14:paraId="39564F58" w14:textId="77777777" w:rsidR="00F31E57" w:rsidRDefault="00F31E57" w:rsidP="00F31E57">
      <w:r>
        <w:t>&lt;ESMA_QUESTION_PRIIPs_63&gt;</w:t>
      </w:r>
    </w:p>
    <w:p w14:paraId="3F2EA74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14:paraId="7BD527FC" w14:textId="77777777" w:rsidR="00F31E57" w:rsidRDefault="00F31E57" w:rsidP="00F31E57">
      <w:pPr>
        <w:rPr>
          <w:rFonts w:cstheme="minorBidi"/>
        </w:rPr>
      </w:pPr>
    </w:p>
    <w:p w14:paraId="3B6BE7C8" w14:textId="77777777" w:rsidR="00F31E57" w:rsidRDefault="00F31E57" w:rsidP="00F31E57">
      <w:r>
        <w:t>&lt;ESMA_QUESTION_PRIIPs_64&gt;</w:t>
      </w:r>
    </w:p>
    <w:p w14:paraId="35A7B99A" w14:textId="77777777" w:rsidR="00F31E57" w:rsidRDefault="00F31E57" w:rsidP="00F31E57">
      <w:permStart w:id="1704941299" w:edGrp="everyone"/>
      <w:r>
        <w:t>TYPE YOUR TEXT HERE</w:t>
      </w:r>
    </w:p>
    <w:permEnd w:id="1704941299"/>
    <w:p w14:paraId="7E880988" w14:textId="77777777" w:rsidR="00F31E57" w:rsidRDefault="00F31E57" w:rsidP="00F31E57">
      <w:r>
        <w:t>&lt;ESMA_QUESTION_PRIIPs_64&gt;</w:t>
      </w:r>
    </w:p>
    <w:p w14:paraId="43E29646"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14:paraId="66ABDC9C" w14:textId="77777777" w:rsidR="00F31E57" w:rsidRDefault="00F31E57" w:rsidP="00F31E57">
      <w:pPr>
        <w:rPr>
          <w:rFonts w:cstheme="minorBidi"/>
          <w:lang w:eastAsia="en-US"/>
        </w:rPr>
      </w:pPr>
    </w:p>
    <w:p w14:paraId="6A3B3D10" w14:textId="77777777" w:rsidR="00F31E57" w:rsidRDefault="00F31E57" w:rsidP="00F31E57">
      <w:r>
        <w:t>&lt;ESMA_QUESTION_PRIIPs_65&gt;</w:t>
      </w:r>
    </w:p>
    <w:p w14:paraId="7DA27A55" w14:textId="77777777" w:rsidR="00F31E57" w:rsidRDefault="00F31E57" w:rsidP="00F31E57">
      <w:permStart w:id="1429757536" w:edGrp="everyone"/>
      <w:r>
        <w:t>TYPE YOUR TEXT HERE</w:t>
      </w:r>
    </w:p>
    <w:permEnd w:id="1429757536"/>
    <w:p w14:paraId="5D3C01D1" w14:textId="77777777" w:rsidR="00F31E57" w:rsidRDefault="00F31E57" w:rsidP="00F31E57">
      <w:r>
        <w:t>&lt;ESMA_QUESTION_PRIIPs_65&gt;</w:t>
      </w:r>
    </w:p>
    <w:p w14:paraId="621EA15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14:paraId="4C206E75" w14:textId="77777777" w:rsidR="00F31E57" w:rsidRDefault="00F31E57" w:rsidP="00F31E57">
      <w:pPr>
        <w:rPr>
          <w:rFonts w:cstheme="minorBidi"/>
          <w:lang w:eastAsia="en-US"/>
        </w:rPr>
      </w:pPr>
    </w:p>
    <w:p w14:paraId="133A4EE8" w14:textId="77777777" w:rsidR="00F31E57" w:rsidRDefault="00F31E57" w:rsidP="00F31E57">
      <w:r>
        <w:t>&lt;ESMA_QUESTION_PRIIPs_66&gt;</w:t>
      </w:r>
    </w:p>
    <w:p w14:paraId="3EF1C9F0" w14:textId="77777777" w:rsidR="00F31E57" w:rsidRDefault="00F31E57" w:rsidP="00F31E57">
      <w:permStart w:id="877009185" w:edGrp="everyone"/>
      <w:r>
        <w:t>TYPE YOUR TEXT HERE</w:t>
      </w:r>
    </w:p>
    <w:permEnd w:id="877009185"/>
    <w:p w14:paraId="5CDCC3BE" w14:textId="77777777" w:rsidR="00F31E57" w:rsidRDefault="00F31E57" w:rsidP="00F31E57">
      <w:r>
        <w:t>&lt;ESMA_QUESTION_PRIIPs_66&gt;</w:t>
      </w:r>
    </w:p>
    <w:p w14:paraId="1C4E3BC6"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14:paraId="0057D60D" w14:textId="77777777" w:rsidR="00F31E57" w:rsidRDefault="00F31E57" w:rsidP="00F31E57">
      <w:pPr>
        <w:rPr>
          <w:rFonts w:cstheme="minorBidi"/>
          <w:lang w:eastAsia="en-US"/>
        </w:rPr>
      </w:pPr>
    </w:p>
    <w:p w14:paraId="44BB7043" w14:textId="77777777" w:rsidR="00F31E57" w:rsidRDefault="00F31E57" w:rsidP="00F31E57">
      <w:r>
        <w:t>&lt;ESMA_QUESTION_PRIIPs_67&gt;</w:t>
      </w:r>
    </w:p>
    <w:p w14:paraId="65CE9561" w14:textId="77777777" w:rsidR="00F31E57" w:rsidRDefault="00F31E57" w:rsidP="00F31E57">
      <w:permStart w:id="1103174555" w:edGrp="everyone"/>
      <w:r>
        <w:t>TYPE YOUR TEXT HERE</w:t>
      </w:r>
    </w:p>
    <w:permEnd w:id="1103174555"/>
    <w:p w14:paraId="414586B3" w14:textId="77777777" w:rsidR="00F31E57" w:rsidRDefault="00F31E57" w:rsidP="00F31E57">
      <w:r>
        <w:t>&lt;ESMA_QUESTION_PRIIPs_67&gt;</w:t>
      </w:r>
    </w:p>
    <w:p w14:paraId="234D606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14:paraId="6A787EBF" w14:textId="77777777" w:rsidR="00F31E57" w:rsidRDefault="00F31E57" w:rsidP="00F31E57">
      <w:pPr>
        <w:rPr>
          <w:rFonts w:cstheme="minorBidi"/>
        </w:rPr>
      </w:pPr>
    </w:p>
    <w:p w14:paraId="2BA36717" w14:textId="77777777" w:rsidR="00F31E57" w:rsidRDefault="00F31E57" w:rsidP="00F31E57">
      <w:r>
        <w:t>&lt;ESMA_QUESTION_PRIIPs_68&gt;</w:t>
      </w:r>
    </w:p>
    <w:p w14:paraId="36B6A0F1" w14:textId="77777777" w:rsidR="00F31E57" w:rsidRDefault="00F31E57" w:rsidP="00F31E57">
      <w:permStart w:id="207699565" w:edGrp="everyone"/>
      <w:r>
        <w:t>TYPE YOUR TEXT HERE</w:t>
      </w:r>
    </w:p>
    <w:permEnd w:id="207699565"/>
    <w:p w14:paraId="17491140" w14:textId="77777777" w:rsidR="00F31E57" w:rsidRDefault="00F31E57" w:rsidP="00F31E57">
      <w:r>
        <w:t>&lt;ESMA_QUESTION_PRIIPs_68&gt;</w:t>
      </w:r>
    </w:p>
    <w:p w14:paraId="6927739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14:paraId="298AD35B" w14:textId="77777777" w:rsidR="00F31E57" w:rsidRDefault="00F31E57" w:rsidP="00F31E57">
      <w:pPr>
        <w:rPr>
          <w:rFonts w:cstheme="minorBidi"/>
          <w:lang w:eastAsia="en-US"/>
        </w:rPr>
      </w:pPr>
    </w:p>
    <w:p w14:paraId="4DDB1FED" w14:textId="77777777" w:rsidR="00F31E57" w:rsidRDefault="00F31E57" w:rsidP="00F31E57">
      <w:r>
        <w:t>&lt;ESMA_QUESTION_PRIIPs_69&gt;</w:t>
      </w:r>
    </w:p>
    <w:p w14:paraId="6A64A714" w14:textId="77777777" w:rsidR="00F31E57" w:rsidRDefault="00F31E57" w:rsidP="00F31E57">
      <w:permStart w:id="1747785978" w:edGrp="everyone"/>
      <w:r>
        <w:t>TYPE YOUR TEXT HERE</w:t>
      </w:r>
    </w:p>
    <w:permEnd w:id="1747785978"/>
    <w:p w14:paraId="326A9E41" w14:textId="77777777" w:rsidR="00F31E57" w:rsidRDefault="00F31E57" w:rsidP="00F31E57">
      <w:r>
        <w:t>&lt;ESMA_QUESTION_PRIIPs_69&gt;</w:t>
      </w:r>
    </w:p>
    <w:p w14:paraId="3F46045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14:paraId="7C2190E9" w14:textId="77777777" w:rsidR="00F31E57" w:rsidRDefault="00F31E57" w:rsidP="00F31E57">
      <w:pPr>
        <w:rPr>
          <w:rFonts w:cstheme="minorBidi"/>
        </w:rPr>
      </w:pPr>
    </w:p>
    <w:p w14:paraId="2EC13EE5" w14:textId="77777777" w:rsidR="00F31E57" w:rsidRDefault="00F31E57" w:rsidP="00F31E57">
      <w:r>
        <w:t>&lt;ESMA_QUESTION_PRIIPs_70&gt;</w:t>
      </w:r>
    </w:p>
    <w:p w14:paraId="4696A198" w14:textId="77777777" w:rsidR="00F31E57" w:rsidRDefault="00F31E57" w:rsidP="00F31E57">
      <w:permStart w:id="1296850471" w:edGrp="everyone"/>
      <w:r>
        <w:t>TYPE YOUR TEXT HERE</w:t>
      </w:r>
    </w:p>
    <w:permEnd w:id="1296850471"/>
    <w:p w14:paraId="1BC22C39" w14:textId="77777777" w:rsidR="00F31E57" w:rsidRDefault="00F31E57" w:rsidP="00F31E57">
      <w:r>
        <w:t>&lt;ESMA_QUESTION_PRIIPs_70&gt;</w:t>
      </w:r>
    </w:p>
    <w:p w14:paraId="03273EA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14:paraId="139C66FD" w14:textId="77777777" w:rsidR="00F31E57" w:rsidRDefault="00F31E57" w:rsidP="00F31E57">
      <w:pPr>
        <w:rPr>
          <w:rFonts w:cstheme="minorBidi"/>
          <w:lang w:eastAsia="en-US"/>
        </w:rPr>
      </w:pPr>
    </w:p>
    <w:p w14:paraId="7227C037" w14:textId="77777777" w:rsidR="00F31E57" w:rsidRDefault="00F31E57" w:rsidP="00F31E57">
      <w:r>
        <w:t>&lt;ESMA_QUESTION_PRIIPs_71&gt;</w:t>
      </w:r>
    </w:p>
    <w:p w14:paraId="7A05F9AF" w14:textId="77777777" w:rsidR="00F31E57" w:rsidRDefault="00F31E57" w:rsidP="00F31E57">
      <w:permStart w:id="1573988149" w:edGrp="everyone"/>
      <w:r>
        <w:t>TYPE YOUR TEXT HERE</w:t>
      </w:r>
    </w:p>
    <w:permEnd w:id="1573988149"/>
    <w:p w14:paraId="5248AA94" w14:textId="77777777" w:rsidR="00F31E57" w:rsidRDefault="00F31E57" w:rsidP="00F31E57">
      <w:r>
        <w:t>&lt;ESMA_QUESTION_PRIIPs_71&gt;</w:t>
      </w:r>
    </w:p>
    <w:p w14:paraId="48C4E14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14:paraId="4403681D" w14:textId="77777777" w:rsidR="00F31E57" w:rsidRDefault="00F31E57" w:rsidP="00F31E57">
      <w:pPr>
        <w:rPr>
          <w:rFonts w:cstheme="minorBidi"/>
          <w:lang w:eastAsia="en-US"/>
        </w:rPr>
      </w:pPr>
    </w:p>
    <w:p w14:paraId="51BDFC06" w14:textId="77777777" w:rsidR="00F31E57" w:rsidRDefault="00F31E57" w:rsidP="00F31E57">
      <w:r>
        <w:t>&lt;ESMA_QUESTION_PRIIPs_72&gt;</w:t>
      </w:r>
    </w:p>
    <w:p w14:paraId="007A43B5" w14:textId="77777777" w:rsidR="00F31E57" w:rsidRDefault="00F31E57" w:rsidP="00F31E57">
      <w:permStart w:id="990143392" w:edGrp="everyone"/>
      <w:r>
        <w:t>TYPE YOUR TEXT HERE</w:t>
      </w:r>
    </w:p>
    <w:permEnd w:id="990143392"/>
    <w:p w14:paraId="6D841BD7" w14:textId="77777777" w:rsidR="00F31E57" w:rsidRDefault="00F31E57" w:rsidP="00F31E57">
      <w:r>
        <w:t>&lt;ESMA_QUESTION_PRIIPs_72&gt;</w:t>
      </w:r>
    </w:p>
    <w:p w14:paraId="002D03F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14:paraId="59FCE4BA" w14:textId="77777777" w:rsidR="00F31E57" w:rsidRDefault="00F31E57" w:rsidP="00F31E57">
      <w:pPr>
        <w:rPr>
          <w:rFonts w:eastAsiaTheme="minorHAnsi" w:cstheme="minorBidi"/>
          <w:lang w:eastAsia="en-US"/>
        </w:rPr>
      </w:pPr>
    </w:p>
    <w:p w14:paraId="55DFABE8" w14:textId="77777777" w:rsidR="00F31E57" w:rsidRDefault="00F31E57" w:rsidP="00F31E57">
      <w:r>
        <w:t>&lt;ESMA_QUESTION_PRIIPs_73&gt;</w:t>
      </w:r>
    </w:p>
    <w:p w14:paraId="00D2C092" w14:textId="77777777" w:rsidR="00F31E57" w:rsidRDefault="00F31E57" w:rsidP="00F31E57">
      <w:permStart w:id="642210092" w:edGrp="everyone"/>
      <w:r>
        <w:t>TYPE YOUR TEXT HERE</w:t>
      </w:r>
    </w:p>
    <w:permEnd w:id="642210092"/>
    <w:p w14:paraId="303259FC" w14:textId="77777777" w:rsidR="00F31E57" w:rsidRDefault="00F31E57" w:rsidP="00F31E57">
      <w:r>
        <w:t>&lt;ESMA_QUESTION_PRIIPs_73&gt;</w:t>
      </w:r>
    </w:p>
    <w:p w14:paraId="16B2F43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14:paraId="6A4E9A08" w14:textId="77777777" w:rsidR="00F31E57" w:rsidRDefault="00F31E57" w:rsidP="00F31E57">
      <w:pPr>
        <w:rPr>
          <w:rFonts w:eastAsiaTheme="minorHAnsi" w:cstheme="minorBidi"/>
          <w:lang w:eastAsia="en-US"/>
        </w:rPr>
      </w:pPr>
    </w:p>
    <w:p w14:paraId="64781D20" w14:textId="77777777" w:rsidR="00F31E57" w:rsidRDefault="00F31E57" w:rsidP="00F31E57">
      <w:r>
        <w:t>&lt;ESMA_QUESTION_PRIIPs_74&gt;</w:t>
      </w:r>
    </w:p>
    <w:p w14:paraId="6F0252A7" w14:textId="77777777" w:rsidR="00F31E57" w:rsidRDefault="00F31E57" w:rsidP="00F31E57">
      <w:permStart w:id="331423038" w:edGrp="everyone"/>
      <w:r>
        <w:t>TYPE YOUR TEXT HERE</w:t>
      </w:r>
    </w:p>
    <w:permEnd w:id="331423038"/>
    <w:p w14:paraId="4729BE70" w14:textId="77777777" w:rsidR="00F31E57" w:rsidRDefault="00F31E57" w:rsidP="00F31E57">
      <w:r>
        <w:t>&lt;ESMA_QUESTION_PRIIPs_74&gt;</w:t>
      </w:r>
    </w:p>
    <w:p w14:paraId="277BAC9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14:paraId="4E984DBB" w14:textId="77777777" w:rsidR="00F31E57" w:rsidRDefault="00F31E57" w:rsidP="00F31E57">
      <w:pPr>
        <w:rPr>
          <w:rFonts w:cstheme="minorBidi"/>
        </w:rPr>
      </w:pPr>
    </w:p>
    <w:p w14:paraId="43EADFF7" w14:textId="77777777" w:rsidR="00F31E57" w:rsidRDefault="00F31E57" w:rsidP="00F31E57">
      <w:r>
        <w:t>&lt;ESMA_QUESTION_PRIIPs_75&gt;</w:t>
      </w:r>
    </w:p>
    <w:p w14:paraId="249EE930" w14:textId="77777777" w:rsidR="00F31E57" w:rsidRDefault="00F31E57" w:rsidP="00F31E57">
      <w:permStart w:id="1484391596" w:edGrp="everyone"/>
      <w:r>
        <w:t>TYPE YOUR TEXT HERE</w:t>
      </w:r>
    </w:p>
    <w:permEnd w:id="1484391596"/>
    <w:p w14:paraId="7F64A3D6" w14:textId="77777777" w:rsidR="00F31E57" w:rsidRDefault="00F31E57" w:rsidP="00F31E57">
      <w:r>
        <w:t>&lt;ESMA_QUESTION_PRIIPs_75&gt;</w:t>
      </w:r>
    </w:p>
    <w:p w14:paraId="52EE3AE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14:paraId="1857B5C6" w14:textId="77777777" w:rsidR="00F31E57" w:rsidRDefault="00F31E57" w:rsidP="00F31E57">
      <w:pPr>
        <w:rPr>
          <w:rFonts w:cstheme="minorBidi"/>
          <w:lang w:eastAsia="en-US"/>
        </w:rPr>
      </w:pPr>
    </w:p>
    <w:p w14:paraId="77E52353" w14:textId="77777777" w:rsidR="00F31E57" w:rsidRDefault="00F31E57" w:rsidP="00F31E57">
      <w:r>
        <w:t>&lt;ESMA_QUESTION_PRIIPs_76&gt;</w:t>
      </w:r>
    </w:p>
    <w:p w14:paraId="2C892269" w14:textId="77777777" w:rsidR="00F31E57" w:rsidRDefault="00F31E57" w:rsidP="00F31E57">
      <w:permStart w:id="903942619" w:edGrp="everyone"/>
      <w:r>
        <w:t>TYPE YOUR TEXT HERE</w:t>
      </w:r>
    </w:p>
    <w:permEnd w:id="903942619"/>
    <w:p w14:paraId="23F9E858" w14:textId="77777777" w:rsidR="00F31E57" w:rsidRDefault="00F31E57" w:rsidP="00F31E57">
      <w:r>
        <w:t>&lt;ESMA_QUESTION_PRIIPs_76&gt;</w:t>
      </w:r>
    </w:p>
    <w:p w14:paraId="4553356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14:paraId="2434D4E3" w14:textId="77777777" w:rsidR="00F31E57" w:rsidRDefault="00F31E57" w:rsidP="00F31E57">
      <w:pPr>
        <w:rPr>
          <w:rFonts w:eastAsiaTheme="minorHAnsi" w:cstheme="minorBidi"/>
          <w:lang w:eastAsia="en-US"/>
        </w:rPr>
      </w:pPr>
    </w:p>
    <w:p w14:paraId="19D7D6D8" w14:textId="77777777" w:rsidR="00F31E57" w:rsidRDefault="00F31E57" w:rsidP="00F31E57">
      <w:r>
        <w:lastRenderedPageBreak/>
        <w:t>&lt;ESMA_QUESTION_PRIIPs_77&gt;</w:t>
      </w:r>
    </w:p>
    <w:p w14:paraId="0859CFCC" w14:textId="77777777" w:rsidR="00F31E57" w:rsidRDefault="00F31E57" w:rsidP="00F31E57">
      <w:permStart w:id="1476934508" w:edGrp="everyone"/>
      <w:r>
        <w:t>TYPE YOUR TEXT HERE</w:t>
      </w:r>
    </w:p>
    <w:permEnd w:id="1476934508"/>
    <w:p w14:paraId="788588D7" w14:textId="77777777" w:rsidR="00F31E57" w:rsidRDefault="00F31E57" w:rsidP="00F31E57">
      <w:r>
        <w:t>&lt;ESMA_QUESTION_PRIIPs_77&gt;</w:t>
      </w:r>
    </w:p>
    <w:p w14:paraId="35DFA81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14:paraId="6040BAFF" w14:textId="77777777" w:rsidR="00F31E57" w:rsidRDefault="00F31E57" w:rsidP="00F31E57">
      <w:pPr>
        <w:rPr>
          <w:rFonts w:cstheme="minorBidi"/>
          <w:lang w:eastAsia="en-US"/>
        </w:rPr>
      </w:pPr>
    </w:p>
    <w:p w14:paraId="2E52A267" w14:textId="77777777" w:rsidR="00F31E57" w:rsidRDefault="00F31E57" w:rsidP="00F31E57">
      <w:r>
        <w:t>&lt;ESMA_QUESTION_PRIIPs_78&gt;</w:t>
      </w:r>
    </w:p>
    <w:p w14:paraId="332D141F" w14:textId="77777777" w:rsidR="00F31E57" w:rsidRDefault="00F31E57" w:rsidP="00F31E57">
      <w:permStart w:id="1006069941" w:edGrp="everyone"/>
      <w:r>
        <w:t>TYPE YOUR TEXT HERE</w:t>
      </w:r>
    </w:p>
    <w:permEnd w:id="1006069941"/>
    <w:p w14:paraId="6369C6C5" w14:textId="77777777" w:rsidR="00F31E57" w:rsidRDefault="00F31E57" w:rsidP="00F31E57">
      <w:r>
        <w:t>&lt;ESMA_QUESTION_PRIIPs_78&gt;</w:t>
      </w:r>
    </w:p>
    <w:p w14:paraId="6BFB67C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14:paraId="26C932EF" w14:textId="77777777" w:rsidR="00F31E57" w:rsidRDefault="00F31E57" w:rsidP="00F31E57">
      <w:pPr>
        <w:rPr>
          <w:rFonts w:cstheme="minorBidi"/>
        </w:rPr>
      </w:pPr>
    </w:p>
    <w:p w14:paraId="0FB3B532" w14:textId="77777777" w:rsidR="00F31E57" w:rsidRDefault="00F31E57" w:rsidP="00F31E57">
      <w:r>
        <w:t>&lt;ESMA_QUESTION_PRIIPs_79&gt;</w:t>
      </w:r>
    </w:p>
    <w:p w14:paraId="7C3B05BE" w14:textId="77777777" w:rsidR="00F31E57" w:rsidRDefault="00F31E57" w:rsidP="00F31E57">
      <w:permStart w:id="813642412" w:edGrp="everyone"/>
      <w:r>
        <w:t>TYPE YOUR TEXT HERE</w:t>
      </w:r>
    </w:p>
    <w:permEnd w:id="813642412"/>
    <w:p w14:paraId="7F584E45" w14:textId="77777777" w:rsidR="00F31E57" w:rsidRDefault="00F31E57" w:rsidP="00F31E57">
      <w:r>
        <w:t>&lt;ESMA_QUESTION_PRIIPs_79&gt;</w:t>
      </w:r>
    </w:p>
    <w:p w14:paraId="79BF9DD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14:paraId="4716DC74" w14:textId="77777777" w:rsidR="00F31E57" w:rsidRDefault="00F31E57" w:rsidP="00F31E57">
      <w:pPr>
        <w:rPr>
          <w:rFonts w:cstheme="minorBidi"/>
        </w:rPr>
      </w:pPr>
    </w:p>
    <w:p w14:paraId="53143385" w14:textId="77777777" w:rsidR="00F31E57" w:rsidRDefault="00F31E57" w:rsidP="00F31E57">
      <w:r>
        <w:t>&lt;ESMA_QUESTION_PRIIPs_80&gt;</w:t>
      </w:r>
    </w:p>
    <w:p w14:paraId="59860E73" w14:textId="23ABDDEE" w:rsidR="00E35801" w:rsidRPr="00DC18E1" w:rsidRDefault="00E35801" w:rsidP="00F31E57">
      <w:permStart w:id="1859268843" w:edGrp="everyone"/>
      <w:r w:rsidRPr="00DC18E1">
        <w:t>5 years is a minimum.</w:t>
      </w:r>
    </w:p>
    <w:permEnd w:id="1859268843"/>
    <w:p w14:paraId="03CCF31D" w14:textId="06E53583" w:rsidR="00F31E57" w:rsidRDefault="00F31E57" w:rsidP="00F31E57">
      <w:r>
        <w:t>&lt;ESMA_QUESTION_PRIIPs_80&gt;</w:t>
      </w:r>
    </w:p>
    <w:p w14:paraId="68975AB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14:paraId="11807E72" w14:textId="77777777" w:rsidR="00F31E57" w:rsidRDefault="00F31E57" w:rsidP="00F31E57">
      <w:pPr>
        <w:rPr>
          <w:rFonts w:cstheme="minorBidi"/>
        </w:rPr>
      </w:pPr>
    </w:p>
    <w:p w14:paraId="097F8BF9" w14:textId="77777777" w:rsidR="00F31E57" w:rsidRDefault="00F31E57" w:rsidP="00F31E57">
      <w:r>
        <w:t>&lt;ESMA_QUESTION_PRIIPs_81&gt;</w:t>
      </w:r>
    </w:p>
    <w:p w14:paraId="3ADBF027" w14:textId="6EE55013" w:rsidR="00F31E57" w:rsidRDefault="00E35801" w:rsidP="00F31E57">
      <w:permStart w:id="592588132" w:edGrp="everyone"/>
      <w:r w:rsidRPr="00DC18E1">
        <w:t xml:space="preserve">Yes this principle should be further explained in plain English, in particular to average individual investors. </w:t>
      </w:r>
      <w:permEnd w:id="592588132"/>
      <w:r w:rsidR="00F31E57">
        <w:t>&lt;ESMA_QUESTION_PRIIPs_81&gt;</w:t>
      </w:r>
    </w:p>
    <w:p w14:paraId="2298EE4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14:paraId="5FFAA330" w14:textId="77777777" w:rsidR="00F31E57" w:rsidRDefault="00F31E57" w:rsidP="00F31E57">
      <w:pPr>
        <w:rPr>
          <w:rFonts w:cstheme="minorBidi"/>
        </w:rPr>
      </w:pPr>
    </w:p>
    <w:p w14:paraId="2D535084" w14:textId="77777777" w:rsidR="00F31E57" w:rsidRDefault="00F31E57" w:rsidP="00F31E57">
      <w:r>
        <w:t>&lt;ESMA_QUESTION_PRIIPs_82&gt;</w:t>
      </w:r>
    </w:p>
    <w:p w14:paraId="6E3DE4E8" w14:textId="6C4A3824" w:rsidR="00E35801" w:rsidRPr="00DC18E1" w:rsidRDefault="00E35801" w:rsidP="00F31E57">
      <w:permStart w:id="1579759631" w:edGrp="everyone"/>
      <w:r w:rsidRPr="00DC18E1">
        <w:t>The numbered example for the US mutual funds is $ 10,000, but € 1000 seems rather appropriate, both for unique investment and for recurring ones.</w:t>
      </w:r>
    </w:p>
    <w:permEnd w:id="1579759631"/>
    <w:p w14:paraId="125D98D9" w14:textId="578389CC" w:rsidR="00F31E57" w:rsidRDefault="00F31E57" w:rsidP="00F31E57">
      <w:r>
        <w:t>&lt;ESMA_QUESTION_PRIIPs_82&gt;</w:t>
      </w:r>
    </w:p>
    <w:p w14:paraId="2BBD859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14:paraId="20BAB3A5" w14:textId="77777777" w:rsidR="00F31E57" w:rsidRDefault="00F31E57" w:rsidP="00F31E57">
      <w:pPr>
        <w:rPr>
          <w:rFonts w:cstheme="minorBidi"/>
        </w:rPr>
      </w:pPr>
    </w:p>
    <w:p w14:paraId="358A86DA" w14:textId="77777777" w:rsidR="00F31E57" w:rsidRDefault="00F31E57" w:rsidP="00F31E57">
      <w:r>
        <w:t>&lt;ESMA_QUESTION_PRIIPs_83&gt;</w:t>
      </w:r>
    </w:p>
    <w:p w14:paraId="76589F88" w14:textId="1B58812A" w:rsidR="00E35801" w:rsidRPr="00844A55" w:rsidRDefault="00E35801" w:rsidP="00F31E57">
      <w:permStart w:id="1938101078" w:edGrp="everyone"/>
      <w:r w:rsidRPr="00844A55">
        <w:lastRenderedPageBreak/>
        <w:t>As mentioned before this is marginal in certain MS markets such as France for example. As much as possible, charges/costs related to biometric risks should be identified separately.</w:t>
      </w:r>
    </w:p>
    <w:permEnd w:id="1938101078"/>
    <w:p w14:paraId="01FBB4FE" w14:textId="40ED1852" w:rsidR="00F31E57" w:rsidRDefault="00F31E57" w:rsidP="00F31E57">
      <w:r>
        <w:t>&lt;ESMA_QUESTION_PRIIPs_83&gt;</w:t>
      </w:r>
    </w:p>
    <w:p w14:paraId="305B2B9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14:paraId="34A35BD4" w14:textId="77777777" w:rsidR="00F31E57" w:rsidRDefault="00F31E57" w:rsidP="00F31E57">
      <w:pPr>
        <w:rPr>
          <w:rFonts w:cstheme="minorBidi"/>
        </w:rPr>
      </w:pPr>
    </w:p>
    <w:p w14:paraId="7A06B20C" w14:textId="77777777" w:rsidR="00F31E57" w:rsidRDefault="00F31E57" w:rsidP="00F31E57">
      <w:r>
        <w:t>&lt;ESMA_QUESTION_PRIIPs_84&gt;</w:t>
      </w:r>
    </w:p>
    <w:p w14:paraId="5256EC49" w14:textId="492D82F6" w:rsidR="00837234" w:rsidRPr="00DC18E1" w:rsidRDefault="00DC18E1" w:rsidP="00F31E57">
      <w:permStart w:id="1348080826" w:edGrp="everyone"/>
      <w:r w:rsidRPr="00DC18E1">
        <w:t>W</w:t>
      </w:r>
      <w:r w:rsidR="00E35801" w:rsidRPr="00DC18E1">
        <w:t>e agree with these considerations, but w</w:t>
      </w:r>
      <w:r w:rsidR="007C0B9C" w:rsidRPr="00DC18E1">
        <w:t xml:space="preserve">ould add </w:t>
      </w:r>
      <w:r w:rsidRPr="00DC18E1">
        <w:t>another</w:t>
      </w:r>
      <w:r w:rsidR="007C0B9C" w:rsidRPr="00DC18E1">
        <w:t xml:space="preserve"> one: any TCR mus</w:t>
      </w:r>
      <w:r w:rsidR="00E35801" w:rsidRPr="00DC18E1">
        <w:t xml:space="preserve">t be intelligible by the average individual investor. Therefore, as we asked for the UCITS KID </w:t>
      </w:r>
      <w:r w:rsidRPr="00DC18E1">
        <w:t>before</w:t>
      </w:r>
      <w:r w:rsidR="00E35801" w:rsidRPr="00DC18E1">
        <w:t>, and as it has been done successfully in the USA for decades, the TCR disclo</w:t>
      </w:r>
      <w:r w:rsidR="007C0B9C" w:rsidRPr="00DC18E1">
        <w:t xml:space="preserve">sure should be complemented by </w:t>
      </w:r>
      <w:r w:rsidR="00E35801" w:rsidRPr="00DC18E1">
        <w:t xml:space="preserve">an example in numbers (not percentages) like for a </w:t>
      </w:r>
      <w:r w:rsidR="00837234" w:rsidRPr="00DC18E1">
        <w:t xml:space="preserve">€ </w:t>
      </w:r>
      <w:r w:rsidR="00E35801" w:rsidRPr="00DC18E1">
        <w:t>100</w:t>
      </w:r>
      <w:r w:rsidR="00837234" w:rsidRPr="00DC18E1">
        <w:t>0 investment. See our reply to question 52. This is the best and most intelligible way to integrate entry and exit costs. Otherwise, the annualisation of such costs can only be done using the recommended holding period if any.</w:t>
      </w:r>
    </w:p>
    <w:permEnd w:id="1348080826"/>
    <w:p w14:paraId="3039E6DA" w14:textId="2C8701A5" w:rsidR="00F31E57" w:rsidRDefault="00F31E57" w:rsidP="00F31E57">
      <w:r>
        <w:t>&lt;ESMA_QUESTION_PRIIPs_84&gt;</w:t>
      </w:r>
    </w:p>
    <w:p w14:paraId="385A040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14:paraId="705A2BCE" w14:textId="77777777" w:rsidR="00F31E57" w:rsidRDefault="00F31E57" w:rsidP="00F31E57">
      <w:pPr>
        <w:rPr>
          <w:rFonts w:cstheme="minorBidi"/>
        </w:rPr>
      </w:pPr>
    </w:p>
    <w:p w14:paraId="4E4F69CF" w14:textId="77777777" w:rsidR="00F31E57" w:rsidRDefault="00F31E57" w:rsidP="00F31E57">
      <w:r>
        <w:t>&lt;ESMA_QUESTION_PRIIPs_85&gt;</w:t>
      </w:r>
    </w:p>
    <w:p w14:paraId="4FCA207C" w14:textId="5145A110" w:rsidR="00837234" w:rsidRPr="00DC18E1" w:rsidRDefault="00837234" w:rsidP="00F31E57">
      <w:permStart w:id="345596454" w:edGrp="everyone"/>
      <w:r w:rsidRPr="00DC18E1">
        <w:t>It wo</w:t>
      </w:r>
      <w:r w:rsidR="007C0B9C" w:rsidRPr="00DC18E1">
        <w:t xml:space="preserve">uld seem that this computation </w:t>
      </w:r>
      <w:r w:rsidRPr="00DC18E1">
        <w:t xml:space="preserve">of the TCR is too complex: why not doing it like in the USA for mutual funds, and consider only one investment, not  (in the example given) an investment , then a  redemption then another investment of a different amount). Again a key success factor of the </w:t>
      </w:r>
      <w:r w:rsidR="00DC18E1" w:rsidRPr="00DC18E1">
        <w:t>future</w:t>
      </w:r>
      <w:r w:rsidRPr="00DC18E1">
        <w:t xml:space="preserve"> KIID will be si</w:t>
      </w:r>
      <w:r w:rsidRPr="00DC18E1">
        <w:t>m</w:t>
      </w:r>
      <w:r w:rsidRPr="00DC18E1">
        <w:t xml:space="preserve">plicity/intelligibility. The </w:t>
      </w:r>
      <w:r w:rsidR="00DB59E6" w:rsidRPr="00DC18E1">
        <w:t>summary prospectus for US mutual funds has been time-tested.</w:t>
      </w:r>
    </w:p>
    <w:permEnd w:id="345596454"/>
    <w:p w14:paraId="6F81161D" w14:textId="184D2238" w:rsidR="00F31E57" w:rsidRDefault="00F31E57" w:rsidP="00F31E57">
      <w:r>
        <w:t>&lt;ESMA_QUESTION_PRIIPs_85&gt;</w:t>
      </w:r>
    </w:p>
    <w:p w14:paraId="463A54F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14:paraId="46D96583" w14:textId="77777777" w:rsidR="00F31E57" w:rsidRDefault="00F31E57" w:rsidP="00F31E57">
      <w:pPr>
        <w:rPr>
          <w:rFonts w:cstheme="minorBidi"/>
        </w:rPr>
      </w:pPr>
    </w:p>
    <w:p w14:paraId="1D1822C4" w14:textId="77777777" w:rsidR="00F31E57" w:rsidRDefault="00F31E57" w:rsidP="00F31E57">
      <w:r>
        <w:t>&lt;ESMA_QUESTION_PRIIPs_86&gt;</w:t>
      </w:r>
    </w:p>
    <w:p w14:paraId="53DB7128" w14:textId="6526C5E8" w:rsidR="00DB59E6" w:rsidRPr="00DC18E1" w:rsidRDefault="00DB59E6" w:rsidP="00F31E57">
      <w:permStart w:id="731666702" w:edGrp="everyone"/>
      <w:r w:rsidRPr="00DC18E1">
        <w:t>The CESR guideline is appropriate and of course it should also apply to retail AIFs (which are more n</w:t>
      </w:r>
      <w:r w:rsidRPr="00DC18E1">
        <w:t>u</w:t>
      </w:r>
      <w:r w:rsidRPr="00DC18E1">
        <w:t>merous than retail UCITS).</w:t>
      </w:r>
    </w:p>
    <w:permEnd w:id="731666702"/>
    <w:p w14:paraId="41334959" w14:textId="2490E17A" w:rsidR="00F31E57" w:rsidRDefault="00F31E57" w:rsidP="00F31E57">
      <w:r>
        <w:t>&lt;ESMA_QUESTION_PRIIPs_86&gt;</w:t>
      </w:r>
    </w:p>
    <w:p w14:paraId="67919F9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lastRenderedPageBreak/>
        <w:t xml:space="preserve">vestments or disinvestments)). Do you think this approach would be appropriate? To what extent do these possible calculation methodologies fit the case of insurance products with regular payments? </w:t>
      </w:r>
    </w:p>
    <w:p w14:paraId="58A44FE7" w14:textId="77777777" w:rsidR="00F31E57" w:rsidRDefault="00F31E57" w:rsidP="00F31E57">
      <w:pPr>
        <w:rPr>
          <w:rFonts w:cstheme="minorBidi"/>
        </w:rPr>
      </w:pPr>
    </w:p>
    <w:p w14:paraId="329A27E9" w14:textId="77777777" w:rsidR="00F31E57" w:rsidRDefault="00F31E57" w:rsidP="00F31E57">
      <w:r>
        <w:t>&lt;ESMA_QUESTION_PRIIPs_87&gt;</w:t>
      </w:r>
    </w:p>
    <w:p w14:paraId="7ACC49D2" w14:textId="59C8DA23" w:rsidR="00DB59E6" w:rsidRPr="00DC18E1" w:rsidRDefault="00DB59E6" w:rsidP="00F31E57">
      <w:permStart w:id="1114917760" w:edGrp="everyone"/>
      <w:r w:rsidRPr="00DC18E1">
        <w:t>The option for insurance products should be consistent with than for funds. In case of regular payments, it should apply to one payment not to a series. The more important question is the estimate of the holding period, as a lot of insurers do not issue any recommended holding period for life insurance contracts.</w:t>
      </w:r>
    </w:p>
    <w:permEnd w:id="1114917760"/>
    <w:p w14:paraId="34BBA15A" w14:textId="0A38F028" w:rsidR="00F31E57" w:rsidRDefault="00F31E57" w:rsidP="00F31E57">
      <w:r>
        <w:t>&lt;ESMA_QUESTION_PRIIPs_87&gt;</w:t>
      </w:r>
    </w:p>
    <w:p w14:paraId="1D29B9B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14:paraId="64C54D0F" w14:textId="77777777" w:rsidR="00F31E57" w:rsidRDefault="00F31E57" w:rsidP="00F31E57">
      <w:pPr>
        <w:rPr>
          <w:rFonts w:cstheme="minorBidi"/>
        </w:rPr>
      </w:pPr>
    </w:p>
    <w:p w14:paraId="002A142A" w14:textId="77777777" w:rsidR="00F31E57" w:rsidRDefault="00F31E57" w:rsidP="00F31E57">
      <w:r>
        <w:t>&lt;ESMA_QUESTION_PRIIPs_88&gt;</w:t>
      </w:r>
    </w:p>
    <w:p w14:paraId="69544F52" w14:textId="77777777" w:rsidR="00F31E57" w:rsidRDefault="00F31E57" w:rsidP="00F31E57">
      <w:permStart w:id="1874272897" w:edGrp="everyone"/>
      <w:r>
        <w:t>TYPE YOUR TEXT HERE</w:t>
      </w:r>
    </w:p>
    <w:permEnd w:id="1874272897"/>
    <w:p w14:paraId="6273E23E" w14:textId="77777777" w:rsidR="00F31E57" w:rsidRDefault="00F31E57" w:rsidP="00F31E57">
      <w:r>
        <w:t>&lt;ESMA_QUESTION_PRIIPs_88&gt;</w:t>
      </w:r>
    </w:p>
    <w:p w14:paraId="12BB4A8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14:paraId="3625F282" w14:textId="77777777" w:rsidR="00F31E57" w:rsidRDefault="00F31E57" w:rsidP="00F31E57">
      <w:pPr>
        <w:rPr>
          <w:rFonts w:cstheme="minorBidi"/>
        </w:rPr>
      </w:pPr>
    </w:p>
    <w:p w14:paraId="68D52F2E" w14:textId="77777777" w:rsidR="00F31E57" w:rsidRDefault="00F31E57" w:rsidP="00F31E57">
      <w:r>
        <w:t>&lt;ESMA_QUESTION_PRIIPs_89&gt;</w:t>
      </w:r>
    </w:p>
    <w:p w14:paraId="27717CAD" w14:textId="49CD026A" w:rsidR="00650D0F" w:rsidRPr="00DC18E1" w:rsidRDefault="00DC18E1" w:rsidP="00F31E57">
      <w:permStart w:id="44962353" w:edGrp="everyone"/>
      <w:r w:rsidRPr="00DC18E1">
        <w:t>Yes, to our knowledge,</w:t>
      </w:r>
      <w:r w:rsidR="00650D0F" w:rsidRPr="00DC18E1">
        <w:t xml:space="preserve"> it is applicable </w:t>
      </w:r>
      <w:r w:rsidR="009C0ABB" w:rsidRPr="00DC18E1">
        <w:t xml:space="preserve">-  </w:t>
      </w:r>
      <w:r w:rsidR="00650D0F" w:rsidRPr="00DC18E1">
        <w:t>and should apply</w:t>
      </w:r>
      <w:r w:rsidR="009C0ABB" w:rsidRPr="00DC18E1">
        <w:t xml:space="preserve"> -</w:t>
      </w:r>
      <w:r w:rsidR="00650D0F" w:rsidRPr="00DC18E1">
        <w:t xml:space="preserve"> to retail AIFs</w:t>
      </w:r>
    </w:p>
    <w:permEnd w:id="44962353"/>
    <w:p w14:paraId="2531ED67" w14:textId="47C8D0F7" w:rsidR="00F31E57" w:rsidRDefault="00F31E57" w:rsidP="00F31E57">
      <w:r>
        <w:t>&lt;ESMA_QUESTION_PRIIPs_89&gt;</w:t>
      </w:r>
    </w:p>
    <w:p w14:paraId="076D53F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14:paraId="083A485A" w14:textId="77777777" w:rsidR="00F31E57" w:rsidRDefault="00F31E57" w:rsidP="00F31E57">
      <w:pPr>
        <w:rPr>
          <w:rFonts w:cstheme="minorBidi"/>
        </w:rPr>
      </w:pPr>
    </w:p>
    <w:p w14:paraId="3EF66B94" w14:textId="77777777" w:rsidR="00F31E57" w:rsidRDefault="00F31E57" w:rsidP="00F31E57">
      <w:r>
        <w:t>&lt;ESMA_QUESTION_PRIIPs_90&gt;</w:t>
      </w:r>
    </w:p>
    <w:p w14:paraId="74BFA592" w14:textId="77777777" w:rsidR="00650D0F" w:rsidRPr="00DC18E1" w:rsidRDefault="00650D0F" w:rsidP="00F31E57">
      <w:permStart w:id="40175042" w:edGrp="everyone"/>
      <w:r w:rsidRPr="00DC18E1">
        <w:t xml:space="preserve">Yes, we think so. </w:t>
      </w:r>
    </w:p>
    <w:permEnd w:id="40175042"/>
    <w:p w14:paraId="5A69651A" w14:textId="773FD5FC" w:rsidR="00F31E57" w:rsidRDefault="00F31E57" w:rsidP="00F31E57">
      <w:r>
        <w:t>&lt;ESMA_QUESTION_PRIIPs_90&gt;</w:t>
      </w:r>
    </w:p>
    <w:p w14:paraId="185878F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14:paraId="1525E331" w14:textId="77777777" w:rsidR="00F31E57" w:rsidRDefault="00F31E57" w:rsidP="00F31E57">
      <w:pPr>
        <w:rPr>
          <w:rFonts w:cstheme="minorBidi"/>
        </w:rPr>
      </w:pPr>
    </w:p>
    <w:p w14:paraId="69899681" w14:textId="77777777" w:rsidR="00F31E57" w:rsidRDefault="00F31E57" w:rsidP="00F31E57">
      <w:r>
        <w:lastRenderedPageBreak/>
        <w:t>&lt;ESMA_QUESTION_PRIIPs_91&gt;</w:t>
      </w:r>
    </w:p>
    <w:p w14:paraId="2D55701C" w14:textId="77777777" w:rsidR="00DC18E1" w:rsidRDefault="00650D0F" w:rsidP="00F31E57">
      <w:permStart w:id="619739788" w:edGrp="everyone"/>
      <w:r w:rsidRPr="00DC18E1">
        <w:t>As long as there are no embedded (i.e. the investor cannot exclude them) risk (biometric or other) prote</w:t>
      </w:r>
      <w:r w:rsidRPr="00DC18E1">
        <w:t>c</w:t>
      </w:r>
      <w:r w:rsidRPr="00DC18E1">
        <w:t>tion features, w</w:t>
      </w:r>
      <w:r w:rsidR="009C0ABB" w:rsidRPr="00DC18E1">
        <w:t>e believe the principles and meth</w:t>
      </w:r>
      <w:r w:rsidRPr="00DC18E1">
        <w:t xml:space="preserve">odologies for funds do apply </w:t>
      </w:r>
      <w:r w:rsidR="006647F2" w:rsidRPr="00DC18E1">
        <w:t xml:space="preserve">- </w:t>
      </w:r>
      <w:r w:rsidRPr="00DC18E1">
        <w:t>and sh</w:t>
      </w:r>
      <w:r w:rsidR="006647F2" w:rsidRPr="00DC18E1">
        <w:t>o</w:t>
      </w:r>
      <w:r w:rsidRPr="00DC18E1">
        <w:t xml:space="preserve">uld apply </w:t>
      </w:r>
      <w:r w:rsidR="006647F2" w:rsidRPr="00DC18E1">
        <w:t xml:space="preserve">- </w:t>
      </w:r>
      <w:r w:rsidRPr="00DC18E1">
        <w:t>to life insurance products.</w:t>
      </w:r>
      <w:r>
        <w:t xml:space="preserve"> </w:t>
      </w:r>
    </w:p>
    <w:permEnd w:id="619739788"/>
    <w:p w14:paraId="1C36F01A" w14:textId="41BAAC6D" w:rsidR="00F31E57" w:rsidRDefault="00F31E57" w:rsidP="00F31E57">
      <w:r>
        <w:t>&lt;ESMA_QUESTION_PRIIPs_91&gt;</w:t>
      </w:r>
    </w:p>
    <w:p w14:paraId="02A5D5B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14:paraId="2F05614B" w14:textId="77777777" w:rsidR="00F31E57" w:rsidRDefault="00F31E57" w:rsidP="00F31E57">
      <w:pPr>
        <w:rPr>
          <w:rFonts w:cstheme="minorBidi"/>
        </w:rPr>
      </w:pPr>
    </w:p>
    <w:p w14:paraId="7C724579" w14:textId="77777777" w:rsidR="00F31E57" w:rsidRDefault="00F31E57" w:rsidP="00F31E57">
      <w:r>
        <w:t>&lt;ESMA_QUESTION_PRIIPs_92&gt;</w:t>
      </w:r>
    </w:p>
    <w:p w14:paraId="46E031E3" w14:textId="77777777" w:rsidR="00F31E57" w:rsidRDefault="00F31E57" w:rsidP="00F31E57">
      <w:permStart w:id="1851086315" w:edGrp="everyone"/>
      <w:r>
        <w:t>TYPE YOUR TEXT HERE</w:t>
      </w:r>
    </w:p>
    <w:permEnd w:id="1851086315"/>
    <w:p w14:paraId="21E69FEB" w14:textId="77777777" w:rsidR="00F31E57" w:rsidRDefault="00F31E57" w:rsidP="00F31E57">
      <w:r>
        <w:t>&lt;ESMA_QUESTION_PRIIPs_92&gt;</w:t>
      </w:r>
    </w:p>
    <w:p w14:paraId="2791B4A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14:paraId="1BCCC3BD" w14:textId="77777777" w:rsidR="00F31E57" w:rsidRDefault="00F31E57" w:rsidP="00F31E57">
      <w:pPr>
        <w:rPr>
          <w:rFonts w:cstheme="minorBidi"/>
        </w:rPr>
      </w:pPr>
    </w:p>
    <w:p w14:paraId="197DE54E" w14:textId="77777777" w:rsidR="00F31E57" w:rsidRDefault="00F31E57" w:rsidP="00F31E57">
      <w:r>
        <w:t>&lt;ESMA_QUESTION_PRIIPs_93&gt;</w:t>
      </w:r>
    </w:p>
    <w:p w14:paraId="686C7C41" w14:textId="77777777" w:rsidR="002B4D97" w:rsidRPr="00DC18E1" w:rsidRDefault="002B4D97" w:rsidP="00F31E57">
      <w:permStart w:id="1021801187" w:edGrp="everyone"/>
      <w:r w:rsidRPr="00DC18E1">
        <w:t>Yes:</w:t>
      </w:r>
    </w:p>
    <w:p w14:paraId="68BDC50C" w14:textId="2787575C" w:rsidR="002B4D97" w:rsidRPr="00DC18E1" w:rsidRDefault="00BE7CAE" w:rsidP="002B4D97">
      <w:pPr>
        <w:pStyle w:val="Odstavecseseznamem"/>
        <w:numPr>
          <w:ilvl w:val="0"/>
          <w:numId w:val="54"/>
        </w:numPr>
      </w:pPr>
      <w:r w:rsidRPr="00DC18E1">
        <w:t>F</w:t>
      </w:r>
      <w:r w:rsidR="002B4D97" w:rsidRPr="00DC18E1">
        <w:t xml:space="preserve">irst it is a totally new approach to cost disclosure for </w:t>
      </w:r>
      <w:r w:rsidR="003F1EDF" w:rsidRPr="00DC18E1">
        <w:t xml:space="preserve">retail </w:t>
      </w:r>
      <w:r w:rsidR="002B4D97" w:rsidRPr="00DC18E1">
        <w:t xml:space="preserve">funds: it </w:t>
      </w:r>
      <w:r w:rsidRPr="00DC18E1">
        <w:t>would imply</w:t>
      </w:r>
      <w:r w:rsidR="002B4D97" w:rsidRPr="00DC18E1">
        <w:t xml:space="preserve"> a lot of commun</w:t>
      </w:r>
      <w:r w:rsidR="002B4D97" w:rsidRPr="00DC18E1">
        <w:t>i</w:t>
      </w:r>
      <w:r w:rsidR="002B4D97" w:rsidRPr="00DC18E1">
        <w:t>cation / education</w:t>
      </w:r>
      <w:r w:rsidR="003F1EDF" w:rsidRPr="00DC18E1">
        <w:t xml:space="preserve"> to retail intermediaries and to citizens.</w:t>
      </w:r>
    </w:p>
    <w:p w14:paraId="5E294D68" w14:textId="3A8312E0" w:rsidR="002B4D97" w:rsidRPr="00DC18E1" w:rsidRDefault="002B4D97" w:rsidP="002B4D97">
      <w:pPr>
        <w:pStyle w:val="Odstavecseseznamem"/>
        <w:numPr>
          <w:ilvl w:val="0"/>
          <w:numId w:val="54"/>
        </w:numPr>
      </w:pPr>
      <w:r w:rsidRPr="00DC18E1">
        <w:t>we fear it is more difficult to understand than the TCR</w:t>
      </w:r>
      <w:r w:rsidR="003F1EDF" w:rsidRPr="00DC18E1">
        <w:t>: it should be teste</w:t>
      </w:r>
      <w:r w:rsidR="007C0B9C" w:rsidRPr="00DC18E1">
        <w:t>d on a sample of average investo</w:t>
      </w:r>
      <w:r w:rsidR="003F1EDF" w:rsidRPr="00DC18E1">
        <w:t>rs/savers.</w:t>
      </w:r>
    </w:p>
    <w:p w14:paraId="26453DAC" w14:textId="7AF3BB78" w:rsidR="002B4D97" w:rsidRDefault="002B4D97" w:rsidP="00DC18E1">
      <w:pPr>
        <w:pStyle w:val="Odstavecseseznamem"/>
        <w:numPr>
          <w:ilvl w:val="0"/>
          <w:numId w:val="54"/>
        </w:numPr>
      </w:pPr>
      <w:r w:rsidRPr="00DC18E1">
        <w:t xml:space="preserve">It implies more critical assumptions than for computing the </w:t>
      </w:r>
      <w:r w:rsidR="00DC18E1" w:rsidRPr="00DC18E1">
        <w:t>TCR;</w:t>
      </w:r>
      <w:r w:rsidRPr="00DC18E1">
        <w:t xml:space="preserve"> in particular it requires return a</w:t>
      </w:r>
      <w:r w:rsidRPr="00DC18E1">
        <w:t>s</w:t>
      </w:r>
      <w:r w:rsidRPr="00DC18E1">
        <w:t>sumptions which ca</w:t>
      </w:r>
      <w:r w:rsidR="00BE7CAE" w:rsidRPr="00DC18E1">
        <w:t>n</w:t>
      </w:r>
      <w:r w:rsidRPr="00DC18E1">
        <w:t xml:space="preserve"> be very misleading. Although it may not be always possible, one should avoid having to rely on future performance assumptions.</w:t>
      </w:r>
    </w:p>
    <w:permEnd w:id="1021801187"/>
    <w:p w14:paraId="66021A6F" w14:textId="09430498" w:rsidR="00F31E57" w:rsidRDefault="00F31E57" w:rsidP="00F31E57">
      <w:r>
        <w:t>&lt;ESMA_QUESTION_PRIIPs_93&gt;</w:t>
      </w:r>
    </w:p>
    <w:p w14:paraId="79BD0B6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14:paraId="646AA07E" w14:textId="77777777" w:rsidR="00F31E57" w:rsidRDefault="00F31E57" w:rsidP="00F31E57">
      <w:pPr>
        <w:rPr>
          <w:rFonts w:cstheme="minorBidi"/>
        </w:rPr>
      </w:pPr>
    </w:p>
    <w:p w14:paraId="699BDF35" w14:textId="77777777" w:rsidR="00F31E57" w:rsidRDefault="00F31E57" w:rsidP="00F31E57">
      <w:r>
        <w:t>&lt;ESMA_QUESTION_PRIIPs_94&gt;</w:t>
      </w:r>
    </w:p>
    <w:p w14:paraId="1BCEE180" w14:textId="77777777" w:rsidR="00F31E57" w:rsidRDefault="00F31E57" w:rsidP="00F31E57">
      <w:permStart w:id="605366235" w:edGrp="everyone"/>
      <w:r>
        <w:t>TYPE YOUR TEXT HERE</w:t>
      </w:r>
    </w:p>
    <w:permEnd w:id="605366235"/>
    <w:p w14:paraId="6AADBEE5" w14:textId="77777777" w:rsidR="00F31E57" w:rsidRDefault="00F31E57" w:rsidP="00F31E57">
      <w:r>
        <w:t>&lt;ESMA_QUESTION_PRIIPs_94&gt;</w:t>
      </w:r>
    </w:p>
    <w:p w14:paraId="2681376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14:paraId="46372696" w14:textId="77777777" w:rsidR="00F31E57" w:rsidRDefault="00F31E57" w:rsidP="00F31E57">
      <w:pPr>
        <w:rPr>
          <w:rFonts w:cstheme="minorBidi"/>
        </w:rPr>
      </w:pPr>
    </w:p>
    <w:p w14:paraId="4CD01CDC" w14:textId="77777777" w:rsidR="00F31E57" w:rsidRDefault="00F31E57" w:rsidP="00F31E57">
      <w:r>
        <w:t>&lt;ESMA_QUESTION_PRIIPs_95&gt;</w:t>
      </w:r>
    </w:p>
    <w:p w14:paraId="2A1EA197" w14:textId="0F363074" w:rsidR="00BB5235" w:rsidRPr="00DC18E1" w:rsidRDefault="002B4D97" w:rsidP="00F31E57">
      <w:permStart w:id="320038261" w:edGrp="everyone"/>
      <w:r w:rsidRPr="00DC18E1">
        <w:t>We mentioned above our concerns wit the</w:t>
      </w:r>
      <w:r w:rsidR="009C0ABB" w:rsidRPr="00DC18E1">
        <w:t xml:space="preserve"> use of the </w:t>
      </w:r>
      <w:r w:rsidRPr="00DC18E1">
        <w:t>RIY approach. R</w:t>
      </w:r>
      <w:r w:rsidR="00BB5235" w:rsidRPr="00DC18E1">
        <w:t xml:space="preserve">IY approach could nevertheless </w:t>
      </w:r>
      <w:r w:rsidRPr="00DC18E1">
        <w:t>be more appropriate for insurance contracts with embedded biometri</w:t>
      </w:r>
      <w:r w:rsidR="00BB5235" w:rsidRPr="00DC18E1">
        <w:t>c risk protection. For example</w:t>
      </w:r>
      <w:r w:rsidRPr="00DC18E1">
        <w:t>, in Be</w:t>
      </w:r>
      <w:r w:rsidRPr="00DC18E1">
        <w:t>l</w:t>
      </w:r>
      <w:r w:rsidR="00BB5235" w:rsidRPr="00DC18E1">
        <w:t>gium, typical life insurance co</w:t>
      </w:r>
      <w:r w:rsidRPr="00DC18E1">
        <w:t>ntracts will ch</w:t>
      </w:r>
      <w:r w:rsidR="007701BC" w:rsidRPr="00DC18E1">
        <w:t>arge a</w:t>
      </w:r>
      <w:r w:rsidRPr="00DC18E1">
        <w:t xml:space="preserve"> commission for the embedded death coverage (that guarantees a minim</w:t>
      </w:r>
      <w:r w:rsidR="00021615" w:rsidRPr="00DC18E1">
        <w:t xml:space="preserve">um capital amount at death under some </w:t>
      </w:r>
      <w:r w:rsidRPr="00DC18E1">
        <w:t>conditions</w:t>
      </w:r>
      <w:r w:rsidR="00021615" w:rsidRPr="00DC18E1">
        <w:t xml:space="preserve"> and ceilings</w:t>
      </w:r>
      <w:r w:rsidRPr="00DC18E1">
        <w:t>)</w:t>
      </w:r>
      <w:r w:rsidR="007701BC" w:rsidRPr="00DC18E1">
        <w:t xml:space="preserve"> that increases every </w:t>
      </w:r>
      <w:r w:rsidR="007701BC" w:rsidRPr="00DC18E1">
        <w:lastRenderedPageBreak/>
        <w:t>year with age</w:t>
      </w:r>
      <w:r w:rsidR="00BB5235" w:rsidRPr="00DC18E1">
        <w:t>. It would also indeed be useful for life contracts with a very high entry fee.</w:t>
      </w:r>
      <w:r w:rsidR="00021615" w:rsidRPr="00DC18E1">
        <w:t xml:space="preserve"> Again the issue there will be to assess the holding period (and even more so for </w:t>
      </w:r>
      <w:r w:rsidR="009C0ABB" w:rsidRPr="00DC18E1">
        <w:t>a</w:t>
      </w:r>
      <w:r w:rsidR="00021615" w:rsidRPr="00DC18E1">
        <w:t>nnuity products as mentioned in the DP).</w:t>
      </w:r>
    </w:p>
    <w:p w14:paraId="63C602B3" w14:textId="77777777" w:rsidR="00BB5235" w:rsidRPr="00DC18E1" w:rsidRDefault="00BB5235" w:rsidP="00F31E57"/>
    <w:p w14:paraId="26F34CD5" w14:textId="4F5E75A2" w:rsidR="00BB5235" w:rsidRPr="00DC18E1" w:rsidRDefault="00BB5235" w:rsidP="00F31E57">
      <w:r w:rsidRPr="00DC18E1">
        <w:t>The calculation basis for returns should not be the net investment amount but the gross: again for simplic</w:t>
      </w:r>
      <w:r w:rsidRPr="00DC18E1">
        <w:t>i</w:t>
      </w:r>
      <w:r w:rsidRPr="00DC18E1">
        <w:t>ty / intelligibility reasons: what counts for the individual investor is what he puts in (invests/saves) and what he gets out.</w:t>
      </w:r>
    </w:p>
    <w:p w14:paraId="3DEC8E5B" w14:textId="77777777" w:rsidR="00BB5235" w:rsidRPr="00DC18E1" w:rsidRDefault="00BB5235" w:rsidP="00F31E57"/>
    <w:p w14:paraId="6DEEDA97" w14:textId="56B004D0" w:rsidR="00021615" w:rsidRPr="00DC18E1" w:rsidRDefault="00BB5235" w:rsidP="00F31E57">
      <w:r w:rsidRPr="00DC18E1">
        <w:t xml:space="preserve">Again the most </w:t>
      </w:r>
      <w:r w:rsidR="00DC18E1" w:rsidRPr="00DC18E1">
        <w:t>sensitive</w:t>
      </w:r>
      <w:r w:rsidRPr="00DC18E1">
        <w:t xml:space="preserve"> issue is the assumptions on the </w:t>
      </w:r>
      <w:r w:rsidR="00DC18E1" w:rsidRPr="00DC18E1">
        <w:t>future</w:t>
      </w:r>
      <w:r w:rsidRPr="00DC18E1">
        <w:t xml:space="preserve"> </w:t>
      </w:r>
      <w:r w:rsidR="00DC18E1" w:rsidRPr="00DC18E1">
        <w:t>performances</w:t>
      </w:r>
      <w:r w:rsidRPr="00DC18E1">
        <w:t xml:space="preserve"> / returns. If such assum</w:t>
      </w:r>
      <w:r w:rsidRPr="00DC18E1">
        <w:t>p</w:t>
      </w:r>
      <w:r w:rsidRPr="00DC18E1">
        <w:t>tions have to be used they should follow very strict and common rules:</w:t>
      </w:r>
    </w:p>
    <w:p w14:paraId="3D02B3A7" w14:textId="5419EA55" w:rsidR="00BB5235" w:rsidRPr="00DC18E1" w:rsidRDefault="00BB5235" w:rsidP="00BB5235">
      <w:pPr>
        <w:pStyle w:val="Odstavecseseznamem"/>
        <w:numPr>
          <w:ilvl w:val="0"/>
          <w:numId w:val="54"/>
        </w:numPr>
      </w:pPr>
      <w:r w:rsidRPr="00DC18E1">
        <w:t>all providers of the same types of products have to use the same maximum one</w:t>
      </w:r>
    </w:p>
    <w:p w14:paraId="1BD4214E" w14:textId="37DA7DD3" w:rsidR="00BB5235" w:rsidRPr="00DC18E1" w:rsidRDefault="00BB5235" w:rsidP="00BB5235">
      <w:pPr>
        <w:pStyle w:val="Odstavecseseznamem"/>
        <w:numPr>
          <w:ilvl w:val="0"/>
          <w:numId w:val="54"/>
        </w:numPr>
      </w:pPr>
      <w:r w:rsidRPr="00DC18E1">
        <w:t>they must be cautious and not exceeding past experience</w:t>
      </w:r>
    </w:p>
    <w:p w14:paraId="013FA130" w14:textId="0A00EC95" w:rsidR="00BB5235" w:rsidRPr="00DC18E1" w:rsidRDefault="00BB5235" w:rsidP="00BB5235">
      <w:pPr>
        <w:pStyle w:val="Odstavecseseznamem"/>
        <w:numPr>
          <w:ilvl w:val="0"/>
          <w:numId w:val="54"/>
        </w:numPr>
      </w:pPr>
      <w:r w:rsidRPr="00DC18E1">
        <w:t>they m</w:t>
      </w:r>
      <w:r w:rsidR="007701BC" w:rsidRPr="00DC18E1">
        <w:t>ust be supervised by an indepen</w:t>
      </w:r>
      <w:r w:rsidRPr="00DC18E1">
        <w:t>dent party.</w:t>
      </w:r>
    </w:p>
    <w:p w14:paraId="1A050BA0" w14:textId="0475BB9E" w:rsidR="00021615" w:rsidRPr="00DC18E1" w:rsidRDefault="00021615" w:rsidP="00021615">
      <w:r w:rsidRPr="00DC18E1">
        <w:t>Otherwise these assumptions will be a major source of confusion and of disputes.</w:t>
      </w:r>
    </w:p>
    <w:p w14:paraId="6049A617" w14:textId="77777777" w:rsidR="00021615" w:rsidRPr="00DC18E1" w:rsidRDefault="00021615" w:rsidP="00021615"/>
    <w:p w14:paraId="6259B4E5" w14:textId="26B9F3A7" w:rsidR="003F1EDF" w:rsidRPr="00DC18E1" w:rsidRDefault="003F1EDF" w:rsidP="00021615">
      <w:r w:rsidRPr="00DC18E1">
        <w:t>Another issue that we would like to raise is ex</w:t>
      </w:r>
      <w:r w:rsidR="00BE7CAE" w:rsidRPr="00DC18E1">
        <w:t xml:space="preserve"> ante versus ex post cost indic</w:t>
      </w:r>
      <w:r w:rsidRPr="00DC18E1">
        <w:t xml:space="preserve">ator: we believe </w:t>
      </w:r>
      <w:r w:rsidR="00BE7CAE" w:rsidRPr="00DC18E1">
        <w:t xml:space="preserve">both </w:t>
      </w:r>
      <w:r w:rsidRPr="00DC18E1">
        <w:t>should be</w:t>
      </w:r>
      <w:r w:rsidR="00DC18E1">
        <w:t xml:space="preserve"> </w:t>
      </w:r>
      <w:r w:rsidR="00BE7CAE" w:rsidRPr="00DC18E1">
        <w:t>disclosed as currently for UCITS funds</w:t>
      </w:r>
      <w:r w:rsidR="00DC18E1">
        <w:t>: not only for the retail</w:t>
      </w:r>
      <w:r w:rsidRPr="00DC18E1">
        <w:t xml:space="preserve"> client, but also for supervisors and as a “sanity check” for everyone else to ensure the “ex ante” one makes sense.</w:t>
      </w:r>
    </w:p>
    <w:permEnd w:id="320038261"/>
    <w:p w14:paraId="22EF1099" w14:textId="7429E63C" w:rsidR="00F31E57" w:rsidRDefault="00F31E57" w:rsidP="00F31E57">
      <w:r>
        <w:t>&lt;ESMA_QUESTION_PRIIPs_95&gt;</w:t>
      </w:r>
    </w:p>
    <w:p w14:paraId="485C7075"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14:paraId="1D531F28" w14:textId="77777777" w:rsidR="00F31E57" w:rsidRDefault="00F31E57" w:rsidP="00F31E57">
      <w:pPr>
        <w:rPr>
          <w:rFonts w:cstheme="minorBidi"/>
        </w:rPr>
      </w:pPr>
    </w:p>
    <w:p w14:paraId="18DF1587" w14:textId="77777777" w:rsidR="00F31E57" w:rsidRDefault="00F31E57" w:rsidP="00F31E57">
      <w:r>
        <w:t>&lt;ESMA_QUESTION_PRIIPs_96&gt;</w:t>
      </w:r>
    </w:p>
    <w:p w14:paraId="4149A745" w14:textId="77777777" w:rsidR="00F31E57" w:rsidRDefault="00F31E57" w:rsidP="00F31E57">
      <w:permStart w:id="577008611" w:edGrp="everyone"/>
      <w:r>
        <w:t>TYPE YOUR TEXT HERE</w:t>
      </w:r>
    </w:p>
    <w:permEnd w:id="577008611"/>
    <w:p w14:paraId="41A2E9FE" w14:textId="77777777" w:rsidR="00F31E57" w:rsidRDefault="00F31E57" w:rsidP="00F31E57">
      <w:r>
        <w:t>&lt;ESMA_QUESTION_PRIIPs_96&gt;</w:t>
      </w:r>
    </w:p>
    <w:p w14:paraId="21F78CA4"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14:paraId="30DB417A" w14:textId="77777777" w:rsidR="00F31E57" w:rsidRDefault="00F31E57" w:rsidP="00F31E57">
      <w:pPr>
        <w:rPr>
          <w:rFonts w:cstheme="minorBidi"/>
        </w:rPr>
      </w:pPr>
    </w:p>
    <w:p w14:paraId="666BAD40" w14:textId="77777777" w:rsidR="00F31E57" w:rsidRDefault="00F31E57" w:rsidP="00F31E57">
      <w:r>
        <w:t>&lt;ESMA_QUESTION_PRIIPs_97&gt;</w:t>
      </w:r>
    </w:p>
    <w:p w14:paraId="4BE2587A" w14:textId="77777777" w:rsidR="00F31E57" w:rsidRDefault="00F31E57" w:rsidP="00F31E57">
      <w:permStart w:id="1561725430" w:edGrp="everyone"/>
      <w:r>
        <w:t>TYPE YOUR TEXT HERE</w:t>
      </w:r>
    </w:p>
    <w:permEnd w:id="1561725430"/>
    <w:p w14:paraId="45690D32" w14:textId="77777777" w:rsidR="00F31E57" w:rsidRDefault="00F31E57" w:rsidP="00F31E57">
      <w:r>
        <w:t>&lt;ESMA_QUESTION_PRIIPs_97&gt;</w:t>
      </w:r>
    </w:p>
    <w:p w14:paraId="6A2C1EF0"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14:paraId="39ABCCFB" w14:textId="77777777" w:rsidR="00F31E57" w:rsidRDefault="00F31E57" w:rsidP="00F31E57">
      <w:pPr>
        <w:rPr>
          <w:rFonts w:cstheme="minorBidi"/>
        </w:rPr>
      </w:pPr>
    </w:p>
    <w:p w14:paraId="0EE39353" w14:textId="77777777" w:rsidR="00F31E57" w:rsidRDefault="00F31E57" w:rsidP="00F31E57">
      <w:r>
        <w:t>&lt;ESMA_QUESTION_PRIIPs_98&gt;</w:t>
      </w:r>
    </w:p>
    <w:p w14:paraId="4B979E55" w14:textId="77777777" w:rsidR="00F31E57" w:rsidRDefault="00F31E57" w:rsidP="00F31E57">
      <w:permStart w:id="382555745" w:edGrp="everyone"/>
      <w:r>
        <w:t>TYPE YOUR TEXT HERE</w:t>
      </w:r>
    </w:p>
    <w:permEnd w:id="382555745"/>
    <w:p w14:paraId="12A21227" w14:textId="77777777" w:rsidR="00F31E57" w:rsidRDefault="00F31E57" w:rsidP="00F31E57">
      <w:r>
        <w:t>&lt;ESMA_QUESTION_PRIIPs_98&gt;</w:t>
      </w:r>
    </w:p>
    <w:p w14:paraId="6E9F0B87"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14:paraId="668A1E12" w14:textId="77777777" w:rsidR="00F31E57" w:rsidRDefault="00F31E57" w:rsidP="00F31E57">
      <w:pPr>
        <w:rPr>
          <w:rFonts w:cstheme="minorBidi"/>
        </w:rPr>
      </w:pPr>
    </w:p>
    <w:p w14:paraId="5BB08542" w14:textId="77777777" w:rsidR="00F31E57" w:rsidRDefault="00F31E57" w:rsidP="00F31E57">
      <w:r>
        <w:t>&lt;ESMA_QUESTION_PRIIPs_99&gt;</w:t>
      </w:r>
    </w:p>
    <w:p w14:paraId="1DF52453" w14:textId="77777777" w:rsidR="00F31E57" w:rsidRDefault="00F31E57" w:rsidP="00F31E57">
      <w:permStart w:id="2067032027" w:edGrp="everyone"/>
      <w:r>
        <w:t>TYPE YOUR TEXT HERE</w:t>
      </w:r>
    </w:p>
    <w:permEnd w:id="2067032027"/>
    <w:p w14:paraId="607F347B" w14:textId="77777777" w:rsidR="00F31E57" w:rsidRDefault="00F31E57" w:rsidP="00F31E57">
      <w:r>
        <w:t>&lt;ESMA_QUESTION_PRIIPs_99&gt;</w:t>
      </w:r>
    </w:p>
    <w:p w14:paraId="0B0D3298" w14:textId="77777777" w:rsidR="00F31E57" w:rsidRDefault="00F31E57" w:rsidP="00F31E57"/>
    <w:p w14:paraId="145AB7E1" w14:textId="77777777"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23E30" w14:textId="77777777" w:rsidR="002457A4" w:rsidRDefault="002457A4">
      <w:r>
        <w:separator/>
      </w:r>
    </w:p>
    <w:p w14:paraId="0958A97B" w14:textId="77777777" w:rsidR="002457A4" w:rsidRDefault="002457A4"/>
  </w:endnote>
  <w:endnote w:type="continuationSeparator" w:id="0">
    <w:p w14:paraId="7970A34D" w14:textId="77777777" w:rsidR="002457A4" w:rsidRDefault="002457A4">
      <w:r>
        <w:continuationSeparator/>
      </w:r>
    </w:p>
    <w:p w14:paraId="7135BB7A" w14:textId="77777777" w:rsidR="002457A4" w:rsidRDefault="002457A4"/>
  </w:endnote>
  <w:endnote w:type="continuationNotice" w:id="1">
    <w:p w14:paraId="2D55E276" w14:textId="77777777" w:rsidR="002457A4" w:rsidRDefault="0024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Arial Unicode MS"/>
    <w:panose1 w:val="02020609040205080304"/>
    <w:charset w:val="80"/>
    <w:family w:val="roman"/>
    <w:notTrueType/>
    <w:pitch w:val="fixed"/>
    <w:sig w:usb0="00000000" w:usb1="08070000" w:usb2="00000010" w:usb3="00000000" w:csb0="00020000" w:csb1="00000000"/>
  </w:font>
  <w:font w:name="MS Gothic">
    <w:altName w:val="Arial Unicode MS"/>
    <w:panose1 w:val="020B0609070205080204"/>
    <w:charset w:val="80"/>
    <w:family w:val="moder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E7E89" w:rsidRPr="00616B9B" w14:paraId="6570EE6B" w14:textId="77777777" w:rsidTr="00315E96">
      <w:trPr>
        <w:trHeight w:val="284"/>
      </w:trPr>
      <w:tc>
        <w:tcPr>
          <w:tcW w:w="8460" w:type="dxa"/>
        </w:tcPr>
        <w:p w14:paraId="5C9E72BF" w14:textId="77777777" w:rsidR="004E7E89" w:rsidRPr="00315E96" w:rsidRDefault="004E7E89" w:rsidP="00315E96">
          <w:pPr>
            <w:pStyle w:val="00Footer"/>
            <w:rPr>
              <w:lang w:val="fr-FR"/>
            </w:rPr>
          </w:pPr>
        </w:p>
      </w:tc>
      <w:tc>
        <w:tcPr>
          <w:tcW w:w="952" w:type="dxa"/>
        </w:tcPr>
        <w:p w14:paraId="45A4FC54" w14:textId="77777777" w:rsidR="004E7E89" w:rsidRPr="00616B9B" w:rsidRDefault="004E7E8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C7EAB">
            <w:rPr>
              <w:rFonts w:cs="Arial"/>
              <w:noProof/>
              <w:sz w:val="22"/>
              <w:szCs w:val="22"/>
            </w:rPr>
            <w:t>5</w:t>
          </w:r>
          <w:r w:rsidRPr="00616B9B">
            <w:rPr>
              <w:rFonts w:cs="Arial"/>
              <w:noProof/>
              <w:sz w:val="22"/>
              <w:szCs w:val="22"/>
            </w:rPr>
            <w:fldChar w:fldCharType="end"/>
          </w:r>
        </w:p>
      </w:tc>
    </w:tr>
  </w:tbl>
  <w:p w14:paraId="387758C9" w14:textId="77777777" w:rsidR="004E7E89" w:rsidRDefault="004E7E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8841" w14:textId="77777777" w:rsidR="004E7E89" w:rsidRDefault="004E7E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42772" w14:textId="77777777" w:rsidR="002457A4" w:rsidRDefault="002457A4">
      <w:r>
        <w:separator/>
      </w:r>
    </w:p>
    <w:p w14:paraId="10C9FF82" w14:textId="77777777" w:rsidR="002457A4" w:rsidRDefault="002457A4"/>
  </w:footnote>
  <w:footnote w:type="continuationSeparator" w:id="0">
    <w:p w14:paraId="4D327BF1" w14:textId="77777777" w:rsidR="002457A4" w:rsidRDefault="002457A4">
      <w:r>
        <w:continuationSeparator/>
      </w:r>
    </w:p>
    <w:p w14:paraId="24C9AE7C" w14:textId="77777777" w:rsidR="002457A4" w:rsidRDefault="002457A4"/>
  </w:footnote>
  <w:footnote w:type="continuationNotice" w:id="1">
    <w:p w14:paraId="3650B195" w14:textId="77777777" w:rsidR="002457A4" w:rsidRDefault="002457A4"/>
  </w:footnote>
  <w:footnote w:id="2">
    <w:p w14:paraId="1B2380F0" w14:textId="77777777" w:rsidR="004E7E89" w:rsidRPr="00554E48" w:rsidRDefault="004E7E89" w:rsidP="007E2302">
      <w:pPr>
        <w:pStyle w:val="Textpoznpodarou"/>
        <w:rPr>
          <w:szCs w:val="16"/>
        </w:rPr>
      </w:pPr>
      <w:r w:rsidRPr="00554E48">
        <w:rPr>
          <w:rStyle w:val="Znakapoznpodarou"/>
          <w:szCs w:val="16"/>
        </w:rPr>
        <w:footnoteRef/>
      </w:r>
      <w:r w:rsidRPr="00554E48">
        <w:rPr>
          <w:szCs w:val="16"/>
        </w:rPr>
        <w:t xml:space="preserve"> See </w:t>
      </w:r>
      <w:hyperlink r:id="rId1" w:history="1">
        <w:r w:rsidRPr="00554E48">
          <w:rPr>
            <w:rStyle w:val="Hypertextovodkaz"/>
            <w:szCs w:val="16"/>
          </w:rPr>
          <w:t>https://eiopa.europa.eu/about-eiopa/legal-framework/public-access-to-documents/index.html</w:t>
        </w:r>
      </w:hyperlink>
      <w:r w:rsidRPr="00554E48">
        <w:rPr>
          <w:szCs w:val="16"/>
        </w:rPr>
        <w:t xml:space="preserve">. </w:t>
      </w:r>
    </w:p>
  </w:footnote>
  <w:footnote w:id="3">
    <w:p w14:paraId="3C162771" w14:textId="77777777" w:rsidR="004E7E89" w:rsidRDefault="004E7E89" w:rsidP="00F31E57">
      <w:pPr>
        <w:pStyle w:val="Textpoznpodarou"/>
        <w:rPr>
          <w:szCs w:val="16"/>
        </w:rPr>
      </w:pPr>
      <w:r>
        <w:rPr>
          <w:rStyle w:val="Znakapoznpodarou"/>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9FEB7" w14:textId="77777777" w:rsidR="004E7E89" w:rsidRDefault="004E7E89">
    <w:pPr>
      <w:pStyle w:val="Zhlav"/>
    </w:pPr>
    <w:r>
      <w:rPr>
        <w:noProof/>
        <w:lang w:val="sk-SK" w:eastAsia="sk-SK"/>
      </w:rPr>
      <w:drawing>
        <wp:anchor distT="0" distB="0" distL="114300" distR="114300" simplePos="0" relativeHeight="251658240" behindDoc="0" locked="0" layoutInCell="1" allowOverlap="1" wp14:anchorId="5AC6627B" wp14:editId="07BCED0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mc:AlternateContent>
        <mc:Choice Requires="wps">
          <w:drawing>
            <wp:anchor distT="0" distB="0" distL="114295" distR="114295" simplePos="0" relativeHeight="251656192" behindDoc="0" locked="0" layoutInCell="1" allowOverlap="1" wp14:anchorId="75DD6E3E" wp14:editId="4ADB3EC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7FBA9" w14:textId="77777777" w:rsidR="004E7E89" w:rsidRDefault="004E7E89" w:rsidP="00013CCE">
    <w:pPr>
      <w:pStyle w:val="Zhlav"/>
      <w:jc w:val="right"/>
    </w:pPr>
    <w:r>
      <w:rPr>
        <w:noProof/>
        <w:lang w:val="sk-SK" w:eastAsia="sk-SK"/>
      </w:rPr>
      <w:drawing>
        <wp:anchor distT="0" distB="0" distL="114300" distR="114300" simplePos="0" relativeHeight="251657216" behindDoc="0" locked="0" layoutInCell="1" allowOverlap="1" wp14:anchorId="580434AE" wp14:editId="3465CFA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55168" behindDoc="1" locked="0" layoutInCell="1" allowOverlap="1" wp14:anchorId="40DB13DA" wp14:editId="2F956D29">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5CCBA" w14:textId="77777777" w:rsidR="004E7E89" w:rsidRDefault="004E7E8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E7E89" w:rsidRPr="002F4496" w14:paraId="2436DC0E" w14:textId="77777777" w:rsidTr="000C06C9">
      <w:trPr>
        <w:trHeight w:val="284"/>
      </w:trPr>
      <w:tc>
        <w:tcPr>
          <w:tcW w:w="8460" w:type="dxa"/>
        </w:tcPr>
        <w:p w14:paraId="2F77BC11" w14:textId="77777777" w:rsidR="004E7E89" w:rsidRPr="000C3B6D" w:rsidRDefault="004E7E89" w:rsidP="000C06C9">
          <w:pPr>
            <w:pStyle w:val="00Footer"/>
            <w:rPr>
              <w:lang w:val="fr-FR"/>
            </w:rPr>
          </w:pPr>
        </w:p>
      </w:tc>
      <w:tc>
        <w:tcPr>
          <w:tcW w:w="952" w:type="dxa"/>
        </w:tcPr>
        <w:p w14:paraId="1F769B77" w14:textId="77777777" w:rsidR="004E7E89" w:rsidRPr="00146B34" w:rsidRDefault="004E7E89" w:rsidP="000C06C9">
          <w:pPr>
            <w:pStyle w:val="00aPagenumber"/>
            <w:rPr>
              <w:lang w:val="fr-FR"/>
            </w:rPr>
          </w:pPr>
        </w:p>
      </w:tc>
    </w:tr>
  </w:tbl>
  <w:p w14:paraId="67A4C4EC" w14:textId="77777777" w:rsidR="004E7E89" w:rsidRPr="00DB46C3" w:rsidRDefault="004E7E89">
    <w:pPr>
      <w:rPr>
        <w:lang w:val="fr-FR"/>
      </w:rPr>
    </w:pPr>
  </w:p>
  <w:p w14:paraId="372388A5" w14:textId="77777777" w:rsidR="004E7E89" w:rsidRPr="002F4496" w:rsidRDefault="004E7E89">
    <w:pPr>
      <w:pStyle w:val="Zhlav"/>
      <w:rPr>
        <w:lang w:val="fr-FR"/>
      </w:rPr>
    </w:pPr>
  </w:p>
  <w:p w14:paraId="693E05E5" w14:textId="77777777" w:rsidR="004E7E89" w:rsidRPr="002F4496" w:rsidRDefault="004E7E89" w:rsidP="000C06C9">
    <w:pPr>
      <w:pStyle w:val="Zhlav"/>
      <w:tabs>
        <w:tab w:val="clear" w:pos="4536"/>
        <w:tab w:val="clear" w:pos="9072"/>
        <w:tab w:val="left" w:pos="8227"/>
      </w:tabs>
      <w:rPr>
        <w:lang w:val="fr-FR"/>
      </w:rPr>
    </w:pPr>
  </w:p>
  <w:p w14:paraId="0B7507DF" w14:textId="77777777" w:rsidR="004E7E89" w:rsidRPr="002F4496" w:rsidRDefault="004E7E89" w:rsidP="000C06C9">
    <w:pPr>
      <w:pStyle w:val="Zhlav"/>
      <w:tabs>
        <w:tab w:val="clear" w:pos="4536"/>
        <w:tab w:val="clear" w:pos="9072"/>
        <w:tab w:val="left" w:pos="8227"/>
      </w:tabs>
      <w:rPr>
        <w:lang w:val="fr-FR"/>
      </w:rPr>
    </w:pPr>
  </w:p>
  <w:p w14:paraId="23BBBC26" w14:textId="77777777" w:rsidR="004E7E89" w:rsidRPr="002F4496" w:rsidRDefault="004E7E89">
    <w:pPr>
      <w:pStyle w:val="Zhlav"/>
      <w:rPr>
        <w:lang w:val="fr-FR"/>
      </w:rPr>
    </w:pPr>
  </w:p>
  <w:p w14:paraId="742DB1E1" w14:textId="77777777" w:rsidR="004E7E89" w:rsidRPr="002F4496" w:rsidRDefault="004E7E89">
    <w:pPr>
      <w:pStyle w:val="Zhlav"/>
      <w:rPr>
        <w:lang w:val="fr-FR"/>
      </w:rPr>
    </w:pPr>
  </w:p>
  <w:p w14:paraId="180DE7CC" w14:textId="77777777" w:rsidR="004E7E89" w:rsidRPr="002F4496" w:rsidRDefault="004E7E89">
    <w:pPr>
      <w:pStyle w:val="Zhlav"/>
      <w:rPr>
        <w:lang w:val="fr-FR"/>
      </w:rPr>
    </w:pPr>
  </w:p>
  <w:p w14:paraId="688235AE" w14:textId="77777777" w:rsidR="004E7E89" w:rsidRPr="002F4496" w:rsidRDefault="004E7E89">
    <w:pPr>
      <w:pStyle w:val="Zhlav"/>
      <w:rPr>
        <w:lang w:val="fr-FR"/>
      </w:rPr>
    </w:pPr>
  </w:p>
  <w:p w14:paraId="6652335E" w14:textId="77777777" w:rsidR="004E7E89" w:rsidRPr="002F4496" w:rsidRDefault="004E7E89">
    <w:pPr>
      <w:pStyle w:val="Zhlav"/>
      <w:rPr>
        <w:highlight w:val="yellow"/>
        <w:lang w:val="fr-FR"/>
      </w:rPr>
    </w:pPr>
  </w:p>
  <w:p w14:paraId="7A899136" w14:textId="77777777" w:rsidR="004E7E89" w:rsidRDefault="004E7E89">
    <w:pPr>
      <w:pStyle w:val="Zhlav"/>
    </w:pPr>
    <w:r>
      <w:rPr>
        <w:noProof/>
        <w:lang w:val="sk-SK" w:eastAsia="sk-SK"/>
      </w:rPr>
      <mc:AlternateContent>
        <mc:Choice Requires="wps">
          <w:drawing>
            <wp:anchor distT="0" distB="0" distL="114299" distR="114299" simplePos="0" relativeHeight="251660288" behindDoc="0" locked="0" layoutInCell="1" allowOverlap="1" wp14:anchorId="12898501" wp14:editId="40C0394D">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k-SK" w:eastAsia="sk-SK"/>
      </w:rPr>
      <w:drawing>
        <wp:anchor distT="0" distB="0" distL="114300" distR="114300" simplePos="0" relativeHeight="251659264" behindDoc="0" locked="0" layoutInCell="1" allowOverlap="1" wp14:anchorId="296312D2" wp14:editId="58D5BF9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Seznamsodrkami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Zkladn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52165D"/>
    <w:multiLevelType w:val="hybridMultilevel"/>
    <w:tmpl w:val="2CFE9A10"/>
    <w:lvl w:ilvl="0" w:tplc="6CE884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Seznamsodrkami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834F1D"/>
    <w:multiLevelType w:val="hybridMultilevel"/>
    <w:tmpl w:val="46CA1DD4"/>
    <w:lvl w:ilvl="0" w:tplc="700AAB96">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8E657DB"/>
    <w:multiLevelType w:val="hybridMultilevel"/>
    <w:tmpl w:val="50BCAB58"/>
    <w:lvl w:ilvl="0" w:tplc="BDA041D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Seznamsodrkami"/>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Nadpis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B7C5F16"/>
    <w:multiLevelType w:val="hybridMultilevel"/>
    <w:tmpl w:val="5024EFF2"/>
    <w:lvl w:ilvl="0" w:tplc="CA84DF4C">
      <w:numFmt w:val="bullet"/>
      <w:lvlText w:val="-"/>
      <w:lvlJc w:val="left"/>
      <w:pPr>
        <w:ind w:left="720" w:hanging="360"/>
      </w:pPr>
      <w:rPr>
        <w:rFonts w:ascii="Georgia" w:eastAsiaTheme="minorHAnsi" w:hAnsi="Georgia" w:cs="Georgia" w:hint="default"/>
      </w:rPr>
    </w:lvl>
    <w:lvl w:ilvl="1" w:tplc="0407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nsid w:val="605735B9"/>
    <w:multiLevelType w:val="hybridMultilevel"/>
    <w:tmpl w:val="AD1C76E8"/>
    <w:lvl w:ilvl="0" w:tplc="6658B948">
      <w:start w:val="1"/>
      <w:numFmt w:val="decimal"/>
      <w:pStyle w:val="Nadpis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70F71"/>
    <w:multiLevelType w:val="singleLevel"/>
    <w:tmpl w:val="A8CADBFA"/>
    <w:name w:val="Bullet 0"/>
    <w:lvl w:ilvl="0">
      <w:start w:val="1"/>
      <w:numFmt w:val="bullet"/>
      <w:pStyle w:val="slovanseznam"/>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51E5925"/>
    <w:multiLevelType w:val="hybridMultilevel"/>
    <w:tmpl w:val="33AEF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4"/>
  </w:num>
  <w:num w:numId="15">
    <w:abstractNumId w:val="11"/>
  </w:num>
  <w:num w:numId="16">
    <w:abstractNumId w:val="1"/>
  </w:num>
  <w:num w:numId="17">
    <w:abstractNumId w:val="14"/>
  </w:num>
  <w:num w:numId="18">
    <w:abstractNumId w:val="16"/>
  </w:num>
  <w:num w:numId="19">
    <w:abstractNumId w:val="18"/>
  </w:num>
  <w:num w:numId="20">
    <w:abstractNumId w:val="28"/>
  </w:num>
  <w:num w:numId="21">
    <w:abstractNumId w:val="39"/>
  </w:num>
  <w:num w:numId="22">
    <w:abstractNumId w:val="26"/>
  </w:num>
  <w:num w:numId="23">
    <w:abstractNumId w:val="10"/>
  </w:num>
  <w:num w:numId="24">
    <w:abstractNumId w:val="33"/>
  </w:num>
  <w:num w:numId="25">
    <w:abstractNumId w:val="32"/>
  </w:num>
  <w:num w:numId="26">
    <w:abstractNumId w:val="20"/>
  </w:num>
  <w:num w:numId="27">
    <w:abstractNumId w:val="36"/>
  </w:num>
  <w:num w:numId="28">
    <w:abstractNumId w:val="42"/>
  </w:num>
  <w:num w:numId="29">
    <w:abstractNumId w:val="8"/>
  </w:num>
  <w:num w:numId="30">
    <w:abstractNumId w:val="3"/>
  </w:num>
  <w:num w:numId="31">
    <w:abstractNumId w:val="23"/>
  </w:num>
  <w:num w:numId="32">
    <w:abstractNumId w:val="2"/>
  </w:num>
  <w:num w:numId="33">
    <w:abstractNumId w:val="6"/>
  </w:num>
  <w:num w:numId="34">
    <w:abstractNumId w:val="22"/>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 w:numId="52">
    <w:abstractNumId w:val="31"/>
  </w:num>
  <w:num w:numId="53">
    <w:abstractNumId w:val="40"/>
  </w:num>
  <w:num w:numId="54">
    <w:abstractNumId w:val="15"/>
  </w:num>
  <w:num w:numId="55">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673"/>
    <w:rsid w:val="00014A95"/>
    <w:rsid w:val="00015B5E"/>
    <w:rsid w:val="00015F1D"/>
    <w:rsid w:val="0001774B"/>
    <w:rsid w:val="00020D0F"/>
    <w:rsid w:val="000215EB"/>
    <w:rsid w:val="00021615"/>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4E2E"/>
    <w:rsid w:val="000569D7"/>
    <w:rsid w:val="000576D7"/>
    <w:rsid w:val="00060F72"/>
    <w:rsid w:val="00062592"/>
    <w:rsid w:val="000636A1"/>
    <w:rsid w:val="000649D9"/>
    <w:rsid w:val="000652BE"/>
    <w:rsid w:val="00066479"/>
    <w:rsid w:val="0006723C"/>
    <w:rsid w:val="00070376"/>
    <w:rsid w:val="00070974"/>
    <w:rsid w:val="00071762"/>
    <w:rsid w:val="00071EAD"/>
    <w:rsid w:val="00071F4E"/>
    <w:rsid w:val="00072271"/>
    <w:rsid w:val="00072B54"/>
    <w:rsid w:val="0007463D"/>
    <w:rsid w:val="000749F0"/>
    <w:rsid w:val="0007609D"/>
    <w:rsid w:val="00077C67"/>
    <w:rsid w:val="00080976"/>
    <w:rsid w:val="00080AD1"/>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14CE"/>
    <w:rsid w:val="000B275C"/>
    <w:rsid w:val="000B2C3D"/>
    <w:rsid w:val="000B55C0"/>
    <w:rsid w:val="000B5DF2"/>
    <w:rsid w:val="000C06C9"/>
    <w:rsid w:val="000C1DCC"/>
    <w:rsid w:val="000C1FBC"/>
    <w:rsid w:val="000C2B6A"/>
    <w:rsid w:val="000C2F88"/>
    <w:rsid w:val="000C468B"/>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62E"/>
    <w:rsid w:val="001459E3"/>
    <w:rsid w:val="00146A0B"/>
    <w:rsid w:val="00146C88"/>
    <w:rsid w:val="0014761E"/>
    <w:rsid w:val="00151907"/>
    <w:rsid w:val="001544C8"/>
    <w:rsid w:val="00155FAB"/>
    <w:rsid w:val="001567A1"/>
    <w:rsid w:val="00156857"/>
    <w:rsid w:val="00157E79"/>
    <w:rsid w:val="00157EED"/>
    <w:rsid w:val="0016087A"/>
    <w:rsid w:val="00160A5C"/>
    <w:rsid w:val="00161391"/>
    <w:rsid w:val="001613EC"/>
    <w:rsid w:val="0016358A"/>
    <w:rsid w:val="001638D4"/>
    <w:rsid w:val="00164664"/>
    <w:rsid w:val="00164F15"/>
    <w:rsid w:val="001651A4"/>
    <w:rsid w:val="0016552B"/>
    <w:rsid w:val="001664A5"/>
    <w:rsid w:val="00166B04"/>
    <w:rsid w:val="001670A6"/>
    <w:rsid w:val="001701FA"/>
    <w:rsid w:val="00171183"/>
    <w:rsid w:val="001725A5"/>
    <w:rsid w:val="00172681"/>
    <w:rsid w:val="00173AC7"/>
    <w:rsid w:val="001745D7"/>
    <w:rsid w:val="00175754"/>
    <w:rsid w:val="00176982"/>
    <w:rsid w:val="00176C84"/>
    <w:rsid w:val="0017701C"/>
    <w:rsid w:val="00181264"/>
    <w:rsid w:val="00181BD1"/>
    <w:rsid w:val="0018204A"/>
    <w:rsid w:val="00182F7C"/>
    <w:rsid w:val="001843B5"/>
    <w:rsid w:val="00186829"/>
    <w:rsid w:val="001868CA"/>
    <w:rsid w:val="00187304"/>
    <w:rsid w:val="001875BE"/>
    <w:rsid w:val="0019017A"/>
    <w:rsid w:val="00190B8C"/>
    <w:rsid w:val="00190FF8"/>
    <w:rsid w:val="0019301A"/>
    <w:rsid w:val="0019311A"/>
    <w:rsid w:val="0019508A"/>
    <w:rsid w:val="001960D8"/>
    <w:rsid w:val="001A1642"/>
    <w:rsid w:val="001A230E"/>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10F3"/>
    <w:rsid w:val="001E407D"/>
    <w:rsid w:val="001E40FB"/>
    <w:rsid w:val="001E66EC"/>
    <w:rsid w:val="001E68C5"/>
    <w:rsid w:val="001F0F63"/>
    <w:rsid w:val="001F3996"/>
    <w:rsid w:val="001F44A4"/>
    <w:rsid w:val="001F579D"/>
    <w:rsid w:val="001F65EF"/>
    <w:rsid w:val="001F697B"/>
    <w:rsid w:val="002005A6"/>
    <w:rsid w:val="00204CBC"/>
    <w:rsid w:val="00204CC1"/>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60D2"/>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7A4"/>
    <w:rsid w:val="00245FB4"/>
    <w:rsid w:val="00250898"/>
    <w:rsid w:val="00251EA9"/>
    <w:rsid w:val="00252843"/>
    <w:rsid w:val="002543F8"/>
    <w:rsid w:val="00254AB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256E"/>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D97"/>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EE4"/>
    <w:rsid w:val="002E35ED"/>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6471"/>
    <w:rsid w:val="00356F5B"/>
    <w:rsid w:val="003609B6"/>
    <w:rsid w:val="00361119"/>
    <w:rsid w:val="0036538D"/>
    <w:rsid w:val="00365D12"/>
    <w:rsid w:val="0037018D"/>
    <w:rsid w:val="00372299"/>
    <w:rsid w:val="00372F02"/>
    <w:rsid w:val="003732DE"/>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ADA"/>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1EDF"/>
    <w:rsid w:val="003F2E45"/>
    <w:rsid w:val="003F3EFE"/>
    <w:rsid w:val="003F40B8"/>
    <w:rsid w:val="003F5C06"/>
    <w:rsid w:val="00400195"/>
    <w:rsid w:val="0040254B"/>
    <w:rsid w:val="00403086"/>
    <w:rsid w:val="00403460"/>
    <w:rsid w:val="00404008"/>
    <w:rsid w:val="004040FF"/>
    <w:rsid w:val="00404284"/>
    <w:rsid w:val="004042C4"/>
    <w:rsid w:val="00406E90"/>
    <w:rsid w:val="00410240"/>
    <w:rsid w:val="00412253"/>
    <w:rsid w:val="004142ED"/>
    <w:rsid w:val="0041634D"/>
    <w:rsid w:val="00417EF7"/>
    <w:rsid w:val="00422A7D"/>
    <w:rsid w:val="00422BFC"/>
    <w:rsid w:val="00423A98"/>
    <w:rsid w:val="00424642"/>
    <w:rsid w:val="00425ABB"/>
    <w:rsid w:val="00425BB6"/>
    <w:rsid w:val="004261A0"/>
    <w:rsid w:val="004265AA"/>
    <w:rsid w:val="00426BC3"/>
    <w:rsid w:val="00426CE1"/>
    <w:rsid w:val="00427D52"/>
    <w:rsid w:val="00430317"/>
    <w:rsid w:val="00430412"/>
    <w:rsid w:val="00430497"/>
    <w:rsid w:val="0043173B"/>
    <w:rsid w:val="00432A91"/>
    <w:rsid w:val="004332A4"/>
    <w:rsid w:val="0043453F"/>
    <w:rsid w:val="00434A74"/>
    <w:rsid w:val="00437929"/>
    <w:rsid w:val="00437A4A"/>
    <w:rsid w:val="00440541"/>
    <w:rsid w:val="0044162D"/>
    <w:rsid w:val="0044277A"/>
    <w:rsid w:val="004456DC"/>
    <w:rsid w:val="00447C7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43A2"/>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B3F"/>
    <w:rsid w:val="004D3DEC"/>
    <w:rsid w:val="004D42C8"/>
    <w:rsid w:val="004D4F57"/>
    <w:rsid w:val="004D50F6"/>
    <w:rsid w:val="004D5714"/>
    <w:rsid w:val="004D5A0D"/>
    <w:rsid w:val="004D7910"/>
    <w:rsid w:val="004D7DEA"/>
    <w:rsid w:val="004E0A28"/>
    <w:rsid w:val="004E1A0F"/>
    <w:rsid w:val="004E2E89"/>
    <w:rsid w:val="004E33C2"/>
    <w:rsid w:val="004E3B9A"/>
    <w:rsid w:val="004E49B0"/>
    <w:rsid w:val="004E62DE"/>
    <w:rsid w:val="004E6B05"/>
    <w:rsid w:val="004E76A1"/>
    <w:rsid w:val="004E7E89"/>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2E8"/>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4AC"/>
    <w:rsid w:val="005C3C6C"/>
    <w:rsid w:val="005C3F4C"/>
    <w:rsid w:val="005C43AA"/>
    <w:rsid w:val="005C48C8"/>
    <w:rsid w:val="005C663C"/>
    <w:rsid w:val="005D1023"/>
    <w:rsid w:val="005D148F"/>
    <w:rsid w:val="005D2AD2"/>
    <w:rsid w:val="005D4A86"/>
    <w:rsid w:val="005D5EB1"/>
    <w:rsid w:val="005D6A29"/>
    <w:rsid w:val="005E0481"/>
    <w:rsid w:val="005E05A9"/>
    <w:rsid w:val="005E0D36"/>
    <w:rsid w:val="005E10BF"/>
    <w:rsid w:val="005E1834"/>
    <w:rsid w:val="005E49E5"/>
    <w:rsid w:val="005E5481"/>
    <w:rsid w:val="005E55E4"/>
    <w:rsid w:val="005E6C5F"/>
    <w:rsid w:val="005E7636"/>
    <w:rsid w:val="005F028E"/>
    <w:rsid w:val="005F04B4"/>
    <w:rsid w:val="005F11A4"/>
    <w:rsid w:val="005F19F8"/>
    <w:rsid w:val="005F2594"/>
    <w:rsid w:val="005F3FB1"/>
    <w:rsid w:val="005F5ACF"/>
    <w:rsid w:val="005F60DC"/>
    <w:rsid w:val="006000DD"/>
    <w:rsid w:val="00600F63"/>
    <w:rsid w:val="006012E1"/>
    <w:rsid w:val="00602253"/>
    <w:rsid w:val="006023E1"/>
    <w:rsid w:val="00605531"/>
    <w:rsid w:val="00606240"/>
    <w:rsid w:val="0060674A"/>
    <w:rsid w:val="00606B0A"/>
    <w:rsid w:val="00607832"/>
    <w:rsid w:val="0060784B"/>
    <w:rsid w:val="00610254"/>
    <w:rsid w:val="006105FB"/>
    <w:rsid w:val="00610A10"/>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0D0F"/>
    <w:rsid w:val="006521F3"/>
    <w:rsid w:val="006524D5"/>
    <w:rsid w:val="00652BBD"/>
    <w:rsid w:val="00653633"/>
    <w:rsid w:val="00653F69"/>
    <w:rsid w:val="00654936"/>
    <w:rsid w:val="00655485"/>
    <w:rsid w:val="006558B3"/>
    <w:rsid w:val="00660BF0"/>
    <w:rsid w:val="0066189C"/>
    <w:rsid w:val="006630CF"/>
    <w:rsid w:val="00663EFF"/>
    <w:rsid w:val="006647F2"/>
    <w:rsid w:val="00665172"/>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324"/>
    <w:rsid w:val="00686FA2"/>
    <w:rsid w:val="006870C5"/>
    <w:rsid w:val="00690F0E"/>
    <w:rsid w:val="006911C0"/>
    <w:rsid w:val="00691B7C"/>
    <w:rsid w:val="0069315E"/>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23EE"/>
    <w:rsid w:val="006D399F"/>
    <w:rsid w:val="006D46ED"/>
    <w:rsid w:val="006D4F0C"/>
    <w:rsid w:val="006D5645"/>
    <w:rsid w:val="006E0A97"/>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4491"/>
    <w:rsid w:val="0074509E"/>
    <w:rsid w:val="00745B9F"/>
    <w:rsid w:val="0074726F"/>
    <w:rsid w:val="00752D4F"/>
    <w:rsid w:val="0075409F"/>
    <w:rsid w:val="00754317"/>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736"/>
    <w:rsid w:val="00766F4D"/>
    <w:rsid w:val="007701BC"/>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A98"/>
    <w:rsid w:val="007A7678"/>
    <w:rsid w:val="007B0CD8"/>
    <w:rsid w:val="007B0DE0"/>
    <w:rsid w:val="007B21DE"/>
    <w:rsid w:val="007B2BB9"/>
    <w:rsid w:val="007B43E8"/>
    <w:rsid w:val="007B4740"/>
    <w:rsid w:val="007B502C"/>
    <w:rsid w:val="007B5F3B"/>
    <w:rsid w:val="007C02B0"/>
    <w:rsid w:val="007C063E"/>
    <w:rsid w:val="007C0B9C"/>
    <w:rsid w:val="007C1901"/>
    <w:rsid w:val="007C3810"/>
    <w:rsid w:val="007C49C0"/>
    <w:rsid w:val="007C55C1"/>
    <w:rsid w:val="007C5738"/>
    <w:rsid w:val="007C5772"/>
    <w:rsid w:val="007C5AC3"/>
    <w:rsid w:val="007C7233"/>
    <w:rsid w:val="007C79FB"/>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49C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37234"/>
    <w:rsid w:val="00840477"/>
    <w:rsid w:val="0084121D"/>
    <w:rsid w:val="008419C1"/>
    <w:rsid w:val="00844515"/>
    <w:rsid w:val="0084465A"/>
    <w:rsid w:val="00844A55"/>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2C8F"/>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5CE8"/>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1E50"/>
    <w:rsid w:val="00913401"/>
    <w:rsid w:val="00913567"/>
    <w:rsid w:val="009137B6"/>
    <w:rsid w:val="00915EBA"/>
    <w:rsid w:val="00917093"/>
    <w:rsid w:val="0092030E"/>
    <w:rsid w:val="009217B1"/>
    <w:rsid w:val="00921A42"/>
    <w:rsid w:val="009223BB"/>
    <w:rsid w:val="00922491"/>
    <w:rsid w:val="0092287D"/>
    <w:rsid w:val="00923BCF"/>
    <w:rsid w:val="00925AEC"/>
    <w:rsid w:val="0092751A"/>
    <w:rsid w:val="009305C4"/>
    <w:rsid w:val="00931FAF"/>
    <w:rsid w:val="009359C3"/>
    <w:rsid w:val="009360F6"/>
    <w:rsid w:val="009371DC"/>
    <w:rsid w:val="0093759D"/>
    <w:rsid w:val="00940239"/>
    <w:rsid w:val="00942BD6"/>
    <w:rsid w:val="00942DED"/>
    <w:rsid w:val="00944404"/>
    <w:rsid w:val="00944D0E"/>
    <w:rsid w:val="009452D7"/>
    <w:rsid w:val="00945FD1"/>
    <w:rsid w:val="00946CCC"/>
    <w:rsid w:val="009503E5"/>
    <w:rsid w:val="00950F71"/>
    <w:rsid w:val="00952F2C"/>
    <w:rsid w:val="009532E3"/>
    <w:rsid w:val="00953615"/>
    <w:rsid w:val="00954BAF"/>
    <w:rsid w:val="00955F48"/>
    <w:rsid w:val="009560B3"/>
    <w:rsid w:val="0095684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C9A"/>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33EB"/>
    <w:rsid w:val="009B7133"/>
    <w:rsid w:val="009B7658"/>
    <w:rsid w:val="009B7CD1"/>
    <w:rsid w:val="009B7E22"/>
    <w:rsid w:val="009B7E78"/>
    <w:rsid w:val="009C0ABB"/>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3EE7"/>
    <w:rsid w:val="00A160D3"/>
    <w:rsid w:val="00A16DC9"/>
    <w:rsid w:val="00A20225"/>
    <w:rsid w:val="00A24269"/>
    <w:rsid w:val="00A243E4"/>
    <w:rsid w:val="00A25ED4"/>
    <w:rsid w:val="00A26C5C"/>
    <w:rsid w:val="00A30BDE"/>
    <w:rsid w:val="00A3131C"/>
    <w:rsid w:val="00A31F14"/>
    <w:rsid w:val="00A324DC"/>
    <w:rsid w:val="00A32B5A"/>
    <w:rsid w:val="00A332A8"/>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132"/>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3FA"/>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A7E25"/>
    <w:rsid w:val="00AB2AEC"/>
    <w:rsid w:val="00AB2DC1"/>
    <w:rsid w:val="00AB3102"/>
    <w:rsid w:val="00AB3D9A"/>
    <w:rsid w:val="00AB4B1D"/>
    <w:rsid w:val="00AB6B5E"/>
    <w:rsid w:val="00AC047F"/>
    <w:rsid w:val="00AC2C33"/>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BC2"/>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1C9D"/>
    <w:rsid w:val="00BB238D"/>
    <w:rsid w:val="00BB37CC"/>
    <w:rsid w:val="00BB48C4"/>
    <w:rsid w:val="00BB5235"/>
    <w:rsid w:val="00BB6907"/>
    <w:rsid w:val="00BB7A20"/>
    <w:rsid w:val="00BC15B1"/>
    <w:rsid w:val="00BC3C06"/>
    <w:rsid w:val="00BC4E8B"/>
    <w:rsid w:val="00BC5622"/>
    <w:rsid w:val="00BC6060"/>
    <w:rsid w:val="00BC7897"/>
    <w:rsid w:val="00BD0F35"/>
    <w:rsid w:val="00BD45A4"/>
    <w:rsid w:val="00BD4A5F"/>
    <w:rsid w:val="00BD59AA"/>
    <w:rsid w:val="00BD630F"/>
    <w:rsid w:val="00BD65E6"/>
    <w:rsid w:val="00BD6AF7"/>
    <w:rsid w:val="00BE19EF"/>
    <w:rsid w:val="00BE425B"/>
    <w:rsid w:val="00BE51BB"/>
    <w:rsid w:val="00BE7595"/>
    <w:rsid w:val="00BE77D3"/>
    <w:rsid w:val="00BE7CAE"/>
    <w:rsid w:val="00BF0138"/>
    <w:rsid w:val="00BF114B"/>
    <w:rsid w:val="00BF1620"/>
    <w:rsid w:val="00BF1AC3"/>
    <w:rsid w:val="00BF373A"/>
    <w:rsid w:val="00BF557C"/>
    <w:rsid w:val="00BF5C4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74E"/>
    <w:rsid w:val="00C108C9"/>
    <w:rsid w:val="00C10BE6"/>
    <w:rsid w:val="00C11296"/>
    <w:rsid w:val="00C11905"/>
    <w:rsid w:val="00C1234A"/>
    <w:rsid w:val="00C12661"/>
    <w:rsid w:val="00C126E3"/>
    <w:rsid w:val="00C1295C"/>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53"/>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1254"/>
    <w:rsid w:val="00CF2056"/>
    <w:rsid w:val="00CF4471"/>
    <w:rsid w:val="00CF51C0"/>
    <w:rsid w:val="00CF5B2A"/>
    <w:rsid w:val="00CF5F57"/>
    <w:rsid w:val="00CF64A7"/>
    <w:rsid w:val="00CF6730"/>
    <w:rsid w:val="00CF6A02"/>
    <w:rsid w:val="00CF70E5"/>
    <w:rsid w:val="00CF79D4"/>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355"/>
    <w:rsid w:val="00D6240A"/>
    <w:rsid w:val="00D63093"/>
    <w:rsid w:val="00D63599"/>
    <w:rsid w:val="00D63EBD"/>
    <w:rsid w:val="00D67101"/>
    <w:rsid w:val="00D673CB"/>
    <w:rsid w:val="00D718BF"/>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48BE"/>
    <w:rsid w:val="00DB4C6A"/>
    <w:rsid w:val="00DB5742"/>
    <w:rsid w:val="00DB59E6"/>
    <w:rsid w:val="00DB5EDF"/>
    <w:rsid w:val="00DB6C46"/>
    <w:rsid w:val="00DB6F78"/>
    <w:rsid w:val="00DB72B8"/>
    <w:rsid w:val="00DC16AF"/>
    <w:rsid w:val="00DC18E1"/>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801"/>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3D46"/>
    <w:rsid w:val="00E7494A"/>
    <w:rsid w:val="00E74BE2"/>
    <w:rsid w:val="00E74C66"/>
    <w:rsid w:val="00E75933"/>
    <w:rsid w:val="00E77A1B"/>
    <w:rsid w:val="00E808BE"/>
    <w:rsid w:val="00E81E36"/>
    <w:rsid w:val="00E81E40"/>
    <w:rsid w:val="00E82ECE"/>
    <w:rsid w:val="00E857EA"/>
    <w:rsid w:val="00E85965"/>
    <w:rsid w:val="00E8713B"/>
    <w:rsid w:val="00E87288"/>
    <w:rsid w:val="00E90C61"/>
    <w:rsid w:val="00E92A82"/>
    <w:rsid w:val="00E92AA8"/>
    <w:rsid w:val="00E9344E"/>
    <w:rsid w:val="00E93E39"/>
    <w:rsid w:val="00E94391"/>
    <w:rsid w:val="00E94633"/>
    <w:rsid w:val="00E95A1F"/>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3FAF"/>
    <w:rsid w:val="00EC443E"/>
    <w:rsid w:val="00EC4D83"/>
    <w:rsid w:val="00EC4EEE"/>
    <w:rsid w:val="00EC634F"/>
    <w:rsid w:val="00EC7B97"/>
    <w:rsid w:val="00EC7EAB"/>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0BA"/>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6CAF"/>
    <w:rsid w:val="00F67F04"/>
    <w:rsid w:val="00F70207"/>
    <w:rsid w:val="00F702CB"/>
    <w:rsid w:val="00F71AC2"/>
    <w:rsid w:val="00F739D4"/>
    <w:rsid w:val="00F77D43"/>
    <w:rsid w:val="00F80953"/>
    <w:rsid w:val="00F81312"/>
    <w:rsid w:val="00F81B90"/>
    <w:rsid w:val="00F81E6F"/>
    <w:rsid w:val="00F82FF3"/>
    <w:rsid w:val="00F8453C"/>
    <w:rsid w:val="00F84D4C"/>
    <w:rsid w:val="00F85604"/>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56D9"/>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E4933"/>
    <w:rsid w:val="00FE4CE0"/>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d4491,#283583"/>
    </o:shapedefaults>
    <o:shapelayout v:ext="edit">
      <o:idmap v:ext="edit" data="1"/>
    </o:shapelayout>
  </w:shapeDefaults>
  <w:decimalSymbol w:val=","/>
  <w:listSeparator w:val=";"/>
  <w14:docId w14:val="683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F0769"/>
    <w:rPr>
      <w:rFonts w:ascii="Arial" w:hAnsi="Arial"/>
      <w:szCs w:val="24"/>
      <w:lang w:eastAsia="de-DE"/>
    </w:rPr>
  </w:style>
  <w:style w:type="paragraph" w:styleId="Nadpis1">
    <w:name w:val="heading 1"/>
    <w:basedOn w:val="Normln"/>
    <w:next w:val="Normln"/>
    <w:link w:val="Nadpis1Char"/>
    <w:qFormat/>
    <w:rsid w:val="009E7724"/>
    <w:pPr>
      <w:keepNext/>
      <w:numPr>
        <w:numId w:val="5"/>
      </w:numPr>
      <w:spacing w:before="240" w:after="60"/>
      <w:outlineLvl w:val="0"/>
    </w:pPr>
    <w:rPr>
      <w:rFonts w:cs="Arial"/>
      <w:b/>
      <w:bCs/>
      <w:kern w:val="32"/>
      <w:sz w:val="24"/>
      <w:szCs w:val="32"/>
    </w:rPr>
  </w:style>
  <w:style w:type="paragraph" w:styleId="Nadpis2">
    <w:name w:val="heading 2"/>
    <w:basedOn w:val="Normln"/>
    <w:next w:val="Normln"/>
    <w:link w:val="Nadpis2Char"/>
    <w:qFormat/>
    <w:rsid w:val="00886A60"/>
    <w:pPr>
      <w:keepNext/>
      <w:keepLines/>
      <w:spacing w:before="200" w:after="120"/>
      <w:outlineLvl w:val="1"/>
    </w:pPr>
    <w:rPr>
      <w:b/>
      <w:bCs/>
      <w:szCs w:val="26"/>
    </w:rPr>
  </w:style>
  <w:style w:type="paragraph" w:styleId="Nadpis3">
    <w:name w:val="heading 3"/>
    <w:basedOn w:val="Normln"/>
    <w:next w:val="Normln"/>
    <w:link w:val="Nadpis3Char"/>
    <w:qFormat/>
    <w:rsid w:val="003865E5"/>
    <w:pPr>
      <w:keepNext/>
      <w:keepLines/>
      <w:spacing w:before="200"/>
      <w:outlineLvl w:val="2"/>
    </w:pPr>
    <w:rPr>
      <w:rFonts w:ascii="Cambria" w:hAnsi="Cambria"/>
      <w:b/>
      <w:bCs/>
      <w:color w:val="4F81BD"/>
    </w:rPr>
  </w:style>
  <w:style w:type="paragraph" w:styleId="Nadpis4">
    <w:name w:val="heading 4"/>
    <w:basedOn w:val="Normln"/>
    <w:next w:val="Normln"/>
    <w:link w:val="Nadpis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dpis5">
    <w:name w:val="heading 5"/>
    <w:aliases w:val="Questions"/>
    <w:basedOn w:val="Normln"/>
    <w:next w:val="Normln"/>
    <w:link w:val="Nadpis5Char"/>
    <w:qFormat/>
    <w:rsid w:val="00E9344E"/>
    <w:pPr>
      <w:keepNext/>
      <w:keepLines/>
      <w:numPr>
        <w:numId w:val="13"/>
      </w:numPr>
      <w:spacing w:before="200"/>
      <w:jc w:val="both"/>
      <w:outlineLvl w:val="4"/>
    </w:pPr>
    <w:rPr>
      <w:b/>
    </w:rPr>
  </w:style>
  <w:style w:type="paragraph" w:styleId="Nadpis6">
    <w:name w:val="heading 6"/>
    <w:basedOn w:val="Normln"/>
    <w:next w:val="Normln"/>
    <w:link w:val="Nadpis6Char"/>
    <w:qFormat/>
    <w:rsid w:val="003609B6"/>
    <w:pPr>
      <w:numPr>
        <w:ilvl w:val="5"/>
        <w:numId w:val="4"/>
      </w:numPr>
      <w:spacing w:before="240" w:after="60"/>
      <w:outlineLvl w:val="5"/>
    </w:pPr>
    <w:rPr>
      <w:rFonts w:ascii="Times New Roman" w:hAnsi="Times New Roman"/>
      <w:b/>
      <w:bCs/>
      <w:szCs w:val="22"/>
    </w:rPr>
  </w:style>
  <w:style w:type="paragraph" w:styleId="Nadpis7">
    <w:name w:val="heading 7"/>
    <w:basedOn w:val="Normln"/>
    <w:next w:val="Normln"/>
    <w:link w:val="Nadpis7Char"/>
    <w:unhideWhenUsed/>
    <w:qFormat/>
    <w:rsid w:val="002D6E1A"/>
    <w:pPr>
      <w:spacing w:before="240" w:after="60"/>
      <w:ind w:left="1296" w:hanging="1296"/>
      <w:outlineLvl w:val="6"/>
    </w:pPr>
    <w:rPr>
      <w:rFonts w:ascii="Times New Roman" w:hAnsi="Times New Roman"/>
    </w:rPr>
  </w:style>
  <w:style w:type="paragraph" w:styleId="Nadpis8">
    <w:name w:val="heading 8"/>
    <w:basedOn w:val="Normln"/>
    <w:next w:val="Normln"/>
    <w:link w:val="Nadpis8Char"/>
    <w:qFormat/>
    <w:rsid w:val="003609B6"/>
    <w:pPr>
      <w:numPr>
        <w:ilvl w:val="7"/>
        <w:numId w:val="4"/>
      </w:numPr>
      <w:spacing w:before="240" w:after="60"/>
      <w:outlineLvl w:val="7"/>
    </w:pPr>
    <w:rPr>
      <w:rFonts w:ascii="Times New Roman" w:hAnsi="Times New Roman"/>
      <w:i/>
      <w:iCs/>
    </w:rPr>
  </w:style>
  <w:style w:type="paragraph" w:styleId="Nadpis9">
    <w:name w:val="heading 9"/>
    <w:basedOn w:val="Normln"/>
    <w:next w:val="Normln"/>
    <w:link w:val="Nadpis9Char"/>
    <w:qFormat/>
    <w:rsid w:val="00A06867"/>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B64CB"/>
    <w:pPr>
      <w:tabs>
        <w:tab w:val="center" w:pos="4536"/>
        <w:tab w:val="right" w:pos="9072"/>
      </w:tabs>
    </w:pPr>
  </w:style>
  <w:style w:type="paragraph" w:styleId="Zpat">
    <w:name w:val="footer"/>
    <w:basedOn w:val="Normln"/>
    <w:link w:val="ZpatChar"/>
    <w:rsid w:val="005B64CB"/>
    <w:pPr>
      <w:tabs>
        <w:tab w:val="center" w:pos="4536"/>
        <w:tab w:val="right" w:pos="9072"/>
      </w:tabs>
    </w:pPr>
  </w:style>
  <w:style w:type="table" w:styleId="Mkatabulky">
    <w:name w:val="Table Grid"/>
    <w:basedOn w:val="Normlntabulka"/>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ln"/>
    <w:rsid w:val="003E3ACA"/>
    <w:pPr>
      <w:spacing w:line="200" w:lineRule="exact"/>
    </w:pPr>
    <w:rPr>
      <w:color w:val="2D4190"/>
      <w:sz w:val="16"/>
    </w:rPr>
  </w:style>
  <w:style w:type="paragraph" w:customStyle="1" w:styleId="05aTitle">
    <w:name w:val="05a_Title"/>
    <w:basedOn w:val="Normln"/>
    <w:rsid w:val="00791EB4"/>
    <w:pPr>
      <w:spacing w:line="340" w:lineRule="exact"/>
    </w:pPr>
    <w:rPr>
      <w:b/>
      <w:color w:val="000000"/>
      <w:sz w:val="28"/>
    </w:rPr>
  </w:style>
  <w:style w:type="paragraph" w:customStyle="1" w:styleId="02Date">
    <w:name w:val="02_Date"/>
    <w:basedOn w:val="Normln"/>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ln"/>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lostrnky">
    <w:name w:val="page number"/>
    <w:basedOn w:val="Standardnpsmoodstavc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Obsah1">
    <w:name w:val="toc 1"/>
    <w:basedOn w:val="Normln"/>
    <w:next w:val="Normln"/>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textovodkaz">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poznpodarou">
    <w:name w:val="footnote text"/>
    <w:aliases w:val="Char3, Char3,Fußnotentextf,Fußnotentextr,stile 1,Footnote1,Footnote2,Footnote3,Footnote4,Footnote5,Footnote6,Footnote7,Footnote8,Footnote9,Footnote10,Footnote11,Footnote21,Footnote31,Footnote41,Footnote51,Footnote61,Footnote71"/>
    <w:basedOn w:val="Normln"/>
    <w:link w:val="TextpoznpodarouChar"/>
    <w:uiPriority w:val="99"/>
    <w:qFormat/>
    <w:rsid w:val="001725A5"/>
    <w:pPr>
      <w:spacing w:line="200" w:lineRule="exact"/>
    </w:pPr>
    <w:rPr>
      <w:sz w:val="16"/>
      <w:szCs w:val="20"/>
    </w:rPr>
  </w:style>
  <w:style w:type="character" w:styleId="Znakapoznpodarou">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Obsah2">
    <w:name w:val="toc 2"/>
    <w:basedOn w:val="Normln"/>
    <w:next w:val="Normln"/>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ln"/>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kaznakoment">
    <w:name w:val="annotation reference"/>
    <w:rsid w:val="004B1E61"/>
    <w:rPr>
      <w:sz w:val="16"/>
      <w:szCs w:val="16"/>
    </w:rPr>
  </w:style>
  <w:style w:type="paragraph" w:styleId="Textkomente">
    <w:name w:val="annotation text"/>
    <w:basedOn w:val="Normln"/>
    <w:link w:val="TextkomenteChar"/>
    <w:rsid w:val="004B1E61"/>
    <w:rPr>
      <w:szCs w:val="20"/>
    </w:rPr>
  </w:style>
  <w:style w:type="character" w:customStyle="1" w:styleId="TextkomenteChar">
    <w:name w:val="Text komentáře Char"/>
    <w:link w:val="Textkomente"/>
    <w:uiPriority w:val="99"/>
    <w:rsid w:val="004B1E61"/>
    <w:rPr>
      <w:rFonts w:ascii="Georgia" w:hAnsi="Georgia"/>
      <w:lang w:eastAsia="de-DE"/>
    </w:rPr>
  </w:style>
  <w:style w:type="paragraph" w:styleId="Pedmtkomente">
    <w:name w:val="annotation subject"/>
    <w:basedOn w:val="Textkomente"/>
    <w:next w:val="Textkomente"/>
    <w:link w:val="PedmtkomenteChar"/>
    <w:rsid w:val="004B1E61"/>
    <w:rPr>
      <w:b/>
      <w:bCs/>
    </w:rPr>
  </w:style>
  <w:style w:type="character" w:customStyle="1" w:styleId="PedmtkomenteChar">
    <w:name w:val="Předmět komentáře Char"/>
    <w:link w:val="Pedmtkomente"/>
    <w:rsid w:val="004B1E61"/>
    <w:rPr>
      <w:rFonts w:ascii="Georgia" w:hAnsi="Georgia"/>
      <w:b/>
      <w:bCs/>
      <w:lang w:eastAsia="de-DE"/>
    </w:rPr>
  </w:style>
  <w:style w:type="paragraph" w:styleId="Textbubliny">
    <w:name w:val="Balloon Text"/>
    <w:basedOn w:val="Normln"/>
    <w:link w:val="TextbublinyChar"/>
    <w:rsid w:val="004B1E61"/>
    <w:rPr>
      <w:rFonts w:ascii="Tahoma" w:hAnsi="Tahoma" w:cs="Tahoma"/>
      <w:sz w:val="16"/>
      <w:szCs w:val="16"/>
    </w:rPr>
  </w:style>
  <w:style w:type="character" w:customStyle="1" w:styleId="TextbublinyChar">
    <w:name w:val="Text bubliny Char"/>
    <w:link w:val="Textbubliny"/>
    <w:rsid w:val="004B1E61"/>
    <w:rPr>
      <w:rFonts w:ascii="Tahoma" w:hAnsi="Tahoma" w:cs="Tahoma"/>
      <w:sz w:val="16"/>
      <w:szCs w:val="16"/>
      <w:lang w:eastAsia="de-DE"/>
    </w:rPr>
  </w:style>
  <w:style w:type="paragraph" w:styleId="Odstavecseseznamem">
    <w:name w:val="List Paragraph"/>
    <w:aliases w:val="Paragraphe EI,Paragraphe de liste1,EC"/>
    <w:basedOn w:val="Normln"/>
    <w:link w:val="OdstavecseseznamemChar"/>
    <w:uiPriority w:val="34"/>
    <w:qFormat/>
    <w:rsid w:val="002A0C82"/>
    <w:pPr>
      <w:ind w:left="720"/>
      <w:contextualSpacing/>
    </w:pPr>
  </w:style>
  <w:style w:type="paragraph" w:styleId="Nadpisobsahu">
    <w:name w:val="TOC Heading"/>
    <w:basedOn w:val="Nadpis1"/>
    <w:next w:val="Normln"/>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poznpodarouChar">
    <w:name w:val="Text pozn. pod čarou Char"/>
    <w:aliases w:val="Char3 Char, Char3 Char,Fußnotentextf Char,Fußnotentextr Char,stile 1 Char,Footnote1 Char,Footnote2 Char,Footnote3 Char,Footnote4 Char,Footnote5 Char,Footnote6 Char,Footnote7 Char,Footnote8 Char,Footnote9 Char,Footnote10 Char"/>
    <w:link w:val="Textpoznpodarou"/>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npsmoodstavce"/>
    <w:rsid w:val="008E1B6A"/>
  </w:style>
  <w:style w:type="paragraph" w:customStyle="1" w:styleId="ManualNumPar1">
    <w:name w:val="Manual NumPar 1"/>
    <w:basedOn w:val="Normln"/>
    <w:next w:val="Normln"/>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dpis1Char">
    <w:name w:val="Nadpis 1 Char"/>
    <w:link w:val="Nadpis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Zvraznn">
    <w:name w:val="Emphasis"/>
    <w:uiPriority w:val="20"/>
    <w:qFormat/>
    <w:rsid w:val="005F028E"/>
    <w:rPr>
      <w:i/>
      <w:iCs/>
    </w:rPr>
  </w:style>
  <w:style w:type="paragraph" w:styleId="Revize">
    <w:name w:val="Revision"/>
    <w:link w:val="RevizeChar"/>
    <w:hidden/>
    <w:uiPriority w:val="99"/>
    <w:semiHidden/>
    <w:rsid w:val="008E6A37"/>
    <w:rPr>
      <w:rFonts w:ascii="Georgia" w:hAnsi="Georgia"/>
      <w:sz w:val="22"/>
      <w:szCs w:val="24"/>
      <w:lang w:eastAsia="de-DE"/>
    </w:rPr>
  </w:style>
  <w:style w:type="paragraph" w:styleId="Obsah3">
    <w:name w:val="toc 3"/>
    <w:basedOn w:val="Normln"/>
    <w:next w:val="Normln"/>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ln"/>
    <w:next w:val="Normln"/>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ln"/>
    <w:next w:val="Normln"/>
    <w:uiPriority w:val="99"/>
    <w:rsid w:val="00F377CD"/>
    <w:pPr>
      <w:autoSpaceDE w:val="0"/>
      <w:autoSpaceDN w:val="0"/>
      <w:adjustRightInd w:val="0"/>
    </w:pPr>
    <w:rPr>
      <w:rFonts w:ascii="EUAlbertina" w:eastAsia="Calibri" w:hAnsi="EUAlbertina"/>
      <w:sz w:val="24"/>
      <w:lang w:val="fr-FR" w:eastAsia="en-US"/>
    </w:rPr>
  </w:style>
  <w:style w:type="paragraph" w:styleId="Obsah4">
    <w:name w:val="toc 4"/>
    <w:basedOn w:val="Normln"/>
    <w:next w:val="Normln"/>
    <w:autoRedefine/>
    <w:uiPriority w:val="39"/>
    <w:unhideWhenUsed/>
    <w:rsid w:val="00F377CD"/>
    <w:pPr>
      <w:spacing w:after="100" w:line="276" w:lineRule="auto"/>
      <w:ind w:left="660"/>
    </w:pPr>
    <w:rPr>
      <w:rFonts w:ascii="Calibri" w:hAnsi="Calibri"/>
      <w:szCs w:val="22"/>
      <w:lang w:eastAsia="en-GB"/>
    </w:rPr>
  </w:style>
  <w:style w:type="paragraph" w:styleId="Obsah5">
    <w:name w:val="toc 5"/>
    <w:basedOn w:val="Normln"/>
    <w:next w:val="Normln"/>
    <w:autoRedefine/>
    <w:uiPriority w:val="39"/>
    <w:unhideWhenUsed/>
    <w:rsid w:val="00F377CD"/>
    <w:pPr>
      <w:spacing w:after="100" w:line="276" w:lineRule="auto"/>
      <w:ind w:left="880"/>
    </w:pPr>
    <w:rPr>
      <w:rFonts w:ascii="Calibri" w:hAnsi="Calibri"/>
      <w:szCs w:val="22"/>
      <w:lang w:eastAsia="en-GB"/>
    </w:rPr>
  </w:style>
  <w:style w:type="paragraph" w:styleId="Obsah6">
    <w:name w:val="toc 6"/>
    <w:basedOn w:val="Normln"/>
    <w:next w:val="Normln"/>
    <w:autoRedefine/>
    <w:uiPriority w:val="39"/>
    <w:unhideWhenUsed/>
    <w:rsid w:val="00F377CD"/>
    <w:pPr>
      <w:spacing w:after="100" w:line="276" w:lineRule="auto"/>
      <w:ind w:left="1100"/>
    </w:pPr>
    <w:rPr>
      <w:rFonts w:ascii="Calibri" w:hAnsi="Calibri"/>
      <w:szCs w:val="22"/>
      <w:lang w:eastAsia="en-GB"/>
    </w:rPr>
  </w:style>
  <w:style w:type="paragraph" w:styleId="Obsah7">
    <w:name w:val="toc 7"/>
    <w:basedOn w:val="Normln"/>
    <w:next w:val="Normln"/>
    <w:autoRedefine/>
    <w:uiPriority w:val="39"/>
    <w:unhideWhenUsed/>
    <w:rsid w:val="00F377CD"/>
    <w:pPr>
      <w:spacing w:after="100" w:line="276" w:lineRule="auto"/>
      <w:ind w:left="1320"/>
    </w:pPr>
    <w:rPr>
      <w:rFonts w:ascii="Calibri" w:hAnsi="Calibri"/>
      <w:szCs w:val="22"/>
      <w:lang w:eastAsia="en-GB"/>
    </w:rPr>
  </w:style>
  <w:style w:type="paragraph" w:styleId="Obsah8">
    <w:name w:val="toc 8"/>
    <w:basedOn w:val="Normln"/>
    <w:next w:val="Normln"/>
    <w:autoRedefine/>
    <w:uiPriority w:val="39"/>
    <w:unhideWhenUsed/>
    <w:rsid w:val="00F377CD"/>
    <w:pPr>
      <w:spacing w:after="100" w:line="276" w:lineRule="auto"/>
      <w:ind w:left="1540"/>
    </w:pPr>
    <w:rPr>
      <w:rFonts w:ascii="Calibri" w:hAnsi="Calibri"/>
      <w:szCs w:val="22"/>
      <w:lang w:eastAsia="en-GB"/>
    </w:rPr>
  </w:style>
  <w:style w:type="paragraph" w:styleId="Obsah9">
    <w:name w:val="toc 9"/>
    <w:basedOn w:val="Normln"/>
    <w:next w:val="Normln"/>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Titulek">
    <w:name w:val="caption"/>
    <w:basedOn w:val="Normln"/>
    <w:next w:val="Normln"/>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lnweb">
    <w:name w:val="Normal (Web)"/>
    <w:basedOn w:val="Normln"/>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Rozloendokumentu">
    <w:name w:val="Document Map"/>
    <w:basedOn w:val="Normln"/>
    <w:link w:val="RozloendokumentuChar"/>
    <w:rsid w:val="00AA016B"/>
    <w:rPr>
      <w:rFonts w:ascii="Tahoma" w:hAnsi="Tahoma" w:cs="Tahoma"/>
      <w:sz w:val="16"/>
      <w:szCs w:val="16"/>
    </w:rPr>
  </w:style>
  <w:style w:type="character" w:customStyle="1" w:styleId="RozloendokumentuChar">
    <w:name w:val="Rozložení dokumentu Char"/>
    <w:link w:val="Rozloendokumentu"/>
    <w:rsid w:val="00AA016B"/>
    <w:rPr>
      <w:rFonts w:ascii="Tahoma" w:hAnsi="Tahoma" w:cs="Tahoma"/>
      <w:sz w:val="16"/>
      <w:szCs w:val="16"/>
      <w:lang w:eastAsia="de-DE"/>
    </w:rPr>
  </w:style>
  <w:style w:type="paragraph" w:styleId="Prosttext">
    <w:name w:val="Plain Text"/>
    <w:basedOn w:val="Normln"/>
    <w:link w:val="ProsttextChar"/>
    <w:unhideWhenUsed/>
    <w:rsid w:val="00AA016B"/>
    <w:rPr>
      <w:rFonts w:ascii="Consolas" w:hAnsi="Consolas"/>
      <w:sz w:val="21"/>
      <w:szCs w:val="21"/>
      <w:lang w:val="de-DE"/>
    </w:rPr>
  </w:style>
  <w:style w:type="character" w:customStyle="1" w:styleId="ProsttextChar">
    <w:name w:val="Prostý text Char"/>
    <w:link w:val="Prosttext"/>
    <w:rsid w:val="00AA016B"/>
    <w:rPr>
      <w:rFonts w:ascii="Consolas" w:hAnsi="Consolas"/>
      <w:sz w:val="21"/>
      <w:szCs w:val="21"/>
      <w:lang w:val="de-DE" w:eastAsia="de-DE"/>
    </w:rPr>
  </w:style>
  <w:style w:type="paragraph" w:styleId="Zkladntext">
    <w:name w:val="Body Text"/>
    <w:basedOn w:val="Normln"/>
    <w:link w:val="ZkladntextChar"/>
    <w:unhideWhenUsed/>
    <w:rsid w:val="00AA016B"/>
    <w:pPr>
      <w:numPr>
        <w:numId w:val="8"/>
      </w:numPr>
      <w:spacing w:after="240"/>
      <w:jc w:val="both"/>
    </w:pPr>
    <w:rPr>
      <w:rFonts w:ascii="Times New Roman" w:hAnsi="Times New Roman"/>
      <w:sz w:val="24"/>
      <w:szCs w:val="20"/>
      <w:lang w:eastAsia="en-GB"/>
    </w:rPr>
  </w:style>
  <w:style w:type="character" w:customStyle="1" w:styleId="ZkladntextChar">
    <w:name w:val="Základní text Char"/>
    <w:link w:val="Zkladntext"/>
    <w:rsid w:val="00AA016B"/>
    <w:rPr>
      <w:sz w:val="24"/>
    </w:rPr>
  </w:style>
  <w:style w:type="paragraph" w:customStyle="1" w:styleId="ListParagraph1">
    <w:name w:val="List Paragraph1"/>
    <w:basedOn w:val="Normln"/>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iln">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dpis2Char">
    <w:name w:val="Nadpis 2 Char"/>
    <w:link w:val="Nadpis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dpis9Char">
    <w:name w:val="Nadpis 9 Char"/>
    <w:link w:val="Nadpis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ln"/>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dpis7Char">
    <w:name w:val="Nadpis 7 Char"/>
    <w:link w:val="Nadpis7"/>
    <w:rsid w:val="002D6E1A"/>
    <w:rPr>
      <w:sz w:val="22"/>
      <w:szCs w:val="24"/>
      <w:lang w:eastAsia="de-DE"/>
    </w:rPr>
  </w:style>
  <w:style w:type="character" w:customStyle="1" w:styleId="Nadpis6Char">
    <w:name w:val="Nadpis 6 Char"/>
    <w:link w:val="Nadpis6"/>
    <w:rsid w:val="002D6E1A"/>
    <w:rPr>
      <w:b/>
      <w:bCs/>
      <w:szCs w:val="22"/>
      <w:lang w:eastAsia="de-DE"/>
    </w:rPr>
  </w:style>
  <w:style w:type="character" w:customStyle="1" w:styleId="Nadpis8Char">
    <w:name w:val="Nadpis 8 Char"/>
    <w:link w:val="Nadpis8"/>
    <w:rsid w:val="002D6E1A"/>
    <w:rPr>
      <w:i/>
      <w:iCs/>
      <w:szCs w:val="24"/>
      <w:lang w:eastAsia="de-DE"/>
    </w:rPr>
  </w:style>
  <w:style w:type="numbering" w:customStyle="1" w:styleId="NoList1">
    <w:name w:val="No List1"/>
    <w:next w:val="Bezseznamu"/>
    <w:uiPriority w:val="99"/>
    <w:semiHidden/>
    <w:unhideWhenUsed/>
    <w:rsid w:val="002D6E1A"/>
  </w:style>
  <w:style w:type="character" w:styleId="Sledovanodkaz">
    <w:name w:val="FollowedHyperlink"/>
    <w:unhideWhenUsed/>
    <w:rsid w:val="002D6E1A"/>
    <w:rPr>
      <w:color w:val="800080"/>
      <w:u w:val="single"/>
    </w:rPr>
  </w:style>
  <w:style w:type="character" w:customStyle="1" w:styleId="ZhlavChar">
    <w:name w:val="Záhlaví Char"/>
    <w:link w:val="Zhlav"/>
    <w:rsid w:val="002D6E1A"/>
    <w:rPr>
      <w:rFonts w:ascii="Georgia" w:hAnsi="Georgia"/>
      <w:sz w:val="22"/>
      <w:szCs w:val="24"/>
      <w:lang w:eastAsia="de-DE"/>
    </w:rPr>
  </w:style>
  <w:style w:type="character" w:customStyle="1" w:styleId="ZpatChar">
    <w:name w:val="Zápatí Char"/>
    <w:link w:val="Zpat"/>
    <w:rsid w:val="002D6E1A"/>
    <w:rPr>
      <w:rFonts w:ascii="Georgia" w:hAnsi="Georgia"/>
      <w:sz w:val="22"/>
      <w:szCs w:val="24"/>
      <w:lang w:eastAsia="de-DE"/>
    </w:rPr>
  </w:style>
  <w:style w:type="paragraph" w:styleId="Textvysvtlivek">
    <w:name w:val="endnote text"/>
    <w:basedOn w:val="Normln"/>
    <w:link w:val="TextvysvtlivekChar"/>
    <w:unhideWhenUsed/>
    <w:rsid w:val="002D6E1A"/>
    <w:rPr>
      <w:szCs w:val="20"/>
    </w:rPr>
  </w:style>
  <w:style w:type="character" w:customStyle="1" w:styleId="TextvysvtlivekChar">
    <w:name w:val="Text vysvětlivek Char"/>
    <w:link w:val="Textvysvtlivek"/>
    <w:rsid w:val="002D6E1A"/>
    <w:rPr>
      <w:rFonts w:ascii="Georgia" w:hAnsi="Georgia"/>
      <w:lang w:eastAsia="de-DE"/>
    </w:rPr>
  </w:style>
  <w:style w:type="paragraph" w:styleId="slovanseznam">
    <w:name w:val="List Number"/>
    <w:basedOn w:val="Normln"/>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OdstavecseseznamemChar">
    <w:name w:val="Odstavec se seznamem Char"/>
    <w:aliases w:val="Paragraphe EI Char,Paragraphe de liste1 Char,EC Char"/>
    <w:link w:val="Odstavecseseznamem"/>
    <w:uiPriority w:val="34"/>
    <w:locked/>
    <w:rsid w:val="002D6E1A"/>
    <w:rPr>
      <w:rFonts w:ascii="Georgia" w:hAnsi="Georgia"/>
      <w:sz w:val="22"/>
      <w:szCs w:val="24"/>
      <w:lang w:eastAsia="de-DE"/>
    </w:rPr>
  </w:style>
  <w:style w:type="paragraph" w:customStyle="1" w:styleId="04anumbering0">
    <w:name w:val="04anumbering"/>
    <w:basedOn w:val="Normln"/>
    <w:rsid w:val="002D6E1A"/>
    <w:pPr>
      <w:tabs>
        <w:tab w:val="num" w:pos="360"/>
      </w:tabs>
      <w:spacing w:after="250" w:line="276" w:lineRule="auto"/>
      <w:jc w:val="both"/>
    </w:pPr>
    <w:rPr>
      <w:rFonts w:eastAsia="Calibri"/>
      <w:szCs w:val="20"/>
      <w:lang w:eastAsia="en-GB"/>
    </w:rPr>
  </w:style>
  <w:style w:type="paragraph" w:customStyle="1" w:styleId="Tiret1">
    <w:name w:val="Tiret 1"/>
    <w:basedOn w:val="Normln"/>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Odstavecseseznamem"/>
    <w:link w:val="DPChar"/>
    <w:qFormat/>
    <w:rsid w:val="002D6E1A"/>
    <w:pPr>
      <w:ind w:left="708"/>
      <w:contextualSpacing w:val="0"/>
      <w:jc w:val="both"/>
    </w:pPr>
    <w:rPr>
      <w:b/>
      <w:szCs w:val="20"/>
      <w:u w:val="single"/>
    </w:rPr>
  </w:style>
  <w:style w:type="paragraph" w:customStyle="1" w:styleId="Bullet">
    <w:name w:val="Bullet"/>
    <w:basedOn w:val="Normln"/>
    <w:rsid w:val="002D6E1A"/>
    <w:pPr>
      <w:numPr>
        <w:numId w:val="11"/>
      </w:numPr>
      <w:tabs>
        <w:tab w:val="left" w:pos="708"/>
      </w:tabs>
      <w:spacing w:before="120" w:after="120" w:line="276" w:lineRule="auto"/>
      <w:jc w:val="both"/>
    </w:pPr>
    <w:rPr>
      <w:szCs w:val="20"/>
      <w:lang w:eastAsia="en-GB"/>
    </w:rPr>
  </w:style>
  <w:style w:type="character" w:styleId="Odkaznavysvtlivky">
    <w:name w:val="endnote reference"/>
    <w:unhideWhenUsed/>
    <w:rsid w:val="002D6E1A"/>
    <w:rPr>
      <w:vertAlign w:val="superscript"/>
    </w:rPr>
  </w:style>
  <w:style w:type="character" w:styleId="Zstupn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lntabulka"/>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Bezseznamu"/>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slodku">
    <w:name w:val="line number"/>
    <w:basedOn w:val="Standardnpsmoodstavce"/>
    <w:uiPriority w:val="99"/>
    <w:unhideWhenUsed/>
    <w:rsid w:val="00952F2C"/>
  </w:style>
  <w:style w:type="paragraph" w:customStyle="1" w:styleId="aStyle">
    <w:name w:val="a) Style"/>
    <w:basedOn w:val="Normln"/>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Titulek"/>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ln"/>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dpis5Char">
    <w:name w:val="Nadpis 5 Char"/>
    <w:aliases w:val="Questions Char7"/>
    <w:link w:val="Nadpis5"/>
    <w:rsid w:val="00E9344E"/>
    <w:rPr>
      <w:rFonts w:ascii="Georgia" w:hAnsi="Georgia"/>
      <w:b/>
      <w:szCs w:val="24"/>
      <w:lang w:eastAsia="de-DE"/>
    </w:rPr>
  </w:style>
  <w:style w:type="character" w:customStyle="1" w:styleId="Nadpis3Char">
    <w:name w:val="Nadpis 3 Char"/>
    <w:link w:val="Nadpis3"/>
    <w:rsid w:val="003865E5"/>
    <w:rPr>
      <w:rFonts w:ascii="Cambria" w:eastAsia="Times New Roman" w:hAnsi="Cambria" w:cs="Times New Roman"/>
      <w:b/>
      <w:bCs/>
      <w:color w:val="4F81BD"/>
      <w:sz w:val="22"/>
      <w:szCs w:val="24"/>
      <w:lang w:eastAsia="de-DE"/>
    </w:rPr>
  </w:style>
  <w:style w:type="character" w:customStyle="1" w:styleId="Nadpis4Char">
    <w:name w:val="Nadpis 4 Char"/>
    <w:link w:val="Nadpis4"/>
    <w:rsid w:val="00CB7286"/>
    <w:rPr>
      <w:b/>
      <w:bCs/>
      <w:sz w:val="28"/>
      <w:szCs w:val="28"/>
      <w:lang w:eastAsia="de-DE"/>
    </w:rPr>
  </w:style>
  <w:style w:type="table" w:styleId="Svtlseznamzvraznn3">
    <w:name w:val="Light List Accent 3"/>
    <w:basedOn w:val="Normlntabulka"/>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lntabulka"/>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ln"/>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ln"/>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dpis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dpis1"/>
    <w:next w:val="Normln"/>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ln"/>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ln"/>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ln"/>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ln"/>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ln"/>
    <w:next w:val="Normln"/>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ln"/>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ln"/>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ln"/>
    <w:rsid w:val="000D2D0B"/>
    <w:rPr>
      <w:szCs w:val="20"/>
    </w:rPr>
  </w:style>
  <w:style w:type="paragraph" w:customStyle="1" w:styleId="Sbuchead">
    <w:name w:val="Sbuchead"/>
    <w:basedOn w:val="Normln"/>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ln"/>
    <w:next w:val="Fait"/>
    <w:rsid w:val="000D2D0B"/>
    <w:pPr>
      <w:spacing w:before="480" w:after="120"/>
      <w:jc w:val="both"/>
    </w:pPr>
    <w:rPr>
      <w:rFonts w:ascii="Times New Roman" w:hAnsi="Times New Roman"/>
      <w:sz w:val="24"/>
      <w:lang w:eastAsia="en-US"/>
    </w:rPr>
  </w:style>
  <w:style w:type="paragraph" w:customStyle="1" w:styleId="Fait">
    <w:name w:val="Fait à"/>
    <w:basedOn w:val="Normln"/>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ln"/>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ln"/>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ln"/>
    <w:next w:val="Normln"/>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ln"/>
    <w:next w:val="Normln"/>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ln"/>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ln"/>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ln"/>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ln"/>
    <w:rsid w:val="000D2D0B"/>
    <w:pPr>
      <w:spacing w:before="120" w:after="120"/>
      <w:ind w:left="850"/>
      <w:jc w:val="both"/>
    </w:pPr>
    <w:rPr>
      <w:rFonts w:ascii="Times New Roman" w:hAnsi="Times New Roman"/>
      <w:sz w:val="24"/>
      <w:lang w:eastAsia="en-US"/>
    </w:rPr>
  </w:style>
  <w:style w:type="paragraph" w:customStyle="1" w:styleId="Text2">
    <w:name w:val="Text 2"/>
    <w:basedOn w:val="Normln"/>
    <w:rsid w:val="000D2D0B"/>
    <w:pPr>
      <w:spacing w:before="120" w:after="120"/>
      <w:ind w:left="1417"/>
      <w:jc w:val="both"/>
    </w:pPr>
    <w:rPr>
      <w:rFonts w:ascii="Times New Roman" w:hAnsi="Times New Roman"/>
      <w:sz w:val="24"/>
      <w:lang w:eastAsia="en-US"/>
    </w:rPr>
  </w:style>
  <w:style w:type="paragraph" w:customStyle="1" w:styleId="Text3">
    <w:name w:val="Text 3"/>
    <w:basedOn w:val="Normln"/>
    <w:rsid w:val="000D2D0B"/>
    <w:pPr>
      <w:spacing w:before="120" w:after="120"/>
      <w:ind w:left="1984"/>
      <w:jc w:val="both"/>
    </w:pPr>
    <w:rPr>
      <w:rFonts w:ascii="Times New Roman" w:hAnsi="Times New Roman"/>
      <w:sz w:val="24"/>
      <w:lang w:eastAsia="en-US"/>
    </w:rPr>
  </w:style>
  <w:style w:type="paragraph" w:customStyle="1" w:styleId="Text4">
    <w:name w:val="Text 4"/>
    <w:basedOn w:val="Normln"/>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ln"/>
    <w:rsid w:val="000D2D0B"/>
    <w:pPr>
      <w:spacing w:before="120" w:after="120"/>
      <w:jc w:val="center"/>
    </w:pPr>
    <w:rPr>
      <w:rFonts w:ascii="Times New Roman" w:hAnsi="Times New Roman"/>
      <w:sz w:val="24"/>
      <w:lang w:eastAsia="en-US"/>
    </w:rPr>
  </w:style>
  <w:style w:type="paragraph" w:customStyle="1" w:styleId="NormalLeft">
    <w:name w:val="Normal Left"/>
    <w:basedOn w:val="Normln"/>
    <w:rsid w:val="000D2D0B"/>
    <w:pPr>
      <w:spacing w:before="120" w:after="120"/>
    </w:pPr>
    <w:rPr>
      <w:rFonts w:ascii="Times New Roman" w:hAnsi="Times New Roman"/>
      <w:sz w:val="24"/>
      <w:lang w:eastAsia="en-US"/>
    </w:rPr>
  </w:style>
  <w:style w:type="paragraph" w:customStyle="1" w:styleId="NormalRight">
    <w:name w:val="Normal Right"/>
    <w:basedOn w:val="Normln"/>
    <w:rsid w:val="000D2D0B"/>
    <w:pPr>
      <w:spacing w:before="120" w:after="120"/>
      <w:jc w:val="right"/>
    </w:pPr>
    <w:rPr>
      <w:rFonts w:ascii="Times New Roman" w:hAnsi="Times New Roman"/>
      <w:sz w:val="24"/>
      <w:lang w:eastAsia="en-US"/>
    </w:rPr>
  </w:style>
  <w:style w:type="paragraph" w:customStyle="1" w:styleId="QuotedText">
    <w:name w:val="Quoted Text"/>
    <w:basedOn w:val="Normln"/>
    <w:rsid w:val="000D2D0B"/>
    <w:pPr>
      <w:spacing w:before="120" w:after="120"/>
      <w:ind w:left="1417"/>
      <w:jc w:val="both"/>
    </w:pPr>
    <w:rPr>
      <w:rFonts w:ascii="Times New Roman" w:hAnsi="Times New Roman"/>
      <w:sz w:val="24"/>
      <w:lang w:eastAsia="en-US"/>
    </w:rPr>
  </w:style>
  <w:style w:type="paragraph" w:customStyle="1" w:styleId="Point0">
    <w:name w:val="Point 0"/>
    <w:basedOn w:val="Normln"/>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ln"/>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ln"/>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ln"/>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ln"/>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ln"/>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ln"/>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ln"/>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ln"/>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ln"/>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ln"/>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ln"/>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ln"/>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ln"/>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ln"/>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ln"/>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ln"/>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ln"/>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ln"/>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ln"/>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ln"/>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ln"/>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ln"/>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ln"/>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ln"/>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ln"/>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ln"/>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ln"/>
    <w:next w:val="Normln"/>
    <w:rsid w:val="000D2D0B"/>
    <w:pPr>
      <w:keepNext/>
      <w:spacing w:before="120" w:after="360"/>
      <w:jc w:val="center"/>
    </w:pPr>
    <w:rPr>
      <w:rFonts w:ascii="Times New Roman" w:hAnsi="Times New Roman"/>
      <w:b/>
      <w:sz w:val="32"/>
      <w:lang w:eastAsia="en-US"/>
    </w:rPr>
  </w:style>
  <w:style w:type="paragraph" w:customStyle="1" w:styleId="PartTitle">
    <w:name w:val="PartTitle"/>
    <w:basedOn w:val="Normln"/>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ln"/>
    <w:next w:val="Nadpis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ln"/>
    <w:next w:val="Normln"/>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ln"/>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ln"/>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ln"/>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ln"/>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ln"/>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ln"/>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ln"/>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ln"/>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ln"/>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ln"/>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ln"/>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ln"/>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ln"/>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ln"/>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ln"/>
    <w:next w:val="Normln"/>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ln"/>
    <w:next w:val="Normln"/>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ln"/>
    <w:next w:val="Normln"/>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ln"/>
    <w:next w:val="Normln"/>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ln"/>
    <w:next w:val="Normln"/>
    <w:rsid w:val="000D2D0B"/>
    <w:pPr>
      <w:spacing w:before="360" w:after="120"/>
      <w:jc w:val="center"/>
    </w:pPr>
    <w:rPr>
      <w:rFonts w:ascii="Times New Roman" w:hAnsi="Times New Roman"/>
      <w:sz w:val="24"/>
      <w:lang w:eastAsia="en-US"/>
    </w:rPr>
  </w:style>
  <w:style w:type="paragraph" w:customStyle="1" w:styleId="Confidentialit">
    <w:name w:val="Confidentialité"/>
    <w:basedOn w:val="Normln"/>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ln"/>
    <w:next w:val="Normln"/>
    <w:rsid w:val="000D2D0B"/>
    <w:pPr>
      <w:spacing w:after="240"/>
    </w:pPr>
    <w:rPr>
      <w:rFonts w:ascii="Times New Roman" w:hAnsi="Times New Roman"/>
      <w:sz w:val="24"/>
      <w:lang w:eastAsia="en-US"/>
    </w:rPr>
  </w:style>
  <w:style w:type="paragraph" w:customStyle="1" w:styleId="Datedadoption">
    <w:name w:val="Date d'adoption"/>
    <w:basedOn w:val="Normln"/>
    <w:next w:val="Titreobjet"/>
    <w:rsid w:val="000D2D0B"/>
    <w:pPr>
      <w:spacing w:before="360"/>
      <w:jc w:val="center"/>
    </w:pPr>
    <w:rPr>
      <w:rFonts w:ascii="Times New Roman" w:hAnsi="Times New Roman"/>
      <w:b/>
      <w:sz w:val="24"/>
      <w:lang w:eastAsia="en-US"/>
    </w:rPr>
  </w:style>
  <w:style w:type="paragraph" w:customStyle="1" w:styleId="Emission">
    <w:name w:val="Emission"/>
    <w:basedOn w:val="Normln"/>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ln"/>
    <w:next w:val="Normln"/>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ln"/>
    <w:next w:val="Normln"/>
    <w:rsid w:val="000D2D0B"/>
    <w:pPr>
      <w:keepNext/>
      <w:spacing w:before="600" w:after="120"/>
      <w:jc w:val="both"/>
    </w:pPr>
    <w:rPr>
      <w:rFonts w:ascii="Times New Roman" w:hAnsi="Times New Roman"/>
      <w:sz w:val="24"/>
      <w:lang w:eastAsia="en-US"/>
    </w:rPr>
  </w:style>
  <w:style w:type="paragraph" w:customStyle="1" w:styleId="Langue">
    <w:name w:val="Langue"/>
    <w:basedOn w:val="Normln"/>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ln"/>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ln"/>
    <w:next w:val="Emission"/>
    <w:rsid w:val="000D2D0B"/>
    <w:rPr>
      <w:rFonts w:cs="Arial"/>
      <w:sz w:val="24"/>
      <w:lang w:eastAsia="en-US"/>
    </w:rPr>
  </w:style>
  <w:style w:type="paragraph" w:customStyle="1" w:styleId="Rfrenceinstitutionnelle">
    <w:name w:val="Référence institutionnelle"/>
    <w:basedOn w:val="Normln"/>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ln"/>
    <w:next w:val="Statut"/>
    <w:rsid w:val="000D2D0B"/>
    <w:pPr>
      <w:ind w:left="5103"/>
    </w:pPr>
    <w:rPr>
      <w:rFonts w:ascii="Times New Roman" w:hAnsi="Times New Roman"/>
      <w:sz w:val="24"/>
      <w:lang w:eastAsia="en-US"/>
    </w:rPr>
  </w:style>
  <w:style w:type="paragraph" w:customStyle="1" w:styleId="Rfrenceinterne">
    <w:name w:val="Référence interne"/>
    <w:basedOn w:val="Normln"/>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ln"/>
    <w:rsid w:val="000D2D0B"/>
    <w:pPr>
      <w:jc w:val="center"/>
    </w:pPr>
    <w:rPr>
      <w:rFonts w:ascii="Times New Roman" w:hAnsi="Times New Roman"/>
      <w:b/>
      <w:sz w:val="24"/>
      <w:lang w:eastAsia="en-US"/>
    </w:rPr>
  </w:style>
  <w:style w:type="paragraph" w:customStyle="1" w:styleId="Statut">
    <w:name w:val="Statut"/>
    <w:basedOn w:val="Normln"/>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ln"/>
    <w:next w:val="Normln"/>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ln"/>
    <w:next w:val="Normln"/>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ln"/>
    <w:next w:val="Normln"/>
    <w:rsid w:val="000D2D0B"/>
    <w:pPr>
      <w:spacing w:before="120" w:after="120"/>
      <w:jc w:val="both"/>
    </w:pPr>
    <w:rPr>
      <w:rFonts w:ascii="Times New Roman" w:hAnsi="Times New Roman"/>
      <w:sz w:val="24"/>
      <w:lang w:eastAsia="en-US"/>
    </w:rPr>
  </w:style>
  <w:style w:type="paragraph" w:customStyle="1" w:styleId="Supertitre">
    <w:name w:val="Supertitre"/>
    <w:basedOn w:val="Normln"/>
    <w:next w:val="Normln"/>
    <w:rsid w:val="000D2D0B"/>
    <w:pPr>
      <w:spacing w:after="600"/>
      <w:jc w:val="center"/>
    </w:pPr>
    <w:rPr>
      <w:rFonts w:ascii="Times New Roman" w:hAnsi="Times New Roman"/>
      <w:b/>
      <w:sz w:val="24"/>
      <w:lang w:eastAsia="en-US"/>
    </w:rPr>
  </w:style>
  <w:style w:type="paragraph" w:customStyle="1" w:styleId="Languesfaisantfoi">
    <w:name w:val="Langues faisant foi"/>
    <w:basedOn w:val="Normln"/>
    <w:next w:val="Normln"/>
    <w:rsid w:val="000D2D0B"/>
    <w:pPr>
      <w:spacing w:before="360"/>
      <w:jc w:val="center"/>
    </w:pPr>
    <w:rPr>
      <w:rFonts w:ascii="Times New Roman" w:hAnsi="Times New Roman"/>
      <w:sz w:val="24"/>
      <w:lang w:eastAsia="en-US"/>
    </w:rPr>
  </w:style>
  <w:style w:type="paragraph" w:customStyle="1" w:styleId="Rfrencecroise">
    <w:name w:val="Référence croisée"/>
    <w:basedOn w:val="Normln"/>
    <w:rsid w:val="000D2D0B"/>
    <w:pPr>
      <w:jc w:val="center"/>
    </w:pPr>
    <w:rPr>
      <w:rFonts w:ascii="Times New Roman" w:hAnsi="Times New Roman"/>
      <w:sz w:val="24"/>
      <w:lang w:eastAsia="en-US"/>
    </w:rPr>
  </w:style>
  <w:style w:type="paragraph" w:customStyle="1" w:styleId="Fichefinanciretitre">
    <w:name w:val="Fiche financière titre"/>
    <w:basedOn w:val="Normln"/>
    <w:next w:val="Normln"/>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ln"/>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ln"/>
    <w:rsid w:val="000D2D0B"/>
    <w:pPr>
      <w:spacing w:after="240"/>
    </w:pPr>
  </w:style>
  <w:style w:type="paragraph" w:customStyle="1" w:styleId="Accompagnant">
    <w:name w:val="Accompagnant"/>
    <w:basedOn w:val="Normln"/>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ln"/>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ln"/>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ln"/>
    <w:next w:val="Normln"/>
    <w:rsid w:val="000D2D0B"/>
    <w:pPr>
      <w:spacing w:before="360"/>
      <w:jc w:val="center"/>
    </w:pPr>
    <w:rPr>
      <w:rFonts w:ascii="Times New Roman" w:hAnsi="Times New Roman"/>
      <w:sz w:val="24"/>
      <w:lang w:eastAsia="en-US"/>
    </w:rPr>
  </w:style>
  <w:style w:type="paragraph" w:styleId="slovanseznam2">
    <w:name w:val="List Number 2"/>
    <w:basedOn w:val="Normln"/>
    <w:rsid w:val="000D2D0B"/>
    <w:pPr>
      <w:tabs>
        <w:tab w:val="num" w:pos="643"/>
      </w:tabs>
      <w:spacing w:before="120" w:after="120"/>
      <w:ind w:left="643" w:hanging="360"/>
      <w:jc w:val="both"/>
    </w:pPr>
    <w:rPr>
      <w:rFonts w:ascii="Times New Roman" w:hAnsi="Times New Roman"/>
      <w:sz w:val="24"/>
      <w:lang w:eastAsia="en-US"/>
    </w:rPr>
  </w:style>
  <w:style w:type="paragraph" w:styleId="slovanseznam3">
    <w:name w:val="List Number 3"/>
    <w:basedOn w:val="Normln"/>
    <w:rsid w:val="000D2D0B"/>
    <w:pPr>
      <w:tabs>
        <w:tab w:val="num" w:pos="926"/>
      </w:tabs>
      <w:spacing w:before="120" w:after="120"/>
      <w:ind w:left="926" w:hanging="360"/>
      <w:jc w:val="both"/>
    </w:pPr>
    <w:rPr>
      <w:rFonts w:ascii="Times New Roman" w:hAnsi="Times New Roman"/>
      <w:sz w:val="24"/>
      <w:lang w:eastAsia="en-US"/>
    </w:rPr>
  </w:style>
  <w:style w:type="paragraph" w:styleId="slovanseznam4">
    <w:name w:val="List Number 4"/>
    <w:basedOn w:val="Normln"/>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Seznamsodrkami">
    <w:name w:val="List Bullet"/>
    <w:basedOn w:val="Normln"/>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Seznamsodrkami2">
    <w:name w:val="List Bullet 2"/>
    <w:basedOn w:val="Normln"/>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Seznamsodrkami3">
    <w:name w:val="List Bullet 3"/>
    <w:basedOn w:val="Normln"/>
    <w:rsid w:val="000D2D0B"/>
    <w:pPr>
      <w:numPr>
        <w:numId w:val="16"/>
      </w:numPr>
      <w:tabs>
        <w:tab w:val="num" w:pos="926"/>
      </w:tabs>
      <w:spacing w:before="120" w:after="120"/>
      <w:ind w:left="926"/>
      <w:jc w:val="both"/>
    </w:pPr>
    <w:rPr>
      <w:rFonts w:ascii="Times New Roman" w:hAnsi="Times New Roman"/>
      <w:sz w:val="24"/>
      <w:lang w:eastAsia="en-US"/>
    </w:rPr>
  </w:style>
  <w:style w:type="paragraph" w:styleId="Seznamsodrkami4">
    <w:name w:val="List Bullet 4"/>
    <w:basedOn w:val="Normln"/>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eznamobrzk">
    <w:name w:val="table of figures"/>
    <w:basedOn w:val="Normln"/>
    <w:next w:val="Normln"/>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ln"/>
    <w:rsid w:val="000D2D0B"/>
    <w:pPr>
      <w:ind w:left="720"/>
      <w:contextualSpacing/>
    </w:pPr>
    <w:rPr>
      <w:rFonts w:ascii="Cambria" w:hAnsi="Cambria"/>
      <w:sz w:val="24"/>
      <w:lang w:val="en-US" w:eastAsia="en-US"/>
    </w:rPr>
  </w:style>
  <w:style w:type="paragraph" w:customStyle="1" w:styleId="Listeavsnitt1">
    <w:name w:val="Listeavsnitt1"/>
    <w:basedOn w:val="Normln"/>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ln"/>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ln"/>
    <w:uiPriority w:val="99"/>
    <w:rsid w:val="000D2D0B"/>
    <w:pPr>
      <w:ind w:left="720"/>
      <w:contextualSpacing/>
    </w:pPr>
    <w:rPr>
      <w:rFonts w:ascii="Cambria" w:hAnsi="Cambria"/>
      <w:sz w:val="24"/>
      <w:lang w:val="en-US" w:eastAsia="en-US"/>
    </w:rPr>
  </w:style>
  <w:style w:type="paragraph" w:customStyle="1" w:styleId="ListParagraph2">
    <w:name w:val="List Paragraph2"/>
    <w:basedOn w:val="Normln"/>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dpis1"/>
    <w:next w:val="Normln"/>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ln"/>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ln"/>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ln"/>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ln"/>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ln"/>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ln"/>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Nzev">
    <w:name w:val="Title"/>
    <w:basedOn w:val="Normln"/>
    <w:next w:val="Normln"/>
    <w:link w:val="Nzev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NzevChar">
    <w:name w:val="Název Char"/>
    <w:link w:val="Nzev"/>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ln"/>
    <w:rsid w:val="000D2D0B"/>
    <w:pPr>
      <w:spacing w:before="320" w:line="260" w:lineRule="exact"/>
      <w:jc w:val="both"/>
    </w:pPr>
    <w:rPr>
      <w:rFonts w:ascii="Myriad Pro Light" w:hAnsi="Myriad Pro Light"/>
      <w:b/>
      <w:sz w:val="21"/>
      <w:szCs w:val="20"/>
      <w:lang w:val="es-ES" w:eastAsia="es-ES"/>
    </w:rPr>
  </w:style>
  <w:style w:type="character" w:customStyle="1" w:styleId="RevizeChar">
    <w:name w:val="Revize Char"/>
    <w:link w:val="Revize"/>
    <w:uiPriority w:val="99"/>
    <w:semiHidden/>
    <w:locked/>
    <w:rsid w:val="000D2D0B"/>
    <w:rPr>
      <w:rFonts w:ascii="Georgia" w:hAnsi="Georgia"/>
      <w:sz w:val="22"/>
      <w:szCs w:val="24"/>
      <w:lang w:eastAsia="de-DE"/>
    </w:rPr>
  </w:style>
  <w:style w:type="table" w:customStyle="1" w:styleId="TableGrid2">
    <w:name w:val="Table Grid2"/>
    <w:basedOn w:val="Normlntabulka"/>
    <w:next w:val="Mkatabulky"/>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draznnjemn">
    <w:name w:val="Subtle Emphasis"/>
    <w:aliases w:val="Question"/>
    <w:uiPriority w:val="19"/>
    <w:qFormat/>
    <w:rsid w:val="003A6E9A"/>
    <w:rPr>
      <w:b/>
      <w:i w:val="0"/>
      <w:iCs/>
      <w:sz w:val="20"/>
    </w:rPr>
  </w:style>
  <w:style w:type="paragraph" w:customStyle="1" w:styleId="NEW-Paragraph-Level1">
    <w:name w:val="NEW-Paragraph-Level1"/>
    <w:basedOn w:val="Normln"/>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ln"/>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ln"/>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ln"/>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ln"/>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ln"/>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ln"/>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ln"/>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ln"/>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ln"/>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ln"/>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ln"/>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npsmoodstavc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Zdraznnintenzivn">
    <w:name w:val="Intense Emphasis"/>
    <w:basedOn w:val="Standardnpsmoodstavce"/>
    <w:uiPriority w:val="21"/>
    <w:qFormat/>
    <w:rsid w:val="00D34282"/>
    <w:rPr>
      <w:b/>
      <w:bCs/>
      <w:i/>
      <w:iCs/>
    </w:rPr>
  </w:style>
  <w:style w:type="character" w:customStyle="1" w:styleId="CPTitle1Char">
    <w:name w:val="CP_Title1 Char"/>
    <w:basedOn w:val="Standardnpsmoodstavce"/>
    <w:link w:val="CPTitle1"/>
    <w:locked/>
    <w:rsid w:val="00D34282"/>
    <w:rPr>
      <w:rFonts w:asciiTheme="majorHAnsi" w:eastAsiaTheme="majorEastAsia" w:hAnsiTheme="majorHAnsi" w:cstheme="majorHAnsi"/>
      <w:b/>
      <w:sz w:val="32"/>
      <w:szCs w:val="32"/>
    </w:rPr>
  </w:style>
  <w:style w:type="paragraph" w:customStyle="1" w:styleId="CPTitle1">
    <w:name w:val="CP_Title1"/>
    <w:basedOn w:val="Nadpis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dpis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ln"/>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ln"/>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ln"/>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ln"/>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ln"/>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ln"/>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F0769"/>
    <w:rPr>
      <w:rFonts w:ascii="Arial" w:hAnsi="Arial"/>
      <w:szCs w:val="24"/>
      <w:lang w:eastAsia="de-DE"/>
    </w:rPr>
  </w:style>
  <w:style w:type="paragraph" w:styleId="Nadpis1">
    <w:name w:val="heading 1"/>
    <w:basedOn w:val="Normln"/>
    <w:next w:val="Normln"/>
    <w:link w:val="Nadpis1Char"/>
    <w:qFormat/>
    <w:rsid w:val="009E7724"/>
    <w:pPr>
      <w:keepNext/>
      <w:numPr>
        <w:numId w:val="5"/>
      </w:numPr>
      <w:spacing w:before="240" w:after="60"/>
      <w:outlineLvl w:val="0"/>
    </w:pPr>
    <w:rPr>
      <w:rFonts w:cs="Arial"/>
      <w:b/>
      <w:bCs/>
      <w:kern w:val="32"/>
      <w:sz w:val="24"/>
      <w:szCs w:val="32"/>
    </w:rPr>
  </w:style>
  <w:style w:type="paragraph" w:styleId="Nadpis2">
    <w:name w:val="heading 2"/>
    <w:basedOn w:val="Normln"/>
    <w:next w:val="Normln"/>
    <w:link w:val="Nadpis2Char"/>
    <w:qFormat/>
    <w:rsid w:val="00886A60"/>
    <w:pPr>
      <w:keepNext/>
      <w:keepLines/>
      <w:spacing w:before="200" w:after="120"/>
      <w:outlineLvl w:val="1"/>
    </w:pPr>
    <w:rPr>
      <w:b/>
      <w:bCs/>
      <w:szCs w:val="26"/>
    </w:rPr>
  </w:style>
  <w:style w:type="paragraph" w:styleId="Nadpis3">
    <w:name w:val="heading 3"/>
    <w:basedOn w:val="Normln"/>
    <w:next w:val="Normln"/>
    <w:link w:val="Nadpis3Char"/>
    <w:qFormat/>
    <w:rsid w:val="003865E5"/>
    <w:pPr>
      <w:keepNext/>
      <w:keepLines/>
      <w:spacing w:before="200"/>
      <w:outlineLvl w:val="2"/>
    </w:pPr>
    <w:rPr>
      <w:rFonts w:ascii="Cambria" w:hAnsi="Cambria"/>
      <w:b/>
      <w:bCs/>
      <w:color w:val="4F81BD"/>
    </w:rPr>
  </w:style>
  <w:style w:type="paragraph" w:styleId="Nadpis4">
    <w:name w:val="heading 4"/>
    <w:basedOn w:val="Normln"/>
    <w:next w:val="Normln"/>
    <w:link w:val="Nadpis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dpis5">
    <w:name w:val="heading 5"/>
    <w:aliases w:val="Questions"/>
    <w:basedOn w:val="Normln"/>
    <w:next w:val="Normln"/>
    <w:link w:val="Nadpis5Char"/>
    <w:qFormat/>
    <w:rsid w:val="00E9344E"/>
    <w:pPr>
      <w:keepNext/>
      <w:keepLines/>
      <w:numPr>
        <w:numId w:val="13"/>
      </w:numPr>
      <w:spacing w:before="200"/>
      <w:jc w:val="both"/>
      <w:outlineLvl w:val="4"/>
    </w:pPr>
    <w:rPr>
      <w:b/>
    </w:rPr>
  </w:style>
  <w:style w:type="paragraph" w:styleId="Nadpis6">
    <w:name w:val="heading 6"/>
    <w:basedOn w:val="Normln"/>
    <w:next w:val="Normln"/>
    <w:link w:val="Nadpis6Char"/>
    <w:qFormat/>
    <w:rsid w:val="003609B6"/>
    <w:pPr>
      <w:numPr>
        <w:ilvl w:val="5"/>
        <w:numId w:val="4"/>
      </w:numPr>
      <w:spacing w:before="240" w:after="60"/>
      <w:outlineLvl w:val="5"/>
    </w:pPr>
    <w:rPr>
      <w:rFonts w:ascii="Times New Roman" w:hAnsi="Times New Roman"/>
      <w:b/>
      <w:bCs/>
      <w:szCs w:val="22"/>
    </w:rPr>
  </w:style>
  <w:style w:type="paragraph" w:styleId="Nadpis7">
    <w:name w:val="heading 7"/>
    <w:basedOn w:val="Normln"/>
    <w:next w:val="Normln"/>
    <w:link w:val="Nadpis7Char"/>
    <w:unhideWhenUsed/>
    <w:qFormat/>
    <w:rsid w:val="002D6E1A"/>
    <w:pPr>
      <w:spacing w:before="240" w:after="60"/>
      <w:ind w:left="1296" w:hanging="1296"/>
      <w:outlineLvl w:val="6"/>
    </w:pPr>
    <w:rPr>
      <w:rFonts w:ascii="Times New Roman" w:hAnsi="Times New Roman"/>
    </w:rPr>
  </w:style>
  <w:style w:type="paragraph" w:styleId="Nadpis8">
    <w:name w:val="heading 8"/>
    <w:basedOn w:val="Normln"/>
    <w:next w:val="Normln"/>
    <w:link w:val="Nadpis8Char"/>
    <w:qFormat/>
    <w:rsid w:val="003609B6"/>
    <w:pPr>
      <w:numPr>
        <w:ilvl w:val="7"/>
        <w:numId w:val="4"/>
      </w:numPr>
      <w:spacing w:before="240" w:after="60"/>
      <w:outlineLvl w:val="7"/>
    </w:pPr>
    <w:rPr>
      <w:rFonts w:ascii="Times New Roman" w:hAnsi="Times New Roman"/>
      <w:i/>
      <w:iCs/>
    </w:rPr>
  </w:style>
  <w:style w:type="paragraph" w:styleId="Nadpis9">
    <w:name w:val="heading 9"/>
    <w:basedOn w:val="Normln"/>
    <w:next w:val="Normln"/>
    <w:link w:val="Nadpis9Char"/>
    <w:qFormat/>
    <w:rsid w:val="00A06867"/>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B64CB"/>
    <w:pPr>
      <w:tabs>
        <w:tab w:val="center" w:pos="4536"/>
        <w:tab w:val="right" w:pos="9072"/>
      </w:tabs>
    </w:pPr>
  </w:style>
  <w:style w:type="paragraph" w:styleId="Zpat">
    <w:name w:val="footer"/>
    <w:basedOn w:val="Normln"/>
    <w:link w:val="ZpatChar"/>
    <w:rsid w:val="005B64CB"/>
    <w:pPr>
      <w:tabs>
        <w:tab w:val="center" w:pos="4536"/>
        <w:tab w:val="right" w:pos="9072"/>
      </w:tabs>
    </w:pPr>
  </w:style>
  <w:style w:type="table" w:styleId="Mkatabulky">
    <w:name w:val="Table Grid"/>
    <w:basedOn w:val="Normlntabulka"/>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ln"/>
    <w:rsid w:val="003E3ACA"/>
    <w:pPr>
      <w:spacing w:line="200" w:lineRule="exact"/>
    </w:pPr>
    <w:rPr>
      <w:color w:val="2D4190"/>
      <w:sz w:val="16"/>
    </w:rPr>
  </w:style>
  <w:style w:type="paragraph" w:customStyle="1" w:styleId="05aTitle">
    <w:name w:val="05a_Title"/>
    <w:basedOn w:val="Normln"/>
    <w:rsid w:val="00791EB4"/>
    <w:pPr>
      <w:spacing w:line="340" w:lineRule="exact"/>
    </w:pPr>
    <w:rPr>
      <w:b/>
      <w:color w:val="000000"/>
      <w:sz w:val="28"/>
    </w:rPr>
  </w:style>
  <w:style w:type="paragraph" w:customStyle="1" w:styleId="02Date">
    <w:name w:val="02_Date"/>
    <w:basedOn w:val="Normln"/>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ln"/>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lostrnky">
    <w:name w:val="page number"/>
    <w:basedOn w:val="Standardnpsmoodstavc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Obsah1">
    <w:name w:val="toc 1"/>
    <w:basedOn w:val="Normln"/>
    <w:next w:val="Normln"/>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textovodkaz">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poznpodarou">
    <w:name w:val="footnote text"/>
    <w:aliases w:val="Char3, Char3,Fußnotentextf,Fußnotentextr,stile 1,Footnote1,Footnote2,Footnote3,Footnote4,Footnote5,Footnote6,Footnote7,Footnote8,Footnote9,Footnote10,Footnote11,Footnote21,Footnote31,Footnote41,Footnote51,Footnote61,Footnote71"/>
    <w:basedOn w:val="Normln"/>
    <w:link w:val="TextpoznpodarouChar"/>
    <w:uiPriority w:val="99"/>
    <w:qFormat/>
    <w:rsid w:val="001725A5"/>
    <w:pPr>
      <w:spacing w:line="200" w:lineRule="exact"/>
    </w:pPr>
    <w:rPr>
      <w:sz w:val="16"/>
      <w:szCs w:val="20"/>
    </w:rPr>
  </w:style>
  <w:style w:type="character" w:styleId="Znakapoznpodarou">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Obsah2">
    <w:name w:val="toc 2"/>
    <w:basedOn w:val="Normln"/>
    <w:next w:val="Normln"/>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ln"/>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kaznakoment">
    <w:name w:val="annotation reference"/>
    <w:rsid w:val="004B1E61"/>
    <w:rPr>
      <w:sz w:val="16"/>
      <w:szCs w:val="16"/>
    </w:rPr>
  </w:style>
  <w:style w:type="paragraph" w:styleId="Textkomente">
    <w:name w:val="annotation text"/>
    <w:basedOn w:val="Normln"/>
    <w:link w:val="TextkomenteChar"/>
    <w:rsid w:val="004B1E61"/>
    <w:rPr>
      <w:szCs w:val="20"/>
    </w:rPr>
  </w:style>
  <w:style w:type="character" w:customStyle="1" w:styleId="TextkomenteChar">
    <w:name w:val="Text komentáře Char"/>
    <w:link w:val="Textkomente"/>
    <w:uiPriority w:val="99"/>
    <w:rsid w:val="004B1E61"/>
    <w:rPr>
      <w:rFonts w:ascii="Georgia" w:hAnsi="Georgia"/>
      <w:lang w:eastAsia="de-DE"/>
    </w:rPr>
  </w:style>
  <w:style w:type="paragraph" w:styleId="Pedmtkomente">
    <w:name w:val="annotation subject"/>
    <w:basedOn w:val="Textkomente"/>
    <w:next w:val="Textkomente"/>
    <w:link w:val="PedmtkomenteChar"/>
    <w:rsid w:val="004B1E61"/>
    <w:rPr>
      <w:b/>
      <w:bCs/>
    </w:rPr>
  </w:style>
  <w:style w:type="character" w:customStyle="1" w:styleId="PedmtkomenteChar">
    <w:name w:val="Předmět komentáře Char"/>
    <w:link w:val="Pedmtkomente"/>
    <w:rsid w:val="004B1E61"/>
    <w:rPr>
      <w:rFonts w:ascii="Georgia" w:hAnsi="Georgia"/>
      <w:b/>
      <w:bCs/>
      <w:lang w:eastAsia="de-DE"/>
    </w:rPr>
  </w:style>
  <w:style w:type="paragraph" w:styleId="Textbubliny">
    <w:name w:val="Balloon Text"/>
    <w:basedOn w:val="Normln"/>
    <w:link w:val="TextbublinyChar"/>
    <w:rsid w:val="004B1E61"/>
    <w:rPr>
      <w:rFonts w:ascii="Tahoma" w:hAnsi="Tahoma" w:cs="Tahoma"/>
      <w:sz w:val="16"/>
      <w:szCs w:val="16"/>
    </w:rPr>
  </w:style>
  <w:style w:type="character" w:customStyle="1" w:styleId="TextbublinyChar">
    <w:name w:val="Text bubliny Char"/>
    <w:link w:val="Textbubliny"/>
    <w:rsid w:val="004B1E61"/>
    <w:rPr>
      <w:rFonts w:ascii="Tahoma" w:hAnsi="Tahoma" w:cs="Tahoma"/>
      <w:sz w:val="16"/>
      <w:szCs w:val="16"/>
      <w:lang w:eastAsia="de-DE"/>
    </w:rPr>
  </w:style>
  <w:style w:type="paragraph" w:styleId="Odstavecseseznamem">
    <w:name w:val="List Paragraph"/>
    <w:aliases w:val="Paragraphe EI,Paragraphe de liste1,EC"/>
    <w:basedOn w:val="Normln"/>
    <w:link w:val="OdstavecseseznamemChar"/>
    <w:uiPriority w:val="34"/>
    <w:qFormat/>
    <w:rsid w:val="002A0C82"/>
    <w:pPr>
      <w:ind w:left="720"/>
      <w:contextualSpacing/>
    </w:pPr>
  </w:style>
  <w:style w:type="paragraph" w:styleId="Nadpisobsahu">
    <w:name w:val="TOC Heading"/>
    <w:basedOn w:val="Nadpis1"/>
    <w:next w:val="Normln"/>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poznpodarouChar">
    <w:name w:val="Text pozn. pod čarou Char"/>
    <w:aliases w:val="Char3 Char, Char3 Char,Fußnotentextf Char,Fußnotentextr Char,stile 1 Char,Footnote1 Char,Footnote2 Char,Footnote3 Char,Footnote4 Char,Footnote5 Char,Footnote6 Char,Footnote7 Char,Footnote8 Char,Footnote9 Char,Footnote10 Char"/>
    <w:link w:val="Textpoznpodarou"/>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npsmoodstavce"/>
    <w:rsid w:val="008E1B6A"/>
  </w:style>
  <w:style w:type="paragraph" w:customStyle="1" w:styleId="ManualNumPar1">
    <w:name w:val="Manual NumPar 1"/>
    <w:basedOn w:val="Normln"/>
    <w:next w:val="Normln"/>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dpis1Char">
    <w:name w:val="Nadpis 1 Char"/>
    <w:link w:val="Nadpis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Zvraznn">
    <w:name w:val="Emphasis"/>
    <w:uiPriority w:val="20"/>
    <w:qFormat/>
    <w:rsid w:val="005F028E"/>
    <w:rPr>
      <w:i/>
      <w:iCs/>
    </w:rPr>
  </w:style>
  <w:style w:type="paragraph" w:styleId="Revize">
    <w:name w:val="Revision"/>
    <w:link w:val="RevizeChar"/>
    <w:hidden/>
    <w:uiPriority w:val="99"/>
    <w:semiHidden/>
    <w:rsid w:val="008E6A37"/>
    <w:rPr>
      <w:rFonts w:ascii="Georgia" w:hAnsi="Georgia"/>
      <w:sz w:val="22"/>
      <w:szCs w:val="24"/>
      <w:lang w:eastAsia="de-DE"/>
    </w:rPr>
  </w:style>
  <w:style w:type="paragraph" w:styleId="Obsah3">
    <w:name w:val="toc 3"/>
    <w:basedOn w:val="Normln"/>
    <w:next w:val="Normln"/>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ln"/>
    <w:next w:val="Normln"/>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ln"/>
    <w:next w:val="Normln"/>
    <w:uiPriority w:val="99"/>
    <w:rsid w:val="00F377CD"/>
    <w:pPr>
      <w:autoSpaceDE w:val="0"/>
      <w:autoSpaceDN w:val="0"/>
      <w:adjustRightInd w:val="0"/>
    </w:pPr>
    <w:rPr>
      <w:rFonts w:ascii="EUAlbertina" w:eastAsia="Calibri" w:hAnsi="EUAlbertina"/>
      <w:sz w:val="24"/>
      <w:lang w:val="fr-FR" w:eastAsia="en-US"/>
    </w:rPr>
  </w:style>
  <w:style w:type="paragraph" w:styleId="Obsah4">
    <w:name w:val="toc 4"/>
    <w:basedOn w:val="Normln"/>
    <w:next w:val="Normln"/>
    <w:autoRedefine/>
    <w:uiPriority w:val="39"/>
    <w:unhideWhenUsed/>
    <w:rsid w:val="00F377CD"/>
    <w:pPr>
      <w:spacing w:after="100" w:line="276" w:lineRule="auto"/>
      <w:ind w:left="660"/>
    </w:pPr>
    <w:rPr>
      <w:rFonts w:ascii="Calibri" w:hAnsi="Calibri"/>
      <w:szCs w:val="22"/>
      <w:lang w:eastAsia="en-GB"/>
    </w:rPr>
  </w:style>
  <w:style w:type="paragraph" w:styleId="Obsah5">
    <w:name w:val="toc 5"/>
    <w:basedOn w:val="Normln"/>
    <w:next w:val="Normln"/>
    <w:autoRedefine/>
    <w:uiPriority w:val="39"/>
    <w:unhideWhenUsed/>
    <w:rsid w:val="00F377CD"/>
    <w:pPr>
      <w:spacing w:after="100" w:line="276" w:lineRule="auto"/>
      <w:ind w:left="880"/>
    </w:pPr>
    <w:rPr>
      <w:rFonts w:ascii="Calibri" w:hAnsi="Calibri"/>
      <w:szCs w:val="22"/>
      <w:lang w:eastAsia="en-GB"/>
    </w:rPr>
  </w:style>
  <w:style w:type="paragraph" w:styleId="Obsah6">
    <w:name w:val="toc 6"/>
    <w:basedOn w:val="Normln"/>
    <w:next w:val="Normln"/>
    <w:autoRedefine/>
    <w:uiPriority w:val="39"/>
    <w:unhideWhenUsed/>
    <w:rsid w:val="00F377CD"/>
    <w:pPr>
      <w:spacing w:after="100" w:line="276" w:lineRule="auto"/>
      <w:ind w:left="1100"/>
    </w:pPr>
    <w:rPr>
      <w:rFonts w:ascii="Calibri" w:hAnsi="Calibri"/>
      <w:szCs w:val="22"/>
      <w:lang w:eastAsia="en-GB"/>
    </w:rPr>
  </w:style>
  <w:style w:type="paragraph" w:styleId="Obsah7">
    <w:name w:val="toc 7"/>
    <w:basedOn w:val="Normln"/>
    <w:next w:val="Normln"/>
    <w:autoRedefine/>
    <w:uiPriority w:val="39"/>
    <w:unhideWhenUsed/>
    <w:rsid w:val="00F377CD"/>
    <w:pPr>
      <w:spacing w:after="100" w:line="276" w:lineRule="auto"/>
      <w:ind w:left="1320"/>
    </w:pPr>
    <w:rPr>
      <w:rFonts w:ascii="Calibri" w:hAnsi="Calibri"/>
      <w:szCs w:val="22"/>
      <w:lang w:eastAsia="en-GB"/>
    </w:rPr>
  </w:style>
  <w:style w:type="paragraph" w:styleId="Obsah8">
    <w:name w:val="toc 8"/>
    <w:basedOn w:val="Normln"/>
    <w:next w:val="Normln"/>
    <w:autoRedefine/>
    <w:uiPriority w:val="39"/>
    <w:unhideWhenUsed/>
    <w:rsid w:val="00F377CD"/>
    <w:pPr>
      <w:spacing w:after="100" w:line="276" w:lineRule="auto"/>
      <w:ind w:left="1540"/>
    </w:pPr>
    <w:rPr>
      <w:rFonts w:ascii="Calibri" w:hAnsi="Calibri"/>
      <w:szCs w:val="22"/>
      <w:lang w:eastAsia="en-GB"/>
    </w:rPr>
  </w:style>
  <w:style w:type="paragraph" w:styleId="Obsah9">
    <w:name w:val="toc 9"/>
    <w:basedOn w:val="Normln"/>
    <w:next w:val="Normln"/>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Titulek">
    <w:name w:val="caption"/>
    <w:basedOn w:val="Normln"/>
    <w:next w:val="Normln"/>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lnweb">
    <w:name w:val="Normal (Web)"/>
    <w:basedOn w:val="Normln"/>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Rozloendokumentu">
    <w:name w:val="Document Map"/>
    <w:basedOn w:val="Normln"/>
    <w:link w:val="RozloendokumentuChar"/>
    <w:rsid w:val="00AA016B"/>
    <w:rPr>
      <w:rFonts w:ascii="Tahoma" w:hAnsi="Tahoma" w:cs="Tahoma"/>
      <w:sz w:val="16"/>
      <w:szCs w:val="16"/>
    </w:rPr>
  </w:style>
  <w:style w:type="character" w:customStyle="1" w:styleId="RozloendokumentuChar">
    <w:name w:val="Rozložení dokumentu Char"/>
    <w:link w:val="Rozloendokumentu"/>
    <w:rsid w:val="00AA016B"/>
    <w:rPr>
      <w:rFonts w:ascii="Tahoma" w:hAnsi="Tahoma" w:cs="Tahoma"/>
      <w:sz w:val="16"/>
      <w:szCs w:val="16"/>
      <w:lang w:eastAsia="de-DE"/>
    </w:rPr>
  </w:style>
  <w:style w:type="paragraph" w:styleId="Prosttext">
    <w:name w:val="Plain Text"/>
    <w:basedOn w:val="Normln"/>
    <w:link w:val="ProsttextChar"/>
    <w:unhideWhenUsed/>
    <w:rsid w:val="00AA016B"/>
    <w:rPr>
      <w:rFonts w:ascii="Consolas" w:hAnsi="Consolas"/>
      <w:sz w:val="21"/>
      <w:szCs w:val="21"/>
      <w:lang w:val="de-DE"/>
    </w:rPr>
  </w:style>
  <w:style w:type="character" w:customStyle="1" w:styleId="ProsttextChar">
    <w:name w:val="Prostý text Char"/>
    <w:link w:val="Prosttext"/>
    <w:rsid w:val="00AA016B"/>
    <w:rPr>
      <w:rFonts w:ascii="Consolas" w:hAnsi="Consolas"/>
      <w:sz w:val="21"/>
      <w:szCs w:val="21"/>
      <w:lang w:val="de-DE" w:eastAsia="de-DE"/>
    </w:rPr>
  </w:style>
  <w:style w:type="paragraph" w:styleId="Zkladntext">
    <w:name w:val="Body Text"/>
    <w:basedOn w:val="Normln"/>
    <w:link w:val="ZkladntextChar"/>
    <w:unhideWhenUsed/>
    <w:rsid w:val="00AA016B"/>
    <w:pPr>
      <w:numPr>
        <w:numId w:val="8"/>
      </w:numPr>
      <w:spacing w:after="240"/>
      <w:jc w:val="both"/>
    </w:pPr>
    <w:rPr>
      <w:rFonts w:ascii="Times New Roman" w:hAnsi="Times New Roman"/>
      <w:sz w:val="24"/>
      <w:szCs w:val="20"/>
      <w:lang w:eastAsia="en-GB"/>
    </w:rPr>
  </w:style>
  <w:style w:type="character" w:customStyle="1" w:styleId="ZkladntextChar">
    <w:name w:val="Základní text Char"/>
    <w:link w:val="Zkladntext"/>
    <w:rsid w:val="00AA016B"/>
    <w:rPr>
      <w:sz w:val="24"/>
    </w:rPr>
  </w:style>
  <w:style w:type="paragraph" w:customStyle="1" w:styleId="ListParagraph1">
    <w:name w:val="List Paragraph1"/>
    <w:basedOn w:val="Normln"/>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iln">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dpis2Char">
    <w:name w:val="Nadpis 2 Char"/>
    <w:link w:val="Nadpis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dpis9Char">
    <w:name w:val="Nadpis 9 Char"/>
    <w:link w:val="Nadpis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ln"/>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dpis7Char">
    <w:name w:val="Nadpis 7 Char"/>
    <w:link w:val="Nadpis7"/>
    <w:rsid w:val="002D6E1A"/>
    <w:rPr>
      <w:sz w:val="22"/>
      <w:szCs w:val="24"/>
      <w:lang w:eastAsia="de-DE"/>
    </w:rPr>
  </w:style>
  <w:style w:type="character" w:customStyle="1" w:styleId="Nadpis6Char">
    <w:name w:val="Nadpis 6 Char"/>
    <w:link w:val="Nadpis6"/>
    <w:rsid w:val="002D6E1A"/>
    <w:rPr>
      <w:b/>
      <w:bCs/>
      <w:szCs w:val="22"/>
      <w:lang w:eastAsia="de-DE"/>
    </w:rPr>
  </w:style>
  <w:style w:type="character" w:customStyle="1" w:styleId="Nadpis8Char">
    <w:name w:val="Nadpis 8 Char"/>
    <w:link w:val="Nadpis8"/>
    <w:rsid w:val="002D6E1A"/>
    <w:rPr>
      <w:i/>
      <w:iCs/>
      <w:szCs w:val="24"/>
      <w:lang w:eastAsia="de-DE"/>
    </w:rPr>
  </w:style>
  <w:style w:type="numbering" w:customStyle="1" w:styleId="NoList1">
    <w:name w:val="No List1"/>
    <w:next w:val="Bezseznamu"/>
    <w:uiPriority w:val="99"/>
    <w:semiHidden/>
    <w:unhideWhenUsed/>
    <w:rsid w:val="002D6E1A"/>
  </w:style>
  <w:style w:type="character" w:styleId="Sledovanodkaz">
    <w:name w:val="FollowedHyperlink"/>
    <w:unhideWhenUsed/>
    <w:rsid w:val="002D6E1A"/>
    <w:rPr>
      <w:color w:val="800080"/>
      <w:u w:val="single"/>
    </w:rPr>
  </w:style>
  <w:style w:type="character" w:customStyle="1" w:styleId="ZhlavChar">
    <w:name w:val="Záhlaví Char"/>
    <w:link w:val="Zhlav"/>
    <w:rsid w:val="002D6E1A"/>
    <w:rPr>
      <w:rFonts w:ascii="Georgia" w:hAnsi="Georgia"/>
      <w:sz w:val="22"/>
      <w:szCs w:val="24"/>
      <w:lang w:eastAsia="de-DE"/>
    </w:rPr>
  </w:style>
  <w:style w:type="character" w:customStyle="1" w:styleId="ZpatChar">
    <w:name w:val="Zápatí Char"/>
    <w:link w:val="Zpat"/>
    <w:rsid w:val="002D6E1A"/>
    <w:rPr>
      <w:rFonts w:ascii="Georgia" w:hAnsi="Georgia"/>
      <w:sz w:val="22"/>
      <w:szCs w:val="24"/>
      <w:lang w:eastAsia="de-DE"/>
    </w:rPr>
  </w:style>
  <w:style w:type="paragraph" w:styleId="Textvysvtlivek">
    <w:name w:val="endnote text"/>
    <w:basedOn w:val="Normln"/>
    <w:link w:val="TextvysvtlivekChar"/>
    <w:unhideWhenUsed/>
    <w:rsid w:val="002D6E1A"/>
    <w:rPr>
      <w:szCs w:val="20"/>
    </w:rPr>
  </w:style>
  <w:style w:type="character" w:customStyle="1" w:styleId="TextvysvtlivekChar">
    <w:name w:val="Text vysvětlivek Char"/>
    <w:link w:val="Textvysvtlivek"/>
    <w:rsid w:val="002D6E1A"/>
    <w:rPr>
      <w:rFonts w:ascii="Georgia" w:hAnsi="Georgia"/>
      <w:lang w:eastAsia="de-DE"/>
    </w:rPr>
  </w:style>
  <w:style w:type="paragraph" w:styleId="slovanseznam">
    <w:name w:val="List Number"/>
    <w:basedOn w:val="Normln"/>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OdstavecseseznamemChar">
    <w:name w:val="Odstavec se seznamem Char"/>
    <w:aliases w:val="Paragraphe EI Char,Paragraphe de liste1 Char,EC Char"/>
    <w:link w:val="Odstavecseseznamem"/>
    <w:uiPriority w:val="34"/>
    <w:locked/>
    <w:rsid w:val="002D6E1A"/>
    <w:rPr>
      <w:rFonts w:ascii="Georgia" w:hAnsi="Georgia"/>
      <w:sz w:val="22"/>
      <w:szCs w:val="24"/>
      <w:lang w:eastAsia="de-DE"/>
    </w:rPr>
  </w:style>
  <w:style w:type="paragraph" w:customStyle="1" w:styleId="04anumbering0">
    <w:name w:val="04anumbering"/>
    <w:basedOn w:val="Normln"/>
    <w:rsid w:val="002D6E1A"/>
    <w:pPr>
      <w:tabs>
        <w:tab w:val="num" w:pos="360"/>
      </w:tabs>
      <w:spacing w:after="250" w:line="276" w:lineRule="auto"/>
      <w:jc w:val="both"/>
    </w:pPr>
    <w:rPr>
      <w:rFonts w:eastAsia="Calibri"/>
      <w:szCs w:val="20"/>
      <w:lang w:eastAsia="en-GB"/>
    </w:rPr>
  </w:style>
  <w:style w:type="paragraph" w:customStyle="1" w:styleId="Tiret1">
    <w:name w:val="Tiret 1"/>
    <w:basedOn w:val="Normln"/>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Odstavecseseznamem"/>
    <w:link w:val="DPChar"/>
    <w:qFormat/>
    <w:rsid w:val="002D6E1A"/>
    <w:pPr>
      <w:ind w:left="708"/>
      <w:contextualSpacing w:val="0"/>
      <w:jc w:val="both"/>
    </w:pPr>
    <w:rPr>
      <w:b/>
      <w:szCs w:val="20"/>
      <w:u w:val="single"/>
    </w:rPr>
  </w:style>
  <w:style w:type="paragraph" w:customStyle="1" w:styleId="Bullet">
    <w:name w:val="Bullet"/>
    <w:basedOn w:val="Normln"/>
    <w:rsid w:val="002D6E1A"/>
    <w:pPr>
      <w:numPr>
        <w:numId w:val="11"/>
      </w:numPr>
      <w:tabs>
        <w:tab w:val="left" w:pos="708"/>
      </w:tabs>
      <w:spacing w:before="120" w:after="120" w:line="276" w:lineRule="auto"/>
      <w:jc w:val="both"/>
    </w:pPr>
    <w:rPr>
      <w:szCs w:val="20"/>
      <w:lang w:eastAsia="en-GB"/>
    </w:rPr>
  </w:style>
  <w:style w:type="character" w:styleId="Odkaznavysvtlivky">
    <w:name w:val="endnote reference"/>
    <w:unhideWhenUsed/>
    <w:rsid w:val="002D6E1A"/>
    <w:rPr>
      <w:vertAlign w:val="superscript"/>
    </w:rPr>
  </w:style>
  <w:style w:type="character" w:styleId="Zstupn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lntabulka"/>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Bezseznamu"/>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slodku">
    <w:name w:val="line number"/>
    <w:basedOn w:val="Standardnpsmoodstavce"/>
    <w:uiPriority w:val="99"/>
    <w:unhideWhenUsed/>
    <w:rsid w:val="00952F2C"/>
  </w:style>
  <w:style w:type="paragraph" w:customStyle="1" w:styleId="aStyle">
    <w:name w:val="a) Style"/>
    <w:basedOn w:val="Normln"/>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Titulek"/>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ln"/>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dpis5Char">
    <w:name w:val="Nadpis 5 Char"/>
    <w:aliases w:val="Questions Char7"/>
    <w:link w:val="Nadpis5"/>
    <w:rsid w:val="00E9344E"/>
    <w:rPr>
      <w:rFonts w:ascii="Georgia" w:hAnsi="Georgia"/>
      <w:b/>
      <w:szCs w:val="24"/>
      <w:lang w:eastAsia="de-DE"/>
    </w:rPr>
  </w:style>
  <w:style w:type="character" w:customStyle="1" w:styleId="Nadpis3Char">
    <w:name w:val="Nadpis 3 Char"/>
    <w:link w:val="Nadpis3"/>
    <w:rsid w:val="003865E5"/>
    <w:rPr>
      <w:rFonts w:ascii="Cambria" w:eastAsia="Times New Roman" w:hAnsi="Cambria" w:cs="Times New Roman"/>
      <w:b/>
      <w:bCs/>
      <w:color w:val="4F81BD"/>
      <w:sz w:val="22"/>
      <w:szCs w:val="24"/>
      <w:lang w:eastAsia="de-DE"/>
    </w:rPr>
  </w:style>
  <w:style w:type="character" w:customStyle="1" w:styleId="Nadpis4Char">
    <w:name w:val="Nadpis 4 Char"/>
    <w:link w:val="Nadpis4"/>
    <w:rsid w:val="00CB7286"/>
    <w:rPr>
      <w:b/>
      <w:bCs/>
      <w:sz w:val="28"/>
      <w:szCs w:val="28"/>
      <w:lang w:eastAsia="de-DE"/>
    </w:rPr>
  </w:style>
  <w:style w:type="table" w:styleId="Svtlseznamzvraznn3">
    <w:name w:val="Light List Accent 3"/>
    <w:basedOn w:val="Normlntabulka"/>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lntabulka"/>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ln"/>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ln"/>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dpis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dpis1"/>
    <w:next w:val="Normln"/>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ln"/>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ln"/>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ln"/>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ln"/>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ln"/>
    <w:next w:val="Normln"/>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ln"/>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ln"/>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ln"/>
    <w:rsid w:val="000D2D0B"/>
    <w:rPr>
      <w:szCs w:val="20"/>
    </w:rPr>
  </w:style>
  <w:style w:type="paragraph" w:customStyle="1" w:styleId="Sbuchead">
    <w:name w:val="Sbuchead"/>
    <w:basedOn w:val="Normln"/>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ln"/>
    <w:next w:val="Fait"/>
    <w:rsid w:val="000D2D0B"/>
    <w:pPr>
      <w:spacing w:before="480" w:after="120"/>
      <w:jc w:val="both"/>
    </w:pPr>
    <w:rPr>
      <w:rFonts w:ascii="Times New Roman" w:hAnsi="Times New Roman"/>
      <w:sz w:val="24"/>
      <w:lang w:eastAsia="en-US"/>
    </w:rPr>
  </w:style>
  <w:style w:type="paragraph" w:customStyle="1" w:styleId="Fait">
    <w:name w:val="Fait à"/>
    <w:basedOn w:val="Normln"/>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ln"/>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ln"/>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ln"/>
    <w:next w:val="Normln"/>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ln"/>
    <w:next w:val="Normln"/>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ln"/>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ln"/>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ln"/>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ln"/>
    <w:rsid w:val="000D2D0B"/>
    <w:pPr>
      <w:spacing w:before="120" w:after="120"/>
      <w:ind w:left="850"/>
      <w:jc w:val="both"/>
    </w:pPr>
    <w:rPr>
      <w:rFonts w:ascii="Times New Roman" w:hAnsi="Times New Roman"/>
      <w:sz w:val="24"/>
      <w:lang w:eastAsia="en-US"/>
    </w:rPr>
  </w:style>
  <w:style w:type="paragraph" w:customStyle="1" w:styleId="Text2">
    <w:name w:val="Text 2"/>
    <w:basedOn w:val="Normln"/>
    <w:rsid w:val="000D2D0B"/>
    <w:pPr>
      <w:spacing w:before="120" w:after="120"/>
      <w:ind w:left="1417"/>
      <w:jc w:val="both"/>
    </w:pPr>
    <w:rPr>
      <w:rFonts w:ascii="Times New Roman" w:hAnsi="Times New Roman"/>
      <w:sz w:val="24"/>
      <w:lang w:eastAsia="en-US"/>
    </w:rPr>
  </w:style>
  <w:style w:type="paragraph" w:customStyle="1" w:styleId="Text3">
    <w:name w:val="Text 3"/>
    <w:basedOn w:val="Normln"/>
    <w:rsid w:val="000D2D0B"/>
    <w:pPr>
      <w:spacing w:before="120" w:after="120"/>
      <w:ind w:left="1984"/>
      <w:jc w:val="both"/>
    </w:pPr>
    <w:rPr>
      <w:rFonts w:ascii="Times New Roman" w:hAnsi="Times New Roman"/>
      <w:sz w:val="24"/>
      <w:lang w:eastAsia="en-US"/>
    </w:rPr>
  </w:style>
  <w:style w:type="paragraph" w:customStyle="1" w:styleId="Text4">
    <w:name w:val="Text 4"/>
    <w:basedOn w:val="Normln"/>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ln"/>
    <w:rsid w:val="000D2D0B"/>
    <w:pPr>
      <w:spacing w:before="120" w:after="120"/>
      <w:jc w:val="center"/>
    </w:pPr>
    <w:rPr>
      <w:rFonts w:ascii="Times New Roman" w:hAnsi="Times New Roman"/>
      <w:sz w:val="24"/>
      <w:lang w:eastAsia="en-US"/>
    </w:rPr>
  </w:style>
  <w:style w:type="paragraph" w:customStyle="1" w:styleId="NormalLeft">
    <w:name w:val="Normal Left"/>
    <w:basedOn w:val="Normln"/>
    <w:rsid w:val="000D2D0B"/>
    <w:pPr>
      <w:spacing w:before="120" w:after="120"/>
    </w:pPr>
    <w:rPr>
      <w:rFonts w:ascii="Times New Roman" w:hAnsi="Times New Roman"/>
      <w:sz w:val="24"/>
      <w:lang w:eastAsia="en-US"/>
    </w:rPr>
  </w:style>
  <w:style w:type="paragraph" w:customStyle="1" w:styleId="NormalRight">
    <w:name w:val="Normal Right"/>
    <w:basedOn w:val="Normln"/>
    <w:rsid w:val="000D2D0B"/>
    <w:pPr>
      <w:spacing w:before="120" w:after="120"/>
      <w:jc w:val="right"/>
    </w:pPr>
    <w:rPr>
      <w:rFonts w:ascii="Times New Roman" w:hAnsi="Times New Roman"/>
      <w:sz w:val="24"/>
      <w:lang w:eastAsia="en-US"/>
    </w:rPr>
  </w:style>
  <w:style w:type="paragraph" w:customStyle="1" w:styleId="QuotedText">
    <w:name w:val="Quoted Text"/>
    <w:basedOn w:val="Normln"/>
    <w:rsid w:val="000D2D0B"/>
    <w:pPr>
      <w:spacing w:before="120" w:after="120"/>
      <w:ind w:left="1417"/>
      <w:jc w:val="both"/>
    </w:pPr>
    <w:rPr>
      <w:rFonts w:ascii="Times New Roman" w:hAnsi="Times New Roman"/>
      <w:sz w:val="24"/>
      <w:lang w:eastAsia="en-US"/>
    </w:rPr>
  </w:style>
  <w:style w:type="paragraph" w:customStyle="1" w:styleId="Point0">
    <w:name w:val="Point 0"/>
    <w:basedOn w:val="Normln"/>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ln"/>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ln"/>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ln"/>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ln"/>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ln"/>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ln"/>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ln"/>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ln"/>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ln"/>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ln"/>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ln"/>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ln"/>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ln"/>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ln"/>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ln"/>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ln"/>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ln"/>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ln"/>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ln"/>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ln"/>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ln"/>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ln"/>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ln"/>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ln"/>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ln"/>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ln"/>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ln"/>
    <w:next w:val="Normln"/>
    <w:rsid w:val="000D2D0B"/>
    <w:pPr>
      <w:keepNext/>
      <w:spacing w:before="120" w:after="360"/>
      <w:jc w:val="center"/>
    </w:pPr>
    <w:rPr>
      <w:rFonts w:ascii="Times New Roman" w:hAnsi="Times New Roman"/>
      <w:b/>
      <w:sz w:val="32"/>
      <w:lang w:eastAsia="en-US"/>
    </w:rPr>
  </w:style>
  <w:style w:type="paragraph" w:customStyle="1" w:styleId="PartTitle">
    <w:name w:val="PartTitle"/>
    <w:basedOn w:val="Normln"/>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ln"/>
    <w:next w:val="Nadpis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ln"/>
    <w:next w:val="Normln"/>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ln"/>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ln"/>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ln"/>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ln"/>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ln"/>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ln"/>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ln"/>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ln"/>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ln"/>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ln"/>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ln"/>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ln"/>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ln"/>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ln"/>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ln"/>
    <w:next w:val="Normln"/>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ln"/>
    <w:next w:val="Normln"/>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ln"/>
    <w:next w:val="Normln"/>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ln"/>
    <w:next w:val="Normln"/>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ln"/>
    <w:next w:val="Normln"/>
    <w:rsid w:val="000D2D0B"/>
    <w:pPr>
      <w:spacing w:before="360" w:after="120"/>
      <w:jc w:val="center"/>
    </w:pPr>
    <w:rPr>
      <w:rFonts w:ascii="Times New Roman" w:hAnsi="Times New Roman"/>
      <w:sz w:val="24"/>
      <w:lang w:eastAsia="en-US"/>
    </w:rPr>
  </w:style>
  <w:style w:type="paragraph" w:customStyle="1" w:styleId="Confidentialit">
    <w:name w:val="Confidentialité"/>
    <w:basedOn w:val="Normln"/>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ln"/>
    <w:next w:val="Normln"/>
    <w:rsid w:val="000D2D0B"/>
    <w:pPr>
      <w:spacing w:after="240"/>
    </w:pPr>
    <w:rPr>
      <w:rFonts w:ascii="Times New Roman" w:hAnsi="Times New Roman"/>
      <w:sz w:val="24"/>
      <w:lang w:eastAsia="en-US"/>
    </w:rPr>
  </w:style>
  <w:style w:type="paragraph" w:customStyle="1" w:styleId="Datedadoption">
    <w:name w:val="Date d'adoption"/>
    <w:basedOn w:val="Normln"/>
    <w:next w:val="Titreobjet"/>
    <w:rsid w:val="000D2D0B"/>
    <w:pPr>
      <w:spacing w:before="360"/>
      <w:jc w:val="center"/>
    </w:pPr>
    <w:rPr>
      <w:rFonts w:ascii="Times New Roman" w:hAnsi="Times New Roman"/>
      <w:b/>
      <w:sz w:val="24"/>
      <w:lang w:eastAsia="en-US"/>
    </w:rPr>
  </w:style>
  <w:style w:type="paragraph" w:customStyle="1" w:styleId="Emission">
    <w:name w:val="Emission"/>
    <w:basedOn w:val="Normln"/>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ln"/>
    <w:next w:val="Normln"/>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ln"/>
    <w:next w:val="Normln"/>
    <w:rsid w:val="000D2D0B"/>
    <w:pPr>
      <w:keepNext/>
      <w:spacing w:before="600" w:after="120"/>
      <w:jc w:val="both"/>
    </w:pPr>
    <w:rPr>
      <w:rFonts w:ascii="Times New Roman" w:hAnsi="Times New Roman"/>
      <w:sz w:val="24"/>
      <w:lang w:eastAsia="en-US"/>
    </w:rPr>
  </w:style>
  <w:style w:type="paragraph" w:customStyle="1" w:styleId="Langue">
    <w:name w:val="Langue"/>
    <w:basedOn w:val="Normln"/>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ln"/>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ln"/>
    <w:next w:val="Emission"/>
    <w:rsid w:val="000D2D0B"/>
    <w:rPr>
      <w:rFonts w:cs="Arial"/>
      <w:sz w:val="24"/>
      <w:lang w:eastAsia="en-US"/>
    </w:rPr>
  </w:style>
  <w:style w:type="paragraph" w:customStyle="1" w:styleId="Rfrenceinstitutionnelle">
    <w:name w:val="Référence institutionnelle"/>
    <w:basedOn w:val="Normln"/>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ln"/>
    <w:next w:val="Statut"/>
    <w:rsid w:val="000D2D0B"/>
    <w:pPr>
      <w:ind w:left="5103"/>
    </w:pPr>
    <w:rPr>
      <w:rFonts w:ascii="Times New Roman" w:hAnsi="Times New Roman"/>
      <w:sz w:val="24"/>
      <w:lang w:eastAsia="en-US"/>
    </w:rPr>
  </w:style>
  <w:style w:type="paragraph" w:customStyle="1" w:styleId="Rfrenceinterne">
    <w:name w:val="Référence interne"/>
    <w:basedOn w:val="Normln"/>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ln"/>
    <w:rsid w:val="000D2D0B"/>
    <w:pPr>
      <w:jc w:val="center"/>
    </w:pPr>
    <w:rPr>
      <w:rFonts w:ascii="Times New Roman" w:hAnsi="Times New Roman"/>
      <w:b/>
      <w:sz w:val="24"/>
      <w:lang w:eastAsia="en-US"/>
    </w:rPr>
  </w:style>
  <w:style w:type="paragraph" w:customStyle="1" w:styleId="Statut">
    <w:name w:val="Statut"/>
    <w:basedOn w:val="Normln"/>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ln"/>
    <w:next w:val="Normln"/>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ln"/>
    <w:next w:val="Normln"/>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ln"/>
    <w:next w:val="Normln"/>
    <w:rsid w:val="000D2D0B"/>
    <w:pPr>
      <w:spacing w:before="120" w:after="120"/>
      <w:jc w:val="both"/>
    </w:pPr>
    <w:rPr>
      <w:rFonts w:ascii="Times New Roman" w:hAnsi="Times New Roman"/>
      <w:sz w:val="24"/>
      <w:lang w:eastAsia="en-US"/>
    </w:rPr>
  </w:style>
  <w:style w:type="paragraph" w:customStyle="1" w:styleId="Supertitre">
    <w:name w:val="Supertitre"/>
    <w:basedOn w:val="Normln"/>
    <w:next w:val="Normln"/>
    <w:rsid w:val="000D2D0B"/>
    <w:pPr>
      <w:spacing w:after="600"/>
      <w:jc w:val="center"/>
    </w:pPr>
    <w:rPr>
      <w:rFonts w:ascii="Times New Roman" w:hAnsi="Times New Roman"/>
      <w:b/>
      <w:sz w:val="24"/>
      <w:lang w:eastAsia="en-US"/>
    </w:rPr>
  </w:style>
  <w:style w:type="paragraph" w:customStyle="1" w:styleId="Languesfaisantfoi">
    <w:name w:val="Langues faisant foi"/>
    <w:basedOn w:val="Normln"/>
    <w:next w:val="Normln"/>
    <w:rsid w:val="000D2D0B"/>
    <w:pPr>
      <w:spacing w:before="360"/>
      <w:jc w:val="center"/>
    </w:pPr>
    <w:rPr>
      <w:rFonts w:ascii="Times New Roman" w:hAnsi="Times New Roman"/>
      <w:sz w:val="24"/>
      <w:lang w:eastAsia="en-US"/>
    </w:rPr>
  </w:style>
  <w:style w:type="paragraph" w:customStyle="1" w:styleId="Rfrencecroise">
    <w:name w:val="Référence croisée"/>
    <w:basedOn w:val="Normln"/>
    <w:rsid w:val="000D2D0B"/>
    <w:pPr>
      <w:jc w:val="center"/>
    </w:pPr>
    <w:rPr>
      <w:rFonts w:ascii="Times New Roman" w:hAnsi="Times New Roman"/>
      <w:sz w:val="24"/>
      <w:lang w:eastAsia="en-US"/>
    </w:rPr>
  </w:style>
  <w:style w:type="paragraph" w:customStyle="1" w:styleId="Fichefinanciretitre">
    <w:name w:val="Fiche financière titre"/>
    <w:basedOn w:val="Normln"/>
    <w:next w:val="Normln"/>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ln"/>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ln"/>
    <w:rsid w:val="000D2D0B"/>
    <w:pPr>
      <w:spacing w:after="240"/>
    </w:pPr>
  </w:style>
  <w:style w:type="paragraph" w:customStyle="1" w:styleId="Accompagnant">
    <w:name w:val="Accompagnant"/>
    <w:basedOn w:val="Normln"/>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ln"/>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ln"/>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ln"/>
    <w:next w:val="Normln"/>
    <w:rsid w:val="000D2D0B"/>
    <w:pPr>
      <w:spacing w:before="360"/>
      <w:jc w:val="center"/>
    </w:pPr>
    <w:rPr>
      <w:rFonts w:ascii="Times New Roman" w:hAnsi="Times New Roman"/>
      <w:sz w:val="24"/>
      <w:lang w:eastAsia="en-US"/>
    </w:rPr>
  </w:style>
  <w:style w:type="paragraph" w:styleId="slovanseznam2">
    <w:name w:val="List Number 2"/>
    <w:basedOn w:val="Normln"/>
    <w:rsid w:val="000D2D0B"/>
    <w:pPr>
      <w:tabs>
        <w:tab w:val="num" w:pos="643"/>
      </w:tabs>
      <w:spacing w:before="120" w:after="120"/>
      <w:ind w:left="643" w:hanging="360"/>
      <w:jc w:val="both"/>
    </w:pPr>
    <w:rPr>
      <w:rFonts w:ascii="Times New Roman" w:hAnsi="Times New Roman"/>
      <w:sz w:val="24"/>
      <w:lang w:eastAsia="en-US"/>
    </w:rPr>
  </w:style>
  <w:style w:type="paragraph" w:styleId="slovanseznam3">
    <w:name w:val="List Number 3"/>
    <w:basedOn w:val="Normln"/>
    <w:rsid w:val="000D2D0B"/>
    <w:pPr>
      <w:tabs>
        <w:tab w:val="num" w:pos="926"/>
      </w:tabs>
      <w:spacing w:before="120" w:after="120"/>
      <w:ind w:left="926" w:hanging="360"/>
      <w:jc w:val="both"/>
    </w:pPr>
    <w:rPr>
      <w:rFonts w:ascii="Times New Roman" w:hAnsi="Times New Roman"/>
      <w:sz w:val="24"/>
      <w:lang w:eastAsia="en-US"/>
    </w:rPr>
  </w:style>
  <w:style w:type="paragraph" w:styleId="slovanseznam4">
    <w:name w:val="List Number 4"/>
    <w:basedOn w:val="Normln"/>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Seznamsodrkami">
    <w:name w:val="List Bullet"/>
    <w:basedOn w:val="Normln"/>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Seznamsodrkami2">
    <w:name w:val="List Bullet 2"/>
    <w:basedOn w:val="Normln"/>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Seznamsodrkami3">
    <w:name w:val="List Bullet 3"/>
    <w:basedOn w:val="Normln"/>
    <w:rsid w:val="000D2D0B"/>
    <w:pPr>
      <w:numPr>
        <w:numId w:val="16"/>
      </w:numPr>
      <w:tabs>
        <w:tab w:val="num" w:pos="926"/>
      </w:tabs>
      <w:spacing w:before="120" w:after="120"/>
      <w:ind w:left="926"/>
      <w:jc w:val="both"/>
    </w:pPr>
    <w:rPr>
      <w:rFonts w:ascii="Times New Roman" w:hAnsi="Times New Roman"/>
      <w:sz w:val="24"/>
      <w:lang w:eastAsia="en-US"/>
    </w:rPr>
  </w:style>
  <w:style w:type="paragraph" w:styleId="Seznamsodrkami4">
    <w:name w:val="List Bullet 4"/>
    <w:basedOn w:val="Normln"/>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eznamobrzk">
    <w:name w:val="table of figures"/>
    <w:basedOn w:val="Normln"/>
    <w:next w:val="Normln"/>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ln"/>
    <w:rsid w:val="000D2D0B"/>
    <w:pPr>
      <w:ind w:left="720"/>
      <w:contextualSpacing/>
    </w:pPr>
    <w:rPr>
      <w:rFonts w:ascii="Cambria" w:hAnsi="Cambria"/>
      <w:sz w:val="24"/>
      <w:lang w:val="en-US" w:eastAsia="en-US"/>
    </w:rPr>
  </w:style>
  <w:style w:type="paragraph" w:customStyle="1" w:styleId="Listeavsnitt1">
    <w:name w:val="Listeavsnitt1"/>
    <w:basedOn w:val="Normln"/>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ln"/>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ln"/>
    <w:uiPriority w:val="99"/>
    <w:rsid w:val="000D2D0B"/>
    <w:pPr>
      <w:ind w:left="720"/>
      <w:contextualSpacing/>
    </w:pPr>
    <w:rPr>
      <w:rFonts w:ascii="Cambria" w:hAnsi="Cambria"/>
      <w:sz w:val="24"/>
      <w:lang w:val="en-US" w:eastAsia="en-US"/>
    </w:rPr>
  </w:style>
  <w:style w:type="paragraph" w:customStyle="1" w:styleId="ListParagraph2">
    <w:name w:val="List Paragraph2"/>
    <w:basedOn w:val="Normln"/>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dpis1"/>
    <w:next w:val="Normln"/>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ln"/>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ln"/>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ln"/>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ln"/>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ln"/>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ln"/>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Nzev">
    <w:name w:val="Title"/>
    <w:basedOn w:val="Normln"/>
    <w:next w:val="Normln"/>
    <w:link w:val="Nzev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NzevChar">
    <w:name w:val="Název Char"/>
    <w:link w:val="Nzev"/>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ln"/>
    <w:rsid w:val="000D2D0B"/>
    <w:pPr>
      <w:spacing w:before="320" w:line="260" w:lineRule="exact"/>
      <w:jc w:val="both"/>
    </w:pPr>
    <w:rPr>
      <w:rFonts w:ascii="Myriad Pro Light" w:hAnsi="Myriad Pro Light"/>
      <w:b/>
      <w:sz w:val="21"/>
      <w:szCs w:val="20"/>
      <w:lang w:val="es-ES" w:eastAsia="es-ES"/>
    </w:rPr>
  </w:style>
  <w:style w:type="character" w:customStyle="1" w:styleId="RevizeChar">
    <w:name w:val="Revize Char"/>
    <w:link w:val="Revize"/>
    <w:uiPriority w:val="99"/>
    <w:semiHidden/>
    <w:locked/>
    <w:rsid w:val="000D2D0B"/>
    <w:rPr>
      <w:rFonts w:ascii="Georgia" w:hAnsi="Georgia"/>
      <w:sz w:val="22"/>
      <w:szCs w:val="24"/>
      <w:lang w:eastAsia="de-DE"/>
    </w:rPr>
  </w:style>
  <w:style w:type="table" w:customStyle="1" w:styleId="TableGrid2">
    <w:name w:val="Table Grid2"/>
    <w:basedOn w:val="Normlntabulka"/>
    <w:next w:val="Mkatabulky"/>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draznnjemn">
    <w:name w:val="Subtle Emphasis"/>
    <w:aliases w:val="Question"/>
    <w:uiPriority w:val="19"/>
    <w:qFormat/>
    <w:rsid w:val="003A6E9A"/>
    <w:rPr>
      <w:b/>
      <w:i w:val="0"/>
      <w:iCs/>
      <w:sz w:val="20"/>
    </w:rPr>
  </w:style>
  <w:style w:type="paragraph" w:customStyle="1" w:styleId="NEW-Paragraph-Level1">
    <w:name w:val="NEW-Paragraph-Level1"/>
    <w:basedOn w:val="Normln"/>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ln"/>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ln"/>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ln"/>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ln"/>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ln"/>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ln"/>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ln"/>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ln"/>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ln"/>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ln"/>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ln"/>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npsmoodstavc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Zdraznnintenzivn">
    <w:name w:val="Intense Emphasis"/>
    <w:basedOn w:val="Standardnpsmoodstavce"/>
    <w:uiPriority w:val="21"/>
    <w:qFormat/>
    <w:rsid w:val="00D34282"/>
    <w:rPr>
      <w:b/>
      <w:bCs/>
      <w:i/>
      <w:iCs/>
    </w:rPr>
  </w:style>
  <w:style w:type="character" w:customStyle="1" w:styleId="CPTitle1Char">
    <w:name w:val="CP_Title1 Char"/>
    <w:basedOn w:val="Standardnpsmoodstavce"/>
    <w:link w:val="CPTitle1"/>
    <w:locked/>
    <w:rsid w:val="00D34282"/>
    <w:rPr>
      <w:rFonts w:asciiTheme="majorHAnsi" w:eastAsiaTheme="majorEastAsia" w:hAnsiTheme="majorHAnsi" w:cstheme="majorHAnsi"/>
      <w:b/>
      <w:sz w:val="32"/>
      <w:szCs w:val="32"/>
    </w:rPr>
  </w:style>
  <w:style w:type="paragraph" w:customStyle="1" w:styleId="CPTitle1">
    <w:name w:val="CP_Title1"/>
    <w:basedOn w:val="Nadpis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dpis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ln"/>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ln"/>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ln"/>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ln"/>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ln"/>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ln"/>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A2F8-D537-4E3C-864D-0C5FC5BB06E9}">
  <ds:schemaRefs>
    <ds:schemaRef ds:uri="http://schemas.openxmlformats.org/officeDocument/2006/bibliography"/>
  </ds:schemaRefs>
</ds:datastoreItem>
</file>

<file path=customXml/itemProps2.xml><?xml version="1.0" encoding="utf-8"?>
<ds:datastoreItem xmlns:ds="http://schemas.openxmlformats.org/officeDocument/2006/customXml" ds:itemID="{09EB4A4A-6CC1-4B4E-84D7-1771AB2E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10473</Words>
  <Characters>59700</Characters>
  <Application>Microsoft Office Word</Application>
  <DocSecurity>8</DocSecurity>
  <Lines>497</Lines>
  <Paragraphs>140</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Reply form for the MiFID II/MiFIR Consultation Paper</vt:lpstr>
      <vt:lpstr>Reply form for the MiFID II/MiFIR Consultation Paper</vt:lpstr>
    </vt:vector>
  </TitlesOfParts>
  <Company>ESMA</Company>
  <LinksUpToDate>false</LinksUpToDate>
  <CharactersWithSpaces>70033</CharactersWithSpaces>
  <SharedDoc>false</SharedDoc>
  <HyperlinkBase/>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jsebo</cp:lastModifiedBy>
  <cp:revision>2</cp:revision>
  <cp:lastPrinted>2015-02-18T11:01:00Z</cp:lastPrinted>
  <dcterms:created xsi:type="dcterms:W3CDTF">2015-08-16T22:04:00Z</dcterms:created>
  <dcterms:modified xsi:type="dcterms:W3CDTF">2015-08-16T22:04:00Z</dcterms:modified>
</cp:coreProperties>
</file>