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D34282" w:rsidRPr="00AB6D88" w:rsidTr="00402D10">
        <w:tc>
          <w:tcPr>
            <w:tcW w:w="3929" w:type="dxa"/>
            <w:shd w:val="clear" w:color="auto" w:fill="auto"/>
          </w:tcPr>
          <w:p w:rsidR="00D34282" w:rsidRPr="00AB6D88" w:rsidRDefault="00D34282" w:rsidP="00402D10">
            <w:pPr>
              <w:rPr>
                <w:rFonts w:cs="Arial"/>
              </w:rPr>
            </w:pPr>
            <w:permStart w:id="0" w:edGrp="everyone" w:colFirst="1" w:colLast="1"/>
            <w:r w:rsidRPr="00AB6D88">
              <w:rPr>
                <w:rFonts w:cs="Arial"/>
              </w:rPr>
              <w:t>Name of the company / organisation</w:t>
            </w:r>
          </w:p>
        </w:tc>
        <w:sdt>
          <w:sdtPr>
            <w:rPr>
              <w:rStyle w:val="PlaceholderText"/>
              <w:rFonts w:cs="Arial"/>
            </w:rPr>
            <w:id w:val="-1905066999"/>
            <w:text/>
          </w:sdtPr>
          <w:sdtContent>
            <w:permStart w:id="1" w:edGrp="everyone" w:displacedByCustomXml="prev"/>
            <w:tc>
              <w:tcPr>
                <w:tcW w:w="5595" w:type="dxa"/>
                <w:shd w:val="clear" w:color="auto" w:fill="auto"/>
              </w:tcPr>
              <w:p w:rsidR="00D34282" w:rsidRPr="00AB6D88" w:rsidRDefault="00054BB7" w:rsidP="00054BB7">
                <w:pPr>
                  <w:rPr>
                    <w:rStyle w:val="PlaceholderText"/>
                    <w:rFonts w:cs="Arial"/>
                  </w:rPr>
                </w:pPr>
                <w:r>
                  <w:rPr>
                    <w:rStyle w:val="PlaceholderText"/>
                    <w:rFonts w:cs="Arial"/>
                  </w:rPr>
                  <w:t>Finnish Structured Products Association</w:t>
                </w:r>
              </w:p>
            </w:tc>
            <w:permEnd w:id="1" w:displacedByCustomXml="next"/>
          </w:sdtContent>
        </w:sdt>
      </w:tr>
      <w:tr w:rsidR="00D34282" w:rsidRPr="00AB6D88" w:rsidTr="00402D10">
        <w:tc>
          <w:tcPr>
            <w:tcW w:w="3929" w:type="dxa"/>
            <w:shd w:val="clear" w:color="auto" w:fill="auto"/>
          </w:tcPr>
          <w:p w:rsidR="00D34282" w:rsidRPr="00AB6D88" w:rsidRDefault="00D34282" w:rsidP="00402D10">
            <w:pPr>
              <w:rPr>
                <w:rFonts w:cs="Arial"/>
              </w:rPr>
            </w:pPr>
            <w:permStart w:id="2" w:edGrp="everyone" w:colFirst="1" w:colLast="1"/>
            <w:permEnd w:id="0"/>
            <w:r w:rsidRPr="00AB6D88">
              <w:rPr>
                <w:rFonts w:cs="Arial"/>
              </w:rPr>
              <w:t>Activity</w:t>
            </w:r>
          </w:p>
        </w:tc>
        <w:tc>
          <w:tcPr>
            <w:tcW w:w="5595" w:type="dxa"/>
            <w:shd w:val="clear" w:color="auto" w:fill="auto"/>
          </w:tcPr>
          <w:p w:rsidR="00D34282" w:rsidRPr="00AB6D88" w:rsidRDefault="005524B1" w:rsidP="00402D10">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3" w:edGrp="everyone"/>
                <w:r w:rsidR="00054BB7">
                  <w:rPr>
                    <w:rFonts w:cs="Arial"/>
                  </w:rPr>
                  <w:t>Other Financial service providers</w:t>
                </w:r>
                <w:permEnd w:id="3"/>
              </w:sdtContent>
            </w:sdt>
          </w:p>
        </w:tc>
      </w:tr>
      <w:tr w:rsidR="00D34282" w:rsidRPr="00AB6D88" w:rsidTr="00402D10">
        <w:tc>
          <w:tcPr>
            <w:tcW w:w="3929" w:type="dxa"/>
            <w:shd w:val="clear" w:color="auto" w:fill="auto"/>
          </w:tcPr>
          <w:p w:rsidR="00D34282" w:rsidRPr="00AB6D88" w:rsidRDefault="00D34282" w:rsidP="00402D10">
            <w:pPr>
              <w:rPr>
                <w:rFonts w:cs="Arial"/>
              </w:rPr>
            </w:pPr>
            <w:permStart w:id="4" w:edGrp="everyone" w:colFirst="1" w:colLast="1"/>
            <w:permEnd w:id="2"/>
            <w:r w:rsidRPr="00AB6D88">
              <w:rPr>
                <w:rFonts w:cs="Arial"/>
              </w:rPr>
              <w:t>Are you representing an association?</w:t>
            </w:r>
          </w:p>
        </w:tc>
        <w:sdt>
          <w:sdtPr>
            <w:rPr>
              <w:rFonts w:cs="Arial"/>
            </w:rPr>
            <w:id w:val="-242871467"/>
          </w:sdtPr>
          <w:sdtContent>
            <w:tc>
              <w:tcPr>
                <w:tcW w:w="5595" w:type="dxa"/>
                <w:shd w:val="clear" w:color="auto" w:fill="auto"/>
              </w:tcPr>
              <w:p w:rsidR="00D34282" w:rsidRPr="00AB6D88" w:rsidRDefault="00054BB7" w:rsidP="00054BB7">
                <w:pPr>
                  <w:rPr>
                    <w:rFonts w:cs="Arial"/>
                  </w:rPr>
                </w:pPr>
                <w:r>
                  <w:rPr>
                    <w:rFonts w:ascii="MS Gothic" w:eastAsia="MS Gothic" w:hAnsi="MS Gothic" w:cs="MS Gothic"/>
                  </w:rPr>
                  <w:t>YES</w:t>
                </w:r>
              </w:p>
            </w:tc>
          </w:sdtContent>
        </w:sdt>
      </w:tr>
      <w:tr w:rsidR="00D34282" w:rsidRPr="00AB6D88" w:rsidTr="00402D10">
        <w:tc>
          <w:tcPr>
            <w:tcW w:w="3929" w:type="dxa"/>
            <w:shd w:val="clear" w:color="auto" w:fill="auto"/>
          </w:tcPr>
          <w:p w:rsidR="00D34282" w:rsidRPr="00AB6D88" w:rsidRDefault="00D34282" w:rsidP="00402D10">
            <w:pPr>
              <w:rPr>
                <w:rFonts w:cs="Arial"/>
              </w:rPr>
            </w:pPr>
            <w:permStart w:id="5" w:edGrp="everyone" w:colFirst="1" w:colLast="1"/>
            <w:permEnd w:id="4"/>
            <w:r w:rsidRPr="00AB6D88">
              <w:rPr>
                <w:rFonts w:cs="Arial"/>
              </w:rPr>
              <w:t>Country/Region</w:t>
            </w:r>
          </w:p>
        </w:tc>
        <w:permStart w:id="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7" w:edGrp="everyone" w:displacedByCustomXml="prev"/>
            <w:tc>
              <w:tcPr>
                <w:tcW w:w="5595" w:type="dxa"/>
                <w:shd w:val="clear" w:color="auto" w:fill="auto"/>
              </w:tcPr>
              <w:p w:rsidR="00D34282" w:rsidRPr="00AB6D88" w:rsidRDefault="00054BB7" w:rsidP="00054BB7">
                <w:pPr>
                  <w:rPr>
                    <w:rFonts w:cs="Arial"/>
                  </w:rPr>
                </w:pPr>
                <w:r>
                  <w:rPr>
                    <w:rFonts w:cs="Arial"/>
                  </w:rPr>
                  <w:t>Finland</w:t>
                </w:r>
              </w:p>
            </w:tc>
            <w:permEnd w:id="7" w:displacedByCustomXml="next"/>
          </w:sdtContent>
        </w:sdt>
        <w:permEnd w:id="6" w:displacedByCustomXml="prev"/>
      </w:tr>
      <w:permEnd w:id="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334965" w:rsidRPr="00334965" w:rsidRDefault="00334965" w:rsidP="00334965">
      <w:pPr>
        <w:jc w:val="both"/>
        <w:rPr>
          <w:b/>
          <w:bCs/>
          <w:iCs/>
          <w:color w:val="1F497D" w:themeColor="text2"/>
        </w:rPr>
      </w:pPr>
      <w:permStart w:id="8" w:edGrp="everyone"/>
      <w:r w:rsidRPr="00334965">
        <w:rPr>
          <w:b/>
          <w:bCs/>
          <w:iCs/>
          <w:color w:val="1F497D" w:themeColor="text2"/>
        </w:rPr>
        <w:t>Founded in 2005, the Finnish Structured Products Association is the trade body of the structured products sector in Finland. The FSPA represents the interests of all local issuers and most of the distributors in the local market.</w:t>
      </w:r>
    </w:p>
    <w:p w:rsidR="00334965" w:rsidRDefault="00334965" w:rsidP="002E137E">
      <w:pPr>
        <w:widowControl w:val="0"/>
        <w:autoSpaceDE w:val="0"/>
        <w:autoSpaceDN w:val="0"/>
        <w:adjustRightInd w:val="0"/>
        <w:rPr>
          <w:rFonts w:eastAsia="MS Mincho" w:cs="Arial"/>
          <w:color w:val="1F497D" w:themeColor="text2"/>
          <w:szCs w:val="20"/>
        </w:rPr>
      </w:pPr>
    </w:p>
    <w:p w:rsidR="00334965" w:rsidRDefault="00AD072D" w:rsidP="002E137E">
      <w:pPr>
        <w:widowControl w:val="0"/>
        <w:autoSpaceDE w:val="0"/>
        <w:autoSpaceDN w:val="0"/>
        <w:adjustRightInd w:val="0"/>
        <w:rPr>
          <w:rFonts w:eastAsia="MS Mincho" w:cs="Arial"/>
          <w:color w:val="1F497D" w:themeColor="text2"/>
          <w:szCs w:val="20"/>
        </w:rPr>
      </w:pPr>
      <w:r>
        <w:rPr>
          <w:rFonts w:eastAsia="MS Mincho" w:cs="Arial"/>
          <w:color w:val="1F497D" w:themeColor="text2"/>
          <w:szCs w:val="20"/>
        </w:rPr>
        <w:t xml:space="preserve">The FSPA would like to emphasise that although we believe there is no one model to handle all different types of PRIIPs the principles for calculations and gathering of information should be as close possible to be able to receive comparable results. And the way of presentation of the results should not suffer the calculation problems and the same presentation could be used for all PRIIPs which would lead to the wished result with the retail investors. </w:t>
      </w:r>
    </w:p>
    <w:p w:rsidR="00A262DF" w:rsidRDefault="00A262DF" w:rsidP="002E137E">
      <w:pPr>
        <w:widowControl w:val="0"/>
        <w:autoSpaceDE w:val="0"/>
        <w:autoSpaceDN w:val="0"/>
        <w:adjustRightInd w:val="0"/>
        <w:rPr>
          <w:rFonts w:eastAsia="MS Mincho" w:cs="Arial"/>
          <w:color w:val="1F497D" w:themeColor="text2"/>
          <w:szCs w:val="20"/>
        </w:rPr>
      </w:pPr>
    </w:p>
    <w:p w:rsidR="00A262DF" w:rsidRDefault="00A262DF" w:rsidP="002E137E">
      <w:pPr>
        <w:widowControl w:val="0"/>
        <w:autoSpaceDE w:val="0"/>
        <w:autoSpaceDN w:val="0"/>
        <w:adjustRightInd w:val="0"/>
        <w:rPr>
          <w:rFonts w:eastAsia="MS Mincho" w:cs="Arial"/>
          <w:color w:val="1F497D" w:themeColor="text2"/>
          <w:szCs w:val="20"/>
        </w:rPr>
      </w:pPr>
      <w:r>
        <w:rPr>
          <w:rFonts w:eastAsia="MS Mincho" w:cs="Arial"/>
          <w:color w:val="1F497D" w:themeColor="text2"/>
          <w:szCs w:val="20"/>
        </w:rPr>
        <w:t>The FSPA answers only to questions related to structured products. The references to other PRIIPs are for comparison or illustration only.</w:t>
      </w:r>
    </w:p>
    <w:p w:rsidR="00334965" w:rsidRDefault="00334965" w:rsidP="002E137E">
      <w:pPr>
        <w:widowControl w:val="0"/>
        <w:autoSpaceDE w:val="0"/>
        <w:autoSpaceDN w:val="0"/>
        <w:adjustRightInd w:val="0"/>
        <w:rPr>
          <w:rFonts w:eastAsia="MS Mincho" w:cs="Arial"/>
          <w:color w:val="1F497D" w:themeColor="text2"/>
          <w:szCs w:val="20"/>
        </w:rPr>
      </w:pPr>
    </w:p>
    <w:p w:rsidR="001536C4" w:rsidRDefault="001536C4" w:rsidP="002E137E">
      <w:pPr>
        <w:widowControl w:val="0"/>
        <w:autoSpaceDE w:val="0"/>
        <w:autoSpaceDN w:val="0"/>
        <w:adjustRightInd w:val="0"/>
        <w:rPr>
          <w:rFonts w:eastAsia="MS Mincho" w:cs="Arial"/>
          <w:color w:val="1F497D" w:themeColor="text2"/>
          <w:szCs w:val="20"/>
        </w:rPr>
      </w:pPr>
      <w:r>
        <w:rPr>
          <w:rFonts w:eastAsia="MS Mincho" w:cs="Arial"/>
          <w:color w:val="1F497D" w:themeColor="text2"/>
          <w:szCs w:val="20"/>
        </w:rPr>
        <w:t xml:space="preserve">The FSPA thinks that these technical rules should be applied to investments only. The scope should not be enlarged so that it would apply to for example hedging a loan portfolio’s </w:t>
      </w:r>
      <w:proofErr w:type="spellStart"/>
      <w:r>
        <w:rPr>
          <w:rFonts w:eastAsia="MS Mincho" w:cs="Arial"/>
          <w:color w:val="1F497D" w:themeColor="text2"/>
          <w:szCs w:val="20"/>
        </w:rPr>
        <w:t>intrest</w:t>
      </w:r>
      <w:proofErr w:type="spellEnd"/>
      <w:r>
        <w:rPr>
          <w:rFonts w:eastAsia="MS Mincho" w:cs="Arial"/>
          <w:color w:val="1F497D" w:themeColor="text2"/>
          <w:szCs w:val="20"/>
        </w:rPr>
        <w:t xml:space="preserve"> rate risk with an OTC-derivate. </w:t>
      </w:r>
    </w:p>
    <w:p w:rsidR="001536C4" w:rsidRPr="00334965" w:rsidRDefault="001536C4" w:rsidP="002E137E">
      <w:pPr>
        <w:widowControl w:val="0"/>
        <w:autoSpaceDE w:val="0"/>
        <w:autoSpaceDN w:val="0"/>
        <w:adjustRightInd w:val="0"/>
        <w:rPr>
          <w:rFonts w:eastAsia="MS Mincho" w:cs="Arial"/>
          <w:color w:val="1F497D" w:themeColor="text2"/>
          <w:szCs w:val="20"/>
        </w:rPr>
      </w:pPr>
    </w:p>
    <w:p w:rsidR="002E137E" w:rsidRPr="00334965" w:rsidRDefault="002E137E" w:rsidP="002E137E">
      <w:pPr>
        <w:widowControl w:val="0"/>
        <w:autoSpaceDE w:val="0"/>
        <w:autoSpaceDN w:val="0"/>
        <w:adjustRightInd w:val="0"/>
        <w:rPr>
          <w:rFonts w:eastAsia="MS Mincho" w:cs="Arial"/>
          <w:color w:val="1F497D" w:themeColor="text2"/>
          <w:szCs w:val="20"/>
        </w:rPr>
      </w:pPr>
      <w:r w:rsidRPr="00334965">
        <w:rPr>
          <w:rFonts w:eastAsia="MS Mincho" w:cs="Arial"/>
          <w:color w:val="1F497D" w:themeColor="text2"/>
          <w:szCs w:val="20"/>
        </w:rPr>
        <w:t>Best Regards,</w:t>
      </w:r>
    </w:p>
    <w:p w:rsidR="002E137E" w:rsidRPr="00334965" w:rsidRDefault="002E137E" w:rsidP="002E137E">
      <w:pPr>
        <w:rPr>
          <w:rFonts w:eastAsia="MS Mincho" w:cs="Arial"/>
          <w:color w:val="1F497D" w:themeColor="text2"/>
          <w:szCs w:val="20"/>
        </w:rPr>
      </w:pPr>
    </w:p>
    <w:p w:rsidR="002E137E" w:rsidRDefault="00334965" w:rsidP="002E137E">
      <w:pPr>
        <w:rPr>
          <w:rFonts w:eastAsia="MS Mincho" w:cs="Arial"/>
          <w:color w:val="1F497D" w:themeColor="text2"/>
          <w:szCs w:val="20"/>
        </w:rPr>
      </w:pPr>
      <w:proofErr w:type="spellStart"/>
      <w:r>
        <w:rPr>
          <w:rFonts w:eastAsia="MS Mincho" w:cs="Arial"/>
          <w:color w:val="1F497D" w:themeColor="text2"/>
          <w:szCs w:val="20"/>
        </w:rPr>
        <w:t>Jyrki</w:t>
      </w:r>
      <w:proofErr w:type="spellEnd"/>
      <w:r>
        <w:rPr>
          <w:rFonts w:eastAsia="MS Mincho" w:cs="Arial"/>
          <w:color w:val="1F497D" w:themeColor="text2"/>
          <w:szCs w:val="20"/>
        </w:rPr>
        <w:t xml:space="preserve"> </w:t>
      </w:r>
      <w:proofErr w:type="spellStart"/>
      <w:r>
        <w:rPr>
          <w:rFonts w:eastAsia="MS Mincho" w:cs="Arial"/>
          <w:color w:val="1F497D" w:themeColor="text2"/>
          <w:szCs w:val="20"/>
        </w:rPr>
        <w:t>Iisalo</w:t>
      </w:r>
      <w:proofErr w:type="spellEnd"/>
    </w:p>
    <w:p w:rsidR="00B61E31" w:rsidRDefault="00334965" w:rsidP="00D34282">
      <w:r>
        <w:rPr>
          <w:rFonts w:eastAsia="MS Mincho" w:cs="Arial"/>
          <w:color w:val="1F497D" w:themeColor="text2"/>
          <w:szCs w:val="20"/>
        </w:rPr>
        <w:t>Chairman, FSPA</w:t>
      </w:r>
    </w:p>
    <w:permEnd w:id="8"/>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72389A" w:rsidRPr="00D30674" w:rsidRDefault="0072389A" w:rsidP="0072389A">
      <w:pPr>
        <w:pStyle w:val="Default"/>
        <w:rPr>
          <w:color w:val="1F497D" w:themeColor="text2"/>
          <w:sz w:val="22"/>
          <w:szCs w:val="22"/>
          <w:lang w:val="en-US"/>
        </w:rPr>
      </w:pPr>
      <w:permStart w:id="9" w:edGrp="everyone"/>
      <w:r w:rsidRPr="00D30674">
        <w:rPr>
          <w:color w:val="1F497D" w:themeColor="text2"/>
          <w:sz w:val="22"/>
          <w:szCs w:val="22"/>
          <w:lang w:val="en-US"/>
        </w:rPr>
        <w:t xml:space="preserve">The FSPA sees </w:t>
      </w:r>
      <w:r w:rsidRPr="00D30674">
        <w:rPr>
          <w:color w:val="1F497D" w:themeColor="text2"/>
          <w:sz w:val="22"/>
          <w:szCs w:val="22"/>
          <w:u w:val="single"/>
          <w:lang w:val="en-US"/>
        </w:rPr>
        <w:t>risk</w:t>
      </w:r>
      <w:r w:rsidRPr="00D30674">
        <w:rPr>
          <w:color w:val="1F497D" w:themeColor="text2"/>
          <w:sz w:val="22"/>
          <w:szCs w:val="22"/>
          <w:lang w:val="en-US"/>
        </w:rPr>
        <w:t xml:space="preserve"> to the retail customer as the potential loss of money. Any risk indicator should try to express the risk in similar, comparable way with all other investments. (This is likely to involve different calculation methods depending on the PRIIP -product characteristics. But the chosen methods should be theoretically sound and the results should be tangible.) The technically difficult aspects of risk calculations should be simplified to the retail investor. But it is of utmost importance to the investor that the risks of different investments are presented on the same comparable scale. </w:t>
      </w:r>
    </w:p>
    <w:p w:rsidR="0072389A" w:rsidRPr="00D30674" w:rsidRDefault="0072389A" w:rsidP="0072389A">
      <w:pPr>
        <w:pStyle w:val="Default"/>
        <w:rPr>
          <w:color w:val="1F497D" w:themeColor="text2"/>
          <w:sz w:val="22"/>
          <w:szCs w:val="22"/>
          <w:lang w:val="en-US"/>
        </w:rPr>
      </w:pPr>
      <w:r w:rsidRPr="00D30674">
        <w:rPr>
          <w:color w:val="1F497D" w:themeColor="text2"/>
          <w:sz w:val="22"/>
          <w:szCs w:val="22"/>
          <w:lang w:val="en-US"/>
        </w:rPr>
        <w:t>Therefore the FSPA finds that the market risk should be based on a quantitative model. A co</w:t>
      </w:r>
      <w:r w:rsidRPr="00D30674">
        <w:rPr>
          <w:color w:val="1F497D" w:themeColor="text2"/>
          <w:sz w:val="22"/>
          <w:szCs w:val="22"/>
          <w:lang w:val="en-US"/>
        </w:rPr>
        <w:t>m</w:t>
      </w:r>
      <w:r w:rsidRPr="00D30674">
        <w:rPr>
          <w:color w:val="1F497D" w:themeColor="text2"/>
          <w:sz w:val="22"/>
          <w:szCs w:val="22"/>
          <w:lang w:val="en-US"/>
        </w:rPr>
        <w:t>bination of alternatives b) &amp; d) would form a base that could be comparable with other PRIIPs such as UCITS. At the same time it would provide similar results between the different manufa</w:t>
      </w:r>
      <w:r w:rsidRPr="00D30674">
        <w:rPr>
          <w:color w:val="1F497D" w:themeColor="text2"/>
          <w:sz w:val="22"/>
          <w:szCs w:val="22"/>
          <w:lang w:val="en-US"/>
        </w:rPr>
        <w:t>c</w:t>
      </w:r>
      <w:r w:rsidRPr="00D30674">
        <w:rPr>
          <w:color w:val="1F497D" w:themeColor="text2"/>
          <w:sz w:val="22"/>
          <w:szCs w:val="22"/>
          <w:lang w:val="en-US"/>
        </w:rPr>
        <w:t>turers which may not be the case with current prices or parameters chosen by the manufacturers. They may be from the pricing point of view more accurate at the time of issuing but that should in the view of the FSPA be a secondary objective.</w:t>
      </w:r>
    </w:p>
    <w:p w:rsidR="0072389A" w:rsidRPr="00D30674" w:rsidRDefault="0072389A" w:rsidP="0072389A">
      <w:pPr>
        <w:pStyle w:val="Default"/>
        <w:rPr>
          <w:color w:val="1F497D" w:themeColor="text2"/>
          <w:sz w:val="22"/>
          <w:szCs w:val="22"/>
          <w:lang w:val="en-US"/>
        </w:rPr>
      </w:pPr>
    </w:p>
    <w:p w:rsidR="00C119A1" w:rsidRPr="0072389A" w:rsidRDefault="0072389A" w:rsidP="0072389A">
      <w:pPr>
        <w:pStyle w:val="Default"/>
        <w:rPr>
          <w:lang w:val="en-US"/>
        </w:rPr>
      </w:pPr>
      <w:r w:rsidRPr="00D30674">
        <w:rPr>
          <w:color w:val="1F497D" w:themeColor="text2"/>
          <w:sz w:val="22"/>
          <w:szCs w:val="22"/>
          <w:u w:val="single"/>
          <w:lang w:val="en-US"/>
        </w:rPr>
        <w:t>Return</w:t>
      </w:r>
      <w:r w:rsidRPr="00D30674">
        <w:rPr>
          <w:color w:val="1F497D" w:themeColor="text2"/>
          <w:sz w:val="22"/>
          <w:szCs w:val="22"/>
          <w:lang w:val="en-US"/>
        </w:rPr>
        <w:t xml:space="preserve"> from any investment is always unknown in advance. The FSPA prefers the way of visua</w:t>
      </w:r>
      <w:r w:rsidRPr="00D30674">
        <w:rPr>
          <w:color w:val="1F497D" w:themeColor="text2"/>
          <w:sz w:val="22"/>
          <w:szCs w:val="22"/>
          <w:lang w:val="en-US"/>
        </w:rPr>
        <w:t>l</w:t>
      </w:r>
      <w:r w:rsidRPr="00D30674">
        <w:rPr>
          <w:color w:val="1F497D" w:themeColor="text2"/>
          <w:sz w:val="22"/>
          <w:szCs w:val="22"/>
          <w:lang w:val="en-US"/>
        </w:rPr>
        <w:t>izing different possible scenarios from which the investor can see how her view of the market would perform and also what happens if she is wrong. Since the outcome does not base on hist</w:t>
      </w:r>
      <w:r w:rsidRPr="00D30674">
        <w:rPr>
          <w:color w:val="1F497D" w:themeColor="text2"/>
          <w:sz w:val="22"/>
          <w:szCs w:val="22"/>
          <w:lang w:val="en-US"/>
        </w:rPr>
        <w:t>o</w:t>
      </w:r>
      <w:r w:rsidRPr="00D30674">
        <w:rPr>
          <w:color w:val="1F497D" w:themeColor="text2"/>
          <w:sz w:val="22"/>
          <w:szCs w:val="22"/>
          <w:lang w:val="en-US"/>
        </w:rPr>
        <w:t>ry we are hesitant to present any probabilistic scenario among the alternative outcomes. This means that the method used for the risk calculation would not be used for the returns but the scale for the alternative scenarios could be based on that.</w:t>
      </w:r>
    </w:p>
    <w:permEnd w:id="9"/>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220495" w:rsidRPr="0072389A" w:rsidRDefault="0072389A" w:rsidP="0072389A">
      <w:pPr>
        <w:pStyle w:val="Default"/>
        <w:rPr>
          <w:lang w:val="en-US"/>
        </w:rPr>
      </w:pPr>
      <w:permStart w:id="10" w:edGrp="everyone"/>
      <w:r w:rsidRPr="00D30674">
        <w:rPr>
          <w:color w:val="1F497D" w:themeColor="text2"/>
          <w:sz w:val="22"/>
          <w:szCs w:val="22"/>
          <w:lang w:val="en-US"/>
        </w:rPr>
        <w:t>The ability to compare the products between manufacturers (and also to UCITS) is adversely affected if manufacturer discretionary models are used. The FSPA believes that same principles should be applied for different types of investments although several different models will have to be applied to different types of PRIIPs. The aim should be as similar risk calculation principles as possible for different type of products which thereby give comparable results. Therefore the parameters are best defined by the supervisory authority and updated from the historical data or by the authority.</w:t>
      </w:r>
    </w:p>
    <w:permEnd w:id="10"/>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220495" w:rsidRPr="00CC658F" w:rsidRDefault="0072389A" w:rsidP="00220495">
      <w:permStart w:id="11" w:edGrp="everyone"/>
      <w:r w:rsidRPr="00D30674">
        <w:rPr>
          <w:color w:val="1F497D" w:themeColor="text2"/>
          <w:sz w:val="22"/>
          <w:szCs w:val="22"/>
          <w:lang w:val="en-US"/>
        </w:rPr>
        <w:t>The structured products don’t have a benchmark since they are often made to change the b</w:t>
      </w:r>
      <w:r w:rsidRPr="00D30674">
        <w:rPr>
          <w:color w:val="1F497D" w:themeColor="text2"/>
          <w:sz w:val="22"/>
          <w:szCs w:val="22"/>
          <w:lang w:val="en-US"/>
        </w:rPr>
        <w:t>e</w:t>
      </w:r>
      <w:r w:rsidRPr="00D30674">
        <w:rPr>
          <w:color w:val="1F497D" w:themeColor="text2"/>
          <w:sz w:val="22"/>
          <w:szCs w:val="22"/>
          <w:lang w:val="en-US"/>
        </w:rPr>
        <w:t xml:space="preserve">havior of the typical benchmark. The retail investors best reference is “not doing anything” which means that the amount to be invested is left on a deposit account. The decision is likely to be worse than the alternative a) at the current interest rate environment and in no circumstance as good as alternative b). At the moment the retail investors deposited amount </w:t>
      </w:r>
      <w:r w:rsidRPr="00D30674">
        <w:rPr>
          <w:color w:val="1F497D" w:themeColor="text2"/>
          <w:sz w:val="22"/>
          <w:szCs w:val="22"/>
          <w:u w:val="single"/>
          <w:lang w:val="en-US"/>
        </w:rPr>
        <w:t>decreases</w:t>
      </w:r>
      <w:r w:rsidRPr="00D30674">
        <w:rPr>
          <w:color w:val="1F497D" w:themeColor="text2"/>
          <w:sz w:val="22"/>
          <w:szCs w:val="22"/>
          <w:lang w:val="en-US"/>
        </w:rPr>
        <w:t xml:space="preserve"> with the </w:t>
      </w:r>
      <w:r w:rsidRPr="00D30674">
        <w:rPr>
          <w:color w:val="1F497D" w:themeColor="text2"/>
          <w:sz w:val="22"/>
          <w:szCs w:val="22"/>
          <w:lang w:val="en-US"/>
        </w:rPr>
        <w:lastRenderedPageBreak/>
        <w:t>inflation rate and fees. Still the FSPA recommends alternative a) as the most relevant assum</w:t>
      </w:r>
      <w:r w:rsidRPr="00D30674">
        <w:rPr>
          <w:color w:val="1F497D" w:themeColor="text2"/>
          <w:sz w:val="22"/>
          <w:szCs w:val="22"/>
          <w:lang w:val="en-US"/>
        </w:rPr>
        <w:t>p</w:t>
      </w:r>
      <w:r w:rsidRPr="00D30674">
        <w:rPr>
          <w:color w:val="1F497D" w:themeColor="text2"/>
          <w:sz w:val="22"/>
          <w:szCs w:val="22"/>
          <w:lang w:val="en-US"/>
        </w:rPr>
        <w:t xml:space="preserve">tion which also allows </w:t>
      </w:r>
      <w:proofErr w:type="gramStart"/>
      <w:r w:rsidRPr="00D30674">
        <w:rPr>
          <w:color w:val="1F497D" w:themeColor="text2"/>
          <w:sz w:val="22"/>
          <w:szCs w:val="22"/>
          <w:lang w:val="en-US"/>
        </w:rPr>
        <w:t>to compare</w:t>
      </w:r>
      <w:proofErr w:type="gramEnd"/>
      <w:r w:rsidRPr="00D30674">
        <w:rPr>
          <w:color w:val="1F497D" w:themeColor="text2"/>
          <w:sz w:val="22"/>
          <w:szCs w:val="22"/>
          <w:lang w:val="en-US"/>
        </w:rPr>
        <w:t xml:space="preserve"> the product for example with time deposits. The alternative c) is unavailable for the retail client without taking another type of investment. Using b) or c) would have a negative effect to comparability.</w:t>
      </w:r>
    </w:p>
    <w:permEnd w:id="11"/>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What would be the most reasonable approach to specify the growth rates? Would any of these approaches not work for a specific type of product or underlying i</w:t>
      </w:r>
      <w:r>
        <w:t>n</w:t>
      </w:r>
      <w:r>
        <w:t xml:space="preserve">vestment? </w:t>
      </w:r>
    </w:p>
    <w:p w:rsidR="00F31E57" w:rsidRDefault="00F31E57" w:rsidP="00F31E57"/>
    <w:p w:rsidR="00F31E57" w:rsidRDefault="00F31E57" w:rsidP="00F31E57">
      <w:r>
        <w:t>&lt;ESMA_QUESTION_PRIIPs_4&gt;</w:t>
      </w:r>
    </w:p>
    <w:p w:rsidR="0072389A" w:rsidRDefault="0072389A" w:rsidP="00F31E57">
      <w:pPr>
        <w:rPr>
          <w:color w:val="548DD4" w:themeColor="text2" w:themeTint="99"/>
          <w:sz w:val="22"/>
          <w:szCs w:val="22"/>
        </w:rPr>
      </w:pPr>
      <w:permStart w:id="12" w:edGrp="everyone"/>
      <w:r w:rsidRPr="00D30674">
        <w:rPr>
          <w:color w:val="1F497D" w:themeColor="text2"/>
          <w:sz w:val="22"/>
          <w:szCs w:val="22"/>
        </w:rPr>
        <w:t>The FSPA is favouring alternative c). Guidelines from a Competent Authority are welcomed. Problems could arise if the risk premiums are changed often and there might be difficulties in defining risk premiums to a broad base of assets. For some assets like credit rates the risk premium would have to equal zero.</w:t>
      </w:r>
      <w:r w:rsidRPr="00B62D26">
        <w:rPr>
          <w:color w:val="548DD4" w:themeColor="text2" w:themeTint="99"/>
          <w:sz w:val="22"/>
          <w:szCs w:val="22"/>
        </w:rPr>
        <w:t xml:space="preserve"> </w:t>
      </w:r>
    </w:p>
    <w:permEnd w:id="12"/>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0679B2" w:rsidRDefault="000679B2" w:rsidP="00F31E57">
      <w:pPr>
        <w:rPr>
          <w:color w:val="1F497D" w:themeColor="text2"/>
          <w:sz w:val="22"/>
          <w:szCs w:val="22"/>
        </w:rPr>
      </w:pPr>
      <w:permStart w:id="13" w:edGrp="everyone"/>
      <w:r w:rsidRPr="00D30674">
        <w:rPr>
          <w:color w:val="1F497D" w:themeColor="text2"/>
          <w:sz w:val="22"/>
          <w:szCs w:val="22"/>
        </w:rPr>
        <w:t>The FSPA thinks that it should be likely or recommended time of investment. For example the term of an investment for a fixed term structured product. All open-end products cannot have 5-year period as standard recommendation. Such products could be for example ETN’s with gea</w:t>
      </w:r>
      <w:r w:rsidRPr="00D30674">
        <w:rPr>
          <w:color w:val="1F497D" w:themeColor="text2"/>
          <w:sz w:val="22"/>
          <w:szCs w:val="22"/>
        </w:rPr>
        <w:t>r</w:t>
      </w:r>
      <w:r w:rsidRPr="00D30674">
        <w:rPr>
          <w:color w:val="1F497D" w:themeColor="text2"/>
          <w:sz w:val="22"/>
          <w:szCs w:val="22"/>
        </w:rPr>
        <w:t>ing. Nor can they be based for a 10 day period. Therefore the FSPA call for flexibility and the alternative c to be used. The FSPA also thinks that the PRIIPs products should be “aligned” with the investment advisory in risk and performance scenarios so that the right investment is a</w:t>
      </w:r>
      <w:r w:rsidRPr="00D30674">
        <w:rPr>
          <w:color w:val="1F497D" w:themeColor="text2"/>
          <w:sz w:val="22"/>
          <w:szCs w:val="22"/>
        </w:rPr>
        <w:t>d</w:t>
      </w:r>
      <w:r w:rsidRPr="00D30674">
        <w:rPr>
          <w:color w:val="1F497D" w:themeColor="text2"/>
          <w:sz w:val="22"/>
          <w:szCs w:val="22"/>
        </w:rPr>
        <w:t>vised.</w:t>
      </w:r>
    </w:p>
    <w:permEnd w:id="13"/>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0679B2" w:rsidP="00F31E57">
      <w:permStart w:id="14" w:edGrp="everyone"/>
      <w:r w:rsidRPr="00D30674">
        <w:rPr>
          <w:color w:val="1F497D" w:themeColor="text2"/>
          <w:sz w:val="22"/>
          <w:szCs w:val="22"/>
          <w:lang w:val="en-US"/>
        </w:rPr>
        <w:t>The FSPA recommends using credit ratings from the eligible rating agencies registered with ESMA or in case of an issuer without such rating the KID should clearly state “Not rated”. These ratings could also be expressed with their narrative description which is more understandable than the letters &amp; numbers. CDS-levels are not available for all manufacturers.</w:t>
      </w:r>
      <w:r w:rsidRPr="00216931">
        <w:rPr>
          <w:color w:val="548DD4" w:themeColor="text2" w:themeTint="99"/>
          <w:sz w:val="22"/>
          <w:szCs w:val="22"/>
          <w:lang w:val="en-US"/>
        </w:rPr>
        <w:t xml:space="preserve"> </w:t>
      </w:r>
      <w:permEnd w:id="14"/>
      <w:r w:rsidR="00F31E57">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agree that liquidity issues should be reflected in the risk section, in add</w:t>
      </w:r>
      <w:r>
        <w:t>i</w:t>
      </w:r>
      <w:r>
        <w:t xml:space="preserve">tion to clarifications provided in other section of the KID? </w:t>
      </w:r>
    </w:p>
    <w:p w:rsidR="00F31E57" w:rsidRDefault="00F31E57" w:rsidP="00F31E57"/>
    <w:p w:rsidR="00F31E57" w:rsidRDefault="00F31E57" w:rsidP="00F31E57">
      <w:r>
        <w:t>&lt;ESMA_QUESTION_PRIIPs_7&gt;</w:t>
      </w:r>
    </w:p>
    <w:p w:rsidR="009A590C" w:rsidRDefault="000679B2" w:rsidP="009A590C">
      <w:pPr>
        <w:pStyle w:val="ListParagraph"/>
        <w:ind w:left="360"/>
      </w:pPr>
      <w:permStart w:id="15" w:edGrp="everyone"/>
      <w:r w:rsidRPr="00D30674">
        <w:rPr>
          <w:color w:val="1F497D" w:themeColor="text2"/>
          <w:sz w:val="22"/>
          <w:szCs w:val="22"/>
          <w:lang w:val="en-US"/>
        </w:rPr>
        <w:t>The FSPA finds reflecting liquidity matters in several places a little confusing to the custo</w:t>
      </w:r>
      <w:r w:rsidRPr="00D30674">
        <w:rPr>
          <w:color w:val="1F497D" w:themeColor="text2"/>
          <w:sz w:val="22"/>
          <w:szCs w:val="22"/>
          <w:lang w:val="en-US"/>
        </w:rPr>
        <w:t>m</w:t>
      </w:r>
      <w:r w:rsidRPr="00D30674">
        <w:rPr>
          <w:color w:val="1F497D" w:themeColor="text2"/>
          <w:sz w:val="22"/>
          <w:szCs w:val="22"/>
          <w:lang w:val="en-US"/>
        </w:rPr>
        <w:t>er. Repeating the same information must be avoided. Whereas we do believe that liquidity profile should be described in the “can I take money out early”-section. The risk section should to our opinion have a descriptive narrative if there is no liquidity or when and how it’s limited.</w:t>
      </w:r>
    </w:p>
    <w:permEnd w:id="15"/>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consider that qualitative measures such as the ones proposed are appr</w:t>
      </w:r>
      <w:r>
        <w:t>o</w:t>
      </w:r>
      <w:r>
        <w:t>priate or that they need to be supplemented with some quantitative measure to some extent?</w:t>
      </w:r>
    </w:p>
    <w:p w:rsidR="00F31E57" w:rsidRDefault="00F31E57" w:rsidP="00F31E57"/>
    <w:p w:rsidR="00F31E57" w:rsidRDefault="00F31E57" w:rsidP="00F31E57">
      <w:r>
        <w:t>&lt;ESMA_QUESTION_PRIIPs_8&gt;</w:t>
      </w:r>
    </w:p>
    <w:p w:rsidR="000679B2" w:rsidRPr="00D30674" w:rsidRDefault="000679B2" w:rsidP="000679B2">
      <w:pPr>
        <w:pStyle w:val="Default"/>
        <w:rPr>
          <w:color w:val="1F497D" w:themeColor="text2"/>
          <w:sz w:val="22"/>
          <w:szCs w:val="22"/>
          <w:lang w:val="en-US"/>
        </w:rPr>
      </w:pPr>
      <w:permStart w:id="16" w:edGrp="everyone"/>
      <w:r w:rsidRPr="00D30674">
        <w:rPr>
          <w:color w:val="1F497D" w:themeColor="text2"/>
          <w:sz w:val="22"/>
          <w:szCs w:val="22"/>
          <w:lang w:val="en-US"/>
        </w:rPr>
        <w:t xml:space="preserve">The FSPA finds the proposed qualitative measures sufficient and agrees that they should refer to the four criteria in the TDP. We also believe that a verbal description of the liquidity risk is the only way to describe liquidity so that the message will be received. Quantitative measures give limited or no information at all to the retail investor. </w:t>
      </w:r>
    </w:p>
    <w:p w:rsidR="000679B2" w:rsidRDefault="000679B2" w:rsidP="00F31E57">
      <w:pPr>
        <w:rPr>
          <w:color w:val="1F497D" w:themeColor="text2"/>
          <w:sz w:val="22"/>
          <w:szCs w:val="22"/>
          <w:lang w:val="en-US"/>
        </w:rPr>
      </w:pPr>
      <w:r w:rsidRPr="00D30674">
        <w:rPr>
          <w:color w:val="1F497D" w:themeColor="text2"/>
          <w:sz w:val="22"/>
          <w:szCs w:val="22"/>
          <w:lang w:val="en-US"/>
        </w:rPr>
        <w:t>The costs do not form a liquidity risk unless they are really exceptionally large and aimed to stop secondary market. The cost should though be explained in “the costs”-section</w:t>
      </w:r>
    </w:p>
    <w:permEnd w:id="16"/>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0679B2" w:rsidRDefault="000679B2" w:rsidP="00F31E57">
      <w:pPr>
        <w:rPr>
          <w:color w:val="1F497D" w:themeColor="text2"/>
          <w:sz w:val="22"/>
          <w:szCs w:val="22"/>
          <w:lang w:val="en-US"/>
        </w:rPr>
      </w:pPr>
      <w:permStart w:id="17" w:edGrp="everyone"/>
      <w:r w:rsidRPr="00D30674">
        <w:rPr>
          <w:color w:val="1F497D" w:themeColor="text2"/>
          <w:sz w:val="22"/>
          <w:szCs w:val="22"/>
          <w:lang w:val="en-US"/>
        </w:rPr>
        <w:t>The FSPA finds the model being a classification of the products which only has more param</w:t>
      </w:r>
      <w:r w:rsidRPr="00D30674">
        <w:rPr>
          <w:color w:val="1F497D" w:themeColor="text2"/>
          <w:sz w:val="22"/>
          <w:szCs w:val="22"/>
          <w:lang w:val="en-US"/>
        </w:rPr>
        <w:t>e</w:t>
      </w:r>
      <w:r w:rsidRPr="00D30674">
        <w:rPr>
          <w:color w:val="1F497D" w:themeColor="text2"/>
          <w:sz w:val="22"/>
          <w:szCs w:val="22"/>
          <w:lang w:val="en-US"/>
        </w:rPr>
        <w:t>ters than the present classification already in use in Finland. It is not a risk level indicator in real sense. The new classification would be more confusing since it combines several things into one “risk class” but does not clearly explain what kind of risk is involved or how the investor might be affected, the way our present classification does. The approach would rather be a step bac</w:t>
      </w:r>
      <w:r w:rsidRPr="00D30674">
        <w:rPr>
          <w:color w:val="1F497D" w:themeColor="text2"/>
          <w:sz w:val="22"/>
          <w:szCs w:val="22"/>
          <w:lang w:val="en-US"/>
        </w:rPr>
        <w:t>k</w:t>
      </w:r>
      <w:r w:rsidRPr="00D30674">
        <w:rPr>
          <w:color w:val="1F497D" w:themeColor="text2"/>
          <w:sz w:val="22"/>
          <w:szCs w:val="22"/>
          <w:lang w:val="en-US"/>
        </w:rPr>
        <w:t>wards compared to what is already in use and it would have poor comparability with other PRIIPs.</w:t>
      </w:r>
    </w:p>
    <w:permEnd w:id="17"/>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0679B2" w:rsidRDefault="000679B2" w:rsidP="00F31E57">
      <w:pPr>
        <w:rPr>
          <w:color w:val="1F497D" w:themeColor="text2"/>
          <w:sz w:val="22"/>
          <w:szCs w:val="22"/>
          <w:lang w:val="en-US"/>
        </w:rPr>
      </w:pPr>
      <w:permStart w:id="18" w:edGrp="everyone"/>
      <w:r w:rsidRPr="00D30674">
        <w:rPr>
          <w:color w:val="1F497D" w:themeColor="text2"/>
          <w:sz w:val="22"/>
          <w:szCs w:val="22"/>
          <w:lang w:val="en-US"/>
        </w:rPr>
        <w:t>The FSPA finds options 2 (&amp; 3) as better measures of market risk since they are of quantitative nature and the market risk can be calculated and thereafter compared with other products. The FSPA finds that combining features from both alternatives 2 &amp; 3 would make it possible to create an even better model. Major advantages with this volatility based market risk are comparison possibilities with UCITS which are classified the same way and ease of updating provided that deltas are available. Major disadvantages are possibility to play with products, delta value unlik</w:t>
      </w:r>
      <w:r w:rsidRPr="00D30674">
        <w:rPr>
          <w:color w:val="1F497D" w:themeColor="text2"/>
          <w:sz w:val="22"/>
          <w:szCs w:val="22"/>
          <w:lang w:val="en-US"/>
        </w:rPr>
        <w:t>e</w:t>
      </w:r>
      <w:r w:rsidRPr="00D30674">
        <w:rPr>
          <w:color w:val="1F497D" w:themeColor="text2"/>
          <w:sz w:val="22"/>
          <w:szCs w:val="22"/>
          <w:lang w:val="en-US"/>
        </w:rPr>
        <w:t>ly the same among manufacturers and delta refers to present risk whereas we wish to examine the risk for the recommended holding period.</w:t>
      </w:r>
    </w:p>
    <w:permEnd w:id="18"/>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0679B2" w:rsidRDefault="000679B2" w:rsidP="00F31E57">
      <w:pPr>
        <w:rPr>
          <w:color w:val="1F497D" w:themeColor="text2"/>
          <w:sz w:val="22"/>
          <w:szCs w:val="22"/>
          <w:lang w:val="en-US"/>
        </w:rPr>
      </w:pPr>
      <w:permStart w:id="19" w:edGrp="everyone"/>
      <w:r w:rsidRPr="00D30674">
        <w:rPr>
          <w:color w:val="1F497D" w:themeColor="text2"/>
          <w:sz w:val="22"/>
          <w:szCs w:val="22"/>
          <w:lang w:val="en-US"/>
        </w:rPr>
        <w:t>The FSPA finds options 2 (&amp; 3) as better measures of market risk since they are of quantitative nature and the market risk can be calculated and thereafter compared with other products. The FSPA finds that combining features from both alternatives 2 &amp; 3 would make it possible to create an even better model. Major advantages with this volatility based market risk are comparison possibilities with UCITS which are classified the same way and ease of updating provided that deltas are available. Major disadvantages are possibility to play with products, delta value unlik</w:t>
      </w:r>
      <w:r w:rsidRPr="00D30674">
        <w:rPr>
          <w:color w:val="1F497D" w:themeColor="text2"/>
          <w:sz w:val="22"/>
          <w:szCs w:val="22"/>
          <w:lang w:val="en-US"/>
        </w:rPr>
        <w:t>e</w:t>
      </w:r>
      <w:r w:rsidRPr="00D30674">
        <w:rPr>
          <w:color w:val="1F497D" w:themeColor="text2"/>
          <w:sz w:val="22"/>
          <w:szCs w:val="22"/>
          <w:lang w:val="en-US"/>
        </w:rPr>
        <w:lastRenderedPageBreak/>
        <w:t>ly the same among manufacturers and delta refers to present risk whereas we wish to examine the risk for the recommended holding period.</w:t>
      </w:r>
    </w:p>
    <w:permEnd w:id="19"/>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0679B2" w:rsidRPr="00D30674" w:rsidRDefault="000679B2" w:rsidP="000679B2">
      <w:pPr>
        <w:pStyle w:val="Default"/>
        <w:rPr>
          <w:color w:val="1F497D" w:themeColor="text2"/>
          <w:sz w:val="22"/>
          <w:szCs w:val="22"/>
          <w:lang w:val="en-GB"/>
        </w:rPr>
      </w:pPr>
      <w:permStart w:id="20" w:edGrp="everyone"/>
      <w:r w:rsidRPr="00D30674">
        <w:rPr>
          <w:color w:val="1F497D" w:themeColor="text2"/>
          <w:sz w:val="22"/>
          <w:szCs w:val="22"/>
          <w:lang w:val="en-GB"/>
        </w:rPr>
        <w:t xml:space="preserve">The FSPA finds a forward looking model using the recommended or likely holding period with historical/prescribed parameters as a good alternative to the proposed model. This would be a combination of options 2 and 3. The proposed model 3 fails to answer to the investors question about the risk for her investment time horizon. The model should give the retail investor an understanding of the normal market downside risk and if possible the risk in the extreme case. </w:t>
      </w:r>
    </w:p>
    <w:p w:rsidR="000679B2" w:rsidRPr="00D30674" w:rsidRDefault="000679B2" w:rsidP="000679B2">
      <w:pPr>
        <w:pStyle w:val="Default"/>
        <w:rPr>
          <w:color w:val="1F497D" w:themeColor="text2"/>
          <w:sz w:val="22"/>
          <w:szCs w:val="22"/>
          <w:lang w:val="en-GB"/>
        </w:rPr>
      </w:pPr>
      <w:r w:rsidRPr="00D30674">
        <w:rPr>
          <w:color w:val="1F497D" w:themeColor="text2"/>
          <w:sz w:val="22"/>
          <w:szCs w:val="22"/>
          <w:lang w:val="en-GB"/>
        </w:rPr>
        <w:t>The recommended time horizon for different PRIIPs cannot have too standardised since the product characteristics vary so much but it could be the maturity for fixed term products.</w:t>
      </w:r>
    </w:p>
    <w:permEnd w:id="20"/>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0679B2" w:rsidRDefault="000679B2" w:rsidP="00F31E57">
      <w:pPr>
        <w:rPr>
          <w:color w:val="1F497D" w:themeColor="text2"/>
          <w:sz w:val="22"/>
          <w:szCs w:val="22"/>
          <w:lang w:val="en-US"/>
        </w:rPr>
      </w:pPr>
      <w:permStart w:id="21" w:edGrp="everyone"/>
      <w:r w:rsidRPr="00D30674">
        <w:rPr>
          <w:color w:val="1F497D" w:themeColor="text2"/>
          <w:sz w:val="22"/>
          <w:szCs w:val="22"/>
          <w:lang w:val="en-US"/>
        </w:rPr>
        <w:t xml:space="preserve">The FSPA finds this alternative rather similar to the first one and does not recommend it to be chosen. It does not present the size of the market risk a product might have. Neither does it help comparisons between products but it forms a way of expressing “a single summary indicator” as we propose </w:t>
      </w:r>
      <w:proofErr w:type="gramStart"/>
      <w:r w:rsidRPr="00D30674">
        <w:rPr>
          <w:color w:val="1F497D" w:themeColor="text2"/>
          <w:sz w:val="22"/>
          <w:szCs w:val="22"/>
          <w:lang w:val="en-US"/>
        </w:rPr>
        <w:t>In</w:t>
      </w:r>
      <w:proofErr w:type="gramEnd"/>
      <w:r w:rsidRPr="00D30674">
        <w:rPr>
          <w:color w:val="1F497D" w:themeColor="text2"/>
          <w:sz w:val="22"/>
          <w:szCs w:val="22"/>
          <w:lang w:val="en-US"/>
        </w:rPr>
        <w:t xml:space="preserve"> our Response 14.</w:t>
      </w:r>
    </w:p>
    <w:permEnd w:id="21"/>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0679B2" w:rsidRPr="00D30674" w:rsidRDefault="000679B2" w:rsidP="000679B2">
      <w:pPr>
        <w:pStyle w:val="Default"/>
        <w:rPr>
          <w:color w:val="1F497D" w:themeColor="text2"/>
          <w:sz w:val="22"/>
          <w:szCs w:val="22"/>
          <w:lang w:val="en-US"/>
        </w:rPr>
      </w:pPr>
      <w:permStart w:id="22" w:edGrp="everyone"/>
      <w:r w:rsidRPr="00D30674">
        <w:rPr>
          <w:color w:val="1F497D" w:themeColor="text2"/>
          <w:sz w:val="22"/>
          <w:szCs w:val="22"/>
          <w:lang w:val="en-US"/>
        </w:rPr>
        <w:t xml:space="preserve">The FSPA thinks that “the summary risk indicator” should be seen as a collection of the separate risk indicators for the three main risks. </w:t>
      </w:r>
    </w:p>
    <w:p w:rsidR="000679B2" w:rsidRPr="00D30674" w:rsidRDefault="000679B2" w:rsidP="000679B2">
      <w:pPr>
        <w:pStyle w:val="Default"/>
        <w:rPr>
          <w:color w:val="1F497D" w:themeColor="text2"/>
          <w:sz w:val="22"/>
          <w:szCs w:val="22"/>
          <w:lang w:val="en-US"/>
        </w:rPr>
      </w:pPr>
      <w:r w:rsidRPr="00D30674">
        <w:rPr>
          <w:color w:val="1F497D" w:themeColor="text2"/>
          <w:sz w:val="22"/>
          <w:szCs w:val="22"/>
          <w:lang w:val="en-US"/>
        </w:rPr>
        <w:t>“A multi-level indicator” would be a collection of:</w:t>
      </w:r>
    </w:p>
    <w:p w:rsidR="000679B2" w:rsidRPr="00D30674" w:rsidRDefault="000679B2" w:rsidP="000679B2">
      <w:pPr>
        <w:pStyle w:val="Default"/>
        <w:rPr>
          <w:rFonts w:cs="Times New Roman"/>
          <w:color w:val="1F497D" w:themeColor="text2"/>
          <w:lang w:val="en-US"/>
        </w:rPr>
      </w:pPr>
      <w:r w:rsidRPr="00D30674">
        <w:rPr>
          <w:color w:val="1F497D" w:themeColor="text2"/>
          <w:sz w:val="22"/>
          <w:szCs w:val="22"/>
          <w:lang w:val="en-US"/>
        </w:rPr>
        <w:t xml:space="preserve">1) The Market risk </w:t>
      </w:r>
      <w:r w:rsidRPr="00D30674">
        <w:rPr>
          <w:rFonts w:cs="Times New Roman"/>
          <w:color w:val="1F497D" w:themeColor="text2"/>
          <w:lang w:val="en-US"/>
        </w:rPr>
        <w:t>indicator which represents the risk in normal market conditions and is presented with the same 7 grade volatility based rating already used for UCITS, as it is already known by retail investors possibly complemented with an extreme value indic</w:t>
      </w:r>
      <w:r w:rsidRPr="00D30674">
        <w:rPr>
          <w:rFonts w:cs="Times New Roman"/>
          <w:color w:val="1F497D" w:themeColor="text2"/>
          <w:lang w:val="en-US"/>
        </w:rPr>
        <w:t>a</w:t>
      </w:r>
      <w:r w:rsidRPr="00D30674">
        <w:rPr>
          <w:rFonts w:cs="Times New Roman"/>
          <w:color w:val="1F497D" w:themeColor="text2"/>
          <w:lang w:val="en-US"/>
        </w:rPr>
        <w:t xml:space="preserve">tor. </w:t>
      </w:r>
    </w:p>
    <w:p w:rsidR="000679B2" w:rsidRPr="00D30674" w:rsidRDefault="000679B2" w:rsidP="000679B2">
      <w:pPr>
        <w:pStyle w:val="Default"/>
        <w:rPr>
          <w:rFonts w:cs="Times New Roman"/>
          <w:color w:val="1F497D" w:themeColor="text2"/>
          <w:lang w:val="en-US"/>
        </w:rPr>
      </w:pPr>
      <w:r w:rsidRPr="00D30674">
        <w:rPr>
          <w:rFonts w:cs="Times New Roman"/>
          <w:color w:val="1F497D" w:themeColor="text2"/>
          <w:lang w:val="en-US"/>
        </w:rPr>
        <w:t>2) The Credit risk indicator (when there is credit risk, i.e. for Securities), which could use the assigned external rating as they are given to the manufacturers (or in some cases not rated). For products missing this indicator, for example UCITS, it would state “Not a</w:t>
      </w:r>
      <w:r w:rsidRPr="00D30674">
        <w:rPr>
          <w:rFonts w:cs="Times New Roman"/>
          <w:color w:val="1F497D" w:themeColor="text2"/>
          <w:lang w:val="en-US"/>
        </w:rPr>
        <w:t>p</w:t>
      </w:r>
      <w:r w:rsidRPr="00D30674">
        <w:rPr>
          <w:rFonts w:cs="Times New Roman"/>
          <w:color w:val="1F497D" w:themeColor="text2"/>
          <w:lang w:val="en-US"/>
        </w:rPr>
        <w:t>plicable” (</w:t>
      </w:r>
      <w:proofErr w:type="spellStart"/>
      <w:r w:rsidRPr="00D30674">
        <w:rPr>
          <w:rFonts w:cs="Times New Roman"/>
          <w:color w:val="1F497D" w:themeColor="text2"/>
          <w:lang w:val="en-US"/>
        </w:rPr>
        <w:t>ie</w:t>
      </w:r>
      <w:proofErr w:type="spellEnd"/>
      <w:r w:rsidRPr="00D30674">
        <w:rPr>
          <w:rFonts w:cs="Times New Roman"/>
          <w:color w:val="1F497D" w:themeColor="text2"/>
          <w:lang w:val="en-US"/>
        </w:rPr>
        <w:t>. no risk is allocated to the fund manager &amp; custodian).</w:t>
      </w:r>
    </w:p>
    <w:p w:rsidR="000679B2" w:rsidRPr="00D30674" w:rsidRDefault="000679B2" w:rsidP="000679B2">
      <w:pPr>
        <w:pStyle w:val="Default"/>
        <w:rPr>
          <w:rFonts w:cs="Times New Roman"/>
          <w:color w:val="1F497D" w:themeColor="text2"/>
          <w:lang w:val="en-US"/>
        </w:rPr>
      </w:pPr>
      <w:r w:rsidRPr="00D30674">
        <w:rPr>
          <w:rFonts w:cs="Times New Roman"/>
          <w:color w:val="1F497D" w:themeColor="text2"/>
          <w:lang w:val="en-US"/>
        </w:rPr>
        <w:t>3) A relevant Liquidity risk narrative or indicator when needed.</w:t>
      </w:r>
    </w:p>
    <w:p w:rsidR="000679B2" w:rsidRPr="00D30674" w:rsidRDefault="000679B2" w:rsidP="000679B2">
      <w:pPr>
        <w:pStyle w:val="Default"/>
        <w:rPr>
          <w:rFonts w:cs="Times New Roman"/>
          <w:color w:val="1F497D" w:themeColor="text2"/>
          <w:lang w:val="en-US"/>
        </w:rPr>
      </w:pPr>
      <w:r w:rsidRPr="00D30674">
        <w:rPr>
          <w:rFonts w:cs="Times New Roman"/>
          <w:color w:val="1F497D" w:themeColor="text2"/>
          <w:lang w:val="en-US"/>
        </w:rPr>
        <w:t>The FSPA supports the concrete model developed by SSDA in Sweden which is a “vari</w:t>
      </w:r>
      <w:r w:rsidRPr="00D30674">
        <w:rPr>
          <w:rFonts w:cs="Times New Roman"/>
          <w:color w:val="1F497D" w:themeColor="text2"/>
          <w:lang w:val="en-US"/>
        </w:rPr>
        <w:t>a</w:t>
      </w:r>
      <w:r w:rsidRPr="00D30674">
        <w:rPr>
          <w:rFonts w:cs="Times New Roman"/>
          <w:color w:val="1F497D" w:themeColor="text2"/>
          <w:lang w:val="en-US"/>
        </w:rPr>
        <w:t>tion” or “compromise” of both options 2 &amp; 3 above. The definitions for SSDA Risk Ind</w:t>
      </w:r>
      <w:r w:rsidRPr="00D30674">
        <w:rPr>
          <w:rFonts w:cs="Times New Roman"/>
          <w:color w:val="1F497D" w:themeColor="text2"/>
          <w:lang w:val="en-US"/>
        </w:rPr>
        <w:t>i</w:t>
      </w:r>
      <w:r w:rsidRPr="00D30674">
        <w:rPr>
          <w:rFonts w:cs="Times New Roman"/>
          <w:color w:val="1F497D" w:themeColor="text2"/>
          <w:lang w:val="en-US"/>
        </w:rPr>
        <w:t>cator Methodology are provided in the Swedish answer and not repeated here. A pr</w:t>
      </w:r>
      <w:r w:rsidRPr="00D30674">
        <w:rPr>
          <w:rFonts w:cs="Times New Roman"/>
          <w:color w:val="1F497D" w:themeColor="text2"/>
          <w:lang w:val="en-US"/>
        </w:rPr>
        <w:t>o</w:t>
      </w:r>
      <w:r w:rsidRPr="00D30674">
        <w:rPr>
          <w:rFonts w:cs="Times New Roman"/>
          <w:color w:val="1F497D" w:themeColor="text2"/>
          <w:lang w:val="en-US"/>
        </w:rPr>
        <w:t xml:space="preserve">posal of possible combinations is made by EUSIPA in their answer. The FSPA thinks that it is important for the retail investor to be able to reject a product if she thinks that the </w:t>
      </w:r>
      <w:r w:rsidRPr="00D30674">
        <w:rPr>
          <w:rFonts w:cs="Times New Roman"/>
          <w:color w:val="1F497D" w:themeColor="text2"/>
          <w:lang w:val="en-US"/>
        </w:rPr>
        <w:lastRenderedPageBreak/>
        <w:t>credit risk is too big or if she don’t like about the size of the market risk. A summary risk indicator that would hide this possibility from the investor would be most unfortunate.</w:t>
      </w:r>
    </w:p>
    <w:permEnd w:id="22"/>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0679B2" w:rsidRPr="00D30674" w:rsidRDefault="000679B2" w:rsidP="000679B2">
      <w:pPr>
        <w:pStyle w:val="Default"/>
        <w:rPr>
          <w:color w:val="1F497D" w:themeColor="text2"/>
          <w:sz w:val="22"/>
          <w:szCs w:val="22"/>
          <w:lang w:val="en-GB"/>
        </w:rPr>
      </w:pPr>
      <w:permStart w:id="23" w:edGrp="everyone"/>
      <w:r w:rsidRPr="00D30674">
        <w:rPr>
          <w:color w:val="1F497D" w:themeColor="text2"/>
          <w:sz w:val="22"/>
          <w:szCs w:val="22"/>
          <w:lang w:val="en-GB"/>
        </w:rPr>
        <w:t>The FSPA finds the performance scenarios, which already are used in the local marketing mat</w:t>
      </w:r>
      <w:r w:rsidRPr="00D30674">
        <w:rPr>
          <w:color w:val="1F497D" w:themeColor="text2"/>
          <w:sz w:val="22"/>
          <w:szCs w:val="22"/>
          <w:lang w:val="en-GB"/>
        </w:rPr>
        <w:t>e</w:t>
      </w:r>
      <w:r w:rsidRPr="00D30674">
        <w:rPr>
          <w:color w:val="1F497D" w:themeColor="text2"/>
          <w:sz w:val="22"/>
          <w:szCs w:val="22"/>
          <w:lang w:val="en-GB"/>
        </w:rPr>
        <w:t>rial, as an important way for the retail customers to understand the product features and to visualise the possible outcome with her own market view. But scenarios are also important to realise what would happen if the outcome is something else. For the product term and reco</w:t>
      </w:r>
      <w:r w:rsidRPr="00D30674">
        <w:rPr>
          <w:color w:val="1F497D" w:themeColor="text2"/>
          <w:sz w:val="22"/>
          <w:szCs w:val="22"/>
          <w:lang w:val="en-GB"/>
        </w:rPr>
        <w:t>m</w:t>
      </w:r>
      <w:r w:rsidRPr="00D30674">
        <w:rPr>
          <w:color w:val="1F497D" w:themeColor="text2"/>
          <w:sz w:val="22"/>
          <w:szCs w:val="22"/>
          <w:lang w:val="en-GB"/>
        </w:rPr>
        <w:t xml:space="preserve">mended holding variations flexibility </w:t>
      </w:r>
      <w:proofErr w:type="gramStart"/>
      <w:r w:rsidRPr="00D30674">
        <w:rPr>
          <w:color w:val="1F497D" w:themeColor="text2"/>
          <w:sz w:val="22"/>
          <w:szCs w:val="22"/>
          <w:lang w:val="en-GB"/>
        </w:rPr>
        <w:t>Is</w:t>
      </w:r>
      <w:proofErr w:type="gramEnd"/>
      <w:r w:rsidRPr="00D30674">
        <w:rPr>
          <w:color w:val="1F497D" w:themeColor="text2"/>
          <w:sz w:val="22"/>
          <w:szCs w:val="22"/>
          <w:lang w:val="en-GB"/>
        </w:rPr>
        <w:t xml:space="preserve"> preferred and the What-if   manufacturer choice a</w:t>
      </w:r>
      <w:r w:rsidRPr="00D30674">
        <w:rPr>
          <w:color w:val="1F497D" w:themeColor="text2"/>
          <w:sz w:val="22"/>
          <w:szCs w:val="22"/>
          <w:lang w:val="en-GB"/>
        </w:rPr>
        <w:t>p</w:t>
      </w:r>
      <w:r w:rsidRPr="00D30674">
        <w:rPr>
          <w:color w:val="1F497D" w:themeColor="text2"/>
          <w:sz w:val="22"/>
          <w:szCs w:val="22"/>
          <w:lang w:val="en-GB"/>
        </w:rPr>
        <w:t>proach is therefore the preferred alternative but the What-if-prescribed approach is also a good alternative.</w:t>
      </w:r>
    </w:p>
    <w:permEnd w:id="23"/>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067B59" w:rsidRPr="00235A14" w:rsidRDefault="00067B59" w:rsidP="00067B59">
      <w:pPr>
        <w:pStyle w:val="Default"/>
        <w:rPr>
          <w:color w:val="1F497D" w:themeColor="text2"/>
          <w:sz w:val="22"/>
          <w:szCs w:val="22"/>
          <w:lang w:val="en-GB"/>
        </w:rPr>
      </w:pPr>
      <w:permStart w:id="24" w:edGrp="everyone"/>
      <w:r w:rsidRPr="00235A14">
        <w:rPr>
          <w:color w:val="1F497D" w:themeColor="text2"/>
          <w:sz w:val="22"/>
          <w:szCs w:val="22"/>
          <w:lang w:val="en-GB"/>
        </w:rPr>
        <w:t xml:space="preserve">The FSPA thinks that the scale can come from the distribution when the risk indicator </w:t>
      </w:r>
      <w:proofErr w:type="gramStart"/>
      <w:r w:rsidRPr="00235A14">
        <w:rPr>
          <w:color w:val="1F497D" w:themeColor="text2"/>
          <w:sz w:val="22"/>
          <w:szCs w:val="22"/>
          <w:lang w:val="en-GB"/>
        </w:rPr>
        <w:t>Is</w:t>
      </w:r>
      <w:proofErr w:type="gramEnd"/>
      <w:r w:rsidRPr="00235A14">
        <w:rPr>
          <w:color w:val="1F497D" w:themeColor="text2"/>
          <w:sz w:val="22"/>
          <w:szCs w:val="22"/>
          <w:lang w:val="en-GB"/>
        </w:rPr>
        <w:t xml:space="preserve"> calc</w:t>
      </w:r>
      <w:r w:rsidRPr="00235A14">
        <w:rPr>
          <w:color w:val="1F497D" w:themeColor="text2"/>
          <w:sz w:val="22"/>
          <w:szCs w:val="22"/>
          <w:lang w:val="en-GB"/>
        </w:rPr>
        <w:t>u</w:t>
      </w:r>
      <w:r w:rsidRPr="00235A14">
        <w:rPr>
          <w:color w:val="1F497D" w:themeColor="text2"/>
          <w:sz w:val="22"/>
          <w:szCs w:val="22"/>
          <w:lang w:val="en-GB"/>
        </w:rPr>
        <w:t xml:space="preserve">lated (manufacturers choice) or “Guidelines for Structured UCITS”-type of regulation can be reinforced for different types of PRIIPs (prescribed). In general the FSPA believes that the risk of non-realistic performance picture is very small. </w:t>
      </w:r>
    </w:p>
    <w:permEnd w:id="24"/>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w:t>
      </w:r>
      <w:r>
        <w:t>e</w:t>
      </w:r>
      <w:r>
        <w:t>narios? What other standardized scenarios may be fixed?</w:t>
      </w:r>
    </w:p>
    <w:p w:rsidR="00F31E57" w:rsidRDefault="00F31E57" w:rsidP="00F31E57"/>
    <w:p w:rsidR="00F31E57" w:rsidRDefault="00F31E57" w:rsidP="00F31E57">
      <w:r>
        <w:t>&lt;ESMA_QUESTION_PRIIPs_17&gt;</w:t>
      </w:r>
    </w:p>
    <w:p w:rsidR="00067B59" w:rsidRPr="00235A14" w:rsidRDefault="00067B59" w:rsidP="00067B59">
      <w:pPr>
        <w:pStyle w:val="Default"/>
        <w:rPr>
          <w:color w:val="1F497D" w:themeColor="text2"/>
          <w:sz w:val="22"/>
          <w:szCs w:val="22"/>
          <w:lang w:val="en-US"/>
        </w:rPr>
      </w:pPr>
      <w:permStart w:id="25" w:edGrp="everyone"/>
      <w:r w:rsidRPr="00235A14">
        <w:rPr>
          <w:color w:val="1F497D" w:themeColor="text2"/>
          <w:sz w:val="22"/>
          <w:szCs w:val="22"/>
          <w:lang w:val="en-US"/>
        </w:rPr>
        <w:t>The FSPA is not for probabilistic performance scenarios. The historical yields are not an indic</w:t>
      </w:r>
      <w:r w:rsidRPr="00235A14">
        <w:rPr>
          <w:color w:val="1F497D" w:themeColor="text2"/>
          <w:sz w:val="22"/>
          <w:szCs w:val="22"/>
          <w:lang w:val="en-US"/>
        </w:rPr>
        <w:t>a</w:t>
      </w:r>
      <w:r w:rsidRPr="00235A14">
        <w:rPr>
          <w:color w:val="1F497D" w:themeColor="text2"/>
          <w:sz w:val="22"/>
          <w:szCs w:val="22"/>
          <w:lang w:val="en-US"/>
        </w:rPr>
        <w:t>tion of the future performance. The levels for the performance scale could be derived from the history but such principle should not be disclosed in the KID to avoid any possible confusion. The growth rates should also reflect the underlying asset and probably also different time per</w:t>
      </w:r>
      <w:r w:rsidRPr="00235A14">
        <w:rPr>
          <w:color w:val="1F497D" w:themeColor="text2"/>
          <w:sz w:val="22"/>
          <w:szCs w:val="22"/>
          <w:lang w:val="en-US"/>
        </w:rPr>
        <w:t>i</w:t>
      </w:r>
      <w:r w:rsidRPr="00235A14">
        <w:rPr>
          <w:color w:val="1F497D" w:themeColor="text2"/>
          <w:sz w:val="22"/>
          <w:szCs w:val="22"/>
          <w:lang w:val="en-US"/>
        </w:rPr>
        <w:t xml:space="preserve">ods (for example the long low interest rate environment) and cannot therefore be fixed for all products. </w:t>
      </w:r>
    </w:p>
    <w:permEnd w:id="25"/>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067B59" w:rsidRPr="00235A14" w:rsidRDefault="00067B59" w:rsidP="00067B59">
      <w:pPr>
        <w:pStyle w:val="Default"/>
        <w:rPr>
          <w:color w:val="1F497D" w:themeColor="text2"/>
          <w:sz w:val="22"/>
          <w:szCs w:val="22"/>
          <w:lang w:val="en-US"/>
        </w:rPr>
      </w:pPr>
      <w:permStart w:id="26" w:edGrp="everyone"/>
      <w:r w:rsidRPr="00235A14">
        <w:rPr>
          <w:color w:val="1F497D" w:themeColor="text2"/>
          <w:sz w:val="22"/>
          <w:szCs w:val="22"/>
          <w:lang w:val="en-US"/>
        </w:rPr>
        <w:t>The FSPA has a clear preference for the What-if alternative. More scenarios are better than only a few and table format would not add too many rows to the KID.</w:t>
      </w:r>
    </w:p>
    <w:permEnd w:id="26"/>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067B59" w:rsidRPr="00235A14" w:rsidRDefault="00067B59" w:rsidP="00067B59">
      <w:pPr>
        <w:pStyle w:val="Default"/>
        <w:rPr>
          <w:color w:val="1F497D" w:themeColor="text2"/>
          <w:sz w:val="22"/>
          <w:szCs w:val="22"/>
          <w:lang w:val="en-US"/>
        </w:rPr>
      </w:pPr>
      <w:permStart w:id="27" w:edGrp="everyone"/>
      <w:r w:rsidRPr="00235A14">
        <w:rPr>
          <w:color w:val="1F497D" w:themeColor="text2"/>
          <w:sz w:val="22"/>
          <w:szCs w:val="22"/>
          <w:lang w:val="en-US"/>
        </w:rPr>
        <w:lastRenderedPageBreak/>
        <w:t>The FSPA fears that it would cause a lot of confusion to the retail investors. It would also be difficult to explain why such combinations are chosen.</w:t>
      </w:r>
    </w:p>
    <w:permEnd w:id="27"/>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w:t>
      </w:r>
      <w:r>
        <w:t>r</w:t>
      </w:r>
      <w:r>
        <w:t>ios?</w:t>
      </w:r>
    </w:p>
    <w:p w:rsidR="00F31E57" w:rsidRDefault="00F31E57" w:rsidP="00F31E57"/>
    <w:p w:rsidR="00F31E57" w:rsidRDefault="00F31E57" w:rsidP="00F31E57">
      <w:r>
        <w:t>&lt;ESMA_QUESTION_PRIIPs_20&gt;</w:t>
      </w:r>
    </w:p>
    <w:p w:rsidR="00067B59" w:rsidRPr="00235A14" w:rsidRDefault="00067B59" w:rsidP="00067B59">
      <w:pPr>
        <w:pStyle w:val="Default"/>
        <w:rPr>
          <w:color w:val="1F497D" w:themeColor="text2"/>
          <w:sz w:val="22"/>
          <w:szCs w:val="22"/>
          <w:lang w:val="en-US"/>
        </w:rPr>
      </w:pPr>
      <w:permStart w:id="28" w:edGrp="everyone"/>
      <w:r w:rsidRPr="00235A14">
        <w:rPr>
          <w:color w:val="1F497D" w:themeColor="text2"/>
          <w:sz w:val="22"/>
          <w:szCs w:val="22"/>
          <w:lang w:val="en-US"/>
        </w:rPr>
        <w:t>Credit Events should only be represented in the performance scenarios for CLN type of products. In those cases credit events according to the FSPA represent Market risk, not Credit risk! The effect of a credit event relating to Issuer Risk should be explained in the Credit Risk indicator.</w:t>
      </w:r>
    </w:p>
    <w:permEnd w:id="28"/>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w:t>
      </w:r>
      <w:r>
        <w:t>m</w:t>
      </w:r>
      <w:r>
        <w:t>ance scenarios?</w:t>
      </w:r>
    </w:p>
    <w:p w:rsidR="00F31E57" w:rsidRDefault="00F31E57" w:rsidP="00F31E57"/>
    <w:p w:rsidR="00F31E57" w:rsidRDefault="00F31E57" w:rsidP="00F31E57">
      <w:r>
        <w:t>&lt;ESMA_QUESTION_PRIIPs_21&gt;</w:t>
      </w:r>
    </w:p>
    <w:p w:rsidR="00067B59" w:rsidRPr="00235A14" w:rsidRDefault="00067B59" w:rsidP="00067B59">
      <w:pPr>
        <w:pStyle w:val="Default"/>
        <w:rPr>
          <w:color w:val="1F497D" w:themeColor="text2"/>
          <w:sz w:val="22"/>
          <w:szCs w:val="22"/>
          <w:lang w:val="en-US"/>
        </w:rPr>
      </w:pPr>
      <w:permStart w:id="29" w:edGrp="everyone"/>
      <w:proofErr w:type="gramStart"/>
      <w:r w:rsidRPr="00235A14">
        <w:rPr>
          <w:color w:val="1F497D" w:themeColor="text2"/>
          <w:sz w:val="22"/>
          <w:szCs w:val="22"/>
          <w:lang w:val="en-US"/>
        </w:rPr>
        <w:t>Only if the redemption is automatic according to the Final Terms of the product.</w:t>
      </w:r>
      <w:proofErr w:type="gramEnd"/>
      <w:r w:rsidRPr="00235A14">
        <w:rPr>
          <w:color w:val="1F497D" w:themeColor="text2"/>
          <w:sz w:val="22"/>
          <w:szCs w:val="22"/>
          <w:lang w:val="en-US"/>
        </w:rPr>
        <w:t xml:space="preserve"> The possibility of selling is explained in the “can I take money out early”-section.</w:t>
      </w:r>
    </w:p>
    <w:permEnd w:id="29"/>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067B59" w:rsidRPr="00235A14" w:rsidRDefault="00067B59" w:rsidP="00067B59">
      <w:pPr>
        <w:pStyle w:val="Default"/>
        <w:rPr>
          <w:color w:val="1F497D" w:themeColor="text2"/>
          <w:sz w:val="22"/>
          <w:szCs w:val="22"/>
          <w:lang w:val="en-US"/>
        </w:rPr>
      </w:pPr>
      <w:permStart w:id="30" w:edGrp="everyone"/>
      <w:r w:rsidRPr="00235A14">
        <w:rPr>
          <w:color w:val="1F497D" w:themeColor="text2"/>
          <w:sz w:val="22"/>
          <w:szCs w:val="22"/>
          <w:lang w:val="en-US"/>
        </w:rPr>
        <w:t>No, there would not be space enough for all possible (in the worst case daily) holding periods. The retail customer is unlikely to know the exact time of holding which is shorter than the i</w:t>
      </w:r>
      <w:r w:rsidRPr="00235A14">
        <w:rPr>
          <w:color w:val="1F497D" w:themeColor="text2"/>
          <w:sz w:val="22"/>
          <w:szCs w:val="22"/>
          <w:lang w:val="en-US"/>
        </w:rPr>
        <w:t>n</w:t>
      </w:r>
      <w:r w:rsidRPr="00235A14">
        <w:rPr>
          <w:color w:val="1F497D" w:themeColor="text2"/>
          <w:sz w:val="22"/>
          <w:szCs w:val="22"/>
          <w:lang w:val="en-US"/>
        </w:rPr>
        <w:t>tended or recommended period and cannot use the information to any investment purpose. As mentioned in the TDP the development to early exit is unlikely to be stable and the manufacturer cannot predict the development. The information about a sale before the recommended time would inevitably be inaccurate or even misleading.</w:t>
      </w:r>
    </w:p>
    <w:permEnd w:id="30"/>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Are the two types of entry costs listed here clear enough? Should the list be fu</w:t>
      </w:r>
      <w:r>
        <w:rPr>
          <w:rFonts w:cs="Arial"/>
        </w:rPr>
        <w:t>r</w:t>
      </w:r>
      <w:r>
        <w:rPr>
          <w:rFonts w:cs="Arial"/>
        </w:rPr>
        <w:t xml:space="preserve">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Pr="002B255E" w:rsidRDefault="00EF7BA4" w:rsidP="00F31E57">
      <w:pPr>
        <w:rPr>
          <w:color w:val="1F497D" w:themeColor="text2"/>
        </w:rPr>
      </w:pPr>
      <w:permStart w:id="31" w:edGrp="everyone"/>
      <w:r w:rsidRPr="002B255E">
        <w:rPr>
          <w:color w:val="1F497D" w:themeColor="text2"/>
        </w:rPr>
        <w:t>NA</w:t>
      </w:r>
    </w:p>
    <w:permEnd w:id="31"/>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EF7BA4" w:rsidRPr="002B255E" w:rsidRDefault="00EF7BA4" w:rsidP="00EF7BA4">
      <w:pPr>
        <w:rPr>
          <w:color w:val="1F497D" w:themeColor="text2"/>
        </w:rPr>
      </w:pPr>
      <w:permStart w:id="32" w:edGrp="everyone"/>
      <w:r w:rsidRPr="002B255E">
        <w:rPr>
          <w:color w:val="1F497D" w:themeColor="text2"/>
        </w:rPr>
        <w:t>NA</w:t>
      </w:r>
    </w:p>
    <w:permEnd w:id="32"/>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EF7BA4" w:rsidRPr="002B255E" w:rsidRDefault="00EF7BA4" w:rsidP="00EF7BA4">
      <w:pPr>
        <w:rPr>
          <w:color w:val="1F497D" w:themeColor="text2"/>
        </w:rPr>
      </w:pPr>
      <w:permStart w:id="33" w:edGrp="everyone"/>
      <w:r w:rsidRPr="002B255E">
        <w:rPr>
          <w:color w:val="1F497D" w:themeColor="text2"/>
        </w:rPr>
        <w:t>NA</w:t>
      </w:r>
    </w:p>
    <w:permEnd w:id="33"/>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EF7BA4" w:rsidRPr="002B255E" w:rsidRDefault="00EF7BA4" w:rsidP="00EF7BA4">
      <w:pPr>
        <w:rPr>
          <w:color w:val="1F497D" w:themeColor="text2"/>
        </w:rPr>
      </w:pPr>
      <w:permStart w:id="34" w:edGrp="everyone"/>
      <w:r w:rsidRPr="002B255E">
        <w:rPr>
          <w:color w:val="1F497D" w:themeColor="text2"/>
        </w:rPr>
        <w:t>NA</w:t>
      </w:r>
    </w:p>
    <w:permEnd w:id="34"/>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EF7BA4" w:rsidRPr="002B255E" w:rsidRDefault="00EF7BA4" w:rsidP="00EF7BA4">
      <w:pPr>
        <w:rPr>
          <w:color w:val="1F497D" w:themeColor="text2"/>
        </w:rPr>
      </w:pPr>
      <w:permStart w:id="35" w:edGrp="everyone"/>
      <w:r w:rsidRPr="002B255E">
        <w:rPr>
          <w:color w:val="1F497D" w:themeColor="text2"/>
        </w:rPr>
        <w:t>NA</w:t>
      </w:r>
    </w:p>
    <w:permEnd w:id="35"/>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EF7BA4" w:rsidRPr="002B255E" w:rsidRDefault="00EF7BA4" w:rsidP="00EF7BA4">
      <w:pPr>
        <w:rPr>
          <w:color w:val="1F497D" w:themeColor="text2"/>
        </w:rPr>
      </w:pPr>
      <w:permStart w:id="36" w:edGrp="everyone"/>
      <w:r w:rsidRPr="002B255E">
        <w:rPr>
          <w:color w:val="1F497D" w:themeColor="text2"/>
        </w:rPr>
        <w:t>NA</w:t>
      </w:r>
    </w:p>
    <w:permEnd w:id="36"/>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EF7BA4" w:rsidRPr="002B255E" w:rsidRDefault="00EF7BA4" w:rsidP="00EF7BA4">
      <w:pPr>
        <w:rPr>
          <w:color w:val="1F497D" w:themeColor="text2"/>
        </w:rPr>
      </w:pPr>
      <w:permStart w:id="37" w:edGrp="everyone"/>
      <w:r w:rsidRPr="002B255E">
        <w:rPr>
          <w:color w:val="1F497D" w:themeColor="text2"/>
        </w:rPr>
        <w:t>NA</w:t>
      </w:r>
    </w:p>
    <w:permEnd w:id="37"/>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EF7BA4" w:rsidRPr="002B255E" w:rsidRDefault="00EF7BA4" w:rsidP="00EF7BA4">
      <w:pPr>
        <w:rPr>
          <w:color w:val="1F497D" w:themeColor="text2"/>
        </w:rPr>
      </w:pPr>
      <w:permStart w:id="38" w:edGrp="everyone"/>
      <w:r w:rsidRPr="002B255E">
        <w:rPr>
          <w:color w:val="1F497D" w:themeColor="text2"/>
        </w:rPr>
        <w:t>NA</w:t>
      </w:r>
    </w:p>
    <w:permEnd w:id="38"/>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t>
      </w:r>
      <w:r>
        <w:rPr>
          <w:rFonts w:cs="Arial"/>
        </w:rPr>
        <w:lastRenderedPageBreak/>
        <w:t>would be that margin calls may result in missed revenues, since no return is rea</w:t>
      </w:r>
      <w:r>
        <w:rPr>
          <w:rFonts w:cs="Arial"/>
        </w:rPr>
        <w:t>l</w:t>
      </w:r>
      <w:r>
        <w:rPr>
          <w:rFonts w:cs="Arial"/>
        </w:rPr>
        <w:t xml:space="preserve">ized on the cash amount that is deposited, and that: </w:t>
      </w:r>
    </w:p>
    <w:p w:rsidR="00F31E57" w:rsidRDefault="00F31E57" w:rsidP="00F31E57">
      <w:pPr>
        <w:rPr>
          <w:rFonts w:cstheme="minorBidi"/>
        </w:rPr>
      </w:pPr>
    </w:p>
    <w:p w:rsidR="00F31E57" w:rsidRDefault="00F31E57" w:rsidP="00F31E57">
      <w:r>
        <w:t>&lt;ESMA_QUESTION_PRIIPs_31&gt;</w:t>
      </w:r>
    </w:p>
    <w:p w:rsidR="00EF7BA4" w:rsidRPr="002B255E" w:rsidRDefault="00EF7BA4" w:rsidP="00EF7BA4">
      <w:pPr>
        <w:rPr>
          <w:color w:val="1F497D" w:themeColor="text2"/>
        </w:rPr>
      </w:pPr>
      <w:permStart w:id="39" w:edGrp="everyone"/>
      <w:r w:rsidRPr="002B255E">
        <w:rPr>
          <w:color w:val="1F497D" w:themeColor="text2"/>
        </w:rPr>
        <w:t>NA</w:t>
      </w:r>
    </w:p>
    <w:permEnd w:id="39"/>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3B36D5" w:rsidRPr="002B255E" w:rsidRDefault="003B36D5" w:rsidP="003B36D5">
      <w:pPr>
        <w:rPr>
          <w:color w:val="1F497D" w:themeColor="text2"/>
        </w:rPr>
      </w:pPr>
      <w:permStart w:id="40" w:edGrp="everyone"/>
      <w:r w:rsidRPr="002B255E">
        <w:rPr>
          <w:color w:val="1F497D" w:themeColor="text2"/>
        </w:rPr>
        <w:t>NA</w:t>
      </w:r>
    </w:p>
    <w:permEnd w:id="40"/>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w:t>
      </w:r>
      <w:r>
        <w:rPr>
          <w:rFonts w:cs="Arial"/>
        </w:rPr>
        <w:t>i</w:t>
      </w:r>
      <w:r>
        <w:rPr>
          <w:rFonts w:cs="Arial"/>
        </w:rPr>
        <w:t>mated ex-ante and that estimation of future dividends for main indices are no</w:t>
      </w:r>
      <w:r>
        <w:rPr>
          <w:rFonts w:cs="Arial"/>
        </w:rPr>
        <w:t>r</w:t>
      </w:r>
      <w:r>
        <w:rPr>
          <w:rFonts w:cs="Arial"/>
        </w:rPr>
        <w:t>mally available?</w:t>
      </w:r>
    </w:p>
    <w:p w:rsidR="00F31E57" w:rsidRDefault="00F31E57" w:rsidP="00F31E57">
      <w:pPr>
        <w:rPr>
          <w:rFonts w:cstheme="minorBidi"/>
        </w:rPr>
      </w:pPr>
    </w:p>
    <w:p w:rsidR="00F31E57" w:rsidRDefault="00F31E57" w:rsidP="00F31E57">
      <w:r>
        <w:t>&lt;ESMA_QUESTION_PRIIPs_33&gt;</w:t>
      </w:r>
    </w:p>
    <w:p w:rsidR="00EF7BA4" w:rsidRPr="002B255E" w:rsidRDefault="00EF7BA4" w:rsidP="00EF7BA4">
      <w:pPr>
        <w:rPr>
          <w:color w:val="1F497D" w:themeColor="text2"/>
        </w:rPr>
      </w:pPr>
      <w:permStart w:id="41" w:edGrp="everyone"/>
      <w:r w:rsidRPr="002B255E">
        <w:rPr>
          <w:color w:val="1F497D" w:themeColor="text2"/>
        </w:rPr>
        <w:t>NA</w:t>
      </w:r>
    </w:p>
    <w:permEnd w:id="4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EF7BA4" w:rsidRPr="002B255E" w:rsidRDefault="00EF7BA4" w:rsidP="00EF7BA4">
      <w:pPr>
        <w:rPr>
          <w:color w:val="1F497D" w:themeColor="text2"/>
        </w:rPr>
      </w:pPr>
      <w:permStart w:id="42" w:edGrp="everyone"/>
      <w:r w:rsidRPr="002B255E">
        <w:rPr>
          <w:color w:val="1F497D" w:themeColor="text2"/>
        </w:rPr>
        <w:t>NA</w:t>
      </w:r>
    </w:p>
    <w:permEnd w:id="42"/>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EF7BA4" w:rsidRPr="002B255E" w:rsidRDefault="00EF7BA4" w:rsidP="00EF7BA4">
      <w:pPr>
        <w:rPr>
          <w:color w:val="1F497D" w:themeColor="text2"/>
        </w:rPr>
      </w:pPr>
      <w:permStart w:id="43" w:edGrp="everyone"/>
      <w:r w:rsidRPr="002B255E">
        <w:rPr>
          <w:color w:val="1F497D" w:themeColor="text2"/>
        </w:rPr>
        <w:t>NA</w:t>
      </w:r>
    </w:p>
    <w:permEnd w:id="43"/>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EF7BA4" w:rsidRPr="002B255E" w:rsidRDefault="00EF7BA4" w:rsidP="00EF7BA4">
      <w:pPr>
        <w:rPr>
          <w:color w:val="1F497D" w:themeColor="text2"/>
        </w:rPr>
      </w:pPr>
      <w:permStart w:id="44" w:edGrp="everyone"/>
      <w:r w:rsidRPr="002B255E">
        <w:rPr>
          <w:color w:val="1F497D" w:themeColor="text2"/>
        </w:rPr>
        <w:t>NA</w:t>
      </w:r>
    </w:p>
    <w:permEnd w:id="44"/>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lastRenderedPageBreak/>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3B36D5" w:rsidRPr="002B255E" w:rsidRDefault="003B36D5" w:rsidP="003B36D5">
      <w:pPr>
        <w:rPr>
          <w:color w:val="1F497D" w:themeColor="text2"/>
        </w:rPr>
      </w:pPr>
      <w:permStart w:id="45" w:edGrp="everyone"/>
      <w:r w:rsidRPr="002B255E">
        <w:rPr>
          <w:color w:val="1F497D" w:themeColor="text2"/>
        </w:rPr>
        <w:t>NA</w:t>
      </w:r>
    </w:p>
    <w:permEnd w:id="45"/>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closed? If so, which of the above mentioned approaches do you think would be more suitable for ex-ante calculations or are there alternative methods not e</w:t>
      </w:r>
      <w:r>
        <w:rPr>
          <w:rFonts w:cs="Arial"/>
        </w:rPr>
        <w:t>x</w:t>
      </w:r>
      <w:r>
        <w:rPr>
          <w:rFonts w:cs="Arial"/>
        </w:rPr>
        <w:t xml:space="preserve">plored above? </w:t>
      </w:r>
    </w:p>
    <w:p w:rsidR="00F31E57" w:rsidRDefault="00F31E57" w:rsidP="00F31E57">
      <w:pPr>
        <w:rPr>
          <w:rFonts w:cstheme="minorBidi"/>
        </w:rPr>
      </w:pPr>
    </w:p>
    <w:p w:rsidR="00F31E57" w:rsidRDefault="00F31E57" w:rsidP="00F31E57">
      <w:r>
        <w:t>&lt;ESMA_QUESTION_PRIIPs_38&gt;</w:t>
      </w:r>
    </w:p>
    <w:p w:rsidR="00EF7BA4" w:rsidRPr="002B255E" w:rsidRDefault="00EF7BA4" w:rsidP="00EF7BA4">
      <w:pPr>
        <w:rPr>
          <w:color w:val="1F497D" w:themeColor="text2"/>
        </w:rPr>
      </w:pPr>
      <w:permStart w:id="46" w:edGrp="everyone"/>
      <w:r w:rsidRPr="002B255E">
        <w:rPr>
          <w:color w:val="1F497D" w:themeColor="text2"/>
        </w:rPr>
        <w:t>NA</w:t>
      </w:r>
    </w:p>
    <w:permEnd w:id="46"/>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w:t>
      </w:r>
      <w:r>
        <w:rPr>
          <w:rFonts w:cs="Arial"/>
        </w:rPr>
        <w:t>n</w:t>
      </w:r>
      <w:r>
        <w:rPr>
          <w:rFonts w:cs="Arial"/>
        </w:rPr>
        <w:t>der the PRIIPs regulation? If so, how can the market impact costs best be calc</w:t>
      </w:r>
      <w:r>
        <w:rPr>
          <w:rFonts w:cs="Arial"/>
        </w:rPr>
        <w:t>u</w:t>
      </w:r>
      <w:r>
        <w:rPr>
          <w:rFonts w:cs="Arial"/>
        </w:rPr>
        <w:t>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EF7BA4" w:rsidRPr="002B255E" w:rsidRDefault="00EF7BA4" w:rsidP="00EF7BA4">
      <w:pPr>
        <w:rPr>
          <w:color w:val="1F497D" w:themeColor="text2"/>
        </w:rPr>
      </w:pPr>
      <w:permStart w:id="47" w:edGrp="everyone"/>
      <w:r w:rsidRPr="002B255E">
        <w:rPr>
          <w:color w:val="1F497D" w:themeColor="text2"/>
        </w:rPr>
        <w:t>NA</w:t>
      </w:r>
    </w:p>
    <w:permEnd w:id="47"/>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3338CD" w:rsidRPr="002B255E" w:rsidRDefault="003338CD" w:rsidP="003338CD">
      <w:pPr>
        <w:rPr>
          <w:color w:val="1F497D" w:themeColor="text2"/>
        </w:rPr>
      </w:pPr>
      <w:permStart w:id="48" w:edGrp="everyone"/>
      <w:r w:rsidRPr="002B255E">
        <w:rPr>
          <w:color w:val="1F497D" w:themeColor="text2"/>
        </w:rPr>
        <w:t>NA</w:t>
      </w:r>
    </w:p>
    <w:permEnd w:id="48"/>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3338CD" w:rsidRPr="002B255E" w:rsidRDefault="003338CD" w:rsidP="003338CD">
      <w:pPr>
        <w:rPr>
          <w:color w:val="1F497D" w:themeColor="text2"/>
        </w:rPr>
      </w:pPr>
      <w:permStart w:id="49" w:edGrp="everyone"/>
      <w:r w:rsidRPr="002B255E">
        <w:rPr>
          <w:color w:val="1F497D" w:themeColor="text2"/>
        </w:rPr>
        <w:t>NA</w:t>
      </w:r>
    </w:p>
    <w:permEnd w:id="49"/>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3338CD" w:rsidRPr="002B255E" w:rsidRDefault="003338CD" w:rsidP="003338CD">
      <w:pPr>
        <w:rPr>
          <w:color w:val="1F497D" w:themeColor="text2"/>
        </w:rPr>
      </w:pPr>
      <w:permStart w:id="50" w:edGrp="everyone"/>
      <w:r w:rsidRPr="002B255E">
        <w:rPr>
          <w:color w:val="1F497D" w:themeColor="text2"/>
        </w:rPr>
        <w:lastRenderedPageBreak/>
        <w:t>NA</w:t>
      </w:r>
    </w:p>
    <w:permEnd w:id="50"/>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3338CD" w:rsidRPr="002B255E" w:rsidRDefault="003338CD" w:rsidP="003338CD">
      <w:pPr>
        <w:rPr>
          <w:color w:val="1F497D" w:themeColor="text2"/>
        </w:rPr>
      </w:pPr>
      <w:permStart w:id="51" w:edGrp="everyone"/>
      <w:r w:rsidRPr="002B255E">
        <w:rPr>
          <w:color w:val="1F497D" w:themeColor="text2"/>
        </w:rPr>
        <w:t>NA</w:t>
      </w:r>
    </w:p>
    <w:permEnd w:id="51"/>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w:t>
      </w:r>
      <w:r>
        <w:rPr>
          <w:rFonts w:cs="Arial"/>
        </w:rPr>
        <w:t>s</w:t>
      </w:r>
      <w:r>
        <w:rPr>
          <w:rFonts w:cs="Arial"/>
        </w:rPr>
        <w:t>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3338CD" w:rsidRPr="002B255E" w:rsidRDefault="003338CD" w:rsidP="003338CD">
      <w:pPr>
        <w:rPr>
          <w:color w:val="1F497D" w:themeColor="text2"/>
        </w:rPr>
      </w:pPr>
      <w:permStart w:id="52" w:edGrp="everyone"/>
      <w:r w:rsidRPr="002B255E">
        <w:rPr>
          <w:color w:val="1F497D" w:themeColor="text2"/>
        </w:rPr>
        <w:t>NA</w:t>
      </w:r>
    </w:p>
    <w:permEnd w:id="52"/>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w:t>
      </w:r>
      <w:r>
        <w:rPr>
          <w:rFonts w:eastAsia="Times New Roman" w:cs="Arial"/>
          <w:lang w:eastAsia="hu-HU"/>
        </w:rPr>
        <w:t>s</w:t>
      </w:r>
      <w:r>
        <w:rPr>
          <w:rFonts w:eastAsia="Times New Roman" w:cs="Arial"/>
          <w:lang w:eastAsia="hu-HU"/>
        </w:rPr>
        <w:t xml:space="preserve">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3338CD" w:rsidRPr="002B255E" w:rsidRDefault="003338CD" w:rsidP="003338CD">
      <w:pPr>
        <w:rPr>
          <w:color w:val="1F497D" w:themeColor="text2"/>
        </w:rPr>
      </w:pPr>
      <w:permStart w:id="53" w:edGrp="everyone"/>
      <w:r w:rsidRPr="002B255E">
        <w:rPr>
          <w:color w:val="1F497D" w:themeColor="text2"/>
        </w:rPr>
        <w:t>NA</w:t>
      </w:r>
    </w:p>
    <w:permEnd w:id="5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3338CD" w:rsidRPr="002B255E" w:rsidRDefault="003338CD" w:rsidP="003338CD">
      <w:pPr>
        <w:rPr>
          <w:color w:val="1F497D" w:themeColor="text2"/>
        </w:rPr>
      </w:pPr>
      <w:permStart w:id="54" w:edGrp="everyone"/>
      <w:r w:rsidRPr="002B255E">
        <w:rPr>
          <w:color w:val="1F497D" w:themeColor="text2"/>
        </w:rPr>
        <w:t>NA</w:t>
      </w:r>
    </w:p>
    <w:permEnd w:id="54"/>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w:t>
      </w:r>
      <w:r>
        <w:rPr>
          <w:rFonts w:cs="Arial"/>
        </w:rPr>
        <w:t>n</w:t>
      </w:r>
      <w:r>
        <w:rPr>
          <w:rFonts w:cs="Arial"/>
        </w:rPr>
        <w:t>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3338CD" w:rsidRPr="002B255E" w:rsidRDefault="003338CD" w:rsidP="003338CD">
      <w:pPr>
        <w:rPr>
          <w:color w:val="1F497D" w:themeColor="text2"/>
        </w:rPr>
      </w:pPr>
      <w:permStart w:id="55" w:edGrp="everyone"/>
      <w:r w:rsidRPr="002B255E">
        <w:rPr>
          <w:color w:val="1F497D" w:themeColor="text2"/>
        </w:rPr>
        <w:t>NA</w:t>
      </w:r>
    </w:p>
    <w:permEnd w:id="55"/>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3338CD" w:rsidRPr="002B255E" w:rsidRDefault="003338CD" w:rsidP="003338CD">
      <w:pPr>
        <w:rPr>
          <w:color w:val="1F497D" w:themeColor="text2"/>
        </w:rPr>
      </w:pPr>
      <w:permStart w:id="56" w:edGrp="everyone"/>
      <w:r w:rsidRPr="002B255E">
        <w:rPr>
          <w:color w:val="1F497D" w:themeColor="text2"/>
        </w:rPr>
        <w:lastRenderedPageBreak/>
        <w:t>NA</w:t>
      </w:r>
    </w:p>
    <w:permEnd w:id="56"/>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3338CD" w:rsidRPr="002B255E" w:rsidRDefault="003338CD" w:rsidP="003338CD">
      <w:pPr>
        <w:rPr>
          <w:color w:val="1F497D" w:themeColor="text2"/>
        </w:rPr>
      </w:pPr>
      <w:permStart w:id="57" w:edGrp="everyone"/>
      <w:r w:rsidRPr="002B255E">
        <w:rPr>
          <w:color w:val="1F497D" w:themeColor="text2"/>
        </w:rPr>
        <w:t>NA</w:t>
      </w:r>
    </w:p>
    <w:permEnd w:id="57"/>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3338CD" w:rsidRPr="002B255E" w:rsidRDefault="003338CD" w:rsidP="003338CD">
      <w:pPr>
        <w:rPr>
          <w:color w:val="1F497D" w:themeColor="text2"/>
        </w:rPr>
      </w:pPr>
      <w:permStart w:id="58" w:edGrp="everyone"/>
      <w:r w:rsidRPr="002B255E">
        <w:rPr>
          <w:color w:val="1F497D" w:themeColor="text2"/>
        </w:rPr>
        <w:t>NA</w:t>
      </w:r>
    </w:p>
    <w:permEnd w:id="58"/>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3338CD" w:rsidRPr="002B255E" w:rsidRDefault="003338CD" w:rsidP="003338CD">
      <w:pPr>
        <w:rPr>
          <w:color w:val="1F497D" w:themeColor="text2"/>
        </w:rPr>
      </w:pPr>
      <w:permStart w:id="59" w:edGrp="everyone"/>
      <w:r w:rsidRPr="002B255E">
        <w:rPr>
          <w:color w:val="1F497D" w:themeColor="text2"/>
        </w:rPr>
        <w:t>NA</w:t>
      </w:r>
    </w:p>
    <w:permEnd w:id="59"/>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3338CD" w:rsidRPr="002B255E" w:rsidRDefault="003338CD" w:rsidP="003338CD">
      <w:pPr>
        <w:rPr>
          <w:color w:val="1F497D" w:themeColor="text2"/>
        </w:rPr>
      </w:pPr>
      <w:permStart w:id="60" w:edGrp="everyone"/>
      <w:r w:rsidRPr="002B255E">
        <w:rPr>
          <w:color w:val="1F497D" w:themeColor="text2"/>
        </w:rPr>
        <w:t>NA</w:t>
      </w:r>
    </w:p>
    <w:permEnd w:id="60"/>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3338CD" w:rsidRPr="002B255E" w:rsidRDefault="003338CD" w:rsidP="003338CD">
      <w:pPr>
        <w:rPr>
          <w:color w:val="1F497D" w:themeColor="text2"/>
        </w:rPr>
      </w:pPr>
      <w:permStart w:id="61" w:edGrp="everyone"/>
      <w:r w:rsidRPr="002B255E">
        <w:rPr>
          <w:color w:val="1F497D" w:themeColor="text2"/>
        </w:rPr>
        <w:t>NA</w:t>
      </w:r>
    </w:p>
    <w:permEnd w:id="61"/>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3338CD" w:rsidRPr="002B255E" w:rsidRDefault="003338CD" w:rsidP="003338CD">
      <w:pPr>
        <w:rPr>
          <w:color w:val="1F497D" w:themeColor="text2"/>
        </w:rPr>
      </w:pPr>
      <w:permStart w:id="62" w:edGrp="everyone"/>
      <w:r w:rsidRPr="002B255E">
        <w:rPr>
          <w:color w:val="1F497D" w:themeColor="text2"/>
        </w:rPr>
        <w:t>NA</w:t>
      </w:r>
    </w:p>
    <w:permEnd w:id="62"/>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3338CD" w:rsidRPr="002B255E" w:rsidRDefault="003338CD" w:rsidP="003338CD">
      <w:pPr>
        <w:rPr>
          <w:color w:val="1F497D" w:themeColor="text2"/>
        </w:rPr>
      </w:pPr>
      <w:permStart w:id="63" w:edGrp="everyone"/>
      <w:r w:rsidRPr="002B255E">
        <w:rPr>
          <w:color w:val="1F497D" w:themeColor="text2"/>
        </w:rPr>
        <w:t>NA</w:t>
      </w:r>
    </w:p>
    <w:permEnd w:id="63"/>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w:t>
      </w:r>
      <w:r>
        <w:rPr>
          <w:rFonts w:cs="Arial"/>
        </w:rPr>
        <w:t>r</w:t>
      </w:r>
      <w:r>
        <w:rPr>
          <w:rFonts w:cs="Arial"/>
        </w:rPr>
        <w:t xml:space="preserve">ally, how to measure costs that are passed to policy holders via profit participation </w:t>
      </w:r>
      <w:r>
        <w:rPr>
          <w:rFonts w:cs="Arial"/>
        </w:rPr>
        <w:lastRenderedPageBreak/>
        <w:t>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3B36D5" w:rsidRPr="002B255E" w:rsidRDefault="003B36D5" w:rsidP="003B36D5">
      <w:pPr>
        <w:rPr>
          <w:color w:val="1F497D" w:themeColor="text2"/>
        </w:rPr>
      </w:pPr>
      <w:permStart w:id="64" w:edGrp="everyone"/>
      <w:r w:rsidRPr="002B255E">
        <w:rPr>
          <w:color w:val="1F497D" w:themeColor="text2"/>
        </w:rPr>
        <w:t>NA</w:t>
      </w:r>
    </w:p>
    <w:permEnd w:id="64"/>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3B36D5" w:rsidRPr="002B255E" w:rsidRDefault="003B36D5" w:rsidP="003B36D5">
      <w:pPr>
        <w:rPr>
          <w:color w:val="1F497D" w:themeColor="text2"/>
        </w:rPr>
      </w:pPr>
      <w:permStart w:id="65" w:edGrp="everyone"/>
      <w:r w:rsidRPr="002B255E">
        <w:rPr>
          <w:color w:val="1F497D" w:themeColor="text2"/>
        </w:rPr>
        <w:t>NA</w:t>
      </w:r>
    </w:p>
    <w:permEnd w:id="65"/>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w:t>
      </w:r>
      <w:r>
        <w:rPr>
          <w:rFonts w:cs="Arial"/>
        </w:rPr>
        <w:t>m</w:t>
      </w:r>
      <w:r>
        <w:rPr>
          <w:rFonts w:cs="Arial"/>
        </w:rPr>
        <w:t xml:space="preserve">prehensive? Which types of costs should be added? </w:t>
      </w:r>
    </w:p>
    <w:p w:rsidR="00F31E57" w:rsidRDefault="00F31E57" w:rsidP="00F31E57">
      <w:pPr>
        <w:rPr>
          <w:rFonts w:cstheme="minorBidi"/>
        </w:rPr>
      </w:pPr>
    </w:p>
    <w:p w:rsidR="00F31E57" w:rsidRDefault="00F31E57" w:rsidP="00F31E57">
      <w:r>
        <w:t>&lt;ESMA_QUESTION_PRIIPs_58&gt;</w:t>
      </w:r>
    </w:p>
    <w:p w:rsidR="003338CD" w:rsidRPr="002B255E" w:rsidRDefault="003338CD" w:rsidP="003338CD">
      <w:pPr>
        <w:rPr>
          <w:color w:val="1F497D" w:themeColor="text2"/>
        </w:rPr>
      </w:pPr>
      <w:permStart w:id="66" w:edGrp="everyone"/>
      <w:r w:rsidRPr="002B255E">
        <w:rPr>
          <w:color w:val="1F497D" w:themeColor="text2"/>
        </w:rPr>
        <w:t>NA</w:t>
      </w:r>
    </w:p>
    <w:permEnd w:id="66"/>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w:t>
      </w:r>
      <w:r>
        <w:rPr>
          <w:rFonts w:cs="Arial"/>
        </w:rPr>
        <w:t>e</w:t>
      </w:r>
      <w:r>
        <w:rPr>
          <w:rFonts w:cs="Arial"/>
        </w:rPr>
        <w:t>sults?</w:t>
      </w:r>
    </w:p>
    <w:p w:rsidR="00F31E57" w:rsidRDefault="00F31E57" w:rsidP="00F31E57">
      <w:pPr>
        <w:rPr>
          <w:rFonts w:cstheme="minorBidi"/>
        </w:rPr>
      </w:pPr>
    </w:p>
    <w:p w:rsidR="00F31E57" w:rsidRDefault="00F31E57" w:rsidP="00F31E57">
      <w:r>
        <w:t>&lt;ESMA_QUESTION_PRIIPs_59&gt;</w:t>
      </w:r>
    </w:p>
    <w:p w:rsidR="002B255E" w:rsidRPr="00FD499C" w:rsidRDefault="002B255E" w:rsidP="002B255E">
      <w:pPr>
        <w:pStyle w:val="Default"/>
        <w:rPr>
          <w:color w:val="1F497D" w:themeColor="text2"/>
          <w:sz w:val="22"/>
          <w:szCs w:val="22"/>
          <w:lang w:val="en-US"/>
        </w:rPr>
      </w:pPr>
      <w:permStart w:id="67" w:edGrp="everyone"/>
      <w:r w:rsidRPr="00FD499C">
        <w:rPr>
          <w:color w:val="1F497D" w:themeColor="text2"/>
          <w:sz w:val="22"/>
          <w:szCs w:val="22"/>
          <w:lang w:val="en-US"/>
        </w:rPr>
        <w:t>The FSPA supports an approach of dividing the costs into entry, ongoing &amp; exit costs to the retail investor as a TCR in the KID. For structured products the costs are mostly entry costs. The di</w:t>
      </w:r>
      <w:r w:rsidRPr="00FD499C">
        <w:rPr>
          <w:color w:val="1F497D" w:themeColor="text2"/>
          <w:sz w:val="22"/>
          <w:szCs w:val="22"/>
          <w:lang w:val="en-US"/>
        </w:rPr>
        <w:t>f</w:t>
      </w:r>
      <w:r w:rsidRPr="00FD499C">
        <w:rPr>
          <w:color w:val="1F497D" w:themeColor="text2"/>
          <w:sz w:val="22"/>
          <w:szCs w:val="22"/>
          <w:lang w:val="en-US"/>
        </w:rPr>
        <w:t>ference between offering price and manufacturer calculated ‘fair value’ represents the upfront cost to the investor. There is no relevance if they are direct or implicit costs paid by the manufa</w:t>
      </w:r>
      <w:r w:rsidRPr="00FD499C">
        <w:rPr>
          <w:color w:val="1F497D" w:themeColor="text2"/>
          <w:sz w:val="22"/>
          <w:szCs w:val="22"/>
          <w:lang w:val="en-US"/>
        </w:rPr>
        <w:t>c</w:t>
      </w:r>
      <w:r w:rsidRPr="00FD499C">
        <w:rPr>
          <w:color w:val="1F497D" w:themeColor="text2"/>
          <w:sz w:val="22"/>
          <w:szCs w:val="22"/>
          <w:lang w:val="en-US"/>
        </w:rPr>
        <w:t xml:space="preserve">turer or indeed sales commissions. This is in use in Finland presented in annualized cost format. </w:t>
      </w:r>
    </w:p>
    <w:p w:rsidR="002B255E" w:rsidRPr="00FD499C" w:rsidRDefault="002B255E" w:rsidP="002B255E">
      <w:pPr>
        <w:pStyle w:val="Default"/>
        <w:rPr>
          <w:color w:val="1F497D" w:themeColor="text2"/>
          <w:sz w:val="22"/>
          <w:szCs w:val="22"/>
          <w:lang w:val="en-US"/>
        </w:rPr>
      </w:pPr>
      <w:r w:rsidRPr="00FD499C">
        <w:rPr>
          <w:color w:val="1F497D" w:themeColor="text2"/>
          <w:sz w:val="22"/>
          <w:szCs w:val="22"/>
          <w:lang w:val="en-US"/>
        </w:rPr>
        <w:t>’Fair value’ is not the same for two different manufacturers since the cost of capital varies. In fact an issuer with lower credit rating can produce optically better capital protected products since the notional amount is discounted with higher yield. A prescriptive approach for this alternative would deny the fact that different manufacturers have different production costs and the FSPA doubts that such changed information would be of relevance to the retail investor.</w:t>
      </w:r>
    </w:p>
    <w:permEnd w:id="67"/>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2B255E" w:rsidRPr="00FD499C" w:rsidRDefault="002B255E" w:rsidP="002B255E">
      <w:pPr>
        <w:pStyle w:val="Default"/>
        <w:rPr>
          <w:color w:val="1F497D" w:themeColor="text2"/>
          <w:sz w:val="22"/>
          <w:szCs w:val="22"/>
          <w:lang w:val="en-GB"/>
        </w:rPr>
      </w:pPr>
      <w:permStart w:id="68" w:edGrp="everyone"/>
      <w:r w:rsidRPr="00FD499C">
        <w:rPr>
          <w:color w:val="1F497D" w:themeColor="text2"/>
          <w:sz w:val="22"/>
          <w:szCs w:val="22"/>
          <w:lang w:val="en-US"/>
        </w:rPr>
        <w:t>There are n</w:t>
      </w:r>
      <w:r w:rsidRPr="00FD499C">
        <w:rPr>
          <w:color w:val="1F497D" w:themeColor="text2"/>
          <w:sz w:val="22"/>
          <w:szCs w:val="22"/>
          <w:lang w:val="en-GB"/>
        </w:rPr>
        <w:t>o specific costs for structured deposits, pricing is done like for EMTNs. Governmental deposit guarantee fees (if they apply) are unlikely to be considered due to marginal volumes in relation to other deposits.</w:t>
      </w:r>
    </w:p>
    <w:permEnd w:id="68"/>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agree with the above mentioned list of entry costs? Which of these costs are embedded in the price? Should we differentiate between “delta 1” and “option </w:t>
      </w:r>
      <w:r>
        <w:rPr>
          <w:rFonts w:cs="Arial"/>
        </w:rPr>
        <w:lastRenderedPageBreak/>
        <w:t>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2B255E" w:rsidRPr="00FD499C" w:rsidRDefault="002B255E" w:rsidP="002B255E">
      <w:pPr>
        <w:pStyle w:val="Default"/>
        <w:rPr>
          <w:rFonts w:cs="Times New Roman"/>
          <w:color w:val="1F497D" w:themeColor="text2"/>
          <w:sz w:val="22"/>
          <w:szCs w:val="22"/>
          <w:lang w:val="en-GB"/>
        </w:rPr>
      </w:pPr>
      <w:permStart w:id="69" w:edGrp="everyone"/>
      <w:r w:rsidRPr="00FD499C">
        <w:rPr>
          <w:color w:val="1F497D" w:themeColor="text2"/>
          <w:sz w:val="22"/>
          <w:szCs w:val="22"/>
          <w:lang w:val="en-GB"/>
        </w:rPr>
        <w:t xml:space="preserve">The FSPA </w:t>
      </w:r>
      <w:r w:rsidRPr="00FD499C">
        <w:rPr>
          <w:rFonts w:cs="Times New Roman"/>
          <w:color w:val="1F497D" w:themeColor="text2"/>
          <w:sz w:val="22"/>
          <w:szCs w:val="22"/>
          <w:lang w:val="en-GB"/>
        </w:rPr>
        <w:t xml:space="preserve">agrees with the entry costs and notes that costs are in general charged upfront. All costs recognised and accounted for by the manufacturer are embedded in the price. Differences between the manufacturers are likely to exist on what is in the calculation. Especially for the implicit costs due to the way the organisation and accounting are arranged. They normally cover Distribution costs / Expected Hedging costs / </w:t>
      </w:r>
      <w:proofErr w:type="gramStart"/>
      <w:r w:rsidRPr="00FD499C">
        <w:rPr>
          <w:rFonts w:cs="Times New Roman"/>
          <w:color w:val="1F497D" w:themeColor="text2"/>
          <w:sz w:val="22"/>
          <w:szCs w:val="22"/>
          <w:lang w:val="en-GB"/>
        </w:rPr>
        <w:t>Direct</w:t>
      </w:r>
      <w:proofErr w:type="gramEnd"/>
      <w:r w:rsidRPr="00FD499C">
        <w:rPr>
          <w:rFonts w:cs="Times New Roman"/>
          <w:color w:val="1F497D" w:themeColor="text2"/>
          <w:sz w:val="22"/>
          <w:szCs w:val="22"/>
          <w:lang w:val="en-GB"/>
        </w:rPr>
        <w:t xml:space="preserve"> costs during the life of the product / Capital costs / Manufacturer costs / Exit costs.</w:t>
      </w:r>
    </w:p>
    <w:p w:rsidR="002B255E" w:rsidRPr="00FD499C" w:rsidRDefault="002B255E" w:rsidP="002B255E">
      <w:pPr>
        <w:pStyle w:val="Default"/>
        <w:rPr>
          <w:rFonts w:cs="Times New Roman"/>
          <w:color w:val="1F497D" w:themeColor="text2"/>
          <w:sz w:val="22"/>
          <w:szCs w:val="22"/>
          <w:lang w:val="en-GB"/>
        </w:rPr>
      </w:pPr>
      <w:r w:rsidRPr="00FD499C">
        <w:rPr>
          <w:rFonts w:cs="Times New Roman"/>
          <w:color w:val="1F497D" w:themeColor="text2"/>
          <w:sz w:val="22"/>
          <w:szCs w:val="22"/>
          <w:lang w:val="en-GB"/>
        </w:rPr>
        <w:t>There is no need to differentiate between “Delta 1” and option-based (bearing in mind that “Delta 1” is a particular case of an option).</w:t>
      </w:r>
    </w:p>
    <w:p w:rsidR="002B255E" w:rsidRPr="00FD499C" w:rsidRDefault="002B255E" w:rsidP="002B255E">
      <w:pPr>
        <w:pStyle w:val="Default"/>
        <w:rPr>
          <w:rFonts w:cs="Times New Roman"/>
          <w:color w:val="1F497D" w:themeColor="text2"/>
          <w:sz w:val="22"/>
          <w:szCs w:val="22"/>
          <w:lang w:val="en-GB"/>
        </w:rPr>
      </w:pPr>
      <w:r w:rsidRPr="00FD499C">
        <w:rPr>
          <w:rFonts w:cs="Times New Roman"/>
          <w:color w:val="1F497D" w:themeColor="text2"/>
          <w:sz w:val="22"/>
          <w:szCs w:val="22"/>
          <w:lang w:val="en-GB"/>
        </w:rPr>
        <w:t>Cases where manufacturer will not know all costs:</w:t>
      </w:r>
    </w:p>
    <w:p w:rsidR="002B255E" w:rsidRPr="00FD499C" w:rsidRDefault="002B255E" w:rsidP="002B255E">
      <w:pPr>
        <w:pStyle w:val="Default"/>
        <w:rPr>
          <w:rFonts w:cs="Times New Roman"/>
          <w:color w:val="1F497D" w:themeColor="text2"/>
          <w:sz w:val="22"/>
          <w:szCs w:val="22"/>
          <w:lang w:val="en-GB"/>
        </w:rPr>
      </w:pPr>
      <w:r w:rsidRPr="00FD499C">
        <w:rPr>
          <w:rFonts w:cs="Times New Roman"/>
          <w:color w:val="1F497D" w:themeColor="text2"/>
          <w:sz w:val="22"/>
          <w:szCs w:val="22"/>
          <w:lang w:val="en-GB"/>
        </w:rPr>
        <w:t xml:space="preserve">- </w:t>
      </w:r>
      <w:proofErr w:type="gramStart"/>
      <w:r w:rsidRPr="00FD499C">
        <w:rPr>
          <w:rFonts w:cs="Times New Roman"/>
          <w:color w:val="1F497D" w:themeColor="text2"/>
          <w:sz w:val="22"/>
          <w:szCs w:val="22"/>
          <w:lang w:val="en-GB"/>
        </w:rPr>
        <w:t>when</w:t>
      </w:r>
      <w:proofErr w:type="gramEnd"/>
      <w:r w:rsidRPr="00FD499C">
        <w:rPr>
          <w:rFonts w:cs="Times New Roman"/>
          <w:color w:val="1F497D" w:themeColor="text2"/>
          <w:sz w:val="22"/>
          <w:szCs w:val="22"/>
          <w:lang w:val="en-GB"/>
        </w:rPr>
        <w:t xml:space="preserve"> a product designed by the manufacturer is repackaged in another wrapper, the manufa</w:t>
      </w:r>
      <w:r w:rsidRPr="00FD499C">
        <w:rPr>
          <w:rFonts w:cs="Times New Roman"/>
          <w:color w:val="1F497D" w:themeColor="text2"/>
          <w:sz w:val="22"/>
          <w:szCs w:val="22"/>
          <w:lang w:val="en-GB"/>
        </w:rPr>
        <w:t>c</w:t>
      </w:r>
      <w:r w:rsidRPr="00FD499C">
        <w:rPr>
          <w:rFonts w:cs="Times New Roman"/>
          <w:color w:val="1F497D" w:themeColor="text2"/>
          <w:sz w:val="22"/>
          <w:szCs w:val="22"/>
          <w:lang w:val="en-GB"/>
        </w:rPr>
        <w:t>turer will not know the fees linked to the final wrapper.</w:t>
      </w:r>
    </w:p>
    <w:p w:rsidR="002B255E" w:rsidRPr="00FD499C" w:rsidRDefault="002B255E" w:rsidP="002B255E">
      <w:pPr>
        <w:pStyle w:val="Default"/>
        <w:rPr>
          <w:rFonts w:cs="Times New Roman"/>
          <w:color w:val="1F497D" w:themeColor="text2"/>
          <w:sz w:val="22"/>
          <w:szCs w:val="22"/>
          <w:lang w:val="en-GB"/>
        </w:rPr>
      </w:pPr>
      <w:r w:rsidRPr="00FD499C">
        <w:rPr>
          <w:rFonts w:cs="Times New Roman"/>
          <w:color w:val="1F497D" w:themeColor="text2"/>
          <w:sz w:val="22"/>
          <w:szCs w:val="22"/>
          <w:lang w:val="en-GB"/>
        </w:rPr>
        <w:t xml:space="preserve">- </w:t>
      </w:r>
      <w:proofErr w:type="gramStart"/>
      <w:r w:rsidRPr="00FD499C">
        <w:rPr>
          <w:rFonts w:cs="Times New Roman"/>
          <w:color w:val="1F497D" w:themeColor="text2"/>
          <w:sz w:val="22"/>
          <w:szCs w:val="22"/>
          <w:lang w:val="en-GB"/>
        </w:rPr>
        <w:t>when</w:t>
      </w:r>
      <w:proofErr w:type="gramEnd"/>
      <w:r w:rsidRPr="00FD499C">
        <w:rPr>
          <w:rFonts w:cs="Times New Roman"/>
          <w:color w:val="1F497D" w:themeColor="text2"/>
          <w:sz w:val="22"/>
          <w:szCs w:val="22"/>
          <w:lang w:val="en-GB"/>
        </w:rPr>
        <w:t xml:space="preserve"> manufacturer assembles a structured product from components. The manufacturer does not know the component costs (only the price). At least the result for costs would look different compared to if all manufacturing is done in-house.</w:t>
      </w:r>
    </w:p>
    <w:p w:rsidR="002B255E" w:rsidRPr="00FD499C" w:rsidRDefault="002B255E" w:rsidP="002B255E">
      <w:pPr>
        <w:pStyle w:val="Default"/>
        <w:rPr>
          <w:rFonts w:cs="Times New Roman"/>
          <w:color w:val="1F497D" w:themeColor="text2"/>
          <w:sz w:val="22"/>
          <w:szCs w:val="22"/>
          <w:lang w:val="en-GB"/>
        </w:rPr>
      </w:pPr>
      <w:r w:rsidRPr="00FD499C">
        <w:rPr>
          <w:rFonts w:cs="Times New Roman"/>
          <w:color w:val="1F497D" w:themeColor="text2"/>
          <w:sz w:val="22"/>
          <w:szCs w:val="22"/>
          <w:lang w:val="en-GB"/>
        </w:rPr>
        <w:t xml:space="preserve">- </w:t>
      </w:r>
      <w:proofErr w:type="gramStart"/>
      <w:r w:rsidRPr="00FD499C">
        <w:rPr>
          <w:rFonts w:cs="Times New Roman"/>
          <w:color w:val="1F497D" w:themeColor="text2"/>
          <w:sz w:val="22"/>
          <w:szCs w:val="22"/>
          <w:lang w:val="en-GB"/>
        </w:rPr>
        <w:t>when</w:t>
      </w:r>
      <w:proofErr w:type="gramEnd"/>
      <w:r w:rsidRPr="00FD499C">
        <w:rPr>
          <w:rFonts w:cs="Times New Roman"/>
          <w:color w:val="1F497D" w:themeColor="text2"/>
          <w:sz w:val="22"/>
          <w:szCs w:val="22"/>
          <w:lang w:val="en-GB"/>
        </w:rPr>
        <w:t xml:space="preserve"> a fund is the underlying of a structured product : the manufacturer will not know costs linked to the fund (depending on what is disclosed in the funds KID)</w:t>
      </w:r>
    </w:p>
    <w:permEnd w:id="69"/>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2B255E" w:rsidRPr="00FD499C" w:rsidRDefault="002B255E" w:rsidP="002B255E">
      <w:pPr>
        <w:pStyle w:val="Default"/>
        <w:rPr>
          <w:rFonts w:cs="Times New Roman"/>
          <w:color w:val="1F497D" w:themeColor="text2"/>
          <w:sz w:val="22"/>
          <w:szCs w:val="22"/>
          <w:lang w:val="en-US"/>
        </w:rPr>
      </w:pPr>
      <w:permStart w:id="70" w:edGrp="everyone"/>
      <w:r w:rsidRPr="00FD499C">
        <w:rPr>
          <w:rFonts w:cs="Times New Roman"/>
          <w:color w:val="1F497D" w:themeColor="text2"/>
          <w:sz w:val="22"/>
          <w:szCs w:val="22"/>
          <w:lang w:val="en-US"/>
        </w:rPr>
        <w:t>These costs have already been described in the list of "entry costs". Only if they are separately paid during the life, running costs should be distinguished.</w:t>
      </w:r>
    </w:p>
    <w:permEnd w:id="70"/>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w:t>
      </w:r>
      <w:r>
        <w:rPr>
          <w:rFonts w:cs="Arial"/>
        </w:rPr>
        <w:t>l</w:t>
      </w:r>
      <w:r>
        <w:rPr>
          <w:rFonts w:cs="Arial"/>
        </w:rPr>
        <w:t>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2B255E" w:rsidRPr="00FD499C" w:rsidRDefault="002B255E" w:rsidP="002B255E">
      <w:pPr>
        <w:pStyle w:val="Default"/>
        <w:rPr>
          <w:rFonts w:cs="Times New Roman"/>
          <w:color w:val="1F497D" w:themeColor="text2"/>
          <w:sz w:val="22"/>
          <w:szCs w:val="22"/>
          <w:lang w:val="en-US"/>
        </w:rPr>
      </w:pPr>
      <w:permStart w:id="71" w:edGrp="everyone"/>
      <w:r w:rsidRPr="00FD499C">
        <w:rPr>
          <w:rFonts w:cs="Times New Roman"/>
          <w:color w:val="1F497D" w:themeColor="text2"/>
          <w:sz w:val="22"/>
          <w:szCs w:val="22"/>
          <w:lang w:val="en-US"/>
        </w:rPr>
        <w:t xml:space="preserve">By Proportional fees, we understand penalties for early exit expressed in % of Notional These should be disclosed in the cost section, but not double counted in the total cost ratio (TCR) as they would only occur under specific circumstance. </w:t>
      </w:r>
      <w:r w:rsidRPr="00FD499C">
        <w:rPr>
          <w:color w:val="1F497D" w:themeColor="text2"/>
          <w:lang w:val="en-US"/>
        </w:rPr>
        <w:t xml:space="preserve">Bid-mid spreads paid by the purchaser to sell the product are not exit cost and should not be treated as such. </w:t>
      </w:r>
      <w:r w:rsidRPr="00FD499C">
        <w:rPr>
          <w:rFonts w:cs="Times New Roman"/>
          <w:color w:val="1F497D" w:themeColor="text2"/>
          <w:sz w:val="22"/>
          <w:szCs w:val="22"/>
          <w:lang w:val="en-US"/>
        </w:rPr>
        <w:t>Exit fees generally serve the purpose of protecting the sales commissions and structuring costs, it should be e</w:t>
      </w:r>
      <w:r w:rsidRPr="00FD499C">
        <w:rPr>
          <w:rFonts w:cs="Times New Roman"/>
          <w:color w:val="1F497D" w:themeColor="text2"/>
          <w:sz w:val="22"/>
          <w:szCs w:val="22"/>
          <w:lang w:val="en-US"/>
        </w:rPr>
        <w:t>x</w:t>
      </w:r>
      <w:r w:rsidRPr="00FD499C">
        <w:rPr>
          <w:rFonts w:cs="Times New Roman"/>
          <w:color w:val="1F497D" w:themeColor="text2"/>
          <w:sz w:val="22"/>
          <w:szCs w:val="22"/>
          <w:lang w:val="en-US"/>
        </w:rPr>
        <w:t>plained in the costs section.</w:t>
      </w:r>
    </w:p>
    <w:permEnd w:id="7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w:t>
      </w:r>
      <w:r>
        <w:rPr>
          <w:rFonts w:cs="Arial"/>
        </w:rPr>
        <w:t>e</w:t>
      </w:r>
      <w:r>
        <w:rPr>
          <w:rFonts w:cs="Arial"/>
        </w:rPr>
        <w:t>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AD1F59" w:rsidRPr="00FD499C" w:rsidRDefault="00AD1F59" w:rsidP="00AD1F59">
      <w:pPr>
        <w:pStyle w:val="Default"/>
        <w:rPr>
          <w:rFonts w:cs="Times New Roman"/>
          <w:color w:val="1F497D" w:themeColor="text2"/>
          <w:sz w:val="22"/>
          <w:szCs w:val="22"/>
          <w:lang w:val="en-US"/>
        </w:rPr>
      </w:pPr>
      <w:permStart w:id="72" w:edGrp="everyone"/>
      <w:r w:rsidRPr="00FD499C">
        <w:rPr>
          <w:rFonts w:cs="Times New Roman"/>
          <w:color w:val="1F497D" w:themeColor="text2"/>
          <w:sz w:val="22"/>
          <w:szCs w:val="22"/>
          <w:lang w:val="en-US"/>
        </w:rPr>
        <w:lastRenderedPageBreak/>
        <w:t>Yes, we agree with the list of exit costs described. They should be noted only if they are separat</w:t>
      </w:r>
      <w:r w:rsidRPr="00FD499C">
        <w:rPr>
          <w:rFonts w:cs="Times New Roman"/>
          <w:color w:val="1F497D" w:themeColor="text2"/>
          <w:sz w:val="22"/>
          <w:szCs w:val="22"/>
          <w:lang w:val="en-US"/>
        </w:rPr>
        <w:t>e</w:t>
      </w:r>
      <w:r w:rsidRPr="00FD499C">
        <w:rPr>
          <w:rFonts w:cs="Times New Roman"/>
          <w:color w:val="1F497D" w:themeColor="text2"/>
          <w:sz w:val="22"/>
          <w:szCs w:val="22"/>
          <w:lang w:val="en-US"/>
        </w:rPr>
        <w:t>ly paid at the exit point (upfront paid costs that are counted for would be in the entry costs).</w:t>
      </w:r>
    </w:p>
    <w:permEnd w:id="72"/>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AD1F59" w:rsidRDefault="00AD1F59" w:rsidP="00F31E57">
      <w:pPr>
        <w:rPr>
          <w:color w:val="1F497D" w:themeColor="text2"/>
          <w:sz w:val="22"/>
          <w:szCs w:val="22"/>
          <w:lang w:val="en-US"/>
        </w:rPr>
      </w:pPr>
      <w:permStart w:id="73" w:edGrp="everyone"/>
      <w:r w:rsidRPr="00FD499C">
        <w:rPr>
          <w:color w:val="1F497D" w:themeColor="text2"/>
          <w:sz w:val="22"/>
          <w:szCs w:val="22"/>
          <w:lang w:val="en-US"/>
        </w:rPr>
        <w:t>No.</w:t>
      </w:r>
    </w:p>
    <w:permEnd w:id="73"/>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AD1F59" w:rsidRPr="00FD499C" w:rsidRDefault="00AD1F59" w:rsidP="00AD1F59">
      <w:pPr>
        <w:pStyle w:val="Default"/>
        <w:rPr>
          <w:rFonts w:cs="Times New Roman"/>
          <w:color w:val="1F497D" w:themeColor="text2"/>
          <w:sz w:val="22"/>
          <w:szCs w:val="22"/>
          <w:lang w:val="en-US"/>
        </w:rPr>
      </w:pPr>
      <w:permStart w:id="74" w:edGrp="everyone"/>
      <w:r w:rsidRPr="00FD499C">
        <w:rPr>
          <w:rFonts w:cs="Times New Roman"/>
          <w:color w:val="1F497D" w:themeColor="text2"/>
          <w:sz w:val="22"/>
          <w:szCs w:val="22"/>
          <w:lang w:val="en-US"/>
        </w:rPr>
        <w:t xml:space="preserve">Cost of the underlying (e.g. index </w:t>
      </w:r>
      <w:proofErr w:type="spellStart"/>
      <w:r w:rsidRPr="00FD499C">
        <w:rPr>
          <w:rFonts w:cs="Times New Roman"/>
          <w:color w:val="1F497D" w:themeColor="text2"/>
          <w:sz w:val="22"/>
          <w:szCs w:val="22"/>
          <w:lang w:val="en-US"/>
        </w:rPr>
        <w:t>licence</w:t>
      </w:r>
      <w:proofErr w:type="spellEnd"/>
      <w:r w:rsidRPr="00FD499C">
        <w:rPr>
          <w:rFonts w:cs="Times New Roman"/>
          <w:color w:val="1F497D" w:themeColor="text2"/>
          <w:sz w:val="22"/>
          <w:szCs w:val="22"/>
          <w:lang w:val="en-US"/>
        </w:rPr>
        <w:t xml:space="preserve"> cost) is a cost borne by the manufacturer, implicitly included in the </w:t>
      </w:r>
      <w:r>
        <w:rPr>
          <w:rFonts w:cs="Times New Roman"/>
          <w:color w:val="1F497D" w:themeColor="text2"/>
          <w:sz w:val="22"/>
          <w:szCs w:val="22"/>
          <w:lang w:val="en-US"/>
        </w:rPr>
        <w:t>c</w:t>
      </w:r>
      <w:r w:rsidRPr="00FD499C">
        <w:rPr>
          <w:rFonts w:cs="Times New Roman"/>
          <w:color w:val="1F497D" w:themeColor="text2"/>
          <w:sz w:val="22"/>
          <w:szCs w:val="22"/>
          <w:lang w:val="en-US"/>
        </w:rPr>
        <w:t>osts and priced upfront.</w:t>
      </w:r>
    </w:p>
    <w:permEnd w:id="74"/>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AD1F59" w:rsidRPr="00267157" w:rsidRDefault="00AD1F59" w:rsidP="00AD1F59">
      <w:pPr>
        <w:pStyle w:val="Default"/>
        <w:rPr>
          <w:rFonts w:cs="Times New Roman"/>
          <w:color w:val="1F497D" w:themeColor="text2"/>
          <w:sz w:val="22"/>
          <w:szCs w:val="22"/>
          <w:lang w:val="en-US"/>
        </w:rPr>
      </w:pPr>
      <w:permStart w:id="75" w:edGrp="everyone"/>
      <w:r w:rsidRPr="00267157">
        <w:rPr>
          <w:rFonts w:cs="Times New Roman"/>
          <w:color w:val="1F497D" w:themeColor="text2"/>
          <w:sz w:val="22"/>
          <w:szCs w:val="22"/>
          <w:lang w:val="en-US"/>
        </w:rPr>
        <w:t>We do not foresee any issue with the amortization of entry costs. It is an accounting question. The FSPA does not see any connection with the retail investors.</w:t>
      </w:r>
    </w:p>
    <w:p w:rsidR="00AD1F59" w:rsidRPr="00267157" w:rsidRDefault="00AD1F59" w:rsidP="00AD1F59">
      <w:pPr>
        <w:pStyle w:val="Default"/>
        <w:rPr>
          <w:rFonts w:cs="Times New Roman"/>
          <w:color w:val="1F497D" w:themeColor="text2"/>
          <w:sz w:val="22"/>
          <w:szCs w:val="22"/>
          <w:lang w:val="en-US"/>
        </w:rPr>
      </w:pPr>
      <w:r w:rsidRPr="00267157">
        <w:rPr>
          <w:rFonts w:cs="Times New Roman"/>
          <w:color w:val="1F497D" w:themeColor="text2"/>
          <w:sz w:val="22"/>
          <w:szCs w:val="22"/>
          <w:lang w:val="en-US"/>
        </w:rPr>
        <w:t>The term invested capital is misleading. “Notional invested” or “Denomination” are the correct legal terms which should be used. The payoff of the SP applies on the Notional Invested, which may be different from the purchase price times Notional. For products "in units" (i.e. without a denomination such as Call paying absolute difference between Spot and Strike), a hypothetical denomination could be set to the Strike level, so that the payoff is expressed in percentage of the Strike.</w:t>
      </w:r>
    </w:p>
    <w:p w:rsidR="00AD1F59" w:rsidRPr="00267157" w:rsidRDefault="00AD1F59" w:rsidP="00AD1F59">
      <w:pPr>
        <w:pStyle w:val="Default"/>
        <w:rPr>
          <w:rFonts w:cs="Times New Roman"/>
          <w:color w:val="1F497D" w:themeColor="text2"/>
          <w:sz w:val="22"/>
          <w:szCs w:val="22"/>
          <w:lang w:val="en-US"/>
        </w:rPr>
      </w:pPr>
      <w:r w:rsidRPr="00267157">
        <w:rPr>
          <w:rFonts w:cs="Times New Roman"/>
          <w:color w:val="1F497D" w:themeColor="text2"/>
          <w:sz w:val="22"/>
          <w:szCs w:val="22"/>
          <w:lang w:val="en-US"/>
        </w:rPr>
        <w:t>As long as the Denomination of the Security, or the Notional Invested for a structured deposit, is clearly displayed on the KID, we do not foresee any issues</w:t>
      </w:r>
    </w:p>
    <w:permEnd w:id="75"/>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AE6EF1" w:rsidRDefault="00AE6EF1" w:rsidP="00F31E57">
      <w:pPr>
        <w:rPr>
          <w:color w:val="1F497D" w:themeColor="text2"/>
          <w:sz w:val="22"/>
          <w:szCs w:val="22"/>
          <w:lang w:val="en-US"/>
        </w:rPr>
      </w:pPr>
      <w:permStart w:id="76" w:edGrp="everyone"/>
      <w:r w:rsidRPr="00267157">
        <w:rPr>
          <w:color w:val="1F497D" w:themeColor="text2"/>
          <w:sz w:val="22"/>
          <w:szCs w:val="22"/>
          <w:lang w:val="en-US"/>
        </w:rPr>
        <w:t>No: the hedging costs are all priced upfront and cannot be passed on to the investor later.</w:t>
      </w:r>
    </w:p>
    <w:permEnd w:id="76"/>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AE6EF1" w:rsidRPr="0034567D" w:rsidRDefault="00AE6EF1" w:rsidP="00AE6EF1">
      <w:pPr>
        <w:pStyle w:val="Default"/>
        <w:rPr>
          <w:rFonts w:cs="Times New Roman"/>
          <w:color w:val="1F497D" w:themeColor="text2"/>
          <w:sz w:val="22"/>
          <w:szCs w:val="22"/>
          <w:lang w:val="en-US"/>
        </w:rPr>
      </w:pPr>
      <w:permStart w:id="77" w:edGrp="everyone"/>
      <w:r w:rsidRPr="0034567D">
        <w:rPr>
          <w:rFonts w:cs="Times New Roman"/>
          <w:color w:val="1F497D" w:themeColor="text2"/>
          <w:sz w:val="22"/>
          <w:szCs w:val="22"/>
          <w:lang w:val="en-US"/>
        </w:rPr>
        <w:t xml:space="preserve">Pricing models to determine costs should not be prescriptive. The cost picture varies between the manufacturers as it does in any industry. The prescriptive model would hide this fact. </w:t>
      </w:r>
    </w:p>
    <w:p w:rsidR="00AE6EF1" w:rsidRPr="0034567D" w:rsidRDefault="00AE6EF1" w:rsidP="00AE6EF1">
      <w:pPr>
        <w:pStyle w:val="Default"/>
        <w:rPr>
          <w:rFonts w:cs="Times New Roman"/>
          <w:color w:val="1F497D" w:themeColor="text2"/>
          <w:sz w:val="22"/>
          <w:szCs w:val="22"/>
          <w:lang w:val="en-US"/>
        </w:rPr>
      </w:pPr>
      <w:r w:rsidRPr="0034567D">
        <w:rPr>
          <w:rFonts w:cs="Times New Roman"/>
          <w:color w:val="1F497D" w:themeColor="text2"/>
          <w:sz w:val="22"/>
          <w:szCs w:val="22"/>
          <w:lang w:val="en-US"/>
        </w:rPr>
        <w:lastRenderedPageBreak/>
        <w:t>The FSPA’s opinion is that the costs with different types of PRIIPs should above be comparable, also in the way and scope of gathering the information.</w:t>
      </w:r>
    </w:p>
    <w:permEnd w:id="77"/>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AE6EF1" w:rsidRPr="0034567D" w:rsidRDefault="00AE6EF1" w:rsidP="00AE6EF1">
      <w:pPr>
        <w:pStyle w:val="Default"/>
        <w:rPr>
          <w:rFonts w:cs="Times New Roman"/>
          <w:color w:val="1F497D" w:themeColor="text2"/>
          <w:sz w:val="22"/>
          <w:szCs w:val="22"/>
          <w:lang w:val="en-GB"/>
        </w:rPr>
      </w:pPr>
      <w:permStart w:id="78" w:edGrp="everyone"/>
      <w:r w:rsidRPr="0034567D">
        <w:rPr>
          <w:color w:val="1F497D" w:themeColor="text2"/>
          <w:sz w:val="22"/>
          <w:szCs w:val="22"/>
          <w:lang w:val="en-GB"/>
        </w:rPr>
        <w:t>The FSPA</w:t>
      </w:r>
      <w:r w:rsidRPr="0034567D">
        <w:rPr>
          <w:rFonts w:cs="Times New Roman"/>
          <w:color w:val="1F497D" w:themeColor="text2"/>
          <w:sz w:val="22"/>
          <w:szCs w:val="22"/>
          <w:lang w:val="en-GB"/>
        </w:rPr>
        <w:t xml:space="preserve"> does not believe that there should be a need to an update for fixed term products. For example, for hedging costs, while the assessment of their initial level is a key component of the initial determination of the product price, their actual realisation is without impact to the cost charged to the investor or to the product price on the secondary market. </w:t>
      </w:r>
    </w:p>
    <w:p w:rsidR="00AE6EF1" w:rsidRPr="0034567D" w:rsidRDefault="00AE6EF1" w:rsidP="00AE6EF1">
      <w:pPr>
        <w:pStyle w:val="Default"/>
        <w:rPr>
          <w:rFonts w:cs="Times New Roman"/>
          <w:color w:val="1F497D" w:themeColor="text2"/>
          <w:sz w:val="22"/>
          <w:szCs w:val="22"/>
          <w:lang w:val="en-GB"/>
        </w:rPr>
      </w:pPr>
      <w:r w:rsidRPr="0034567D">
        <w:rPr>
          <w:rFonts w:cs="Times New Roman"/>
          <w:color w:val="1F497D" w:themeColor="text2"/>
          <w:sz w:val="22"/>
          <w:szCs w:val="22"/>
          <w:lang w:val="en-GB"/>
        </w:rPr>
        <w:t>The structured products without maturity date the KID should be updated whenever the ongoing or exit cost change or at the intervals stated for other PRIIPs such as UCITS.</w:t>
      </w:r>
    </w:p>
    <w:permEnd w:id="78"/>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w:t>
      </w:r>
      <w:r>
        <w:rPr>
          <w:rFonts w:cs="Arial"/>
          <w:color w:val="000000"/>
          <w:lang w:eastAsia="it-IT"/>
        </w:rPr>
        <w:t>e</w:t>
      </w:r>
      <w:r>
        <w:rPr>
          <w:rFonts w:cs="Arial"/>
          <w:color w:val="000000"/>
          <w:lang w:eastAsia="it-IT"/>
        </w:rPr>
        <w:t>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AE6EF1" w:rsidRPr="0034567D" w:rsidRDefault="00AE6EF1" w:rsidP="00AE6EF1">
      <w:pPr>
        <w:pStyle w:val="Default"/>
        <w:rPr>
          <w:rFonts w:cs="Times New Roman"/>
          <w:color w:val="1F497D" w:themeColor="text2"/>
          <w:sz w:val="22"/>
          <w:szCs w:val="22"/>
          <w:lang w:val="en-US"/>
        </w:rPr>
      </w:pPr>
      <w:permStart w:id="79" w:edGrp="everyone"/>
      <w:r w:rsidRPr="0034567D">
        <w:rPr>
          <w:rFonts w:cs="Times New Roman"/>
          <w:color w:val="1F497D" w:themeColor="text2"/>
          <w:sz w:val="22"/>
          <w:szCs w:val="22"/>
          <w:lang w:val="en-US"/>
        </w:rPr>
        <w:t>The FSPA thinks that internal models are the best approach. Differences between manufacturers should be marginal due to the chosen model.</w:t>
      </w:r>
    </w:p>
    <w:permEnd w:id="79"/>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AE6EF1" w:rsidRPr="0034567D" w:rsidRDefault="00AE6EF1" w:rsidP="00AE6EF1">
      <w:pPr>
        <w:pStyle w:val="Default"/>
        <w:rPr>
          <w:rFonts w:cs="Times New Roman"/>
          <w:color w:val="1F497D" w:themeColor="text2"/>
          <w:sz w:val="22"/>
          <w:szCs w:val="22"/>
          <w:lang w:val="en-US"/>
        </w:rPr>
      </w:pPr>
      <w:permStart w:id="80" w:edGrp="everyone"/>
      <w:r w:rsidRPr="0034567D">
        <w:rPr>
          <w:color w:val="1F497D" w:themeColor="text2"/>
          <w:sz w:val="22"/>
          <w:szCs w:val="22"/>
          <w:lang w:val="en-US"/>
        </w:rPr>
        <w:t>The FSPA is not</w:t>
      </w:r>
    </w:p>
    <w:permEnd w:id="80"/>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AE6EF1" w:rsidRPr="0034567D" w:rsidRDefault="00AE6EF1" w:rsidP="00AE6EF1">
      <w:pPr>
        <w:pStyle w:val="Default"/>
        <w:rPr>
          <w:rFonts w:cs="Times New Roman"/>
          <w:color w:val="1F497D" w:themeColor="text2"/>
          <w:sz w:val="22"/>
          <w:szCs w:val="22"/>
          <w:lang w:val="en-US"/>
        </w:rPr>
      </w:pPr>
      <w:permStart w:id="81" w:edGrp="everyone"/>
      <w:r w:rsidRPr="0034567D">
        <w:rPr>
          <w:color w:val="1F497D" w:themeColor="text2"/>
          <w:sz w:val="22"/>
          <w:szCs w:val="22"/>
          <w:lang w:val="en-US"/>
        </w:rPr>
        <w:t>T</w:t>
      </w:r>
      <w:r w:rsidRPr="0034567D">
        <w:rPr>
          <w:rFonts w:cs="Times New Roman"/>
          <w:color w:val="1F497D" w:themeColor="text2"/>
          <w:sz w:val="22"/>
          <w:szCs w:val="22"/>
          <w:lang w:val="en-US"/>
        </w:rPr>
        <w:t>he industry has a long experience of using forward looking models based on a well-developed theoretical basis. Backward looking data is not used for valuation purposes as they do not pr</w:t>
      </w:r>
      <w:r w:rsidRPr="0034567D">
        <w:rPr>
          <w:rFonts w:cs="Times New Roman"/>
          <w:color w:val="1F497D" w:themeColor="text2"/>
          <w:sz w:val="22"/>
          <w:szCs w:val="22"/>
          <w:lang w:val="en-US"/>
        </w:rPr>
        <w:t>o</w:t>
      </w:r>
      <w:r w:rsidRPr="0034567D">
        <w:rPr>
          <w:rFonts w:cs="Times New Roman"/>
          <w:color w:val="1F497D" w:themeColor="text2"/>
          <w:sz w:val="22"/>
          <w:szCs w:val="22"/>
          <w:lang w:val="en-US"/>
        </w:rPr>
        <w:t xml:space="preserve">vide </w:t>
      </w:r>
      <w:proofErr w:type="gramStart"/>
      <w:r w:rsidRPr="0034567D">
        <w:rPr>
          <w:rFonts w:cs="Times New Roman"/>
          <w:color w:val="1F497D" w:themeColor="text2"/>
          <w:sz w:val="22"/>
          <w:szCs w:val="22"/>
          <w:lang w:val="en-US"/>
        </w:rPr>
        <w:t>a full valuation model which define</w:t>
      </w:r>
      <w:proofErr w:type="gramEnd"/>
      <w:r w:rsidRPr="0034567D">
        <w:rPr>
          <w:rFonts w:cs="Times New Roman"/>
          <w:color w:val="1F497D" w:themeColor="text2"/>
          <w:sz w:val="22"/>
          <w:szCs w:val="22"/>
          <w:lang w:val="en-US"/>
        </w:rPr>
        <w:t xml:space="preserve"> also the costs. Using historical data does provide an adequate and comparable view on the risk features of the underlying although the history is not a proof of the future development.</w:t>
      </w:r>
    </w:p>
    <w:permEnd w:id="81"/>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AE6EF1" w:rsidRPr="0034567D" w:rsidRDefault="00AE6EF1" w:rsidP="00AE6EF1">
      <w:pPr>
        <w:pStyle w:val="Default"/>
        <w:rPr>
          <w:rFonts w:cs="Times New Roman"/>
          <w:color w:val="1F497D" w:themeColor="text2"/>
          <w:sz w:val="22"/>
          <w:szCs w:val="22"/>
          <w:lang w:val="en-US"/>
        </w:rPr>
      </w:pPr>
      <w:permStart w:id="82" w:edGrp="everyone"/>
      <w:r w:rsidRPr="0034567D">
        <w:rPr>
          <w:color w:val="1F497D" w:themeColor="text2"/>
          <w:sz w:val="22"/>
          <w:szCs w:val="22"/>
          <w:lang w:val="en-US"/>
        </w:rPr>
        <w:t>The FSPA thinks that</w:t>
      </w:r>
      <w:r w:rsidRPr="0034567D">
        <w:rPr>
          <w:rFonts w:cs="Times New Roman"/>
          <w:color w:val="1F497D" w:themeColor="text2"/>
          <w:sz w:val="22"/>
          <w:szCs w:val="22"/>
          <w:lang w:val="en-US"/>
        </w:rPr>
        <w:t xml:space="preserve"> the swap rate curve would be a good reference.</w:t>
      </w:r>
    </w:p>
    <w:permEnd w:id="82"/>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AE6EF1" w:rsidRPr="0034567D" w:rsidRDefault="00AE6EF1" w:rsidP="00AE6EF1">
      <w:pPr>
        <w:pStyle w:val="Default"/>
        <w:rPr>
          <w:rFonts w:cs="Times New Roman"/>
          <w:color w:val="1F497D" w:themeColor="text2"/>
          <w:sz w:val="22"/>
          <w:szCs w:val="22"/>
          <w:lang w:val="en-US"/>
        </w:rPr>
      </w:pPr>
      <w:permStart w:id="83" w:edGrp="everyone"/>
      <w:r w:rsidRPr="0034567D">
        <w:rPr>
          <w:rFonts w:cs="Times New Roman"/>
          <w:color w:val="1F497D" w:themeColor="text2"/>
          <w:sz w:val="22"/>
          <w:szCs w:val="22"/>
          <w:lang w:val="en-US"/>
        </w:rPr>
        <w:t>We do not believe that other market data should be used to determine the credit risk as it is already implicitly included in the funding spread curve.</w:t>
      </w:r>
    </w:p>
    <w:permEnd w:id="83"/>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4048AE" w:rsidRPr="0034567D" w:rsidRDefault="004048AE" w:rsidP="004048AE">
      <w:pPr>
        <w:pStyle w:val="Default"/>
        <w:rPr>
          <w:rFonts w:cs="Times New Roman"/>
          <w:color w:val="1F497D" w:themeColor="text2"/>
          <w:sz w:val="22"/>
          <w:szCs w:val="22"/>
          <w:lang w:val="en-US"/>
        </w:rPr>
      </w:pPr>
      <w:permStart w:id="84" w:edGrp="everyone"/>
      <w:r w:rsidRPr="0034567D">
        <w:rPr>
          <w:rFonts w:cs="Times New Roman"/>
          <w:color w:val="1F497D" w:themeColor="text2"/>
          <w:sz w:val="22"/>
          <w:szCs w:val="22"/>
          <w:lang w:val="en-US"/>
        </w:rPr>
        <w:t>The absence of observable market data does not prevent the manufacturer from valuating a product as long as the funding spread is known (the credit risk is implicitly included in the fun</w:t>
      </w:r>
      <w:r w:rsidRPr="0034567D">
        <w:rPr>
          <w:rFonts w:cs="Times New Roman"/>
          <w:color w:val="1F497D" w:themeColor="text2"/>
          <w:sz w:val="22"/>
          <w:szCs w:val="22"/>
          <w:lang w:val="en-US"/>
        </w:rPr>
        <w:t>d</w:t>
      </w:r>
      <w:r w:rsidRPr="0034567D">
        <w:rPr>
          <w:rFonts w:cs="Times New Roman"/>
          <w:color w:val="1F497D" w:themeColor="text2"/>
          <w:sz w:val="22"/>
          <w:szCs w:val="22"/>
          <w:lang w:val="en-US"/>
        </w:rPr>
        <w:t>ing spread).</w:t>
      </w:r>
    </w:p>
    <w:permEnd w:id="84"/>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4048AE" w:rsidRPr="0034567D" w:rsidRDefault="004048AE" w:rsidP="004048AE">
      <w:pPr>
        <w:pStyle w:val="Default"/>
        <w:rPr>
          <w:color w:val="1F497D" w:themeColor="text2"/>
          <w:sz w:val="22"/>
          <w:szCs w:val="22"/>
          <w:lang w:val="en-GB"/>
        </w:rPr>
      </w:pPr>
      <w:permStart w:id="85" w:edGrp="everyone"/>
      <w:r w:rsidRPr="0034567D">
        <w:rPr>
          <w:color w:val="1F497D" w:themeColor="text2"/>
          <w:sz w:val="22"/>
          <w:szCs w:val="22"/>
          <w:lang w:val="en-GB"/>
        </w:rPr>
        <w:t>The appreciation of counterparty risk will depend on the margining scheme in place among the concerned counterparties (i.e. bilateral or multilateral). CVA models are market practice. Though each institution has its own model, each generally relies on common theoretical assumptions. CVA is generally split into two main components: default probability and loss in case of default.</w:t>
      </w:r>
    </w:p>
    <w:permEnd w:id="85"/>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4048AE" w:rsidRPr="0034567D" w:rsidRDefault="004048AE" w:rsidP="004048AE">
      <w:pPr>
        <w:pStyle w:val="Default"/>
        <w:rPr>
          <w:color w:val="1F497D" w:themeColor="text2"/>
          <w:sz w:val="22"/>
          <w:szCs w:val="22"/>
          <w:lang w:val="en-GB"/>
        </w:rPr>
      </w:pPr>
      <w:permStart w:id="86" w:edGrp="everyone"/>
      <w:r w:rsidRPr="0034567D">
        <w:rPr>
          <w:color w:val="1F497D" w:themeColor="text2"/>
          <w:sz w:val="22"/>
          <w:szCs w:val="22"/>
          <w:lang w:val="en-GB"/>
        </w:rPr>
        <w:t>The partial un-</w:t>
      </w:r>
      <w:proofErr w:type="spellStart"/>
      <w:r w:rsidRPr="0034567D">
        <w:rPr>
          <w:color w:val="1F497D" w:themeColor="text2"/>
          <w:sz w:val="22"/>
          <w:szCs w:val="22"/>
          <w:lang w:val="en-GB"/>
        </w:rPr>
        <w:t>observability</w:t>
      </w:r>
      <w:proofErr w:type="spellEnd"/>
      <w:r w:rsidRPr="0034567D">
        <w:rPr>
          <w:color w:val="1F497D" w:themeColor="text2"/>
          <w:sz w:val="22"/>
          <w:szCs w:val="22"/>
          <w:lang w:val="en-GB"/>
        </w:rPr>
        <w:t xml:space="preserve"> of parameters is common in finance. While we do not believe that it would be possible to list all situations where this un-</w:t>
      </w:r>
      <w:proofErr w:type="spellStart"/>
      <w:r w:rsidRPr="0034567D">
        <w:rPr>
          <w:color w:val="1F497D" w:themeColor="text2"/>
          <w:sz w:val="22"/>
          <w:szCs w:val="22"/>
          <w:lang w:val="en-GB"/>
        </w:rPr>
        <w:t>observability</w:t>
      </w:r>
      <w:proofErr w:type="spellEnd"/>
      <w:r w:rsidRPr="0034567D">
        <w:rPr>
          <w:color w:val="1F497D" w:themeColor="text2"/>
          <w:sz w:val="22"/>
          <w:szCs w:val="22"/>
          <w:lang w:val="en-GB"/>
        </w:rPr>
        <w:t xml:space="preserve"> may happen, we note that these situations do not create a detriment to investors and without impact to the cost structure.</w:t>
      </w:r>
    </w:p>
    <w:permEnd w:id="86"/>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w:t>
      </w:r>
      <w:r>
        <w:rPr>
          <w:rFonts w:cs="Arial"/>
          <w:color w:val="000000"/>
          <w:lang w:eastAsia="it-IT"/>
        </w:rPr>
        <w:t>d</w:t>
      </w:r>
      <w:r>
        <w:rPr>
          <w:rFonts w:cs="Arial"/>
          <w:color w:val="000000"/>
          <w:lang w:eastAsia="it-IT"/>
        </w:rPr>
        <w:t>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4048AE" w:rsidRPr="0034567D" w:rsidRDefault="004048AE" w:rsidP="004048AE">
      <w:pPr>
        <w:pStyle w:val="Default"/>
        <w:rPr>
          <w:color w:val="1F497D" w:themeColor="text2"/>
          <w:sz w:val="22"/>
          <w:szCs w:val="22"/>
          <w:lang w:val="en-GB"/>
        </w:rPr>
      </w:pPr>
      <w:permStart w:id="87" w:edGrp="everyone"/>
      <w:r w:rsidRPr="0034567D">
        <w:rPr>
          <w:color w:val="1F497D" w:themeColor="text2"/>
          <w:lang w:val="en-US"/>
        </w:rPr>
        <w:t>No. It is not possible to prescribe a model that would give reliable prices for a decent proportion of structured products. Instead it is much effective to rely on internal models when measuring the cost that relates to a valuation</w:t>
      </w:r>
      <w:r w:rsidRPr="0034567D">
        <w:rPr>
          <w:color w:val="1F497D" w:themeColor="text2"/>
          <w:sz w:val="22"/>
          <w:szCs w:val="22"/>
          <w:lang w:val="en-GB"/>
        </w:rPr>
        <w:t>.</w:t>
      </w:r>
    </w:p>
    <w:permEnd w:id="8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What should be the value of x? (in the case of UCITS, x=5, but the extent to which this is appropriate for other types of PRIIPs, notably life-insurance products, is u</w:t>
      </w:r>
      <w:r>
        <w:rPr>
          <w:rFonts w:cs="Arial"/>
        </w:rPr>
        <w:t>n</w:t>
      </w:r>
      <w:r>
        <w:rPr>
          <w:rFonts w:cs="Arial"/>
        </w:rPr>
        <w:t xml:space="preserve">clear). </w:t>
      </w:r>
    </w:p>
    <w:p w:rsidR="00F31E57" w:rsidRDefault="00F31E57" w:rsidP="00F31E57">
      <w:pPr>
        <w:rPr>
          <w:rFonts w:cstheme="minorBidi"/>
        </w:rPr>
      </w:pPr>
    </w:p>
    <w:p w:rsidR="00F31E57" w:rsidRDefault="00F31E57" w:rsidP="00F31E57">
      <w:r>
        <w:t>&lt;ESMA_QUESTION_PRIIPs_80&gt;</w:t>
      </w:r>
    </w:p>
    <w:p w:rsidR="004048AE" w:rsidRPr="0034567D" w:rsidRDefault="004048AE" w:rsidP="004048AE">
      <w:pPr>
        <w:pStyle w:val="Default"/>
        <w:rPr>
          <w:color w:val="1F497D" w:themeColor="text2"/>
          <w:sz w:val="22"/>
          <w:szCs w:val="22"/>
          <w:lang w:val="en-GB"/>
        </w:rPr>
      </w:pPr>
      <w:permStart w:id="88" w:edGrp="everyone"/>
      <w:r w:rsidRPr="0034567D">
        <w:rPr>
          <w:color w:val="1F497D" w:themeColor="text2"/>
          <w:sz w:val="22"/>
          <w:szCs w:val="22"/>
          <w:lang w:val="en-US"/>
        </w:rPr>
        <w:t>The FSPA has n</w:t>
      </w:r>
      <w:r w:rsidRPr="0034567D">
        <w:rPr>
          <w:color w:val="1F497D" w:themeColor="text2"/>
          <w:sz w:val="22"/>
          <w:szCs w:val="22"/>
          <w:lang w:val="en-GB"/>
        </w:rPr>
        <w:t>o strong opinion as long as it promotes comparison</w:t>
      </w:r>
      <w:r>
        <w:rPr>
          <w:color w:val="1F497D" w:themeColor="text2"/>
          <w:sz w:val="22"/>
          <w:szCs w:val="22"/>
          <w:lang w:val="en-GB"/>
        </w:rPr>
        <w:t xml:space="preserve"> on yearly basis</w:t>
      </w:r>
      <w:r w:rsidRPr="0034567D">
        <w:rPr>
          <w:color w:val="1F497D" w:themeColor="text2"/>
          <w:sz w:val="22"/>
          <w:szCs w:val="22"/>
          <w:lang w:val="en-GB"/>
        </w:rPr>
        <w:t>.</w:t>
      </w:r>
    </w:p>
    <w:permEnd w:id="88"/>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4048AE" w:rsidRPr="0034567D" w:rsidRDefault="004048AE" w:rsidP="004048AE">
      <w:pPr>
        <w:pStyle w:val="Default"/>
        <w:rPr>
          <w:rFonts w:cs="Times New Roman"/>
          <w:color w:val="1F497D" w:themeColor="text2"/>
          <w:sz w:val="22"/>
          <w:szCs w:val="22"/>
          <w:lang w:val="en-US"/>
        </w:rPr>
      </w:pPr>
      <w:permStart w:id="89" w:edGrp="everyone"/>
      <w:r w:rsidRPr="0034567D">
        <w:rPr>
          <w:color w:val="1F497D" w:themeColor="text2"/>
          <w:sz w:val="22"/>
          <w:szCs w:val="22"/>
          <w:lang w:val="en-US"/>
        </w:rPr>
        <w:t>The expression is “very legal” (</w:t>
      </w:r>
      <w:proofErr w:type="spellStart"/>
      <w:proofErr w:type="gramStart"/>
      <w:r w:rsidRPr="0034567D">
        <w:rPr>
          <w:color w:val="1F497D" w:themeColor="text2"/>
          <w:sz w:val="22"/>
          <w:szCs w:val="22"/>
          <w:lang w:val="en-US"/>
        </w:rPr>
        <w:t>latin</w:t>
      </w:r>
      <w:proofErr w:type="spellEnd"/>
      <w:proofErr w:type="gramEnd"/>
      <w:r w:rsidRPr="0034567D">
        <w:rPr>
          <w:color w:val="1F497D" w:themeColor="text2"/>
          <w:sz w:val="22"/>
          <w:szCs w:val="22"/>
          <w:lang w:val="en-US"/>
        </w:rPr>
        <w:t xml:space="preserve">) and is not good to retail investors but understandable for manufacturers. </w:t>
      </w:r>
      <w:r w:rsidRPr="0034567D">
        <w:rPr>
          <w:rFonts w:cs="Times New Roman"/>
          <w:color w:val="1F497D" w:themeColor="text2"/>
          <w:sz w:val="22"/>
          <w:szCs w:val="22"/>
          <w:lang w:val="en-US"/>
        </w:rPr>
        <w:t xml:space="preserve">The point is of relevance for funds only. It’s used for structured products that are ranked </w:t>
      </w:r>
      <w:proofErr w:type="spellStart"/>
      <w:r w:rsidRPr="0034567D">
        <w:rPr>
          <w:rFonts w:cs="Times New Roman"/>
          <w:color w:val="1F497D" w:themeColor="text2"/>
          <w:sz w:val="22"/>
          <w:szCs w:val="22"/>
          <w:lang w:val="en-US"/>
        </w:rPr>
        <w:t>pari</w:t>
      </w:r>
      <w:proofErr w:type="spellEnd"/>
      <w:r w:rsidRPr="0034567D">
        <w:rPr>
          <w:rFonts w:cs="Times New Roman"/>
          <w:color w:val="1F497D" w:themeColor="text2"/>
          <w:sz w:val="22"/>
          <w:szCs w:val="22"/>
          <w:lang w:val="en-US"/>
        </w:rPr>
        <w:t xml:space="preserve"> </w:t>
      </w:r>
      <w:proofErr w:type="spellStart"/>
      <w:r w:rsidRPr="0034567D">
        <w:rPr>
          <w:rFonts w:cs="Times New Roman"/>
          <w:color w:val="1F497D" w:themeColor="text2"/>
          <w:sz w:val="22"/>
          <w:szCs w:val="22"/>
          <w:lang w:val="en-US"/>
        </w:rPr>
        <w:t>passu</w:t>
      </w:r>
      <w:proofErr w:type="spellEnd"/>
      <w:r w:rsidRPr="0034567D">
        <w:rPr>
          <w:rFonts w:cs="Times New Roman"/>
          <w:color w:val="1F497D" w:themeColor="text2"/>
          <w:sz w:val="22"/>
          <w:szCs w:val="22"/>
          <w:lang w:val="en-US"/>
        </w:rPr>
        <w:t xml:space="preserve"> with the senior debt of an issuer.</w:t>
      </w:r>
    </w:p>
    <w:permEnd w:id="89"/>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4048AE" w:rsidRPr="0034567D" w:rsidRDefault="004048AE" w:rsidP="004048AE">
      <w:pPr>
        <w:pStyle w:val="Default"/>
        <w:rPr>
          <w:rFonts w:cs="Times New Roman"/>
          <w:color w:val="1F497D" w:themeColor="text2"/>
          <w:sz w:val="22"/>
          <w:szCs w:val="22"/>
          <w:lang w:val="en-US"/>
        </w:rPr>
      </w:pPr>
      <w:permStart w:id="90" w:edGrp="everyone"/>
      <w:r w:rsidRPr="0034567D">
        <w:rPr>
          <w:color w:val="1F497D" w:themeColor="text2"/>
          <w:sz w:val="22"/>
          <w:szCs w:val="22"/>
          <w:lang w:val="en-US"/>
        </w:rPr>
        <w:t>The FSPA</w:t>
      </w:r>
      <w:r w:rsidRPr="0034567D">
        <w:rPr>
          <w:rFonts w:cs="Times New Roman"/>
          <w:color w:val="1F497D" w:themeColor="text2"/>
          <w:sz w:val="22"/>
          <w:szCs w:val="22"/>
          <w:lang w:val="en-US"/>
        </w:rPr>
        <w:t xml:space="preserve"> thinks that 1000 EUR seems a reasonable assumption for the notional amount. It also seems to be the most common unit value for retail investors. For securities settled in units, this initial investment should be understood as being the strike (or initial spot price), depending on the market convention.</w:t>
      </w:r>
    </w:p>
    <w:permEnd w:id="90"/>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3338CD" w:rsidRPr="004048AE" w:rsidRDefault="003338CD" w:rsidP="003338CD">
      <w:pPr>
        <w:rPr>
          <w:color w:val="1F497D" w:themeColor="text2"/>
        </w:rPr>
      </w:pPr>
      <w:permStart w:id="91" w:edGrp="everyone"/>
      <w:r w:rsidRPr="004048AE">
        <w:rPr>
          <w:color w:val="1F497D" w:themeColor="text2"/>
        </w:rPr>
        <w:t>NA</w:t>
      </w:r>
    </w:p>
    <w:permEnd w:id="91"/>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4048AE" w:rsidRPr="0034567D" w:rsidRDefault="004048AE" w:rsidP="004048AE">
      <w:pPr>
        <w:pStyle w:val="Default"/>
        <w:rPr>
          <w:rFonts w:cs="Times New Roman"/>
          <w:color w:val="1F497D" w:themeColor="text2"/>
          <w:sz w:val="22"/>
          <w:szCs w:val="22"/>
          <w:lang w:val="en-US"/>
        </w:rPr>
      </w:pPr>
      <w:permStart w:id="92" w:edGrp="everyone"/>
      <w:r w:rsidRPr="0034567D">
        <w:rPr>
          <w:color w:val="1F497D" w:themeColor="text2"/>
          <w:sz w:val="22"/>
          <w:szCs w:val="22"/>
          <w:lang w:val="en-US"/>
        </w:rPr>
        <w:t>The FSPA</w:t>
      </w:r>
      <w:r w:rsidRPr="0034567D">
        <w:rPr>
          <w:rFonts w:cs="Times New Roman"/>
          <w:color w:val="1F497D" w:themeColor="text2"/>
          <w:sz w:val="22"/>
          <w:szCs w:val="22"/>
          <w:lang w:val="en-US"/>
        </w:rPr>
        <w:t xml:space="preserve"> agrees with the considerations. We don't see particular difficulty in the </w:t>
      </w:r>
      <w:proofErr w:type="spellStart"/>
      <w:r w:rsidRPr="0034567D">
        <w:rPr>
          <w:rFonts w:cs="Times New Roman"/>
          <w:color w:val="1F497D" w:themeColor="text2"/>
          <w:sz w:val="22"/>
          <w:szCs w:val="22"/>
          <w:lang w:val="en-US"/>
        </w:rPr>
        <w:t>annualization</w:t>
      </w:r>
      <w:proofErr w:type="spellEnd"/>
      <w:r w:rsidRPr="0034567D">
        <w:rPr>
          <w:rFonts w:cs="Times New Roman"/>
          <w:color w:val="1F497D" w:themeColor="text2"/>
          <w:sz w:val="22"/>
          <w:szCs w:val="22"/>
          <w:lang w:val="en-US"/>
        </w:rPr>
        <w:t xml:space="preserve"> of costs. Cost should be annualized on the recommended period of holding</w:t>
      </w:r>
    </w:p>
    <w:permEnd w:id="92"/>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w:t>
      </w:r>
      <w:r>
        <w:rPr>
          <w:rFonts w:cs="Arial"/>
        </w:rPr>
        <w:t>r</w:t>
      </w:r>
      <w:r>
        <w:rPr>
          <w:rFonts w:cs="Arial"/>
        </w:rPr>
        <w:lastRenderedPageBreak/>
        <w:t>tization methodology of the premium calculation? To what extent should the ch</w:t>
      </w:r>
      <w:r>
        <w:rPr>
          <w:rFonts w:cs="Arial"/>
        </w:rPr>
        <w:t>o</w:t>
      </w:r>
      <w:r>
        <w:rPr>
          <w:rFonts w:cs="Arial"/>
        </w:rPr>
        <w:t>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4048AE" w:rsidRPr="0034567D" w:rsidRDefault="004048AE" w:rsidP="004048AE">
      <w:pPr>
        <w:pStyle w:val="Default"/>
        <w:rPr>
          <w:rFonts w:cs="Times New Roman"/>
          <w:color w:val="1F497D" w:themeColor="text2"/>
          <w:sz w:val="22"/>
          <w:szCs w:val="22"/>
          <w:lang w:val="en-GB"/>
        </w:rPr>
      </w:pPr>
      <w:permStart w:id="93" w:edGrp="everyone"/>
      <w:r w:rsidRPr="0034567D">
        <w:rPr>
          <w:rFonts w:cs="Times New Roman"/>
          <w:color w:val="1F497D" w:themeColor="text2"/>
          <w:sz w:val="22"/>
          <w:szCs w:val="22"/>
          <w:lang w:val="en-GB"/>
        </w:rPr>
        <w:t>For structured products, the most simple is to amortize all costs linearly over the recommended holding period.</w:t>
      </w:r>
    </w:p>
    <w:permEnd w:id="93"/>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3338CD" w:rsidRPr="004048AE" w:rsidRDefault="003338CD" w:rsidP="003338CD">
      <w:pPr>
        <w:rPr>
          <w:color w:val="1F497D" w:themeColor="text2"/>
        </w:rPr>
      </w:pPr>
      <w:permStart w:id="94" w:edGrp="everyone"/>
      <w:r w:rsidRPr="004048AE">
        <w:rPr>
          <w:color w:val="1F497D" w:themeColor="text2"/>
        </w:rPr>
        <w:t>NA</w:t>
      </w:r>
    </w:p>
    <w:permEnd w:id="94"/>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w:t>
      </w:r>
      <w:r>
        <w:rPr>
          <w:rFonts w:cs="Arial"/>
        </w:rPr>
        <w:t>o</w:t>
      </w:r>
      <w:r>
        <w:rPr>
          <w:rFonts w:cs="Arial"/>
        </w:rPr>
        <w:t xml:space="preserve">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3338CD" w:rsidRPr="004048AE" w:rsidRDefault="003338CD" w:rsidP="003338CD">
      <w:pPr>
        <w:rPr>
          <w:color w:val="1F497D" w:themeColor="text2"/>
        </w:rPr>
      </w:pPr>
      <w:permStart w:id="95" w:edGrp="everyone"/>
      <w:r w:rsidRPr="004048AE">
        <w:rPr>
          <w:color w:val="1F497D" w:themeColor="text2"/>
        </w:rPr>
        <w:t>NA</w:t>
      </w:r>
    </w:p>
    <w:permEnd w:id="95"/>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w:t>
      </w:r>
      <w:r>
        <w:rPr>
          <w:rFonts w:cs="Arial"/>
        </w:rPr>
        <w:t>s</w:t>
      </w:r>
      <w:r>
        <w:rPr>
          <w:rFonts w:cs="Arial"/>
        </w:rPr>
        <w:t xml:space="preserve">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w:t>
      </w:r>
      <w:r>
        <w:rPr>
          <w:rFonts w:cs="Arial"/>
        </w:rPr>
        <w:lastRenderedPageBreak/>
        <w:t>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4048AE" w:rsidRPr="0034567D" w:rsidRDefault="004048AE" w:rsidP="004048AE">
      <w:pPr>
        <w:pStyle w:val="Default"/>
        <w:rPr>
          <w:rFonts w:cs="Times New Roman"/>
          <w:color w:val="1F497D" w:themeColor="text2"/>
          <w:sz w:val="22"/>
          <w:szCs w:val="22"/>
          <w:lang w:val="en-US"/>
        </w:rPr>
      </w:pPr>
      <w:permStart w:id="96" w:edGrp="everyone"/>
      <w:r w:rsidRPr="0034567D">
        <w:rPr>
          <w:rFonts w:cs="Times New Roman"/>
          <w:color w:val="1F497D" w:themeColor="text2"/>
          <w:sz w:val="22"/>
          <w:szCs w:val="22"/>
          <w:lang w:val="en-US"/>
        </w:rPr>
        <w:t>Once the aggregate costs of the structured product are determined, it is straightforward to ann</w:t>
      </w:r>
      <w:r w:rsidRPr="0034567D">
        <w:rPr>
          <w:rFonts w:cs="Times New Roman"/>
          <w:color w:val="1F497D" w:themeColor="text2"/>
          <w:sz w:val="22"/>
          <w:szCs w:val="22"/>
          <w:lang w:val="en-US"/>
        </w:rPr>
        <w:t>u</w:t>
      </w:r>
      <w:r w:rsidRPr="0034567D">
        <w:rPr>
          <w:rFonts w:cs="Times New Roman"/>
          <w:color w:val="1F497D" w:themeColor="text2"/>
          <w:sz w:val="22"/>
          <w:szCs w:val="22"/>
          <w:lang w:val="en-US"/>
        </w:rPr>
        <w:t xml:space="preserve">alize them. </w:t>
      </w:r>
    </w:p>
    <w:p w:rsidR="004048AE" w:rsidRPr="0034567D" w:rsidRDefault="004048AE" w:rsidP="004048AE">
      <w:pPr>
        <w:pStyle w:val="Default"/>
        <w:rPr>
          <w:rFonts w:cs="Times New Roman"/>
          <w:color w:val="1F497D" w:themeColor="text2"/>
          <w:sz w:val="22"/>
          <w:szCs w:val="22"/>
          <w:lang w:val="en-US"/>
        </w:rPr>
      </w:pPr>
      <w:r>
        <w:rPr>
          <w:rFonts w:cs="Times New Roman"/>
          <w:color w:val="1F497D" w:themeColor="text2"/>
          <w:sz w:val="22"/>
          <w:szCs w:val="22"/>
          <w:lang w:val="en-US"/>
        </w:rPr>
        <w:t>We see a problem</w:t>
      </w:r>
      <w:r w:rsidRPr="0034567D">
        <w:rPr>
          <w:rFonts w:cs="Times New Roman"/>
          <w:color w:val="1F497D" w:themeColor="text2"/>
          <w:sz w:val="22"/>
          <w:szCs w:val="22"/>
          <w:lang w:val="en-US"/>
        </w:rPr>
        <w:t xml:space="preserve"> with expressing the cost as a percentage of the average net investment Value, because if the products mark to market value increases, while a Notional of EUR 1000 is inves</w:t>
      </w:r>
      <w:r w:rsidRPr="0034567D">
        <w:rPr>
          <w:rFonts w:cs="Times New Roman"/>
          <w:color w:val="1F497D" w:themeColor="text2"/>
          <w:sz w:val="22"/>
          <w:szCs w:val="22"/>
          <w:lang w:val="en-US"/>
        </w:rPr>
        <w:t>t</w:t>
      </w:r>
      <w:r w:rsidRPr="0034567D">
        <w:rPr>
          <w:rFonts w:cs="Times New Roman"/>
          <w:color w:val="1F497D" w:themeColor="text2"/>
          <w:sz w:val="22"/>
          <w:szCs w:val="22"/>
          <w:lang w:val="en-US"/>
        </w:rPr>
        <w:t>ed, the cost for structured product remains usually a fixed % of the Notional, not the average net investment value. In addition, the average net investment value cannot be known at Trade date. The TCR for Structured product should therefore be a percentage of a Denomination or Notional.</w:t>
      </w:r>
    </w:p>
    <w:permEnd w:id="96"/>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3338CD" w:rsidRPr="00674582" w:rsidRDefault="003338CD" w:rsidP="003338CD">
      <w:pPr>
        <w:rPr>
          <w:color w:val="1F497D" w:themeColor="text2"/>
        </w:rPr>
      </w:pPr>
      <w:permStart w:id="97" w:edGrp="everyone"/>
      <w:r w:rsidRPr="00674582">
        <w:rPr>
          <w:color w:val="1F497D" w:themeColor="text2"/>
        </w:rPr>
        <w:t>NA</w:t>
      </w:r>
    </w:p>
    <w:permEnd w:id="97"/>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3338CD" w:rsidRPr="00674582" w:rsidRDefault="003338CD" w:rsidP="003338CD">
      <w:pPr>
        <w:rPr>
          <w:color w:val="1F497D" w:themeColor="text2"/>
        </w:rPr>
      </w:pPr>
      <w:permStart w:id="98" w:edGrp="everyone"/>
      <w:r w:rsidRPr="00674582">
        <w:rPr>
          <w:color w:val="1F497D" w:themeColor="text2"/>
        </w:rPr>
        <w:t>NA</w:t>
      </w:r>
    </w:p>
    <w:permEnd w:id="98"/>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3338CD" w:rsidRPr="00674582" w:rsidRDefault="003338CD" w:rsidP="003338CD">
      <w:pPr>
        <w:rPr>
          <w:color w:val="1F497D" w:themeColor="text2"/>
        </w:rPr>
      </w:pPr>
      <w:permStart w:id="99" w:edGrp="everyone"/>
      <w:r w:rsidRPr="00674582">
        <w:rPr>
          <w:color w:val="1F497D" w:themeColor="text2"/>
        </w:rPr>
        <w:t>NA</w:t>
      </w:r>
    </w:p>
    <w:permEnd w:id="99"/>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w:t>
      </w:r>
      <w:r>
        <w:rPr>
          <w:rFonts w:cs="Arial"/>
        </w:rPr>
        <w:t>r</w:t>
      </w:r>
      <w:r>
        <w:rPr>
          <w:rFonts w:cs="Arial"/>
        </w:rPr>
        <w:t xml:space="preserve">ing mechanisms in many countries are applied on the company level and not on a per contract level, projected cash flows from future discretionary benefits will not </w:t>
      </w:r>
      <w:r>
        <w:rPr>
          <w:rFonts w:cs="Arial"/>
        </w:rPr>
        <w:lastRenderedPageBreak/>
        <w:t>easily be broken down on a per product or even a per contract basis with the exis</w:t>
      </w:r>
      <w:r>
        <w:rPr>
          <w:rFonts w:cs="Arial"/>
        </w:rPr>
        <w:t>t</w:t>
      </w:r>
      <w:r>
        <w:rPr>
          <w:rFonts w:cs="Arial"/>
        </w:rPr>
        <w:t xml:space="preserve">ing Solvency II-Valuation-Models. </w:t>
      </w:r>
    </w:p>
    <w:p w:rsidR="00F31E57" w:rsidRDefault="00F31E57" w:rsidP="00F31E57">
      <w:pPr>
        <w:rPr>
          <w:rFonts w:cstheme="minorBidi"/>
        </w:rPr>
      </w:pPr>
    </w:p>
    <w:p w:rsidR="00F31E57" w:rsidRDefault="00F31E57" w:rsidP="00F31E57">
      <w:r>
        <w:t>&lt;ESMA_QUESTION_PRIIPs_92&gt;</w:t>
      </w:r>
    </w:p>
    <w:p w:rsidR="003338CD" w:rsidRPr="00674582" w:rsidRDefault="003338CD" w:rsidP="003338CD">
      <w:pPr>
        <w:rPr>
          <w:color w:val="1F497D" w:themeColor="text2"/>
        </w:rPr>
      </w:pPr>
      <w:permStart w:id="100" w:edGrp="everyone"/>
      <w:r w:rsidRPr="00674582">
        <w:rPr>
          <w:color w:val="1F497D" w:themeColor="text2"/>
        </w:rPr>
        <w:t>NA</w:t>
      </w:r>
    </w:p>
    <w:permEnd w:id="100"/>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3338CD" w:rsidRPr="00674582" w:rsidRDefault="003338CD" w:rsidP="003338CD">
      <w:pPr>
        <w:rPr>
          <w:color w:val="1F497D" w:themeColor="text2"/>
        </w:rPr>
      </w:pPr>
      <w:permStart w:id="101" w:edGrp="everyone"/>
      <w:r w:rsidRPr="00674582">
        <w:rPr>
          <w:color w:val="1F497D" w:themeColor="text2"/>
        </w:rPr>
        <w:t>NA</w:t>
      </w:r>
    </w:p>
    <w:permEnd w:id="101"/>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w:t>
      </w:r>
      <w:r>
        <w:rPr>
          <w:rFonts w:cs="Arial"/>
        </w:rPr>
        <w:t>e</w:t>
      </w:r>
      <w:r>
        <w:rPr>
          <w:rFonts w:cs="Arial"/>
        </w:rPr>
        <w:t>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DA1F4D" w:rsidRPr="00B1214B" w:rsidRDefault="00DA1F4D" w:rsidP="00DA1F4D">
      <w:pPr>
        <w:pStyle w:val="Default"/>
        <w:rPr>
          <w:color w:val="1F497D" w:themeColor="text2"/>
          <w:sz w:val="22"/>
          <w:szCs w:val="22"/>
          <w:lang w:val="en-US"/>
        </w:rPr>
      </w:pPr>
      <w:permStart w:id="102" w:edGrp="everyone"/>
      <w:r w:rsidRPr="00B1214B">
        <w:rPr>
          <w:color w:val="1F497D" w:themeColor="text2"/>
          <w:sz w:val="22"/>
          <w:szCs w:val="22"/>
          <w:lang w:val="en-US"/>
        </w:rPr>
        <w:t>The FSPA does not think RIY is suitable for structured products. It implementation relies on so many hypothesis that it would be impossible to prescribe them (leading to RIY computations that would change according to the underlying assumptions). The cost doesn’t make sense for a particular manufacturer compared to what she has booked in the accounts and should therefore also be without relevance to the retail investor.</w:t>
      </w:r>
    </w:p>
    <w:p w:rsidR="00674582" w:rsidRPr="0034567D" w:rsidRDefault="00674582" w:rsidP="00674582">
      <w:pPr>
        <w:pStyle w:val="Default"/>
        <w:rPr>
          <w:rFonts w:cs="Times New Roman"/>
          <w:color w:val="1F497D" w:themeColor="text2"/>
          <w:sz w:val="22"/>
          <w:szCs w:val="22"/>
          <w:lang w:val="en-US"/>
        </w:rPr>
      </w:pPr>
      <w:r w:rsidRPr="0034567D">
        <w:rPr>
          <w:rFonts w:cs="Times New Roman"/>
          <w:color w:val="1F497D" w:themeColor="text2"/>
          <w:sz w:val="22"/>
          <w:szCs w:val="22"/>
          <w:lang w:val="en-US"/>
        </w:rPr>
        <w:t xml:space="preserve">For structured products, we have also an issue with the underlying assumption of the </w:t>
      </w:r>
      <w:proofErr w:type="spellStart"/>
      <w:r w:rsidRPr="0034567D">
        <w:rPr>
          <w:rFonts w:cs="Times New Roman"/>
          <w:color w:val="1F497D" w:themeColor="text2"/>
          <w:sz w:val="22"/>
          <w:szCs w:val="22"/>
          <w:lang w:val="en-US"/>
        </w:rPr>
        <w:t>RiY</w:t>
      </w:r>
      <w:proofErr w:type="spellEnd"/>
      <w:r w:rsidRPr="0034567D">
        <w:rPr>
          <w:rFonts w:cs="Times New Roman"/>
          <w:color w:val="1F497D" w:themeColor="text2"/>
          <w:sz w:val="22"/>
          <w:szCs w:val="22"/>
          <w:lang w:val="en-US"/>
        </w:rPr>
        <w:t xml:space="preserve"> a</w:t>
      </w:r>
      <w:r w:rsidRPr="0034567D">
        <w:rPr>
          <w:rFonts w:cs="Times New Roman"/>
          <w:color w:val="1F497D" w:themeColor="text2"/>
          <w:sz w:val="22"/>
          <w:szCs w:val="22"/>
          <w:lang w:val="en-US"/>
        </w:rPr>
        <w:t>p</w:t>
      </w:r>
      <w:r w:rsidRPr="0034567D">
        <w:rPr>
          <w:rFonts w:cs="Times New Roman"/>
          <w:color w:val="1F497D" w:themeColor="text2"/>
          <w:sz w:val="22"/>
          <w:szCs w:val="22"/>
          <w:lang w:val="en-US"/>
        </w:rPr>
        <w:t xml:space="preserve">proach that assimilates all costs with a loss of opportunity. A structured product manufacturer is not a mere custodian of two basic components (zero coupon </w:t>
      </w:r>
      <w:proofErr w:type="gramStart"/>
      <w:r w:rsidRPr="0034567D">
        <w:rPr>
          <w:rFonts w:cs="Times New Roman"/>
          <w:color w:val="1F497D" w:themeColor="text2"/>
          <w:sz w:val="22"/>
          <w:szCs w:val="22"/>
          <w:lang w:val="en-US"/>
        </w:rPr>
        <w:t>bond</w:t>
      </w:r>
      <w:proofErr w:type="gramEnd"/>
      <w:r w:rsidRPr="0034567D">
        <w:rPr>
          <w:rFonts w:cs="Times New Roman"/>
          <w:color w:val="1F497D" w:themeColor="text2"/>
          <w:sz w:val="22"/>
          <w:szCs w:val="22"/>
          <w:lang w:val="en-US"/>
        </w:rPr>
        <w:t xml:space="preserve"> and a derivative): it plays a dynamic hedging role over the entire life of the product. This hedging activity will permit to constantly adapt the derivative coverage/exposure of the product, in order to ensure that it will deliver the contractual formula agreed for the said product. Hedging function is an intrinsic element of the value of any structured product. The related cost must therefore be approached in an added-value logic and not a as “loss of opportunity” for the investor, as presented in this section and assumed in a </w:t>
      </w:r>
      <w:proofErr w:type="spellStart"/>
      <w:r w:rsidRPr="0034567D">
        <w:rPr>
          <w:rFonts w:cs="Times New Roman"/>
          <w:color w:val="1F497D" w:themeColor="text2"/>
          <w:sz w:val="22"/>
          <w:szCs w:val="22"/>
          <w:lang w:val="en-US"/>
        </w:rPr>
        <w:t>RiY</w:t>
      </w:r>
      <w:proofErr w:type="spellEnd"/>
      <w:r w:rsidRPr="0034567D">
        <w:rPr>
          <w:rFonts w:cs="Times New Roman"/>
          <w:color w:val="1F497D" w:themeColor="text2"/>
          <w:sz w:val="22"/>
          <w:szCs w:val="22"/>
          <w:lang w:val="en-US"/>
        </w:rPr>
        <w:t xml:space="preserve"> approach.</w:t>
      </w:r>
    </w:p>
    <w:permEnd w:id="102"/>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674582" w:rsidRPr="0034567D" w:rsidRDefault="00674582" w:rsidP="00674582">
      <w:pPr>
        <w:pStyle w:val="Default"/>
        <w:rPr>
          <w:rFonts w:cs="Times New Roman"/>
          <w:color w:val="1F497D" w:themeColor="text2"/>
          <w:sz w:val="22"/>
          <w:szCs w:val="22"/>
          <w:lang w:val="en-GB"/>
        </w:rPr>
      </w:pPr>
      <w:permStart w:id="103" w:edGrp="everyone"/>
      <w:r w:rsidRPr="0034567D">
        <w:rPr>
          <w:rFonts w:cs="Times New Roman"/>
          <w:color w:val="1F497D" w:themeColor="text2"/>
          <w:sz w:val="22"/>
          <w:szCs w:val="22"/>
          <w:lang w:val="en-GB"/>
        </w:rPr>
        <w:t xml:space="preserve">For structured products, returns should be calculated on the Denomination amount (e.g. EUR 1000 or equivalent in local currency) which means net of implicit Entry costs. </w:t>
      </w:r>
    </w:p>
    <w:p w:rsidR="00674582" w:rsidRPr="0034567D" w:rsidRDefault="00674582" w:rsidP="00674582">
      <w:pPr>
        <w:pStyle w:val="Default"/>
        <w:rPr>
          <w:rFonts w:cs="Times New Roman"/>
          <w:color w:val="1F497D" w:themeColor="text2"/>
          <w:sz w:val="22"/>
          <w:szCs w:val="22"/>
          <w:lang w:val="en-GB"/>
        </w:rPr>
      </w:pPr>
      <w:r w:rsidRPr="0034567D">
        <w:rPr>
          <w:rFonts w:cs="Times New Roman"/>
          <w:color w:val="1F497D" w:themeColor="text2"/>
          <w:sz w:val="22"/>
          <w:szCs w:val="22"/>
          <w:lang w:val="en-GB"/>
        </w:rPr>
        <w:t>Regarding the growth rate on the invested amount to estimate cumulative effect of costs, a zero growth rate seems appropriate for structured products. This simply means the Denomination (used as the basis to express cost as a % of Denomination) remains unchanged throughout the life of the product.</w:t>
      </w:r>
    </w:p>
    <w:permEnd w:id="10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w:t>
      </w:r>
      <w:r w:rsidRPr="00F31E57">
        <w:rPr>
          <w:rFonts w:cs="Arial"/>
        </w:rPr>
        <w:t>l</w:t>
      </w:r>
      <w:r w:rsidRPr="00F31E57">
        <w:rPr>
          <w:rFonts w:cs="Arial"/>
        </w:rPr>
        <w:t>able to purchasers of the product?</w:t>
      </w:r>
    </w:p>
    <w:p w:rsidR="00F31E57" w:rsidRDefault="00F31E57" w:rsidP="00F31E57">
      <w:pPr>
        <w:rPr>
          <w:rFonts w:cstheme="minorBidi"/>
        </w:rPr>
      </w:pPr>
    </w:p>
    <w:p w:rsidR="00F31E57" w:rsidRDefault="00F31E57" w:rsidP="00F31E57">
      <w:r>
        <w:t>&lt;ESMA_QUESTION_PRIIPs_96&gt;</w:t>
      </w:r>
    </w:p>
    <w:p w:rsidR="00674582" w:rsidRPr="0034567D" w:rsidRDefault="00674582" w:rsidP="00674582">
      <w:pPr>
        <w:pStyle w:val="Default"/>
        <w:rPr>
          <w:rFonts w:cs="Times New Roman"/>
          <w:color w:val="1F497D" w:themeColor="text2"/>
          <w:sz w:val="22"/>
          <w:szCs w:val="22"/>
          <w:lang w:val="en-US"/>
        </w:rPr>
      </w:pPr>
      <w:permStart w:id="104" w:edGrp="everyone"/>
      <w:r w:rsidRPr="0034567D">
        <w:rPr>
          <w:rFonts w:cs="Times New Roman"/>
          <w:color w:val="1F497D" w:themeColor="text2"/>
          <w:sz w:val="22"/>
          <w:szCs w:val="22"/>
          <w:lang w:val="en-US"/>
        </w:rPr>
        <w:t>Generally yes. Manufacturing cost usually cover for the cost of running the SPV. The cost of running the SPV is borne by the manufacturer using it, there is no "amount charged to the inve</w:t>
      </w:r>
      <w:r w:rsidRPr="0034567D">
        <w:rPr>
          <w:rFonts w:cs="Times New Roman"/>
          <w:color w:val="1F497D" w:themeColor="text2"/>
          <w:sz w:val="22"/>
          <w:szCs w:val="22"/>
          <w:lang w:val="en-US"/>
        </w:rPr>
        <w:t>s</w:t>
      </w:r>
      <w:r w:rsidRPr="0034567D">
        <w:rPr>
          <w:rFonts w:cs="Times New Roman"/>
          <w:color w:val="1F497D" w:themeColor="text2"/>
          <w:sz w:val="22"/>
          <w:szCs w:val="22"/>
          <w:lang w:val="en-US"/>
        </w:rPr>
        <w:t>tor by the SPV" as the TDP suggests it. SPVs cost treatment should be similar to structured EMTNs</w:t>
      </w:r>
    </w:p>
    <w:permEnd w:id="104"/>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674582" w:rsidRPr="0034567D" w:rsidRDefault="00674582" w:rsidP="00674582">
      <w:pPr>
        <w:pStyle w:val="Default"/>
        <w:rPr>
          <w:rFonts w:cs="Times New Roman"/>
          <w:color w:val="1F497D" w:themeColor="text2"/>
          <w:sz w:val="22"/>
          <w:szCs w:val="22"/>
          <w:lang w:val="en-US"/>
        </w:rPr>
      </w:pPr>
      <w:permStart w:id="105" w:edGrp="everyone"/>
      <w:r w:rsidRPr="0034567D">
        <w:rPr>
          <w:rFonts w:cs="Times New Roman"/>
          <w:color w:val="1F497D" w:themeColor="text2"/>
          <w:sz w:val="22"/>
          <w:szCs w:val="22"/>
          <w:lang w:val="en-US"/>
        </w:rPr>
        <w:t>SPV should be treated in the same way as structured products, please refer to question 61</w:t>
      </w:r>
    </w:p>
    <w:permEnd w:id="105"/>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674582" w:rsidRPr="0034567D" w:rsidRDefault="00674582" w:rsidP="00674582">
      <w:pPr>
        <w:pStyle w:val="Default"/>
        <w:rPr>
          <w:rFonts w:cs="Times New Roman"/>
          <w:color w:val="1F497D" w:themeColor="text2"/>
          <w:sz w:val="22"/>
          <w:szCs w:val="22"/>
          <w:lang w:val="en-US"/>
        </w:rPr>
      </w:pPr>
      <w:permStart w:id="106" w:edGrp="everyone"/>
      <w:r w:rsidRPr="0034567D">
        <w:rPr>
          <w:rFonts w:cs="Times New Roman"/>
          <w:color w:val="1F497D" w:themeColor="text2"/>
          <w:sz w:val="22"/>
          <w:szCs w:val="22"/>
          <w:lang w:val="en-US"/>
        </w:rPr>
        <w:t>Not a problem. TCR applicable to EMTNs, as well as SPVs</w:t>
      </w:r>
    </w:p>
    <w:permEnd w:id="106"/>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674582" w:rsidRPr="0034567D" w:rsidRDefault="00674582" w:rsidP="00674582">
      <w:pPr>
        <w:pStyle w:val="Default"/>
        <w:rPr>
          <w:rFonts w:cs="Times New Roman"/>
          <w:color w:val="1F497D" w:themeColor="text2"/>
          <w:sz w:val="22"/>
          <w:szCs w:val="22"/>
          <w:lang w:val="en-US"/>
        </w:rPr>
      </w:pPr>
      <w:permStart w:id="107" w:edGrp="everyone"/>
      <w:r w:rsidRPr="0034567D">
        <w:rPr>
          <w:rFonts w:cs="Times New Roman"/>
          <w:color w:val="1F497D" w:themeColor="text2"/>
          <w:sz w:val="22"/>
          <w:szCs w:val="22"/>
          <w:lang w:val="en-US"/>
        </w:rPr>
        <w:t xml:space="preserve">RIY is not suitable for Structured Products or Funds </w:t>
      </w:r>
      <w:proofErr w:type="gramStart"/>
      <w:r w:rsidRPr="0034567D">
        <w:rPr>
          <w:rFonts w:cs="Times New Roman"/>
          <w:color w:val="1F497D" w:themeColor="text2"/>
          <w:sz w:val="22"/>
          <w:szCs w:val="22"/>
          <w:lang w:val="en-US"/>
        </w:rPr>
        <w:t>nor</w:t>
      </w:r>
      <w:proofErr w:type="gramEnd"/>
      <w:r w:rsidRPr="0034567D">
        <w:rPr>
          <w:rFonts w:cs="Times New Roman"/>
          <w:color w:val="1F497D" w:themeColor="text2"/>
          <w:sz w:val="22"/>
          <w:szCs w:val="22"/>
          <w:lang w:val="en-US"/>
        </w:rPr>
        <w:t xml:space="preserve"> for SPVs.</w:t>
      </w:r>
    </w:p>
    <w:permEnd w:id="107"/>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582" w:rsidRDefault="00674582">
      <w:r>
        <w:separator/>
      </w:r>
    </w:p>
    <w:p w:rsidR="00674582" w:rsidRDefault="00674582"/>
  </w:endnote>
  <w:endnote w:type="continuationSeparator" w:id="0">
    <w:p w:rsidR="00674582" w:rsidRDefault="00674582">
      <w:r>
        <w:continuationSeparator/>
      </w:r>
    </w:p>
    <w:p w:rsidR="00674582" w:rsidRDefault="00674582"/>
  </w:endnote>
  <w:endnote w:type="continuationNotice" w:id="1">
    <w:p w:rsidR="00674582" w:rsidRDefault="0067458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674582" w:rsidRPr="00616B9B" w:rsidTr="00315E96">
      <w:trPr>
        <w:trHeight w:val="284"/>
      </w:trPr>
      <w:tc>
        <w:tcPr>
          <w:tcW w:w="8460" w:type="dxa"/>
        </w:tcPr>
        <w:p w:rsidR="00674582" w:rsidRPr="00315E96" w:rsidRDefault="00674582" w:rsidP="00315E96">
          <w:pPr>
            <w:pStyle w:val="00Footer"/>
            <w:rPr>
              <w:lang w:val="fr-FR"/>
            </w:rPr>
          </w:pPr>
        </w:p>
      </w:tc>
      <w:tc>
        <w:tcPr>
          <w:tcW w:w="952" w:type="dxa"/>
        </w:tcPr>
        <w:p w:rsidR="00674582" w:rsidRPr="00616B9B" w:rsidRDefault="005524B1" w:rsidP="002C5B2D">
          <w:pPr>
            <w:pStyle w:val="00aPagenumber"/>
            <w:rPr>
              <w:rFonts w:cs="Arial"/>
              <w:sz w:val="22"/>
              <w:szCs w:val="22"/>
            </w:rPr>
          </w:pPr>
          <w:r w:rsidRPr="00616B9B">
            <w:rPr>
              <w:rFonts w:cs="Arial"/>
              <w:sz w:val="22"/>
              <w:szCs w:val="22"/>
            </w:rPr>
            <w:fldChar w:fldCharType="begin"/>
          </w:r>
          <w:r w:rsidR="00674582" w:rsidRPr="00616B9B">
            <w:rPr>
              <w:rFonts w:cs="Arial"/>
              <w:sz w:val="22"/>
              <w:szCs w:val="22"/>
            </w:rPr>
            <w:instrText xml:space="preserve"> PAGE </w:instrText>
          </w:r>
          <w:r w:rsidRPr="00616B9B">
            <w:rPr>
              <w:rFonts w:cs="Arial"/>
              <w:sz w:val="22"/>
              <w:szCs w:val="22"/>
            </w:rPr>
            <w:fldChar w:fldCharType="separate"/>
          </w:r>
          <w:r w:rsidR="00DA1F4D">
            <w:rPr>
              <w:rFonts w:cs="Arial"/>
              <w:noProof/>
              <w:sz w:val="22"/>
              <w:szCs w:val="22"/>
            </w:rPr>
            <w:t>24</w:t>
          </w:r>
          <w:r w:rsidRPr="00616B9B">
            <w:rPr>
              <w:rFonts w:cs="Arial"/>
              <w:noProof/>
              <w:sz w:val="22"/>
              <w:szCs w:val="22"/>
            </w:rPr>
            <w:fldChar w:fldCharType="end"/>
          </w:r>
        </w:p>
      </w:tc>
    </w:tr>
  </w:tbl>
  <w:p w:rsidR="00674582" w:rsidRDefault="006745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82" w:rsidRDefault="00674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582" w:rsidRDefault="00674582">
      <w:r>
        <w:separator/>
      </w:r>
    </w:p>
    <w:p w:rsidR="00674582" w:rsidRDefault="00674582"/>
  </w:footnote>
  <w:footnote w:type="continuationSeparator" w:id="0">
    <w:p w:rsidR="00674582" w:rsidRDefault="00674582">
      <w:r>
        <w:continuationSeparator/>
      </w:r>
    </w:p>
    <w:p w:rsidR="00674582" w:rsidRDefault="00674582"/>
  </w:footnote>
  <w:footnote w:type="continuationNotice" w:id="1">
    <w:p w:rsidR="00674582" w:rsidRDefault="00674582"/>
  </w:footnote>
  <w:footnote w:id="2">
    <w:p w:rsidR="00674582" w:rsidRPr="00554E48" w:rsidRDefault="00674582"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674582" w:rsidRDefault="00674582"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82" w:rsidRDefault="00674582">
    <w:pPr>
      <w:pStyle w:val="Header"/>
    </w:pPr>
    <w:r>
      <w:rPr>
        <w:noProof/>
        <w:lang w:val="fi-FI" w:eastAsia="fi-FI"/>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5524B1" w:rsidRPr="005524B1">
      <w:rPr>
        <w:noProof/>
        <w:lang w:val="en-US" w:eastAsia="en-US"/>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82" w:rsidRDefault="00674582" w:rsidP="00013CCE">
    <w:pPr>
      <w:pStyle w:val="Header"/>
      <w:jc w:val="right"/>
    </w:pPr>
    <w:r>
      <w:rPr>
        <w:noProof/>
        <w:lang w:val="fi-FI" w:eastAsia="fi-FI"/>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i-FI" w:eastAsia="fi-FI"/>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82" w:rsidRDefault="0067458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674582" w:rsidRPr="002F4496" w:rsidTr="000C06C9">
      <w:trPr>
        <w:trHeight w:val="284"/>
      </w:trPr>
      <w:tc>
        <w:tcPr>
          <w:tcW w:w="8460" w:type="dxa"/>
        </w:tcPr>
        <w:p w:rsidR="00674582" w:rsidRPr="000C3B6D" w:rsidRDefault="00674582" w:rsidP="000C06C9">
          <w:pPr>
            <w:pStyle w:val="00Footer"/>
            <w:rPr>
              <w:lang w:val="fr-FR"/>
            </w:rPr>
          </w:pPr>
        </w:p>
      </w:tc>
      <w:tc>
        <w:tcPr>
          <w:tcW w:w="952" w:type="dxa"/>
        </w:tcPr>
        <w:p w:rsidR="00674582" w:rsidRPr="00146B34" w:rsidRDefault="00674582" w:rsidP="000C06C9">
          <w:pPr>
            <w:pStyle w:val="00aPagenumber"/>
            <w:rPr>
              <w:lang w:val="fr-FR"/>
            </w:rPr>
          </w:pPr>
        </w:p>
      </w:tc>
    </w:tr>
  </w:tbl>
  <w:p w:rsidR="00674582" w:rsidRPr="00DB46C3" w:rsidRDefault="00674582">
    <w:pPr>
      <w:rPr>
        <w:lang w:val="fr-FR"/>
      </w:rPr>
    </w:pPr>
  </w:p>
  <w:p w:rsidR="00674582" w:rsidRPr="002F4496" w:rsidRDefault="00674582">
    <w:pPr>
      <w:pStyle w:val="Header"/>
      <w:rPr>
        <w:lang w:val="fr-FR"/>
      </w:rPr>
    </w:pPr>
  </w:p>
  <w:p w:rsidR="00674582" w:rsidRPr="002F4496" w:rsidRDefault="00674582" w:rsidP="000C06C9">
    <w:pPr>
      <w:pStyle w:val="Header"/>
      <w:tabs>
        <w:tab w:val="clear" w:pos="4536"/>
        <w:tab w:val="clear" w:pos="9072"/>
        <w:tab w:val="left" w:pos="8227"/>
      </w:tabs>
      <w:rPr>
        <w:lang w:val="fr-FR"/>
      </w:rPr>
    </w:pPr>
  </w:p>
  <w:p w:rsidR="00674582" w:rsidRPr="002F4496" w:rsidRDefault="00674582" w:rsidP="000C06C9">
    <w:pPr>
      <w:pStyle w:val="Header"/>
      <w:tabs>
        <w:tab w:val="clear" w:pos="4536"/>
        <w:tab w:val="clear" w:pos="9072"/>
        <w:tab w:val="left" w:pos="8227"/>
      </w:tabs>
      <w:rPr>
        <w:lang w:val="fr-FR"/>
      </w:rPr>
    </w:pPr>
  </w:p>
  <w:p w:rsidR="00674582" w:rsidRPr="002F4496" w:rsidRDefault="00674582">
    <w:pPr>
      <w:pStyle w:val="Header"/>
      <w:rPr>
        <w:lang w:val="fr-FR"/>
      </w:rPr>
    </w:pPr>
  </w:p>
  <w:p w:rsidR="00674582" w:rsidRPr="002F4496" w:rsidRDefault="00674582">
    <w:pPr>
      <w:pStyle w:val="Header"/>
      <w:rPr>
        <w:lang w:val="fr-FR"/>
      </w:rPr>
    </w:pPr>
  </w:p>
  <w:p w:rsidR="00674582" w:rsidRPr="002F4496" w:rsidRDefault="00674582">
    <w:pPr>
      <w:pStyle w:val="Header"/>
      <w:rPr>
        <w:lang w:val="fr-FR"/>
      </w:rPr>
    </w:pPr>
  </w:p>
  <w:p w:rsidR="00674582" w:rsidRPr="002F4496" w:rsidRDefault="00674582">
    <w:pPr>
      <w:pStyle w:val="Header"/>
      <w:rPr>
        <w:lang w:val="fr-FR"/>
      </w:rPr>
    </w:pPr>
  </w:p>
  <w:p w:rsidR="00674582" w:rsidRPr="002F4496" w:rsidRDefault="00674582">
    <w:pPr>
      <w:pStyle w:val="Header"/>
      <w:rPr>
        <w:highlight w:val="yellow"/>
        <w:lang w:val="fr-FR"/>
      </w:rPr>
    </w:pPr>
  </w:p>
  <w:p w:rsidR="00674582" w:rsidRDefault="005524B1">
    <w:pPr>
      <w:pStyle w:val="Header"/>
    </w:pPr>
    <w:r w:rsidRPr="005524B1">
      <w:rPr>
        <w:noProof/>
        <w:lang w:val="en-US" w:eastAsia="en-US"/>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674582">
      <w:rPr>
        <w:noProof/>
        <w:lang w:val="fi-FI" w:eastAsia="fi-FI"/>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CC4"/>
    <w:multiLevelType w:val="hybridMultilevel"/>
    <w:tmpl w:val="85BE4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3CD0EDE"/>
    <w:multiLevelType w:val="hybridMultilevel"/>
    <w:tmpl w:val="562EA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A8244D"/>
    <w:multiLevelType w:val="hybridMultilevel"/>
    <w:tmpl w:val="BBEC0040"/>
    <w:lvl w:ilvl="0" w:tplc="DD50F8E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2A2292"/>
    <w:multiLevelType w:val="hybridMultilevel"/>
    <w:tmpl w:val="DED6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162AB"/>
    <w:multiLevelType w:val="hybridMultilevel"/>
    <w:tmpl w:val="0DD86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0">
    <w:nsid w:val="1C471689"/>
    <w:multiLevelType w:val="hybridMultilevel"/>
    <w:tmpl w:val="6298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E1413DD"/>
    <w:multiLevelType w:val="hybridMultilevel"/>
    <w:tmpl w:val="E04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6C2B98"/>
    <w:multiLevelType w:val="hybridMultilevel"/>
    <w:tmpl w:val="260E2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2A1C361C"/>
    <w:multiLevelType w:val="hybridMultilevel"/>
    <w:tmpl w:val="0DB6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2">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6">
    <w:nsid w:val="3DF47819"/>
    <w:multiLevelType w:val="hybridMultilevel"/>
    <w:tmpl w:val="3CF27B70"/>
    <w:lvl w:ilvl="0" w:tplc="DD50F8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257545"/>
    <w:multiLevelType w:val="hybridMultilevel"/>
    <w:tmpl w:val="6A04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7248A"/>
    <w:multiLevelType w:val="hybridMultilevel"/>
    <w:tmpl w:val="0250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0">
    <w:nsid w:val="444A2009"/>
    <w:multiLevelType w:val="hybridMultilevel"/>
    <w:tmpl w:val="6778F29E"/>
    <w:lvl w:ilvl="0" w:tplc="DD50F8E6">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7161C5"/>
    <w:multiLevelType w:val="hybridMultilevel"/>
    <w:tmpl w:val="2218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5">
    <w:nsid w:val="4BD572A2"/>
    <w:multiLevelType w:val="hybridMultilevel"/>
    <w:tmpl w:val="1F40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4239F2"/>
    <w:multiLevelType w:val="hybridMultilevel"/>
    <w:tmpl w:val="9042AE02"/>
    <w:lvl w:ilvl="0" w:tplc="B2D8B5D6">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7">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4F17666B"/>
    <w:multiLevelType w:val="hybridMultilevel"/>
    <w:tmpl w:val="9882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DC4F4E"/>
    <w:multiLevelType w:val="hybridMultilevel"/>
    <w:tmpl w:val="395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AA7AAC"/>
    <w:multiLevelType w:val="hybridMultilevel"/>
    <w:tmpl w:val="422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3">
    <w:nsid w:val="5481146A"/>
    <w:multiLevelType w:val="hybridMultilevel"/>
    <w:tmpl w:val="D968EECC"/>
    <w:lvl w:ilvl="0" w:tplc="DD50F8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6">
    <w:nsid w:val="59D22079"/>
    <w:multiLevelType w:val="hybridMultilevel"/>
    <w:tmpl w:val="01EAB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nsid w:val="5AF36D84"/>
    <w:multiLevelType w:val="hybridMultilevel"/>
    <w:tmpl w:val="9518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6D81319D"/>
    <w:multiLevelType w:val="hybridMultilevel"/>
    <w:tmpl w:val="1100A25A"/>
    <w:lvl w:ilvl="0" w:tplc="DD50F8E6">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A8025C"/>
    <w:multiLevelType w:val="hybridMultilevel"/>
    <w:tmpl w:val="7C1CB7B8"/>
    <w:lvl w:ilvl="0" w:tplc="DD50F8E6">
      <w:start w:val="1"/>
      <w:numFmt w:val="bullet"/>
      <w:lvlText w:val=""/>
      <w:lvlJc w:val="left"/>
      <w:pPr>
        <w:ind w:left="1440" w:hanging="360"/>
      </w:pPr>
      <w:rPr>
        <w:rFonts w:ascii="Symbol" w:hAnsi="Symbol" w:hint="default"/>
      </w:rPr>
    </w:lvl>
    <w:lvl w:ilvl="1" w:tplc="EB5E0138">
      <w:numFmt w:val="bullet"/>
      <w:lvlText w:val="-"/>
      <w:lvlJc w:val="left"/>
      <w:pPr>
        <w:ind w:left="2160" w:hanging="360"/>
      </w:pPr>
      <w:rPr>
        <w:rFonts w:ascii="Arial" w:eastAsia="Times New Roman" w:hAnsi="Arial" w:cs="Aria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8">
    <w:nsid w:val="6F206ABE"/>
    <w:multiLevelType w:val="hybridMultilevel"/>
    <w:tmpl w:val="A1781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9">
    <w:nsid w:val="6F573C36"/>
    <w:multiLevelType w:val="hybridMultilevel"/>
    <w:tmpl w:val="02ACB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90800ABC">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754A5CC6"/>
    <w:multiLevelType w:val="hybridMultilevel"/>
    <w:tmpl w:val="A6707ED0"/>
    <w:lvl w:ilvl="0" w:tplc="B2D8B5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3">
    <w:nsid w:val="7B20463B"/>
    <w:multiLevelType w:val="hybridMultilevel"/>
    <w:tmpl w:val="16169924"/>
    <w:lvl w:ilvl="0" w:tplc="DD50F8E6">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4"/>
  </w:num>
  <w:num w:numId="2">
    <w:abstractNumId w:val="29"/>
  </w:num>
  <w:num w:numId="3">
    <w:abstractNumId w:val="20"/>
  </w:num>
  <w:num w:numId="4">
    <w:abstractNumId w:val="41"/>
  </w:num>
  <w:num w:numId="5">
    <w:abstractNumId w:val="44"/>
  </w:num>
  <w:num w:numId="6">
    <w:abstractNumId w:val="1"/>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51"/>
  </w:num>
  <w:num w:numId="14">
    <w:abstractNumId w:val="37"/>
  </w:num>
  <w:num w:numId="15">
    <w:abstractNumId w:val="19"/>
  </w:num>
  <w:num w:numId="16">
    <w:abstractNumId w:val="2"/>
  </w:num>
  <w:num w:numId="17">
    <w:abstractNumId w:val="22"/>
  </w:num>
  <w:num w:numId="18">
    <w:abstractNumId w:val="23"/>
  </w:num>
  <w:num w:numId="19">
    <w:abstractNumId w:val="25"/>
  </w:num>
  <w:num w:numId="20">
    <w:abstractNumId w:val="45"/>
  </w:num>
  <w:num w:numId="21">
    <w:abstractNumId w:val="60"/>
  </w:num>
  <w:num w:numId="22">
    <w:abstractNumId w:val="42"/>
  </w:num>
  <w:num w:numId="23">
    <w:abstractNumId w:val="18"/>
  </w:num>
  <w:num w:numId="24">
    <w:abstractNumId w:val="50"/>
  </w:num>
  <w:num w:numId="25">
    <w:abstractNumId w:val="49"/>
  </w:num>
  <w:num w:numId="26">
    <w:abstractNumId w:val="31"/>
  </w:num>
  <w:num w:numId="27">
    <w:abstractNumId w:val="53"/>
  </w:num>
  <w:num w:numId="28">
    <w:abstractNumId w:val="64"/>
  </w:num>
  <w:num w:numId="29">
    <w:abstractNumId w:val="15"/>
  </w:num>
  <w:num w:numId="30">
    <w:abstractNumId w:val="8"/>
  </w:num>
  <w:num w:numId="31">
    <w:abstractNumId w:val="34"/>
  </w:num>
  <w:num w:numId="32">
    <w:abstractNumId w:val="4"/>
  </w:num>
  <w:num w:numId="33">
    <w:abstractNumId w:val="14"/>
  </w:num>
  <w:num w:numId="34">
    <w:abstractNumId w:val="32"/>
  </w:num>
  <w:num w:numId="35">
    <w:abstractNumId w:val="56"/>
  </w:num>
  <w:num w:numId="36">
    <w:abstractNumId w:val="55"/>
  </w:num>
  <w:num w:numId="37">
    <w:abstractNumId w:val="27"/>
  </w:num>
  <w:num w:numId="38">
    <w:abstractNumId w:val="59"/>
  </w:num>
  <w:num w:numId="39">
    <w:abstractNumId w:val="12"/>
  </w:num>
  <w:num w:numId="40">
    <w:abstractNumId w:val="28"/>
  </w:num>
  <w:num w:numId="41">
    <w:abstractNumId w:val="0"/>
  </w:num>
  <w:num w:numId="42">
    <w:abstractNumId w:val="38"/>
  </w:num>
  <w:num w:numId="43">
    <w:abstractNumId w:val="58"/>
  </w:num>
  <w:num w:numId="44">
    <w:abstractNumId w:val="13"/>
  </w:num>
  <w:num w:numId="45">
    <w:abstractNumId w:val="46"/>
  </w:num>
  <w:num w:numId="46">
    <w:abstractNumId w:val="7"/>
  </w:num>
  <w:num w:numId="47">
    <w:abstractNumId w:val="3"/>
  </w:num>
  <w:num w:numId="48">
    <w:abstractNumId w:val="33"/>
  </w:num>
  <w:num w:numId="49">
    <w:abstractNumId w:val="48"/>
  </w:num>
  <w:num w:numId="50">
    <w:abstractNumId w:val="40"/>
  </w:num>
  <w:num w:numId="51">
    <w:abstractNumId w:val="36"/>
  </w:num>
  <w:num w:numId="52">
    <w:abstractNumId w:val="63"/>
  </w:num>
  <w:num w:numId="53">
    <w:abstractNumId w:val="26"/>
  </w:num>
  <w:num w:numId="54">
    <w:abstractNumId w:val="57"/>
  </w:num>
  <w:num w:numId="55">
    <w:abstractNumId w:val="54"/>
  </w:num>
  <w:num w:numId="56">
    <w:abstractNumId w:val="5"/>
  </w:num>
  <w:num w:numId="57">
    <w:abstractNumId w:val="61"/>
  </w:num>
  <w:num w:numId="58">
    <w:abstractNumId w:val="6"/>
  </w:num>
  <w:num w:numId="59">
    <w:abstractNumId w:val="10"/>
  </w:num>
  <w:num w:numId="60">
    <w:abstractNumId w:val="35"/>
  </w:num>
  <w:num w:numId="61">
    <w:abstractNumId w:val="39"/>
  </w:num>
  <w:num w:numId="62">
    <w:abstractNumId w:val="17"/>
  </w:num>
  <w:num w:numId="63">
    <w:abstractNumId w:val="43"/>
  </w:num>
  <w:num w:numId="64">
    <w:abstractNumId w:val="3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383"/>
    <w:rsid w:val="00036FAE"/>
    <w:rsid w:val="00041858"/>
    <w:rsid w:val="0004389E"/>
    <w:rsid w:val="00044EEE"/>
    <w:rsid w:val="000463A6"/>
    <w:rsid w:val="00046CC9"/>
    <w:rsid w:val="00046E91"/>
    <w:rsid w:val="000502FE"/>
    <w:rsid w:val="0005126D"/>
    <w:rsid w:val="00051992"/>
    <w:rsid w:val="00051E9A"/>
    <w:rsid w:val="000521A7"/>
    <w:rsid w:val="00052F47"/>
    <w:rsid w:val="0005399B"/>
    <w:rsid w:val="00054BB7"/>
    <w:rsid w:val="00054DE6"/>
    <w:rsid w:val="000569D7"/>
    <w:rsid w:val="000576D7"/>
    <w:rsid w:val="00060F72"/>
    <w:rsid w:val="00062592"/>
    <w:rsid w:val="000636A1"/>
    <w:rsid w:val="000649D9"/>
    <w:rsid w:val="000652BE"/>
    <w:rsid w:val="00066479"/>
    <w:rsid w:val="0006723C"/>
    <w:rsid w:val="000679B2"/>
    <w:rsid w:val="00067B59"/>
    <w:rsid w:val="00070376"/>
    <w:rsid w:val="00070974"/>
    <w:rsid w:val="00071EAD"/>
    <w:rsid w:val="00071F4E"/>
    <w:rsid w:val="00072271"/>
    <w:rsid w:val="00072B54"/>
    <w:rsid w:val="0007463D"/>
    <w:rsid w:val="000749F0"/>
    <w:rsid w:val="0007609D"/>
    <w:rsid w:val="00077C67"/>
    <w:rsid w:val="00080976"/>
    <w:rsid w:val="00081CEB"/>
    <w:rsid w:val="00081E60"/>
    <w:rsid w:val="00082AB8"/>
    <w:rsid w:val="00082D8E"/>
    <w:rsid w:val="00082E31"/>
    <w:rsid w:val="00083AA3"/>
    <w:rsid w:val="00085947"/>
    <w:rsid w:val="00086898"/>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6B1"/>
    <w:rsid w:val="000A7314"/>
    <w:rsid w:val="000A7B53"/>
    <w:rsid w:val="000A7B64"/>
    <w:rsid w:val="000B03A2"/>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4C2A"/>
    <w:rsid w:val="000D705D"/>
    <w:rsid w:val="000D7EB9"/>
    <w:rsid w:val="000E0223"/>
    <w:rsid w:val="000E0CF3"/>
    <w:rsid w:val="000E18A8"/>
    <w:rsid w:val="000E1AEC"/>
    <w:rsid w:val="000E3937"/>
    <w:rsid w:val="000E3A9A"/>
    <w:rsid w:val="000E4926"/>
    <w:rsid w:val="000E5F7F"/>
    <w:rsid w:val="000E7086"/>
    <w:rsid w:val="000E7C65"/>
    <w:rsid w:val="000F04D2"/>
    <w:rsid w:val="000F55B7"/>
    <w:rsid w:val="000F5776"/>
    <w:rsid w:val="000F5D6F"/>
    <w:rsid w:val="000F604F"/>
    <w:rsid w:val="000F7399"/>
    <w:rsid w:val="001027F1"/>
    <w:rsid w:val="00104F2E"/>
    <w:rsid w:val="001072DD"/>
    <w:rsid w:val="00107DA2"/>
    <w:rsid w:val="00110D7A"/>
    <w:rsid w:val="00111464"/>
    <w:rsid w:val="0011167D"/>
    <w:rsid w:val="00112892"/>
    <w:rsid w:val="00112E48"/>
    <w:rsid w:val="001130EA"/>
    <w:rsid w:val="00114259"/>
    <w:rsid w:val="001168B2"/>
    <w:rsid w:val="00117C20"/>
    <w:rsid w:val="00120F0E"/>
    <w:rsid w:val="00121BED"/>
    <w:rsid w:val="00122FF9"/>
    <w:rsid w:val="00123D39"/>
    <w:rsid w:val="001244CD"/>
    <w:rsid w:val="0012566F"/>
    <w:rsid w:val="001262B1"/>
    <w:rsid w:val="00126C71"/>
    <w:rsid w:val="00130F41"/>
    <w:rsid w:val="00130FAF"/>
    <w:rsid w:val="001327B9"/>
    <w:rsid w:val="00135F2B"/>
    <w:rsid w:val="001372DD"/>
    <w:rsid w:val="001405BA"/>
    <w:rsid w:val="00141497"/>
    <w:rsid w:val="0014253A"/>
    <w:rsid w:val="001425C8"/>
    <w:rsid w:val="001431AE"/>
    <w:rsid w:val="00143B87"/>
    <w:rsid w:val="001459E3"/>
    <w:rsid w:val="00146A0B"/>
    <w:rsid w:val="0014761E"/>
    <w:rsid w:val="00151907"/>
    <w:rsid w:val="0015218C"/>
    <w:rsid w:val="001536C4"/>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CDF"/>
    <w:rsid w:val="00182F7C"/>
    <w:rsid w:val="001843B5"/>
    <w:rsid w:val="00186829"/>
    <w:rsid w:val="001868CA"/>
    <w:rsid w:val="00187304"/>
    <w:rsid w:val="001875BE"/>
    <w:rsid w:val="0019017A"/>
    <w:rsid w:val="00190B8C"/>
    <w:rsid w:val="00190FF8"/>
    <w:rsid w:val="00192EAF"/>
    <w:rsid w:val="0019311A"/>
    <w:rsid w:val="0019508A"/>
    <w:rsid w:val="001960D8"/>
    <w:rsid w:val="00196565"/>
    <w:rsid w:val="001A1642"/>
    <w:rsid w:val="001A371B"/>
    <w:rsid w:val="001A4766"/>
    <w:rsid w:val="001A5E5C"/>
    <w:rsid w:val="001A6A0D"/>
    <w:rsid w:val="001A6C51"/>
    <w:rsid w:val="001A6C6B"/>
    <w:rsid w:val="001A6FAA"/>
    <w:rsid w:val="001A7D73"/>
    <w:rsid w:val="001B0363"/>
    <w:rsid w:val="001B1355"/>
    <w:rsid w:val="001B3138"/>
    <w:rsid w:val="001B4E4B"/>
    <w:rsid w:val="001B4EA1"/>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BEE"/>
    <w:rsid w:val="001D3FB6"/>
    <w:rsid w:val="001D4550"/>
    <w:rsid w:val="001D5498"/>
    <w:rsid w:val="001D5BAF"/>
    <w:rsid w:val="001D6401"/>
    <w:rsid w:val="001D66C9"/>
    <w:rsid w:val="001D722A"/>
    <w:rsid w:val="001E04FC"/>
    <w:rsid w:val="001E407D"/>
    <w:rsid w:val="001E40FB"/>
    <w:rsid w:val="001E66EC"/>
    <w:rsid w:val="001E68C5"/>
    <w:rsid w:val="001F09E8"/>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495"/>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466E0"/>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55E"/>
    <w:rsid w:val="002B2DF8"/>
    <w:rsid w:val="002B2E33"/>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37E"/>
    <w:rsid w:val="002E1517"/>
    <w:rsid w:val="002E1B22"/>
    <w:rsid w:val="002E387F"/>
    <w:rsid w:val="002E7F4B"/>
    <w:rsid w:val="002F0C91"/>
    <w:rsid w:val="002F0E3E"/>
    <w:rsid w:val="002F1B19"/>
    <w:rsid w:val="002F1FBF"/>
    <w:rsid w:val="002F2662"/>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27E9"/>
    <w:rsid w:val="00323D9F"/>
    <w:rsid w:val="00324FDB"/>
    <w:rsid w:val="00325F48"/>
    <w:rsid w:val="00331463"/>
    <w:rsid w:val="0033194F"/>
    <w:rsid w:val="00332304"/>
    <w:rsid w:val="00332406"/>
    <w:rsid w:val="00332D8D"/>
    <w:rsid w:val="003338CD"/>
    <w:rsid w:val="00334965"/>
    <w:rsid w:val="0033550D"/>
    <w:rsid w:val="00336B56"/>
    <w:rsid w:val="00341B25"/>
    <w:rsid w:val="00341EC0"/>
    <w:rsid w:val="0034240C"/>
    <w:rsid w:val="00344496"/>
    <w:rsid w:val="00345968"/>
    <w:rsid w:val="00347667"/>
    <w:rsid w:val="003507E2"/>
    <w:rsid w:val="003522B2"/>
    <w:rsid w:val="0035455E"/>
    <w:rsid w:val="00354A6F"/>
    <w:rsid w:val="00354B48"/>
    <w:rsid w:val="00355789"/>
    <w:rsid w:val="00357D18"/>
    <w:rsid w:val="003609B6"/>
    <w:rsid w:val="00361119"/>
    <w:rsid w:val="0036328C"/>
    <w:rsid w:val="0036538D"/>
    <w:rsid w:val="00365D12"/>
    <w:rsid w:val="0037018D"/>
    <w:rsid w:val="00371E3C"/>
    <w:rsid w:val="00372299"/>
    <w:rsid w:val="00372F02"/>
    <w:rsid w:val="00373729"/>
    <w:rsid w:val="00373C91"/>
    <w:rsid w:val="00374576"/>
    <w:rsid w:val="003748F0"/>
    <w:rsid w:val="003755C6"/>
    <w:rsid w:val="00375AEF"/>
    <w:rsid w:val="00376367"/>
    <w:rsid w:val="00376B02"/>
    <w:rsid w:val="0037733A"/>
    <w:rsid w:val="003776DC"/>
    <w:rsid w:val="003779C1"/>
    <w:rsid w:val="00380FEC"/>
    <w:rsid w:val="00381226"/>
    <w:rsid w:val="00381B1B"/>
    <w:rsid w:val="00381FF6"/>
    <w:rsid w:val="00383D7D"/>
    <w:rsid w:val="00384C0B"/>
    <w:rsid w:val="00384CCE"/>
    <w:rsid w:val="003865E5"/>
    <w:rsid w:val="003926C1"/>
    <w:rsid w:val="00392900"/>
    <w:rsid w:val="00393357"/>
    <w:rsid w:val="00395E7B"/>
    <w:rsid w:val="00395F4C"/>
    <w:rsid w:val="00397415"/>
    <w:rsid w:val="003A0987"/>
    <w:rsid w:val="003A5DAC"/>
    <w:rsid w:val="003A6591"/>
    <w:rsid w:val="003A6E9A"/>
    <w:rsid w:val="003B08C8"/>
    <w:rsid w:val="003B2567"/>
    <w:rsid w:val="003B36D5"/>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B22"/>
    <w:rsid w:val="003D6FCB"/>
    <w:rsid w:val="003D7A0B"/>
    <w:rsid w:val="003E0F84"/>
    <w:rsid w:val="003E1FF3"/>
    <w:rsid w:val="003E3ACA"/>
    <w:rsid w:val="003E50EA"/>
    <w:rsid w:val="003E61BB"/>
    <w:rsid w:val="003E68C7"/>
    <w:rsid w:val="003E79B0"/>
    <w:rsid w:val="003F0403"/>
    <w:rsid w:val="003F1094"/>
    <w:rsid w:val="003F2E45"/>
    <w:rsid w:val="003F3EFE"/>
    <w:rsid w:val="003F40B8"/>
    <w:rsid w:val="003F5C06"/>
    <w:rsid w:val="00400195"/>
    <w:rsid w:val="0040254B"/>
    <w:rsid w:val="00402D10"/>
    <w:rsid w:val="00403086"/>
    <w:rsid w:val="00403460"/>
    <w:rsid w:val="004040FF"/>
    <w:rsid w:val="00404284"/>
    <w:rsid w:val="004042C4"/>
    <w:rsid w:val="004048AE"/>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753"/>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654"/>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C56"/>
    <w:rsid w:val="004D7910"/>
    <w:rsid w:val="004D7DEA"/>
    <w:rsid w:val="004E0A28"/>
    <w:rsid w:val="004E1A0F"/>
    <w:rsid w:val="004E2E89"/>
    <w:rsid w:val="004E33C2"/>
    <w:rsid w:val="004E3B9A"/>
    <w:rsid w:val="004E49B0"/>
    <w:rsid w:val="004E62DE"/>
    <w:rsid w:val="004E6B05"/>
    <w:rsid w:val="004E76A1"/>
    <w:rsid w:val="004F05DE"/>
    <w:rsid w:val="004F1956"/>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39B7"/>
    <w:rsid w:val="005441D4"/>
    <w:rsid w:val="00545157"/>
    <w:rsid w:val="00545E45"/>
    <w:rsid w:val="0054672D"/>
    <w:rsid w:val="00550F4E"/>
    <w:rsid w:val="005524B1"/>
    <w:rsid w:val="005532B5"/>
    <w:rsid w:val="00553DF1"/>
    <w:rsid w:val="00554A05"/>
    <w:rsid w:val="00555849"/>
    <w:rsid w:val="005559A8"/>
    <w:rsid w:val="00556465"/>
    <w:rsid w:val="00557048"/>
    <w:rsid w:val="005578A7"/>
    <w:rsid w:val="00557FB5"/>
    <w:rsid w:val="00561AED"/>
    <w:rsid w:val="005648A8"/>
    <w:rsid w:val="00564DE3"/>
    <w:rsid w:val="00564E44"/>
    <w:rsid w:val="00566C6A"/>
    <w:rsid w:val="00566CE5"/>
    <w:rsid w:val="00566D36"/>
    <w:rsid w:val="00573569"/>
    <w:rsid w:val="00573871"/>
    <w:rsid w:val="0057389E"/>
    <w:rsid w:val="005744BE"/>
    <w:rsid w:val="005765C0"/>
    <w:rsid w:val="005778DE"/>
    <w:rsid w:val="005801EE"/>
    <w:rsid w:val="00580B1D"/>
    <w:rsid w:val="00580B3F"/>
    <w:rsid w:val="005825F2"/>
    <w:rsid w:val="005860AF"/>
    <w:rsid w:val="00587F1D"/>
    <w:rsid w:val="00590348"/>
    <w:rsid w:val="00590E91"/>
    <w:rsid w:val="00591161"/>
    <w:rsid w:val="00592318"/>
    <w:rsid w:val="00593133"/>
    <w:rsid w:val="0059575D"/>
    <w:rsid w:val="00596825"/>
    <w:rsid w:val="005A0F9B"/>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1B3"/>
    <w:rsid w:val="005C31D7"/>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2B23"/>
    <w:rsid w:val="005E49E5"/>
    <w:rsid w:val="005E5481"/>
    <w:rsid w:val="005E55E4"/>
    <w:rsid w:val="005E5ECC"/>
    <w:rsid w:val="005E6C5F"/>
    <w:rsid w:val="005E7636"/>
    <w:rsid w:val="005F028E"/>
    <w:rsid w:val="005F04B4"/>
    <w:rsid w:val="005F11A4"/>
    <w:rsid w:val="005F19F8"/>
    <w:rsid w:val="005F3FB1"/>
    <w:rsid w:val="005F5ACF"/>
    <w:rsid w:val="005F60DC"/>
    <w:rsid w:val="005F6203"/>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16B2"/>
    <w:rsid w:val="0061263A"/>
    <w:rsid w:val="00612C41"/>
    <w:rsid w:val="006145DE"/>
    <w:rsid w:val="0061478E"/>
    <w:rsid w:val="00614F25"/>
    <w:rsid w:val="00616A11"/>
    <w:rsid w:val="00616B9B"/>
    <w:rsid w:val="00617520"/>
    <w:rsid w:val="00620D7C"/>
    <w:rsid w:val="00621089"/>
    <w:rsid w:val="00621B96"/>
    <w:rsid w:val="00621E1F"/>
    <w:rsid w:val="006228B2"/>
    <w:rsid w:val="006228E1"/>
    <w:rsid w:val="00622E32"/>
    <w:rsid w:val="00623688"/>
    <w:rsid w:val="006247E0"/>
    <w:rsid w:val="00625F82"/>
    <w:rsid w:val="00627999"/>
    <w:rsid w:val="00630FF7"/>
    <w:rsid w:val="00631495"/>
    <w:rsid w:val="00633433"/>
    <w:rsid w:val="006341B5"/>
    <w:rsid w:val="006346C9"/>
    <w:rsid w:val="00634727"/>
    <w:rsid w:val="00634B64"/>
    <w:rsid w:val="0063578C"/>
    <w:rsid w:val="0063642C"/>
    <w:rsid w:val="0063681E"/>
    <w:rsid w:val="00636FF9"/>
    <w:rsid w:val="00640DCD"/>
    <w:rsid w:val="00641031"/>
    <w:rsid w:val="00641B12"/>
    <w:rsid w:val="00641DC3"/>
    <w:rsid w:val="00642972"/>
    <w:rsid w:val="00644F4D"/>
    <w:rsid w:val="006469B1"/>
    <w:rsid w:val="00646AE4"/>
    <w:rsid w:val="00646C0D"/>
    <w:rsid w:val="006476F7"/>
    <w:rsid w:val="0064779E"/>
    <w:rsid w:val="006501FA"/>
    <w:rsid w:val="0065057B"/>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4582"/>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EF9"/>
    <w:rsid w:val="00694B73"/>
    <w:rsid w:val="00694DF2"/>
    <w:rsid w:val="00695F80"/>
    <w:rsid w:val="006966CD"/>
    <w:rsid w:val="00696735"/>
    <w:rsid w:val="0069780E"/>
    <w:rsid w:val="00697D13"/>
    <w:rsid w:val="006A2CA2"/>
    <w:rsid w:val="006A392C"/>
    <w:rsid w:val="006A59B0"/>
    <w:rsid w:val="006B225F"/>
    <w:rsid w:val="006B2A9F"/>
    <w:rsid w:val="006B2D40"/>
    <w:rsid w:val="006B34DF"/>
    <w:rsid w:val="006B39B2"/>
    <w:rsid w:val="006B3AF9"/>
    <w:rsid w:val="006B45A0"/>
    <w:rsid w:val="006B5668"/>
    <w:rsid w:val="006B5F71"/>
    <w:rsid w:val="006B62B9"/>
    <w:rsid w:val="006B6E44"/>
    <w:rsid w:val="006B7059"/>
    <w:rsid w:val="006B7287"/>
    <w:rsid w:val="006B7F2E"/>
    <w:rsid w:val="006C050C"/>
    <w:rsid w:val="006C0BF8"/>
    <w:rsid w:val="006C2253"/>
    <w:rsid w:val="006C2CCB"/>
    <w:rsid w:val="006C4334"/>
    <w:rsid w:val="006C4B0F"/>
    <w:rsid w:val="006C5E96"/>
    <w:rsid w:val="006D05A3"/>
    <w:rsid w:val="006D399F"/>
    <w:rsid w:val="006D3F4A"/>
    <w:rsid w:val="006D4F0C"/>
    <w:rsid w:val="006D5645"/>
    <w:rsid w:val="006E0C8A"/>
    <w:rsid w:val="006E2A23"/>
    <w:rsid w:val="006E35E5"/>
    <w:rsid w:val="006E3C72"/>
    <w:rsid w:val="006E4F20"/>
    <w:rsid w:val="006E649A"/>
    <w:rsid w:val="006F08DC"/>
    <w:rsid w:val="006F1F7C"/>
    <w:rsid w:val="006F3948"/>
    <w:rsid w:val="006F4403"/>
    <w:rsid w:val="006F45EC"/>
    <w:rsid w:val="006F47B8"/>
    <w:rsid w:val="006F47D2"/>
    <w:rsid w:val="006F4B04"/>
    <w:rsid w:val="006F5456"/>
    <w:rsid w:val="006F57F2"/>
    <w:rsid w:val="006F6468"/>
    <w:rsid w:val="006F6C9D"/>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89A"/>
    <w:rsid w:val="00723A08"/>
    <w:rsid w:val="00723B5C"/>
    <w:rsid w:val="00724391"/>
    <w:rsid w:val="00724C18"/>
    <w:rsid w:val="00726630"/>
    <w:rsid w:val="00727F73"/>
    <w:rsid w:val="00730705"/>
    <w:rsid w:val="00730944"/>
    <w:rsid w:val="0073248E"/>
    <w:rsid w:val="00733EE9"/>
    <w:rsid w:val="00735B8E"/>
    <w:rsid w:val="0073673C"/>
    <w:rsid w:val="00736935"/>
    <w:rsid w:val="007373E4"/>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11B"/>
    <w:rsid w:val="00766F4D"/>
    <w:rsid w:val="00770268"/>
    <w:rsid w:val="007702A1"/>
    <w:rsid w:val="007706B9"/>
    <w:rsid w:val="007707ED"/>
    <w:rsid w:val="00771C3B"/>
    <w:rsid w:val="007726F9"/>
    <w:rsid w:val="00773B94"/>
    <w:rsid w:val="00773C65"/>
    <w:rsid w:val="00775937"/>
    <w:rsid w:val="00775D2F"/>
    <w:rsid w:val="00777046"/>
    <w:rsid w:val="007770DA"/>
    <w:rsid w:val="007805B9"/>
    <w:rsid w:val="00780C3A"/>
    <w:rsid w:val="00782803"/>
    <w:rsid w:val="007834A1"/>
    <w:rsid w:val="0079123D"/>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6D7E"/>
    <w:rsid w:val="007C02B0"/>
    <w:rsid w:val="007C063E"/>
    <w:rsid w:val="007C1901"/>
    <w:rsid w:val="007C29E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13B"/>
    <w:rsid w:val="007F1939"/>
    <w:rsid w:val="007F1C29"/>
    <w:rsid w:val="007F365C"/>
    <w:rsid w:val="007F450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39A"/>
    <w:rsid w:val="0083497C"/>
    <w:rsid w:val="008352A6"/>
    <w:rsid w:val="00835B5B"/>
    <w:rsid w:val="008367AE"/>
    <w:rsid w:val="00836E50"/>
    <w:rsid w:val="00840477"/>
    <w:rsid w:val="0084121D"/>
    <w:rsid w:val="008419C1"/>
    <w:rsid w:val="00844515"/>
    <w:rsid w:val="0084465A"/>
    <w:rsid w:val="00844A4D"/>
    <w:rsid w:val="00844DFF"/>
    <w:rsid w:val="00845D87"/>
    <w:rsid w:val="00846C3A"/>
    <w:rsid w:val="00847775"/>
    <w:rsid w:val="008477BF"/>
    <w:rsid w:val="008503DA"/>
    <w:rsid w:val="00850B68"/>
    <w:rsid w:val="00850E82"/>
    <w:rsid w:val="0085122D"/>
    <w:rsid w:val="008519E8"/>
    <w:rsid w:val="008525FF"/>
    <w:rsid w:val="00852C03"/>
    <w:rsid w:val="00855802"/>
    <w:rsid w:val="0085590C"/>
    <w:rsid w:val="008575EB"/>
    <w:rsid w:val="00862DDD"/>
    <w:rsid w:val="0086326D"/>
    <w:rsid w:val="00863CC1"/>
    <w:rsid w:val="00865B01"/>
    <w:rsid w:val="00866D7A"/>
    <w:rsid w:val="00866EE3"/>
    <w:rsid w:val="00871F04"/>
    <w:rsid w:val="008746C1"/>
    <w:rsid w:val="00880224"/>
    <w:rsid w:val="008806E3"/>
    <w:rsid w:val="0088244C"/>
    <w:rsid w:val="00883367"/>
    <w:rsid w:val="00884C47"/>
    <w:rsid w:val="00885E6F"/>
    <w:rsid w:val="008861AC"/>
    <w:rsid w:val="008868E4"/>
    <w:rsid w:val="00886A60"/>
    <w:rsid w:val="0088759B"/>
    <w:rsid w:val="008909B4"/>
    <w:rsid w:val="008922E8"/>
    <w:rsid w:val="00893916"/>
    <w:rsid w:val="0089442C"/>
    <w:rsid w:val="00895818"/>
    <w:rsid w:val="008A03EA"/>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D12"/>
    <w:rsid w:val="008D3F10"/>
    <w:rsid w:val="008D611D"/>
    <w:rsid w:val="008E1B6A"/>
    <w:rsid w:val="008E3054"/>
    <w:rsid w:val="008E32FF"/>
    <w:rsid w:val="008E5625"/>
    <w:rsid w:val="008E5C5B"/>
    <w:rsid w:val="008E6A37"/>
    <w:rsid w:val="008F0354"/>
    <w:rsid w:val="008F085A"/>
    <w:rsid w:val="008F1462"/>
    <w:rsid w:val="008F1A6F"/>
    <w:rsid w:val="008F2413"/>
    <w:rsid w:val="008F248D"/>
    <w:rsid w:val="008F27B0"/>
    <w:rsid w:val="008F4B2C"/>
    <w:rsid w:val="008F4C08"/>
    <w:rsid w:val="008F6851"/>
    <w:rsid w:val="008F7BC4"/>
    <w:rsid w:val="00900562"/>
    <w:rsid w:val="00900E7A"/>
    <w:rsid w:val="00903E11"/>
    <w:rsid w:val="00903EBE"/>
    <w:rsid w:val="009041DE"/>
    <w:rsid w:val="0090508C"/>
    <w:rsid w:val="00905D59"/>
    <w:rsid w:val="009062CA"/>
    <w:rsid w:val="00907631"/>
    <w:rsid w:val="00907776"/>
    <w:rsid w:val="00912B3E"/>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103"/>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6B12"/>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23B"/>
    <w:rsid w:val="00987829"/>
    <w:rsid w:val="00991276"/>
    <w:rsid w:val="009923E7"/>
    <w:rsid w:val="00992697"/>
    <w:rsid w:val="00992D4E"/>
    <w:rsid w:val="00994621"/>
    <w:rsid w:val="009947FF"/>
    <w:rsid w:val="0099544B"/>
    <w:rsid w:val="009A07A6"/>
    <w:rsid w:val="009A0D56"/>
    <w:rsid w:val="009A31B9"/>
    <w:rsid w:val="009A4D4F"/>
    <w:rsid w:val="009A53D8"/>
    <w:rsid w:val="009A590C"/>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3FE6"/>
    <w:rsid w:val="009C6091"/>
    <w:rsid w:val="009C634F"/>
    <w:rsid w:val="009D0219"/>
    <w:rsid w:val="009D0D55"/>
    <w:rsid w:val="009D2295"/>
    <w:rsid w:val="009D2511"/>
    <w:rsid w:val="009D323E"/>
    <w:rsid w:val="009D3E7C"/>
    <w:rsid w:val="009D55CA"/>
    <w:rsid w:val="009D5EF0"/>
    <w:rsid w:val="009D62D6"/>
    <w:rsid w:val="009D6401"/>
    <w:rsid w:val="009D7942"/>
    <w:rsid w:val="009E0711"/>
    <w:rsid w:val="009E1917"/>
    <w:rsid w:val="009E2FDB"/>
    <w:rsid w:val="009E3594"/>
    <w:rsid w:val="009E6B77"/>
    <w:rsid w:val="009E7724"/>
    <w:rsid w:val="009E7D1F"/>
    <w:rsid w:val="009F1D82"/>
    <w:rsid w:val="009F37AA"/>
    <w:rsid w:val="009F50A6"/>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2DF"/>
    <w:rsid w:val="00A26C5C"/>
    <w:rsid w:val="00A30BDE"/>
    <w:rsid w:val="00A3131C"/>
    <w:rsid w:val="00A31F14"/>
    <w:rsid w:val="00A324DC"/>
    <w:rsid w:val="00A32B5A"/>
    <w:rsid w:val="00A33CCC"/>
    <w:rsid w:val="00A33ECB"/>
    <w:rsid w:val="00A34DE0"/>
    <w:rsid w:val="00A35728"/>
    <w:rsid w:val="00A36CD7"/>
    <w:rsid w:val="00A36EE3"/>
    <w:rsid w:val="00A37435"/>
    <w:rsid w:val="00A4173D"/>
    <w:rsid w:val="00A41A95"/>
    <w:rsid w:val="00A4248B"/>
    <w:rsid w:val="00A4376E"/>
    <w:rsid w:val="00A4572B"/>
    <w:rsid w:val="00A46246"/>
    <w:rsid w:val="00A46349"/>
    <w:rsid w:val="00A46D5E"/>
    <w:rsid w:val="00A47CD4"/>
    <w:rsid w:val="00A50847"/>
    <w:rsid w:val="00A512C7"/>
    <w:rsid w:val="00A52303"/>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671"/>
    <w:rsid w:val="00A74F9F"/>
    <w:rsid w:val="00A750B3"/>
    <w:rsid w:val="00A75559"/>
    <w:rsid w:val="00A7623D"/>
    <w:rsid w:val="00A820B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BE8"/>
    <w:rsid w:val="00AA1C09"/>
    <w:rsid w:val="00AA2D09"/>
    <w:rsid w:val="00AA2F67"/>
    <w:rsid w:val="00AA3569"/>
    <w:rsid w:val="00AA5F4C"/>
    <w:rsid w:val="00AA615C"/>
    <w:rsid w:val="00AA6711"/>
    <w:rsid w:val="00AB2AEC"/>
    <w:rsid w:val="00AB2DC1"/>
    <w:rsid w:val="00AB3102"/>
    <w:rsid w:val="00AB3D9A"/>
    <w:rsid w:val="00AB4B1D"/>
    <w:rsid w:val="00AB5638"/>
    <w:rsid w:val="00AB6B5E"/>
    <w:rsid w:val="00AC047F"/>
    <w:rsid w:val="00AC3934"/>
    <w:rsid w:val="00AC50C8"/>
    <w:rsid w:val="00AC5581"/>
    <w:rsid w:val="00AC56AD"/>
    <w:rsid w:val="00AC61BE"/>
    <w:rsid w:val="00AC7B24"/>
    <w:rsid w:val="00AD072D"/>
    <w:rsid w:val="00AD0CB4"/>
    <w:rsid w:val="00AD1F59"/>
    <w:rsid w:val="00AD1FF2"/>
    <w:rsid w:val="00AD2799"/>
    <w:rsid w:val="00AD2A21"/>
    <w:rsid w:val="00AD393F"/>
    <w:rsid w:val="00AD3B43"/>
    <w:rsid w:val="00AD4FF2"/>
    <w:rsid w:val="00AD506C"/>
    <w:rsid w:val="00AD6BE5"/>
    <w:rsid w:val="00AD783E"/>
    <w:rsid w:val="00AE1393"/>
    <w:rsid w:val="00AE3BC6"/>
    <w:rsid w:val="00AE4D4F"/>
    <w:rsid w:val="00AE627C"/>
    <w:rsid w:val="00AE62B0"/>
    <w:rsid w:val="00AE68A2"/>
    <w:rsid w:val="00AE6EF1"/>
    <w:rsid w:val="00AF0029"/>
    <w:rsid w:val="00AF0354"/>
    <w:rsid w:val="00AF1236"/>
    <w:rsid w:val="00AF31B7"/>
    <w:rsid w:val="00AF3C29"/>
    <w:rsid w:val="00AF4401"/>
    <w:rsid w:val="00AF4463"/>
    <w:rsid w:val="00AF53CB"/>
    <w:rsid w:val="00AF65C5"/>
    <w:rsid w:val="00B03CE2"/>
    <w:rsid w:val="00B04785"/>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2FF"/>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E43"/>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1E31"/>
    <w:rsid w:val="00B62B90"/>
    <w:rsid w:val="00B6439A"/>
    <w:rsid w:val="00B6443B"/>
    <w:rsid w:val="00B6517B"/>
    <w:rsid w:val="00B65E71"/>
    <w:rsid w:val="00B66C26"/>
    <w:rsid w:val="00B71FB3"/>
    <w:rsid w:val="00B72EE6"/>
    <w:rsid w:val="00B73492"/>
    <w:rsid w:val="00B73F63"/>
    <w:rsid w:val="00B747AF"/>
    <w:rsid w:val="00B7512A"/>
    <w:rsid w:val="00B76548"/>
    <w:rsid w:val="00B76BED"/>
    <w:rsid w:val="00B806E6"/>
    <w:rsid w:val="00B81818"/>
    <w:rsid w:val="00B81EC9"/>
    <w:rsid w:val="00B82DC1"/>
    <w:rsid w:val="00B835D5"/>
    <w:rsid w:val="00B84028"/>
    <w:rsid w:val="00B84307"/>
    <w:rsid w:val="00B8430D"/>
    <w:rsid w:val="00B845F1"/>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E7E"/>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6948"/>
    <w:rsid w:val="00BB7A20"/>
    <w:rsid w:val="00BC15B1"/>
    <w:rsid w:val="00BC1FEA"/>
    <w:rsid w:val="00BC31ED"/>
    <w:rsid w:val="00BC3C06"/>
    <w:rsid w:val="00BC4E8B"/>
    <w:rsid w:val="00BC5622"/>
    <w:rsid w:val="00BC5BCA"/>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5EDF"/>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C2B"/>
    <w:rsid w:val="00C06DE3"/>
    <w:rsid w:val="00C06F97"/>
    <w:rsid w:val="00C10BE6"/>
    <w:rsid w:val="00C11296"/>
    <w:rsid w:val="00C11905"/>
    <w:rsid w:val="00C119A1"/>
    <w:rsid w:val="00C1234A"/>
    <w:rsid w:val="00C12661"/>
    <w:rsid w:val="00C126E3"/>
    <w:rsid w:val="00C1330F"/>
    <w:rsid w:val="00C13ED7"/>
    <w:rsid w:val="00C14615"/>
    <w:rsid w:val="00C14F48"/>
    <w:rsid w:val="00C15296"/>
    <w:rsid w:val="00C15AA4"/>
    <w:rsid w:val="00C17750"/>
    <w:rsid w:val="00C2094B"/>
    <w:rsid w:val="00C20DC5"/>
    <w:rsid w:val="00C2294E"/>
    <w:rsid w:val="00C22A5B"/>
    <w:rsid w:val="00C23412"/>
    <w:rsid w:val="00C245F6"/>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1D97"/>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2F99"/>
    <w:rsid w:val="00C85387"/>
    <w:rsid w:val="00C85E52"/>
    <w:rsid w:val="00C86471"/>
    <w:rsid w:val="00C8677B"/>
    <w:rsid w:val="00C86F96"/>
    <w:rsid w:val="00C909C6"/>
    <w:rsid w:val="00C914BA"/>
    <w:rsid w:val="00C923B7"/>
    <w:rsid w:val="00C94D4C"/>
    <w:rsid w:val="00C9739C"/>
    <w:rsid w:val="00CA012C"/>
    <w:rsid w:val="00CA08B1"/>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101"/>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8C9"/>
    <w:rsid w:val="00D07AFD"/>
    <w:rsid w:val="00D07ED7"/>
    <w:rsid w:val="00D11749"/>
    <w:rsid w:val="00D12A7D"/>
    <w:rsid w:val="00D13AB0"/>
    <w:rsid w:val="00D1519E"/>
    <w:rsid w:val="00D152B7"/>
    <w:rsid w:val="00D16EDC"/>
    <w:rsid w:val="00D170B0"/>
    <w:rsid w:val="00D17FDE"/>
    <w:rsid w:val="00D201CB"/>
    <w:rsid w:val="00D22786"/>
    <w:rsid w:val="00D228B4"/>
    <w:rsid w:val="00D2302C"/>
    <w:rsid w:val="00D25AC4"/>
    <w:rsid w:val="00D305F6"/>
    <w:rsid w:val="00D30B25"/>
    <w:rsid w:val="00D3159F"/>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58AF"/>
    <w:rsid w:val="00D4785A"/>
    <w:rsid w:val="00D511C6"/>
    <w:rsid w:val="00D5121D"/>
    <w:rsid w:val="00D516AC"/>
    <w:rsid w:val="00D521BB"/>
    <w:rsid w:val="00D5246D"/>
    <w:rsid w:val="00D52875"/>
    <w:rsid w:val="00D54050"/>
    <w:rsid w:val="00D54B8F"/>
    <w:rsid w:val="00D56AC0"/>
    <w:rsid w:val="00D6081B"/>
    <w:rsid w:val="00D6240A"/>
    <w:rsid w:val="00D63093"/>
    <w:rsid w:val="00D63599"/>
    <w:rsid w:val="00D63EBD"/>
    <w:rsid w:val="00D67101"/>
    <w:rsid w:val="00D71B45"/>
    <w:rsid w:val="00D71F8A"/>
    <w:rsid w:val="00D7414E"/>
    <w:rsid w:val="00D75603"/>
    <w:rsid w:val="00D75FEE"/>
    <w:rsid w:val="00D76933"/>
    <w:rsid w:val="00D76D88"/>
    <w:rsid w:val="00D77CC9"/>
    <w:rsid w:val="00D83D4B"/>
    <w:rsid w:val="00D871C6"/>
    <w:rsid w:val="00D91010"/>
    <w:rsid w:val="00D95051"/>
    <w:rsid w:val="00D975BF"/>
    <w:rsid w:val="00DA0FA7"/>
    <w:rsid w:val="00DA1030"/>
    <w:rsid w:val="00DA12B0"/>
    <w:rsid w:val="00DA1F4D"/>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12"/>
    <w:rsid w:val="00DE36E7"/>
    <w:rsid w:val="00DE4AF9"/>
    <w:rsid w:val="00DE64A6"/>
    <w:rsid w:val="00DE66EB"/>
    <w:rsid w:val="00DE7035"/>
    <w:rsid w:val="00DF12E3"/>
    <w:rsid w:val="00DF1850"/>
    <w:rsid w:val="00DF3F1D"/>
    <w:rsid w:val="00DF595C"/>
    <w:rsid w:val="00DF70D0"/>
    <w:rsid w:val="00DF7EA7"/>
    <w:rsid w:val="00E04548"/>
    <w:rsid w:val="00E0484E"/>
    <w:rsid w:val="00E063F8"/>
    <w:rsid w:val="00E100AC"/>
    <w:rsid w:val="00E114D6"/>
    <w:rsid w:val="00E1166E"/>
    <w:rsid w:val="00E116D3"/>
    <w:rsid w:val="00E11DBD"/>
    <w:rsid w:val="00E13211"/>
    <w:rsid w:val="00E139EE"/>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47F"/>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0BF9"/>
    <w:rsid w:val="00EC3CB4"/>
    <w:rsid w:val="00EC443E"/>
    <w:rsid w:val="00EC4D83"/>
    <w:rsid w:val="00EC4EEE"/>
    <w:rsid w:val="00EC634F"/>
    <w:rsid w:val="00EC63F8"/>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2918"/>
    <w:rsid w:val="00EF40E2"/>
    <w:rsid w:val="00EF61C1"/>
    <w:rsid w:val="00EF6E68"/>
    <w:rsid w:val="00EF76DB"/>
    <w:rsid w:val="00EF7BA4"/>
    <w:rsid w:val="00F005FD"/>
    <w:rsid w:val="00F02C04"/>
    <w:rsid w:val="00F03AF1"/>
    <w:rsid w:val="00F04BCD"/>
    <w:rsid w:val="00F05A8C"/>
    <w:rsid w:val="00F06211"/>
    <w:rsid w:val="00F10A54"/>
    <w:rsid w:val="00F123D0"/>
    <w:rsid w:val="00F13200"/>
    <w:rsid w:val="00F13411"/>
    <w:rsid w:val="00F143BA"/>
    <w:rsid w:val="00F14D98"/>
    <w:rsid w:val="00F16CED"/>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67C"/>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160"/>
    <w:rsid w:val="00F67F04"/>
    <w:rsid w:val="00F70207"/>
    <w:rsid w:val="00F702CB"/>
    <w:rsid w:val="00F71AC2"/>
    <w:rsid w:val="00F739D4"/>
    <w:rsid w:val="00F77D43"/>
    <w:rsid w:val="00F80953"/>
    <w:rsid w:val="00F81312"/>
    <w:rsid w:val="00F81B90"/>
    <w:rsid w:val="00F81E6F"/>
    <w:rsid w:val="00F82FF3"/>
    <w:rsid w:val="00F83311"/>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29E3"/>
    <w:rsid w:val="00FD5788"/>
    <w:rsid w:val="00FD5EC4"/>
    <w:rsid w:val="00FD7858"/>
    <w:rsid w:val="00FD7A8D"/>
    <w:rsid w:val="00FE1330"/>
    <w:rsid w:val="00FE1CE5"/>
    <w:rsid w:val="00FE2832"/>
    <w:rsid w:val="00FE2883"/>
    <w:rsid w:val="00FE2D38"/>
    <w:rsid w:val="00FE3929"/>
    <w:rsid w:val="00FF097B"/>
    <w:rsid w:val="00FF0B6E"/>
    <w:rsid w:val="00FF1C1B"/>
    <w:rsid w:val="00FF2067"/>
    <w:rsid w:val="00FF3BC4"/>
    <w:rsid w:val="00FF4B66"/>
    <w:rsid w:val="00FF524F"/>
    <w:rsid w:val="00FF688E"/>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4AAB-0EA6-44C4-8588-E362AB35E35E}">
  <ds:schemaRefs>
    <ds:schemaRef ds:uri="http://schemas.openxmlformats.org/officeDocument/2006/bibliography"/>
  </ds:schemaRefs>
</ds:datastoreItem>
</file>

<file path=customXml/itemProps2.xml><?xml version="1.0" encoding="utf-8"?>
<ds:datastoreItem xmlns:ds="http://schemas.openxmlformats.org/officeDocument/2006/customXml" ds:itemID="{73EC882D-8300-4549-8508-0814E2D4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8089</Words>
  <Characters>45014</Characters>
  <Application>Microsoft Office Word</Application>
  <DocSecurity>8</DocSecurity>
  <Lines>375</Lines>
  <Paragraphs>105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52998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Jyrki Iisalo</cp:lastModifiedBy>
  <cp:revision>3</cp:revision>
  <cp:lastPrinted>2015-08-11T13:04:00Z</cp:lastPrinted>
  <dcterms:created xsi:type="dcterms:W3CDTF">2015-08-17T10:09:00Z</dcterms:created>
  <dcterms:modified xsi:type="dcterms:W3CDTF">2015-08-17T10:28:00Z</dcterms:modified>
</cp:coreProperties>
</file>